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pPr>
    </w:p>
    <w:p/>
    <w:p>
      <w:bookmarkStart w:id="119" w:name="_GoBack"/>
      <w:bookmarkEnd w:id="119"/>
    </w:p>
    <w:p>
      <w:pPr>
        <w:spacing w:line="360" w:lineRule="auto"/>
        <w:jc w:val="center"/>
        <w:rPr>
          <w:rFonts w:hint="eastAsia" w:ascii="方正小标宋简体" w:eastAsia="方正小标宋简体"/>
          <w:sz w:val="48"/>
          <w:szCs w:val="52"/>
          <w:lang w:eastAsia="zh-CN"/>
        </w:rPr>
      </w:pPr>
      <w:r>
        <w:rPr>
          <w:rFonts w:hint="eastAsia" w:ascii="方正小标宋简体" w:eastAsia="方正小标宋简体"/>
          <w:sz w:val="48"/>
          <w:szCs w:val="52"/>
        </w:rPr>
        <w:t>广州市净水有限公司竹料分公司2024年厂区网络改造项目</w:t>
      </w:r>
      <w:r>
        <w:rPr>
          <w:rFonts w:hint="eastAsia" w:ascii="方正小标宋简体" w:eastAsia="方正小标宋简体"/>
          <w:sz w:val="48"/>
          <w:szCs w:val="52"/>
          <w:lang w:eastAsia="zh-CN"/>
        </w:rPr>
        <w:t>（</w:t>
      </w:r>
      <w:r>
        <w:rPr>
          <w:rFonts w:hint="eastAsia" w:ascii="方正小标宋简体" w:eastAsia="方正小标宋简体"/>
          <w:sz w:val="48"/>
          <w:szCs w:val="52"/>
          <w:lang w:val="en-US" w:eastAsia="zh-CN"/>
        </w:rPr>
        <w:t>第二次</w:t>
      </w:r>
      <w:r>
        <w:rPr>
          <w:rFonts w:hint="eastAsia" w:ascii="方正小标宋简体" w:eastAsia="方正小标宋简体"/>
          <w:sz w:val="48"/>
          <w:szCs w:val="52"/>
          <w:lang w:eastAsia="zh-CN"/>
        </w:rPr>
        <w:t>）</w:t>
      </w:r>
    </w:p>
    <w:p>
      <w:pPr>
        <w:spacing w:line="360" w:lineRule="auto"/>
        <w:jc w:val="center"/>
        <w:rPr>
          <w:rFonts w:hint="eastAsia" w:ascii="方正小标宋简体" w:eastAsia="方正小标宋简体"/>
          <w:sz w:val="48"/>
          <w:szCs w:val="52"/>
          <w:lang w:eastAsia="zh-CN"/>
        </w:rPr>
      </w:pPr>
    </w:p>
    <w:p>
      <w:pPr>
        <w:spacing w:line="360" w:lineRule="auto"/>
        <w:jc w:val="center"/>
        <w:rPr>
          <w:rFonts w:ascii="方正小标宋简体" w:eastAsia="方正小标宋简体"/>
          <w:sz w:val="48"/>
          <w:szCs w:val="52"/>
        </w:rPr>
      </w:pPr>
      <w:r>
        <w:rPr>
          <w:rFonts w:hint="eastAsia" w:ascii="方正小标宋简体" w:eastAsia="方正小标宋简体"/>
          <w:sz w:val="48"/>
          <w:szCs w:val="52"/>
          <w:lang w:val="en-US" w:eastAsia="zh-CN"/>
        </w:rPr>
        <w:t>采购</w:t>
      </w:r>
      <w:r>
        <w:rPr>
          <w:rFonts w:hint="eastAsia" w:ascii="方正小标宋简体" w:eastAsia="方正小标宋简体"/>
          <w:sz w:val="48"/>
          <w:szCs w:val="52"/>
        </w:rPr>
        <w:t>文件</w:t>
      </w: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pStyle w:val="2"/>
        <w:rPr>
          <w:rFonts w:ascii="仿宋_GB2312" w:eastAsia="仿宋_GB2312"/>
          <w:sz w:val="32"/>
          <w:szCs w:val="32"/>
        </w:rPr>
      </w:pPr>
    </w:p>
    <w:p>
      <w:pPr>
        <w:pStyle w:val="2"/>
        <w:rPr>
          <w:rFonts w:ascii="仿宋_GB2312" w:eastAsia="仿宋_GB2312"/>
          <w:sz w:val="32"/>
          <w:szCs w:val="32"/>
        </w:rPr>
      </w:pPr>
    </w:p>
    <w:p>
      <w:pPr>
        <w:pStyle w:val="2"/>
        <w:rPr>
          <w:rFonts w:ascii="仿宋_GB2312" w:eastAsia="仿宋_GB2312"/>
          <w:sz w:val="32"/>
          <w:szCs w:val="32"/>
        </w:rPr>
      </w:pPr>
    </w:p>
    <w:p>
      <w:pPr>
        <w:jc w:val="center"/>
        <w:rPr>
          <w:rFonts w:ascii="仿宋_GB2312" w:eastAsia="仿宋_GB2312"/>
          <w:sz w:val="32"/>
          <w:szCs w:val="32"/>
        </w:rPr>
      </w:pPr>
    </w:p>
    <w:p>
      <w:pPr>
        <w:jc w:val="center"/>
        <w:rPr>
          <w:rFonts w:ascii="黑体" w:hAnsi="黑体" w:eastAsia="黑体"/>
          <w:sz w:val="32"/>
          <w:szCs w:val="32"/>
        </w:rPr>
      </w:pPr>
      <w:r>
        <w:rPr>
          <w:rFonts w:hint="eastAsia" w:ascii="黑体" w:hAnsi="黑体" w:eastAsia="黑体" w:cs="仿宋_GB2312"/>
          <w:sz w:val="32"/>
          <w:szCs w:val="32"/>
        </w:rPr>
        <w:t>广州净水有限公司</w:t>
      </w:r>
    </w:p>
    <w:p>
      <w:pPr>
        <w:jc w:val="center"/>
        <w:rPr>
          <w:rFonts w:ascii="黑体" w:hAnsi="黑体" w:eastAsia="黑体" w:cs="仿宋_GB2312"/>
          <w:sz w:val="32"/>
          <w:szCs w:val="32"/>
        </w:rPr>
      </w:pPr>
      <w:r>
        <w:rPr>
          <w:rFonts w:hint="eastAsia" w:ascii="黑体" w:hAnsi="黑体" w:eastAsia="黑体"/>
          <w:sz w:val="32"/>
          <w:szCs w:val="32"/>
        </w:rPr>
        <w:t>二</w:t>
      </w:r>
      <w:r>
        <w:rPr>
          <w:rFonts w:hint="eastAsia" w:ascii="黑体" w:hAnsi="黑体" w:eastAsia="黑体" w:cs="宋体"/>
          <w:sz w:val="32"/>
          <w:szCs w:val="32"/>
        </w:rPr>
        <w:t>〇</w:t>
      </w:r>
      <w:r>
        <w:rPr>
          <w:rFonts w:hint="eastAsia" w:ascii="黑体" w:hAnsi="黑体" w:eastAsia="黑体" w:cs="仿宋_GB2312"/>
          <w:sz w:val="32"/>
          <w:szCs w:val="32"/>
        </w:rPr>
        <w:t>二四年</w:t>
      </w:r>
      <w:r>
        <w:rPr>
          <w:rFonts w:hint="eastAsia" w:ascii="黑体" w:hAnsi="黑体" w:eastAsia="黑体" w:cs="仿宋_GB2312"/>
          <w:sz w:val="32"/>
          <w:szCs w:val="32"/>
          <w:lang w:val="en-US" w:eastAsia="zh-CN"/>
        </w:rPr>
        <w:t>九</w:t>
      </w:r>
      <w:r>
        <w:rPr>
          <w:rFonts w:hint="eastAsia" w:ascii="黑体" w:hAnsi="黑体" w:eastAsia="黑体" w:cs="仿宋_GB2312"/>
          <w:sz w:val="32"/>
          <w:szCs w:val="32"/>
        </w:rPr>
        <w:t>月</w:t>
      </w:r>
    </w:p>
    <w:p>
      <w:pPr>
        <w:pStyle w:val="38"/>
        <w:adjustRightInd w:val="0"/>
        <w:snapToGrid w:val="0"/>
        <w:spacing w:before="0" w:line="600" w:lineRule="exact"/>
        <w:jc w:val="center"/>
        <w:rPr>
          <w:rFonts w:hint="eastAsia" w:ascii="方正小标宋简体" w:eastAsia="方正小标宋简体"/>
          <w:b/>
          <w:color w:val="auto"/>
          <w:sz w:val="44"/>
          <w:szCs w:val="44"/>
        </w:rPr>
        <w:sectPr>
          <w:footerReference r:id="rId4" w:type="default"/>
          <w:headerReference r:id="rId3" w:type="even"/>
          <w:footerReference r:id="rId5" w:type="even"/>
          <w:pgSz w:w="11906" w:h="16838"/>
          <w:pgMar w:top="873" w:right="1800" w:bottom="1440" w:left="1800" w:header="851" w:footer="992" w:gutter="0"/>
          <w:pgNumType w:start="0"/>
          <w:cols w:space="425" w:num="1"/>
          <w:titlePg/>
          <w:docGrid w:type="lines" w:linePitch="312" w:charSpace="0"/>
        </w:sectPr>
      </w:pPr>
    </w:p>
    <w:p>
      <w:pPr>
        <w:pStyle w:val="38"/>
        <w:adjustRightInd w:val="0"/>
        <w:snapToGrid w:val="0"/>
        <w:spacing w:before="0" w:line="600" w:lineRule="exact"/>
        <w:jc w:val="center"/>
        <w:rPr>
          <w:rFonts w:ascii="方正小标宋简体" w:eastAsia="方正小标宋简体"/>
          <w:b/>
          <w:color w:val="auto"/>
          <w:sz w:val="44"/>
          <w:szCs w:val="44"/>
        </w:rPr>
      </w:pPr>
      <w:r>
        <w:rPr>
          <w:rFonts w:hint="eastAsia" w:ascii="方正小标宋简体" w:eastAsia="方正小标宋简体"/>
          <w:b/>
          <w:color w:val="auto"/>
          <w:sz w:val="44"/>
          <w:szCs w:val="44"/>
        </w:rPr>
        <w:t>目录</w:t>
      </w:r>
    </w:p>
    <w:p>
      <w:pPr>
        <w:rPr>
          <w:rFonts w:asciiTheme="minorEastAsia" w:hAnsiTheme="minorEastAsia"/>
          <w:sz w:val="24"/>
          <w:szCs w:val="24"/>
        </w:rPr>
      </w:pPr>
    </w:p>
    <w:p>
      <w:pPr>
        <w:pStyle w:val="21"/>
        <w:numPr>
          <w:ilvl w:val="0"/>
          <w:numId w:val="1"/>
        </w:numPr>
        <w:tabs>
          <w:tab w:val="right" w:pos="8844"/>
        </w:tabs>
      </w:pPr>
      <w:r>
        <w:rPr>
          <w:rFonts w:hint="eastAsia"/>
        </w:rPr>
        <w:t>采购公告</w:t>
      </w:r>
    </w:p>
    <w:p>
      <w:pPr>
        <w:pStyle w:val="21"/>
        <w:numPr>
          <w:ilvl w:val="0"/>
          <w:numId w:val="1"/>
        </w:numPr>
        <w:tabs>
          <w:tab w:val="right" w:pos="8844"/>
        </w:tabs>
      </w:pPr>
      <w:r>
        <w:rPr>
          <w:rFonts w:hint="eastAsia"/>
        </w:rPr>
        <w:t>供应商须知</w:t>
      </w:r>
    </w:p>
    <w:p>
      <w:pPr>
        <w:pStyle w:val="21"/>
        <w:numPr>
          <w:ilvl w:val="0"/>
          <w:numId w:val="1"/>
        </w:numPr>
        <w:tabs>
          <w:tab w:val="right" w:pos="8844"/>
        </w:tabs>
      </w:pPr>
      <w:r>
        <w:rPr>
          <w:rFonts w:hint="eastAsia"/>
        </w:rPr>
        <w:t>采购方法</w:t>
      </w:r>
    </w:p>
    <w:p>
      <w:pPr>
        <w:pStyle w:val="21"/>
        <w:numPr>
          <w:ilvl w:val="0"/>
          <w:numId w:val="1"/>
        </w:numPr>
        <w:tabs>
          <w:tab w:val="right" w:pos="8844"/>
        </w:tabs>
      </w:pPr>
      <w:r>
        <w:rPr>
          <w:rFonts w:hint="eastAsia"/>
        </w:rPr>
        <w:t>评审方法</w:t>
      </w:r>
    </w:p>
    <w:p>
      <w:pPr>
        <w:pStyle w:val="21"/>
        <w:numPr>
          <w:ilvl w:val="0"/>
          <w:numId w:val="1"/>
        </w:numPr>
        <w:tabs>
          <w:tab w:val="right" w:pos="8844"/>
        </w:tabs>
      </w:pPr>
      <w:r>
        <w:rPr>
          <w:rFonts w:hint="eastAsia"/>
        </w:rPr>
        <w:t>采购需求</w:t>
      </w:r>
    </w:p>
    <w:p>
      <w:pPr>
        <w:pStyle w:val="21"/>
        <w:numPr>
          <w:ilvl w:val="0"/>
          <w:numId w:val="1"/>
        </w:numPr>
        <w:tabs>
          <w:tab w:val="right" w:pos="8844"/>
        </w:tabs>
      </w:pPr>
      <w:r>
        <w:rPr>
          <w:rFonts w:hint="eastAsia"/>
        </w:rPr>
        <w:t>合同草案</w:t>
      </w:r>
    </w:p>
    <w:p>
      <w:pPr>
        <w:pStyle w:val="21"/>
        <w:numPr>
          <w:ilvl w:val="0"/>
          <w:numId w:val="1"/>
        </w:numPr>
        <w:tabs>
          <w:tab w:val="right" w:pos="8844"/>
        </w:tabs>
      </w:pPr>
      <w:r>
        <w:rPr>
          <w:rFonts w:hint="eastAsia"/>
        </w:rPr>
        <w:t>响应文件格式要求</w:t>
      </w:r>
      <w:r>
        <w:fldChar w:fldCharType="begin"/>
      </w:r>
      <w:r>
        <w:instrText xml:space="preserve">TOC \o "1-1" \n  \h \u </w:instrText>
      </w:r>
      <w:r>
        <w:fldChar w:fldCharType="separate"/>
      </w:r>
      <w:r>
        <w:fldChar w:fldCharType="begin"/>
      </w:r>
      <w:r>
        <w:instrText xml:space="preserve"> HYPERLINK \l "_Toc18800" </w:instrText>
      </w:r>
      <w:r>
        <w:fldChar w:fldCharType="separate"/>
      </w:r>
      <w:r>
        <w:fldChar w:fldCharType="end"/>
      </w:r>
    </w:p>
    <w:p>
      <w:pPr>
        <w:pStyle w:val="21"/>
        <w:tabs>
          <w:tab w:val="right" w:pos="8844"/>
        </w:tabs>
      </w:pPr>
      <w:r>
        <w:fldChar w:fldCharType="begin"/>
      </w:r>
      <w:r>
        <w:instrText xml:space="preserve"> HYPERLINK \l "_Toc5817" </w:instrText>
      </w:r>
      <w:r>
        <w:fldChar w:fldCharType="separate"/>
      </w:r>
      <w:r>
        <w:fldChar w:fldCharType="end"/>
      </w:r>
    </w:p>
    <w:p>
      <w:pPr>
        <w:pStyle w:val="21"/>
        <w:tabs>
          <w:tab w:val="right" w:pos="8844"/>
        </w:tabs>
      </w:pPr>
      <w:r>
        <w:fldChar w:fldCharType="begin"/>
      </w:r>
      <w:r>
        <w:instrText xml:space="preserve"> HYPERLINK \l "_Toc27928" </w:instrText>
      </w:r>
      <w:r>
        <w:fldChar w:fldCharType="separate"/>
      </w:r>
      <w:r>
        <w:fldChar w:fldCharType="end"/>
      </w:r>
    </w:p>
    <w:p>
      <w:pPr>
        <w:pStyle w:val="25"/>
      </w:pPr>
      <w:r>
        <w:fldChar w:fldCharType="end"/>
      </w:r>
    </w:p>
    <w:p>
      <w:pPr>
        <w:adjustRightInd w:val="0"/>
        <w:snapToGrid w:val="0"/>
        <w:spacing w:line="600" w:lineRule="exact"/>
        <w:ind w:firstLine="560" w:firstLineChars="200"/>
        <w:jc w:val="left"/>
        <w:rPr>
          <w:rFonts w:ascii="仿宋_GB2312" w:eastAsia="仿宋_GB2312"/>
          <w:sz w:val="28"/>
          <w:szCs w:val="28"/>
        </w:rPr>
      </w:pPr>
    </w:p>
    <w:p>
      <w:pPr>
        <w:pStyle w:val="3"/>
      </w:pPr>
      <w:bookmarkStart w:id="0" w:name="_Toc26148"/>
      <w:bookmarkStart w:id="1" w:name="_Toc18145"/>
    </w:p>
    <w:p/>
    <w:p>
      <w:pPr>
        <w:pStyle w:val="3"/>
      </w:pPr>
      <w:bookmarkStart w:id="2" w:name="_Toc1711"/>
      <w:bookmarkStart w:id="3" w:name="_Toc17696"/>
    </w:p>
    <w:p/>
    <w:p>
      <w:pPr>
        <w:pStyle w:val="25"/>
      </w:pPr>
    </w:p>
    <w:p>
      <w:pPr>
        <w:pStyle w:val="25"/>
      </w:pPr>
    </w:p>
    <w:p>
      <w:pPr>
        <w:pStyle w:val="25"/>
      </w:pPr>
    </w:p>
    <w:p>
      <w:pPr>
        <w:pStyle w:val="25"/>
      </w:pPr>
    </w:p>
    <w:p>
      <w:pPr>
        <w:pStyle w:val="3"/>
      </w:pPr>
      <w:bookmarkStart w:id="4" w:name="_Toc7519"/>
      <w:bookmarkStart w:id="5" w:name="_Toc11322"/>
      <w:bookmarkStart w:id="6" w:name="_Toc19609"/>
      <w:bookmarkStart w:id="7" w:name="_Toc17801"/>
      <w:bookmarkStart w:id="8" w:name="_Toc31938"/>
      <w:bookmarkStart w:id="9" w:name="_Toc1669"/>
      <w:bookmarkStart w:id="10" w:name="_Toc4275"/>
    </w:p>
    <w:p>
      <w:pPr>
        <w:pStyle w:val="3"/>
      </w:pPr>
    </w:p>
    <w:p>
      <w:pPr>
        <w:pStyle w:val="3"/>
      </w:pPr>
    </w:p>
    <w:p>
      <w:pPr>
        <w:pStyle w:val="3"/>
      </w:pPr>
      <w:r>
        <mc:AlternateContent>
          <mc:Choice Requires="wps">
            <w:drawing>
              <wp:anchor distT="0" distB="0" distL="114300" distR="114300" simplePos="0" relativeHeight="251669504" behindDoc="0" locked="0" layoutInCell="1" allowOverlap="1">
                <wp:simplePos x="0" y="0"/>
                <wp:positionH relativeFrom="column">
                  <wp:posOffset>2177415</wp:posOffset>
                </wp:positionH>
                <wp:positionV relativeFrom="paragraph">
                  <wp:posOffset>575945</wp:posOffset>
                </wp:positionV>
                <wp:extent cx="958850" cy="0"/>
                <wp:effectExtent l="0" t="4445" r="0" b="5080"/>
                <wp:wrapNone/>
                <wp:docPr id="10" name="自选图形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7" o:spid="_x0000_s1026" o:spt="32" type="#_x0000_t32" style="position:absolute;left:0pt;margin-left:171.45pt;margin-top:45.35pt;height:0pt;width:75.5pt;z-index:251669504;mso-width-relative:page;mso-height-relative:page;" filled="f" stroked="t" coordsize="21600,21600" o:gfxdata="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4SJCG1wAAAAkBAAAPAAAAAAAAAAEAIAAAACIAAABkcnMvZG93bnJldi54bWxQSwECFAAU&#10;AAAACACHTuJAcCn5CPIBAADkAwAADgAAAAAAAAABACAAAAAmAQAAZHJzL2Uyb0RvYy54bWxQSwUG&#10;AAAAAAYABgBZAQAAigU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68480" behindDoc="0" locked="0" layoutInCell="1" allowOverlap="1">
                <wp:simplePos x="0" y="0"/>
                <wp:positionH relativeFrom="column">
                  <wp:posOffset>2177415</wp:posOffset>
                </wp:positionH>
                <wp:positionV relativeFrom="paragraph">
                  <wp:posOffset>58420</wp:posOffset>
                </wp:positionV>
                <wp:extent cx="958850" cy="0"/>
                <wp:effectExtent l="0" t="4445" r="0" b="5080"/>
                <wp:wrapNone/>
                <wp:docPr id="9"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6" o:spid="_x0000_s1026" o:spt="32" type="#_x0000_t32" style="position:absolute;left:0pt;margin-left:171.45pt;margin-top:4.6pt;height:0pt;width:75.5pt;z-index:251668480;mso-width-relative:page;mso-height-relative:page;" filled="f" stroked="t" coordsize="21600,21600" o:gfxdata="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OB2dg9QAAAAHAQAADwAAAAAAAAABACAAAAAiAAAAZHJzL2Rvd25yZXYueG1sUEsBAhQAFAAA&#10;AAgAh07iQKvUo0vzAQAA4wMAAA4AAAAAAAAAAQAgAAAAIwEAAGRycy9lMm9Eb2MueG1sUEsFBgAA&#10;AAAGAAYAWQEAAIgFAAAAAA==&#10;">
                <v:fill on="f" focussize="0,0"/>
                <v:stroke color="#000000" joinstyle="round"/>
                <v:imagedata o:title=""/>
                <o:lock v:ext="edit" aspectratio="f"/>
              </v:shape>
            </w:pict>
          </mc:Fallback>
        </mc:AlternateContent>
      </w:r>
      <w:r>
        <w:rPr>
          <w:rFonts w:hint="eastAsia"/>
        </w:rPr>
        <w:t>第一章</w:t>
      </w:r>
      <w:bookmarkEnd w:id="0"/>
      <w:bookmarkEnd w:id="1"/>
      <w:bookmarkEnd w:id="2"/>
      <w:bookmarkEnd w:id="3"/>
      <w:bookmarkEnd w:id="4"/>
      <w:bookmarkEnd w:id="5"/>
      <w:bookmarkEnd w:id="6"/>
      <w:bookmarkEnd w:id="7"/>
      <w:bookmarkEnd w:id="8"/>
      <w:bookmarkEnd w:id="9"/>
      <w:bookmarkEnd w:id="10"/>
    </w:p>
    <w:p>
      <w:pPr>
        <w:pStyle w:val="40"/>
      </w:pPr>
    </w:p>
    <w:p>
      <w:pPr>
        <w:pStyle w:val="3"/>
      </w:pPr>
      <w:bookmarkStart w:id="11" w:name="_Toc999"/>
      <w:bookmarkStart w:id="12" w:name="_Toc15709"/>
      <w:bookmarkStart w:id="13" w:name="_Toc14238"/>
      <w:bookmarkStart w:id="14" w:name="_Toc5230"/>
      <w:bookmarkStart w:id="15" w:name="_Toc8201"/>
      <w:bookmarkStart w:id="16" w:name="_Toc30131"/>
      <w:bookmarkStart w:id="17" w:name="_Toc26363"/>
      <w:bookmarkStart w:id="18" w:name="_Toc28995"/>
      <w:bookmarkStart w:id="19" w:name="_Toc2659"/>
      <w:bookmarkStart w:id="20" w:name="_Toc30989"/>
      <w:bookmarkStart w:id="21" w:name="_Toc10122"/>
      <w:bookmarkStart w:id="22" w:name="_Toc88209924"/>
      <w:r>
        <w:rPr>
          <w:rFonts w:hint="eastAsia"/>
        </w:rPr>
        <w:t>采购公告</w:t>
      </w:r>
      <w:bookmarkEnd w:id="11"/>
      <w:bookmarkEnd w:id="12"/>
      <w:bookmarkEnd w:id="13"/>
      <w:bookmarkEnd w:id="14"/>
      <w:bookmarkEnd w:id="15"/>
      <w:bookmarkEnd w:id="16"/>
      <w:bookmarkEnd w:id="17"/>
      <w:bookmarkEnd w:id="18"/>
      <w:bookmarkEnd w:id="19"/>
      <w:bookmarkEnd w:id="20"/>
      <w:bookmarkEnd w:id="21"/>
      <w:bookmarkEnd w:id="22"/>
    </w:p>
    <w:p>
      <w:pPr>
        <w:adjustRightInd w:val="0"/>
        <w:snapToGrid w:val="0"/>
        <w:spacing w:before="190" w:beforeLines="50" w:after="190" w:afterLines="50" w:line="600" w:lineRule="exact"/>
        <w:jc w:val="center"/>
        <w:rPr>
          <w:rFonts w:ascii="方正小标宋简体" w:eastAsia="方正小标宋简体"/>
          <w:sz w:val="44"/>
          <w:szCs w:val="44"/>
        </w:rPr>
      </w:pPr>
    </w:p>
    <w:p>
      <w:pPr>
        <w:adjustRightInd w:val="0"/>
        <w:snapToGrid w:val="0"/>
        <w:spacing w:before="190" w:beforeLines="50" w:after="190" w:afterLines="50" w:line="600" w:lineRule="exact"/>
        <w:jc w:val="center"/>
        <w:rPr>
          <w:rFonts w:ascii="方正小标宋简体" w:eastAsia="方正小标宋简体"/>
          <w:sz w:val="44"/>
          <w:szCs w:val="44"/>
        </w:rPr>
      </w:pPr>
    </w:p>
    <w:p>
      <w:pPr>
        <w:pStyle w:val="25"/>
        <w:rPr>
          <w:rFonts w:ascii="方正小标宋简体" w:eastAsia="方正小标宋简体"/>
          <w:sz w:val="44"/>
          <w:szCs w:val="44"/>
        </w:rPr>
      </w:pPr>
    </w:p>
    <w:p>
      <w:pPr>
        <w:pStyle w:val="25"/>
        <w:rPr>
          <w:rFonts w:ascii="方正小标宋简体" w:eastAsia="方正小标宋简体"/>
          <w:sz w:val="44"/>
          <w:szCs w:val="44"/>
        </w:rPr>
      </w:pPr>
    </w:p>
    <w:p>
      <w:pPr>
        <w:pStyle w:val="25"/>
        <w:rPr>
          <w:rFonts w:ascii="方正小标宋简体" w:eastAsia="方正小标宋简体"/>
          <w:sz w:val="44"/>
          <w:szCs w:val="44"/>
        </w:rPr>
      </w:pPr>
    </w:p>
    <w:p>
      <w:pPr>
        <w:pStyle w:val="25"/>
        <w:rPr>
          <w:rFonts w:ascii="方正小标宋简体" w:eastAsia="方正小标宋简体"/>
          <w:sz w:val="44"/>
          <w:szCs w:val="44"/>
        </w:rPr>
      </w:pPr>
    </w:p>
    <w:p>
      <w:pPr>
        <w:pStyle w:val="25"/>
        <w:rPr>
          <w:rFonts w:ascii="方正小标宋简体" w:eastAsia="方正小标宋简体"/>
          <w:sz w:val="44"/>
          <w:szCs w:val="44"/>
        </w:rPr>
      </w:pPr>
    </w:p>
    <w:p>
      <w:pPr>
        <w:pStyle w:val="25"/>
        <w:rPr>
          <w:rFonts w:ascii="方正小标宋简体" w:eastAsia="方正小标宋简体"/>
          <w:sz w:val="44"/>
          <w:szCs w:val="44"/>
        </w:rPr>
      </w:pPr>
    </w:p>
    <w:p>
      <w:pPr>
        <w:pStyle w:val="25"/>
        <w:rPr>
          <w:rFonts w:ascii="仿宋_GB2312" w:eastAsia="仿宋_GB2312"/>
          <w:sz w:val="28"/>
          <w:szCs w:val="28"/>
        </w:rPr>
      </w:pPr>
    </w:p>
    <w:p>
      <w:pPr>
        <w:spacing w:line="600" w:lineRule="exact"/>
        <w:jc w:val="center"/>
      </w:pPr>
      <w:bookmarkStart w:id="23" w:name="_Toc9680"/>
      <w:bookmarkStart w:id="24" w:name="_Toc21373"/>
      <w:r>
        <w:rPr>
          <w:rFonts w:hint="eastAsia" w:eastAsia="方正小标宋简体" w:asciiTheme="majorHAnsi" w:hAnsiTheme="majorHAnsi" w:cstheme="majorBidi"/>
          <w:bCs/>
          <w:sz w:val="36"/>
          <w:szCs w:val="32"/>
        </w:rPr>
        <w:t>广州市净水有限公司</w:t>
      </w:r>
      <w:r>
        <w:rPr>
          <w:rFonts w:hint="eastAsia" w:eastAsia="方正小标宋简体" w:asciiTheme="majorHAnsi" w:hAnsiTheme="majorHAnsi"/>
          <w:sz w:val="36"/>
          <w:szCs w:val="32"/>
        </w:rPr>
        <w:t>竹料分公司2024年厂区网络改造项目</w:t>
      </w:r>
      <w:r>
        <w:rPr>
          <w:rFonts w:hint="eastAsia" w:eastAsia="方正小标宋简体" w:asciiTheme="majorHAnsi" w:hAnsiTheme="majorHAnsi"/>
          <w:sz w:val="36"/>
          <w:szCs w:val="32"/>
          <w:lang w:eastAsia="zh-CN"/>
        </w:rPr>
        <w:t>（</w:t>
      </w:r>
      <w:r>
        <w:rPr>
          <w:rFonts w:hint="eastAsia" w:eastAsia="方正小标宋简体" w:asciiTheme="majorHAnsi" w:hAnsiTheme="majorHAnsi"/>
          <w:sz w:val="36"/>
          <w:szCs w:val="32"/>
          <w:lang w:val="en-US" w:eastAsia="zh-CN"/>
        </w:rPr>
        <w:t>第二次</w:t>
      </w:r>
      <w:r>
        <w:rPr>
          <w:rFonts w:hint="eastAsia" w:eastAsia="方正小标宋简体" w:asciiTheme="majorHAnsi" w:hAnsiTheme="majorHAnsi"/>
          <w:sz w:val="36"/>
          <w:szCs w:val="32"/>
          <w:lang w:eastAsia="zh-CN"/>
        </w:rPr>
        <w:t>）</w:t>
      </w:r>
      <w:r>
        <w:rPr>
          <w:rFonts w:hint="eastAsia" w:eastAsia="方正小标宋简体" w:asciiTheme="majorHAnsi" w:hAnsiTheme="majorHAnsi"/>
          <w:sz w:val="36"/>
          <w:szCs w:val="32"/>
          <w:lang w:val="en-US" w:eastAsia="zh-CN"/>
        </w:rPr>
        <w:t>采购</w:t>
      </w:r>
      <w:r>
        <w:rPr>
          <w:rFonts w:hint="eastAsia" w:eastAsia="方正小标宋简体" w:asciiTheme="majorHAnsi" w:hAnsiTheme="majorHAnsi"/>
          <w:sz w:val="36"/>
          <w:szCs w:val="32"/>
        </w:rPr>
        <w:t>公告</w:t>
      </w:r>
      <w:bookmarkEnd w:id="23"/>
      <w:bookmarkEnd w:id="24"/>
    </w:p>
    <w:p>
      <w:pPr>
        <w:ind w:firstLine="560"/>
        <w:jc w:val="center"/>
        <w:rPr>
          <w:rFonts w:hint="eastAsia" w:ascii="仿宋_GB2312" w:eastAsia="仿宋_GB2312"/>
          <w:sz w:val="28"/>
          <w:szCs w:val="28"/>
        </w:rPr>
      </w:pPr>
      <w:r>
        <w:rPr>
          <w:rFonts w:hint="eastAsia" w:ascii="仿宋_GB2312" w:hAnsi="仿宋_GB2312" w:eastAsia="仿宋_GB2312" w:cs="仿宋_GB2312"/>
          <w:bCs/>
          <w:sz w:val="28"/>
          <w:szCs w:val="28"/>
          <w:u w:val="single"/>
        </w:rPr>
        <w:t>广州市净水有限公司竹料分公司2024年厂区网络改造项目</w:t>
      </w:r>
      <w:r>
        <w:rPr>
          <w:rFonts w:hint="eastAsia" w:ascii="仿宋_GB2312" w:hAnsi="仿宋_GB2312" w:eastAsia="仿宋_GB2312" w:cs="仿宋_GB2312"/>
          <w:bCs/>
          <w:sz w:val="28"/>
          <w:szCs w:val="28"/>
          <w:u w:val="single"/>
          <w:lang w:eastAsia="zh-CN"/>
        </w:rPr>
        <w:t>（</w:t>
      </w:r>
      <w:r>
        <w:rPr>
          <w:rFonts w:hint="eastAsia" w:ascii="仿宋_GB2312" w:hAnsi="仿宋_GB2312" w:eastAsia="仿宋_GB2312" w:cs="仿宋_GB2312"/>
          <w:bCs/>
          <w:sz w:val="28"/>
          <w:szCs w:val="28"/>
          <w:u w:val="single"/>
          <w:lang w:val="en-US" w:eastAsia="zh-CN"/>
        </w:rPr>
        <w:t>第二次</w:t>
      </w:r>
      <w:r>
        <w:rPr>
          <w:rFonts w:hint="eastAsia" w:ascii="仿宋_GB2312" w:hAnsi="仿宋_GB2312" w:eastAsia="仿宋_GB2312" w:cs="仿宋_GB2312"/>
          <w:bCs/>
          <w:sz w:val="28"/>
          <w:szCs w:val="28"/>
          <w:u w:val="single"/>
          <w:lang w:eastAsia="zh-CN"/>
        </w:rPr>
        <w:t>）</w:t>
      </w:r>
      <w:r>
        <w:rPr>
          <w:rFonts w:hint="eastAsia" w:ascii="仿宋_GB2312" w:eastAsia="仿宋_GB2312"/>
          <w:sz w:val="28"/>
          <w:szCs w:val="28"/>
        </w:rPr>
        <w:t>已具备采购条件，现对该□施工  □货物 ☑服务项目实施公</w:t>
      </w:r>
    </w:p>
    <w:p>
      <w:pPr>
        <w:rPr>
          <w:rFonts w:ascii="仿宋_GB2312" w:eastAsia="仿宋_GB2312"/>
          <w:sz w:val="28"/>
          <w:szCs w:val="28"/>
          <w:u w:val="single"/>
        </w:rPr>
      </w:pPr>
      <w:r>
        <w:rPr>
          <w:rFonts w:hint="eastAsia" w:ascii="仿宋_GB2312" w:eastAsia="仿宋_GB2312"/>
          <w:sz w:val="28"/>
          <w:szCs w:val="28"/>
        </w:rPr>
        <w:t>开采购活动，采用</w:t>
      </w:r>
      <w:r>
        <w:rPr>
          <w:rFonts w:hint="eastAsia" w:ascii="仿宋_GB2312" w:eastAsia="仿宋_GB2312"/>
          <w:color w:val="auto"/>
          <w:sz w:val="28"/>
          <w:szCs w:val="28"/>
          <w:highlight w:val="none"/>
          <w:u w:val="single"/>
        </w:rPr>
        <w:sym w:font="Wingdings 2" w:char="00A3"/>
      </w:r>
      <w:r>
        <w:rPr>
          <w:rFonts w:hint="eastAsia" w:ascii="仿宋_GB2312" w:eastAsia="仿宋_GB2312"/>
          <w:color w:val="auto"/>
          <w:sz w:val="28"/>
          <w:szCs w:val="28"/>
          <w:highlight w:val="none"/>
          <w:u w:val="single"/>
          <w:lang w:val="en-US" w:eastAsia="zh-CN"/>
        </w:rPr>
        <w:t>邀请</w:t>
      </w:r>
      <w:r>
        <w:rPr>
          <w:rFonts w:hint="eastAsia" w:ascii="仿宋_GB2312" w:eastAsia="仿宋_GB2312"/>
          <w:color w:val="auto"/>
          <w:sz w:val="28"/>
          <w:szCs w:val="28"/>
          <w:highlight w:val="none"/>
          <w:u w:val="single"/>
        </w:rPr>
        <w:t>询比</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u w:val="single"/>
          <w:lang w:val="en-US" w:eastAsia="zh-CN"/>
        </w:rPr>
        <w:sym w:font="Wingdings 2" w:char="0052"/>
      </w:r>
      <w:r>
        <w:rPr>
          <w:rFonts w:hint="eastAsia" w:ascii="仿宋_GB2312" w:eastAsia="仿宋_GB2312"/>
          <w:color w:val="auto"/>
          <w:sz w:val="28"/>
          <w:szCs w:val="28"/>
          <w:highlight w:val="none"/>
          <w:u w:val="single"/>
          <w:lang w:val="en-US" w:eastAsia="zh-CN"/>
        </w:rPr>
        <w:t>公开询比</w:t>
      </w:r>
      <w:r>
        <w:rPr>
          <w:rFonts w:hint="eastAsia" w:ascii="仿宋_GB2312" w:eastAsia="仿宋_GB2312"/>
          <w:sz w:val="28"/>
          <w:szCs w:val="28"/>
        </w:rPr>
        <w:t>方式公开邀请合格供应商参加本项目采购竞争。</w:t>
      </w:r>
    </w:p>
    <w:p>
      <w:pPr>
        <w:adjustRightInd w:val="0"/>
        <w:snapToGrid w:val="0"/>
        <w:spacing w:line="600" w:lineRule="exact"/>
        <w:jc w:val="left"/>
        <w:rPr>
          <w:rFonts w:asciiTheme="minorEastAsia" w:hAnsiTheme="minorEastAsia"/>
          <w:b/>
          <w:sz w:val="32"/>
          <w:szCs w:val="32"/>
        </w:rPr>
      </w:pPr>
      <w:r>
        <w:rPr>
          <w:rFonts w:asciiTheme="minorEastAsia" w:hAnsiTheme="minorEastAsia"/>
          <w:b/>
          <w:sz w:val="32"/>
          <w:szCs w:val="32"/>
        </w:rPr>
        <w:t>1.采购项目简介</w:t>
      </w:r>
    </w:p>
    <w:p>
      <w:pPr>
        <w:adjustRightInd w:val="0"/>
        <w:snapToGrid w:val="0"/>
        <w:spacing w:line="600" w:lineRule="exact"/>
        <w:jc w:val="left"/>
        <w:rPr>
          <w:rFonts w:hint="eastAsia" w:ascii="仿宋_GB2312" w:hAnsi="仿宋_GB2312" w:eastAsia="仿宋_GB2312" w:cs="仿宋_GB2312"/>
          <w:color w:val="000000"/>
          <w:sz w:val="28"/>
          <w:szCs w:val="28"/>
          <w:lang w:eastAsia="zh-CN"/>
        </w:rPr>
      </w:pPr>
      <w:r>
        <w:rPr>
          <w:rFonts w:hint="eastAsia" w:ascii="仿宋_GB2312" w:eastAsia="仿宋_GB2312"/>
          <w:sz w:val="28"/>
          <w:szCs w:val="28"/>
        </w:rPr>
        <w:t>1.1采购项目名称：</w:t>
      </w:r>
      <w:r>
        <w:rPr>
          <w:rFonts w:hint="eastAsia" w:ascii="仿宋_GB2312" w:hAnsi="仿宋_GB2312" w:eastAsia="仿宋_GB2312" w:cs="仿宋_GB2312"/>
          <w:color w:val="000000"/>
          <w:sz w:val="28"/>
          <w:szCs w:val="28"/>
          <w:u w:val="single"/>
        </w:rPr>
        <w:t>广州市净水有限公司竹料分公司2024年厂区网络改造项目</w:t>
      </w:r>
      <w:r>
        <w:rPr>
          <w:rFonts w:hint="eastAsia" w:ascii="仿宋_GB2312" w:hAnsi="仿宋_GB2312" w:eastAsia="仿宋_GB2312" w:cs="仿宋_GB2312"/>
          <w:color w:val="000000"/>
          <w:sz w:val="28"/>
          <w:szCs w:val="28"/>
          <w:u w:val="single"/>
          <w:lang w:eastAsia="zh-CN"/>
        </w:rPr>
        <w:t>（</w:t>
      </w:r>
      <w:r>
        <w:rPr>
          <w:rFonts w:hint="eastAsia" w:ascii="仿宋_GB2312" w:hAnsi="仿宋_GB2312" w:eastAsia="仿宋_GB2312" w:cs="仿宋_GB2312"/>
          <w:color w:val="000000"/>
          <w:sz w:val="28"/>
          <w:szCs w:val="28"/>
          <w:u w:val="single"/>
          <w:lang w:val="en-US" w:eastAsia="zh-CN"/>
        </w:rPr>
        <w:t>第二次</w:t>
      </w:r>
      <w:r>
        <w:rPr>
          <w:rFonts w:hint="eastAsia" w:ascii="仿宋_GB2312" w:hAnsi="仿宋_GB2312" w:eastAsia="仿宋_GB2312" w:cs="仿宋_GB2312"/>
          <w:color w:val="000000"/>
          <w:sz w:val="28"/>
          <w:szCs w:val="28"/>
          <w:u w:val="single"/>
          <w:lang w:eastAsia="zh-CN"/>
        </w:rPr>
        <w:t>）</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1.2项目编号：</w:t>
      </w:r>
      <w:r>
        <w:rPr>
          <w:rFonts w:hint="eastAsia" w:ascii="仿宋_GB2312" w:eastAsia="仿宋_GB2312"/>
          <w:sz w:val="28"/>
          <w:szCs w:val="28"/>
          <w:u w:val="single"/>
          <w:lang w:val="en-US" w:eastAsia="zh-CN"/>
        </w:rPr>
        <w:t>XJ-20240906-1</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1.3资金来源：</w:t>
      </w:r>
      <w:r>
        <w:rPr>
          <w:rFonts w:hint="eastAsia" w:ascii="仿宋_GB2312" w:eastAsia="仿宋_GB2312"/>
          <w:sz w:val="28"/>
          <w:szCs w:val="28"/>
          <w:u w:val="single"/>
        </w:rPr>
        <w:t xml:space="preserve">自有资金 </w:t>
      </w:r>
    </w:p>
    <w:p>
      <w:pPr>
        <w:adjustRightInd w:val="0"/>
        <w:snapToGrid w:val="0"/>
        <w:spacing w:line="600" w:lineRule="exact"/>
        <w:jc w:val="left"/>
        <w:rPr>
          <w:rFonts w:ascii="宋体" w:hAnsi="宋体" w:eastAsia="宋体" w:cs="宋体"/>
          <w:sz w:val="28"/>
          <w:szCs w:val="28"/>
          <w:u w:val="single"/>
        </w:rPr>
      </w:pPr>
      <w:r>
        <w:rPr>
          <w:rFonts w:hint="eastAsia" w:ascii="仿宋_GB2312" w:eastAsia="仿宋_GB2312"/>
          <w:sz w:val="28"/>
          <w:szCs w:val="28"/>
        </w:rPr>
        <w:t>1.4最高限价（万元）</w:t>
      </w:r>
      <w:r>
        <w:rPr>
          <w:rFonts w:hint="eastAsia" w:ascii="仿宋_GB2312" w:eastAsia="仿宋_GB2312"/>
          <w:sz w:val="28"/>
          <w:szCs w:val="28"/>
          <w:u w:val="single"/>
        </w:rPr>
        <w:t>97.1114万元，</w:t>
      </w:r>
      <w:r>
        <w:rPr>
          <w:rFonts w:hint="eastAsia" w:ascii="宋体" w:hAnsi="宋体" w:eastAsia="宋体" w:cs="宋体"/>
          <w:sz w:val="28"/>
          <w:szCs w:val="28"/>
          <w:u w:val="single"/>
        </w:rPr>
        <w:t>税率9%.</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1.5标段划分：无</w:t>
      </w:r>
    </w:p>
    <w:p>
      <w:pPr>
        <w:adjustRightInd w:val="0"/>
        <w:snapToGrid w:val="0"/>
        <w:spacing w:line="600" w:lineRule="exact"/>
        <w:jc w:val="left"/>
        <w:rPr>
          <w:rFonts w:asciiTheme="minorEastAsia" w:hAnsiTheme="minorEastAsia"/>
          <w:b/>
          <w:sz w:val="32"/>
          <w:szCs w:val="32"/>
        </w:rPr>
      </w:pPr>
      <w:r>
        <w:rPr>
          <w:rFonts w:asciiTheme="minorEastAsia" w:hAnsiTheme="minorEastAsia"/>
          <w:b/>
          <w:sz w:val="32"/>
          <w:szCs w:val="32"/>
        </w:rPr>
        <w:t>2.采购内容和范围</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2.1采购内容和范围：</w:t>
      </w:r>
    </w:p>
    <w:tbl>
      <w:tblPr>
        <w:tblStyle w:val="26"/>
        <w:tblW w:w="8648" w:type="dxa"/>
        <w:jc w:val="center"/>
        <w:tblLayout w:type="fixed"/>
        <w:tblCellMar>
          <w:top w:w="0" w:type="dxa"/>
          <w:left w:w="108" w:type="dxa"/>
          <w:bottom w:w="0" w:type="dxa"/>
          <w:right w:w="108" w:type="dxa"/>
        </w:tblCellMar>
      </w:tblPr>
      <w:tblGrid>
        <w:gridCol w:w="788"/>
        <w:gridCol w:w="1095"/>
        <w:gridCol w:w="663"/>
        <w:gridCol w:w="625"/>
        <w:gridCol w:w="4697"/>
        <w:gridCol w:w="780"/>
      </w:tblGrid>
      <w:tr>
        <w:tblPrEx>
          <w:tblCellMar>
            <w:top w:w="0" w:type="dxa"/>
            <w:left w:w="108" w:type="dxa"/>
            <w:bottom w:w="0" w:type="dxa"/>
            <w:right w:w="108" w:type="dxa"/>
          </w:tblCellMar>
        </w:tblPrEx>
        <w:trPr>
          <w:trHeight w:val="720" w:hRule="atLeast"/>
          <w:jc w:val="center"/>
        </w:trPr>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序号</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设备名称</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数量</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单位</w:t>
            </w:r>
          </w:p>
        </w:tc>
        <w:tc>
          <w:tcPr>
            <w:tcW w:w="4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仿宋_GB2312" w:cs="微软雅黑"/>
                <w:b/>
                <w:bCs/>
                <w:color w:val="000000"/>
                <w:sz w:val="20"/>
                <w:szCs w:val="20"/>
              </w:rPr>
            </w:pPr>
            <w:r>
              <w:rPr>
                <w:rFonts w:hint="eastAsia" w:ascii="微软雅黑" w:hAnsi="微软雅黑" w:eastAsia="微软雅黑" w:cs="微软雅黑"/>
                <w:b/>
                <w:bCs/>
                <w:color w:val="000000"/>
                <w:kern w:val="0"/>
                <w:sz w:val="20"/>
                <w:szCs w:val="20"/>
                <w:lang w:bidi="ar"/>
              </w:rPr>
              <w:t>性能参数</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备注</w:t>
            </w:r>
          </w:p>
        </w:tc>
      </w:tr>
      <w:tr>
        <w:tblPrEx>
          <w:tblCellMar>
            <w:top w:w="0" w:type="dxa"/>
            <w:left w:w="108" w:type="dxa"/>
            <w:bottom w:w="0" w:type="dxa"/>
            <w:right w:w="108" w:type="dxa"/>
          </w:tblCellMar>
        </w:tblPrEx>
        <w:trPr>
          <w:trHeight w:val="1080" w:hRule="atLeast"/>
          <w:jc w:val="center"/>
        </w:trPr>
        <w:tc>
          <w:tcPr>
            <w:tcW w:w="78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1_1</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办公网核心交换机</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1</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台</w:t>
            </w:r>
          </w:p>
        </w:tc>
        <w:tc>
          <w:tcPr>
            <w:tcW w:w="4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交换架构：Crossbar</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交换容量：38.4Tbps/168Tbps</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包转发率：7200Mpps/36000Mpps</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槽位数量：3</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接口形态：1G/10G/25G/40G/100G速率板卡</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简要参数：</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全宽主控，可提供官网安装指导</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高度5U，官网彩页</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支持FW防火墙和IPS防火墙业务卡，官网彩页；</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ARP最大容量均为256K个，可提供2018年泰尔报告</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支持的MAC最大容量均为1M个，可提供2017泰尔报告</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支持的ACL条目最大容量均为120K个，可提供2018年泰尔报告</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支持的IPv4 FIB最大容量均为3M个，支持IPv6 FIB最大容量均为1M，可提供2017年泰尔报告</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支持的端口缓存均为200ms，可提供2017年泰尔报告</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支持四框堆叠及统一管理（IRF2），可提供2017年泰尔报告</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支持1虚多技术（MDC），可提供2017年泰尔报告</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支持BFD，能够实现BFD与OSPF/VRRP联动。支持BFD 3ms最小探测间隔测试，可提供2017年泰尔报告</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 xml:space="preserve"> </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支持内置智能图形化管理功能（SmartMC），对于下联设备具备统一管理的功能</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支持 EPON OLT及10G EPON OLT接口,支持10G EPON 功能，支持10G 对称和非对称 ONU，可提供2017年泰尔测试报告</w:t>
            </w:r>
            <w:r>
              <w:rPr>
                <w:rFonts w:hint="eastAsia" w:ascii="微软雅黑" w:hAnsi="微软雅黑" w:eastAsia="微软雅黑" w:cs="微软雅黑"/>
                <w:color w:val="000000"/>
                <w:kern w:val="0"/>
                <w:sz w:val="18"/>
                <w:szCs w:val="18"/>
                <w:lang w:bidi="ar"/>
              </w:rPr>
              <w:br w:type="textWrapping"/>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微软雅黑" w:hAnsi="微软雅黑" w:eastAsia="微软雅黑" w:cs="微软雅黑"/>
                <w:color w:val="000000"/>
                <w:sz w:val="24"/>
                <w:szCs w:val="24"/>
              </w:rPr>
            </w:pPr>
          </w:p>
        </w:tc>
      </w:tr>
      <w:tr>
        <w:tblPrEx>
          <w:tblCellMar>
            <w:top w:w="0" w:type="dxa"/>
            <w:left w:w="108" w:type="dxa"/>
            <w:bottom w:w="0" w:type="dxa"/>
            <w:right w:w="108" w:type="dxa"/>
          </w:tblCellMar>
        </w:tblPrEx>
        <w:trPr>
          <w:trHeight w:val="1080" w:hRule="atLeast"/>
          <w:jc w:val="center"/>
        </w:trPr>
        <w:tc>
          <w:tcPr>
            <w:tcW w:w="78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1_2</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办公网16口接入交换机</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6</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台</w:t>
            </w:r>
          </w:p>
        </w:tc>
        <w:tc>
          <w:tcPr>
            <w:tcW w:w="4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可网管的千兆以太网交换机。</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1、交换容量≥336Gbps，包转发率≥</w:t>
            </w:r>
            <w:r>
              <w:rPr>
                <w:rFonts w:ascii="微软雅黑" w:hAnsi="微软雅黑" w:eastAsia="微软雅黑" w:cs="微软雅黑"/>
                <w:color w:val="000000"/>
                <w:kern w:val="0"/>
                <w:sz w:val="18"/>
                <w:szCs w:val="18"/>
                <w:lang w:bidi="ar"/>
              </w:rPr>
              <w:t>114</w:t>
            </w:r>
            <w:r>
              <w:rPr>
                <w:rFonts w:hint="eastAsia" w:ascii="微软雅黑" w:hAnsi="微软雅黑" w:eastAsia="微软雅黑" w:cs="微软雅黑"/>
                <w:color w:val="000000"/>
                <w:kern w:val="0"/>
                <w:sz w:val="18"/>
                <w:szCs w:val="18"/>
                <w:lang w:bidi="ar"/>
              </w:rPr>
              <w:t>Mpps（官网最小值）</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2、10/100/1000Base-T自适应以太网端口≥16个，千兆SFP口≥4个；</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3、支持基于端口的VLAN，支持基于协议的VLAN；</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4、支持ERPS功能，收敛时间小于50ms；</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5、支持IPv4/IPV6双栈管理和转发，支持静态路由协议和RIP、OSPF等路由协议，支持丰富的管理和安全特性；</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 xml:space="preserve">6、支持内置智能图形化管理功能，能够实现通过图形化界面设备配置及命令一键下发和版本智能升级，全局配置及网管口配置，设备升级备份、监控及设备故障替换，组网拓扑可视及管理、设备列表展示等功能。 </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微软雅黑" w:hAnsi="微软雅黑" w:eastAsia="微软雅黑" w:cs="微软雅黑"/>
                <w:color w:val="000000"/>
                <w:sz w:val="24"/>
                <w:szCs w:val="24"/>
              </w:rPr>
            </w:pPr>
          </w:p>
        </w:tc>
      </w:tr>
      <w:tr>
        <w:tblPrEx>
          <w:tblCellMar>
            <w:top w:w="0" w:type="dxa"/>
            <w:left w:w="108" w:type="dxa"/>
            <w:bottom w:w="0" w:type="dxa"/>
            <w:right w:w="108" w:type="dxa"/>
          </w:tblCellMar>
        </w:tblPrEx>
        <w:trPr>
          <w:trHeight w:val="1080" w:hRule="atLeast"/>
          <w:jc w:val="center"/>
        </w:trPr>
        <w:tc>
          <w:tcPr>
            <w:tcW w:w="78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1_3</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办公网16口POE接入交换机</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9</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台</w:t>
            </w:r>
          </w:p>
        </w:tc>
        <w:tc>
          <w:tcPr>
            <w:tcW w:w="4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可网管的千兆以太网交换机。</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1、交换容量≥336Gbps，包转发率≥</w:t>
            </w:r>
            <w:r>
              <w:rPr>
                <w:rFonts w:ascii="微软雅黑" w:hAnsi="微软雅黑" w:eastAsia="微软雅黑" w:cs="微软雅黑"/>
                <w:color w:val="000000"/>
                <w:kern w:val="0"/>
                <w:sz w:val="18"/>
                <w:szCs w:val="18"/>
                <w:lang w:bidi="ar"/>
              </w:rPr>
              <w:t>114</w:t>
            </w:r>
            <w:r>
              <w:rPr>
                <w:rFonts w:hint="eastAsia" w:ascii="微软雅黑" w:hAnsi="微软雅黑" w:eastAsia="微软雅黑" w:cs="微软雅黑"/>
                <w:color w:val="000000"/>
                <w:kern w:val="0"/>
                <w:sz w:val="18"/>
                <w:szCs w:val="18"/>
                <w:lang w:bidi="ar"/>
              </w:rPr>
              <w:t>Mpps（官网最小值）</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2、10/100/1000Base-T电口≥16个，千兆SFP口≥4个；</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3、支持802.3at/POE+供电标准，单端口最大支持30W,整机POE功率≥170W；</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4、支持基于端口的VLAN，支持基于协议的VLAN；</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5、支持ERPS功能，收敛时间小于50ms；</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6、支持IPv4/IPV6双栈管理和转发，支持静态路由协议和RIP、OSPF等路由协议，支持丰富的管理和安全特性；</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 xml:space="preserve">7、支持内置智能图形化管理功能，能够实现通过图形化界面设备配置及命令一键下发和版本智能升级，全局配置及网管口配置，设备升级备份、监控及设备故障替换，组网拓扑可视及管理、设备列表展示等功能。 </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微软雅黑" w:hAnsi="微软雅黑" w:eastAsia="微软雅黑" w:cs="微软雅黑"/>
                <w:color w:val="000000"/>
                <w:sz w:val="24"/>
                <w:szCs w:val="24"/>
              </w:rPr>
            </w:pPr>
          </w:p>
        </w:tc>
      </w:tr>
      <w:tr>
        <w:tblPrEx>
          <w:tblCellMar>
            <w:top w:w="0" w:type="dxa"/>
            <w:left w:w="108" w:type="dxa"/>
            <w:bottom w:w="0" w:type="dxa"/>
            <w:right w:w="108" w:type="dxa"/>
          </w:tblCellMar>
        </w:tblPrEx>
        <w:trPr>
          <w:trHeight w:val="1080" w:hRule="atLeast"/>
          <w:jc w:val="center"/>
        </w:trPr>
        <w:tc>
          <w:tcPr>
            <w:tcW w:w="78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1_4</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办公网24口POE交换机</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1</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台</w:t>
            </w:r>
          </w:p>
        </w:tc>
        <w:tc>
          <w:tcPr>
            <w:tcW w:w="4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可网管的千兆以太网交换机。</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1、交换容量≥336Gbps，包转发率≥1</w:t>
            </w:r>
            <w:r>
              <w:rPr>
                <w:rFonts w:ascii="微软雅黑" w:hAnsi="微软雅黑" w:eastAsia="微软雅黑" w:cs="微软雅黑"/>
                <w:color w:val="000000"/>
                <w:kern w:val="0"/>
                <w:sz w:val="18"/>
                <w:szCs w:val="18"/>
                <w:lang w:bidi="ar"/>
              </w:rPr>
              <w:t>26</w:t>
            </w:r>
            <w:r>
              <w:rPr>
                <w:rFonts w:hint="eastAsia" w:ascii="微软雅黑" w:hAnsi="微软雅黑" w:eastAsia="微软雅黑" w:cs="微软雅黑"/>
                <w:color w:val="000000"/>
                <w:kern w:val="0"/>
                <w:sz w:val="18"/>
                <w:szCs w:val="18"/>
                <w:lang w:bidi="ar"/>
              </w:rPr>
              <w:t>Mpps（官网最小值）</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2、10/100/1000Base-T电口≥24个（其中GE combo口≥4个），万兆SFP+口≥4个；</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3、支持802.3at/POE+供电标准，单端口最大支持30W,整机POE功率≥370W；</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4、支持基于端口的VLAN，支持基于协议的VLAN；</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5、支持ERPS功能，收敛时间小于50ms；</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6、支持IPv4/IPV6双栈管理和转发，支持静态路由协议和RIP、OSPF等路由协议，支持丰富的管理和安全特性；</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 xml:space="preserve">7、支持内置智能图形化管理功能，能够实现通过图形化界面设备配置及命令一键下发和版本智能升级，全局配置及网管口配置，设备升级备份、监控及设备故障替换，组网拓扑可视及管理、设备列表展示等功能。 </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微软雅黑" w:hAnsi="微软雅黑" w:eastAsia="微软雅黑" w:cs="微软雅黑"/>
                <w:color w:val="000000"/>
                <w:sz w:val="24"/>
                <w:szCs w:val="24"/>
              </w:rPr>
            </w:pPr>
          </w:p>
        </w:tc>
      </w:tr>
      <w:tr>
        <w:tblPrEx>
          <w:tblCellMar>
            <w:top w:w="0" w:type="dxa"/>
            <w:left w:w="108" w:type="dxa"/>
            <w:bottom w:w="0" w:type="dxa"/>
            <w:right w:w="108" w:type="dxa"/>
          </w:tblCellMar>
        </w:tblPrEx>
        <w:trPr>
          <w:trHeight w:val="1080" w:hRule="atLeast"/>
          <w:jc w:val="center"/>
        </w:trPr>
        <w:tc>
          <w:tcPr>
            <w:tcW w:w="78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1_5</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办公网8口POE交换机</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3</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台</w:t>
            </w:r>
          </w:p>
        </w:tc>
        <w:tc>
          <w:tcPr>
            <w:tcW w:w="4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可网管的千兆以太网交换机。</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1、交换容量≥336Gbps，包转发率≥</w:t>
            </w:r>
            <w:r>
              <w:rPr>
                <w:rFonts w:ascii="微软雅黑" w:hAnsi="微软雅黑" w:eastAsia="微软雅黑" w:cs="微软雅黑"/>
                <w:color w:val="000000"/>
                <w:kern w:val="0"/>
                <w:sz w:val="18"/>
                <w:szCs w:val="18"/>
                <w:lang w:bidi="ar"/>
              </w:rPr>
              <w:t>102</w:t>
            </w:r>
            <w:r>
              <w:rPr>
                <w:rFonts w:hint="eastAsia" w:ascii="微软雅黑" w:hAnsi="微软雅黑" w:eastAsia="微软雅黑" w:cs="微软雅黑"/>
                <w:color w:val="000000"/>
                <w:kern w:val="0"/>
                <w:sz w:val="18"/>
                <w:szCs w:val="18"/>
                <w:lang w:bidi="ar"/>
              </w:rPr>
              <w:t>Mpps（官网最小值）</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2、10/100/1000Base-T电口≥8个，千兆SFP口≥2个；</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3、支持802.3at/POE+供电标准，单端口最大支持30W,整机POE功率≥125W；</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4、支持基于端口的VLAN，支持基于协议的VLAN；</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5、支持ERPS功能，收敛时间小于50ms；</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6、支持IPv4/IPV6双栈管理和转发，支持静态路由协议和RIP、OSPF等路由协议，支持丰富的管理和安全特性；</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 xml:space="preserve">7、支持内置智能图形化管理功能，能够实现通过图形化界面设备配置及命令一键下发和版本智能升级，全局配置及网管口配置，设备升级备份、监控及设备故障替换，组网拓扑可视及管理、设备列表展示等功能。 </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微软雅黑" w:hAnsi="微软雅黑" w:eastAsia="微软雅黑" w:cs="微软雅黑"/>
                <w:color w:val="000000"/>
                <w:sz w:val="24"/>
                <w:szCs w:val="24"/>
              </w:rPr>
            </w:pPr>
          </w:p>
        </w:tc>
      </w:tr>
      <w:tr>
        <w:tblPrEx>
          <w:tblCellMar>
            <w:top w:w="0" w:type="dxa"/>
            <w:left w:w="108" w:type="dxa"/>
            <w:bottom w:w="0" w:type="dxa"/>
            <w:right w:w="108" w:type="dxa"/>
          </w:tblCellMar>
        </w:tblPrEx>
        <w:trPr>
          <w:trHeight w:val="1080" w:hRule="atLeast"/>
          <w:jc w:val="center"/>
        </w:trPr>
        <w:tc>
          <w:tcPr>
            <w:tcW w:w="78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1_6</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办公网24口接入交换机</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4</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台</w:t>
            </w:r>
          </w:p>
        </w:tc>
        <w:tc>
          <w:tcPr>
            <w:tcW w:w="4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可网管的千兆以太网交换机。</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1、交换容量≥336Gbps，包转发率≥</w:t>
            </w:r>
            <w:r>
              <w:rPr>
                <w:rFonts w:ascii="微软雅黑" w:hAnsi="微软雅黑" w:eastAsia="微软雅黑" w:cs="微软雅黑"/>
                <w:color w:val="000000"/>
                <w:kern w:val="0"/>
                <w:sz w:val="18"/>
                <w:szCs w:val="18"/>
                <w:lang w:bidi="ar"/>
              </w:rPr>
              <w:t>126</w:t>
            </w:r>
            <w:r>
              <w:rPr>
                <w:rFonts w:hint="eastAsia" w:ascii="微软雅黑" w:hAnsi="微软雅黑" w:eastAsia="微软雅黑" w:cs="微软雅黑"/>
                <w:color w:val="000000"/>
                <w:kern w:val="0"/>
                <w:sz w:val="18"/>
                <w:szCs w:val="18"/>
                <w:lang w:bidi="ar"/>
              </w:rPr>
              <w:t>Mpps（官网最小值）</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2、10/100/1000Base-T自适应以太网端口≥24个，万兆SFP+口≥4个；</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3、支持基于端口的VLAN，支持基于协议的VLAN；</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4、支持ERPS功能，收敛时间小于50ms；</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5、支持IPv4/IPV6双栈管理和转发，支持静态路由协议和RIP、OSPF等路由协议，支持丰富的管理和安全特性；</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 xml:space="preserve">6、支持内置智能图形化管理功能，能够实现通过图形化界面设备配置及命令一键下发和版本智能升级，全局配置及网管口配置，设备升级备份、监控及设备故障替换，组网拓扑可视及管理、设备列表展示等功能。 </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微软雅黑" w:hAnsi="微软雅黑" w:eastAsia="微软雅黑" w:cs="微软雅黑"/>
                <w:color w:val="000000"/>
                <w:sz w:val="24"/>
                <w:szCs w:val="24"/>
              </w:rPr>
            </w:pPr>
          </w:p>
        </w:tc>
      </w:tr>
      <w:tr>
        <w:tblPrEx>
          <w:tblCellMar>
            <w:top w:w="0" w:type="dxa"/>
            <w:left w:w="108" w:type="dxa"/>
            <w:bottom w:w="0" w:type="dxa"/>
            <w:right w:w="108" w:type="dxa"/>
          </w:tblCellMar>
        </w:tblPrEx>
        <w:trPr>
          <w:trHeight w:val="1080" w:hRule="atLeast"/>
          <w:jc w:val="center"/>
        </w:trPr>
        <w:tc>
          <w:tcPr>
            <w:tcW w:w="78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1_7</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办公网吸顶AP</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50</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台</w:t>
            </w:r>
          </w:p>
        </w:tc>
        <w:tc>
          <w:tcPr>
            <w:tcW w:w="4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功能描述：Wi-Fi 6光放装AP</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技术标准（ax/ac/n）：802.11ax/ac/n</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接入速率：≥2.975Gbps</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射频卡数量：2</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空间流数量：4</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参数：2.5G光口</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 xml:space="preserve">接口数量： </w:t>
            </w:r>
            <w:r>
              <w:rPr>
                <w:rFonts w:ascii="微软雅黑" w:hAnsi="微软雅黑" w:eastAsia="微软雅黑" w:cs="微软雅黑"/>
                <w:color w:val="000000"/>
                <w:kern w:val="0"/>
                <w:sz w:val="18"/>
                <w:szCs w:val="18"/>
                <w:lang w:bidi="ar"/>
              </w:rPr>
              <w:t>2 (</w:t>
            </w:r>
            <w:r>
              <w:rPr>
                <w:rFonts w:ascii="微软雅黑" w:hAnsi="微软雅黑" w:eastAsia="微软雅黑" w:cs="微软雅黑"/>
                <w:color w:val="000000"/>
                <w:kern w:val="0"/>
                <w:sz w:val="18"/>
                <w:szCs w:val="18"/>
                <w:shd w:val="clear" w:color="auto" w:fill="auto"/>
                <w:lang w:bidi="ar"/>
              </w:rPr>
              <w:t>1</w:t>
            </w:r>
            <w:r>
              <w:rPr>
                <w:rFonts w:hint="eastAsia" w:ascii="微软雅黑" w:hAnsi="微软雅黑" w:eastAsia="微软雅黑" w:cs="微软雅黑"/>
                <w:color w:val="000000"/>
                <w:kern w:val="0"/>
                <w:sz w:val="18"/>
                <w:szCs w:val="18"/>
                <w:shd w:val="clear" w:color="auto" w:fill="auto"/>
                <w:lang w:bidi="ar"/>
              </w:rPr>
              <w:t>个</w:t>
            </w:r>
            <w:r>
              <w:rPr>
                <w:rFonts w:ascii="微软雅黑" w:hAnsi="微软雅黑" w:eastAsia="微软雅黑" w:cs="微软雅黑"/>
                <w:color w:val="000000"/>
                <w:kern w:val="0"/>
                <w:sz w:val="18"/>
                <w:szCs w:val="18"/>
                <w:shd w:val="clear" w:color="auto" w:fill="auto"/>
                <w:lang w:bidi="ar"/>
              </w:rPr>
              <w:t>2.5G/1G</w:t>
            </w:r>
            <w:r>
              <w:rPr>
                <w:rFonts w:hint="eastAsia" w:ascii="微软雅黑" w:hAnsi="微软雅黑" w:eastAsia="微软雅黑" w:cs="微软雅黑"/>
                <w:color w:val="000000"/>
                <w:kern w:val="0"/>
                <w:sz w:val="18"/>
                <w:szCs w:val="18"/>
                <w:shd w:val="clear" w:color="auto" w:fill="auto"/>
                <w:lang w:bidi="ar"/>
              </w:rPr>
              <w:t>光口，</w:t>
            </w:r>
            <w:r>
              <w:rPr>
                <w:rFonts w:ascii="微软雅黑" w:hAnsi="微软雅黑" w:eastAsia="微软雅黑" w:cs="微软雅黑"/>
                <w:color w:val="000000"/>
                <w:kern w:val="0"/>
                <w:sz w:val="18"/>
                <w:szCs w:val="18"/>
                <w:shd w:val="clear" w:color="auto" w:fill="auto"/>
                <w:lang w:bidi="ar"/>
              </w:rPr>
              <w:t>1</w:t>
            </w:r>
            <w:r>
              <w:rPr>
                <w:rFonts w:hint="eastAsia" w:ascii="微软雅黑" w:hAnsi="微软雅黑" w:eastAsia="微软雅黑" w:cs="微软雅黑"/>
                <w:color w:val="000000"/>
                <w:kern w:val="0"/>
                <w:sz w:val="18"/>
                <w:szCs w:val="18"/>
                <w:shd w:val="clear" w:color="auto" w:fill="auto"/>
                <w:lang w:bidi="ar"/>
              </w:rPr>
              <w:t>个</w:t>
            </w:r>
            <w:r>
              <w:rPr>
                <w:rFonts w:ascii="微软雅黑" w:hAnsi="微软雅黑" w:eastAsia="微软雅黑" w:cs="微软雅黑"/>
                <w:color w:val="000000"/>
                <w:kern w:val="0"/>
                <w:sz w:val="18"/>
                <w:szCs w:val="18"/>
                <w:shd w:val="clear" w:color="auto" w:fill="auto"/>
                <w:lang w:bidi="ar"/>
              </w:rPr>
              <w:t>10/100/1000M</w:t>
            </w:r>
            <w:r>
              <w:rPr>
                <w:rFonts w:hint="eastAsia" w:ascii="微软雅黑" w:hAnsi="微软雅黑" w:eastAsia="微软雅黑" w:cs="微软雅黑"/>
                <w:color w:val="000000"/>
                <w:kern w:val="0"/>
                <w:sz w:val="18"/>
                <w:szCs w:val="18"/>
                <w:shd w:val="clear" w:color="auto" w:fill="auto"/>
                <w:lang w:bidi="ar"/>
              </w:rPr>
              <w:t>电口</w:t>
            </w:r>
            <w:r>
              <w:rPr>
                <w:rFonts w:ascii="微软雅黑" w:hAnsi="微软雅黑" w:eastAsia="微软雅黑" w:cs="微软雅黑"/>
                <w:color w:val="000000"/>
                <w:kern w:val="0"/>
                <w:sz w:val="18"/>
                <w:szCs w:val="18"/>
                <w:shd w:val="clear" w:color="auto" w:fill="auto"/>
                <w:lang w:bidi="ar"/>
              </w:rPr>
              <w:t>)</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天线类型： 内置全向</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形态：放装</w:t>
            </w:r>
            <w:r>
              <w:rPr>
                <w:rFonts w:hint="eastAsia" w:ascii="微软雅黑" w:hAnsi="微软雅黑" w:eastAsia="微软雅黑" w:cs="微软雅黑"/>
                <w:color w:val="000000"/>
                <w:kern w:val="0"/>
                <w:sz w:val="18"/>
                <w:szCs w:val="18"/>
                <w:lang w:bidi="ar"/>
              </w:rPr>
              <w:br w:type="textWrapping"/>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微软雅黑" w:hAnsi="微软雅黑" w:eastAsia="微软雅黑" w:cs="微软雅黑"/>
                <w:color w:val="000000"/>
                <w:sz w:val="24"/>
                <w:szCs w:val="24"/>
              </w:rPr>
            </w:pPr>
          </w:p>
        </w:tc>
      </w:tr>
      <w:tr>
        <w:tblPrEx>
          <w:tblCellMar>
            <w:top w:w="0" w:type="dxa"/>
            <w:left w:w="108" w:type="dxa"/>
            <w:bottom w:w="0" w:type="dxa"/>
            <w:right w:w="108" w:type="dxa"/>
          </w:tblCellMar>
        </w:tblPrEx>
        <w:trPr>
          <w:trHeight w:val="1080" w:hRule="atLeast"/>
          <w:jc w:val="center"/>
        </w:trPr>
        <w:tc>
          <w:tcPr>
            <w:tcW w:w="78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1_8</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办公网室外AP</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8</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个</w:t>
            </w:r>
          </w:p>
        </w:tc>
        <w:tc>
          <w:tcPr>
            <w:tcW w:w="4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color w:val="000000"/>
                <w:kern w:val="0"/>
                <w:sz w:val="18"/>
                <w:szCs w:val="18"/>
                <w:lang w:bidi="ar"/>
              </w:rPr>
            </w:pPr>
            <w:r>
              <w:rPr>
                <w:rFonts w:hint="eastAsia" w:ascii="微软雅黑" w:hAnsi="微软雅黑" w:eastAsia="微软雅黑" w:cs="微软雅黑"/>
                <w:color w:val="000000"/>
                <w:kern w:val="0"/>
                <w:sz w:val="18"/>
                <w:szCs w:val="18"/>
                <w:lang w:bidi="ar"/>
              </w:rPr>
              <w:t>功能描述：室外Wi-Fi 6 AP</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技术标准（ax/ac/n）：802.11ax/ac/n</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接入速率：≥2.4Gbps</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射频卡数量：2</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空间流数量：4参数：具备内置和外置天线，支持双5G部署</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接口数量： 3</w:t>
            </w:r>
            <w:r>
              <w:rPr>
                <w:rFonts w:hint="eastAsia" w:ascii="微软雅黑" w:hAnsi="微软雅黑" w:eastAsia="微软雅黑" w:cs="微软雅黑"/>
                <w:color w:val="000000"/>
                <w:kern w:val="0"/>
                <w:sz w:val="18"/>
                <w:szCs w:val="18"/>
                <w:shd w:val="clear" w:color="auto" w:fill="auto"/>
                <w:lang w:bidi="ar"/>
              </w:rPr>
              <w:t>（</w:t>
            </w:r>
            <w:r>
              <w:rPr>
                <w:rFonts w:ascii="微软雅黑" w:hAnsi="微软雅黑" w:eastAsia="微软雅黑" w:cs="微软雅黑"/>
                <w:color w:val="000000"/>
                <w:kern w:val="0"/>
                <w:sz w:val="18"/>
                <w:szCs w:val="18"/>
                <w:shd w:val="clear" w:color="auto" w:fill="auto"/>
                <w:lang w:bidi="ar"/>
              </w:rPr>
              <w:t>1</w:t>
            </w:r>
            <w:r>
              <w:rPr>
                <w:rFonts w:hint="eastAsia" w:ascii="微软雅黑" w:hAnsi="微软雅黑" w:eastAsia="微软雅黑" w:cs="微软雅黑"/>
                <w:color w:val="000000"/>
                <w:kern w:val="0"/>
                <w:sz w:val="18"/>
                <w:szCs w:val="18"/>
                <w:shd w:val="clear" w:color="auto" w:fill="auto"/>
                <w:lang w:bidi="ar"/>
              </w:rPr>
              <w:t>个</w:t>
            </w:r>
            <w:r>
              <w:rPr>
                <w:rFonts w:ascii="微软雅黑" w:hAnsi="微软雅黑" w:eastAsia="微软雅黑" w:cs="微软雅黑"/>
                <w:color w:val="000000"/>
                <w:kern w:val="0"/>
                <w:sz w:val="18"/>
                <w:szCs w:val="18"/>
                <w:shd w:val="clear" w:color="auto" w:fill="auto"/>
                <w:lang w:bidi="ar"/>
              </w:rPr>
              <w:t>1000M SFP</w:t>
            </w:r>
            <w:r>
              <w:rPr>
                <w:rFonts w:hint="eastAsia" w:ascii="微软雅黑" w:hAnsi="微软雅黑" w:eastAsia="微软雅黑" w:cs="微软雅黑"/>
                <w:color w:val="000000"/>
                <w:kern w:val="0"/>
                <w:sz w:val="18"/>
                <w:szCs w:val="18"/>
                <w:shd w:val="clear" w:color="auto" w:fill="auto"/>
                <w:lang w:bidi="ar"/>
              </w:rPr>
              <w:t>光接口，</w:t>
            </w:r>
            <w:r>
              <w:rPr>
                <w:rFonts w:ascii="微软雅黑" w:hAnsi="微软雅黑" w:eastAsia="微软雅黑" w:cs="微软雅黑"/>
                <w:color w:val="000000"/>
                <w:kern w:val="0"/>
                <w:sz w:val="18"/>
                <w:szCs w:val="18"/>
                <w:shd w:val="clear" w:color="auto" w:fill="auto"/>
                <w:lang w:bidi="ar"/>
              </w:rPr>
              <w:t>2</w:t>
            </w:r>
            <w:r>
              <w:rPr>
                <w:rFonts w:hint="eastAsia" w:ascii="微软雅黑" w:hAnsi="微软雅黑" w:eastAsia="微软雅黑" w:cs="微软雅黑"/>
                <w:color w:val="000000"/>
                <w:kern w:val="0"/>
                <w:sz w:val="18"/>
                <w:szCs w:val="18"/>
                <w:shd w:val="clear" w:color="auto" w:fill="auto"/>
                <w:lang w:bidi="ar"/>
              </w:rPr>
              <w:t>个</w:t>
            </w:r>
            <w:r>
              <w:rPr>
                <w:rFonts w:ascii="微软雅黑" w:hAnsi="微软雅黑" w:eastAsia="微软雅黑" w:cs="微软雅黑"/>
                <w:color w:val="000000"/>
                <w:kern w:val="0"/>
                <w:sz w:val="18"/>
                <w:szCs w:val="18"/>
                <w:shd w:val="clear" w:color="auto" w:fill="auto"/>
                <w:lang w:bidi="ar"/>
              </w:rPr>
              <w:t>10/100/1000M</w:t>
            </w:r>
            <w:r>
              <w:rPr>
                <w:rFonts w:hint="eastAsia" w:ascii="微软雅黑" w:hAnsi="微软雅黑" w:eastAsia="微软雅黑" w:cs="微软雅黑"/>
                <w:color w:val="000000"/>
                <w:kern w:val="0"/>
                <w:sz w:val="18"/>
                <w:szCs w:val="18"/>
                <w:shd w:val="clear" w:color="auto" w:fill="auto"/>
                <w:lang w:bidi="ar"/>
              </w:rPr>
              <w:t>电口）</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天线类型： 内置定向或外置天线</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形态：放装</w:t>
            </w:r>
          </w:p>
          <w:p>
            <w:pPr>
              <w:widowControl/>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防护等级：I</w:t>
            </w:r>
            <w:r>
              <w:rPr>
                <w:rFonts w:ascii="微软雅黑" w:hAnsi="微软雅黑" w:eastAsia="微软雅黑" w:cs="微软雅黑"/>
                <w:color w:val="000000"/>
                <w:kern w:val="0"/>
                <w:sz w:val="18"/>
                <w:szCs w:val="18"/>
                <w:lang w:bidi="ar"/>
              </w:rPr>
              <w:t>P68</w:t>
            </w:r>
            <w:r>
              <w:rPr>
                <w:rFonts w:hint="eastAsia" w:ascii="微软雅黑" w:hAnsi="微软雅黑" w:eastAsia="微软雅黑" w:cs="微软雅黑"/>
                <w:color w:val="000000"/>
                <w:kern w:val="0"/>
                <w:sz w:val="18"/>
                <w:szCs w:val="18"/>
                <w:lang w:bidi="ar"/>
              </w:rPr>
              <w:br w:type="textWrapping"/>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微软雅黑" w:hAnsi="微软雅黑" w:eastAsia="微软雅黑" w:cs="微软雅黑"/>
                <w:color w:val="000000"/>
                <w:sz w:val="24"/>
                <w:szCs w:val="24"/>
              </w:rPr>
            </w:pPr>
          </w:p>
        </w:tc>
      </w:tr>
      <w:tr>
        <w:tblPrEx>
          <w:tblCellMar>
            <w:top w:w="0" w:type="dxa"/>
            <w:left w:w="108" w:type="dxa"/>
            <w:bottom w:w="0" w:type="dxa"/>
            <w:right w:w="108" w:type="dxa"/>
          </w:tblCellMar>
        </w:tblPrEx>
        <w:trPr>
          <w:trHeight w:val="1080" w:hRule="atLeast"/>
          <w:jc w:val="center"/>
        </w:trPr>
        <w:tc>
          <w:tcPr>
            <w:tcW w:w="78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1_9</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办公网室外AP专用8口交换机</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5</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台</w:t>
            </w:r>
          </w:p>
        </w:tc>
        <w:tc>
          <w:tcPr>
            <w:tcW w:w="4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可网管的千兆以太网交换机。</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1、交换容量≥336Gbps，包转发率≥</w:t>
            </w:r>
            <w:r>
              <w:rPr>
                <w:rFonts w:ascii="微软雅黑" w:hAnsi="微软雅黑" w:eastAsia="微软雅黑" w:cs="微软雅黑"/>
                <w:color w:val="000000"/>
                <w:kern w:val="0"/>
                <w:sz w:val="18"/>
                <w:szCs w:val="18"/>
                <w:lang w:bidi="ar"/>
              </w:rPr>
              <w:t>102</w:t>
            </w:r>
            <w:r>
              <w:rPr>
                <w:rFonts w:hint="eastAsia" w:ascii="微软雅黑" w:hAnsi="微软雅黑" w:eastAsia="微软雅黑" w:cs="微软雅黑"/>
                <w:color w:val="000000"/>
                <w:kern w:val="0"/>
                <w:sz w:val="18"/>
                <w:szCs w:val="18"/>
                <w:lang w:bidi="ar"/>
              </w:rPr>
              <w:t>Mpps（官网最小值）</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2、10/100/1000Base-T自适应以太网端口≥8个，千兆SFP口≥2个；</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3、支持基于端口的VLAN，支持基于协议的VLAN；</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4、支持ERPS功能，收敛时间小于50ms；</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5、支持IPv4/IPV6双栈管理和转发，支持静态路由协议和RIP、OSPF等路由协议，支持丰富的管理和安全特性；</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 xml:space="preserve">6、支持内置智能图形化管理功能，能够实现通过图形化界面设备配置及命令一键下发和版本智能升级，全局配置及网管口配置，设备升级备份、监控及设备故障替换，组网拓扑可视及管理、设备列表展示等功能。 </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微软雅黑" w:hAnsi="微软雅黑" w:eastAsia="微软雅黑" w:cs="微软雅黑"/>
                <w:color w:val="000000"/>
                <w:sz w:val="24"/>
                <w:szCs w:val="24"/>
              </w:rPr>
            </w:pPr>
          </w:p>
        </w:tc>
      </w:tr>
      <w:tr>
        <w:tblPrEx>
          <w:tblCellMar>
            <w:top w:w="0" w:type="dxa"/>
            <w:left w:w="108" w:type="dxa"/>
            <w:bottom w:w="0" w:type="dxa"/>
            <w:right w:w="108" w:type="dxa"/>
          </w:tblCellMar>
        </w:tblPrEx>
        <w:trPr>
          <w:trHeight w:val="1080" w:hRule="atLeast"/>
          <w:jc w:val="center"/>
        </w:trPr>
        <w:tc>
          <w:tcPr>
            <w:tcW w:w="78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1_10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办公网无线控制器</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1</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台</w:t>
            </w:r>
          </w:p>
        </w:tc>
        <w:tc>
          <w:tcPr>
            <w:tcW w:w="4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color w:val="000000"/>
                <w:kern w:val="0"/>
                <w:sz w:val="18"/>
                <w:szCs w:val="18"/>
                <w:lang w:bidi="ar"/>
              </w:rPr>
            </w:pPr>
            <w:r>
              <w:rPr>
                <w:rFonts w:hint="eastAsia" w:ascii="微软雅黑" w:hAnsi="微软雅黑" w:eastAsia="微软雅黑" w:cs="微软雅黑"/>
                <w:color w:val="000000"/>
                <w:kern w:val="0"/>
                <w:sz w:val="18"/>
                <w:szCs w:val="18"/>
                <w:lang w:bidi="ar"/>
              </w:rPr>
              <w:t>要求能与现网无线控制器H</w:t>
            </w:r>
            <w:r>
              <w:rPr>
                <w:rFonts w:ascii="微软雅黑" w:hAnsi="微软雅黑" w:eastAsia="微软雅黑" w:cs="微软雅黑"/>
                <w:color w:val="000000"/>
                <w:kern w:val="0"/>
                <w:sz w:val="18"/>
                <w:szCs w:val="18"/>
                <w:lang w:bidi="ar"/>
              </w:rPr>
              <w:t>3C WX2560</w:t>
            </w:r>
            <w:r>
              <w:rPr>
                <w:rFonts w:hint="eastAsia" w:ascii="微软雅黑" w:hAnsi="微软雅黑" w:eastAsia="微软雅黑" w:cs="微软雅黑"/>
                <w:color w:val="000000"/>
                <w:kern w:val="0"/>
                <w:sz w:val="18"/>
                <w:szCs w:val="18"/>
                <w:lang w:bidi="ar"/>
              </w:rPr>
              <w:t>做双机热备</w:t>
            </w:r>
            <w:r>
              <w:rPr>
                <w:rFonts w:ascii="微软雅黑" w:hAnsi="微软雅黑" w:eastAsia="微软雅黑" w:cs="微软雅黑"/>
                <w:color w:val="000000"/>
                <w:kern w:val="0"/>
                <w:sz w:val="18"/>
                <w:szCs w:val="18"/>
                <w:lang w:bidi="ar"/>
              </w:rPr>
              <w:t>，</w:t>
            </w:r>
            <w:r>
              <w:rPr>
                <w:rFonts w:hint="eastAsia" w:ascii="微软雅黑" w:hAnsi="微软雅黑" w:eastAsia="微软雅黑" w:cs="微软雅黑"/>
                <w:color w:val="000000"/>
                <w:kern w:val="0"/>
                <w:sz w:val="18"/>
                <w:szCs w:val="18"/>
                <w:lang w:bidi="ar"/>
              </w:rPr>
              <w:t>共享一套A</w:t>
            </w:r>
            <w:r>
              <w:rPr>
                <w:rFonts w:ascii="微软雅黑" w:hAnsi="微软雅黑" w:eastAsia="微软雅黑" w:cs="微软雅黑"/>
                <w:color w:val="000000"/>
                <w:kern w:val="0"/>
                <w:sz w:val="18"/>
                <w:szCs w:val="18"/>
                <w:lang w:bidi="ar"/>
              </w:rPr>
              <w:t>P</w:t>
            </w:r>
            <w:r>
              <w:rPr>
                <w:rFonts w:hint="eastAsia" w:ascii="微软雅黑" w:hAnsi="微软雅黑" w:eastAsia="微软雅黑" w:cs="微软雅黑"/>
                <w:color w:val="000000"/>
                <w:kern w:val="0"/>
                <w:sz w:val="18"/>
                <w:szCs w:val="18"/>
                <w:lang w:bidi="ar"/>
              </w:rPr>
              <w:t>授权</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参数：为了满足设备的稳定性，要求所投产品支持双电源冗余供电</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接口数量： WAN: 2*2.5G</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LAN: 8*GE + 2*SFP+</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（所有端口可LAN/WAN切换。）</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要求所投产品支持常规AP最大数量≥144</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 xml:space="preserve">             要求所投产品集中转发性能≥10Gbps </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微软雅黑" w:hAnsi="微软雅黑" w:eastAsia="微软雅黑" w:cs="微软雅黑"/>
                <w:color w:val="000000"/>
                <w:sz w:val="24"/>
                <w:szCs w:val="24"/>
              </w:rPr>
            </w:pPr>
          </w:p>
        </w:tc>
      </w:tr>
      <w:tr>
        <w:tblPrEx>
          <w:tblCellMar>
            <w:top w:w="0" w:type="dxa"/>
            <w:left w:w="108" w:type="dxa"/>
            <w:bottom w:w="0" w:type="dxa"/>
            <w:right w:w="108" w:type="dxa"/>
          </w:tblCellMar>
        </w:tblPrEx>
        <w:trPr>
          <w:trHeight w:val="1080" w:hRule="atLeast"/>
          <w:jc w:val="center"/>
        </w:trPr>
        <w:tc>
          <w:tcPr>
            <w:tcW w:w="78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1_11</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办公网网络管理软件</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1</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套</w:t>
            </w:r>
          </w:p>
        </w:tc>
        <w:tc>
          <w:tcPr>
            <w:tcW w:w="4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简要参数：</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1）多平台支持：支持Windows、Linux平台、麒麟等国产操作系统，及MS SQL、Oracle、达梦等数据库，支持B/S架构。</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2）支持自定义用户主页：管理员可以首页中通过拖拽，自定义需要在首页展示页面，同时支持Widget扩展。</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3）自动发现拓扑：自动发现网络中的所有网络设备，并在拓扑中显示出来，支持拓扑图自定义修改，包括设备、链路等。</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4）故障管理：支持对全网设备告警的实时监控和统一浏览；支持多种提醒方式，如告警实时提醒（告警板）、告警音响提示；支持多种转发方式，比如转E-mail，转短信，转上级网管或其它网管等。支持告警分析，可以屏蔽重复告警、闪断告警，支持告警自动确认功能；</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5）性能管理：支持基于任务的性能监控，可定制监控任务，长期监控网络性能，可以形成日报、周报、月报等报表。支持定制性能阈值，可以为监控的性能指标设置两级阈值，当性能指标超过阈值时根据不同的阈值发送不同级别的告警。</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6）提供直观的设备的面板视图：支持设备面板的显示、定时刷新、面板缩放功能，通过面板管理，网络管理人员可以直观地看到设备、板卡、端口的工作状态；并提供基于设备面板的设备、单板、端口配置功能。</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 xml:space="preserve">7）支持设备配置集中管理：配置库包括配置文件和配置片断，配置内容可带有参数，在部署时根据设备的差异设置不同的值；配置文件可部署到设备的启动配置或者运行配置；配置片断只能部署到设备的运行配置； </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 xml:space="preserve">8）用户分权管理：可以为不同的管理员设置不同的用户名、密码，并限制管理员的管理权限和管理范围，实现用户分权管理。 </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微软雅黑" w:hAnsi="微软雅黑" w:eastAsia="微软雅黑" w:cs="微软雅黑"/>
                <w:color w:val="000000"/>
                <w:sz w:val="24"/>
                <w:szCs w:val="24"/>
              </w:rPr>
            </w:pPr>
          </w:p>
        </w:tc>
      </w:tr>
      <w:tr>
        <w:tblPrEx>
          <w:tblCellMar>
            <w:top w:w="0" w:type="dxa"/>
            <w:left w:w="108" w:type="dxa"/>
            <w:bottom w:w="0" w:type="dxa"/>
            <w:right w:w="108" w:type="dxa"/>
          </w:tblCellMar>
        </w:tblPrEx>
        <w:trPr>
          <w:trHeight w:val="1080" w:hRule="atLeast"/>
          <w:jc w:val="center"/>
        </w:trPr>
        <w:tc>
          <w:tcPr>
            <w:tcW w:w="78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1_12</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办公网网络管理平台硬件</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1</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套</w:t>
            </w:r>
          </w:p>
        </w:tc>
        <w:tc>
          <w:tcPr>
            <w:tcW w:w="4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color w:val="000000"/>
                <w:kern w:val="0"/>
                <w:sz w:val="18"/>
                <w:szCs w:val="18"/>
                <w:lang w:bidi="ar"/>
              </w:rPr>
            </w:pP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 xml:space="preserve"> 2U两路机架式服务器, 支持多达32个DDR4内存插槽，速率最高支持3200MT/s，支持RDIMM或LRDIMM；板载1个1Gbps 独立远程管理控制端口，支持HDM无代理管理工具 (带独立管理端口); 本次配置</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 xml:space="preserve">CPU：数量 2、主频 2.4GHz、物理核数16C; </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内存： 4*32</w:t>
            </w:r>
            <w:r>
              <w:rPr>
                <w:rFonts w:ascii="微软雅黑" w:hAnsi="微软雅黑" w:eastAsia="微软雅黑" w:cs="微软雅黑"/>
                <w:color w:val="000000"/>
                <w:kern w:val="0"/>
                <w:sz w:val="18"/>
                <w:szCs w:val="18"/>
                <w:lang w:bidi="ar"/>
              </w:rPr>
              <w:t>GB</w:t>
            </w:r>
            <w:r>
              <w:rPr>
                <w:rFonts w:hint="eastAsia" w:ascii="微软雅黑" w:hAnsi="微软雅黑" w:eastAsia="微软雅黑" w:cs="微软雅黑"/>
                <w:color w:val="000000"/>
                <w:kern w:val="0"/>
                <w:sz w:val="18"/>
                <w:szCs w:val="18"/>
                <w:lang w:bidi="ar"/>
              </w:rPr>
              <w:t xml:space="preserve"> DDR4 RDIMM、频率3200MHz</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硬盘：</w:t>
            </w:r>
          </w:p>
          <w:p>
            <w:pPr>
              <w:widowControl/>
              <w:jc w:val="left"/>
              <w:textAlignment w:val="center"/>
              <w:rPr>
                <w:rFonts w:ascii="微软雅黑" w:hAnsi="微软雅黑" w:eastAsia="微软雅黑" w:cs="微软雅黑"/>
                <w:color w:val="000000"/>
                <w:kern w:val="0"/>
                <w:sz w:val="18"/>
                <w:szCs w:val="18"/>
                <w:lang w:bidi="ar"/>
              </w:rPr>
            </w:pPr>
            <w:r>
              <w:rPr>
                <w:rFonts w:hint="eastAsia" w:ascii="微软雅黑" w:hAnsi="微软雅黑" w:eastAsia="微软雅黑" w:cs="微软雅黑"/>
                <w:color w:val="000000"/>
                <w:kern w:val="0"/>
                <w:sz w:val="18"/>
                <w:szCs w:val="18"/>
                <w:lang w:bidi="ar"/>
              </w:rPr>
              <w:t>数量 为2、类型 HDD、转速10K、单盘容量1.2TB;</w:t>
            </w:r>
            <w:r>
              <w:rPr>
                <w:rFonts w:ascii="微软雅黑" w:hAnsi="微软雅黑" w:eastAsia="微软雅黑" w:cs="微软雅黑"/>
                <w:color w:val="000000"/>
                <w:kern w:val="0"/>
                <w:sz w:val="18"/>
                <w:szCs w:val="18"/>
                <w:lang w:bidi="ar"/>
              </w:rPr>
              <w:t xml:space="preserve"> </w:t>
            </w:r>
          </w:p>
          <w:p>
            <w:pPr>
              <w:widowControl/>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 xml:space="preserve">数量 为2、类型 SSD、单盘容量960GB; </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 xml:space="preserve">Raid卡：数量 1、缓存 2GB、支持Raid级别：RAID 0,RAID 1,RAID 10,RAID 5,RAID 6,RAID 50,RAID 60,RAID 1ADM,RAID 10(ADM); </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 xml:space="preserve">4端口千兆电接口网卡-360T-B2; </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 xml:space="preserve">2 * 800W交流&amp;240V高压直流电源模块6 个风扇模块; </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br w:type="textWrapping"/>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微软雅黑" w:hAnsi="微软雅黑" w:eastAsia="微软雅黑" w:cs="微软雅黑"/>
                <w:color w:val="000000"/>
                <w:sz w:val="24"/>
                <w:szCs w:val="24"/>
              </w:rPr>
            </w:pPr>
          </w:p>
        </w:tc>
      </w:tr>
      <w:tr>
        <w:tblPrEx>
          <w:tblCellMar>
            <w:top w:w="0" w:type="dxa"/>
            <w:left w:w="108" w:type="dxa"/>
            <w:bottom w:w="0" w:type="dxa"/>
            <w:right w:w="108" w:type="dxa"/>
          </w:tblCellMar>
        </w:tblPrEx>
        <w:trPr>
          <w:trHeight w:val="1080" w:hRule="atLeast"/>
          <w:jc w:val="center"/>
        </w:trPr>
        <w:tc>
          <w:tcPr>
            <w:tcW w:w="78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1_15</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办公网上网行为管理</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1</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套</w:t>
            </w:r>
          </w:p>
        </w:tc>
        <w:tc>
          <w:tcPr>
            <w:tcW w:w="4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color w:val="000000"/>
                <w:kern w:val="0"/>
                <w:sz w:val="18"/>
                <w:szCs w:val="18"/>
                <w:lang w:bidi="ar"/>
              </w:rPr>
            </w:pP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吞吐性能：2G</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新建连接数：8000</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并发连接数：80W</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固化接口形态及插槽：4GE（Combo）+10GE（电） 1TF卡扩展</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简要参数：</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机架式独立硬件设备，系统硬件为全内置封闭式结构，稳定可靠，加电即可运行，启动过程无须人工干预。多核MIPS架构设计，不允许采用X86架构，功能采用模块化结构设计1、产品支持应用特征库数量不低于7100+， 2、支持用户上网应用的精细化控制，例如微信的：“微信”“微信语音”“微信发消息”“微信收消息”“微信登录”“微信发文件”“微信收文件” 3、支持移动终端发现管理，可一键添加为信任终端、发现终端后可邮件告警/冻结等，支持趋势图呈现移动终端接入趋势及列表详情等</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 xml:space="preserve">4、支持用户虚拟身份画像，以时间轴的形式展示用户上网行为轨迹；支持单用户全天行为分析报表，一个界面同时展示用户名、用户组、在线时长、虚拟身份（如QQ号码、微博账号等）、日志关联情况、全天流量使用分布、网站访问类别分布、全天关键网络行为轴等信息，支持对单用户进行网站访问质量检测， </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5、产品需解决安全合规要求，支持集中和独立两种与当地网监对接方式，支持任子行、派博、虹旭、爱思、锐安、宽广智通、网博、云辰、携网、兆物、恒邦、中新、博网、美亚柏科、盛世光明、烽火科技、中科新业、新网程、网盾、海康、白虹、西软、兴容、佰安、珠海网盈以上厂商的非经对接， 6、支持下一代防火墙IPS、AV、WAF、弱密码扫描、SSL VPN、负载均衡等一系列能力， 7、支持文件缓存，支持安卓和IOS形式的文件，主动缓存文件形式包含APP应用等</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 xml:space="preserve">8、支持对内网资产的IP、用户、部门、操作系统、重要程度、可用服务、是否可信进行统一梳理，发现问题资产支持阻断IP </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9、为简化设备运维工作量，产品需支持策略分组并可按照区域划分管理和自动化运维能力，包含但不限于分析冗余策略、隐藏策略、冲突策略、空策略、无效策略</w:t>
            </w:r>
          </w:p>
          <w:p>
            <w:pPr>
              <w:widowControl/>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 xml:space="preserve">10. </w:t>
            </w:r>
            <w:r>
              <w:rPr>
                <w:rFonts w:hint="eastAsia"/>
              </w:rPr>
              <w:t>产品应按照《网络关键设备和网络安全专用产品目录》《信息安全技术网络安全专用产品安全技术要求》等相关国家标准强制性要求</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微软雅黑" w:hAnsi="微软雅黑" w:eastAsia="微软雅黑" w:cs="微软雅黑"/>
                <w:color w:val="000000"/>
                <w:sz w:val="24"/>
                <w:szCs w:val="24"/>
              </w:rPr>
            </w:pPr>
          </w:p>
        </w:tc>
      </w:tr>
      <w:tr>
        <w:tblPrEx>
          <w:tblCellMar>
            <w:top w:w="0" w:type="dxa"/>
            <w:left w:w="108" w:type="dxa"/>
            <w:bottom w:w="0" w:type="dxa"/>
            <w:right w:w="108" w:type="dxa"/>
          </w:tblCellMar>
        </w:tblPrEx>
        <w:trPr>
          <w:trHeight w:val="1080" w:hRule="atLeast"/>
          <w:jc w:val="center"/>
        </w:trPr>
        <w:tc>
          <w:tcPr>
            <w:tcW w:w="78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1_16</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监控网室外AP</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8</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个</w:t>
            </w:r>
          </w:p>
        </w:tc>
        <w:tc>
          <w:tcPr>
            <w:tcW w:w="4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color w:val="000000"/>
                <w:kern w:val="0"/>
                <w:sz w:val="18"/>
                <w:szCs w:val="18"/>
                <w:lang w:bidi="ar"/>
              </w:rPr>
            </w:pPr>
            <w:r>
              <w:rPr>
                <w:rFonts w:hint="eastAsia" w:ascii="微软雅黑" w:hAnsi="微软雅黑" w:eastAsia="微软雅黑" w:cs="微软雅黑"/>
                <w:color w:val="000000"/>
                <w:kern w:val="0"/>
                <w:sz w:val="18"/>
                <w:szCs w:val="18"/>
                <w:lang w:bidi="ar"/>
              </w:rPr>
              <w:t>功能描述：室外Wi-Fi 6 AP</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技术标准（ax/ac/n）：802.11ax/ac/n</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接入速率：2.4Gbps</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射频卡数量：2</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空间流数量：4</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参数：具备内置和外置天线，支持双5G部署</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接口数量： 3</w:t>
            </w:r>
            <w:r>
              <w:rPr>
                <w:rFonts w:ascii="微软雅黑" w:hAnsi="微软雅黑" w:eastAsia="微软雅黑" w:cs="微软雅黑"/>
                <w:color w:val="000000"/>
                <w:kern w:val="0"/>
                <w:sz w:val="18"/>
                <w:szCs w:val="18"/>
                <w:lang w:bidi="ar"/>
              </w:rPr>
              <w:t>（1个1000M SFP光接口，2个10/100/1000M电口</w:t>
            </w:r>
            <w:r>
              <w:rPr>
                <w:rFonts w:hint="eastAsia" w:ascii="微软雅黑" w:hAnsi="微软雅黑" w:eastAsia="微软雅黑" w:cs="微软雅黑"/>
                <w:color w:val="000000"/>
                <w:kern w:val="0"/>
                <w:sz w:val="18"/>
                <w:szCs w:val="18"/>
                <w:lang w:bidi="ar"/>
              </w:rPr>
              <w:t>）</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天线类型： 内置定向或外置天线</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形态：放装</w:t>
            </w:r>
          </w:p>
          <w:p>
            <w:pPr>
              <w:widowControl/>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防护等级：I</w:t>
            </w:r>
            <w:r>
              <w:rPr>
                <w:rFonts w:ascii="微软雅黑" w:hAnsi="微软雅黑" w:eastAsia="微软雅黑" w:cs="微软雅黑"/>
                <w:color w:val="000000"/>
                <w:kern w:val="0"/>
                <w:sz w:val="18"/>
                <w:szCs w:val="18"/>
                <w:lang w:bidi="ar"/>
              </w:rPr>
              <w:t>P68</w:t>
            </w:r>
            <w:r>
              <w:rPr>
                <w:rFonts w:hint="eastAsia" w:ascii="微软雅黑" w:hAnsi="微软雅黑" w:eastAsia="微软雅黑" w:cs="微软雅黑"/>
                <w:color w:val="000000"/>
                <w:kern w:val="0"/>
                <w:sz w:val="18"/>
                <w:szCs w:val="18"/>
                <w:lang w:bidi="ar"/>
              </w:rPr>
              <w:br w:type="textWrapping"/>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微软雅黑" w:hAnsi="微软雅黑" w:eastAsia="微软雅黑" w:cs="微软雅黑"/>
                <w:color w:val="000000"/>
                <w:sz w:val="24"/>
                <w:szCs w:val="24"/>
              </w:rPr>
            </w:pPr>
          </w:p>
        </w:tc>
      </w:tr>
      <w:tr>
        <w:tblPrEx>
          <w:tblCellMar>
            <w:top w:w="0" w:type="dxa"/>
            <w:left w:w="108" w:type="dxa"/>
            <w:bottom w:w="0" w:type="dxa"/>
            <w:right w:w="108" w:type="dxa"/>
          </w:tblCellMar>
        </w:tblPrEx>
        <w:trPr>
          <w:trHeight w:val="1080" w:hRule="atLeast"/>
          <w:jc w:val="center"/>
        </w:trPr>
        <w:tc>
          <w:tcPr>
            <w:tcW w:w="78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1_17</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监控网无线控制器</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1</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台</w:t>
            </w:r>
          </w:p>
        </w:tc>
        <w:tc>
          <w:tcPr>
            <w:tcW w:w="4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color w:val="000000"/>
                <w:kern w:val="0"/>
                <w:sz w:val="18"/>
                <w:szCs w:val="18"/>
                <w:lang w:bidi="ar"/>
              </w:rPr>
            </w:pPr>
            <w:r>
              <w:rPr>
                <w:rFonts w:hint="eastAsia" w:ascii="微软雅黑" w:hAnsi="微软雅黑" w:eastAsia="微软雅黑" w:cs="微软雅黑"/>
                <w:color w:val="000000"/>
                <w:kern w:val="0"/>
                <w:sz w:val="18"/>
                <w:szCs w:val="18"/>
                <w:lang w:bidi="ar"/>
              </w:rPr>
              <w:br w:type="textWrapping"/>
            </w:r>
          </w:p>
          <w:p>
            <w:pPr>
              <w:widowControl/>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要求能与现网无线控制器H</w:t>
            </w:r>
            <w:r>
              <w:rPr>
                <w:rFonts w:ascii="微软雅黑" w:hAnsi="微软雅黑" w:eastAsia="微软雅黑" w:cs="微软雅黑"/>
                <w:color w:val="000000"/>
                <w:kern w:val="0"/>
                <w:sz w:val="18"/>
                <w:szCs w:val="18"/>
                <w:lang w:bidi="ar"/>
              </w:rPr>
              <w:t>3C WX2560</w:t>
            </w:r>
            <w:r>
              <w:rPr>
                <w:rFonts w:hint="eastAsia" w:ascii="微软雅黑" w:hAnsi="微软雅黑" w:eastAsia="微软雅黑" w:cs="微软雅黑"/>
                <w:color w:val="000000"/>
                <w:kern w:val="0"/>
                <w:sz w:val="18"/>
                <w:szCs w:val="18"/>
                <w:lang w:bidi="ar"/>
              </w:rPr>
              <w:t>做双机热备</w:t>
            </w:r>
            <w:r>
              <w:rPr>
                <w:rFonts w:ascii="微软雅黑" w:hAnsi="微软雅黑" w:eastAsia="微软雅黑" w:cs="微软雅黑"/>
                <w:color w:val="000000"/>
                <w:kern w:val="0"/>
                <w:sz w:val="18"/>
                <w:szCs w:val="18"/>
                <w:lang w:bidi="ar"/>
              </w:rPr>
              <w:t>，</w:t>
            </w:r>
            <w:r>
              <w:rPr>
                <w:rFonts w:hint="eastAsia" w:ascii="微软雅黑" w:hAnsi="微软雅黑" w:eastAsia="微软雅黑" w:cs="微软雅黑"/>
                <w:color w:val="000000"/>
                <w:kern w:val="0"/>
                <w:sz w:val="18"/>
                <w:szCs w:val="18"/>
                <w:lang w:bidi="ar"/>
              </w:rPr>
              <w:t>共享一套A</w:t>
            </w:r>
            <w:r>
              <w:rPr>
                <w:rFonts w:ascii="微软雅黑" w:hAnsi="微软雅黑" w:eastAsia="微软雅黑" w:cs="微软雅黑"/>
                <w:color w:val="000000"/>
                <w:kern w:val="0"/>
                <w:sz w:val="18"/>
                <w:szCs w:val="18"/>
                <w:lang w:bidi="ar"/>
              </w:rPr>
              <w:t>P</w:t>
            </w:r>
            <w:r>
              <w:rPr>
                <w:rFonts w:hint="eastAsia" w:ascii="微软雅黑" w:hAnsi="微软雅黑" w:eastAsia="微软雅黑" w:cs="微软雅黑"/>
                <w:color w:val="000000"/>
                <w:kern w:val="0"/>
                <w:sz w:val="18"/>
                <w:szCs w:val="18"/>
                <w:lang w:bidi="ar"/>
              </w:rPr>
              <w:t>授权参数：为了满足设备的稳定性，要求所投产品支持双电源冗余供电</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接口数量： WAN: 2*2.5G</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LAN: 8*GE + 2*SFP+</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（所有端口可LAN/WAN切换。）</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要求所投产品支持常规AP最大数量≥144</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 xml:space="preserve">             要求所投产品集中转发性能≥10Gbps </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微软雅黑" w:hAnsi="微软雅黑" w:eastAsia="微软雅黑" w:cs="微软雅黑"/>
                <w:color w:val="000000"/>
                <w:sz w:val="24"/>
                <w:szCs w:val="24"/>
              </w:rPr>
            </w:pPr>
          </w:p>
        </w:tc>
      </w:tr>
      <w:tr>
        <w:tblPrEx>
          <w:tblCellMar>
            <w:top w:w="0" w:type="dxa"/>
            <w:left w:w="108" w:type="dxa"/>
            <w:bottom w:w="0" w:type="dxa"/>
            <w:right w:w="108" w:type="dxa"/>
          </w:tblCellMar>
        </w:tblPrEx>
        <w:trPr>
          <w:trHeight w:val="1080" w:hRule="atLeast"/>
          <w:jc w:val="center"/>
        </w:trPr>
        <w:tc>
          <w:tcPr>
            <w:tcW w:w="78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1_18</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监控网室外AP专用8口交换机</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5</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台</w:t>
            </w:r>
          </w:p>
        </w:tc>
        <w:tc>
          <w:tcPr>
            <w:tcW w:w="4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可网管的千兆以太网交换机。</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1、交换容量≥336Gbps，包转发率≥</w:t>
            </w:r>
            <w:r>
              <w:rPr>
                <w:rFonts w:ascii="微软雅黑" w:hAnsi="微软雅黑" w:eastAsia="微软雅黑" w:cs="微软雅黑"/>
                <w:color w:val="000000"/>
                <w:kern w:val="0"/>
                <w:sz w:val="18"/>
                <w:szCs w:val="18"/>
                <w:lang w:bidi="ar"/>
              </w:rPr>
              <w:t>102</w:t>
            </w:r>
            <w:r>
              <w:rPr>
                <w:rFonts w:hint="eastAsia" w:ascii="微软雅黑" w:hAnsi="微软雅黑" w:eastAsia="微软雅黑" w:cs="微软雅黑"/>
                <w:color w:val="000000"/>
                <w:kern w:val="0"/>
                <w:sz w:val="18"/>
                <w:szCs w:val="18"/>
                <w:lang w:bidi="ar"/>
              </w:rPr>
              <w:t>Mpps（官网最小值）</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2、10/100/1000Base-T自适应以太网端口≥8个，千兆SFP口≥2个；</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3、支持基于端口的VLAN，支持基于协议的VLAN；</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4、支持ERPS功能，收敛时间小于50ms；</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5、支持IPv4/IPV6双栈管理和转发，支持静态路由协议和RIP、OSPF等路由协议，支持丰富的管理和安全特性；</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 xml:space="preserve">6、支持内置智能图形化管理功能，能够实现通过图形化界面设备配置及命令一键下发和版本智能升级，全局配置及网管口配置，设备升级备份、监控及设备故障替换，组网拓扑可视及管理、设备列表展示等功能。 </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微软雅黑" w:hAnsi="微软雅黑" w:eastAsia="微软雅黑" w:cs="微软雅黑"/>
                <w:color w:val="000000"/>
                <w:sz w:val="24"/>
                <w:szCs w:val="24"/>
              </w:rPr>
            </w:pPr>
          </w:p>
        </w:tc>
      </w:tr>
      <w:tr>
        <w:tblPrEx>
          <w:tblCellMar>
            <w:top w:w="0" w:type="dxa"/>
            <w:left w:w="108" w:type="dxa"/>
            <w:bottom w:w="0" w:type="dxa"/>
            <w:right w:w="108" w:type="dxa"/>
          </w:tblCellMar>
        </w:tblPrEx>
        <w:trPr>
          <w:trHeight w:val="1080" w:hRule="atLeast"/>
          <w:jc w:val="center"/>
        </w:trPr>
        <w:tc>
          <w:tcPr>
            <w:tcW w:w="78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1_19</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监控网汇聚交换机</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1</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台</w:t>
            </w:r>
          </w:p>
        </w:tc>
        <w:tc>
          <w:tcPr>
            <w:tcW w:w="4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可网管的千兆以太网交换机。</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1、交换容量≥336Gbps，包转发率≥1</w:t>
            </w:r>
            <w:r>
              <w:rPr>
                <w:rFonts w:ascii="微软雅黑" w:hAnsi="微软雅黑" w:eastAsia="微软雅黑" w:cs="微软雅黑"/>
                <w:color w:val="000000"/>
                <w:kern w:val="0"/>
                <w:sz w:val="18"/>
                <w:szCs w:val="18"/>
                <w:lang w:bidi="ar"/>
              </w:rPr>
              <w:t>26</w:t>
            </w:r>
            <w:r>
              <w:rPr>
                <w:rFonts w:hint="eastAsia" w:ascii="微软雅黑" w:hAnsi="微软雅黑" w:eastAsia="微软雅黑" w:cs="微软雅黑"/>
                <w:color w:val="000000"/>
                <w:kern w:val="0"/>
                <w:sz w:val="18"/>
                <w:szCs w:val="18"/>
                <w:lang w:bidi="ar"/>
              </w:rPr>
              <w:t>Mpps（官网最小值）</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2、100/1000 SFP光口≥24个（其中 GE combo口≥8个），万兆SFP+口≥4个；</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3、支持基于端口的VLAN，支持基于协议的VLAN；</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4、支持ERPS功能，收敛时间小于50ms；</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5、支持IPv4/IPV6双栈管理和转发，支持静态路由协议和RIP、OSPF等路由协议，支持丰富的管理和安全特性；</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 xml:space="preserve">6、支持内置智能图形化管理功能，能够实现通过图形化界面设备配置及命令一键下发和版本智能升级，全局配置及网管口配置，设备升级备份、监控及设备故障替换，组网拓扑可视及管理、设备列表展示等功能。 </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微软雅黑" w:hAnsi="微软雅黑" w:eastAsia="微软雅黑" w:cs="微软雅黑"/>
                <w:color w:val="000000"/>
                <w:sz w:val="24"/>
                <w:szCs w:val="24"/>
              </w:rPr>
            </w:pPr>
          </w:p>
        </w:tc>
      </w:tr>
      <w:tr>
        <w:tblPrEx>
          <w:tblCellMar>
            <w:top w:w="0" w:type="dxa"/>
            <w:left w:w="108" w:type="dxa"/>
            <w:bottom w:w="0" w:type="dxa"/>
            <w:right w:w="108" w:type="dxa"/>
          </w:tblCellMar>
        </w:tblPrEx>
        <w:trPr>
          <w:trHeight w:val="1080" w:hRule="atLeast"/>
          <w:jc w:val="center"/>
        </w:trPr>
        <w:tc>
          <w:tcPr>
            <w:tcW w:w="78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1_20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六类网线</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40</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箱</w:t>
            </w:r>
          </w:p>
        </w:tc>
        <w:tc>
          <w:tcPr>
            <w:tcW w:w="46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六类千兆工程网线，高纯度无氧铜材质，足305米</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微软雅黑" w:hAnsi="微软雅黑" w:eastAsia="微软雅黑" w:cs="微软雅黑"/>
                <w:color w:val="000000"/>
                <w:sz w:val="24"/>
                <w:szCs w:val="24"/>
              </w:rPr>
            </w:pPr>
          </w:p>
        </w:tc>
      </w:tr>
      <w:tr>
        <w:tblPrEx>
          <w:tblCellMar>
            <w:top w:w="0" w:type="dxa"/>
            <w:left w:w="108" w:type="dxa"/>
            <w:bottom w:w="0" w:type="dxa"/>
            <w:right w:w="108" w:type="dxa"/>
          </w:tblCellMar>
        </w:tblPrEx>
        <w:trPr>
          <w:trHeight w:val="1080" w:hRule="atLeast"/>
          <w:jc w:val="center"/>
        </w:trPr>
        <w:tc>
          <w:tcPr>
            <w:tcW w:w="78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1_21</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光纤</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3500</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米</w:t>
            </w:r>
          </w:p>
        </w:tc>
        <w:tc>
          <w:tcPr>
            <w:tcW w:w="46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室外光纤8芯</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微软雅黑" w:hAnsi="微软雅黑" w:eastAsia="微软雅黑" w:cs="微软雅黑"/>
                <w:color w:val="000000"/>
                <w:sz w:val="24"/>
                <w:szCs w:val="24"/>
              </w:rPr>
            </w:pPr>
          </w:p>
        </w:tc>
      </w:tr>
      <w:tr>
        <w:tblPrEx>
          <w:tblCellMar>
            <w:top w:w="0" w:type="dxa"/>
            <w:left w:w="108" w:type="dxa"/>
            <w:bottom w:w="0" w:type="dxa"/>
            <w:right w:w="108" w:type="dxa"/>
          </w:tblCellMar>
        </w:tblPrEx>
        <w:trPr>
          <w:trHeight w:val="1080" w:hRule="atLeast"/>
          <w:jc w:val="center"/>
        </w:trPr>
        <w:tc>
          <w:tcPr>
            <w:tcW w:w="78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1_22</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综合布线</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1</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项</w:t>
            </w:r>
          </w:p>
        </w:tc>
        <w:tc>
          <w:tcPr>
            <w:tcW w:w="46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厂区整体网络线材全部更换成六类千兆工程网线，网线布线，光纤布线以及敷设管线材等</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微软雅黑" w:hAnsi="微软雅黑" w:eastAsia="微软雅黑" w:cs="微软雅黑"/>
                <w:color w:val="000000"/>
                <w:sz w:val="24"/>
                <w:szCs w:val="24"/>
              </w:rPr>
            </w:pPr>
          </w:p>
        </w:tc>
      </w:tr>
      <w:tr>
        <w:tblPrEx>
          <w:tblCellMar>
            <w:top w:w="0" w:type="dxa"/>
            <w:left w:w="108" w:type="dxa"/>
            <w:bottom w:w="0" w:type="dxa"/>
            <w:right w:w="108" w:type="dxa"/>
          </w:tblCellMar>
        </w:tblPrEx>
        <w:trPr>
          <w:trHeight w:val="1080" w:hRule="atLeast"/>
          <w:jc w:val="center"/>
        </w:trPr>
        <w:tc>
          <w:tcPr>
            <w:tcW w:w="78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1_23</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管井</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1</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项</w:t>
            </w:r>
          </w:p>
        </w:tc>
        <w:tc>
          <w:tcPr>
            <w:tcW w:w="46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户外网络架构管井，所有管井打通到机房，包含开挖，填埋；管井尺寸：600mm*600mm*800mm，内部砌砖要求为：使用砖块，注意保持井壁的垂直和平整度；回填要求：井周50cm范围内的回填材料，均应采用无砂沙大孔混合材料。</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微软雅黑" w:hAnsi="微软雅黑" w:eastAsia="微软雅黑" w:cs="微软雅黑"/>
                <w:color w:val="000000"/>
                <w:sz w:val="24"/>
                <w:szCs w:val="24"/>
              </w:rPr>
            </w:pPr>
          </w:p>
        </w:tc>
      </w:tr>
      <w:tr>
        <w:tblPrEx>
          <w:tblCellMar>
            <w:top w:w="0" w:type="dxa"/>
            <w:left w:w="108" w:type="dxa"/>
            <w:bottom w:w="0" w:type="dxa"/>
            <w:right w:w="108" w:type="dxa"/>
          </w:tblCellMar>
        </w:tblPrEx>
        <w:trPr>
          <w:trHeight w:val="1080" w:hRule="atLeast"/>
          <w:jc w:val="center"/>
        </w:trPr>
        <w:tc>
          <w:tcPr>
            <w:tcW w:w="78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1_24</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辅材</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1</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项目</w:t>
            </w:r>
          </w:p>
        </w:tc>
        <w:tc>
          <w:tcPr>
            <w:tcW w:w="46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线管、线槽、膨胀钉、线材、螺钉、水晶头、连接件、挂件、铁钉、扎带、标识、弯头、光纤盘，融纤等</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微软雅黑" w:hAnsi="微软雅黑" w:eastAsia="微软雅黑" w:cs="微软雅黑"/>
                <w:color w:val="000000"/>
                <w:sz w:val="24"/>
                <w:szCs w:val="24"/>
              </w:rPr>
            </w:pPr>
          </w:p>
        </w:tc>
      </w:tr>
      <w:tr>
        <w:tblPrEx>
          <w:tblCellMar>
            <w:top w:w="0" w:type="dxa"/>
            <w:left w:w="108" w:type="dxa"/>
            <w:bottom w:w="0" w:type="dxa"/>
            <w:right w:w="108" w:type="dxa"/>
          </w:tblCellMar>
        </w:tblPrEx>
        <w:trPr>
          <w:trHeight w:val="1080" w:hRule="atLeast"/>
          <w:jc w:val="center"/>
        </w:trPr>
        <w:tc>
          <w:tcPr>
            <w:tcW w:w="78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1_25</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室外机柜</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8</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套</w:t>
            </w:r>
          </w:p>
        </w:tc>
        <w:tc>
          <w:tcPr>
            <w:tcW w:w="46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室外防水机柜，机柜尺寸：600mm*600mm*1200mm；镀锌钢板材质，防水等级为≦IP55</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微软雅黑" w:hAnsi="微软雅黑" w:eastAsia="微软雅黑" w:cs="微软雅黑"/>
                <w:color w:val="000000"/>
                <w:sz w:val="24"/>
                <w:szCs w:val="24"/>
              </w:rPr>
            </w:pPr>
          </w:p>
        </w:tc>
      </w:tr>
      <w:tr>
        <w:tblPrEx>
          <w:tblCellMar>
            <w:top w:w="0" w:type="dxa"/>
            <w:left w:w="108" w:type="dxa"/>
            <w:bottom w:w="0" w:type="dxa"/>
            <w:right w:w="108" w:type="dxa"/>
          </w:tblCellMar>
        </w:tblPrEx>
        <w:trPr>
          <w:trHeight w:val="1080" w:hRule="atLeast"/>
          <w:jc w:val="center"/>
        </w:trPr>
        <w:tc>
          <w:tcPr>
            <w:tcW w:w="78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1_26</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立杆</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8</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套</w:t>
            </w:r>
          </w:p>
        </w:tc>
        <w:tc>
          <w:tcPr>
            <w:tcW w:w="46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立杆的规格：热镀锌钢管，预留装监控横臂，3.5米圆杆+地笼，直径：115-90mm，厚度3mm，避雷针定做防雷。</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微软雅黑" w:hAnsi="微软雅黑" w:eastAsia="微软雅黑" w:cs="微软雅黑"/>
                <w:color w:val="000000"/>
                <w:sz w:val="24"/>
                <w:szCs w:val="24"/>
              </w:rPr>
            </w:pPr>
          </w:p>
        </w:tc>
      </w:tr>
    </w:tbl>
    <w:p>
      <w:pPr>
        <w:adjustRightInd w:val="0"/>
        <w:snapToGrid w:val="0"/>
        <w:spacing w:line="600" w:lineRule="exact"/>
        <w:jc w:val="left"/>
        <w:rPr>
          <w:rFonts w:ascii="仿宋_GB2312" w:eastAsia="仿宋_GB2312"/>
          <w:sz w:val="28"/>
          <w:szCs w:val="28"/>
        </w:rPr>
      </w:pP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2.2项目工期：</w:t>
      </w:r>
      <w:r>
        <w:rPr>
          <w:rFonts w:hint="eastAsia" w:ascii="仿宋_GB2312" w:eastAsia="仿宋_GB2312"/>
          <w:sz w:val="28"/>
          <w:szCs w:val="28"/>
          <w:lang w:eastAsia="zh-CN"/>
        </w:rPr>
        <w:t>□</w:t>
      </w:r>
      <w:r>
        <w:rPr>
          <w:rFonts w:hint="eastAsia" w:ascii="仿宋_GB2312" w:eastAsia="仿宋_GB2312"/>
          <w:sz w:val="28"/>
          <w:szCs w:val="28"/>
        </w:rPr>
        <w:t xml:space="preserve">计划工期   □交货期  </w:t>
      </w:r>
      <w:r>
        <w:rPr>
          <w:rFonts w:hint="eastAsia" w:ascii="仿宋_GB2312" w:eastAsia="仿宋_GB2312"/>
          <w:sz w:val="28"/>
          <w:szCs w:val="28"/>
        </w:rPr>
        <w:sym w:font="Wingdings 2" w:char="0052"/>
      </w:r>
      <w:r>
        <w:rPr>
          <w:rFonts w:hint="eastAsia" w:ascii="仿宋_GB2312" w:eastAsia="仿宋_GB2312"/>
          <w:sz w:val="28"/>
          <w:szCs w:val="28"/>
        </w:rPr>
        <w:t>服务期  自合同签订之日起1</w:t>
      </w:r>
      <w:r>
        <w:rPr>
          <w:rFonts w:hint="eastAsia" w:ascii="仿宋_GB2312" w:eastAsia="仿宋_GB2312"/>
          <w:sz w:val="28"/>
          <w:szCs w:val="28"/>
          <w:lang w:val="en-US" w:eastAsia="zh-CN"/>
        </w:rPr>
        <w:t>0</w:t>
      </w:r>
      <w:r>
        <w:rPr>
          <w:rFonts w:hint="eastAsia" w:ascii="仿宋_GB2312" w:eastAsia="仿宋_GB2312"/>
          <w:sz w:val="28"/>
          <w:szCs w:val="28"/>
        </w:rPr>
        <w:t>0天</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2.3地点：□建设地点  □交货地点  ☑服务地点</w:t>
      </w:r>
      <w:r>
        <w:rPr>
          <w:rFonts w:ascii="仿宋_GB2312" w:eastAsia="仿宋_GB2312"/>
          <w:sz w:val="28"/>
          <w:szCs w:val="28"/>
        </w:rPr>
        <w:t xml:space="preserve">  </w:t>
      </w:r>
      <w:r>
        <w:rPr>
          <w:rFonts w:hint="eastAsia" w:ascii="仿宋_GB2312" w:hAnsi="仿宋_GB2312" w:eastAsia="仿宋_GB2312" w:cs="仿宋_GB2312"/>
          <w:color w:val="000000"/>
          <w:sz w:val="28"/>
          <w:szCs w:val="28"/>
        </w:rPr>
        <w:t>广州净水竹料分公司竹料分公司</w:t>
      </w:r>
    </w:p>
    <w:p>
      <w:pPr>
        <w:adjustRightInd w:val="0"/>
        <w:snapToGrid w:val="0"/>
        <w:spacing w:line="600" w:lineRule="exact"/>
        <w:ind w:left="420" w:right="-370" w:rightChars="-176" w:hanging="420" w:hangingChars="150"/>
        <w:jc w:val="left"/>
        <w:rPr>
          <w:rFonts w:ascii="仿宋_GB2312" w:eastAsia="仿宋_GB2312"/>
          <w:sz w:val="28"/>
          <w:szCs w:val="28"/>
        </w:rPr>
      </w:pPr>
      <w:r>
        <w:rPr>
          <w:rFonts w:hint="eastAsia" w:ascii="仿宋_GB2312" w:eastAsia="仿宋_GB2312"/>
          <w:sz w:val="28"/>
          <w:szCs w:val="28"/>
        </w:rPr>
        <w:t>2.4质量要求：□施工质量要求   ☑货物质量标准或主要技术性能指标  ☑服务质量要求或服务标准如下</w:t>
      </w:r>
      <w:r>
        <w:rPr>
          <w:rFonts w:ascii="仿宋_GB2312" w:eastAsia="仿宋_GB2312"/>
          <w:sz w:val="28"/>
          <w:szCs w:val="28"/>
        </w:rPr>
        <w:t xml:space="preserve"> </w:t>
      </w:r>
    </w:p>
    <w:p>
      <w:pPr>
        <w:adjustRightInd w:val="0"/>
        <w:snapToGrid w:val="0"/>
        <w:spacing w:line="600" w:lineRule="exact"/>
        <w:ind w:right="-370" w:rightChars="-176" w:firstLine="280" w:firstLineChars="100"/>
        <w:jc w:val="left"/>
        <w:rPr>
          <w:rFonts w:ascii="仿宋_GB2312" w:eastAsia="仿宋_GB2312"/>
          <w:sz w:val="28"/>
          <w:szCs w:val="28"/>
        </w:rPr>
      </w:pPr>
      <w:r>
        <w:rPr>
          <w:rFonts w:hint="eastAsia" w:ascii="仿宋_GB2312" w:eastAsia="仿宋_GB2312"/>
          <w:sz w:val="28"/>
          <w:szCs w:val="28"/>
        </w:rPr>
        <w:t xml:space="preserve"> 所提供的货物及配件是全新合格产品，应响应询价人全部设备参数要求，并符合相关认证</w:t>
      </w:r>
      <w:r>
        <w:rPr>
          <w:rFonts w:hint="eastAsia" w:ascii="仿宋_GB2312" w:eastAsia="仿宋_GB2312"/>
          <w:sz w:val="28"/>
          <w:szCs w:val="28"/>
          <w:lang w:eastAsia="zh-CN"/>
        </w:rPr>
        <w:t>。</w:t>
      </w:r>
      <w:r>
        <w:rPr>
          <w:rFonts w:hint="eastAsia" w:ascii="仿宋_GB2312" w:eastAsia="仿宋_GB2312"/>
          <w:sz w:val="28"/>
          <w:szCs w:val="28"/>
        </w:rPr>
        <w:t>货物供货时需提供</w:t>
      </w:r>
      <w:r>
        <w:rPr>
          <w:rFonts w:hint="eastAsia" w:ascii="仿宋_GB2312" w:eastAsia="仿宋_GB2312"/>
          <w:sz w:val="28"/>
          <w:szCs w:val="28"/>
          <w:u w:val="single"/>
        </w:rPr>
        <w:t>使用说明书</w:t>
      </w:r>
      <w:r>
        <w:rPr>
          <w:rFonts w:hint="eastAsia" w:ascii="仿宋_GB2312" w:eastAsia="仿宋_GB2312"/>
          <w:sz w:val="28"/>
          <w:szCs w:val="28"/>
        </w:rPr>
        <w:t>及产品合格证、产品质量证明文件,必须是全新合格产品，</w:t>
      </w:r>
      <w:r>
        <w:rPr>
          <w:rFonts w:hint="eastAsia" w:ascii="仿宋_GB2312" w:eastAsia="仿宋_GB2312"/>
          <w:sz w:val="28"/>
          <w:szCs w:val="28"/>
          <w:lang w:val="en-US" w:eastAsia="zh-CN"/>
        </w:rPr>
        <w:t>并</w:t>
      </w:r>
      <w:r>
        <w:rPr>
          <w:rFonts w:hint="eastAsia" w:ascii="仿宋_GB2312" w:eastAsia="仿宋_GB2312"/>
          <w:sz w:val="28"/>
          <w:szCs w:val="28"/>
        </w:rPr>
        <w:t>保证新购设备</w:t>
      </w:r>
      <w:r>
        <w:rPr>
          <w:rFonts w:hint="eastAsia" w:ascii="仿宋_GB2312" w:eastAsia="仿宋_GB2312"/>
          <w:sz w:val="28"/>
          <w:szCs w:val="28"/>
          <w:lang w:val="en-US" w:eastAsia="zh-CN"/>
        </w:rPr>
        <w:t>与现有</w:t>
      </w:r>
      <w:r>
        <w:rPr>
          <w:rFonts w:hint="eastAsia" w:ascii="仿宋_GB2312" w:eastAsia="仿宋_GB2312"/>
          <w:sz w:val="28"/>
          <w:szCs w:val="28"/>
        </w:rPr>
        <w:t>的</w:t>
      </w:r>
      <w:r>
        <w:rPr>
          <w:rFonts w:hint="eastAsia" w:ascii="仿宋_GB2312" w:eastAsia="仿宋_GB2312"/>
          <w:sz w:val="28"/>
          <w:szCs w:val="28"/>
          <w:lang w:val="en-US" w:eastAsia="zh-CN"/>
        </w:rPr>
        <w:t>设备</w:t>
      </w:r>
      <w:r>
        <w:rPr>
          <w:rFonts w:hint="eastAsia" w:ascii="仿宋_GB2312" w:eastAsia="仿宋_GB2312"/>
          <w:sz w:val="28"/>
          <w:szCs w:val="28"/>
        </w:rPr>
        <w:t>无缝对接</w:t>
      </w:r>
      <w:r>
        <w:rPr>
          <w:rFonts w:hint="eastAsia" w:ascii="仿宋_GB2312" w:eastAsia="仿宋_GB2312" w:hAnsiTheme="minorHAnsi" w:cstheme="minorBidi"/>
          <w:sz w:val="28"/>
          <w:szCs w:val="28"/>
          <w:lang w:val="en-US" w:eastAsia="zh-CN"/>
        </w:rPr>
        <w:t>，若产生不适配等情况，我司有权不予以验收</w:t>
      </w:r>
      <w:r>
        <w:rPr>
          <w:rFonts w:hint="eastAsia" w:ascii="仿宋_GB2312" w:eastAsia="仿宋_GB2312"/>
          <w:sz w:val="28"/>
          <w:szCs w:val="28"/>
        </w:rPr>
        <w:t>。</w:t>
      </w:r>
    </w:p>
    <w:p>
      <w:pPr>
        <w:adjustRightInd w:val="0"/>
        <w:snapToGrid w:val="0"/>
        <w:spacing w:line="600" w:lineRule="exact"/>
        <w:jc w:val="left"/>
        <w:rPr>
          <w:rFonts w:hint="eastAsia" w:ascii="仿宋_GB2312" w:eastAsia="仿宋_GB2312"/>
          <w:sz w:val="28"/>
          <w:szCs w:val="28"/>
          <w:lang w:val="en-US" w:eastAsia="zh-CN"/>
        </w:rPr>
      </w:pPr>
      <w:r>
        <w:rPr>
          <w:rFonts w:hint="eastAsia" w:ascii="仿宋_GB2312" w:eastAsia="仿宋_GB2312"/>
          <w:sz w:val="28"/>
          <w:szCs w:val="28"/>
        </w:rPr>
        <w:t>2.5其他要求：</w:t>
      </w:r>
      <w:r>
        <w:rPr>
          <w:rFonts w:hint="eastAsia" w:ascii="仿宋_GB2312" w:eastAsia="仿宋_GB2312"/>
          <w:sz w:val="28"/>
          <w:szCs w:val="28"/>
          <w:lang w:val="en-US" w:eastAsia="zh-CN"/>
        </w:rPr>
        <w:t>无</w:t>
      </w:r>
    </w:p>
    <w:p>
      <w:pPr>
        <w:adjustRightInd w:val="0"/>
        <w:snapToGrid w:val="0"/>
        <w:spacing w:line="600" w:lineRule="exact"/>
        <w:jc w:val="left"/>
        <w:rPr>
          <w:rFonts w:asciiTheme="minorEastAsia" w:hAnsiTheme="minorEastAsia"/>
          <w:b/>
          <w:sz w:val="32"/>
          <w:szCs w:val="32"/>
        </w:rPr>
      </w:pPr>
      <w:r>
        <w:rPr>
          <w:rFonts w:asciiTheme="minorEastAsia" w:hAnsiTheme="minorEastAsia"/>
          <w:b/>
          <w:sz w:val="32"/>
          <w:szCs w:val="32"/>
        </w:rPr>
        <w:t>3.供应商资格要求（须提供复印件并加盖单位公章）</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3.1参与本项目采购活动的供应商应当依法设立且满足如下要求：</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☑（1）报价单位须是在中华人民共和国境内注册的法人或其他组织，具有独立法人资格，持有事业单位登记管理部门核发的事业单位法人证书或工商行政管理部门核发的企业法人营业执照，且在有效期内。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☑（2）供应商应当具备</w:t>
      </w:r>
      <w:r>
        <w:rPr>
          <w:rFonts w:hint="eastAsia" w:ascii="仿宋_GB2312" w:eastAsia="仿宋_GB2312"/>
          <w:sz w:val="28"/>
          <w:szCs w:val="28"/>
          <w:u w:val="single"/>
        </w:rPr>
        <w:t>电子与智能化工程专业承包二级（或以上）资质</w:t>
      </w:r>
      <w:r>
        <w:rPr>
          <w:rFonts w:hint="eastAsia" w:ascii="仿宋_GB2312" w:eastAsia="仿宋_GB2312"/>
          <w:sz w:val="28"/>
          <w:szCs w:val="28"/>
          <w:u w:val="single"/>
          <w:lang w:eastAsia="zh-CN"/>
        </w:rPr>
        <w:t>，</w:t>
      </w:r>
      <w:r>
        <w:rPr>
          <w:rFonts w:hint="eastAsia" w:ascii="仿宋_GB2312" w:eastAsia="仿宋_GB2312"/>
          <w:sz w:val="28"/>
          <w:szCs w:val="28"/>
          <w:u w:val="single"/>
          <w:lang w:val="en-US" w:eastAsia="zh-CN"/>
        </w:rPr>
        <w:t>同时持有</w:t>
      </w:r>
      <w:r>
        <w:rPr>
          <w:rFonts w:hint="eastAsia" w:ascii="仿宋_GB2312" w:eastAsia="仿宋_GB2312"/>
          <w:sz w:val="28"/>
          <w:szCs w:val="28"/>
          <w:u w:val="single"/>
        </w:rPr>
        <w:t>建设主管部门颁发且在有效期内的《安全生产许可证》</w:t>
      </w:r>
      <w:r>
        <w:rPr>
          <w:rFonts w:hint="eastAsia" w:ascii="仿宋_GB2312" w:eastAsia="仿宋_GB2312"/>
          <w:sz w:val="28"/>
          <w:szCs w:val="28"/>
        </w:rPr>
        <w:t>。</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w:t>
      </w:r>
      <w:r>
        <w:rPr>
          <w:rFonts w:hint="eastAsia" w:ascii="仿宋_GB2312" w:eastAsia="仿宋_GB2312"/>
          <w:sz w:val="28"/>
          <w:szCs w:val="28"/>
          <w:u w:val="single"/>
        </w:rPr>
        <w:t>202</w:t>
      </w:r>
      <w:r>
        <w:rPr>
          <w:rFonts w:hint="eastAsia" w:ascii="仿宋_GB2312" w:eastAsia="仿宋_GB2312"/>
          <w:sz w:val="28"/>
          <w:szCs w:val="28"/>
          <w:u w:val="single"/>
          <w:lang w:val="en-US" w:eastAsia="zh-CN"/>
        </w:rPr>
        <w:t>1</w:t>
      </w:r>
      <w:r>
        <w:rPr>
          <w:rFonts w:hint="eastAsia" w:ascii="仿宋_GB2312" w:eastAsia="仿宋_GB2312"/>
          <w:sz w:val="28"/>
          <w:szCs w:val="28"/>
        </w:rPr>
        <w:t>年1月1日至今，</w:t>
      </w:r>
      <w:r>
        <w:rPr>
          <w:rFonts w:hint="eastAsia" w:ascii="仿宋" w:hAnsi="仿宋" w:eastAsia="仿宋" w:cs="仿宋"/>
          <w:sz w:val="28"/>
          <w:szCs w:val="28"/>
        </w:rPr>
        <w:t>供应商最少具有一项单项合同金额不低于6</w:t>
      </w:r>
      <w:r>
        <w:rPr>
          <w:rFonts w:hint="eastAsia" w:ascii="仿宋" w:hAnsi="仿宋" w:eastAsia="仿宋" w:cs="仿宋"/>
          <w:sz w:val="28"/>
          <w:szCs w:val="28"/>
          <w:lang w:val="en-US" w:eastAsia="zh-CN"/>
        </w:rPr>
        <w:t>0</w:t>
      </w:r>
      <w:r>
        <w:rPr>
          <w:rFonts w:hint="eastAsia" w:ascii="仿宋" w:hAnsi="仿宋" w:eastAsia="仿宋" w:cs="仿宋"/>
          <w:sz w:val="28"/>
          <w:szCs w:val="28"/>
        </w:rPr>
        <w:t>万元的</w:t>
      </w:r>
      <w:r>
        <w:rPr>
          <w:rFonts w:hint="eastAsia" w:ascii="仿宋_GB2312" w:eastAsia="仿宋_GB2312"/>
          <w:sz w:val="28"/>
          <w:szCs w:val="28"/>
          <w:u w:val="single"/>
        </w:rPr>
        <w:t xml:space="preserve"> 网络改造</w:t>
      </w:r>
      <w:r>
        <w:rPr>
          <w:rFonts w:hint="eastAsia" w:ascii="仿宋_GB2312" w:eastAsia="仿宋_GB2312"/>
          <w:sz w:val="28"/>
          <w:szCs w:val="28"/>
        </w:rPr>
        <w:t>项目的业绩。（提供合同复印件证明，包括但不限于项目名称、金额及实施内容、合同</w:t>
      </w:r>
      <w:r>
        <w:rPr>
          <w:rFonts w:hint="eastAsia" w:ascii="仿宋_GB2312" w:eastAsia="仿宋_GB2312"/>
          <w:sz w:val="28"/>
          <w:szCs w:val="28"/>
          <w:lang w:val="en-US" w:eastAsia="zh-CN"/>
        </w:rPr>
        <w:t>双方</w:t>
      </w:r>
      <w:r>
        <w:rPr>
          <w:rFonts w:hint="eastAsia" w:ascii="仿宋_GB2312" w:eastAsia="仿宋_GB2312"/>
          <w:sz w:val="28"/>
          <w:szCs w:val="28"/>
        </w:rPr>
        <w:t>盖章、签订日期，加盖单位公章）</w:t>
      </w:r>
    </w:p>
    <w:p>
      <w:pPr>
        <w:adjustRightInd w:val="0"/>
        <w:snapToGrid w:val="0"/>
        <w:spacing w:line="600" w:lineRule="exact"/>
        <w:jc w:val="left"/>
        <w:rPr>
          <w:rFonts w:ascii="仿宋_GB2312" w:eastAsia="仿宋_GB2312"/>
          <w:sz w:val="28"/>
          <w:szCs w:val="28"/>
          <w:u w:val="single"/>
        </w:rPr>
      </w:pPr>
      <w:r>
        <w:rPr>
          <w:rFonts w:hint="eastAsia" w:ascii="MS Mincho" w:hAnsi="MS Mincho" w:eastAsia="MS Mincho" w:cs="MS Mincho"/>
          <w:sz w:val="28"/>
          <w:szCs w:val="28"/>
        </w:rPr>
        <w:t>☑</w:t>
      </w:r>
      <w:r>
        <w:rPr>
          <w:rFonts w:hint="eastAsia" w:ascii="仿宋_GB2312" w:eastAsia="仿宋_GB2312"/>
          <w:sz w:val="28"/>
          <w:szCs w:val="28"/>
        </w:rPr>
        <w:t>（4）项目负责人应当具备</w:t>
      </w:r>
      <w:r>
        <w:rPr>
          <w:rFonts w:hint="eastAsia" w:ascii="仿宋_GB2312" w:eastAsia="仿宋_GB2312"/>
          <w:sz w:val="28"/>
          <w:szCs w:val="28"/>
          <w:u w:val="single"/>
          <w:lang w:val="en-US" w:eastAsia="zh-CN"/>
        </w:rPr>
        <w:t>机电</w:t>
      </w:r>
      <w:r>
        <w:rPr>
          <w:rFonts w:hint="eastAsia" w:ascii="仿宋_GB2312" w:eastAsia="仿宋_GB2312"/>
          <w:sz w:val="28"/>
          <w:szCs w:val="28"/>
          <w:u w:val="single"/>
        </w:rPr>
        <w:t xml:space="preserve">专业二级（或以上级别）的注册建造师，同时持有项目负责人安全生产考核合格证（B类）（或能够提供广东省建筑施工企业管理人员安全生产考核信息系统安全生产管理人员证书信息的网页截图）；  （注：根据广东省建设信息中心关于启用新版“广东省建设执业资格注册管理信息系统”的通知，二级注册建造师电子证书须由本人在个人签名处手写签名，未手写签名或与签名图像笔迹不一致的，电子证书无效） </w:t>
      </w:r>
      <w:r>
        <w:rPr>
          <w:rFonts w:hint="eastAsia" w:ascii="仿宋_GB2312" w:eastAsia="仿宋_GB2312"/>
          <w:sz w:val="28"/>
          <w:szCs w:val="28"/>
        </w:rPr>
        <w:t>资格条件。</w:t>
      </w:r>
    </w:p>
    <w:p>
      <w:pPr>
        <w:pStyle w:val="25"/>
        <w:spacing w:line="600" w:lineRule="exact"/>
        <w:ind w:firstLine="0"/>
        <w:jc w:val="left"/>
        <w:rPr>
          <w:rFonts w:ascii="仿宋_GB2312" w:eastAsia="仿宋_GB2312"/>
          <w:color w:val="auto"/>
          <w:sz w:val="28"/>
          <w:szCs w:val="28"/>
          <w:u w:val="single"/>
        </w:rPr>
      </w:pPr>
      <w:r>
        <w:rPr>
          <w:rFonts w:hint="eastAsia" w:ascii="MS Mincho" w:hAnsi="MS Mincho" w:eastAsia="MS Mincho" w:cs="MS Mincho"/>
          <w:color w:val="auto"/>
          <w:sz w:val="28"/>
          <w:szCs w:val="28"/>
        </w:rPr>
        <w:t>☑</w:t>
      </w:r>
      <w:r>
        <w:rPr>
          <w:rFonts w:hint="eastAsia" w:ascii="仿宋_GB2312" w:eastAsia="仿宋_GB2312"/>
          <w:color w:val="auto"/>
          <w:sz w:val="28"/>
          <w:szCs w:val="28"/>
        </w:rPr>
        <w:t>（5）其他要求：</w:t>
      </w:r>
      <w:r>
        <w:rPr>
          <w:rFonts w:hint="eastAsia" w:ascii="仿宋_GB2312" w:eastAsia="仿宋_GB2312"/>
          <w:color w:val="auto"/>
          <w:sz w:val="28"/>
          <w:szCs w:val="28"/>
          <w:u w:val="single"/>
        </w:rPr>
        <w:t xml:space="preserve">  专职安全人员要求：须具有安全生产考核合格证（C类）（或能够提供广东省建筑施工企业管理人员安全生产考核信息系统安全生产管理人员证书信息的网页截图）。</w:t>
      </w:r>
      <w:r>
        <w:rPr>
          <w:rFonts w:hint="eastAsia" w:ascii="仿宋_GB2312" w:eastAsia="仿宋_GB2312"/>
          <w:color w:val="auto"/>
          <w:sz w:val="28"/>
          <w:szCs w:val="28"/>
          <w:u w:val="single"/>
          <w:lang w:val="en-US" w:eastAsia="zh-CN"/>
        </w:rPr>
        <w:t>项目负责人和专职安全员不得为同一人。</w:t>
      </w:r>
      <w:r>
        <w:rPr>
          <w:rFonts w:hint="eastAsia" w:ascii="仿宋_GB2312" w:eastAsia="仿宋_GB2312"/>
          <w:color w:val="auto"/>
          <w:sz w:val="28"/>
          <w:szCs w:val="28"/>
          <w:u w:val="single"/>
        </w:rPr>
        <w:t xml:space="preserve">   </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3.2供应商在响应文件提交截止日期止不得存在下列情形之一（须出具不得存在情形承诺函）：</w:t>
      </w:r>
    </w:p>
    <w:p>
      <w:pPr>
        <w:adjustRightInd w:val="0"/>
        <w:snapToGrid w:val="0"/>
        <w:spacing w:line="600" w:lineRule="exact"/>
        <w:ind w:firstLine="420" w:firstLineChars="150"/>
        <w:rPr>
          <w:rFonts w:hint="eastAsia" w:ascii="仿宋_GB2312" w:eastAsia="仿宋_GB2312"/>
          <w:sz w:val="28"/>
          <w:szCs w:val="28"/>
        </w:rPr>
      </w:pPr>
      <w:r>
        <w:rPr>
          <w:rFonts w:hint="eastAsia" w:ascii="仿宋_GB2312" w:eastAsia="仿宋_GB2312"/>
          <w:sz w:val="28"/>
          <w:szCs w:val="28"/>
        </w:rPr>
        <w:t>（1）与本项目其他供应商的单位负责人为同一人。</w:t>
      </w:r>
    </w:p>
    <w:p>
      <w:pPr>
        <w:adjustRightInd w:val="0"/>
        <w:snapToGrid w:val="0"/>
        <w:spacing w:line="600" w:lineRule="exact"/>
        <w:ind w:firstLine="420" w:firstLineChars="150"/>
        <w:rPr>
          <w:rFonts w:hint="eastAsia" w:ascii="仿宋_GB2312" w:eastAsia="仿宋_GB2312"/>
          <w:sz w:val="28"/>
          <w:szCs w:val="28"/>
        </w:rPr>
      </w:pPr>
      <w:r>
        <w:rPr>
          <w:rFonts w:hint="eastAsia" w:ascii="仿宋_GB2312" w:eastAsia="仿宋_GB2312"/>
          <w:sz w:val="28"/>
          <w:szCs w:val="28"/>
        </w:rPr>
        <w:t>（2）与本项目其他供应商存在控股或管理关系。</w:t>
      </w:r>
    </w:p>
    <w:p>
      <w:pPr>
        <w:adjustRightInd w:val="0"/>
        <w:snapToGrid w:val="0"/>
        <w:spacing w:line="600" w:lineRule="exact"/>
        <w:ind w:firstLine="420" w:firstLineChars="150"/>
        <w:rPr>
          <w:rFonts w:hint="eastAsia" w:ascii="仿宋_GB2312" w:eastAsia="仿宋_GB2312"/>
          <w:sz w:val="28"/>
          <w:szCs w:val="28"/>
        </w:rPr>
      </w:pPr>
      <w:r>
        <w:rPr>
          <w:rFonts w:hint="eastAsia" w:ascii="仿宋_GB2312" w:eastAsia="仿宋_GB2312"/>
          <w:sz w:val="28"/>
          <w:szCs w:val="28"/>
        </w:rPr>
        <w:t>（3）被本项目所在地省级以上行业主管部门依法暂停、取消投标或禁止参加采购活动且处于有效期内的。</w:t>
      </w:r>
    </w:p>
    <w:p>
      <w:pPr>
        <w:adjustRightInd w:val="0"/>
        <w:snapToGrid w:val="0"/>
        <w:spacing w:line="600" w:lineRule="exact"/>
        <w:ind w:firstLine="420" w:firstLineChars="150"/>
        <w:rPr>
          <w:rFonts w:hint="eastAsia" w:ascii="仿宋_GB2312" w:eastAsia="仿宋_GB2312"/>
          <w:sz w:val="28"/>
          <w:szCs w:val="28"/>
        </w:rPr>
      </w:pPr>
      <w:r>
        <w:rPr>
          <w:rFonts w:hint="eastAsia" w:ascii="仿宋_GB2312" w:eastAsia="仿宋_GB2312"/>
          <w:sz w:val="28"/>
          <w:szCs w:val="28"/>
        </w:rPr>
        <w:t>（4）处于被责令停产停业、暂扣或者吊销执照、暂扣或者吊销许可证、吊销资质证书状态。</w:t>
      </w:r>
    </w:p>
    <w:p>
      <w:pPr>
        <w:adjustRightInd w:val="0"/>
        <w:snapToGrid w:val="0"/>
        <w:spacing w:line="600" w:lineRule="exact"/>
        <w:ind w:firstLine="420" w:firstLineChars="150"/>
        <w:rPr>
          <w:rFonts w:hint="eastAsia" w:ascii="仿宋_GB2312" w:eastAsia="仿宋_GB2312"/>
          <w:sz w:val="28"/>
          <w:szCs w:val="28"/>
        </w:rPr>
      </w:pPr>
      <w:r>
        <w:rPr>
          <w:rFonts w:hint="eastAsia" w:ascii="仿宋_GB2312" w:eastAsia="仿宋_GB2312"/>
          <w:sz w:val="28"/>
          <w:szCs w:val="28"/>
        </w:rPr>
        <w:t>（5）进入清算程序，或被宣告破产，或其他丧失履约能力情形的。</w:t>
      </w:r>
    </w:p>
    <w:p>
      <w:pPr>
        <w:adjustRightInd w:val="0"/>
        <w:snapToGrid w:val="0"/>
        <w:spacing w:line="600" w:lineRule="exact"/>
        <w:ind w:firstLine="420" w:firstLineChars="150"/>
        <w:rPr>
          <w:rFonts w:hint="eastAsia" w:ascii="仿宋_GB2312" w:eastAsia="仿宋_GB2312"/>
          <w:sz w:val="28"/>
          <w:szCs w:val="28"/>
        </w:rPr>
      </w:pPr>
      <w:r>
        <w:rPr>
          <w:rFonts w:hint="eastAsia" w:ascii="仿宋_GB2312" w:eastAsia="仿宋_GB2312"/>
          <w:sz w:val="28"/>
          <w:szCs w:val="28"/>
        </w:rPr>
        <w:t>（6）近三年内因发生质量或安全生产事故等受到行政处罚且在处罚期内的。</w:t>
      </w:r>
    </w:p>
    <w:p>
      <w:pPr>
        <w:adjustRightInd w:val="0"/>
        <w:snapToGrid w:val="0"/>
        <w:spacing w:line="600" w:lineRule="exact"/>
        <w:ind w:firstLine="420" w:firstLineChars="150"/>
        <w:rPr>
          <w:rFonts w:hint="eastAsia" w:ascii="仿宋_GB2312" w:eastAsia="仿宋_GB2312"/>
          <w:sz w:val="28"/>
          <w:szCs w:val="28"/>
        </w:rPr>
      </w:pPr>
      <w:r>
        <w:rPr>
          <w:rFonts w:hint="eastAsia" w:ascii="仿宋_GB2312" w:eastAsia="仿宋_GB2312"/>
          <w:sz w:val="28"/>
          <w:szCs w:val="28"/>
        </w:rPr>
        <w:t>（7）在“信用中国”网站（www.creditchina.gov.cn）中被列入失信执行人、安全生产领域严重失信惩戒名单、拖欠农民工工资失信联合惩戒对象名单。</w:t>
      </w:r>
    </w:p>
    <w:p>
      <w:pPr>
        <w:adjustRightInd w:val="0"/>
        <w:snapToGrid w:val="0"/>
        <w:spacing w:line="600" w:lineRule="exact"/>
        <w:ind w:firstLine="420" w:firstLineChars="150"/>
        <w:rPr>
          <w:rFonts w:hint="eastAsia" w:ascii="仿宋_GB2312" w:eastAsia="仿宋_GB2312"/>
          <w:sz w:val="28"/>
          <w:szCs w:val="28"/>
        </w:rPr>
      </w:pPr>
      <w:r>
        <w:rPr>
          <w:rFonts w:hint="eastAsia" w:ascii="仿宋_GB2312" w:eastAsia="仿宋_GB2312"/>
          <w:sz w:val="28"/>
          <w:szCs w:val="28"/>
        </w:rPr>
        <w:t>（8）在“信用中国”网站（www.creditchina.gov.cn）中被列入严重失信主体名单。</w:t>
      </w:r>
    </w:p>
    <w:p>
      <w:pPr>
        <w:adjustRightInd w:val="0"/>
        <w:snapToGrid w:val="0"/>
        <w:spacing w:line="600" w:lineRule="exact"/>
        <w:ind w:firstLine="420" w:firstLineChars="150"/>
        <w:rPr>
          <w:rFonts w:hint="eastAsia" w:ascii="仿宋_GB2312" w:eastAsia="仿宋_GB2312"/>
          <w:sz w:val="28"/>
          <w:szCs w:val="28"/>
        </w:rPr>
      </w:pPr>
      <w:r>
        <w:rPr>
          <w:rFonts w:hint="eastAsia" w:ascii="仿宋_GB2312" w:eastAsia="仿宋_GB2312"/>
          <w:sz w:val="28"/>
          <w:szCs w:val="28"/>
        </w:rPr>
        <w:t>（9）其他违法违纪行为，经审查认为不宜被邀请参加采购活动的。</w:t>
      </w:r>
    </w:p>
    <w:p>
      <w:pPr>
        <w:adjustRightInd w:val="0"/>
        <w:snapToGrid w:val="0"/>
        <w:spacing w:line="600" w:lineRule="exact"/>
        <w:ind w:firstLine="420" w:firstLineChars="150"/>
        <w:jc w:val="left"/>
        <w:rPr>
          <w:rFonts w:ascii="仿宋_GB2312" w:eastAsia="仿宋_GB2312"/>
          <w:sz w:val="28"/>
          <w:szCs w:val="28"/>
          <w:u w:val="single"/>
        </w:rPr>
      </w:pPr>
      <w:r>
        <w:rPr>
          <w:rFonts w:hint="eastAsia" w:ascii="仿宋_GB2312" w:eastAsia="仿宋_GB2312"/>
          <w:sz w:val="28"/>
          <w:szCs w:val="28"/>
        </w:rPr>
        <w:t>（10）其他禁止情形：</w:t>
      </w:r>
      <w:r>
        <w:rPr>
          <w:rFonts w:hint="eastAsia" w:ascii="仿宋_GB2312" w:eastAsia="仿宋_GB2312"/>
          <w:sz w:val="28"/>
          <w:szCs w:val="28"/>
          <w:u w:val="single"/>
        </w:rPr>
        <w:t xml:space="preserve">          </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3.3本次项目</w:t>
      </w:r>
      <w:r>
        <w:rPr>
          <w:rFonts w:hint="eastAsia" w:ascii="仿宋_GB2312" w:eastAsia="仿宋_GB2312"/>
          <w:sz w:val="28"/>
          <w:szCs w:val="28"/>
          <w:u w:val="single"/>
        </w:rPr>
        <w:t>不接受</w:t>
      </w:r>
      <w:r>
        <w:rPr>
          <w:rFonts w:hint="eastAsia" w:ascii="仿宋_GB2312" w:eastAsia="仿宋_GB2312"/>
          <w:sz w:val="28"/>
          <w:szCs w:val="28"/>
        </w:rPr>
        <w:t>联合体参加采购活动</w:t>
      </w:r>
    </w:p>
    <w:p>
      <w:pPr>
        <w:adjustRightInd w:val="0"/>
        <w:snapToGrid w:val="0"/>
        <w:spacing w:line="600" w:lineRule="exact"/>
        <w:jc w:val="left"/>
        <w:rPr>
          <w:rFonts w:asciiTheme="minorEastAsia" w:hAnsiTheme="minorEastAsia"/>
          <w:b/>
          <w:sz w:val="32"/>
          <w:szCs w:val="32"/>
        </w:rPr>
      </w:pPr>
      <w:r>
        <w:rPr>
          <w:rFonts w:asciiTheme="minorEastAsia" w:hAnsiTheme="minorEastAsia"/>
          <w:b/>
          <w:sz w:val="32"/>
          <w:szCs w:val="32"/>
        </w:rPr>
        <w:t>4.采购文件的获取</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4.1获取时间</w:t>
      </w:r>
    </w:p>
    <w:p>
      <w:pPr>
        <w:adjustRightInd w:val="0"/>
        <w:snapToGrid w:val="0"/>
        <w:spacing w:line="600" w:lineRule="exact"/>
        <w:ind w:firstLine="555"/>
        <w:jc w:val="left"/>
        <w:rPr>
          <w:rFonts w:ascii="仿宋_GB2312" w:eastAsia="仿宋_GB2312"/>
          <w:sz w:val="28"/>
          <w:szCs w:val="28"/>
        </w:rPr>
      </w:pPr>
      <w:r>
        <w:rPr>
          <w:rFonts w:hint="eastAsia" w:ascii="仿宋_GB2312" w:eastAsia="仿宋_GB2312"/>
          <w:sz w:val="28"/>
          <w:szCs w:val="28"/>
        </w:rPr>
        <w:t>从</w:t>
      </w:r>
      <w:r>
        <w:rPr>
          <w:rFonts w:ascii="仿宋_GB2312" w:eastAsia="仿宋_GB2312"/>
          <w:sz w:val="28"/>
          <w:szCs w:val="28"/>
          <w:u w:val="single"/>
        </w:rPr>
        <w:t xml:space="preserve"> </w:t>
      </w:r>
      <w:r>
        <w:rPr>
          <w:rFonts w:hint="eastAsia" w:ascii="仿宋_GB2312" w:eastAsia="仿宋_GB2312"/>
          <w:sz w:val="28"/>
          <w:szCs w:val="28"/>
          <w:u w:val="single"/>
          <w:lang w:val="en-US" w:eastAsia="zh-CN"/>
        </w:rPr>
        <w:t>2024</w:t>
      </w:r>
      <w:r>
        <w:rPr>
          <w:rFonts w:ascii="仿宋_GB2312" w:eastAsia="仿宋_GB2312"/>
          <w:sz w:val="28"/>
          <w:szCs w:val="28"/>
          <w:u w:val="single"/>
        </w:rPr>
        <w:t xml:space="preserve"> </w:t>
      </w:r>
      <w:r>
        <w:rPr>
          <w:rFonts w:hint="eastAsia" w:ascii="仿宋_GB2312" w:eastAsia="仿宋_GB2312"/>
          <w:sz w:val="28"/>
          <w:szCs w:val="28"/>
        </w:rPr>
        <w:t>年</w:t>
      </w:r>
      <w:r>
        <w:rPr>
          <w:rFonts w:ascii="仿宋_GB2312" w:eastAsia="仿宋_GB2312"/>
          <w:sz w:val="28"/>
          <w:szCs w:val="28"/>
          <w:u w:val="single"/>
        </w:rPr>
        <w:t xml:space="preserve"> </w:t>
      </w:r>
      <w:r>
        <w:rPr>
          <w:rFonts w:hint="eastAsia" w:ascii="仿宋_GB2312" w:eastAsia="仿宋_GB2312"/>
          <w:sz w:val="28"/>
          <w:szCs w:val="28"/>
          <w:u w:val="single"/>
          <w:lang w:val="en-US" w:eastAsia="zh-CN"/>
        </w:rPr>
        <w:t>9</w:t>
      </w:r>
      <w:r>
        <w:rPr>
          <w:rFonts w:ascii="仿宋_GB2312" w:eastAsia="仿宋_GB2312"/>
          <w:sz w:val="28"/>
          <w:szCs w:val="28"/>
          <w:u w:val="single"/>
        </w:rPr>
        <w:t xml:space="preserve"> </w:t>
      </w:r>
      <w:r>
        <w:rPr>
          <w:rFonts w:hint="eastAsia" w:ascii="仿宋_GB2312" w:eastAsia="仿宋_GB2312"/>
          <w:sz w:val="28"/>
          <w:szCs w:val="28"/>
        </w:rPr>
        <w:t>月</w:t>
      </w:r>
      <w:r>
        <w:rPr>
          <w:rFonts w:ascii="仿宋_GB2312" w:eastAsia="仿宋_GB2312"/>
          <w:sz w:val="28"/>
          <w:szCs w:val="28"/>
          <w:u w:val="single"/>
        </w:rPr>
        <w:t xml:space="preserve"> </w:t>
      </w:r>
      <w:r>
        <w:rPr>
          <w:rFonts w:hint="eastAsia" w:ascii="仿宋_GB2312" w:eastAsia="仿宋_GB2312"/>
          <w:sz w:val="28"/>
          <w:szCs w:val="28"/>
          <w:u w:val="single"/>
          <w:lang w:val="en-US" w:eastAsia="zh-CN"/>
        </w:rPr>
        <w:t>7</w:t>
      </w:r>
      <w:r>
        <w:rPr>
          <w:rFonts w:ascii="仿宋_GB2312" w:eastAsia="仿宋_GB2312"/>
          <w:sz w:val="28"/>
          <w:szCs w:val="28"/>
          <w:u w:val="single"/>
        </w:rPr>
        <w:t xml:space="preserve"> </w:t>
      </w:r>
      <w:r>
        <w:rPr>
          <w:rFonts w:hint="eastAsia" w:ascii="仿宋_GB2312" w:eastAsia="仿宋_GB2312"/>
          <w:sz w:val="28"/>
          <w:szCs w:val="28"/>
        </w:rPr>
        <w:t>日至</w:t>
      </w:r>
      <w:r>
        <w:rPr>
          <w:rFonts w:ascii="仿宋_GB2312" w:eastAsia="仿宋_GB2312"/>
          <w:sz w:val="28"/>
          <w:szCs w:val="28"/>
          <w:u w:val="single"/>
        </w:rPr>
        <w:t xml:space="preserve"> </w:t>
      </w:r>
      <w:r>
        <w:rPr>
          <w:rFonts w:hint="eastAsia" w:ascii="仿宋_GB2312" w:eastAsia="仿宋_GB2312"/>
          <w:sz w:val="28"/>
          <w:szCs w:val="28"/>
          <w:u w:val="single"/>
          <w:lang w:val="en-US" w:eastAsia="zh-CN"/>
        </w:rPr>
        <w:t>2024</w:t>
      </w:r>
      <w:r>
        <w:rPr>
          <w:rFonts w:ascii="仿宋_GB2312" w:eastAsia="仿宋_GB2312"/>
          <w:sz w:val="28"/>
          <w:szCs w:val="28"/>
          <w:u w:val="single"/>
        </w:rPr>
        <w:t xml:space="preserve"> </w:t>
      </w:r>
      <w:r>
        <w:rPr>
          <w:rFonts w:hint="eastAsia" w:ascii="仿宋_GB2312" w:eastAsia="仿宋_GB2312"/>
          <w:sz w:val="28"/>
          <w:szCs w:val="28"/>
        </w:rPr>
        <w:t>年</w:t>
      </w:r>
      <w:r>
        <w:rPr>
          <w:rFonts w:ascii="仿宋_GB2312" w:eastAsia="仿宋_GB2312"/>
          <w:sz w:val="28"/>
          <w:szCs w:val="28"/>
          <w:u w:val="single"/>
        </w:rPr>
        <w:t xml:space="preserve"> </w:t>
      </w:r>
      <w:r>
        <w:rPr>
          <w:rFonts w:hint="eastAsia" w:ascii="仿宋_GB2312" w:eastAsia="仿宋_GB2312"/>
          <w:sz w:val="28"/>
          <w:szCs w:val="28"/>
          <w:u w:val="single"/>
          <w:lang w:val="en-US" w:eastAsia="zh-CN"/>
        </w:rPr>
        <w:t>9</w:t>
      </w:r>
      <w:r>
        <w:rPr>
          <w:rFonts w:ascii="仿宋_GB2312" w:eastAsia="仿宋_GB2312"/>
          <w:sz w:val="28"/>
          <w:szCs w:val="28"/>
          <w:u w:val="single"/>
        </w:rPr>
        <w:t xml:space="preserve"> </w:t>
      </w:r>
      <w:r>
        <w:rPr>
          <w:rFonts w:hint="eastAsia" w:ascii="仿宋_GB2312" w:eastAsia="仿宋_GB2312"/>
          <w:sz w:val="28"/>
          <w:szCs w:val="28"/>
        </w:rPr>
        <w:t>月</w:t>
      </w:r>
      <w:r>
        <w:rPr>
          <w:rFonts w:ascii="仿宋_GB2312" w:eastAsia="仿宋_GB2312"/>
          <w:sz w:val="28"/>
          <w:szCs w:val="28"/>
          <w:u w:val="single"/>
        </w:rPr>
        <w:t xml:space="preserve"> </w:t>
      </w:r>
      <w:r>
        <w:rPr>
          <w:rFonts w:hint="eastAsia" w:ascii="仿宋_GB2312" w:eastAsia="仿宋_GB2312"/>
          <w:sz w:val="28"/>
          <w:szCs w:val="28"/>
          <w:u w:val="single"/>
          <w:lang w:val="en-US" w:eastAsia="zh-CN"/>
        </w:rPr>
        <w:t>11</w:t>
      </w:r>
      <w:r>
        <w:rPr>
          <w:rFonts w:ascii="仿宋_GB2312" w:eastAsia="仿宋_GB2312"/>
          <w:sz w:val="28"/>
          <w:szCs w:val="28"/>
          <w:u w:val="single"/>
        </w:rPr>
        <w:t xml:space="preserve"> </w:t>
      </w:r>
      <w:r>
        <w:rPr>
          <w:rFonts w:hint="eastAsia" w:ascii="仿宋_GB2312" w:eastAsia="仿宋_GB2312"/>
          <w:sz w:val="28"/>
          <w:szCs w:val="28"/>
        </w:rPr>
        <w:t>日（北京时间）</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4.2获取方式</w:t>
      </w:r>
    </w:p>
    <w:p>
      <w:pPr>
        <w:adjustRightInd w:val="0"/>
        <w:snapToGrid w:val="0"/>
        <w:spacing w:line="600" w:lineRule="exact"/>
        <w:ind w:firstLine="560" w:firstLineChars="200"/>
        <w:jc w:val="left"/>
        <w:rPr>
          <w:rFonts w:ascii="仿宋_GB2312" w:eastAsia="仿宋_GB2312"/>
          <w:sz w:val="28"/>
          <w:szCs w:val="28"/>
        </w:rPr>
      </w:pPr>
      <w:r>
        <w:rPr>
          <w:rFonts w:hint="eastAsia" w:ascii="仿宋_GB2312" w:eastAsia="仿宋_GB2312"/>
          <w:sz w:val="28"/>
          <w:szCs w:val="28"/>
        </w:rPr>
        <w:t>在</w:t>
      </w:r>
      <w:r>
        <w:rPr>
          <w:rFonts w:hint="eastAsia" w:ascii="仿宋_GB2312" w:eastAsia="仿宋_GB2312"/>
          <w:sz w:val="28"/>
          <w:szCs w:val="28"/>
          <w:u w:val="single"/>
        </w:rPr>
        <w:t>广州市净水有限公司门户网站</w:t>
      </w:r>
      <w:r>
        <w:rPr>
          <w:rFonts w:hint="eastAsia" w:ascii="仿宋_GB2312" w:eastAsia="仿宋_GB2312"/>
          <w:sz w:val="28"/>
          <w:szCs w:val="28"/>
        </w:rPr>
        <w:t xml:space="preserve">下载采购文件。 </w:t>
      </w:r>
    </w:p>
    <w:p>
      <w:pPr>
        <w:numPr>
          <w:ilvl w:val="0"/>
          <w:numId w:val="2"/>
        </w:num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踏勘现场</w:t>
      </w:r>
    </w:p>
    <w:p>
      <w:pPr>
        <w:adjustRightInd w:val="0"/>
        <w:snapToGrid w:val="0"/>
        <w:spacing w:line="600" w:lineRule="exact"/>
        <w:ind w:firstLine="0" w:firstLineChars="0"/>
        <w:rPr>
          <w:rFonts w:ascii="仿宋_GB2312" w:eastAsia="仿宋_GB2312"/>
          <w:sz w:val="28"/>
          <w:szCs w:val="28"/>
        </w:rPr>
      </w:pPr>
      <w:r>
        <w:rPr>
          <w:rFonts w:hint="eastAsia" w:ascii="仿宋_GB2312" w:eastAsia="仿宋_GB2312"/>
          <w:sz w:val="28"/>
          <w:szCs w:val="28"/>
        </w:rPr>
        <w:t>☑不组织</w:t>
      </w:r>
    </w:p>
    <w:p>
      <w:pPr>
        <w:pStyle w:val="6"/>
        <w:ind w:firstLine="0" w:firstLineChars="0"/>
        <w:rPr>
          <w:rFonts w:eastAsia="仿宋_GB2312"/>
        </w:rPr>
      </w:pPr>
      <w:r>
        <w:rPr>
          <w:rFonts w:hint="eastAsia" w:ascii="仿宋_GB2312" w:eastAsia="仿宋_GB2312" w:hAnsiTheme="minorHAnsi"/>
          <w:sz w:val="28"/>
          <w:szCs w:val="28"/>
        </w:rPr>
        <w:t>□组织：</w:t>
      </w:r>
      <w:r>
        <w:rPr>
          <w:rFonts w:hint="eastAsia" w:ascii="仿宋_GB2312" w:hAnsi="仿宋" w:eastAsia="仿宋_GB2312" w:cs="仿宋_GB2312"/>
          <w:color w:val="000000" w:themeColor="text1"/>
          <w:sz w:val="28"/>
          <w:szCs w:val="28"/>
          <w14:textFill>
            <w14:solidFill>
              <w14:schemeClr w14:val="tx1"/>
            </w14:solidFill>
          </w14:textFill>
        </w:rPr>
        <w:t>供应商可</w:t>
      </w:r>
      <w:r>
        <w:rPr>
          <w:rFonts w:hint="eastAsia" w:ascii="仿宋_GB2312" w:hAnsi="仿宋" w:eastAsia="仿宋_GB2312" w:cs="仿宋_GB2312"/>
          <w:color w:val="000000" w:themeColor="text1"/>
          <w:sz w:val="28"/>
          <w:szCs w:val="28"/>
          <w:lang w:val="zh-CN"/>
          <w14:textFill>
            <w14:solidFill>
              <w14:schemeClr w14:val="tx1"/>
            </w14:solidFill>
          </w14:textFill>
        </w:rPr>
        <w:t>自行</w:t>
      </w:r>
      <w:r>
        <w:rPr>
          <w:rFonts w:hint="eastAsia" w:ascii="仿宋_GB2312" w:hAnsi="仿宋" w:eastAsia="仿宋_GB2312" w:cs="仿宋_GB2312"/>
          <w:color w:val="000000" w:themeColor="text1"/>
          <w:sz w:val="28"/>
          <w:szCs w:val="28"/>
          <w14:textFill>
            <w14:solidFill>
              <w14:schemeClr w14:val="tx1"/>
            </w14:solidFill>
          </w14:textFill>
        </w:rPr>
        <w:t>选择是否前往现场踏勘</w:t>
      </w:r>
      <w:r>
        <w:rPr>
          <w:rFonts w:hint="eastAsia" w:ascii="仿宋_GB2312" w:hAnsi="仿宋" w:eastAsia="仿宋_GB2312" w:cs="仿宋_GB2312"/>
          <w:color w:val="000000" w:themeColor="text1"/>
          <w:sz w:val="28"/>
          <w:szCs w:val="28"/>
          <w:lang w:val="zh-CN"/>
          <w14:textFill>
            <w14:solidFill>
              <w14:schemeClr w14:val="tx1"/>
            </w14:solidFill>
          </w14:textFill>
        </w:rPr>
        <w:t>，</w:t>
      </w:r>
      <w:r>
        <w:rPr>
          <w:rFonts w:hint="eastAsia" w:ascii="仿宋_GB2312" w:hAnsi="仿宋" w:eastAsia="仿宋_GB2312" w:cs="仿宋_GB2312"/>
          <w:color w:val="000000" w:themeColor="text1"/>
          <w:sz w:val="28"/>
          <w:szCs w:val="28"/>
          <w14:textFill>
            <w14:solidFill>
              <w14:schemeClr w14:val="tx1"/>
            </w14:solidFill>
          </w14:textFill>
        </w:rPr>
        <w:t>若前往现场踏勘须在规定时间内到达集中地点，逾期不再接待</w:t>
      </w:r>
      <w:r>
        <w:rPr>
          <w:rFonts w:hint="eastAsia" w:ascii="仿宋_GB2312" w:hAnsi="仿宋" w:eastAsia="仿宋_GB2312" w:cs="仿宋_GB2312"/>
          <w:color w:val="000000" w:themeColor="text1"/>
          <w:sz w:val="28"/>
          <w:szCs w:val="28"/>
          <w:lang w:val="zh-CN"/>
          <w14:textFill>
            <w14:solidFill>
              <w14:schemeClr w14:val="tx1"/>
            </w14:solidFill>
          </w14:textFill>
        </w:rPr>
        <w:t>。</w:t>
      </w:r>
    </w:p>
    <w:p>
      <w:pPr>
        <w:numPr>
          <w:ilvl w:val="0"/>
          <w:numId w:val="2"/>
        </w:num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响应文件的递交</w:t>
      </w:r>
    </w:p>
    <w:p>
      <w:pPr>
        <w:adjustRightInd w:val="0"/>
        <w:snapToGrid w:val="0"/>
        <w:spacing w:line="600" w:lineRule="exact"/>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.1递交响应文件集合时间：</w:t>
      </w:r>
      <w:r>
        <w:rPr>
          <w:rFonts w:hint="eastAsia" w:ascii="仿宋_GB2312" w:eastAsia="仿宋_GB2312"/>
          <w:color w:val="auto"/>
          <w:sz w:val="28"/>
          <w:szCs w:val="28"/>
          <w:highlight w:val="none"/>
          <w:u w:val="single"/>
        </w:rPr>
        <w:t>202</w:t>
      </w:r>
      <w:r>
        <w:rPr>
          <w:rFonts w:hint="eastAsia" w:ascii="仿宋_GB2312" w:eastAsia="仿宋_GB2312"/>
          <w:color w:val="auto"/>
          <w:sz w:val="28"/>
          <w:szCs w:val="28"/>
          <w:highlight w:val="none"/>
          <w:u w:val="single"/>
          <w:lang w:val="en-US" w:eastAsia="zh-CN"/>
        </w:rPr>
        <w:t>4</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9</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12</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lang w:val="en-US" w:eastAsia="zh-CN"/>
        </w:rPr>
        <w:t>9</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lang w:val="en-US" w:eastAsia="zh-CN"/>
        </w:rPr>
        <w:t>30</w:t>
      </w:r>
      <w:r>
        <w:rPr>
          <w:rFonts w:hint="eastAsia" w:ascii="仿宋_GB2312" w:eastAsia="仿宋_GB2312"/>
          <w:color w:val="auto"/>
          <w:sz w:val="28"/>
          <w:szCs w:val="28"/>
          <w:highlight w:val="none"/>
        </w:rPr>
        <w:t>分至</w:t>
      </w:r>
      <w:r>
        <w:rPr>
          <w:rFonts w:hint="eastAsia" w:ascii="仿宋_GB2312" w:eastAsia="仿宋_GB2312"/>
          <w:color w:val="auto"/>
          <w:sz w:val="28"/>
          <w:szCs w:val="28"/>
          <w:highlight w:val="none"/>
          <w:u w:val="single"/>
        </w:rPr>
        <w:t>202</w:t>
      </w:r>
      <w:r>
        <w:rPr>
          <w:rFonts w:hint="eastAsia" w:ascii="仿宋_GB2312" w:eastAsia="仿宋_GB2312"/>
          <w:color w:val="auto"/>
          <w:sz w:val="28"/>
          <w:szCs w:val="28"/>
          <w:highlight w:val="none"/>
          <w:u w:val="single"/>
          <w:lang w:val="en-US" w:eastAsia="zh-CN"/>
        </w:rPr>
        <w:t>4</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9</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12</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rPr>
        <w:t>1</w:t>
      </w:r>
      <w:r>
        <w:rPr>
          <w:rFonts w:hint="eastAsia" w:ascii="仿宋_GB2312" w:eastAsia="仿宋_GB2312"/>
          <w:color w:val="auto"/>
          <w:sz w:val="28"/>
          <w:szCs w:val="28"/>
          <w:highlight w:val="none"/>
          <w:u w:val="single"/>
          <w:lang w:val="en-US" w:eastAsia="zh-CN"/>
        </w:rPr>
        <w:t>0</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00</w:t>
      </w:r>
      <w:r>
        <w:rPr>
          <w:rFonts w:hint="eastAsia" w:ascii="仿宋_GB2312" w:eastAsia="仿宋_GB2312"/>
          <w:color w:val="auto"/>
          <w:sz w:val="28"/>
          <w:szCs w:val="28"/>
          <w:highlight w:val="none"/>
        </w:rPr>
        <w:t>分（北京时间）</w:t>
      </w:r>
      <w:r>
        <w:rPr>
          <w:rFonts w:hint="eastAsia" w:ascii="仿宋_GB2312" w:eastAsia="仿宋_GB2312"/>
          <w:color w:val="auto"/>
          <w:sz w:val="28"/>
          <w:szCs w:val="28"/>
          <w:highlight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6.2</w:t>
      </w:r>
      <w:r>
        <w:rPr>
          <w:rFonts w:hint="eastAsia" w:ascii="仿宋_GB2312" w:eastAsia="仿宋_GB2312"/>
          <w:color w:val="auto"/>
          <w:sz w:val="28"/>
          <w:szCs w:val="28"/>
          <w:highlight w:val="none"/>
        </w:rPr>
        <w:t>递交响应文件截止时间：</w:t>
      </w:r>
      <w:r>
        <w:rPr>
          <w:rFonts w:hint="eastAsia" w:ascii="仿宋_GB2312" w:eastAsia="仿宋_GB2312"/>
          <w:color w:val="auto"/>
          <w:sz w:val="28"/>
          <w:szCs w:val="28"/>
          <w:highlight w:val="none"/>
          <w:u w:val="single"/>
        </w:rPr>
        <w:t>202</w:t>
      </w:r>
      <w:r>
        <w:rPr>
          <w:rFonts w:hint="eastAsia" w:ascii="仿宋_GB2312" w:eastAsia="仿宋_GB2312"/>
          <w:color w:val="auto"/>
          <w:sz w:val="28"/>
          <w:szCs w:val="28"/>
          <w:highlight w:val="none"/>
          <w:u w:val="single"/>
          <w:lang w:val="en-US" w:eastAsia="zh-CN"/>
        </w:rPr>
        <w:t>4</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9</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12</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rPr>
        <w:t>1</w:t>
      </w:r>
      <w:r>
        <w:rPr>
          <w:rFonts w:hint="eastAsia" w:ascii="仿宋_GB2312" w:eastAsia="仿宋_GB2312"/>
          <w:color w:val="auto"/>
          <w:sz w:val="28"/>
          <w:szCs w:val="28"/>
          <w:highlight w:val="none"/>
          <w:u w:val="single"/>
          <w:lang w:val="en-US" w:eastAsia="zh-CN"/>
        </w:rPr>
        <w:t>0</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00</w:t>
      </w:r>
      <w:r>
        <w:rPr>
          <w:rFonts w:hint="eastAsia" w:ascii="仿宋_GB2312" w:eastAsia="仿宋_GB2312"/>
          <w:color w:val="auto"/>
          <w:sz w:val="28"/>
          <w:szCs w:val="28"/>
          <w:highlight w:val="none"/>
        </w:rPr>
        <w:t>分（北京时间）</w:t>
      </w:r>
      <w:r>
        <w:rPr>
          <w:rFonts w:hint="eastAsia" w:ascii="仿宋_GB2312" w:eastAsia="仿宋_GB2312"/>
          <w:color w:val="auto"/>
          <w:sz w:val="28"/>
          <w:szCs w:val="28"/>
          <w:highlight w:val="none"/>
          <w:lang w:eastAsia="zh-CN"/>
        </w:rPr>
        <w:t>。</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递交地址：</w:t>
      </w:r>
      <w:r>
        <w:rPr>
          <w:rFonts w:hint="eastAsia" w:ascii="仿宋_GB2312" w:eastAsia="仿宋_GB2312"/>
          <w:color w:val="auto"/>
          <w:sz w:val="28"/>
          <w:szCs w:val="28"/>
          <w:highlight w:val="none"/>
          <w:lang w:val="en-US" w:eastAsia="zh-CN"/>
        </w:rPr>
        <w:t>广州市天河区临江大道501号</w:t>
      </w:r>
      <w:r>
        <w:rPr>
          <w:rFonts w:hint="eastAsia" w:ascii="仿宋_GB2312" w:eastAsia="仿宋_GB2312"/>
          <w:color w:val="auto"/>
          <w:sz w:val="28"/>
          <w:szCs w:val="28"/>
          <w:highlight w:val="none"/>
          <w:u w:val="single"/>
          <w:lang w:val="en-US" w:eastAsia="zh-CN"/>
        </w:rPr>
        <w:t>广州市净水有限公司6楼招标部</w:t>
      </w:r>
      <w:r>
        <w:rPr>
          <w:rFonts w:hint="eastAsia" w:ascii="仿宋_GB2312" w:eastAsia="仿宋_GB2312"/>
          <w:color w:val="auto"/>
          <w:sz w:val="28"/>
          <w:szCs w:val="28"/>
          <w:highlight w:val="none"/>
        </w:rPr>
        <w:t>。</w:t>
      </w:r>
    </w:p>
    <w:p>
      <w:pPr>
        <w:pStyle w:val="6"/>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注：授权委托人须通过“广州净水公司”微信公众号（提前）预约，填写访客预约信息。待被访部室审核员审批通过后，凭访客手机生成的“通行访客码”通行。于门岗处测温并扫码填写调查问卷，手机显示问卷“提交成功”后方可进入。</w:t>
      </w:r>
    </w:p>
    <w:p>
      <w:pPr>
        <w:pStyle w:val="6"/>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响应文件递交预约信息填写：</w:t>
      </w:r>
    </w:p>
    <w:p>
      <w:pPr>
        <w:pStyle w:val="6"/>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（1）通过“广州净水公司”微信公众号或来访时扫码进行访客预约登记。</w:t>
      </w:r>
    </w:p>
    <w:p>
      <w:pPr>
        <w:pStyle w:val="6"/>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（2）“组织”选择“公司本部”，“部门”选择“招投标合同管理部”。</w:t>
      </w:r>
    </w:p>
    <w:p>
      <w:pPr>
        <w:pStyle w:val="6"/>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（3）“被访人员”选择“招标部”，“手机号”：“62315524”。</w:t>
      </w:r>
    </w:p>
    <w:p>
      <w:pPr>
        <w:pStyle w:val="25"/>
        <w:ind w:firstLine="560" w:firstLineChars="200"/>
        <w:rPr>
          <w:rFonts w:eastAsia="仿宋_GB2312"/>
        </w:rPr>
      </w:pPr>
      <w:r>
        <w:rPr>
          <w:rFonts w:hint="eastAsia" w:ascii="仿宋_GB2312" w:eastAsia="仿宋_GB2312" w:hAnsiTheme="minorHAnsi" w:cstheme="minorBidi"/>
          <w:color w:val="auto"/>
          <w:kern w:val="2"/>
          <w:sz w:val="28"/>
          <w:szCs w:val="28"/>
          <w:highlight w:val="none"/>
        </w:rPr>
        <w:t>（4）“详细描述”：找XX，递交XX项目响应文件。</w:t>
      </w:r>
    </w:p>
    <w:p>
      <w:pPr>
        <w:adjustRightInd w:val="0"/>
        <w:snapToGrid w:val="0"/>
        <w:spacing w:line="600" w:lineRule="exact"/>
        <w:jc w:val="left"/>
        <w:rPr>
          <w:rFonts w:asciiTheme="minorEastAsia" w:hAnsiTheme="minorEastAsia"/>
          <w:b/>
          <w:sz w:val="32"/>
          <w:szCs w:val="32"/>
        </w:rPr>
      </w:pPr>
      <w:r>
        <w:rPr>
          <w:rFonts w:asciiTheme="minorEastAsia" w:hAnsiTheme="minorEastAsia"/>
          <w:b/>
          <w:sz w:val="32"/>
          <w:szCs w:val="32"/>
        </w:rPr>
        <w:t>7.其他</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7.1发布公告的其他媒介</w:t>
      </w:r>
    </w:p>
    <w:p>
      <w:pPr>
        <w:adjustRightInd w:val="0"/>
        <w:snapToGrid w:val="0"/>
        <w:spacing w:line="600" w:lineRule="exact"/>
        <w:ind w:firstLine="555"/>
        <w:rPr>
          <w:rFonts w:ascii="仿宋_GB2312" w:hAnsi="Calibri" w:eastAsia="仿宋_GB2312" w:cs="Times New Roman"/>
          <w:sz w:val="28"/>
          <w:szCs w:val="28"/>
        </w:rPr>
      </w:pPr>
      <w:r>
        <w:rPr>
          <w:rFonts w:hint="eastAsia" w:ascii="仿宋" w:hAnsi="仿宋" w:eastAsia="仿宋" w:cs="仿宋"/>
          <w:sz w:val="28"/>
          <w:szCs w:val="28"/>
        </w:rPr>
        <w:t>本项目采购公告（采购邀请书）、公告补充和修改同时在广州市净水有限公司门户网站和阳光平台上发布。本公告在各媒体发布的文本如有不同之处，以净水公司门户网站为准</w:t>
      </w:r>
      <w:r>
        <w:rPr>
          <w:rFonts w:hint="eastAsia" w:ascii="仿宋_GB2312" w:hAnsi="Calibri" w:eastAsia="仿宋_GB2312" w:cs="Times New Roman"/>
          <w:sz w:val="28"/>
          <w:szCs w:val="28"/>
        </w:rPr>
        <w:t>。</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7.2响应文件递交注意事项</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（1）逾期送达的、未送达指定地点的响应文件，采购人将予以拒收。</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sz w:val="32"/>
          <w:szCs w:val="32"/>
        </w:rPr>
      </w:pPr>
      <w:r>
        <w:rPr>
          <w:rFonts w:asciiTheme="minorEastAsia" w:hAnsiTheme="minorEastAsia"/>
          <w:b/>
          <w:sz w:val="32"/>
          <w:szCs w:val="32"/>
        </w:rPr>
        <w:t>8.</w:t>
      </w:r>
      <w:r>
        <w:rPr>
          <w:rFonts w:hint="eastAsia" w:asciiTheme="minorEastAsia" w:hAnsiTheme="minorEastAsia"/>
          <w:b/>
          <w:sz w:val="32"/>
          <w:szCs w:val="32"/>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color w:val="000000" w:themeColor="text1"/>
          <w:sz w:val="28"/>
          <w:szCs w:val="28"/>
          <w14:textFill>
            <w14:solidFill>
              <w14:schemeClr w14:val="tx1"/>
            </w14:solidFill>
          </w14:textFill>
        </w:rPr>
      </w:pPr>
      <w:r>
        <w:rPr>
          <w:rFonts w:ascii="仿宋_GB2312" w:hAnsi="仿宋" w:eastAsia="仿宋_GB2312"/>
          <w:color w:val="000000" w:themeColor="text1"/>
          <w:sz w:val="28"/>
          <w:szCs w:val="28"/>
          <w14:textFill>
            <w14:solidFill>
              <w14:schemeClr w14:val="tx1"/>
            </w14:solidFill>
          </w14:textFill>
        </w:rPr>
        <w:t>潜在供应商或利害关系人对本</w:t>
      </w:r>
      <w:r>
        <w:rPr>
          <w:rFonts w:hint="eastAsia" w:ascii="仿宋_GB2312" w:hAnsi="仿宋" w:eastAsia="仿宋_GB2312"/>
          <w:color w:val="000000" w:themeColor="text1"/>
          <w:sz w:val="28"/>
          <w:szCs w:val="28"/>
          <w14:textFill>
            <w14:solidFill>
              <w14:schemeClr w14:val="tx1"/>
            </w14:solidFill>
          </w14:textFill>
        </w:rPr>
        <w:t>采购</w:t>
      </w:r>
      <w:r>
        <w:rPr>
          <w:rFonts w:ascii="仿宋_GB2312" w:hAnsi="仿宋" w:eastAsia="仿宋_GB2312"/>
          <w:color w:val="000000" w:themeColor="text1"/>
          <w:sz w:val="28"/>
          <w:szCs w:val="28"/>
          <w14:textFill>
            <w14:solidFill>
              <w14:schemeClr w14:val="tx1"/>
            </w14:solidFill>
          </w14:textFill>
        </w:rPr>
        <w:t>公告及采购文件中任何违法及不公平内容有异议的，可以在提交</w:t>
      </w:r>
      <w:r>
        <w:rPr>
          <w:rFonts w:hint="eastAsia" w:ascii="仿宋_GB2312" w:hAnsi="仿宋" w:eastAsia="仿宋_GB2312"/>
          <w:color w:val="000000" w:themeColor="text1"/>
          <w:sz w:val="28"/>
          <w:szCs w:val="28"/>
          <w14:textFill>
            <w14:solidFill>
              <w14:schemeClr w14:val="tx1"/>
            </w14:solidFill>
          </w14:textFill>
        </w:rPr>
        <w:t>响应文件截止之日</w:t>
      </w:r>
      <w:r>
        <w:rPr>
          <w:rFonts w:ascii="仿宋_GB2312" w:hAnsi="仿宋" w:eastAsia="仿宋_GB2312"/>
          <w:color w:val="000000" w:themeColor="text1"/>
          <w:sz w:val="28"/>
          <w:szCs w:val="28"/>
          <w:u w:val="single"/>
          <w14:textFill>
            <w14:solidFill>
              <w14:schemeClr w14:val="tx1"/>
            </w14:solidFill>
          </w14:textFill>
        </w:rPr>
        <w:t>2</w:t>
      </w:r>
      <w:r>
        <w:rPr>
          <w:rFonts w:hint="eastAsia" w:ascii="仿宋_GB2312" w:hAnsi="仿宋" w:eastAsia="仿宋_GB2312"/>
          <w:color w:val="000000" w:themeColor="text1"/>
          <w:sz w:val="28"/>
          <w:szCs w:val="28"/>
          <w14:textFill>
            <w14:solidFill>
              <w14:schemeClr w14:val="tx1"/>
            </w14:solidFill>
          </w14:textFill>
        </w:rPr>
        <w:t>个工作日前</w:t>
      </w:r>
      <w:r>
        <w:rPr>
          <w:rFonts w:ascii="仿宋_GB2312" w:hAnsi="仿宋" w:eastAsia="仿宋_GB2312"/>
          <w:color w:val="000000" w:themeColor="text1"/>
          <w:sz w:val="28"/>
          <w:szCs w:val="28"/>
          <w14:textFill>
            <w14:solidFill>
              <w14:schemeClr w14:val="tx1"/>
            </w14:solidFill>
          </w14:textFill>
        </w:rPr>
        <w:t>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color w:val="000000" w:themeColor="text1"/>
          <w:sz w:val="28"/>
          <w:szCs w:val="28"/>
          <w14:textFill>
            <w14:solidFill>
              <w14:schemeClr w14:val="tx1"/>
            </w14:solidFill>
          </w14:textFill>
        </w:rPr>
      </w:pPr>
      <w:r>
        <w:rPr>
          <w:rFonts w:ascii="仿宋_GB2312" w:hAnsi="仿宋" w:eastAsia="仿宋_GB2312"/>
          <w:color w:val="000000" w:themeColor="text1"/>
          <w:sz w:val="28"/>
          <w:szCs w:val="28"/>
          <w14:textFill>
            <w14:solidFill>
              <w14:schemeClr w14:val="tx1"/>
            </w14:solidFill>
          </w14:textFill>
        </w:rPr>
        <w:t>异议受理部门：</w:t>
      </w:r>
      <w:r>
        <w:rPr>
          <w:rFonts w:hint="eastAsia" w:ascii="仿宋_GB2312" w:hAnsi="仿宋_GB2312" w:eastAsia="仿宋_GB2312" w:cs="仿宋_GB2312"/>
          <w:color w:val="000000"/>
          <w:sz w:val="28"/>
          <w:szCs w:val="28"/>
          <w:u w:val="single"/>
        </w:rPr>
        <w:t>广州市净水有限公司</w:t>
      </w:r>
      <w:r>
        <w:rPr>
          <w:rFonts w:ascii="仿宋_GB2312" w:hAnsi="仿宋" w:eastAsia="仿宋_GB2312"/>
          <w:color w:val="000000" w:themeColor="text1"/>
          <w:sz w:val="28"/>
          <w:szCs w:val="28"/>
          <w14:textFill>
            <w14:solidFill>
              <w14:schemeClr w14:val="tx1"/>
            </w14:solidFill>
          </w14:textFill>
        </w:rPr>
        <w:t>，电话：</w:t>
      </w:r>
      <w:r>
        <w:rPr>
          <w:rFonts w:ascii="仿宋_GB2312" w:hAnsi="仿宋" w:eastAsia="仿宋_GB2312"/>
          <w:color w:val="000000" w:themeColor="text1"/>
          <w:sz w:val="28"/>
          <w:szCs w:val="28"/>
          <w:u w:val="single"/>
          <w14:textFill>
            <w14:solidFill>
              <w14:schemeClr w14:val="tx1"/>
            </w14:solidFill>
          </w14:textFill>
        </w:rPr>
        <w:t>62315524</w:t>
      </w:r>
      <w:r>
        <w:rPr>
          <w:rFonts w:ascii="仿宋_GB2312" w:hAnsi="仿宋" w:eastAsia="仿宋_GB2312"/>
          <w:color w:val="000000" w:themeColor="text1"/>
          <w:sz w:val="28"/>
          <w:szCs w:val="28"/>
          <w14:textFill>
            <w14:solidFill>
              <w14:schemeClr w14:val="tx1"/>
            </w14:solidFill>
          </w14:textFill>
        </w:rPr>
        <w:t>。</w:t>
      </w:r>
    </w:p>
    <w:p>
      <w:pPr>
        <w:widowControl/>
        <w:shd w:val="clear" w:color="auto" w:fill="FFFFFF"/>
        <w:adjustRightInd w:val="0"/>
        <w:snapToGrid w:val="0"/>
        <w:spacing w:line="600" w:lineRule="exact"/>
        <w:ind w:left="1" w:firstLine="480"/>
        <w:rPr>
          <w:rFonts w:ascii="仿宋_GB2312" w:hAnsi="仿宋" w:eastAsia="仿宋_GB2312"/>
          <w:color w:val="000000" w:themeColor="text1"/>
          <w:sz w:val="28"/>
          <w:szCs w:val="28"/>
          <w14:textFill>
            <w14:solidFill>
              <w14:schemeClr w14:val="tx1"/>
            </w14:solidFill>
          </w14:textFill>
        </w:rPr>
      </w:pPr>
      <w:r>
        <w:rPr>
          <w:rFonts w:ascii="仿宋_GB2312" w:hAnsi="仿宋" w:eastAsia="仿宋_GB2312"/>
          <w:color w:val="000000" w:themeColor="text1"/>
          <w:sz w:val="28"/>
          <w:szCs w:val="28"/>
          <w14:textFill>
            <w14:solidFill>
              <w14:schemeClr w14:val="tx1"/>
            </w14:solidFill>
          </w14:textFill>
        </w:rPr>
        <w:t>地址：</w:t>
      </w:r>
      <w:r>
        <w:rPr>
          <w:rFonts w:hint="eastAsia" w:ascii="仿宋_GB2312" w:hAnsi="仿宋" w:eastAsia="仿宋_GB2312"/>
          <w:color w:val="000000" w:themeColor="text1"/>
          <w:sz w:val="28"/>
          <w:szCs w:val="28"/>
          <w:u w:val="single"/>
          <w14:textFill>
            <w14:solidFill>
              <w14:schemeClr w14:val="tx1"/>
            </w14:solidFill>
          </w14:textFill>
        </w:rPr>
        <w:t>广州市天河区临江大道</w:t>
      </w:r>
      <w:r>
        <w:rPr>
          <w:rFonts w:ascii="仿宋_GB2312" w:hAnsi="仿宋" w:eastAsia="仿宋_GB2312"/>
          <w:color w:val="000000" w:themeColor="text1"/>
          <w:sz w:val="28"/>
          <w:szCs w:val="28"/>
          <w:u w:val="single"/>
          <w14:textFill>
            <w14:solidFill>
              <w14:schemeClr w14:val="tx1"/>
            </w14:solidFill>
          </w14:textFill>
        </w:rPr>
        <w:t>501号广州市净水有限公司</w:t>
      </w:r>
      <w:r>
        <w:rPr>
          <w:rFonts w:ascii="仿宋_GB2312" w:hAnsi="仿宋" w:eastAsia="仿宋_GB2312"/>
          <w:color w:val="000000" w:themeColor="text1"/>
          <w:sz w:val="28"/>
          <w:szCs w:val="28"/>
          <w14:textFill>
            <w14:solidFill>
              <w14:schemeClr w14:val="tx1"/>
            </w14:solidFill>
          </w14:textFill>
        </w:rPr>
        <w:t xml:space="preserve"> 。</w:t>
      </w:r>
    </w:p>
    <w:p>
      <w:pPr>
        <w:adjustRightInd w:val="0"/>
        <w:snapToGrid w:val="0"/>
        <w:spacing w:before="190" w:beforeLines="50" w:after="190" w:afterLines="50" w:line="600" w:lineRule="exact"/>
        <w:jc w:val="left"/>
        <w:rPr>
          <w:rFonts w:asciiTheme="minorEastAsia" w:hAnsiTheme="minorEastAsia"/>
          <w:b/>
          <w:sz w:val="32"/>
          <w:szCs w:val="32"/>
        </w:rPr>
      </w:pPr>
      <w:r>
        <w:rPr>
          <w:rFonts w:hint="eastAsia" w:asciiTheme="minorEastAsia" w:hAnsiTheme="minorEastAsia"/>
          <w:b/>
          <w:sz w:val="32"/>
          <w:szCs w:val="32"/>
        </w:rPr>
        <w:t>9</w:t>
      </w:r>
      <w:r>
        <w:rPr>
          <w:rFonts w:asciiTheme="minorEastAsia" w:hAnsiTheme="minorEastAsia"/>
          <w:b/>
          <w:sz w:val="32"/>
          <w:szCs w:val="32"/>
        </w:rPr>
        <w:t>.联系方式</w:t>
      </w:r>
    </w:p>
    <w:tbl>
      <w:tblPr>
        <w:tblStyle w:val="2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2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21" w:type="dxa"/>
          </w:tcPr>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采购人：广州净水有限公司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21" w:type="dxa"/>
          </w:tcPr>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地址：广州市临江大道50</w:t>
            </w:r>
            <w:r>
              <w:rPr>
                <w:rFonts w:ascii="仿宋_GB2312" w:eastAsia="仿宋_GB2312"/>
                <w:sz w:val="28"/>
                <w:szCs w:val="28"/>
              </w:rPr>
              <w:t>1</w:t>
            </w:r>
            <w:r>
              <w:rPr>
                <w:rFonts w:hint="eastAsia" w:ascii="仿宋_GB2312" w:eastAsia="仿宋_GB2312"/>
                <w:sz w:val="28"/>
                <w:szCs w:val="28"/>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21" w:type="dxa"/>
          </w:tcPr>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联系人：</w:t>
            </w:r>
            <w:r>
              <w:rPr>
                <w:rFonts w:hint="eastAsia" w:ascii="仿宋_GB2312" w:eastAsia="仿宋_GB2312"/>
                <w:sz w:val="28"/>
                <w:szCs w:val="28"/>
                <w:lang w:val="en-US" w:eastAsia="zh-CN"/>
              </w:rPr>
              <w:t>林</w:t>
            </w:r>
            <w:r>
              <w:rPr>
                <w:rFonts w:hint="eastAsia" w:ascii="仿宋_GB2312" w:hAnsi="仿宋_GB2312" w:eastAsia="仿宋_GB2312" w:cs="仿宋_GB2312"/>
                <w:color w:val="000000"/>
                <w:kern w:val="0"/>
                <w:sz w:val="28"/>
                <w:szCs w:val="28"/>
              </w:rPr>
              <w:t>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21" w:type="dxa"/>
          </w:tcPr>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电话：</w:t>
            </w:r>
            <w:r>
              <w:rPr>
                <w:rFonts w:hint="eastAsia" w:ascii="仿宋_GB2312" w:eastAsia="仿宋_GB2312"/>
                <w:sz w:val="28"/>
                <w:szCs w:val="28"/>
                <w:lang w:val="en-US" w:eastAsia="zh-CN"/>
              </w:rPr>
              <w:t>020-62315524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trPr>
        <w:tc>
          <w:tcPr>
            <w:tcW w:w="4221" w:type="dxa"/>
          </w:tcPr>
          <w:p>
            <w:pPr>
              <w:adjustRightInd w:val="0"/>
              <w:snapToGrid w:val="0"/>
              <w:spacing w:line="600" w:lineRule="exact"/>
              <w:ind w:firstLine="1680" w:firstLineChars="600"/>
              <w:jc w:val="left"/>
              <w:rPr>
                <w:rFonts w:ascii="仿宋_GB2312" w:eastAsia="仿宋_GB2312"/>
                <w:sz w:val="28"/>
                <w:szCs w:val="28"/>
              </w:rPr>
            </w:pPr>
            <w:r>
              <w:rPr>
                <w:rFonts w:hint="eastAsia" w:ascii="仿宋_GB2312" w:eastAsia="仿宋_GB2312"/>
                <w:sz w:val="28"/>
                <w:szCs w:val="28"/>
                <w:u w:val="single"/>
                <w:lang w:val="en-US" w:eastAsia="zh-CN"/>
              </w:rPr>
              <w:t>2024</w:t>
            </w:r>
            <w:r>
              <w:rPr>
                <w:rFonts w:hint="eastAsia" w:ascii="仿宋_GB2312" w:eastAsia="仿宋_GB2312"/>
                <w:sz w:val="28"/>
                <w:szCs w:val="28"/>
              </w:rPr>
              <w:t>年</w:t>
            </w:r>
            <w:r>
              <w:rPr>
                <w:rFonts w:ascii="仿宋_GB2312" w:eastAsia="仿宋_GB2312"/>
                <w:sz w:val="28"/>
                <w:szCs w:val="28"/>
                <w:u w:val="single"/>
              </w:rPr>
              <w:t xml:space="preserve"> </w:t>
            </w:r>
            <w:r>
              <w:rPr>
                <w:rFonts w:hint="eastAsia" w:ascii="仿宋_GB2312" w:eastAsia="仿宋_GB2312"/>
                <w:sz w:val="28"/>
                <w:szCs w:val="28"/>
                <w:u w:val="single"/>
                <w:lang w:val="en-US" w:eastAsia="zh-CN"/>
              </w:rPr>
              <w:t>9</w:t>
            </w:r>
            <w:r>
              <w:rPr>
                <w:rFonts w:ascii="仿宋_GB2312" w:eastAsia="仿宋_GB2312"/>
                <w:sz w:val="28"/>
                <w:szCs w:val="28"/>
                <w:u w:val="single"/>
              </w:rPr>
              <w:t xml:space="preserve"> </w:t>
            </w:r>
            <w:r>
              <w:rPr>
                <w:rFonts w:hint="eastAsia" w:ascii="仿宋_GB2312" w:eastAsia="仿宋_GB2312"/>
                <w:sz w:val="28"/>
                <w:szCs w:val="28"/>
              </w:rPr>
              <w:t>月</w:t>
            </w:r>
            <w:r>
              <w:rPr>
                <w:rFonts w:ascii="仿宋_GB2312" w:eastAsia="仿宋_GB2312"/>
                <w:sz w:val="28"/>
                <w:szCs w:val="28"/>
                <w:u w:val="single"/>
              </w:rPr>
              <w:t xml:space="preserve"> </w:t>
            </w:r>
            <w:r>
              <w:rPr>
                <w:rFonts w:hint="eastAsia" w:ascii="仿宋_GB2312" w:eastAsia="仿宋_GB2312"/>
                <w:sz w:val="28"/>
                <w:szCs w:val="28"/>
                <w:u w:val="single"/>
                <w:lang w:val="en-US" w:eastAsia="zh-CN"/>
              </w:rPr>
              <w:t>6</w:t>
            </w:r>
            <w:r>
              <w:rPr>
                <w:rFonts w:ascii="仿宋_GB2312" w:eastAsia="仿宋_GB2312"/>
                <w:sz w:val="28"/>
                <w:szCs w:val="28"/>
                <w:u w:val="single"/>
              </w:rPr>
              <w:t xml:space="preserve"> </w:t>
            </w:r>
            <w:r>
              <w:rPr>
                <w:rFonts w:hint="eastAsia" w:ascii="仿宋_GB2312" w:eastAsia="仿宋_GB2312"/>
                <w:sz w:val="28"/>
                <w:szCs w:val="28"/>
              </w:rPr>
              <w:t>日</w:t>
            </w:r>
          </w:p>
        </w:tc>
      </w:tr>
    </w:tbl>
    <w:p>
      <w:bookmarkStart w:id="25" w:name="_Toc9448"/>
      <w:bookmarkStart w:id="26" w:name="_Toc7340"/>
      <w:bookmarkStart w:id="27" w:name="_Toc2324"/>
      <w:bookmarkStart w:id="28" w:name="_Toc23749"/>
      <w:bookmarkStart w:id="29" w:name="_Toc25603"/>
      <w:bookmarkStart w:id="30" w:name="_Toc19295"/>
      <w:bookmarkStart w:id="31" w:name="_Toc2331"/>
      <w:bookmarkStart w:id="32" w:name="_Toc10891"/>
      <w:bookmarkStart w:id="33" w:name="_Toc16557"/>
      <w:bookmarkStart w:id="34" w:name="_Toc16705"/>
      <w:bookmarkStart w:id="35" w:name="_Toc32588"/>
    </w:p>
    <w:p>
      <w:pPr>
        <w:pStyle w:val="6"/>
      </w:pPr>
    </w:p>
    <w:p>
      <w:pPr>
        <w:pStyle w:val="2"/>
        <w:jc w:val="both"/>
      </w:pPr>
    </w:p>
    <w:p>
      <w:pPr>
        <w:pStyle w:val="2"/>
      </w:pPr>
    </w:p>
    <w:p>
      <w:pPr>
        <w:pStyle w:val="2"/>
      </w:pPr>
    </w:p>
    <w:p>
      <w:pPr>
        <w:pStyle w:val="2"/>
      </w:pPr>
    </w:p>
    <w:p>
      <w:pPr>
        <w:pStyle w:val="2"/>
      </w:pPr>
    </w:p>
    <w:p>
      <w:pPr>
        <w:pStyle w:val="2"/>
      </w:pPr>
    </w:p>
    <w:p>
      <w:pPr>
        <w:pStyle w:val="3"/>
      </w:pPr>
      <w:r>
        <mc:AlternateContent>
          <mc:Choice Requires="wps">
            <w:drawing>
              <wp:anchor distT="0" distB="0" distL="114300" distR="114300" simplePos="0" relativeHeight="251671552" behindDoc="0" locked="0" layoutInCell="1" allowOverlap="1">
                <wp:simplePos x="0" y="0"/>
                <wp:positionH relativeFrom="column">
                  <wp:posOffset>2158365</wp:posOffset>
                </wp:positionH>
                <wp:positionV relativeFrom="paragraph">
                  <wp:posOffset>720090</wp:posOffset>
                </wp:positionV>
                <wp:extent cx="958850" cy="0"/>
                <wp:effectExtent l="0" t="4445" r="0" b="5080"/>
                <wp:wrapNone/>
                <wp:docPr id="12" name="自选图形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8" o:spid="_x0000_s1026" o:spt="32" type="#_x0000_t32" style="position:absolute;left:0pt;margin-left:169.95pt;margin-top:56.7pt;height:0pt;width:75.5pt;z-index:251671552;mso-width-relative:page;mso-height-relative:page;" filled="f" stroked="t" coordsize="21600,21600" o:gfxdata="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gC7kUtcAAAAJAQAADwAAAAAAAAABACAAAAAiAAAAZHJzL2Rvd25yZXYueG1sUEsBAhQA&#10;FAAAAAgAh07iQInnk2rzAQAA5AMAAA4AAAAAAAAAAQAgAAAAJgEAAGRycy9lMm9Eb2MueG1sUEsF&#10;BgAAAAAGAAYAWQEAAIsFA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70528" behindDoc="0" locked="0" layoutInCell="1" allowOverlap="1">
                <wp:simplePos x="0" y="0"/>
                <wp:positionH relativeFrom="column">
                  <wp:posOffset>2172970</wp:posOffset>
                </wp:positionH>
                <wp:positionV relativeFrom="paragraph">
                  <wp:posOffset>217805</wp:posOffset>
                </wp:positionV>
                <wp:extent cx="958850" cy="0"/>
                <wp:effectExtent l="0" t="4445" r="0" b="5080"/>
                <wp:wrapNone/>
                <wp:docPr id="11" name="自选图形 1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9" o:spid="_x0000_s1026" o:spt="32" type="#_x0000_t32" style="position:absolute;left:0pt;margin-left:171.1pt;margin-top:17.15pt;height:0pt;width:75.5pt;z-index:251670528;mso-width-relative:page;mso-height-relative:page;" filled="f" stroked="t" coordsize="21600,21600" o:gfxdata="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MOE1fbVAAAACQEAAA8AAAAAAAAAAQAgAAAAIgAAAGRycy9kb3ducmV2LnhtbFBLAQIUABQA&#10;AAAIAIdO4kD8olCF8wEAAOQDAAAOAAAAAAAAAAEAIAAAACQBAABkcnMvZTJvRG9jLnhtbFBLBQYA&#10;AAAABgAGAFkBAACJBQAAAAA=&#10;">
                <v:fill on="f" focussize="0,0"/>
                <v:stroke color="#000000" joinstyle="round"/>
                <v:imagedata o:title=""/>
                <o:lock v:ext="edit" aspectratio="f"/>
              </v:shape>
            </w:pict>
          </mc:Fallback>
        </mc:AlternateContent>
      </w:r>
      <w:r>
        <w:rPr>
          <w:rFonts w:hint="eastAsia"/>
        </w:rPr>
        <w:t>第二章</w:t>
      </w:r>
      <w:bookmarkEnd w:id="25"/>
      <w:bookmarkEnd w:id="26"/>
      <w:bookmarkEnd w:id="27"/>
      <w:bookmarkEnd w:id="28"/>
      <w:bookmarkEnd w:id="29"/>
      <w:bookmarkEnd w:id="30"/>
      <w:bookmarkEnd w:id="31"/>
      <w:bookmarkEnd w:id="32"/>
      <w:bookmarkEnd w:id="33"/>
      <w:bookmarkEnd w:id="34"/>
      <w:bookmarkEnd w:id="35"/>
    </w:p>
    <w:p>
      <w:pPr>
        <w:pStyle w:val="4"/>
      </w:pPr>
    </w:p>
    <w:p>
      <w:pPr>
        <w:pStyle w:val="4"/>
      </w:pPr>
      <w:bookmarkStart w:id="36" w:name="_Toc3416"/>
      <w:bookmarkStart w:id="37" w:name="_Toc2339"/>
      <w:r>
        <w:rPr>
          <w:rFonts w:hint="eastAsia"/>
        </w:rPr>
        <w:t>供应商须知</w:t>
      </w:r>
      <w:bookmarkEnd w:id="36"/>
      <w:bookmarkEnd w:id="37"/>
    </w:p>
    <w:p>
      <w:pPr>
        <w:pStyle w:val="25"/>
        <w:ind w:firstLine="0"/>
        <w:rPr>
          <w:rFonts w:asciiTheme="minorEastAsia" w:hAnsiTheme="minorEastAsia"/>
          <w:b/>
          <w:sz w:val="32"/>
          <w:szCs w:val="32"/>
        </w:rPr>
      </w:pPr>
    </w:p>
    <w:p>
      <w:pPr>
        <w:pStyle w:val="25"/>
        <w:ind w:firstLine="0"/>
        <w:rPr>
          <w:rFonts w:asciiTheme="minorEastAsia" w:hAnsiTheme="minorEastAsia"/>
          <w:b/>
          <w:sz w:val="32"/>
          <w:szCs w:val="32"/>
        </w:rPr>
      </w:pPr>
    </w:p>
    <w:p>
      <w:pPr>
        <w:pStyle w:val="25"/>
        <w:ind w:firstLine="0"/>
        <w:rPr>
          <w:rFonts w:asciiTheme="minorEastAsia" w:hAnsiTheme="minorEastAsia"/>
          <w:b/>
          <w:sz w:val="32"/>
          <w:szCs w:val="32"/>
        </w:rPr>
      </w:pPr>
    </w:p>
    <w:p>
      <w:pPr>
        <w:pStyle w:val="25"/>
        <w:ind w:firstLine="0"/>
        <w:rPr>
          <w:rFonts w:asciiTheme="minorEastAsia" w:hAnsiTheme="minorEastAsia"/>
          <w:b/>
          <w:sz w:val="32"/>
          <w:szCs w:val="32"/>
        </w:rPr>
      </w:pPr>
    </w:p>
    <w:p>
      <w:pPr>
        <w:pStyle w:val="25"/>
        <w:ind w:firstLine="0"/>
        <w:rPr>
          <w:rFonts w:asciiTheme="minorEastAsia" w:hAnsiTheme="minorEastAsia"/>
          <w:b/>
          <w:sz w:val="32"/>
          <w:szCs w:val="32"/>
        </w:rPr>
      </w:pPr>
    </w:p>
    <w:p>
      <w:pPr>
        <w:pStyle w:val="25"/>
        <w:ind w:firstLine="0"/>
        <w:rPr>
          <w:rFonts w:asciiTheme="minorEastAsia" w:hAnsiTheme="minorEastAsia"/>
          <w:b/>
          <w:sz w:val="32"/>
          <w:szCs w:val="32"/>
        </w:rPr>
      </w:pPr>
    </w:p>
    <w:p>
      <w:pPr>
        <w:pStyle w:val="25"/>
        <w:ind w:firstLine="0"/>
        <w:rPr>
          <w:rFonts w:asciiTheme="minorEastAsia" w:hAnsiTheme="minorEastAsia"/>
          <w:b/>
          <w:sz w:val="32"/>
          <w:szCs w:val="32"/>
        </w:rPr>
      </w:pPr>
    </w:p>
    <w:p>
      <w:pPr>
        <w:pStyle w:val="25"/>
        <w:ind w:firstLine="0"/>
        <w:rPr>
          <w:rFonts w:asciiTheme="minorEastAsia" w:hAnsiTheme="minorEastAsia"/>
          <w:b/>
          <w:sz w:val="32"/>
          <w:szCs w:val="32"/>
        </w:rPr>
      </w:pPr>
    </w:p>
    <w:p>
      <w:pPr>
        <w:pStyle w:val="25"/>
        <w:ind w:firstLine="0"/>
        <w:rPr>
          <w:rFonts w:asciiTheme="minorEastAsia" w:hAnsiTheme="minorEastAsia"/>
          <w:b/>
          <w:sz w:val="32"/>
          <w:szCs w:val="32"/>
        </w:rPr>
      </w:pPr>
    </w:p>
    <w:p>
      <w:pPr>
        <w:pStyle w:val="25"/>
        <w:ind w:firstLine="0"/>
        <w:rPr>
          <w:rFonts w:asciiTheme="minorEastAsia" w:hAnsiTheme="minorEastAsia"/>
          <w:b/>
          <w:sz w:val="32"/>
          <w:szCs w:val="32"/>
        </w:rPr>
      </w:pPr>
    </w:p>
    <w:p>
      <w:pPr>
        <w:pStyle w:val="25"/>
        <w:ind w:firstLine="0"/>
        <w:rPr>
          <w:rFonts w:asciiTheme="minorEastAsia" w:hAnsiTheme="minorEastAsia"/>
          <w:b/>
          <w:sz w:val="32"/>
          <w:szCs w:val="32"/>
        </w:rPr>
      </w:pPr>
    </w:p>
    <w:p>
      <w:pPr>
        <w:pStyle w:val="25"/>
        <w:ind w:firstLine="0"/>
        <w:rPr>
          <w:rFonts w:asciiTheme="minorEastAsia" w:hAnsiTheme="minorEastAsia"/>
          <w:b/>
          <w:sz w:val="32"/>
          <w:szCs w:val="32"/>
        </w:rPr>
      </w:pPr>
    </w:p>
    <w:p>
      <w:pPr>
        <w:pStyle w:val="25"/>
        <w:ind w:firstLine="0"/>
        <w:rPr>
          <w:rFonts w:asciiTheme="minorEastAsia" w:hAnsiTheme="minorEastAsia"/>
          <w:b/>
          <w:sz w:val="32"/>
          <w:szCs w:val="32"/>
        </w:rPr>
      </w:pPr>
    </w:p>
    <w:p>
      <w:pPr>
        <w:pStyle w:val="25"/>
        <w:ind w:firstLine="0"/>
        <w:rPr>
          <w:rFonts w:asciiTheme="minorEastAsia" w:hAnsiTheme="minorEastAsia"/>
          <w:b/>
          <w:sz w:val="32"/>
          <w:szCs w:val="32"/>
        </w:rPr>
      </w:pPr>
    </w:p>
    <w:p>
      <w:pPr>
        <w:numPr>
          <w:ilvl w:val="0"/>
          <w:numId w:val="3"/>
        </w:numPr>
        <w:adjustRightInd w:val="0"/>
        <w:snapToGrid w:val="0"/>
        <w:spacing w:before="190" w:beforeLines="50" w:after="190" w:afterLines="50" w:line="500" w:lineRule="exact"/>
        <w:ind w:left="643" w:hanging="643" w:hangingChars="200"/>
        <w:jc w:val="left"/>
        <w:rPr>
          <w:rFonts w:asciiTheme="minorEastAsia" w:hAnsiTheme="minorEastAsia"/>
          <w:b/>
          <w:sz w:val="32"/>
          <w:szCs w:val="32"/>
        </w:rPr>
      </w:pPr>
      <w:r>
        <w:rPr>
          <w:rFonts w:hint="eastAsia" w:asciiTheme="minorEastAsia" w:hAnsiTheme="minorEastAsia"/>
          <w:b/>
          <w:sz w:val="32"/>
          <w:szCs w:val="32"/>
        </w:rPr>
        <w:t>对供应商的资格要求.</w:t>
      </w:r>
    </w:p>
    <w:p>
      <w:pPr>
        <w:pStyle w:val="25"/>
        <w:numPr>
          <w:ilvl w:val="255"/>
          <w:numId w:val="0"/>
        </w:numPr>
        <w:rPr>
          <w:color w:val="auto"/>
        </w:rPr>
      </w:pPr>
      <w:r>
        <w:rPr>
          <w:rFonts w:hint="eastAsia"/>
          <w:color w:val="auto"/>
        </w:rPr>
        <w:t>详见第一章采购公告（采购邀请书）3.供应商资格要求</w:t>
      </w:r>
    </w:p>
    <w:p>
      <w:pPr>
        <w:adjustRightInd w:val="0"/>
        <w:snapToGrid w:val="0"/>
        <w:spacing w:line="600" w:lineRule="exact"/>
        <w:jc w:val="left"/>
        <w:rPr>
          <w:rFonts w:ascii="仿宋_GB2312" w:eastAsia="仿宋_GB2312"/>
          <w:sz w:val="28"/>
          <w:szCs w:val="28"/>
        </w:rPr>
      </w:pPr>
      <w:r>
        <w:rPr>
          <w:rFonts w:hint="eastAsia" w:asciiTheme="minorEastAsia" w:hAnsiTheme="minorEastAsia"/>
          <w:b/>
          <w:sz w:val="32"/>
          <w:szCs w:val="32"/>
        </w:rPr>
        <w:t>2.  本次交易一般规则.</w:t>
      </w:r>
      <w:r>
        <w:rPr>
          <w:rFonts w:ascii="仿宋_GB2312" w:eastAsia="仿宋_GB2312"/>
          <w:sz w:val="28"/>
          <w:szCs w:val="28"/>
        </w:rPr>
        <w:t>表</w:t>
      </w:r>
      <w:r>
        <w:rPr>
          <w:rFonts w:hint="eastAsia" w:ascii="仿宋_GB2312" w:eastAsia="仿宋_GB2312"/>
          <w:sz w:val="28"/>
          <w:szCs w:val="28"/>
        </w:rPr>
        <w:t>1.1</w:t>
      </w:r>
    </w:p>
    <w:tbl>
      <w:tblPr>
        <w:tblStyle w:val="27"/>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阶段</w:t>
            </w:r>
          </w:p>
        </w:tc>
        <w:tc>
          <w:tcPr>
            <w:tcW w:w="936" w:type="dxa"/>
            <w:vAlign w:val="center"/>
          </w:tcPr>
          <w:p>
            <w:pPr>
              <w:adjustRightInd w:val="0"/>
              <w:snapToGrid w:val="0"/>
              <w:jc w:val="center"/>
              <w:rPr>
                <w:rFonts w:ascii="仿宋_GB2312" w:eastAsia="仿宋_GB2312"/>
                <w:sz w:val="24"/>
                <w:szCs w:val="24"/>
              </w:rPr>
            </w:pPr>
            <w:r>
              <w:rPr>
                <w:rFonts w:ascii="仿宋_GB2312" w:eastAsia="仿宋_GB2312"/>
                <w:sz w:val="24"/>
                <w:szCs w:val="24"/>
              </w:rPr>
              <w:t>条款</w:t>
            </w:r>
          </w:p>
        </w:tc>
        <w:tc>
          <w:tcPr>
            <w:tcW w:w="1263" w:type="dxa"/>
            <w:vAlign w:val="center"/>
          </w:tcPr>
          <w:p>
            <w:pPr>
              <w:adjustRightInd w:val="0"/>
              <w:snapToGrid w:val="0"/>
              <w:jc w:val="center"/>
              <w:rPr>
                <w:rFonts w:ascii="仿宋_GB2312" w:eastAsia="仿宋_GB2312"/>
                <w:sz w:val="24"/>
                <w:szCs w:val="24"/>
              </w:rPr>
            </w:pPr>
            <w:r>
              <w:rPr>
                <w:rFonts w:ascii="仿宋_GB2312" w:eastAsia="仿宋_GB2312"/>
                <w:sz w:val="24"/>
                <w:szCs w:val="24"/>
              </w:rPr>
              <w:t>项目</w:t>
            </w:r>
          </w:p>
        </w:tc>
        <w:tc>
          <w:tcPr>
            <w:tcW w:w="5979" w:type="dxa"/>
            <w:tcBorders>
              <w:righ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准备</w:t>
            </w:r>
          </w:p>
          <w:p>
            <w:pPr>
              <w:adjustRightInd w:val="0"/>
              <w:snapToGrid w:val="0"/>
              <w:jc w:val="center"/>
              <w:rPr>
                <w:rFonts w:ascii="仿宋_GB2312" w:eastAsia="仿宋_GB2312"/>
                <w:sz w:val="24"/>
                <w:szCs w:val="24"/>
              </w:rPr>
            </w:pPr>
            <w:r>
              <w:rPr>
                <w:rFonts w:ascii="仿宋_GB2312" w:eastAsia="仿宋_GB2312"/>
                <w:sz w:val="24"/>
                <w:szCs w:val="24"/>
              </w:rPr>
              <w:t>及其</w:t>
            </w:r>
          </w:p>
          <w:p>
            <w:pPr>
              <w:jc w:val="center"/>
              <w:rPr>
                <w:rFonts w:ascii="仿宋_GB2312" w:eastAsia="仿宋_GB2312"/>
                <w:sz w:val="24"/>
                <w:szCs w:val="24"/>
              </w:rPr>
            </w:pPr>
            <w:r>
              <w:rPr>
                <w:rFonts w:ascii="仿宋_GB2312" w:eastAsia="仿宋_GB2312"/>
                <w:sz w:val="24"/>
                <w:szCs w:val="24"/>
              </w:rPr>
              <w:t>响应</w:t>
            </w: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采购文件组成</w:t>
            </w:r>
          </w:p>
        </w:tc>
        <w:tc>
          <w:tcPr>
            <w:tcW w:w="5979" w:type="dxa"/>
            <w:tcBorders>
              <w:right w:val="nil"/>
            </w:tcBorders>
            <w:vAlign w:val="center"/>
          </w:tcPr>
          <w:p>
            <w:pPr>
              <w:adjustRightInd w:val="0"/>
              <w:snapToGrid w:val="0"/>
              <w:jc w:val="left"/>
              <w:rPr>
                <w:rFonts w:ascii="仿宋_GB2312" w:eastAsia="仿宋_GB2312"/>
                <w:sz w:val="24"/>
                <w:szCs w:val="24"/>
              </w:rPr>
            </w:pPr>
            <w:r>
              <w:rPr>
                <w:rFonts w:hint="eastAsia" w:ascii="仿宋_GB2312" w:eastAsia="仿宋_GB2312" w:hAnsiTheme="minorEastAsia"/>
                <w:sz w:val="24"/>
                <w:szCs w:val="24"/>
              </w:rPr>
              <w:t>（1）采购公告（采购邀请书）</w:t>
            </w:r>
          </w:p>
          <w:p>
            <w:pPr>
              <w:adjustRightInd w:val="0"/>
              <w:snapToGrid w:val="0"/>
              <w:jc w:val="left"/>
              <w:rPr>
                <w:rFonts w:ascii="仿宋_GB2312" w:eastAsia="仿宋_GB2312"/>
                <w:sz w:val="24"/>
                <w:szCs w:val="24"/>
              </w:rPr>
            </w:pPr>
            <w:r>
              <w:rPr>
                <w:rFonts w:hint="eastAsia" w:ascii="仿宋_GB2312" w:eastAsia="仿宋_GB2312"/>
                <w:sz w:val="24"/>
                <w:szCs w:val="24"/>
              </w:rPr>
              <w:t>（2）供应商须知</w:t>
            </w:r>
          </w:p>
          <w:p>
            <w:pPr>
              <w:adjustRightInd w:val="0"/>
              <w:snapToGrid w:val="0"/>
              <w:jc w:val="left"/>
              <w:rPr>
                <w:rFonts w:ascii="仿宋_GB2312" w:eastAsia="仿宋_GB2312"/>
                <w:sz w:val="24"/>
                <w:szCs w:val="24"/>
              </w:rPr>
            </w:pPr>
            <w:r>
              <w:rPr>
                <w:rFonts w:hint="eastAsia" w:ascii="仿宋_GB2312" w:eastAsia="仿宋_GB2312"/>
                <w:sz w:val="24"/>
                <w:szCs w:val="24"/>
              </w:rPr>
              <w:t>（3）采购方式</w:t>
            </w:r>
          </w:p>
          <w:p>
            <w:pPr>
              <w:adjustRightInd w:val="0"/>
              <w:snapToGrid w:val="0"/>
              <w:jc w:val="left"/>
              <w:rPr>
                <w:rFonts w:ascii="仿宋_GB2312" w:eastAsia="仿宋_GB2312"/>
                <w:sz w:val="24"/>
                <w:szCs w:val="24"/>
              </w:rPr>
            </w:pPr>
            <w:r>
              <w:rPr>
                <w:rFonts w:hint="eastAsia" w:ascii="仿宋_GB2312" w:eastAsia="仿宋_GB2312"/>
                <w:sz w:val="24"/>
                <w:szCs w:val="24"/>
              </w:rPr>
              <w:t>（</w:t>
            </w:r>
            <w:r>
              <w:rPr>
                <w:rFonts w:ascii="仿宋_GB2312" w:eastAsia="仿宋_GB2312"/>
                <w:sz w:val="24"/>
                <w:szCs w:val="24"/>
              </w:rPr>
              <w:t>4</w:t>
            </w:r>
            <w:r>
              <w:rPr>
                <w:rFonts w:hint="eastAsia" w:ascii="仿宋_GB2312" w:eastAsia="仿宋_GB2312"/>
                <w:sz w:val="24"/>
                <w:szCs w:val="24"/>
              </w:rPr>
              <w:t>）评审办法</w:t>
            </w:r>
          </w:p>
          <w:p>
            <w:pPr>
              <w:adjustRightInd w:val="0"/>
              <w:snapToGrid w:val="0"/>
              <w:jc w:val="left"/>
              <w:rPr>
                <w:rFonts w:ascii="仿宋_GB2312" w:eastAsia="仿宋_GB2312"/>
                <w:sz w:val="24"/>
                <w:szCs w:val="24"/>
              </w:rPr>
            </w:pPr>
            <w:r>
              <w:rPr>
                <w:rFonts w:hint="eastAsia" w:ascii="仿宋_GB2312" w:eastAsia="仿宋_GB2312"/>
                <w:sz w:val="24"/>
                <w:szCs w:val="24"/>
              </w:rPr>
              <w:t>（5）采购需求</w:t>
            </w:r>
          </w:p>
          <w:p>
            <w:pPr>
              <w:adjustRightInd w:val="0"/>
              <w:snapToGrid w:val="0"/>
              <w:jc w:val="left"/>
              <w:rPr>
                <w:rFonts w:ascii="仿宋_GB2312" w:eastAsia="仿宋_GB2312"/>
                <w:sz w:val="24"/>
                <w:szCs w:val="24"/>
              </w:rPr>
            </w:pPr>
            <w:r>
              <w:rPr>
                <w:rFonts w:hint="eastAsia" w:ascii="仿宋_GB2312" w:eastAsia="仿宋_GB2312"/>
                <w:sz w:val="24"/>
                <w:szCs w:val="24"/>
              </w:rPr>
              <w:t>（6）合同草案</w:t>
            </w:r>
          </w:p>
          <w:p>
            <w:pPr>
              <w:adjustRightInd w:val="0"/>
              <w:snapToGrid w:val="0"/>
              <w:jc w:val="left"/>
              <w:rPr>
                <w:rFonts w:ascii="仿宋_GB2312" w:eastAsia="仿宋_GB2312"/>
                <w:sz w:val="24"/>
                <w:szCs w:val="24"/>
              </w:rPr>
            </w:pPr>
            <w:r>
              <w:rPr>
                <w:rFonts w:hint="eastAsia" w:ascii="仿宋_GB2312" w:eastAsia="仿宋_GB2312"/>
                <w:sz w:val="24"/>
                <w:szCs w:val="24"/>
              </w:rPr>
              <w:t>（7）响应文件</w:t>
            </w:r>
          </w:p>
          <w:p>
            <w:pPr>
              <w:adjustRightInd w:val="0"/>
              <w:snapToGrid w:val="0"/>
              <w:jc w:val="left"/>
              <w:rPr>
                <w:rFonts w:ascii="仿宋_GB2312" w:eastAsia="仿宋_GB2312"/>
                <w:sz w:val="24"/>
                <w:szCs w:val="24"/>
              </w:rPr>
            </w:pPr>
            <w:r>
              <w:rPr>
                <w:rFonts w:hint="eastAsia" w:ascii="仿宋_GB2312" w:eastAsia="仿宋_GB2312"/>
                <w:sz w:val="24"/>
                <w:szCs w:val="24"/>
              </w:rPr>
              <w:t>（8）在采购过程中由采购单位发出的修正和补充文件等（如有）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2.2</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采购文件的澄清和修改</w:t>
            </w:r>
          </w:p>
        </w:tc>
        <w:tc>
          <w:tcPr>
            <w:tcW w:w="5979" w:type="dxa"/>
            <w:tcBorders>
              <w:right w:val="nil"/>
            </w:tcBorders>
            <w:vAlign w:val="center"/>
          </w:tcPr>
          <w:p>
            <w:pPr>
              <w:adjustRightInd w:val="0"/>
              <w:snapToGrid w:val="0"/>
              <w:rPr>
                <w:rFonts w:ascii="仿宋_GB2312" w:eastAsia="仿宋_GB2312"/>
                <w:sz w:val="24"/>
                <w:szCs w:val="24"/>
              </w:rPr>
            </w:pPr>
            <w:r>
              <w:rPr>
                <w:rFonts w:hint="eastAsia" w:ascii="仿宋_GB2312" w:eastAsia="仿宋_GB2312"/>
                <w:sz w:val="24"/>
                <w:szCs w:val="24"/>
              </w:rPr>
              <w:t>1.2.1供应商对采购文件有疑问的，应当</w:t>
            </w:r>
            <w:r>
              <w:rPr>
                <w:rFonts w:ascii="仿宋_GB2312" w:eastAsia="仿宋_GB2312"/>
                <w:sz w:val="24"/>
                <w:szCs w:val="24"/>
              </w:rPr>
              <w:t>在提交</w:t>
            </w:r>
            <w:r>
              <w:rPr>
                <w:rFonts w:hint="eastAsia" w:ascii="仿宋_GB2312" w:eastAsia="仿宋_GB2312"/>
                <w:sz w:val="24"/>
                <w:szCs w:val="24"/>
              </w:rPr>
              <w:t>响应文件截止之日</w:t>
            </w:r>
            <w:r>
              <w:rPr>
                <w:rFonts w:hint="eastAsia" w:ascii="仿宋_GB2312" w:eastAsia="仿宋_GB2312"/>
                <w:sz w:val="24"/>
                <w:szCs w:val="24"/>
                <w:u w:val="single"/>
              </w:rPr>
              <w:t>2</w:t>
            </w:r>
            <w:r>
              <w:rPr>
                <w:rFonts w:ascii="仿宋_GB2312" w:eastAsia="仿宋_GB2312"/>
                <w:sz w:val="24"/>
                <w:szCs w:val="24"/>
              </w:rPr>
              <w:t>个工作日前</w:t>
            </w:r>
            <w:r>
              <w:rPr>
                <w:rFonts w:hint="eastAsia" w:ascii="仿宋_GB2312" w:eastAsia="仿宋_GB2312"/>
                <w:sz w:val="24"/>
                <w:szCs w:val="24"/>
              </w:rPr>
              <w:t>，以书面形式提出。</w:t>
            </w:r>
          </w:p>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1.2.2采购人可根据供应商的要求或主动对采购文件进行澄清和修改。澄清或修改的内容以补充文件形式发布，采购人可视具体情况在补充文件中通知供应商推迟递交响应文件的截止时间。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2.3</w:t>
            </w:r>
          </w:p>
          <w:p>
            <w:pPr>
              <w:adjustRightInd w:val="0"/>
              <w:snapToGrid w:val="0"/>
              <w:jc w:val="center"/>
              <w:rPr>
                <w:sz w:val="24"/>
                <w:szCs w:val="24"/>
              </w:rPr>
            </w:pPr>
          </w:p>
        </w:tc>
        <w:tc>
          <w:tcPr>
            <w:tcW w:w="1263" w:type="dxa"/>
            <w:vAlign w:val="center"/>
          </w:tcPr>
          <w:p>
            <w:pPr>
              <w:adjustRightInd w:val="0"/>
              <w:snapToGrid w:val="0"/>
              <w:jc w:val="left"/>
              <w:rPr>
                <w:rFonts w:ascii="仿宋_GB2312" w:eastAsia="仿宋_GB2312" w:hAnsiTheme="minorEastAsia"/>
                <w:sz w:val="24"/>
                <w:szCs w:val="24"/>
              </w:rPr>
            </w:pPr>
            <w:r>
              <w:rPr>
                <w:rFonts w:hint="eastAsia" w:ascii="仿宋_GB2312" w:eastAsia="仿宋_GB2312" w:hAnsiTheme="minorEastAsia"/>
                <w:sz w:val="24"/>
                <w:szCs w:val="24"/>
              </w:rPr>
              <w:t>踏勘现场</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2.4</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分包</w:t>
            </w:r>
          </w:p>
        </w:tc>
        <w:tc>
          <w:tcPr>
            <w:tcW w:w="5979" w:type="dxa"/>
            <w:tcBorders>
              <w:right w:val="nil"/>
            </w:tcBorders>
            <w:vAlign w:val="center"/>
          </w:tcPr>
          <w:p>
            <w:pPr>
              <w:adjustRightInd w:val="0"/>
              <w:snapToGrid w:val="0"/>
              <w:jc w:val="left"/>
              <w:rPr>
                <w:rFonts w:ascii="仿宋_GB2312" w:eastAsia="仿宋_GB2312" w:hAnsiTheme="minorEastAsia"/>
                <w:sz w:val="24"/>
                <w:szCs w:val="24"/>
              </w:rPr>
            </w:pPr>
            <w:r>
              <w:rPr>
                <w:rFonts w:hint="eastAsia" w:ascii="仿宋_GB2312" w:eastAsia="仿宋_GB2312" w:hAnsiTheme="minorEastAsia"/>
                <w:sz w:val="24"/>
                <w:szCs w:val="24"/>
              </w:rPr>
              <w:t>本项目</w:t>
            </w:r>
            <w:r>
              <w:rPr>
                <w:rFonts w:hint="eastAsia" w:ascii="仿宋_GB2312" w:eastAsia="仿宋_GB2312"/>
                <w:sz w:val="24"/>
                <w:szCs w:val="24"/>
              </w:rPr>
              <w:t>不允许分包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2.5</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响应截止时间</w:t>
            </w:r>
          </w:p>
        </w:tc>
        <w:tc>
          <w:tcPr>
            <w:tcW w:w="5979" w:type="dxa"/>
            <w:tcBorders>
              <w:right w:val="nil"/>
            </w:tcBorders>
            <w:vAlign w:val="center"/>
          </w:tcPr>
          <w:p>
            <w:pPr>
              <w:adjustRightInd w:val="0"/>
              <w:snapToGrid w:val="0"/>
              <w:jc w:val="left"/>
              <w:rPr>
                <w:rFonts w:ascii="仿宋_GB2312" w:eastAsia="仿宋_GB2312" w:hAnsiTheme="minorEastAsia"/>
                <w:sz w:val="24"/>
                <w:szCs w:val="24"/>
              </w:rPr>
            </w:pPr>
            <w:r>
              <w:rPr>
                <w:rFonts w:hint="eastAsia" w:ascii="仿宋_GB2312" w:eastAsia="仿宋_GB2312" w:hAnsiTheme="minorEastAsia"/>
                <w:sz w:val="24"/>
                <w:szCs w:val="24"/>
              </w:rPr>
              <w:t>详见采购公告（采购邀请书）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准备</w:t>
            </w:r>
          </w:p>
          <w:p>
            <w:pPr>
              <w:adjustRightInd w:val="0"/>
              <w:snapToGrid w:val="0"/>
              <w:jc w:val="center"/>
              <w:rPr>
                <w:rFonts w:ascii="仿宋_GB2312" w:eastAsia="仿宋_GB2312"/>
                <w:sz w:val="24"/>
                <w:szCs w:val="24"/>
              </w:rPr>
            </w:pPr>
            <w:r>
              <w:rPr>
                <w:rFonts w:ascii="仿宋_GB2312" w:eastAsia="仿宋_GB2312"/>
                <w:sz w:val="24"/>
                <w:szCs w:val="24"/>
              </w:rPr>
              <w:t>及其</w:t>
            </w:r>
          </w:p>
          <w:p>
            <w:pPr>
              <w:jc w:val="center"/>
              <w:rPr>
                <w:sz w:val="24"/>
                <w:szCs w:val="24"/>
              </w:rPr>
            </w:pPr>
            <w:r>
              <w:rPr>
                <w:rFonts w:ascii="仿宋_GB2312" w:eastAsia="仿宋_GB2312"/>
                <w:sz w:val="24"/>
                <w:szCs w:val="24"/>
              </w:rPr>
              <w:t>响应</w:t>
            </w: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2.6</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最高限价及低价说明</w:t>
            </w:r>
          </w:p>
        </w:tc>
        <w:tc>
          <w:tcPr>
            <w:tcW w:w="5979" w:type="dxa"/>
            <w:tcBorders>
              <w:right w:val="nil"/>
            </w:tcBorders>
            <w:vAlign w:val="center"/>
          </w:tcPr>
          <w:p>
            <w:pPr>
              <w:adjustRightInd w:val="0"/>
              <w:snapToGrid w:val="0"/>
              <w:jc w:val="left"/>
              <w:rPr>
                <w:rFonts w:ascii="仿宋_GB2312" w:eastAsia="仿宋_GB2312" w:hAnsiTheme="minorEastAsia"/>
                <w:sz w:val="24"/>
                <w:szCs w:val="24"/>
              </w:rPr>
            </w:pPr>
            <w:r>
              <w:rPr>
                <w:rFonts w:hint="eastAsia" w:ascii="仿宋_GB2312" w:eastAsia="仿宋_GB2312" w:hAnsiTheme="minorEastAsia"/>
                <w:sz w:val="24"/>
                <w:szCs w:val="24"/>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2.7</w:t>
            </w:r>
          </w:p>
          <w:p>
            <w:pPr>
              <w:adjustRightInd w:val="0"/>
              <w:snapToGrid w:val="0"/>
              <w:jc w:val="center"/>
              <w:rPr>
                <w:rFonts w:ascii="仿宋_GB2312" w:eastAsia="仿宋_GB2312"/>
                <w:sz w:val="24"/>
                <w:szCs w:val="24"/>
              </w:rPr>
            </w:pP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sz w:val="24"/>
                <w:szCs w:val="24"/>
                <w:u w:val="single"/>
              </w:rPr>
            </w:pPr>
            <w:r>
              <w:rPr>
                <w:rFonts w:hint="eastAsia" w:ascii="仿宋_GB2312" w:eastAsia="仿宋_GB2312" w:hAnsiTheme="minorEastAsia"/>
                <w:sz w:val="24"/>
                <w:szCs w:val="24"/>
                <w:u w:val="single"/>
              </w:rPr>
              <w:t>150个日历天</w:t>
            </w:r>
            <w:r>
              <w:rPr>
                <w:rFonts w:hint="eastAsia" w:ascii="仿宋_GB2312" w:eastAsia="仿宋_GB2312" w:hAnsiTheme="minorEastAsia"/>
                <w:sz w:val="24"/>
                <w:szCs w:val="24"/>
              </w:rPr>
              <w:t>（从响应文件递交截止日算起）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准备</w:t>
            </w:r>
          </w:p>
          <w:p>
            <w:pPr>
              <w:adjustRightInd w:val="0"/>
              <w:snapToGrid w:val="0"/>
              <w:jc w:val="center"/>
              <w:rPr>
                <w:rFonts w:ascii="仿宋_GB2312" w:eastAsia="仿宋_GB2312"/>
                <w:sz w:val="24"/>
                <w:szCs w:val="24"/>
              </w:rPr>
            </w:pPr>
            <w:r>
              <w:rPr>
                <w:rFonts w:ascii="仿宋_GB2312" w:eastAsia="仿宋_GB2312"/>
                <w:sz w:val="24"/>
                <w:szCs w:val="24"/>
              </w:rPr>
              <w:t>及其</w:t>
            </w:r>
          </w:p>
          <w:p>
            <w:pPr>
              <w:adjustRightInd w:val="0"/>
              <w:snapToGrid w:val="0"/>
              <w:jc w:val="center"/>
              <w:rPr>
                <w:sz w:val="24"/>
                <w:szCs w:val="24"/>
              </w:rPr>
            </w:pPr>
            <w:r>
              <w:rPr>
                <w:rFonts w:ascii="仿宋_GB2312" w:eastAsia="仿宋_GB2312"/>
                <w:sz w:val="24"/>
                <w:szCs w:val="24"/>
              </w:rPr>
              <w:t>响应</w:t>
            </w: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2.8</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响应文件份数</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 xml:space="preserve">纸质文件正本1份，副本 </w:t>
            </w:r>
            <w:r>
              <w:rPr>
                <w:rFonts w:hint="eastAsia" w:ascii="仿宋_GB2312" w:eastAsia="仿宋_GB2312" w:hAnsiTheme="minorEastAsia"/>
                <w:sz w:val="24"/>
                <w:szCs w:val="24"/>
                <w:u w:val="single"/>
              </w:rPr>
              <w:t>1</w:t>
            </w:r>
            <w:r>
              <w:rPr>
                <w:rFonts w:hint="eastAsia" w:ascii="仿宋_GB2312" w:eastAsia="仿宋_GB2312" w:hAnsiTheme="minorEastAsia"/>
                <w:sz w:val="24"/>
                <w:szCs w:val="24"/>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2.9</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sz w:val="24"/>
                <w:szCs w:val="24"/>
              </w:rPr>
            </w:pPr>
            <w:r>
              <w:rPr>
                <w:rFonts w:hint="eastAsia" w:ascii="仿宋_GB2312" w:eastAsia="仿宋_GB2312" w:hAnsiTheme="minorEastAsia"/>
                <w:sz w:val="24"/>
                <w:szCs w:val="24"/>
              </w:rPr>
              <w:t>要求密封，响应文件应在密封处加盖公章，标注正本和副本，封皮应注明：</w:t>
            </w:r>
          </w:p>
          <w:p>
            <w:pPr>
              <w:adjustRightInd w:val="0"/>
              <w:snapToGrid w:val="0"/>
              <w:ind w:firstLine="465"/>
              <w:rPr>
                <w:rFonts w:ascii="仿宋_GB2312" w:eastAsia="仿宋_GB2312" w:hAnsiTheme="minorEastAsia"/>
                <w:sz w:val="24"/>
                <w:szCs w:val="24"/>
              </w:rPr>
            </w:pPr>
            <w:r>
              <w:rPr>
                <w:rFonts w:hint="eastAsia" w:ascii="仿宋_GB2312" w:eastAsia="仿宋_GB2312" w:hAnsiTheme="minorEastAsia"/>
                <w:sz w:val="24"/>
                <w:szCs w:val="24"/>
              </w:rPr>
              <w:t>项目名称、供应商名称、供应商地址、联系人及其联系方式。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2.10</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响应文件提交</w:t>
            </w:r>
          </w:p>
        </w:tc>
        <w:tc>
          <w:tcPr>
            <w:tcW w:w="5979" w:type="dxa"/>
            <w:tcBorders>
              <w:right w:val="nil"/>
            </w:tcBorders>
            <w:vAlign w:val="center"/>
          </w:tcPr>
          <w:p>
            <w:pPr>
              <w:adjustRightInd w:val="0"/>
              <w:snapToGrid w:val="0"/>
              <w:ind w:left="480" w:hanging="480" w:hangingChars="200"/>
              <w:rPr>
                <w:rFonts w:ascii="仿宋_GB2312" w:eastAsia="仿宋_GB2312" w:hAnsiTheme="minorEastAsia"/>
                <w:sz w:val="24"/>
                <w:szCs w:val="24"/>
              </w:rPr>
            </w:pPr>
            <w:r>
              <w:rPr>
                <w:rFonts w:hint="eastAsia" w:ascii="仿宋_GB2312" w:eastAsia="仿宋_GB2312" w:hAnsiTheme="minorEastAsia"/>
                <w:sz w:val="24"/>
                <w:szCs w:val="24"/>
              </w:rPr>
              <w:t>见采购公告（采购邀请书）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文件开启及评审</w:t>
            </w: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2.11</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响应文件开启会议</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举行</w:t>
            </w:r>
          </w:p>
          <w:p>
            <w:pPr>
              <w:adjustRightInd w:val="0"/>
              <w:snapToGrid w:val="0"/>
              <w:ind w:firstLine="465"/>
              <w:rPr>
                <w:rFonts w:ascii="仿宋_GB2312" w:eastAsia="仿宋_GB2312" w:hAnsiTheme="minorEastAsia"/>
                <w:sz w:val="24"/>
                <w:szCs w:val="24"/>
              </w:rPr>
            </w:pPr>
            <w:r>
              <w:rPr>
                <w:rFonts w:hint="eastAsia" w:ascii="仿宋_GB2312" w:eastAsia="仿宋_GB2312" w:hAnsiTheme="minorEastAsia"/>
                <w:sz w:val="24"/>
                <w:szCs w:val="24"/>
              </w:rPr>
              <w:t>会议时间：同响应截止时间</w:t>
            </w:r>
          </w:p>
          <w:p>
            <w:pPr>
              <w:adjustRightInd w:val="0"/>
              <w:snapToGrid w:val="0"/>
              <w:ind w:firstLine="465"/>
              <w:rPr>
                <w:rFonts w:ascii="仿宋_GB2312" w:eastAsia="仿宋_GB2312" w:hAnsiTheme="minorEastAsia"/>
                <w:sz w:val="24"/>
                <w:szCs w:val="24"/>
              </w:rPr>
            </w:pPr>
            <w:r>
              <w:rPr>
                <w:rFonts w:hint="eastAsia" w:ascii="仿宋_GB2312" w:eastAsia="仿宋_GB2312" w:hAnsiTheme="minorEastAsia"/>
                <w:sz w:val="24"/>
                <w:szCs w:val="24"/>
              </w:rPr>
              <w:t>会议地点：采购公告（采购邀请书）中指定地点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2.12</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开启文件前的密封检查</w:t>
            </w:r>
          </w:p>
        </w:tc>
        <w:tc>
          <w:tcPr>
            <w:tcW w:w="5979" w:type="dxa"/>
            <w:tcBorders>
              <w:right w:val="nil"/>
            </w:tcBorders>
            <w:vAlign w:val="center"/>
          </w:tcPr>
          <w:p>
            <w:pPr>
              <w:adjustRightInd w:val="0"/>
              <w:snapToGrid w:val="0"/>
              <w:ind w:firstLine="465"/>
              <w:rPr>
                <w:rFonts w:ascii="仿宋_GB2312" w:eastAsia="仿宋_GB2312" w:hAnsiTheme="minorEastAsia"/>
                <w:sz w:val="24"/>
                <w:szCs w:val="24"/>
              </w:rPr>
            </w:pPr>
            <w:r>
              <w:rPr>
                <w:rFonts w:hint="eastAsia" w:ascii="仿宋_GB2312" w:eastAsia="仿宋_GB2312" w:hAnsiTheme="minorEastAsia"/>
                <w:sz w:val="24"/>
                <w:szCs w:val="24"/>
              </w:rPr>
              <w:t>密封情况检查顺序：响应文件拆封前检查，不按照采购文件要求密封的响应文件，采购人将予以拒收。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2.13</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评审小组</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评审小组构成：</w:t>
            </w:r>
            <w:r>
              <w:rPr>
                <w:rFonts w:hint="eastAsia" w:ascii="仿宋_GB2312" w:eastAsia="仿宋_GB2312" w:hAnsiTheme="minorEastAsia"/>
                <w:sz w:val="24"/>
                <w:szCs w:val="24"/>
                <w:u w:val="single"/>
              </w:rPr>
              <w:t>3</w:t>
            </w:r>
            <w:r>
              <w:rPr>
                <w:rFonts w:hint="eastAsia" w:ascii="仿宋_GB2312" w:eastAsia="仿宋_GB2312" w:hAnsiTheme="minorEastAsia"/>
                <w:sz w:val="24"/>
                <w:szCs w:val="24"/>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2.14</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评审办法</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见第四章评审办法有关条款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2.15</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成交候选人</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在</w:t>
            </w:r>
            <w:r>
              <w:rPr>
                <w:rFonts w:hint="eastAsia" w:ascii="仿宋_GB2312" w:eastAsia="仿宋_GB2312" w:hAnsiTheme="minorEastAsia"/>
                <w:sz w:val="24"/>
                <w:szCs w:val="24"/>
                <w:u w:val="single"/>
              </w:rPr>
              <w:t>广州市净水有限公司门户网站</w:t>
            </w:r>
            <w:r>
              <w:rPr>
                <w:rFonts w:hint="eastAsia" w:ascii="仿宋_GB2312" w:eastAsia="仿宋_GB2312" w:hAnsiTheme="minorEastAsia"/>
                <w:sz w:val="24"/>
                <w:szCs w:val="24"/>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确定成交人</w:t>
            </w: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2.16</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成交办法</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见第四章采购方法有关条款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2.17</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签订合同</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推荐2名成交候选人</w:t>
            </w:r>
            <w:r>
              <w:rPr>
                <w:rFonts w:hint="eastAsia" w:ascii="仿宋_GB2312" w:eastAsia="仿宋_GB2312" w:hAnsiTheme="minorEastAsia"/>
                <w:sz w:val="24"/>
                <w:szCs w:val="24"/>
              </w:rPr>
              <w:br w:type="textWrapping"/>
            </w:r>
            <w:r>
              <w:rPr>
                <w:rFonts w:hint="eastAsia" w:ascii="仿宋_GB2312" w:eastAsia="仿宋_GB2312" w:hAnsiTheme="minorEastAsia"/>
                <w:sz w:val="24"/>
                <w:szCs w:val="24"/>
              </w:rPr>
              <w:t>采购人和成交供应商应当在成交通知书发出之日起30日内，根据采购文件和成交供应商的响应文件订立书面合同。</w:t>
            </w:r>
            <w:r>
              <w:rPr>
                <w:rFonts w:hint="eastAsia" w:ascii="仿宋_GB2312" w:eastAsia="仿宋_GB2312" w:hAnsiTheme="minorEastAsia"/>
                <w:sz w:val="24"/>
                <w:szCs w:val="24"/>
              </w:rPr>
              <w:br w:type="textWrapping"/>
            </w:r>
            <w:r>
              <w:rPr>
                <w:rFonts w:hint="eastAsia" w:ascii="仿宋_GB2312" w:eastAsia="仿宋_GB2312" w:hAnsiTheme="minorEastAsia"/>
                <w:sz w:val="24"/>
                <w:szCs w:val="24"/>
              </w:rPr>
              <w:t>合同自采购人成交通知书到达成交供应商时成立。</w:t>
            </w:r>
            <w:r>
              <w:rPr>
                <w:rFonts w:hint="eastAsia" w:ascii="仿宋_GB2312" w:eastAsia="仿宋_GB2312" w:hAnsiTheme="minorEastAsia"/>
                <w:sz w:val="24"/>
                <w:szCs w:val="24"/>
              </w:rPr>
              <w:br w:type="textWrapping"/>
            </w:r>
            <w:r>
              <w:rPr>
                <w:rFonts w:hint="eastAsia" w:ascii="仿宋_GB2312" w:eastAsia="仿宋_GB2312" w:hAnsiTheme="minorEastAsia"/>
                <w:sz w:val="24"/>
                <w:szCs w:val="24"/>
              </w:rPr>
              <w:t>1.成交供应商无正当理由拒签合同，或者在签订合同时向采购人提出附加条件的，采购人有权根据采购文件、成交供应商响应文件和成交通知书等确定合同内容，采购人也有权即刻单方解除合同，追究成交供应商的违约责任，响应保证金不予退还（若有），违约金和响应保证金（若有）不能覆盖采购人实际损失的，对不能覆盖部分的损失，成交供应商应当另行予以赔偿，且采购人有权重新采购。</w:t>
            </w:r>
            <w:r>
              <w:rPr>
                <w:rFonts w:hint="eastAsia" w:ascii="仿宋_GB2312" w:eastAsia="仿宋_GB2312" w:hAnsiTheme="minorEastAsia"/>
                <w:sz w:val="24"/>
                <w:szCs w:val="24"/>
              </w:rPr>
              <w:br w:type="textWrapping"/>
            </w:r>
            <w:r>
              <w:rPr>
                <w:rFonts w:hint="eastAsia" w:ascii="仿宋_GB2312" w:eastAsia="仿宋_GB2312" w:hAnsiTheme="minorEastAsia"/>
                <w:sz w:val="24"/>
                <w:szCs w:val="24"/>
              </w:rPr>
              <w:t>2.成交供应商被查实供应商资格无效或存在其他不符合中标条件情形的，采购人尚未发出成交通知书的，则成交无效，响应保证金（若有）不予退还，采购人可以按评审小组提出的成交候选人名单排序依次确定其他成交候选供应商为成交供应商，采购人也可以重新采购；采购人已发出成交通知书合同成立的，采购人有权解除合同，响应保证金不予退还（若有）并归采购人所有，且采购人有权重新采购。</w:t>
            </w:r>
            <w:r>
              <w:rPr>
                <w:rFonts w:hint="eastAsia" w:ascii="仿宋_GB2312" w:eastAsia="仿宋_GB2312" w:hAnsiTheme="minorEastAsia"/>
                <w:sz w:val="24"/>
                <w:szCs w:val="24"/>
              </w:rPr>
              <w:br w:type="textWrapping"/>
            </w:r>
            <w:r>
              <w:rPr>
                <w:rFonts w:hint="eastAsia" w:ascii="仿宋_GB2312" w:eastAsia="仿宋_GB2312" w:hAnsiTheme="minorEastAsia"/>
                <w:sz w:val="24"/>
                <w:szCs w:val="24"/>
              </w:rPr>
              <w:t>3.凡是成交人存在上述情形的，均按照上述规定处理。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2.18</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履约担保</w:t>
            </w:r>
          </w:p>
        </w:tc>
        <w:tc>
          <w:tcPr>
            <w:tcW w:w="5979" w:type="dxa"/>
            <w:tcBorders>
              <w:right w:val="nil"/>
            </w:tcBorders>
            <w:vAlign w:val="center"/>
          </w:tcPr>
          <w:p>
            <w:pPr>
              <w:adjustRightInd w:val="0"/>
              <w:snapToGrid w:val="0"/>
              <w:ind w:firstLine="480" w:firstLineChars="200"/>
              <w:rPr>
                <w:rFonts w:ascii="仿宋_GB2312" w:eastAsia="仿宋_GB2312" w:hAnsiTheme="minorEastAsia"/>
                <w:sz w:val="24"/>
                <w:szCs w:val="24"/>
              </w:rPr>
            </w:pPr>
            <w:r>
              <w:rPr>
                <w:rFonts w:hint="eastAsia" w:ascii="仿宋_GB2312" w:eastAsia="仿宋_GB2312" w:hAnsiTheme="minorEastAsia"/>
                <w:sz w:val="24"/>
                <w:szCs w:val="24"/>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其他</w:t>
            </w: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2.19</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需要补充的其他内容</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合同签订阶段，如采购文件需求内容与采购文件响应文件格式工程量清单存在不一致情形，则以采购文件响应文件格式工程量清单为准。如采购文件条款与合同存在不一致情形，则以合同为准。</w:t>
            </w:r>
            <w:r>
              <w:rPr>
                <w:rFonts w:hint="eastAsia" w:ascii="仿宋_GB2312" w:eastAsia="仿宋_GB2312" w:hAnsiTheme="minorEastAsia"/>
                <w:sz w:val="24"/>
                <w:szCs w:val="24"/>
              </w:rPr>
              <w:br w:type="textWrapping"/>
            </w:r>
            <w:r>
              <w:rPr>
                <w:rFonts w:hint="eastAsia" w:ascii="仿宋_GB2312" w:eastAsia="仿宋_GB2312" w:hAnsiTheme="minorEastAsia"/>
                <w:sz w:val="24"/>
                <w:szCs w:val="24"/>
              </w:rPr>
              <w:t>采购文件中，所有要求均为实质性响应条款，供应商如有任何一条负偏离则导致投标（报价）无效，将按无效响应处理。供应商应按采购文件的规定及附件要求的内容和格式完整地填写和提供资料。供应商必须对响应文件所提供的全部资料的真实性承担法律责任，并无条件接受采购人对其中任何资料进行核实（核对原件）的要求。采购人核对发现有不一致或供应商无正当理由不按时提供原件的，按成交无效处理。</w:t>
            </w:r>
          </w:p>
        </w:tc>
      </w:tr>
    </w:tbl>
    <w:p>
      <w:pPr>
        <w:adjustRightInd w:val="0"/>
        <w:snapToGrid w:val="0"/>
        <w:spacing w:before="190" w:beforeLines="50" w:after="190" w:afterLines="50" w:line="560" w:lineRule="exact"/>
        <w:jc w:val="left"/>
        <w:rPr>
          <w:rFonts w:asciiTheme="minorEastAsia" w:hAnsiTheme="minorEastAsia"/>
          <w:b/>
          <w:sz w:val="32"/>
          <w:szCs w:val="32"/>
        </w:rPr>
      </w:pPr>
      <w:r>
        <w:rPr>
          <w:rFonts w:hint="eastAsia" w:asciiTheme="minorEastAsia" w:hAnsiTheme="minorEastAsia"/>
          <w:b/>
          <w:sz w:val="32"/>
          <w:szCs w:val="32"/>
        </w:rPr>
        <w:t>2.若出现以下情况之一的，采购人将拒绝接收响应文件</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（1）逾期送达的、未送达指定地点的响应文件，采购人将予以拒收。</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（2）不按照采购文件要求密封的响应文件，采购人将予以拒收。</w:t>
      </w:r>
    </w:p>
    <w:p>
      <w:pPr>
        <w:adjustRightInd w:val="0"/>
        <w:snapToGrid w:val="0"/>
        <w:spacing w:before="190" w:beforeLines="50" w:after="190" w:afterLines="50" w:line="560" w:lineRule="exact"/>
        <w:ind w:left="643" w:hanging="643" w:hangingChars="200"/>
        <w:jc w:val="left"/>
        <w:rPr>
          <w:rFonts w:asciiTheme="minorEastAsia" w:hAnsiTheme="minorEastAsia"/>
          <w:b/>
          <w:sz w:val="32"/>
          <w:szCs w:val="32"/>
        </w:rPr>
      </w:pPr>
      <w:r>
        <w:rPr>
          <w:rFonts w:hint="eastAsia" w:asciiTheme="minorEastAsia" w:hAnsiTheme="minorEastAsia"/>
          <w:b/>
          <w:sz w:val="32"/>
          <w:szCs w:val="32"/>
        </w:rPr>
        <w:t>3.发生下列情况之一者，视为无效响应行为</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（1）响应文件未按规定签字、盖章的。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（2）响应文件未按规定格式填写，或内容与采购文件严重背离的。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（3）响应文件有两个</w:t>
      </w:r>
      <w:r>
        <w:rPr>
          <w:rFonts w:hint="eastAsia" w:ascii="仿宋_GB2312" w:eastAsia="仿宋_GB2312"/>
          <w:sz w:val="28"/>
          <w:szCs w:val="28"/>
          <w:lang w:val="en-US" w:eastAsia="zh-CN"/>
        </w:rPr>
        <w:t>及</w:t>
      </w:r>
      <w:r>
        <w:rPr>
          <w:rFonts w:hint="eastAsia" w:ascii="仿宋_GB2312" w:eastAsia="仿宋_GB2312"/>
          <w:sz w:val="28"/>
          <w:szCs w:val="28"/>
        </w:rPr>
        <w:t>以上报价的（采购文件允许提交备选方案的除外）。</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（4）质量标准不符合采购文件要求的。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（5）服务期不符合采购文件要求的。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（6）报价超过最高限价的。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（7）供应商不符合国家或采购文件规定的资格条件。</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（8）响应文件没有对采购文件的实质性要求和条件作出响应。</w:t>
      </w:r>
    </w:p>
    <w:p>
      <w:pPr>
        <w:adjustRightInd w:val="0"/>
        <w:snapToGrid w:val="0"/>
        <w:spacing w:line="560" w:lineRule="exact"/>
        <w:ind w:left="559" w:leftChars="266" w:firstLine="176" w:firstLineChars="63"/>
        <w:jc w:val="left"/>
        <w:rPr>
          <w:rFonts w:ascii="仿宋_GB2312" w:eastAsia="仿宋_GB2312"/>
          <w:sz w:val="28"/>
          <w:szCs w:val="28"/>
        </w:rPr>
      </w:pPr>
      <w:r>
        <w:rPr>
          <w:rFonts w:hint="eastAsia" w:ascii="仿宋_GB2312" w:eastAsia="仿宋_GB2312"/>
          <w:sz w:val="28"/>
          <w:szCs w:val="28"/>
        </w:rPr>
        <w:t>（9）其他不符合采购文件要求的情形。</w:t>
      </w:r>
      <w:r>
        <w:rPr>
          <w:rFonts w:hint="eastAsia" w:ascii="仿宋_GB2312" w:eastAsia="仿宋_GB2312"/>
          <w:sz w:val="28"/>
          <w:szCs w:val="28"/>
        </w:rPr>
        <w:br w:type="textWrapping"/>
      </w:r>
      <w:r>
        <w:rPr>
          <w:rFonts w:hint="eastAsia" w:asciiTheme="majorEastAsia" w:hAnsiTheme="majorEastAsia" w:eastAsiaTheme="majorEastAsia" w:cstheme="majorEastAsia"/>
          <w:color w:val="auto"/>
          <w:sz w:val="28"/>
          <w:szCs w:val="28"/>
          <w:highlight w:val="none"/>
          <w:lang w:eastAsia="zh-CN"/>
        </w:rPr>
        <w:t>（</w:t>
      </w:r>
      <w:r>
        <w:rPr>
          <w:rFonts w:hint="eastAsia" w:asciiTheme="majorEastAsia" w:hAnsiTheme="majorEastAsia" w:eastAsiaTheme="majorEastAsia" w:cstheme="majorEastAsia"/>
          <w:color w:val="auto"/>
          <w:sz w:val="28"/>
          <w:szCs w:val="28"/>
          <w:highlight w:val="none"/>
          <w:lang w:val="en-US" w:eastAsia="zh-CN"/>
        </w:rPr>
        <w:t>10</w:t>
      </w:r>
      <w:r>
        <w:rPr>
          <w:rFonts w:hint="eastAsia" w:asciiTheme="majorEastAsia" w:hAnsiTheme="majorEastAsia" w:eastAsiaTheme="majorEastAsia" w:cstheme="majorEastAsia"/>
          <w:color w:val="auto"/>
          <w:sz w:val="28"/>
          <w:szCs w:val="28"/>
          <w:highlight w:val="none"/>
          <w:lang w:eastAsia="zh-CN"/>
        </w:rPr>
        <w:t>）</w:t>
      </w:r>
      <w:r>
        <w:rPr>
          <w:rFonts w:hint="eastAsia" w:asciiTheme="majorEastAsia" w:hAnsiTheme="majorEastAsia" w:eastAsiaTheme="majorEastAsia" w:cstheme="majorEastAsia"/>
          <w:color w:val="auto"/>
          <w:sz w:val="28"/>
          <w:szCs w:val="28"/>
          <w:highlight w:val="none"/>
          <w:lang w:val="en-US" w:eastAsia="zh-CN"/>
        </w:rPr>
        <w:t>非法定代表人或授权委托代理人递交响应文件。</w:t>
      </w:r>
    </w:p>
    <w:p>
      <w:pPr>
        <w:adjustRightInd w:val="0"/>
        <w:snapToGrid w:val="0"/>
        <w:spacing w:before="190" w:beforeLines="50" w:after="190" w:afterLines="50" w:line="560" w:lineRule="exact"/>
        <w:ind w:left="643" w:hanging="643" w:hangingChars="200"/>
        <w:jc w:val="left"/>
        <w:rPr>
          <w:rFonts w:asciiTheme="minorEastAsia" w:hAnsiTheme="minorEastAsia"/>
          <w:b/>
          <w:sz w:val="32"/>
          <w:szCs w:val="32"/>
        </w:rPr>
      </w:pPr>
      <w:r>
        <w:rPr>
          <w:rFonts w:hint="eastAsia" w:asciiTheme="minorEastAsia" w:hAnsiTheme="minorEastAsia"/>
          <w:b/>
          <w:sz w:val="32"/>
          <w:szCs w:val="32"/>
        </w:rPr>
        <w:t>4.响应保证金</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本项目无须递交响应保证金。</w:t>
      </w:r>
    </w:p>
    <w:p>
      <w:pPr>
        <w:adjustRightInd w:val="0"/>
        <w:snapToGrid w:val="0"/>
        <w:spacing w:before="190" w:beforeLines="50" w:after="190" w:afterLines="50" w:line="560" w:lineRule="exact"/>
        <w:ind w:left="643" w:hanging="643" w:hangingChars="200"/>
        <w:jc w:val="left"/>
        <w:rPr>
          <w:rFonts w:asciiTheme="minorEastAsia" w:hAnsiTheme="minorEastAsia"/>
          <w:b/>
          <w:sz w:val="32"/>
          <w:szCs w:val="32"/>
        </w:rPr>
      </w:pPr>
      <w:r>
        <w:rPr>
          <w:rFonts w:hint="eastAsia" w:asciiTheme="minorEastAsia" w:hAnsiTheme="minorEastAsia"/>
          <w:b/>
          <w:sz w:val="32"/>
          <w:szCs w:val="32"/>
        </w:rPr>
        <w:t>5.响应文件要求</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6.1响应文件包括下列内容</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1.响应函</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2.法定代表人证明或授权委托书</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3.资格审查资料</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4.拟投入本项目的项目负责人情况表</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5.报价表</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6.其他资料</w:t>
      </w:r>
    </w:p>
    <w:p>
      <w:pPr>
        <w:adjustRightInd w:val="0"/>
        <w:snapToGrid w:val="0"/>
        <w:spacing w:before="190" w:beforeLines="50" w:after="190" w:afterLines="50" w:line="560" w:lineRule="exact"/>
        <w:ind w:left="643" w:hanging="643" w:hangingChars="200"/>
        <w:jc w:val="left"/>
        <w:rPr>
          <w:rFonts w:asciiTheme="minorEastAsia" w:hAnsiTheme="minorEastAsia"/>
          <w:b/>
          <w:sz w:val="32"/>
          <w:szCs w:val="32"/>
        </w:rPr>
      </w:pPr>
      <w:r>
        <w:rPr>
          <w:rFonts w:hint="eastAsia" w:asciiTheme="minorEastAsia" w:hAnsiTheme="minorEastAsia"/>
          <w:b/>
          <w:sz w:val="32"/>
          <w:szCs w:val="32"/>
        </w:rPr>
        <w:t>6.异议</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7.1 供应商或其他利害关系人可以对采购公告（采购邀请书）、采购文件、成交候选人等提出异议。异议应在采购公告或文件规定的时间内、成交候选人公示期间通过规定的异议渠道提出，并递交异议函和必要的证明材料。异议函包括但不限于下列内容：</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（1）异议人名称、地址、邮政编码、联系人及联系电话；</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（2）具体、明确的异议事项、事实依据及与异议事项相关的请求。</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7.2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7.3 异议人与采购人对异议事项无法达成一致的，异议人可向采购人的监管部门进行反映。</w:t>
      </w:r>
    </w:p>
    <w:p>
      <w:pPr>
        <w:adjustRightInd w:val="0"/>
        <w:snapToGrid w:val="0"/>
        <w:spacing w:before="190" w:beforeLines="50" w:after="190" w:afterLines="50" w:line="560" w:lineRule="exact"/>
        <w:ind w:left="643" w:hanging="643" w:hangingChars="200"/>
        <w:jc w:val="left"/>
        <w:rPr>
          <w:rFonts w:asciiTheme="minorEastAsia" w:hAnsiTheme="minorEastAsia"/>
          <w:b/>
          <w:sz w:val="32"/>
          <w:szCs w:val="32"/>
        </w:rPr>
      </w:pPr>
      <w:r>
        <w:rPr>
          <w:rFonts w:asciiTheme="minorEastAsia" w:hAnsiTheme="minorEastAsia"/>
          <w:b/>
          <w:sz w:val="32"/>
          <w:szCs w:val="32"/>
        </w:rPr>
        <w:t>7.本章附件</w:t>
      </w:r>
    </w:p>
    <w:p>
      <w:pPr>
        <w:adjustRightInd w:val="0"/>
        <w:snapToGrid w:val="0"/>
        <w:spacing w:line="560" w:lineRule="exact"/>
        <w:ind w:firstLine="694" w:firstLineChars="248"/>
        <w:jc w:val="left"/>
        <w:rPr>
          <w:rFonts w:ascii="仿宋_GB2312" w:eastAsia="仿宋_GB2312"/>
          <w:sz w:val="28"/>
          <w:szCs w:val="28"/>
        </w:rPr>
      </w:pPr>
      <w:r>
        <w:rPr>
          <w:rFonts w:hint="eastAsia" w:ascii="仿宋_GB2312" w:eastAsia="仿宋_GB2312"/>
          <w:sz w:val="28"/>
          <w:szCs w:val="28"/>
        </w:rPr>
        <w:t>附件1：响应文件开启表</w:t>
      </w:r>
    </w:p>
    <w:p>
      <w:pPr>
        <w:adjustRightInd w:val="0"/>
        <w:snapToGrid w:val="0"/>
        <w:spacing w:line="560" w:lineRule="exact"/>
        <w:ind w:firstLine="694" w:firstLineChars="248"/>
        <w:jc w:val="left"/>
        <w:rPr>
          <w:rFonts w:ascii="仿宋_GB2312" w:eastAsia="仿宋_GB2312"/>
          <w:sz w:val="28"/>
          <w:szCs w:val="28"/>
        </w:rPr>
      </w:pPr>
      <w:r>
        <w:rPr>
          <w:rFonts w:hint="eastAsia" w:ascii="仿宋_GB2312" w:eastAsia="仿宋_GB2312"/>
          <w:sz w:val="28"/>
          <w:szCs w:val="28"/>
        </w:rPr>
        <w:t>附件2：问题澄清通知</w:t>
      </w:r>
    </w:p>
    <w:p>
      <w:pPr>
        <w:adjustRightInd w:val="0"/>
        <w:snapToGrid w:val="0"/>
        <w:spacing w:line="560" w:lineRule="exact"/>
        <w:ind w:firstLine="694" w:firstLineChars="248"/>
        <w:jc w:val="left"/>
        <w:rPr>
          <w:rFonts w:ascii="仿宋_GB2312" w:eastAsia="仿宋_GB2312"/>
          <w:sz w:val="28"/>
          <w:szCs w:val="28"/>
        </w:rPr>
      </w:pPr>
      <w:r>
        <w:rPr>
          <w:rFonts w:hint="eastAsia" w:ascii="仿宋_GB2312" w:eastAsia="仿宋_GB2312"/>
          <w:sz w:val="28"/>
          <w:szCs w:val="28"/>
        </w:rPr>
        <w:t>附件3：问题的澄清</w:t>
      </w:r>
    </w:p>
    <w:p>
      <w:pPr>
        <w:adjustRightInd w:val="0"/>
        <w:snapToGrid w:val="0"/>
        <w:spacing w:line="560" w:lineRule="exact"/>
        <w:ind w:left="559" w:leftChars="266" w:firstLine="134" w:firstLineChars="48"/>
        <w:jc w:val="left"/>
        <w:rPr>
          <w:rFonts w:ascii="仿宋_GB2312" w:eastAsia="仿宋_GB2312"/>
          <w:sz w:val="28"/>
          <w:szCs w:val="28"/>
        </w:rPr>
      </w:pPr>
      <w:r>
        <w:rPr>
          <w:rFonts w:hint="eastAsia" w:ascii="仿宋_GB2312" w:eastAsia="仿宋_GB2312"/>
          <w:sz w:val="28"/>
          <w:szCs w:val="28"/>
        </w:rPr>
        <w:t>附件4：成交通知书</w:t>
      </w:r>
      <w:r>
        <w:rPr>
          <w:rFonts w:hint="eastAsia" w:ascii="仿宋_GB2312" w:eastAsia="仿宋_GB2312"/>
          <w:sz w:val="28"/>
          <w:szCs w:val="28"/>
        </w:rPr>
        <w:br w:type="textWrapping"/>
      </w:r>
      <w:r>
        <w:rPr>
          <w:rFonts w:hint="eastAsia" w:asciiTheme="majorEastAsia" w:hAnsiTheme="majorEastAsia" w:eastAsiaTheme="majorEastAsia" w:cstheme="majorEastAsia"/>
          <w:color w:val="auto"/>
          <w:sz w:val="28"/>
          <w:szCs w:val="28"/>
          <w:highlight w:val="none"/>
        </w:rPr>
        <w:t>附件</w:t>
      </w:r>
      <w:r>
        <w:rPr>
          <w:rFonts w:hint="eastAsia" w:asciiTheme="majorEastAsia" w:hAnsiTheme="majorEastAsia" w:eastAsiaTheme="majorEastAsia" w:cstheme="majorEastAsia"/>
          <w:color w:val="auto"/>
          <w:sz w:val="28"/>
          <w:szCs w:val="28"/>
          <w:highlight w:val="none"/>
          <w:lang w:val="en-US" w:eastAsia="zh-CN"/>
        </w:rPr>
        <w:t>5</w:t>
      </w:r>
      <w:r>
        <w:rPr>
          <w:rFonts w:hint="eastAsia" w:asciiTheme="majorEastAsia" w:hAnsiTheme="majorEastAsia" w:eastAsiaTheme="majorEastAsia" w:cstheme="majorEastAsia"/>
          <w:color w:val="auto"/>
          <w:sz w:val="28"/>
          <w:szCs w:val="28"/>
          <w:highlight w:val="none"/>
        </w:rPr>
        <w:t>：关于**项目异议书</w:t>
      </w: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pStyle w:val="6"/>
        <w:ind w:firstLine="0"/>
        <w:rPr>
          <w:rFonts w:asciiTheme="majorEastAsia" w:hAnsiTheme="majorEastAsia" w:eastAsiaTheme="majorEastAsia"/>
          <w:b/>
          <w:sz w:val="28"/>
          <w:szCs w:val="28"/>
        </w:rPr>
      </w:pPr>
    </w:p>
    <w:p>
      <w:pPr>
        <w:pStyle w:val="6"/>
        <w:ind w:firstLine="0"/>
        <w:rPr>
          <w:rFonts w:asciiTheme="majorEastAsia" w:hAnsiTheme="majorEastAsia" w:eastAsiaTheme="majorEastAsia"/>
          <w:b/>
          <w:sz w:val="28"/>
          <w:szCs w:val="28"/>
        </w:rPr>
      </w:pPr>
    </w:p>
    <w:p>
      <w:pPr>
        <w:pStyle w:val="6"/>
        <w:ind w:firstLine="0"/>
        <w:rPr>
          <w:rFonts w:asciiTheme="majorEastAsia" w:hAnsiTheme="majorEastAsia" w:eastAsiaTheme="majorEastAsia"/>
          <w:b/>
          <w:sz w:val="28"/>
          <w:szCs w:val="28"/>
        </w:rPr>
      </w:pPr>
    </w:p>
    <w:p>
      <w:pPr>
        <w:pStyle w:val="6"/>
        <w:ind w:firstLine="0"/>
        <w:rPr>
          <w:rFonts w:asciiTheme="majorEastAsia" w:hAnsiTheme="majorEastAsia" w:eastAsiaTheme="majorEastAsia"/>
          <w:b/>
          <w:sz w:val="28"/>
          <w:szCs w:val="28"/>
        </w:rPr>
      </w:pPr>
    </w:p>
    <w:p>
      <w:pPr>
        <w:pStyle w:val="6"/>
        <w:ind w:firstLine="0"/>
        <w:rPr>
          <w:rFonts w:asciiTheme="majorEastAsia" w:hAnsiTheme="majorEastAsia" w:eastAsiaTheme="majorEastAsia"/>
          <w:b/>
          <w:sz w:val="28"/>
          <w:szCs w:val="28"/>
        </w:rPr>
      </w:pPr>
    </w:p>
    <w:p>
      <w:pPr>
        <w:pStyle w:val="6"/>
        <w:ind w:firstLine="0"/>
        <w:rPr>
          <w:rFonts w:asciiTheme="majorEastAsia" w:hAnsiTheme="majorEastAsia" w:eastAsiaTheme="majorEastAsia"/>
          <w:b/>
          <w:sz w:val="28"/>
          <w:szCs w:val="28"/>
        </w:rPr>
      </w:pPr>
    </w:p>
    <w:p>
      <w:pPr>
        <w:pStyle w:val="6"/>
        <w:ind w:firstLine="0"/>
        <w:rPr>
          <w:rFonts w:asciiTheme="majorEastAsia" w:hAnsiTheme="majorEastAsia" w:eastAsiaTheme="majorEastAsia"/>
          <w:b/>
          <w:sz w:val="28"/>
          <w:szCs w:val="28"/>
        </w:rPr>
      </w:pPr>
    </w:p>
    <w:p>
      <w:pPr>
        <w:pStyle w:val="6"/>
        <w:ind w:firstLine="0"/>
        <w:rPr>
          <w:rFonts w:asciiTheme="majorEastAsia" w:hAnsiTheme="majorEastAsia" w:eastAsiaTheme="majorEastAsia"/>
          <w:b/>
          <w:sz w:val="28"/>
          <w:szCs w:val="28"/>
        </w:rPr>
      </w:pPr>
    </w:p>
    <w:p>
      <w:pPr>
        <w:pStyle w:val="6"/>
        <w:ind w:firstLine="0"/>
        <w:rPr>
          <w:rFonts w:asciiTheme="majorEastAsia" w:hAnsiTheme="majorEastAsia" w:eastAsiaTheme="majorEastAsia"/>
          <w:b/>
          <w:sz w:val="28"/>
          <w:szCs w:val="28"/>
        </w:rPr>
      </w:pPr>
    </w:p>
    <w:p>
      <w:pPr>
        <w:pStyle w:val="6"/>
        <w:ind w:firstLine="0"/>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r>
        <w:rPr>
          <w:rFonts w:asciiTheme="majorEastAsia" w:hAnsiTheme="majorEastAsia" w:eastAsiaTheme="majorEastAsia"/>
          <w:b/>
          <w:sz w:val="28"/>
          <w:szCs w:val="28"/>
        </w:rPr>
        <w:t>附件1</w:t>
      </w:r>
    </w:p>
    <w:p>
      <w:pPr>
        <w:adjustRightInd w:val="0"/>
        <w:snapToGrid w:val="0"/>
        <w:spacing w:line="600" w:lineRule="exact"/>
        <w:jc w:val="center"/>
        <w:rPr>
          <w:rFonts w:ascii="方正小标宋简体" w:eastAsia="方正小标宋简体" w:hAnsiTheme="majorEastAsia"/>
          <w:sz w:val="32"/>
          <w:szCs w:val="32"/>
        </w:rPr>
      </w:pPr>
    </w:p>
    <w:p>
      <w:pPr>
        <w:adjustRightInd w:val="0"/>
        <w:snapToGrid w:val="0"/>
        <w:spacing w:line="600" w:lineRule="exact"/>
        <w:jc w:val="center"/>
        <w:rPr>
          <w:rFonts w:ascii="方正小标宋简体" w:eastAsia="方正小标宋简体" w:hAnsiTheme="majorEastAsia"/>
          <w:sz w:val="32"/>
          <w:szCs w:val="32"/>
        </w:rPr>
      </w:pPr>
      <w:r>
        <w:rPr>
          <w:rFonts w:hint="eastAsia" w:ascii="方正小标宋简体" w:eastAsia="方正小标宋简体" w:hAnsiTheme="majorEastAsia"/>
          <w:sz w:val="32"/>
          <w:szCs w:val="32"/>
        </w:rPr>
        <w:t>响应文件开启表</w:t>
      </w:r>
    </w:p>
    <w:p>
      <w:pPr>
        <w:pStyle w:val="40"/>
      </w:pP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开启时间：</w:t>
      </w:r>
      <w:r>
        <w:rPr>
          <w:rFonts w:ascii="仿宋_GB2312" w:eastAsia="仿宋_GB2312" w:hAnsiTheme="majorEastAsia"/>
          <w:sz w:val="28"/>
          <w:szCs w:val="28"/>
        </w:rPr>
        <w:t xml:space="preserve">   </w:t>
      </w:r>
      <w:r>
        <w:rPr>
          <w:rFonts w:hint="eastAsia" w:ascii="仿宋_GB2312" w:eastAsia="仿宋_GB2312" w:hAnsiTheme="majorEastAsia"/>
          <w:sz w:val="28"/>
          <w:szCs w:val="28"/>
        </w:rPr>
        <w:t>年</w:t>
      </w:r>
      <w:r>
        <w:rPr>
          <w:rFonts w:ascii="仿宋_GB2312" w:eastAsia="仿宋_GB2312" w:hAnsiTheme="majorEastAsia"/>
          <w:sz w:val="28"/>
          <w:szCs w:val="28"/>
        </w:rPr>
        <w:t xml:space="preserve">   </w:t>
      </w:r>
      <w:r>
        <w:rPr>
          <w:rFonts w:hint="eastAsia" w:ascii="仿宋_GB2312" w:eastAsia="仿宋_GB2312" w:hAnsiTheme="majorEastAsia"/>
          <w:sz w:val="28"/>
          <w:szCs w:val="28"/>
        </w:rPr>
        <w:t>月</w:t>
      </w:r>
      <w:r>
        <w:rPr>
          <w:rFonts w:ascii="仿宋_GB2312" w:eastAsia="仿宋_GB2312" w:hAnsiTheme="majorEastAsia"/>
          <w:sz w:val="28"/>
          <w:szCs w:val="28"/>
        </w:rPr>
        <w:t xml:space="preserve">   </w:t>
      </w:r>
      <w:r>
        <w:rPr>
          <w:rFonts w:hint="eastAsia" w:ascii="仿宋_GB2312" w:eastAsia="仿宋_GB2312" w:hAnsiTheme="majorEastAsia"/>
          <w:sz w:val="28"/>
          <w:szCs w:val="28"/>
        </w:rPr>
        <w:t>日</w:t>
      </w:r>
      <w:r>
        <w:rPr>
          <w:rFonts w:ascii="仿宋_GB2312" w:eastAsia="仿宋_GB2312" w:hAnsiTheme="majorEastAsia"/>
          <w:sz w:val="28"/>
          <w:szCs w:val="28"/>
        </w:rPr>
        <w:t xml:space="preserve">   </w:t>
      </w:r>
      <w:r>
        <w:rPr>
          <w:rFonts w:hint="eastAsia" w:ascii="仿宋_GB2312" w:eastAsia="仿宋_GB2312" w:hAnsiTheme="majorEastAsia"/>
          <w:sz w:val="28"/>
          <w:szCs w:val="28"/>
        </w:rPr>
        <w:t>时</w:t>
      </w:r>
      <w:r>
        <w:rPr>
          <w:rFonts w:ascii="仿宋_GB2312" w:eastAsia="仿宋_GB2312" w:hAnsiTheme="majorEastAsia"/>
          <w:sz w:val="28"/>
          <w:szCs w:val="28"/>
        </w:rPr>
        <w:t xml:space="preserve">   </w:t>
      </w:r>
      <w:r>
        <w:rPr>
          <w:rFonts w:hint="eastAsia" w:ascii="仿宋_GB2312" w:eastAsia="仿宋_GB2312" w:hAnsiTheme="majorEastAsia"/>
          <w:sz w:val="28"/>
          <w:szCs w:val="28"/>
        </w:rPr>
        <w:t>分</w:t>
      </w:r>
    </w:p>
    <w:tbl>
      <w:tblPr>
        <w:tblStyle w:val="27"/>
        <w:tblW w:w="0" w:type="auto"/>
        <w:tblInd w:w="-2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序号</w:t>
            </w:r>
          </w:p>
        </w:tc>
        <w:tc>
          <w:tcPr>
            <w:tcW w:w="2659" w:type="dxa"/>
            <w:vMerge w:val="restart"/>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供应商</w:t>
            </w:r>
          </w:p>
        </w:tc>
        <w:tc>
          <w:tcPr>
            <w:tcW w:w="1173" w:type="dxa"/>
            <w:vMerge w:val="restart"/>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密封情况</w:t>
            </w:r>
          </w:p>
        </w:tc>
        <w:tc>
          <w:tcPr>
            <w:tcW w:w="1909" w:type="dxa"/>
            <w:vMerge w:val="restart"/>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报价（元）</w:t>
            </w:r>
          </w:p>
        </w:tc>
        <w:tc>
          <w:tcPr>
            <w:tcW w:w="1609" w:type="dxa"/>
            <w:vMerge w:val="restart"/>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供应商代表签名</w:t>
            </w:r>
          </w:p>
        </w:tc>
        <w:tc>
          <w:tcPr>
            <w:tcW w:w="668" w:type="dxa"/>
            <w:vMerge w:val="restart"/>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sz w:val="24"/>
                <w:szCs w:val="24"/>
              </w:rPr>
            </w:pPr>
          </w:p>
        </w:tc>
        <w:tc>
          <w:tcPr>
            <w:tcW w:w="2659" w:type="dxa"/>
            <w:vMerge w:val="continue"/>
            <w:vAlign w:val="center"/>
          </w:tcPr>
          <w:p>
            <w:pPr>
              <w:adjustRightInd w:val="0"/>
              <w:snapToGrid w:val="0"/>
              <w:spacing w:line="600" w:lineRule="exact"/>
              <w:jc w:val="center"/>
              <w:rPr>
                <w:rFonts w:ascii="仿宋_GB2312" w:eastAsia="仿宋_GB2312"/>
                <w:sz w:val="24"/>
                <w:szCs w:val="24"/>
              </w:rPr>
            </w:pPr>
          </w:p>
        </w:tc>
        <w:tc>
          <w:tcPr>
            <w:tcW w:w="1173" w:type="dxa"/>
            <w:vMerge w:val="continue"/>
            <w:vAlign w:val="center"/>
          </w:tcPr>
          <w:p>
            <w:pPr>
              <w:adjustRightInd w:val="0"/>
              <w:snapToGrid w:val="0"/>
              <w:spacing w:line="600" w:lineRule="exact"/>
              <w:jc w:val="center"/>
              <w:rPr>
                <w:rFonts w:ascii="仿宋_GB2312" w:eastAsia="仿宋_GB2312"/>
                <w:sz w:val="24"/>
                <w:szCs w:val="24"/>
              </w:rPr>
            </w:pPr>
          </w:p>
        </w:tc>
        <w:tc>
          <w:tcPr>
            <w:tcW w:w="1909" w:type="dxa"/>
            <w:vMerge w:val="continue"/>
            <w:vAlign w:val="center"/>
          </w:tcPr>
          <w:p>
            <w:pPr>
              <w:adjustRightInd w:val="0"/>
              <w:snapToGrid w:val="0"/>
              <w:spacing w:line="600" w:lineRule="exact"/>
              <w:jc w:val="center"/>
              <w:rPr>
                <w:rFonts w:ascii="仿宋_GB2312" w:eastAsia="仿宋_GB2312"/>
                <w:sz w:val="24"/>
                <w:szCs w:val="24"/>
              </w:rPr>
            </w:pPr>
          </w:p>
        </w:tc>
        <w:tc>
          <w:tcPr>
            <w:tcW w:w="1609" w:type="dxa"/>
            <w:vMerge w:val="continue"/>
            <w:vAlign w:val="center"/>
          </w:tcPr>
          <w:p>
            <w:pPr>
              <w:adjustRightInd w:val="0"/>
              <w:snapToGrid w:val="0"/>
              <w:spacing w:line="600" w:lineRule="exact"/>
              <w:jc w:val="center"/>
              <w:rPr>
                <w:rFonts w:ascii="仿宋_GB2312" w:eastAsia="仿宋_GB2312"/>
                <w:sz w:val="24"/>
                <w:szCs w:val="24"/>
              </w:rPr>
            </w:pPr>
          </w:p>
        </w:tc>
        <w:tc>
          <w:tcPr>
            <w:tcW w:w="668" w:type="dxa"/>
            <w:vMerge w:val="continue"/>
            <w:vAlign w:val="center"/>
          </w:tcPr>
          <w:p>
            <w:pPr>
              <w:adjustRightInd w:val="0"/>
              <w:snapToGrid w:val="0"/>
              <w:spacing w:line="600" w:lineRule="exact"/>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sz w:val="24"/>
                <w:szCs w:val="24"/>
              </w:rPr>
            </w:pPr>
          </w:p>
        </w:tc>
        <w:tc>
          <w:tcPr>
            <w:tcW w:w="2659" w:type="dxa"/>
            <w:vAlign w:val="center"/>
          </w:tcPr>
          <w:p>
            <w:pPr>
              <w:adjustRightInd w:val="0"/>
              <w:snapToGrid w:val="0"/>
              <w:spacing w:line="600" w:lineRule="exact"/>
              <w:jc w:val="center"/>
              <w:rPr>
                <w:rFonts w:ascii="仿宋_GB2312" w:eastAsia="仿宋_GB2312"/>
                <w:sz w:val="24"/>
                <w:szCs w:val="24"/>
              </w:rPr>
            </w:pPr>
          </w:p>
        </w:tc>
        <w:tc>
          <w:tcPr>
            <w:tcW w:w="1173" w:type="dxa"/>
            <w:vAlign w:val="center"/>
          </w:tcPr>
          <w:p>
            <w:pPr>
              <w:adjustRightInd w:val="0"/>
              <w:snapToGrid w:val="0"/>
              <w:spacing w:line="600" w:lineRule="exact"/>
              <w:jc w:val="center"/>
              <w:rPr>
                <w:rFonts w:ascii="仿宋_GB2312" w:eastAsia="仿宋_GB2312"/>
                <w:sz w:val="24"/>
                <w:szCs w:val="24"/>
              </w:rPr>
            </w:pPr>
          </w:p>
        </w:tc>
        <w:tc>
          <w:tcPr>
            <w:tcW w:w="1909" w:type="dxa"/>
            <w:vAlign w:val="center"/>
          </w:tcPr>
          <w:p>
            <w:pPr>
              <w:adjustRightInd w:val="0"/>
              <w:snapToGrid w:val="0"/>
              <w:spacing w:line="600" w:lineRule="exact"/>
              <w:jc w:val="center"/>
              <w:rPr>
                <w:rFonts w:ascii="仿宋_GB2312" w:eastAsia="仿宋_GB2312"/>
                <w:sz w:val="24"/>
                <w:szCs w:val="24"/>
              </w:rPr>
            </w:pPr>
          </w:p>
        </w:tc>
        <w:tc>
          <w:tcPr>
            <w:tcW w:w="1609" w:type="dxa"/>
            <w:vAlign w:val="center"/>
          </w:tcPr>
          <w:p>
            <w:pPr>
              <w:adjustRightInd w:val="0"/>
              <w:snapToGrid w:val="0"/>
              <w:spacing w:line="600" w:lineRule="exact"/>
              <w:rPr>
                <w:rFonts w:ascii="仿宋_GB2312" w:eastAsia="仿宋_GB2312"/>
                <w:sz w:val="24"/>
                <w:szCs w:val="24"/>
              </w:rPr>
            </w:pPr>
          </w:p>
        </w:tc>
        <w:tc>
          <w:tcPr>
            <w:tcW w:w="668" w:type="dxa"/>
            <w:vAlign w:val="center"/>
          </w:tcPr>
          <w:p>
            <w:pPr>
              <w:adjustRightInd w:val="0"/>
              <w:snapToGrid w:val="0"/>
              <w:spacing w:line="600" w:lineRule="exact"/>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rPr>
            </w:pPr>
          </w:p>
        </w:tc>
        <w:tc>
          <w:tcPr>
            <w:tcW w:w="2659" w:type="dxa"/>
            <w:vAlign w:val="center"/>
          </w:tcPr>
          <w:p>
            <w:pPr>
              <w:adjustRightInd w:val="0"/>
              <w:snapToGrid w:val="0"/>
              <w:spacing w:line="600" w:lineRule="exact"/>
              <w:jc w:val="center"/>
              <w:rPr>
                <w:rFonts w:ascii="仿宋_GB2312" w:eastAsia="仿宋_GB2312"/>
                <w:sz w:val="24"/>
                <w:szCs w:val="24"/>
              </w:rPr>
            </w:pPr>
          </w:p>
        </w:tc>
        <w:tc>
          <w:tcPr>
            <w:tcW w:w="1173" w:type="dxa"/>
            <w:vAlign w:val="center"/>
          </w:tcPr>
          <w:p>
            <w:pPr>
              <w:adjustRightInd w:val="0"/>
              <w:snapToGrid w:val="0"/>
              <w:spacing w:line="600" w:lineRule="exact"/>
              <w:jc w:val="center"/>
              <w:rPr>
                <w:rFonts w:ascii="仿宋_GB2312" w:eastAsia="仿宋_GB2312"/>
                <w:sz w:val="24"/>
                <w:szCs w:val="24"/>
              </w:rPr>
            </w:pPr>
          </w:p>
        </w:tc>
        <w:tc>
          <w:tcPr>
            <w:tcW w:w="1909" w:type="dxa"/>
            <w:vAlign w:val="center"/>
          </w:tcPr>
          <w:p>
            <w:pPr>
              <w:adjustRightInd w:val="0"/>
              <w:snapToGrid w:val="0"/>
              <w:spacing w:line="600" w:lineRule="exact"/>
              <w:jc w:val="center"/>
              <w:rPr>
                <w:rFonts w:ascii="仿宋_GB2312" w:eastAsia="仿宋_GB2312"/>
                <w:sz w:val="24"/>
                <w:szCs w:val="24"/>
              </w:rPr>
            </w:pPr>
          </w:p>
        </w:tc>
        <w:tc>
          <w:tcPr>
            <w:tcW w:w="1609" w:type="dxa"/>
            <w:vAlign w:val="center"/>
          </w:tcPr>
          <w:p>
            <w:pPr>
              <w:adjustRightInd w:val="0"/>
              <w:snapToGrid w:val="0"/>
              <w:spacing w:line="600" w:lineRule="exact"/>
              <w:rPr>
                <w:rFonts w:ascii="仿宋_GB2312" w:eastAsia="仿宋_GB2312"/>
                <w:sz w:val="24"/>
                <w:szCs w:val="24"/>
              </w:rPr>
            </w:pPr>
          </w:p>
        </w:tc>
        <w:tc>
          <w:tcPr>
            <w:tcW w:w="668" w:type="dxa"/>
            <w:vAlign w:val="center"/>
          </w:tcPr>
          <w:p>
            <w:pPr>
              <w:adjustRightInd w:val="0"/>
              <w:snapToGrid w:val="0"/>
              <w:spacing w:line="600" w:lineRule="exact"/>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rPr>
            </w:pPr>
          </w:p>
        </w:tc>
        <w:tc>
          <w:tcPr>
            <w:tcW w:w="2659" w:type="dxa"/>
            <w:vAlign w:val="center"/>
          </w:tcPr>
          <w:p>
            <w:pPr>
              <w:adjustRightInd w:val="0"/>
              <w:snapToGrid w:val="0"/>
              <w:spacing w:line="600" w:lineRule="exact"/>
              <w:jc w:val="center"/>
              <w:rPr>
                <w:rFonts w:ascii="仿宋_GB2312" w:eastAsia="仿宋_GB2312"/>
                <w:sz w:val="24"/>
                <w:szCs w:val="24"/>
              </w:rPr>
            </w:pPr>
          </w:p>
        </w:tc>
        <w:tc>
          <w:tcPr>
            <w:tcW w:w="1173" w:type="dxa"/>
            <w:vAlign w:val="center"/>
          </w:tcPr>
          <w:p>
            <w:pPr>
              <w:adjustRightInd w:val="0"/>
              <w:snapToGrid w:val="0"/>
              <w:spacing w:line="600" w:lineRule="exact"/>
              <w:jc w:val="center"/>
              <w:rPr>
                <w:rFonts w:ascii="仿宋_GB2312" w:eastAsia="仿宋_GB2312"/>
                <w:sz w:val="24"/>
                <w:szCs w:val="24"/>
              </w:rPr>
            </w:pPr>
          </w:p>
        </w:tc>
        <w:tc>
          <w:tcPr>
            <w:tcW w:w="1909" w:type="dxa"/>
            <w:vAlign w:val="center"/>
          </w:tcPr>
          <w:p>
            <w:pPr>
              <w:adjustRightInd w:val="0"/>
              <w:snapToGrid w:val="0"/>
              <w:spacing w:line="600" w:lineRule="exact"/>
              <w:jc w:val="center"/>
              <w:rPr>
                <w:rFonts w:ascii="仿宋_GB2312" w:eastAsia="仿宋_GB2312"/>
                <w:sz w:val="24"/>
                <w:szCs w:val="24"/>
              </w:rPr>
            </w:pPr>
          </w:p>
        </w:tc>
        <w:tc>
          <w:tcPr>
            <w:tcW w:w="1609" w:type="dxa"/>
            <w:vAlign w:val="center"/>
          </w:tcPr>
          <w:p>
            <w:pPr>
              <w:adjustRightInd w:val="0"/>
              <w:snapToGrid w:val="0"/>
              <w:spacing w:line="600" w:lineRule="exact"/>
              <w:rPr>
                <w:rFonts w:ascii="仿宋_GB2312" w:eastAsia="仿宋_GB2312"/>
                <w:sz w:val="24"/>
                <w:szCs w:val="24"/>
              </w:rPr>
            </w:pPr>
          </w:p>
        </w:tc>
        <w:tc>
          <w:tcPr>
            <w:tcW w:w="668" w:type="dxa"/>
            <w:vAlign w:val="center"/>
          </w:tcPr>
          <w:p>
            <w:pPr>
              <w:adjustRightInd w:val="0"/>
              <w:snapToGrid w:val="0"/>
              <w:spacing w:line="600" w:lineRule="exact"/>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rPr>
            </w:pPr>
          </w:p>
        </w:tc>
        <w:tc>
          <w:tcPr>
            <w:tcW w:w="2659" w:type="dxa"/>
            <w:vAlign w:val="center"/>
          </w:tcPr>
          <w:p>
            <w:pPr>
              <w:adjustRightInd w:val="0"/>
              <w:snapToGrid w:val="0"/>
              <w:spacing w:line="600" w:lineRule="exact"/>
              <w:jc w:val="center"/>
              <w:rPr>
                <w:rFonts w:ascii="仿宋_GB2312" w:eastAsia="仿宋_GB2312"/>
                <w:sz w:val="24"/>
                <w:szCs w:val="24"/>
              </w:rPr>
            </w:pPr>
          </w:p>
        </w:tc>
        <w:tc>
          <w:tcPr>
            <w:tcW w:w="1173" w:type="dxa"/>
            <w:vAlign w:val="center"/>
          </w:tcPr>
          <w:p>
            <w:pPr>
              <w:adjustRightInd w:val="0"/>
              <w:snapToGrid w:val="0"/>
              <w:spacing w:line="600" w:lineRule="exact"/>
              <w:jc w:val="center"/>
              <w:rPr>
                <w:rFonts w:ascii="仿宋_GB2312" w:eastAsia="仿宋_GB2312"/>
                <w:sz w:val="24"/>
                <w:szCs w:val="24"/>
              </w:rPr>
            </w:pPr>
          </w:p>
        </w:tc>
        <w:tc>
          <w:tcPr>
            <w:tcW w:w="1909" w:type="dxa"/>
            <w:vAlign w:val="center"/>
          </w:tcPr>
          <w:p>
            <w:pPr>
              <w:adjustRightInd w:val="0"/>
              <w:snapToGrid w:val="0"/>
              <w:spacing w:line="600" w:lineRule="exact"/>
              <w:jc w:val="center"/>
              <w:rPr>
                <w:rFonts w:ascii="仿宋_GB2312" w:eastAsia="仿宋_GB2312"/>
                <w:sz w:val="24"/>
                <w:szCs w:val="24"/>
              </w:rPr>
            </w:pPr>
          </w:p>
        </w:tc>
        <w:tc>
          <w:tcPr>
            <w:tcW w:w="1609" w:type="dxa"/>
            <w:vAlign w:val="center"/>
          </w:tcPr>
          <w:p>
            <w:pPr>
              <w:adjustRightInd w:val="0"/>
              <w:snapToGrid w:val="0"/>
              <w:spacing w:line="600" w:lineRule="exact"/>
              <w:rPr>
                <w:rFonts w:ascii="仿宋_GB2312" w:eastAsia="仿宋_GB2312"/>
                <w:sz w:val="24"/>
                <w:szCs w:val="24"/>
              </w:rPr>
            </w:pPr>
          </w:p>
        </w:tc>
        <w:tc>
          <w:tcPr>
            <w:tcW w:w="668" w:type="dxa"/>
            <w:vAlign w:val="center"/>
          </w:tcPr>
          <w:p>
            <w:pPr>
              <w:adjustRightInd w:val="0"/>
              <w:snapToGrid w:val="0"/>
              <w:spacing w:line="600" w:lineRule="exact"/>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rPr>
            </w:pPr>
          </w:p>
        </w:tc>
        <w:tc>
          <w:tcPr>
            <w:tcW w:w="2659" w:type="dxa"/>
            <w:vAlign w:val="center"/>
          </w:tcPr>
          <w:p>
            <w:pPr>
              <w:adjustRightInd w:val="0"/>
              <w:snapToGrid w:val="0"/>
              <w:spacing w:line="600" w:lineRule="exact"/>
              <w:jc w:val="center"/>
              <w:rPr>
                <w:rFonts w:ascii="仿宋_GB2312" w:eastAsia="仿宋_GB2312"/>
                <w:sz w:val="24"/>
                <w:szCs w:val="24"/>
              </w:rPr>
            </w:pPr>
          </w:p>
        </w:tc>
        <w:tc>
          <w:tcPr>
            <w:tcW w:w="1173" w:type="dxa"/>
            <w:vAlign w:val="center"/>
          </w:tcPr>
          <w:p>
            <w:pPr>
              <w:adjustRightInd w:val="0"/>
              <w:snapToGrid w:val="0"/>
              <w:spacing w:line="600" w:lineRule="exact"/>
              <w:jc w:val="center"/>
              <w:rPr>
                <w:rFonts w:ascii="仿宋_GB2312" w:eastAsia="仿宋_GB2312"/>
                <w:sz w:val="24"/>
                <w:szCs w:val="24"/>
              </w:rPr>
            </w:pPr>
          </w:p>
        </w:tc>
        <w:tc>
          <w:tcPr>
            <w:tcW w:w="1909" w:type="dxa"/>
            <w:vAlign w:val="center"/>
          </w:tcPr>
          <w:p>
            <w:pPr>
              <w:adjustRightInd w:val="0"/>
              <w:snapToGrid w:val="0"/>
              <w:spacing w:line="600" w:lineRule="exact"/>
              <w:jc w:val="center"/>
              <w:rPr>
                <w:rFonts w:ascii="仿宋_GB2312" w:eastAsia="仿宋_GB2312"/>
                <w:sz w:val="24"/>
                <w:szCs w:val="24"/>
              </w:rPr>
            </w:pPr>
          </w:p>
        </w:tc>
        <w:tc>
          <w:tcPr>
            <w:tcW w:w="1609" w:type="dxa"/>
            <w:vAlign w:val="center"/>
          </w:tcPr>
          <w:p>
            <w:pPr>
              <w:adjustRightInd w:val="0"/>
              <w:snapToGrid w:val="0"/>
              <w:spacing w:line="600" w:lineRule="exact"/>
              <w:rPr>
                <w:rFonts w:ascii="仿宋_GB2312" w:eastAsia="仿宋_GB2312"/>
                <w:sz w:val="24"/>
                <w:szCs w:val="24"/>
              </w:rPr>
            </w:pPr>
          </w:p>
        </w:tc>
        <w:tc>
          <w:tcPr>
            <w:tcW w:w="668" w:type="dxa"/>
            <w:vAlign w:val="center"/>
          </w:tcPr>
          <w:p>
            <w:pPr>
              <w:adjustRightInd w:val="0"/>
              <w:snapToGrid w:val="0"/>
              <w:spacing w:line="600" w:lineRule="exact"/>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sz w:val="24"/>
                <w:szCs w:val="24"/>
              </w:rPr>
            </w:pPr>
          </w:p>
        </w:tc>
        <w:tc>
          <w:tcPr>
            <w:tcW w:w="2659" w:type="dxa"/>
            <w:vAlign w:val="center"/>
          </w:tcPr>
          <w:p>
            <w:pPr>
              <w:adjustRightInd w:val="0"/>
              <w:snapToGrid w:val="0"/>
              <w:spacing w:line="600" w:lineRule="exact"/>
              <w:jc w:val="center"/>
              <w:rPr>
                <w:rFonts w:ascii="仿宋_GB2312" w:eastAsia="仿宋_GB2312"/>
                <w:sz w:val="24"/>
                <w:szCs w:val="24"/>
              </w:rPr>
            </w:pPr>
          </w:p>
        </w:tc>
        <w:tc>
          <w:tcPr>
            <w:tcW w:w="1173" w:type="dxa"/>
            <w:vAlign w:val="center"/>
          </w:tcPr>
          <w:p>
            <w:pPr>
              <w:adjustRightInd w:val="0"/>
              <w:snapToGrid w:val="0"/>
              <w:spacing w:line="600" w:lineRule="exact"/>
              <w:jc w:val="center"/>
              <w:rPr>
                <w:rFonts w:ascii="仿宋_GB2312" w:eastAsia="仿宋_GB2312"/>
                <w:sz w:val="24"/>
                <w:szCs w:val="24"/>
              </w:rPr>
            </w:pPr>
          </w:p>
        </w:tc>
        <w:tc>
          <w:tcPr>
            <w:tcW w:w="1909" w:type="dxa"/>
            <w:vAlign w:val="center"/>
          </w:tcPr>
          <w:p>
            <w:pPr>
              <w:adjustRightInd w:val="0"/>
              <w:snapToGrid w:val="0"/>
              <w:spacing w:line="600" w:lineRule="exact"/>
              <w:jc w:val="center"/>
              <w:rPr>
                <w:rFonts w:ascii="仿宋_GB2312" w:eastAsia="仿宋_GB2312"/>
                <w:sz w:val="24"/>
                <w:szCs w:val="24"/>
              </w:rPr>
            </w:pPr>
          </w:p>
        </w:tc>
        <w:tc>
          <w:tcPr>
            <w:tcW w:w="1609" w:type="dxa"/>
            <w:vAlign w:val="center"/>
          </w:tcPr>
          <w:p>
            <w:pPr>
              <w:adjustRightInd w:val="0"/>
              <w:snapToGrid w:val="0"/>
              <w:spacing w:line="600" w:lineRule="exact"/>
              <w:rPr>
                <w:rFonts w:ascii="仿宋_GB2312" w:eastAsia="仿宋_GB2312"/>
                <w:sz w:val="24"/>
                <w:szCs w:val="24"/>
              </w:rPr>
            </w:pPr>
          </w:p>
        </w:tc>
        <w:tc>
          <w:tcPr>
            <w:tcW w:w="668" w:type="dxa"/>
            <w:vAlign w:val="center"/>
          </w:tcPr>
          <w:p>
            <w:pPr>
              <w:adjustRightInd w:val="0"/>
              <w:snapToGrid w:val="0"/>
              <w:spacing w:line="600" w:lineRule="exact"/>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sz w:val="24"/>
                <w:szCs w:val="24"/>
              </w:rPr>
            </w:pPr>
          </w:p>
        </w:tc>
        <w:tc>
          <w:tcPr>
            <w:tcW w:w="2659" w:type="dxa"/>
            <w:vAlign w:val="center"/>
          </w:tcPr>
          <w:p>
            <w:pPr>
              <w:adjustRightInd w:val="0"/>
              <w:snapToGrid w:val="0"/>
              <w:spacing w:line="600" w:lineRule="exact"/>
              <w:jc w:val="center"/>
              <w:rPr>
                <w:rFonts w:ascii="仿宋_GB2312" w:eastAsia="仿宋_GB2312"/>
                <w:sz w:val="24"/>
                <w:szCs w:val="24"/>
              </w:rPr>
            </w:pPr>
          </w:p>
        </w:tc>
        <w:tc>
          <w:tcPr>
            <w:tcW w:w="1173" w:type="dxa"/>
            <w:vAlign w:val="center"/>
          </w:tcPr>
          <w:p>
            <w:pPr>
              <w:adjustRightInd w:val="0"/>
              <w:snapToGrid w:val="0"/>
              <w:spacing w:line="600" w:lineRule="exact"/>
              <w:jc w:val="center"/>
              <w:rPr>
                <w:rFonts w:ascii="仿宋_GB2312" w:eastAsia="仿宋_GB2312"/>
                <w:sz w:val="24"/>
                <w:szCs w:val="24"/>
              </w:rPr>
            </w:pPr>
          </w:p>
        </w:tc>
        <w:tc>
          <w:tcPr>
            <w:tcW w:w="1909" w:type="dxa"/>
            <w:vAlign w:val="center"/>
          </w:tcPr>
          <w:p>
            <w:pPr>
              <w:adjustRightInd w:val="0"/>
              <w:snapToGrid w:val="0"/>
              <w:spacing w:line="600" w:lineRule="exact"/>
              <w:jc w:val="center"/>
              <w:rPr>
                <w:rFonts w:ascii="仿宋_GB2312" w:eastAsia="仿宋_GB2312"/>
                <w:sz w:val="24"/>
                <w:szCs w:val="24"/>
              </w:rPr>
            </w:pPr>
          </w:p>
        </w:tc>
        <w:tc>
          <w:tcPr>
            <w:tcW w:w="1609" w:type="dxa"/>
            <w:vAlign w:val="center"/>
          </w:tcPr>
          <w:p>
            <w:pPr>
              <w:adjustRightInd w:val="0"/>
              <w:snapToGrid w:val="0"/>
              <w:spacing w:line="600" w:lineRule="exact"/>
              <w:rPr>
                <w:rFonts w:ascii="仿宋_GB2312" w:eastAsia="仿宋_GB2312"/>
                <w:sz w:val="24"/>
                <w:szCs w:val="24"/>
              </w:rPr>
            </w:pPr>
          </w:p>
        </w:tc>
        <w:tc>
          <w:tcPr>
            <w:tcW w:w="668" w:type="dxa"/>
            <w:vAlign w:val="center"/>
          </w:tcPr>
          <w:p>
            <w:pPr>
              <w:adjustRightInd w:val="0"/>
              <w:snapToGrid w:val="0"/>
              <w:spacing w:line="600" w:lineRule="exact"/>
              <w:rPr>
                <w:rFonts w:ascii="仿宋_GB2312" w:eastAsia="仿宋_GB2312"/>
                <w:sz w:val="24"/>
                <w:szCs w:val="24"/>
              </w:rPr>
            </w:pPr>
          </w:p>
        </w:tc>
      </w:tr>
    </w:tbl>
    <w:p>
      <w:pPr>
        <w:adjustRightInd w:val="0"/>
        <w:snapToGrid w:val="0"/>
        <w:spacing w:line="600" w:lineRule="exact"/>
        <w:ind w:firstLine="555"/>
        <w:jc w:val="left"/>
        <w:rPr>
          <w:rFonts w:ascii="仿宋_GB2312" w:eastAsia="仿宋_GB2312" w:hAnsiTheme="majorEastAsia"/>
          <w:sz w:val="28"/>
          <w:szCs w:val="28"/>
          <w:u w:val="single"/>
        </w:rPr>
      </w:pPr>
      <w:r>
        <w:rPr>
          <w:rFonts w:hint="eastAsia" w:ascii="仿宋_GB2312" w:eastAsia="仿宋_GB2312" w:hAnsiTheme="majorEastAsia"/>
          <w:sz w:val="28"/>
          <w:szCs w:val="28"/>
        </w:rPr>
        <w:t>采购人代表</w:t>
      </w:r>
      <w:r>
        <w:rPr>
          <w:rFonts w:ascii="仿宋_GB2312" w:eastAsia="仿宋_GB2312" w:hAnsiTheme="majorEastAsia"/>
          <w:sz w:val="28"/>
          <w:szCs w:val="28"/>
        </w:rPr>
        <w:t xml:space="preserve">            </w:t>
      </w:r>
      <w:r>
        <w:rPr>
          <w:rFonts w:hint="eastAsia" w:ascii="仿宋_GB2312" w:eastAsia="仿宋_GB2312" w:hAnsiTheme="majorEastAsia"/>
          <w:sz w:val="28"/>
          <w:szCs w:val="28"/>
        </w:rPr>
        <w:t>记录人</w:t>
      </w:r>
    </w:p>
    <w:p>
      <w:pPr>
        <w:adjustRightInd w:val="0"/>
        <w:snapToGrid w:val="0"/>
        <w:spacing w:line="600" w:lineRule="exact"/>
        <w:ind w:firstLine="3911" w:firstLineChars="1397"/>
        <w:jc w:val="left"/>
        <w:rPr>
          <w:rFonts w:ascii="仿宋_GB2312" w:eastAsia="仿宋_GB2312" w:hAnsiTheme="majorEastAsia"/>
          <w:sz w:val="28"/>
          <w:szCs w:val="28"/>
        </w:rPr>
      </w:pPr>
      <w:r>
        <w:rPr>
          <w:rFonts w:hint="eastAsia" w:ascii="仿宋_GB2312" w:eastAsia="仿宋_GB2312" w:hAnsiTheme="majorEastAsia"/>
          <w:sz w:val="28"/>
          <w:szCs w:val="28"/>
        </w:rPr>
        <w:t>年</w:t>
      </w:r>
      <w:r>
        <w:rPr>
          <w:rFonts w:ascii="仿宋_GB2312" w:eastAsia="仿宋_GB2312" w:hAnsiTheme="majorEastAsia"/>
          <w:sz w:val="28"/>
          <w:szCs w:val="28"/>
        </w:rPr>
        <w:t xml:space="preserve">  </w:t>
      </w:r>
      <w:r>
        <w:rPr>
          <w:rFonts w:hint="eastAsia" w:ascii="仿宋_GB2312" w:eastAsia="仿宋_GB2312" w:hAnsiTheme="majorEastAsia"/>
          <w:sz w:val="28"/>
          <w:szCs w:val="28"/>
        </w:rPr>
        <w:t>月</w:t>
      </w:r>
      <w:r>
        <w:rPr>
          <w:rFonts w:ascii="仿宋_GB2312" w:eastAsia="仿宋_GB2312" w:hAnsiTheme="majorEastAsia"/>
          <w:sz w:val="28"/>
          <w:szCs w:val="28"/>
        </w:rPr>
        <w:t xml:space="preserve">  </w:t>
      </w:r>
      <w:r>
        <w:rPr>
          <w:rFonts w:hint="eastAsia" w:ascii="仿宋_GB2312" w:eastAsia="仿宋_GB2312" w:hAnsiTheme="majorEastAsia"/>
          <w:sz w:val="28"/>
          <w:szCs w:val="28"/>
        </w:rPr>
        <w:t>日</w:t>
      </w:r>
    </w:p>
    <w:p>
      <w:pPr>
        <w:adjustRightInd w:val="0"/>
        <w:snapToGrid w:val="0"/>
        <w:spacing w:line="600" w:lineRule="exact"/>
        <w:ind w:firstLine="555"/>
        <w:jc w:val="left"/>
        <w:rPr>
          <w:rFonts w:ascii="仿宋_GB2312" w:eastAsia="仿宋_GB2312" w:hAnsiTheme="majorEastAsia"/>
          <w:sz w:val="28"/>
          <w:szCs w:val="28"/>
        </w:rPr>
      </w:pPr>
    </w:p>
    <w:p>
      <w:pPr>
        <w:adjustRightInd w:val="0"/>
        <w:snapToGrid w:val="0"/>
        <w:spacing w:line="600" w:lineRule="exact"/>
        <w:ind w:firstLine="555"/>
        <w:jc w:val="left"/>
        <w:rPr>
          <w:rFonts w:ascii="仿宋_GB2312" w:eastAsia="仿宋_GB2312" w:hAnsiTheme="majorEastAsia"/>
          <w:sz w:val="28"/>
          <w:szCs w:val="28"/>
        </w:rPr>
      </w:pPr>
    </w:p>
    <w:p>
      <w:pPr>
        <w:pStyle w:val="25"/>
        <w:rPr>
          <w:rFonts w:ascii="仿宋_GB2312" w:eastAsia="仿宋_GB2312" w:hAnsiTheme="majorEastAsia"/>
          <w:sz w:val="28"/>
          <w:szCs w:val="28"/>
        </w:rPr>
      </w:pPr>
    </w:p>
    <w:p>
      <w:pPr>
        <w:pStyle w:val="25"/>
        <w:rPr>
          <w:rFonts w:ascii="仿宋_GB2312" w:eastAsia="仿宋_GB2312" w:hAnsiTheme="majorEastAsia"/>
          <w:sz w:val="28"/>
          <w:szCs w:val="28"/>
        </w:rPr>
      </w:pPr>
    </w:p>
    <w:p>
      <w:pPr>
        <w:pStyle w:val="25"/>
        <w:rPr>
          <w:rFonts w:ascii="仿宋_GB2312" w:eastAsia="仿宋_GB2312" w:hAnsiTheme="majorEastAsia"/>
          <w:sz w:val="28"/>
          <w:szCs w:val="28"/>
        </w:rPr>
      </w:pPr>
    </w:p>
    <w:p>
      <w:pPr>
        <w:pStyle w:val="25"/>
        <w:rPr>
          <w:rFonts w:ascii="仿宋_GB2312" w:eastAsia="仿宋_GB2312" w:hAnsiTheme="majorEastAsia"/>
          <w:sz w:val="28"/>
          <w:szCs w:val="28"/>
        </w:rPr>
      </w:pPr>
    </w:p>
    <w:p>
      <w:pPr>
        <w:pStyle w:val="25"/>
        <w:rPr>
          <w:rFonts w:ascii="仿宋_GB2312" w:eastAsia="仿宋_GB2312" w:hAnsiTheme="majorEastAsia"/>
          <w:sz w:val="28"/>
          <w:szCs w:val="28"/>
        </w:rPr>
      </w:pPr>
    </w:p>
    <w:p>
      <w:pPr>
        <w:pStyle w:val="25"/>
        <w:rPr>
          <w:rFonts w:ascii="仿宋_GB2312" w:eastAsia="仿宋_GB2312" w:hAnsiTheme="majorEastAsia"/>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r>
        <w:rPr>
          <w:rFonts w:hint="eastAsia" w:asciiTheme="majorEastAsia" w:hAnsiTheme="majorEastAsia" w:eastAsiaTheme="majorEastAsia"/>
          <w:b/>
          <w:sz w:val="28"/>
          <w:szCs w:val="28"/>
        </w:rPr>
        <w:t>附件</w:t>
      </w:r>
      <w:r>
        <w:rPr>
          <w:rFonts w:asciiTheme="majorEastAsia" w:hAnsiTheme="majorEastAsia" w:eastAsiaTheme="majorEastAsia"/>
          <w:b/>
          <w:sz w:val="28"/>
          <w:szCs w:val="28"/>
        </w:rPr>
        <w:t>2</w:t>
      </w:r>
    </w:p>
    <w:p>
      <w:pPr>
        <w:adjustRightInd w:val="0"/>
        <w:snapToGrid w:val="0"/>
        <w:spacing w:line="600" w:lineRule="exact"/>
        <w:jc w:val="center"/>
        <w:rPr>
          <w:rFonts w:ascii="方正小标宋简体" w:eastAsia="方正小标宋简体" w:hAnsiTheme="majorEastAsia"/>
          <w:sz w:val="32"/>
          <w:szCs w:val="32"/>
        </w:rPr>
      </w:pPr>
    </w:p>
    <w:p>
      <w:pPr>
        <w:adjustRightInd w:val="0"/>
        <w:snapToGrid w:val="0"/>
        <w:spacing w:line="600" w:lineRule="exact"/>
        <w:jc w:val="center"/>
        <w:rPr>
          <w:rFonts w:ascii="方正小标宋简体" w:eastAsia="方正小标宋简体" w:hAnsiTheme="majorEastAsia"/>
          <w:sz w:val="32"/>
          <w:szCs w:val="32"/>
        </w:rPr>
      </w:pPr>
      <w:r>
        <w:rPr>
          <w:rFonts w:hint="eastAsia" w:ascii="方正小标宋简体" w:eastAsia="方正小标宋简体" w:hAnsiTheme="majorEastAsia"/>
          <w:sz w:val="32"/>
          <w:szCs w:val="32"/>
        </w:rPr>
        <w:t>问题澄清通知</w:t>
      </w:r>
    </w:p>
    <w:p>
      <w:pPr>
        <w:pStyle w:val="40"/>
      </w:pP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编号：</w:t>
      </w:r>
    </w:p>
    <w:p>
      <w:pPr>
        <w:adjustRightInd w:val="0"/>
        <w:snapToGrid w:val="0"/>
        <w:spacing w:line="600" w:lineRule="exact"/>
        <w:jc w:val="left"/>
        <w:rPr>
          <w:rFonts w:ascii="仿宋_GB2312" w:eastAsia="仿宋_GB2312" w:hAnsiTheme="majorEastAsia"/>
          <w:sz w:val="28"/>
          <w:szCs w:val="28"/>
        </w:rPr>
      </w:pPr>
      <w:r>
        <w:rPr>
          <w:rFonts w:ascii="仿宋_GB2312" w:eastAsia="仿宋_GB2312" w:hAnsiTheme="majorEastAsia"/>
          <w:sz w:val="28"/>
          <w:szCs w:val="28"/>
          <w:u w:val="single"/>
        </w:rPr>
        <w:t xml:space="preserve">   （供应商名称）    </w:t>
      </w:r>
      <w:r>
        <w:rPr>
          <w:rFonts w:hint="eastAsia" w:ascii="仿宋_GB2312" w:eastAsia="仿宋_GB2312" w:hAnsiTheme="majorEastAsia"/>
          <w:sz w:val="28"/>
          <w:szCs w:val="28"/>
        </w:rPr>
        <w:t>：</w:t>
      </w:r>
    </w:p>
    <w:p>
      <w:pPr>
        <w:adjustRightInd w:val="0"/>
        <w:snapToGrid w:val="0"/>
        <w:spacing w:line="600" w:lineRule="exact"/>
        <w:jc w:val="left"/>
        <w:rPr>
          <w:rFonts w:ascii="仿宋_GB2312" w:eastAsia="仿宋_GB2312" w:hAnsiTheme="majorEastAsia"/>
          <w:sz w:val="28"/>
          <w:szCs w:val="28"/>
        </w:rPr>
      </w:pPr>
      <w:r>
        <w:rPr>
          <w:rFonts w:ascii="仿宋_GB2312" w:eastAsia="仿宋_GB2312" w:hAnsiTheme="majorEastAsia"/>
          <w:sz w:val="28"/>
          <w:szCs w:val="28"/>
          <w:u w:val="single"/>
        </w:rPr>
        <w:t xml:space="preserve"> （项目名称） </w:t>
      </w:r>
      <w:r>
        <w:rPr>
          <w:rFonts w:hint="eastAsia" w:ascii="仿宋_GB2312" w:eastAsia="仿宋_GB2312" w:hAnsiTheme="majorEastAsia"/>
          <w:sz w:val="28"/>
          <w:szCs w:val="28"/>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sz w:val="28"/>
          <w:szCs w:val="28"/>
        </w:rPr>
      </w:pPr>
      <w:r>
        <w:rPr>
          <w:rFonts w:ascii="仿宋_GB2312" w:eastAsia="仿宋_GB2312" w:hAnsiTheme="majorEastAsia"/>
          <w:sz w:val="28"/>
          <w:szCs w:val="28"/>
        </w:rPr>
        <w:t>1.</w:t>
      </w:r>
    </w:p>
    <w:p>
      <w:pPr>
        <w:adjustRightInd w:val="0"/>
        <w:snapToGrid w:val="0"/>
        <w:spacing w:line="600" w:lineRule="exact"/>
        <w:ind w:firstLine="555"/>
        <w:jc w:val="left"/>
        <w:rPr>
          <w:rFonts w:ascii="仿宋_GB2312" w:eastAsia="仿宋_GB2312" w:hAnsiTheme="majorEastAsia"/>
          <w:sz w:val="28"/>
          <w:szCs w:val="28"/>
        </w:rPr>
      </w:pPr>
      <w:r>
        <w:rPr>
          <w:rFonts w:ascii="仿宋_GB2312" w:eastAsia="仿宋_GB2312" w:hAnsiTheme="majorEastAsia"/>
          <w:sz w:val="28"/>
          <w:szCs w:val="28"/>
        </w:rPr>
        <w:t>2.</w:t>
      </w: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请将上述问题的澄清于</w:t>
      </w:r>
      <w:r>
        <w:rPr>
          <w:rFonts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ascii="仿宋_GB2312" w:eastAsia="仿宋_GB2312" w:hAnsiTheme="majorEastAsia"/>
          <w:sz w:val="28"/>
          <w:szCs w:val="28"/>
          <w:u w:val="single"/>
        </w:rPr>
        <w:t xml:space="preserve">   </w:t>
      </w:r>
      <w:r>
        <w:rPr>
          <w:rFonts w:hint="eastAsia" w:ascii="仿宋_GB2312" w:eastAsia="仿宋_GB2312" w:hAnsiTheme="majorEastAsia"/>
          <w:sz w:val="28"/>
          <w:szCs w:val="28"/>
        </w:rPr>
        <w:t>日</w:t>
      </w:r>
      <w:r>
        <w:rPr>
          <w:rFonts w:ascii="仿宋_GB2312" w:eastAsia="仿宋_GB2312" w:hAnsiTheme="majorEastAsia"/>
          <w:sz w:val="28"/>
          <w:szCs w:val="28"/>
          <w:u w:val="single"/>
        </w:rPr>
        <w:t xml:space="preserve">   </w:t>
      </w:r>
      <w:r>
        <w:rPr>
          <w:rFonts w:hint="eastAsia" w:ascii="仿宋_GB2312" w:eastAsia="仿宋_GB2312" w:hAnsiTheme="majorEastAsia"/>
          <w:sz w:val="28"/>
          <w:szCs w:val="28"/>
        </w:rPr>
        <w:t>时前递交至</w:t>
      </w:r>
      <w:r>
        <w:rPr>
          <w:rFonts w:hint="eastAsia" w:ascii="仿宋_GB2312" w:eastAsia="仿宋_GB2312" w:hAnsiTheme="majorEastAsia"/>
          <w:sz w:val="28"/>
          <w:szCs w:val="28"/>
          <w:u w:val="single"/>
        </w:rPr>
        <w:t>（详细地址）</w:t>
      </w:r>
      <w:r>
        <w:rPr>
          <w:rFonts w:ascii="仿宋_GB2312" w:eastAsia="仿宋_GB2312" w:hAnsiTheme="majorEastAsia"/>
          <w:sz w:val="28"/>
          <w:szCs w:val="28"/>
          <w:u w:val="single"/>
        </w:rPr>
        <w:t xml:space="preserve"> </w:t>
      </w:r>
      <w:r>
        <w:rPr>
          <w:rFonts w:hint="eastAsia" w:ascii="仿宋_GB2312" w:eastAsia="仿宋_GB2312" w:hAnsiTheme="majorEastAsia"/>
          <w:sz w:val="28"/>
          <w:szCs w:val="28"/>
        </w:rPr>
        <w:t>。</w:t>
      </w: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ind w:firstLine="4760" w:firstLineChars="1700"/>
        <w:jc w:val="left"/>
        <w:rPr>
          <w:rFonts w:ascii="仿宋_GB2312" w:eastAsia="仿宋_GB2312" w:hAnsiTheme="majorEastAsia"/>
          <w:sz w:val="28"/>
          <w:szCs w:val="28"/>
        </w:rPr>
      </w:pPr>
      <w:r>
        <w:rPr>
          <w:rFonts w:hint="eastAsia" w:ascii="仿宋_GB2312" w:eastAsia="仿宋_GB2312" w:hAnsiTheme="majorEastAsia"/>
          <w:sz w:val="28"/>
          <w:szCs w:val="28"/>
          <w:u w:val="single"/>
        </w:rPr>
        <w:t>（项目名称）</w:t>
      </w:r>
      <w:r>
        <w:rPr>
          <w:rFonts w:ascii="仿宋_GB2312" w:eastAsia="仿宋_GB2312" w:hAnsiTheme="majorEastAsia"/>
          <w:sz w:val="28"/>
          <w:szCs w:val="28"/>
          <w:u w:val="single"/>
        </w:rPr>
        <w:t xml:space="preserve"> </w:t>
      </w:r>
      <w:r>
        <w:rPr>
          <w:rFonts w:hint="eastAsia" w:ascii="仿宋_GB2312" w:eastAsia="仿宋_GB2312" w:hAnsiTheme="majorEastAsia"/>
          <w:sz w:val="28"/>
          <w:szCs w:val="28"/>
        </w:rPr>
        <w:t>评审小组</w:t>
      </w:r>
    </w:p>
    <w:p>
      <w:pPr>
        <w:adjustRightInd w:val="0"/>
        <w:snapToGrid w:val="0"/>
        <w:spacing w:line="600" w:lineRule="exact"/>
        <w:ind w:firstLine="4760" w:firstLineChars="1700"/>
        <w:jc w:val="left"/>
        <w:rPr>
          <w:rFonts w:ascii="仿宋_GB2312" w:eastAsia="仿宋_GB2312" w:hAnsiTheme="majorEastAsia"/>
          <w:sz w:val="28"/>
          <w:szCs w:val="28"/>
        </w:rPr>
      </w:pPr>
      <w:r>
        <w:rPr>
          <w:rFonts w:hint="eastAsia" w:ascii="仿宋_GB2312" w:eastAsia="仿宋_GB2312" w:hAnsiTheme="majorEastAsia"/>
          <w:sz w:val="28"/>
          <w:szCs w:val="28"/>
        </w:rPr>
        <w:t>评审小组：（签字）</w:t>
      </w:r>
    </w:p>
    <w:p>
      <w:pPr>
        <w:adjustRightInd w:val="0"/>
        <w:snapToGrid w:val="0"/>
        <w:spacing w:line="600" w:lineRule="exact"/>
        <w:ind w:firstLine="5451" w:firstLineChars="1947"/>
        <w:jc w:val="left"/>
        <w:rPr>
          <w:rFonts w:ascii="仿宋_GB2312" w:eastAsia="仿宋_GB2312" w:hAnsiTheme="majorEastAsia"/>
          <w:sz w:val="28"/>
          <w:szCs w:val="28"/>
        </w:rPr>
      </w:pPr>
      <w:r>
        <w:rPr>
          <w:rFonts w:hint="eastAsia" w:ascii="仿宋_GB2312" w:eastAsia="仿宋_GB2312" w:hAnsiTheme="majorEastAsia"/>
          <w:sz w:val="28"/>
          <w:szCs w:val="28"/>
        </w:rPr>
        <w:t>年</w:t>
      </w:r>
      <w:r>
        <w:rPr>
          <w:rFonts w:ascii="仿宋_GB2312" w:eastAsia="仿宋_GB2312" w:hAnsiTheme="majorEastAsia"/>
          <w:sz w:val="28"/>
          <w:szCs w:val="28"/>
        </w:rPr>
        <w:t xml:space="preserve">   </w:t>
      </w:r>
      <w:r>
        <w:rPr>
          <w:rFonts w:hint="eastAsia" w:ascii="仿宋_GB2312" w:eastAsia="仿宋_GB2312" w:hAnsiTheme="majorEastAsia"/>
          <w:sz w:val="28"/>
          <w:szCs w:val="28"/>
        </w:rPr>
        <w:t>月</w:t>
      </w:r>
      <w:r>
        <w:rPr>
          <w:rFonts w:ascii="仿宋_GB2312" w:eastAsia="仿宋_GB2312" w:hAnsiTheme="majorEastAsia"/>
          <w:sz w:val="28"/>
          <w:szCs w:val="28"/>
        </w:rPr>
        <w:t xml:space="preserve">   </w:t>
      </w:r>
      <w:r>
        <w:rPr>
          <w:rFonts w:hint="eastAsia" w:ascii="仿宋_GB2312" w:eastAsia="仿宋_GB2312" w:hAnsiTheme="majorEastAsia"/>
          <w:sz w:val="28"/>
          <w:szCs w:val="28"/>
        </w:rPr>
        <w:t>日</w:t>
      </w:r>
    </w:p>
    <w:p>
      <w:pPr>
        <w:adjustRightInd w:val="0"/>
        <w:snapToGrid w:val="0"/>
        <w:spacing w:line="600" w:lineRule="exact"/>
        <w:ind w:firstLine="4779" w:firstLineChars="1700"/>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pStyle w:val="25"/>
      </w:pPr>
    </w:p>
    <w:p>
      <w:pPr>
        <w:adjustRightInd w:val="0"/>
        <w:snapToGrid w:val="0"/>
        <w:spacing w:line="600" w:lineRule="exact"/>
        <w:jc w:val="left"/>
        <w:rPr>
          <w:rFonts w:asciiTheme="majorEastAsia" w:hAnsiTheme="majorEastAsia" w:eastAsiaTheme="majorEastAsia"/>
          <w:b/>
          <w:sz w:val="28"/>
          <w:szCs w:val="28"/>
        </w:rPr>
      </w:pPr>
    </w:p>
    <w:p>
      <w:pPr>
        <w:pStyle w:val="25"/>
      </w:pPr>
    </w:p>
    <w:p>
      <w:pPr>
        <w:pStyle w:val="25"/>
      </w:pPr>
    </w:p>
    <w:p>
      <w:pPr>
        <w:pStyle w:val="25"/>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r>
        <w:rPr>
          <w:rFonts w:hint="eastAsia" w:asciiTheme="majorEastAsia" w:hAnsiTheme="majorEastAsia" w:eastAsiaTheme="majorEastAsia"/>
          <w:b/>
          <w:sz w:val="28"/>
          <w:szCs w:val="28"/>
        </w:rPr>
        <w:t>附件</w:t>
      </w:r>
      <w:r>
        <w:rPr>
          <w:rFonts w:asciiTheme="majorEastAsia" w:hAnsiTheme="majorEastAsia" w:eastAsiaTheme="majorEastAsia"/>
          <w:b/>
          <w:sz w:val="28"/>
          <w:szCs w:val="28"/>
        </w:rPr>
        <w:t>3</w:t>
      </w:r>
    </w:p>
    <w:p>
      <w:pPr>
        <w:adjustRightInd w:val="0"/>
        <w:snapToGrid w:val="0"/>
        <w:spacing w:line="600" w:lineRule="exact"/>
        <w:jc w:val="center"/>
        <w:rPr>
          <w:rFonts w:ascii="方正小标宋简体" w:eastAsia="方正小标宋简体" w:hAnsiTheme="majorEastAsia"/>
          <w:sz w:val="32"/>
          <w:szCs w:val="32"/>
        </w:rPr>
      </w:pPr>
    </w:p>
    <w:p>
      <w:pPr>
        <w:adjustRightInd w:val="0"/>
        <w:snapToGrid w:val="0"/>
        <w:spacing w:line="600" w:lineRule="exact"/>
        <w:jc w:val="center"/>
        <w:rPr>
          <w:rFonts w:ascii="方正小标宋简体" w:eastAsia="方正小标宋简体" w:hAnsiTheme="majorEastAsia"/>
          <w:sz w:val="32"/>
          <w:szCs w:val="32"/>
        </w:rPr>
      </w:pPr>
      <w:r>
        <w:rPr>
          <w:rFonts w:hint="eastAsia" w:ascii="方正小标宋简体" w:eastAsia="方正小标宋简体" w:hAnsiTheme="majorEastAsia"/>
          <w:sz w:val="32"/>
          <w:szCs w:val="32"/>
        </w:rPr>
        <w:t>问题的澄清</w:t>
      </w:r>
    </w:p>
    <w:p>
      <w:pPr>
        <w:pStyle w:val="40"/>
      </w:pP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编号：</w:t>
      </w:r>
    </w:p>
    <w:p>
      <w:pPr>
        <w:adjustRightInd w:val="0"/>
        <w:snapToGrid w:val="0"/>
        <w:spacing w:line="600" w:lineRule="exact"/>
        <w:jc w:val="left"/>
        <w:rPr>
          <w:rFonts w:asciiTheme="majorEastAsia" w:hAnsiTheme="majorEastAsia" w:eastAsiaTheme="majorEastAsia"/>
          <w:b/>
          <w:sz w:val="28"/>
          <w:szCs w:val="28"/>
        </w:rPr>
      </w:pPr>
      <w:r>
        <w:rPr>
          <w:rFonts w:hint="eastAsia" w:ascii="仿宋_GB2312" w:eastAsia="仿宋_GB2312" w:hAnsiTheme="majorEastAsia"/>
          <w:sz w:val="28"/>
          <w:szCs w:val="28"/>
          <w:u w:val="single"/>
        </w:rPr>
        <w:t>（项目名称）</w:t>
      </w:r>
      <w:r>
        <w:rPr>
          <w:rFonts w:hint="eastAsia" w:ascii="仿宋_GB2312" w:eastAsia="仿宋_GB2312" w:hAnsiTheme="majorEastAsia"/>
          <w:sz w:val="28"/>
          <w:szCs w:val="28"/>
        </w:rPr>
        <w:t>评审小组：</w:t>
      </w:r>
    </w:p>
    <w:p>
      <w:pPr>
        <w:adjustRightInd w:val="0"/>
        <w:snapToGrid w:val="0"/>
        <w:spacing w:line="600" w:lineRule="exact"/>
        <w:jc w:val="left"/>
        <w:rPr>
          <w:rFonts w:ascii="仿宋_GB2312" w:eastAsia="仿宋_GB2312" w:hAnsiTheme="majorEastAsia"/>
          <w:sz w:val="28"/>
          <w:szCs w:val="28"/>
        </w:rPr>
      </w:pPr>
      <w:r>
        <w:rPr>
          <w:rFonts w:ascii="仿宋_GB2312" w:eastAsia="仿宋_GB2312" w:hAnsiTheme="majorEastAsia"/>
          <w:sz w:val="28"/>
          <w:szCs w:val="28"/>
        </w:rPr>
        <w:t xml:space="preserve">    问题澄清通知（编号：）已收悉，现澄清如下：</w:t>
      </w:r>
    </w:p>
    <w:p>
      <w:pPr>
        <w:adjustRightInd w:val="0"/>
        <w:snapToGrid w:val="0"/>
        <w:spacing w:line="600" w:lineRule="exact"/>
        <w:ind w:firstLine="570"/>
        <w:jc w:val="left"/>
        <w:rPr>
          <w:rFonts w:ascii="仿宋_GB2312" w:eastAsia="仿宋_GB2312" w:hAnsiTheme="majorEastAsia"/>
          <w:sz w:val="28"/>
          <w:szCs w:val="28"/>
        </w:rPr>
      </w:pPr>
      <w:r>
        <w:rPr>
          <w:rFonts w:ascii="仿宋_GB2312" w:eastAsia="仿宋_GB2312" w:hAnsiTheme="majorEastAsia"/>
          <w:sz w:val="28"/>
          <w:szCs w:val="28"/>
        </w:rPr>
        <w:t>1.</w:t>
      </w:r>
    </w:p>
    <w:p>
      <w:pPr>
        <w:adjustRightInd w:val="0"/>
        <w:snapToGrid w:val="0"/>
        <w:spacing w:line="600" w:lineRule="exact"/>
        <w:ind w:firstLine="570"/>
        <w:jc w:val="left"/>
        <w:rPr>
          <w:rFonts w:ascii="仿宋_GB2312" w:eastAsia="仿宋_GB2312" w:hAnsiTheme="majorEastAsia"/>
          <w:sz w:val="28"/>
          <w:szCs w:val="28"/>
        </w:rPr>
      </w:pPr>
      <w:r>
        <w:rPr>
          <w:rFonts w:ascii="仿宋_GB2312" w:eastAsia="仿宋_GB2312" w:hAnsiTheme="majorEastAsia"/>
          <w:sz w:val="28"/>
          <w:szCs w:val="28"/>
        </w:rPr>
        <w:t>2.</w:t>
      </w:r>
    </w:p>
    <w:p>
      <w:pPr>
        <w:adjustRightInd w:val="0"/>
        <w:snapToGrid w:val="0"/>
        <w:spacing w:line="600" w:lineRule="exact"/>
        <w:ind w:firstLine="570"/>
        <w:jc w:val="left"/>
        <w:rPr>
          <w:rFonts w:asciiTheme="majorEastAsia" w:hAnsiTheme="majorEastAsia" w:eastAsiaTheme="majorEastAsia"/>
          <w:b/>
          <w:sz w:val="28"/>
          <w:szCs w:val="28"/>
        </w:rPr>
      </w:pPr>
    </w:p>
    <w:p>
      <w:pPr>
        <w:adjustRightInd w:val="0"/>
        <w:snapToGrid w:val="0"/>
        <w:spacing w:line="600" w:lineRule="exact"/>
        <w:ind w:firstLine="2520" w:firstLineChars="900"/>
        <w:jc w:val="left"/>
        <w:rPr>
          <w:rFonts w:ascii="仿宋_GB2312" w:eastAsia="仿宋_GB2312" w:hAnsiTheme="majorEastAsia"/>
          <w:sz w:val="28"/>
          <w:szCs w:val="28"/>
        </w:rPr>
      </w:pPr>
      <w:r>
        <w:rPr>
          <w:rFonts w:hint="eastAsia" w:ascii="仿宋_GB2312" w:eastAsia="仿宋_GB2312" w:hAnsiTheme="majorEastAsia"/>
          <w:sz w:val="28"/>
          <w:szCs w:val="28"/>
        </w:rPr>
        <w:t>供应商：（公章）</w:t>
      </w:r>
    </w:p>
    <w:p>
      <w:pPr>
        <w:adjustRightInd w:val="0"/>
        <w:snapToGrid w:val="0"/>
        <w:spacing w:line="600" w:lineRule="exact"/>
        <w:ind w:firstLine="2520" w:firstLineChars="900"/>
        <w:jc w:val="left"/>
        <w:rPr>
          <w:rFonts w:asciiTheme="majorEastAsia" w:hAnsiTheme="majorEastAsia" w:eastAsiaTheme="majorEastAsia"/>
          <w:b/>
          <w:sz w:val="28"/>
          <w:szCs w:val="28"/>
        </w:rPr>
      </w:pPr>
      <w:r>
        <w:rPr>
          <w:rFonts w:hint="eastAsia" w:ascii="仿宋_GB2312" w:eastAsia="仿宋_GB2312" w:hAnsiTheme="majorEastAsia"/>
          <w:sz w:val="28"/>
          <w:szCs w:val="28"/>
        </w:rPr>
        <w:t>或</w:t>
      </w:r>
    </w:p>
    <w:p>
      <w:pPr>
        <w:adjustRightInd w:val="0"/>
        <w:snapToGrid w:val="0"/>
        <w:spacing w:line="600" w:lineRule="exact"/>
        <w:ind w:firstLine="2520" w:firstLineChars="900"/>
        <w:jc w:val="left"/>
        <w:rPr>
          <w:rFonts w:ascii="仿宋_GB2312" w:eastAsia="仿宋_GB2312" w:hAnsiTheme="majorEastAsia"/>
          <w:sz w:val="28"/>
          <w:szCs w:val="28"/>
        </w:rPr>
      </w:pPr>
      <w:r>
        <w:rPr>
          <w:rFonts w:hint="eastAsia" w:ascii="仿宋_GB2312" w:eastAsia="仿宋_GB2312" w:hAnsiTheme="majorEastAsia"/>
          <w:sz w:val="28"/>
          <w:szCs w:val="28"/>
        </w:rPr>
        <w:t>法定代表人或委托代理人：（签字）</w:t>
      </w:r>
    </w:p>
    <w:p>
      <w:pPr>
        <w:adjustRightInd w:val="0"/>
        <w:snapToGrid w:val="0"/>
        <w:spacing w:line="600" w:lineRule="exact"/>
        <w:ind w:firstLine="5451" w:firstLineChars="1947"/>
        <w:jc w:val="left"/>
        <w:rPr>
          <w:rFonts w:ascii="仿宋_GB2312" w:eastAsia="仿宋_GB2312" w:hAnsiTheme="majorEastAsia"/>
          <w:sz w:val="28"/>
          <w:szCs w:val="28"/>
        </w:rPr>
      </w:pPr>
      <w:r>
        <w:rPr>
          <w:rFonts w:hint="eastAsia" w:ascii="仿宋_GB2312" w:eastAsia="仿宋_GB2312" w:hAnsiTheme="majorEastAsia"/>
          <w:sz w:val="28"/>
          <w:szCs w:val="28"/>
        </w:rPr>
        <w:t>年</w:t>
      </w:r>
      <w:r>
        <w:rPr>
          <w:rFonts w:ascii="仿宋_GB2312" w:eastAsia="仿宋_GB2312" w:hAnsiTheme="majorEastAsia"/>
          <w:sz w:val="28"/>
          <w:szCs w:val="28"/>
        </w:rPr>
        <w:t xml:space="preserve">   </w:t>
      </w:r>
      <w:r>
        <w:rPr>
          <w:rFonts w:hint="eastAsia" w:ascii="仿宋_GB2312" w:eastAsia="仿宋_GB2312" w:hAnsiTheme="majorEastAsia"/>
          <w:sz w:val="28"/>
          <w:szCs w:val="28"/>
        </w:rPr>
        <w:t>月</w:t>
      </w:r>
      <w:r>
        <w:rPr>
          <w:rFonts w:ascii="仿宋_GB2312" w:eastAsia="仿宋_GB2312" w:hAnsiTheme="majorEastAsia"/>
          <w:sz w:val="28"/>
          <w:szCs w:val="28"/>
        </w:rPr>
        <w:t xml:space="preserve">   </w:t>
      </w:r>
      <w:r>
        <w:rPr>
          <w:rFonts w:hint="eastAsia" w:ascii="仿宋_GB2312" w:eastAsia="仿宋_GB2312" w:hAnsiTheme="majorEastAsia"/>
          <w:sz w:val="28"/>
          <w:szCs w:val="28"/>
        </w:rPr>
        <w:t>日</w:t>
      </w: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pStyle w:val="25"/>
      </w:pPr>
    </w:p>
    <w:p>
      <w:pPr>
        <w:pStyle w:val="25"/>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r>
        <w:rPr>
          <w:rFonts w:hint="eastAsia" w:asciiTheme="majorEastAsia" w:hAnsiTheme="majorEastAsia" w:eastAsiaTheme="majorEastAsia"/>
          <w:b/>
          <w:sz w:val="28"/>
          <w:szCs w:val="28"/>
        </w:rPr>
        <w:t>附件</w:t>
      </w:r>
      <w:r>
        <w:rPr>
          <w:rFonts w:asciiTheme="majorEastAsia" w:hAnsiTheme="majorEastAsia" w:eastAsiaTheme="majorEastAsia"/>
          <w:b/>
          <w:sz w:val="28"/>
          <w:szCs w:val="28"/>
        </w:rPr>
        <w:t xml:space="preserve">4 </w:t>
      </w:r>
    </w:p>
    <w:p>
      <w:pPr>
        <w:adjustRightInd w:val="0"/>
        <w:snapToGrid w:val="0"/>
        <w:spacing w:line="600" w:lineRule="exact"/>
        <w:jc w:val="center"/>
        <w:rPr>
          <w:rFonts w:ascii="方正小标宋简体" w:eastAsia="方正小标宋简体" w:hAnsiTheme="majorEastAsia"/>
          <w:sz w:val="32"/>
          <w:szCs w:val="32"/>
        </w:rPr>
      </w:pPr>
    </w:p>
    <w:p>
      <w:pPr>
        <w:adjustRightInd w:val="0"/>
        <w:snapToGrid w:val="0"/>
        <w:spacing w:line="600" w:lineRule="exact"/>
        <w:jc w:val="center"/>
        <w:rPr>
          <w:rFonts w:ascii="方正小标宋简体" w:eastAsia="方正小标宋简体" w:hAnsiTheme="majorEastAsia"/>
          <w:sz w:val="32"/>
          <w:szCs w:val="32"/>
        </w:rPr>
      </w:pPr>
      <w:r>
        <w:rPr>
          <w:rFonts w:hint="eastAsia" w:ascii="方正小标宋简体" w:eastAsia="方正小标宋简体" w:hAnsiTheme="majorEastAsia"/>
          <w:sz w:val="32"/>
          <w:szCs w:val="32"/>
        </w:rPr>
        <w:t>成交通知书</w:t>
      </w:r>
    </w:p>
    <w:p>
      <w:pPr>
        <w:pStyle w:val="40"/>
      </w:pPr>
    </w:p>
    <w:p>
      <w:pPr>
        <w:pStyle w:val="40"/>
        <w:ind w:firstLine="3465" w:firstLineChars="1650"/>
        <w:rPr>
          <w:rFonts w:ascii="仿宋_GB2312" w:eastAsia="仿宋_GB2312"/>
        </w:rPr>
      </w:pPr>
      <w:r>
        <w:rPr>
          <w:rFonts w:hint="eastAsia" w:ascii="仿宋_GB2312" w:eastAsia="仿宋_GB2312"/>
        </w:rPr>
        <w:t>（编号：）</w:t>
      </w:r>
    </w:p>
    <w:p>
      <w:pPr>
        <w:adjustRightInd w:val="0"/>
        <w:snapToGrid w:val="0"/>
        <w:spacing w:line="600" w:lineRule="exact"/>
        <w:jc w:val="left"/>
        <w:rPr>
          <w:rFonts w:ascii="仿宋_GB2312" w:eastAsia="仿宋_GB2312" w:hAnsiTheme="majorEastAsia"/>
          <w:sz w:val="28"/>
          <w:szCs w:val="28"/>
        </w:rPr>
      </w:pPr>
      <w:r>
        <w:rPr>
          <w:rFonts w:ascii="仿宋_GB2312" w:eastAsia="仿宋_GB2312" w:hAnsiTheme="majorEastAsia"/>
          <w:sz w:val="28"/>
          <w:szCs w:val="28"/>
          <w:u w:val="single"/>
        </w:rPr>
        <w:t xml:space="preserve">   （成交供应商名称）    </w:t>
      </w:r>
      <w:r>
        <w:rPr>
          <w:rFonts w:hint="eastAsia" w:ascii="仿宋_GB2312" w:eastAsia="仿宋_GB2312" w:hAnsiTheme="majorEastAsia"/>
          <w:sz w:val="28"/>
          <w:szCs w:val="28"/>
        </w:rPr>
        <w:t>：</w:t>
      </w:r>
    </w:p>
    <w:p>
      <w:pPr>
        <w:adjustRightInd w:val="0"/>
        <w:snapToGrid w:val="0"/>
        <w:spacing w:line="600" w:lineRule="exact"/>
        <w:ind w:firstLine="570"/>
        <w:jc w:val="left"/>
        <w:rPr>
          <w:rFonts w:ascii="仿宋_GB2312" w:eastAsia="仿宋_GB2312" w:hAnsiTheme="majorEastAsia"/>
          <w:sz w:val="28"/>
          <w:szCs w:val="28"/>
        </w:rPr>
      </w:pPr>
      <w:r>
        <w:rPr>
          <w:rFonts w:hint="eastAsia" w:ascii="仿宋_GB2312" w:eastAsia="仿宋_GB2312" w:hAnsiTheme="majorEastAsia"/>
          <w:sz w:val="28"/>
          <w:szCs w:val="28"/>
        </w:rPr>
        <w:t>你方递交的响应文件已被我方接受，你方已被确认为</w:t>
      </w:r>
      <w:r>
        <w:rPr>
          <w:rFonts w:ascii="仿宋_GB2312" w:eastAsia="仿宋_GB2312" w:hAnsiTheme="majorEastAsia"/>
          <w:sz w:val="28"/>
          <w:szCs w:val="28"/>
          <w:u w:val="single"/>
        </w:rPr>
        <w:t xml:space="preserve">      项目</w:t>
      </w:r>
      <w:r>
        <w:rPr>
          <w:rFonts w:hint="eastAsia" w:ascii="仿宋_GB2312" w:eastAsia="仿宋_GB2312" w:hAnsiTheme="majorEastAsia"/>
          <w:sz w:val="28"/>
          <w:szCs w:val="28"/>
        </w:rPr>
        <w:t>的成交供应商。</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成交金额，大写：，小写：</w:t>
      </w:r>
      <w:r>
        <w:rPr>
          <w:rFonts w:ascii="仿宋_GB2312" w:eastAsia="仿宋_GB2312" w:hAnsiTheme="majorEastAsia"/>
          <w:sz w:val="28"/>
          <w:szCs w:val="28"/>
        </w:rPr>
        <w:t xml:space="preserve"> </w:t>
      </w:r>
      <w:r>
        <w:rPr>
          <w:rFonts w:hint="eastAsia" w:ascii="仿宋_GB2312" w:eastAsia="仿宋_GB2312" w:hAnsiTheme="majorEastAsia"/>
          <w:sz w:val="28"/>
          <w:szCs w:val="28"/>
        </w:rPr>
        <w:t>。</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请你方在接到本通知书后的</w:t>
      </w:r>
      <w:r>
        <w:rPr>
          <w:rFonts w:ascii="仿宋_GB2312" w:eastAsia="仿宋_GB2312" w:hAnsiTheme="majorEastAsia"/>
          <w:sz w:val="28"/>
          <w:szCs w:val="28"/>
          <w:u w:val="single"/>
        </w:rPr>
        <w:t>30</w:t>
      </w:r>
      <w:r>
        <w:rPr>
          <w:rFonts w:hint="eastAsia" w:ascii="仿宋_GB2312" w:eastAsia="仿宋_GB2312" w:hAnsiTheme="majorEastAsia"/>
          <w:sz w:val="28"/>
          <w:szCs w:val="28"/>
        </w:rPr>
        <w:t>日内与我方签订采购合同，逾期视为自动放弃成交资格。</w:t>
      </w: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ind w:firstLine="4760" w:firstLineChars="1700"/>
        <w:jc w:val="left"/>
        <w:rPr>
          <w:rFonts w:ascii="仿宋_GB2312" w:eastAsia="仿宋_GB2312" w:hAnsiTheme="majorEastAsia"/>
          <w:sz w:val="28"/>
          <w:szCs w:val="28"/>
        </w:rPr>
      </w:pPr>
      <w:r>
        <w:rPr>
          <w:rFonts w:hint="eastAsia" w:ascii="仿宋_GB2312" w:eastAsia="仿宋_GB2312" w:hAnsiTheme="majorEastAsia"/>
          <w:sz w:val="28"/>
          <w:szCs w:val="28"/>
        </w:rPr>
        <w:t>采购人：（公章）</w:t>
      </w:r>
    </w:p>
    <w:p>
      <w:pPr>
        <w:adjustRightInd w:val="0"/>
        <w:snapToGrid w:val="0"/>
        <w:spacing w:line="600" w:lineRule="exact"/>
        <w:jc w:val="left"/>
        <w:rPr>
          <w:rFonts w:hint="eastAsia" w:ascii="仿宋_GB2312" w:eastAsia="仿宋_GB2312" w:hAnsiTheme="majorEastAsia"/>
          <w:sz w:val="28"/>
          <w:szCs w:val="28"/>
        </w:rPr>
      </w:pPr>
      <w:r>
        <w:rPr>
          <w:rFonts w:hint="eastAsia" w:ascii="仿宋_GB2312" w:eastAsia="仿宋_GB2312" w:hAnsiTheme="majorEastAsia"/>
          <w:sz w:val="28"/>
          <w:szCs w:val="28"/>
        </w:rPr>
        <w:t>年</w:t>
      </w:r>
      <w:r>
        <w:rPr>
          <w:rFonts w:ascii="仿宋_GB2312" w:eastAsia="仿宋_GB2312" w:hAnsiTheme="majorEastAsia"/>
          <w:sz w:val="28"/>
          <w:szCs w:val="28"/>
        </w:rPr>
        <w:t xml:space="preserve">   </w:t>
      </w:r>
      <w:r>
        <w:rPr>
          <w:rFonts w:hint="eastAsia" w:ascii="仿宋_GB2312" w:eastAsia="仿宋_GB2312" w:hAnsiTheme="majorEastAsia"/>
          <w:sz w:val="28"/>
          <w:szCs w:val="28"/>
        </w:rPr>
        <w:t>月</w:t>
      </w:r>
      <w:r>
        <w:rPr>
          <w:rFonts w:ascii="仿宋_GB2312" w:eastAsia="仿宋_GB2312" w:hAnsiTheme="majorEastAsia"/>
          <w:sz w:val="28"/>
          <w:szCs w:val="28"/>
        </w:rPr>
        <w:t xml:space="preserve">   </w:t>
      </w:r>
      <w:r>
        <w:rPr>
          <w:rFonts w:hint="eastAsia" w:ascii="仿宋_GB2312" w:eastAsia="仿宋_GB2312" w:hAnsiTheme="majorEastAsia"/>
          <w:sz w:val="28"/>
          <w:szCs w:val="28"/>
        </w:rPr>
        <w:t>日</w:t>
      </w:r>
      <w:r>
        <w:rPr>
          <w:rFonts w:hint="eastAsia" w:ascii="仿宋_GB2312" w:eastAsia="仿宋_GB2312" w:hAnsiTheme="majorEastAsia"/>
          <w:sz w:val="28"/>
          <w:szCs w:val="28"/>
        </w:rPr>
        <w:br w:type="textWrapping"/>
      </w:r>
    </w:p>
    <w:p>
      <w:pPr>
        <w:adjustRightInd w:val="0"/>
        <w:snapToGrid w:val="0"/>
        <w:spacing w:line="600" w:lineRule="exact"/>
        <w:jc w:val="left"/>
        <w:rPr>
          <w:rFonts w:hint="eastAsia" w:ascii="仿宋_GB2312" w:eastAsia="仿宋_GB2312" w:hAnsiTheme="majorEastAsia"/>
          <w:sz w:val="28"/>
          <w:szCs w:val="28"/>
        </w:rPr>
      </w:pPr>
    </w:p>
    <w:p>
      <w:pPr>
        <w:adjustRightInd w:val="0"/>
        <w:snapToGrid w:val="0"/>
        <w:spacing w:line="600" w:lineRule="exact"/>
        <w:jc w:val="left"/>
        <w:rPr>
          <w:rFonts w:hint="eastAsia" w:ascii="仿宋_GB2312" w:eastAsia="仿宋_GB2312" w:hAnsiTheme="majorEastAsia"/>
          <w:sz w:val="28"/>
          <w:szCs w:val="28"/>
        </w:rPr>
      </w:pPr>
    </w:p>
    <w:p>
      <w:pPr>
        <w:adjustRightInd w:val="0"/>
        <w:snapToGrid w:val="0"/>
        <w:spacing w:line="600" w:lineRule="exact"/>
        <w:jc w:val="left"/>
        <w:rPr>
          <w:rFonts w:hint="eastAsia" w:ascii="仿宋_GB2312" w:eastAsia="仿宋_GB2312" w:hAnsiTheme="majorEastAsia"/>
          <w:sz w:val="28"/>
          <w:szCs w:val="28"/>
        </w:rPr>
      </w:pPr>
    </w:p>
    <w:p>
      <w:pPr>
        <w:adjustRightInd w:val="0"/>
        <w:snapToGrid w:val="0"/>
        <w:spacing w:line="600" w:lineRule="exact"/>
        <w:jc w:val="left"/>
        <w:rPr>
          <w:rFonts w:hint="eastAsia" w:ascii="仿宋_GB2312" w:eastAsia="仿宋_GB2312" w:hAnsiTheme="majorEastAsia"/>
          <w:sz w:val="28"/>
          <w:szCs w:val="28"/>
        </w:rPr>
      </w:pPr>
    </w:p>
    <w:p>
      <w:pPr>
        <w:adjustRightInd w:val="0"/>
        <w:snapToGrid w:val="0"/>
        <w:spacing w:line="600" w:lineRule="exact"/>
        <w:jc w:val="left"/>
        <w:rPr>
          <w:rFonts w:hint="eastAsia" w:ascii="仿宋_GB2312" w:eastAsia="仿宋_GB2312" w:hAnsiTheme="majorEastAsia"/>
          <w:sz w:val="28"/>
          <w:szCs w:val="28"/>
        </w:rPr>
      </w:pPr>
    </w:p>
    <w:p>
      <w:pPr>
        <w:adjustRightInd w:val="0"/>
        <w:snapToGrid w:val="0"/>
        <w:spacing w:line="600" w:lineRule="exact"/>
        <w:jc w:val="left"/>
        <w:rPr>
          <w:rFonts w:hint="eastAsia" w:ascii="仿宋_GB2312" w:eastAsia="仿宋_GB2312" w:hAnsiTheme="majorEastAsia"/>
          <w:sz w:val="28"/>
          <w:szCs w:val="28"/>
        </w:rPr>
      </w:pPr>
    </w:p>
    <w:p>
      <w:pPr>
        <w:adjustRightInd w:val="0"/>
        <w:snapToGrid w:val="0"/>
        <w:spacing w:line="600" w:lineRule="exact"/>
        <w:jc w:val="left"/>
        <w:rPr>
          <w:rFonts w:hint="eastAsia" w:ascii="仿宋_GB2312" w:eastAsia="仿宋_GB2312" w:hAnsiTheme="majorEastAsia"/>
          <w:sz w:val="28"/>
          <w:szCs w:val="28"/>
        </w:rPr>
      </w:pPr>
    </w:p>
    <w:p>
      <w:pPr>
        <w:adjustRightInd w:val="0"/>
        <w:snapToGrid w:val="0"/>
        <w:spacing w:line="600" w:lineRule="exact"/>
        <w:jc w:val="left"/>
        <w:rPr>
          <w:rFonts w:hint="eastAsia" w:ascii="仿宋_GB2312" w:eastAsia="仿宋_GB2312" w:hAnsiTheme="majorEastAsia"/>
          <w:sz w:val="28"/>
          <w:szCs w:val="28"/>
        </w:rPr>
      </w:pPr>
    </w:p>
    <w:p>
      <w:pPr>
        <w:adjustRightInd w:val="0"/>
        <w:snapToGrid w:val="0"/>
        <w:spacing w:line="600" w:lineRule="exact"/>
        <w:jc w:val="left"/>
        <w:rPr>
          <w:rFonts w:hint="eastAsia" w:ascii="仿宋_GB2312" w:eastAsia="仿宋_GB2312" w:hAnsiTheme="majorEastAsia"/>
          <w:sz w:val="28"/>
          <w:szCs w:val="28"/>
        </w:rPr>
      </w:pPr>
    </w:p>
    <w:p>
      <w:pPr>
        <w:adjustRightInd w:val="0"/>
        <w:snapToGrid w:val="0"/>
        <w:spacing w:line="600" w:lineRule="exact"/>
        <w:jc w:val="left"/>
        <w:rPr>
          <w:rFonts w:hint="eastAsia" w:asciiTheme="majorEastAsia" w:hAnsiTheme="majorEastAsia" w:eastAsiaTheme="majorEastAsia" w:cstheme="majorEastAsia"/>
          <w:b/>
          <w:color w:val="auto"/>
          <w:sz w:val="28"/>
          <w:szCs w:val="28"/>
          <w:highlight w:val="none"/>
        </w:rPr>
      </w:pPr>
      <w:r>
        <w:rPr>
          <w:rFonts w:hint="eastAsia" w:asciiTheme="majorEastAsia" w:hAnsiTheme="majorEastAsia" w:eastAsiaTheme="majorEastAsia" w:cstheme="majorEastAsia"/>
          <w:b/>
          <w:color w:val="auto"/>
          <w:sz w:val="28"/>
          <w:szCs w:val="28"/>
          <w:highlight w:val="none"/>
        </w:rPr>
        <w:t>附件</w:t>
      </w:r>
      <w:r>
        <w:rPr>
          <w:rFonts w:hint="eastAsia" w:asciiTheme="majorEastAsia" w:hAnsiTheme="majorEastAsia" w:eastAsiaTheme="majorEastAsia" w:cstheme="majorEastAsia"/>
          <w:b/>
          <w:color w:val="auto"/>
          <w:sz w:val="28"/>
          <w:szCs w:val="28"/>
          <w:highlight w:val="none"/>
          <w:lang w:val="en-US" w:eastAsia="zh-CN"/>
        </w:rPr>
        <w:t>5</w:t>
      </w:r>
      <w:r>
        <w:rPr>
          <w:rFonts w:hint="eastAsia" w:asciiTheme="majorEastAsia" w:hAnsiTheme="majorEastAsia" w:eastAsiaTheme="majorEastAsia" w:cstheme="majorEastAsia"/>
          <w:b/>
          <w:color w:val="auto"/>
          <w:sz w:val="28"/>
          <w:szCs w:val="28"/>
          <w:highlight w:val="none"/>
        </w:rPr>
        <w:t xml:space="preserve"> </w:t>
      </w:r>
    </w:p>
    <w:p>
      <w:pPr>
        <w:jc w:val="both"/>
        <w:rPr>
          <w:rFonts w:hint="eastAsia" w:asciiTheme="majorEastAsia" w:hAnsiTheme="majorEastAsia" w:eastAsiaTheme="majorEastAsia" w:cstheme="majorEastAsia"/>
          <w:b/>
          <w:bCs/>
          <w:sz w:val="44"/>
          <w:szCs w:val="44"/>
          <w:highlight w:val="none"/>
        </w:rPr>
      </w:pPr>
    </w:p>
    <w:p>
      <w:pPr>
        <w:jc w:val="center"/>
        <w:rPr>
          <w:rFonts w:hint="eastAsia" w:asciiTheme="majorEastAsia" w:hAnsiTheme="majorEastAsia" w:eastAsiaTheme="majorEastAsia" w:cstheme="majorEastAsia"/>
          <w:b/>
          <w:bCs/>
          <w:sz w:val="44"/>
          <w:szCs w:val="44"/>
          <w:highlight w:val="none"/>
        </w:rPr>
      </w:pPr>
      <w:r>
        <w:rPr>
          <w:rFonts w:hint="eastAsia" w:asciiTheme="majorEastAsia" w:hAnsiTheme="majorEastAsia" w:eastAsiaTheme="majorEastAsia" w:cstheme="majorEastAsia"/>
          <w:b/>
          <w:bCs/>
          <w:sz w:val="44"/>
          <w:szCs w:val="44"/>
          <w:highlight w:val="none"/>
        </w:rPr>
        <w:t>关于</w:t>
      </w:r>
      <w:r>
        <w:rPr>
          <w:rFonts w:hint="eastAsia" w:asciiTheme="majorEastAsia" w:hAnsiTheme="majorEastAsia" w:eastAsiaTheme="majorEastAsia" w:cstheme="majorEastAsia"/>
          <w:b/>
          <w:bCs/>
          <w:sz w:val="44"/>
          <w:szCs w:val="44"/>
          <w:highlight w:val="none"/>
          <w:lang w:val="en-US" w:eastAsia="zh-CN"/>
        </w:rPr>
        <w:t>**</w:t>
      </w:r>
      <w:r>
        <w:rPr>
          <w:rFonts w:hint="eastAsia" w:asciiTheme="majorEastAsia" w:hAnsiTheme="majorEastAsia" w:eastAsiaTheme="majorEastAsia" w:cstheme="majorEastAsia"/>
          <w:b/>
          <w:bCs/>
          <w:sz w:val="44"/>
          <w:szCs w:val="44"/>
          <w:highlight w:val="none"/>
        </w:rPr>
        <w:t>项目异议书</w:t>
      </w:r>
    </w:p>
    <w:p>
      <w:pPr>
        <w:widowControl/>
        <w:spacing w:line="408" w:lineRule="auto"/>
        <w:jc w:val="center"/>
        <w:rPr>
          <w:rFonts w:hint="eastAsia" w:asciiTheme="majorEastAsia" w:hAnsiTheme="majorEastAsia" w:eastAsiaTheme="majorEastAsia" w:cstheme="majorEastAsia"/>
          <w:kern w:val="0"/>
          <w:sz w:val="24"/>
          <w:highlight w:val="none"/>
        </w:rPr>
      </w:pPr>
      <w:r>
        <w:rPr>
          <w:rFonts w:hint="eastAsia" w:asciiTheme="majorEastAsia" w:hAnsiTheme="majorEastAsia" w:eastAsiaTheme="majorEastAsia" w:cstheme="majorEastAsia"/>
          <w:kern w:val="0"/>
          <w:sz w:val="24"/>
          <w:highlight w:val="none"/>
        </w:rPr>
        <w:t>(参考格式)</w:t>
      </w:r>
    </w:p>
    <w:p>
      <w:pPr>
        <w:rPr>
          <w:rFonts w:hint="eastAsia" w:asciiTheme="majorEastAsia" w:hAnsiTheme="majorEastAsia" w:eastAsiaTheme="majorEastAsia" w:cstheme="majorEastAsia"/>
          <w:kern w:val="0"/>
          <w:sz w:val="28"/>
          <w:szCs w:val="28"/>
          <w:highlight w:val="none"/>
        </w:rPr>
      </w:pPr>
      <w:r>
        <w:rPr>
          <w:rFonts w:hint="eastAsia" w:asciiTheme="majorEastAsia" w:hAnsiTheme="majorEastAsia" w:eastAsiaTheme="majorEastAsia" w:cstheme="majorEastAsia"/>
          <w:kern w:val="0"/>
          <w:sz w:val="28"/>
          <w:szCs w:val="28"/>
          <w:highlight w:val="none"/>
        </w:rPr>
        <w:t>项目名称：</w:t>
      </w:r>
    </w:p>
    <w:p>
      <w:pPr>
        <w:widowControl/>
        <w:jc w:val="left"/>
        <w:rPr>
          <w:rFonts w:hint="eastAsia" w:asciiTheme="majorEastAsia" w:hAnsiTheme="majorEastAsia" w:eastAsiaTheme="majorEastAsia" w:cstheme="majorEastAsia"/>
          <w:kern w:val="0"/>
          <w:sz w:val="28"/>
          <w:szCs w:val="28"/>
          <w:highlight w:val="none"/>
        </w:rPr>
      </w:pPr>
      <w:r>
        <w:rPr>
          <w:rFonts w:hint="eastAsia" w:asciiTheme="majorEastAsia" w:hAnsiTheme="majorEastAsia" w:eastAsiaTheme="majorEastAsia" w:cstheme="majorEastAsia"/>
          <w:bCs/>
          <w:kern w:val="0"/>
          <w:sz w:val="28"/>
          <w:szCs w:val="28"/>
          <w:highlight w:val="none"/>
        </w:rPr>
        <w:t>异议人：</w:t>
      </w:r>
    </w:p>
    <w:p>
      <w:pPr>
        <w:widowControl/>
        <w:jc w:val="left"/>
        <w:rPr>
          <w:rFonts w:hint="eastAsia" w:asciiTheme="majorEastAsia" w:hAnsiTheme="majorEastAsia" w:eastAsiaTheme="majorEastAsia" w:cstheme="majorEastAsia"/>
          <w:kern w:val="0"/>
          <w:sz w:val="28"/>
          <w:szCs w:val="28"/>
          <w:highlight w:val="none"/>
        </w:rPr>
      </w:pPr>
      <w:r>
        <w:rPr>
          <w:rFonts w:hint="eastAsia" w:asciiTheme="majorEastAsia" w:hAnsiTheme="majorEastAsia" w:eastAsiaTheme="majorEastAsia" w:cstheme="majorEastAsia"/>
          <w:kern w:val="0"/>
          <w:sz w:val="28"/>
          <w:szCs w:val="28"/>
          <w:highlight w:val="none"/>
        </w:rPr>
        <w:t>住所地：</w:t>
      </w:r>
      <w:r>
        <w:rPr>
          <w:rFonts w:hint="eastAsia" w:asciiTheme="majorEastAsia" w:hAnsiTheme="majorEastAsia" w:eastAsiaTheme="majorEastAsia" w:cstheme="majorEastAsia"/>
          <w:kern w:val="0"/>
          <w:sz w:val="28"/>
          <w:szCs w:val="28"/>
          <w:highlight w:val="none"/>
          <w:lang w:val="en-US" w:eastAsia="zh-CN"/>
        </w:rPr>
        <w:t xml:space="preserve">   </w:t>
      </w:r>
      <w:r>
        <w:rPr>
          <w:rFonts w:hint="eastAsia" w:asciiTheme="majorEastAsia" w:hAnsiTheme="majorEastAsia" w:eastAsiaTheme="majorEastAsia" w:cstheme="majorEastAsia"/>
          <w:kern w:val="0"/>
          <w:sz w:val="28"/>
          <w:szCs w:val="28"/>
          <w:highlight w:val="none"/>
        </w:rPr>
        <w:t xml:space="preserve"> 邮编：</w:t>
      </w:r>
    </w:p>
    <w:p>
      <w:pPr>
        <w:widowControl/>
        <w:jc w:val="left"/>
        <w:rPr>
          <w:rFonts w:hint="eastAsia" w:asciiTheme="majorEastAsia" w:hAnsiTheme="majorEastAsia" w:eastAsiaTheme="majorEastAsia" w:cstheme="majorEastAsia"/>
          <w:kern w:val="0"/>
          <w:sz w:val="28"/>
          <w:szCs w:val="28"/>
          <w:highlight w:val="none"/>
          <w:lang w:eastAsia="zh-CN"/>
        </w:rPr>
      </w:pPr>
      <w:r>
        <w:rPr>
          <w:rFonts w:hint="eastAsia" w:asciiTheme="majorEastAsia" w:hAnsiTheme="majorEastAsia" w:eastAsiaTheme="majorEastAsia" w:cstheme="majorEastAsia"/>
          <w:kern w:val="0"/>
          <w:sz w:val="28"/>
          <w:szCs w:val="28"/>
          <w:highlight w:val="none"/>
        </w:rPr>
        <w:t>法定代表人：</w:t>
      </w:r>
      <w:r>
        <w:rPr>
          <w:rFonts w:hint="eastAsia" w:asciiTheme="majorEastAsia" w:hAnsiTheme="majorEastAsia" w:eastAsiaTheme="majorEastAsia" w:cstheme="majorEastAsia"/>
          <w:kern w:val="0"/>
          <w:sz w:val="28"/>
          <w:szCs w:val="28"/>
          <w:highlight w:val="none"/>
          <w:lang w:val="en-US" w:eastAsia="zh-CN"/>
        </w:rPr>
        <w:t xml:space="preserve">      </w:t>
      </w:r>
      <w:r>
        <w:rPr>
          <w:rFonts w:hint="eastAsia" w:asciiTheme="majorEastAsia" w:hAnsiTheme="majorEastAsia" w:eastAsiaTheme="majorEastAsia" w:cstheme="majorEastAsia"/>
          <w:kern w:val="0"/>
          <w:sz w:val="28"/>
          <w:szCs w:val="28"/>
          <w:highlight w:val="none"/>
        </w:rPr>
        <w:t>联系电话</w:t>
      </w:r>
      <w:r>
        <w:rPr>
          <w:rFonts w:hint="eastAsia" w:asciiTheme="majorEastAsia" w:hAnsiTheme="majorEastAsia" w:eastAsiaTheme="majorEastAsia" w:cstheme="majorEastAsia"/>
          <w:kern w:val="0"/>
          <w:sz w:val="28"/>
          <w:szCs w:val="28"/>
          <w:highlight w:val="none"/>
          <w:lang w:eastAsia="zh-CN"/>
        </w:rPr>
        <w:t>：</w:t>
      </w:r>
    </w:p>
    <w:p>
      <w:pPr>
        <w:widowControl/>
        <w:jc w:val="left"/>
        <w:rPr>
          <w:rFonts w:hint="eastAsia" w:asciiTheme="majorEastAsia" w:hAnsiTheme="majorEastAsia" w:eastAsiaTheme="majorEastAsia" w:cstheme="majorEastAsia"/>
          <w:kern w:val="0"/>
          <w:sz w:val="28"/>
          <w:szCs w:val="28"/>
          <w:highlight w:val="none"/>
        </w:rPr>
      </w:pPr>
      <w:r>
        <w:rPr>
          <w:rFonts w:hint="eastAsia" w:asciiTheme="majorEastAsia" w:hAnsiTheme="majorEastAsia" w:eastAsiaTheme="majorEastAsia" w:cstheme="majorEastAsia"/>
          <w:kern w:val="0"/>
          <w:sz w:val="28"/>
          <w:szCs w:val="28"/>
          <w:highlight w:val="none"/>
        </w:rPr>
        <w:t>异议人授权代表：</w:t>
      </w:r>
      <w:r>
        <w:rPr>
          <w:rFonts w:hint="eastAsia" w:asciiTheme="majorEastAsia" w:hAnsiTheme="majorEastAsia" w:eastAsiaTheme="majorEastAsia" w:cstheme="majorEastAsia"/>
          <w:kern w:val="0"/>
          <w:sz w:val="28"/>
          <w:szCs w:val="28"/>
          <w:highlight w:val="none"/>
          <w:lang w:val="en-US" w:eastAsia="zh-CN"/>
        </w:rPr>
        <w:t xml:space="preserve">   </w:t>
      </w:r>
      <w:r>
        <w:rPr>
          <w:rFonts w:hint="eastAsia" w:asciiTheme="majorEastAsia" w:hAnsiTheme="majorEastAsia" w:eastAsiaTheme="majorEastAsia" w:cstheme="majorEastAsia"/>
          <w:kern w:val="0"/>
          <w:sz w:val="28"/>
          <w:szCs w:val="28"/>
          <w:highlight w:val="none"/>
        </w:rPr>
        <w:t xml:space="preserve"> 性别：</w:t>
      </w:r>
    </w:p>
    <w:p>
      <w:pPr>
        <w:widowControl/>
        <w:jc w:val="left"/>
        <w:rPr>
          <w:rFonts w:hint="eastAsia" w:asciiTheme="majorEastAsia" w:hAnsiTheme="majorEastAsia" w:eastAsiaTheme="majorEastAsia" w:cstheme="majorEastAsia"/>
          <w:kern w:val="0"/>
          <w:sz w:val="28"/>
          <w:szCs w:val="28"/>
          <w:highlight w:val="none"/>
        </w:rPr>
      </w:pPr>
      <w:r>
        <w:rPr>
          <w:rFonts w:hint="eastAsia" w:asciiTheme="majorEastAsia" w:hAnsiTheme="majorEastAsia" w:eastAsiaTheme="majorEastAsia" w:cstheme="majorEastAsia"/>
          <w:kern w:val="0"/>
          <w:sz w:val="28"/>
          <w:szCs w:val="28"/>
          <w:highlight w:val="none"/>
        </w:rPr>
        <w:t>住址：</w:t>
      </w:r>
      <w:r>
        <w:rPr>
          <w:rFonts w:hint="eastAsia" w:asciiTheme="majorEastAsia" w:hAnsiTheme="majorEastAsia" w:eastAsiaTheme="majorEastAsia" w:cstheme="majorEastAsia"/>
          <w:kern w:val="0"/>
          <w:sz w:val="28"/>
          <w:szCs w:val="28"/>
          <w:highlight w:val="none"/>
          <w:lang w:val="en-US" w:eastAsia="zh-CN"/>
        </w:rPr>
        <w:t xml:space="preserve">             </w:t>
      </w:r>
      <w:r>
        <w:rPr>
          <w:rFonts w:hint="eastAsia" w:asciiTheme="majorEastAsia" w:hAnsiTheme="majorEastAsia" w:eastAsiaTheme="majorEastAsia" w:cstheme="majorEastAsia"/>
          <w:kern w:val="0"/>
          <w:sz w:val="28"/>
          <w:szCs w:val="28"/>
          <w:highlight w:val="none"/>
        </w:rPr>
        <w:t>联系电话：</w:t>
      </w:r>
    </w:p>
    <w:p>
      <w:pPr>
        <w:widowControl/>
        <w:jc w:val="left"/>
        <w:rPr>
          <w:rFonts w:hint="eastAsia" w:asciiTheme="majorEastAsia" w:hAnsiTheme="majorEastAsia" w:eastAsiaTheme="majorEastAsia" w:cstheme="majorEastAsia"/>
          <w:kern w:val="0"/>
          <w:sz w:val="28"/>
          <w:szCs w:val="28"/>
          <w:highlight w:val="none"/>
        </w:rPr>
      </w:pPr>
      <w:r>
        <w:rPr>
          <w:rFonts w:hint="eastAsia" w:asciiTheme="majorEastAsia" w:hAnsiTheme="majorEastAsia" w:eastAsiaTheme="majorEastAsia" w:cstheme="majorEastAsia"/>
          <w:bCs/>
          <w:kern w:val="0"/>
          <w:sz w:val="28"/>
          <w:szCs w:val="28"/>
          <w:highlight w:val="none"/>
        </w:rPr>
        <w:t>提起异议事项的基本事实：</w:t>
      </w:r>
    </w:p>
    <w:p>
      <w:pPr>
        <w:widowControl/>
        <w:jc w:val="left"/>
        <w:rPr>
          <w:rFonts w:hint="eastAsia" w:asciiTheme="majorEastAsia" w:hAnsiTheme="majorEastAsia" w:eastAsiaTheme="majorEastAsia" w:cstheme="majorEastAsia"/>
          <w:kern w:val="0"/>
          <w:sz w:val="28"/>
          <w:szCs w:val="28"/>
          <w:highlight w:val="none"/>
        </w:rPr>
      </w:pPr>
    </w:p>
    <w:p>
      <w:pPr>
        <w:widowControl/>
        <w:jc w:val="left"/>
        <w:rPr>
          <w:rFonts w:hint="eastAsia" w:asciiTheme="majorEastAsia" w:hAnsiTheme="majorEastAsia" w:eastAsiaTheme="majorEastAsia" w:cstheme="majorEastAsia"/>
          <w:kern w:val="0"/>
          <w:sz w:val="28"/>
          <w:szCs w:val="28"/>
          <w:highlight w:val="none"/>
        </w:rPr>
      </w:pPr>
      <w:r>
        <w:rPr>
          <w:rFonts w:hint="eastAsia" w:asciiTheme="majorEastAsia" w:hAnsiTheme="majorEastAsia" w:eastAsiaTheme="majorEastAsia" w:cstheme="majorEastAsia"/>
          <w:bCs/>
          <w:kern w:val="0"/>
          <w:sz w:val="28"/>
          <w:szCs w:val="28"/>
          <w:highlight w:val="none"/>
        </w:rPr>
        <w:t>相关请求及主张：</w:t>
      </w:r>
    </w:p>
    <w:p>
      <w:pPr>
        <w:widowControl/>
        <w:jc w:val="left"/>
        <w:rPr>
          <w:rFonts w:hint="eastAsia" w:asciiTheme="majorEastAsia" w:hAnsiTheme="majorEastAsia" w:eastAsiaTheme="majorEastAsia" w:cstheme="majorEastAsia"/>
          <w:kern w:val="0"/>
          <w:sz w:val="28"/>
          <w:szCs w:val="28"/>
          <w:highlight w:val="none"/>
          <w:u w:val="single"/>
        </w:rPr>
      </w:pPr>
    </w:p>
    <w:p>
      <w:pPr>
        <w:widowControl/>
        <w:jc w:val="left"/>
        <w:rPr>
          <w:rFonts w:hint="eastAsia" w:asciiTheme="majorEastAsia" w:hAnsiTheme="majorEastAsia" w:eastAsiaTheme="majorEastAsia" w:cstheme="majorEastAsia"/>
          <w:kern w:val="0"/>
          <w:sz w:val="28"/>
          <w:szCs w:val="28"/>
          <w:highlight w:val="none"/>
        </w:rPr>
      </w:pPr>
      <w:r>
        <w:rPr>
          <w:rFonts w:hint="eastAsia" w:asciiTheme="majorEastAsia" w:hAnsiTheme="majorEastAsia" w:eastAsiaTheme="majorEastAsia" w:cstheme="majorEastAsia"/>
          <w:bCs/>
          <w:kern w:val="0"/>
          <w:sz w:val="28"/>
          <w:szCs w:val="28"/>
          <w:highlight w:val="none"/>
        </w:rPr>
        <w:t>有效线索和相关证明材料：</w:t>
      </w:r>
    </w:p>
    <w:p>
      <w:pPr>
        <w:widowControl/>
        <w:jc w:val="left"/>
        <w:rPr>
          <w:rFonts w:hint="eastAsia" w:asciiTheme="majorEastAsia" w:hAnsiTheme="majorEastAsia" w:eastAsiaTheme="majorEastAsia" w:cstheme="majorEastAsia"/>
          <w:kern w:val="0"/>
          <w:sz w:val="28"/>
          <w:szCs w:val="28"/>
          <w:highlight w:val="none"/>
          <w:u w:val="single"/>
        </w:rPr>
      </w:pPr>
    </w:p>
    <w:p>
      <w:pPr>
        <w:widowControl/>
        <w:jc w:val="left"/>
        <w:rPr>
          <w:rFonts w:hint="eastAsia" w:asciiTheme="majorEastAsia" w:hAnsiTheme="majorEastAsia" w:eastAsiaTheme="majorEastAsia" w:cstheme="majorEastAsia"/>
          <w:kern w:val="0"/>
          <w:sz w:val="28"/>
          <w:szCs w:val="28"/>
          <w:highlight w:val="none"/>
        </w:rPr>
      </w:pPr>
      <w:r>
        <w:rPr>
          <w:rFonts w:hint="eastAsia" w:asciiTheme="majorEastAsia" w:hAnsiTheme="majorEastAsia" w:eastAsiaTheme="majorEastAsia" w:cstheme="majorEastAsia"/>
          <w:bCs/>
          <w:kern w:val="0"/>
          <w:sz w:val="28"/>
          <w:szCs w:val="28"/>
          <w:highlight w:val="none"/>
        </w:rPr>
        <w:t>异议提起人与项目有利害关系的证明材料（见说明）：</w:t>
      </w:r>
    </w:p>
    <w:p>
      <w:pPr>
        <w:widowControl/>
        <w:jc w:val="left"/>
        <w:rPr>
          <w:rFonts w:hint="eastAsia" w:asciiTheme="majorEastAsia" w:hAnsiTheme="majorEastAsia" w:eastAsiaTheme="majorEastAsia" w:cstheme="majorEastAsia"/>
          <w:kern w:val="0"/>
          <w:sz w:val="28"/>
          <w:szCs w:val="28"/>
          <w:highlight w:val="none"/>
        </w:rPr>
      </w:pPr>
      <w:r>
        <w:rPr>
          <w:rFonts w:hint="eastAsia" w:asciiTheme="majorEastAsia" w:hAnsiTheme="majorEastAsia" w:eastAsiaTheme="majorEastAsia" w:cstheme="majorEastAsia"/>
          <w:kern w:val="0"/>
          <w:sz w:val="28"/>
          <w:szCs w:val="28"/>
          <w:highlight w:val="none"/>
        </w:rPr>
        <w:t xml:space="preserve">  此致</w:t>
      </w:r>
    </w:p>
    <w:p>
      <w:pPr>
        <w:widowControl/>
        <w:jc w:val="left"/>
        <w:rPr>
          <w:rFonts w:hint="eastAsia" w:asciiTheme="majorEastAsia" w:hAnsiTheme="majorEastAsia" w:eastAsiaTheme="majorEastAsia" w:cstheme="majorEastAsia"/>
          <w:kern w:val="0"/>
          <w:sz w:val="28"/>
          <w:szCs w:val="28"/>
          <w:highlight w:val="none"/>
        </w:rPr>
      </w:pPr>
      <w:r>
        <w:rPr>
          <w:rFonts w:hint="eastAsia" w:asciiTheme="majorEastAsia" w:hAnsiTheme="majorEastAsia" w:eastAsiaTheme="majorEastAsia" w:cstheme="majorEastAsia"/>
          <w:kern w:val="0"/>
          <w:sz w:val="28"/>
          <w:szCs w:val="28"/>
          <w:highlight w:val="none"/>
          <w:u w:val="single"/>
        </w:rPr>
        <w:t>（采购人）</w:t>
      </w:r>
    </w:p>
    <w:p>
      <w:pPr>
        <w:widowControl/>
        <w:ind w:left="99" w:leftChars="47" w:firstLine="2800" w:firstLineChars="1000"/>
        <w:jc w:val="left"/>
        <w:rPr>
          <w:rFonts w:hint="eastAsia" w:asciiTheme="majorEastAsia" w:hAnsiTheme="majorEastAsia" w:eastAsiaTheme="majorEastAsia" w:cstheme="majorEastAsia"/>
          <w:kern w:val="0"/>
          <w:sz w:val="28"/>
          <w:szCs w:val="28"/>
          <w:highlight w:val="none"/>
        </w:rPr>
      </w:pPr>
    </w:p>
    <w:p>
      <w:pPr>
        <w:widowControl/>
        <w:ind w:left="99" w:leftChars="47" w:firstLine="2800" w:firstLineChars="1000"/>
        <w:jc w:val="left"/>
        <w:rPr>
          <w:rFonts w:hint="eastAsia" w:asciiTheme="majorEastAsia" w:hAnsiTheme="majorEastAsia" w:eastAsiaTheme="majorEastAsia" w:cstheme="majorEastAsia"/>
          <w:kern w:val="0"/>
          <w:sz w:val="28"/>
          <w:szCs w:val="28"/>
          <w:highlight w:val="none"/>
        </w:rPr>
      </w:pPr>
    </w:p>
    <w:p>
      <w:pPr>
        <w:widowControl/>
        <w:ind w:left="99" w:leftChars="47" w:firstLine="2800" w:firstLineChars="1000"/>
        <w:jc w:val="left"/>
        <w:rPr>
          <w:rFonts w:hint="eastAsia" w:asciiTheme="majorEastAsia" w:hAnsiTheme="majorEastAsia" w:eastAsiaTheme="majorEastAsia" w:cstheme="majorEastAsia"/>
          <w:kern w:val="0"/>
          <w:sz w:val="28"/>
          <w:szCs w:val="28"/>
          <w:highlight w:val="none"/>
        </w:rPr>
      </w:pPr>
      <w:r>
        <w:rPr>
          <w:rFonts w:hint="eastAsia" w:asciiTheme="majorEastAsia" w:hAnsiTheme="majorEastAsia" w:eastAsiaTheme="majorEastAsia" w:cstheme="majorEastAsia"/>
          <w:kern w:val="0"/>
          <w:sz w:val="28"/>
          <w:szCs w:val="28"/>
          <w:highlight w:val="none"/>
        </w:rPr>
        <w:t>异议人（公章）：</w:t>
      </w:r>
    </w:p>
    <w:p>
      <w:pPr>
        <w:widowControl/>
        <w:ind w:left="99" w:leftChars="47" w:firstLine="1960" w:firstLineChars="700"/>
        <w:jc w:val="left"/>
        <w:rPr>
          <w:rFonts w:hint="eastAsia" w:asciiTheme="majorEastAsia" w:hAnsiTheme="majorEastAsia" w:eastAsiaTheme="majorEastAsia" w:cstheme="majorEastAsia"/>
          <w:kern w:val="0"/>
          <w:sz w:val="28"/>
          <w:szCs w:val="28"/>
          <w:highlight w:val="none"/>
        </w:rPr>
      </w:pPr>
    </w:p>
    <w:p>
      <w:pPr>
        <w:widowControl/>
        <w:ind w:left="99" w:leftChars="47" w:firstLine="1960" w:firstLineChars="700"/>
        <w:jc w:val="left"/>
        <w:rPr>
          <w:rFonts w:hint="eastAsia" w:asciiTheme="majorEastAsia" w:hAnsiTheme="majorEastAsia" w:eastAsiaTheme="majorEastAsia" w:cstheme="majorEastAsia"/>
          <w:kern w:val="0"/>
          <w:sz w:val="28"/>
          <w:szCs w:val="28"/>
          <w:highlight w:val="none"/>
          <w:u w:val="single"/>
        </w:rPr>
      </w:pPr>
      <w:r>
        <w:rPr>
          <w:rFonts w:hint="eastAsia" w:asciiTheme="majorEastAsia" w:hAnsiTheme="majorEastAsia" w:eastAsiaTheme="majorEastAsia" w:cstheme="majorEastAsia"/>
          <w:kern w:val="0"/>
          <w:sz w:val="28"/>
          <w:szCs w:val="28"/>
          <w:highlight w:val="none"/>
        </w:rPr>
        <w:t>法定代表人或授权代表（签字）</w:t>
      </w:r>
    </w:p>
    <w:p>
      <w:pPr>
        <w:widowControl/>
        <w:ind w:left="99" w:leftChars="47" w:firstLine="1960" w:firstLineChars="700"/>
        <w:jc w:val="left"/>
        <w:rPr>
          <w:rFonts w:hint="eastAsia" w:asciiTheme="majorEastAsia" w:hAnsiTheme="majorEastAsia" w:eastAsiaTheme="majorEastAsia" w:cstheme="majorEastAsia"/>
          <w:kern w:val="0"/>
          <w:sz w:val="28"/>
          <w:szCs w:val="28"/>
          <w:highlight w:val="none"/>
          <w:u w:val="single"/>
        </w:rPr>
      </w:pPr>
    </w:p>
    <w:p>
      <w:pPr>
        <w:widowControl/>
        <w:ind w:firstLine="560" w:firstLineChars="200"/>
        <w:jc w:val="center"/>
        <w:rPr>
          <w:rFonts w:hint="eastAsia" w:asciiTheme="majorEastAsia" w:hAnsiTheme="majorEastAsia" w:eastAsiaTheme="majorEastAsia" w:cstheme="majorEastAsia"/>
          <w:kern w:val="0"/>
          <w:sz w:val="28"/>
          <w:szCs w:val="28"/>
          <w:highlight w:val="none"/>
        </w:rPr>
      </w:pPr>
      <w:r>
        <w:rPr>
          <w:rFonts w:hint="eastAsia" w:asciiTheme="majorEastAsia" w:hAnsiTheme="majorEastAsia" w:eastAsiaTheme="majorEastAsia" w:cstheme="majorEastAsia"/>
          <w:kern w:val="0"/>
          <w:sz w:val="28"/>
          <w:szCs w:val="28"/>
          <w:highlight w:val="none"/>
        </w:rPr>
        <w:t xml:space="preserve">                                     年    月   日</w:t>
      </w:r>
    </w:p>
    <w:p>
      <w:pPr>
        <w:widowControl/>
        <w:jc w:val="left"/>
        <w:rPr>
          <w:rFonts w:hint="eastAsia" w:asciiTheme="majorEastAsia" w:hAnsiTheme="majorEastAsia" w:eastAsiaTheme="majorEastAsia" w:cstheme="majorEastAsia"/>
          <w:bCs/>
          <w:kern w:val="0"/>
          <w:sz w:val="24"/>
          <w:highlight w:val="none"/>
        </w:rPr>
      </w:pPr>
    </w:p>
    <w:p>
      <w:pPr>
        <w:pStyle w:val="6"/>
        <w:rPr>
          <w:rFonts w:hint="eastAsia" w:asciiTheme="majorEastAsia" w:hAnsiTheme="majorEastAsia" w:eastAsiaTheme="majorEastAsia" w:cstheme="majorEastAsia"/>
          <w:highlight w:val="none"/>
        </w:rPr>
      </w:pPr>
    </w:p>
    <w:p>
      <w:pPr>
        <w:pStyle w:val="6"/>
        <w:rPr>
          <w:rFonts w:hint="eastAsia" w:asciiTheme="majorEastAsia" w:hAnsiTheme="majorEastAsia" w:eastAsiaTheme="majorEastAsia" w:cstheme="majorEastAsia"/>
          <w:highlight w:val="none"/>
        </w:rPr>
      </w:pPr>
    </w:p>
    <w:p>
      <w:pPr>
        <w:pStyle w:val="6"/>
        <w:rPr>
          <w:rFonts w:hint="eastAsia" w:asciiTheme="majorEastAsia" w:hAnsiTheme="majorEastAsia" w:eastAsiaTheme="majorEastAsia" w:cstheme="majorEastAsia"/>
          <w:highlight w:val="none"/>
        </w:rPr>
      </w:pPr>
    </w:p>
    <w:p>
      <w:pPr>
        <w:pStyle w:val="6"/>
        <w:rPr>
          <w:rFonts w:hint="eastAsia" w:asciiTheme="majorEastAsia" w:hAnsiTheme="majorEastAsia" w:eastAsiaTheme="majorEastAsia" w:cstheme="majorEastAsia"/>
          <w:highlight w:val="none"/>
        </w:rPr>
      </w:pPr>
    </w:p>
    <w:p>
      <w:pPr>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说明：</w:t>
      </w:r>
    </w:p>
    <w:p>
      <w:pPr>
        <w:rPr>
          <w:rFonts w:hint="eastAsia" w:asciiTheme="majorEastAsia" w:hAnsiTheme="majorEastAsia" w:eastAsiaTheme="majorEastAsia" w:cstheme="majorEastAsia"/>
          <w:sz w:val="24"/>
          <w:highlight w:val="none"/>
        </w:rPr>
      </w:pPr>
    </w:p>
    <w:p>
      <w:pPr>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1.异议提起人是法人的，异议书必须由其法定代表人或者授权代表签字并盖章；其他组织或者自然人提出异议的，异议书必须由其主要负责人或者异议提起人本人签字，并附有效身份证明复印件。</w:t>
      </w:r>
    </w:p>
    <w:p>
      <w:pPr>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2.异议提起人可以自己直接提交异议书，也可以委托代理人办理异议事务。代理人办理异议事务时，应当将授权委托书连同异议书一并提交给招标人。授权委托书应当明确有关委托代理权限和事项。</w:t>
      </w:r>
    </w:p>
    <w:p>
      <w:pPr>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3.为证明与异议项目有利害关系，投标人以外的其他异议提起人应当提供相应证明材料：</w:t>
      </w:r>
    </w:p>
    <w:p>
      <w:pPr>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（1）属潜在投标人的，提交符合法定有关资格要求的证明文件；</w:t>
      </w:r>
    </w:p>
    <w:p>
      <w:pPr>
        <w:rPr>
          <w:rFonts w:hint="eastAsia"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（2）属特定分包人或者供应商的，提交证明其与该项目投标人绑定投标的附条件生效协议以及能证明其能履行该协议项下的合同义务的能力的证明文件。</w:t>
      </w:r>
      <w:r>
        <w:rPr>
          <w:rFonts w:hint="eastAsia" w:asciiTheme="majorEastAsia" w:hAnsiTheme="majorEastAsia" w:eastAsiaTheme="majorEastAsia" w:cstheme="majorEastAsia"/>
          <w:sz w:val="24"/>
          <w:highlight w:val="none"/>
        </w:rPr>
        <w:tab/>
      </w:r>
    </w:p>
    <w:p>
      <w:pPr>
        <w:adjustRightInd w:val="0"/>
        <w:snapToGrid w:val="0"/>
        <w:spacing w:line="600" w:lineRule="exact"/>
        <w:ind w:firstLine="4672" w:firstLineChars="1947"/>
        <w:jc w:val="left"/>
        <w:rPr>
          <w:rFonts w:ascii="仿宋_GB2312" w:eastAsia="仿宋_GB2312" w:hAnsiTheme="majorEastAsia"/>
          <w:sz w:val="28"/>
          <w:szCs w:val="28"/>
        </w:rPr>
      </w:pPr>
      <w:r>
        <w:rPr>
          <w:rFonts w:hint="eastAsia" w:asciiTheme="majorEastAsia" w:hAnsiTheme="majorEastAsia" w:eastAsiaTheme="majorEastAsia" w:cstheme="majorEastAsia"/>
          <w:sz w:val="24"/>
          <w:highlight w:val="none"/>
        </w:rPr>
        <w:t>（3）可证明与异议项目有利害关系的其他证明文件。</w:t>
      </w: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ind w:firstLine="560" w:firstLineChars="200"/>
        <w:jc w:val="left"/>
        <w:rPr>
          <w:rFonts w:ascii="仿宋_GB2312" w:eastAsia="仿宋_GB2312"/>
          <w:sz w:val="28"/>
          <w:szCs w:val="28"/>
        </w:rPr>
      </w:pPr>
    </w:p>
    <w:p>
      <w:pPr>
        <w:pStyle w:val="25"/>
        <w:rPr>
          <w:rFonts w:ascii="仿宋_GB2312" w:eastAsia="仿宋_GB2312"/>
          <w:sz w:val="28"/>
          <w:szCs w:val="28"/>
        </w:rPr>
      </w:pPr>
    </w:p>
    <w:p>
      <w:pPr>
        <w:pStyle w:val="25"/>
        <w:rPr>
          <w:rFonts w:ascii="仿宋_GB2312" w:eastAsia="仿宋_GB2312"/>
          <w:sz w:val="28"/>
          <w:szCs w:val="28"/>
        </w:rPr>
      </w:pPr>
    </w:p>
    <w:p>
      <w:pPr>
        <w:pStyle w:val="25"/>
        <w:rPr>
          <w:rFonts w:ascii="仿宋_GB2312" w:eastAsia="仿宋_GB2312"/>
          <w:sz w:val="28"/>
          <w:szCs w:val="28"/>
        </w:rPr>
      </w:pPr>
    </w:p>
    <w:p>
      <w:pPr>
        <w:pStyle w:val="25"/>
        <w:rPr>
          <w:rFonts w:ascii="仿宋_GB2312" w:eastAsia="仿宋_GB2312"/>
          <w:sz w:val="28"/>
          <w:szCs w:val="28"/>
        </w:rPr>
      </w:pPr>
    </w:p>
    <w:p>
      <w:pPr>
        <w:pStyle w:val="25"/>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pStyle w:val="4"/>
        <w:rPr>
          <w:rFonts w:asciiTheme="minorHAnsi" w:hAnsiTheme="minorHAnsi" w:cstheme="minorBidi"/>
          <w:kern w:val="44"/>
          <w:sz w:val="44"/>
          <w:szCs w:val="44"/>
        </w:rPr>
      </w:pPr>
      <w:bookmarkStart w:id="38" w:name="_Toc2867"/>
      <w:bookmarkStart w:id="39" w:name="_Toc21455"/>
      <w:r>
        <w:rPr>
          <w:rFonts w:asciiTheme="minorHAnsi" w:hAnsiTheme="minorHAnsi" w:cstheme="minorBidi"/>
          <w:kern w:val="44"/>
          <w:sz w:val="44"/>
          <w:szCs w:val="44"/>
        </w:rPr>
        <mc:AlternateContent>
          <mc:Choice Requires="wps">
            <w:drawing>
              <wp:anchor distT="0" distB="0" distL="114300" distR="114300" simplePos="0" relativeHeight="251663360" behindDoc="0" locked="0" layoutInCell="1" allowOverlap="1">
                <wp:simplePos x="0" y="0"/>
                <wp:positionH relativeFrom="column">
                  <wp:posOffset>2160905</wp:posOffset>
                </wp:positionH>
                <wp:positionV relativeFrom="paragraph">
                  <wp:posOffset>697230</wp:posOffset>
                </wp:positionV>
                <wp:extent cx="958850" cy="0"/>
                <wp:effectExtent l="0" t="4445" r="0" b="5080"/>
                <wp:wrapNone/>
                <wp:docPr id="2"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170.15pt;margin-top:54.9pt;height:0pt;width:75.5pt;z-index:251663360;mso-width-relative:page;mso-height-relative:page;" filled="f" stroked="t" coordsize="21600,21600" o:gfxdata="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N+lmdnXAAAACQEAAA8AAAAAAAAAAQAgAAAAIgAAAGRycy9kb3ducmV2LnhtbFBLAQIUABQA&#10;AAAIAIdO4kC0bYq18QEAAOIDAAAOAAAAAAAAAAEAIAAAACYBAABkcnMvZTJvRG9jLnhtbFBLBQYA&#10;AAAABgAGAFkBAACJBQAAAAA=&#10;">
                <v:fill on="f" focussize="0,0"/>
                <v:stroke color="#000000" joinstyle="round"/>
                <v:imagedata o:title=""/>
                <o:lock v:ext="edit" aspectratio="f"/>
              </v:shape>
            </w:pict>
          </mc:Fallback>
        </mc:AlternateContent>
      </w:r>
      <w:r>
        <w:rPr>
          <w:rFonts w:asciiTheme="minorHAnsi" w:hAnsiTheme="minorHAnsi" w:cstheme="minorBidi"/>
          <w:kern w:val="44"/>
          <w:sz w:val="44"/>
          <w:szCs w:val="44"/>
        </w:rPr>
        <mc:AlternateContent>
          <mc:Choice Requires="wps">
            <w:drawing>
              <wp:anchor distT="0" distB="0" distL="114300" distR="114300" simplePos="0" relativeHeight="251662336" behindDoc="0" locked="0" layoutInCell="1" allowOverlap="1">
                <wp:simplePos x="0" y="0"/>
                <wp:positionH relativeFrom="column">
                  <wp:posOffset>2204720</wp:posOffset>
                </wp:positionH>
                <wp:positionV relativeFrom="paragraph">
                  <wp:posOffset>137795</wp:posOffset>
                </wp:positionV>
                <wp:extent cx="958850" cy="0"/>
                <wp:effectExtent l="0" t="4445" r="0" b="5080"/>
                <wp:wrapNone/>
                <wp:docPr id="1"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73.6pt;margin-top:10.85pt;height:0pt;width:75.5pt;z-index:251662336;mso-width-relative:page;mso-height-relative:page;" filled="f" stroked="t" coordsize="21600,21600" o:gfxdata="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IsPEA3XAAAACQEAAA8AAAAAAAAAAQAgAAAAIgAAAGRycy9kb3ducmV2LnhtbFBLAQIUABQA&#10;AAAIAIdO4kAXIMW58QEAAOIDAAAOAAAAAAAAAAEAIAAAACYBAABkcnMvZTJvRG9jLnhtbFBLBQYA&#10;AAAABgAGAFkBAACJBQAAAAA=&#10;">
                <v:fill on="f" focussize="0,0"/>
                <v:stroke color="#000000" joinstyle="round"/>
                <v:imagedata o:title=""/>
                <o:lock v:ext="edit" aspectratio="f"/>
              </v:shape>
            </w:pict>
          </mc:Fallback>
        </mc:AlternateContent>
      </w:r>
      <w:r>
        <w:rPr>
          <w:rFonts w:hint="eastAsia" w:asciiTheme="minorHAnsi" w:hAnsiTheme="minorHAnsi" w:cstheme="minorBidi"/>
          <w:kern w:val="44"/>
          <w:sz w:val="44"/>
          <w:szCs w:val="44"/>
        </w:rPr>
        <w:t>第三章</w:t>
      </w:r>
      <w:bookmarkEnd w:id="38"/>
      <w:bookmarkEnd w:id="39"/>
    </w:p>
    <w:p>
      <w:pPr>
        <w:pStyle w:val="40"/>
      </w:pPr>
    </w:p>
    <w:p>
      <w:pPr>
        <w:pStyle w:val="4"/>
      </w:pPr>
      <w:bookmarkStart w:id="40" w:name="_Toc88209934"/>
      <w:bookmarkStart w:id="41" w:name="_Toc7303"/>
      <w:bookmarkStart w:id="42" w:name="_Toc87616371"/>
      <w:bookmarkStart w:id="43" w:name="_Toc7040"/>
      <w:r>
        <w:rPr>
          <w:rFonts w:hint="eastAsia"/>
        </w:rPr>
        <w:t>采购方法</w:t>
      </w:r>
      <w:bookmarkEnd w:id="40"/>
      <w:bookmarkEnd w:id="41"/>
      <w:bookmarkEnd w:id="42"/>
      <w:bookmarkEnd w:id="43"/>
    </w:p>
    <w:p>
      <w:pPr>
        <w:adjustRightInd w:val="0"/>
        <w:snapToGrid w:val="0"/>
        <w:spacing w:before="190" w:beforeLines="50" w:after="190" w:afterLines="50" w:line="600" w:lineRule="exact"/>
        <w:jc w:val="center"/>
        <w:rPr>
          <w:rFonts w:ascii="方正小标宋简体" w:eastAsia="方正小标宋简体"/>
          <w:sz w:val="44"/>
          <w:szCs w:val="44"/>
        </w:rPr>
      </w:pPr>
    </w:p>
    <w:p>
      <w:pPr>
        <w:adjustRightInd w:val="0"/>
        <w:snapToGrid w:val="0"/>
        <w:spacing w:before="190" w:beforeLines="50" w:after="190" w:afterLines="50" w:line="600" w:lineRule="exact"/>
        <w:jc w:val="center"/>
        <w:rPr>
          <w:rFonts w:ascii="方正小标宋简体" w:eastAsia="方正小标宋简体"/>
          <w:sz w:val="44"/>
          <w:szCs w:val="44"/>
        </w:rPr>
      </w:pPr>
    </w:p>
    <w:p>
      <w:pPr>
        <w:adjustRightInd w:val="0"/>
        <w:snapToGrid w:val="0"/>
        <w:spacing w:before="190" w:beforeLines="50" w:after="190" w:afterLines="50" w:line="600" w:lineRule="exact"/>
        <w:jc w:val="center"/>
        <w:rPr>
          <w:rFonts w:ascii="方正小标宋简体" w:eastAsia="方正小标宋简体"/>
          <w:sz w:val="44"/>
          <w:szCs w:val="44"/>
        </w:rPr>
      </w:pPr>
    </w:p>
    <w:p>
      <w:pPr>
        <w:adjustRightInd w:val="0"/>
        <w:snapToGrid w:val="0"/>
        <w:spacing w:before="190" w:beforeLines="50" w:after="190" w:afterLines="50" w:line="600" w:lineRule="exact"/>
        <w:jc w:val="center"/>
        <w:rPr>
          <w:rFonts w:ascii="方正小标宋简体" w:eastAsia="方正小标宋简体"/>
          <w:sz w:val="44"/>
          <w:szCs w:val="44"/>
        </w:rPr>
      </w:pPr>
    </w:p>
    <w:p>
      <w:pPr>
        <w:adjustRightInd w:val="0"/>
        <w:snapToGrid w:val="0"/>
        <w:spacing w:before="190" w:beforeLines="50" w:after="190" w:afterLines="50" w:line="600" w:lineRule="exact"/>
        <w:jc w:val="center"/>
        <w:rPr>
          <w:rFonts w:ascii="方正小标宋简体" w:eastAsia="方正小标宋简体"/>
          <w:sz w:val="44"/>
          <w:szCs w:val="44"/>
        </w:rPr>
      </w:pPr>
    </w:p>
    <w:p>
      <w:pPr>
        <w:pStyle w:val="25"/>
        <w:rPr>
          <w:rFonts w:ascii="方正小标宋简体" w:eastAsia="方正小标宋简体"/>
          <w:sz w:val="44"/>
          <w:szCs w:val="44"/>
        </w:rPr>
      </w:pPr>
    </w:p>
    <w:p>
      <w:pPr>
        <w:pStyle w:val="25"/>
        <w:rPr>
          <w:rFonts w:ascii="方正小标宋简体" w:eastAsia="方正小标宋简体"/>
          <w:sz w:val="44"/>
          <w:szCs w:val="44"/>
        </w:rPr>
      </w:pPr>
    </w:p>
    <w:p>
      <w:pPr>
        <w:pStyle w:val="25"/>
        <w:rPr>
          <w:rFonts w:ascii="方正小标宋简体" w:eastAsia="方正小标宋简体"/>
          <w:sz w:val="44"/>
          <w:szCs w:val="44"/>
        </w:rPr>
      </w:pPr>
    </w:p>
    <w:p>
      <w:pPr>
        <w:pStyle w:val="25"/>
        <w:rPr>
          <w:rFonts w:ascii="方正小标宋简体" w:eastAsia="方正小标宋简体"/>
          <w:sz w:val="44"/>
          <w:szCs w:val="44"/>
        </w:rPr>
      </w:pPr>
    </w:p>
    <w:p>
      <w:pPr>
        <w:pStyle w:val="25"/>
        <w:ind w:firstLine="0"/>
        <w:rPr>
          <w:rFonts w:ascii="方正小标宋简体" w:eastAsia="方正小标宋简体"/>
          <w:sz w:val="44"/>
          <w:szCs w:val="44"/>
        </w:rPr>
      </w:pPr>
    </w:p>
    <w:p>
      <w:pPr>
        <w:pStyle w:val="4"/>
      </w:pPr>
      <w:bookmarkStart w:id="44" w:name="_Toc24895"/>
      <w:bookmarkStart w:id="45" w:name="_Toc3789"/>
      <w:r>
        <w:rPr>
          <w:rFonts w:hint="eastAsia"/>
        </w:rPr>
        <w:t>询比采购</w:t>
      </w:r>
      <w:bookmarkEnd w:id="44"/>
      <w:bookmarkEnd w:id="45"/>
    </w:p>
    <w:p>
      <w:pPr>
        <w:adjustRightInd w:val="0"/>
        <w:snapToGrid w:val="0"/>
        <w:spacing w:line="600" w:lineRule="exact"/>
        <w:jc w:val="left"/>
        <w:rPr>
          <w:rFonts w:asciiTheme="minorEastAsia" w:hAnsiTheme="minorEastAsia"/>
          <w:b/>
          <w:sz w:val="28"/>
          <w:szCs w:val="28"/>
        </w:rPr>
      </w:pPr>
      <w:r>
        <w:rPr>
          <w:rFonts w:hint="eastAsia" w:asciiTheme="minorEastAsia" w:hAnsiTheme="minorEastAsia"/>
          <w:b/>
          <w:sz w:val="28"/>
          <w:szCs w:val="28"/>
        </w:rPr>
        <w:t>询比</w:t>
      </w:r>
    </w:p>
    <w:tbl>
      <w:tblPr>
        <w:tblStyle w:val="27"/>
        <w:tblpPr w:leftFromText="180" w:rightFromText="180" w:vertAnchor="text" w:horzAnchor="page" w:tblpX="1292" w:tblpY="626"/>
        <w:tblOverlap w:val="never"/>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vAlign w:val="center"/>
          </w:tcPr>
          <w:p>
            <w:pPr>
              <w:adjustRightInd w:val="0"/>
              <w:snapToGrid w:val="0"/>
              <w:jc w:val="left"/>
              <w:rPr>
                <w:rFonts w:ascii="仿宋_GB2312" w:eastAsia="仿宋_GB2312"/>
                <w:sz w:val="24"/>
                <w:szCs w:val="24"/>
              </w:rPr>
            </w:pPr>
            <w:r>
              <w:rPr>
                <w:rFonts w:hint="eastAsia" w:ascii="仿宋_GB2312" w:eastAsia="仿宋_GB2312"/>
                <w:sz w:val="24"/>
                <w:szCs w:val="24"/>
              </w:rPr>
              <w:t>1.采购准备</w:t>
            </w:r>
          </w:p>
        </w:tc>
        <w:tc>
          <w:tcPr>
            <w:tcW w:w="7938" w:type="dxa"/>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 xml:space="preserve"> </w:t>
            </w:r>
            <w:r>
              <w:rPr>
                <w:rFonts w:hint="eastAsia" w:ascii="仿宋_GB2312" w:eastAsia="仿宋_GB2312" w:hAnsiTheme="minorEastAsia"/>
                <w:sz w:val="24"/>
                <w:szCs w:val="24"/>
                <w:u w:val="single"/>
              </w:rPr>
              <w:t xml:space="preserve"> </w:t>
            </w:r>
            <w:r>
              <w:rPr>
                <w:rFonts w:hint="eastAsia" w:ascii="仿宋_GB2312" w:eastAsia="仿宋_GB2312" w:hAnsiTheme="minorEastAsia"/>
                <w:sz w:val="24"/>
                <w:szCs w:val="24"/>
              </w:rPr>
              <w:t>1.1 在采购文件约定的时间、地点，供应商应向采购人提交响应文件；响应文件按照采购文件第二章供应商须知2.9的要求密封，按照2.10的规定提交</w:t>
            </w:r>
          </w:p>
          <w:p>
            <w:pPr>
              <w:adjustRightInd w:val="0"/>
              <w:snapToGrid w:val="0"/>
              <w:ind w:left="480" w:hanging="480" w:hangingChars="200"/>
              <w:rPr>
                <w:rFonts w:ascii="仿宋_GB2312" w:eastAsia="仿宋_GB2312" w:hAnsiTheme="minorEastAsia"/>
                <w:sz w:val="24"/>
                <w:szCs w:val="24"/>
              </w:rPr>
            </w:pPr>
            <w:r>
              <w:rPr>
                <w:rFonts w:hint="eastAsia" w:ascii="仿宋_GB2312" w:eastAsia="仿宋_GB2312" w:hAnsiTheme="minorEastAsia"/>
                <w:sz w:val="24"/>
                <w:szCs w:val="24"/>
              </w:rPr>
              <w:t>1.2 资格审查执行第二章供应商须知1.对供应商的资格要求</w:t>
            </w:r>
          </w:p>
          <w:p>
            <w:pPr>
              <w:adjustRightInd w:val="0"/>
              <w:snapToGrid w:val="0"/>
              <w:ind w:left="480" w:hanging="480" w:hangingChars="200"/>
              <w:rPr>
                <w:rFonts w:ascii="仿宋_GB2312" w:eastAsia="仿宋_GB2312"/>
                <w:sz w:val="24"/>
                <w:szCs w:val="24"/>
              </w:rPr>
            </w:pPr>
            <w:r>
              <w:rPr>
                <w:rFonts w:hint="eastAsia" w:ascii="仿宋_GB2312" w:eastAsia="仿宋_GB2312" w:hAnsiTheme="minorEastAsia"/>
                <w:sz w:val="24"/>
                <w:szCs w:val="24"/>
              </w:rPr>
              <w:t>1.3 响应文件提交截止后，递交响应文件供应商不足3家的或有效响应文件供应商不足两家，应分析原因并重新发出采购公告（邀请书）或采取其他采购方式。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vAlign w:val="center"/>
          </w:tcPr>
          <w:p>
            <w:pPr>
              <w:adjustRightInd w:val="0"/>
              <w:snapToGrid w:val="0"/>
              <w:jc w:val="left"/>
              <w:rPr>
                <w:rFonts w:ascii="仿宋_GB2312" w:eastAsia="仿宋_GB2312"/>
                <w:sz w:val="24"/>
                <w:szCs w:val="24"/>
              </w:rPr>
            </w:pPr>
            <w:r>
              <w:rPr>
                <w:rFonts w:hint="eastAsia" w:ascii="仿宋_GB2312" w:eastAsia="仿宋_GB2312"/>
                <w:sz w:val="24"/>
                <w:szCs w:val="24"/>
              </w:rPr>
              <w:t>2.询比规则</w:t>
            </w:r>
          </w:p>
        </w:tc>
        <w:tc>
          <w:tcPr>
            <w:tcW w:w="7938" w:type="dxa"/>
            <w:vAlign w:val="center"/>
          </w:tcPr>
          <w:p>
            <w:pPr>
              <w:adjustRightInd w:val="0"/>
              <w:snapToGrid w:val="0"/>
              <w:ind w:left="458" w:hanging="458" w:hangingChars="191"/>
              <w:rPr>
                <w:rFonts w:ascii="仿宋_GB2312" w:eastAsia="仿宋_GB2312"/>
                <w:sz w:val="24"/>
                <w:szCs w:val="24"/>
              </w:rPr>
            </w:pPr>
            <w:r>
              <w:rPr>
                <w:rFonts w:hint="eastAsia" w:ascii="仿宋_GB2312" w:eastAsia="仿宋_GB2312" w:hAnsiTheme="minorEastAsia"/>
                <w:sz w:val="24"/>
                <w:szCs w:val="24"/>
              </w:rPr>
              <w:t>2.1 报价应包括国家规定的增值税税金，增值税税金按一般计税方法计算。报价范围包括</w:t>
            </w:r>
            <w:r>
              <w:rPr>
                <w:rFonts w:hint="eastAsia" w:ascii="仿宋_GB2312" w:eastAsia="仿宋_GB2312" w:hAnsiTheme="minorEastAsia"/>
                <w:sz w:val="24"/>
                <w:szCs w:val="24"/>
                <w:u w:val="single"/>
              </w:rPr>
              <w:t>本项目所有采购内容和范围。</w:t>
            </w:r>
            <w:r>
              <w:rPr>
                <w:rFonts w:hint="eastAsia" w:ascii="仿宋_GB2312" w:eastAsia="仿宋_GB2312"/>
                <w:sz w:val="24"/>
                <w:szCs w:val="24"/>
              </w:rPr>
              <w:t xml:space="preserve"> </w:t>
            </w:r>
          </w:p>
          <w:p>
            <w:pPr>
              <w:adjustRightInd w:val="0"/>
              <w:snapToGrid w:val="0"/>
              <w:ind w:left="458" w:hanging="458" w:hangingChars="191"/>
              <w:rPr>
                <w:rFonts w:ascii="仿宋_GB2312" w:eastAsia="仿宋_GB2312"/>
                <w:sz w:val="24"/>
                <w:szCs w:val="24"/>
              </w:rPr>
            </w:pPr>
            <w:r>
              <w:rPr>
                <w:rFonts w:hint="eastAsia" w:ascii="仿宋_GB2312" w:eastAsia="仿宋_GB2312"/>
                <w:sz w:val="24"/>
                <w:szCs w:val="24"/>
              </w:rPr>
              <w:t xml:space="preserve">2.2 询比地址 </w:t>
            </w:r>
          </w:p>
          <w:p>
            <w:pPr>
              <w:adjustRightInd w:val="0"/>
              <w:snapToGrid w:val="0"/>
              <w:ind w:left="456" w:leftChars="217"/>
              <w:rPr>
                <w:rFonts w:ascii="仿宋_GB2312" w:eastAsia="仿宋_GB2312"/>
                <w:sz w:val="24"/>
                <w:szCs w:val="24"/>
                <w:u w:val="single"/>
              </w:rPr>
            </w:pPr>
            <w:r>
              <w:rPr>
                <w:rFonts w:hint="eastAsia" w:ascii="仿宋_GB2312" w:eastAsia="仿宋_GB2312" w:hAnsiTheme="minorEastAsia"/>
                <w:sz w:val="24"/>
                <w:szCs w:val="24"/>
                <w:u w:val="single"/>
              </w:rPr>
              <w:t>广州市天河区临江大道501号广州市净水有限公司</w:t>
            </w:r>
          </w:p>
          <w:p>
            <w:pPr>
              <w:adjustRightInd w:val="0"/>
              <w:snapToGrid w:val="0"/>
              <w:rPr>
                <w:rFonts w:ascii="仿宋_GB2312" w:eastAsia="仿宋_GB2312" w:hAnsiTheme="minorEastAsia"/>
                <w:sz w:val="24"/>
                <w:szCs w:val="24"/>
                <w:u w:val="single"/>
              </w:rPr>
            </w:pPr>
            <w:r>
              <w:rPr>
                <w:rFonts w:hint="eastAsia" w:ascii="仿宋_GB2312" w:eastAsia="仿宋_GB2312" w:hAnsiTheme="minorEastAsia"/>
                <w:sz w:val="24"/>
                <w:szCs w:val="24"/>
              </w:rPr>
              <w:t>2.3 询比开始时间（同响应文件截止时间）</w:t>
            </w:r>
          </w:p>
          <w:p>
            <w:pPr>
              <w:adjustRightInd w:val="0"/>
              <w:snapToGrid w:val="0"/>
              <w:ind w:left="480" w:hanging="480" w:hangingChars="200"/>
              <w:rPr>
                <w:rFonts w:ascii="仿宋_GB2312" w:eastAsia="仿宋_GB2312"/>
                <w:sz w:val="24"/>
                <w:szCs w:val="24"/>
              </w:rPr>
            </w:pPr>
            <w:r>
              <w:rPr>
                <w:rFonts w:hint="eastAsia" w:ascii="仿宋_GB2312" w:eastAsia="仿宋_GB2312"/>
                <w:sz w:val="24"/>
                <w:szCs w:val="24"/>
              </w:rPr>
              <w:t>2.4 供应商依据采购文件规定的时间和地点递交响应文件，供应商应一次报出不可更改的价格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vAlign w:val="center"/>
          </w:tcPr>
          <w:p>
            <w:pPr>
              <w:adjustRightInd w:val="0"/>
              <w:snapToGrid w:val="0"/>
              <w:jc w:val="left"/>
              <w:rPr>
                <w:rFonts w:ascii="仿宋_GB2312" w:eastAsia="仿宋_GB2312"/>
                <w:sz w:val="24"/>
                <w:szCs w:val="24"/>
              </w:rPr>
            </w:pPr>
            <w:r>
              <w:rPr>
                <w:rFonts w:hint="eastAsia" w:ascii="仿宋_GB2312" w:eastAsia="仿宋_GB2312"/>
                <w:sz w:val="24"/>
                <w:szCs w:val="24"/>
              </w:rPr>
              <w:t>3.成交规则</w:t>
            </w:r>
          </w:p>
        </w:tc>
        <w:tc>
          <w:tcPr>
            <w:tcW w:w="7938" w:type="dxa"/>
            <w:vAlign w:val="center"/>
          </w:tcPr>
          <w:p>
            <w:pPr>
              <w:adjustRightInd w:val="0"/>
              <w:snapToGrid w:val="0"/>
              <w:ind w:left="360" w:hanging="360" w:hangingChars="150"/>
              <w:rPr>
                <w:rFonts w:ascii="仿宋_GB2312" w:eastAsia="仿宋_GB2312" w:hAnsiTheme="minorEastAsia"/>
                <w:sz w:val="24"/>
                <w:szCs w:val="24"/>
              </w:rPr>
            </w:pPr>
            <w:r>
              <w:rPr>
                <w:rFonts w:hint="eastAsia" w:ascii="仿宋_GB2312" w:eastAsia="仿宋_GB2312" w:hAnsiTheme="minorEastAsia"/>
                <w:sz w:val="24"/>
                <w:szCs w:val="24"/>
              </w:rPr>
              <w:sym w:font="Wingdings 2" w:char="0052"/>
            </w:r>
            <w:r>
              <w:rPr>
                <w:rFonts w:hint="eastAsia" w:ascii="仿宋_GB2312" w:eastAsia="仿宋_GB2312" w:hAnsiTheme="minorEastAsia"/>
                <w:sz w:val="24"/>
                <w:szCs w:val="24"/>
              </w:rPr>
              <w:t>采购人确定满足采购文件资格性、响应性要求，并且经评审的报价最低的为成交供应商</w:t>
            </w:r>
          </w:p>
          <w:p>
            <w:pPr>
              <w:adjustRightInd w:val="0"/>
              <w:snapToGrid w:val="0"/>
              <w:ind w:left="0" w:firstLine="0" w:firstLineChars="0"/>
              <w:rPr>
                <w:rFonts w:ascii="仿宋_GB2312" w:eastAsia="仿宋_GB2312" w:hAnsiTheme="minorEastAsia"/>
                <w:sz w:val="24"/>
                <w:szCs w:val="24"/>
              </w:rPr>
            </w:pPr>
            <w:r>
              <w:rPr>
                <w:rFonts w:hint="eastAsia" w:ascii="仿宋_GB2312" w:eastAsia="仿宋_GB2312" w:hAnsiTheme="minorEastAsia"/>
                <w:sz w:val="24"/>
                <w:szCs w:val="24"/>
              </w:rPr>
              <w:sym w:font="Wingdings 2" w:char="00A3"/>
            </w:r>
            <w:r>
              <w:rPr>
                <w:rFonts w:hint="eastAsia" w:ascii="仿宋_GB2312" w:eastAsia="仿宋_GB2312" w:hAnsiTheme="minorEastAsia"/>
                <w:sz w:val="24"/>
                <w:szCs w:val="24"/>
              </w:rPr>
              <w:t>评审小组按照采购文件确定的标准排序，采购人确定排名第一的供应商为成交供应商。</w:t>
            </w:r>
            <w:r>
              <w:rPr>
                <w:rFonts w:hint="eastAsia" w:ascii="仿宋_GB2312" w:eastAsia="仿宋_GB2312" w:hAnsiTheme="minorEastAsia"/>
                <w:sz w:val="24"/>
                <w:szCs w:val="24"/>
              </w:rPr>
              <w:br w:type="textWrapping"/>
            </w:r>
            <w:r>
              <w:rPr>
                <w:rFonts w:hint="eastAsia" w:ascii="仿宋_GB2312" w:eastAsia="仿宋_GB2312" w:hAnsiTheme="minorEastAsia"/>
                <w:color w:val="auto"/>
                <w:sz w:val="24"/>
                <w:szCs w:val="24"/>
                <w:highlight w:val="none"/>
              </w:rPr>
              <w:t>如第一中</w:t>
            </w:r>
            <w:r>
              <w:rPr>
                <w:rFonts w:hint="eastAsia" w:ascii="仿宋_GB2312" w:eastAsia="仿宋_GB2312" w:hAnsiTheme="minorEastAsia"/>
                <w:color w:val="auto"/>
                <w:sz w:val="24"/>
                <w:szCs w:val="24"/>
                <w:highlight w:val="none"/>
                <w:lang w:val="en-US" w:eastAsia="zh-CN"/>
              </w:rPr>
              <w:t>选</w:t>
            </w:r>
            <w:r>
              <w:rPr>
                <w:rFonts w:hint="eastAsia" w:ascii="仿宋_GB2312" w:eastAsia="仿宋_GB2312" w:hAnsiTheme="minorEastAsia"/>
                <w:color w:val="auto"/>
                <w:sz w:val="24"/>
                <w:szCs w:val="24"/>
                <w:highlight w:val="none"/>
              </w:rPr>
              <w:t>候选人被取消</w:t>
            </w:r>
            <w:r>
              <w:rPr>
                <w:rFonts w:hint="eastAsia" w:ascii="仿宋_GB2312" w:eastAsia="仿宋_GB2312" w:hAnsiTheme="minorEastAsia"/>
                <w:color w:val="auto"/>
                <w:sz w:val="24"/>
                <w:szCs w:val="24"/>
                <w:highlight w:val="none"/>
                <w:lang w:val="en-US" w:eastAsia="zh-CN"/>
              </w:rPr>
              <w:t>或放弃</w:t>
            </w:r>
            <w:r>
              <w:rPr>
                <w:rFonts w:hint="eastAsia" w:ascii="仿宋_GB2312" w:eastAsia="仿宋_GB2312" w:hAnsiTheme="minorEastAsia"/>
                <w:color w:val="auto"/>
                <w:sz w:val="24"/>
                <w:szCs w:val="24"/>
                <w:highlight w:val="none"/>
              </w:rPr>
              <w:t>中</w:t>
            </w:r>
            <w:r>
              <w:rPr>
                <w:rFonts w:hint="eastAsia" w:ascii="仿宋_GB2312" w:eastAsia="仿宋_GB2312" w:hAnsiTheme="minorEastAsia"/>
                <w:color w:val="auto"/>
                <w:sz w:val="24"/>
                <w:szCs w:val="24"/>
                <w:highlight w:val="none"/>
                <w:lang w:val="en-US" w:eastAsia="zh-CN"/>
              </w:rPr>
              <w:t>选</w:t>
            </w:r>
            <w:r>
              <w:rPr>
                <w:rFonts w:hint="eastAsia" w:ascii="仿宋_GB2312" w:eastAsia="仿宋_GB2312" w:hAnsiTheme="minorEastAsia"/>
                <w:color w:val="auto"/>
                <w:sz w:val="24"/>
                <w:szCs w:val="24"/>
                <w:highlight w:val="none"/>
              </w:rPr>
              <w:t>候选人资格，</w:t>
            </w:r>
            <w:r>
              <w:rPr>
                <w:rFonts w:hint="eastAsia" w:ascii="仿宋_GB2312" w:eastAsia="仿宋_GB2312" w:hAnsiTheme="minorEastAsia"/>
                <w:color w:val="auto"/>
                <w:sz w:val="24"/>
                <w:szCs w:val="24"/>
                <w:highlight w:val="none"/>
                <w:lang w:val="en-US" w:eastAsia="zh-CN"/>
              </w:rPr>
              <w:t>采购</w:t>
            </w:r>
            <w:r>
              <w:rPr>
                <w:rFonts w:hint="eastAsia" w:ascii="仿宋_GB2312" w:eastAsia="仿宋_GB2312" w:hAnsiTheme="minorEastAsia"/>
                <w:color w:val="auto"/>
                <w:sz w:val="24"/>
                <w:szCs w:val="24"/>
                <w:highlight w:val="none"/>
              </w:rPr>
              <w:t>人有权按</w:t>
            </w:r>
            <w:r>
              <w:rPr>
                <w:rFonts w:hint="eastAsia" w:ascii="仿宋_GB2312" w:eastAsia="仿宋_GB2312" w:hAnsiTheme="minorEastAsia"/>
                <w:color w:val="auto"/>
                <w:sz w:val="24"/>
                <w:szCs w:val="24"/>
                <w:highlight w:val="none"/>
                <w:lang w:val="en-US" w:eastAsia="zh-CN"/>
              </w:rPr>
              <w:t>中选</w:t>
            </w:r>
            <w:r>
              <w:rPr>
                <w:rFonts w:hint="eastAsia" w:ascii="仿宋_GB2312" w:eastAsia="仿宋_GB2312" w:hAnsiTheme="minorEastAsia"/>
                <w:color w:val="auto"/>
                <w:sz w:val="24"/>
                <w:szCs w:val="24"/>
                <w:highlight w:val="none"/>
              </w:rPr>
              <w:t>候选人</w:t>
            </w:r>
            <w:r>
              <w:rPr>
                <w:rFonts w:hint="eastAsia" w:ascii="仿宋_GB2312" w:eastAsia="仿宋_GB2312" w:hAnsiTheme="minorEastAsia"/>
                <w:color w:val="auto"/>
                <w:sz w:val="24"/>
                <w:szCs w:val="24"/>
                <w:highlight w:val="none"/>
                <w:lang w:val="en-US" w:eastAsia="zh-CN"/>
              </w:rPr>
              <w:t>的</w:t>
            </w:r>
            <w:r>
              <w:rPr>
                <w:rFonts w:hint="eastAsia" w:ascii="仿宋_GB2312" w:eastAsia="仿宋_GB2312" w:hAnsiTheme="minorEastAsia"/>
                <w:color w:val="auto"/>
                <w:sz w:val="24"/>
                <w:szCs w:val="24"/>
                <w:highlight w:val="none"/>
              </w:rPr>
              <w:t>顺序依次确定其他中</w:t>
            </w:r>
            <w:r>
              <w:rPr>
                <w:rFonts w:hint="eastAsia" w:ascii="仿宋_GB2312" w:eastAsia="仿宋_GB2312" w:hAnsiTheme="minorEastAsia"/>
                <w:color w:val="auto"/>
                <w:sz w:val="24"/>
                <w:szCs w:val="24"/>
                <w:highlight w:val="none"/>
                <w:lang w:val="en-US" w:eastAsia="zh-CN"/>
              </w:rPr>
              <w:t>选</w:t>
            </w:r>
            <w:r>
              <w:rPr>
                <w:rFonts w:hint="eastAsia" w:ascii="仿宋_GB2312" w:eastAsia="仿宋_GB2312" w:hAnsiTheme="minorEastAsia"/>
                <w:color w:val="auto"/>
                <w:sz w:val="24"/>
                <w:szCs w:val="24"/>
                <w:highlight w:val="none"/>
              </w:rPr>
              <w:t>候选人为中</w:t>
            </w:r>
            <w:r>
              <w:rPr>
                <w:rFonts w:hint="eastAsia" w:ascii="仿宋_GB2312" w:eastAsia="仿宋_GB2312" w:hAnsiTheme="minorEastAsia"/>
                <w:color w:val="auto"/>
                <w:sz w:val="24"/>
                <w:szCs w:val="24"/>
                <w:highlight w:val="none"/>
                <w:lang w:val="en-US" w:eastAsia="zh-CN"/>
              </w:rPr>
              <w:t>选</w:t>
            </w:r>
            <w:r>
              <w:rPr>
                <w:rFonts w:hint="eastAsia" w:ascii="仿宋_GB2312" w:eastAsia="仿宋_GB2312" w:hAnsiTheme="minorEastAsia"/>
                <w:color w:val="auto"/>
                <w:sz w:val="24"/>
                <w:szCs w:val="24"/>
                <w:highlight w:val="none"/>
              </w:rPr>
              <w:t>人，或重新</w:t>
            </w:r>
            <w:r>
              <w:rPr>
                <w:rFonts w:hint="eastAsia" w:ascii="仿宋_GB2312" w:eastAsia="仿宋_GB2312" w:hAnsiTheme="minorEastAsia"/>
                <w:color w:val="auto"/>
                <w:sz w:val="24"/>
                <w:szCs w:val="24"/>
                <w:highlight w:val="none"/>
                <w:lang w:val="en-US" w:eastAsia="zh-CN"/>
              </w:rPr>
              <w:t>采购</w:t>
            </w:r>
            <w:r>
              <w:rPr>
                <w:rFonts w:hint="eastAsia" w:ascii="仿宋_GB2312" w:eastAsia="仿宋_GB2312" w:hAnsiTheme="minorEastAsia"/>
                <w:color w:val="auto"/>
                <w:sz w:val="24"/>
                <w:szCs w:val="24"/>
                <w:highlight w:val="none"/>
              </w:rPr>
              <w:t>。</w:t>
            </w:r>
            <w:r>
              <w:rPr>
                <w:rFonts w:hint="eastAsia" w:ascii="仿宋_GB2312" w:eastAsia="仿宋_GB2312" w:hAnsiTheme="minorEastAsia"/>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vAlign w:val="center"/>
          </w:tcPr>
          <w:p>
            <w:pPr>
              <w:adjustRightInd w:val="0"/>
              <w:snapToGrid w:val="0"/>
              <w:jc w:val="left"/>
              <w:rPr>
                <w:rFonts w:ascii="仿宋_GB2312" w:eastAsia="仿宋_GB2312"/>
                <w:sz w:val="24"/>
                <w:szCs w:val="24"/>
              </w:rPr>
            </w:pPr>
            <w:r>
              <w:rPr>
                <w:rFonts w:hint="eastAsia" w:ascii="仿宋_GB2312" w:eastAsia="仿宋_GB2312"/>
                <w:sz w:val="24"/>
                <w:szCs w:val="24"/>
              </w:rPr>
              <w:t>4.成交候选人公示</w:t>
            </w:r>
          </w:p>
        </w:tc>
        <w:tc>
          <w:tcPr>
            <w:tcW w:w="7938" w:type="dxa"/>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在评审小组提交评审报告3日内，在</w:t>
            </w:r>
            <w:r>
              <w:rPr>
                <w:rFonts w:hint="eastAsia" w:ascii="仿宋_GB2312" w:eastAsia="仿宋_GB2312" w:hAnsiTheme="minorEastAsia"/>
                <w:sz w:val="24"/>
                <w:szCs w:val="24"/>
                <w:u w:val="single"/>
              </w:rPr>
              <w:t>广州市净水有限公司门户网站</w:t>
            </w:r>
            <w:r>
              <w:rPr>
                <w:rFonts w:hint="eastAsia" w:ascii="仿宋_GB2312" w:eastAsia="仿宋_GB2312" w:hAnsiTheme="minorEastAsia"/>
                <w:sz w:val="24"/>
                <w:szCs w:val="24"/>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vAlign w:val="center"/>
          </w:tcPr>
          <w:p>
            <w:pPr>
              <w:adjustRightInd w:val="0"/>
              <w:snapToGrid w:val="0"/>
              <w:jc w:val="left"/>
              <w:rPr>
                <w:rFonts w:ascii="仿宋_GB2312" w:eastAsia="仿宋_GB2312"/>
                <w:sz w:val="24"/>
                <w:szCs w:val="24"/>
              </w:rPr>
            </w:pPr>
            <w:r>
              <w:rPr>
                <w:rFonts w:hint="eastAsia" w:ascii="仿宋_GB2312" w:eastAsia="仿宋_GB2312"/>
                <w:sz w:val="24"/>
                <w:szCs w:val="24"/>
              </w:rPr>
              <w:t>5.成交结果公告</w:t>
            </w:r>
          </w:p>
        </w:tc>
        <w:tc>
          <w:tcPr>
            <w:tcW w:w="7938" w:type="dxa"/>
            <w:vAlign w:val="center"/>
          </w:tcPr>
          <w:p>
            <w:pPr>
              <w:adjustRightInd w:val="0"/>
              <w:snapToGrid w:val="0"/>
              <w:rPr>
                <w:rFonts w:ascii="仿宋_GB2312" w:eastAsia="仿宋_GB2312" w:hAnsiTheme="minorEastAsia"/>
                <w:sz w:val="24"/>
                <w:szCs w:val="24"/>
              </w:rPr>
            </w:pPr>
            <w:r>
              <w:rPr>
                <w:rFonts w:hint="eastAsia" w:ascii="仿宋_GB2312" w:eastAsia="仿宋_GB2312"/>
                <w:sz w:val="24"/>
                <w:szCs w:val="24"/>
              </w:rPr>
              <w:t>成交候选人公示</w:t>
            </w:r>
            <w:r>
              <w:rPr>
                <w:rFonts w:hint="eastAsia" w:ascii="仿宋_GB2312" w:eastAsia="仿宋_GB2312" w:hAnsiTheme="minorEastAsia"/>
                <w:sz w:val="24"/>
                <w:szCs w:val="24"/>
              </w:rPr>
              <w:t>结束后。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vAlign w:val="center"/>
          </w:tcPr>
          <w:p>
            <w:pPr>
              <w:adjustRightInd w:val="0"/>
              <w:snapToGrid w:val="0"/>
              <w:jc w:val="left"/>
              <w:rPr>
                <w:rFonts w:ascii="仿宋_GB2312" w:eastAsia="仿宋_GB2312"/>
                <w:sz w:val="24"/>
                <w:szCs w:val="24"/>
              </w:rPr>
            </w:pPr>
            <w:r>
              <w:rPr>
                <w:rFonts w:hint="eastAsia" w:ascii="仿宋_GB2312" w:eastAsia="仿宋_GB2312"/>
                <w:sz w:val="24"/>
                <w:szCs w:val="24"/>
              </w:rPr>
              <w:t>6.成交通知书</w:t>
            </w:r>
          </w:p>
        </w:tc>
        <w:tc>
          <w:tcPr>
            <w:tcW w:w="7938" w:type="dxa"/>
            <w:vAlign w:val="center"/>
          </w:tcPr>
          <w:p>
            <w:pPr>
              <w:adjustRightInd w:val="0"/>
              <w:snapToGrid w:val="0"/>
              <w:ind w:left="1" w:firstLine="2"/>
              <w:jc w:val="left"/>
              <w:rPr>
                <w:rFonts w:ascii="仿宋_GB2312" w:eastAsia="仿宋_GB2312" w:hAnsiTheme="minorEastAsia"/>
                <w:sz w:val="24"/>
                <w:szCs w:val="24"/>
              </w:rPr>
            </w:pPr>
            <w:r>
              <w:rPr>
                <w:rFonts w:hint="eastAsia" w:ascii="仿宋_GB2312" w:eastAsia="仿宋_GB2312" w:hAnsiTheme="minorEastAsia"/>
                <w:sz w:val="24"/>
                <w:szCs w:val="24"/>
              </w:rPr>
              <w:t>采购人应在确定成交供应商后及时向其发出成交通知书。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vAlign w:val="center"/>
          </w:tcPr>
          <w:p>
            <w:pPr>
              <w:adjustRightInd w:val="0"/>
              <w:snapToGrid w:val="0"/>
              <w:jc w:val="left"/>
              <w:rPr>
                <w:rFonts w:ascii="仿宋_GB2312" w:eastAsia="仿宋_GB2312"/>
                <w:sz w:val="24"/>
                <w:szCs w:val="24"/>
              </w:rPr>
            </w:pPr>
            <w:r>
              <w:rPr>
                <w:rFonts w:hint="eastAsia" w:ascii="仿宋_GB2312" w:eastAsia="仿宋_GB2312"/>
                <w:sz w:val="24"/>
                <w:szCs w:val="24"/>
              </w:rPr>
              <w:t>7.签订采购合同</w:t>
            </w:r>
          </w:p>
        </w:tc>
        <w:tc>
          <w:tcPr>
            <w:tcW w:w="7938" w:type="dxa"/>
            <w:vAlign w:val="center"/>
          </w:tcPr>
          <w:p>
            <w:pPr>
              <w:adjustRightInd w:val="0"/>
              <w:snapToGrid w:val="0"/>
              <w:ind w:left="1" w:firstLine="2"/>
              <w:jc w:val="left"/>
              <w:rPr>
                <w:rFonts w:ascii="仿宋_GB2312" w:eastAsia="仿宋_GB2312" w:hAnsiTheme="minorEastAsia"/>
                <w:sz w:val="24"/>
                <w:szCs w:val="24"/>
              </w:rPr>
            </w:pPr>
            <w:r>
              <w:rPr>
                <w:rFonts w:hint="eastAsia" w:ascii="仿宋_GB2312" w:eastAsia="仿宋_GB2312" w:hAnsiTheme="minorEastAsia"/>
                <w:sz w:val="24"/>
                <w:szCs w:val="24"/>
              </w:rPr>
              <w:t>采购人在发出成交通知书后30日内同成交供应商签订书面采购合同.</w:t>
            </w:r>
          </w:p>
        </w:tc>
      </w:tr>
    </w:tbl>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pStyle w:val="3"/>
      </w:pPr>
      <w:bookmarkStart w:id="46" w:name="_Toc7437"/>
      <w:bookmarkStart w:id="47" w:name="_Toc14870"/>
      <w:bookmarkStart w:id="48" w:name="_Toc19759"/>
      <w:bookmarkStart w:id="49" w:name="_Toc14552"/>
      <w:bookmarkStart w:id="50" w:name="_Toc7118"/>
      <w:bookmarkStart w:id="51" w:name="_Toc20594"/>
      <w:bookmarkStart w:id="52" w:name="_Toc3156"/>
      <w:bookmarkStart w:id="53" w:name="_Toc19050"/>
      <w:bookmarkStart w:id="54" w:name="_Toc23581"/>
      <w:bookmarkStart w:id="55" w:name="_Toc4952"/>
      <w:bookmarkStart w:id="56" w:name="_Toc10930"/>
      <w:r>
        <mc:AlternateContent>
          <mc:Choice Requires="wps">
            <w:drawing>
              <wp:anchor distT="0" distB="0" distL="114300" distR="114300" simplePos="0" relativeHeight="251665408" behindDoc="0" locked="0" layoutInCell="1" allowOverlap="1">
                <wp:simplePos x="0" y="0"/>
                <wp:positionH relativeFrom="column">
                  <wp:posOffset>2306320</wp:posOffset>
                </wp:positionH>
                <wp:positionV relativeFrom="paragraph">
                  <wp:posOffset>720090</wp:posOffset>
                </wp:positionV>
                <wp:extent cx="958850" cy="0"/>
                <wp:effectExtent l="0" t="4445" r="0" b="5080"/>
                <wp:wrapNone/>
                <wp:docPr id="4"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181.6pt;margin-top:56.7pt;height:0pt;width:75.5pt;z-index:251665408;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e51jF/IBAADiAwAADgAAAAAAAAABACAAAAAmAQAAZHJzL2Uyb0RvYy54bWxQSwUG&#10;AAAAAAYABgBZAQAAigU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2325370</wp:posOffset>
                </wp:positionH>
                <wp:positionV relativeFrom="paragraph">
                  <wp:posOffset>270510</wp:posOffset>
                </wp:positionV>
                <wp:extent cx="958850" cy="0"/>
                <wp:effectExtent l="0" t="4445" r="0" b="5080"/>
                <wp:wrapNone/>
                <wp:docPr id="3"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83.1pt;margin-top:21.3pt;height:0pt;width:75.5pt;z-index:251664384;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fDrgQ1wAAAAkBAAAPAAAAAAAAAAEAIAAAACIAAABkcnMvZG93bnJldi54bWxQSwECFAAU&#10;AAAACACHTuJAkDHAsPIBAADiAwAADgAAAAAAAAABACAAAAAmAQAAZHJzL2Uyb0RvYy54bWxQSwUG&#10;AAAAAAYABgBZAQAAigUAAAAA&#10;">
                <v:fill on="f" focussize="0,0"/>
                <v:stroke color="#000000" joinstyle="round"/>
                <v:imagedata o:title=""/>
                <o:lock v:ext="edit" aspectratio="f"/>
              </v:shape>
            </w:pict>
          </mc:Fallback>
        </mc:AlternateContent>
      </w:r>
      <w:r>
        <w:rPr>
          <w:rFonts w:hint="eastAsia"/>
          <w:lang w:val="en-US" w:eastAsia="zh-CN"/>
        </w:rPr>
        <w:t xml:space="preserve">  </w:t>
      </w:r>
      <w:r>
        <w:rPr>
          <w:rFonts w:hint="eastAsia"/>
        </w:rPr>
        <w:t>第四章</w:t>
      </w:r>
      <w:bookmarkEnd w:id="46"/>
      <w:bookmarkEnd w:id="47"/>
      <w:bookmarkEnd w:id="48"/>
      <w:bookmarkEnd w:id="49"/>
      <w:bookmarkEnd w:id="50"/>
      <w:bookmarkEnd w:id="51"/>
      <w:bookmarkEnd w:id="52"/>
      <w:bookmarkEnd w:id="53"/>
      <w:bookmarkEnd w:id="54"/>
      <w:bookmarkEnd w:id="55"/>
      <w:bookmarkEnd w:id="56"/>
    </w:p>
    <w:p>
      <w:pPr>
        <w:pStyle w:val="40"/>
      </w:pPr>
    </w:p>
    <w:p>
      <w:pPr>
        <w:pStyle w:val="3"/>
      </w:pPr>
      <w:bookmarkStart w:id="57" w:name="_Toc12177"/>
      <w:bookmarkStart w:id="58" w:name="_Toc88209941"/>
      <w:bookmarkStart w:id="59" w:name="_Toc30530"/>
      <w:bookmarkStart w:id="60" w:name="_Toc13898"/>
      <w:bookmarkStart w:id="61" w:name="_Toc22212"/>
      <w:bookmarkStart w:id="62" w:name="_Toc7831"/>
      <w:bookmarkStart w:id="63" w:name="_Toc6308"/>
      <w:bookmarkStart w:id="64" w:name="_Toc32607"/>
      <w:bookmarkStart w:id="65" w:name="_Toc87616378"/>
      <w:bookmarkStart w:id="66" w:name="_Toc29484"/>
      <w:bookmarkStart w:id="67" w:name="_Toc21079"/>
      <w:bookmarkStart w:id="68" w:name="_Toc29345"/>
      <w:bookmarkStart w:id="69" w:name="_Toc21840"/>
      <w:r>
        <w:rPr>
          <w:rFonts w:hint="eastAsia"/>
          <w:lang w:val="en-US" w:eastAsia="zh-CN"/>
        </w:rPr>
        <w:t xml:space="preserve">  </w:t>
      </w:r>
      <w:r>
        <w:rPr>
          <w:rFonts w:hint="eastAsia"/>
        </w:rPr>
        <w:t>评审办法</w:t>
      </w:r>
      <w:bookmarkEnd w:id="57"/>
      <w:bookmarkEnd w:id="58"/>
      <w:bookmarkEnd w:id="59"/>
      <w:bookmarkEnd w:id="60"/>
      <w:bookmarkEnd w:id="61"/>
      <w:bookmarkEnd w:id="62"/>
      <w:bookmarkEnd w:id="63"/>
      <w:bookmarkEnd w:id="64"/>
      <w:bookmarkEnd w:id="65"/>
      <w:bookmarkEnd w:id="66"/>
      <w:bookmarkEnd w:id="67"/>
      <w:bookmarkEnd w:id="68"/>
      <w:bookmarkEnd w:id="69"/>
    </w:p>
    <w:p>
      <w:pPr>
        <w:adjustRightInd w:val="0"/>
        <w:snapToGrid w:val="0"/>
        <w:spacing w:before="190" w:beforeLines="50" w:after="190" w:afterLines="50" w:line="600" w:lineRule="exact"/>
        <w:jc w:val="center"/>
        <w:rPr>
          <w:rFonts w:ascii="方正小标宋简体" w:eastAsia="方正小标宋简体"/>
          <w:sz w:val="44"/>
          <w:szCs w:val="44"/>
        </w:rPr>
      </w:pPr>
    </w:p>
    <w:p>
      <w:pPr>
        <w:adjustRightInd w:val="0"/>
        <w:snapToGrid w:val="0"/>
        <w:spacing w:before="190" w:beforeLines="50" w:after="190" w:afterLines="50" w:line="600" w:lineRule="exact"/>
        <w:jc w:val="center"/>
        <w:rPr>
          <w:rFonts w:ascii="方正小标宋简体" w:eastAsia="方正小标宋简体"/>
          <w:sz w:val="44"/>
          <w:szCs w:val="44"/>
        </w:rPr>
      </w:pPr>
    </w:p>
    <w:p>
      <w:pPr>
        <w:adjustRightInd w:val="0"/>
        <w:snapToGrid w:val="0"/>
        <w:spacing w:before="190" w:beforeLines="50" w:after="190" w:afterLines="50" w:line="600" w:lineRule="exact"/>
        <w:jc w:val="center"/>
        <w:rPr>
          <w:rFonts w:ascii="方正小标宋简体" w:eastAsia="方正小标宋简体"/>
          <w:sz w:val="44"/>
          <w:szCs w:val="44"/>
        </w:rPr>
      </w:pPr>
    </w:p>
    <w:p>
      <w:pPr>
        <w:adjustRightInd w:val="0"/>
        <w:snapToGrid w:val="0"/>
        <w:spacing w:before="190" w:beforeLines="50" w:after="190" w:afterLines="50" w:line="600" w:lineRule="exact"/>
        <w:jc w:val="center"/>
        <w:rPr>
          <w:rFonts w:ascii="方正小标宋简体" w:eastAsia="方正小标宋简体"/>
          <w:sz w:val="44"/>
          <w:szCs w:val="44"/>
        </w:rPr>
      </w:pPr>
    </w:p>
    <w:p>
      <w:pPr>
        <w:adjustRightInd w:val="0"/>
        <w:snapToGrid w:val="0"/>
        <w:spacing w:before="190" w:beforeLines="50" w:after="190" w:afterLines="50" w:line="600" w:lineRule="exact"/>
        <w:jc w:val="center"/>
        <w:rPr>
          <w:rFonts w:ascii="方正小标宋简体" w:eastAsia="方正小标宋简体"/>
          <w:sz w:val="44"/>
          <w:szCs w:val="44"/>
        </w:rPr>
      </w:pPr>
    </w:p>
    <w:p>
      <w:pPr>
        <w:adjustRightInd w:val="0"/>
        <w:snapToGrid w:val="0"/>
        <w:spacing w:before="190" w:beforeLines="50" w:after="190" w:afterLines="50" w:line="600" w:lineRule="exact"/>
        <w:jc w:val="center"/>
        <w:rPr>
          <w:rFonts w:ascii="方正小标宋简体" w:eastAsia="方正小标宋简体"/>
          <w:sz w:val="44"/>
          <w:szCs w:val="44"/>
        </w:rPr>
      </w:pPr>
    </w:p>
    <w:p>
      <w:pPr>
        <w:pStyle w:val="25"/>
        <w:rPr>
          <w:rFonts w:ascii="方正小标宋简体" w:eastAsia="方正小标宋简体"/>
          <w:sz w:val="44"/>
          <w:szCs w:val="44"/>
        </w:rPr>
      </w:pPr>
    </w:p>
    <w:p>
      <w:pPr>
        <w:pStyle w:val="25"/>
        <w:ind w:firstLine="0"/>
        <w:rPr>
          <w:rFonts w:ascii="方正小标宋简体" w:eastAsia="方正小标宋简体"/>
          <w:sz w:val="44"/>
          <w:szCs w:val="44"/>
        </w:rPr>
      </w:pPr>
    </w:p>
    <w:p>
      <w:pPr>
        <w:pStyle w:val="25"/>
        <w:ind w:firstLine="0"/>
        <w:rPr>
          <w:rFonts w:ascii="方正小标宋简体" w:eastAsia="方正小标宋简体"/>
          <w:sz w:val="44"/>
          <w:szCs w:val="44"/>
        </w:rPr>
      </w:pPr>
    </w:p>
    <w:p>
      <w:pPr>
        <w:pStyle w:val="25"/>
        <w:ind w:firstLine="0"/>
        <w:rPr>
          <w:rFonts w:ascii="方正小标宋简体" w:eastAsia="方正小标宋简体"/>
          <w:sz w:val="44"/>
          <w:szCs w:val="44"/>
        </w:rPr>
      </w:pPr>
    </w:p>
    <w:p>
      <w:pPr>
        <w:pStyle w:val="4"/>
      </w:pPr>
      <w:bookmarkStart w:id="70" w:name="_Toc23033"/>
      <w:bookmarkStart w:id="71" w:name="_Toc26826"/>
      <w:r>
        <w:rPr>
          <w:rFonts w:hint="eastAsia"/>
        </w:rPr>
        <w:t>经评审的最低价法</w:t>
      </w:r>
      <w:bookmarkEnd w:id="70"/>
      <w:bookmarkEnd w:id="71"/>
    </w:p>
    <w:p>
      <w:pPr>
        <w:adjustRightInd w:val="0"/>
        <w:snapToGrid w:val="0"/>
        <w:spacing w:line="600" w:lineRule="exact"/>
        <w:jc w:val="left"/>
        <w:rPr>
          <w:rFonts w:asciiTheme="minorEastAsia" w:hAnsiTheme="minorEastAsia"/>
          <w:b/>
          <w:sz w:val="28"/>
          <w:szCs w:val="28"/>
        </w:rPr>
      </w:pPr>
      <w:r>
        <w:rPr>
          <w:rFonts w:hint="eastAsia" w:asciiTheme="minorEastAsia" w:hAnsiTheme="minorEastAsia"/>
          <w:b/>
          <w:sz w:val="28"/>
          <w:szCs w:val="28"/>
        </w:rPr>
        <w:t>1.评审方法</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除报价外，评审还应考虑的商务因素一般有以下几种：</w:t>
      </w:r>
    </w:p>
    <w:p>
      <w:pPr>
        <w:adjustRightInd w:val="0"/>
        <w:snapToGrid w:val="0"/>
        <w:spacing w:line="600" w:lineRule="exact"/>
        <w:ind w:firstLine="420" w:firstLineChars="150"/>
        <w:jc w:val="left"/>
        <w:rPr>
          <w:rFonts w:ascii="仿宋_GB2312" w:eastAsia="仿宋_GB2312" w:hAnsiTheme="minorEastAsia"/>
          <w:sz w:val="28"/>
          <w:szCs w:val="28"/>
        </w:rPr>
      </w:pPr>
      <w:r>
        <w:rPr>
          <w:rFonts w:hint="eastAsia" w:ascii="仿宋_GB2312" w:eastAsia="仿宋_GB2312" w:hAnsiTheme="minorEastAsia"/>
          <w:sz w:val="28"/>
          <w:szCs w:val="28"/>
        </w:rPr>
        <w:t>（1）运输费用及保险费。（如有）</w:t>
      </w:r>
    </w:p>
    <w:p>
      <w:pPr>
        <w:adjustRightInd w:val="0"/>
        <w:snapToGrid w:val="0"/>
        <w:spacing w:line="600" w:lineRule="exact"/>
        <w:jc w:val="left"/>
        <w:rPr>
          <w:rFonts w:ascii="仿宋_GB2312" w:eastAsia="仿宋_GB2312" w:hAnsiTheme="minorEastAsia"/>
          <w:sz w:val="28"/>
          <w:szCs w:val="28"/>
        </w:rPr>
      </w:pPr>
      <w:r>
        <w:rPr>
          <w:rFonts w:hint="eastAsia" w:ascii="仿宋_GB2312" w:eastAsia="仿宋_GB2312" w:hAnsiTheme="minorEastAsia"/>
          <w:sz w:val="28"/>
          <w:szCs w:val="28"/>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sz w:val="28"/>
          <w:szCs w:val="28"/>
        </w:rPr>
      </w:pPr>
      <w:r>
        <w:rPr>
          <w:rFonts w:hint="eastAsia" w:ascii="仿宋_GB2312" w:eastAsia="仿宋_GB2312" w:hAnsiTheme="minorEastAsia"/>
          <w:sz w:val="28"/>
          <w:szCs w:val="28"/>
        </w:rPr>
        <w:t>（3）支付条件。</w:t>
      </w:r>
    </w:p>
    <w:p>
      <w:pPr>
        <w:adjustRightInd w:val="0"/>
        <w:snapToGrid w:val="0"/>
        <w:spacing w:line="600" w:lineRule="exact"/>
        <w:ind w:firstLine="420" w:firstLineChars="150"/>
        <w:jc w:val="left"/>
        <w:rPr>
          <w:rFonts w:ascii="仿宋_GB2312" w:eastAsia="仿宋_GB2312" w:hAnsiTheme="minorEastAsia"/>
          <w:sz w:val="28"/>
          <w:szCs w:val="28"/>
        </w:rPr>
      </w:pPr>
      <w:r>
        <w:rPr>
          <w:rFonts w:hint="eastAsia" w:ascii="仿宋_GB2312" w:eastAsia="仿宋_GB2312" w:hAnsiTheme="minorEastAsia"/>
          <w:sz w:val="28"/>
          <w:szCs w:val="28"/>
        </w:rPr>
        <w:t>（4）备品备件以及售后服务（如有）。</w:t>
      </w:r>
    </w:p>
    <w:p>
      <w:pPr>
        <w:adjustRightInd w:val="0"/>
        <w:snapToGrid w:val="0"/>
        <w:spacing w:line="600" w:lineRule="exact"/>
        <w:ind w:firstLine="420" w:firstLineChars="150"/>
        <w:jc w:val="left"/>
        <w:rPr>
          <w:rFonts w:ascii="仿宋_GB2312" w:eastAsia="仿宋_GB2312" w:hAnsiTheme="minorEastAsia"/>
          <w:sz w:val="28"/>
          <w:szCs w:val="28"/>
        </w:rPr>
      </w:pPr>
      <w:r>
        <w:rPr>
          <w:rFonts w:hint="eastAsia" w:ascii="仿宋_GB2312" w:eastAsia="仿宋_GB2312" w:hAnsiTheme="minorEastAsia"/>
          <w:sz w:val="28"/>
          <w:szCs w:val="28"/>
        </w:rPr>
        <w:t>（5）价格调整因素。</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sz w:val="28"/>
          <w:szCs w:val="28"/>
        </w:rPr>
      </w:pPr>
      <w:r>
        <w:rPr>
          <w:rFonts w:hint="eastAsia" w:asciiTheme="minorEastAsia" w:hAnsiTheme="minorEastAsia"/>
          <w:b/>
          <w:sz w:val="28"/>
          <w:szCs w:val="28"/>
        </w:rPr>
        <w:t>2.评审程序</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2.1 初步评审</w:t>
      </w:r>
    </w:p>
    <w:p>
      <w:pPr>
        <w:adjustRightInd w:val="0"/>
        <w:snapToGrid w:val="0"/>
        <w:spacing w:line="600" w:lineRule="exact"/>
        <w:jc w:val="left"/>
        <w:rPr>
          <w:rFonts w:ascii="仿宋_GB2312" w:eastAsia="仿宋_GB2312" w:hAnsiTheme="minorEastAsia"/>
          <w:sz w:val="28"/>
          <w:szCs w:val="28"/>
        </w:rPr>
      </w:pPr>
      <w:r>
        <w:rPr>
          <w:rFonts w:ascii="仿宋_GB2312" w:eastAsia="仿宋_GB2312"/>
          <w:sz w:val="28"/>
          <w:szCs w:val="28"/>
        </w:rPr>
        <w:t>表</w:t>
      </w:r>
      <w:r>
        <w:rPr>
          <w:rFonts w:hint="eastAsia" w:ascii="仿宋_GB2312" w:eastAsia="仿宋_GB2312"/>
          <w:sz w:val="28"/>
          <w:szCs w:val="28"/>
        </w:rPr>
        <w:t>4-1                      初步评审标准</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8"/>
        <w:gridCol w:w="2016"/>
        <w:gridCol w:w="52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vAlign w:val="center"/>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评审环节</w:t>
            </w:r>
          </w:p>
        </w:tc>
        <w:tc>
          <w:tcPr>
            <w:tcW w:w="2127" w:type="dxa"/>
            <w:vAlign w:val="center"/>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评审</w:t>
            </w:r>
            <w:r>
              <w:rPr>
                <w:rFonts w:ascii="仿宋_GB2312" w:eastAsia="仿宋_GB2312"/>
                <w:sz w:val="28"/>
                <w:szCs w:val="28"/>
              </w:rPr>
              <w:t>因素</w:t>
            </w:r>
          </w:p>
        </w:tc>
        <w:tc>
          <w:tcPr>
            <w:tcW w:w="5528" w:type="dxa"/>
            <w:vAlign w:val="center"/>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评审</w:t>
            </w:r>
            <w:r>
              <w:rPr>
                <w:rFonts w:ascii="仿宋_GB2312" w:eastAsia="仿宋_GB2312"/>
                <w:sz w:val="28"/>
                <w:szCs w:val="28"/>
              </w:rPr>
              <w:t>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vAlign w:val="center"/>
          </w:tcPr>
          <w:p>
            <w:pPr>
              <w:adjustRightInd w:val="0"/>
              <w:snapToGrid w:val="0"/>
              <w:jc w:val="center"/>
              <w:rPr>
                <w:rFonts w:ascii="仿宋_GB2312" w:eastAsia="仿宋_GB2312"/>
                <w:sz w:val="24"/>
                <w:szCs w:val="24"/>
              </w:rPr>
            </w:pPr>
            <w:r>
              <w:rPr>
                <w:rFonts w:ascii="仿宋_GB2312" w:eastAsia="仿宋_GB2312"/>
                <w:sz w:val="24"/>
                <w:szCs w:val="24"/>
              </w:rPr>
              <w:t>形式评审</w:t>
            </w:r>
          </w:p>
        </w:tc>
        <w:tc>
          <w:tcPr>
            <w:tcW w:w="2127" w:type="dxa"/>
            <w:vAlign w:val="center"/>
          </w:tcPr>
          <w:p>
            <w:pPr>
              <w:adjustRightInd w:val="0"/>
              <w:snapToGrid w:val="0"/>
              <w:jc w:val="center"/>
              <w:rPr>
                <w:rFonts w:ascii="仿宋_GB2312" w:eastAsia="仿宋_GB2312"/>
                <w:sz w:val="24"/>
                <w:szCs w:val="24"/>
              </w:rPr>
            </w:pPr>
            <w:r>
              <w:rPr>
                <w:rFonts w:ascii="仿宋_GB2312" w:eastAsia="仿宋_GB2312"/>
                <w:sz w:val="24"/>
                <w:szCs w:val="24"/>
              </w:rPr>
              <w:t>响应函签字盖章</w:t>
            </w:r>
          </w:p>
        </w:tc>
        <w:tc>
          <w:tcPr>
            <w:tcW w:w="5528" w:type="dxa"/>
            <w:vAlign w:val="center"/>
          </w:tcPr>
          <w:p>
            <w:pPr>
              <w:adjustRightInd w:val="0"/>
              <w:snapToGrid w:val="0"/>
              <w:rPr>
                <w:rFonts w:ascii="仿宋_GB2312" w:eastAsia="仿宋_GB2312"/>
                <w:sz w:val="24"/>
                <w:szCs w:val="24"/>
              </w:rPr>
            </w:pPr>
            <w:r>
              <w:rPr>
                <w:rFonts w:hint="eastAsia" w:ascii="仿宋_GB2312" w:eastAsia="仿宋_GB2312"/>
                <w:sz w:val="24"/>
                <w:szCs w:val="24"/>
              </w:rPr>
              <w:t>有响应函，有法定代表人（单位负责人）或其委托代理人签字（或签章 ）并加盖单位公章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sz w:val="24"/>
                <w:szCs w:val="24"/>
              </w:rPr>
            </w:pPr>
          </w:p>
        </w:tc>
        <w:tc>
          <w:tcPr>
            <w:tcW w:w="2127" w:type="dxa"/>
            <w:vAlign w:val="center"/>
          </w:tcPr>
          <w:p>
            <w:pPr>
              <w:adjustRightInd w:val="0"/>
              <w:snapToGrid w:val="0"/>
              <w:spacing w:line="600" w:lineRule="exact"/>
              <w:jc w:val="center"/>
              <w:rPr>
                <w:rFonts w:ascii="仿宋_GB2312" w:eastAsia="仿宋_GB2312"/>
                <w:sz w:val="24"/>
                <w:szCs w:val="24"/>
              </w:rPr>
            </w:pPr>
            <w:r>
              <w:rPr>
                <w:rFonts w:ascii="仿宋_GB2312" w:eastAsia="仿宋_GB2312"/>
                <w:sz w:val="24"/>
                <w:szCs w:val="24"/>
              </w:rPr>
              <w:t>响应文件格式</w:t>
            </w:r>
          </w:p>
        </w:tc>
        <w:tc>
          <w:tcPr>
            <w:tcW w:w="5528" w:type="dxa"/>
            <w:vAlign w:val="center"/>
          </w:tcPr>
          <w:p>
            <w:pPr>
              <w:adjustRightInd w:val="0"/>
              <w:snapToGrid w:val="0"/>
              <w:spacing w:line="600" w:lineRule="exact"/>
              <w:rPr>
                <w:rFonts w:ascii="仿宋_GB2312" w:eastAsia="仿宋_GB2312"/>
                <w:sz w:val="24"/>
                <w:szCs w:val="24"/>
              </w:rPr>
            </w:pPr>
            <w:r>
              <w:rPr>
                <w:rFonts w:ascii="仿宋_GB2312" w:eastAsia="仿宋_GB2312"/>
                <w:sz w:val="24"/>
                <w:szCs w:val="24"/>
              </w:rPr>
              <w:t>符合采购文件</w:t>
            </w:r>
            <w:r>
              <w:rPr>
                <w:rFonts w:hint="eastAsia" w:ascii="仿宋_GB2312" w:eastAsia="仿宋_GB2312"/>
                <w:sz w:val="24"/>
                <w:szCs w:val="24"/>
              </w:rPr>
              <w:t>“响应文件格式”要求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356" w:type="dxa"/>
            <w:vMerge w:val="continue"/>
            <w:vAlign w:val="center"/>
          </w:tcPr>
          <w:p>
            <w:pPr>
              <w:adjustRightInd w:val="0"/>
              <w:snapToGrid w:val="0"/>
              <w:jc w:val="center"/>
              <w:rPr>
                <w:rFonts w:ascii="仿宋_GB2312" w:eastAsia="仿宋_GB2312"/>
                <w:sz w:val="24"/>
                <w:szCs w:val="24"/>
              </w:rPr>
            </w:pPr>
          </w:p>
        </w:tc>
        <w:tc>
          <w:tcPr>
            <w:tcW w:w="2127" w:type="dxa"/>
            <w:vAlign w:val="center"/>
          </w:tcPr>
          <w:p>
            <w:pPr>
              <w:adjustRightInd w:val="0"/>
              <w:snapToGrid w:val="0"/>
              <w:jc w:val="center"/>
              <w:rPr>
                <w:rFonts w:ascii="仿宋_GB2312" w:eastAsia="仿宋_GB2312"/>
                <w:sz w:val="24"/>
                <w:szCs w:val="24"/>
              </w:rPr>
            </w:pPr>
            <w:r>
              <w:rPr>
                <w:rFonts w:ascii="仿宋_GB2312" w:eastAsia="仿宋_GB2312"/>
                <w:sz w:val="24"/>
                <w:szCs w:val="24"/>
              </w:rPr>
              <w:t>报价唯一</w:t>
            </w:r>
          </w:p>
        </w:tc>
        <w:tc>
          <w:tcPr>
            <w:tcW w:w="5528" w:type="dxa"/>
            <w:vAlign w:val="center"/>
          </w:tcPr>
          <w:p>
            <w:pPr>
              <w:adjustRightInd w:val="0"/>
              <w:snapToGrid w:val="0"/>
              <w:rPr>
                <w:rFonts w:ascii="仿宋_GB2312" w:eastAsia="仿宋_GB2312"/>
                <w:sz w:val="24"/>
                <w:szCs w:val="24"/>
              </w:rPr>
            </w:pPr>
            <w:r>
              <w:rPr>
                <w:rFonts w:ascii="仿宋_GB2312" w:eastAsia="仿宋_GB2312"/>
                <w:sz w:val="24"/>
                <w:szCs w:val="24"/>
              </w:rPr>
              <w:t>只能有一个有效报价</w:t>
            </w:r>
            <w:r>
              <w:rPr>
                <w:rFonts w:hint="eastAsia" w:ascii="仿宋_GB2312" w:eastAsia="仿宋_GB2312"/>
                <w:sz w:val="24"/>
                <w:szCs w:val="24"/>
              </w:rPr>
              <w:t>，</w:t>
            </w:r>
            <w:r>
              <w:rPr>
                <w:rFonts w:ascii="仿宋_GB2312" w:eastAsia="仿宋_GB2312"/>
                <w:sz w:val="24"/>
                <w:szCs w:val="24"/>
              </w:rPr>
              <w:t>按采购文件规定提交备选方案除外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sz w:val="24"/>
                <w:szCs w:val="24"/>
              </w:rPr>
            </w:pPr>
            <w:r>
              <w:rPr>
                <w:rFonts w:ascii="仿宋_GB2312" w:eastAsia="仿宋_GB2312"/>
                <w:sz w:val="24"/>
                <w:szCs w:val="24"/>
              </w:rPr>
              <w:t>资格评审</w:t>
            </w:r>
          </w:p>
        </w:tc>
        <w:tc>
          <w:tcPr>
            <w:tcW w:w="2127" w:type="dxa"/>
            <w:vAlign w:val="center"/>
          </w:tcPr>
          <w:p>
            <w:pPr>
              <w:adjustRightInd w:val="0"/>
              <w:snapToGrid w:val="0"/>
              <w:jc w:val="center"/>
              <w:rPr>
                <w:rFonts w:ascii="仿宋_GB2312" w:eastAsia="仿宋_GB2312"/>
                <w:sz w:val="24"/>
                <w:szCs w:val="24"/>
              </w:rPr>
            </w:pPr>
            <w:r>
              <w:rPr>
                <w:rFonts w:ascii="仿宋_GB2312" w:eastAsia="仿宋_GB2312"/>
                <w:sz w:val="24"/>
                <w:szCs w:val="24"/>
              </w:rPr>
              <w:t>营业执照</w:t>
            </w:r>
          </w:p>
        </w:tc>
        <w:tc>
          <w:tcPr>
            <w:tcW w:w="5528" w:type="dxa"/>
            <w:vAlign w:val="center"/>
          </w:tcPr>
          <w:p>
            <w:pPr>
              <w:adjustRightInd w:val="0"/>
              <w:snapToGrid w:val="0"/>
              <w:rPr>
                <w:rFonts w:ascii="仿宋_GB2312" w:eastAsia="仿宋_GB2312"/>
                <w:sz w:val="24"/>
                <w:szCs w:val="24"/>
              </w:rPr>
            </w:pPr>
            <w:r>
              <w:rPr>
                <w:rFonts w:hint="eastAsia" w:ascii="仿宋_GB2312" w:eastAsia="仿宋_GB2312"/>
                <w:sz w:val="24"/>
                <w:szCs w:val="24"/>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sz w:val="24"/>
                <w:szCs w:val="24"/>
              </w:rPr>
            </w:pPr>
          </w:p>
        </w:tc>
        <w:tc>
          <w:tcPr>
            <w:tcW w:w="2127" w:type="dxa"/>
            <w:vAlign w:val="center"/>
          </w:tcPr>
          <w:p>
            <w:pPr>
              <w:adjustRightInd w:val="0"/>
              <w:snapToGrid w:val="0"/>
              <w:jc w:val="center"/>
              <w:rPr>
                <w:rFonts w:ascii="仿宋_GB2312" w:eastAsia="仿宋_GB2312"/>
                <w:sz w:val="24"/>
                <w:szCs w:val="24"/>
              </w:rPr>
            </w:pPr>
            <w:r>
              <w:rPr>
                <w:rFonts w:ascii="仿宋_GB2312" w:eastAsia="仿宋_GB2312"/>
                <w:sz w:val="24"/>
                <w:szCs w:val="24"/>
              </w:rPr>
              <w:t>供应商资格</w:t>
            </w:r>
          </w:p>
        </w:tc>
        <w:tc>
          <w:tcPr>
            <w:tcW w:w="5528" w:type="dxa"/>
            <w:vAlign w:val="center"/>
          </w:tcPr>
          <w:p>
            <w:pPr>
              <w:adjustRightInd w:val="0"/>
              <w:snapToGrid w:val="0"/>
              <w:rPr>
                <w:rFonts w:ascii="仿宋_GB2312" w:eastAsia="仿宋_GB2312"/>
                <w:sz w:val="24"/>
                <w:szCs w:val="24"/>
              </w:rPr>
            </w:pPr>
            <w:r>
              <w:rPr>
                <w:rFonts w:ascii="仿宋_GB2312" w:eastAsia="仿宋_GB2312"/>
                <w:sz w:val="24"/>
                <w:szCs w:val="24"/>
              </w:rPr>
              <w:t>满足法律法规及采购文件</w:t>
            </w:r>
            <w:r>
              <w:rPr>
                <w:rFonts w:hint="eastAsia" w:ascii="仿宋_GB2312" w:eastAsia="仿宋_GB2312"/>
                <w:sz w:val="24"/>
                <w:szCs w:val="24"/>
              </w:rPr>
              <w:t>供应商资格要求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sz w:val="24"/>
                <w:szCs w:val="24"/>
              </w:rPr>
            </w:pPr>
            <w:r>
              <w:rPr>
                <w:rFonts w:ascii="仿宋_GB2312" w:eastAsia="仿宋_GB2312"/>
                <w:sz w:val="24"/>
                <w:szCs w:val="24"/>
              </w:rPr>
              <w:t>响应性评审</w:t>
            </w:r>
          </w:p>
        </w:tc>
        <w:tc>
          <w:tcPr>
            <w:tcW w:w="2127" w:type="dxa"/>
            <w:vAlign w:val="center"/>
          </w:tcPr>
          <w:p>
            <w:pPr>
              <w:adjustRightInd w:val="0"/>
              <w:snapToGrid w:val="0"/>
              <w:jc w:val="center"/>
              <w:rPr>
                <w:rFonts w:ascii="仿宋_GB2312" w:eastAsia="仿宋_GB2312"/>
                <w:sz w:val="24"/>
                <w:szCs w:val="24"/>
              </w:rPr>
            </w:pPr>
            <w:r>
              <w:rPr>
                <w:rFonts w:ascii="仿宋_GB2312" w:eastAsia="仿宋_GB2312"/>
                <w:sz w:val="24"/>
                <w:szCs w:val="24"/>
              </w:rPr>
              <w:t>报价</w:t>
            </w:r>
          </w:p>
        </w:tc>
        <w:tc>
          <w:tcPr>
            <w:tcW w:w="5528" w:type="dxa"/>
            <w:vAlign w:val="center"/>
          </w:tcPr>
          <w:p>
            <w:pPr>
              <w:adjustRightInd w:val="0"/>
              <w:snapToGrid w:val="0"/>
              <w:rPr>
                <w:rFonts w:ascii="仿宋_GB2312" w:eastAsia="仿宋_GB2312"/>
                <w:sz w:val="24"/>
                <w:szCs w:val="24"/>
              </w:rPr>
            </w:pPr>
            <w:r>
              <w:rPr>
                <w:rFonts w:ascii="仿宋_GB2312" w:eastAsia="仿宋_GB2312"/>
                <w:sz w:val="24"/>
                <w:szCs w:val="24"/>
              </w:rPr>
              <w:t>没有超过最高限价</w:t>
            </w:r>
            <w:r>
              <w:rPr>
                <w:rFonts w:hint="eastAsia" w:ascii="仿宋_GB2312" w:eastAsia="仿宋_GB2312"/>
                <w:sz w:val="24"/>
                <w:szCs w:val="24"/>
              </w:rPr>
              <w:t>；若报价低于本项目最高限价的60%，必须说明报价理由。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vAlign w:val="center"/>
          </w:tcPr>
          <w:p>
            <w:pPr>
              <w:adjustRightInd w:val="0"/>
              <w:snapToGrid w:val="0"/>
              <w:jc w:val="center"/>
              <w:rPr>
                <w:rFonts w:ascii="仿宋_GB2312" w:eastAsia="仿宋_GB2312"/>
                <w:sz w:val="24"/>
                <w:szCs w:val="24"/>
              </w:rPr>
            </w:pPr>
          </w:p>
        </w:tc>
        <w:tc>
          <w:tcPr>
            <w:tcW w:w="2127"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其他</w:t>
            </w:r>
          </w:p>
        </w:tc>
        <w:tc>
          <w:tcPr>
            <w:tcW w:w="5528" w:type="dxa"/>
            <w:vAlign w:val="center"/>
          </w:tcPr>
          <w:p>
            <w:pPr>
              <w:adjustRightInd w:val="0"/>
              <w:snapToGrid w:val="0"/>
              <w:rPr>
                <w:rFonts w:ascii="仿宋_GB2312" w:eastAsia="仿宋_GB2312"/>
                <w:sz w:val="24"/>
                <w:szCs w:val="24"/>
              </w:rPr>
            </w:pPr>
            <w:r>
              <w:rPr>
                <w:rFonts w:hint="eastAsia" w:ascii="仿宋_GB2312" w:eastAsia="仿宋_GB2312"/>
                <w:sz w:val="24"/>
                <w:szCs w:val="24"/>
              </w:rPr>
              <w:t>采购文件要求必须提供的其他资料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vAlign w:val="center"/>
          </w:tcPr>
          <w:p>
            <w:pPr>
              <w:adjustRightInd w:val="0"/>
              <w:snapToGrid w:val="0"/>
              <w:jc w:val="center"/>
              <w:rPr>
                <w:rFonts w:ascii="仿宋_GB2312" w:eastAsia="仿宋_GB2312"/>
                <w:sz w:val="24"/>
                <w:szCs w:val="24"/>
              </w:rPr>
            </w:pPr>
          </w:p>
        </w:tc>
        <w:tc>
          <w:tcPr>
            <w:tcW w:w="2127"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其他无效响应</w:t>
            </w:r>
          </w:p>
        </w:tc>
        <w:tc>
          <w:tcPr>
            <w:tcW w:w="5528" w:type="dxa"/>
            <w:vAlign w:val="center"/>
          </w:tcPr>
          <w:p>
            <w:pPr>
              <w:adjustRightInd w:val="0"/>
              <w:snapToGrid w:val="0"/>
              <w:rPr>
                <w:rFonts w:ascii="仿宋_GB2312" w:eastAsia="仿宋_GB2312"/>
                <w:sz w:val="24"/>
                <w:szCs w:val="24"/>
              </w:rPr>
            </w:pPr>
            <w:r>
              <w:rPr>
                <w:rFonts w:ascii="仿宋_GB2312" w:eastAsia="仿宋_GB2312"/>
                <w:sz w:val="24"/>
                <w:szCs w:val="24"/>
              </w:rPr>
              <w:t>无法律法规及采购文件规定的其他无效响应内容</w:t>
            </w:r>
          </w:p>
        </w:tc>
      </w:tr>
    </w:tbl>
    <w:p>
      <w:pPr>
        <w:spacing w:line="400" w:lineRule="exact"/>
        <w:jc w:val="left"/>
      </w:pPr>
      <w:r>
        <w:rPr>
          <w:rFonts w:hint="eastAsia" w:ascii="仿宋_GB2312" w:eastAsia="仿宋_GB2312" w:hAnsiTheme="minorEastAsia"/>
          <w:szCs w:val="21"/>
        </w:rPr>
        <w:t>说明：初步评审活动依照形式评审、资格评审、响应性评审顺序进行，前一个环节不符合采购文件要求的不得进入下一个环节。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2.2澄清补正</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（3）采购文件中有规定固定费率标准或固定金额的，或者有固定费率标准或固定金额的计算公式的，应按规定填报，否则由评审小组按照采购文件规定的费率、金额或者其计算公式进行修正或否决其响应。</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或否决其响应。</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2.3评审结果 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pStyle w:val="25"/>
        <w:rPr>
          <w:rFonts w:ascii="仿宋_GB2312" w:eastAsia="仿宋_GB2312" w:hAnsiTheme="minorEastAsia"/>
          <w:szCs w:val="21"/>
        </w:rPr>
      </w:pPr>
    </w:p>
    <w:p>
      <w:pPr>
        <w:pStyle w:val="25"/>
        <w:rPr>
          <w:rFonts w:ascii="仿宋_GB2312" w:eastAsia="仿宋_GB2312" w:hAnsiTheme="minorEastAsia"/>
          <w:szCs w:val="21"/>
        </w:rPr>
      </w:pPr>
    </w:p>
    <w:p>
      <w:pPr>
        <w:pStyle w:val="3"/>
      </w:pPr>
      <w:bookmarkStart w:id="72" w:name="_Toc88209947"/>
    </w:p>
    <w:p>
      <w:pPr>
        <w:pStyle w:val="3"/>
      </w:pPr>
      <w:r>
        <mc:AlternateContent>
          <mc:Choice Requires="wps">
            <w:drawing>
              <wp:anchor distT="0" distB="0" distL="114300" distR="114300" simplePos="0" relativeHeight="251672576" behindDoc="0" locked="0" layoutInCell="1" allowOverlap="1">
                <wp:simplePos x="0" y="0"/>
                <wp:positionH relativeFrom="column">
                  <wp:posOffset>2348230</wp:posOffset>
                </wp:positionH>
                <wp:positionV relativeFrom="paragraph">
                  <wp:posOffset>690880</wp:posOffset>
                </wp:positionV>
                <wp:extent cx="958850" cy="0"/>
                <wp:effectExtent l="0" t="4445" r="0" b="5080"/>
                <wp:wrapNone/>
                <wp:docPr id="13" name="自选图形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5" o:spid="_x0000_s1026" o:spt="32" type="#_x0000_t32" style="position:absolute;left:0pt;margin-left:184.9pt;margin-top:54.4pt;height:0pt;width:75.5pt;z-index:251672576;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Qotz7/MBAADkAwAADgAAAAAAAAABACAAAAAlAQAAZHJzL2Uyb0RvYy54bWxQSwUG&#10;AAAAAAYABgBZAQAAigUAAAAA&#10;">
                <v:fill on="f" focussize="0,0"/>
                <v:stroke color="#000000" joinstyle="round"/>
                <v:imagedata o:title=""/>
                <o:lock v:ext="edit" aspectratio="f"/>
              </v:shape>
            </w:pict>
          </mc:Fallback>
        </mc:AlternateContent>
      </w:r>
    </w:p>
    <w:p>
      <w:pPr>
        <w:pStyle w:val="3"/>
      </w:pPr>
      <w:r>
        <mc:AlternateContent>
          <mc:Choice Requires="wps">
            <w:drawing>
              <wp:anchor distT="0" distB="0" distL="114300" distR="114300" simplePos="0" relativeHeight="251673600" behindDoc="0" locked="0" layoutInCell="1" allowOverlap="1">
                <wp:simplePos x="0" y="0"/>
                <wp:positionH relativeFrom="column">
                  <wp:posOffset>2340610</wp:posOffset>
                </wp:positionH>
                <wp:positionV relativeFrom="paragraph">
                  <wp:posOffset>584200</wp:posOffset>
                </wp:positionV>
                <wp:extent cx="958850" cy="0"/>
                <wp:effectExtent l="0" t="4445" r="0" b="5080"/>
                <wp:wrapNone/>
                <wp:docPr id="14" name="自选图形 2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4" o:spid="_x0000_s1026" o:spt="32" type="#_x0000_t32" style="position:absolute;left:0pt;margin-left:184.3pt;margin-top:46pt;height:0pt;width:75.5pt;z-index:251673600;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CNOy9/zAQAA5AMAAA4AAAAAAAAAAQAgAAAAJgEAAGRycy9lMm9Eb2MueG1sUEsF&#10;BgAAAAAGAAYAWQEAAIsFAAAAAA==&#10;">
                <v:fill on="f" focussize="0,0"/>
                <v:stroke color="#000000" joinstyle="round"/>
                <v:imagedata o:title=""/>
                <o:lock v:ext="edit" aspectratio="f"/>
              </v:shape>
            </w:pict>
          </mc:Fallback>
        </mc:AlternateContent>
      </w:r>
      <w:r>
        <w:rPr>
          <w:rFonts w:hint="eastAsia"/>
          <w:lang w:val="en-US" w:eastAsia="zh-CN"/>
        </w:rPr>
        <w:t xml:space="preserve">  </w:t>
      </w:r>
      <w:r>
        <w:rPr>
          <w:rFonts w:hint="eastAsia"/>
        </w:rPr>
        <w:t>第五章</w:t>
      </w:r>
    </w:p>
    <w:p>
      <w:pPr>
        <w:pStyle w:val="4"/>
      </w:pPr>
    </w:p>
    <w:p>
      <w:pPr>
        <w:pStyle w:val="4"/>
        <w:rPr>
          <w:szCs w:val="44"/>
        </w:rPr>
      </w:pPr>
      <w:r>
        <w:rPr>
          <w:rFonts w:hint="eastAsia"/>
          <w:szCs w:val="44"/>
          <w:lang w:val="en-US" w:eastAsia="zh-CN"/>
        </w:rPr>
        <w:t xml:space="preserve">  </w:t>
      </w:r>
      <w:r>
        <w:rPr>
          <w:rFonts w:hint="eastAsia"/>
          <w:szCs w:val="44"/>
        </w:rPr>
        <w:t>采购需求</w:t>
      </w:r>
    </w:p>
    <w:p>
      <w:pPr>
        <w:pStyle w:val="4"/>
        <w:rPr>
          <w:szCs w:val="44"/>
        </w:rPr>
      </w:pPr>
    </w:p>
    <w:p/>
    <w:p>
      <w:pPr>
        <w:pStyle w:val="25"/>
      </w:pPr>
    </w:p>
    <w:p>
      <w:pPr>
        <w:pStyle w:val="25"/>
      </w:pPr>
    </w:p>
    <w:p>
      <w:pPr>
        <w:pStyle w:val="25"/>
      </w:pPr>
    </w:p>
    <w:p>
      <w:pPr>
        <w:pStyle w:val="25"/>
      </w:pPr>
    </w:p>
    <w:p>
      <w:pPr>
        <w:pStyle w:val="25"/>
      </w:pPr>
    </w:p>
    <w:p>
      <w:pPr>
        <w:pStyle w:val="25"/>
      </w:pPr>
    </w:p>
    <w:p>
      <w:pPr>
        <w:pStyle w:val="25"/>
      </w:pPr>
    </w:p>
    <w:p>
      <w:pPr>
        <w:pStyle w:val="25"/>
      </w:pPr>
    </w:p>
    <w:p>
      <w:pPr>
        <w:pStyle w:val="25"/>
      </w:pPr>
    </w:p>
    <w:p>
      <w:pPr>
        <w:pStyle w:val="25"/>
      </w:pPr>
    </w:p>
    <w:p>
      <w:pPr>
        <w:pStyle w:val="25"/>
      </w:pPr>
    </w:p>
    <w:p>
      <w:pPr>
        <w:pStyle w:val="25"/>
      </w:pPr>
    </w:p>
    <w:p>
      <w:pPr>
        <w:pStyle w:val="25"/>
      </w:pPr>
    </w:p>
    <w:p>
      <w:pPr>
        <w:pStyle w:val="25"/>
      </w:pPr>
    </w:p>
    <w:p>
      <w:pPr>
        <w:pStyle w:val="4"/>
        <w:rPr>
          <w:szCs w:val="44"/>
        </w:rPr>
      </w:pPr>
      <w:r>
        <w:rPr>
          <w:rFonts w:hint="eastAsia"/>
          <w:szCs w:val="44"/>
        </w:rPr>
        <w:t>采购需求编制说明</w:t>
      </w:r>
      <w:bookmarkEnd w:id="72"/>
    </w:p>
    <w:p>
      <w:pPr>
        <w:spacing w:line="360" w:lineRule="auto"/>
        <w:ind w:firstLine="470" w:firstLineChars="196"/>
        <w:rPr>
          <w:rFonts w:ascii="宋体" w:hAnsi="宋体" w:eastAsia="宋体" w:cs="宋体"/>
          <w:sz w:val="24"/>
          <w:szCs w:val="24"/>
        </w:rPr>
      </w:pPr>
      <w:r>
        <w:rPr>
          <w:rFonts w:hint="eastAsia" w:ascii="宋体" w:hAnsi="宋体" w:eastAsia="宋体" w:cs="宋体"/>
          <w:sz w:val="24"/>
          <w:szCs w:val="24"/>
        </w:rPr>
        <w:t xml:space="preserve">1、供应商须对本项目为单位的服务进行整体响应，任何只对其中一部分内容进行的响应都被视为无效响应。 </w:t>
      </w:r>
    </w:p>
    <w:p>
      <w:pPr>
        <w:pStyle w:val="14"/>
        <w:adjustRightInd w:val="0"/>
        <w:snapToGrid w:val="0"/>
        <w:spacing w:line="300" w:lineRule="auto"/>
        <w:ind w:firstLine="480" w:firstLineChars="200"/>
        <w:rPr>
          <w:rFonts w:ascii="仿宋_GB2312" w:hAnsi="仿宋_GB2312" w:eastAsia="仿宋_GB2312" w:cs="仿宋_GB2312"/>
          <w:bCs/>
          <w:color w:val="000000"/>
          <w:sz w:val="30"/>
          <w:szCs w:val="30"/>
        </w:rPr>
      </w:pPr>
      <w:r>
        <w:rPr>
          <w:rFonts w:hint="eastAsia" w:ascii="宋体" w:hAnsi="宋体" w:eastAsia="宋体" w:cs="宋体"/>
          <w:sz w:val="24"/>
          <w:szCs w:val="24"/>
        </w:rPr>
        <w:t>2、全文所有要求均为实质性响应条款，供应商如有任何一条负偏离则导致</w:t>
      </w:r>
      <w:r>
        <w:rPr>
          <w:rFonts w:hint="eastAsia" w:ascii="宋体" w:hAnsi="宋体" w:cs="宋体"/>
          <w:sz w:val="24"/>
          <w:szCs w:val="24"/>
        </w:rPr>
        <w:t>响应</w:t>
      </w:r>
      <w:r>
        <w:rPr>
          <w:rFonts w:hint="eastAsia" w:ascii="宋体" w:hAnsi="宋体" w:eastAsia="宋体" w:cs="宋体"/>
          <w:sz w:val="24"/>
          <w:szCs w:val="24"/>
        </w:rPr>
        <w:t>（报价）文件无效。</w:t>
      </w:r>
      <w:r>
        <w:rPr>
          <w:rFonts w:hint="eastAsia" w:ascii="仿宋_GB2312" w:hAnsi="仿宋_GB2312" w:eastAsia="仿宋_GB2312" w:cs="仿宋_GB2312"/>
          <w:b/>
          <w:color w:val="000000"/>
          <w:sz w:val="28"/>
          <w:szCs w:val="28"/>
          <w:lang w:val="zh-CN"/>
        </w:rPr>
        <w:br w:type="textWrapping"/>
      </w:r>
      <w:r>
        <w:rPr>
          <w:rFonts w:hint="eastAsia" w:ascii="仿宋_GB2312" w:hAnsi="仿宋_GB2312" w:eastAsia="仿宋_GB2312" w:cs="仿宋_GB2312"/>
          <w:b/>
          <w:color w:val="000000"/>
          <w:sz w:val="28"/>
          <w:szCs w:val="28"/>
          <w:lang w:val="zh-CN"/>
        </w:rPr>
        <w:t>一、项目情况介绍</w:t>
      </w:r>
    </w:p>
    <w:p>
      <w:pPr>
        <w:pStyle w:val="57"/>
        <w:spacing w:after="190" w:afterLines="50" w:line="480" w:lineRule="auto"/>
        <w:ind w:firstLine="640"/>
        <w:rPr>
          <w:rFonts w:ascii="仿宋_GB2312" w:hAnsi="Times New Roman" w:eastAsia="仿宋_GB2312" w:cs="Times New Roman"/>
          <w:bCs/>
          <w:kern w:val="2"/>
          <w:sz w:val="32"/>
          <w:szCs w:val="32"/>
          <w:lang w:val="en-US"/>
        </w:rPr>
      </w:pPr>
      <w:r>
        <w:rPr>
          <w:rFonts w:hint="eastAsia" w:ascii="宋体" w:hAnsi="宋体" w:eastAsia="宋体" w:cs="宋体"/>
          <w:bCs w:val="0"/>
          <w:kern w:val="2"/>
          <w:sz w:val="24"/>
          <w:szCs w:val="24"/>
          <w:lang w:val="en-US"/>
        </w:rPr>
        <w:t>厂区网络由2009年使用至今，已有14年，现场部分设施已出现老化、损坏，网线零乱等情况，需对其重新升级改造。</w:t>
      </w:r>
    </w:p>
    <w:p>
      <w:pPr>
        <w:pStyle w:val="57"/>
        <w:spacing w:after="190" w:afterLines="50" w:line="480" w:lineRule="auto"/>
        <w:ind w:firstLine="640"/>
        <w:rPr>
          <w:rFonts w:ascii="仿宋_GB2312" w:hAnsi="Times New Roman" w:eastAsia="仿宋_GB2312" w:cs="Times New Roman"/>
          <w:kern w:val="2"/>
          <w:sz w:val="32"/>
          <w:szCs w:val="32"/>
          <w:lang w:val="en-US"/>
        </w:rPr>
      </w:pPr>
      <w:r>
        <w:rPr>
          <w:rFonts w:hint="eastAsia" w:ascii="宋体" w:hAnsi="宋体" w:eastAsia="宋体" w:cs="宋体"/>
          <w:kern w:val="2"/>
          <w:sz w:val="24"/>
          <w:szCs w:val="24"/>
          <w:lang w:val="en-US"/>
        </w:rPr>
        <w:t>主要包括办公网和监控网的改造，其中办公网需通过增补信息点位和无线设备来实现整个园区的信号覆盖，满足公司员工移动办公上网的需求；办公网应配备有效的网络管理平台，实现运维的便捷。本次监控网的改造，需确保监控无线网的稳定和监控视频传输。办公网络出口应配备安全设备，保证广域网接入的安全可靠。须按目前成熟和先进的标准化技术及足够的备用容量设计、供应及安装计算机网络系统，以避免设计出现过早淘汰。</w:t>
      </w:r>
    </w:p>
    <w:p>
      <w:pPr>
        <w:pStyle w:val="57"/>
        <w:spacing w:after="190" w:afterLines="50" w:line="480" w:lineRule="auto"/>
        <w:ind w:firstLine="640"/>
        <w:rPr>
          <w:rFonts w:ascii="仿宋_GB2312" w:hAnsi="Times New Roman" w:eastAsia="仿宋_GB2312" w:cs="Times New Roman"/>
          <w:kern w:val="2"/>
          <w:sz w:val="32"/>
          <w:szCs w:val="32"/>
          <w:lang w:val="en-US"/>
        </w:rPr>
      </w:pPr>
    </w:p>
    <w:p>
      <w:pPr>
        <w:pStyle w:val="57"/>
        <w:spacing w:after="190" w:afterLines="50" w:line="480" w:lineRule="auto"/>
        <w:ind w:firstLine="640"/>
        <w:rPr>
          <w:rFonts w:ascii="仿宋_GB2312" w:hAnsi="Times New Roman" w:eastAsia="仿宋_GB2312" w:cs="Times New Roman"/>
          <w:kern w:val="2"/>
          <w:sz w:val="32"/>
          <w:szCs w:val="32"/>
          <w:lang w:val="en-US"/>
        </w:rPr>
      </w:pPr>
    </w:p>
    <w:p>
      <w:pPr>
        <w:pStyle w:val="57"/>
        <w:spacing w:after="190" w:afterLines="50" w:line="480" w:lineRule="auto"/>
        <w:ind w:firstLine="640"/>
        <w:rPr>
          <w:rFonts w:ascii="仿宋_GB2312" w:hAnsi="Times New Roman" w:eastAsia="仿宋_GB2312" w:cs="Times New Roman"/>
          <w:kern w:val="2"/>
          <w:sz w:val="32"/>
          <w:szCs w:val="32"/>
          <w:lang w:val="en-US"/>
        </w:rPr>
      </w:pPr>
    </w:p>
    <w:p>
      <w:pPr>
        <w:adjustRightInd w:val="0"/>
        <w:snapToGrid w:val="0"/>
        <w:spacing w:line="600" w:lineRule="exact"/>
        <w:ind w:firstLine="555"/>
        <w:jc w:val="left"/>
        <w:rPr>
          <w:rFonts w:ascii="仿宋_GB2312" w:eastAsia="仿宋_GB2312" w:hAnsiTheme="minorEastAsia"/>
          <w:sz w:val="28"/>
          <w:szCs w:val="28"/>
        </w:rPr>
      </w:pPr>
    </w:p>
    <w:p>
      <w:pPr>
        <w:pStyle w:val="25"/>
        <w:rPr>
          <w:rFonts w:ascii="仿宋_GB2312" w:eastAsia="仿宋_GB2312" w:hAnsiTheme="minorEastAsia"/>
          <w:sz w:val="28"/>
          <w:szCs w:val="28"/>
        </w:rPr>
      </w:pPr>
    </w:p>
    <w:p>
      <w:pPr>
        <w:pStyle w:val="25"/>
        <w:ind w:firstLine="0"/>
      </w:pPr>
    </w:p>
    <w:p>
      <w:pPr>
        <w:pStyle w:val="25"/>
        <w:ind w:firstLine="0"/>
      </w:pPr>
    </w:p>
    <w:p>
      <w:pPr>
        <w:pStyle w:val="25"/>
        <w:ind w:firstLine="0"/>
      </w:pPr>
    </w:p>
    <w:p>
      <w:pPr>
        <w:pStyle w:val="25"/>
        <w:ind w:firstLine="0"/>
      </w:pPr>
    </w:p>
    <w:p>
      <w:pPr>
        <w:pStyle w:val="25"/>
        <w:ind w:firstLine="0"/>
      </w:pPr>
    </w:p>
    <w:p>
      <w:pPr>
        <w:pStyle w:val="14"/>
        <w:numPr>
          <w:ilvl w:val="0"/>
          <w:numId w:val="4"/>
        </w:numPr>
        <w:adjustRightInd w:val="0"/>
        <w:snapToGrid w:val="0"/>
        <w:spacing w:line="300" w:lineRule="auto"/>
        <w:rPr>
          <w:rFonts w:ascii="仿宋_GB2312" w:hAnsi="仿宋_GB2312" w:eastAsia="仿宋_GB2312" w:cs="仿宋_GB2312"/>
          <w:b/>
          <w:color w:val="000000"/>
          <w:sz w:val="28"/>
          <w:szCs w:val="28"/>
          <w:lang w:val="zh-CN"/>
        </w:rPr>
      </w:pPr>
      <w:r>
        <w:rPr>
          <w:rFonts w:hint="eastAsia" w:ascii="仿宋_GB2312" w:hAnsi="仿宋_GB2312" w:eastAsia="仿宋_GB2312" w:cs="仿宋_GB2312"/>
          <w:b/>
          <w:color w:val="000000"/>
          <w:sz w:val="28"/>
          <w:szCs w:val="28"/>
          <w:lang w:val="zh-CN"/>
        </w:rPr>
        <w:t>项目技术要求</w:t>
      </w:r>
    </w:p>
    <w:p>
      <w:pPr>
        <w:pStyle w:val="14"/>
        <w:numPr>
          <w:ilvl w:val="0"/>
          <w:numId w:val="5"/>
        </w:numPr>
        <w:adjustRightInd w:val="0"/>
        <w:snapToGrid w:val="0"/>
        <w:spacing w:line="300" w:lineRule="auto"/>
        <w:ind w:hanging="720" w:firstLineChars="0"/>
        <w:rPr>
          <w:rFonts w:ascii="仿宋_GB2312" w:hAnsi="仿宋_GB2312" w:eastAsia="仿宋_GB2312" w:cs="仿宋_GB2312"/>
          <w:color w:val="000000"/>
          <w:sz w:val="28"/>
          <w:szCs w:val="28"/>
        </w:rPr>
      </w:pPr>
      <w:r>
        <w:rPr>
          <w:rFonts w:ascii="仿宋_GB2312" w:hAnsi="仿宋_GB2312" w:eastAsia="仿宋_GB2312" w:cs="仿宋_GB2312"/>
          <w:bCs/>
          <w:color w:val="000000"/>
          <w:sz w:val="28"/>
          <w:szCs w:val="28"/>
        </w:rPr>
        <w:t>采购清单</w:t>
      </w:r>
      <w:r>
        <w:rPr>
          <w:rFonts w:ascii="仿宋_GB2312" w:hAnsi="仿宋_GB2312" w:eastAsia="仿宋_GB2312" w:cs="仿宋_GB2312"/>
          <w:color w:val="000000"/>
          <w:sz w:val="28"/>
          <w:szCs w:val="28"/>
        </w:rPr>
        <w:t xml:space="preserve">  </w:t>
      </w:r>
    </w:p>
    <w:p>
      <w:pPr>
        <w:pStyle w:val="14"/>
        <w:numPr>
          <w:ilvl w:val="0"/>
          <w:numId w:val="5"/>
        </w:numPr>
        <w:adjustRightInd w:val="0"/>
        <w:snapToGrid w:val="0"/>
        <w:spacing w:line="300" w:lineRule="auto"/>
        <w:rPr>
          <w:rFonts w:ascii="仿宋_GB2312" w:hAnsi="仿宋_GB2312" w:eastAsia="仿宋_GB2312" w:cs="仿宋_GB2312"/>
          <w:bCs/>
          <w:color w:val="000000"/>
          <w:sz w:val="28"/>
          <w:szCs w:val="28"/>
        </w:rPr>
      </w:pPr>
      <w:r>
        <w:rPr>
          <w:rFonts w:ascii="仿宋_GB2312" w:hAnsi="仿宋_GB2312" w:eastAsia="仿宋_GB2312" w:cs="仿宋_GB2312"/>
          <w:color w:val="000000"/>
          <w:sz w:val="28"/>
          <w:szCs w:val="28"/>
        </w:rPr>
        <w:t xml:space="preserve"> </w:t>
      </w:r>
    </w:p>
    <w:tbl>
      <w:tblPr>
        <w:tblStyle w:val="26"/>
        <w:tblW w:w="8668" w:type="dxa"/>
        <w:jc w:val="center"/>
        <w:tblLayout w:type="fixed"/>
        <w:tblCellMar>
          <w:top w:w="0" w:type="dxa"/>
          <w:left w:w="108" w:type="dxa"/>
          <w:bottom w:w="0" w:type="dxa"/>
          <w:right w:w="108" w:type="dxa"/>
        </w:tblCellMar>
      </w:tblPr>
      <w:tblGrid>
        <w:gridCol w:w="704"/>
        <w:gridCol w:w="1276"/>
        <w:gridCol w:w="567"/>
        <w:gridCol w:w="625"/>
        <w:gridCol w:w="4696"/>
        <w:gridCol w:w="780"/>
      </w:tblGrid>
      <w:tr>
        <w:tblPrEx>
          <w:tblCellMar>
            <w:top w:w="0" w:type="dxa"/>
            <w:left w:w="108" w:type="dxa"/>
            <w:bottom w:w="0" w:type="dxa"/>
            <w:right w:w="108" w:type="dxa"/>
          </w:tblCellMar>
        </w:tblPrEx>
        <w:trPr>
          <w:wAfter w:w="20" w:type="dxa"/>
          <w:trHeight w:val="72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序号</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设备名称</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数量</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单位</w:t>
            </w:r>
          </w:p>
        </w:tc>
        <w:tc>
          <w:tcPr>
            <w:tcW w:w="46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仿宋_GB2312" w:cs="微软雅黑"/>
                <w:b/>
                <w:bCs/>
                <w:color w:val="000000"/>
                <w:sz w:val="20"/>
                <w:szCs w:val="20"/>
              </w:rPr>
            </w:pPr>
            <w:r>
              <w:rPr>
                <w:rFonts w:hint="eastAsia" w:ascii="微软雅黑" w:hAnsi="微软雅黑" w:eastAsia="微软雅黑" w:cs="微软雅黑"/>
                <w:b/>
                <w:bCs/>
                <w:color w:val="000000"/>
                <w:kern w:val="0"/>
                <w:sz w:val="20"/>
                <w:szCs w:val="20"/>
                <w:lang w:bidi="ar"/>
              </w:rPr>
              <w:t>性能参数</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备注</w:t>
            </w:r>
          </w:p>
        </w:tc>
      </w:tr>
      <w:tr>
        <w:tblPrEx>
          <w:tblCellMar>
            <w:top w:w="0" w:type="dxa"/>
            <w:left w:w="108" w:type="dxa"/>
            <w:bottom w:w="0" w:type="dxa"/>
            <w:right w:w="108" w:type="dxa"/>
          </w:tblCellMar>
        </w:tblPrEx>
        <w:trPr>
          <w:wAfter w:w="20" w:type="dxa"/>
          <w:trHeight w:val="108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1_1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办公网核心交换机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1</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台</w:t>
            </w:r>
          </w:p>
        </w:tc>
        <w:tc>
          <w:tcPr>
            <w:tcW w:w="46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交换架构：Crossbar</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交换容量：38.4Tbps/168Tbps</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包转发率：7200Mpps/36000Mpps</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槽位数量：3</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接口形态：1G/10G/25G/40G/100G速率板卡</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简要参数：</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全宽主控，可提供官网安装指导</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高度5U，官网彩页</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支持FW防火墙和IPS防火墙业务卡，官网彩页；</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ARP最大容量均为256K个，可提供2018年泰尔报告</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支持的MAC最大容量均为1M个，可提供2017泰尔报告</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支持的ACL条目最大容量均为120K个，可提供2018年泰尔报告</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支持的IPv4 FIB最大容量均为3M个，支持IPv6 FIB最大容量均为1M，可提供2017年泰尔报告</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支持的端口缓存均为200ms，可提供2017年泰尔报告</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支持四框堆叠及统一管理（IRF2），可提供2017年泰尔报告</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支持1虚多技术（MDC），可提供2017年泰尔报告</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支持BFD，能够实现BFD与OSPF/VRRP联动。支持BFD 3ms最小探测间隔测试，可提供2017年泰尔报告</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支持内置智能图形化管理功能（SmartMC），对于下联设备具备统一管理的功能</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支持 EPON OLT及10G EPON OLT接口,支持10G EPON 功能，支持10G 对称和非对称 ONU，可提供2017年泰尔测试报告</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微软雅黑" w:hAnsi="微软雅黑" w:eastAsia="微软雅黑" w:cs="微软雅黑"/>
                <w:color w:val="000000"/>
                <w:sz w:val="24"/>
                <w:szCs w:val="24"/>
              </w:rPr>
            </w:pPr>
          </w:p>
        </w:tc>
      </w:tr>
      <w:tr>
        <w:tblPrEx>
          <w:tblCellMar>
            <w:top w:w="0" w:type="dxa"/>
            <w:left w:w="108" w:type="dxa"/>
            <w:bottom w:w="0" w:type="dxa"/>
            <w:right w:w="108" w:type="dxa"/>
          </w:tblCellMar>
        </w:tblPrEx>
        <w:trPr>
          <w:wAfter w:w="20" w:type="dxa"/>
          <w:trHeight w:val="108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1_2</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办公网16口接入交换机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6</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台</w:t>
            </w:r>
          </w:p>
        </w:tc>
        <w:tc>
          <w:tcPr>
            <w:tcW w:w="46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可网管的千兆以太网交换机。</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1、交换容量≥336Gbps，包转发率≥</w:t>
            </w:r>
            <w:r>
              <w:rPr>
                <w:rFonts w:ascii="微软雅黑" w:hAnsi="微软雅黑" w:eastAsia="微软雅黑" w:cs="微软雅黑"/>
                <w:color w:val="000000"/>
                <w:kern w:val="0"/>
                <w:sz w:val="18"/>
                <w:szCs w:val="18"/>
                <w:lang w:bidi="ar"/>
              </w:rPr>
              <w:t>114</w:t>
            </w:r>
            <w:r>
              <w:rPr>
                <w:rFonts w:hint="eastAsia" w:ascii="微软雅黑" w:hAnsi="微软雅黑" w:eastAsia="微软雅黑" w:cs="微软雅黑"/>
                <w:color w:val="000000"/>
                <w:kern w:val="0"/>
                <w:sz w:val="18"/>
                <w:szCs w:val="18"/>
                <w:lang w:bidi="ar"/>
              </w:rPr>
              <w:t>Mpps（官网最小值）</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2、10/100/1000Base-T自适应以太网端口≥16个，千兆SFP口≥4个；</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3、支持基于端口的VLAN，支持基于协议的VLAN；</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4、支持ERPS功能，收敛时间小于50ms；</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5、支持IPv4/IPV6双栈管理和转发，支持静态路由协议和RIP、OSPF等路由协议，支持丰富的管理和安全特性；</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 xml:space="preserve">6、支持内置智能图形化管理功能，能够实现通过图形化界面设备配置及命令一键下发和版本智能升级，全局配置及网管口配置，设备升级备份、监控及设备故障替换，组网拓扑可视及管理、设备列表展示等功能。 </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微软雅黑" w:hAnsi="微软雅黑" w:eastAsia="微软雅黑" w:cs="微软雅黑"/>
                <w:color w:val="000000"/>
                <w:sz w:val="24"/>
                <w:szCs w:val="24"/>
              </w:rPr>
            </w:pPr>
          </w:p>
        </w:tc>
      </w:tr>
      <w:tr>
        <w:tblPrEx>
          <w:tblCellMar>
            <w:top w:w="0" w:type="dxa"/>
            <w:left w:w="108" w:type="dxa"/>
            <w:bottom w:w="0" w:type="dxa"/>
            <w:right w:w="108" w:type="dxa"/>
          </w:tblCellMar>
        </w:tblPrEx>
        <w:trPr>
          <w:wAfter w:w="20" w:type="dxa"/>
          <w:trHeight w:val="108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1_3</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办公网16口POE接入交换机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9</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台</w:t>
            </w:r>
          </w:p>
        </w:tc>
        <w:tc>
          <w:tcPr>
            <w:tcW w:w="46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可网管的千兆以太网交换机。</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1、交换容量≥336Gbps，包转发率≥</w:t>
            </w:r>
            <w:r>
              <w:rPr>
                <w:rFonts w:ascii="微软雅黑" w:hAnsi="微软雅黑" w:eastAsia="微软雅黑" w:cs="微软雅黑"/>
                <w:color w:val="000000"/>
                <w:kern w:val="0"/>
                <w:sz w:val="18"/>
                <w:szCs w:val="18"/>
                <w:lang w:bidi="ar"/>
              </w:rPr>
              <w:t>114</w:t>
            </w:r>
            <w:r>
              <w:rPr>
                <w:rFonts w:hint="eastAsia" w:ascii="微软雅黑" w:hAnsi="微软雅黑" w:eastAsia="微软雅黑" w:cs="微软雅黑"/>
                <w:color w:val="000000"/>
                <w:kern w:val="0"/>
                <w:sz w:val="18"/>
                <w:szCs w:val="18"/>
                <w:lang w:bidi="ar"/>
              </w:rPr>
              <w:t>Mpps（官网最小值）</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2、10/100/1000Base-T电口≥16个，千兆SFP口≥4个；</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3、支持802.3at/POE+供电标准，单端口最大支持30W,整机POE功率≥170W；</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4、支持基于端口的VLAN，支持基于协议的VLAN；</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5、支持ERPS功能，收敛时间小于50ms；</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6、支持IPv4/IPV6双栈管理和转发，支持静态路由协议和RIP、OSPF等路由协议，支持丰富的管理和安全特性；</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 xml:space="preserve">7、支持内置智能图形化管理功能，能够实现通过图形化界面设备配置及命令一键下发和版本智能升级，全局配置及网管口配置，设备升级备份、监控及设备故障替换，组网拓扑可视及管理、设备列表展示等功能。 </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微软雅黑" w:hAnsi="微软雅黑" w:eastAsia="微软雅黑" w:cs="微软雅黑"/>
                <w:color w:val="000000"/>
                <w:sz w:val="24"/>
                <w:szCs w:val="24"/>
              </w:rPr>
            </w:pPr>
          </w:p>
        </w:tc>
      </w:tr>
      <w:tr>
        <w:tblPrEx>
          <w:tblCellMar>
            <w:top w:w="0" w:type="dxa"/>
            <w:left w:w="108" w:type="dxa"/>
            <w:bottom w:w="0" w:type="dxa"/>
            <w:right w:w="108" w:type="dxa"/>
          </w:tblCellMar>
        </w:tblPrEx>
        <w:trPr>
          <w:wAfter w:w="20" w:type="dxa"/>
          <w:trHeight w:val="108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1_4</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办公网24口POE交换机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1</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台</w:t>
            </w:r>
          </w:p>
        </w:tc>
        <w:tc>
          <w:tcPr>
            <w:tcW w:w="46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可网管的千兆以太网交换机。</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1、交换容量≥336Gbps，包转发率≥1</w:t>
            </w:r>
            <w:r>
              <w:rPr>
                <w:rFonts w:ascii="微软雅黑" w:hAnsi="微软雅黑" w:eastAsia="微软雅黑" w:cs="微软雅黑"/>
                <w:color w:val="000000"/>
                <w:kern w:val="0"/>
                <w:sz w:val="18"/>
                <w:szCs w:val="18"/>
                <w:lang w:bidi="ar"/>
              </w:rPr>
              <w:t>26</w:t>
            </w:r>
            <w:r>
              <w:rPr>
                <w:rFonts w:hint="eastAsia" w:ascii="微软雅黑" w:hAnsi="微软雅黑" w:eastAsia="微软雅黑" w:cs="微软雅黑"/>
                <w:color w:val="000000"/>
                <w:kern w:val="0"/>
                <w:sz w:val="18"/>
                <w:szCs w:val="18"/>
                <w:lang w:bidi="ar"/>
              </w:rPr>
              <w:t>Mpps（官网最小值）</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2、10/100/1000Base-T电口≥24个（其中GE combo口≥4个），万兆SFP+口≥4个；</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3、支持802.3at/POE+供电标准，单端口最大支持30W,整机POE功率≥370W；</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4、支持基于端口的VLAN，支持基于协议的VLAN；</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5、支持ERPS功能，收敛时间小于50ms；</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6、支持IPv4/IPV6双栈管理和转发，支持静态路由协议和RIP、OSPF等路由协议，支持丰富的管理和安全特性；</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 xml:space="preserve">7、支持内置智能图形化管理功能，能够实现通过图形化界面设备配置及命令一键下发和版本智能升级，全局配置及网管口配置，设备升级备份、监控及设备故障替换，组网拓扑可视及管理、设备列表展示等功能。 </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微软雅黑" w:hAnsi="微软雅黑" w:eastAsia="微软雅黑" w:cs="微软雅黑"/>
                <w:color w:val="000000"/>
                <w:sz w:val="24"/>
                <w:szCs w:val="24"/>
              </w:rPr>
            </w:pPr>
          </w:p>
        </w:tc>
      </w:tr>
      <w:tr>
        <w:tblPrEx>
          <w:tblCellMar>
            <w:top w:w="0" w:type="dxa"/>
            <w:left w:w="108" w:type="dxa"/>
            <w:bottom w:w="0" w:type="dxa"/>
            <w:right w:w="108" w:type="dxa"/>
          </w:tblCellMar>
        </w:tblPrEx>
        <w:trPr>
          <w:wAfter w:w="20" w:type="dxa"/>
          <w:trHeight w:val="108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1_5</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办公网8口POE交换机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3</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台</w:t>
            </w:r>
          </w:p>
        </w:tc>
        <w:tc>
          <w:tcPr>
            <w:tcW w:w="46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可网管的千兆以太网交换机。</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1、交换容量≥336Gbps，包转发率≥</w:t>
            </w:r>
            <w:r>
              <w:rPr>
                <w:rFonts w:ascii="微软雅黑" w:hAnsi="微软雅黑" w:eastAsia="微软雅黑" w:cs="微软雅黑"/>
                <w:color w:val="000000"/>
                <w:kern w:val="0"/>
                <w:sz w:val="18"/>
                <w:szCs w:val="18"/>
                <w:lang w:bidi="ar"/>
              </w:rPr>
              <w:t>102</w:t>
            </w:r>
            <w:r>
              <w:rPr>
                <w:rFonts w:hint="eastAsia" w:ascii="微软雅黑" w:hAnsi="微软雅黑" w:eastAsia="微软雅黑" w:cs="微软雅黑"/>
                <w:color w:val="000000"/>
                <w:kern w:val="0"/>
                <w:sz w:val="18"/>
                <w:szCs w:val="18"/>
                <w:lang w:bidi="ar"/>
              </w:rPr>
              <w:t>Mpps（官网最小值）</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2、10/100/1000Base-T电口≥8个，千兆SFP口≥2个；</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3、支持802.3at/POE+供电标准，单端口最大支持30W,整机POE功率≥125W；</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4、支持基于端口的VLAN，支持基于协议的VLAN；</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5、支持ERPS功能，收敛时间小于50ms；</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6、支持IPv4/IPV6双栈管理和转发，支持静态路由协议和RIP、OSPF等路由协议，支持丰富的管理和安全特性；</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 xml:space="preserve">7、支持内置智能图形化管理功能，能够实现通过图形化界面设备配置及命令一键下发和版本智能升级，全局配置及网管口配置，设备升级备份、监控及设备故障替换，组网拓扑可视及管理、设备列表展示等功能。 </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微软雅黑" w:hAnsi="微软雅黑" w:eastAsia="微软雅黑" w:cs="微软雅黑"/>
                <w:color w:val="000000"/>
                <w:sz w:val="24"/>
                <w:szCs w:val="24"/>
              </w:rPr>
            </w:pPr>
          </w:p>
        </w:tc>
      </w:tr>
      <w:tr>
        <w:tblPrEx>
          <w:tblCellMar>
            <w:top w:w="0" w:type="dxa"/>
            <w:left w:w="108" w:type="dxa"/>
            <w:bottom w:w="0" w:type="dxa"/>
            <w:right w:w="108" w:type="dxa"/>
          </w:tblCellMar>
        </w:tblPrEx>
        <w:trPr>
          <w:wAfter w:w="20" w:type="dxa"/>
          <w:trHeight w:val="108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1_6</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办公网24口接入交换机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4</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台</w:t>
            </w:r>
          </w:p>
        </w:tc>
        <w:tc>
          <w:tcPr>
            <w:tcW w:w="46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可网管的千兆以太网交换机。</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1、交换容量≥336Gbps，包转发率≥</w:t>
            </w:r>
            <w:r>
              <w:rPr>
                <w:rFonts w:ascii="微软雅黑" w:hAnsi="微软雅黑" w:eastAsia="微软雅黑" w:cs="微软雅黑"/>
                <w:color w:val="000000"/>
                <w:kern w:val="0"/>
                <w:sz w:val="18"/>
                <w:szCs w:val="18"/>
                <w:lang w:bidi="ar"/>
              </w:rPr>
              <w:t>126</w:t>
            </w:r>
            <w:r>
              <w:rPr>
                <w:rFonts w:hint="eastAsia" w:ascii="微软雅黑" w:hAnsi="微软雅黑" w:eastAsia="微软雅黑" w:cs="微软雅黑"/>
                <w:color w:val="000000"/>
                <w:kern w:val="0"/>
                <w:sz w:val="18"/>
                <w:szCs w:val="18"/>
                <w:lang w:bidi="ar"/>
              </w:rPr>
              <w:t>Mpps（官网最小值）</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2、10/100/1000Base-T自适应以太网端口≥24个，万兆SFP+口≥4个；</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3、支持基于端口的VLAN，支持基于协议的VLAN；</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4、支持ERPS功能，收敛时间小于50ms；</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5、支持IPv4/IPV6双栈管理和转发，支持静态路由协议和RIP、OSPF等路由协议，支持丰富的管理和安全特性；</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 xml:space="preserve">6、支持内置智能图形化管理功能，能够实现通过图形化界面设备配置及命令一键下发和版本智能升级，全局配置及网管口配置，设备升级备份、监控及设备故障替换，组网拓扑可视及管理、设备列表展示等功能。 </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微软雅黑" w:hAnsi="微软雅黑" w:eastAsia="微软雅黑" w:cs="微软雅黑"/>
                <w:color w:val="000000"/>
                <w:sz w:val="24"/>
                <w:szCs w:val="24"/>
              </w:rPr>
            </w:pPr>
          </w:p>
        </w:tc>
      </w:tr>
      <w:tr>
        <w:tblPrEx>
          <w:tblCellMar>
            <w:top w:w="0" w:type="dxa"/>
            <w:left w:w="108" w:type="dxa"/>
            <w:bottom w:w="0" w:type="dxa"/>
            <w:right w:w="108" w:type="dxa"/>
          </w:tblCellMar>
        </w:tblPrEx>
        <w:trPr>
          <w:wAfter w:w="20" w:type="dxa"/>
          <w:trHeight w:val="108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1_7</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办公网吸顶AP</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50</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台</w:t>
            </w:r>
          </w:p>
        </w:tc>
        <w:tc>
          <w:tcPr>
            <w:tcW w:w="46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功能描述：Wi-Fi 6光放装AP</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技术标准（ax/ac/n）：802.11ax/ac/n</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接入速率：≥2.975Gbps</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射频卡数量：2</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空间流数量：4</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参数：2.5G光口</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 xml:space="preserve">接口数量： </w:t>
            </w:r>
            <w:r>
              <w:rPr>
                <w:rFonts w:ascii="微软雅黑" w:hAnsi="微软雅黑" w:eastAsia="微软雅黑" w:cs="微软雅黑"/>
                <w:color w:val="000000"/>
                <w:kern w:val="0"/>
                <w:sz w:val="18"/>
                <w:szCs w:val="18"/>
                <w:lang w:bidi="ar"/>
              </w:rPr>
              <w:t>2 (1个2.5G/1G光口，1个10/100/1000M电口</w:t>
            </w:r>
            <w:r>
              <w:rPr>
                <w:rFonts w:hint="eastAsia" w:ascii="微软雅黑" w:hAnsi="微软雅黑" w:eastAsia="微软雅黑" w:cs="微软雅黑"/>
                <w:color w:val="000000"/>
                <w:kern w:val="0"/>
                <w:sz w:val="18"/>
                <w:szCs w:val="18"/>
                <w:lang w:bidi="ar"/>
              </w:rPr>
              <w:t>)</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天线类型： 内置全向</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形态：放装</w:t>
            </w:r>
            <w:r>
              <w:rPr>
                <w:rFonts w:hint="eastAsia" w:ascii="微软雅黑" w:hAnsi="微软雅黑" w:eastAsia="微软雅黑" w:cs="微软雅黑"/>
                <w:color w:val="000000"/>
                <w:kern w:val="0"/>
                <w:sz w:val="18"/>
                <w:szCs w:val="18"/>
                <w:lang w:bidi="ar"/>
              </w:rPr>
              <w:br w:type="textWrapping"/>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微软雅黑" w:hAnsi="微软雅黑" w:eastAsia="微软雅黑" w:cs="微软雅黑"/>
                <w:color w:val="000000"/>
                <w:sz w:val="24"/>
                <w:szCs w:val="24"/>
              </w:rPr>
            </w:pPr>
          </w:p>
        </w:tc>
      </w:tr>
      <w:tr>
        <w:tblPrEx>
          <w:tblCellMar>
            <w:top w:w="0" w:type="dxa"/>
            <w:left w:w="108" w:type="dxa"/>
            <w:bottom w:w="0" w:type="dxa"/>
            <w:right w:w="108" w:type="dxa"/>
          </w:tblCellMar>
        </w:tblPrEx>
        <w:trPr>
          <w:wAfter w:w="20" w:type="dxa"/>
          <w:trHeight w:val="108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1_8</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办公网室外AP</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8</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个</w:t>
            </w:r>
          </w:p>
        </w:tc>
        <w:tc>
          <w:tcPr>
            <w:tcW w:w="46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color w:val="000000"/>
                <w:kern w:val="0"/>
                <w:sz w:val="18"/>
                <w:szCs w:val="18"/>
                <w:lang w:bidi="ar"/>
              </w:rPr>
            </w:pPr>
            <w:r>
              <w:rPr>
                <w:rFonts w:hint="eastAsia" w:ascii="微软雅黑" w:hAnsi="微软雅黑" w:eastAsia="微软雅黑" w:cs="微软雅黑"/>
                <w:color w:val="000000"/>
                <w:kern w:val="0"/>
                <w:sz w:val="18"/>
                <w:szCs w:val="18"/>
                <w:lang w:bidi="ar"/>
              </w:rPr>
              <w:t>功能描述：室外Wi-Fi 6 AP</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技术标准（ax/ac/n）：802.11ax/ac/n</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接入速率：≥2.4Gbps</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射频卡数量：2</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空间流数量：4参数：具备内置和外置天线，支持双5G部署</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接口数量： 3</w:t>
            </w:r>
            <w:r>
              <w:rPr>
                <w:rFonts w:ascii="微软雅黑" w:hAnsi="微软雅黑" w:eastAsia="微软雅黑" w:cs="微软雅黑"/>
                <w:color w:val="000000"/>
                <w:kern w:val="0"/>
                <w:sz w:val="18"/>
                <w:szCs w:val="18"/>
                <w:lang w:bidi="ar"/>
              </w:rPr>
              <w:t>（1个1000M SFP光接口，2个10/100/1000M电口</w:t>
            </w:r>
            <w:r>
              <w:rPr>
                <w:rFonts w:hint="eastAsia" w:ascii="微软雅黑" w:hAnsi="微软雅黑" w:eastAsia="微软雅黑" w:cs="微软雅黑"/>
                <w:color w:val="000000"/>
                <w:kern w:val="0"/>
                <w:sz w:val="18"/>
                <w:szCs w:val="18"/>
                <w:lang w:bidi="ar"/>
              </w:rPr>
              <w:t>）</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天线类型： 内置定向或外置天线</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形态：放装</w:t>
            </w:r>
          </w:p>
          <w:p>
            <w:pPr>
              <w:widowControl/>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防护等级：I</w:t>
            </w:r>
            <w:r>
              <w:rPr>
                <w:rFonts w:ascii="微软雅黑" w:hAnsi="微软雅黑" w:eastAsia="微软雅黑" w:cs="微软雅黑"/>
                <w:color w:val="000000"/>
                <w:kern w:val="0"/>
                <w:sz w:val="18"/>
                <w:szCs w:val="18"/>
                <w:lang w:bidi="ar"/>
              </w:rPr>
              <w:t>P68</w:t>
            </w:r>
            <w:r>
              <w:rPr>
                <w:rFonts w:hint="eastAsia" w:ascii="微软雅黑" w:hAnsi="微软雅黑" w:eastAsia="微软雅黑" w:cs="微软雅黑"/>
                <w:color w:val="000000"/>
                <w:kern w:val="0"/>
                <w:sz w:val="18"/>
                <w:szCs w:val="18"/>
                <w:lang w:bidi="ar"/>
              </w:rPr>
              <w:br w:type="textWrapping"/>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微软雅黑" w:hAnsi="微软雅黑" w:eastAsia="微软雅黑" w:cs="微软雅黑"/>
                <w:color w:val="000000"/>
                <w:sz w:val="24"/>
                <w:szCs w:val="24"/>
              </w:rPr>
            </w:pPr>
          </w:p>
        </w:tc>
      </w:tr>
      <w:tr>
        <w:tblPrEx>
          <w:tblCellMar>
            <w:top w:w="0" w:type="dxa"/>
            <w:left w:w="108" w:type="dxa"/>
            <w:bottom w:w="0" w:type="dxa"/>
            <w:right w:w="108" w:type="dxa"/>
          </w:tblCellMar>
        </w:tblPrEx>
        <w:trPr>
          <w:wAfter w:w="20" w:type="dxa"/>
          <w:trHeight w:val="108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1_9</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办公网室外AP专用8口交换机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5</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台</w:t>
            </w:r>
          </w:p>
        </w:tc>
        <w:tc>
          <w:tcPr>
            <w:tcW w:w="46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可网管的千兆以太网交换机。</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1、交换容量≥336Gbps，包转发率≥</w:t>
            </w:r>
            <w:r>
              <w:rPr>
                <w:rFonts w:ascii="微软雅黑" w:hAnsi="微软雅黑" w:eastAsia="微软雅黑" w:cs="微软雅黑"/>
                <w:color w:val="000000"/>
                <w:kern w:val="0"/>
                <w:sz w:val="18"/>
                <w:szCs w:val="18"/>
                <w:lang w:bidi="ar"/>
              </w:rPr>
              <w:t>102</w:t>
            </w:r>
            <w:r>
              <w:rPr>
                <w:rFonts w:hint="eastAsia" w:ascii="微软雅黑" w:hAnsi="微软雅黑" w:eastAsia="微软雅黑" w:cs="微软雅黑"/>
                <w:color w:val="000000"/>
                <w:kern w:val="0"/>
                <w:sz w:val="18"/>
                <w:szCs w:val="18"/>
                <w:lang w:bidi="ar"/>
              </w:rPr>
              <w:t>Mpps（官网最小值）</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2、10/100/1000Base-T自适应以太网端口≥8个，千兆SFP口≥2个；</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3、支持基于端口的VLAN，支持基于协议的VLAN；</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4、支持ERPS功能，收敛时间小于50ms；</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5、支持IPv4/IPV6双栈管理和转发，支持静态路由协议和RIP、OSPF等路由协议，支持丰富的管理和安全特性；</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 xml:space="preserve">6、支持内置智能图形化管理功能，能够实现通过图形化界面设备配置及命令一键下发和版本智能升级，全局配置及网管口配置，设备升级备份、监控及设备故障替换，组网拓扑可视及管理、设备列表展示等功能。 </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微软雅黑" w:hAnsi="微软雅黑" w:eastAsia="微软雅黑" w:cs="微软雅黑"/>
                <w:color w:val="000000"/>
                <w:sz w:val="24"/>
                <w:szCs w:val="24"/>
              </w:rPr>
            </w:pPr>
          </w:p>
        </w:tc>
      </w:tr>
      <w:tr>
        <w:tblPrEx>
          <w:tblCellMar>
            <w:top w:w="0" w:type="dxa"/>
            <w:left w:w="108" w:type="dxa"/>
            <w:bottom w:w="0" w:type="dxa"/>
            <w:right w:w="108" w:type="dxa"/>
          </w:tblCellMar>
        </w:tblPrEx>
        <w:trPr>
          <w:wAfter w:w="20" w:type="dxa"/>
          <w:trHeight w:val="108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1_10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办公网无线控制器</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1</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台</w:t>
            </w:r>
          </w:p>
        </w:tc>
        <w:tc>
          <w:tcPr>
            <w:tcW w:w="46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color w:val="000000"/>
                <w:kern w:val="0"/>
                <w:sz w:val="18"/>
                <w:szCs w:val="18"/>
                <w:lang w:bidi="ar"/>
              </w:rPr>
            </w:pPr>
            <w:r>
              <w:rPr>
                <w:rFonts w:hint="eastAsia" w:ascii="微软雅黑" w:hAnsi="微软雅黑" w:eastAsia="微软雅黑" w:cs="微软雅黑"/>
                <w:color w:val="000000"/>
                <w:kern w:val="0"/>
                <w:sz w:val="18"/>
                <w:szCs w:val="18"/>
                <w:lang w:bidi="ar"/>
              </w:rPr>
              <w:t>要求能与现网无线控制器H</w:t>
            </w:r>
            <w:r>
              <w:rPr>
                <w:rFonts w:ascii="微软雅黑" w:hAnsi="微软雅黑" w:eastAsia="微软雅黑" w:cs="微软雅黑"/>
                <w:color w:val="000000"/>
                <w:kern w:val="0"/>
                <w:sz w:val="18"/>
                <w:szCs w:val="18"/>
                <w:lang w:bidi="ar"/>
              </w:rPr>
              <w:t>3C WX2560</w:t>
            </w:r>
            <w:r>
              <w:rPr>
                <w:rFonts w:hint="eastAsia" w:ascii="微软雅黑" w:hAnsi="微软雅黑" w:eastAsia="微软雅黑" w:cs="微软雅黑"/>
                <w:color w:val="000000"/>
                <w:kern w:val="0"/>
                <w:sz w:val="18"/>
                <w:szCs w:val="18"/>
                <w:lang w:bidi="ar"/>
              </w:rPr>
              <w:t>做双机热备</w:t>
            </w:r>
            <w:r>
              <w:rPr>
                <w:rFonts w:ascii="微软雅黑" w:hAnsi="微软雅黑" w:eastAsia="微软雅黑" w:cs="微软雅黑"/>
                <w:color w:val="000000"/>
                <w:kern w:val="0"/>
                <w:sz w:val="18"/>
                <w:szCs w:val="18"/>
                <w:lang w:bidi="ar"/>
              </w:rPr>
              <w:t>，</w:t>
            </w:r>
            <w:r>
              <w:rPr>
                <w:rFonts w:hint="eastAsia" w:ascii="微软雅黑" w:hAnsi="微软雅黑" w:eastAsia="微软雅黑" w:cs="微软雅黑"/>
                <w:color w:val="000000"/>
                <w:kern w:val="0"/>
                <w:sz w:val="18"/>
                <w:szCs w:val="18"/>
                <w:lang w:bidi="ar"/>
              </w:rPr>
              <w:t>能共享一套A</w:t>
            </w:r>
            <w:r>
              <w:rPr>
                <w:rFonts w:ascii="微软雅黑" w:hAnsi="微软雅黑" w:eastAsia="微软雅黑" w:cs="微软雅黑"/>
                <w:color w:val="000000"/>
                <w:kern w:val="0"/>
                <w:sz w:val="18"/>
                <w:szCs w:val="18"/>
                <w:lang w:bidi="ar"/>
              </w:rPr>
              <w:t>P</w:t>
            </w:r>
            <w:r>
              <w:rPr>
                <w:rFonts w:hint="eastAsia" w:ascii="微软雅黑" w:hAnsi="微软雅黑" w:eastAsia="微软雅黑" w:cs="微软雅黑"/>
                <w:color w:val="000000"/>
                <w:kern w:val="0"/>
                <w:sz w:val="18"/>
                <w:szCs w:val="18"/>
                <w:lang w:bidi="ar"/>
              </w:rPr>
              <w:t>授权</w:t>
            </w:r>
          </w:p>
          <w:p>
            <w:pPr>
              <w:widowControl/>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为了满足设备的稳定性，要求所投产品支持双电源冗余供电</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接口数量： WAN: 2*2.5G</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LAN: 8*GE + 2*SFP+</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（所有端口可LAN/WAN切换。）</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要求所投产品支持常规AP最大数量≥144</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 xml:space="preserve">             要求所投产品集中转发性能≥10Gbps </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微软雅黑" w:hAnsi="微软雅黑" w:eastAsia="微软雅黑" w:cs="微软雅黑"/>
                <w:color w:val="000000"/>
                <w:sz w:val="24"/>
                <w:szCs w:val="24"/>
              </w:rPr>
            </w:pPr>
          </w:p>
        </w:tc>
      </w:tr>
      <w:tr>
        <w:tblPrEx>
          <w:tblCellMar>
            <w:top w:w="0" w:type="dxa"/>
            <w:left w:w="108" w:type="dxa"/>
            <w:bottom w:w="0" w:type="dxa"/>
            <w:right w:w="108" w:type="dxa"/>
          </w:tblCellMar>
        </w:tblPrEx>
        <w:trPr>
          <w:wAfter w:w="20" w:type="dxa"/>
          <w:trHeight w:val="108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1_11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办公网网络管理软件</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1</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套</w:t>
            </w:r>
          </w:p>
        </w:tc>
        <w:tc>
          <w:tcPr>
            <w:tcW w:w="46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简要参数：</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1）多平台支持：支持Windows、Linux平台、麒麟等国产操作系统，及MS SQL、Oracle、达梦等数据库，支持B/S架构。</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2）支持自定义用户主页：管理员可以首页中通过拖拽，自定义需要在首页展示页面，同时支持Widget扩展。</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3）自动发现拓扑：自动发现网络中的所有网络设备，并在拓扑中显示出来，支持拓扑图自定义修改，包括设备、链路等。</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4）故障管理：支持对全网设备告警的实时监控和统一浏览；支持多种提醒方式，如告警实时提醒（告警板）、告警音响提示；支持多种转发方式，比如转E-mail，转短信，转上级网管或其它网管等。支持告警分析，可以屏蔽重复告警、闪断告警，支持告警自动确认功能；</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5）性能管理：支持基于任务的性能监控，可定制监控任务，长期监控网络性能，可以形成日报、周报、月报等报表。支持定制性能阈值，可以为监控的性能指标设置两级阈值，当性能指标超过阈值时根据不同的阈值发送不同级别的告警。</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6）提供直观的设备的面板视图：支持设备面板的显示、定时刷新、面板缩放功能，通过面板管理，网络管理人员可以直观地看到设备、板卡、端口的工作状态；并提供基于设备面板的设备、单板、端口配置功能。</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 xml:space="preserve">7）支持设备配置集中管理：配置库包括配置文件和配置片断，配置内容可带有参数，在部署时根据设备的差异设置不同的值；配置文件可部署到设备的启动配置或者运行配置；配置片断只能部署到设备的运行配置； </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 xml:space="preserve">8）用户分权管理：可以为不同的管理员设置不同的用户名、密码，并限制管理员的管理权限和管理范围，实现用户分权管理。 </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微软雅黑" w:hAnsi="微软雅黑" w:eastAsia="微软雅黑" w:cs="微软雅黑"/>
                <w:color w:val="000000"/>
                <w:sz w:val="24"/>
                <w:szCs w:val="24"/>
              </w:rPr>
            </w:pPr>
          </w:p>
        </w:tc>
      </w:tr>
      <w:tr>
        <w:tblPrEx>
          <w:tblCellMar>
            <w:top w:w="0" w:type="dxa"/>
            <w:left w:w="108" w:type="dxa"/>
            <w:bottom w:w="0" w:type="dxa"/>
            <w:right w:w="108" w:type="dxa"/>
          </w:tblCellMar>
        </w:tblPrEx>
        <w:trPr>
          <w:wAfter w:w="20" w:type="dxa"/>
          <w:trHeight w:val="108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1_12</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办公网网络管理平台硬件</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1</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套</w:t>
            </w:r>
          </w:p>
        </w:tc>
        <w:tc>
          <w:tcPr>
            <w:tcW w:w="46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color w:val="000000"/>
                <w:kern w:val="0"/>
                <w:sz w:val="18"/>
                <w:szCs w:val="18"/>
                <w:lang w:bidi="ar"/>
              </w:rPr>
            </w:pP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 xml:space="preserve"> 2U两路机架式服务器, 支持多达32个DDR4内存插槽，速率最高支持3200MT/s，支持RDIMM或LRDIMM；板载1个1Gbps 独立远程管理控制端口，支持HDM无代理管理工具 (带独立管理端口); 本次配置</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 xml:space="preserve">CPU：数量 2、主频 2.4GHz、物理核数16C; </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内存： 4*32</w:t>
            </w:r>
            <w:r>
              <w:rPr>
                <w:rFonts w:ascii="微软雅黑" w:hAnsi="微软雅黑" w:eastAsia="微软雅黑" w:cs="微软雅黑"/>
                <w:color w:val="000000"/>
                <w:kern w:val="0"/>
                <w:sz w:val="18"/>
                <w:szCs w:val="18"/>
                <w:lang w:bidi="ar"/>
              </w:rPr>
              <w:t>GB</w:t>
            </w:r>
            <w:r>
              <w:rPr>
                <w:rFonts w:hint="eastAsia" w:ascii="微软雅黑" w:hAnsi="微软雅黑" w:eastAsia="微软雅黑" w:cs="微软雅黑"/>
                <w:color w:val="000000"/>
                <w:kern w:val="0"/>
                <w:sz w:val="18"/>
                <w:szCs w:val="18"/>
                <w:lang w:bidi="ar"/>
              </w:rPr>
              <w:t xml:space="preserve"> DDR4 RDIMM、频率3200MHz</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硬盘：</w:t>
            </w:r>
          </w:p>
          <w:p>
            <w:pPr>
              <w:widowControl/>
              <w:jc w:val="left"/>
              <w:textAlignment w:val="center"/>
              <w:rPr>
                <w:rFonts w:ascii="微软雅黑" w:hAnsi="微软雅黑" w:eastAsia="微软雅黑" w:cs="微软雅黑"/>
                <w:color w:val="000000"/>
                <w:kern w:val="0"/>
                <w:sz w:val="18"/>
                <w:szCs w:val="18"/>
                <w:lang w:bidi="ar"/>
              </w:rPr>
            </w:pPr>
            <w:r>
              <w:rPr>
                <w:rFonts w:hint="eastAsia" w:ascii="微软雅黑" w:hAnsi="微软雅黑" w:eastAsia="微软雅黑" w:cs="微软雅黑"/>
                <w:color w:val="000000"/>
                <w:kern w:val="0"/>
                <w:sz w:val="18"/>
                <w:szCs w:val="18"/>
                <w:lang w:bidi="ar"/>
              </w:rPr>
              <w:t>数量 为2、类型 HDD、转速10K、单盘容量1.2TB;</w:t>
            </w:r>
            <w:r>
              <w:rPr>
                <w:rFonts w:ascii="微软雅黑" w:hAnsi="微软雅黑" w:eastAsia="微软雅黑" w:cs="微软雅黑"/>
                <w:color w:val="000000"/>
                <w:kern w:val="0"/>
                <w:sz w:val="18"/>
                <w:szCs w:val="18"/>
                <w:lang w:bidi="ar"/>
              </w:rPr>
              <w:t xml:space="preserve"> </w:t>
            </w:r>
          </w:p>
          <w:p>
            <w:pPr>
              <w:widowControl/>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 xml:space="preserve">数量 为2、类型 SSD、单盘容量960GB; </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 xml:space="preserve">Raid卡：数量 1、缓存 2GB、支持Raid级别：RAID 0,RAID 1,RAID 10,RAID 5,RAID 6,RAID 50,RAID 60,RAID 1ADM,RAID 10(ADM); </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 xml:space="preserve">4端口千兆电接口网卡-360T-B2; </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 xml:space="preserve">2 * 800W交流&amp;240V高压直流电源模块6 个风扇模块; </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微软雅黑" w:hAnsi="微软雅黑" w:eastAsia="微软雅黑" w:cs="微软雅黑"/>
                <w:color w:val="000000"/>
                <w:sz w:val="24"/>
                <w:szCs w:val="24"/>
              </w:rPr>
            </w:pPr>
          </w:p>
        </w:tc>
      </w:tr>
      <w:tr>
        <w:tblPrEx>
          <w:tblCellMar>
            <w:top w:w="0" w:type="dxa"/>
            <w:left w:w="108" w:type="dxa"/>
            <w:bottom w:w="0" w:type="dxa"/>
            <w:right w:w="108" w:type="dxa"/>
          </w:tblCellMar>
        </w:tblPrEx>
        <w:trPr>
          <w:wAfter w:w="20" w:type="dxa"/>
          <w:trHeight w:val="108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1_15</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办公网上网行为管理</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1</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套</w:t>
            </w:r>
          </w:p>
        </w:tc>
        <w:tc>
          <w:tcPr>
            <w:tcW w:w="46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pPr>
            <w:r>
              <w:rPr>
                <w:rFonts w:hint="eastAsia"/>
              </w:rPr>
              <w:br w:type="textWrapping"/>
            </w:r>
            <w:r>
              <w:rPr>
                <w:rFonts w:hint="eastAsia"/>
              </w:rPr>
              <w:t>吞吐性能：2G</w:t>
            </w:r>
            <w:r>
              <w:rPr>
                <w:rFonts w:hint="eastAsia"/>
              </w:rPr>
              <w:br w:type="textWrapping"/>
            </w:r>
            <w:r>
              <w:rPr>
                <w:rFonts w:hint="eastAsia"/>
              </w:rPr>
              <w:t>新建连接数：8000</w:t>
            </w:r>
            <w:r>
              <w:rPr>
                <w:rFonts w:hint="eastAsia"/>
              </w:rPr>
              <w:br w:type="textWrapping"/>
            </w:r>
            <w:r>
              <w:rPr>
                <w:rFonts w:hint="eastAsia"/>
              </w:rPr>
              <w:t>并发连接数：80W</w:t>
            </w:r>
            <w:r>
              <w:rPr>
                <w:rFonts w:hint="eastAsia"/>
              </w:rPr>
              <w:br w:type="textWrapping"/>
            </w:r>
            <w:r>
              <w:rPr>
                <w:rFonts w:hint="eastAsia"/>
              </w:rPr>
              <w:t>固化接口形态及插槽：4GE（Combo）+10GE（电） 1TF卡扩展</w:t>
            </w:r>
            <w:r>
              <w:rPr>
                <w:rFonts w:hint="eastAsia"/>
              </w:rPr>
              <w:br w:type="textWrapping"/>
            </w:r>
            <w:r>
              <w:rPr>
                <w:rFonts w:hint="eastAsia"/>
              </w:rPr>
              <w:t>简要参数：</w:t>
            </w:r>
            <w:r>
              <w:rPr>
                <w:rFonts w:hint="eastAsia"/>
              </w:rPr>
              <w:br w:type="textWrapping"/>
            </w:r>
            <w:r>
              <w:rPr>
                <w:rFonts w:hint="eastAsia"/>
              </w:rPr>
              <w:t>机架式独立硬件设备，系统硬件为全内置封闭式结构，稳定可靠，加电即可运行，启动过程无须人工干预。多核MIPS架构设计，不允许采用X86架构，功能采用模块化结构设计1、产品支持应用特征库数量不低于7100+， 2、支持用户上网应用的精细化控制，例如微信的：“微信”“微信语音”“微信发消息”“微信收消息”“微信登录”“微信发文件”“微信收文件” 3、支持移动终端发现管理，可一键添加为信任终端、发现终端后可邮件告警/冻结等，支持趋势图呈现移动终端接入趋势及列表详情等</w:t>
            </w:r>
            <w:r>
              <w:rPr>
                <w:rFonts w:hint="eastAsia"/>
              </w:rPr>
              <w:br w:type="textWrapping"/>
            </w:r>
            <w:r>
              <w:rPr>
                <w:rFonts w:hint="eastAsia"/>
              </w:rPr>
              <w:t xml:space="preserve">4、支持用户虚拟身份画像，以时间轴的形式展示用户上网行为轨迹；支持单用户全天行为分析报表，一个界面同时展示用户名、用户组、在线时长、虚拟身份（如QQ号码、微博账号等）、日志关联情况、全天流量使用分布、网站访问类别分布、全天关键网络行为轴等信息，支持对单用户进行网站访问质量检测， </w:t>
            </w:r>
            <w:r>
              <w:rPr>
                <w:rFonts w:hint="eastAsia"/>
              </w:rPr>
              <w:br w:type="textWrapping"/>
            </w:r>
            <w:r>
              <w:rPr>
                <w:rFonts w:hint="eastAsia"/>
              </w:rPr>
              <w:t>5、产品需解决安全合规要求，支持集中和独立两种与当地网监对接方式，支持任子行、派博、虹旭、爱思、锐安、宽广智通、网博、云辰、携网、兆物、恒邦、中新、博网、美亚柏科、盛世光明、烽火科技、中科新业、新网程、网盾、海康、白虹、西软、兴容、佰安、珠海网盈以上厂商的非经对接， 6、支持下一代防火墙IPS、AV、WAF、弱密码扫描、SSL VPN、负载均衡等一系列能力， 7、支持文件缓存，支持安卓和IOS形式的文件，主动缓存文件形式包含APP应用等</w:t>
            </w:r>
            <w:r>
              <w:rPr>
                <w:rFonts w:hint="eastAsia"/>
              </w:rPr>
              <w:br w:type="textWrapping"/>
            </w:r>
            <w:r>
              <w:rPr>
                <w:rFonts w:hint="eastAsia"/>
              </w:rPr>
              <w:t xml:space="preserve">8、支持对内网资产的IP、用户、部门、操作系统、重要程度、可用服务、是否可信进行统一梳理，发现问题资产支持阻断IP </w:t>
            </w:r>
            <w:r>
              <w:rPr>
                <w:rFonts w:hint="eastAsia"/>
              </w:rPr>
              <w:br w:type="textWrapping"/>
            </w:r>
            <w:r>
              <w:rPr>
                <w:rFonts w:hint="eastAsia"/>
              </w:rPr>
              <w:t xml:space="preserve">9、为简化设备运维工作量，产品需支持策略分组并可按照区域划分管理和自动化运维能力，包含但不限于分析冗余策略、隐藏策略、冲突策略、空策略、无效策略， </w:t>
            </w:r>
          </w:p>
          <w:p>
            <w:pPr>
              <w:pStyle w:val="12"/>
            </w:pPr>
            <w:r>
              <w:rPr>
                <w:rFonts w:hint="eastAsia" w:ascii="宋体" w:hAnsi="宋体" w:eastAsia="宋体" w:cs="宋体"/>
                <w:sz w:val="24"/>
                <w:szCs w:val="24"/>
              </w:rPr>
              <w:t>10.</w:t>
            </w:r>
            <w:r>
              <w:rPr>
                <w:rFonts w:hint="eastAsia" w:ascii="微软雅黑" w:hAnsi="微软雅黑" w:eastAsia="微软雅黑" w:cs="微软雅黑"/>
                <w:color w:val="000000"/>
                <w:kern w:val="0"/>
                <w:sz w:val="18"/>
                <w:szCs w:val="18"/>
                <w:lang w:bidi="ar"/>
              </w:rPr>
              <w:t xml:space="preserve"> </w:t>
            </w:r>
            <w:r>
              <w:rPr>
                <w:rFonts w:hint="eastAsia"/>
              </w:rPr>
              <w:t>产品应按照《网络关键设备和网络安全专用产品目录》《信息安全技术网络安全专用产品安全技术要求》等相关国家标准强制性要求</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微软雅黑" w:hAnsi="微软雅黑" w:eastAsia="微软雅黑" w:cs="微软雅黑"/>
                <w:color w:val="000000"/>
                <w:sz w:val="24"/>
                <w:szCs w:val="24"/>
              </w:rPr>
            </w:pPr>
          </w:p>
        </w:tc>
      </w:tr>
      <w:tr>
        <w:tblPrEx>
          <w:tblCellMar>
            <w:top w:w="0" w:type="dxa"/>
            <w:left w:w="108" w:type="dxa"/>
            <w:bottom w:w="0" w:type="dxa"/>
            <w:right w:w="108" w:type="dxa"/>
          </w:tblCellMar>
        </w:tblPrEx>
        <w:trPr>
          <w:wAfter w:w="20" w:type="dxa"/>
          <w:trHeight w:val="108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1_16</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监控网室外AP</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8</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个</w:t>
            </w:r>
          </w:p>
        </w:tc>
        <w:tc>
          <w:tcPr>
            <w:tcW w:w="46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color w:val="000000"/>
                <w:kern w:val="0"/>
                <w:sz w:val="18"/>
                <w:szCs w:val="18"/>
                <w:lang w:bidi="ar"/>
              </w:rPr>
            </w:pPr>
            <w:r>
              <w:rPr>
                <w:rFonts w:hint="eastAsia" w:ascii="微软雅黑" w:hAnsi="微软雅黑" w:eastAsia="微软雅黑" w:cs="微软雅黑"/>
                <w:color w:val="000000"/>
                <w:kern w:val="0"/>
                <w:sz w:val="18"/>
                <w:szCs w:val="18"/>
                <w:lang w:bidi="ar"/>
              </w:rPr>
              <w:t>功能描述：室外Wi-Fi 6 AP</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技术标准（ax/ac/n）：802.11ax/ac/n</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接入速率：2.4Gbps</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射频卡数量：2</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空间流数量：4</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参数：具备内置和外置天线，支持双5G部署</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接口数量： 3</w:t>
            </w:r>
            <w:r>
              <w:rPr>
                <w:rFonts w:ascii="微软雅黑" w:hAnsi="微软雅黑" w:eastAsia="微软雅黑" w:cs="微软雅黑"/>
                <w:color w:val="000000"/>
                <w:kern w:val="0"/>
                <w:sz w:val="18"/>
                <w:szCs w:val="18"/>
                <w:lang w:bidi="ar"/>
              </w:rPr>
              <w:t>（1个1000M SFP光接口，2个10/100/1000M电口</w:t>
            </w:r>
            <w:r>
              <w:rPr>
                <w:rFonts w:hint="eastAsia" w:ascii="微软雅黑" w:hAnsi="微软雅黑" w:eastAsia="微软雅黑" w:cs="微软雅黑"/>
                <w:color w:val="000000"/>
                <w:kern w:val="0"/>
                <w:sz w:val="18"/>
                <w:szCs w:val="18"/>
                <w:lang w:bidi="ar"/>
              </w:rPr>
              <w:t>）</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天线类型： 内置定向或外置天线</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形态：放装</w:t>
            </w:r>
          </w:p>
          <w:p>
            <w:pPr>
              <w:widowControl/>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防护等级：I</w:t>
            </w:r>
            <w:r>
              <w:rPr>
                <w:rFonts w:ascii="微软雅黑" w:hAnsi="微软雅黑" w:eastAsia="微软雅黑" w:cs="微软雅黑"/>
                <w:color w:val="000000"/>
                <w:kern w:val="0"/>
                <w:sz w:val="18"/>
                <w:szCs w:val="18"/>
                <w:lang w:bidi="ar"/>
              </w:rPr>
              <w:t>P68</w:t>
            </w:r>
            <w:r>
              <w:rPr>
                <w:rFonts w:hint="eastAsia" w:ascii="微软雅黑" w:hAnsi="微软雅黑" w:eastAsia="微软雅黑" w:cs="微软雅黑"/>
                <w:color w:val="000000"/>
                <w:kern w:val="0"/>
                <w:sz w:val="18"/>
                <w:szCs w:val="18"/>
                <w:lang w:bidi="ar"/>
              </w:rPr>
              <w:br w:type="textWrapping"/>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微软雅黑" w:hAnsi="微软雅黑" w:eastAsia="微软雅黑" w:cs="微软雅黑"/>
                <w:color w:val="000000"/>
                <w:sz w:val="24"/>
                <w:szCs w:val="24"/>
              </w:rPr>
            </w:pPr>
          </w:p>
        </w:tc>
      </w:tr>
      <w:tr>
        <w:tblPrEx>
          <w:tblCellMar>
            <w:top w:w="0" w:type="dxa"/>
            <w:left w:w="108" w:type="dxa"/>
            <w:bottom w:w="0" w:type="dxa"/>
            <w:right w:w="108" w:type="dxa"/>
          </w:tblCellMar>
        </w:tblPrEx>
        <w:trPr>
          <w:wAfter w:w="20" w:type="dxa"/>
          <w:trHeight w:val="108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1_17</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监控网无线控制器</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1</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台</w:t>
            </w:r>
          </w:p>
        </w:tc>
        <w:tc>
          <w:tcPr>
            <w:tcW w:w="46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要求能与现网无线控制器H</w:t>
            </w:r>
            <w:r>
              <w:rPr>
                <w:rFonts w:ascii="微软雅黑" w:hAnsi="微软雅黑" w:eastAsia="微软雅黑" w:cs="微软雅黑"/>
                <w:color w:val="000000"/>
                <w:kern w:val="0"/>
                <w:sz w:val="18"/>
                <w:szCs w:val="18"/>
                <w:lang w:bidi="ar"/>
              </w:rPr>
              <w:t>3C WX2560</w:t>
            </w:r>
            <w:r>
              <w:rPr>
                <w:rFonts w:hint="eastAsia" w:ascii="微软雅黑" w:hAnsi="微软雅黑" w:eastAsia="微软雅黑" w:cs="微软雅黑"/>
                <w:color w:val="000000"/>
                <w:kern w:val="0"/>
                <w:sz w:val="18"/>
                <w:szCs w:val="18"/>
                <w:lang w:bidi="ar"/>
              </w:rPr>
              <w:t>做双机热备</w:t>
            </w:r>
            <w:r>
              <w:rPr>
                <w:rFonts w:ascii="微软雅黑" w:hAnsi="微软雅黑" w:eastAsia="微软雅黑" w:cs="微软雅黑"/>
                <w:color w:val="000000"/>
                <w:kern w:val="0"/>
                <w:sz w:val="18"/>
                <w:szCs w:val="18"/>
                <w:lang w:bidi="ar"/>
              </w:rPr>
              <w:t>，</w:t>
            </w:r>
            <w:r>
              <w:rPr>
                <w:rFonts w:hint="eastAsia" w:ascii="微软雅黑" w:hAnsi="微软雅黑" w:eastAsia="微软雅黑" w:cs="微软雅黑"/>
                <w:color w:val="000000"/>
                <w:kern w:val="0"/>
                <w:sz w:val="18"/>
                <w:szCs w:val="18"/>
                <w:lang w:bidi="ar"/>
              </w:rPr>
              <w:t>能共享一套A</w:t>
            </w:r>
            <w:r>
              <w:rPr>
                <w:rFonts w:ascii="微软雅黑" w:hAnsi="微软雅黑" w:eastAsia="微软雅黑" w:cs="微软雅黑"/>
                <w:color w:val="000000"/>
                <w:kern w:val="0"/>
                <w:sz w:val="18"/>
                <w:szCs w:val="18"/>
                <w:lang w:bidi="ar"/>
              </w:rPr>
              <w:t>P</w:t>
            </w:r>
            <w:r>
              <w:rPr>
                <w:rFonts w:hint="eastAsia" w:ascii="微软雅黑" w:hAnsi="微软雅黑" w:eastAsia="微软雅黑" w:cs="微软雅黑"/>
                <w:color w:val="000000"/>
                <w:kern w:val="0"/>
                <w:sz w:val="18"/>
                <w:szCs w:val="18"/>
                <w:lang w:bidi="ar"/>
              </w:rPr>
              <w:t>授权</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参数：为了满足设备的稳定性，要求所投产品支持双电源冗余供电</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接口数量： WAN: 2*2.5G</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LAN: 8*GE + 2*SFP+</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（所有端口可LAN/WAN切换。）</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要求所投产品支持常规AP最大数量≥144</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 xml:space="preserve">             要求所投产品集中转发性能≥10Gbps </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微软雅黑" w:hAnsi="微软雅黑" w:eastAsia="微软雅黑" w:cs="微软雅黑"/>
                <w:color w:val="000000"/>
                <w:sz w:val="24"/>
                <w:szCs w:val="24"/>
              </w:rPr>
            </w:pPr>
          </w:p>
        </w:tc>
      </w:tr>
      <w:tr>
        <w:tblPrEx>
          <w:tblCellMar>
            <w:top w:w="0" w:type="dxa"/>
            <w:left w:w="108" w:type="dxa"/>
            <w:bottom w:w="0" w:type="dxa"/>
            <w:right w:w="108" w:type="dxa"/>
          </w:tblCellMar>
        </w:tblPrEx>
        <w:trPr>
          <w:wAfter w:w="20" w:type="dxa"/>
          <w:trHeight w:val="108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1_18</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监控网室外AP专用8口交换机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5</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台</w:t>
            </w:r>
          </w:p>
        </w:tc>
        <w:tc>
          <w:tcPr>
            <w:tcW w:w="46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可网管的千兆以太网交换机。</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1、交换容量≥336Gbps，包转发率≥</w:t>
            </w:r>
            <w:r>
              <w:rPr>
                <w:rFonts w:ascii="微软雅黑" w:hAnsi="微软雅黑" w:eastAsia="微软雅黑" w:cs="微软雅黑"/>
                <w:color w:val="000000"/>
                <w:kern w:val="0"/>
                <w:sz w:val="18"/>
                <w:szCs w:val="18"/>
                <w:lang w:bidi="ar"/>
              </w:rPr>
              <w:t>102</w:t>
            </w:r>
            <w:r>
              <w:rPr>
                <w:rFonts w:hint="eastAsia" w:ascii="微软雅黑" w:hAnsi="微软雅黑" w:eastAsia="微软雅黑" w:cs="微软雅黑"/>
                <w:color w:val="000000"/>
                <w:kern w:val="0"/>
                <w:sz w:val="18"/>
                <w:szCs w:val="18"/>
                <w:lang w:bidi="ar"/>
              </w:rPr>
              <w:t>Mpps（官网最小值）</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2、10/100/1000Base-T自适应以太网端口≥8个，千兆SFP口≥2个；</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3、支持基于端口的VLAN，支持基于协议的VLAN；</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4、支持ERPS功能，收敛时间小于50ms；</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5、支持IPv4/IPV6双栈管理和转发，支持静态路由协议和RIP、OSPF等路由协议，支持丰富的管理和安全特性；</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 xml:space="preserve">6、支持内置智能图形化管理功能，能够实现通过图形化界面设备配置及命令一键下发和版本智能升级，全局配置及网管口配置，设备升级备份、监控及设备故障替换，组网拓扑可视及管理、设备列表展示等功能。 </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微软雅黑" w:hAnsi="微软雅黑" w:eastAsia="微软雅黑" w:cs="微软雅黑"/>
                <w:color w:val="000000"/>
                <w:sz w:val="24"/>
                <w:szCs w:val="24"/>
              </w:rPr>
            </w:pPr>
          </w:p>
        </w:tc>
      </w:tr>
      <w:tr>
        <w:tblPrEx>
          <w:tblCellMar>
            <w:top w:w="0" w:type="dxa"/>
            <w:left w:w="108" w:type="dxa"/>
            <w:bottom w:w="0" w:type="dxa"/>
            <w:right w:w="108" w:type="dxa"/>
          </w:tblCellMar>
        </w:tblPrEx>
        <w:trPr>
          <w:wAfter w:w="20" w:type="dxa"/>
          <w:trHeight w:val="108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1_19</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监控网汇聚交换机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1</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台</w:t>
            </w:r>
          </w:p>
        </w:tc>
        <w:tc>
          <w:tcPr>
            <w:tcW w:w="46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可网管的千兆以太网交换机。</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1、交换容量≥336Gbps，包转发率≥1</w:t>
            </w:r>
            <w:r>
              <w:rPr>
                <w:rFonts w:ascii="微软雅黑" w:hAnsi="微软雅黑" w:eastAsia="微软雅黑" w:cs="微软雅黑"/>
                <w:color w:val="000000"/>
                <w:kern w:val="0"/>
                <w:sz w:val="18"/>
                <w:szCs w:val="18"/>
                <w:lang w:bidi="ar"/>
              </w:rPr>
              <w:t>26</w:t>
            </w:r>
            <w:r>
              <w:rPr>
                <w:rFonts w:hint="eastAsia" w:ascii="微软雅黑" w:hAnsi="微软雅黑" w:eastAsia="微软雅黑" w:cs="微软雅黑"/>
                <w:color w:val="000000"/>
                <w:kern w:val="0"/>
                <w:sz w:val="18"/>
                <w:szCs w:val="18"/>
                <w:lang w:bidi="ar"/>
              </w:rPr>
              <w:t>Mpps（官网最小值）</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2、100/1000 SFP光口≥24个（其中 GE combo口≥8个），万兆SFP+口≥4个；</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3、支持基于端口的VLAN，支持基于协议的VLAN；</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4、支持ERPS功能，收敛时间小于50ms；</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5、支持IPv4/IPV6双栈管理和转发，支持静态路由协议和RIP、OSPF等路由协议，支持丰富的管理和安全特性；</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 xml:space="preserve">6、支持内置智能图形化管理功能，能够实现通过图形化界面设备配置及命令一键下发和版本智能升级，全局配置及网管口配置，设备升级备份、监控及设备故障替换，组网拓扑可视及管理、设备列表展示等功能。 </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微软雅黑" w:hAnsi="微软雅黑" w:eastAsia="微软雅黑" w:cs="微软雅黑"/>
                <w:color w:val="000000"/>
                <w:sz w:val="24"/>
                <w:szCs w:val="24"/>
              </w:rPr>
            </w:pPr>
          </w:p>
        </w:tc>
      </w:tr>
      <w:tr>
        <w:tblPrEx>
          <w:tblCellMar>
            <w:top w:w="0" w:type="dxa"/>
            <w:left w:w="108" w:type="dxa"/>
            <w:bottom w:w="0" w:type="dxa"/>
            <w:right w:w="108" w:type="dxa"/>
          </w:tblCellMar>
        </w:tblPrEx>
        <w:trPr>
          <w:wAfter w:w="20" w:type="dxa"/>
          <w:trHeight w:val="108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1_20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六类网线</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40</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箱</w:t>
            </w:r>
          </w:p>
        </w:tc>
        <w:tc>
          <w:tcPr>
            <w:tcW w:w="46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六类千兆工程网线，高纯度无氧铜材质，足305米</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微软雅黑" w:hAnsi="微软雅黑" w:eastAsia="微软雅黑" w:cs="微软雅黑"/>
                <w:color w:val="000000"/>
                <w:sz w:val="24"/>
                <w:szCs w:val="24"/>
              </w:rPr>
            </w:pPr>
          </w:p>
        </w:tc>
      </w:tr>
      <w:tr>
        <w:tblPrEx>
          <w:tblCellMar>
            <w:top w:w="0" w:type="dxa"/>
            <w:left w:w="108" w:type="dxa"/>
            <w:bottom w:w="0" w:type="dxa"/>
            <w:right w:w="108" w:type="dxa"/>
          </w:tblCellMar>
        </w:tblPrEx>
        <w:trPr>
          <w:wAfter w:w="20" w:type="dxa"/>
          <w:trHeight w:val="108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1_21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光纤</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3500</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米</w:t>
            </w:r>
          </w:p>
        </w:tc>
        <w:tc>
          <w:tcPr>
            <w:tcW w:w="4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室外光纤8芯</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微软雅黑" w:hAnsi="微软雅黑" w:eastAsia="微软雅黑" w:cs="微软雅黑"/>
                <w:color w:val="000000"/>
                <w:sz w:val="24"/>
                <w:szCs w:val="24"/>
              </w:rPr>
            </w:pPr>
          </w:p>
        </w:tc>
      </w:tr>
      <w:tr>
        <w:tblPrEx>
          <w:tblCellMar>
            <w:top w:w="0" w:type="dxa"/>
            <w:left w:w="108" w:type="dxa"/>
            <w:bottom w:w="0" w:type="dxa"/>
            <w:right w:w="108" w:type="dxa"/>
          </w:tblCellMar>
        </w:tblPrEx>
        <w:trPr>
          <w:wAfter w:w="20" w:type="dxa"/>
          <w:trHeight w:val="108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1_22</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综合布线</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1</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项</w:t>
            </w:r>
          </w:p>
        </w:tc>
        <w:tc>
          <w:tcPr>
            <w:tcW w:w="4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厂区整体网络线材全部更换成六类千兆工程网线，网线布线，光纤布线以及敷设管线材等</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微软雅黑" w:hAnsi="微软雅黑" w:eastAsia="微软雅黑" w:cs="微软雅黑"/>
                <w:color w:val="000000"/>
                <w:sz w:val="24"/>
                <w:szCs w:val="24"/>
              </w:rPr>
            </w:pPr>
          </w:p>
        </w:tc>
      </w:tr>
      <w:tr>
        <w:tblPrEx>
          <w:tblCellMar>
            <w:top w:w="0" w:type="dxa"/>
            <w:left w:w="108" w:type="dxa"/>
            <w:bottom w:w="0" w:type="dxa"/>
            <w:right w:w="108" w:type="dxa"/>
          </w:tblCellMar>
        </w:tblPrEx>
        <w:trPr>
          <w:wAfter w:w="20" w:type="dxa"/>
          <w:trHeight w:val="108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1_23</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管井</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1</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项</w:t>
            </w:r>
          </w:p>
        </w:tc>
        <w:tc>
          <w:tcPr>
            <w:tcW w:w="4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户外网络架构管井，所有管井打通到机房，包含开挖，填埋；管井尺寸：600mm*600mm*800mm，内部砌砖要求为：使用砖块，注意保持井壁的垂直和平整度；回填要求：井周50cm范围内的回填材料，均应采用无砂沙大孔混合材料。</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微软雅黑" w:hAnsi="微软雅黑" w:eastAsia="微软雅黑" w:cs="微软雅黑"/>
                <w:color w:val="000000"/>
                <w:sz w:val="24"/>
                <w:szCs w:val="24"/>
              </w:rPr>
            </w:pPr>
          </w:p>
        </w:tc>
      </w:tr>
      <w:tr>
        <w:tblPrEx>
          <w:tblCellMar>
            <w:top w:w="0" w:type="dxa"/>
            <w:left w:w="108" w:type="dxa"/>
            <w:bottom w:w="0" w:type="dxa"/>
            <w:right w:w="108" w:type="dxa"/>
          </w:tblCellMar>
        </w:tblPrEx>
        <w:trPr>
          <w:wAfter w:w="20" w:type="dxa"/>
          <w:trHeight w:val="108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1_24</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辅材</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1</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项目</w:t>
            </w:r>
          </w:p>
        </w:tc>
        <w:tc>
          <w:tcPr>
            <w:tcW w:w="4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线管、线槽、膨胀钉、线材、螺钉、水晶头、连接件、挂件、铁钉、扎带、标识、弯头、光纤盘，融纤等</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微软雅黑" w:hAnsi="微软雅黑" w:eastAsia="微软雅黑" w:cs="微软雅黑"/>
                <w:color w:val="000000"/>
                <w:sz w:val="24"/>
                <w:szCs w:val="24"/>
              </w:rPr>
            </w:pPr>
          </w:p>
        </w:tc>
      </w:tr>
      <w:tr>
        <w:tblPrEx>
          <w:tblCellMar>
            <w:top w:w="0" w:type="dxa"/>
            <w:left w:w="108" w:type="dxa"/>
            <w:bottom w:w="0" w:type="dxa"/>
            <w:right w:w="108" w:type="dxa"/>
          </w:tblCellMar>
        </w:tblPrEx>
        <w:trPr>
          <w:wAfter w:w="20" w:type="dxa"/>
          <w:trHeight w:val="108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1_25</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室外机柜</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8</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套</w:t>
            </w:r>
          </w:p>
        </w:tc>
        <w:tc>
          <w:tcPr>
            <w:tcW w:w="4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室外防水机柜，机柜尺寸：600mm*600mm*1200mm；镀锌钢板材质，防水等级为≦IP55</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微软雅黑" w:hAnsi="微软雅黑" w:eastAsia="微软雅黑" w:cs="微软雅黑"/>
                <w:color w:val="000000"/>
                <w:sz w:val="24"/>
                <w:szCs w:val="24"/>
              </w:rPr>
            </w:pPr>
          </w:p>
        </w:tc>
      </w:tr>
      <w:tr>
        <w:tblPrEx>
          <w:tblCellMar>
            <w:top w:w="0" w:type="dxa"/>
            <w:left w:w="108" w:type="dxa"/>
            <w:bottom w:w="0" w:type="dxa"/>
            <w:right w:w="108" w:type="dxa"/>
          </w:tblCellMar>
        </w:tblPrEx>
        <w:trPr>
          <w:wAfter w:w="20" w:type="dxa"/>
          <w:trHeight w:val="108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1_26</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立杆</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8</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套</w:t>
            </w:r>
          </w:p>
        </w:tc>
        <w:tc>
          <w:tcPr>
            <w:tcW w:w="4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立杆的规格：热镀锌钢管，预留装监控横臂，3.5米圆杆+地笼，直径：115-90mm，厚度3mm，避雷针定做防雷。</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微软雅黑" w:hAnsi="微软雅黑" w:eastAsia="微软雅黑" w:cs="微软雅黑"/>
                <w:color w:val="000000"/>
                <w:sz w:val="24"/>
                <w:szCs w:val="24"/>
              </w:rPr>
            </w:pPr>
          </w:p>
        </w:tc>
      </w:tr>
    </w:tbl>
    <w:p>
      <w:pPr>
        <w:pStyle w:val="25"/>
        <w:ind w:firstLine="0"/>
        <w:rPr>
          <w:rFonts w:ascii="仿宋_GB2312" w:eastAsia="仿宋_GB2312" w:hAnsiTheme="minorEastAsia"/>
          <w:sz w:val="28"/>
          <w:szCs w:val="28"/>
        </w:rPr>
      </w:pPr>
    </w:p>
    <w:p>
      <w:pPr>
        <w:pStyle w:val="6"/>
        <w:ind w:left="-420" w:leftChars="-200" w:firstLine="0"/>
        <w:rPr>
          <w:rFonts w:ascii="仿宋_GB2312" w:eastAsia="仿宋_GB2312" w:hAnsiTheme="minorEastAsia"/>
          <w:sz w:val="28"/>
          <w:szCs w:val="28"/>
        </w:rPr>
      </w:pPr>
      <w:r>
        <w:rPr>
          <w:rFonts w:hint="eastAsia" w:ascii="仿宋_GB2312" w:eastAsia="仿宋_GB2312" w:hAnsiTheme="minorEastAsia"/>
          <w:sz w:val="28"/>
          <w:szCs w:val="28"/>
        </w:rPr>
        <w:t>技术要求：</w:t>
      </w:r>
    </w:p>
    <w:p>
      <w:r>
        <w:rPr>
          <w:rFonts w:hint="eastAsia"/>
          <w:b/>
          <w:bCs/>
          <w:sz w:val="28"/>
          <w:szCs w:val="28"/>
        </w:rPr>
        <w:t>一、办公网核心交换机</w:t>
      </w:r>
      <w:r>
        <w:rPr>
          <w:rFonts w:hint="eastAsia"/>
        </w:rPr>
        <w:tab/>
      </w:r>
    </w:p>
    <w:p>
      <w:r>
        <w:rPr>
          <w:rFonts w:hint="eastAsia"/>
        </w:rPr>
        <w:t>1、▲交换容量≥38.4Tbps,包转发率≥36900Mpps，以官网标注最低值为准； 整机支持主控引擎≥2；交换网槽位≥2；业务槽数量≥3；交流电源模块≥2；</w:t>
      </w:r>
    </w:p>
    <w:p>
      <w:r>
        <w:rPr>
          <w:rFonts w:hint="eastAsia"/>
        </w:rPr>
        <w:t>2、单板最大100G端口数≧4，单槽位40G端口密度≧12，单槽位10G光端口密度≧48，支持全线速转发</w:t>
      </w:r>
    </w:p>
    <w:p>
      <w:r>
        <w:rPr>
          <w:rFonts w:hint="eastAsia"/>
        </w:rPr>
        <w:t>3、▲≥1*48端口千兆以太网光口（≥2个千兆单模）；≥1* 48端口千兆以太网电接口模块，冗余交流电源</w:t>
      </w:r>
    </w:p>
    <w:p>
      <w:r>
        <w:rPr>
          <w:rFonts w:hint="eastAsia"/>
        </w:rPr>
        <w:t>4、支持802.1Q、DLDP、LLDP、静态MAC配置、端口镜像、流镜像、端口聚合、跨设备链路聚合等以太网功能；</w:t>
      </w:r>
    </w:p>
    <w:p>
      <w:r>
        <w:rPr>
          <w:rFonts w:hint="eastAsia"/>
        </w:rPr>
        <w:t xml:space="preserve">5、支持静态路由、RIP V1/V2、OSPF、BGP，支持策略路由和VRRP等路由协议； </w:t>
      </w:r>
    </w:p>
    <w:p>
      <w:pPr>
        <w:rPr>
          <w:rFonts w:hint="eastAsia"/>
        </w:rPr>
      </w:pPr>
      <w:r>
        <w:rPr>
          <w:rFonts w:hint="eastAsia"/>
        </w:rPr>
        <w:t>6、▲支持1虚多（1:N）和多虚1（N：1）技术，</w:t>
      </w:r>
    </w:p>
    <w:p>
      <w:pPr>
        <w:numPr>
          <w:ilvl w:val="0"/>
          <w:numId w:val="6"/>
        </w:numPr>
        <w:rPr>
          <w:rFonts w:hint="eastAsia"/>
        </w:rPr>
      </w:pPr>
      <w:r>
        <w:rPr>
          <w:rFonts w:hint="eastAsia"/>
        </w:rPr>
        <w:t>▲支持内置智能网管，能够实现通过图形化界面设备配置及命令一键下发和版本智能升级</w:t>
      </w:r>
    </w:p>
    <w:p>
      <w:r>
        <w:rPr>
          <w:rFonts w:hint="eastAsia"/>
        </w:rPr>
        <w:t>8、板卡、电源、风扇各组件均应支持热插拔功能；支持端口聚合，支持链路跨板聚合，支持跨设备链路聚合；</w:t>
      </w:r>
    </w:p>
    <w:p>
      <w:r>
        <w:rPr>
          <w:rFonts w:hint="eastAsia"/>
        </w:rPr>
        <w:t>9、▲支持OpenFlow，能够实现VxLAN二三层互通10、▲支持多业务融合板卡，能够与设备紧密耦合，无需提供外部连线支持能够对摄像头等物联终端统一识别、认证和管理</w:t>
      </w:r>
    </w:p>
    <w:p>
      <w:r>
        <w:rPr>
          <w:rFonts w:hint="eastAsia"/>
        </w:rPr>
        <w:t>11、支持SNMP V1/V2/V3；RMON 1/2/3/9；Syslog，SSHv2，支持中文图形化管理；</w:t>
      </w:r>
    </w:p>
    <w:p>
      <w:r>
        <w:rPr>
          <w:rFonts w:hint="eastAsia"/>
        </w:rPr>
        <w:t>12、QOS</w:t>
      </w:r>
      <w:r>
        <w:rPr>
          <w:rFonts w:hint="eastAsia"/>
        </w:rPr>
        <w:tab/>
      </w:r>
      <w:r>
        <w:rPr>
          <w:rFonts w:hint="eastAsia"/>
        </w:rPr>
        <w:t>支持HQoS五层调度功能</w:t>
      </w:r>
    </w:p>
    <w:p/>
    <w:p>
      <w:pPr>
        <w:rPr>
          <w:b/>
          <w:bCs/>
          <w:sz w:val="28"/>
          <w:szCs w:val="28"/>
        </w:rPr>
      </w:pPr>
      <w:r>
        <w:rPr>
          <w:rFonts w:hint="eastAsia"/>
          <w:b/>
          <w:bCs/>
          <w:sz w:val="28"/>
          <w:szCs w:val="28"/>
        </w:rPr>
        <w:t>二、办公网16口接入交换机</w:t>
      </w:r>
      <w:r>
        <w:rPr>
          <w:rFonts w:hint="eastAsia"/>
          <w:b/>
          <w:bCs/>
          <w:sz w:val="28"/>
          <w:szCs w:val="28"/>
        </w:rPr>
        <w:tab/>
      </w:r>
    </w:p>
    <w:p>
      <w:r>
        <w:rPr>
          <w:rFonts w:hint="eastAsia"/>
        </w:rPr>
        <w:t xml:space="preserve">1、▲交换容量≥336Gbps, 包转发率≥114Mpps，以官网标注最低值为准； </w:t>
      </w:r>
    </w:p>
    <w:p>
      <w:r>
        <w:rPr>
          <w:rFonts w:hint="eastAsia"/>
        </w:rPr>
        <w:t xml:space="preserve">2、▲整机提供≥16个千兆电口，≥4个千兆光口（≥2个千兆单模）， </w:t>
      </w:r>
    </w:p>
    <w:p>
      <w:r>
        <w:rPr>
          <w:rFonts w:hint="eastAsia"/>
        </w:rPr>
        <w:t>3、支持ERPS功能，收敛时间小于50ms</w:t>
      </w:r>
    </w:p>
    <w:p>
      <w:r>
        <w:rPr>
          <w:rFonts w:hint="eastAsia"/>
        </w:rPr>
        <w:t>4、支持基于端口的VLAN，支持基于协议的VLAN</w:t>
      </w:r>
    </w:p>
    <w:p>
      <w:r>
        <w:rPr>
          <w:rFonts w:hint="eastAsia"/>
        </w:rPr>
        <w:t>5、支持IPv4/IPV6双栈管理和转发，支持静态路由协议和RIP、OSPF等路由协议，支持丰富的管理和安全特性；</w:t>
      </w:r>
    </w:p>
    <w:p>
      <w:r>
        <w:rPr>
          <w:rFonts w:hint="eastAsia"/>
        </w:rPr>
        <w:t>6、▲支持内置智能网管，能够实现通过图形化界面</w:t>
      </w:r>
      <w:r>
        <w:rPr>
          <w:rFonts w:ascii="Arial" w:hAnsi="Arial" w:cs="Arial"/>
          <w:color w:val="333333"/>
          <w:szCs w:val="21"/>
          <w:shd w:val="clear" w:color="auto" w:fill="FFFFFF"/>
        </w:rPr>
        <w:t>对网络的统一运维及管理</w:t>
      </w:r>
      <w:r>
        <w:rPr>
          <w:rFonts w:hint="eastAsia"/>
        </w:rPr>
        <w:t>；</w:t>
      </w:r>
      <w:r>
        <w:rPr>
          <w:rFonts w:ascii="Arial" w:hAnsi="Arial" w:cs="Arial"/>
          <w:color w:val="333333"/>
          <w:szCs w:val="21"/>
          <w:shd w:val="clear" w:color="auto" w:fill="FFFFFF"/>
        </w:rPr>
        <w:t>内置防雷技术，支持业界专业的10KV防雷能力，使其在比较恶劣的工作环境中也能极大的降低雷击对设备的损坏率</w:t>
      </w:r>
      <w:r>
        <w:rPr>
          <w:rFonts w:hint="eastAsia" w:ascii="Arial" w:hAnsi="Arial" w:cs="Arial"/>
          <w:color w:val="333333"/>
          <w:szCs w:val="21"/>
          <w:shd w:val="clear" w:color="auto" w:fill="FFFFFF"/>
        </w:rPr>
        <w:t>,</w:t>
      </w:r>
    </w:p>
    <w:p/>
    <w:p>
      <w:pPr>
        <w:rPr>
          <w:b/>
          <w:bCs/>
          <w:sz w:val="28"/>
          <w:szCs w:val="28"/>
        </w:rPr>
      </w:pPr>
      <w:r>
        <w:rPr>
          <w:rFonts w:hint="eastAsia"/>
          <w:b/>
          <w:bCs/>
          <w:sz w:val="28"/>
          <w:szCs w:val="28"/>
        </w:rPr>
        <w:t xml:space="preserve">三、办公网16口POE交换机 </w:t>
      </w:r>
    </w:p>
    <w:p>
      <w:r>
        <w:rPr>
          <w:rFonts w:hint="eastAsia"/>
        </w:rPr>
        <w:t xml:space="preserve">1、▲交换容量≥336Gbps, 包转发率≥114Mpps，以官网标注最低值为准； </w:t>
      </w:r>
    </w:p>
    <w:p>
      <w:r>
        <w:rPr>
          <w:rFonts w:hint="eastAsia"/>
        </w:rPr>
        <w:t>2、▲整机提供≥16个千兆电口，≥4个千兆光口（≥2个千兆单模），整机POE功率≥170W</w:t>
      </w:r>
    </w:p>
    <w:p>
      <w:r>
        <w:rPr>
          <w:rFonts w:hint="eastAsia"/>
        </w:rPr>
        <w:t>3、支持ERPS功能，收敛时间小于50ms</w:t>
      </w:r>
    </w:p>
    <w:p>
      <w:r>
        <w:rPr>
          <w:rFonts w:hint="eastAsia"/>
        </w:rPr>
        <w:t>4、支持802.3at/POE+供电标准，单端口最大支持30W,</w:t>
      </w:r>
    </w:p>
    <w:p>
      <w:r>
        <w:rPr>
          <w:rFonts w:hint="eastAsia"/>
        </w:rPr>
        <w:t>5、支持基于端口的VLAN，支持基于协议的VLAN</w:t>
      </w:r>
    </w:p>
    <w:p>
      <w:r>
        <w:rPr>
          <w:rFonts w:hint="eastAsia"/>
        </w:rPr>
        <w:t>6、支持IPv4/IPV6双栈管理和转发，支持静态路由协议和RIP、OSPF等路由协议，支持丰富的管理和安全特性；</w:t>
      </w:r>
    </w:p>
    <w:p>
      <w:r>
        <w:rPr>
          <w:rFonts w:hint="eastAsia"/>
        </w:rPr>
        <w:t>7、▲支持内置智能网管，能够实现通过图形化界面</w:t>
      </w:r>
      <w:r>
        <w:rPr>
          <w:rFonts w:ascii="Arial" w:hAnsi="Arial" w:cs="Arial"/>
          <w:color w:val="333333"/>
          <w:szCs w:val="21"/>
          <w:shd w:val="clear" w:color="auto" w:fill="FFFFFF"/>
        </w:rPr>
        <w:t>对网络的统一运维及管理</w:t>
      </w:r>
      <w:r>
        <w:rPr>
          <w:rFonts w:hint="eastAsia" w:ascii="Arial" w:hAnsi="Arial" w:cs="Arial"/>
          <w:color w:val="333333"/>
          <w:szCs w:val="21"/>
          <w:shd w:val="clear" w:color="auto" w:fill="FFFFFF"/>
          <w:lang w:eastAsia="zh-CN"/>
        </w:rPr>
        <w:t>，</w:t>
      </w:r>
      <w:r>
        <w:rPr>
          <w:rFonts w:hint="eastAsia"/>
        </w:rPr>
        <w:t>内</w:t>
      </w:r>
      <w:r>
        <w:rPr>
          <w:rFonts w:ascii="Arial" w:hAnsi="Arial" w:cs="Arial"/>
          <w:color w:val="333333"/>
          <w:szCs w:val="21"/>
          <w:shd w:val="clear" w:color="auto" w:fill="FFFFFF"/>
        </w:rPr>
        <w:t>置防雷技术，支持业界专业的10KV防雷能力，使其在比较恶劣的工作环境中也能极大的降低雷击对设备的损坏率</w:t>
      </w:r>
      <w:r>
        <w:rPr>
          <w:rFonts w:hint="eastAsia" w:ascii="Arial" w:hAnsi="Arial" w:cs="Arial"/>
          <w:color w:val="333333"/>
          <w:szCs w:val="21"/>
          <w:shd w:val="clear" w:color="auto" w:fill="FFFFFF"/>
          <w:lang w:eastAsia="zh-CN"/>
        </w:rPr>
        <w:t>。</w:t>
      </w:r>
    </w:p>
    <w:p/>
    <w:p/>
    <w:p>
      <w:pPr>
        <w:rPr>
          <w:b/>
          <w:bCs/>
          <w:sz w:val="28"/>
          <w:szCs w:val="28"/>
        </w:rPr>
      </w:pPr>
      <w:r>
        <w:rPr>
          <w:rFonts w:hint="eastAsia"/>
          <w:b/>
          <w:bCs/>
          <w:sz w:val="28"/>
          <w:szCs w:val="28"/>
        </w:rPr>
        <w:t xml:space="preserve">四、办公网24口接入交换机 </w:t>
      </w:r>
    </w:p>
    <w:p>
      <w:r>
        <w:rPr>
          <w:rFonts w:hint="eastAsia"/>
        </w:rPr>
        <w:t xml:space="preserve">1、▲交换容量≥336Gbps, 包转发率≥126Mpps，以官网标注最低值为准； </w:t>
      </w:r>
    </w:p>
    <w:p>
      <w:r>
        <w:rPr>
          <w:rFonts w:hint="eastAsia"/>
        </w:rPr>
        <w:t xml:space="preserve">2、▲整机提供≥24个千兆电口，≥4个万兆光口（≥2个千兆单模）， </w:t>
      </w:r>
    </w:p>
    <w:p>
      <w:r>
        <w:rPr>
          <w:rFonts w:hint="eastAsia"/>
        </w:rPr>
        <w:t>3、支持ERPS功能，收敛时间小于50ms</w:t>
      </w:r>
    </w:p>
    <w:p>
      <w:r>
        <w:rPr>
          <w:rFonts w:hint="eastAsia"/>
        </w:rPr>
        <w:t>4、支持基于端口的VLAN，支持基于协议的VLAN</w:t>
      </w:r>
    </w:p>
    <w:p>
      <w:r>
        <w:rPr>
          <w:rFonts w:hint="eastAsia"/>
        </w:rPr>
        <w:t>5、支持IPv4/IPV6双栈管理和转发，支持静态路由协议和RIP、OSPF等路由协议，支持丰富的管理和安全特性；</w:t>
      </w:r>
    </w:p>
    <w:p>
      <w:r>
        <w:rPr>
          <w:rFonts w:hint="eastAsia"/>
        </w:rPr>
        <w:t>6、▲支持内置智能网管，能够实现通过图形化界面</w:t>
      </w:r>
      <w:r>
        <w:rPr>
          <w:rFonts w:ascii="Arial" w:hAnsi="Arial" w:cs="Arial"/>
          <w:color w:val="333333"/>
          <w:szCs w:val="21"/>
          <w:shd w:val="clear" w:color="auto" w:fill="FFFFFF"/>
        </w:rPr>
        <w:t>对网络的统一运维及管理</w:t>
      </w:r>
      <w:r>
        <w:rPr>
          <w:rFonts w:hint="eastAsia"/>
        </w:rPr>
        <w:t>；内</w:t>
      </w:r>
      <w:r>
        <w:rPr>
          <w:rFonts w:ascii="Arial" w:hAnsi="Arial" w:cs="Arial"/>
          <w:color w:val="333333"/>
          <w:szCs w:val="21"/>
          <w:shd w:val="clear" w:color="auto" w:fill="FFFFFF"/>
        </w:rPr>
        <w:t>置防雷技术，支持业界专业的10KV防雷能力，使其在比较恶劣的工作环境中也能极大的降低雷击对设备的损坏率。</w:t>
      </w:r>
    </w:p>
    <w:p/>
    <w:p>
      <w:pPr>
        <w:rPr>
          <w:b/>
          <w:bCs/>
          <w:sz w:val="28"/>
          <w:szCs w:val="28"/>
        </w:rPr>
      </w:pPr>
      <w:r>
        <w:rPr>
          <w:rFonts w:hint="eastAsia"/>
          <w:b/>
          <w:bCs/>
          <w:sz w:val="28"/>
          <w:szCs w:val="28"/>
        </w:rPr>
        <w:t xml:space="preserve">五、办公网24口POE交换机 </w:t>
      </w:r>
    </w:p>
    <w:p>
      <w:r>
        <w:rPr>
          <w:rFonts w:hint="eastAsia"/>
        </w:rPr>
        <w:t xml:space="preserve">1、▲交换容量≥336Gbps, 包转发率≥126Mpps，以官网标注最低值为准； </w:t>
      </w:r>
    </w:p>
    <w:p>
      <w:r>
        <w:rPr>
          <w:rFonts w:hint="eastAsia"/>
        </w:rPr>
        <w:t xml:space="preserve">2、▲整机提供≥24个千兆电口，≥4个万兆光口（≥2个千兆单模），整机POE功率≥370W； </w:t>
      </w:r>
    </w:p>
    <w:p>
      <w:r>
        <w:rPr>
          <w:rFonts w:hint="eastAsia"/>
        </w:rPr>
        <w:t>3、支持ERPS功能，收敛时间小于50ms</w:t>
      </w:r>
    </w:p>
    <w:p>
      <w:r>
        <w:rPr>
          <w:rFonts w:hint="eastAsia"/>
        </w:rPr>
        <w:t>4、支持802.3at/POE+供电标准，单端口最大支持30W</w:t>
      </w:r>
    </w:p>
    <w:p>
      <w:r>
        <w:rPr>
          <w:rFonts w:hint="eastAsia"/>
        </w:rPr>
        <w:t>5、支持基于端口的VLAN，支持基于协议的VLAN</w:t>
      </w:r>
    </w:p>
    <w:p>
      <w:r>
        <w:rPr>
          <w:rFonts w:hint="eastAsia"/>
        </w:rPr>
        <w:t>6、支持IPv4/IPV6双栈管理和转发，支持静态路由协议和RIP、OSPF等路由协议，支持丰富的管理和安全特性；</w:t>
      </w:r>
    </w:p>
    <w:p>
      <w:r>
        <w:rPr>
          <w:rFonts w:hint="eastAsia"/>
        </w:rPr>
        <w:t>7、▲支持内置智能网管，能够实现通过图形化界面</w:t>
      </w:r>
      <w:r>
        <w:rPr>
          <w:rFonts w:ascii="Arial" w:hAnsi="Arial" w:cs="Arial"/>
          <w:color w:val="333333"/>
          <w:szCs w:val="21"/>
          <w:shd w:val="clear" w:color="auto" w:fill="FFFFFF"/>
        </w:rPr>
        <w:t>对网络的统一运维及管理</w:t>
      </w:r>
      <w:r>
        <w:rPr>
          <w:rFonts w:hint="eastAsia"/>
        </w:rPr>
        <w:t>；内</w:t>
      </w:r>
      <w:r>
        <w:rPr>
          <w:rFonts w:ascii="Arial" w:hAnsi="Arial" w:cs="Arial"/>
          <w:color w:val="333333"/>
          <w:szCs w:val="21"/>
          <w:shd w:val="clear" w:color="auto" w:fill="FFFFFF"/>
        </w:rPr>
        <w:t>置防雷技术，支持业界专业的10KV防雷能力，使其在比较恶劣的工作环境中也能极大的降低雷击对设备的损坏率</w:t>
      </w:r>
      <w:r>
        <w:rPr>
          <w:rFonts w:hint="eastAsia" w:ascii="Arial" w:hAnsi="Arial" w:cs="Arial"/>
          <w:color w:val="333333"/>
          <w:szCs w:val="21"/>
          <w:shd w:val="clear" w:color="auto" w:fill="FFFFFF"/>
        </w:rPr>
        <w:t>,</w:t>
      </w:r>
      <w:r>
        <w:rPr>
          <w:rFonts w:ascii="Arial" w:hAnsi="Arial" w:cs="Arial"/>
          <w:color w:val="333333"/>
          <w:szCs w:val="21"/>
          <w:shd w:val="clear" w:color="auto" w:fill="FFFFFF"/>
        </w:rPr>
        <w:t>。</w:t>
      </w:r>
    </w:p>
    <w:p/>
    <w:p/>
    <w:p>
      <w:pPr>
        <w:rPr>
          <w:b/>
          <w:bCs/>
          <w:sz w:val="28"/>
          <w:szCs w:val="28"/>
        </w:rPr>
      </w:pPr>
      <w:r>
        <w:rPr>
          <w:rFonts w:hint="eastAsia"/>
          <w:b/>
          <w:bCs/>
          <w:sz w:val="28"/>
          <w:szCs w:val="28"/>
        </w:rPr>
        <w:t xml:space="preserve">六、办公网8口POE交换机 </w:t>
      </w:r>
    </w:p>
    <w:p>
      <w:r>
        <w:rPr>
          <w:rFonts w:hint="eastAsia"/>
        </w:rPr>
        <w:t xml:space="preserve">1、▲交换容量≥336Gbps, 包转发率≥102Mpps，以官网标注最低值为准； </w:t>
      </w:r>
    </w:p>
    <w:p>
      <w:r>
        <w:rPr>
          <w:rFonts w:hint="eastAsia"/>
        </w:rPr>
        <w:t xml:space="preserve">2、▲整机提供≥8个千兆电口，≥2个千兆光口（≥2个千兆单模），整机POE功率≥125W </w:t>
      </w:r>
    </w:p>
    <w:p>
      <w:r>
        <w:rPr>
          <w:rFonts w:hint="eastAsia"/>
        </w:rPr>
        <w:t>3、ERPS功能</w:t>
      </w:r>
      <w:r>
        <w:rPr>
          <w:rFonts w:hint="eastAsia"/>
        </w:rPr>
        <w:tab/>
      </w:r>
      <w:r>
        <w:rPr>
          <w:rFonts w:hint="eastAsia"/>
        </w:rPr>
        <w:t>支持ERPS功能，收敛时间小于50ms</w:t>
      </w:r>
    </w:p>
    <w:p>
      <w:r>
        <w:rPr>
          <w:rFonts w:hint="eastAsia"/>
        </w:rPr>
        <w:t>4、供电要求</w:t>
      </w:r>
      <w:r>
        <w:rPr>
          <w:rFonts w:hint="eastAsia"/>
        </w:rPr>
        <w:tab/>
      </w:r>
      <w:r>
        <w:rPr>
          <w:rFonts w:hint="eastAsia"/>
        </w:rPr>
        <w:t xml:space="preserve">支持802.3at/POE+供电标准，单端口最大支持30W </w:t>
      </w:r>
    </w:p>
    <w:p>
      <w:r>
        <w:rPr>
          <w:rFonts w:hint="eastAsia"/>
        </w:rPr>
        <w:t>5、二层功能</w:t>
      </w:r>
      <w:r>
        <w:rPr>
          <w:rFonts w:hint="eastAsia"/>
        </w:rPr>
        <w:tab/>
      </w:r>
      <w:r>
        <w:rPr>
          <w:rFonts w:hint="eastAsia"/>
        </w:rPr>
        <w:t>支持基于端口的VLAN，支持基于协议的VLAN</w:t>
      </w:r>
    </w:p>
    <w:p>
      <w:r>
        <w:rPr>
          <w:rFonts w:hint="eastAsia"/>
        </w:rPr>
        <w:t>6、路由协议</w:t>
      </w:r>
      <w:r>
        <w:rPr>
          <w:rFonts w:hint="eastAsia"/>
        </w:rPr>
        <w:tab/>
      </w:r>
      <w:r>
        <w:rPr>
          <w:rFonts w:hint="eastAsia"/>
        </w:rPr>
        <w:t>支持IPv4/IPV6双栈管理和转发，支持静态路由协议和RIP、OSPF等路由协议，支持丰富的管理和安全特性；</w:t>
      </w:r>
    </w:p>
    <w:p>
      <w:r>
        <w:rPr>
          <w:rFonts w:hint="eastAsia"/>
        </w:rPr>
        <w:t>7、▲支持内置智能网管，能够实现通过图形化界面</w:t>
      </w:r>
      <w:r>
        <w:rPr>
          <w:rFonts w:ascii="Arial" w:hAnsi="Arial" w:cs="Arial"/>
          <w:color w:val="333333"/>
          <w:szCs w:val="21"/>
          <w:shd w:val="clear" w:color="auto" w:fill="FFFFFF"/>
        </w:rPr>
        <w:t>对网络的统一运维及管理</w:t>
      </w:r>
      <w:r>
        <w:rPr>
          <w:rFonts w:hint="eastAsia"/>
        </w:rPr>
        <w:t>；内</w:t>
      </w:r>
      <w:r>
        <w:rPr>
          <w:rFonts w:ascii="Arial" w:hAnsi="Arial" w:cs="Arial"/>
          <w:color w:val="333333"/>
          <w:szCs w:val="21"/>
          <w:shd w:val="clear" w:color="auto" w:fill="FFFFFF"/>
        </w:rPr>
        <w:t>置防雷技术，支持业界专业的10KV防雷能力，使其在比较恶劣的工作环境中也能极大的降低雷击对设备的损坏率。</w:t>
      </w:r>
    </w:p>
    <w:p/>
    <w:p/>
    <w:p>
      <w:pPr>
        <w:rPr>
          <w:b/>
          <w:bCs/>
          <w:sz w:val="28"/>
          <w:szCs w:val="28"/>
        </w:rPr>
      </w:pPr>
      <w:r>
        <w:rPr>
          <w:rFonts w:hint="eastAsia"/>
          <w:b/>
          <w:bCs/>
          <w:sz w:val="28"/>
          <w:szCs w:val="28"/>
        </w:rPr>
        <w:t>七、办公网无线控制器</w:t>
      </w:r>
    </w:p>
    <w:p>
      <w:r>
        <w:rPr>
          <w:rFonts w:hint="eastAsia"/>
        </w:rPr>
        <w:t>1、▲要求所投产品支持常规AP最大数量≥144, 要求能与现网无线控制器H3C WX2560做双机热备，能共享一套AP授权，本次实际配置64个AP管理授权</w:t>
      </w:r>
    </w:p>
    <w:p>
      <w:r>
        <w:rPr>
          <w:rFonts w:hint="eastAsia"/>
        </w:rPr>
        <w:t xml:space="preserve">2、▲要求所投产品提供≥8个千兆GE端口，≥2个万兆SFP+端口 </w:t>
      </w:r>
    </w:p>
    <w:p>
      <w:pPr>
        <w:rPr>
          <w:rFonts w:hint="eastAsia"/>
        </w:rPr>
      </w:pPr>
      <w:r>
        <w:rPr>
          <w:rFonts w:hint="eastAsia"/>
        </w:rPr>
        <w:t xml:space="preserve">3、▲产品集中转发性能≥10Gbps, </w:t>
      </w:r>
    </w:p>
    <w:p>
      <w:r>
        <w:rPr>
          <w:rFonts w:hint="eastAsia"/>
        </w:rPr>
        <w:t>4、为了满足设备的稳定性，要求产品支持双电源冗余供电</w:t>
      </w:r>
    </w:p>
    <w:p>
      <w:r>
        <w:rPr>
          <w:rFonts w:hint="eastAsia"/>
        </w:rPr>
        <w:t>5、支持标准IETF 5415 CAPWAP协议，AP和AC之间支持L2/L3层网络拓扑，为提高网络安全，AP与控制器之间能够支持DTLS对CAPWAP隧道进行加密处理。</w:t>
      </w:r>
    </w:p>
    <w:p>
      <w:r>
        <w:rPr>
          <w:rFonts w:hint="eastAsia"/>
        </w:rPr>
        <w:t>6、认证加密</w:t>
      </w:r>
      <w:r>
        <w:rPr>
          <w:rFonts w:hint="eastAsia"/>
        </w:rPr>
        <w:tab/>
      </w:r>
      <w:r>
        <w:rPr>
          <w:rFonts w:hint="eastAsia"/>
        </w:rPr>
        <w:t>支持MAC 地址认证、802.1x认证（EAP-PAP、EAP-MD5、EAP-PEAP、EAP-TLS、EAP-TTLS）、Portal认证、MAC+Portal混合认证；支持WPA标准、WEP(WEP64/WEP128)、TKIP、CCMP；支持内置portal、dot1x服务器；</w:t>
      </w:r>
    </w:p>
    <w:p>
      <w:r>
        <w:rPr>
          <w:rFonts w:hint="eastAsia"/>
        </w:rPr>
        <w:t>7、支持AC内漫游，支持跨AC间漫游，支持跨VLAN的三层漫游</w:t>
      </w:r>
    </w:p>
    <w:p>
      <w:r>
        <w:rPr>
          <w:rFonts w:hint="eastAsia"/>
        </w:rPr>
        <w:t>8、▲支持雷达检测SSID逃生功能：AC、AP支持SSID自主逃生，当AP射频检测到雷达信号时，会将本射频的SSID迁移到其他射频，保障关键业务正常通信。支持MAC认证逃生功能：AC、AP支持MAC认证逃生功能，为提高无线网络认证可靠性，无线控制器支持MAC认证逃生功能。支持Portal认证逃生功能：AC、AP支持Portal认证逃生，为提高无线网络认证可靠性</w:t>
      </w:r>
      <w:r>
        <w:rPr>
          <w:rFonts w:hint="eastAsia"/>
          <w:lang w:eastAsia="zh-CN"/>
        </w:rPr>
        <w:t>。</w:t>
      </w:r>
    </w:p>
    <w:p>
      <w:r>
        <w:rPr>
          <w:rFonts w:hint="eastAsia"/>
        </w:rPr>
        <w:t>9、▲为实现AC的全面运维，所投产品需要满足：AC CPU、内存使用率以及历史信息，AC整机广播、组播、单播流量成分以及历史信息，以及每端口广播、组播、单播流量成分以及历史信息，同时可以识别最近一分钟端口入方向广播组播占比过高、最近一分钟端口流量过大等异常事件为监控AP有线端口异常所引起的无线网络体检较差的原因，所投产品需要支持：有线端口接收错包持续增长、AP有线端口Down、有线端口协商速率低、有线端口发送错包持续增加、有线端口协商成半双工等问题的检测；为了保障无线网络的用户体验，所投产品需要满足对弱信号接入、乒乓漫游等常见无线网络问题的识别，并给出问题分布趋势图、该问题所影响的具体终端、涉及的AP以及该AP发生该异常的数量统计。为使得网络管理员实时感知网络状态，所投产品需要在网络发生异常时，可利用短信、微信、邮件等三种不同方式推送告警信息；为分析无线网络中IP地址的异常改变造成的上网体验差的原因，所投产品需要支持对异常终端的IP地址变更时间、MAC地址、IP地址、接入SSID以及接入AP信息予以记录及显示；为了有效排查无线网络中存在的匿名攻击的隐患，所投产品需要具备仿冒终端检查的能力，并且识别仿冒终端所接入SSID、AP以及终端设备型号、终端操作系统等信息</w:t>
      </w:r>
    </w:p>
    <w:p/>
    <w:p>
      <w:pPr>
        <w:pStyle w:val="2"/>
      </w:pPr>
    </w:p>
    <w:p>
      <w:pPr>
        <w:rPr>
          <w:b/>
          <w:bCs/>
          <w:sz w:val="28"/>
          <w:szCs w:val="28"/>
        </w:rPr>
      </w:pPr>
      <w:r>
        <w:rPr>
          <w:rFonts w:hint="eastAsia"/>
          <w:b/>
          <w:bCs/>
          <w:sz w:val="28"/>
          <w:szCs w:val="28"/>
        </w:rPr>
        <w:t>八、办公网/监控网室外交换机</w:t>
      </w:r>
    </w:p>
    <w:p>
      <w:r>
        <w:rPr>
          <w:rFonts w:hint="eastAsia"/>
        </w:rPr>
        <w:t>1、▲交换容量≥336Gbps, 包转发率≥</w:t>
      </w:r>
      <w:r>
        <w:t>102</w:t>
      </w:r>
      <w:r>
        <w:rPr>
          <w:rFonts w:hint="eastAsia"/>
        </w:rPr>
        <w:t xml:space="preserve">Mpps，以官网标注最低值为准； </w:t>
      </w:r>
    </w:p>
    <w:p>
      <w:r>
        <w:rPr>
          <w:rFonts w:hint="eastAsia"/>
        </w:rPr>
        <w:t xml:space="preserve">2、▲整机提供≥4个千兆电口，≥2个千兆光口（≥2个千兆单模模块）， </w:t>
      </w:r>
    </w:p>
    <w:p>
      <w:r>
        <w:rPr>
          <w:rFonts w:hint="eastAsia"/>
        </w:rPr>
        <w:t>3、内</w:t>
      </w:r>
      <w:r>
        <w:rPr>
          <w:rFonts w:ascii="Arial" w:hAnsi="Arial" w:cs="Arial"/>
          <w:color w:val="333333"/>
          <w:szCs w:val="21"/>
          <w:shd w:val="clear" w:color="auto" w:fill="FFFFFF"/>
        </w:rPr>
        <w:t>置防雷技术，支持业界专业的10KV防雷能力，使其在比较恶劣的工作环境中也能极大的降低雷击对设备的损坏率</w:t>
      </w:r>
      <w:r>
        <w:rPr>
          <w:rFonts w:hint="eastAsia" w:ascii="Arial" w:hAnsi="Arial" w:cs="Arial"/>
          <w:color w:val="333333"/>
          <w:szCs w:val="21"/>
          <w:shd w:val="clear" w:color="auto" w:fill="FFFFFF"/>
        </w:rPr>
        <w:t>,</w:t>
      </w:r>
      <w:r>
        <w:rPr>
          <w:rFonts w:ascii="Arial" w:hAnsi="Arial" w:cs="Arial"/>
          <w:color w:val="333333"/>
          <w:szCs w:val="21"/>
          <w:shd w:val="clear" w:color="auto" w:fill="FFFFFF"/>
        </w:rPr>
        <w:t>。</w:t>
      </w:r>
    </w:p>
    <w:p>
      <w:r>
        <w:t>4</w:t>
      </w:r>
      <w:r>
        <w:rPr>
          <w:rFonts w:hint="eastAsia"/>
        </w:rPr>
        <w:t>、支持ERPS功能，收敛时间小于50ms</w:t>
      </w:r>
    </w:p>
    <w:p>
      <w:r>
        <w:t>5</w:t>
      </w:r>
      <w:r>
        <w:rPr>
          <w:rFonts w:hint="eastAsia"/>
        </w:rPr>
        <w:t>、支持IPv4/IPV6双栈管理和转发，支持静态路由协议和RIP、OSPF等路由协议，支持丰富的管理和安全特性；</w:t>
      </w:r>
    </w:p>
    <w:p/>
    <w:p>
      <w:pPr>
        <w:rPr>
          <w:b/>
          <w:bCs/>
          <w:sz w:val="28"/>
          <w:szCs w:val="28"/>
        </w:rPr>
      </w:pPr>
      <w:r>
        <w:rPr>
          <w:rFonts w:hint="eastAsia"/>
          <w:b/>
          <w:bCs/>
          <w:sz w:val="28"/>
          <w:szCs w:val="28"/>
        </w:rPr>
        <w:t>九、办公网吸顶AP</w:t>
      </w:r>
    </w:p>
    <w:p>
      <w:r>
        <w:rPr>
          <w:rFonts w:hint="eastAsia"/>
        </w:rPr>
        <w:t xml:space="preserve">1、▲采用整机双频4流设计，整机协商速率≥2.975Gbps </w:t>
      </w:r>
    </w:p>
    <w:p>
      <w:r>
        <w:rPr>
          <w:rFonts w:hint="eastAsia"/>
        </w:rPr>
        <w:t>2、可同时工作在802.11a/b/g/n/ac/ac wave2/ax模式。</w:t>
      </w:r>
    </w:p>
    <w:p>
      <w:r>
        <w:rPr>
          <w:rFonts w:hint="eastAsia"/>
        </w:rPr>
        <w:t xml:space="preserve">3、固化接口数≥2个，包括1个100/1000M/2.5G光口，1个10M/100M/1000M电口 </w:t>
      </w:r>
    </w:p>
    <w:p>
      <w:r>
        <w:rPr>
          <w:rFonts w:hint="eastAsia"/>
        </w:rPr>
        <w:t>4、⽀持内置BLE5.1功能模块</w:t>
      </w:r>
    </w:p>
    <w:p>
      <w:r>
        <w:rPr>
          <w:rFonts w:hint="eastAsia"/>
        </w:rPr>
        <w:t>5、安装方式</w:t>
      </w:r>
      <w:r>
        <w:rPr>
          <w:rFonts w:hint="eastAsia"/>
        </w:rPr>
        <w:tab/>
      </w:r>
      <w:r>
        <w:rPr>
          <w:rFonts w:hint="eastAsia"/>
        </w:rPr>
        <w:t>支持壁挂、吸顶和面板安装方式</w:t>
      </w:r>
    </w:p>
    <w:p>
      <w:r>
        <w:rPr>
          <w:rFonts w:hint="eastAsia"/>
        </w:rPr>
        <w:t>6、▲在网络拥塞情况下，通过对终端发送的报文进行识别，在多业务并行处理时，可以对关键业务（如视频会议、时延敏感类游戏等）优先处理从而实现应用加速，同时双WiFi功能对链路可靠性的提升，保证了用户使用体验。</w:t>
      </w:r>
    </w:p>
    <w:p>
      <w:r>
        <w:rPr>
          <w:rFonts w:hint="eastAsia"/>
        </w:rPr>
        <w:t>7、▲随着网络技术和多媒体技术的快速发展，应用种类日渐丰富且流量更加多样化；游戏、语音、视频、远程会议等应用成为日常主流。“边缘感知”功能可精细化识别各个应用，同时能对应用流量进行分析，并对识别出的应用优先调度，从而提高用户使用体验。</w:t>
      </w:r>
    </w:p>
    <w:p>
      <w:r>
        <w:rPr>
          <w:rFonts w:hint="eastAsia"/>
          <w:b/>
          <w:bCs/>
          <w:sz w:val="28"/>
          <w:szCs w:val="28"/>
        </w:rPr>
        <w:t xml:space="preserve">十、办公网室外AP </w:t>
      </w:r>
    </w:p>
    <w:p>
      <w:r>
        <w:rPr>
          <w:rFonts w:hint="eastAsia"/>
        </w:rPr>
        <w:t>1、▲整机采用双频四流设计，最大接入速率≥2.4Gbps；</w:t>
      </w:r>
    </w:p>
    <w:p>
      <w:r>
        <w:rPr>
          <w:rFonts w:hint="eastAsia"/>
        </w:rPr>
        <w:t>1、可同时工作在802.11a/b/g/n/ac/ac wave2/ax模式</w:t>
      </w:r>
    </w:p>
    <w:p>
      <w:r>
        <w:rPr>
          <w:rFonts w:hint="eastAsia"/>
        </w:rPr>
        <w:t>2、接口设计</w:t>
      </w:r>
      <w:r>
        <w:rPr>
          <w:rFonts w:hint="eastAsia"/>
        </w:rPr>
        <w:tab/>
      </w:r>
      <w:r>
        <w:rPr>
          <w:rFonts w:hint="eastAsia"/>
        </w:rPr>
        <w:t>3个接口，其中1个10/100/1000M光口接口，2个100/1000M电口</w:t>
      </w:r>
    </w:p>
    <w:p>
      <w:r>
        <w:rPr>
          <w:rFonts w:hint="eastAsia"/>
        </w:rPr>
        <w:t>5、▲内置高增益定向天线设计，且支持外置天线，本次需配置4根全向天线</w:t>
      </w:r>
    </w:p>
    <w:p>
      <w:r>
        <w:rPr>
          <w:rFonts w:hint="eastAsia"/>
        </w:rPr>
        <w:t>6、支持POE供电与本地供电，配置本地供电的电源适配模块</w:t>
      </w:r>
    </w:p>
    <w:p>
      <w:pPr>
        <w:rPr>
          <w:rFonts w:hint="eastAsia"/>
        </w:rPr>
      </w:pPr>
      <w:r>
        <w:rPr>
          <w:rFonts w:hint="eastAsia"/>
        </w:rPr>
        <w:t>5、▲外置物联网扩展能力</w:t>
      </w:r>
      <w:r>
        <w:rPr>
          <w:rFonts w:hint="eastAsia"/>
        </w:rPr>
        <w:tab/>
      </w:r>
      <w:r>
        <w:rPr>
          <w:rFonts w:hint="eastAsia"/>
        </w:rPr>
        <w:t>至少支持10个外置物联网模块链式扩展，</w:t>
      </w:r>
    </w:p>
    <w:p>
      <w:pPr>
        <w:rPr>
          <w:rFonts w:hint="eastAsia"/>
        </w:rPr>
      </w:pPr>
      <w:r>
        <w:rPr>
          <w:rFonts w:hint="eastAsia"/>
        </w:rPr>
        <w:t>6、▲支持基于空口利用率的SSID自动隐藏功能，当空口繁忙程度达到或超过配置的阈值时，SSID自动隐藏，为用户提供稳定可靠的无线服务。</w:t>
      </w:r>
    </w:p>
    <w:p>
      <w:r>
        <w:rPr>
          <w:rFonts w:hint="eastAsia"/>
          <w:lang w:val="en-US" w:eastAsia="zh-CN"/>
        </w:rPr>
        <w:t>.</w:t>
      </w:r>
      <w:r>
        <w:rPr>
          <w:rFonts w:hint="eastAsia"/>
          <w:b/>
          <w:bCs/>
          <w:sz w:val="28"/>
          <w:szCs w:val="28"/>
        </w:rPr>
        <w:t>十一、监控网室外AP</w:t>
      </w:r>
    </w:p>
    <w:p>
      <w:r>
        <w:rPr>
          <w:rFonts w:hint="eastAsia"/>
        </w:rPr>
        <w:t>1、▲整机采用双频四流设计，最大接入速率≥2.4Gbps；</w:t>
      </w:r>
    </w:p>
    <w:p>
      <w:r>
        <w:rPr>
          <w:rFonts w:hint="eastAsia"/>
        </w:rPr>
        <w:t>2、可同时工作在802.11a/b/g/n/ac/ac wave2/ax模式</w:t>
      </w:r>
    </w:p>
    <w:p>
      <w:r>
        <w:rPr>
          <w:rFonts w:hint="eastAsia"/>
        </w:rPr>
        <w:t>3、接口设计</w:t>
      </w:r>
      <w:r>
        <w:rPr>
          <w:rFonts w:hint="eastAsia"/>
        </w:rPr>
        <w:tab/>
      </w:r>
      <w:r>
        <w:rPr>
          <w:rFonts w:hint="eastAsia"/>
        </w:rPr>
        <w:t>3个接口，其中1个10/100/1000M光口接口，2个100/1000M电口</w:t>
      </w:r>
    </w:p>
    <w:p>
      <w:r>
        <w:rPr>
          <w:rFonts w:hint="eastAsia"/>
        </w:rPr>
        <w:t>4、▲内置高增益定向天线设计，且支持外置天线，本次需配置4根全向天线</w:t>
      </w:r>
    </w:p>
    <w:p>
      <w:r>
        <w:rPr>
          <w:rFonts w:hint="eastAsia"/>
        </w:rPr>
        <w:t>5、支持POE供电与本地供电，配置本地供电的电源适配模块</w:t>
      </w:r>
    </w:p>
    <w:p>
      <w:pPr>
        <w:rPr>
          <w:rFonts w:hint="eastAsia"/>
        </w:rPr>
      </w:pPr>
      <w:r>
        <w:rPr>
          <w:rFonts w:hint="eastAsia"/>
        </w:rPr>
        <w:t>6、▲外置物联网扩展能力</w:t>
      </w:r>
      <w:r>
        <w:rPr>
          <w:rFonts w:hint="eastAsia"/>
        </w:rPr>
        <w:tab/>
      </w:r>
      <w:r>
        <w:rPr>
          <w:rFonts w:hint="eastAsia"/>
        </w:rPr>
        <w:t>至少支持10个外置物联网模块链式扩展，</w:t>
      </w:r>
    </w:p>
    <w:p>
      <w:r>
        <w:rPr>
          <w:rFonts w:hint="eastAsia"/>
        </w:rPr>
        <w:t>7、▲支持基于空口利用率的SSID自动隐藏功能，当空口繁忙程度达到或超过配置的阈值时，SSID自动隐藏，为用户提供稳定可靠的无线服务。</w:t>
      </w:r>
    </w:p>
    <w:p/>
    <w:p>
      <w:pPr>
        <w:rPr>
          <w:b/>
          <w:bCs/>
          <w:sz w:val="28"/>
          <w:szCs w:val="28"/>
        </w:rPr>
      </w:pPr>
      <w:r>
        <w:rPr>
          <w:rFonts w:hint="eastAsia"/>
          <w:b/>
          <w:bCs/>
          <w:sz w:val="28"/>
          <w:szCs w:val="28"/>
        </w:rPr>
        <w:t xml:space="preserve">十二、设备网无线控制器 </w:t>
      </w:r>
    </w:p>
    <w:p>
      <w:r>
        <w:rPr>
          <w:rFonts w:hint="eastAsia"/>
        </w:rPr>
        <w:t xml:space="preserve">1、▲要求所投产品支持常规AP最大数量≥144, </w:t>
      </w:r>
      <w:r>
        <w:rPr>
          <w:rFonts w:hint="eastAsia" w:asciiTheme="minorHAnsi" w:hAnsiTheme="minorHAnsi" w:eastAsiaTheme="minorEastAsia" w:cstheme="minorBidi"/>
          <w:color w:val="auto"/>
          <w:kern w:val="2"/>
          <w:sz w:val="21"/>
          <w:szCs w:val="22"/>
          <w:lang w:bidi="ar-SA"/>
        </w:rPr>
        <w:t>要求</w:t>
      </w:r>
      <w:r>
        <w:rPr>
          <w:rFonts w:hint="eastAsia"/>
        </w:rPr>
        <w:t>能</w:t>
      </w:r>
      <w:r>
        <w:rPr>
          <w:rFonts w:hint="eastAsia" w:asciiTheme="minorHAnsi" w:hAnsiTheme="minorHAnsi" w:eastAsiaTheme="minorEastAsia" w:cstheme="minorBidi"/>
          <w:color w:val="auto"/>
          <w:kern w:val="2"/>
          <w:sz w:val="21"/>
          <w:szCs w:val="22"/>
          <w:lang w:bidi="ar-SA"/>
        </w:rPr>
        <w:t>与现网无线控制器</w:t>
      </w:r>
      <w:r>
        <w:rPr>
          <w:rFonts w:asciiTheme="minorHAnsi" w:hAnsiTheme="minorHAnsi" w:eastAsiaTheme="minorEastAsia" w:cstheme="minorBidi"/>
          <w:color w:val="auto"/>
          <w:kern w:val="2"/>
          <w:sz w:val="21"/>
          <w:szCs w:val="22"/>
          <w:lang w:bidi="ar-SA"/>
        </w:rPr>
        <w:t>H3C WX2560</w:t>
      </w:r>
      <w:r>
        <w:rPr>
          <w:rFonts w:hint="eastAsia" w:asciiTheme="minorHAnsi" w:hAnsiTheme="minorHAnsi" w:eastAsiaTheme="minorEastAsia" w:cstheme="minorBidi"/>
          <w:color w:val="auto"/>
          <w:kern w:val="2"/>
          <w:sz w:val="21"/>
          <w:szCs w:val="22"/>
          <w:lang w:bidi="ar-SA"/>
        </w:rPr>
        <w:t>做双机热备</w:t>
      </w:r>
      <w:r>
        <w:rPr>
          <w:rFonts w:asciiTheme="minorHAnsi" w:hAnsiTheme="minorHAnsi" w:eastAsiaTheme="minorEastAsia" w:cstheme="minorBidi"/>
          <w:color w:val="auto"/>
          <w:kern w:val="2"/>
          <w:sz w:val="21"/>
          <w:szCs w:val="22"/>
          <w:lang w:bidi="ar-SA"/>
        </w:rPr>
        <w:t>，</w:t>
      </w:r>
      <w:r>
        <w:rPr>
          <w:rFonts w:hint="eastAsia"/>
        </w:rPr>
        <w:t>能</w:t>
      </w:r>
      <w:r>
        <w:rPr>
          <w:rFonts w:hint="eastAsia" w:asciiTheme="minorHAnsi" w:hAnsiTheme="minorHAnsi" w:eastAsiaTheme="minorEastAsia" w:cstheme="minorBidi"/>
          <w:color w:val="auto"/>
          <w:kern w:val="2"/>
          <w:sz w:val="21"/>
          <w:szCs w:val="22"/>
          <w:lang w:bidi="ar-SA"/>
        </w:rPr>
        <w:t>共享一套</w:t>
      </w:r>
      <w:r>
        <w:rPr>
          <w:rFonts w:asciiTheme="minorHAnsi" w:hAnsiTheme="minorHAnsi" w:eastAsiaTheme="minorEastAsia" w:cstheme="minorBidi"/>
          <w:color w:val="auto"/>
          <w:kern w:val="2"/>
          <w:sz w:val="21"/>
          <w:szCs w:val="22"/>
          <w:lang w:bidi="ar-SA"/>
        </w:rPr>
        <w:t>AP</w:t>
      </w:r>
      <w:r>
        <w:rPr>
          <w:rFonts w:hint="eastAsia" w:asciiTheme="minorHAnsi" w:hAnsiTheme="minorHAnsi" w:eastAsiaTheme="minorEastAsia" w:cstheme="minorBidi"/>
          <w:color w:val="auto"/>
          <w:kern w:val="2"/>
          <w:sz w:val="21"/>
          <w:szCs w:val="22"/>
          <w:lang w:bidi="ar-SA"/>
        </w:rPr>
        <w:t>授权</w:t>
      </w:r>
      <w:r>
        <w:rPr>
          <w:rFonts w:hint="eastAsia" w:ascii="微软雅黑" w:hAnsi="微软雅黑" w:eastAsia="微软雅黑" w:cs="微软雅黑"/>
          <w:color w:val="000000"/>
          <w:kern w:val="0"/>
          <w:sz w:val="18"/>
          <w:szCs w:val="18"/>
          <w:lang w:bidi="ar"/>
        </w:rPr>
        <w:t>，</w:t>
      </w:r>
      <w:r>
        <w:rPr>
          <w:rFonts w:hint="eastAsia"/>
        </w:rPr>
        <w:t>本次实际配置8个AP管理授权</w:t>
      </w:r>
    </w:p>
    <w:p>
      <w:r>
        <w:rPr>
          <w:rFonts w:hint="eastAsia"/>
        </w:rPr>
        <w:t xml:space="preserve">2、▲要求所投产品提供≥8个千兆GE端口，≥2个万兆SFP+端口 </w:t>
      </w:r>
    </w:p>
    <w:p>
      <w:r>
        <w:rPr>
          <w:rFonts w:hint="eastAsia"/>
        </w:rPr>
        <w:t xml:space="preserve">3、▲产品集中转发性能≥10Gbps, </w:t>
      </w:r>
    </w:p>
    <w:p>
      <w:r>
        <w:rPr>
          <w:rFonts w:hint="eastAsia"/>
        </w:rPr>
        <w:t>4、为了满足设备的稳定性，要求产品支持双电源冗余供电</w:t>
      </w:r>
    </w:p>
    <w:p>
      <w:r>
        <w:rPr>
          <w:rFonts w:hint="eastAsia"/>
        </w:rPr>
        <w:t>5、支持标准IETF 5415 CAPWAP协议，AP和AC之间支持L2/L3层网络拓扑，为提高网络安全，AP与控制器之间能够支持DTLS对CAPWAP隧道进行加密处理。</w:t>
      </w:r>
    </w:p>
    <w:p>
      <w:r>
        <w:rPr>
          <w:rFonts w:hint="eastAsia"/>
        </w:rPr>
        <w:t>6、认证加密</w:t>
      </w:r>
      <w:r>
        <w:rPr>
          <w:rFonts w:hint="eastAsia"/>
        </w:rPr>
        <w:tab/>
      </w:r>
      <w:r>
        <w:rPr>
          <w:rFonts w:hint="eastAsia"/>
        </w:rPr>
        <w:t>支持MAC 地址认证、802.1x认证（EAP-PAP、EAP-MD5、EAP-PEAP、EAP-TLS、EAP-TTLS）、Portal认证、MAC+Portal混合认证；</w:t>
      </w:r>
    </w:p>
    <w:p>
      <w:r>
        <w:rPr>
          <w:rFonts w:hint="eastAsia"/>
        </w:rPr>
        <w:t>支持WPA标准、WEP(WEP64/WEP128)、TKIP、CCMP；</w:t>
      </w:r>
    </w:p>
    <w:p>
      <w:r>
        <w:rPr>
          <w:rFonts w:hint="eastAsia"/>
        </w:rPr>
        <w:t>支持内置portal、dot1x服务器；</w:t>
      </w:r>
    </w:p>
    <w:p>
      <w:r>
        <w:rPr>
          <w:rFonts w:hint="eastAsia"/>
        </w:rPr>
        <w:t>7、</w:t>
      </w:r>
      <w:r>
        <w:rPr>
          <w:rFonts w:hint="eastAsia"/>
        </w:rPr>
        <w:tab/>
      </w:r>
      <w:r>
        <w:rPr>
          <w:rFonts w:hint="eastAsia"/>
        </w:rPr>
        <w:t>支持AC内漫游，支持跨AC间漫游，支持跨VLAN的三层漫游</w:t>
      </w:r>
    </w:p>
    <w:p>
      <w:r>
        <w:rPr>
          <w:rFonts w:hint="eastAsia"/>
        </w:rPr>
        <w:t>8、▲支持雷达检测SSID逃生功能：AC、AP支持SSID自主逃生，当AP射频检测到雷达信号时，会将本射频的SSID迁移到其他射频，保障关键业务正常通信；支持MAC认证逃生功能：AC、AP支持MAC认证逃生功能，为提高无线网络认证可靠性，无线控制器支持MAC认证逃生功能。支持Portal认证逃生功能：AC、AP支持Portal认证逃生，为提高无线网络认证可靠性，无线控制器支持Portal认证逃生功能</w:t>
      </w:r>
    </w:p>
    <w:p>
      <w:r>
        <w:rPr>
          <w:rFonts w:hint="eastAsia"/>
        </w:rPr>
        <w:t>9、为实现AC的全面运维，所投产品需要满足：AC CPU、内存使用率以及历史信息，AC整机广播、组播、单播流量成分以及历史信息，以及每端口广播、组播、单播流量成分以及历史信息，同时可以识别最近一分钟端口入方向广播组播占比过高、最近一分钟端口流量过大等异常事件；为监控AP有线端口异常所引起的无线网络体检较差的原因，所投产品需要支持：有线端口接收错包持续增长、AP有线端口Down、有线端口协商速率低、有线端口发送错包持续增加、有线端口协商成半双工等问题的检测 ；为了保障无线网络的用户体验，所投产品需要满足对弱信号接入、乒乓漫游等常见无线网络问题的识别，并给出问题分布趋势图、该问题所影响的具体终端、涉及的AP以及该AP发生该异常的数量统计。为使得网络管理员实时感知网络状态，所投产品需要在网络发生异常时，可利用短信、微信、邮件等三种不同方式推送告警信息；为分析无线网络中IP地址的异常改变造成的上网体验差的原因，所投产品需要支持对异常终端的IP地址变更时间、MAC地址、IP地址、接入SSID以及接入AP信息予以记录及显示；为了有效排查无线网络中存在的匿名攻击的隐患，所投产品需要具备仿冒终端检查的能力，并且识别仿冒终端所接入SSID、AP以及终端设备型号、终端操作系统等信息</w:t>
      </w:r>
    </w:p>
    <w:p/>
    <w:p>
      <w:pPr>
        <w:rPr>
          <w:b/>
          <w:bCs/>
          <w:sz w:val="28"/>
          <w:szCs w:val="28"/>
        </w:rPr>
      </w:pPr>
      <w:r>
        <w:rPr>
          <w:rFonts w:hint="eastAsia"/>
          <w:b/>
          <w:bCs/>
          <w:sz w:val="28"/>
          <w:szCs w:val="28"/>
        </w:rPr>
        <w:t xml:space="preserve">十三、设备网汇聚交换机 </w:t>
      </w:r>
    </w:p>
    <w:p>
      <w:r>
        <w:rPr>
          <w:rFonts w:hint="eastAsia"/>
        </w:rPr>
        <w:t xml:space="preserve">1、▲交换容量≥336Gbps, 包转发率≥126Mpps，以官网标注最低值为准； </w:t>
      </w:r>
    </w:p>
    <w:p>
      <w:r>
        <w:rPr>
          <w:rFonts w:hint="eastAsia"/>
        </w:rPr>
        <w:t xml:space="preserve">2、▲整机100/1000 SFP光口≥24个（其中 GE combo口≥8个），万兆SFP+口≥4个， </w:t>
      </w:r>
    </w:p>
    <w:p>
      <w:r>
        <w:rPr>
          <w:rFonts w:hint="eastAsia"/>
        </w:rPr>
        <w:t>3、配置可插拔冗余电源</w:t>
      </w:r>
    </w:p>
    <w:p>
      <w:r>
        <w:rPr>
          <w:rFonts w:hint="eastAsia"/>
        </w:rPr>
        <w:t>4、ERPS功能</w:t>
      </w:r>
      <w:r>
        <w:rPr>
          <w:rFonts w:hint="eastAsia"/>
        </w:rPr>
        <w:tab/>
      </w:r>
      <w:r>
        <w:rPr>
          <w:rFonts w:hint="eastAsia"/>
        </w:rPr>
        <w:t>支持ERPS功能，收敛时间小于50ms</w:t>
      </w:r>
    </w:p>
    <w:p>
      <w:r>
        <w:rPr>
          <w:rFonts w:hint="eastAsia"/>
        </w:rPr>
        <w:t>5、支持基于端口的VLAN，支持基于协议的VLAN</w:t>
      </w:r>
    </w:p>
    <w:p>
      <w:r>
        <w:rPr>
          <w:rFonts w:hint="eastAsia"/>
        </w:rPr>
        <w:t>6、支持IPv4/IPV6双栈管理和转发，支持静态路由协议和RIP、OSPF等路由协议，支持丰富的管理和安全特性；</w:t>
      </w:r>
    </w:p>
    <w:p>
      <w:r>
        <w:rPr>
          <w:rFonts w:hint="eastAsia"/>
        </w:rPr>
        <w:t>7、▲支持内置智能网管，能够实现通过图形化界面</w:t>
      </w:r>
      <w:r>
        <w:rPr>
          <w:rFonts w:ascii="Arial" w:hAnsi="Arial" w:cs="Arial"/>
          <w:color w:val="333333"/>
          <w:szCs w:val="21"/>
          <w:shd w:val="clear" w:color="auto" w:fill="FFFFFF"/>
        </w:rPr>
        <w:t>对网络的统一运维及管理</w:t>
      </w:r>
      <w:r>
        <w:rPr>
          <w:rFonts w:hint="eastAsia"/>
        </w:rPr>
        <w:t>；内</w:t>
      </w:r>
      <w:r>
        <w:rPr>
          <w:rFonts w:ascii="Arial" w:hAnsi="Arial" w:cs="Arial"/>
          <w:color w:val="333333"/>
          <w:szCs w:val="21"/>
          <w:shd w:val="clear" w:color="auto" w:fill="FFFFFF"/>
        </w:rPr>
        <w:t>置防雷技术，支持业界专业的10KV防雷能力，使其在比较恶劣的工作环境中也能极大的降低雷击对设备的损坏率。</w:t>
      </w:r>
    </w:p>
    <w:p/>
    <w:p>
      <w:pPr>
        <w:rPr>
          <w:b/>
          <w:bCs/>
          <w:sz w:val="28"/>
          <w:szCs w:val="28"/>
        </w:rPr>
      </w:pPr>
      <w:r>
        <w:rPr>
          <w:rFonts w:hint="eastAsia"/>
          <w:b/>
          <w:bCs/>
          <w:sz w:val="28"/>
          <w:szCs w:val="28"/>
        </w:rPr>
        <w:t xml:space="preserve">十四、办公网网管与准入认证平台 </w:t>
      </w:r>
    </w:p>
    <w:p>
      <w:r>
        <w:rPr>
          <w:rFonts w:hint="eastAsia"/>
        </w:rPr>
        <w:t>1、▲2U2路机架式服务器CPU: 英特尔至强金牌4314*2或以上；内存≥128GB；≥2*960G SSD; ≥2*1.2T HDD；RAID：支持RAID1、5，缓存2G或以上(含掉电保护)；网卡：10/100/1000以太网卡×4（电口）</w:t>
      </w:r>
    </w:p>
    <w:p>
      <w:r>
        <w:rPr>
          <w:rFonts w:hint="eastAsia"/>
        </w:rPr>
        <w:t>2、▲为保证产品兼容性，本次网管系统需要与网络设备，无线设备，安全设备保持产品品牌一致。要求资源拓扑、告警、性能等功能模块支持多服务器分布式虚拟化部署，可实现负载分担，满足大规模网络环境的统一管理。单套软件可管理的网元数不小于 2000 个，本项目提供不小于50个管理网元许可。</w:t>
      </w:r>
    </w:p>
    <w:p>
      <w:r>
        <w:rPr>
          <w:rFonts w:hint="eastAsia"/>
        </w:rPr>
        <w:t>3、▲自动发现网络中的所有网络设备，并在拓扑中显示出来，支持拓扑图自定义修改，包括设备、链路等。</w:t>
      </w:r>
    </w:p>
    <w:p>
      <w:r>
        <w:rPr>
          <w:rFonts w:hint="eastAsia"/>
        </w:rPr>
        <w:t>4、流量分析</w:t>
      </w:r>
      <w:r>
        <w:rPr>
          <w:rFonts w:hint="eastAsia"/>
        </w:rPr>
        <w:tab/>
      </w:r>
      <w:r>
        <w:rPr>
          <w:rFonts w:hint="eastAsia"/>
        </w:rPr>
        <w:t>支持网络管理平台实现设备管理与流量分析联动，如通过点击拓扑某链路可查看该链路的关键应用流量分布、关键用户流量使用等。</w:t>
      </w:r>
    </w:p>
    <w:p>
      <w:r>
        <w:rPr>
          <w:rFonts w:hint="eastAsia"/>
        </w:rPr>
        <w:t>5、面板管理</w:t>
      </w:r>
      <w:r>
        <w:rPr>
          <w:rFonts w:hint="eastAsia"/>
        </w:rPr>
        <w:tab/>
      </w:r>
      <w:r>
        <w:rPr>
          <w:rFonts w:hint="eastAsia"/>
        </w:rPr>
        <w:t xml:space="preserve">支持设备面板的显示、定时刷新、面板缩放功能，通过面板管理，网络管理人员可以直观地看到设备、板卡、端口的工作状态 </w:t>
      </w:r>
    </w:p>
    <w:p>
      <w:r>
        <w:rPr>
          <w:rFonts w:hint="eastAsia"/>
        </w:rPr>
        <w:t>6、批量设备管理</w:t>
      </w:r>
      <w:r>
        <w:rPr>
          <w:rFonts w:hint="eastAsia"/>
        </w:rPr>
        <w:tab/>
      </w:r>
      <w:r>
        <w:rPr>
          <w:rFonts w:hint="eastAsia"/>
        </w:rPr>
        <w:t>支持批量的设备配置备份和恢复。支持向导方式或者任务方式（周期性任务、一次性任务或立即任务）批量的备份、恢复完整的配置文件，也可以批量的下发配置片断</w:t>
      </w:r>
    </w:p>
    <w:p>
      <w:r>
        <w:rPr>
          <w:rFonts w:hint="eastAsia"/>
        </w:rPr>
        <w:t>7、支持设备配置集中管理：配置库包括配置文件和配置片断，配置内容可带有参数，在部署时根据设备的差异设置不同的值；配置文件可部署到设备的启动配置或者运行配置；配置片断只能部署到设备的运行配置。</w:t>
      </w:r>
    </w:p>
    <w:p>
      <w:r>
        <w:rPr>
          <w:rFonts w:hint="eastAsia"/>
        </w:rPr>
        <w:t>8、▲支持天报表、周报表、月报表、季度报表、半年报表、年报表。可以设定周期性报表的开始时间、失效时间。可以将自身的组织名称和Logo融入到发布的报表中，可以定时生成后Email到指定邮箱。</w:t>
      </w:r>
    </w:p>
    <w:p>
      <w:r>
        <w:rPr>
          <w:rFonts w:hint="eastAsia"/>
        </w:rPr>
        <w:t>9、▲提供对接入网络的企业用户进行认证和授权的功能，配置不少于500个终端并发认证授权许可</w:t>
      </w:r>
    </w:p>
    <w:p>
      <w:r>
        <w:rPr>
          <w:rFonts w:hint="eastAsia"/>
        </w:rPr>
        <w:t>10、支持PAP认证、CHAP认证、EAP-MD5认证、EAP-PEAP认证、EAP-TLS认证、EAP-PEAP-MSCHAPV2认证、EAP-PEAP-MD5、EAP-GTC、EAP-TTLS认证，支持通过MACSec认证实现二层报文加密</w:t>
      </w:r>
    </w:p>
    <w:p>
      <w:r>
        <w:rPr>
          <w:rFonts w:hint="eastAsia"/>
        </w:rPr>
        <w:t>11、支持纯 Web 认证和客户端 Portal 认证，客户端方式支持可溶解方式，无需安装；支持二次地址分配；Portal 页面支持定制；支持 IPV6 纯 Portal 认证以及 NAT 环境下的 Portal 认证；基于不同的端口组、WLAN SSID、终端操作系统推出不同的认证页面；支持 Web Portal 页面可视化定制；支持无感知认证</w:t>
      </w:r>
    </w:p>
    <w:p>
      <w:r>
        <w:rPr>
          <w:rFonts w:hint="eastAsia"/>
        </w:rPr>
        <w:t>12、定制页面包括认证（或者注册）页面和处理结果页面，根据显示屏幕分为 PC、PAD 和手机多种页面类型。预置多套模板方便管理员通过可视化手段绘制页面，也可导入第三方定制的页面。</w:t>
      </w:r>
    </w:p>
    <w:p>
      <w:r>
        <w:rPr>
          <w:rFonts w:hint="eastAsia"/>
        </w:rPr>
        <w:t>13、▲支持用户名、密码与用户 IP、MAC、VLAN、设备 IP、设备端口、主机名、域用户、SSID、AD 域、硬盘序列号等多种元素的绑定认证；支持第一次认证成功时的自学习绑定属性功能。</w:t>
      </w:r>
    </w:p>
    <w:p>
      <w:r>
        <w:rPr>
          <w:rFonts w:hint="eastAsia"/>
        </w:rPr>
        <w:t>14、支持用户同时在线数限制、最大闲置时长限制，支持黑名单限制接入、支持自动加入黑名单、限制接入客户端的类型和版本，支持限制用户修改终端MAC地址和使用代理等策略，支持限制用户组最大开户数量；支持单次最大在线时长限制；支持日累计在线时长限制。</w:t>
      </w:r>
    </w:p>
    <w:p>
      <w:pPr>
        <w:rPr>
          <w:rFonts w:hint="eastAsia"/>
        </w:rPr>
      </w:pPr>
      <w:r>
        <w:rPr>
          <w:rFonts w:hint="eastAsia"/>
        </w:rPr>
        <w:t>15、▲基于接入场景的权限控制: 可基于用户角色、接入位置、接入终端类型等情境，向联动设备下发事先配置的接入控制策略，按用户不同的情境场景控制用户的网络使用行为，</w:t>
      </w:r>
    </w:p>
    <w:p>
      <w:r>
        <w:rPr>
          <w:rFonts w:hint="eastAsia"/>
        </w:rPr>
        <w:t>16、▲本次项目所需无线设备管理软件许可不小于100个</w:t>
      </w:r>
    </w:p>
    <w:p>
      <w:r>
        <w:rPr>
          <w:rFonts w:hint="eastAsia"/>
        </w:rPr>
        <w:t>17、显示AC与Fit AP间的逻辑连接关系，显示Fit AP当前在线Client，AC拓扑中支持链路显示参数，包括仅显示在线AP、仅显示不在线AP和仅显示Rogue AP。通过无线位置视图拓扑，可按照设备所在区域，能够在位置视图中查看AP设备的物理位置</w:t>
      </w:r>
    </w:p>
    <w:p>
      <w:r>
        <w:rPr>
          <w:rFonts w:hint="eastAsia"/>
        </w:rPr>
        <w:t>18、支持查看AC与AP之间真实物理链路连接，对于排查网络故障能提供很大帮助</w:t>
      </w:r>
    </w:p>
    <w:p>
      <w:pPr>
        <w:rPr>
          <w:rFonts w:hint="eastAsia"/>
        </w:rPr>
      </w:pPr>
      <w:r>
        <w:rPr>
          <w:rFonts w:hint="eastAsia"/>
        </w:rPr>
        <w:t>19、▲支持AP接入端口管理，支持PoE功能的设备，可以通过禁止、使能PoE供电功能使AP重启，</w:t>
      </w:r>
    </w:p>
    <w:p>
      <w:r>
        <w:rPr>
          <w:rFonts w:hint="eastAsia"/>
        </w:rPr>
        <w:t>20、RF 覆盖</w:t>
      </w:r>
      <w:r>
        <w:rPr>
          <w:rFonts w:hint="eastAsia"/>
        </w:rPr>
        <w:tab/>
      </w:r>
      <w:r>
        <w:rPr>
          <w:rFonts w:hint="eastAsia"/>
        </w:rPr>
        <w:t>支持按信号强度、速率和信道显示 RF 覆盖范围，支持频段及类型（11a/11b/11g/11an/11gn）的显示，位置视图中可以添加障碍物，通过不同障碍物的衰减情况，绘制不规则的 RF 覆盖图形</w:t>
      </w:r>
    </w:p>
    <w:p>
      <w:r>
        <w:rPr>
          <w:rFonts w:hint="eastAsia"/>
        </w:rPr>
        <w:t>21、支持丰富的报表，包括移动终端在线趋势报表、在线用户统计报表、移动终端汇总报表、移动终端明细报表、AP关联汇总报表、AP关联明细报表、AP流量明细报表、AP流量汇总报表、AP可用率明细报表、AP可用率汇总报表、AP退服明细报表、AP退服汇总报表、Radio速率统计报表、Radio流量统计报表、Radio错误统计报表、Radio资源利用率统计报表、Rogue AP统计报表、Rogue移动终端统计报表、Rogue AP历史报表、Rogue移动用历史报表、无线资产报表、AP速率统计报表、热点统计报表、超忙AP统计报表、超闲AP统计报表、最差AP统计报表、热点综合统计报表、SSID综合统计报表、AC综合统计报表、AP综合统计报表</w:t>
      </w:r>
    </w:p>
    <w:p>
      <w:r>
        <w:rPr>
          <w:rFonts w:hint="eastAsia"/>
        </w:rPr>
        <w:t>22、▲为体现投标产品生产厂商的软件研发和管理实力，需通过CMMI（软件能力成熟度集成模型）认证，通过等级不低于5级，</w:t>
      </w:r>
    </w:p>
    <w:p>
      <w:pPr>
        <w:rPr>
          <w:b/>
          <w:bCs/>
          <w:sz w:val="28"/>
          <w:szCs w:val="28"/>
        </w:rPr>
      </w:pPr>
      <w:r>
        <w:rPr>
          <w:rFonts w:hint="eastAsia"/>
          <w:b/>
          <w:bCs/>
          <w:sz w:val="28"/>
          <w:szCs w:val="28"/>
        </w:rPr>
        <w:t xml:space="preserve">十五、上网行为管理 </w:t>
      </w:r>
    </w:p>
    <w:p>
      <w:r>
        <w:rPr>
          <w:rFonts w:hint="eastAsia"/>
        </w:rPr>
        <w:t>1、▲机架式独立硬件设备，系统硬件为全内置封闭式结构，稳定可靠，加电即可运行，启动过程无须人工干预多核架构设计，不允许采用X86架构，功能采用模块化结构设计，提供CPU型号、频率最大功率≤300W；内置软件Bypass模块，内置两路电口Bypass；在设备流量异常时，可自动切换到Bypass状态，当设备恢复时，可自动切换回工作状态；双电源</w:t>
      </w:r>
    </w:p>
    <w:p>
      <w:r>
        <w:rPr>
          <w:rFonts w:hint="eastAsia"/>
        </w:rPr>
        <w:t>2、支持路由模式、透明（网桥）模式、混合模式，支持镜像接口，部署模式切换无需重启设备</w:t>
      </w:r>
    </w:p>
    <w:p>
      <w:r>
        <w:rPr>
          <w:rFonts w:hint="eastAsia"/>
        </w:rPr>
        <w:t>3、支持以太网接口、VLAN、桥接口、聚合接口、隧道接口、4G无线接口、安全域、IPv6隧道接口、Ipsec隧道接口；支持端口镜像</w:t>
      </w:r>
    </w:p>
    <w:p>
      <w:r>
        <w:rPr>
          <w:rFonts w:hint="eastAsia"/>
        </w:rPr>
        <w:t>4、▲支持自定义首页功能展示模块，提供web配置界面</w:t>
      </w:r>
    </w:p>
    <w:p>
      <w:r>
        <w:rPr>
          <w:rFonts w:hint="eastAsia"/>
        </w:rPr>
        <w:t>5、支持主动扫描发现内网资产，获取资产基本信息；支持被动从网络流量中识别资产，获取资产基本信息；支持用户手动新建、导入、导出资产信息；支持用户编辑资产详细信息，包括资产描述、用户、部门、重要度、分类、操作系统等；支持资产搜索，关键字段包含资产IP、描述、用户、部门、重要度、分类、操作系统、可用服务、状态、关键词等；支持资产识别设定、支持识别某范围中的资产；支持管理员自定义资产标识，发现特殊资产</w:t>
      </w:r>
    </w:p>
    <w:p>
      <w:r>
        <w:rPr>
          <w:rFonts w:hint="eastAsia"/>
        </w:rPr>
        <w:t>6、▲支持小时/天/周为单位的用户流量、应用流量、设备流量趋势图、列表TOP统计展示，支持用户虚拟身份画像，以时间轴的形式展示用户上网行为轨迹，支持对单用户进行网站访问质量检测</w:t>
      </w:r>
    </w:p>
    <w:p>
      <w:r>
        <w:rPr>
          <w:rFonts w:hint="eastAsia"/>
        </w:rPr>
        <w:t>7、支持地图效果展示攻击源地域地域，统计TOP10攻击源地址并支持列表展示详细信息，支持基于终端端口、操作系统等维度的资产安全分析，列表中显示资产详细信息并支持下钻查询资产风险总览、攻击链等；支持全局WAB攻击防护分析，按趋势图呈现攻击次数，攻击类型分部、被攻击TOPURL；支持基于防护策略的精准访问控制匹配次数、防盗链、SCRF、CC攻击防护统计等</w:t>
      </w:r>
    </w:p>
    <w:p>
      <w:r>
        <w:rPr>
          <w:rFonts w:hint="eastAsia"/>
        </w:rPr>
        <w:t>8、支持自定义关键字对象，提供基于关键的邮件、http等相关内容的关键字过滤功能；支持用户应用的精细化控制，例如微信的：“微信”“微信语音”“微信发消息”“微信收消息”“微信登录”“微信发文件”“微信收文件”；支持即时通讯应用管控的精细化管理，可管控QQ的“所有行为”、“登录”、“收发文件”、“语音视频”、“收消息”、“收消息”等行为</w:t>
      </w:r>
    </w:p>
    <w:p>
      <w:r>
        <w:rPr>
          <w:rFonts w:hint="eastAsia"/>
        </w:rPr>
        <w:t>9、APP认证</w:t>
      </w:r>
      <w:r>
        <w:rPr>
          <w:rFonts w:hint="eastAsia"/>
        </w:rPr>
        <w:tab/>
      </w:r>
      <w:r>
        <w:rPr>
          <w:rFonts w:hint="eastAsia"/>
        </w:rPr>
        <w:t>支持APP认证，APP运行或登录后方可认证上网，提升产品营销增值能力</w:t>
      </w:r>
    </w:p>
    <w:p>
      <w:r>
        <w:rPr>
          <w:rFonts w:hint="eastAsia"/>
        </w:rPr>
        <w:t>10、支持钉钉认证，可与钉钉APP联动认证，获取钉钉用户组织架构与用户名，并针对用户名做上网行为管理</w:t>
      </w:r>
    </w:p>
    <w:p>
      <w:r>
        <w:rPr>
          <w:rFonts w:hint="eastAsia"/>
        </w:rPr>
        <w:t>11、支持混合认证，支持界面配置选择多种认证方式，用户可根据需要更换认证方式</w:t>
      </w:r>
    </w:p>
    <w:p>
      <w:r>
        <w:rPr>
          <w:rFonts w:hint="eastAsia"/>
        </w:rPr>
        <w:t>12、支持应用缓存到ACG，支持不限于文件、视频、应用APP，支持终端类型不限于IOS、安卓，支持手工上传及自动缓存</w:t>
      </w:r>
    </w:p>
    <w:p>
      <w:r>
        <w:rPr>
          <w:rFonts w:hint="eastAsia"/>
        </w:rPr>
        <w:t>13、URL过滤</w:t>
      </w:r>
      <w:r>
        <w:rPr>
          <w:rFonts w:hint="eastAsia"/>
        </w:rPr>
        <w:tab/>
      </w:r>
      <w:r>
        <w:rPr>
          <w:rFonts w:hint="eastAsia"/>
        </w:rPr>
        <w:t xml:space="preserve">内置URL分类库，数量不少于1230W条，支持≥57个URL分类，URL库可在线升级 </w:t>
      </w:r>
    </w:p>
    <w:p>
      <w:r>
        <w:rPr>
          <w:rFonts w:hint="eastAsia"/>
        </w:rPr>
        <w:t xml:space="preserve">14、支持主流P2P、IM、在线视频、网络游戏、网络炒股等应用识别；支持BYOD特征库，可识别ios版和安卓版移动互联网软件如腾讯微博、QQ空间等特征，应用特征库可提供在线升级和手动升级，应用特征库数量不低于7100+ </w:t>
      </w:r>
    </w:p>
    <w:p>
      <w:pPr>
        <w:rPr>
          <w:rFonts w:hint="eastAsia"/>
        </w:rPr>
      </w:pPr>
      <w:r>
        <w:rPr>
          <w:rFonts w:hint="eastAsia"/>
        </w:rPr>
        <w:t>15、▲支持任子行；派博；华三；红旭；爱思；锐安；宽广智通；网博；云辰；携网；兆物；恒邦；中新；博网；派博-上海；网博（加密）；美亚柏科；盛世光明；烽火科技；中新新业；新网程；网盾；海康；白虹；西软；兴容；柏安；珠海网盈以上厂商的非经对接</w:t>
      </w:r>
      <w:r>
        <w:rPr>
          <w:rFonts w:hint="eastAsia"/>
          <w:lang w:eastAsia="zh-CN"/>
        </w:rPr>
        <w:t>。</w:t>
      </w:r>
    </w:p>
    <w:p>
      <w:pPr>
        <w:pStyle w:val="25"/>
      </w:pPr>
    </w:p>
    <w:p>
      <w:pPr>
        <w:pStyle w:val="14"/>
        <w:adjustRightInd w:val="0"/>
        <w:snapToGrid w:val="0"/>
        <w:spacing w:line="300" w:lineRule="auto"/>
        <w:rPr>
          <w:rFonts w:ascii="仿宋_GB2312" w:hAnsi="仿宋_GB2312" w:eastAsia="仿宋_GB2312" w:cs="仿宋_GB2312"/>
          <w:b/>
          <w:color w:val="000000"/>
          <w:sz w:val="28"/>
          <w:szCs w:val="28"/>
          <w:lang w:val="zh-CN"/>
        </w:rPr>
      </w:pPr>
      <w:r>
        <w:rPr>
          <w:rFonts w:hint="eastAsia" w:ascii="仿宋_GB2312" w:hAnsi="仿宋_GB2312" w:eastAsia="仿宋_GB2312" w:cs="仿宋_GB2312"/>
          <w:b/>
          <w:color w:val="000000"/>
          <w:sz w:val="28"/>
          <w:szCs w:val="28"/>
        </w:rPr>
        <w:t>三</w:t>
      </w:r>
      <w:r>
        <w:rPr>
          <w:rFonts w:hint="eastAsia" w:ascii="仿宋_GB2312" w:hAnsi="仿宋_GB2312" w:eastAsia="仿宋_GB2312" w:cs="仿宋_GB2312"/>
          <w:b/>
          <w:color w:val="000000"/>
          <w:sz w:val="28"/>
          <w:szCs w:val="28"/>
          <w:lang w:val="zh-CN"/>
        </w:rPr>
        <w:t>、项目商务要求</w:t>
      </w:r>
    </w:p>
    <w:p>
      <w:pPr>
        <w:adjustRightInd w:val="0"/>
        <w:snapToGrid w:val="0"/>
        <w:spacing w:line="600" w:lineRule="exact"/>
        <w:ind w:firstLine="555"/>
        <w:jc w:val="left"/>
        <w:rPr>
          <w:rFonts w:ascii="仿宋_GB2312" w:eastAsia="仿宋_GB2312" w:hAnsiTheme="minorEastAsia"/>
          <w:sz w:val="28"/>
          <w:szCs w:val="28"/>
        </w:rPr>
      </w:pPr>
      <w:r>
        <w:rPr>
          <w:rFonts w:ascii="仿宋_GB2312" w:eastAsia="仿宋_GB2312" w:hAnsiTheme="minorEastAsia"/>
          <w:sz w:val="28"/>
          <w:szCs w:val="28"/>
        </w:rPr>
        <w:t>1.包装、运输及保管、保险：</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w:t>
      </w:r>
      <w:r>
        <w:rPr>
          <w:rFonts w:ascii="仿宋_GB2312" w:eastAsia="仿宋_GB2312" w:hAnsiTheme="minorEastAsia"/>
          <w:sz w:val="28"/>
          <w:szCs w:val="28"/>
        </w:rPr>
        <w:t>1）报价人所供货物应为制造商原装出厂包装，包装须符合同等相关标准，因包装不良造成的损失由报价人负责。</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w:t>
      </w:r>
      <w:r>
        <w:rPr>
          <w:rFonts w:ascii="仿宋_GB2312" w:eastAsia="仿宋_GB2312" w:hAnsiTheme="minorEastAsia"/>
          <w:sz w:val="28"/>
          <w:szCs w:val="28"/>
        </w:rPr>
        <w:t>2）报价人负责将产品送到现场过程中的全部运输，包括装卸车、货物现场的搬运等。</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w:t>
      </w:r>
      <w:r>
        <w:rPr>
          <w:rFonts w:ascii="仿宋_GB2312" w:eastAsia="仿宋_GB2312" w:hAnsiTheme="minorEastAsia"/>
          <w:sz w:val="28"/>
          <w:szCs w:val="28"/>
        </w:rPr>
        <w:t>3）交货地点：广州净水有限公司</w:t>
      </w:r>
      <w:r>
        <w:rPr>
          <w:rFonts w:hint="eastAsia" w:ascii="仿宋_GB2312" w:eastAsia="仿宋_GB2312" w:hAnsiTheme="minorEastAsia"/>
          <w:sz w:val="28"/>
          <w:szCs w:val="28"/>
        </w:rPr>
        <w:t>竹料分公司。</w:t>
      </w:r>
    </w:p>
    <w:p>
      <w:pPr>
        <w:adjustRightInd w:val="0"/>
        <w:snapToGrid w:val="0"/>
        <w:spacing w:line="600" w:lineRule="exact"/>
        <w:ind w:firstLine="555"/>
        <w:jc w:val="left"/>
        <w:rPr>
          <w:rFonts w:ascii="仿宋_GB2312" w:eastAsia="仿宋_GB2312" w:hAnsiTheme="minorEastAsia"/>
          <w:sz w:val="28"/>
          <w:szCs w:val="28"/>
        </w:rPr>
      </w:pPr>
      <w:r>
        <w:rPr>
          <w:rFonts w:ascii="仿宋_GB2312" w:eastAsia="仿宋_GB2312" w:hAnsiTheme="minorEastAsia"/>
          <w:sz w:val="28"/>
          <w:szCs w:val="28"/>
        </w:rPr>
        <w:t>2.质量保证及售后服务：</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w:t>
      </w:r>
      <w:r>
        <w:rPr>
          <w:rFonts w:ascii="仿宋_GB2312" w:eastAsia="仿宋_GB2312" w:hAnsiTheme="minorEastAsia"/>
          <w:sz w:val="28"/>
          <w:szCs w:val="28"/>
        </w:rPr>
        <w:t>1）确保货物为原装未拆封或未使用的产品；</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w:t>
      </w:r>
      <w:r>
        <w:rPr>
          <w:rFonts w:ascii="仿宋_GB2312" w:eastAsia="仿宋_GB2312" w:hAnsiTheme="minorEastAsia"/>
          <w:sz w:val="28"/>
          <w:szCs w:val="28"/>
        </w:rPr>
        <w:t>2）货物在质保期(自供货验收合格之日起1年内）如有质量问题或未能适配原有设备时，报价人必须24小时内派技术人员到现场免费进行维修。</w:t>
      </w:r>
    </w:p>
    <w:p>
      <w:pPr>
        <w:adjustRightInd w:val="0"/>
        <w:snapToGrid w:val="0"/>
        <w:spacing w:line="600" w:lineRule="exact"/>
        <w:ind w:firstLine="555"/>
        <w:jc w:val="left"/>
        <w:rPr>
          <w:rFonts w:ascii="仿宋_GB2312" w:eastAsia="仿宋_GB2312" w:hAnsiTheme="minorEastAsia"/>
          <w:sz w:val="28"/>
          <w:szCs w:val="28"/>
        </w:rPr>
      </w:pPr>
      <w:r>
        <w:rPr>
          <w:rFonts w:ascii="仿宋_GB2312" w:eastAsia="仿宋_GB2312" w:hAnsiTheme="minorEastAsia"/>
          <w:sz w:val="28"/>
          <w:szCs w:val="28"/>
        </w:rPr>
        <w:t>3.总包及分包规定：</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乙方不得转包、分包。否则，甲方有权单方面终止合同，拒收其货物，由此而造成的经济损失由乙方负责赔偿。</w:t>
      </w:r>
    </w:p>
    <w:p>
      <w:pPr>
        <w:adjustRightInd w:val="0"/>
        <w:snapToGrid w:val="0"/>
        <w:spacing w:line="600" w:lineRule="exact"/>
        <w:ind w:firstLine="555"/>
        <w:jc w:val="left"/>
        <w:rPr>
          <w:rFonts w:ascii="仿宋_GB2312" w:eastAsia="仿宋_GB2312" w:hAnsiTheme="minorEastAsia"/>
          <w:sz w:val="28"/>
          <w:szCs w:val="28"/>
        </w:rPr>
      </w:pPr>
      <w:r>
        <w:rPr>
          <w:rFonts w:ascii="仿宋_GB2312" w:eastAsia="仿宋_GB2312" w:hAnsiTheme="minorEastAsia"/>
          <w:sz w:val="28"/>
          <w:szCs w:val="28"/>
        </w:rPr>
        <w:t>4.询价人将自承包商履行完合同义务之日起15个工作日内组织验收，审定报价人供货的货物合格情况，进行结算审核。</w:t>
      </w:r>
    </w:p>
    <w:p>
      <w:pPr>
        <w:adjustRightInd w:val="0"/>
        <w:snapToGrid w:val="0"/>
        <w:spacing w:line="600" w:lineRule="exact"/>
        <w:ind w:firstLine="555"/>
        <w:jc w:val="left"/>
        <w:rPr>
          <w:rFonts w:ascii="仿宋_GB2312" w:eastAsia="仿宋_GB2312" w:hAnsiTheme="minorEastAsia"/>
          <w:sz w:val="28"/>
          <w:szCs w:val="28"/>
        </w:rPr>
      </w:pPr>
      <w:r>
        <w:rPr>
          <w:rFonts w:ascii="仿宋_GB2312" w:eastAsia="仿宋_GB2312" w:hAnsiTheme="minorEastAsia"/>
          <w:sz w:val="28"/>
          <w:szCs w:val="28"/>
        </w:rPr>
        <w:t>5.付款方式：</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w:t>
      </w:r>
      <w:r>
        <w:rPr>
          <w:rFonts w:ascii="仿宋_GB2312" w:eastAsia="仿宋_GB2312" w:hAnsiTheme="minorEastAsia"/>
          <w:sz w:val="28"/>
          <w:szCs w:val="28"/>
        </w:rPr>
        <w:t>1）采用支票、银行汇票形式。</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w:t>
      </w:r>
      <w:r>
        <w:rPr>
          <w:rFonts w:ascii="仿宋_GB2312" w:eastAsia="仿宋_GB2312" w:hAnsiTheme="minorEastAsia"/>
          <w:sz w:val="28"/>
          <w:szCs w:val="28"/>
        </w:rPr>
        <w:t>2）报价人在收款前需提交相应金额增值税专用发票给需求单位。</w:t>
      </w:r>
    </w:p>
    <w:p>
      <w:pPr>
        <w:adjustRightInd w:val="0"/>
        <w:snapToGrid w:val="0"/>
        <w:spacing w:line="600" w:lineRule="exact"/>
        <w:ind w:firstLine="555"/>
        <w:jc w:val="left"/>
        <w:rPr>
          <w:rFonts w:ascii="仿宋_GB2312" w:eastAsia="仿宋_GB2312" w:hAnsiTheme="minorEastAsia"/>
          <w:sz w:val="28"/>
          <w:szCs w:val="28"/>
        </w:rPr>
      </w:pPr>
      <w:r>
        <w:rPr>
          <w:rFonts w:ascii="仿宋_GB2312" w:eastAsia="仿宋_GB2312" w:hAnsiTheme="minorEastAsia"/>
          <w:sz w:val="28"/>
          <w:szCs w:val="28"/>
        </w:rPr>
        <w:t>6.承包方式：单价包干。</w:t>
      </w:r>
    </w:p>
    <w:p>
      <w:pPr>
        <w:pStyle w:val="25"/>
        <w:rPr>
          <w:rFonts w:ascii="仿宋_GB2312" w:eastAsia="仿宋_GB2312" w:hAnsiTheme="minorEastAsia"/>
          <w:szCs w:val="21"/>
        </w:rPr>
      </w:pPr>
    </w:p>
    <w:p>
      <w:pPr>
        <w:adjustRightInd w:val="0"/>
        <w:snapToGrid w:val="0"/>
        <w:spacing w:line="600" w:lineRule="exact"/>
        <w:ind w:firstLine="560" w:firstLineChars="200"/>
        <w:jc w:val="left"/>
        <w:rPr>
          <w:rFonts w:ascii="仿宋_GB2312" w:eastAsia="仿宋_GB2312"/>
          <w:sz w:val="28"/>
          <w:szCs w:val="28"/>
        </w:rPr>
      </w:pPr>
    </w:p>
    <w:p>
      <w:pPr>
        <w:pStyle w:val="3"/>
      </w:pPr>
    </w:p>
    <w:p/>
    <w:p>
      <w:pPr>
        <w:pStyle w:val="25"/>
      </w:pPr>
    </w:p>
    <w:p>
      <w:pPr>
        <w:pStyle w:val="25"/>
      </w:pPr>
    </w:p>
    <w:p>
      <w:pPr>
        <w:pStyle w:val="25"/>
      </w:pPr>
    </w:p>
    <w:p>
      <w:pPr>
        <w:pStyle w:val="25"/>
      </w:pPr>
    </w:p>
    <w:p>
      <w:pPr>
        <w:pStyle w:val="25"/>
      </w:pPr>
    </w:p>
    <w:p>
      <w:pPr>
        <w:pStyle w:val="25"/>
      </w:pPr>
    </w:p>
    <w:p>
      <w:pPr>
        <w:pStyle w:val="25"/>
      </w:pPr>
    </w:p>
    <w:p>
      <w:pPr>
        <w:pStyle w:val="25"/>
      </w:pPr>
    </w:p>
    <w:p>
      <w:pPr>
        <w:pStyle w:val="25"/>
      </w:pPr>
    </w:p>
    <w:p>
      <w:pPr>
        <w:pStyle w:val="25"/>
      </w:pPr>
    </w:p>
    <w:p>
      <w:pPr>
        <w:pStyle w:val="25"/>
      </w:pPr>
    </w:p>
    <w:p/>
    <w:p>
      <w:pPr>
        <w:pStyle w:val="25"/>
      </w:pPr>
    </w:p>
    <w:p>
      <w:pPr>
        <w:pStyle w:val="25"/>
      </w:pPr>
    </w:p>
    <w:p>
      <w:pPr>
        <w:pStyle w:val="25"/>
      </w:pPr>
    </w:p>
    <w:p>
      <w:pPr>
        <w:pStyle w:val="3"/>
        <w:ind w:firstLine="3520" w:firstLineChars="800"/>
        <w:jc w:val="both"/>
        <w:rPr>
          <w:rFonts w:hint="eastAsia"/>
        </w:rPr>
      </w:pPr>
    </w:p>
    <w:p>
      <w:pPr>
        <w:pStyle w:val="3"/>
        <w:ind w:firstLine="3520" w:firstLineChars="800"/>
        <w:jc w:val="both"/>
        <w:rPr>
          <w:rFonts w:hint="eastAsia"/>
        </w:rPr>
      </w:pPr>
    </w:p>
    <w:p>
      <w:pPr>
        <w:pStyle w:val="3"/>
        <w:ind w:firstLine="3520" w:firstLineChars="800"/>
        <w:jc w:val="both"/>
      </w:pPr>
      <w:r>
        <mc:AlternateContent>
          <mc:Choice Requires="wps">
            <w:drawing>
              <wp:anchor distT="0" distB="0" distL="114300" distR="114300" simplePos="0" relativeHeight="251676672" behindDoc="0" locked="0" layoutInCell="1" allowOverlap="1">
                <wp:simplePos x="0" y="0"/>
                <wp:positionH relativeFrom="column">
                  <wp:posOffset>2209165</wp:posOffset>
                </wp:positionH>
                <wp:positionV relativeFrom="paragraph">
                  <wp:posOffset>26035</wp:posOffset>
                </wp:positionV>
                <wp:extent cx="958850" cy="0"/>
                <wp:effectExtent l="0" t="0" r="0" b="0"/>
                <wp:wrapNone/>
                <wp:docPr id="21" name="自选图形 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8" o:spid="_x0000_s1026" o:spt="32" type="#_x0000_t32" style="position:absolute;left:0pt;margin-left:173.95pt;margin-top:2.05pt;height:0pt;width:75.5pt;z-index:251676672;mso-width-relative:page;mso-height-relative:page;" filled="f" stroked="t" coordsize="21600,21600" o:gfxdata="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xTxTx1wAAAAsBAAAPAAAAAAAAAAEAIAAAACIAAABkcnMvZG93bnJldi54bWxQSwECFAAU&#10;AAAACACHTuJAZTtKQfIBAADjAwAADgAAAAAAAAABACAAAAAmAQAAZHJzL2Uyb0RvYy54bWxQSwUG&#10;AAAAAAYABgBZAQAAigU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77696" behindDoc="0" locked="0" layoutInCell="1" allowOverlap="1">
                <wp:simplePos x="0" y="0"/>
                <wp:positionH relativeFrom="column">
                  <wp:posOffset>2202815</wp:posOffset>
                </wp:positionH>
                <wp:positionV relativeFrom="paragraph">
                  <wp:posOffset>589280</wp:posOffset>
                </wp:positionV>
                <wp:extent cx="958850" cy="0"/>
                <wp:effectExtent l="0" t="0" r="0" b="0"/>
                <wp:wrapNone/>
                <wp:docPr id="22" name="自选图形 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9" o:spid="_x0000_s1026" o:spt="32" type="#_x0000_t32" style="position:absolute;left:0pt;margin-left:173.45pt;margin-top:46.4pt;height:0pt;width:75.5pt;z-index:251677696;mso-width-relative:page;mso-height-relative:page;" filled="f" stroked="t" coordsize="21600,21600" o:gfxdata="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As8yI9cAAAALAQAADwAAAAAAAAABACAAAAAiAAAAZHJzL2Rvd25yZXYueG1sUEsBAhQA&#10;FAAAAAgAh07iQCJAhv3zAQAA4wMAAA4AAAAAAAAAAQAgAAAAJgEAAGRycy9lMm9Eb2MueG1sUEsF&#10;BgAAAAAGAAYAWQEAAIsFAAAAAA==&#10;">
                <v:fill on="f" focussize="0,0"/>
                <v:stroke color="#000000" joinstyle="round"/>
                <v:imagedata o:title=""/>
                <o:lock v:ext="edit" aspectratio="f"/>
              </v:shape>
            </w:pict>
          </mc:Fallback>
        </mc:AlternateContent>
      </w:r>
      <w:r>
        <w:rPr>
          <w:rFonts w:hint="eastAsia"/>
        </w:rPr>
        <w:t>第六章</w:t>
      </w:r>
    </w:p>
    <w:p>
      <w:pPr>
        <w:pStyle w:val="40"/>
      </w:pPr>
    </w:p>
    <w:p>
      <w:pPr>
        <w:pStyle w:val="3"/>
      </w:pPr>
      <w:r>
        <w:rPr>
          <w:rFonts w:hint="eastAsia"/>
        </w:rPr>
        <w:t>合同</w:t>
      </w:r>
    </w:p>
    <w:p>
      <w:pPr>
        <w:jc w:val="center"/>
        <w:rPr>
          <w:b/>
          <w:sz w:val="48"/>
          <w:szCs w:val="48"/>
        </w:rPr>
      </w:pPr>
    </w:p>
    <w:p>
      <w:pPr>
        <w:pStyle w:val="25"/>
        <w:rPr>
          <w:rFonts w:ascii="仿宋_GB2312" w:eastAsia="仿宋_GB2312"/>
          <w:sz w:val="28"/>
          <w:szCs w:val="28"/>
        </w:rPr>
      </w:pPr>
    </w:p>
    <w:p>
      <w:pPr>
        <w:pStyle w:val="25"/>
      </w:pPr>
    </w:p>
    <w:p>
      <w:pPr>
        <w:pStyle w:val="25"/>
      </w:pPr>
    </w:p>
    <w:p>
      <w:pPr>
        <w:pStyle w:val="25"/>
      </w:pPr>
    </w:p>
    <w:p>
      <w:pPr>
        <w:pStyle w:val="25"/>
      </w:pPr>
    </w:p>
    <w:p>
      <w:pPr>
        <w:pStyle w:val="25"/>
      </w:pPr>
    </w:p>
    <w:p>
      <w:pPr>
        <w:pStyle w:val="25"/>
        <w:ind w:firstLine="0"/>
      </w:pPr>
    </w:p>
    <w:p>
      <w:pPr>
        <w:pStyle w:val="25"/>
        <w:ind w:firstLine="0"/>
      </w:pPr>
    </w:p>
    <w:p>
      <w:pPr>
        <w:pStyle w:val="25"/>
        <w:ind w:firstLine="0"/>
      </w:pPr>
    </w:p>
    <w:p>
      <w:pPr>
        <w:pStyle w:val="25"/>
        <w:ind w:firstLine="0"/>
      </w:pPr>
    </w:p>
    <w:p>
      <w:pPr>
        <w:pStyle w:val="25"/>
        <w:ind w:firstLine="0"/>
      </w:pPr>
    </w:p>
    <w:p>
      <w:pPr>
        <w:pStyle w:val="25"/>
        <w:ind w:firstLine="0"/>
      </w:pPr>
    </w:p>
    <w:p>
      <w:pPr>
        <w:pStyle w:val="25"/>
        <w:ind w:firstLine="0"/>
      </w:pPr>
    </w:p>
    <w:p>
      <w:pPr>
        <w:pStyle w:val="25"/>
        <w:ind w:firstLine="0"/>
      </w:pPr>
    </w:p>
    <w:p>
      <w:pPr>
        <w:pStyle w:val="25"/>
        <w:ind w:firstLine="0"/>
      </w:pPr>
    </w:p>
    <w:p>
      <w:pPr>
        <w:pStyle w:val="25"/>
        <w:ind w:firstLine="0"/>
      </w:pPr>
    </w:p>
    <w:p>
      <w:pPr>
        <w:pStyle w:val="25"/>
        <w:ind w:firstLine="0"/>
      </w:pPr>
    </w:p>
    <w:p>
      <w:pPr>
        <w:pStyle w:val="25"/>
      </w:pPr>
    </w:p>
    <w:p>
      <w:pPr>
        <w:pStyle w:val="25"/>
      </w:pPr>
    </w:p>
    <w:p>
      <w:pPr>
        <w:pStyle w:val="25"/>
      </w:pPr>
    </w:p>
    <w:p>
      <w:pPr>
        <w:spacing w:line="400" w:lineRule="atLeast"/>
        <w:rPr>
          <w:rFonts w:eastAsia="仿宋_GB2312" w:cs="仿宋_GB2312" w:asciiTheme="majorHAnsi" w:hAnsiTheme="majorHAnsi"/>
          <w:sz w:val="52"/>
          <w:szCs w:val="52"/>
          <w:highlight w:val="none"/>
        </w:rPr>
      </w:pPr>
    </w:p>
    <w:p>
      <w:pPr>
        <w:spacing w:line="400" w:lineRule="atLeast"/>
        <w:jc w:val="center"/>
        <w:rPr>
          <w:rFonts w:ascii="宋体" w:hAnsi="宋体" w:cs="宋体"/>
          <w:b/>
          <w:bCs/>
          <w:sz w:val="48"/>
          <w:szCs w:val="48"/>
          <w:highlight w:val="none"/>
        </w:rPr>
      </w:pPr>
      <w:r>
        <w:rPr>
          <w:rFonts w:hint="eastAsia" w:ascii="宋体" w:hAnsi="宋体" w:cs="宋体"/>
          <w:b/>
          <w:bCs/>
          <w:sz w:val="48"/>
          <w:szCs w:val="48"/>
          <w:highlight w:val="none"/>
        </w:rPr>
        <w:t>广州市净水有限公司</w:t>
      </w:r>
    </w:p>
    <w:p>
      <w:pPr>
        <w:spacing w:line="400" w:lineRule="atLeast"/>
        <w:jc w:val="center"/>
        <w:rPr>
          <w:rFonts w:asciiTheme="majorHAnsi" w:hAnsiTheme="majorHAnsi" w:eastAsiaTheme="majorEastAsia"/>
          <w:b/>
          <w:bCs/>
          <w:sz w:val="52"/>
          <w:szCs w:val="52"/>
          <w:highlight w:val="none"/>
        </w:rPr>
      </w:pPr>
      <w:r>
        <w:rPr>
          <w:rFonts w:hint="eastAsia" w:ascii="宋体" w:hAnsi="宋体" w:cs="宋体"/>
          <w:b/>
          <w:bCs/>
          <w:sz w:val="48"/>
          <w:szCs w:val="48"/>
          <w:highlight w:val="none"/>
        </w:rPr>
        <w:t>设备维修维护/技改项目合同</w:t>
      </w:r>
    </w:p>
    <w:p>
      <w:pPr>
        <w:spacing w:line="400" w:lineRule="atLeast"/>
        <w:jc w:val="center"/>
        <w:rPr>
          <w:rFonts w:ascii="宋体" w:hAnsi="宋体"/>
          <w:b/>
          <w:sz w:val="28"/>
          <w:highlight w:val="none"/>
        </w:rPr>
      </w:pPr>
    </w:p>
    <w:p>
      <w:pPr>
        <w:spacing w:line="400" w:lineRule="atLeast"/>
        <w:jc w:val="center"/>
        <w:rPr>
          <w:rFonts w:ascii="宋体" w:hAnsi="宋体"/>
          <w:b/>
          <w:sz w:val="28"/>
          <w:highlight w:val="none"/>
        </w:rPr>
      </w:pPr>
    </w:p>
    <w:p>
      <w:pPr>
        <w:spacing w:line="0" w:lineRule="atLeast"/>
        <w:rPr>
          <w:rFonts w:ascii="宋体" w:hAnsi="宋体"/>
          <w:b/>
          <w:sz w:val="30"/>
          <w:highlight w:val="none"/>
        </w:rPr>
      </w:pPr>
    </w:p>
    <w:p>
      <w:pPr>
        <w:spacing w:line="0" w:lineRule="atLeast"/>
        <w:rPr>
          <w:rFonts w:ascii="仿宋_GB2312" w:hAnsi="宋体" w:eastAsia="仿宋_GB2312"/>
          <w:b/>
          <w:sz w:val="30"/>
          <w:szCs w:val="30"/>
          <w:highlight w:val="none"/>
        </w:rPr>
      </w:pPr>
    </w:p>
    <w:p>
      <w:pPr>
        <w:spacing w:line="0" w:lineRule="atLeast"/>
        <w:ind w:left="1506" w:hanging="1506" w:hangingChars="500"/>
        <w:rPr>
          <w:rFonts w:ascii="宋体" w:hAnsi="宋体" w:cs="宋体"/>
          <w:b/>
          <w:sz w:val="30"/>
          <w:szCs w:val="30"/>
          <w:highlight w:val="none"/>
        </w:rPr>
      </w:pPr>
      <w:r>
        <w:rPr>
          <w:rFonts w:hint="eastAsia" w:ascii="宋体" w:hAnsi="宋体" w:cs="宋体"/>
          <w:b/>
          <w:sz w:val="30"/>
          <w:szCs w:val="30"/>
          <w:highlight w:val="none"/>
        </w:rPr>
        <w:t xml:space="preserve">项目名称: </w:t>
      </w:r>
      <w:r>
        <w:rPr>
          <w:rFonts w:hint="eastAsia" w:ascii="宋体" w:hAnsi="宋体" w:cs="宋体"/>
          <w:b/>
          <w:color w:val="000000" w:themeColor="text1"/>
          <w:sz w:val="30"/>
          <w:szCs w:val="30"/>
          <w:highlight w:val="none"/>
          <w14:textFill>
            <w14:solidFill>
              <w14:schemeClr w14:val="tx1"/>
            </w14:solidFill>
          </w14:textFill>
        </w:rPr>
        <w:t>竹料分公司2024年厂区网络改造项目</w:t>
      </w:r>
    </w:p>
    <w:p>
      <w:pPr>
        <w:pStyle w:val="2"/>
        <w:jc w:val="both"/>
        <w:rPr>
          <w:rFonts w:hAnsi="宋体" w:eastAsia="宋体"/>
          <w:highlight w:val="none"/>
        </w:rPr>
      </w:pPr>
      <w:r>
        <w:rPr>
          <w:rFonts w:hint="eastAsia" w:hAnsi="宋体" w:eastAsia="宋体"/>
          <w:b/>
          <w:sz w:val="30"/>
          <w:szCs w:val="30"/>
          <w:highlight w:val="none"/>
        </w:rPr>
        <w:t>项目编号：</w:t>
      </w:r>
    </w:p>
    <w:p>
      <w:pPr>
        <w:spacing w:line="400" w:lineRule="atLeast"/>
        <w:rPr>
          <w:rFonts w:ascii="宋体" w:hAnsi="宋体" w:cs="宋体"/>
          <w:b/>
          <w:sz w:val="30"/>
          <w:szCs w:val="30"/>
          <w:highlight w:val="none"/>
        </w:rPr>
      </w:pPr>
    </w:p>
    <w:p>
      <w:pPr>
        <w:spacing w:line="400" w:lineRule="atLeast"/>
        <w:rPr>
          <w:rFonts w:ascii="宋体" w:hAnsi="宋体" w:cs="宋体"/>
          <w:b/>
          <w:sz w:val="30"/>
          <w:szCs w:val="30"/>
          <w:highlight w:val="none"/>
        </w:rPr>
      </w:pPr>
    </w:p>
    <w:p>
      <w:pPr>
        <w:spacing w:line="480" w:lineRule="auto"/>
        <w:rPr>
          <w:rFonts w:ascii="宋体" w:hAnsi="宋体" w:cs="宋体"/>
          <w:b/>
          <w:bCs/>
          <w:sz w:val="30"/>
          <w:szCs w:val="30"/>
          <w:highlight w:val="none"/>
        </w:rPr>
      </w:pPr>
      <w:r>
        <w:rPr>
          <w:rFonts w:hint="eastAsia" w:ascii="宋体" w:hAnsi="宋体" w:cs="宋体"/>
          <w:b/>
          <w:sz w:val="30"/>
          <w:szCs w:val="30"/>
          <w:highlight w:val="none"/>
        </w:rPr>
        <w:t>合同编号：</w:t>
      </w:r>
      <w:r>
        <w:rPr>
          <w:rFonts w:hint="eastAsia" w:ascii="宋体" w:hAnsi="宋体" w:cs="宋体"/>
          <w:b/>
          <w:bCs/>
          <w:sz w:val="30"/>
          <w:szCs w:val="30"/>
          <w:highlight w:val="none"/>
        </w:rPr>
        <w:t>穗净水合[     ]    号</w:t>
      </w:r>
    </w:p>
    <w:p>
      <w:pPr>
        <w:spacing w:line="400" w:lineRule="atLeast"/>
        <w:ind w:firstLine="602" w:firstLineChars="200"/>
        <w:rPr>
          <w:rFonts w:ascii="宋体" w:hAnsi="宋体" w:cs="宋体"/>
          <w:b/>
          <w:sz w:val="30"/>
          <w:szCs w:val="30"/>
          <w:highlight w:val="none"/>
        </w:rPr>
      </w:pPr>
    </w:p>
    <w:p>
      <w:pPr>
        <w:spacing w:line="400" w:lineRule="atLeast"/>
        <w:rPr>
          <w:rFonts w:ascii="宋体" w:hAnsi="宋体" w:cs="宋体"/>
          <w:b/>
          <w:sz w:val="30"/>
          <w:szCs w:val="30"/>
          <w:highlight w:val="none"/>
        </w:rPr>
      </w:pPr>
    </w:p>
    <w:p>
      <w:pPr>
        <w:spacing w:line="400" w:lineRule="atLeast"/>
        <w:rPr>
          <w:rFonts w:ascii="宋体" w:hAnsi="宋体" w:cs="宋体"/>
          <w:b/>
          <w:sz w:val="30"/>
          <w:szCs w:val="30"/>
          <w:highlight w:val="none"/>
        </w:rPr>
      </w:pPr>
      <w:r>
        <w:rPr>
          <w:rFonts w:hint="eastAsia" w:ascii="宋体" w:hAnsi="宋体" w:cs="宋体"/>
          <w:b/>
          <w:sz w:val="30"/>
          <w:szCs w:val="30"/>
          <w:highlight w:val="none"/>
        </w:rPr>
        <w:t>甲方： 广州市净水有限公司</w:t>
      </w:r>
    </w:p>
    <w:p>
      <w:pPr>
        <w:spacing w:line="400" w:lineRule="atLeast"/>
        <w:rPr>
          <w:rFonts w:ascii="宋体" w:hAnsi="宋体" w:cs="宋体"/>
          <w:b/>
          <w:sz w:val="30"/>
          <w:szCs w:val="30"/>
          <w:highlight w:val="none"/>
        </w:rPr>
      </w:pPr>
    </w:p>
    <w:p>
      <w:pPr>
        <w:spacing w:line="400" w:lineRule="atLeast"/>
        <w:rPr>
          <w:rFonts w:ascii="宋体" w:hAnsi="宋体" w:cs="宋体"/>
          <w:b/>
          <w:sz w:val="30"/>
          <w:szCs w:val="30"/>
          <w:highlight w:val="none"/>
        </w:rPr>
      </w:pPr>
      <w:r>
        <w:rPr>
          <w:rFonts w:hint="eastAsia" w:ascii="宋体" w:hAnsi="宋体" w:cs="宋体"/>
          <w:b/>
          <w:sz w:val="30"/>
          <w:szCs w:val="30"/>
          <w:highlight w:val="none"/>
        </w:rPr>
        <w:t>乙方</w:t>
      </w:r>
      <w:r>
        <w:rPr>
          <w:rFonts w:hint="eastAsia" w:ascii="宋体" w:hAnsi="宋体" w:cs="宋体"/>
          <w:sz w:val="30"/>
          <w:szCs w:val="30"/>
          <w:highlight w:val="none"/>
        </w:rPr>
        <w:t>：</w:t>
      </w:r>
    </w:p>
    <w:p>
      <w:pPr>
        <w:spacing w:line="400" w:lineRule="atLeast"/>
        <w:rPr>
          <w:rFonts w:ascii="宋体" w:hAnsi="宋体" w:cs="宋体"/>
          <w:b/>
          <w:sz w:val="30"/>
          <w:szCs w:val="30"/>
          <w:highlight w:val="none"/>
        </w:rPr>
      </w:pPr>
    </w:p>
    <w:p>
      <w:pPr>
        <w:spacing w:line="400" w:lineRule="atLeast"/>
        <w:rPr>
          <w:rFonts w:ascii="宋体" w:hAnsi="宋体" w:cs="宋体"/>
          <w:b/>
          <w:sz w:val="30"/>
          <w:szCs w:val="30"/>
          <w:highlight w:val="none"/>
        </w:rPr>
      </w:pPr>
    </w:p>
    <w:p>
      <w:pPr>
        <w:spacing w:line="400" w:lineRule="atLeast"/>
        <w:rPr>
          <w:rFonts w:ascii="宋体" w:hAnsi="宋体" w:cs="宋体"/>
          <w:b/>
          <w:sz w:val="30"/>
          <w:szCs w:val="30"/>
          <w:highlight w:val="none"/>
        </w:rPr>
      </w:pPr>
      <w:r>
        <w:rPr>
          <w:rFonts w:hint="eastAsia" w:ascii="宋体" w:hAnsi="宋体" w:cs="宋体"/>
          <w:b/>
          <w:sz w:val="30"/>
          <w:szCs w:val="30"/>
          <w:highlight w:val="none"/>
        </w:rPr>
        <w:t xml:space="preserve">签订日期：       年   月   日       </w:t>
      </w:r>
    </w:p>
    <w:p>
      <w:pPr>
        <w:spacing w:line="400" w:lineRule="atLeast"/>
        <w:rPr>
          <w:rFonts w:ascii="宋体" w:hAnsi="宋体" w:cs="宋体"/>
          <w:b/>
          <w:sz w:val="30"/>
          <w:highlight w:val="none"/>
        </w:rPr>
      </w:pPr>
      <w:r>
        <w:rPr>
          <w:rFonts w:hint="eastAsia" w:ascii="宋体" w:hAnsi="宋体" w:cs="宋体"/>
          <w:b/>
          <w:sz w:val="30"/>
          <w:highlight w:val="none"/>
        </w:rPr>
        <w:t>签约地点：广州市</w:t>
      </w:r>
    </w:p>
    <w:p>
      <w:pPr>
        <w:spacing w:before="114" w:beforeLines="30" w:line="360" w:lineRule="auto"/>
        <w:ind w:left="210" w:leftChars="100" w:firstLine="1300" w:firstLineChars="250"/>
        <w:rPr>
          <w:rFonts w:ascii="宋体" w:hAnsi="宋体" w:cs="宋体"/>
          <w:sz w:val="24"/>
          <w:highlight w:val="none"/>
          <w:u w:val="single"/>
        </w:rPr>
      </w:pPr>
      <w:r>
        <w:rPr>
          <w:rFonts w:hint="eastAsia" w:ascii="宋体" w:hAnsi="宋体"/>
          <w:sz w:val="52"/>
          <w:highlight w:val="none"/>
          <w:lang w:eastAsia="zh-CN"/>
        </w:rPr>
        <w:br w:type="textWrapping"/>
      </w:r>
    </w:p>
    <w:p>
      <w:pPr>
        <w:spacing w:before="114" w:beforeLines="30" w:line="384" w:lineRule="auto"/>
        <w:ind w:left="210" w:leftChars="100" w:firstLine="600" w:firstLineChars="250"/>
        <w:rPr>
          <w:rFonts w:ascii="宋体" w:hAnsi="宋体" w:cs="宋体"/>
          <w:sz w:val="24"/>
          <w:highlight w:val="none"/>
        </w:rPr>
      </w:pPr>
      <w:r>
        <w:rPr>
          <w:rFonts w:hint="eastAsia" w:ascii="宋体" w:hAnsi="宋体" w:cs="宋体"/>
          <w:sz w:val="24"/>
          <w:highlight w:val="none"/>
        </w:rPr>
        <w:t>根据《中华人民共和国民法典》及其他有关法律、行政法规，</w:t>
      </w:r>
      <w:r>
        <w:rPr>
          <w:rFonts w:hint="eastAsia" w:ascii="宋体" w:hAnsi="宋体" w:cs="宋体"/>
          <w:sz w:val="24"/>
          <w:highlight w:val="none"/>
          <w:u w:val="single"/>
        </w:rPr>
        <w:t>广州市净水有限公司</w:t>
      </w:r>
      <w:r>
        <w:rPr>
          <w:rFonts w:hint="eastAsia" w:ascii="宋体" w:hAnsi="宋体" w:cs="宋体"/>
          <w:sz w:val="24"/>
          <w:highlight w:val="none"/>
        </w:rPr>
        <w:t xml:space="preserve"> （以下简称“甲方”）与 </w:t>
      </w:r>
      <w:r>
        <w:rPr>
          <w:rFonts w:hint="eastAsia" w:ascii="宋体" w:hAnsi="宋体" w:cs="宋体"/>
          <w:sz w:val="24"/>
          <w:highlight w:val="none"/>
          <w:u w:val="single"/>
        </w:rPr>
        <w:t>…</w:t>
      </w:r>
      <w:r>
        <w:rPr>
          <w:rFonts w:hint="eastAsia" w:ascii="宋体" w:hAnsi="宋体" w:cs="宋体"/>
          <w:sz w:val="24"/>
          <w:highlight w:val="none"/>
        </w:rPr>
        <w:t>（以下简称“乙方”）就</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rPr>
        <w:t>项目承接工作事宜，遵循平等、自愿、公平和诚实信用的原则，双方协商一致，订立本合同。</w:t>
      </w:r>
    </w:p>
    <w:p>
      <w:pPr>
        <w:spacing w:before="114" w:beforeLines="30" w:line="384" w:lineRule="auto"/>
        <w:ind w:left="210" w:leftChars="100" w:firstLine="482" w:firstLineChars="200"/>
        <w:rPr>
          <w:rFonts w:ascii="宋体" w:hAnsi="宋体" w:cs="宋体"/>
          <w:b/>
          <w:bCs/>
          <w:sz w:val="24"/>
          <w:highlight w:val="none"/>
        </w:rPr>
      </w:pPr>
      <w:r>
        <w:rPr>
          <w:rFonts w:hint="eastAsia" w:ascii="宋体" w:hAnsi="宋体" w:cs="宋体"/>
          <w:b/>
          <w:bCs/>
          <w:sz w:val="24"/>
          <w:highlight w:val="none"/>
        </w:rPr>
        <w:t>第一条 组成合同的文件及优先顺序</w:t>
      </w:r>
    </w:p>
    <w:p>
      <w:pPr>
        <w:spacing w:line="384" w:lineRule="auto"/>
        <w:ind w:firstLine="482"/>
        <w:rPr>
          <w:rFonts w:ascii="宋体" w:hAnsi="宋体" w:cs="宋体"/>
          <w:bCs/>
          <w:sz w:val="24"/>
          <w:highlight w:val="none"/>
        </w:rPr>
      </w:pPr>
      <w:r>
        <w:rPr>
          <w:rFonts w:hint="eastAsia" w:hAnsi="宋体" w:cs="宋体"/>
          <w:bCs/>
          <w:sz w:val="24"/>
          <w:highlight w:val="none"/>
        </w:rPr>
        <w:t>下列文件（如有）均为本合同的组成部分，可视为能相互说明和补充的，如果合同文件存在歧义或相矛盾的地方，则根据以下次序判断：</w:t>
      </w:r>
    </w:p>
    <w:p>
      <w:pPr>
        <w:spacing w:line="384" w:lineRule="auto"/>
        <w:ind w:firstLine="482"/>
        <w:rPr>
          <w:rFonts w:ascii="宋体" w:hAnsi="宋体" w:cs="宋体"/>
          <w:bCs/>
          <w:sz w:val="24"/>
          <w:highlight w:val="none"/>
        </w:rPr>
      </w:pPr>
      <w:r>
        <w:rPr>
          <w:rFonts w:hint="eastAsia" w:ascii="宋体" w:hAnsi="宋体" w:cs="宋体"/>
          <w:bCs/>
          <w:sz w:val="24"/>
          <w:highlight w:val="none"/>
        </w:rPr>
        <w:t xml:space="preserve">⑴ </w:t>
      </w:r>
      <w:r>
        <w:rPr>
          <w:rFonts w:hint="eastAsia" w:ascii="宋体" w:hAnsi="宋体" w:cs="宋体"/>
          <w:sz w:val="24"/>
          <w:highlight w:val="none"/>
        </w:rPr>
        <w:t>在本合同实施过程双方签署的补充与修正文件</w:t>
      </w:r>
      <w:r>
        <w:rPr>
          <w:rFonts w:hint="eastAsia" w:ascii="宋体" w:hAnsi="宋体" w:cs="宋体"/>
          <w:bCs/>
          <w:sz w:val="24"/>
          <w:highlight w:val="none"/>
        </w:rPr>
        <w:t>；</w:t>
      </w:r>
    </w:p>
    <w:p>
      <w:pPr>
        <w:spacing w:line="384" w:lineRule="auto"/>
        <w:ind w:firstLine="482"/>
        <w:rPr>
          <w:rFonts w:ascii="宋体" w:hAnsi="宋体" w:cs="宋体"/>
          <w:bCs/>
          <w:sz w:val="24"/>
          <w:highlight w:val="none"/>
        </w:rPr>
      </w:pPr>
      <w:r>
        <w:rPr>
          <w:rFonts w:hint="eastAsia" w:ascii="宋体" w:hAnsi="宋体" w:cs="宋体"/>
          <w:bCs/>
          <w:sz w:val="24"/>
          <w:highlight w:val="none"/>
        </w:rPr>
        <w:t>⑵ 本合同书；</w:t>
      </w:r>
    </w:p>
    <w:p>
      <w:pPr>
        <w:spacing w:line="384" w:lineRule="auto"/>
        <w:ind w:firstLine="482"/>
        <w:rPr>
          <w:rFonts w:ascii="宋体" w:hAnsi="宋体" w:cs="宋体"/>
          <w:bCs/>
          <w:sz w:val="24"/>
          <w:highlight w:val="none"/>
        </w:rPr>
      </w:pPr>
      <w:r>
        <w:rPr>
          <w:rFonts w:hint="eastAsia" w:ascii="宋体" w:hAnsi="宋体" w:cs="宋体"/>
          <w:bCs/>
          <w:sz w:val="24"/>
          <w:highlight w:val="none"/>
        </w:rPr>
        <w:t>⑶ 中标通知书/发包通知书/成交通知书/委托函；</w:t>
      </w:r>
    </w:p>
    <w:p>
      <w:pPr>
        <w:spacing w:line="384" w:lineRule="auto"/>
        <w:ind w:firstLine="482"/>
        <w:rPr>
          <w:rFonts w:ascii="宋体" w:hAnsi="宋体" w:cs="宋体"/>
          <w:bCs/>
          <w:sz w:val="24"/>
          <w:highlight w:val="none"/>
        </w:rPr>
      </w:pPr>
      <w:r>
        <w:rPr>
          <w:rFonts w:hint="eastAsia" w:ascii="宋体" w:hAnsi="宋体" w:cs="宋体"/>
          <w:bCs/>
          <w:sz w:val="24"/>
          <w:highlight w:val="none"/>
        </w:rPr>
        <w:t>⑷ 招标文件/询价文件；</w:t>
      </w:r>
    </w:p>
    <w:p>
      <w:pPr>
        <w:spacing w:line="384" w:lineRule="auto"/>
        <w:ind w:firstLine="482"/>
        <w:rPr>
          <w:rFonts w:ascii="宋体" w:hAnsi="宋体" w:cs="宋体"/>
          <w:bCs/>
          <w:sz w:val="24"/>
          <w:highlight w:val="none"/>
        </w:rPr>
      </w:pPr>
      <w:r>
        <w:rPr>
          <w:rFonts w:hint="eastAsia" w:ascii="宋体" w:hAnsi="宋体" w:cs="宋体"/>
          <w:bCs/>
          <w:sz w:val="24"/>
          <w:highlight w:val="none"/>
        </w:rPr>
        <w:t>⑸ 投标文件/响应文件；</w:t>
      </w:r>
    </w:p>
    <w:p>
      <w:pPr>
        <w:spacing w:line="384" w:lineRule="auto"/>
        <w:ind w:firstLine="482"/>
        <w:rPr>
          <w:rFonts w:ascii="宋体" w:hAnsi="宋体" w:cs="宋体"/>
          <w:bCs/>
          <w:sz w:val="24"/>
          <w:highlight w:val="none"/>
        </w:rPr>
      </w:pPr>
      <w:r>
        <w:rPr>
          <w:rFonts w:hint="eastAsia" w:ascii="宋体" w:hAnsi="宋体" w:cs="宋体"/>
          <w:bCs/>
          <w:sz w:val="24"/>
          <w:highlight w:val="none"/>
        </w:rPr>
        <w:t>⑹ 标准、规范及有关技术性文件；</w:t>
      </w:r>
    </w:p>
    <w:p>
      <w:pPr>
        <w:spacing w:line="384" w:lineRule="auto"/>
        <w:ind w:firstLine="482"/>
        <w:rPr>
          <w:rFonts w:ascii="宋体" w:hAnsi="宋体" w:cs="宋体"/>
          <w:bCs/>
          <w:sz w:val="24"/>
          <w:highlight w:val="none"/>
        </w:rPr>
      </w:pPr>
      <w:r>
        <w:rPr>
          <w:rFonts w:hint="eastAsia" w:ascii="宋体" w:hAnsi="宋体" w:cs="宋体"/>
          <w:bCs/>
          <w:sz w:val="24"/>
          <w:highlight w:val="none"/>
        </w:rPr>
        <w:t>⑺ 图纸；</w:t>
      </w:r>
    </w:p>
    <w:p>
      <w:pPr>
        <w:spacing w:line="384" w:lineRule="auto"/>
        <w:ind w:firstLine="482"/>
        <w:rPr>
          <w:rFonts w:ascii="宋体" w:hAnsi="宋体" w:cs="宋体"/>
          <w:bCs/>
          <w:sz w:val="24"/>
          <w:highlight w:val="none"/>
        </w:rPr>
      </w:pPr>
      <w:r>
        <w:rPr>
          <w:rFonts w:hint="eastAsia" w:ascii="宋体" w:hAnsi="宋体" w:cs="宋体"/>
          <w:bCs/>
          <w:sz w:val="24"/>
          <w:highlight w:val="none"/>
        </w:rPr>
        <w:t>⑻ 工程量清单/</w:t>
      </w:r>
      <w:r>
        <w:rPr>
          <w:rFonts w:hint="eastAsia" w:ascii="宋体" w:hAnsi="宋体" w:cs="宋体"/>
          <w:sz w:val="24"/>
          <w:highlight w:val="none"/>
        </w:rPr>
        <w:t>工程报价单或预算书；</w:t>
      </w:r>
    </w:p>
    <w:p>
      <w:pPr>
        <w:spacing w:line="384" w:lineRule="auto"/>
        <w:ind w:firstLine="482"/>
        <w:rPr>
          <w:rFonts w:ascii="宋体" w:hAnsi="宋体" w:cs="宋体"/>
          <w:bCs/>
          <w:sz w:val="24"/>
          <w:highlight w:val="none"/>
        </w:rPr>
      </w:pPr>
      <w:r>
        <w:rPr>
          <w:rFonts w:hint="eastAsia" w:ascii="宋体" w:hAnsi="宋体" w:cs="宋体"/>
          <w:bCs/>
          <w:sz w:val="24"/>
          <w:highlight w:val="none"/>
        </w:rPr>
        <w:t>⑼ 本合同其他附件；</w:t>
      </w:r>
    </w:p>
    <w:p>
      <w:pPr>
        <w:spacing w:line="384" w:lineRule="auto"/>
        <w:ind w:firstLine="482"/>
        <w:rPr>
          <w:rFonts w:ascii="宋体" w:hAnsi="宋体" w:cs="宋体"/>
          <w:b/>
          <w:bCs/>
          <w:sz w:val="24"/>
          <w:highlight w:val="none"/>
        </w:rPr>
      </w:pPr>
      <w:r>
        <w:rPr>
          <w:rFonts w:hint="eastAsia" w:ascii="宋体" w:hAnsi="宋体" w:cs="宋体"/>
          <w:b/>
          <w:bCs/>
          <w:sz w:val="24"/>
          <w:highlight w:val="none"/>
        </w:rPr>
        <w:t>第二条 项目概况、项目承包范围</w:t>
      </w:r>
    </w:p>
    <w:p>
      <w:pPr>
        <w:spacing w:line="384" w:lineRule="auto"/>
        <w:ind w:firstLine="480" w:firstLineChars="200"/>
        <w:rPr>
          <w:rFonts w:ascii="宋体" w:hAnsi="宋体" w:cs="宋体"/>
          <w:sz w:val="24"/>
          <w:highlight w:val="none"/>
          <w:u w:val="single"/>
        </w:rPr>
      </w:pPr>
      <w:r>
        <w:rPr>
          <w:rFonts w:hint="eastAsia" w:ascii="宋体" w:hAnsi="宋体" w:cs="宋体"/>
          <w:sz w:val="24"/>
          <w:highlight w:val="none"/>
        </w:rPr>
        <w:t>2.1项目名称：</w:t>
      </w:r>
      <w:r>
        <w:rPr>
          <w:rFonts w:hint="eastAsia" w:ascii="宋体" w:hAnsi="宋体" w:cs="宋体"/>
          <w:b w:val="0"/>
          <w:color w:val="auto"/>
          <w:sz w:val="24"/>
          <w:szCs w:val="22"/>
          <w:highlight w:val="none"/>
          <w:u w:val="single"/>
        </w:rPr>
        <w:t>竹料分公司</w:t>
      </w:r>
      <w:r>
        <w:rPr>
          <w:rFonts w:ascii="宋体" w:hAnsi="宋体" w:cs="宋体"/>
          <w:b w:val="0"/>
          <w:color w:val="auto"/>
          <w:sz w:val="24"/>
          <w:szCs w:val="22"/>
          <w:highlight w:val="none"/>
          <w:u w:val="single"/>
        </w:rPr>
        <w:t>2024年厂区网络改造项目</w:t>
      </w:r>
      <w:r>
        <w:rPr>
          <w:rFonts w:hint="eastAsia" w:ascii="宋体" w:hAnsi="宋体" w:cs="宋体"/>
          <w:sz w:val="24"/>
          <w:highlight w:val="none"/>
          <w:u w:val="single"/>
        </w:rPr>
        <w:t>。</w:t>
      </w:r>
    </w:p>
    <w:p>
      <w:pPr>
        <w:spacing w:line="384" w:lineRule="auto"/>
        <w:ind w:firstLine="480" w:firstLineChars="200"/>
        <w:rPr>
          <w:rFonts w:ascii="宋体" w:hAnsi="宋体" w:cs="宋体"/>
          <w:sz w:val="24"/>
          <w:highlight w:val="none"/>
          <w:u w:val="single"/>
        </w:rPr>
      </w:pPr>
      <w:r>
        <w:rPr>
          <w:rFonts w:hint="eastAsia" w:ascii="宋体" w:hAnsi="宋体" w:cs="宋体"/>
          <w:sz w:val="24"/>
          <w:highlight w:val="none"/>
        </w:rPr>
        <w:t>2.2项目地点：</w:t>
      </w:r>
      <w:r>
        <w:rPr>
          <w:rFonts w:hint="eastAsia" w:ascii="宋体" w:hAnsi="宋体" w:cs="宋体"/>
          <w:color w:val="000000" w:themeColor="text1"/>
          <w:sz w:val="24"/>
          <w:szCs w:val="24"/>
          <w:highlight w:val="none"/>
          <w:u w:val="single"/>
          <w14:textFill>
            <w14:solidFill>
              <w14:schemeClr w14:val="tx1"/>
            </w14:solidFill>
          </w14:textFill>
        </w:rPr>
        <w:t>广州市净水有限公司竹料分公司</w:t>
      </w:r>
      <w:r>
        <w:rPr>
          <w:rFonts w:hint="eastAsia" w:ascii="宋体" w:hAnsi="宋体" w:cs="宋体"/>
          <w:sz w:val="24"/>
          <w:highlight w:val="none"/>
          <w:u w:val="single"/>
        </w:rPr>
        <w:t>。</w:t>
      </w:r>
    </w:p>
    <w:p>
      <w:pPr>
        <w:spacing w:line="384" w:lineRule="auto"/>
        <w:ind w:firstLine="480" w:firstLineChars="200"/>
        <w:rPr>
          <w:rFonts w:ascii="宋体" w:hAnsi="宋体" w:cs="宋体"/>
          <w:spacing w:val="8"/>
          <w:sz w:val="24"/>
          <w:highlight w:val="none"/>
        </w:rPr>
      </w:pPr>
      <w:r>
        <w:rPr>
          <w:rFonts w:hint="eastAsia" w:ascii="宋体" w:hAnsi="宋体" w:cs="宋体"/>
          <w:sz w:val="24"/>
          <w:highlight w:val="none"/>
        </w:rPr>
        <w:t>2.3项目内容：</w:t>
      </w:r>
      <w:r>
        <w:rPr>
          <w:rFonts w:hint="eastAsia" w:ascii="宋体" w:hAnsi="宋体" w:cs="宋体"/>
          <w:color w:val="000000" w:themeColor="text1"/>
          <w:sz w:val="24"/>
          <w:szCs w:val="24"/>
          <w:highlight w:val="none"/>
          <w:u w:val="single"/>
          <w14:textFill>
            <w14:solidFill>
              <w14:schemeClr w14:val="tx1"/>
            </w14:solidFill>
          </w14:textFill>
        </w:rPr>
        <w:t>办公网和监控网的改造，现场部分设施已出现老化、损坏，网线零乱等情况，需对其重新升级改造，其中办公网需通过增补信息点位和无线设备来实现整个园区的信号覆盖。</w:t>
      </w:r>
    </w:p>
    <w:p>
      <w:pPr>
        <w:spacing w:line="384" w:lineRule="auto"/>
        <w:ind w:firstLine="480" w:firstLineChars="200"/>
        <w:rPr>
          <w:rFonts w:ascii="宋体" w:hAnsi="宋体" w:cs="宋体"/>
          <w:sz w:val="24"/>
          <w:highlight w:val="none"/>
        </w:rPr>
      </w:pPr>
      <w:r>
        <w:rPr>
          <w:rFonts w:hint="eastAsia" w:ascii="宋体" w:hAnsi="宋体" w:cs="宋体"/>
          <w:sz w:val="24"/>
          <w:highlight w:val="none"/>
        </w:rPr>
        <w:t>2.4项目承包范围：包括提供所有需要的材料、机械、人工、设施、完成合同约定的工作和服务。按照甲方审核同意的方案、图纸所包括的实施范围和内容进行施工并在质量保修期内承担项目质量保修责任。（如需可附表）</w:t>
      </w:r>
    </w:p>
    <w:p>
      <w:pPr>
        <w:spacing w:line="384" w:lineRule="auto"/>
        <w:ind w:firstLine="482" w:firstLineChars="200"/>
        <w:rPr>
          <w:rFonts w:ascii="宋体" w:hAnsi="宋体" w:cs="宋体"/>
          <w:b/>
          <w:bCs/>
          <w:sz w:val="24"/>
          <w:highlight w:val="none"/>
        </w:rPr>
      </w:pPr>
      <w:r>
        <w:rPr>
          <w:rFonts w:hint="eastAsia" w:ascii="宋体" w:hAnsi="宋体" w:cs="宋体"/>
          <w:b/>
          <w:bCs/>
          <w:sz w:val="24"/>
          <w:highlight w:val="none"/>
        </w:rPr>
        <w:t>第三条 项目承包方式</w:t>
      </w:r>
    </w:p>
    <w:p>
      <w:pPr>
        <w:spacing w:line="384" w:lineRule="auto"/>
        <w:ind w:firstLine="420" w:firstLineChars="200"/>
        <w:rPr>
          <w:rFonts w:ascii="宋体" w:hAnsi="宋体" w:cs="宋体"/>
          <w:sz w:val="24"/>
          <w:highlight w:val="none"/>
        </w:rPr>
      </w:pPr>
      <w:r>
        <w:rPr>
          <w:rFonts w:hint="eastAsia" w:ascii="宋体" w:hAnsi="宋体" w:cs="宋体"/>
          <w:szCs w:val="21"/>
          <w:highlight w:val="none"/>
        </w:rPr>
        <w:t>☑</w:t>
      </w:r>
      <w:r>
        <w:rPr>
          <w:rFonts w:hint="eastAsia" w:ascii="宋体" w:hAnsi="宋体" w:cs="宋体"/>
          <w:sz w:val="24"/>
          <w:highlight w:val="none"/>
        </w:rPr>
        <w:t>包工、包料、包工期、包质量、包安全、包文明施工。综合单价包干、项目措施费</w:t>
      </w:r>
      <w:r>
        <w:rPr>
          <w:rFonts w:hint="eastAsia" w:ascii="宋体" w:hAnsi="宋体" w:cs="宋体"/>
          <w:sz w:val="24"/>
          <w:highlight w:val="none"/>
          <w:lang w:val="en-US" w:eastAsia="zh-CN"/>
        </w:rPr>
        <w:t>按实结算</w:t>
      </w:r>
      <w:r>
        <w:rPr>
          <w:rFonts w:hint="eastAsia" w:ascii="宋体" w:hAnsi="宋体" w:cs="宋体"/>
          <w:sz w:val="24"/>
          <w:highlight w:val="none"/>
        </w:rPr>
        <w:t>。（单价包干要求附工程量报价</w:t>
      </w:r>
      <w:r>
        <w:rPr>
          <w:rFonts w:ascii="宋体" w:hAnsi="宋体" w:cs="宋体"/>
          <w:sz w:val="24"/>
          <w:highlight w:val="none"/>
        </w:rPr>
        <w:t>/</w:t>
      </w:r>
      <w:r>
        <w:rPr>
          <w:rFonts w:hint="eastAsia" w:ascii="宋体" w:hAnsi="宋体" w:cs="宋体"/>
          <w:sz w:val="24"/>
          <w:highlight w:val="none"/>
        </w:rPr>
        <w:t>工程预算书）</w:t>
      </w:r>
    </w:p>
    <w:p>
      <w:pPr>
        <w:spacing w:line="384" w:lineRule="auto"/>
        <w:ind w:firstLine="420" w:firstLineChars="200"/>
        <w:rPr>
          <w:rFonts w:ascii="宋体" w:hAnsi="宋体" w:cs="宋体"/>
          <w:sz w:val="24"/>
          <w:highlight w:val="none"/>
        </w:rPr>
      </w:pPr>
      <w:r>
        <w:rPr>
          <w:rFonts w:hint="eastAsia" w:ascii="宋体" w:hAnsi="宋体" w:cs="宋体"/>
          <w:szCs w:val="21"/>
          <w:highlight w:val="none"/>
        </w:rPr>
        <w:t>□</w:t>
      </w:r>
      <w:r>
        <w:rPr>
          <w:rFonts w:hint="eastAsia" w:ascii="宋体" w:hAnsi="宋体" w:cs="宋体"/>
          <w:sz w:val="24"/>
          <w:highlight w:val="none"/>
        </w:rPr>
        <w:t>包工、包料、包质量、包工期、包安全、包文明施工、包设计、包调试、包验收的施工图纸，以总价包干形式。</w:t>
      </w:r>
    </w:p>
    <w:p>
      <w:pPr>
        <w:spacing w:line="384" w:lineRule="auto"/>
        <w:ind w:firstLine="482" w:firstLineChars="200"/>
        <w:rPr>
          <w:rFonts w:ascii="宋体" w:hAnsi="宋体" w:cs="宋体"/>
          <w:b/>
          <w:bCs/>
          <w:sz w:val="24"/>
          <w:highlight w:val="none"/>
        </w:rPr>
      </w:pPr>
      <w:r>
        <w:rPr>
          <w:rFonts w:hint="eastAsia" w:ascii="宋体" w:hAnsi="宋体" w:cs="宋体"/>
          <w:b/>
          <w:bCs/>
          <w:sz w:val="24"/>
          <w:highlight w:val="none"/>
        </w:rPr>
        <w:t>第四条合同价款</w:t>
      </w:r>
    </w:p>
    <w:p>
      <w:pPr>
        <w:spacing w:line="384" w:lineRule="auto"/>
        <w:ind w:firstLine="480" w:firstLineChars="200"/>
        <w:rPr>
          <w:rFonts w:ascii="宋体" w:hAnsi="宋体" w:cs="宋体"/>
          <w:bCs/>
          <w:sz w:val="24"/>
          <w:highlight w:val="none"/>
          <w:bdr w:val="single" w:color="auto" w:sz="4" w:space="0"/>
        </w:rPr>
      </w:pPr>
      <w:r>
        <w:rPr>
          <w:rFonts w:ascii="宋体" w:hAnsi="宋体" w:cs="宋体"/>
          <w:sz w:val="24"/>
          <w:highlight w:val="none"/>
        </w:rPr>
        <w:t>4.1</w:t>
      </w:r>
      <w:r>
        <w:rPr>
          <w:rFonts w:hint="eastAsia" w:ascii="宋体" w:hAnsi="宋体" w:cs="宋体"/>
          <w:sz w:val="24"/>
          <w:highlight w:val="none"/>
        </w:rPr>
        <w:t>合同价款按以下</w:t>
      </w:r>
      <w:r>
        <w:rPr>
          <w:rFonts w:hint="eastAsia" w:ascii="宋体" w:hAnsi="宋体" w:cs="宋体"/>
          <w:bCs/>
          <w:sz w:val="24"/>
          <w:highlight w:val="none"/>
          <w:u w:val="single"/>
        </w:rPr>
        <w:t>（</w:t>
      </w:r>
      <w:r>
        <w:rPr>
          <w:rFonts w:ascii="宋体" w:hAnsi="宋体" w:cs="宋体"/>
          <w:bCs/>
          <w:sz w:val="24"/>
          <w:highlight w:val="none"/>
          <w:u w:val="single"/>
        </w:rPr>
        <w:t>1</w:t>
      </w:r>
      <w:r>
        <w:rPr>
          <w:rFonts w:hint="eastAsia" w:ascii="宋体" w:hAnsi="宋体" w:cs="宋体"/>
          <w:bCs/>
          <w:sz w:val="24"/>
          <w:highlight w:val="none"/>
          <w:u w:val="single"/>
        </w:rPr>
        <w:t>）</w:t>
      </w:r>
      <w:r>
        <w:rPr>
          <w:rFonts w:hint="eastAsia" w:ascii="宋体" w:hAnsi="宋体" w:cs="宋体"/>
          <w:sz w:val="24"/>
          <w:highlight w:val="none"/>
        </w:rPr>
        <w:t>执行。</w:t>
      </w:r>
    </w:p>
    <w:p>
      <w:pPr>
        <w:spacing w:line="384" w:lineRule="auto"/>
        <w:ind w:firstLine="480" w:firstLineChars="200"/>
        <w:rPr>
          <w:rFonts w:ascii="宋体" w:hAnsi="宋体" w:cs="宋体"/>
          <w:sz w:val="24"/>
          <w:highlight w:val="none"/>
        </w:rPr>
      </w:pPr>
      <w:r>
        <w:rPr>
          <w:rFonts w:hint="eastAsia" w:ascii="宋体" w:hAnsi="宋体" w:cs="宋体"/>
          <w:bCs/>
          <w:sz w:val="24"/>
          <w:highlight w:val="none"/>
        </w:rPr>
        <w:t>（</w:t>
      </w:r>
      <w:r>
        <w:rPr>
          <w:rFonts w:ascii="宋体" w:hAnsi="宋体" w:cs="宋体"/>
          <w:bCs/>
          <w:sz w:val="24"/>
          <w:highlight w:val="none"/>
        </w:rPr>
        <w:t>1</w:t>
      </w:r>
      <w:r>
        <w:rPr>
          <w:rFonts w:hint="eastAsia" w:ascii="宋体" w:hAnsi="宋体" w:cs="宋体"/>
          <w:bCs/>
          <w:sz w:val="24"/>
          <w:highlight w:val="none"/>
        </w:rPr>
        <w:t>）</w:t>
      </w:r>
      <w:r>
        <w:rPr>
          <w:rFonts w:hint="eastAsia" w:ascii="宋体" w:hAnsi="宋体" w:cs="宋体"/>
          <w:sz w:val="24"/>
          <w:highlight w:val="none"/>
        </w:rPr>
        <w:t>合同暂定总价为：</w:t>
      </w:r>
      <w:r>
        <w:rPr>
          <w:rFonts w:hint="eastAsia" w:ascii="宋体" w:hAnsi="宋体" w:cs="宋体"/>
          <w:b/>
          <w:sz w:val="24"/>
          <w:highlight w:val="none"/>
          <w:u w:val="single"/>
        </w:rPr>
        <w:t>人民币…元</w:t>
      </w:r>
      <w:r>
        <w:rPr>
          <w:rFonts w:hint="eastAsia" w:ascii="宋体" w:hAnsi="宋体" w:cs="宋体"/>
          <w:sz w:val="24"/>
          <w:highlight w:val="none"/>
        </w:rPr>
        <w:t>（大写</w:t>
      </w:r>
      <w:r>
        <w:rPr>
          <w:rFonts w:ascii="宋体" w:hAnsi="宋体" w:cs="宋体"/>
          <w:sz w:val="24"/>
          <w:highlight w:val="none"/>
        </w:rPr>
        <w:t>:</w:t>
      </w:r>
      <w:r>
        <w:rPr>
          <w:rFonts w:hint="eastAsia" w:ascii="宋体" w:hAnsi="宋体" w:cs="宋体"/>
          <w:sz w:val="24"/>
          <w:highlight w:val="none"/>
        </w:rPr>
        <w:t>）。经甲方或甲方委托有资质第三方机构审核后，审核价作为合同结算价。若合同结算价超合同暂定总价，双方另行签订补充协议。</w:t>
      </w:r>
    </w:p>
    <w:p>
      <w:pPr>
        <w:spacing w:line="384" w:lineRule="auto"/>
        <w:ind w:firstLine="480" w:firstLineChars="200"/>
        <w:rPr>
          <w:rFonts w:ascii="宋体" w:hAnsi="宋体" w:cs="宋体"/>
          <w:sz w:val="24"/>
          <w:highlight w:val="none"/>
        </w:rPr>
      </w:pPr>
      <w:r>
        <w:rPr>
          <w:rFonts w:hint="eastAsia" w:ascii="宋体" w:hAnsi="宋体" w:cs="宋体"/>
          <w:sz w:val="24"/>
          <w:highlight w:val="none"/>
        </w:rPr>
        <w:t>综合单价为：</w:t>
      </w:r>
      <w:r>
        <w:rPr>
          <w:rFonts w:hint="eastAsia" w:ascii="宋体" w:hAnsi="宋体" w:cs="宋体"/>
          <w:sz w:val="24"/>
          <w:highlight w:val="none"/>
          <w:u w:val="single"/>
        </w:rPr>
        <w:t>人民币…元</w:t>
      </w:r>
      <w:r>
        <w:rPr>
          <w:rFonts w:ascii="宋体" w:hAnsi="宋体" w:cs="宋体"/>
          <w:sz w:val="24"/>
          <w:highlight w:val="none"/>
          <w:u w:val="single"/>
        </w:rPr>
        <w:t>/m</w:t>
      </w:r>
      <w:r>
        <w:rPr>
          <w:rFonts w:ascii="宋体" w:hAnsi="宋体" w:cs="宋体"/>
          <w:sz w:val="24"/>
          <w:highlight w:val="none"/>
          <w:u w:val="single"/>
          <w:vertAlign w:val="superscript"/>
        </w:rPr>
        <w:t>3</w:t>
      </w:r>
      <w:r>
        <w:rPr>
          <w:rFonts w:ascii="宋体" w:hAnsi="宋体" w:cs="宋体"/>
          <w:sz w:val="24"/>
          <w:highlight w:val="none"/>
          <w:u w:val="single"/>
        </w:rPr>
        <w:t>(</w:t>
      </w:r>
      <w:r>
        <w:rPr>
          <w:rFonts w:hint="eastAsia" w:ascii="宋体" w:hAnsi="宋体" w:cs="宋体"/>
          <w:sz w:val="24"/>
          <w:highlight w:val="none"/>
          <w:u w:val="single"/>
        </w:rPr>
        <w:t>大写：…</w:t>
      </w:r>
      <w:r>
        <w:rPr>
          <w:rFonts w:ascii="宋体" w:hAnsi="宋体" w:cs="宋体"/>
          <w:sz w:val="24"/>
          <w:highlight w:val="none"/>
          <w:u w:val="single"/>
        </w:rPr>
        <w:t>)</w:t>
      </w:r>
      <w:r>
        <w:rPr>
          <w:rFonts w:hint="eastAsia" w:ascii="宋体" w:hAnsi="宋体" w:cs="宋体"/>
          <w:sz w:val="24"/>
          <w:highlight w:val="none"/>
        </w:rPr>
        <w:t>。</w:t>
      </w:r>
    </w:p>
    <w:p>
      <w:pPr>
        <w:ind w:firstLine="480" w:firstLineChars="200"/>
        <w:rPr>
          <w:rFonts w:ascii="宋体" w:hAnsi="宋体" w:eastAsia="宋体" w:cs="宋体"/>
          <w:sz w:val="24"/>
          <w:szCs w:val="24"/>
          <w:highlight w:val="none"/>
        </w:rPr>
      </w:pPr>
      <w:r>
        <w:rPr>
          <w:rFonts w:hint="eastAsia" w:ascii="宋体" w:hAnsi="宋体" w:cs="宋体"/>
          <w:sz w:val="24"/>
          <w:highlight w:val="none"/>
        </w:rPr>
        <w:t>合同单价在合同有效期内为不变价。乙方已经充分考虑本合同履行期间的市场风险和国家政策性调整风险系数并已计入报价，因此合同单价在合同有效期内不因任何因素而作调整。</w:t>
      </w:r>
    </w:p>
    <w:p>
      <w:pPr>
        <w:autoSpaceDE w:val="0"/>
        <w:autoSpaceDN w:val="0"/>
        <w:adjustRightInd w:val="0"/>
        <w:spacing w:line="384" w:lineRule="auto"/>
        <w:ind w:firstLine="480" w:firstLineChars="200"/>
        <w:rPr>
          <w:rFonts w:ascii="宋体" w:hAnsi="宋体" w:cs="宋体"/>
          <w:sz w:val="24"/>
          <w:highlight w:val="none"/>
        </w:rPr>
      </w:pPr>
    </w:p>
    <w:p>
      <w:pPr>
        <w:spacing w:line="384" w:lineRule="auto"/>
        <w:ind w:firstLine="480" w:firstLineChars="200"/>
        <w:rPr>
          <w:rFonts w:ascii="宋体" w:hAnsi="宋体" w:cs="宋体"/>
          <w:sz w:val="24"/>
          <w:highlight w:val="none"/>
        </w:rPr>
      </w:pPr>
      <w:r>
        <w:rPr>
          <w:rFonts w:hint="eastAsia" w:ascii="宋体" w:hAnsi="宋体" w:cs="宋体"/>
          <w:bCs/>
          <w:sz w:val="24"/>
          <w:highlight w:val="none"/>
        </w:rPr>
        <w:t>（</w:t>
      </w:r>
      <w:r>
        <w:rPr>
          <w:rFonts w:ascii="宋体" w:hAnsi="宋体" w:cs="宋体"/>
          <w:bCs/>
          <w:sz w:val="24"/>
          <w:highlight w:val="none"/>
        </w:rPr>
        <w:t>2</w:t>
      </w:r>
      <w:r>
        <w:rPr>
          <w:rFonts w:hint="eastAsia" w:ascii="宋体" w:hAnsi="宋体" w:cs="宋体"/>
          <w:bCs/>
          <w:sz w:val="24"/>
          <w:highlight w:val="none"/>
        </w:rPr>
        <w:t>）</w:t>
      </w:r>
      <w:r>
        <w:rPr>
          <w:rFonts w:hint="eastAsia" w:ascii="宋体" w:hAnsi="宋体" w:cs="宋体"/>
          <w:sz w:val="24"/>
          <w:highlight w:val="none"/>
        </w:rPr>
        <w:t>合同以总价包干形式，合同暂定总价为：</w:t>
      </w:r>
      <w:r>
        <w:rPr>
          <w:rFonts w:hint="eastAsia" w:ascii="宋体" w:hAnsi="宋体" w:cs="宋体"/>
          <w:b/>
          <w:sz w:val="24"/>
          <w:highlight w:val="none"/>
          <w:u w:val="single"/>
        </w:rPr>
        <w:t>人民币…元</w:t>
      </w:r>
      <w:r>
        <w:rPr>
          <w:rFonts w:hint="eastAsia" w:ascii="宋体" w:hAnsi="宋体" w:cs="宋体"/>
          <w:sz w:val="24"/>
          <w:highlight w:val="none"/>
        </w:rPr>
        <w:t>（大写</w:t>
      </w:r>
      <w:r>
        <w:rPr>
          <w:rFonts w:ascii="宋体" w:hAnsi="宋体" w:cs="宋体"/>
          <w:sz w:val="24"/>
          <w:highlight w:val="none"/>
        </w:rPr>
        <w:t>:</w:t>
      </w:r>
      <w:r>
        <w:rPr>
          <w:rFonts w:hint="eastAsia" w:ascii="宋体" w:hAnsi="宋体" w:cs="宋体"/>
          <w:sz w:val="24"/>
          <w:highlight w:val="none"/>
        </w:rPr>
        <w:t>…）。经甲方或甲方委托有资质第三方机构审核后，若结算审核价比合同暂定总价低，则以结算审核价作为合同结算价，否则以合同暂定总价为合同结算价。</w:t>
      </w:r>
    </w:p>
    <w:p>
      <w:pPr>
        <w:tabs>
          <w:tab w:val="left" w:pos="851"/>
        </w:tabs>
        <w:adjustRightInd w:val="0"/>
        <w:snapToGrid w:val="0"/>
        <w:spacing w:line="384" w:lineRule="auto"/>
        <w:ind w:firstLine="480" w:firstLineChars="200"/>
        <w:rPr>
          <w:rFonts w:ascii="宋体" w:hAnsi="宋体" w:cs="宋体"/>
          <w:sz w:val="24"/>
          <w:highlight w:val="none"/>
        </w:rPr>
      </w:pPr>
      <w:r>
        <w:rPr>
          <w:rFonts w:ascii="宋体" w:hAnsi="宋体" w:cs="宋体"/>
          <w:kern w:val="0"/>
          <w:sz w:val="24"/>
          <w:highlight w:val="none"/>
          <w:lang w:val="zh-CN"/>
        </w:rPr>
        <w:t>4.2</w:t>
      </w:r>
      <w:r>
        <w:rPr>
          <w:rFonts w:hint="eastAsia" w:ascii="宋体" w:hAnsi="宋体" w:cs="宋体"/>
          <w:kern w:val="0"/>
          <w:sz w:val="24"/>
          <w:highlight w:val="none"/>
        </w:rPr>
        <w:t>本合同约定的价格为含税价价格</w:t>
      </w:r>
      <w:r>
        <w:rPr>
          <w:rFonts w:hint="eastAsia" w:ascii="宋体" w:hAnsi="宋体" w:cs="宋体"/>
          <w:sz w:val="24"/>
          <w:highlight w:val="none"/>
        </w:rPr>
        <w:t>（税率</w:t>
      </w:r>
      <w:r>
        <w:rPr>
          <w:rFonts w:ascii="宋体" w:hAnsi="宋体" w:cs="宋体"/>
          <w:sz w:val="24"/>
          <w:highlight w:val="none"/>
          <w:u w:val="single"/>
        </w:rPr>
        <w:t xml:space="preserve"> </w:t>
      </w:r>
      <w:r>
        <w:rPr>
          <w:rFonts w:hint="eastAsia" w:ascii="宋体" w:hAnsi="宋体" w:cs="宋体"/>
          <w:sz w:val="24"/>
          <w:highlight w:val="none"/>
          <w:u w:val="single"/>
        </w:rPr>
        <w:t>9</w:t>
      </w:r>
      <w:r>
        <w:rPr>
          <w:rFonts w:ascii="宋体" w:hAnsi="宋体" w:cs="宋体"/>
          <w:sz w:val="24"/>
          <w:highlight w:val="none"/>
          <w:u w:val="single"/>
        </w:rPr>
        <w:t xml:space="preserve">  %</w:t>
      </w:r>
      <w:r>
        <w:rPr>
          <w:rFonts w:hint="eastAsia" w:ascii="宋体" w:hAnsi="宋体" w:cs="宋体"/>
          <w:sz w:val="24"/>
          <w:highlight w:val="none"/>
        </w:rPr>
        <w:t>），合同履行期间国家税率调整或乙方开票的实际税率与前述税率不一致的，不含税价不变，价税合计按实际税率相应调整，以开具发票时间为准。</w:t>
      </w:r>
    </w:p>
    <w:p>
      <w:pPr>
        <w:tabs>
          <w:tab w:val="left" w:pos="0"/>
        </w:tabs>
        <w:adjustRightInd w:val="0"/>
        <w:snapToGrid w:val="0"/>
        <w:spacing w:line="360" w:lineRule="auto"/>
        <w:ind w:firstLine="480" w:firstLineChars="200"/>
        <w:jc w:val="left"/>
        <w:rPr>
          <w:rFonts w:ascii="宋体" w:hAnsi="宋体" w:eastAsia="宋体" w:cs="宋体"/>
          <w:bCs/>
          <w:sz w:val="24"/>
          <w:szCs w:val="24"/>
          <w:highlight w:val="none"/>
        </w:rPr>
      </w:pPr>
      <w:r>
        <w:rPr>
          <w:rFonts w:hint="eastAsia" w:ascii="宋体" w:hAnsi="宋体" w:cs="宋体"/>
          <w:bCs/>
          <w:sz w:val="24"/>
          <w:szCs w:val="24"/>
          <w:highlight w:val="none"/>
        </w:rPr>
        <w:t>4.3</w:t>
      </w:r>
      <w:r>
        <w:rPr>
          <w:rFonts w:hint="eastAsia" w:ascii="宋体" w:hAnsi="宋体" w:eastAsia="宋体" w:cs="宋体"/>
          <w:bCs/>
          <w:sz w:val="24"/>
          <w:szCs w:val="24"/>
          <w:highlight w:val="none"/>
        </w:rPr>
        <w:t>因非</w:t>
      </w:r>
      <w:r>
        <w:rPr>
          <w:rFonts w:hint="eastAsia" w:ascii="宋体" w:hAnsi="宋体" w:eastAsia="宋体" w:cs="宋体"/>
          <w:bCs/>
          <w:sz w:val="24"/>
          <w:szCs w:val="24"/>
          <w:highlight w:val="none"/>
          <w:lang w:val="en-US" w:eastAsia="zh-CN"/>
        </w:rPr>
        <w:t>乙</w:t>
      </w:r>
      <w:r>
        <w:rPr>
          <w:rFonts w:hint="eastAsia" w:ascii="宋体" w:hAnsi="宋体" w:eastAsia="宋体" w:cs="宋体"/>
          <w:bCs/>
          <w:sz w:val="24"/>
          <w:szCs w:val="24"/>
          <w:highlight w:val="none"/>
        </w:rPr>
        <w:t>方原因引起工程量报价清单中工程量发生增减，且单个子目工程量变化幅度在</w:t>
      </w:r>
      <w:r>
        <w:rPr>
          <w:rFonts w:hint="eastAsia" w:ascii="宋体" w:hAnsi="宋体" w:eastAsia="宋体" w:cs="宋体"/>
          <w:bCs/>
          <w:sz w:val="24"/>
          <w:szCs w:val="24"/>
          <w:highlight w:val="none"/>
          <w:lang w:val="en-US" w:eastAsia="zh-CN"/>
        </w:rPr>
        <w:t>2</w:t>
      </w:r>
      <w:r>
        <w:rPr>
          <w:rFonts w:hint="eastAsia" w:ascii="宋体" w:hAnsi="宋体" w:eastAsia="宋体" w:cs="宋体"/>
          <w:bCs/>
          <w:sz w:val="24"/>
          <w:szCs w:val="24"/>
          <w:highlight w:val="none"/>
        </w:rPr>
        <w:t>5%以内（含）时，按工程量报价清单中列明的子目单价结算。否则，按新增单价执行。</w:t>
      </w:r>
    </w:p>
    <w:p>
      <w:pPr>
        <w:spacing w:line="560" w:lineRule="exact"/>
        <w:ind w:firstLine="480" w:firstLineChars="200"/>
        <w:rPr>
          <w:rFonts w:ascii="宋体" w:hAnsi="宋体" w:eastAsia="宋体" w:cs="宋体"/>
          <w:sz w:val="24"/>
          <w:szCs w:val="24"/>
          <w:highlight w:val="none"/>
        </w:rPr>
      </w:pPr>
      <w:r>
        <w:rPr>
          <w:rFonts w:hint="eastAsia" w:ascii="宋体" w:hAnsi="宋体" w:cs="宋体"/>
          <w:sz w:val="24"/>
          <w:szCs w:val="24"/>
          <w:highlight w:val="none"/>
        </w:rPr>
        <w:t>4.4</w:t>
      </w:r>
      <w:r>
        <w:rPr>
          <w:rFonts w:hint="eastAsia" w:ascii="宋体" w:hAnsi="宋体" w:eastAsia="宋体" w:cs="宋体"/>
          <w:sz w:val="24"/>
          <w:szCs w:val="24"/>
          <w:highlight w:val="none"/>
        </w:rPr>
        <w:t>合同中没有适用于变更工程项目的单价的，按新增单价执行。</w:t>
      </w:r>
    </w:p>
    <w:p>
      <w:pPr>
        <w:spacing w:line="56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新增单价计价原则：</w:t>
      </w:r>
    </w:p>
    <w:p>
      <w:pPr>
        <w:spacing w:line="56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1.执行《建设工程工程量清单计价规范》（GB50500-2013）及相应的各清单专业的国标工程量计算规范，套用《广东省建设工程计价依据（2018）》、《广东省房屋建筑和市政修缮工程综合定额（2012）》或其他由建设、造价主管部门发布的工程承包合同签订时广州地区适用的定额进行组价。</w:t>
      </w:r>
    </w:p>
    <w:p>
      <w:pPr>
        <w:spacing w:line="560" w:lineRule="exact"/>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2.项目计价材料、设备价格的控制：按以下顺序作为降序优先级依次采用工程开工报告中开工日期当月的下列价格：</w:t>
      </w:r>
    </w:p>
    <w:p>
      <w:pPr>
        <w:spacing w:line="560" w:lineRule="exact"/>
        <w:ind w:firstLine="240" w:firstLineChars="100"/>
        <w:rPr>
          <w:rFonts w:ascii="宋体" w:hAnsi="宋体" w:eastAsia="宋体" w:cs="宋体"/>
          <w:sz w:val="24"/>
          <w:szCs w:val="24"/>
          <w:highlight w:val="none"/>
        </w:rPr>
      </w:pPr>
      <w:r>
        <w:rPr>
          <w:rFonts w:hint="eastAsia" w:ascii="宋体" w:hAnsi="宋体" w:eastAsia="宋体" w:cs="宋体"/>
          <w:sz w:val="24"/>
          <w:szCs w:val="24"/>
          <w:highlight w:val="none"/>
        </w:rPr>
        <w:t>（1）《广州地区建设工程常用材料税前综合价格》（下称综合价格）。</w:t>
      </w:r>
    </w:p>
    <w:p>
      <w:pPr>
        <w:spacing w:line="560" w:lineRule="exact"/>
        <w:ind w:firstLine="240" w:firstLineChars="100"/>
        <w:rPr>
          <w:rFonts w:ascii="宋体" w:hAnsi="宋体" w:eastAsia="宋体" w:cs="宋体"/>
          <w:sz w:val="24"/>
          <w:szCs w:val="24"/>
          <w:highlight w:val="none"/>
        </w:rPr>
      </w:pPr>
      <w:r>
        <w:rPr>
          <w:rFonts w:hint="eastAsia" w:ascii="宋体" w:hAnsi="宋体" w:eastAsia="宋体" w:cs="宋体"/>
          <w:sz w:val="24"/>
          <w:szCs w:val="24"/>
          <w:highlight w:val="none"/>
        </w:rPr>
        <w:t>（2）《广州地区建设工程材料（设备）厂商价格信息》（下称厂商价格）下浮10-20%。</w:t>
      </w:r>
    </w:p>
    <w:p>
      <w:pPr>
        <w:spacing w:line="560" w:lineRule="exact"/>
        <w:ind w:firstLine="240" w:firstLineChars="100"/>
        <w:rPr>
          <w:rFonts w:ascii="宋体" w:hAnsi="宋体" w:eastAsia="宋体" w:cs="宋体"/>
          <w:sz w:val="24"/>
          <w:szCs w:val="24"/>
          <w:highlight w:val="none"/>
        </w:rPr>
      </w:pPr>
      <w:r>
        <w:rPr>
          <w:rFonts w:hint="eastAsia" w:ascii="宋体" w:hAnsi="宋体" w:eastAsia="宋体" w:cs="宋体"/>
          <w:sz w:val="24"/>
          <w:szCs w:val="24"/>
          <w:highlight w:val="none"/>
        </w:rPr>
        <w:t>（3）综合价格、厂商价格中缺项的，采用由北京瑞恒达建筑咨询有限公司提供服务的“慧讯网”中查到的相应材料、设备价格的工程价。</w:t>
      </w:r>
    </w:p>
    <w:p>
      <w:pPr>
        <w:pStyle w:val="2"/>
        <w:rPr>
          <w:rFonts w:eastAsia="宋体"/>
          <w:highlight w:val="none"/>
        </w:rPr>
      </w:pPr>
      <w:r>
        <w:rPr>
          <w:rFonts w:hint="eastAsia" w:hAnsi="宋体" w:eastAsia="宋体"/>
          <w:highlight w:val="none"/>
        </w:rPr>
        <w:t xml:space="preserve">  </w:t>
      </w:r>
      <w:r>
        <w:rPr>
          <w:rFonts w:hAnsi="宋体" w:eastAsia="宋体"/>
          <w:highlight w:val="none"/>
        </w:rPr>
        <w:t>（4）通过市场询价双方协商确定。</w:t>
      </w:r>
    </w:p>
    <w:p>
      <w:pPr>
        <w:rPr>
          <w:rFonts w:ascii="宋体" w:hAnsi="宋体" w:eastAsia="宋体" w:cs="宋体"/>
          <w:sz w:val="24"/>
          <w:szCs w:val="24"/>
          <w:highlight w:val="none"/>
        </w:rPr>
      </w:pPr>
      <w:r>
        <w:rPr>
          <w:rFonts w:hint="eastAsia" w:ascii="宋体" w:hAnsi="宋体" w:eastAsia="宋体" w:cs="宋体"/>
          <w:sz w:val="24"/>
          <w:szCs w:val="24"/>
          <w:highlight w:val="none"/>
        </w:rPr>
        <w:t xml:space="preserve">  3.按1、2组价后下浮5%计取。</w:t>
      </w:r>
    </w:p>
    <w:p>
      <w:pPr>
        <w:tabs>
          <w:tab w:val="left" w:pos="851"/>
        </w:tabs>
        <w:adjustRightInd w:val="0"/>
        <w:snapToGrid w:val="0"/>
        <w:spacing w:line="384" w:lineRule="auto"/>
        <w:ind w:firstLine="480" w:firstLineChars="200"/>
        <w:rPr>
          <w:rFonts w:ascii="宋体" w:hAnsi="宋体" w:cs="宋体"/>
          <w:sz w:val="24"/>
          <w:highlight w:val="none"/>
        </w:rPr>
      </w:pPr>
    </w:p>
    <w:p>
      <w:pPr>
        <w:widowControl/>
        <w:tabs>
          <w:tab w:val="left" w:pos="851"/>
        </w:tabs>
        <w:adjustRightInd w:val="0"/>
        <w:snapToGrid w:val="0"/>
        <w:spacing w:line="384" w:lineRule="auto"/>
        <w:ind w:firstLine="482" w:firstLineChars="200"/>
        <w:jc w:val="left"/>
        <w:rPr>
          <w:rFonts w:ascii="宋体" w:hAnsi="宋体" w:cs="宋体"/>
          <w:b/>
          <w:bCs/>
          <w:sz w:val="24"/>
          <w:highlight w:val="none"/>
        </w:rPr>
      </w:pPr>
      <w:r>
        <w:rPr>
          <w:rFonts w:hint="eastAsia" w:ascii="宋体" w:hAnsi="宋体" w:cs="宋体"/>
          <w:b/>
          <w:bCs/>
          <w:sz w:val="24"/>
          <w:highlight w:val="none"/>
        </w:rPr>
        <w:t>第五条工期及要求</w:t>
      </w:r>
    </w:p>
    <w:p>
      <w:pPr>
        <w:widowControl/>
        <w:spacing w:line="384" w:lineRule="auto"/>
        <w:ind w:firstLine="480" w:firstLineChars="200"/>
        <w:jc w:val="left"/>
        <w:rPr>
          <w:rFonts w:ascii="宋体" w:hAnsi="宋体" w:cs="宋体"/>
          <w:sz w:val="24"/>
          <w:highlight w:val="none"/>
        </w:rPr>
      </w:pPr>
      <w:r>
        <w:rPr>
          <w:rFonts w:ascii="宋体" w:hAnsi="宋体" w:cs="宋体"/>
          <w:sz w:val="24"/>
          <w:highlight w:val="none"/>
        </w:rPr>
        <w:t>5.1</w:t>
      </w:r>
      <w:r>
        <w:rPr>
          <w:rFonts w:hint="eastAsia" w:ascii="宋体" w:hAnsi="宋体" w:cs="宋体"/>
          <w:color w:val="auto"/>
          <w:sz w:val="24"/>
          <w:highlight w:val="none"/>
          <w:lang w:val="en-US" w:eastAsia="zh-CN"/>
        </w:rPr>
        <w:t>合同总工期为</w:t>
      </w:r>
      <w:r>
        <w:rPr>
          <w:rFonts w:hint="eastAsia" w:ascii="宋体" w:hAnsi="宋体" w:cs="宋体"/>
          <w:color w:val="auto"/>
          <w:sz w:val="24"/>
          <w:highlight w:val="none"/>
          <w:u w:val="single"/>
          <w:lang w:val="en-US" w:eastAsia="zh-CN"/>
        </w:rPr>
        <w:t xml:space="preserve">100 </w:t>
      </w:r>
      <w:r>
        <w:rPr>
          <w:rFonts w:hint="eastAsia" w:ascii="宋体" w:hAnsi="宋体" w:cs="宋体"/>
          <w:color w:val="auto"/>
          <w:sz w:val="24"/>
          <w:highlight w:val="none"/>
          <w:lang w:val="en-US" w:eastAsia="zh-CN"/>
        </w:rPr>
        <w:t>天，</w:t>
      </w:r>
      <w:r>
        <w:rPr>
          <w:rFonts w:hint="eastAsia" w:ascii="宋体" w:hAnsi="宋体" w:cs="宋体"/>
          <w:color w:val="auto"/>
          <w:sz w:val="24"/>
          <w:highlight w:val="none"/>
        </w:rPr>
        <w:t>开工日期暂定为：</w:t>
      </w:r>
      <w:r>
        <w:rPr>
          <w:rFonts w:hint="eastAsia" w:ascii="宋体" w:hAnsi="宋体" w:cs="宋体"/>
          <w:color w:val="auto"/>
          <w:sz w:val="24"/>
          <w:highlight w:val="none"/>
          <w:lang w:eastAsia="zh-CN"/>
        </w:rPr>
        <w:t>…</w:t>
      </w:r>
      <w:r>
        <w:rPr>
          <w:rFonts w:hint="eastAsia" w:ascii="宋体" w:hAnsi="宋体" w:cs="宋体"/>
          <w:color w:val="auto"/>
          <w:sz w:val="24"/>
          <w:highlight w:val="none"/>
          <w:u w:val="single"/>
        </w:rPr>
        <w:t>年</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rPr>
        <w:t>月</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rPr>
        <w:t>日</w:t>
      </w:r>
      <w:r>
        <w:rPr>
          <w:rFonts w:hint="eastAsia" w:ascii="宋体" w:hAnsi="宋体" w:cs="宋体"/>
          <w:color w:val="auto"/>
          <w:sz w:val="24"/>
          <w:highlight w:val="none"/>
        </w:rPr>
        <w:t>，具体日期以甲方发出的开工</w:t>
      </w:r>
      <w:r>
        <w:rPr>
          <w:rFonts w:hint="eastAsia" w:ascii="宋体" w:hAnsi="宋体" w:cs="宋体"/>
          <w:color w:val="auto"/>
          <w:sz w:val="24"/>
          <w:highlight w:val="none"/>
          <w:lang w:val="en-US" w:eastAsia="zh-CN"/>
        </w:rPr>
        <w:t>报告/</w:t>
      </w:r>
      <w:r>
        <w:rPr>
          <w:rFonts w:hint="eastAsia" w:ascii="宋体" w:hAnsi="宋体" w:cs="宋体"/>
          <w:color w:val="auto"/>
          <w:sz w:val="24"/>
          <w:highlight w:val="none"/>
        </w:rPr>
        <w:t>通知为准</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工期计算由</w:t>
      </w:r>
      <w:r>
        <w:rPr>
          <w:rFonts w:hint="eastAsia" w:ascii="宋体" w:hAnsi="宋体" w:eastAsia="宋体" w:cs="宋体"/>
          <w:color w:val="auto"/>
          <w:sz w:val="24"/>
          <w:highlight w:val="none"/>
          <w:lang w:val="en-US" w:eastAsia="zh-CN"/>
        </w:rPr>
        <w:t>乙方收到开工</w:t>
      </w:r>
      <w:r>
        <w:rPr>
          <w:rFonts w:hint="eastAsia" w:ascii="宋体" w:hAnsi="宋体" w:cs="宋体"/>
          <w:color w:val="auto"/>
          <w:sz w:val="24"/>
          <w:highlight w:val="none"/>
          <w:lang w:val="en-US" w:eastAsia="zh-CN"/>
        </w:rPr>
        <w:t>报告/</w:t>
      </w:r>
      <w:r>
        <w:rPr>
          <w:rFonts w:hint="eastAsia" w:ascii="宋体" w:hAnsi="宋体" w:eastAsia="宋体" w:cs="宋体"/>
          <w:color w:val="auto"/>
          <w:sz w:val="24"/>
          <w:szCs w:val="24"/>
          <w:highlight w:val="none"/>
        </w:rPr>
        <w:t>通知</w:t>
      </w:r>
      <w:r>
        <w:rPr>
          <w:rFonts w:hint="eastAsia" w:ascii="宋体" w:hAnsi="宋体" w:cs="宋体"/>
          <w:color w:val="auto"/>
          <w:sz w:val="24"/>
          <w:szCs w:val="24"/>
          <w:highlight w:val="none"/>
          <w:lang w:val="en-US" w:eastAsia="zh-CN"/>
        </w:rPr>
        <w:t>次</w:t>
      </w:r>
      <w:r>
        <w:rPr>
          <w:rFonts w:hint="eastAsia" w:ascii="宋体" w:hAnsi="宋体" w:eastAsia="宋体" w:cs="宋体"/>
          <w:color w:val="auto"/>
          <w:sz w:val="24"/>
          <w:szCs w:val="24"/>
          <w:highlight w:val="none"/>
        </w:rPr>
        <w:t>日起开始起算</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至</w:t>
      </w:r>
      <w:r>
        <w:rPr>
          <w:rFonts w:hint="eastAsia" w:ascii="宋体" w:hAnsi="宋体" w:cs="宋体"/>
          <w:color w:val="auto"/>
          <w:sz w:val="24"/>
          <w:szCs w:val="24"/>
          <w:highlight w:val="none"/>
          <w:lang w:val="en-US" w:eastAsia="zh-CN"/>
        </w:rPr>
        <w:t>完成竣工验收</w:t>
      </w:r>
      <w:r>
        <w:rPr>
          <w:rFonts w:hint="eastAsia" w:ascii="宋体" w:hAnsi="宋体" w:cs="宋体"/>
          <w:color w:val="auto"/>
          <w:sz w:val="24"/>
          <w:highlight w:val="none"/>
        </w:rPr>
        <w:t>。</w:t>
      </w:r>
      <w:r>
        <w:rPr>
          <w:rFonts w:hint="eastAsia" w:ascii="宋体" w:hAnsi="宋体" w:cs="宋体"/>
          <w:sz w:val="24"/>
          <w:highlight w:val="none"/>
        </w:rPr>
        <w:t>乙方不能按时开工，应当于开工报告</w:t>
      </w:r>
      <w:r>
        <w:rPr>
          <w:rFonts w:ascii="宋体" w:hAnsi="宋体" w:cs="宋体"/>
          <w:sz w:val="24"/>
          <w:highlight w:val="none"/>
        </w:rPr>
        <w:t>/</w:t>
      </w:r>
      <w:r>
        <w:rPr>
          <w:rFonts w:hint="eastAsia" w:ascii="宋体" w:hAnsi="宋体" w:cs="宋体"/>
          <w:sz w:val="24"/>
          <w:highlight w:val="none"/>
        </w:rPr>
        <w:t>通知载明的开工日期</w:t>
      </w:r>
      <w:r>
        <w:rPr>
          <w:rFonts w:ascii="宋体" w:hAnsi="宋体" w:cs="宋体"/>
          <w:sz w:val="24"/>
          <w:highlight w:val="none"/>
        </w:rPr>
        <w:t>7</w:t>
      </w:r>
      <w:r>
        <w:rPr>
          <w:rFonts w:hint="eastAsia" w:ascii="宋体" w:hAnsi="宋体" w:cs="宋体"/>
          <w:sz w:val="24"/>
          <w:highlight w:val="none"/>
        </w:rPr>
        <w:t>天前，以书面形式向甲方提出延期开工的理由。甲方应当在接到延期开工申请后的</w:t>
      </w:r>
      <w:r>
        <w:rPr>
          <w:rFonts w:ascii="宋体" w:hAnsi="宋体" w:cs="宋体"/>
          <w:sz w:val="24"/>
          <w:highlight w:val="none"/>
        </w:rPr>
        <w:t>48</w:t>
      </w:r>
      <w:r>
        <w:rPr>
          <w:rFonts w:hint="eastAsia" w:ascii="宋体" w:hAnsi="宋体" w:cs="宋体"/>
          <w:sz w:val="24"/>
          <w:highlight w:val="none"/>
        </w:rPr>
        <w:t>小时内以书面形式答复乙方。甲方在接到延期开工申请后</w:t>
      </w:r>
      <w:r>
        <w:rPr>
          <w:rFonts w:ascii="宋体" w:hAnsi="宋体" w:cs="宋体"/>
          <w:sz w:val="24"/>
          <w:highlight w:val="none"/>
        </w:rPr>
        <w:t>48</w:t>
      </w:r>
      <w:r>
        <w:rPr>
          <w:rFonts w:hint="eastAsia" w:ascii="宋体" w:hAnsi="宋体" w:cs="宋体"/>
          <w:sz w:val="24"/>
          <w:highlight w:val="none"/>
        </w:rPr>
        <w:t>小时内不答复，视为同意乙方要求，工期相应顺延。甲方不同意延期要求或乙方未在规定时间内提出延期开工，工期不予顺延。乙方未能按合同工期竣工验收的，每逾期一天，甲方有权要求乙方按</w:t>
      </w:r>
      <w:r>
        <w:rPr>
          <w:rFonts w:hint="eastAsia" w:ascii="宋体" w:hAnsi="宋体" w:cs="宋体"/>
          <w:sz w:val="24"/>
          <w:highlight w:val="none"/>
          <w:u w:val="single"/>
        </w:rPr>
        <w:t>合同暂定总价的</w:t>
      </w:r>
      <w:r>
        <w:rPr>
          <w:rFonts w:ascii="宋体" w:hAnsi="宋体" w:cs="宋体"/>
          <w:sz w:val="24"/>
          <w:highlight w:val="none"/>
          <w:u w:val="single"/>
        </w:rPr>
        <w:t xml:space="preserve"> 1%</w:t>
      </w:r>
      <w:r>
        <w:rPr>
          <w:rFonts w:hint="eastAsia" w:ascii="宋体" w:hAnsi="宋体" w:cs="宋体"/>
          <w:sz w:val="24"/>
          <w:highlight w:val="none"/>
        </w:rPr>
        <w:t>支付违约金，逾期达到</w:t>
      </w:r>
      <w:r>
        <w:rPr>
          <w:rFonts w:hint="eastAsia" w:ascii="宋体" w:hAnsi="宋体" w:cs="宋体"/>
          <w:sz w:val="24"/>
          <w:highlight w:val="none"/>
          <w:u w:val="single"/>
        </w:rPr>
        <w:t xml:space="preserve"> </w:t>
      </w:r>
      <w:r>
        <w:rPr>
          <w:rFonts w:hint="eastAsia" w:ascii="宋体" w:hAnsi="宋体" w:cs="宋体"/>
          <w:sz w:val="24"/>
          <w:highlight w:val="none"/>
          <w:u w:val="single"/>
          <w:lang w:eastAsia="zh-CN"/>
        </w:rPr>
        <w:t>1</w:t>
      </w:r>
      <w:r>
        <w:rPr>
          <w:rFonts w:hint="eastAsia" w:ascii="宋体" w:hAnsi="宋体" w:cs="宋体"/>
          <w:sz w:val="24"/>
          <w:highlight w:val="none"/>
          <w:u w:val="single"/>
          <w:lang w:val="en-US" w:eastAsia="zh-CN"/>
        </w:rPr>
        <w:t>0</w:t>
      </w:r>
      <w:r>
        <w:rPr>
          <w:rFonts w:hint="eastAsia" w:ascii="宋体" w:hAnsi="宋体" w:cs="宋体"/>
          <w:sz w:val="24"/>
          <w:highlight w:val="none"/>
          <w:u w:val="single"/>
        </w:rPr>
        <w:t xml:space="preserve"> </w:t>
      </w:r>
      <w:r>
        <w:rPr>
          <w:rFonts w:hint="eastAsia" w:ascii="宋体" w:hAnsi="宋体" w:cs="宋体"/>
          <w:sz w:val="24"/>
          <w:highlight w:val="none"/>
        </w:rPr>
        <w:t>天及以上的，甲方有权解除合同并要求乙方支付</w:t>
      </w:r>
      <w:r>
        <w:rPr>
          <w:rFonts w:hint="eastAsia" w:ascii="宋体" w:hAnsi="宋体" w:cs="宋体"/>
          <w:sz w:val="24"/>
          <w:highlight w:val="none"/>
          <w:u w:val="single"/>
        </w:rPr>
        <w:t>合同暂定总价的</w:t>
      </w:r>
      <w:r>
        <w:rPr>
          <w:rFonts w:ascii="宋体" w:hAnsi="宋体" w:cs="宋体"/>
          <w:sz w:val="24"/>
          <w:highlight w:val="none"/>
          <w:u w:val="single"/>
        </w:rPr>
        <w:t>20%</w:t>
      </w:r>
      <w:r>
        <w:rPr>
          <w:rFonts w:ascii="宋体" w:hAnsi="宋体" w:cs="宋体"/>
          <w:sz w:val="24"/>
          <w:highlight w:val="none"/>
        </w:rPr>
        <w:t>作为违约金。</w:t>
      </w:r>
    </w:p>
    <w:p>
      <w:pPr>
        <w:widowControl/>
        <w:spacing w:line="384" w:lineRule="auto"/>
        <w:ind w:firstLine="480" w:firstLineChars="200"/>
        <w:jc w:val="left"/>
        <w:rPr>
          <w:rFonts w:ascii="宋体" w:hAnsi="宋体" w:cs="宋体"/>
          <w:bCs/>
          <w:sz w:val="24"/>
          <w:highlight w:val="none"/>
        </w:rPr>
      </w:pPr>
      <w:r>
        <w:rPr>
          <w:rFonts w:ascii="宋体" w:hAnsi="宋体" w:cs="宋体"/>
          <w:bCs/>
          <w:sz w:val="24"/>
          <w:highlight w:val="none"/>
        </w:rPr>
        <w:t>5.2</w:t>
      </w:r>
      <w:r>
        <w:rPr>
          <w:rFonts w:hint="eastAsia" w:ascii="宋体" w:hAnsi="宋体" w:cs="宋体"/>
          <w:bCs/>
          <w:sz w:val="24"/>
          <w:highlight w:val="none"/>
        </w:rPr>
        <w:t>乙方在施工期间应严格遵守《中华人民共和国安全生产法》、《建设工程安全生产管理条例》等法律法规以及文明施工、深夜施工、环卫和城管等规定，建立规章制度和防护措施并向甲方报备。如甲方或相关职能部门在施工过程中发现安全问题或者发出整改通知书，乙方应立即停工整改。如果逾期不整改或者整改不符合合同约定，甲方有权要求乙方支付</w:t>
      </w:r>
      <w:r>
        <w:rPr>
          <w:rFonts w:hint="eastAsia" w:ascii="宋体" w:hAnsi="宋体" w:cs="宋体"/>
          <w:bCs/>
          <w:sz w:val="24"/>
          <w:highlight w:val="none"/>
          <w:u w:val="single"/>
        </w:rPr>
        <w:t>合同暂定总价的</w:t>
      </w:r>
      <w:r>
        <w:rPr>
          <w:rFonts w:ascii="宋体" w:hAnsi="宋体" w:cs="宋体"/>
          <w:bCs/>
          <w:sz w:val="24"/>
          <w:highlight w:val="none"/>
          <w:u w:val="single"/>
        </w:rPr>
        <w:t>5%/</w:t>
      </w:r>
      <w:r>
        <w:rPr>
          <w:rFonts w:hint="eastAsia" w:ascii="宋体" w:hAnsi="宋体" w:cs="宋体"/>
          <w:bCs/>
          <w:sz w:val="24"/>
          <w:highlight w:val="none"/>
          <w:u w:val="single"/>
        </w:rPr>
        <w:t>次</w:t>
      </w:r>
      <w:r>
        <w:rPr>
          <w:rFonts w:hint="eastAsia" w:ascii="宋体" w:hAnsi="宋体" w:cs="宋体"/>
          <w:bCs/>
          <w:sz w:val="24"/>
          <w:highlight w:val="none"/>
        </w:rPr>
        <w:t>作为违约金，超过三次（含三次）的，甲方有权解除合同，要求乙方支付</w:t>
      </w:r>
      <w:r>
        <w:rPr>
          <w:rFonts w:hint="eastAsia" w:ascii="宋体" w:hAnsi="宋体" w:cs="宋体"/>
          <w:bCs/>
          <w:sz w:val="24"/>
          <w:highlight w:val="none"/>
          <w:u w:val="single"/>
        </w:rPr>
        <w:t>合同暂定总价的</w:t>
      </w:r>
      <w:r>
        <w:rPr>
          <w:rFonts w:ascii="宋体" w:hAnsi="宋体" w:cs="宋体"/>
          <w:bCs/>
          <w:sz w:val="24"/>
          <w:highlight w:val="none"/>
          <w:u w:val="single"/>
        </w:rPr>
        <w:t>20%</w:t>
      </w:r>
      <w:r>
        <w:rPr>
          <w:rFonts w:hint="eastAsia" w:ascii="宋体" w:hAnsi="宋体" w:cs="宋体"/>
          <w:bCs/>
          <w:sz w:val="24"/>
          <w:highlight w:val="none"/>
        </w:rPr>
        <w:t>作为违约金。由此造成的经济和法律责任，均由乙方负责。</w:t>
      </w:r>
    </w:p>
    <w:p>
      <w:pPr>
        <w:widowControl/>
        <w:spacing w:line="384" w:lineRule="auto"/>
        <w:ind w:left="1" w:firstLine="480" w:firstLineChars="200"/>
        <w:jc w:val="left"/>
        <w:rPr>
          <w:rFonts w:ascii="宋体" w:hAnsi="宋体" w:cs="宋体"/>
          <w:bCs/>
          <w:sz w:val="24"/>
          <w:highlight w:val="none"/>
        </w:rPr>
      </w:pPr>
      <w:r>
        <w:rPr>
          <w:rFonts w:ascii="宋体" w:hAnsi="宋体" w:cs="宋体"/>
          <w:bCs/>
          <w:sz w:val="24"/>
          <w:highlight w:val="none"/>
        </w:rPr>
        <w:t>5.3</w:t>
      </w:r>
      <w:r>
        <w:rPr>
          <w:rFonts w:hint="eastAsia" w:ascii="宋体" w:hAnsi="宋体" w:cs="宋体"/>
          <w:bCs/>
          <w:sz w:val="24"/>
          <w:highlight w:val="none"/>
        </w:rPr>
        <w:t>乙方应按合同及甲方提供的技术文件要求进行本项目实施和安装。乙方未经甲方同意，不得将本项目图纸泄露或转给第三人。除乙方存档需要的图纸外，乙方应于项目质量保修期满后</w:t>
      </w:r>
      <w:r>
        <w:rPr>
          <w:rFonts w:hint="eastAsia" w:ascii="宋体" w:hAnsi="宋体" w:cs="宋体"/>
          <w:bCs/>
          <w:sz w:val="24"/>
          <w:highlight w:val="none"/>
          <w:u w:val="single"/>
          <w:lang w:val="en-US" w:eastAsia="zh-CN"/>
        </w:rPr>
        <w:t>10</w:t>
      </w:r>
      <w:r>
        <w:rPr>
          <w:rFonts w:hint="eastAsia" w:ascii="宋体" w:hAnsi="宋体" w:cs="宋体"/>
          <w:bCs/>
          <w:sz w:val="24"/>
          <w:highlight w:val="none"/>
        </w:rPr>
        <w:t>日内将全部图纸退还给甲方。</w:t>
      </w:r>
    </w:p>
    <w:p>
      <w:pPr>
        <w:widowControl/>
        <w:spacing w:line="384" w:lineRule="auto"/>
        <w:ind w:left="1" w:firstLine="480" w:firstLineChars="200"/>
        <w:jc w:val="left"/>
        <w:rPr>
          <w:rFonts w:ascii="宋体" w:hAnsi="宋体" w:cs="宋体"/>
          <w:bCs/>
          <w:sz w:val="24"/>
          <w:highlight w:val="none"/>
        </w:rPr>
      </w:pPr>
      <w:r>
        <w:rPr>
          <w:rFonts w:ascii="宋体" w:hAnsi="宋体" w:cs="宋体"/>
          <w:bCs/>
          <w:sz w:val="24"/>
          <w:highlight w:val="none"/>
        </w:rPr>
        <w:t>5.4</w:t>
      </w:r>
      <w:r>
        <w:rPr>
          <w:rFonts w:hint="eastAsia" w:ascii="宋体" w:hAnsi="宋体" w:cs="宋体"/>
          <w:bCs/>
          <w:sz w:val="24"/>
          <w:highlight w:val="none"/>
        </w:rPr>
        <w:t>合同约定的项目，乙方不得转包、分包。否则，甲方有权单方面终止合同，并令其立即退场，由此而造成的经济损失由乙方负责赔偿。</w:t>
      </w:r>
    </w:p>
    <w:p>
      <w:pPr>
        <w:widowControl/>
        <w:spacing w:line="384" w:lineRule="auto"/>
        <w:ind w:left="1" w:firstLine="480" w:firstLineChars="200"/>
        <w:jc w:val="left"/>
        <w:rPr>
          <w:rFonts w:ascii="宋体" w:hAnsi="宋体" w:cs="宋体"/>
          <w:bCs/>
          <w:sz w:val="24"/>
          <w:highlight w:val="none"/>
        </w:rPr>
      </w:pPr>
      <w:r>
        <w:rPr>
          <w:rFonts w:ascii="宋体" w:hAnsi="宋体" w:cs="宋体"/>
          <w:bCs/>
          <w:sz w:val="24"/>
          <w:highlight w:val="none"/>
        </w:rPr>
        <w:t>5.5乙方不履行合同义务、或履行合同义务不符合合同约定、或违反国家、省、市行业标准的，甲方有权要求乙方限期整改。乙方逾期未完成整改的，每项每超过1日支付违约金人民币</w:t>
      </w:r>
      <w:r>
        <w:rPr>
          <w:rFonts w:ascii="宋体" w:hAnsi="宋体" w:cs="宋体"/>
          <w:bCs/>
          <w:sz w:val="24"/>
          <w:highlight w:val="none"/>
          <w:u w:val="single"/>
        </w:rPr>
        <w:t>1万元</w:t>
      </w:r>
      <w:r>
        <w:rPr>
          <w:rFonts w:ascii="宋体" w:hAnsi="宋体" w:cs="宋体"/>
          <w:bCs/>
          <w:sz w:val="24"/>
          <w:highlight w:val="none"/>
        </w:rPr>
        <w:t>，超过_</w:t>
      </w:r>
      <w:r>
        <w:rPr>
          <w:rFonts w:hint="eastAsia" w:ascii="宋体" w:hAnsi="宋体" w:cs="宋体"/>
          <w:bCs/>
          <w:sz w:val="24"/>
          <w:highlight w:val="none"/>
          <w:u w:val="single"/>
          <w:lang w:eastAsia="zh-CN"/>
        </w:rPr>
        <w:t>1</w:t>
      </w:r>
      <w:r>
        <w:rPr>
          <w:rFonts w:hint="eastAsia" w:ascii="宋体" w:hAnsi="宋体" w:cs="宋体"/>
          <w:bCs/>
          <w:sz w:val="24"/>
          <w:highlight w:val="none"/>
          <w:u w:val="single"/>
          <w:lang w:val="en-US" w:eastAsia="zh-CN"/>
        </w:rPr>
        <w:t>0</w:t>
      </w:r>
      <w:r>
        <w:rPr>
          <w:rFonts w:ascii="宋体" w:hAnsi="宋体" w:cs="宋体"/>
          <w:bCs/>
          <w:sz w:val="24"/>
          <w:highlight w:val="none"/>
        </w:rPr>
        <w:t>日，甲方有权解除合同并要求乙方支付</w:t>
      </w:r>
      <w:r>
        <w:rPr>
          <w:rFonts w:ascii="宋体" w:hAnsi="宋体" w:cs="宋体"/>
          <w:bCs/>
          <w:sz w:val="24"/>
          <w:highlight w:val="none"/>
          <w:u w:val="single"/>
        </w:rPr>
        <w:t>合同暂定总价的20%</w:t>
      </w:r>
      <w:r>
        <w:rPr>
          <w:rFonts w:ascii="宋体" w:hAnsi="宋体" w:cs="宋体"/>
          <w:bCs/>
          <w:sz w:val="24"/>
          <w:highlight w:val="none"/>
        </w:rPr>
        <w:t>作为违约金</w:t>
      </w:r>
      <w:r>
        <w:rPr>
          <w:rFonts w:hint="eastAsia" w:asciiTheme="minorEastAsia" w:hAnsiTheme="minorEastAsia"/>
          <w:bCs/>
          <w:sz w:val="24"/>
          <w:highlight w:val="none"/>
        </w:rPr>
        <w:t>（</w:t>
      </w:r>
      <w:r>
        <w:rPr>
          <w:rFonts w:hint="eastAsia" w:cs="宋体"/>
          <w:sz w:val="24"/>
          <w:highlight w:val="none"/>
        </w:rPr>
        <w:t>如合同另行约定违约责任，从其约定</w:t>
      </w:r>
      <w:r>
        <w:rPr>
          <w:rFonts w:hint="eastAsia" w:asciiTheme="minorEastAsia" w:hAnsiTheme="minorEastAsia"/>
          <w:bCs/>
          <w:sz w:val="24"/>
          <w:highlight w:val="none"/>
        </w:rPr>
        <w:t>）</w:t>
      </w:r>
      <w:r>
        <w:rPr>
          <w:rFonts w:ascii="宋体" w:hAnsi="宋体" w:cs="宋体"/>
          <w:bCs/>
          <w:sz w:val="24"/>
          <w:highlight w:val="none"/>
        </w:rPr>
        <w:t>。</w:t>
      </w:r>
    </w:p>
    <w:p>
      <w:pPr>
        <w:topLinePunct/>
        <w:spacing w:line="500" w:lineRule="exact"/>
        <w:ind w:firstLine="480" w:firstLineChars="200"/>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5.6乙方不得随意更换项目负责人及附件5中的相关人员，如确须更换，应提前征得甲方同意。如有违反，甲方有权解除合同并要求乙方支付</w:t>
      </w:r>
      <w:r>
        <w:rPr>
          <w:rFonts w:hint="eastAsia" w:asciiTheme="minorEastAsia" w:hAnsiTheme="minorEastAsia" w:cstheme="minorEastAsia"/>
          <w:sz w:val="24"/>
          <w:szCs w:val="24"/>
          <w:highlight w:val="none"/>
          <w:u w:val="single"/>
        </w:rPr>
        <w:t>5000元/人次</w:t>
      </w:r>
      <w:r>
        <w:rPr>
          <w:rFonts w:hint="eastAsia" w:asciiTheme="minorEastAsia" w:hAnsiTheme="minorEastAsia" w:cstheme="minorEastAsia"/>
          <w:sz w:val="24"/>
          <w:szCs w:val="24"/>
          <w:highlight w:val="none"/>
        </w:rPr>
        <w:t xml:space="preserve">作为违约金，以及赔偿由此造成的一切损失(包含质量安全事故、工期延误、增加投资等)。 </w:t>
      </w:r>
    </w:p>
    <w:p>
      <w:pPr>
        <w:topLinePunct/>
        <w:spacing w:line="500" w:lineRule="exact"/>
        <w:ind w:firstLine="480" w:firstLineChars="200"/>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 xml:space="preserve"> 5.7施工过程中，项目负责人应驻场管理，否则甲方有权要求乙方支付违约</w:t>
      </w:r>
      <w:r>
        <w:rPr>
          <w:rFonts w:hint="eastAsia" w:asciiTheme="minorEastAsia" w:hAnsiTheme="minorEastAsia" w:cstheme="minorEastAsia"/>
          <w:sz w:val="24"/>
          <w:szCs w:val="24"/>
          <w:highlight w:val="none"/>
          <w:u w:val="single"/>
        </w:rPr>
        <w:t xml:space="preserve"> 1000元/天</w:t>
      </w:r>
      <w:r>
        <w:rPr>
          <w:rFonts w:hint="eastAsia" w:asciiTheme="minorEastAsia" w:hAnsiTheme="minorEastAsia" w:cstheme="minorEastAsia"/>
          <w:sz w:val="24"/>
          <w:szCs w:val="24"/>
          <w:highlight w:val="none"/>
        </w:rPr>
        <w:t>，因此造成损失的，按实际发生额赔偿。</w:t>
      </w:r>
    </w:p>
    <w:p>
      <w:pPr>
        <w:pStyle w:val="2"/>
        <w:ind w:firstLine="480" w:firstLineChars="200"/>
        <w:jc w:val="left"/>
        <w:rPr>
          <w:rFonts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5.8施工过程中，乙方应负责配备现场的应急物资。具体应急物资配备详见附件应急救援物资清单。（如需）</w:t>
      </w:r>
    </w:p>
    <w:p>
      <w:pPr>
        <w:pStyle w:val="2"/>
        <w:rPr>
          <w:highlight w:val="none"/>
        </w:rPr>
      </w:pPr>
    </w:p>
    <w:p>
      <w:pPr>
        <w:tabs>
          <w:tab w:val="left" w:pos="851"/>
        </w:tabs>
        <w:adjustRightInd w:val="0"/>
        <w:snapToGrid w:val="0"/>
        <w:spacing w:line="360" w:lineRule="auto"/>
        <w:ind w:firstLine="482" w:firstLineChars="200"/>
        <w:jc w:val="left"/>
        <w:rPr>
          <w:rFonts w:ascii="宋体" w:hAnsi="宋体" w:cs="宋体"/>
          <w:b/>
          <w:sz w:val="24"/>
          <w:highlight w:val="none"/>
        </w:rPr>
      </w:pPr>
      <w:r>
        <w:rPr>
          <w:rFonts w:hint="eastAsia" w:ascii="宋体" w:hAnsi="宋体" w:cs="宋体"/>
          <w:b/>
          <w:sz w:val="24"/>
          <w:highlight w:val="none"/>
        </w:rPr>
        <w:t>第六条实施条件及管理要求</w:t>
      </w:r>
    </w:p>
    <w:p>
      <w:pPr>
        <w:spacing w:line="384" w:lineRule="auto"/>
        <w:ind w:firstLine="480" w:firstLineChars="200"/>
        <w:rPr>
          <w:rFonts w:ascii="宋体" w:hAnsi="宋体" w:cs="宋体"/>
          <w:sz w:val="24"/>
          <w:highlight w:val="none"/>
        </w:rPr>
      </w:pPr>
      <w:r>
        <w:rPr>
          <w:rFonts w:ascii="宋体" w:hAnsi="宋体" w:cs="宋体"/>
          <w:sz w:val="24"/>
          <w:highlight w:val="none"/>
        </w:rPr>
        <w:t>6.1</w:t>
      </w:r>
      <w:r>
        <w:rPr>
          <w:rFonts w:hint="eastAsia" w:ascii="宋体" w:hAnsi="宋体" w:cs="宋体"/>
          <w:sz w:val="24"/>
          <w:highlight w:val="none"/>
        </w:rPr>
        <w:t>甲方提供临时设施及材料实施场地，乙方确认在签订合同前已查看过甲方所提供的场地及周围的环境，掌握所有与项目实施有关或对项目实施有影响的情况，乙方进场后因场地因素所产生的后果均由乙方负责。</w:t>
      </w:r>
    </w:p>
    <w:p>
      <w:pPr>
        <w:spacing w:line="384" w:lineRule="auto"/>
        <w:ind w:firstLine="480" w:firstLineChars="200"/>
        <w:rPr>
          <w:rFonts w:ascii="宋体" w:hAnsi="宋体" w:cs="宋体"/>
          <w:sz w:val="24"/>
          <w:highlight w:val="none"/>
        </w:rPr>
      </w:pPr>
      <w:r>
        <w:rPr>
          <w:rFonts w:ascii="宋体" w:hAnsi="宋体" w:cs="宋体"/>
          <w:sz w:val="24"/>
          <w:highlight w:val="none"/>
        </w:rPr>
        <w:t>6.2</w:t>
      </w:r>
      <w:r>
        <w:rPr>
          <w:rFonts w:hint="eastAsia" w:ascii="宋体" w:hAnsi="宋体" w:cs="宋体"/>
          <w:sz w:val="24"/>
          <w:highlight w:val="none"/>
        </w:rPr>
        <w:t>施工用水用电采用以下</w:t>
      </w:r>
      <w:r>
        <w:rPr>
          <w:rFonts w:hint="eastAsia" w:ascii="宋体" w:hAnsi="宋体" w:cs="宋体"/>
          <w:sz w:val="24"/>
          <w:highlight w:val="none"/>
          <w:u w:val="single"/>
        </w:rPr>
        <w:t xml:space="preserve"> </w:t>
      </w:r>
      <w:r>
        <w:rPr>
          <w:rFonts w:ascii="宋体" w:hAnsi="宋体" w:cs="宋体"/>
          <w:sz w:val="24"/>
          <w:highlight w:val="none"/>
          <w:u w:val="single"/>
        </w:rPr>
        <w:t xml:space="preserve"> </w:t>
      </w:r>
      <w:r>
        <w:rPr>
          <w:rFonts w:hint="eastAsia" w:ascii="宋体" w:hAnsi="宋体" w:cs="宋体"/>
          <w:sz w:val="24"/>
          <w:highlight w:val="none"/>
          <w:u w:val="single"/>
        </w:rPr>
        <w:t>（</w:t>
      </w:r>
      <w:r>
        <w:rPr>
          <w:rFonts w:ascii="宋体" w:hAnsi="宋体" w:cs="宋体"/>
          <w:sz w:val="24"/>
          <w:highlight w:val="none"/>
          <w:u w:val="single"/>
        </w:rPr>
        <w:t>1</w:t>
      </w:r>
      <w:r>
        <w:rPr>
          <w:rFonts w:hint="eastAsia" w:ascii="宋体" w:hAnsi="宋体" w:cs="宋体"/>
          <w:sz w:val="24"/>
          <w:highlight w:val="none"/>
          <w:u w:val="single"/>
        </w:rPr>
        <w:t xml:space="preserve">）  </w:t>
      </w:r>
      <w:r>
        <w:rPr>
          <w:rFonts w:hint="eastAsia" w:ascii="宋体" w:hAnsi="宋体" w:cs="宋体"/>
          <w:sz w:val="24"/>
          <w:highlight w:val="none"/>
        </w:rPr>
        <w:t>方式执行。</w:t>
      </w:r>
    </w:p>
    <w:p>
      <w:pPr>
        <w:spacing w:line="384" w:lineRule="auto"/>
        <w:ind w:firstLine="480" w:firstLineChars="200"/>
        <w:rPr>
          <w:rFonts w:ascii="宋体" w:hAnsi="宋体" w:cs="宋体"/>
          <w:sz w:val="24"/>
          <w:highlight w:val="none"/>
        </w:rPr>
      </w:pPr>
      <w:r>
        <w:rPr>
          <w:rFonts w:hint="eastAsia" w:ascii="宋体" w:hAnsi="宋体" w:cs="宋体"/>
          <w:sz w:val="24"/>
          <w:highlight w:val="none"/>
        </w:rPr>
        <w:t>（</w:t>
      </w:r>
      <w:r>
        <w:rPr>
          <w:rFonts w:ascii="宋体" w:hAnsi="宋体" w:cs="宋体"/>
          <w:sz w:val="24"/>
          <w:highlight w:val="none"/>
        </w:rPr>
        <w:t>1</w:t>
      </w:r>
      <w:r>
        <w:rPr>
          <w:rFonts w:hint="eastAsia" w:ascii="宋体" w:hAnsi="宋体" w:cs="宋体"/>
          <w:sz w:val="24"/>
          <w:highlight w:val="none"/>
        </w:rPr>
        <w:t>）由甲方提供施工用水用电接口，水电费按合同综合单价水电含量计算，从甲方支付的工程款中直接扣回。</w:t>
      </w:r>
    </w:p>
    <w:p>
      <w:pPr>
        <w:spacing w:line="384" w:lineRule="auto"/>
        <w:ind w:firstLine="480" w:firstLineChars="200"/>
        <w:rPr>
          <w:rFonts w:ascii="宋体" w:hAnsi="宋体" w:cs="宋体"/>
          <w:sz w:val="24"/>
          <w:highlight w:val="none"/>
        </w:rPr>
      </w:pPr>
      <w:r>
        <w:rPr>
          <w:rFonts w:hint="eastAsia" w:ascii="宋体" w:hAnsi="宋体" w:cs="宋体"/>
          <w:sz w:val="24"/>
          <w:highlight w:val="none"/>
        </w:rPr>
        <w:t>（</w:t>
      </w:r>
      <w:r>
        <w:rPr>
          <w:rFonts w:ascii="宋体" w:hAnsi="宋体" w:cs="宋体"/>
          <w:sz w:val="24"/>
          <w:highlight w:val="none"/>
        </w:rPr>
        <w:t>2</w:t>
      </w:r>
      <w:r>
        <w:rPr>
          <w:rFonts w:hint="eastAsia" w:ascii="宋体" w:hAnsi="宋体" w:cs="宋体"/>
          <w:sz w:val="24"/>
          <w:highlight w:val="none"/>
        </w:rPr>
        <w:t>）由甲方提供施工用水用电接口，费用按</w:t>
      </w:r>
      <w:r>
        <w:rPr>
          <w:rFonts w:hint="eastAsia" w:ascii="宋体" w:hAnsi="宋体" w:cs="宋体"/>
          <w:sz w:val="24"/>
          <w:highlight w:val="none"/>
          <w:u w:val="single"/>
        </w:rPr>
        <w:t>（</w:t>
      </w:r>
      <w:r>
        <w:rPr>
          <w:rFonts w:hint="eastAsia" w:ascii="宋体" w:hAnsi="宋体" w:cs="宋体"/>
          <w:sz w:val="24"/>
          <w:highlight w:val="none"/>
        </w:rPr>
        <w:t>月</w:t>
      </w:r>
      <w:r>
        <w:rPr>
          <w:rFonts w:ascii="宋体" w:hAnsi="宋体" w:cs="宋体"/>
          <w:sz w:val="24"/>
          <w:highlight w:val="none"/>
        </w:rPr>
        <w:t>/</w:t>
      </w:r>
      <w:r>
        <w:rPr>
          <w:rFonts w:hint="eastAsia" w:ascii="宋体" w:hAnsi="宋体" w:cs="宋体"/>
          <w:sz w:val="24"/>
          <w:highlight w:val="none"/>
        </w:rPr>
        <w:t>项目）结算，由乙方向甲方或甲方下辖分公司</w:t>
      </w:r>
      <w:r>
        <w:rPr>
          <w:rFonts w:ascii="宋体" w:hAnsi="宋体" w:cs="宋体"/>
          <w:sz w:val="24"/>
          <w:highlight w:val="none"/>
        </w:rPr>
        <w:t>/</w:t>
      </w:r>
      <w:r>
        <w:rPr>
          <w:rFonts w:hint="eastAsia" w:ascii="宋体" w:hAnsi="宋体" w:cs="宋体"/>
          <w:sz w:val="24"/>
          <w:highlight w:val="none"/>
        </w:rPr>
        <w:t>子公司支付。水电费用按所属供电局、自来水公司收费标准，按实计算。</w:t>
      </w:r>
    </w:p>
    <w:p>
      <w:pPr>
        <w:spacing w:line="384" w:lineRule="auto"/>
        <w:ind w:firstLine="480" w:firstLineChars="200"/>
        <w:rPr>
          <w:rFonts w:ascii="宋体" w:hAnsi="宋体" w:cs="宋体"/>
          <w:sz w:val="24"/>
          <w:highlight w:val="none"/>
        </w:rPr>
      </w:pPr>
      <w:r>
        <w:rPr>
          <w:rFonts w:hint="eastAsia" w:ascii="宋体" w:hAnsi="宋体" w:cs="宋体"/>
          <w:sz w:val="24"/>
          <w:highlight w:val="none"/>
        </w:rPr>
        <w:t>（</w:t>
      </w:r>
      <w:r>
        <w:rPr>
          <w:rFonts w:ascii="宋体" w:hAnsi="宋体" w:cs="宋体"/>
          <w:sz w:val="24"/>
          <w:highlight w:val="none"/>
        </w:rPr>
        <w:t>3</w:t>
      </w:r>
      <w:r>
        <w:rPr>
          <w:rFonts w:hint="eastAsia" w:ascii="宋体" w:hAnsi="宋体" w:cs="宋体"/>
          <w:sz w:val="24"/>
          <w:highlight w:val="none"/>
        </w:rPr>
        <w:t>）由乙方自行负责。</w:t>
      </w:r>
    </w:p>
    <w:p>
      <w:pPr>
        <w:spacing w:line="384" w:lineRule="auto"/>
        <w:ind w:firstLine="480" w:firstLineChars="200"/>
        <w:rPr>
          <w:rFonts w:ascii="宋体" w:hAnsi="宋体" w:cs="宋体"/>
          <w:sz w:val="24"/>
          <w:highlight w:val="none"/>
        </w:rPr>
      </w:pPr>
      <w:r>
        <w:rPr>
          <w:rFonts w:ascii="宋体" w:hAnsi="宋体" w:cs="宋体"/>
          <w:sz w:val="24"/>
          <w:highlight w:val="none"/>
        </w:rPr>
        <w:t>6.3</w:t>
      </w:r>
      <w:r>
        <w:rPr>
          <w:rFonts w:hint="eastAsia" w:ascii="宋体" w:hAnsi="宋体" w:cs="宋体"/>
          <w:sz w:val="24"/>
          <w:highlight w:val="none"/>
        </w:rPr>
        <w:t>施工时间安排：上午</w:t>
      </w:r>
      <w:r>
        <w:rPr>
          <w:rFonts w:ascii="宋体" w:hAnsi="宋体" w:cs="宋体"/>
          <w:sz w:val="24"/>
          <w:highlight w:val="none"/>
        </w:rPr>
        <w:t>7</w:t>
      </w:r>
      <w:r>
        <w:rPr>
          <w:rFonts w:hint="eastAsia" w:ascii="宋体" w:hAnsi="宋体" w:cs="宋体"/>
          <w:sz w:val="24"/>
          <w:highlight w:val="none"/>
        </w:rPr>
        <w:t>：</w:t>
      </w:r>
      <w:r>
        <w:rPr>
          <w:rFonts w:ascii="宋体" w:hAnsi="宋体" w:cs="宋体"/>
          <w:sz w:val="24"/>
          <w:highlight w:val="none"/>
        </w:rPr>
        <w:t>00-12</w:t>
      </w:r>
      <w:r>
        <w:rPr>
          <w:rFonts w:hint="eastAsia" w:ascii="宋体" w:hAnsi="宋体" w:cs="宋体"/>
          <w:sz w:val="24"/>
          <w:highlight w:val="none"/>
        </w:rPr>
        <w:t>：</w:t>
      </w:r>
      <w:r>
        <w:rPr>
          <w:rFonts w:ascii="宋体" w:hAnsi="宋体" w:cs="宋体"/>
          <w:sz w:val="24"/>
          <w:highlight w:val="none"/>
        </w:rPr>
        <w:t>00</w:t>
      </w:r>
      <w:r>
        <w:rPr>
          <w:rFonts w:hint="eastAsia" w:ascii="宋体" w:hAnsi="宋体" w:cs="宋体"/>
          <w:sz w:val="24"/>
          <w:highlight w:val="none"/>
        </w:rPr>
        <w:t>，下午</w:t>
      </w:r>
      <w:r>
        <w:rPr>
          <w:rFonts w:ascii="宋体" w:hAnsi="宋体" w:cs="宋体"/>
          <w:sz w:val="24"/>
          <w:highlight w:val="none"/>
        </w:rPr>
        <w:t>14</w:t>
      </w:r>
      <w:r>
        <w:rPr>
          <w:rFonts w:hint="eastAsia" w:ascii="宋体" w:hAnsi="宋体" w:cs="宋体"/>
          <w:sz w:val="24"/>
          <w:highlight w:val="none"/>
        </w:rPr>
        <w:t>：</w:t>
      </w:r>
      <w:r>
        <w:rPr>
          <w:rFonts w:ascii="宋体" w:hAnsi="宋体" w:cs="宋体"/>
          <w:sz w:val="24"/>
          <w:highlight w:val="none"/>
        </w:rPr>
        <w:t>00-18</w:t>
      </w:r>
      <w:r>
        <w:rPr>
          <w:rFonts w:hint="eastAsia" w:ascii="宋体" w:hAnsi="宋体" w:cs="宋体"/>
          <w:sz w:val="24"/>
          <w:highlight w:val="none"/>
        </w:rPr>
        <w:t>：</w:t>
      </w:r>
      <w:r>
        <w:rPr>
          <w:rFonts w:ascii="宋体" w:hAnsi="宋体" w:cs="宋体"/>
          <w:sz w:val="24"/>
          <w:highlight w:val="none"/>
        </w:rPr>
        <w:t>00</w:t>
      </w:r>
      <w:r>
        <w:rPr>
          <w:rFonts w:hint="eastAsia" w:ascii="宋体" w:hAnsi="宋体" w:cs="宋体"/>
          <w:sz w:val="24"/>
          <w:highlight w:val="none"/>
        </w:rPr>
        <w:t>，施工时间如需变动，以甲方的书面或口头通知为准。</w:t>
      </w:r>
    </w:p>
    <w:p>
      <w:pPr>
        <w:spacing w:line="384" w:lineRule="auto"/>
        <w:ind w:firstLine="480" w:firstLineChars="200"/>
        <w:rPr>
          <w:rFonts w:ascii="宋体" w:hAnsi="宋体" w:cs="宋体"/>
          <w:sz w:val="24"/>
          <w:highlight w:val="none"/>
        </w:rPr>
      </w:pPr>
      <w:r>
        <w:rPr>
          <w:rFonts w:ascii="宋体" w:hAnsi="宋体" w:cs="宋体"/>
          <w:sz w:val="24"/>
          <w:highlight w:val="none"/>
        </w:rPr>
        <w:t>6.4</w:t>
      </w:r>
      <w:r>
        <w:rPr>
          <w:rFonts w:hint="eastAsia" w:ascii="宋体" w:hAnsi="宋体" w:cs="宋体"/>
          <w:sz w:val="24"/>
          <w:highlight w:val="none"/>
        </w:rPr>
        <w:t>进场施工人员必须严格遵守</w:t>
      </w:r>
      <w:r>
        <w:rPr>
          <w:rFonts w:hint="eastAsia" w:ascii="宋体" w:hAnsi="宋体" w:cs="宋体"/>
          <w:kern w:val="10"/>
          <w:sz w:val="24"/>
          <w:highlight w:val="none"/>
        </w:rPr>
        <w:t>污水处理厂</w:t>
      </w:r>
      <w:r>
        <w:rPr>
          <w:rFonts w:hint="eastAsia" w:ascii="宋体" w:hAnsi="宋体" w:cs="宋体"/>
          <w:sz w:val="24"/>
          <w:highlight w:val="none"/>
        </w:rPr>
        <w:t>一切规章制度。进入施工现场人员必须佩戴出入证，并自觉接受门岗检查。</w:t>
      </w:r>
    </w:p>
    <w:p>
      <w:pPr>
        <w:snapToGrid w:val="0"/>
        <w:spacing w:line="384" w:lineRule="auto"/>
        <w:ind w:firstLine="480" w:firstLineChars="200"/>
        <w:rPr>
          <w:rFonts w:ascii="宋体" w:hAnsi="宋体" w:cs="宋体"/>
          <w:sz w:val="24"/>
          <w:highlight w:val="none"/>
        </w:rPr>
      </w:pPr>
      <w:r>
        <w:rPr>
          <w:rFonts w:ascii="宋体" w:hAnsi="宋体" w:cs="宋体"/>
          <w:sz w:val="24"/>
          <w:highlight w:val="none"/>
        </w:rPr>
        <w:t>6.5</w:t>
      </w:r>
      <w:r>
        <w:rPr>
          <w:rFonts w:hint="eastAsia" w:ascii="宋体" w:hAnsi="宋体" w:cs="宋体"/>
          <w:sz w:val="24"/>
          <w:highlight w:val="none"/>
        </w:rPr>
        <w:t>环境保护要求：</w:t>
      </w:r>
    </w:p>
    <w:p>
      <w:pPr>
        <w:snapToGrid w:val="0"/>
        <w:spacing w:line="384" w:lineRule="auto"/>
        <w:ind w:firstLine="480" w:firstLineChars="200"/>
        <w:rPr>
          <w:rFonts w:ascii="宋体" w:hAnsi="宋体" w:cs="宋体"/>
          <w:sz w:val="24"/>
          <w:highlight w:val="none"/>
        </w:rPr>
      </w:pPr>
      <w:r>
        <w:rPr>
          <w:rFonts w:hint="eastAsia" w:ascii="宋体" w:hAnsi="宋体" w:cs="宋体"/>
          <w:sz w:val="24"/>
          <w:highlight w:val="none"/>
        </w:rPr>
        <w:t>（</w:t>
      </w:r>
      <w:r>
        <w:rPr>
          <w:rFonts w:ascii="宋体" w:hAnsi="宋体" w:cs="宋体"/>
          <w:sz w:val="24"/>
          <w:highlight w:val="none"/>
        </w:rPr>
        <w:t>1</w:t>
      </w:r>
      <w:r>
        <w:rPr>
          <w:rFonts w:hint="eastAsia" w:ascii="宋体" w:hAnsi="宋体" w:cs="宋体"/>
          <w:sz w:val="24"/>
          <w:highlight w:val="none"/>
        </w:rPr>
        <w:t>）做好施工噪声、废气、废水等控制；</w:t>
      </w:r>
    </w:p>
    <w:p>
      <w:pPr>
        <w:snapToGrid w:val="0"/>
        <w:spacing w:line="384" w:lineRule="auto"/>
        <w:ind w:firstLine="480" w:firstLineChars="200"/>
        <w:rPr>
          <w:rFonts w:ascii="宋体" w:hAnsi="宋体" w:cs="宋体"/>
          <w:sz w:val="24"/>
          <w:highlight w:val="none"/>
        </w:rPr>
      </w:pPr>
      <w:r>
        <w:rPr>
          <w:rFonts w:hint="eastAsia" w:ascii="宋体" w:hAnsi="宋体" w:cs="宋体"/>
          <w:sz w:val="24"/>
          <w:highlight w:val="none"/>
        </w:rPr>
        <w:t>（</w:t>
      </w:r>
      <w:r>
        <w:rPr>
          <w:rFonts w:ascii="宋体" w:hAnsi="宋体" w:cs="宋体"/>
          <w:sz w:val="24"/>
          <w:highlight w:val="none"/>
        </w:rPr>
        <w:t>2</w:t>
      </w:r>
      <w:r>
        <w:rPr>
          <w:rFonts w:hint="eastAsia" w:ascii="宋体" w:hAnsi="宋体" w:cs="宋体"/>
          <w:sz w:val="24"/>
          <w:highlight w:val="none"/>
        </w:rPr>
        <w:t>）按照国家及广州市相关规定做好建筑垃圾的处理。</w:t>
      </w:r>
    </w:p>
    <w:p>
      <w:pPr>
        <w:snapToGrid w:val="0"/>
        <w:spacing w:line="384" w:lineRule="auto"/>
        <w:ind w:firstLine="480" w:firstLineChars="200"/>
        <w:rPr>
          <w:rFonts w:ascii="宋体" w:hAnsi="宋体" w:cs="宋体"/>
          <w:sz w:val="24"/>
          <w:highlight w:val="none"/>
        </w:rPr>
      </w:pPr>
      <w:r>
        <w:rPr>
          <w:rFonts w:ascii="宋体" w:hAnsi="宋体" w:cs="宋体"/>
          <w:sz w:val="24"/>
          <w:highlight w:val="none"/>
        </w:rPr>
        <w:t>6.6</w:t>
      </w:r>
      <w:r>
        <w:rPr>
          <w:rFonts w:hint="eastAsia" w:ascii="宋体" w:hAnsi="宋体" w:cs="宋体"/>
          <w:sz w:val="24"/>
          <w:highlight w:val="none"/>
        </w:rPr>
        <w:t>按相关法律法规及甲方相关作业施工管理要求执行。</w:t>
      </w:r>
    </w:p>
    <w:p>
      <w:pPr>
        <w:pStyle w:val="14"/>
        <w:spacing w:line="384" w:lineRule="auto"/>
        <w:rPr>
          <w:rFonts w:hAnsi="宋体" w:cs="宋体"/>
          <w:b/>
          <w:bCs/>
          <w:sz w:val="24"/>
          <w:szCs w:val="24"/>
          <w:highlight w:val="none"/>
        </w:rPr>
      </w:pPr>
      <w:r>
        <w:rPr>
          <w:rFonts w:hint="eastAsia" w:hAnsi="宋体" w:cs="宋体"/>
          <w:b/>
          <w:bCs/>
          <w:sz w:val="24"/>
          <w:szCs w:val="24"/>
          <w:highlight w:val="none"/>
        </w:rPr>
        <w:t>第七条 材料及设备供应</w:t>
      </w:r>
    </w:p>
    <w:p>
      <w:pPr>
        <w:spacing w:line="384" w:lineRule="auto"/>
        <w:ind w:firstLine="480" w:firstLineChars="200"/>
        <w:rPr>
          <w:rFonts w:ascii="宋体" w:hAnsi="宋体" w:cs="宋体"/>
          <w:sz w:val="24"/>
          <w:highlight w:val="none"/>
        </w:rPr>
      </w:pPr>
      <w:r>
        <w:rPr>
          <w:rFonts w:hint="eastAsia" w:ascii="宋体" w:hAnsi="宋体" w:cs="宋体"/>
          <w:sz w:val="24"/>
          <w:highlight w:val="none"/>
        </w:rPr>
        <w:t>本项目承包范围内所需的设备材料、成品、未成品、运输、保管、质量等责任均由乙方承担。甲方不提供材料。</w:t>
      </w:r>
    </w:p>
    <w:p>
      <w:pPr>
        <w:spacing w:line="384" w:lineRule="auto"/>
        <w:ind w:left="-2" w:leftChars="-1" w:firstLine="480" w:firstLineChars="200"/>
        <w:rPr>
          <w:rFonts w:ascii="宋体" w:hAnsi="宋体" w:cs="宋体"/>
          <w:sz w:val="24"/>
          <w:highlight w:val="none"/>
        </w:rPr>
      </w:pPr>
      <w:r>
        <w:rPr>
          <w:rFonts w:ascii="宋体" w:hAnsi="宋体" w:cs="宋体"/>
          <w:sz w:val="24"/>
          <w:highlight w:val="none"/>
        </w:rPr>
        <w:t>7.1</w:t>
      </w:r>
      <w:r>
        <w:rPr>
          <w:rFonts w:hint="eastAsia" w:ascii="宋体" w:hAnsi="宋体" w:cs="宋体"/>
          <w:sz w:val="24"/>
          <w:highlight w:val="none"/>
        </w:rPr>
        <w:t>采购供应的材料、其名称、品种、型号、规格、质量等，均应符合国家、地方及行业有关规范及要求。</w:t>
      </w:r>
    </w:p>
    <w:p>
      <w:pPr>
        <w:spacing w:line="384" w:lineRule="auto"/>
        <w:ind w:left="657" w:leftChars="200" w:hanging="237" w:hangingChars="99"/>
        <w:rPr>
          <w:rFonts w:ascii="宋体" w:hAnsi="宋体" w:cs="宋体"/>
          <w:sz w:val="24"/>
          <w:highlight w:val="none"/>
        </w:rPr>
      </w:pPr>
      <w:r>
        <w:rPr>
          <w:rFonts w:ascii="宋体" w:hAnsi="宋体" w:cs="宋体"/>
          <w:sz w:val="24"/>
          <w:highlight w:val="none"/>
        </w:rPr>
        <w:t>7.2</w:t>
      </w:r>
      <w:r>
        <w:rPr>
          <w:rFonts w:hint="eastAsia" w:ascii="宋体" w:hAnsi="宋体" w:cs="宋体"/>
          <w:sz w:val="24"/>
          <w:highlight w:val="none"/>
        </w:rPr>
        <w:t>所有材料必须具备合格证明，并保证产品的有效性。</w:t>
      </w:r>
    </w:p>
    <w:p>
      <w:pPr>
        <w:spacing w:line="384" w:lineRule="auto"/>
        <w:ind w:firstLine="480" w:firstLineChars="200"/>
        <w:rPr>
          <w:rFonts w:ascii="宋体" w:hAnsi="宋体" w:cs="宋体"/>
          <w:sz w:val="24"/>
          <w:highlight w:val="none"/>
        </w:rPr>
      </w:pPr>
      <w:r>
        <w:rPr>
          <w:rFonts w:ascii="宋体" w:hAnsi="宋体" w:cs="宋体"/>
          <w:sz w:val="24"/>
          <w:highlight w:val="none"/>
        </w:rPr>
        <w:t>7.3</w:t>
      </w:r>
      <w:r>
        <w:rPr>
          <w:rFonts w:hint="eastAsia" w:ascii="宋体" w:hAnsi="宋体" w:cs="宋体"/>
          <w:sz w:val="24"/>
          <w:highlight w:val="none"/>
        </w:rPr>
        <w:t>由于乙方提供的伪劣、假冒等所有不合格材料而导致的损失、事故及一切后果，均由乙方负责并赔偿甲方所有损失，并负责更换所有已施工的不合格材料。</w:t>
      </w:r>
    </w:p>
    <w:p>
      <w:pPr>
        <w:tabs>
          <w:tab w:val="left" w:pos="360"/>
        </w:tabs>
        <w:spacing w:line="384" w:lineRule="auto"/>
        <w:ind w:firstLine="480" w:firstLineChars="200"/>
        <w:rPr>
          <w:rFonts w:ascii="宋体" w:hAnsi="宋体" w:cs="宋体"/>
          <w:sz w:val="24"/>
          <w:highlight w:val="none"/>
        </w:rPr>
      </w:pPr>
      <w:r>
        <w:rPr>
          <w:rFonts w:ascii="宋体" w:hAnsi="宋体" w:cs="宋体"/>
          <w:sz w:val="24"/>
          <w:highlight w:val="none"/>
        </w:rPr>
        <w:t>7.4</w:t>
      </w:r>
      <w:r>
        <w:rPr>
          <w:rFonts w:hint="eastAsia" w:ascii="宋体" w:hAnsi="宋体" w:cs="宋体"/>
          <w:sz w:val="24"/>
          <w:highlight w:val="none"/>
        </w:rPr>
        <w:t>乙方必须根据投标文件</w:t>
      </w:r>
      <w:r>
        <w:rPr>
          <w:rFonts w:ascii="宋体" w:hAnsi="宋体" w:cs="宋体"/>
          <w:sz w:val="24"/>
          <w:highlight w:val="none"/>
        </w:rPr>
        <w:t>/</w:t>
      </w:r>
      <w:r>
        <w:rPr>
          <w:rFonts w:hint="eastAsia" w:ascii="宋体" w:hAnsi="宋体" w:cs="宋体"/>
          <w:sz w:val="24"/>
          <w:highlight w:val="none"/>
        </w:rPr>
        <w:t>询价响应文件（如有）上主要材料的明细（包括厂家、规格、品质等级等）提供材料。工程实施时，如发现材料不一致，甲方有权拒用，造成损失由乙方承担。</w:t>
      </w:r>
    </w:p>
    <w:p>
      <w:pPr>
        <w:spacing w:line="384" w:lineRule="auto"/>
        <w:ind w:left="-2" w:leftChars="-1" w:firstLine="480" w:firstLineChars="200"/>
        <w:rPr>
          <w:rFonts w:ascii="宋体" w:hAnsi="宋体" w:cs="宋体"/>
          <w:sz w:val="24"/>
          <w:highlight w:val="none"/>
        </w:rPr>
      </w:pPr>
      <w:r>
        <w:rPr>
          <w:rFonts w:ascii="宋体" w:hAnsi="宋体" w:cs="宋体"/>
          <w:sz w:val="24"/>
          <w:highlight w:val="none"/>
        </w:rPr>
        <w:t xml:space="preserve">7.5 </w:t>
      </w:r>
      <w:r>
        <w:rPr>
          <w:rFonts w:hint="eastAsia" w:ascii="宋体" w:hAnsi="宋体" w:cs="宋体"/>
          <w:sz w:val="24"/>
          <w:highlight w:val="none"/>
        </w:rPr>
        <w:t>甲方有权对施工质量进行监督、检查或检验，也可自行委托第三方进行质量检验，甲方或第三方的检验结果作为最终的质量评定结果。</w:t>
      </w:r>
    </w:p>
    <w:p>
      <w:pPr>
        <w:spacing w:line="384" w:lineRule="auto"/>
        <w:ind w:firstLine="480" w:firstLineChars="200"/>
        <w:rPr>
          <w:rFonts w:ascii="宋体" w:hAnsi="宋体" w:cs="宋体"/>
          <w:sz w:val="24"/>
          <w:highlight w:val="none"/>
        </w:rPr>
      </w:pPr>
      <w:r>
        <w:rPr>
          <w:rFonts w:ascii="宋体" w:hAnsi="宋体" w:cs="宋体"/>
          <w:sz w:val="24"/>
          <w:highlight w:val="none"/>
        </w:rPr>
        <w:t xml:space="preserve">7.6 </w:t>
      </w:r>
      <w:r>
        <w:rPr>
          <w:rFonts w:hint="eastAsia" w:ascii="宋体" w:hAnsi="宋体" w:cs="宋体"/>
          <w:sz w:val="24"/>
          <w:highlight w:val="none"/>
        </w:rPr>
        <w:t>承包范围之内工程所用之设备，由乙方提供。</w:t>
      </w:r>
    </w:p>
    <w:p>
      <w:pPr>
        <w:spacing w:line="384" w:lineRule="auto"/>
        <w:rPr>
          <w:rFonts w:ascii="宋体" w:hAnsi="宋体" w:cs="宋体"/>
          <w:sz w:val="24"/>
          <w:highlight w:val="none"/>
        </w:rPr>
      </w:pPr>
      <w:r>
        <w:rPr>
          <w:rFonts w:hint="eastAsia" w:ascii="宋体" w:hAnsi="宋体" w:cs="宋体"/>
          <w:b/>
          <w:bCs/>
          <w:sz w:val="24"/>
          <w:highlight w:val="none"/>
        </w:rPr>
        <w:t>第八条付</w:t>
      </w:r>
      <w:r>
        <w:rPr>
          <w:rFonts w:hint="eastAsia" w:ascii="宋体" w:hAnsi="宋体" w:cs="宋体"/>
          <w:b/>
          <w:sz w:val="24"/>
          <w:highlight w:val="none"/>
        </w:rPr>
        <w:t>款及履约担保</w:t>
      </w:r>
    </w:p>
    <w:p>
      <w:pPr>
        <w:spacing w:line="384" w:lineRule="auto"/>
        <w:ind w:firstLine="480" w:firstLineChars="200"/>
        <w:rPr>
          <w:rFonts w:ascii="宋体" w:hAnsi="宋体" w:cs="宋体"/>
          <w:bCs/>
          <w:sz w:val="24"/>
          <w:highlight w:val="none"/>
          <w:u w:val="single"/>
        </w:rPr>
      </w:pPr>
      <w:r>
        <w:rPr>
          <w:rFonts w:ascii="宋体" w:hAnsi="宋体" w:cs="宋体"/>
          <w:sz w:val="24"/>
          <w:highlight w:val="none"/>
        </w:rPr>
        <w:t>8.1</w:t>
      </w:r>
      <w:r>
        <w:rPr>
          <w:rFonts w:hint="eastAsia" w:ascii="宋体" w:hAnsi="宋体" w:cs="宋体"/>
          <w:bCs/>
          <w:sz w:val="24"/>
          <w:highlight w:val="none"/>
        </w:rPr>
        <w:t>预付款的支付：</w:t>
      </w:r>
      <w:r>
        <w:rPr>
          <w:rFonts w:ascii="宋体" w:hAnsi="宋体" w:cs="宋体"/>
          <w:bCs/>
          <w:sz w:val="24"/>
          <w:highlight w:val="none"/>
        </w:rPr>
        <w:sym w:font="Wingdings" w:char="00FE"/>
      </w:r>
      <w:r>
        <w:rPr>
          <w:rFonts w:hint="eastAsia" w:ascii="宋体" w:hAnsi="宋体" w:cs="宋体"/>
          <w:bCs/>
          <w:sz w:val="24"/>
          <w:highlight w:val="none"/>
        </w:rPr>
        <w:t>无；</w:t>
      </w:r>
      <w:r>
        <w:rPr>
          <w:rFonts w:ascii="宋体" w:hAnsi="宋体" w:cs="宋体"/>
          <w:bCs/>
          <w:sz w:val="24"/>
          <w:highlight w:val="none"/>
        </w:rPr>
        <w:sym w:font="Wingdings" w:char="F0A8"/>
      </w:r>
      <w:r>
        <w:rPr>
          <w:rFonts w:hint="eastAsia" w:ascii="宋体" w:hAnsi="宋体" w:cs="宋体"/>
          <w:bCs/>
          <w:sz w:val="24"/>
          <w:highlight w:val="none"/>
        </w:rPr>
        <w:t>有,合同签订后，乙方开具等额的增值税专用发票及提交履约担保担保（如有）后</w:t>
      </w:r>
      <w:r>
        <w:rPr>
          <w:rFonts w:ascii="宋体" w:hAnsi="宋体" w:cs="宋体"/>
          <w:bCs/>
          <w:sz w:val="24"/>
          <w:highlight w:val="none"/>
          <w:u w:val="single"/>
        </w:rPr>
        <w:t xml:space="preserve"> 10 </w:t>
      </w:r>
      <w:r>
        <w:rPr>
          <w:rFonts w:hint="eastAsia" w:ascii="宋体" w:hAnsi="宋体" w:cs="宋体"/>
          <w:bCs/>
          <w:sz w:val="24"/>
          <w:highlight w:val="none"/>
        </w:rPr>
        <w:t>个工作日内，甲方支付合同</w:t>
      </w:r>
      <w:r>
        <w:rPr>
          <w:rFonts w:hint="eastAsia" w:ascii="宋体" w:hAnsi="宋体" w:cs="宋体"/>
          <w:sz w:val="24"/>
          <w:highlight w:val="none"/>
        </w:rPr>
        <w:t>暂定总价</w:t>
      </w:r>
      <w:r>
        <w:rPr>
          <w:rFonts w:hint="eastAsia" w:ascii="宋体" w:hAnsi="宋体" w:cs="宋体"/>
          <w:bCs/>
          <w:sz w:val="24"/>
          <w:highlight w:val="none"/>
        </w:rPr>
        <w:t>的</w:t>
      </w:r>
      <w:r>
        <w:rPr>
          <w:rFonts w:hint="eastAsia" w:ascii="宋体" w:hAnsi="宋体" w:cs="宋体"/>
          <w:bCs/>
          <w:sz w:val="24"/>
          <w:highlight w:val="none"/>
          <w:u w:val="single"/>
        </w:rPr>
        <w:t>（不得超过</w:t>
      </w:r>
      <w:r>
        <w:rPr>
          <w:rFonts w:ascii="宋体" w:hAnsi="宋体" w:cs="宋体"/>
          <w:bCs/>
          <w:sz w:val="24"/>
          <w:highlight w:val="none"/>
          <w:u w:val="single"/>
        </w:rPr>
        <w:t>30%</w:t>
      </w:r>
      <w:r>
        <w:rPr>
          <w:rFonts w:hint="eastAsia" w:ascii="宋体" w:hAnsi="宋体" w:cs="宋体"/>
          <w:bCs/>
          <w:sz w:val="24"/>
          <w:highlight w:val="none"/>
          <w:u w:val="single"/>
        </w:rPr>
        <w:t>）</w:t>
      </w:r>
      <w:r>
        <w:rPr>
          <w:rFonts w:hint="eastAsia" w:ascii="宋体" w:hAnsi="宋体" w:cs="宋体"/>
          <w:sz w:val="24"/>
          <w:highlight w:val="none"/>
        </w:rPr>
        <w:t>即…</w:t>
      </w:r>
      <w:r>
        <w:rPr>
          <w:rFonts w:hint="eastAsia" w:ascii="宋体" w:hAnsi="宋体" w:cs="宋体"/>
          <w:sz w:val="24"/>
          <w:highlight w:val="none"/>
          <w:u w:val="single"/>
        </w:rPr>
        <w:t>元，（大写：…）</w:t>
      </w:r>
      <w:r>
        <w:rPr>
          <w:rFonts w:hint="eastAsia" w:ascii="宋体" w:hAnsi="宋体" w:cs="宋体"/>
          <w:bCs/>
          <w:sz w:val="24"/>
          <w:highlight w:val="none"/>
        </w:rPr>
        <w:t>作为预付款。</w:t>
      </w:r>
      <w:r>
        <w:rPr>
          <w:rFonts w:hint="eastAsia" w:ascii="宋体" w:hAnsi="宋体" w:cs="宋体"/>
          <w:sz w:val="24"/>
          <w:highlight w:val="none"/>
        </w:rPr>
        <w:t>若合同解除或终止，乙方在</w:t>
      </w:r>
      <w:r>
        <w:rPr>
          <w:rFonts w:ascii="宋体" w:hAnsi="宋体" w:cs="宋体"/>
          <w:sz w:val="24"/>
          <w:highlight w:val="none"/>
          <w:u w:val="single"/>
        </w:rPr>
        <w:t xml:space="preserve"> 5 </w:t>
      </w:r>
      <w:r>
        <w:rPr>
          <w:rFonts w:hint="eastAsia" w:ascii="宋体" w:hAnsi="宋体" w:cs="宋体"/>
          <w:sz w:val="24"/>
          <w:highlight w:val="none"/>
        </w:rPr>
        <w:t>个工作日内返还预付款（无息）。</w:t>
      </w:r>
      <w:r>
        <w:rPr>
          <w:rFonts w:hint="eastAsia" w:ascii="宋体" w:hAnsi="宋体" w:cs="宋体"/>
          <w:bCs/>
          <w:kern w:val="0"/>
          <w:sz w:val="24"/>
          <w:highlight w:val="none"/>
        </w:rPr>
        <w:t>逾期未返还，每逾期一天，乙方应按合同暂定总价的</w:t>
      </w:r>
      <w:r>
        <w:rPr>
          <w:rFonts w:hint="eastAsia" w:ascii="宋体" w:hAnsi="宋体" w:cs="宋体"/>
          <w:bCs/>
          <w:kern w:val="0"/>
          <w:sz w:val="24"/>
          <w:highlight w:val="none"/>
          <w:u w:val="single"/>
        </w:rPr>
        <w:t>万分之五</w:t>
      </w:r>
      <w:r>
        <w:rPr>
          <w:rFonts w:ascii="宋体" w:hAnsi="宋体" w:cs="宋体"/>
          <w:bCs/>
          <w:kern w:val="0"/>
          <w:sz w:val="24"/>
          <w:highlight w:val="none"/>
          <w:u w:val="single"/>
        </w:rPr>
        <w:t>/</w:t>
      </w:r>
      <w:r>
        <w:rPr>
          <w:rFonts w:hint="eastAsia" w:ascii="宋体" w:hAnsi="宋体" w:cs="宋体"/>
          <w:bCs/>
          <w:kern w:val="0"/>
          <w:sz w:val="24"/>
          <w:highlight w:val="none"/>
          <w:u w:val="single"/>
        </w:rPr>
        <w:t>天</w:t>
      </w:r>
      <w:r>
        <w:rPr>
          <w:rFonts w:hint="eastAsia" w:ascii="宋体" w:hAnsi="宋体" w:cs="宋体"/>
          <w:bCs/>
          <w:kern w:val="0"/>
          <w:sz w:val="24"/>
          <w:highlight w:val="none"/>
        </w:rPr>
        <w:t>支付违约金</w:t>
      </w:r>
      <w:r>
        <w:rPr>
          <w:rFonts w:hint="eastAsia" w:ascii="宋体" w:hAnsi="宋体" w:cs="宋体"/>
          <w:sz w:val="24"/>
          <w:highlight w:val="none"/>
        </w:rPr>
        <w:t>。</w:t>
      </w:r>
    </w:p>
    <w:p>
      <w:pPr>
        <w:pStyle w:val="14"/>
        <w:spacing w:line="384" w:lineRule="auto"/>
        <w:ind w:firstLine="480" w:firstLineChars="200"/>
        <w:outlineLvl w:val="1"/>
        <w:rPr>
          <w:rFonts w:hint="eastAsia" w:hAnsi="宋体" w:cs="宋体"/>
          <w:color w:val="000000" w:themeColor="text1"/>
          <w:sz w:val="24"/>
          <w:szCs w:val="24"/>
          <w:highlight w:val="none"/>
          <w:u w:val="single"/>
          <w14:textFill>
            <w14:solidFill>
              <w14:schemeClr w14:val="tx1"/>
            </w14:solidFill>
          </w14:textFill>
        </w:rPr>
      </w:pPr>
      <w:r>
        <w:rPr>
          <w:rFonts w:hAnsi="宋体" w:cs="宋体"/>
          <w:sz w:val="24"/>
          <w:szCs w:val="24"/>
          <w:highlight w:val="none"/>
        </w:rPr>
        <w:t>8.2</w:t>
      </w:r>
      <w:r>
        <w:rPr>
          <w:rFonts w:hint="eastAsia" w:hAnsi="宋体" w:cs="宋体"/>
          <w:sz w:val="24"/>
          <w:szCs w:val="24"/>
          <w:highlight w:val="none"/>
          <w:lang w:val="en-US" w:eastAsia="zh-CN"/>
        </w:rPr>
        <w:t>签订合同后60日内乙方</w:t>
      </w:r>
      <w:r>
        <w:rPr>
          <w:rFonts w:hint="eastAsia" w:hAnsi="宋体" w:cs="宋体"/>
          <w:color w:val="000000" w:themeColor="text1"/>
          <w:sz w:val="24"/>
          <w:szCs w:val="24"/>
          <w:highlight w:val="none"/>
          <w:u w:val="single"/>
          <w:lang w:val="en-US" w:eastAsia="zh-CN"/>
          <w14:textFill>
            <w14:solidFill>
              <w14:schemeClr w14:val="tx1"/>
            </w14:solidFill>
          </w14:textFill>
        </w:rPr>
        <w:t>设备到货</w:t>
      </w:r>
      <w:r>
        <w:rPr>
          <w:rFonts w:hint="eastAsia" w:hAnsi="宋体" w:cs="宋体"/>
          <w:color w:val="000000" w:themeColor="text1"/>
          <w:sz w:val="24"/>
          <w:szCs w:val="24"/>
          <w:highlight w:val="none"/>
          <w:u w:val="single"/>
          <w14:textFill>
            <w14:solidFill>
              <w14:schemeClr w14:val="tx1"/>
            </w14:solidFill>
          </w14:textFill>
        </w:rPr>
        <w:t>，</w:t>
      </w:r>
      <w:r>
        <w:rPr>
          <w:rFonts w:hint="eastAsia" w:hAnsi="宋体" w:cs="宋体"/>
          <w:color w:val="000000" w:themeColor="text1"/>
          <w:sz w:val="24"/>
          <w:szCs w:val="24"/>
          <w:highlight w:val="none"/>
          <w:u w:val="single"/>
          <w:lang w:val="en-US" w:eastAsia="zh-CN"/>
          <w14:textFill>
            <w14:solidFill>
              <w14:schemeClr w14:val="tx1"/>
            </w14:solidFill>
          </w14:textFill>
        </w:rPr>
        <w:t>经甲方确认后，</w:t>
      </w:r>
      <w:r>
        <w:rPr>
          <w:rFonts w:hint="eastAsia" w:hAnsi="宋体" w:cs="宋体"/>
          <w:color w:val="000000" w:themeColor="text1"/>
          <w:sz w:val="24"/>
          <w:szCs w:val="24"/>
          <w:highlight w:val="none"/>
          <w:u w:val="single"/>
          <w14:textFill>
            <w14:solidFill>
              <w14:schemeClr w14:val="tx1"/>
            </w14:solidFill>
          </w14:textFill>
        </w:rPr>
        <w:t>由乙方提交申请支付资料</w:t>
      </w:r>
      <w:r>
        <w:rPr>
          <w:rFonts w:hAnsi="宋体" w:cs="宋体"/>
          <w:color w:val="000000" w:themeColor="text1"/>
          <w:sz w:val="24"/>
          <w:szCs w:val="24"/>
          <w:highlight w:val="none"/>
          <w:u w:val="single"/>
          <w14:textFill>
            <w14:solidFill>
              <w14:schemeClr w14:val="tx1"/>
            </w14:solidFill>
          </w14:textFill>
        </w:rPr>
        <w:t xml:space="preserve"> 15</w:t>
      </w:r>
      <w:r>
        <w:rPr>
          <w:rFonts w:hint="eastAsia" w:hAnsi="宋体" w:cs="宋体"/>
          <w:color w:val="000000" w:themeColor="text1"/>
          <w:sz w:val="24"/>
          <w:szCs w:val="24"/>
          <w:highlight w:val="none"/>
          <w:u w:val="single"/>
          <w14:textFill>
            <w14:solidFill>
              <w14:schemeClr w14:val="tx1"/>
            </w14:solidFill>
          </w14:textFill>
        </w:rPr>
        <w:t>个工作日内，甲方支付至合同暂定总价的 30%即 …元，（大写：…）</w:t>
      </w:r>
    </w:p>
    <w:p>
      <w:pPr>
        <w:pStyle w:val="14"/>
        <w:spacing w:line="384" w:lineRule="auto"/>
        <w:ind w:firstLine="480" w:firstLineChars="200"/>
        <w:outlineLvl w:val="1"/>
        <w:rPr>
          <w:rFonts w:hAnsi="宋体" w:eastAsia="宋体" w:cs="宋体"/>
          <w:sz w:val="24"/>
          <w:szCs w:val="24"/>
          <w:highlight w:val="none"/>
        </w:rPr>
      </w:pPr>
      <w:r>
        <w:rPr>
          <w:rFonts w:hint="eastAsia" w:hAnsi="宋体" w:cs="宋体"/>
          <w:sz w:val="24"/>
          <w:szCs w:val="24"/>
          <w:highlight w:val="none"/>
          <w:u w:val="single"/>
        </w:rPr>
        <w:t>项目验收合格后，由乙方提交申请支付资料</w:t>
      </w:r>
      <w:r>
        <w:rPr>
          <w:rFonts w:hAnsi="宋体" w:cs="宋体"/>
          <w:sz w:val="24"/>
          <w:szCs w:val="24"/>
          <w:highlight w:val="none"/>
          <w:u w:val="single"/>
        </w:rPr>
        <w:t xml:space="preserve"> 15 </w:t>
      </w:r>
      <w:r>
        <w:rPr>
          <w:rFonts w:hint="eastAsia" w:hAnsi="宋体" w:cs="宋体"/>
          <w:sz w:val="24"/>
          <w:szCs w:val="24"/>
          <w:highlight w:val="none"/>
          <w:u w:val="single"/>
        </w:rPr>
        <w:t>个工作日内，甲方支付至合同暂定总价的80％即^万元给乙方。</w:t>
      </w:r>
      <w:r>
        <w:rPr>
          <w:rFonts w:hint="eastAsia" w:hAnsi="宋体" w:cs="宋体"/>
          <w:sz w:val="24"/>
          <w:szCs w:val="24"/>
          <w:highlight w:val="none"/>
        </w:rPr>
        <w:t>（如需）</w:t>
      </w:r>
    </w:p>
    <w:p>
      <w:pPr>
        <w:tabs>
          <w:tab w:val="left" w:pos="0"/>
        </w:tabs>
        <w:adjustRightInd w:val="0"/>
        <w:snapToGrid w:val="0"/>
        <w:spacing w:line="360" w:lineRule="auto"/>
        <w:ind w:firstLine="480" w:firstLineChars="200"/>
        <w:jc w:val="left"/>
        <w:rPr>
          <w:rFonts w:ascii="宋体" w:hAnsi="宋体" w:cs="宋体"/>
          <w:sz w:val="24"/>
          <w:highlight w:val="none"/>
        </w:rPr>
      </w:pPr>
      <w:r>
        <w:rPr>
          <w:rFonts w:ascii="宋体" w:hAnsi="宋体" w:cs="宋体"/>
          <w:sz w:val="24"/>
          <w:highlight w:val="none"/>
        </w:rPr>
        <w:t>8.2.1</w:t>
      </w:r>
      <w:r>
        <w:rPr>
          <w:rFonts w:hint="eastAsia" w:ascii="宋体" w:hAnsi="宋体" w:cs="宋体"/>
          <w:sz w:val="24"/>
          <w:highlight w:val="none"/>
          <w:u w:val="single"/>
        </w:rPr>
        <w:t>项目验收合</w:t>
      </w:r>
      <w:r>
        <w:rPr>
          <w:rFonts w:hint="eastAsia" w:ascii="宋体" w:hAnsi="宋体" w:cs="宋体"/>
          <w:sz w:val="24"/>
          <w:highlight w:val="none"/>
          <w:u w:val="single"/>
          <w:lang w:val="en-US" w:eastAsia="zh-CN"/>
        </w:rPr>
        <w:t>格</w:t>
      </w:r>
      <w:r>
        <w:rPr>
          <w:rFonts w:hint="eastAsia" w:ascii="宋体" w:hAnsi="宋体" w:cs="宋体"/>
          <w:sz w:val="24"/>
          <w:highlight w:val="none"/>
          <w:u w:val="single"/>
        </w:rPr>
        <w:t>后，</w:t>
      </w:r>
      <w:r>
        <w:rPr>
          <w:rFonts w:hint="eastAsia" w:ascii="宋体" w:hAnsi="宋体" w:cs="宋体"/>
          <w:sz w:val="24"/>
          <w:highlight w:val="none"/>
        </w:rPr>
        <w:t>经甲方或甲方委托有资质第三方机构审核后，由乙方提交申请支付资料</w:t>
      </w:r>
      <w:r>
        <w:rPr>
          <w:rFonts w:ascii="宋体" w:hAnsi="宋体" w:cs="宋体"/>
          <w:sz w:val="24"/>
          <w:highlight w:val="none"/>
          <w:u w:val="single"/>
        </w:rPr>
        <w:t xml:space="preserve"> 15 </w:t>
      </w:r>
      <w:r>
        <w:rPr>
          <w:rFonts w:hint="eastAsia" w:ascii="宋体" w:hAnsi="宋体" w:cs="宋体"/>
          <w:sz w:val="24"/>
          <w:highlight w:val="none"/>
        </w:rPr>
        <w:t>个工作日内，甲方支付至合同结算价的</w:t>
      </w:r>
      <w:r>
        <w:rPr>
          <w:rFonts w:ascii="宋体" w:hAnsi="宋体" w:cs="宋体"/>
          <w:sz w:val="24"/>
          <w:highlight w:val="none"/>
        </w:rPr>
        <w:t>95%</w:t>
      </w:r>
      <w:r>
        <w:rPr>
          <w:rFonts w:hint="eastAsia" w:ascii="宋体" w:hAnsi="宋体" w:cs="宋体"/>
          <w:sz w:val="24"/>
          <w:highlight w:val="none"/>
        </w:rPr>
        <w:t>。</w:t>
      </w:r>
    </w:p>
    <w:p>
      <w:pPr>
        <w:spacing w:line="384" w:lineRule="auto"/>
        <w:ind w:firstLine="480" w:firstLineChars="200"/>
        <w:outlineLvl w:val="1"/>
        <w:rPr>
          <w:rFonts w:hAnsi="宋体" w:cs="宋体"/>
          <w:sz w:val="24"/>
          <w:highlight w:val="none"/>
        </w:rPr>
      </w:pPr>
      <w:r>
        <w:rPr>
          <w:rFonts w:ascii="宋体" w:hAnsi="宋体" w:cs="宋体"/>
          <w:sz w:val="24"/>
          <w:highlight w:val="none"/>
        </w:rPr>
        <w:t>8.2.</w:t>
      </w:r>
      <w:r>
        <w:rPr>
          <w:rFonts w:hint="eastAsia" w:ascii="宋体" w:hAnsi="宋体" w:cs="宋体"/>
          <w:sz w:val="24"/>
          <w:highlight w:val="none"/>
        </w:rPr>
        <w:t>2</w:t>
      </w:r>
      <w:r>
        <w:rPr>
          <w:rFonts w:hint="eastAsia" w:hAnsi="宋体" w:cs="宋体"/>
          <w:sz w:val="24"/>
          <w:highlight w:val="none"/>
        </w:rPr>
        <w:t>质保期按合同第十条规定执行，质保期满后且乙方不存在违约情形，由乙方提交申请质保金退还资料</w:t>
      </w:r>
      <w:r>
        <w:rPr>
          <w:rFonts w:hAnsi="宋体" w:cs="宋体"/>
          <w:sz w:val="24"/>
          <w:highlight w:val="none"/>
          <w:u w:val="single"/>
        </w:rPr>
        <w:t xml:space="preserve"> 15 </w:t>
      </w:r>
      <w:r>
        <w:rPr>
          <w:rFonts w:hint="eastAsia" w:hAnsi="宋体" w:cs="宋体"/>
          <w:sz w:val="24"/>
          <w:highlight w:val="none"/>
        </w:rPr>
        <w:t>个工作日内，甲方支付合同结算价的</w:t>
      </w:r>
      <w:r>
        <w:rPr>
          <w:rFonts w:hAnsi="宋体" w:cs="宋体"/>
          <w:sz w:val="24"/>
          <w:highlight w:val="none"/>
        </w:rPr>
        <w:t>5</w:t>
      </w:r>
      <w:r>
        <w:rPr>
          <w:rFonts w:hint="eastAsia" w:hAnsi="宋体" w:cs="宋体"/>
          <w:sz w:val="24"/>
          <w:highlight w:val="none"/>
        </w:rPr>
        <w:t>％（质保金）给乙方（无息）。</w:t>
      </w:r>
    </w:p>
    <w:p>
      <w:pPr>
        <w:pStyle w:val="14"/>
        <w:spacing w:line="384" w:lineRule="auto"/>
        <w:ind w:firstLine="480" w:firstLineChars="200"/>
        <w:outlineLvl w:val="1"/>
        <w:rPr>
          <w:rFonts w:hAnsi="宋体" w:eastAsia="宋体" w:cs="宋体"/>
          <w:sz w:val="24"/>
          <w:szCs w:val="24"/>
          <w:highlight w:val="none"/>
        </w:rPr>
      </w:pPr>
      <w:r>
        <w:rPr>
          <w:rFonts w:hint="eastAsia" w:hAnsi="宋体" w:cs="宋体"/>
          <w:sz w:val="24"/>
          <w:szCs w:val="24"/>
          <w:highlight w:val="none"/>
        </w:rPr>
        <w:t>8.2.3本项目工程款的支付单位为：</w:t>
      </w:r>
      <w:r>
        <w:rPr>
          <w:rFonts w:hint="eastAsia" w:hAnsi="宋体" w:cs="宋体"/>
          <w:sz w:val="24"/>
          <w:szCs w:val="24"/>
          <w:highlight w:val="none"/>
          <w:u w:val="single"/>
        </w:rPr>
        <w:t xml:space="preserve"> 广州市净水有限公司竹料分公司</w:t>
      </w:r>
    </w:p>
    <w:p>
      <w:pPr>
        <w:spacing w:line="384" w:lineRule="auto"/>
        <w:ind w:firstLine="480" w:firstLineChars="200"/>
        <w:rPr>
          <w:rFonts w:ascii="宋体" w:hAnsi="宋体" w:cs="宋体"/>
          <w:sz w:val="24"/>
          <w:highlight w:val="none"/>
          <w:u w:val="single"/>
        </w:rPr>
      </w:pPr>
      <w:r>
        <w:rPr>
          <w:rFonts w:ascii="宋体" w:hAnsi="宋体" w:cs="宋体"/>
          <w:sz w:val="24"/>
          <w:highlight w:val="none"/>
        </w:rPr>
        <w:t>8.3</w:t>
      </w:r>
      <w:r>
        <w:rPr>
          <w:rFonts w:hint="eastAsia" w:ascii="宋体" w:hAnsi="宋体" w:cs="宋体"/>
          <w:sz w:val="24"/>
          <w:highlight w:val="none"/>
        </w:rPr>
        <w:t>乙方收款账户：</w:t>
      </w:r>
      <w:r>
        <w:rPr>
          <w:rFonts w:hint="eastAsia" w:ascii="宋体" w:hAnsi="宋体" w:cs="宋体"/>
          <w:sz w:val="24"/>
          <w:highlight w:val="none"/>
          <w:u w:val="single"/>
        </w:rPr>
        <w:t>…；</w:t>
      </w:r>
    </w:p>
    <w:p>
      <w:pPr>
        <w:spacing w:line="384" w:lineRule="auto"/>
        <w:ind w:firstLine="480" w:firstLineChars="200"/>
        <w:rPr>
          <w:rFonts w:ascii="宋体" w:hAnsi="宋体" w:cs="宋体"/>
          <w:sz w:val="24"/>
          <w:highlight w:val="none"/>
          <w:u w:val="single"/>
        </w:rPr>
      </w:pPr>
      <w:r>
        <w:rPr>
          <w:rFonts w:hint="eastAsia" w:ascii="宋体" w:hAnsi="宋体" w:cs="宋体"/>
          <w:sz w:val="24"/>
          <w:highlight w:val="none"/>
        </w:rPr>
        <w:t>收款账号：</w:t>
      </w:r>
      <w:r>
        <w:rPr>
          <w:rFonts w:hint="eastAsia" w:ascii="宋体" w:hAnsi="宋体" w:cs="宋体"/>
          <w:sz w:val="24"/>
          <w:highlight w:val="none"/>
          <w:u w:val="single"/>
        </w:rPr>
        <w:t>…；</w:t>
      </w:r>
    </w:p>
    <w:p>
      <w:pPr>
        <w:spacing w:line="384" w:lineRule="auto"/>
        <w:ind w:firstLine="480" w:firstLineChars="200"/>
        <w:rPr>
          <w:rFonts w:ascii="宋体" w:hAnsi="宋体" w:cs="宋体"/>
          <w:sz w:val="24"/>
          <w:highlight w:val="none"/>
          <w:u w:val="single"/>
        </w:rPr>
      </w:pPr>
      <w:r>
        <w:rPr>
          <w:rFonts w:hint="eastAsia" w:ascii="宋体" w:hAnsi="宋体" w:cs="宋体"/>
          <w:sz w:val="24"/>
          <w:highlight w:val="none"/>
        </w:rPr>
        <w:t>开户行：</w:t>
      </w:r>
      <w:r>
        <w:rPr>
          <w:rFonts w:hint="eastAsia" w:ascii="宋体" w:hAnsi="宋体" w:cs="宋体"/>
          <w:sz w:val="24"/>
          <w:highlight w:val="none"/>
          <w:u w:val="single"/>
        </w:rPr>
        <w:t>…；</w:t>
      </w:r>
    </w:p>
    <w:p>
      <w:pPr>
        <w:spacing w:line="384" w:lineRule="auto"/>
        <w:ind w:firstLine="480" w:firstLineChars="200"/>
        <w:rPr>
          <w:rFonts w:ascii="宋体" w:hAnsi="宋体" w:cs="宋体"/>
          <w:sz w:val="24"/>
          <w:highlight w:val="none"/>
        </w:rPr>
      </w:pPr>
      <w:r>
        <w:rPr>
          <w:rFonts w:ascii="宋体" w:hAnsi="宋体" w:cs="宋体"/>
          <w:sz w:val="24"/>
          <w:highlight w:val="none"/>
        </w:rPr>
        <w:t>8.4</w:t>
      </w:r>
      <w:r>
        <w:rPr>
          <w:rFonts w:hint="eastAsia" w:ascii="宋体" w:hAnsi="宋体" w:cs="宋体"/>
          <w:sz w:val="24"/>
          <w:highlight w:val="none"/>
        </w:rPr>
        <w:t>乙方在收款前需提交等额增值税专用发票给甲方。增值税专用发票信息：</w:t>
      </w:r>
    </w:p>
    <w:p>
      <w:pPr>
        <w:spacing w:line="384" w:lineRule="auto"/>
        <w:ind w:firstLine="480" w:firstLineChars="200"/>
        <w:rPr>
          <w:rFonts w:hint="eastAsia" w:ascii="宋体" w:hAnsi="宋体" w:cs="宋体"/>
          <w:sz w:val="24"/>
          <w:highlight w:val="none"/>
          <w:u w:val="single"/>
        </w:rPr>
      </w:pPr>
      <w:r>
        <w:rPr>
          <w:rFonts w:hint="eastAsia" w:ascii="宋体" w:hAnsi="宋体" w:cs="宋体"/>
          <w:sz w:val="24"/>
          <w:highlight w:val="none"/>
        </w:rPr>
        <w:t xml:space="preserve"> </w:t>
      </w:r>
      <w:r>
        <w:rPr>
          <w:rFonts w:hint="eastAsia" w:ascii="宋体" w:hAnsi="宋体" w:cs="宋体"/>
          <w:sz w:val="24"/>
          <w:highlight w:val="none"/>
          <w:u w:val="single"/>
        </w:rPr>
        <w:t>名称：广州市净水有限公司</w:t>
      </w:r>
    </w:p>
    <w:p>
      <w:pPr>
        <w:spacing w:line="384" w:lineRule="auto"/>
        <w:ind w:firstLine="480" w:firstLineChars="200"/>
        <w:rPr>
          <w:rFonts w:hint="eastAsia" w:ascii="宋体" w:hAnsi="宋体" w:cs="宋体"/>
          <w:sz w:val="24"/>
          <w:highlight w:val="none"/>
          <w:u w:val="single"/>
        </w:rPr>
      </w:pPr>
      <w:r>
        <w:rPr>
          <w:rFonts w:hint="eastAsia" w:ascii="宋体" w:hAnsi="宋体" w:cs="宋体"/>
          <w:sz w:val="24"/>
          <w:highlight w:val="none"/>
          <w:u w:val="single"/>
        </w:rPr>
        <w:t>税号：</w:t>
      </w:r>
      <w:r>
        <w:rPr>
          <w:rFonts w:ascii="宋体" w:hAnsi="宋体" w:cs="宋体"/>
          <w:sz w:val="24"/>
          <w:highlight w:val="none"/>
          <w:u w:val="single"/>
        </w:rPr>
        <w:t>91440101755584729Q</w:t>
      </w:r>
    </w:p>
    <w:p>
      <w:pPr>
        <w:spacing w:line="384" w:lineRule="auto"/>
        <w:ind w:firstLine="480" w:firstLineChars="200"/>
        <w:rPr>
          <w:rFonts w:hint="eastAsia" w:ascii="宋体" w:hAnsi="宋体" w:cs="宋体" w:eastAsiaTheme="minorEastAsia"/>
          <w:sz w:val="24"/>
          <w:highlight w:val="none"/>
          <w:u w:val="single"/>
        </w:rPr>
      </w:pPr>
      <w:r>
        <w:rPr>
          <w:rFonts w:hint="eastAsia" w:ascii="宋体" w:hAnsi="宋体" w:cs="宋体" w:eastAsiaTheme="minorEastAsia"/>
          <w:sz w:val="24"/>
          <w:highlight w:val="none"/>
          <w:u w:val="single"/>
        </w:rPr>
        <w:t>地址及电话：广州市天河区临江大道501号 020-38890283；</w:t>
      </w:r>
    </w:p>
    <w:p>
      <w:pPr>
        <w:spacing w:line="384" w:lineRule="auto"/>
        <w:ind w:firstLine="480" w:firstLineChars="200"/>
        <w:outlineLvl w:val="0"/>
        <w:rPr>
          <w:rFonts w:hint="eastAsia" w:ascii="宋体" w:hAnsi="宋体" w:cs="宋体"/>
          <w:sz w:val="24"/>
          <w:highlight w:val="none"/>
          <w:u w:val="single"/>
        </w:rPr>
      </w:pPr>
      <w:r>
        <w:rPr>
          <w:rFonts w:hint="eastAsia" w:ascii="宋体" w:hAnsi="宋体" w:cs="宋体" w:eastAsiaTheme="minorEastAsia"/>
          <w:sz w:val="24"/>
          <w:highlight w:val="none"/>
          <w:u w:val="single"/>
        </w:rPr>
        <w:t>开户行/账号：民生银行广州分行0301014140006932。</w:t>
      </w:r>
      <w:r>
        <w:rPr>
          <w:rFonts w:hint="eastAsia" w:ascii="宋体" w:hAnsi="宋体" w:cs="宋体"/>
          <w:sz w:val="24"/>
          <w:highlight w:val="none"/>
          <w:u w:val="single"/>
        </w:rPr>
        <w:t xml:space="preserve"> </w:t>
      </w:r>
    </w:p>
    <w:p>
      <w:pPr>
        <w:spacing w:line="384" w:lineRule="auto"/>
        <w:ind w:firstLine="480" w:firstLineChars="200"/>
        <w:outlineLvl w:val="0"/>
        <w:rPr>
          <w:rFonts w:ascii="宋体" w:hAnsi="宋体" w:cs="宋体"/>
          <w:sz w:val="24"/>
          <w:highlight w:val="none"/>
        </w:rPr>
      </w:pPr>
      <w:r>
        <w:rPr>
          <w:rFonts w:ascii="宋体" w:hAnsi="宋体" w:cs="宋体"/>
          <w:sz w:val="24"/>
          <w:highlight w:val="none"/>
        </w:rPr>
        <w:t>8.5</w:t>
      </w:r>
      <w:r>
        <w:rPr>
          <w:rFonts w:hint="eastAsia" w:ascii="宋体" w:hAnsi="宋体" w:cs="宋体"/>
          <w:sz w:val="24"/>
          <w:highlight w:val="none"/>
        </w:rPr>
        <w:t>履约担保：</w:t>
      </w:r>
      <w:r>
        <w:rPr>
          <w:rFonts w:hint="eastAsia" w:ascii="宋体" w:hAnsi="宋体" w:cs="宋体"/>
          <w:szCs w:val="21"/>
          <w:highlight w:val="none"/>
        </w:rPr>
        <w:t>☑</w:t>
      </w:r>
      <w:r>
        <w:rPr>
          <w:rFonts w:hint="eastAsia" w:ascii="宋体" w:hAnsi="宋体" w:cs="宋体"/>
          <w:bCs/>
          <w:sz w:val="24"/>
          <w:highlight w:val="none"/>
        </w:rPr>
        <w:t>无；</w:t>
      </w:r>
      <w:r>
        <w:rPr>
          <w:rFonts w:hint="eastAsia" w:ascii="宋体" w:hAnsi="宋体" w:cs="宋体"/>
          <w:szCs w:val="21"/>
          <w:highlight w:val="none"/>
        </w:rPr>
        <w:t>□有,</w:t>
      </w:r>
      <w:r>
        <w:rPr>
          <w:rFonts w:hint="eastAsia" w:ascii="宋体" w:hAnsi="宋体" w:cs="宋体"/>
          <w:sz w:val="24"/>
          <w:highlight w:val="none"/>
        </w:rPr>
        <w:t>本合同签订后</w:t>
      </w:r>
      <w:r>
        <w:rPr>
          <w:rFonts w:ascii="宋体" w:hAnsi="宋体" w:cs="宋体"/>
          <w:sz w:val="24"/>
          <w:highlight w:val="none"/>
        </w:rPr>
        <w:t>10</w:t>
      </w:r>
      <w:r>
        <w:rPr>
          <w:rFonts w:hint="eastAsia" w:ascii="宋体" w:hAnsi="宋体" w:cs="宋体"/>
          <w:sz w:val="24"/>
          <w:highlight w:val="none"/>
        </w:rPr>
        <w:t>日内</w:t>
      </w:r>
      <w:r>
        <w:rPr>
          <w:rFonts w:hint="eastAsia" w:ascii="宋体" w:hAnsi="宋体" w:cs="宋体"/>
          <w:sz w:val="24"/>
          <w:highlight w:val="none"/>
          <w:u w:val="single"/>
        </w:rPr>
        <w:t>以合同暂定总价的</w:t>
      </w:r>
      <w:r>
        <w:rPr>
          <w:rFonts w:ascii="宋体" w:hAnsi="宋体" w:cs="宋体"/>
          <w:sz w:val="24"/>
          <w:highlight w:val="none"/>
          <w:u w:val="single"/>
        </w:rPr>
        <w:t>10%</w:t>
      </w:r>
      <w:r>
        <w:rPr>
          <w:rFonts w:hint="eastAsia" w:ascii="宋体" w:hAnsi="宋体" w:cs="宋体"/>
          <w:sz w:val="24"/>
          <w:highlight w:val="none"/>
          <w:u w:val="single"/>
        </w:rPr>
        <w:t>作为履约保证金，</w:t>
      </w:r>
      <w:r>
        <w:rPr>
          <w:rFonts w:hint="eastAsia" w:ascii="宋体" w:hAnsi="宋体" w:cs="宋体"/>
          <w:sz w:val="24"/>
          <w:highlight w:val="none"/>
        </w:rPr>
        <w:t>金额为：…</w:t>
      </w:r>
      <w:r>
        <w:rPr>
          <w:rFonts w:hint="eastAsia" w:ascii="宋体" w:hAnsi="宋体" w:cs="宋体"/>
          <w:sz w:val="24"/>
          <w:highlight w:val="none"/>
          <w:u w:val="single"/>
        </w:rPr>
        <w:t>（大写人民币：…），</w:t>
      </w:r>
      <w:r>
        <w:rPr>
          <w:rFonts w:hint="eastAsia" w:ascii="宋体" w:hAnsi="宋体" w:cs="宋体"/>
          <w:sz w:val="24"/>
          <w:highlight w:val="none"/>
        </w:rPr>
        <w:t>未按时提供的，甲方有权解除合同并要求乙方支付</w:t>
      </w:r>
      <w:r>
        <w:rPr>
          <w:rFonts w:hint="eastAsia" w:ascii="宋体" w:hAnsi="宋体" w:cs="宋体"/>
          <w:sz w:val="24"/>
          <w:highlight w:val="none"/>
          <w:u w:val="single"/>
        </w:rPr>
        <w:t>合同暂定总价</w:t>
      </w:r>
      <w:r>
        <w:rPr>
          <w:rFonts w:ascii="宋体" w:hAnsi="宋体" w:cs="宋体"/>
          <w:sz w:val="24"/>
          <w:highlight w:val="none"/>
          <w:u w:val="single"/>
        </w:rPr>
        <w:t>20%</w:t>
      </w:r>
      <w:r>
        <w:rPr>
          <w:rFonts w:hint="eastAsia" w:ascii="宋体" w:hAnsi="宋体" w:cs="宋体"/>
          <w:sz w:val="24"/>
          <w:highlight w:val="none"/>
        </w:rPr>
        <w:t>作为违约金。</w:t>
      </w:r>
    </w:p>
    <w:p>
      <w:pPr>
        <w:pStyle w:val="23"/>
        <w:spacing w:before="0" w:beforeAutospacing="0" w:after="0" w:afterAutospacing="0" w:line="384" w:lineRule="auto"/>
        <w:ind w:firstLine="480" w:firstLineChars="200"/>
        <w:rPr>
          <w:highlight w:val="none"/>
        </w:rPr>
      </w:pPr>
      <w:r>
        <w:rPr>
          <w:rFonts w:cs="宋体"/>
          <w:color w:val="auto"/>
          <w:highlight w:val="none"/>
        </w:rPr>
        <w:t>8.5.1</w:t>
      </w:r>
      <w:r>
        <w:rPr>
          <w:highlight w:val="none"/>
        </w:rPr>
        <w:t>履约担保</w:t>
      </w:r>
      <w:r>
        <w:rPr>
          <w:rFonts w:hint="eastAsia"/>
          <w:highlight w:val="none"/>
        </w:rPr>
        <w:t>按以下任一种形式提供</w:t>
      </w:r>
      <w:r>
        <w:rPr>
          <w:highlight w:val="none"/>
        </w:rPr>
        <w:t>：</w:t>
      </w:r>
    </w:p>
    <w:p>
      <w:pPr>
        <w:pStyle w:val="23"/>
        <w:spacing w:before="0" w:beforeAutospacing="0" w:after="0" w:afterAutospacing="0" w:line="360" w:lineRule="auto"/>
        <w:ind w:firstLine="480"/>
        <w:rPr>
          <w:highlight w:val="none"/>
        </w:rPr>
      </w:pPr>
      <w:r>
        <w:rPr>
          <w:rFonts w:hint="eastAsia"/>
          <w:highlight w:val="none"/>
        </w:rPr>
        <w:t>（1）符合甲方要求（详见附件7保函格式）的银行独立保函，</w:t>
      </w:r>
    </w:p>
    <w:p>
      <w:pPr>
        <w:pStyle w:val="23"/>
        <w:spacing w:before="0" w:beforeAutospacing="0" w:after="0" w:afterAutospacing="0" w:line="360" w:lineRule="auto"/>
        <w:ind w:firstLine="480"/>
        <w:rPr>
          <w:highlight w:val="none"/>
        </w:rPr>
      </w:pPr>
      <w:r>
        <w:rPr>
          <w:rFonts w:hint="eastAsia"/>
          <w:highlight w:val="none"/>
        </w:rPr>
        <w:t>（2）现金转账至甲方以下指定账户：</w:t>
      </w:r>
    </w:p>
    <w:p>
      <w:pPr>
        <w:tabs>
          <w:tab w:val="left" w:pos="1995"/>
        </w:tabs>
        <w:spacing w:line="384" w:lineRule="auto"/>
        <w:ind w:firstLine="480" w:firstLineChars="200"/>
        <w:rPr>
          <w:rFonts w:ascii="宋体" w:hAnsi="宋体" w:cs="宋体"/>
          <w:bCs/>
          <w:sz w:val="24"/>
          <w:highlight w:val="none"/>
        </w:rPr>
      </w:pPr>
      <w:r>
        <w:rPr>
          <w:rFonts w:hint="eastAsia" w:ascii="宋体" w:hAnsi="宋体" w:cs="宋体"/>
          <w:bCs/>
          <w:sz w:val="24"/>
          <w:highlight w:val="none"/>
        </w:rPr>
        <w:t>户名：广州市净水有限公司</w:t>
      </w:r>
    </w:p>
    <w:p>
      <w:pPr>
        <w:tabs>
          <w:tab w:val="left" w:pos="1995"/>
        </w:tabs>
        <w:spacing w:line="384" w:lineRule="auto"/>
        <w:ind w:firstLine="480" w:firstLineChars="200"/>
        <w:rPr>
          <w:rFonts w:ascii="宋体" w:hAnsi="宋体" w:cs="宋体"/>
          <w:bCs/>
          <w:sz w:val="24"/>
          <w:highlight w:val="none"/>
        </w:rPr>
      </w:pPr>
      <w:r>
        <w:rPr>
          <w:rFonts w:hint="eastAsia" w:ascii="宋体" w:hAnsi="宋体" w:cs="宋体"/>
          <w:bCs/>
          <w:sz w:val="24"/>
          <w:highlight w:val="none"/>
        </w:rPr>
        <w:t>账号：</w:t>
      </w:r>
      <w:r>
        <w:rPr>
          <w:rFonts w:ascii="宋体" w:hAnsi="宋体" w:cs="宋体"/>
          <w:bCs/>
          <w:sz w:val="24"/>
          <w:highlight w:val="none"/>
        </w:rPr>
        <w:t>82010154900000342</w:t>
      </w:r>
    </w:p>
    <w:p>
      <w:pPr>
        <w:tabs>
          <w:tab w:val="left" w:pos="1995"/>
        </w:tabs>
        <w:spacing w:line="384" w:lineRule="auto"/>
        <w:ind w:firstLine="480" w:firstLineChars="200"/>
        <w:rPr>
          <w:rFonts w:ascii="宋体" w:hAnsi="宋体" w:cs="宋体"/>
          <w:bCs/>
          <w:sz w:val="24"/>
          <w:highlight w:val="none"/>
        </w:rPr>
      </w:pPr>
      <w:r>
        <w:rPr>
          <w:rFonts w:hint="eastAsia" w:ascii="宋体" w:hAnsi="宋体" w:cs="宋体"/>
          <w:bCs/>
          <w:sz w:val="24"/>
          <w:highlight w:val="none"/>
        </w:rPr>
        <w:t>开户行：浦发银行广州分行</w:t>
      </w:r>
    </w:p>
    <w:p>
      <w:pPr>
        <w:spacing w:line="384" w:lineRule="auto"/>
        <w:ind w:firstLine="480" w:firstLineChars="200"/>
        <w:outlineLvl w:val="0"/>
        <w:rPr>
          <w:rFonts w:ascii="宋体" w:hAnsi="宋体" w:cs="宋体"/>
          <w:sz w:val="24"/>
          <w:highlight w:val="none"/>
        </w:rPr>
      </w:pPr>
      <w:r>
        <w:rPr>
          <w:rFonts w:ascii="宋体" w:hAnsi="宋体" w:cs="宋体"/>
          <w:sz w:val="24"/>
          <w:highlight w:val="none"/>
        </w:rPr>
        <w:t>8.5.2</w:t>
      </w:r>
      <w:r>
        <w:rPr>
          <w:rFonts w:hint="eastAsia" w:ascii="宋体" w:hAnsi="宋体" w:cs="宋体"/>
          <w:sz w:val="24"/>
          <w:highlight w:val="none"/>
        </w:rPr>
        <w:t>履约担保的担保期限和返还</w:t>
      </w:r>
    </w:p>
    <w:p>
      <w:pPr>
        <w:spacing w:line="384" w:lineRule="auto"/>
        <w:ind w:firstLine="480"/>
        <w:outlineLvl w:val="0"/>
        <w:rPr>
          <w:rFonts w:ascii="宋体" w:hAnsi="宋体" w:cs="宋体"/>
          <w:sz w:val="24"/>
          <w:highlight w:val="none"/>
        </w:rPr>
      </w:pPr>
      <w:r>
        <w:rPr>
          <w:rFonts w:hint="eastAsia" w:ascii="宋体" w:hAnsi="宋体" w:cs="宋体"/>
          <w:sz w:val="24"/>
          <w:highlight w:val="none"/>
        </w:rPr>
        <w:t>⑴履约银行保函（或现金履约保证金）的担保期限：从提供履约担保（或转账成功）之日起至合同履行完成。</w:t>
      </w:r>
    </w:p>
    <w:p>
      <w:pPr>
        <w:spacing w:line="384" w:lineRule="auto"/>
        <w:ind w:firstLine="480" w:firstLineChars="200"/>
        <w:rPr>
          <w:rFonts w:ascii="宋体" w:hAnsi="宋体" w:cs="宋体"/>
          <w:sz w:val="24"/>
          <w:highlight w:val="none"/>
        </w:rPr>
      </w:pPr>
      <w:r>
        <w:rPr>
          <w:rFonts w:hint="eastAsia" w:ascii="宋体" w:hAnsi="宋体" w:cs="宋体"/>
          <w:sz w:val="24"/>
          <w:highlight w:val="none"/>
        </w:rPr>
        <w:t>⑵履约银行保函在合同履行完成后，由乙方提出申请，甲方在28日内返还，不支付利息：</w:t>
      </w:r>
    </w:p>
    <w:p>
      <w:pPr>
        <w:spacing w:line="384" w:lineRule="auto"/>
        <w:ind w:firstLine="600" w:firstLineChars="250"/>
        <w:outlineLvl w:val="0"/>
        <w:rPr>
          <w:rFonts w:ascii="宋体" w:hAnsi="宋体" w:cs="宋体"/>
          <w:sz w:val="24"/>
          <w:highlight w:val="none"/>
        </w:rPr>
      </w:pPr>
      <w:r>
        <w:rPr>
          <w:rFonts w:hint="eastAsia" w:ascii="宋体" w:hAnsi="宋体" w:cs="宋体"/>
          <w:sz w:val="24"/>
          <w:highlight w:val="none"/>
        </w:rPr>
        <w:t>⑶延长担保期限。乙方以履约银行保函形式提交履约保证金的，在银行保函到期前，乙方应提前</w:t>
      </w:r>
      <w:r>
        <w:rPr>
          <w:rFonts w:ascii="宋体" w:hAnsi="宋体" w:cs="宋体"/>
          <w:sz w:val="24"/>
          <w:highlight w:val="none"/>
          <w:u w:val="single"/>
        </w:rPr>
        <w:t xml:space="preserve"> 7 </w:t>
      </w:r>
      <w:r>
        <w:rPr>
          <w:rFonts w:hint="eastAsia" w:ascii="宋体" w:hAnsi="宋体" w:cs="宋体"/>
          <w:sz w:val="24"/>
          <w:highlight w:val="none"/>
        </w:rPr>
        <w:t>日向甲方提交新的保函以替换即将到期的保函。如乙方未及时提交的，甲方有权直接要求担保银行支付其担保的全部金额并解除合同。</w:t>
      </w:r>
    </w:p>
    <w:p>
      <w:pPr>
        <w:pStyle w:val="23"/>
        <w:spacing w:before="0" w:beforeAutospacing="0" w:after="0" w:afterAutospacing="0" w:line="384" w:lineRule="auto"/>
        <w:ind w:left="199" w:leftChars="95" w:firstLine="360" w:firstLineChars="150"/>
        <w:rPr>
          <w:rFonts w:cs="宋体"/>
          <w:color w:val="auto"/>
          <w:highlight w:val="none"/>
          <w:u w:val="single"/>
        </w:rPr>
      </w:pPr>
      <w:r>
        <w:rPr>
          <w:rFonts w:hint="eastAsia" w:cs="宋体"/>
          <w:color w:val="auto"/>
          <w:highlight w:val="none"/>
        </w:rPr>
        <w:t>（</w:t>
      </w:r>
      <w:r>
        <w:rPr>
          <w:rFonts w:cs="宋体"/>
          <w:color w:val="auto"/>
          <w:highlight w:val="none"/>
        </w:rPr>
        <w:t>4</w:t>
      </w:r>
      <w:r>
        <w:rPr>
          <w:rFonts w:hint="eastAsia" w:cs="宋体"/>
          <w:color w:val="auto"/>
          <w:highlight w:val="none"/>
        </w:rPr>
        <w:t>）现金履约保证金的退还：合同履行完成后，由乙方提出申请，甲方在</w:t>
      </w:r>
      <w:r>
        <w:rPr>
          <w:rFonts w:hint="eastAsia" w:cs="宋体"/>
          <w:color w:val="auto"/>
          <w:highlight w:val="none"/>
          <w:u w:val="single"/>
        </w:rPr>
        <w:t>28日</w:t>
      </w:r>
      <w:r>
        <w:rPr>
          <w:rFonts w:hint="eastAsia" w:cs="宋体"/>
          <w:color w:val="auto"/>
          <w:highlight w:val="none"/>
        </w:rPr>
        <w:t>内将剩余保证金（无息）返还。</w:t>
      </w:r>
    </w:p>
    <w:p>
      <w:pPr>
        <w:spacing w:line="384" w:lineRule="auto"/>
        <w:ind w:firstLine="480" w:firstLineChars="200"/>
        <w:rPr>
          <w:rFonts w:ascii="宋体" w:hAnsi="宋体" w:cs="宋体"/>
          <w:sz w:val="24"/>
          <w:highlight w:val="none"/>
        </w:rPr>
      </w:pPr>
      <w:r>
        <w:rPr>
          <w:rFonts w:ascii="宋体" w:hAnsi="宋体" w:cs="宋体"/>
          <w:sz w:val="24"/>
          <w:highlight w:val="none"/>
        </w:rPr>
        <w:t>8.5.3</w:t>
      </w:r>
      <w:r>
        <w:rPr>
          <w:rFonts w:hint="eastAsia" w:ascii="宋体" w:hAnsi="宋体" w:cs="宋体"/>
          <w:sz w:val="24"/>
          <w:highlight w:val="none"/>
        </w:rPr>
        <w:t>甲方按本合同规定提取履约担保金额后，乙方应在收到甲方通知后</w:t>
      </w:r>
    </w:p>
    <w:p>
      <w:pPr>
        <w:spacing w:line="384" w:lineRule="auto"/>
        <w:rPr>
          <w:rFonts w:ascii="宋体" w:hAnsi="宋体" w:cs="宋体"/>
          <w:sz w:val="24"/>
          <w:highlight w:val="none"/>
        </w:rPr>
      </w:pPr>
      <w:r>
        <w:rPr>
          <w:rFonts w:ascii="宋体" w:hAnsi="宋体" w:cs="宋体"/>
          <w:sz w:val="24"/>
          <w:highlight w:val="none"/>
          <w:u w:val="single"/>
        </w:rPr>
        <w:t xml:space="preserve">  7  </w:t>
      </w:r>
      <w:r>
        <w:rPr>
          <w:rFonts w:hint="eastAsia" w:ascii="宋体" w:hAnsi="宋体" w:cs="宋体"/>
          <w:sz w:val="24"/>
          <w:highlight w:val="none"/>
        </w:rPr>
        <w:t>日内补足数额，逾期未补足的，则甲方有权提取履约担保的全部余额并解除合同。</w:t>
      </w:r>
    </w:p>
    <w:p>
      <w:pPr>
        <w:tabs>
          <w:tab w:val="left" w:pos="851"/>
        </w:tabs>
        <w:adjustRightInd w:val="0"/>
        <w:snapToGrid w:val="0"/>
        <w:spacing w:line="360" w:lineRule="auto"/>
        <w:ind w:firstLine="480" w:firstLineChars="200"/>
        <w:jc w:val="left"/>
        <w:outlineLvl w:val="1"/>
        <w:rPr>
          <w:rFonts w:asciiTheme="minorEastAsia" w:hAnsiTheme="minorEastAsia" w:cstheme="minorEastAsia"/>
          <w:bCs/>
          <w:sz w:val="24"/>
          <w:highlight w:val="none"/>
          <w:bdr w:val="single" w:color="auto" w:sz="4" w:space="0"/>
        </w:rPr>
      </w:pPr>
      <w:r>
        <w:rPr>
          <w:rFonts w:hAnsi="宋体" w:cs="宋体"/>
          <w:sz w:val="24"/>
          <w:highlight w:val="none"/>
        </w:rPr>
        <w:t>8.6</w:t>
      </w:r>
      <w:r>
        <w:rPr>
          <w:rFonts w:hint="eastAsia" w:asciiTheme="minorEastAsia" w:hAnsiTheme="minorEastAsia" w:cstheme="minorEastAsia"/>
          <w:sz w:val="24"/>
          <w:highlight w:val="none"/>
        </w:rPr>
        <w:t xml:space="preserve">付款方式： </w:t>
      </w:r>
      <w:r>
        <w:rPr>
          <w:rFonts w:hint="eastAsia" w:asciiTheme="minorEastAsia" w:hAnsiTheme="minorEastAsia" w:cstheme="minorEastAsia"/>
          <w:sz w:val="24"/>
          <w:highlight w:val="none"/>
        </w:rPr>
        <w:sym w:font="Wingdings" w:char="00FE"/>
      </w:r>
      <w:r>
        <w:rPr>
          <w:rFonts w:hint="eastAsia" w:asciiTheme="minorEastAsia" w:hAnsiTheme="minorEastAsia" w:cstheme="minorEastAsia"/>
          <w:sz w:val="24"/>
          <w:highlight w:val="none"/>
        </w:rPr>
        <w:t xml:space="preserve">网银支付；  </w:t>
      </w:r>
      <w:r>
        <w:rPr>
          <w:rFonts w:hint="eastAsia" w:asciiTheme="minorEastAsia" w:hAnsiTheme="minorEastAsia" w:cstheme="minorEastAsia"/>
          <w:sz w:val="24"/>
          <w:highlight w:val="none"/>
        </w:rPr>
        <w:sym w:font="Wingdings" w:char="00A8"/>
      </w:r>
      <w:r>
        <w:rPr>
          <w:rFonts w:hint="eastAsia" w:asciiTheme="minorEastAsia" w:hAnsiTheme="minorEastAsia" w:cstheme="minorEastAsia"/>
          <w:sz w:val="24"/>
          <w:highlight w:val="none"/>
        </w:rPr>
        <w:t xml:space="preserve">支票；   </w:t>
      </w:r>
      <w:r>
        <w:rPr>
          <w:rFonts w:hint="eastAsia" w:asciiTheme="minorEastAsia" w:hAnsiTheme="minorEastAsia" w:cstheme="minorEastAsia"/>
          <w:sz w:val="24"/>
          <w:highlight w:val="none"/>
        </w:rPr>
        <w:sym w:font="Wingdings" w:char="00A8"/>
      </w:r>
      <w:r>
        <w:rPr>
          <w:rFonts w:hint="eastAsia" w:asciiTheme="minorEastAsia" w:hAnsiTheme="minorEastAsia" w:cstheme="minorEastAsia"/>
          <w:sz w:val="24"/>
          <w:highlight w:val="none"/>
        </w:rPr>
        <w:t>其他：</w:t>
      </w:r>
    </w:p>
    <w:p>
      <w:pPr>
        <w:spacing w:line="384" w:lineRule="auto"/>
        <w:ind w:firstLine="482" w:firstLineChars="200"/>
        <w:rPr>
          <w:rFonts w:ascii="宋体" w:hAnsi="宋体" w:cs="宋体"/>
          <w:b/>
          <w:bCs/>
          <w:sz w:val="24"/>
          <w:highlight w:val="none"/>
        </w:rPr>
      </w:pPr>
      <w:r>
        <w:rPr>
          <w:rFonts w:hint="eastAsia" w:ascii="宋体" w:hAnsi="宋体" w:cs="宋体"/>
          <w:b/>
          <w:bCs/>
          <w:sz w:val="24"/>
          <w:highlight w:val="none"/>
        </w:rPr>
        <w:t>第九条竣工验收</w:t>
      </w:r>
    </w:p>
    <w:p>
      <w:pPr>
        <w:spacing w:line="384" w:lineRule="auto"/>
        <w:ind w:firstLine="480" w:firstLineChars="200"/>
        <w:rPr>
          <w:rFonts w:ascii="宋体" w:hAnsi="宋体" w:cs="宋体"/>
          <w:sz w:val="24"/>
          <w:highlight w:val="none"/>
        </w:rPr>
      </w:pPr>
      <w:r>
        <w:rPr>
          <w:rFonts w:ascii="宋体" w:hAnsi="宋体" w:cs="宋体"/>
          <w:sz w:val="24"/>
          <w:highlight w:val="none"/>
        </w:rPr>
        <w:t>9.1</w:t>
      </w:r>
      <w:r>
        <w:rPr>
          <w:rFonts w:hint="eastAsia" w:ascii="宋体" w:hAnsi="宋体" w:cs="宋体"/>
          <w:sz w:val="24"/>
          <w:highlight w:val="none"/>
        </w:rPr>
        <w:t>乙方应在工程完工后</w:t>
      </w:r>
      <w:r>
        <w:rPr>
          <w:rFonts w:ascii="宋体" w:hAnsi="宋体" w:cs="宋体"/>
          <w:sz w:val="24"/>
          <w:highlight w:val="none"/>
        </w:rPr>
        <w:t>30</w:t>
      </w:r>
      <w:r>
        <w:rPr>
          <w:rFonts w:hint="eastAsia" w:ascii="宋体" w:hAnsi="宋体" w:cs="宋体"/>
          <w:sz w:val="24"/>
          <w:highlight w:val="none"/>
        </w:rPr>
        <w:t>天内将经甲方审核的完整竣工资料（含竣工图）和竣工验收报告各</w:t>
      </w:r>
      <w:r>
        <w:rPr>
          <w:rFonts w:hint="eastAsia" w:ascii="宋体" w:hAnsi="宋体" w:cs="宋体"/>
          <w:sz w:val="24"/>
          <w:highlight w:val="none"/>
          <w:u w:val="single"/>
        </w:rPr>
        <w:t>一式四份</w:t>
      </w:r>
      <w:r>
        <w:rPr>
          <w:rFonts w:hint="eastAsia" w:ascii="宋体" w:hAnsi="宋体" w:cs="宋体"/>
          <w:sz w:val="24"/>
          <w:highlight w:val="none"/>
        </w:rPr>
        <w:t>交甲方，不按时报送工程竣工资料的，每逾期一天，甲方要求乙方支付</w:t>
      </w:r>
      <w:r>
        <w:rPr>
          <w:rFonts w:hint="eastAsia" w:ascii="宋体" w:hAnsi="宋体" w:cs="宋体"/>
          <w:sz w:val="24"/>
          <w:highlight w:val="none"/>
          <w:u w:val="single"/>
        </w:rPr>
        <w:t>合同暂定总价</w:t>
      </w:r>
      <w:r>
        <w:rPr>
          <w:rFonts w:hint="eastAsia" w:ascii="宋体" w:hAnsi="宋体" w:cs="宋体"/>
          <w:bCs/>
          <w:sz w:val="24"/>
          <w:highlight w:val="none"/>
          <w:u w:val="single"/>
        </w:rPr>
        <w:t>万分之五</w:t>
      </w:r>
      <w:r>
        <w:rPr>
          <w:rFonts w:ascii="宋体" w:hAnsi="宋体" w:cs="宋体"/>
          <w:bCs/>
          <w:sz w:val="24"/>
          <w:highlight w:val="none"/>
          <w:u w:val="single"/>
        </w:rPr>
        <w:t>/</w:t>
      </w:r>
      <w:r>
        <w:rPr>
          <w:rFonts w:hint="eastAsia" w:ascii="宋体" w:hAnsi="宋体" w:cs="宋体"/>
          <w:bCs/>
          <w:sz w:val="24"/>
          <w:highlight w:val="none"/>
          <w:u w:val="single"/>
        </w:rPr>
        <w:t>天</w:t>
      </w:r>
      <w:r>
        <w:rPr>
          <w:rFonts w:hint="eastAsia" w:ascii="宋体" w:hAnsi="宋体" w:cs="宋体"/>
          <w:sz w:val="24"/>
          <w:highlight w:val="none"/>
        </w:rPr>
        <w:t>，并在支付合同款时抵扣。</w:t>
      </w:r>
    </w:p>
    <w:p>
      <w:pPr>
        <w:spacing w:line="384" w:lineRule="auto"/>
        <w:ind w:firstLine="480" w:firstLineChars="200"/>
        <w:rPr>
          <w:rFonts w:ascii="宋体" w:hAnsi="宋体" w:cs="宋体"/>
          <w:sz w:val="24"/>
          <w:highlight w:val="none"/>
        </w:rPr>
      </w:pPr>
      <w:r>
        <w:rPr>
          <w:rFonts w:ascii="宋体" w:hAnsi="宋体" w:cs="宋体"/>
          <w:sz w:val="24"/>
          <w:highlight w:val="none"/>
        </w:rPr>
        <w:t>9.2</w:t>
      </w:r>
      <w:r>
        <w:rPr>
          <w:rFonts w:hint="eastAsia" w:ascii="宋体" w:hAnsi="宋体" w:cs="宋体"/>
          <w:sz w:val="24"/>
          <w:highlight w:val="none"/>
        </w:rPr>
        <w:t>甲方收到完整的竣工验收资料（完整的竣工验收资料：施工方案、开工</w:t>
      </w:r>
      <w:r>
        <w:rPr>
          <w:rFonts w:ascii="宋体" w:hAnsi="宋体" w:cs="宋体"/>
          <w:sz w:val="24"/>
          <w:highlight w:val="none"/>
        </w:rPr>
        <w:t>/</w:t>
      </w:r>
      <w:r>
        <w:rPr>
          <w:rFonts w:hint="eastAsia" w:ascii="宋体" w:hAnsi="宋体" w:cs="宋体"/>
          <w:sz w:val="24"/>
          <w:highlight w:val="none"/>
        </w:rPr>
        <w:t>竣工报告、安全备案整套资料、本合同书、询价文件</w:t>
      </w:r>
      <w:r>
        <w:rPr>
          <w:rFonts w:ascii="宋体" w:hAnsi="宋体" w:cs="宋体"/>
          <w:sz w:val="24"/>
          <w:highlight w:val="none"/>
        </w:rPr>
        <w:t>/</w:t>
      </w:r>
      <w:r>
        <w:rPr>
          <w:rFonts w:hint="eastAsia" w:ascii="宋体" w:hAnsi="宋体" w:cs="宋体"/>
          <w:sz w:val="24"/>
          <w:highlight w:val="none"/>
        </w:rPr>
        <w:t>响应文件、中标通知书</w:t>
      </w:r>
      <w:r>
        <w:rPr>
          <w:rFonts w:ascii="宋体" w:hAnsi="宋体" w:cs="宋体"/>
          <w:sz w:val="24"/>
          <w:highlight w:val="none"/>
        </w:rPr>
        <w:t>/</w:t>
      </w:r>
      <w:r>
        <w:rPr>
          <w:rFonts w:hint="eastAsia" w:ascii="宋体" w:hAnsi="宋体" w:cs="宋体"/>
          <w:sz w:val="24"/>
          <w:highlight w:val="none"/>
        </w:rPr>
        <w:t>发包通知书</w:t>
      </w:r>
      <w:r>
        <w:rPr>
          <w:rFonts w:ascii="宋体" w:hAnsi="宋体" w:cs="宋体"/>
          <w:sz w:val="24"/>
          <w:highlight w:val="none"/>
        </w:rPr>
        <w:t>/</w:t>
      </w:r>
      <w:r>
        <w:rPr>
          <w:rFonts w:hint="eastAsia" w:ascii="宋体" w:hAnsi="宋体" w:cs="宋体"/>
          <w:sz w:val="24"/>
          <w:highlight w:val="none"/>
        </w:rPr>
        <w:t>委托书、工程预算送审报告、工程结算书</w:t>
      </w:r>
      <w:r>
        <w:rPr>
          <w:rFonts w:ascii="宋体" w:hAnsi="宋体" w:cs="宋体"/>
          <w:sz w:val="24"/>
          <w:highlight w:val="none"/>
        </w:rPr>
        <w:t>/</w:t>
      </w:r>
      <w:r>
        <w:rPr>
          <w:rFonts w:hint="eastAsia" w:ascii="宋体" w:hAnsi="宋体" w:cs="宋体"/>
          <w:sz w:val="24"/>
          <w:highlight w:val="none"/>
        </w:rPr>
        <w:t>签证记录、备件开箱记录表或送货单、竣工图等，如有必须提供）和竣工验收报告后</w:t>
      </w:r>
      <w:r>
        <w:rPr>
          <w:rFonts w:ascii="宋体" w:hAnsi="宋体" w:cs="宋体"/>
          <w:sz w:val="24"/>
          <w:highlight w:val="none"/>
        </w:rPr>
        <w:t>20</w:t>
      </w:r>
      <w:r>
        <w:rPr>
          <w:rFonts w:hint="eastAsia" w:ascii="宋体" w:hAnsi="宋体" w:cs="宋体"/>
          <w:sz w:val="24"/>
          <w:highlight w:val="none"/>
        </w:rPr>
        <w:t>天内组织有关单位进行验收，工程竣工验收严格按国家、省、市、部门有关文件执行，并在验收后</w:t>
      </w:r>
      <w:r>
        <w:rPr>
          <w:rFonts w:ascii="宋体" w:hAnsi="宋体" w:cs="宋体"/>
          <w:sz w:val="24"/>
          <w:highlight w:val="none"/>
        </w:rPr>
        <w:t>10</w:t>
      </w:r>
      <w:r>
        <w:rPr>
          <w:rFonts w:hint="eastAsia" w:ascii="宋体" w:hAnsi="宋体" w:cs="宋体"/>
          <w:sz w:val="24"/>
          <w:highlight w:val="none"/>
        </w:rPr>
        <w:t>天内给予认可或提出修改意见。乙方按要求修改，并承担修改的费用。</w:t>
      </w:r>
    </w:p>
    <w:p>
      <w:pPr>
        <w:spacing w:line="384" w:lineRule="auto"/>
        <w:ind w:firstLine="480" w:firstLineChars="200"/>
        <w:rPr>
          <w:rFonts w:ascii="宋体" w:hAnsi="宋体" w:cs="宋体"/>
          <w:sz w:val="24"/>
          <w:highlight w:val="none"/>
        </w:rPr>
      </w:pPr>
      <w:r>
        <w:rPr>
          <w:rFonts w:ascii="宋体" w:hAnsi="宋体" w:cs="宋体"/>
          <w:sz w:val="24"/>
          <w:highlight w:val="none"/>
        </w:rPr>
        <w:t>9.3</w:t>
      </w:r>
      <w:r>
        <w:rPr>
          <w:rFonts w:hint="eastAsia" w:ascii="宋体" w:hAnsi="宋体" w:cs="宋体"/>
          <w:sz w:val="24"/>
          <w:highlight w:val="none"/>
        </w:rPr>
        <w:t>工程竣工验收通过，乙方送交完整的竣工验收资料和竣工验收报告的日期为实际竣工日期。工程按甲方要求修改后通过竣工验收的，实际竣工日期为乙方修改后提请甲方验收的日期。</w:t>
      </w:r>
    </w:p>
    <w:p>
      <w:pPr>
        <w:spacing w:line="384" w:lineRule="auto"/>
        <w:ind w:firstLine="480" w:firstLineChars="200"/>
        <w:rPr>
          <w:rFonts w:ascii="宋体" w:hAnsi="宋体" w:cs="宋体"/>
          <w:sz w:val="24"/>
          <w:highlight w:val="none"/>
        </w:rPr>
      </w:pPr>
      <w:r>
        <w:rPr>
          <w:rFonts w:ascii="宋体" w:hAnsi="宋体" w:cs="宋体"/>
          <w:sz w:val="24"/>
          <w:highlight w:val="none"/>
        </w:rPr>
        <w:t>9.4</w:t>
      </w:r>
      <w:r>
        <w:rPr>
          <w:rFonts w:hint="eastAsia" w:ascii="宋体" w:hAnsi="宋体" w:cs="宋体"/>
          <w:sz w:val="24"/>
          <w:highlight w:val="none"/>
        </w:rPr>
        <w:t>竣工档案的整理和移交</w:t>
      </w:r>
    </w:p>
    <w:p>
      <w:pPr>
        <w:spacing w:line="384" w:lineRule="auto"/>
        <w:ind w:firstLine="360" w:firstLineChars="150"/>
        <w:rPr>
          <w:rFonts w:ascii="宋体" w:hAnsi="宋体" w:cs="宋体"/>
          <w:sz w:val="24"/>
          <w:highlight w:val="none"/>
        </w:rPr>
      </w:pPr>
      <w:r>
        <w:rPr>
          <w:rFonts w:hint="eastAsia" w:ascii="宋体" w:hAnsi="宋体" w:cs="宋体"/>
          <w:sz w:val="24"/>
          <w:highlight w:val="none"/>
        </w:rPr>
        <w:t>（</w:t>
      </w:r>
      <w:r>
        <w:rPr>
          <w:rFonts w:ascii="宋体" w:hAnsi="宋体" w:cs="宋体"/>
          <w:sz w:val="24"/>
          <w:highlight w:val="none"/>
        </w:rPr>
        <w:t>1</w:t>
      </w:r>
      <w:r>
        <w:rPr>
          <w:rFonts w:hint="eastAsia" w:ascii="宋体" w:hAnsi="宋体" w:cs="宋体"/>
          <w:sz w:val="24"/>
          <w:highlight w:val="none"/>
        </w:rPr>
        <w:t>）乙方应参照国家《城市建设档案管理规定》、《广州市城市建设档案管理办法》和甲方有关整理工程档案的要求，在工程施工期间及时收集、汇总、整理、编制竣工档案，并于工程竣工验收后按下款约定向甲方完整移交如下竣工档案：</w:t>
      </w:r>
    </w:p>
    <w:p>
      <w:pPr>
        <w:spacing w:line="384" w:lineRule="auto"/>
        <w:ind w:firstLine="360" w:firstLineChars="150"/>
        <w:rPr>
          <w:rFonts w:ascii="宋体" w:hAnsi="宋体" w:cs="宋体"/>
          <w:sz w:val="24"/>
          <w:highlight w:val="none"/>
        </w:rPr>
      </w:pPr>
      <w:r>
        <w:rPr>
          <w:rFonts w:hint="eastAsia" w:ascii="宋体" w:hAnsi="宋体" w:cs="宋体"/>
          <w:sz w:val="24"/>
          <w:highlight w:val="none"/>
        </w:rPr>
        <w:t>（</w:t>
      </w:r>
      <w:r>
        <w:rPr>
          <w:rFonts w:ascii="宋体" w:hAnsi="宋体" w:cs="宋体"/>
          <w:sz w:val="24"/>
          <w:highlight w:val="none"/>
        </w:rPr>
        <w:t>a</w:t>
      </w:r>
      <w:r>
        <w:rPr>
          <w:rFonts w:hint="eastAsia" w:ascii="宋体" w:hAnsi="宋体" w:cs="宋体"/>
          <w:sz w:val="24"/>
          <w:highlight w:val="none"/>
        </w:rPr>
        <w:t>）竣工文件资料、竣工图档案（原件）各一式四份；</w:t>
      </w:r>
    </w:p>
    <w:p>
      <w:pPr>
        <w:spacing w:line="384" w:lineRule="auto"/>
        <w:ind w:firstLine="360" w:firstLineChars="150"/>
        <w:rPr>
          <w:rFonts w:ascii="宋体" w:hAnsi="宋体" w:cs="宋体"/>
          <w:sz w:val="24"/>
          <w:highlight w:val="none"/>
        </w:rPr>
      </w:pPr>
      <w:r>
        <w:rPr>
          <w:rFonts w:hint="eastAsia" w:ascii="宋体" w:hAnsi="宋体" w:cs="宋体"/>
          <w:sz w:val="24"/>
          <w:highlight w:val="none"/>
        </w:rPr>
        <w:t>（</w:t>
      </w:r>
      <w:r>
        <w:rPr>
          <w:rFonts w:ascii="宋体" w:hAnsi="宋体" w:cs="宋体"/>
          <w:sz w:val="24"/>
          <w:highlight w:val="none"/>
        </w:rPr>
        <w:t>b</w:t>
      </w:r>
      <w:r>
        <w:rPr>
          <w:rFonts w:hint="eastAsia" w:ascii="宋体" w:hAnsi="宋体" w:cs="宋体"/>
          <w:sz w:val="24"/>
          <w:highlight w:val="none"/>
        </w:rPr>
        <w:t>）与本款（</w:t>
      </w:r>
      <w:r>
        <w:rPr>
          <w:rFonts w:ascii="宋体" w:hAnsi="宋体" w:cs="宋体"/>
          <w:sz w:val="24"/>
          <w:highlight w:val="none"/>
        </w:rPr>
        <w:t>a</w:t>
      </w:r>
      <w:r>
        <w:rPr>
          <w:rFonts w:hint="eastAsia" w:ascii="宋体" w:hAnsi="宋体" w:cs="宋体"/>
          <w:sz w:val="24"/>
          <w:highlight w:val="none"/>
        </w:rPr>
        <w:t>）项内容相同的电子版档案一式二份；</w:t>
      </w:r>
    </w:p>
    <w:p>
      <w:pPr>
        <w:spacing w:line="384" w:lineRule="auto"/>
        <w:ind w:firstLine="360" w:firstLineChars="150"/>
        <w:rPr>
          <w:rFonts w:ascii="宋体" w:hAnsi="宋体" w:cs="宋体"/>
          <w:sz w:val="24"/>
          <w:highlight w:val="none"/>
        </w:rPr>
      </w:pPr>
      <w:r>
        <w:rPr>
          <w:rFonts w:hint="eastAsia" w:ascii="宋体" w:hAnsi="宋体" w:cs="宋体"/>
          <w:sz w:val="24"/>
          <w:highlight w:val="none"/>
        </w:rPr>
        <w:t>（</w:t>
      </w:r>
      <w:r>
        <w:rPr>
          <w:rFonts w:ascii="宋体" w:hAnsi="宋体" w:cs="宋体"/>
          <w:sz w:val="24"/>
          <w:highlight w:val="none"/>
        </w:rPr>
        <w:t>2</w:t>
      </w:r>
      <w:r>
        <w:rPr>
          <w:rFonts w:hint="eastAsia" w:ascii="宋体" w:hAnsi="宋体" w:cs="宋体"/>
          <w:sz w:val="24"/>
          <w:highlight w:val="none"/>
        </w:rPr>
        <w:t>）乙方移交竣工档案的时限：乙方应于工程竣工验收后</w:t>
      </w:r>
      <w:r>
        <w:rPr>
          <w:rFonts w:ascii="宋体" w:hAnsi="宋体" w:cs="宋体"/>
          <w:sz w:val="24"/>
          <w:highlight w:val="none"/>
        </w:rPr>
        <w:t>30</w:t>
      </w:r>
      <w:r>
        <w:rPr>
          <w:rFonts w:hint="eastAsia" w:ascii="宋体" w:hAnsi="宋体" w:cs="宋体"/>
          <w:sz w:val="24"/>
          <w:highlight w:val="none"/>
        </w:rPr>
        <w:t>天内将竣工档案提交甲方签认。乙方应于甲方签认后</w:t>
      </w:r>
      <w:r>
        <w:rPr>
          <w:rFonts w:ascii="宋体" w:hAnsi="宋体" w:cs="宋体"/>
          <w:sz w:val="24"/>
          <w:highlight w:val="none"/>
        </w:rPr>
        <w:t>10</w:t>
      </w:r>
      <w:r>
        <w:rPr>
          <w:rFonts w:hint="eastAsia" w:ascii="宋体" w:hAnsi="宋体" w:cs="宋体"/>
          <w:sz w:val="24"/>
          <w:highlight w:val="none"/>
        </w:rPr>
        <w:t>天内将竣工档案移交给甲方归档并同时移交有关归档的证明文件。甲方经审查合格的，应在收到竣工档案后</w:t>
      </w:r>
      <w:r>
        <w:rPr>
          <w:rFonts w:ascii="宋体" w:hAnsi="宋体" w:cs="宋体"/>
          <w:sz w:val="24"/>
          <w:highlight w:val="none"/>
        </w:rPr>
        <w:t>10</w:t>
      </w:r>
      <w:r>
        <w:rPr>
          <w:rFonts w:hint="eastAsia" w:ascii="宋体" w:hAnsi="宋体" w:cs="宋体"/>
          <w:sz w:val="24"/>
          <w:highlight w:val="none"/>
        </w:rPr>
        <w:t>天内签署档案验收意见；不合格的，乙方应按甲方要求限期补正，直至合格为止。乙方超过本条规定的时限，每逾期一天支付</w:t>
      </w:r>
      <w:r>
        <w:rPr>
          <w:rFonts w:hint="eastAsia" w:ascii="宋体" w:hAnsi="宋体" w:cs="宋体"/>
          <w:sz w:val="24"/>
          <w:highlight w:val="none"/>
          <w:u w:val="single"/>
        </w:rPr>
        <w:t>合同暂定总价</w:t>
      </w:r>
      <w:r>
        <w:rPr>
          <w:rFonts w:hint="eastAsia" w:ascii="宋体" w:hAnsi="宋体" w:cs="宋体"/>
          <w:bCs/>
          <w:sz w:val="24"/>
          <w:highlight w:val="none"/>
          <w:u w:val="single"/>
        </w:rPr>
        <w:t>万分之五</w:t>
      </w:r>
      <w:r>
        <w:rPr>
          <w:rFonts w:ascii="宋体" w:hAnsi="宋体" w:cs="宋体"/>
          <w:bCs/>
          <w:sz w:val="24"/>
          <w:highlight w:val="none"/>
          <w:u w:val="single"/>
        </w:rPr>
        <w:t>/</w:t>
      </w:r>
      <w:r>
        <w:rPr>
          <w:rFonts w:hint="eastAsia" w:ascii="宋体" w:hAnsi="宋体" w:cs="宋体"/>
          <w:bCs/>
          <w:sz w:val="24"/>
          <w:highlight w:val="none"/>
          <w:u w:val="single"/>
        </w:rPr>
        <w:t>天</w:t>
      </w:r>
      <w:r>
        <w:rPr>
          <w:rFonts w:hint="eastAsia" w:ascii="宋体" w:hAnsi="宋体" w:cs="宋体"/>
          <w:sz w:val="24"/>
          <w:highlight w:val="none"/>
        </w:rPr>
        <w:t>违约金。</w:t>
      </w:r>
    </w:p>
    <w:p>
      <w:pPr>
        <w:spacing w:line="384" w:lineRule="auto"/>
        <w:ind w:firstLine="360" w:firstLineChars="150"/>
        <w:rPr>
          <w:rFonts w:ascii="宋体" w:hAnsi="宋体" w:cs="宋体"/>
          <w:sz w:val="24"/>
          <w:highlight w:val="none"/>
        </w:rPr>
      </w:pPr>
      <w:r>
        <w:rPr>
          <w:rFonts w:hint="eastAsia" w:ascii="宋体" w:hAnsi="宋体" w:cs="宋体"/>
          <w:sz w:val="24"/>
          <w:highlight w:val="none"/>
        </w:rPr>
        <w:t>（</w:t>
      </w:r>
      <w:r>
        <w:rPr>
          <w:rFonts w:ascii="宋体" w:hAnsi="宋体" w:cs="宋体"/>
          <w:sz w:val="24"/>
          <w:highlight w:val="none"/>
        </w:rPr>
        <w:t>3</w:t>
      </w:r>
      <w:r>
        <w:rPr>
          <w:rFonts w:hint="eastAsia" w:ascii="宋体" w:hAnsi="宋体" w:cs="宋体"/>
          <w:sz w:val="24"/>
          <w:highlight w:val="none"/>
        </w:rPr>
        <w:t>）电子版竣工图的编制，以甲方提供的电子版施工图为基础。乙方在移交竣工档案时，应一并移交甲方提供的电子版施工图。</w:t>
      </w:r>
    </w:p>
    <w:p>
      <w:pPr>
        <w:spacing w:line="384" w:lineRule="auto"/>
        <w:ind w:firstLine="480"/>
        <w:rPr>
          <w:rFonts w:ascii="宋体" w:hAnsi="宋体" w:cs="宋体"/>
          <w:sz w:val="24"/>
          <w:highlight w:val="none"/>
        </w:rPr>
      </w:pPr>
      <w:r>
        <w:rPr>
          <w:rFonts w:hint="eastAsia" w:ascii="宋体" w:hAnsi="宋体" w:cs="宋体"/>
          <w:sz w:val="24"/>
          <w:highlight w:val="none"/>
        </w:rPr>
        <w:t>电子版施工图和电子版竣工图的知识产权归属甲方所有，非经甲方许可，乙方不得以任何方式复制、备份、转让和利用。否则，由此引起的任何纠纷和责任由乙方承担。</w:t>
      </w:r>
    </w:p>
    <w:p>
      <w:pPr>
        <w:pStyle w:val="2"/>
        <w:ind w:firstLine="480" w:firstLineChars="200"/>
        <w:jc w:val="both"/>
        <w:rPr>
          <w:rFonts w:asciiTheme="minorEastAsia" w:hAnsiTheme="minorEastAsia" w:eastAsiaTheme="minorEastAsia" w:cstheme="minorEastAsia"/>
          <w:highlight w:val="none"/>
          <w:u w:val="single"/>
        </w:rPr>
      </w:pPr>
      <w:r>
        <w:rPr>
          <w:rFonts w:hint="eastAsia" w:asciiTheme="minorEastAsia" w:hAnsiTheme="minorEastAsia" w:eastAsiaTheme="minorEastAsia" w:cstheme="minorEastAsia"/>
          <w:highlight w:val="none"/>
        </w:rPr>
        <w:t>9.5本合同竣工验收结算单位为</w:t>
      </w:r>
      <w:r>
        <w:rPr>
          <w:rFonts w:hint="eastAsia" w:asciiTheme="minorEastAsia" w:hAnsiTheme="minorEastAsia" w:eastAsiaTheme="minorEastAsia" w:cstheme="minorEastAsia"/>
          <w:highlight w:val="none"/>
          <w:u w:val="single"/>
        </w:rPr>
        <w:t xml:space="preserve">： 广州市净水有限公司竹料分公司   </w:t>
      </w:r>
    </w:p>
    <w:p>
      <w:pPr>
        <w:numPr>
          <w:ilvl w:val="0"/>
          <w:numId w:val="7"/>
        </w:numPr>
        <w:spacing w:before="120" w:after="190" w:afterLines="50" w:line="384" w:lineRule="auto"/>
        <w:ind w:firstLine="482" w:firstLineChars="200"/>
        <w:jc w:val="left"/>
        <w:rPr>
          <w:rFonts w:ascii="宋体" w:hAnsi="宋体" w:cs="宋体"/>
          <w:b/>
          <w:bCs/>
          <w:sz w:val="24"/>
          <w:highlight w:val="none"/>
        </w:rPr>
      </w:pPr>
      <w:r>
        <w:rPr>
          <w:rFonts w:hint="eastAsia" w:ascii="宋体" w:hAnsi="宋体" w:cs="宋体"/>
          <w:b/>
          <w:bCs/>
          <w:sz w:val="24"/>
          <w:highlight w:val="none"/>
        </w:rPr>
        <w:t>质量保证</w:t>
      </w:r>
    </w:p>
    <w:p>
      <w:pPr>
        <w:spacing w:line="384" w:lineRule="auto"/>
        <w:ind w:firstLine="480" w:firstLineChars="200"/>
        <w:rPr>
          <w:rFonts w:ascii="宋体" w:hAnsi="宋体" w:cs="宋体"/>
          <w:sz w:val="24"/>
          <w:highlight w:val="none"/>
        </w:rPr>
      </w:pPr>
      <w:r>
        <w:rPr>
          <w:rFonts w:ascii="宋体" w:hAnsi="宋体" w:cs="宋体"/>
          <w:sz w:val="24"/>
          <w:highlight w:val="none"/>
        </w:rPr>
        <w:t>10.1</w:t>
      </w:r>
      <w:r>
        <w:rPr>
          <w:rFonts w:hint="eastAsia" w:ascii="宋体" w:hAnsi="宋体" w:cs="宋体"/>
          <w:sz w:val="24"/>
          <w:highlight w:val="none"/>
        </w:rPr>
        <w:t>乙方保证所承包的项目质量符合国家相关标准和规范。对产品质量依据原厂商标准及国家标准从严执行。</w:t>
      </w:r>
    </w:p>
    <w:p>
      <w:pPr>
        <w:autoSpaceDE w:val="0"/>
        <w:autoSpaceDN w:val="0"/>
        <w:adjustRightInd w:val="0"/>
        <w:spacing w:line="384" w:lineRule="auto"/>
        <w:ind w:left="420"/>
        <w:rPr>
          <w:rFonts w:ascii="宋体" w:hAnsi="宋体" w:cs="宋体"/>
          <w:kern w:val="0"/>
          <w:sz w:val="24"/>
          <w:highlight w:val="none"/>
          <w:lang w:val="zh-CN"/>
        </w:rPr>
      </w:pPr>
      <w:r>
        <w:rPr>
          <w:rFonts w:ascii="宋体" w:hAnsi="宋体" w:cs="宋体"/>
          <w:bCs/>
          <w:sz w:val="24"/>
          <w:highlight w:val="none"/>
        </w:rPr>
        <w:t xml:space="preserve">10.2 </w:t>
      </w:r>
      <w:r>
        <w:rPr>
          <w:rFonts w:hint="eastAsia" w:ascii="宋体" w:hAnsi="宋体" w:cs="宋体"/>
          <w:bCs/>
          <w:sz w:val="24"/>
          <w:highlight w:val="none"/>
        </w:rPr>
        <w:t>本项目质量保修期为</w:t>
      </w:r>
      <w:r>
        <w:rPr>
          <w:rFonts w:hint="eastAsia" w:ascii="宋体" w:hAnsi="宋体" w:cs="宋体"/>
          <w:kern w:val="0"/>
          <w:sz w:val="24"/>
          <w:highlight w:val="none"/>
          <w:lang w:val="zh-CN"/>
        </w:rPr>
        <w:t>自验收合格之日起</w:t>
      </w:r>
      <w:r>
        <w:rPr>
          <w:rFonts w:hint="eastAsia" w:ascii="宋体" w:hAnsi="宋体" w:cs="宋体"/>
          <w:kern w:val="0"/>
          <w:sz w:val="24"/>
          <w:highlight w:val="none"/>
          <w:u w:val="single"/>
        </w:rPr>
        <w:t>1</w:t>
      </w:r>
      <w:r>
        <w:rPr>
          <w:rFonts w:hint="eastAsia" w:ascii="宋体" w:hAnsi="宋体" w:cs="宋体"/>
          <w:kern w:val="0"/>
          <w:sz w:val="24"/>
          <w:highlight w:val="none"/>
          <w:lang w:val="zh-CN"/>
        </w:rPr>
        <w:t>年。</w:t>
      </w:r>
    </w:p>
    <w:p>
      <w:pPr>
        <w:spacing w:line="384" w:lineRule="auto"/>
        <w:ind w:firstLine="420" w:firstLineChars="175"/>
        <w:rPr>
          <w:rFonts w:ascii="宋体" w:hAnsi="宋体" w:cs="宋体"/>
          <w:bCs/>
          <w:sz w:val="24"/>
          <w:highlight w:val="none"/>
        </w:rPr>
      </w:pPr>
      <w:r>
        <w:rPr>
          <w:rFonts w:ascii="宋体" w:hAnsi="宋体" w:cs="宋体"/>
          <w:bCs/>
          <w:sz w:val="24"/>
          <w:highlight w:val="none"/>
        </w:rPr>
        <w:t>10.3</w:t>
      </w:r>
      <w:r>
        <w:rPr>
          <w:rFonts w:hint="eastAsia" w:ascii="宋体" w:hAnsi="宋体" w:cs="宋体"/>
          <w:bCs/>
          <w:sz w:val="24"/>
          <w:highlight w:val="none"/>
        </w:rPr>
        <w:t>质量保修期期间，本项目的质量问题由乙方免费提供保修服务，乙方应在收到甲方通知后</w:t>
      </w:r>
      <w:r>
        <w:rPr>
          <w:rFonts w:hint="eastAsia" w:ascii="宋体" w:hAnsi="宋体" w:cs="宋体"/>
          <w:bCs/>
          <w:sz w:val="24"/>
          <w:highlight w:val="none"/>
          <w:u w:val="single"/>
          <w:lang w:val="en-US" w:eastAsia="zh-CN"/>
        </w:rPr>
        <w:t>3</w:t>
      </w:r>
      <w:r>
        <w:rPr>
          <w:rFonts w:hint="eastAsia" w:ascii="宋体" w:hAnsi="宋体" w:cs="宋体"/>
          <w:bCs/>
          <w:sz w:val="24"/>
          <w:highlight w:val="none"/>
        </w:rPr>
        <w:t>日内派人员到场负责解决及维修，如果乙方不按时到场维修或到场后不能修复的，甲方有权委托他人予以维修，乙方承担由此发生的费用并支付</w:t>
      </w:r>
      <w:r>
        <w:rPr>
          <w:rFonts w:hint="eastAsia" w:ascii="宋体" w:hAnsi="宋体" w:cs="宋体"/>
          <w:bCs/>
          <w:sz w:val="24"/>
          <w:highlight w:val="none"/>
          <w:u w:val="single"/>
        </w:rPr>
        <w:t>合同暂定总价的</w:t>
      </w:r>
      <w:r>
        <w:rPr>
          <w:rFonts w:ascii="宋体" w:hAnsi="宋体" w:cs="宋体"/>
          <w:bCs/>
          <w:sz w:val="24"/>
          <w:highlight w:val="none"/>
          <w:u w:val="single"/>
        </w:rPr>
        <w:t>10%/</w:t>
      </w:r>
      <w:r>
        <w:rPr>
          <w:rFonts w:hint="eastAsia" w:ascii="宋体" w:hAnsi="宋体" w:cs="宋体"/>
          <w:bCs/>
          <w:sz w:val="24"/>
          <w:highlight w:val="none"/>
          <w:u w:val="single"/>
        </w:rPr>
        <w:t>次</w:t>
      </w:r>
      <w:r>
        <w:rPr>
          <w:rFonts w:hint="eastAsia" w:ascii="宋体" w:hAnsi="宋体" w:cs="宋体"/>
          <w:bCs/>
          <w:sz w:val="24"/>
          <w:highlight w:val="none"/>
        </w:rPr>
        <w:t>作为违约金。</w:t>
      </w:r>
    </w:p>
    <w:p>
      <w:pPr>
        <w:spacing w:before="190" w:beforeLines="50" w:after="190" w:afterLines="50" w:line="384" w:lineRule="auto"/>
        <w:ind w:firstLine="422" w:firstLineChars="175"/>
        <w:jc w:val="left"/>
        <w:rPr>
          <w:rFonts w:ascii="宋体" w:hAnsi="宋体" w:cs="宋体"/>
          <w:sz w:val="24"/>
          <w:highlight w:val="none"/>
        </w:rPr>
      </w:pPr>
      <w:r>
        <w:rPr>
          <w:rFonts w:hint="eastAsia" w:ascii="宋体" w:hAnsi="宋体" w:cs="宋体"/>
          <w:b/>
          <w:bCs/>
          <w:sz w:val="24"/>
          <w:highlight w:val="none"/>
        </w:rPr>
        <w:t>第十一条不可抗力</w:t>
      </w:r>
    </w:p>
    <w:p>
      <w:pPr>
        <w:widowControl/>
        <w:autoSpaceDE w:val="0"/>
        <w:autoSpaceDN w:val="0"/>
        <w:adjustRightInd w:val="0"/>
        <w:spacing w:line="384" w:lineRule="auto"/>
        <w:ind w:firstLine="480" w:firstLineChars="200"/>
        <w:rPr>
          <w:rFonts w:ascii="宋体" w:hAnsi="宋体" w:cs="宋体"/>
          <w:bCs/>
          <w:sz w:val="24"/>
          <w:highlight w:val="none"/>
        </w:rPr>
      </w:pPr>
      <w:r>
        <w:rPr>
          <w:rFonts w:ascii="宋体" w:hAnsi="宋体" w:cs="宋体"/>
          <w:bCs/>
          <w:sz w:val="24"/>
          <w:highlight w:val="none"/>
        </w:rPr>
        <w:t xml:space="preserve">11.1 </w:t>
      </w:r>
      <w:r>
        <w:rPr>
          <w:rFonts w:hint="eastAsia" w:ascii="宋体" w:hAnsi="宋体" w:cs="宋体"/>
          <w:bCs/>
          <w:sz w:val="24"/>
          <w:highlight w:val="none"/>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autoSpaceDE w:val="0"/>
        <w:autoSpaceDN w:val="0"/>
        <w:adjustRightInd w:val="0"/>
        <w:spacing w:line="384" w:lineRule="auto"/>
        <w:ind w:firstLine="480" w:firstLineChars="200"/>
        <w:rPr>
          <w:rFonts w:ascii="宋体" w:hAnsi="宋体" w:cs="宋体"/>
          <w:bCs/>
          <w:sz w:val="24"/>
          <w:highlight w:val="none"/>
        </w:rPr>
      </w:pPr>
      <w:r>
        <w:rPr>
          <w:rFonts w:hint="eastAsia" w:ascii="宋体" w:hAnsi="宋体" w:cs="宋体"/>
          <w:bCs/>
          <w:sz w:val="24"/>
          <w:highlight w:val="none"/>
        </w:rPr>
        <w:t>⑴地震、火山爆发、滑坡、暴雨（橙色预警及以上）、台风（黄色预警及以上）、海啸、龙卷风、大面积流行病</w:t>
      </w:r>
      <w:r>
        <w:rPr>
          <w:rFonts w:ascii="宋体" w:hAnsi="宋体" w:cs="宋体"/>
          <w:bCs/>
          <w:sz w:val="24"/>
          <w:highlight w:val="none"/>
        </w:rPr>
        <w:t>(如：非典型性肺炎等)或瘟疫；</w:t>
      </w:r>
    </w:p>
    <w:p>
      <w:pPr>
        <w:widowControl/>
        <w:autoSpaceDE w:val="0"/>
        <w:autoSpaceDN w:val="0"/>
        <w:adjustRightInd w:val="0"/>
        <w:spacing w:line="384" w:lineRule="auto"/>
        <w:ind w:firstLine="480" w:firstLineChars="200"/>
        <w:rPr>
          <w:rFonts w:ascii="宋体" w:hAnsi="宋体" w:cs="宋体"/>
          <w:bCs/>
          <w:sz w:val="24"/>
          <w:highlight w:val="none"/>
        </w:rPr>
      </w:pPr>
      <w:r>
        <w:rPr>
          <w:rFonts w:hint="eastAsia" w:ascii="宋体" w:hAnsi="宋体" w:cs="宋体"/>
          <w:bCs/>
          <w:sz w:val="24"/>
          <w:highlight w:val="none"/>
        </w:rPr>
        <w:t>⑵战争行为、入侵、武装冲突或外敌行为、封锁、暴乱、恐怖行为或军事演习；</w:t>
      </w:r>
    </w:p>
    <w:p>
      <w:pPr>
        <w:widowControl/>
        <w:autoSpaceDE w:val="0"/>
        <w:autoSpaceDN w:val="0"/>
        <w:adjustRightInd w:val="0"/>
        <w:spacing w:line="384" w:lineRule="auto"/>
        <w:ind w:firstLine="480" w:firstLineChars="200"/>
        <w:rPr>
          <w:rFonts w:ascii="宋体" w:hAnsi="宋体" w:cs="宋体"/>
          <w:bCs/>
          <w:sz w:val="24"/>
          <w:highlight w:val="none"/>
        </w:rPr>
      </w:pPr>
      <w:r>
        <w:rPr>
          <w:rFonts w:ascii="宋体" w:hAnsi="宋体" w:cs="宋体"/>
          <w:bCs/>
          <w:sz w:val="24"/>
          <w:highlight w:val="none"/>
        </w:rPr>
        <w:t xml:space="preserve">11.2 </w:t>
      </w:r>
      <w:r>
        <w:rPr>
          <w:rFonts w:hint="eastAsia" w:ascii="宋体" w:hAnsi="宋体" w:cs="宋体"/>
          <w:bCs/>
          <w:sz w:val="24"/>
          <w:highlight w:val="none"/>
        </w:rPr>
        <w:t>声称受到不可抗力影响的一方，应在发生不可抗力或知道发生不可抗力之后</w:t>
      </w:r>
      <w:r>
        <w:rPr>
          <w:rFonts w:ascii="宋体" w:hAnsi="宋体" w:cs="宋体"/>
          <w:bCs/>
          <w:sz w:val="24"/>
          <w:highlight w:val="none"/>
        </w:rPr>
        <w:t>5日内书面通知另一方，详细描述不可抗力的发生情况和对该方履行在本合同项下义务的影响，同时附上此种不可抗力事件及其持续时间的有效证明文件。</w:t>
      </w:r>
    </w:p>
    <w:p>
      <w:pPr>
        <w:widowControl/>
        <w:autoSpaceDE w:val="0"/>
        <w:autoSpaceDN w:val="0"/>
        <w:adjustRightInd w:val="0"/>
        <w:spacing w:line="384" w:lineRule="auto"/>
        <w:ind w:firstLine="480" w:firstLineChars="200"/>
        <w:rPr>
          <w:rFonts w:ascii="宋体" w:hAnsi="宋体" w:cs="宋体"/>
          <w:bCs/>
          <w:sz w:val="24"/>
          <w:highlight w:val="none"/>
        </w:rPr>
      </w:pPr>
      <w:r>
        <w:rPr>
          <w:rFonts w:ascii="宋体" w:hAnsi="宋体" w:cs="宋体"/>
          <w:bCs/>
          <w:sz w:val="24"/>
          <w:highlight w:val="none"/>
        </w:rPr>
        <w:t xml:space="preserve">11.3 </w:t>
      </w:r>
      <w:r>
        <w:rPr>
          <w:rFonts w:hint="eastAsia" w:ascii="宋体" w:hAnsi="宋体" w:cs="宋体"/>
          <w:bCs/>
          <w:sz w:val="24"/>
          <w:highlight w:val="none"/>
        </w:rPr>
        <w:t>因不可抗力导致合同无法履行的时间自该不可抗力发生日起连续超过玖拾</w:t>
      </w:r>
      <w:r>
        <w:rPr>
          <w:rFonts w:ascii="宋体" w:hAnsi="宋体" w:cs="宋体"/>
          <w:bCs/>
          <w:sz w:val="24"/>
          <w:highlight w:val="none"/>
        </w:rPr>
        <w:t>(90)天，双方应协商决定继续履行本合同的条件或者变更本合同。如果自不可抗力发生后壹佰捌拾(180)天之内双方不能达成一致意见，任何一方有权解除本合同。</w:t>
      </w:r>
    </w:p>
    <w:p>
      <w:pPr>
        <w:spacing w:before="190" w:beforeLines="50" w:after="190" w:afterLines="50" w:line="384" w:lineRule="auto"/>
        <w:ind w:firstLine="482"/>
        <w:jc w:val="left"/>
        <w:rPr>
          <w:rFonts w:ascii="宋体" w:hAnsi="宋体" w:cs="宋体"/>
          <w:bCs/>
          <w:sz w:val="24"/>
          <w:highlight w:val="none"/>
        </w:rPr>
      </w:pPr>
      <w:r>
        <w:rPr>
          <w:rFonts w:ascii="宋体" w:hAnsi="宋体" w:cs="宋体"/>
          <w:bCs/>
          <w:sz w:val="24"/>
          <w:highlight w:val="none"/>
        </w:rPr>
        <w:t xml:space="preserve">11.4 </w:t>
      </w:r>
      <w:r>
        <w:rPr>
          <w:rFonts w:hint="eastAsia" w:ascii="宋体" w:hAnsi="宋体" w:cs="宋体"/>
          <w:bCs/>
          <w:sz w:val="24"/>
          <w:highlight w:val="none"/>
        </w:rPr>
        <w:t>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spacing w:before="190" w:beforeLines="50" w:after="190" w:afterLines="50" w:line="384" w:lineRule="auto"/>
        <w:ind w:firstLine="482"/>
        <w:jc w:val="left"/>
        <w:rPr>
          <w:rFonts w:ascii="宋体" w:hAnsi="宋体" w:cs="宋体"/>
          <w:b/>
          <w:bCs/>
          <w:sz w:val="24"/>
          <w:highlight w:val="none"/>
        </w:rPr>
      </w:pPr>
      <w:r>
        <w:rPr>
          <w:rFonts w:hint="eastAsia" w:ascii="宋体" w:hAnsi="宋体" w:cs="宋体"/>
          <w:b/>
          <w:bCs/>
          <w:sz w:val="24"/>
          <w:highlight w:val="none"/>
        </w:rPr>
        <w:t>十二条争议解决</w:t>
      </w:r>
    </w:p>
    <w:p>
      <w:pPr>
        <w:spacing w:line="384" w:lineRule="auto"/>
        <w:ind w:firstLine="482"/>
        <w:rPr>
          <w:rFonts w:ascii="宋体" w:hAnsi="宋体" w:cs="宋体"/>
          <w:bCs/>
          <w:sz w:val="24"/>
          <w:highlight w:val="none"/>
        </w:rPr>
      </w:pPr>
      <w:r>
        <w:rPr>
          <w:rFonts w:ascii="宋体" w:hAnsi="宋体" w:cs="宋体"/>
          <w:bCs/>
          <w:sz w:val="24"/>
          <w:highlight w:val="none"/>
        </w:rPr>
        <w:t xml:space="preserve">12.1 </w:t>
      </w:r>
      <w:r>
        <w:rPr>
          <w:rFonts w:hint="eastAsia" w:ascii="宋体" w:hAnsi="宋体" w:cs="宋体"/>
          <w:bCs/>
          <w:sz w:val="24"/>
          <w:highlight w:val="none"/>
        </w:rPr>
        <w:t>甲乙双方应通过友好协商，解决在执行本合同所发生的或与本合同有关的一切争议。如协商不能解决争议，任何一方均可依法向甲方所在地人民法院提起诉讼。</w:t>
      </w:r>
    </w:p>
    <w:p>
      <w:pPr>
        <w:spacing w:line="384" w:lineRule="auto"/>
        <w:ind w:firstLine="482"/>
        <w:jc w:val="left"/>
        <w:rPr>
          <w:rFonts w:ascii="宋体" w:hAnsi="宋体" w:cs="宋体"/>
          <w:sz w:val="24"/>
          <w:highlight w:val="none"/>
        </w:rPr>
      </w:pPr>
      <w:r>
        <w:rPr>
          <w:rFonts w:ascii="宋体" w:hAnsi="宋体" w:cs="宋体"/>
          <w:bCs/>
          <w:sz w:val="24"/>
          <w:highlight w:val="none"/>
        </w:rPr>
        <w:t xml:space="preserve">12.2 </w:t>
      </w:r>
      <w:r>
        <w:rPr>
          <w:rFonts w:hint="eastAsia" w:ascii="宋体" w:hAnsi="宋体" w:cs="宋体"/>
          <w:sz w:val="24"/>
          <w:highlight w:val="none"/>
        </w:rPr>
        <w:t>在甲方同意的情况下，除有争端之外的合同其它部分在争端解决前应继续执行。</w:t>
      </w:r>
    </w:p>
    <w:p>
      <w:pPr>
        <w:spacing w:line="384" w:lineRule="auto"/>
        <w:ind w:firstLine="482"/>
        <w:jc w:val="left"/>
        <w:rPr>
          <w:rFonts w:ascii="宋体" w:hAnsi="宋体" w:cs="宋体"/>
          <w:b/>
          <w:bCs/>
          <w:sz w:val="24"/>
          <w:highlight w:val="none"/>
        </w:rPr>
      </w:pPr>
      <w:r>
        <w:rPr>
          <w:rFonts w:hint="eastAsia" w:ascii="宋体" w:hAnsi="宋体" w:cs="宋体"/>
          <w:b/>
          <w:bCs/>
          <w:sz w:val="24"/>
          <w:highlight w:val="none"/>
        </w:rPr>
        <w:t>第十三条合同生效及其他</w:t>
      </w:r>
    </w:p>
    <w:p>
      <w:pPr>
        <w:spacing w:line="384" w:lineRule="auto"/>
        <w:ind w:firstLine="480"/>
        <w:rPr>
          <w:rFonts w:ascii="宋体" w:hAnsi="宋体" w:cs="宋体"/>
          <w:sz w:val="24"/>
          <w:highlight w:val="none"/>
        </w:rPr>
      </w:pPr>
      <w:r>
        <w:rPr>
          <w:rFonts w:ascii="宋体" w:hAnsi="宋体" w:cs="宋体"/>
          <w:sz w:val="24"/>
          <w:highlight w:val="none"/>
        </w:rPr>
        <w:t>13.1</w:t>
      </w:r>
      <w:r>
        <w:rPr>
          <w:rFonts w:hint="eastAsia" w:ascii="宋体" w:hAnsi="宋体" w:cs="宋体"/>
          <w:sz w:val="24"/>
          <w:highlight w:val="none"/>
        </w:rPr>
        <w:t>本合同经双方法定代表人或授权代表签字并加盖双方公章后生效</w:t>
      </w:r>
      <w:r>
        <w:rPr>
          <w:rFonts w:ascii="宋体" w:hAnsi="宋体" w:cs="宋体"/>
          <w:sz w:val="24"/>
          <w:highlight w:val="none"/>
        </w:rPr>
        <w:t>.</w:t>
      </w:r>
    </w:p>
    <w:p>
      <w:pPr>
        <w:spacing w:line="384" w:lineRule="auto"/>
        <w:ind w:firstLine="480"/>
        <w:rPr>
          <w:rFonts w:ascii="宋体" w:hAnsi="宋体" w:cs="宋体"/>
          <w:sz w:val="24"/>
          <w:highlight w:val="none"/>
        </w:rPr>
      </w:pPr>
      <w:r>
        <w:rPr>
          <w:rFonts w:ascii="宋体" w:hAnsi="宋体" w:cs="宋体"/>
          <w:sz w:val="24"/>
          <w:highlight w:val="none"/>
        </w:rPr>
        <w:t>13.2</w:t>
      </w:r>
      <w:r>
        <w:rPr>
          <w:rFonts w:hint="eastAsia" w:ascii="宋体" w:hAnsi="宋体" w:cs="宋体"/>
          <w:sz w:val="24"/>
          <w:highlight w:val="none"/>
        </w:rPr>
        <w:t>本合同正文一式份，其中：甲方份，乙方份。</w:t>
      </w:r>
    </w:p>
    <w:p>
      <w:pPr>
        <w:spacing w:line="384" w:lineRule="auto"/>
        <w:ind w:firstLine="480"/>
        <w:rPr>
          <w:rFonts w:ascii="宋体" w:hAnsi="宋体" w:cs="宋体"/>
          <w:sz w:val="24"/>
          <w:highlight w:val="none"/>
          <w:u w:val="single"/>
        </w:rPr>
      </w:pPr>
      <w:r>
        <w:rPr>
          <w:rFonts w:ascii="宋体" w:hAnsi="宋体" w:cs="宋体"/>
          <w:sz w:val="24"/>
          <w:highlight w:val="none"/>
        </w:rPr>
        <w:t>13.</w:t>
      </w:r>
      <w:r>
        <w:rPr>
          <w:rFonts w:hint="eastAsia" w:ascii="宋体" w:hAnsi="宋体" w:cs="宋体"/>
          <w:sz w:val="24"/>
          <w:highlight w:val="none"/>
        </w:rPr>
        <w:t>3补充条款</w:t>
      </w:r>
      <w:r>
        <w:rPr>
          <w:rFonts w:hint="eastAsia" w:ascii="宋体" w:hAnsi="宋体" w:cs="宋体"/>
          <w:sz w:val="24"/>
          <w:highlight w:val="none"/>
          <w:u w:val="single"/>
        </w:rPr>
        <w:t>：…</w:t>
      </w:r>
    </w:p>
    <w:p>
      <w:pPr>
        <w:spacing w:line="384" w:lineRule="auto"/>
        <w:ind w:firstLine="480"/>
        <w:rPr>
          <w:rFonts w:ascii="宋体" w:hAnsi="宋体" w:cs="宋体"/>
          <w:sz w:val="24"/>
          <w:highlight w:val="none"/>
          <w:u w:val="single"/>
        </w:rPr>
      </w:pPr>
    </w:p>
    <w:p>
      <w:pPr>
        <w:spacing w:line="384" w:lineRule="auto"/>
        <w:rPr>
          <w:rFonts w:ascii="宋体" w:hAnsi="宋体" w:cs="宋体"/>
          <w:sz w:val="24"/>
          <w:highlight w:val="none"/>
        </w:rPr>
      </w:pPr>
    </w:p>
    <w:p>
      <w:pPr>
        <w:spacing w:line="384" w:lineRule="auto"/>
        <w:rPr>
          <w:rFonts w:ascii="宋体" w:hAnsi="宋体" w:cs="宋体"/>
          <w:sz w:val="24"/>
          <w:highlight w:val="none"/>
        </w:rPr>
      </w:pPr>
      <w:r>
        <w:rPr>
          <w:rFonts w:hint="eastAsia" w:ascii="宋体" w:hAnsi="宋体" w:cs="宋体"/>
          <w:sz w:val="24"/>
          <w:highlight w:val="none"/>
        </w:rPr>
        <w:t>附件：</w:t>
      </w:r>
      <w:r>
        <w:rPr>
          <w:rFonts w:ascii="宋体" w:hAnsi="宋体" w:cs="宋体"/>
          <w:sz w:val="24"/>
          <w:highlight w:val="none"/>
        </w:rPr>
        <w:t>1.</w:t>
      </w:r>
      <w:r>
        <w:rPr>
          <w:rFonts w:hint="eastAsia" w:ascii="宋体" w:hAnsi="宋体" w:cs="宋体"/>
          <w:sz w:val="24"/>
          <w:highlight w:val="none"/>
        </w:rPr>
        <w:t>中标通知书</w:t>
      </w:r>
      <w:r>
        <w:rPr>
          <w:rFonts w:ascii="宋体" w:hAnsi="宋体" w:cs="宋体"/>
          <w:sz w:val="24"/>
          <w:highlight w:val="none"/>
        </w:rPr>
        <w:t>/</w:t>
      </w:r>
      <w:r>
        <w:rPr>
          <w:rFonts w:hint="eastAsia" w:ascii="宋体" w:hAnsi="宋体" w:cs="宋体"/>
          <w:sz w:val="24"/>
          <w:highlight w:val="none"/>
        </w:rPr>
        <w:t>发包通知书</w:t>
      </w:r>
      <w:r>
        <w:rPr>
          <w:rFonts w:ascii="宋体" w:hAnsi="宋体" w:cs="宋体"/>
          <w:sz w:val="24"/>
          <w:highlight w:val="none"/>
        </w:rPr>
        <w:t>/</w:t>
      </w:r>
      <w:r>
        <w:rPr>
          <w:rFonts w:hint="eastAsia" w:ascii="宋体" w:hAnsi="宋体" w:cs="宋体"/>
          <w:sz w:val="24"/>
          <w:highlight w:val="none"/>
        </w:rPr>
        <w:t>成交通知书/委托函（如有）</w:t>
      </w:r>
    </w:p>
    <w:p>
      <w:pPr>
        <w:numPr>
          <w:ilvl w:val="-1"/>
          <w:numId w:val="0"/>
        </w:numPr>
        <w:spacing w:line="460" w:lineRule="exact"/>
        <w:ind w:firstLine="720" w:firstLineChars="300"/>
        <w:rPr>
          <w:rFonts w:hint="eastAsia" w:ascii="宋体" w:hAnsi="宋体" w:cs="宋体"/>
          <w:sz w:val="24"/>
          <w:szCs w:val="24"/>
          <w:highlight w:val="none"/>
        </w:rPr>
      </w:pPr>
      <w:r>
        <w:rPr>
          <w:rFonts w:hint="eastAsia" w:ascii="宋体" w:hAnsi="宋体" w:cs="宋体"/>
          <w:sz w:val="24"/>
          <w:szCs w:val="24"/>
          <w:highlight w:val="none"/>
          <w:lang w:val="en-US" w:eastAsia="zh-CN"/>
        </w:rPr>
        <w:t>2.</w:t>
      </w:r>
      <w:r>
        <w:rPr>
          <w:rFonts w:hint="eastAsia" w:ascii="宋体" w:hAnsi="宋体" w:cs="宋体"/>
          <w:sz w:val="24"/>
          <w:szCs w:val="24"/>
          <w:highlight w:val="none"/>
        </w:rPr>
        <w:t>廉洁协议</w:t>
      </w:r>
    </w:p>
    <w:p>
      <w:pPr>
        <w:spacing w:line="384" w:lineRule="auto"/>
        <w:ind w:firstLine="630" w:firstLineChars="300"/>
        <w:rPr>
          <w:rFonts w:ascii="宋体" w:hAnsi="宋体" w:eastAsia="宋体" w:cs="宋体"/>
          <w:sz w:val="24"/>
          <w:highlight w:val="none"/>
        </w:rPr>
      </w:pPr>
      <w:r>
        <w:rPr>
          <w:rFonts w:hint="eastAsia" w:eastAsia="仿宋_GB2312"/>
          <w:highlight w:val="none"/>
          <w:lang w:val="en-US" w:eastAsia="zh-CN"/>
        </w:rPr>
        <w:t>3</w:t>
      </w:r>
      <w:r>
        <w:rPr>
          <w:rFonts w:ascii="宋体" w:hAnsi="宋体" w:cs="宋体"/>
          <w:sz w:val="24"/>
          <w:highlight w:val="none"/>
        </w:rPr>
        <w:t>.</w:t>
      </w:r>
      <w:r>
        <w:rPr>
          <w:rFonts w:hint="eastAsia" w:ascii="宋体" w:hAnsi="宋体" w:cs="宋体"/>
          <w:sz w:val="24"/>
          <w:highlight w:val="none"/>
        </w:rPr>
        <w:t>营运场所施工安全协议书（具体以安全办通知为准）</w:t>
      </w:r>
    </w:p>
    <w:p>
      <w:pPr>
        <w:spacing w:line="384" w:lineRule="auto"/>
        <w:rPr>
          <w:rFonts w:ascii="宋体" w:hAnsi="宋体" w:cs="宋体"/>
          <w:sz w:val="24"/>
          <w:highlight w:val="none"/>
        </w:rPr>
      </w:pPr>
      <w:r>
        <w:rPr>
          <w:rFonts w:ascii="宋体" w:hAnsi="宋体" w:cs="宋体"/>
          <w:sz w:val="24"/>
          <w:highlight w:val="none"/>
        </w:rPr>
        <w:t xml:space="preserve">     </w:t>
      </w:r>
      <w:r>
        <w:rPr>
          <w:rFonts w:hint="eastAsia" w:ascii="宋体" w:hAnsi="宋体" w:cs="宋体"/>
          <w:sz w:val="24"/>
          <w:highlight w:val="none"/>
        </w:rPr>
        <w:t xml:space="preserve"> </w:t>
      </w:r>
      <w:r>
        <w:rPr>
          <w:rFonts w:hint="eastAsia" w:ascii="宋体" w:hAnsi="宋体" w:cs="宋体"/>
          <w:sz w:val="24"/>
          <w:highlight w:val="none"/>
          <w:lang w:val="en-US" w:eastAsia="zh-CN"/>
        </w:rPr>
        <w:t>4</w:t>
      </w:r>
      <w:r>
        <w:rPr>
          <w:rFonts w:ascii="宋体" w:hAnsi="宋体" w:cs="宋体"/>
          <w:sz w:val="24"/>
          <w:highlight w:val="none"/>
        </w:rPr>
        <w:t>.</w:t>
      </w:r>
      <w:r>
        <w:rPr>
          <w:rFonts w:hint="eastAsia" w:ascii="宋体" w:hAnsi="宋体" w:cs="宋体"/>
          <w:sz w:val="24"/>
          <w:highlight w:val="none"/>
        </w:rPr>
        <w:t>工程量清单</w:t>
      </w:r>
      <w:r>
        <w:rPr>
          <w:rFonts w:ascii="宋体" w:hAnsi="宋体" w:cs="宋体"/>
          <w:sz w:val="24"/>
          <w:highlight w:val="none"/>
        </w:rPr>
        <w:t>/</w:t>
      </w:r>
      <w:r>
        <w:rPr>
          <w:rFonts w:hint="eastAsia" w:ascii="宋体" w:hAnsi="宋体" w:cs="宋体"/>
          <w:sz w:val="24"/>
          <w:highlight w:val="none"/>
        </w:rPr>
        <w:t>报价</w:t>
      </w:r>
    </w:p>
    <w:p>
      <w:pPr>
        <w:spacing w:line="384" w:lineRule="auto"/>
        <w:rPr>
          <w:rFonts w:asciiTheme="minorEastAsia" w:hAnsiTheme="minorEastAsia" w:cstheme="minorEastAsia"/>
          <w:sz w:val="24"/>
          <w:szCs w:val="24"/>
          <w:highlight w:val="none"/>
        </w:rPr>
      </w:pPr>
      <w:r>
        <w:rPr>
          <w:rFonts w:ascii="宋体" w:hAnsi="宋体" w:cs="宋体"/>
          <w:sz w:val="24"/>
          <w:highlight w:val="none"/>
        </w:rPr>
        <w:t xml:space="preserve">     </w:t>
      </w:r>
      <w:r>
        <w:rPr>
          <w:rFonts w:hint="eastAsia" w:ascii="宋体" w:hAnsi="宋体" w:cs="宋体"/>
          <w:sz w:val="24"/>
          <w:highlight w:val="none"/>
        </w:rPr>
        <w:t xml:space="preserve"> </w:t>
      </w:r>
      <w:r>
        <w:rPr>
          <w:rFonts w:hint="eastAsia" w:ascii="宋体" w:hAnsi="宋体" w:cs="宋体"/>
          <w:sz w:val="24"/>
          <w:highlight w:val="none"/>
          <w:lang w:val="en-US" w:eastAsia="zh-CN"/>
        </w:rPr>
        <w:t>5</w:t>
      </w:r>
      <w:r>
        <w:rPr>
          <w:rFonts w:ascii="宋体" w:hAnsi="宋体" w:cs="宋体"/>
          <w:sz w:val="24"/>
          <w:highlight w:val="none"/>
        </w:rPr>
        <w:t>.</w:t>
      </w:r>
      <w:r>
        <w:rPr>
          <w:rFonts w:hint="eastAsia" w:ascii="宋体" w:hAnsi="宋体" w:cs="宋体"/>
          <w:sz w:val="24"/>
          <w:highlight w:val="none"/>
        </w:rPr>
        <w:t>项目投入人员架构表</w:t>
      </w:r>
      <w:r>
        <w:rPr>
          <w:rFonts w:ascii="宋体" w:hAnsi="宋体" w:cs="宋体"/>
          <w:sz w:val="24"/>
          <w:highlight w:val="none"/>
        </w:rPr>
        <w:t xml:space="preserve"> </w:t>
      </w:r>
    </w:p>
    <w:p>
      <w:pPr>
        <w:spacing w:line="360" w:lineRule="auto"/>
        <w:ind w:firstLine="720" w:firstLineChars="300"/>
        <w:rPr>
          <w:rFonts w:ascii="宋体" w:hAnsi="宋体" w:cs="宋体"/>
          <w:sz w:val="24"/>
          <w:highlight w:val="none"/>
        </w:rPr>
      </w:pPr>
      <w:r>
        <w:rPr>
          <w:rFonts w:hint="eastAsia" w:ascii="宋体" w:hAnsi="宋体" w:cs="宋体"/>
          <w:sz w:val="24"/>
          <w:highlight w:val="none"/>
          <w:lang w:val="en-US" w:eastAsia="zh-CN"/>
        </w:rPr>
        <w:t>6</w:t>
      </w:r>
      <w:r>
        <w:rPr>
          <w:rFonts w:hint="eastAsia" w:ascii="宋体" w:hAnsi="宋体" w:cs="宋体"/>
          <w:sz w:val="24"/>
          <w:highlight w:val="none"/>
        </w:rPr>
        <w:t>.</w:t>
      </w:r>
      <w:r>
        <w:rPr>
          <w:rFonts w:hint="eastAsia" w:asciiTheme="minorEastAsia" w:hAnsiTheme="minorEastAsia" w:cstheme="minorEastAsia"/>
          <w:sz w:val="24"/>
          <w:szCs w:val="24"/>
          <w:highlight w:val="none"/>
        </w:rPr>
        <w:t>应急救援物资清单（如需）</w:t>
      </w:r>
    </w:p>
    <w:p>
      <w:pPr>
        <w:adjustRightInd w:val="0"/>
        <w:snapToGrid w:val="0"/>
        <w:ind w:firstLine="720" w:firstLineChars="300"/>
        <w:rPr>
          <w:rFonts w:ascii="宋体" w:hAnsi="宋体" w:cs="宋体"/>
          <w:sz w:val="24"/>
          <w:szCs w:val="24"/>
          <w:highlight w:val="none"/>
        </w:rPr>
      </w:pPr>
    </w:p>
    <w:p>
      <w:pPr>
        <w:spacing w:line="384" w:lineRule="auto"/>
        <w:rPr>
          <w:rFonts w:ascii="宋体" w:hAnsi="宋体" w:cs="宋体"/>
          <w:sz w:val="24"/>
          <w:highlight w:val="none"/>
        </w:rPr>
      </w:pPr>
    </w:p>
    <w:p>
      <w:pPr>
        <w:spacing w:line="384" w:lineRule="auto"/>
        <w:rPr>
          <w:rFonts w:ascii="宋体" w:hAnsi="宋体" w:cs="宋体"/>
          <w:sz w:val="24"/>
          <w:highlight w:val="none"/>
        </w:rPr>
      </w:pPr>
    </w:p>
    <w:p>
      <w:pPr>
        <w:spacing w:line="384" w:lineRule="auto"/>
        <w:rPr>
          <w:rFonts w:ascii="宋体" w:hAnsi="宋体" w:cs="宋体"/>
          <w:sz w:val="24"/>
          <w:highlight w:val="none"/>
        </w:rPr>
      </w:pPr>
      <w:r>
        <w:rPr>
          <w:rFonts w:hint="eastAsia" w:ascii="宋体" w:hAnsi="宋体" w:cs="宋体"/>
          <w:sz w:val="24"/>
          <w:highlight w:val="none"/>
        </w:rPr>
        <w:t>甲方：广州市净水有限公司（盖章）     乙方：（盖章）</w:t>
      </w:r>
    </w:p>
    <w:p>
      <w:pPr>
        <w:spacing w:line="384" w:lineRule="auto"/>
        <w:rPr>
          <w:rFonts w:ascii="宋体" w:hAnsi="宋体" w:cs="宋体"/>
          <w:sz w:val="24"/>
          <w:highlight w:val="none"/>
        </w:rPr>
      </w:pPr>
      <w:r>
        <w:rPr>
          <w:rFonts w:hint="eastAsia" w:ascii="宋体" w:hAnsi="宋体" w:cs="宋体"/>
          <w:sz w:val="24"/>
          <w:highlight w:val="none"/>
        </w:rPr>
        <w:t>法定代表 或                         法定代表人或</w:t>
      </w:r>
    </w:p>
    <w:p>
      <w:pPr>
        <w:spacing w:line="384" w:lineRule="auto"/>
        <w:rPr>
          <w:rFonts w:ascii="宋体" w:hAnsi="宋体" w:cs="宋体"/>
          <w:sz w:val="24"/>
          <w:highlight w:val="none"/>
        </w:rPr>
      </w:pPr>
      <w:r>
        <w:rPr>
          <w:rFonts w:hint="eastAsia" w:ascii="宋体" w:hAnsi="宋体" w:cs="宋体"/>
          <w:sz w:val="24"/>
          <w:highlight w:val="none"/>
        </w:rPr>
        <w:t>授权代理人：                         授权代理人：</w:t>
      </w:r>
    </w:p>
    <w:p>
      <w:pPr>
        <w:spacing w:line="384" w:lineRule="auto"/>
        <w:rPr>
          <w:rFonts w:ascii="宋体" w:hAnsi="宋体" w:cs="宋体"/>
          <w:sz w:val="24"/>
          <w:highlight w:val="none"/>
        </w:rPr>
      </w:pPr>
      <w:r>
        <w:rPr>
          <w:rFonts w:hint="eastAsia" w:ascii="宋体" w:hAnsi="宋体" w:cs="宋体"/>
          <w:sz w:val="24"/>
          <w:highlight w:val="none"/>
        </w:rPr>
        <w:t>地址：                                  地址：</w:t>
      </w:r>
    </w:p>
    <w:p>
      <w:pPr>
        <w:spacing w:line="384" w:lineRule="auto"/>
        <w:rPr>
          <w:rFonts w:ascii="宋体" w:hAnsi="宋体" w:cs="宋体"/>
          <w:sz w:val="24"/>
          <w:highlight w:val="none"/>
        </w:rPr>
      </w:pPr>
      <w:r>
        <w:rPr>
          <w:rFonts w:hint="eastAsia" w:ascii="宋体" w:hAnsi="宋体" w:cs="宋体"/>
          <w:sz w:val="24"/>
          <w:highlight w:val="none"/>
        </w:rPr>
        <w:t>经办人：                              经办人：</w:t>
      </w:r>
    </w:p>
    <w:p>
      <w:pPr>
        <w:spacing w:line="384" w:lineRule="auto"/>
        <w:rPr>
          <w:rFonts w:ascii="宋体" w:hAnsi="宋体" w:cs="宋体"/>
          <w:sz w:val="24"/>
          <w:highlight w:val="none"/>
        </w:rPr>
      </w:pPr>
      <w:r>
        <w:rPr>
          <w:rFonts w:hint="eastAsia" w:ascii="宋体" w:hAnsi="宋体" w:cs="宋体"/>
          <w:sz w:val="24"/>
          <w:highlight w:val="none"/>
        </w:rPr>
        <w:t>联系电话：                           联系电话：</w:t>
      </w:r>
    </w:p>
    <w:p>
      <w:pPr>
        <w:spacing w:line="384" w:lineRule="auto"/>
        <w:ind w:left="6360" w:hanging="6360" w:hangingChars="2650"/>
        <w:rPr>
          <w:rFonts w:ascii="宋体" w:hAnsi="宋体" w:cs="宋体"/>
          <w:sz w:val="24"/>
          <w:highlight w:val="none"/>
        </w:rPr>
      </w:pPr>
      <w:r>
        <w:rPr>
          <w:rFonts w:hint="eastAsia" w:ascii="宋体" w:hAnsi="宋体" w:cs="宋体"/>
          <w:sz w:val="24"/>
          <w:highlight w:val="none"/>
        </w:rPr>
        <w:t>传真：                                传真：</w:t>
      </w:r>
    </w:p>
    <w:p>
      <w:pPr>
        <w:spacing w:line="384" w:lineRule="auto"/>
        <w:ind w:left="6360" w:hanging="6360" w:hangingChars="2650"/>
        <w:rPr>
          <w:rFonts w:ascii="宋体" w:hAnsi="宋体" w:cs="宋体"/>
          <w:b/>
          <w:bCs/>
          <w:szCs w:val="21"/>
          <w:highlight w:val="none"/>
        </w:rPr>
      </w:pPr>
      <w:r>
        <w:rPr>
          <w:rFonts w:hint="eastAsia" w:ascii="宋体" w:hAnsi="宋体" w:cs="宋体"/>
          <w:sz w:val="24"/>
          <w:highlight w:val="none"/>
        </w:rPr>
        <w:t>签署日期：年月日                    签署日期：年月日</w:t>
      </w:r>
    </w:p>
    <w:p>
      <w:pPr>
        <w:spacing w:line="360" w:lineRule="auto"/>
        <w:rPr>
          <w:rFonts w:hint="eastAsia" w:ascii="宋体" w:hAnsi="宋体" w:cs="宋体"/>
          <w:b/>
          <w:bCs/>
          <w:szCs w:val="21"/>
          <w:highlight w:val="none"/>
        </w:rPr>
      </w:pPr>
    </w:p>
    <w:p>
      <w:pPr>
        <w:pStyle w:val="2"/>
        <w:rPr>
          <w:rFonts w:hint="eastAsia" w:ascii="宋体" w:hAnsi="宋体" w:cs="宋体"/>
          <w:b/>
          <w:bCs/>
          <w:szCs w:val="21"/>
          <w:highlight w:val="none"/>
        </w:rPr>
      </w:pPr>
    </w:p>
    <w:p>
      <w:pPr>
        <w:pStyle w:val="2"/>
        <w:rPr>
          <w:rFonts w:hint="eastAsia" w:ascii="宋体" w:hAnsi="宋体" w:cs="宋体"/>
          <w:b/>
          <w:bCs/>
          <w:szCs w:val="21"/>
          <w:highlight w:val="none"/>
        </w:rPr>
      </w:pPr>
    </w:p>
    <w:p>
      <w:pPr>
        <w:pStyle w:val="2"/>
        <w:rPr>
          <w:rFonts w:hint="eastAsia" w:ascii="宋体" w:hAnsi="宋体" w:cs="宋体"/>
          <w:b/>
          <w:bCs/>
          <w:szCs w:val="21"/>
          <w:highlight w:val="none"/>
        </w:rPr>
      </w:pPr>
    </w:p>
    <w:p>
      <w:pPr>
        <w:spacing w:line="360" w:lineRule="auto"/>
        <w:rPr>
          <w:rFonts w:ascii="宋体" w:hAnsi="宋体" w:cs="宋体"/>
          <w:b/>
          <w:bCs/>
          <w:szCs w:val="21"/>
          <w:highlight w:val="none"/>
        </w:rPr>
      </w:pPr>
      <w:r>
        <w:rPr>
          <w:rFonts w:hint="eastAsia" w:ascii="宋体" w:hAnsi="宋体" w:cs="宋体"/>
          <w:b/>
          <w:bCs/>
          <w:szCs w:val="21"/>
          <w:highlight w:val="none"/>
        </w:rPr>
        <w:t>附件1  中标通知书/发包通知书/委托函（如有）</w:t>
      </w:r>
    </w:p>
    <w:p>
      <w:pPr>
        <w:spacing w:line="360" w:lineRule="auto"/>
        <w:rPr>
          <w:rFonts w:ascii="宋体" w:hAnsi="宋体" w:cs="宋体"/>
          <w:sz w:val="24"/>
          <w:highlight w:val="none"/>
        </w:rPr>
      </w:pPr>
    </w:p>
    <w:p>
      <w:pPr>
        <w:spacing w:line="360" w:lineRule="auto"/>
        <w:rPr>
          <w:rFonts w:ascii="宋体" w:hAnsi="宋体" w:cs="宋体"/>
          <w:sz w:val="24"/>
          <w:highlight w:val="none"/>
        </w:rPr>
      </w:pPr>
    </w:p>
    <w:p>
      <w:pPr>
        <w:spacing w:line="360" w:lineRule="auto"/>
        <w:rPr>
          <w:rFonts w:ascii="宋体" w:hAnsi="宋体" w:cs="宋体"/>
          <w:sz w:val="24"/>
          <w:highlight w:val="none"/>
        </w:rPr>
      </w:pPr>
    </w:p>
    <w:p>
      <w:pPr>
        <w:spacing w:line="360" w:lineRule="auto"/>
        <w:rPr>
          <w:rFonts w:ascii="宋体" w:hAnsi="宋体" w:cs="宋体"/>
          <w:sz w:val="24"/>
          <w:highlight w:val="none"/>
        </w:rPr>
      </w:pPr>
    </w:p>
    <w:p>
      <w:pPr>
        <w:spacing w:line="360" w:lineRule="auto"/>
        <w:rPr>
          <w:rFonts w:ascii="宋体" w:hAnsi="宋体" w:cs="宋体"/>
          <w:b/>
          <w:bCs/>
          <w:szCs w:val="21"/>
          <w:highlight w:val="none"/>
        </w:rPr>
      </w:pPr>
      <w:r>
        <w:rPr>
          <w:rFonts w:hint="eastAsia" w:ascii="宋体" w:hAnsi="宋体" w:cs="宋体"/>
          <w:b/>
          <w:bCs/>
          <w:szCs w:val="21"/>
          <w:highlight w:val="none"/>
        </w:rPr>
        <w:t>附件</w:t>
      </w:r>
      <w:r>
        <w:rPr>
          <w:rFonts w:ascii="宋体" w:hAnsi="宋体" w:cs="宋体"/>
          <w:b/>
          <w:bCs/>
          <w:szCs w:val="21"/>
          <w:highlight w:val="none"/>
        </w:rPr>
        <w:t>2</w:t>
      </w:r>
      <w:r>
        <w:rPr>
          <w:rFonts w:hint="eastAsia" w:ascii="宋体" w:hAnsi="宋体" w:cs="宋体"/>
          <w:b/>
          <w:bCs/>
          <w:szCs w:val="21"/>
          <w:highlight w:val="none"/>
        </w:rPr>
        <w:t>：廉洁协议</w:t>
      </w:r>
    </w:p>
    <w:p>
      <w:pPr>
        <w:spacing w:line="560" w:lineRule="exact"/>
        <w:ind w:firstLine="3640" w:firstLineChars="1300"/>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廉洁协议</w:t>
      </w:r>
    </w:p>
    <w:p>
      <w:pPr>
        <w:spacing w:line="560" w:lineRule="exact"/>
        <w:ind w:firstLine="630" w:firstLineChars="225"/>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Cs/>
          <w:sz w:val="28"/>
          <w:szCs w:val="28"/>
          <w:highlight w:val="none"/>
          <w:u w:val="single"/>
        </w:rPr>
        <w:t>广州市净水有限公司</w:t>
      </w:r>
      <w:r>
        <w:rPr>
          <w:rFonts w:hint="eastAsia" w:ascii="仿宋_GB2312" w:hAnsi="仿宋_GB2312" w:eastAsia="仿宋_GB2312" w:cs="仿宋_GB2312"/>
          <w:bCs/>
          <w:sz w:val="28"/>
          <w:szCs w:val="28"/>
          <w:highlight w:val="none"/>
        </w:rPr>
        <w:t>(以下称甲方)与</w:t>
      </w:r>
      <w:r>
        <w:rPr>
          <w:rFonts w:hint="eastAsia" w:ascii="仿宋_GB2312" w:hAnsi="仿宋_GB2312" w:eastAsia="仿宋_GB2312" w:cs="仿宋_GB2312"/>
          <w:bCs/>
          <w:sz w:val="28"/>
          <w:szCs w:val="28"/>
          <w:highlight w:val="none"/>
          <w:u w:val="single"/>
          <w:lang w:val="en-US" w:eastAsia="zh-CN"/>
        </w:rPr>
        <w:t xml:space="preserve">      </w:t>
      </w:r>
      <w:r>
        <w:rPr>
          <w:rFonts w:hint="eastAsia" w:ascii="仿宋_GB2312" w:hAnsi="仿宋_GB2312" w:eastAsia="仿宋_GB2312" w:cs="仿宋_GB2312"/>
          <w:bCs/>
          <w:sz w:val="28"/>
          <w:szCs w:val="28"/>
          <w:highlight w:val="none"/>
        </w:rPr>
        <w:t>(以下称乙方)，特此订立本协议共同遵照执行。</w:t>
      </w:r>
    </w:p>
    <w:p>
      <w:pPr>
        <w:spacing w:line="560" w:lineRule="exact"/>
        <w:ind w:firstLine="560" w:firstLineChars="200"/>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第一条 甲乙双方的权利和义务</w:t>
      </w:r>
    </w:p>
    <w:p>
      <w:pPr>
        <w:spacing w:line="560" w:lineRule="exact"/>
        <w:ind w:firstLine="420" w:firstLineChars="150"/>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（一）甲乙双方严格遵守国家关于市场准入、项目招标投标、市场经营活动等有关法律、法规相关政策及廉政建设的各项规定。</w:t>
      </w:r>
    </w:p>
    <w:p>
      <w:pPr>
        <w:spacing w:line="560" w:lineRule="exact"/>
        <w:ind w:firstLine="420" w:firstLineChars="150"/>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（二）严格执行</w:t>
      </w:r>
      <w:r>
        <w:rPr>
          <w:rFonts w:hint="eastAsia" w:ascii="仿宋_GB2312" w:hAnsi="仿宋_GB2312" w:eastAsia="仿宋_GB2312" w:cs="仿宋_GB2312"/>
          <w:bCs/>
          <w:sz w:val="28"/>
          <w:szCs w:val="28"/>
          <w:highlight w:val="none"/>
          <w:u w:val="single"/>
        </w:rPr>
        <w:t xml:space="preserve">  </w:t>
      </w:r>
      <w:r>
        <w:rPr>
          <w:rFonts w:hint="eastAsia" w:ascii="仿宋_GB2312" w:hAnsi="仿宋_GB2312" w:eastAsia="仿宋_GB2312" w:cs="仿宋_GB2312"/>
          <w:bCs/>
          <w:sz w:val="28"/>
          <w:szCs w:val="28"/>
          <w:highlight w:val="none"/>
          <w:u w:val="single"/>
          <w:lang w:val="en-US" w:eastAsia="zh-CN"/>
        </w:rPr>
        <w:t xml:space="preserve">合同名称+合同编号      </w:t>
      </w:r>
      <w:r>
        <w:rPr>
          <w:rFonts w:hint="eastAsia" w:ascii="仿宋_GB2312" w:hAnsi="仿宋_GB2312" w:eastAsia="仿宋_GB2312" w:cs="仿宋_GB2312"/>
          <w:bCs/>
          <w:sz w:val="28"/>
          <w:szCs w:val="28"/>
          <w:highlight w:val="none"/>
          <w:u w:val="single"/>
        </w:rPr>
        <w:t xml:space="preserve"> </w:t>
      </w:r>
      <w:r>
        <w:rPr>
          <w:rFonts w:hint="eastAsia" w:ascii="仿宋_GB2312" w:hAnsi="仿宋_GB2312" w:eastAsia="仿宋_GB2312" w:cs="仿宋_GB2312"/>
          <w:bCs/>
          <w:sz w:val="28"/>
          <w:szCs w:val="28"/>
          <w:highlight w:val="none"/>
        </w:rPr>
        <w:t>合同（以下简称：主合同），自觉履行合同约定的相关义务。</w:t>
      </w:r>
    </w:p>
    <w:p>
      <w:pPr>
        <w:spacing w:line="560" w:lineRule="exact"/>
        <w:ind w:firstLine="420" w:firstLineChars="150"/>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（三）在业务活动中坚持公开、公正、诚信、透明的原则，不得损害国家、集体利益。</w:t>
      </w:r>
    </w:p>
    <w:p>
      <w:pPr>
        <w:spacing w:line="560" w:lineRule="exact"/>
        <w:ind w:firstLine="420" w:firstLineChars="150"/>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（四）建立健全廉洁从业制度，开展廉洁教育，公布举报电话，监督并认真查处不廉洁及违法违纪行为。</w:t>
      </w:r>
    </w:p>
    <w:p>
      <w:pPr>
        <w:spacing w:line="560" w:lineRule="exact"/>
        <w:ind w:firstLine="420" w:firstLineChars="150"/>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（五）发现对方在业务活动中有不廉洁行为，应及时提醒对方纠正。情节严重的，应向其有关监督部门检举。</w:t>
      </w:r>
    </w:p>
    <w:p>
      <w:pPr>
        <w:spacing w:line="560" w:lineRule="exact"/>
        <w:ind w:firstLine="560" w:firstLineChars="200"/>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第二条甲方的义务</w:t>
      </w:r>
    </w:p>
    <w:p>
      <w:pPr>
        <w:spacing w:line="560" w:lineRule="exact"/>
        <w:ind w:firstLine="560" w:firstLineChars="200"/>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（一）甲方及其工作人员不得索要或接受乙方的礼金、有价证券和贵重物品，不得在乙方报销任何应由甲方或个人支付的费用等。</w:t>
      </w:r>
    </w:p>
    <w:p>
      <w:pPr>
        <w:spacing w:line="560" w:lineRule="exact"/>
        <w:ind w:firstLine="560" w:firstLineChars="200"/>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spacing w:line="560" w:lineRule="exact"/>
        <w:ind w:left="15" w:leftChars="7" w:firstLine="560" w:firstLineChars="200"/>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（三）甲方及其工作人员不得要求或者接受乙方为其住房装修、婚丧嫁娶活动、配偶子女工作安排以及出国出境、旅游等提供方便等。</w:t>
      </w:r>
    </w:p>
    <w:p>
      <w:pPr>
        <w:spacing w:line="560" w:lineRule="exact"/>
        <w:ind w:left="15" w:leftChars="7" w:firstLine="560" w:firstLineChars="200"/>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（四）甲方工作人员不得在乙方或与乙方有股权关联的企业兼职，不得向乙方介绍家属或者亲友从事与甲方业务有关的经济活动。</w:t>
      </w:r>
    </w:p>
    <w:p>
      <w:pPr>
        <w:spacing w:line="560" w:lineRule="exact"/>
        <w:ind w:left="15" w:leftChars="7" w:firstLine="560" w:firstLineChars="200"/>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spacing w:line="560" w:lineRule="exact"/>
        <w:ind w:left="15" w:leftChars="7" w:firstLine="560" w:firstLineChars="200"/>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（六）甲方工作人员不得利用职务之便收受乙方以回扣、手续费、加班费、咨询费、劳务费、协调费、辛苦费等各种名义给予或赠送的钱物。</w:t>
      </w:r>
    </w:p>
    <w:p>
      <w:pPr>
        <w:spacing w:line="560" w:lineRule="exact"/>
        <w:ind w:left="15" w:leftChars="7" w:firstLine="560" w:firstLineChars="200"/>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（七）甲方工作人员不得接受乙方给予或赠送的干股或红利。</w:t>
      </w:r>
    </w:p>
    <w:p>
      <w:pPr>
        <w:spacing w:line="560" w:lineRule="exact"/>
        <w:ind w:left="15" w:leftChars="7" w:firstLine="560" w:firstLineChars="200"/>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(八）不得存在其他违反廉洁规定的行为。</w:t>
      </w:r>
    </w:p>
    <w:p>
      <w:pPr>
        <w:spacing w:line="560" w:lineRule="exact"/>
        <w:ind w:firstLine="560" w:firstLineChars="200"/>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第三条乙方的义务</w:t>
      </w:r>
    </w:p>
    <w:p>
      <w:pPr>
        <w:spacing w:line="560" w:lineRule="exact"/>
        <w:ind w:firstLine="560" w:firstLineChars="200"/>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（一）乙方不得以任何理由向甲方及其工作人员行贿或馈赠礼金、有价证券、贵重礼品。</w:t>
      </w:r>
    </w:p>
    <w:p>
      <w:pPr>
        <w:spacing w:line="560" w:lineRule="exact"/>
        <w:ind w:firstLine="560" w:firstLineChars="200"/>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（二)乙方不得以任何名义为甲方及其工作人员报销应由甲方单位或个人支付的任何费用。</w:t>
      </w:r>
    </w:p>
    <w:p>
      <w:pPr>
        <w:spacing w:line="560" w:lineRule="exact"/>
        <w:ind w:left="25" w:leftChars="12" w:firstLine="560" w:firstLineChars="200"/>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（三）乙方不得以任何理由安排甲方工作人员参加可能影响相关业务公开、公正、公平性的宴请及娱乐活动。</w:t>
      </w:r>
    </w:p>
    <w:p>
      <w:pPr>
        <w:pStyle w:val="17"/>
        <w:spacing w:line="560" w:lineRule="exact"/>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（四）乙方不得为甲方单位和个人购置或提供通讯工具和高档办公用品等物品，也不得为甲方提供与工作无关的房屋、汽车等。</w:t>
      </w:r>
    </w:p>
    <w:p>
      <w:pPr>
        <w:spacing w:line="560" w:lineRule="exact"/>
        <w:ind w:firstLine="560" w:firstLineChars="200"/>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（五）乙方不得擅自与甲方工作人员就主合同中的质量、数量、价格、工程量、验收等条款进行私下商谈或者达成默契。</w:t>
      </w:r>
    </w:p>
    <w:p>
      <w:pPr>
        <w:spacing w:line="560" w:lineRule="exact"/>
        <w:ind w:firstLine="560" w:firstLineChars="200"/>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（六）乙方不得以回扣、手续费、加班费、咨询费、劳务费、协调费、辛苦费等各种名义向甲方工作人员给予或赠送钱物。</w:t>
      </w:r>
    </w:p>
    <w:p>
      <w:pPr>
        <w:spacing w:line="560" w:lineRule="exact"/>
        <w:ind w:firstLine="560" w:firstLineChars="200"/>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（七）乙方不得向甲方工作人员提供干股或红利。</w:t>
      </w:r>
    </w:p>
    <w:p>
      <w:pPr>
        <w:spacing w:line="560" w:lineRule="exact"/>
        <w:ind w:left="15" w:leftChars="7" w:firstLine="560" w:firstLineChars="200"/>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(八）不得存在其他违反廉洁规定的行为。</w:t>
      </w:r>
    </w:p>
    <w:p>
      <w:pPr>
        <w:spacing w:line="560" w:lineRule="exact"/>
        <w:ind w:firstLine="560" w:firstLineChars="200"/>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第四条违约责任</w:t>
      </w:r>
    </w:p>
    <w:p>
      <w:pPr>
        <w:spacing w:line="560" w:lineRule="exact"/>
        <w:ind w:firstLine="560" w:firstLineChars="200"/>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spacing w:line="560" w:lineRule="exact"/>
        <w:ind w:firstLine="560" w:firstLineChars="200"/>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甲方举报投诉联系部门：广州市净水有限公司</w:t>
      </w:r>
      <w:r>
        <w:rPr>
          <w:rFonts w:hint="eastAsia" w:ascii="仿宋_GB2312" w:hAnsi="仿宋_GB2312" w:eastAsia="仿宋_GB2312" w:cs="仿宋_GB2312"/>
          <w:bCs/>
          <w:sz w:val="28"/>
          <w:szCs w:val="28"/>
          <w:highlight w:val="none"/>
          <w:u w:val="single"/>
        </w:rPr>
        <w:t>纪检室</w:t>
      </w:r>
      <w:r>
        <w:rPr>
          <w:rFonts w:hint="eastAsia" w:ascii="仿宋_GB2312" w:hAnsi="仿宋_GB2312" w:eastAsia="仿宋_GB2312" w:cs="仿宋_GB2312"/>
          <w:bCs/>
          <w:sz w:val="28"/>
          <w:szCs w:val="28"/>
          <w:highlight w:val="none"/>
        </w:rPr>
        <w:t>，联系电话：</w:t>
      </w:r>
      <w:r>
        <w:rPr>
          <w:rFonts w:hint="eastAsia" w:ascii="仿宋_GB2312" w:hAnsi="仿宋_GB2312" w:eastAsia="仿宋_GB2312" w:cs="仿宋_GB2312"/>
          <w:bCs/>
          <w:sz w:val="28"/>
          <w:szCs w:val="28"/>
          <w:highlight w:val="none"/>
          <w:u w:val="single"/>
        </w:rPr>
        <w:t xml:space="preserve"> 020-38890265 </w:t>
      </w:r>
      <w:r>
        <w:rPr>
          <w:rFonts w:hint="eastAsia" w:ascii="仿宋_GB2312" w:hAnsi="仿宋_GB2312" w:eastAsia="仿宋_GB2312" w:cs="仿宋_GB2312"/>
          <w:bCs/>
          <w:sz w:val="28"/>
          <w:szCs w:val="28"/>
          <w:highlight w:val="none"/>
        </w:rPr>
        <w:t>。</w:t>
      </w:r>
    </w:p>
    <w:p>
      <w:pPr>
        <w:pStyle w:val="23"/>
        <w:spacing w:line="560" w:lineRule="exact"/>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二）乙方及其工作人员存在违反本协议第一、三条规定、或在甲方招标、询价等过程中违反法律法规中的廉洁规定的行为，无论该行为是否与主合同有关，甲方均有权根据具体情节和造成的后果，对乙方采取以下处理方式：</w:t>
      </w:r>
    </w:p>
    <w:p>
      <w:pPr>
        <w:pStyle w:val="23"/>
        <w:spacing w:line="560" w:lineRule="exact"/>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1、扣除主合同的全部履约保证金；</w:t>
      </w:r>
    </w:p>
    <w:p>
      <w:pPr>
        <w:pStyle w:val="23"/>
        <w:spacing w:line="560" w:lineRule="exact"/>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2、解除主合同；</w:t>
      </w:r>
    </w:p>
    <w:p>
      <w:pPr>
        <w:pStyle w:val="23"/>
        <w:spacing w:line="560" w:lineRule="exact"/>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3、追究乙方其他违约责任；</w:t>
      </w:r>
    </w:p>
    <w:p>
      <w:pPr>
        <w:pStyle w:val="23"/>
        <w:spacing w:line="560" w:lineRule="exact"/>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4、根据甲方的有关规章制度，在一定时间内暂停乙方参与甲方及下属单位所有项目的交易资格；</w:t>
      </w:r>
    </w:p>
    <w:p>
      <w:pPr>
        <w:pStyle w:val="23"/>
        <w:spacing w:line="560" w:lineRule="exact"/>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5、根据甲方的有关规章制度，将乙方清退出甲方相关企业库；</w:t>
      </w:r>
    </w:p>
    <w:p>
      <w:pPr>
        <w:pStyle w:val="23"/>
        <w:spacing w:line="560" w:lineRule="exact"/>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6、根据甲方上级单位、行政主管部门的意见、决定执行；</w:t>
      </w:r>
    </w:p>
    <w:p>
      <w:pPr>
        <w:pStyle w:val="23"/>
        <w:spacing w:line="560" w:lineRule="exact"/>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7、按规定向有关行政监督部门、乙方业务管理部门进行投诉、报告。</w:t>
      </w:r>
    </w:p>
    <w:p>
      <w:pPr>
        <w:spacing w:line="560" w:lineRule="exact"/>
        <w:ind w:firstLine="560" w:firstLineChars="200"/>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乙方无条件接受甲方的处理决定并承担给甲方造成的损失，全额返还通过不正当手段获取的非法所得，并承担相应的法律责任。</w:t>
      </w:r>
    </w:p>
    <w:p>
      <w:pPr>
        <w:spacing w:line="560" w:lineRule="exact"/>
        <w:ind w:firstLine="560" w:firstLineChars="200"/>
        <w:rPr>
          <w:rFonts w:ascii="仿宋_GB2312" w:hAnsi="仿宋_GB2312" w:eastAsia="仿宋_GB2312" w:cs="仿宋_GB2312"/>
          <w:bCs/>
          <w:kern w:val="0"/>
          <w:sz w:val="28"/>
          <w:szCs w:val="28"/>
          <w:highlight w:val="none"/>
        </w:rPr>
      </w:pPr>
      <w:r>
        <w:rPr>
          <w:rFonts w:hint="eastAsia" w:ascii="仿宋_GB2312" w:hAnsi="仿宋_GB2312" w:eastAsia="仿宋_GB2312" w:cs="仿宋_GB2312"/>
          <w:bCs/>
          <w:sz w:val="28"/>
          <w:szCs w:val="28"/>
          <w:highlight w:val="none"/>
        </w:rPr>
        <w:t xml:space="preserve">第五条 </w:t>
      </w:r>
      <w:r>
        <w:rPr>
          <w:rFonts w:hint="eastAsia" w:ascii="仿宋_GB2312" w:hAnsi="仿宋_GB2312" w:eastAsia="仿宋_GB2312" w:cs="仿宋_GB2312"/>
          <w:bCs/>
          <w:kern w:val="0"/>
          <w:sz w:val="28"/>
          <w:szCs w:val="28"/>
          <w:highlight w:val="none"/>
        </w:rPr>
        <w:t xml:space="preserve">本协议执行情况，接受有管辖权的纪检、监察部门的监督，双方应予以配合检查调查。 </w:t>
      </w:r>
    </w:p>
    <w:p>
      <w:pPr>
        <w:spacing w:line="560" w:lineRule="exact"/>
        <w:ind w:firstLine="560" w:firstLineChars="200"/>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第六条本协议作为</w:t>
      </w:r>
      <w:r>
        <w:rPr>
          <w:rFonts w:hint="eastAsia" w:ascii="仿宋_GB2312" w:hAnsi="仿宋_GB2312" w:eastAsia="仿宋_GB2312" w:cs="仿宋_GB2312"/>
          <w:bCs/>
          <w:sz w:val="28"/>
          <w:szCs w:val="28"/>
          <w:highlight w:val="none"/>
          <w:u w:val="single"/>
        </w:rPr>
        <w:t>（合同名称）+（合同编号）</w:t>
      </w:r>
      <w:r>
        <w:rPr>
          <w:rFonts w:hint="eastAsia" w:ascii="仿宋_GB2312" w:hAnsi="仿宋_GB2312" w:eastAsia="仿宋_GB2312" w:cs="仿宋_GB2312"/>
          <w:bCs/>
          <w:sz w:val="28"/>
          <w:szCs w:val="28"/>
          <w:highlight w:val="none"/>
        </w:rPr>
        <w:t>合同的附件，并具有同等的法律效力，本协议自双方签字盖章之日起生效，与主合同同时终止。</w:t>
      </w:r>
    </w:p>
    <w:p>
      <w:pPr>
        <w:spacing w:line="560" w:lineRule="exact"/>
        <w:ind w:firstLine="560" w:firstLineChars="200"/>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第七条本协议一式</w:t>
      </w:r>
      <w:r>
        <w:rPr>
          <w:rFonts w:hint="eastAsia" w:ascii="仿宋_GB2312" w:hAnsi="仿宋_GB2312" w:eastAsia="仿宋_GB2312" w:cs="仿宋_GB2312"/>
          <w:bCs/>
          <w:sz w:val="28"/>
          <w:szCs w:val="28"/>
          <w:highlight w:val="none"/>
          <w:u w:val="single"/>
        </w:rPr>
        <w:t>…</w:t>
      </w:r>
      <w:r>
        <w:rPr>
          <w:rFonts w:hint="eastAsia" w:ascii="仿宋_GB2312" w:hAnsi="仿宋_GB2312" w:eastAsia="仿宋_GB2312" w:cs="仿宋_GB2312"/>
          <w:bCs/>
          <w:sz w:val="28"/>
          <w:szCs w:val="28"/>
          <w:highlight w:val="none"/>
        </w:rPr>
        <w:t>份，甲方</w:t>
      </w:r>
      <w:r>
        <w:rPr>
          <w:rFonts w:hint="eastAsia" w:ascii="仿宋_GB2312" w:hAnsi="仿宋_GB2312" w:eastAsia="仿宋_GB2312" w:cs="仿宋_GB2312"/>
          <w:bCs/>
          <w:sz w:val="28"/>
          <w:szCs w:val="28"/>
          <w:highlight w:val="none"/>
          <w:u w:val="single"/>
        </w:rPr>
        <w:t>…</w:t>
      </w:r>
      <w:r>
        <w:rPr>
          <w:rFonts w:hint="eastAsia" w:ascii="仿宋_GB2312" w:hAnsi="仿宋_GB2312" w:eastAsia="仿宋_GB2312" w:cs="仿宋_GB2312"/>
          <w:bCs/>
          <w:sz w:val="28"/>
          <w:szCs w:val="28"/>
          <w:highlight w:val="none"/>
        </w:rPr>
        <w:t>份，乙方</w:t>
      </w:r>
      <w:r>
        <w:rPr>
          <w:rFonts w:hint="eastAsia" w:ascii="仿宋_GB2312" w:hAnsi="仿宋_GB2312" w:eastAsia="仿宋_GB2312" w:cs="仿宋_GB2312"/>
          <w:bCs/>
          <w:sz w:val="28"/>
          <w:szCs w:val="28"/>
          <w:highlight w:val="none"/>
          <w:u w:val="single"/>
        </w:rPr>
        <w:t>…</w:t>
      </w:r>
      <w:r>
        <w:rPr>
          <w:rFonts w:hint="eastAsia" w:ascii="仿宋_GB2312" w:hAnsi="仿宋_GB2312" w:eastAsia="仿宋_GB2312" w:cs="仿宋_GB2312"/>
          <w:bCs/>
          <w:sz w:val="28"/>
          <w:szCs w:val="28"/>
          <w:highlight w:val="none"/>
        </w:rPr>
        <w:t>份。</w:t>
      </w:r>
    </w:p>
    <w:p>
      <w:pPr>
        <w:spacing w:line="560" w:lineRule="exact"/>
        <w:ind w:firstLine="560" w:firstLineChars="200"/>
        <w:rPr>
          <w:rFonts w:ascii="仿宋_GB2312" w:hAnsi="仿宋_GB2312" w:eastAsia="仿宋_GB2312" w:cs="仿宋_GB2312"/>
          <w:bCs/>
          <w:sz w:val="28"/>
          <w:szCs w:val="28"/>
          <w:highlight w:val="none"/>
        </w:rPr>
      </w:pPr>
    </w:p>
    <w:p>
      <w:pPr>
        <w:spacing w:line="560" w:lineRule="exact"/>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甲方（盖章）：                     乙方（盖章）：</w:t>
      </w:r>
    </w:p>
    <w:p>
      <w:pPr>
        <w:pStyle w:val="37"/>
        <w:tabs>
          <w:tab w:val="left" w:pos="5100"/>
        </w:tabs>
        <w:spacing w:line="560" w:lineRule="exact"/>
        <w:ind w:left="7200" w:firstLine="0" w:firstLineChars="0"/>
        <w:jc w:val="left"/>
        <w:rPr>
          <w:rFonts w:ascii="仿宋_GB2312" w:hAnsi="仿宋_GB2312" w:eastAsia="仿宋_GB2312" w:cs="仿宋_GB2312"/>
          <w:bCs/>
          <w:sz w:val="28"/>
          <w:szCs w:val="28"/>
          <w:highlight w:val="none"/>
        </w:rPr>
      </w:pPr>
    </w:p>
    <w:p>
      <w:pPr>
        <w:tabs>
          <w:tab w:val="left" w:pos="5100"/>
        </w:tabs>
        <w:spacing w:line="560" w:lineRule="exact"/>
        <w:ind w:left="8400" w:hanging="8400" w:hangingChars="3000"/>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签约代表：                         签约代表：</w:t>
      </w:r>
    </w:p>
    <w:p>
      <w:pPr>
        <w:tabs>
          <w:tab w:val="left" w:pos="4170"/>
        </w:tabs>
        <w:spacing w:line="560" w:lineRule="exact"/>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日期:    年  月  日</w:t>
      </w:r>
      <w:r>
        <w:rPr>
          <w:rFonts w:hint="eastAsia" w:ascii="仿宋_GB2312" w:hAnsi="仿宋_GB2312" w:eastAsia="仿宋_GB2312" w:cs="仿宋_GB2312"/>
          <w:bCs/>
          <w:sz w:val="28"/>
          <w:szCs w:val="28"/>
          <w:highlight w:val="none"/>
        </w:rPr>
        <w:tab/>
      </w:r>
      <w:r>
        <w:rPr>
          <w:rFonts w:hint="eastAsia" w:ascii="仿宋_GB2312" w:hAnsi="仿宋_GB2312" w:eastAsia="仿宋_GB2312" w:cs="仿宋_GB2312"/>
          <w:bCs/>
          <w:sz w:val="28"/>
          <w:szCs w:val="28"/>
          <w:highlight w:val="none"/>
        </w:rPr>
        <w:t>日期：  年  月  日</w:t>
      </w:r>
    </w:p>
    <w:p>
      <w:pPr>
        <w:pStyle w:val="25"/>
        <w:rPr>
          <w:rFonts w:ascii="仿宋_GB2312" w:hAnsi="仿宋_GB2312" w:eastAsia="仿宋_GB2312" w:cs="仿宋_GB2312"/>
          <w:bCs/>
          <w:color w:val="auto"/>
          <w:sz w:val="28"/>
          <w:szCs w:val="28"/>
          <w:highlight w:val="none"/>
        </w:rPr>
      </w:pPr>
    </w:p>
    <w:p>
      <w:pPr>
        <w:pStyle w:val="25"/>
        <w:rPr>
          <w:rFonts w:ascii="仿宋_GB2312" w:hAnsi="仿宋_GB2312" w:eastAsia="仿宋_GB2312" w:cs="仿宋_GB2312"/>
          <w:bCs/>
          <w:color w:val="auto"/>
          <w:sz w:val="28"/>
          <w:szCs w:val="28"/>
          <w:highlight w:val="none"/>
        </w:rPr>
      </w:pPr>
    </w:p>
    <w:p>
      <w:pPr>
        <w:pStyle w:val="25"/>
        <w:rPr>
          <w:rFonts w:ascii="仿宋_GB2312" w:hAnsi="仿宋_GB2312" w:eastAsia="仿宋_GB2312" w:cs="仿宋_GB2312"/>
          <w:bCs/>
          <w:color w:val="auto"/>
          <w:sz w:val="28"/>
          <w:szCs w:val="28"/>
          <w:highlight w:val="none"/>
        </w:rPr>
      </w:pPr>
    </w:p>
    <w:p>
      <w:pPr>
        <w:pStyle w:val="25"/>
        <w:rPr>
          <w:rFonts w:ascii="仿宋_GB2312" w:hAnsi="仿宋_GB2312" w:eastAsia="仿宋_GB2312" w:cs="仿宋_GB2312"/>
          <w:bCs/>
          <w:color w:val="auto"/>
          <w:sz w:val="28"/>
          <w:szCs w:val="28"/>
          <w:highlight w:val="none"/>
        </w:rPr>
      </w:pPr>
    </w:p>
    <w:p>
      <w:pPr>
        <w:pStyle w:val="25"/>
        <w:rPr>
          <w:rFonts w:ascii="仿宋_GB2312" w:hAnsi="仿宋_GB2312" w:eastAsia="仿宋_GB2312" w:cs="仿宋_GB2312"/>
          <w:bCs/>
          <w:color w:val="auto"/>
          <w:sz w:val="28"/>
          <w:szCs w:val="28"/>
          <w:highlight w:val="none"/>
        </w:rPr>
      </w:pPr>
    </w:p>
    <w:p>
      <w:pPr>
        <w:pStyle w:val="25"/>
        <w:rPr>
          <w:rFonts w:ascii="仿宋_GB2312" w:hAnsi="仿宋_GB2312" w:eastAsia="仿宋_GB2312" w:cs="仿宋_GB2312"/>
          <w:bCs/>
          <w:color w:val="auto"/>
          <w:sz w:val="28"/>
          <w:szCs w:val="28"/>
          <w:highlight w:val="none"/>
        </w:rPr>
      </w:pPr>
    </w:p>
    <w:p>
      <w:pPr>
        <w:pStyle w:val="25"/>
        <w:rPr>
          <w:rFonts w:ascii="仿宋_GB2312" w:hAnsi="仿宋_GB2312" w:eastAsia="仿宋_GB2312" w:cs="仿宋_GB2312"/>
          <w:bCs/>
          <w:color w:val="auto"/>
          <w:sz w:val="28"/>
          <w:szCs w:val="28"/>
          <w:highlight w:val="none"/>
        </w:rPr>
      </w:pPr>
    </w:p>
    <w:p>
      <w:pPr>
        <w:pStyle w:val="25"/>
        <w:rPr>
          <w:rFonts w:ascii="仿宋_GB2312" w:hAnsi="仿宋_GB2312" w:eastAsia="仿宋_GB2312" w:cs="仿宋_GB2312"/>
          <w:bCs/>
          <w:color w:val="auto"/>
          <w:sz w:val="28"/>
          <w:szCs w:val="28"/>
          <w:highlight w:val="none"/>
        </w:rPr>
      </w:pPr>
    </w:p>
    <w:p>
      <w:pPr>
        <w:pStyle w:val="25"/>
        <w:ind w:firstLine="0"/>
        <w:rPr>
          <w:rFonts w:ascii="仿宋_GB2312" w:hAnsi="仿宋_GB2312" w:eastAsia="仿宋_GB2312" w:cs="仿宋_GB2312"/>
          <w:bCs/>
          <w:color w:val="auto"/>
          <w:sz w:val="28"/>
          <w:szCs w:val="28"/>
          <w:highlight w:val="none"/>
        </w:rPr>
      </w:pPr>
    </w:p>
    <w:p>
      <w:pPr>
        <w:pStyle w:val="25"/>
        <w:ind w:firstLine="0"/>
        <w:rPr>
          <w:rFonts w:ascii="仿宋_GB2312" w:hAnsi="仿宋_GB2312" w:eastAsia="仿宋_GB2312" w:cs="仿宋_GB2312"/>
          <w:bCs/>
          <w:color w:val="auto"/>
          <w:sz w:val="28"/>
          <w:szCs w:val="28"/>
          <w:highlight w:val="none"/>
        </w:rPr>
      </w:pPr>
    </w:p>
    <w:p>
      <w:pPr>
        <w:pStyle w:val="25"/>
        <w:ind w:firstLine="0"/>
        <w:rPr>
          <w:rFonts w:cs="宋体"/>
          <w:b/>
          <w:szCs w:val="21"/>
          <w:highlight w:val="none"/>
        </w:rPr>
      </w:pPr>
    </w:p>
    <w:p>
      <w:pPr>
        <w:spacing w:line="360" w:lineRule="auto"/>
        <w:rPr>
          <w:rFonts w:hint="eastAsia" w:ascii="宋体" w:hAnsi="宋体" w:cs="宋体"/>
          <w:b/>
          <w:szCs w:val="21"/>
          <w:highlight w:val="none"/>
        </w:rPr>
      </w:pPr>
    </w:p>
    <w:p>
      <w:pPr>
        <w:spacing w:line="360" w:lineRule="auto"/>
        <w:rPr>
          <w:rFonts w:hint="eastAsia" w:ascii="宋体" w:hAnsi="宋体" w:cs="宋体"/>
          <w:b/>
          <w:szCs w:val="21"/>
          <w:highlight w:val="none"/>
        </w:rPr>
      </w:pPr>
    </w:p>
    <w:p>
      <w:pPr>
        <w:spacing w:line="360" w:lineRule="auto"/>
        <w:rPr>
          <w:rFonts w:hint="eastAsia" w:ascii="宋体" w:hAnsi="宋体" w:cs="宋体"/>
          <w:b/>
          <w:szCs w:val="21"/>
          <w:highlight w:val="none"/>
        </w:rPr>
      </w:pPr>
    </w:p>
    <w:p>
      <w:pPr>
        <w:spacing w:line="360" w:lineRule="auto"/>
        <w:rPr>
          <w:rFonts w:ascii="宋体" w:hAnsi="宋体" w:cs="宋体"/>
          <w:b/>
          <w:szCs w:val="21"/>
          <w:highlight w:val="none"/>
        </w:rPr>
      </w:pPr>
      <w:r>
        <w:rPr>
          <w:rFonts w:hint="eastAsia" w:ascii="宋体" w:hAnsi="宋体" w:cs="宋体"/>
          <w:b/>
          <w:szCs w:val="21"/>
          <w:highlight w:val="none"/>
        </w:rPr>
        <w:t>附件</w:t>
      </w:r>
      <w:r>
        <w:rPr>
          <w:rFonts w:hint="eastAsia" w:ascii="宋体" w:hAnsi="宋体" w:cs="宋体"/>
          <w:b/>
          <w:szCs w:val="21"/>
          <w:highlight w:val="none"/>
          <w:lang w:val="en-US" w:eastAsia="zh-CN"/>
        </w:rPr>
        <w:t>3</w:t>
      </w:r>
      <w:r>
        <w:rPr>
          <w:rFonts w:hint="eastAsia" w:ascii="宋体" w:hAnsi="宋体" w:cs="宋体"/>
          <w:b/>
          <w:szCs w:val="21"/>
          <w:highlight w:val="none"/>
        </w:rPr>
        <w:t>：安全管理协议书</w:t>
      </w:r>
    </w:p>
    <w:p>
      <w:pPr>
        <w:spacing w:line="360" w:lineRule="auto"/>
        <w:jc w:val="center"/>
        <w:rPr>
          <w:rFonts w:ascii="宋体" w:hAnsi="宋体" w:cs="宋体"/>
          <w:b/>
          <w:bCs/>
          <w:sz w:val="24"/>
          <w:highlight w:val="none"/>
        </w:rPr>
      </w:pPr>
    </w:p>
    <w:p>
      <w:pPr>
        <w:spacing w:line="560" w:lineRule="exact"/>
        <w:jc w:val="center"/>
        <w:rPr>
          <w:rFonts w:ascii="黑体" w:hAnsi="Batang" w:eastAsia="黑体" w:cs="Batang"/>
          <w:bCs/>
          <w:kern w:val="0"/>
          <w:sz w:val="44"/>
          <w:szCs w:val="44"/>
          <w:highlight w:val="none"/>
        </w:rPr>
      </w:pPr>
      <w:r>
        <w:rPr>
          <w:rFonts w:hint="eastAsia" w:ascii="黑体" w:hAnsi="Batang" w:eastAsia="黑体" w:cs="Batang"/>
          <w:bCs/>
          <w:kern w:val="0"/>
          <w:sz w:val="44"/>
          <w:szCs w:val="44"/>
          <w:highlight w:val="none"/>
        </w:rPr>
        <w:t>营运场所施工安全协议书</w:t>
      </w:r>
    </w:p>
    <w:p>
      <w:pPr>
        <w:spacing w:line="560" w:lineRule="exact"/>
        <w:rPr>
          <w:rFonts w:ascii="仿宋_GB2312" w:hAnsi="宋体" w:eastAsia="仿宋_GB2312"/>
          <w:sz w:val="24"/>
          <w:highlight w:val="none"/>
        </w:rPr>
      </w:pPr>
    </w:p>
    <w:p>
      <w:pPr>
        <w:spacing w:line="560" w:lineRule="exact"/>
        <w:rPr>
          <w:rFonts w:ascii="宋体" w:hAnsi="宋体" w:cs="Arial"/>
          <w:kern w:val="0"/>
          <w:sz w:val="24"/>
          <w:highlight w:val="none"/>
        </w:rPr>
      </w:pPr>
      <w:r>
        <w:rPr>
          <w:rFonts w:hint="eastAsia" w:ascii="宋体" w:hAnsi="宋体" w:cs="Arial"/>
          <w:kern w:val="0"/>
          <w:sz w:val="24"/>
          <w:highlight w:val="none"/>
        </w:rPr>
        <w:t>甲方：</w:t>
      </w:r>
      <w:r>
        <w:rPr>
          <w:rFonts w:hint="eastAsia"/>
          <w:sz w:val="24"/>
          <w:highlight w:val="none"/>
        </w:rPr>
        <w:t>广州市净水有限公司</w:t>
      </w:r>
    </w:p>
    <w:p>
      <w:pPr>
        <w:spacing w:line="560" w:lineRule="exact"/>
        <w:rPr>
          <w:rFonts w:ascii="宋体" w:hAnsi="宋体" w:cs="Arial"/>
          <w:kern w:val="0"/>
          <w:sz w:val="24"/>
          <w:highlight w:val="none"/>
        </w:rPr>
      </w:pPr>
      <w:r>
        <w:rPr>
          <w:rFonts w:hint="eastAsia" w:ascii="宋体" w:hAnsi="宋体" w:cs="Arial"/>
          <w:kern w:val="0"/>
          <w:sz w:val="24"/>
          <w:highlight w:val="none"/>
        </w:rPr>
        <w:t xml:space="preserve">乙方： </w:t>
      </w:r>
    </w:p>
    <w:p>
      <w:pPr>
        <w:adjustRightInd w:val="0"/>
        <w:snapToGrid w:val="0"/>
        <w:spacing w:line="560" w:lineRule="exact"/>
        <w:jc w:val="left"/>
        <w:rPr>
          <w:rStyle w:val="29"/>
          <w:rFonts w:asciiTheme="minorEastAsia" w:hAnsiTheme="minorEastAsia" w:eastAsiaTheme="minorEastAsia"/>
          <w:b w:val="0"/>
          <w:highlight w:val="none"/>
          <w:u w:val="single"/>
        </w:rPr>
      </w:pPr>
    </w:p>
    <w:p>
      <w:pPr>
        <w:adjustRightInd w:val="0"/>
        <w:snapToGrid w:val="0"/>
        <w:spacing w:line="560" w:lineRule="exact"/>
        <w:ind w:firstLine="480" w:firstLineChars="200"/>
        <w:jc w:val="left"/>
        <w:rPr>
          <w:rFonts w:asciiTheme="minorEastAsia" w:hAnsiTheme="minorEastAsia"/>
          <w:sz w:val="24"/>
          <w:highlight w:val="none"/>
        </w:rPr>
      </w:pPr>
      <w:r>
        <w:rPr>
          <w:rFonts w:hint="eastAsia" w:asciiTheme="minorEastAsia" w:hAnsiTheme="minorEastAsia"/>
          <w:sz w:val="24"/>
          <w:highlight w:val="none"/>
        </w:rPr>
        <w:t>根据《中华人民共和国安全生产法》《中华人民共和国建筑法》《建设工程安全生产管理条例》《生产安全事故报告和调查处理条例》《中华人民共和国职业病防治法》《工作场所职业卫生</w:t>
      </w:r>
      <w:r>
        <w:rPr>
          <w:rFonts w:hint="eastAsia" w:asciiTheme="minorEastAsia" w:hAnsiTheme="minorEastAsia"/>
          <w:sz w:val="24"/>
          <w:highlight w:val="none"/>
          <w:lang w:val="en-US" w:eastAsia="zh-CN"/>
        </w:rPr>
        <w:t>监督</w:t>
      </w:r>
      <w:r>
        <w:rPr>
          <w:rFonts w:hint="eastAsia" w:asciiTheme="minorEastAsia" w:hAnsiTheme="minorEastAsia"/>
          <w:sz w:val="24"/>
          <w:highlight w:val="none"/>
        </w:rPr>
        <w:t>管理规定》《用人单位职业健康监护监督管理办法》《广州市职业卫生监督管理规定》等法律法规, 经双方协商，签订本协议书，以明确各自的安全生产、职业卫生责任并共同遵守。</w:t>
      </w:r>
    </w:p>
    <w:p>
      <w:pPr>
        <w:adjustRightInd w:val="0"/>
        <w:snapToGrid w:val="0"/>
        <w:spacing w:line="560" w:lineRule="exact"/>
        <w:ind w:firstLine="482" w:firstLineChars="200"/>
        <w:jc w:val="left"/>
        <w:rPr>
          <w:rFonts w:asciiTheme="minorEastAsia" w:hAnsiTheme="minorEastAsia"/>
          <w:b/>
          <w:sz w:val="24"/>
          <w:highlight w:val="none"/>
        </w:rPr>
      </w:pPr>
      <w:r>
        <w:rPr>
          <w:rFonts w:hint="eastAsia" w:asciiTheme="minorEastAsia" w:hAnsiTheme="minorEastAsia"/>
          <w:b/>
          <w:sz w:val="24"/>
          <w:highlight w:val="none"/>
        </w:rPr>
        <w:t>一、本协议与主合同的关系</w:t>
      </w:r>
    </w:p>
    <w:p>
      <w:pPr>
        <w:adjustRightInd w:val="0"/>
        <w:snapToGrid w:val="0"/>
        <w:spacing w:line="560" w:lineRule="exact"/>
        <w:ind w:firstLine="480" w:firstLineChars="200"/>
        <w:jc w:val="left"/>
        <w:rPr>
          <w:rFonts w:asciiTheme="minorEastAsia" w:hAnsiTheme="minorEastAsia"/>
          <w:sz w:val="24"/>
          <w:highlight w:val="none"/>
        </w:rPr>
      </w:pPr>
      <w:r>
        <w:rPr>
          <w:rFonts w:hint="eastAsia" w:asciiTheme="minorEastAsia" w:hAnsiTheme="minorEastAsia"/>
          <w:sz w:val="24"/>
          <w:highlight w:val="none"/>
        </w:rPr>
        <w:t>本协议作为</w:t>
      </w:r>
      <w:r>
        <w:rPr>
          <w:rFonts w:hint="eastAsia" w:asciiTheme="minorEastAsia" w:hAnsiTheme="minorEastAsia"/>
          <w:sz w:val="24"/>
          <w:highlight w:val="none"/>
          <w:u w:val="single"/>
        </w:rPr>
        <w:t xml:space="preserve">  </w:t>
      </w:r>
      <w:r>
        <w:rPr>
          <w:rFonts w:hint="eastAsia" w:asciiTheme="minorEastAsia" w:hAnsiTheme="minorEastAsia"/>
          <w:sz w:val="24"/>
          <w:highlight w:val="none"/>
          <w:u w:val="single"/>
          <w:lang w:val="en-US" w:eastAsia="zh-CN"/>
        </w:rPr>
        <w:t xml:space="preserve">合同名称+合同编号     </w:t>
      </w:r>
      <w:r>
        <w:rPr>
          <w:rFonts w:hint="eastAsia" w:asciiTheme="minorEastAsia" w:hAnsiTheme="minorEastAsia"/>
          <w:sz w:val="24"/>
          <w:highlight w:val="none"/>
          <w:u w:val="single"/>
        </w:rPr>
        <w:t xml:space="preserve">      </w:t>
      </w:r>
      <w:r>
        <w:rPr>
          <w:rFonts w:hint="eastAsia" w:asciiTheme="minorEastAsia" w:hAnsiTheme="minorEastAsia"/>
          <w:sz w:val="24"/>
          <w:highlight w:val="none"/>
        </w:rPr>
        <w:t>的组成部分，与主合同具有同等法律效力。</w:t>
      </w:r>
    </w:p>
    <w:p>
      <w:pPr>
        <w:adjustRightInd w:val="0"/>
        <w:snapToGrid w:val="0"/>
        <w:spacing w:line="560" w:lineRule="exact"/>
        <w:ind w:firstLine="482" w:firstLineChars="200"/>
        <w:jc w:val="left"/>
        <w:rPr>
          <w:rFonts w:asciiTheme="minorEastAsia" w:hAnsiTheme="minorEastAsia"/>
          <w:b/>
          <w:sz w:val="24"/>
          <w:highlight w:val="none"/>
        </w:rPr>
      </w:pPr>
      <w:r>
        <w:rPr>
          <w:rFonts w:asciiTheme="minorEastAsia" w:hAnsiTheme="minorEastAsia"/>
          <w:b/>
          <w:sz w:val="24"/>
          <w:highlight w:val="none"/>
        </w:rPr>
        <w:t xml:space="preserve"> 二、</w:t>
      </w:r>
      <w:r>
        <w:rPr>
          <w:rFonts w:hint="eastAsia" w:asciiTheme="minorEastAsia" w:hAnsiTheme="minorEastAsia"/>
          <w:b/>
          <w:sz w:val="24"/>
          <w:highlight w:val="none"/>
        </w:rPr>
        <w:t>甲方权责</w:t>
      </w:r>
    </w:p>
    <w:p>
      <w:pPr>
        <w:adjustRightInd w:val="0"/>
        <w:snapToGrid w:val="0"/>
        <w:spacing w:line="560" w:lineRule="exact"/>
        <w:ind w:firstLine="480" w:firstLineChars="200"/>
        <w:jc w:val="left"/>
        <w:rPr>
          <w:rFonts w:asciiTheme="minorEastAsia" w:hAnsiTheme="minorEastAsia"/>
          <w:sz w:val="24"/>
          <w:highlight w:val="none"/>
        </w:rPr>
      </w:pPr>
      <w:r>
        <w:rPr>
          <w:rFonts w:hint="eastAsia" w:asciiTheme="minorEastAsia" w:hAnsiTheme="minorEastAsia"/>
          <w:sz w:val="24"/>
          <w:highlight w:val="none"/>
        </w:rPr>
        <w:t>（一）在甲方生产营运场所内施工的，告知乙方该场所已知存在的安全风险，并要求乙方在作业前应重新识别现场的安全风险并采取措施进行管控。</w:t>
      </w:r>
    </w:p>
    <w:p>
      <w:pPr>
        <w:adjustRightInd w:val="0"/>
        <w:snapToGrid w:val="0"/>
        <w:spacing w:line="560" w:lineRule="exact"/>
        <w:ind w:firstLine="480" w:firstLineChars="200"/>
        <w:jc w:val="left"/>
        <w:rPr>
          <w:rFonts w:asciiTheme="minorEastAsia" w:hAnsiTheme="minorEastAsia"/>
          <w:sz w:val="24"/>
          <w:highlight w:val="none"/>
        </w:rPr>
      </w:pPr>
      <w:r>
        <w:rPr>
          <w:rFonts w:hint="eastAsia" w:asciiTheme="minorEastAsia" w:hAnsiTheme="minorEastAsia"/>
          <w:sz w:val="24"/>
          <w:highlight w:val="none"/>
        </w:rPr>
        <w:t>（二）落实生产营运等相关配合措施，提供必要的施工条件。</w:t>
      </w:r>
    </w:p>
    <w:p>
      <w:pPr>
        <w:adjustRightInd w:val="0"/>
        <w:snapToGrid w:val="0"/>
        <w:spacing w:line="560" w:lineRule="exact"/>
        <w:ind w:firstLine="480" w:firstLineChars="200"/>
        <w:jc w:val="left"/>
        <w:rPr>
          <w:rFonts w:asciiTheme="minorEastAsia" w:hAnsiTheme="minorEastAsia"/>
          <w:sz w:val="24"/>
          <w:highlight w:val="none"/>
        </w:rPr>
      </w:pPr>
      <w:r>
        <w:rPr>
          <w:rFonts w:hint="eastAsia" w:asciiTheme="minorEastAsia" w:hAnsiTheme="minorEastAsia"/>
          <w:sz w:val="24"/>
          <w:highlight w:val="none"/>
        </w:rPr>
        <w:t>（三）要求乙方遵守的甲方安全管理要求。</w:t>
      </w:r>
    </w:p>
    <w:p>
      <w:pPr>
        <w:adjustRightInd w:val="0"/>
        <w:snapToGrid w:val="0"/>
        <w:spacing w:line="560" w:lineRule="exact"/>
        <w:ind w:firstLine="480" w:firstLineChars="200"/>
        <w:jc w:val="left"/>
        <w:rPr>
          <w:rFonts w:asciiTheme="minorEastAsia" w:hAnsiTheme="minorEastAsia"/>
          <w:sz w:val="24"/>
          <w:highlight w:val="none"/>
        </w:rPr>
      </w:pPr>
      <w:r>
        <w:rPr>
          <w:rFonts w:hint="eastAsia" w:asciiTheme="minorEastAsia" w:hAnsiTheme="minorEastAsia"/>
          <w:sz w:val="24"/>
          <w:highlight w:val="none"/>
        </w:rPr>
        <w:t>（四）有权对乙方安全措施投入、现场安全施工情况等进行安全监督检查，并提出整改。</w:t>
      </w:r>
    </w:p>
    <w:p>
      <w:pPr>
        <w:adjustRightInd w:val="0"/>
        <w:snapToGrid w:val="0"/>
        <w:spacing w:line="560" w:lineRule="exact"/>
        <w:ind w:firstLine="480" w:firstLineChars="200"/>
        <w:jc w:val="left"/>
        <w:rPr>
          <w:rFonts w:asciiTheme="minorEastAsia" w:hAnsiTheme="minorEastAsia"/>
          <w:sz w:val="24"/>
          <w:highlight w:val="none"/>
        </w:rPr>
      </w:pPr>
      <w:r>
        <w:rPr>
          <w:rFonts w:hint="eastAsia" w:asciiTheme="minorEastAsia" w:hAnsiTheme="minorEastAsia"/>
          <w:sz w:val="24"/>
          <w:highlight w:val="none"/>
        </w:rPr>
        <w:t>（五）按照《广州市净水有限公司工程项目安全管理规范》等办法对乙方进行施工安全管理评价。</w:t>
      </w:r>
    </w:p>
    <w:p>
      <w:pPr>
        <w:adjustRightInd w:val="0"/>
        <w:snapToGrid w:val="0"/>
        <w:spacing w:line="560" w:lineRule="exact"/>
        <w:ind w:firstLine="480" w:firstLineChars="200"/>
        <w:jc w:val="left"/>
        <w:rPr>
          <w:rFonts w:asciiTheme="minorEastAsia" w:hAnsiTheme="minorEastAsia"/>
          <w:sz w:val="24"/>
          <w:highlight w:val="none"/>
        </w:rPr>
      </w:pPr>
      <w:r>
        <w:rPr>
          <w:rFonts w:hint="eastAsia" w:asciiTheme="minorEastAsia" w:hAnsiTheme="minorEastAsia"/>
          <w:sz w:val="24"/>
          <w:highlight w:val="none"/>
        </w:rPr>
        <w:t>（六）对于乙方不服从甲方管理，违反安全生产管理规定等违约行为的，甲方有权对乙方采取以下一种或以上的方式处理：</w:t>
      </w:r>
    </w:p>
    <w:p>
      <w:pPr>
        <w:adjustRightInd w:val="0"/>
        <w:snapToGrid w:val="0"/>
        <w:spacing w:line="560" w:lineRule="exact"/>
        <w:ind w:firstLine="480" w:firstLineChars="200"/>
        <w:jc w:val="left"/>
        <w:rPr>
          <w:rFonts w:asciiTheme="minorEastAsia" w:hAnsiTheme="minorEastAsia"/>
          <w:sz w:val="24"/>
          <w:highlight w:val="none"/>
        </w:rPr>
      </w:pPr>
      <w:r>
        <w:rPr>
          <w:rFonts w:asciiTheme="minorEastAsia" w:hAnsiTheme="minorEastAsia"/>
          <w:sz w:val="24"/>
          <w:highlight w:val="none"/>
        </w:rPr>
        <w:t>1.</w:t>
      </w:r>
      <w:r>
        <w:rPr>
          <w:rFonts w:hint="eastAsia" w:asciiTheme="minorEastAsia" w:hAnsiTheme="minorEastAsia"/>
          <w:sz w:val="24"/>
          <w:highlight w:val="none"/>
        </w:rPr>
        <w:t>按主合同相关条款进行经济扣罚；</w:t>
      </w:r>
    </w:p>
    <w:p>
      <w:pPr>
        <w:adjustRightInd w:val="0"/>
        <w:snapToGrid w:val="0"/>
        <w:spacing w:line="560" w:lineRule="exact"/>
        <w:ind w:firstLine="480" w:firstLineChars="200"/>
        <w:jc w:val="left"/>
        <w:rPr>
          <w:rFonts w:asciiTheme="minorEastAsia" w:hAnsiTheme="minorEastAsia"/>
          <w:sz w:val="24"/>
          <w:highlight w:val="none"/>
        </w:rPr>
      </w:pPr>
      <w:r>
        <w:rPr>
          <w:rFonts w:asciiTheme="minorEastAsia" w:hAnsiTheme="minorEastAsia"/>
          <w:sz w:val="24"/>
          <w:highlight w:val="none"/>
        </w:rPr>
        <w:t>2.</w:t>
      </w:r>
      <w:r>
        <w:rPr>
          <w:rFonts w:hint="eastAsia" w:asciiTheme="minorEastAsia" w:hAnsiTheme="minorEastAsia"/>
          <w:sz w:val="24"/>
          <w:highlight w:val="none"/>
        </w:rPr>
        <w:t>根据《广州市水务局关于印发广州市水务工程施工和监理企业诚信评价管理办法的通知》（穗水建设〔2</w:t>
      </w:r>
      <w:r>
        <w:rPr>
          <w:rFonts w:asciiTheme="minorEastAsia" w:hAnsiTheme="minorEastAsia"/>
          <w:sz w:val="24"/>
          <w:highlight w:val="none"/>
        </w:rPr>
        <w:t>014</w:t>
      </w:r>
      <w:r>
        <w:rPr>
          <w:rFonts w:hint="eastAsia" w:asciiTheme="minorEastAsia" w:hAnsiTheme="minorEastAsia"/>
          <w:sz w:val="24"/>
          <w:highlight w:val="none"/>
        </w:rPr>
        <w:t>〕1</w:t>
      </w:r>
      <w:r>
        <w:rPr>
          <w:rFonts w:asciiTheme="minorEastAsia" w:hAnsiTheme="minorEastAsia"/>
          <w:sz w:val="24"/>
          <w:highlight w:val="none"/>
        </w:rPr>
        <w:t>0</w:t>
      </w:r>
      <w:r>
        <w:rPr>
          <w:rFonts w:hint="eastAsia" w:asciiTheme="minorEastAsia" w:hAnsiTheme="minorEastAsia"/>
          <w:sz w:val="24"/>
          <w:highlight w:val="none"/>
        </w:rPr>
        <w:t>号）、《市净水公司关于印发施工和监理企业诚信评价工作实施办法的通知》（穗净水〔201</w:t>
      </w:r>
      <w:r>
        <w:rPr>
          <w:rFonts w:asciiTheme="minorEastAsia" w:hAnsiTheme="minorEastAsia"/>
          <w:sz w:val="24"/>
          <w:highlight w:val="none"/>
        </w:rPr>
        <w:t>5</w:t>
      </w:r>
      <w:r>
        <w:rPr>
          <w:rFonts w:hint="eastAsia" w:asciiTheme="minorEastAsia" w:hAnsiTheme="minorEastAsia"/>
          <w:sz w:val="24"/>
          <w:highlight w:val="none"/>
        </w:rPr>
        <w:t>〕2</w:t>
      </w:r>
      <w:r>
        <w:rPr>
          <w:rFonts w:asciiTheme="minorEastAsia" w:hAnsiTheme="minorEastAsia"/>
          <w:sz w:val="24"/>
          <w:highlight w:val="none"/>
        </w:rPr>
        <w:t>40</w:t>
      </w:r>
      <w:r>
        <w:rPr>
          <w:rFonts w:hint="eastAsia" w:asciiTheme="minorEastAsia" w:hAnsiTheme="minorEastAsia"/>
          <w:sz w:val="24"/>
          <w:highlight w:val="none"/>
        </w:rPr>
        <w:t>号），进行诚信扣分（合同期内有新的文件印发的，按照最新的文件执行）；</w:t>
      </w:r>
    </w:p>
    <w:p>
      <w:pPr>
        <w:adjustRightInd w:val="0"/>
        <w:snapToGrid w:val="0"/>
        <w:spacing w:line="560" w:lineRule="exact"/>
        <w:ind w:firstLine="480" w:firstLineChars="200"/>
        <w:jc w:val="left"/>
        <w:rPr>
          <w:rFonts w:asciiTheme="minorEastAsia" w:hAnsiTheme="minorEastAsia"/>
          <w:sz w:val="24"/>
          <w:highlight w:val="none"/>
        </w:rPr>
      </w:pPr>
      <w:r>
        <w:rPr>
          <w:rFonts w:hint="eastAsia" w:asciiTheme="minorEastAsia" w:hAnsiTheme="minorEastAsia"/>
          <w:sz w:val="24"/>
          <w:highlight w:val="none"/>
        </w:rPr>
        <w:t>3</w:t>
      </w:r>
      <w:r>
        <w:rPr>
          <w:rFonts w:asciiTheme="minorEastAsia" w:hAnsiTheme="minorEastAsia"/>
          <w:sz w:val="24"/>
          <w:highlight w:val="none"/>
        </w:rPr>
        <w:t>.</w:t>
      </w:r>
      <w:r>
        <w:rPr>
          <w:rFonts w:hint="eastAsia" w:asciiTheme="minorEastAsia" w:hAnsiTheme="minorEastAsia"/>
          <w:sz w:val="24"/>
          <w:highlight w:val="none"/>
        </w:rPr>
        <w:t>限制投保，或经其他单位承包后以分别方参与项目实施；</w:t>
      </w:r>
    </w:p>
    <w:p>
      <w:pPr>
        <w:adjustRightInd w:val="0"/>
        <w:snapToGrid w:val="0"/>
        <w:spacing w:line="560" w:lineRule="exact"/>
        <w:ind w:firstLine="480" w:firstLineChars="200"/>
        <w:jc w:val="left"/>
        <w:rPr>
          <w:rFonts w:asciiTheme="minorEastAsia" w:hAnsiTheme="minorEastAsia"/>
          <w:sz w:val="24"/>
          <w:highlight w:val="none"/>
        </w:rPr>
      </w:pPr>
      <w:r>
        <w:rPr>
          <w:rFonts w:asciiTheme="minorEastAsia" w:hAnsiTheme="minorEastAsia"/>
          <w:sz w:val="24"/>
          <w:highlight w:val="none"/>
        </w:rPr>
        <w:t>4.</w:t>
      </w:r>
      <w:r>
        <w:rPr>
          <w:rFonts w:hint="eastAsia" w:asciiTheme="minorEastAsia" w:hAnsiTheme="minorEastAsia"/>
          <w:sz w:val="24"/>
          <w:highlight w:val="none"/>
        </w:rPr>
        <w:t>向上级进行反映，包括但不限于广东省市政行业协会、广州市市政公路协会等。</w:t>
      </w:r>
    </w:p>
    <w:p>
      <w:pPr>
        <w:spacing w:line="560" w:lineRule="exact"/>
        <w:ind w:firstLine="480" w:firstLineChars="200"/>
        <w:rPr>
          <w:rFonts w:ascii="宋体" w:hAnsi="宋体" w:cs="Arial"/>
          <w:kern w:val="0"/>
          <w:sz w:val="24"/>
          <w:highlight w:val="none"/>
        </w:rPr>
      </w:pPr>
      <w:r>
        <w:rPr>
          <w:rFonts w:hint="eastAsia" w:ascii="宋体" w:hAnsi="宋体" w:cs="Arial"/>
          <w:kern w:val="0"/>
          <w:sz w:val="24"/>
          <w:highlight w:val="none"/>
        </w:rPr>
        <w:t>（七）乙方对存在问题拒不整改的，或存在弄虚作假情况的，视为违约，甲方有权按主合同相关条款对乙方进行违约金扣罚。如乙方拒不缴纳违约金的，甲方有权在履约保证金中扣除。</w:t>
      </w:r>
    </w:p>
    <w:p>
      <w:pPr>
        <w:adjustRightInd w:val="0"/>
        <w:snapToGrid w:val="0"/>
        <w:spacing w:line="560" w:lineRule="exact"/>
        <w:ind w:firstLine="482" w:firstLineChars="200"/>
        <w:jc w:val="left"/>
        <w:rPr>
          <w:rFonts w:asciiTheme="minorEastAsia" w:hAnsiTheme="minorEastAsia"/>
          <w:b/>
          <w:sz w:val="24"/>
          <w:highlight w:val="none"/>
        </w:rPr>
      </w:pPr>
      <w:r>
        <w:rPr>
          <w:rFonts w:hint="eastAsia" w:asciiTheme="minorEastAsia" w:hAnsiTheme="minorEastAsia"/>
          <w:b/>
          <w:sz w:val="24"/>
          <w:highlight w:val="none"/>
        </w:rPr>
        <w:t>三、乙方权责</w:t>
      </w:r>
    </w:p>
    <w:p>
      <w:pPr>
        <w:adjustRightInd w:val="0"/>
        <w:snapToGrid w:val="0"/>
        <w:spacing w:line="560" w:lineRule="exact"/>
        <w:ind w:firstLine="480" w:firstLineChars="200"/>
        <w:jc w:val="left"/>
        <w:rPr>
          <w:rFonts w:asciiTheme="minorEastAsia" w:hAnsiTheme="minorEastAsia"/>
          <w:sz w:val="24"/>
          <w:highlight w:val="none"/>
        </w:rPr>
      </w:pPr>
      <w:r>
        <w:rPr>
          <w:rFonts w:hint="eastAsia" w:asciiTheme="minorEastAsia" w:hAnsiTheme="minorEastAsia"/>
          <w:sz w:val="24"/>
          <w:highlight w:val="none"/>
        </w:rPr>
        <w:t>（一）在施工前重新识别现场的安全风险并采取措施进行管控。大型机械设备进场，需提前对设备行走、运输路线进行勘查，确保行走、运输过程中不会造成各种设施的破坏或二次事故。</w:t>
      </w:r>
    </w:p>
    <w:p>
      <w:pPr>
        <w:adjustRightInd w:val="0"/>
        <w:snapToGrid w:val="0"/>
        <w:spacing w:line="560" w:lineRule="exact"/>
        <w:ind w:firstLine="480" w:firstLineChars="200"/>
        <w:jc w:val="left"/>
        <w:rPr>
          <w:rFonts w:asciiTheme="minorEastAsia" w:hAnsiTheme="minorEastAsia"/>
          <w:sz w:val="24"/>
          <w:highlight w:val="none"/>
        </w:rPr>
      </w:pPr>
      <w:r>
        <w:rPr>
          <w:rFonts w:hint="eastAsia" w:asciiTheme="minorEastAsia" w:hAnsiTheme="minorEastAsia"/>
          <w:sz w:val="24"/>
          <w:highlight w:val="none"/>
        </w:rPr>
        <w:t>（二）严格执行国家、地方和行业主管部门关于施工的强制性标准、地方行政法规、管理要求。</w:t>
      </w:r>
    </w:p>
    <w:p>
      <w:pPr>
        <w:adjustRightInd w:val="0"/>
        <w:snapToGrid w:val="0"/>
        <w:spacing w:line="560" w:lineRule="exact"/>
        <w:ind w:firstLine="480" w:firstLineChars="200"/>
        <w:jc w:val="left"/>
        <w:rPr>
          <w:rFonts w:asciiTheme="minorEastAsia" w:hAnsiTheme="minorEastAsia"/>
          <w:sz w:val="24"/>
          <w:highlight w:val="none"/>
        </w:rPr>
      </w:pPr>
      <w:r>
        <w:rPr>
          <w:rFonts w:hint="eastAsia" w:asciiTheme="minorEastAsia" w:hAnsiTheme="minorEastAsia"/>
          <w:sz w:val="24"/>
          <w:highlight w:val="none"/>
        </w:rPr>
        <w:t>依法为施工现场作业的人员办理意外伤害保险、购买安全生产责任保险。</w:t>
      </w:r>
    </w:p>
    <w:p>
      <w:pPr>
        <w:adjustRightInd w:val="0"/>
        <w:snapToGrid w:val="0"/>
        <w:spacing w:line="560" w:lineRule="exact"/>
        <w:ind w:firstLine="480" w:firstLineChars="200"/>
        <w:jc w:val="left"/>
        <w:rPr>
          <w:rFonts w:asciiTheme="minorEastAsia" w:hAnsiTheme="minorEastAsia"/>
          <w:sz w:val="24"/>
          <w:highlight w:val="none"/>
        </w:rPr>
      </w:pPr>
      <w:r>
        <w:rPr>
          <w:rFonts w:hint="eastAsia" w:asciiTheme="minorEastAsia" w:hAnsiTheme="minorEastAsia"/>
          <w:sz w:val="24"/>
          <w:highlight w:val="none"/>
        </w:rPr>
        <w:t>（三）乙方应在合同签订后</w:t>
      </w:r>
      <w:r>
        <w:rPr>
          <w:rFonts w:asciiTheme="minorEastAsia" w:hAnsiTheme="minorEastAsia"/>
          <w:sz w:val="24"/>
          <w:highlight w:val="none"/>
          <w:u w:val="single"/>
        </w:rPr>
        <w:t xml:space="preserve">    </w:t>
      </w:r>
      <w:r>
        <w:rPr>
          <w:rFonts w:hint="eastAsia" w:asciiTheme="minorEastAsia" w:hAnsiTheme="minorEastAsia"/>
          <w:sz w:val="24"/>
          <w:highlight w:val="none"/>
        </w:rPr>
        <w:t>日内制定安全生产文明施工措施费投入使用计划，并提交甲方备案，保证施工安全措施投入。</w:t>
      </w:r>
    </w:p>
    <w:p>
      <w:pPr>
        <w:adjustRightInd w:val="0"/>
        <w:snapToGrid w:val="0"/>
        <w:spacing w:line="560" w:lineRule="exact"/>
        <w:ind w:firstLine="480" w:firstLineChars="200"/>
        <w:jc w:val="left"/>
        <w:rPr>
          <w:rFonts w:asciiTheme="minorEastAsia" w:hAnsiTheme="minorEastAsia"/>
          <w:sz w:val="24"/>
          <w:highlight w:val="none"/>
        </w:rPr>
      </w:pPr>
      <w:r>
        <w:rPr>
          <w:rFonts w:hint="eastAsia" w:asciiTheme="minorEastAsia" w:hAnsiTheme="minorEastAsia"/>
          <w:sz w:val="24"/>
          <w:highlight w:val="none"/>
        </w:rPr>
        <w:t>（四）严格按照甲方制定的《广州市净水有限公司工程项目安全管理规范》要求，落实各项安全管理工作。</w:t>
      </w:r>
    </w:p>
    <w:p>
      <w:pPr>
        <w:adjustRightInd w:val="0"/>
        <w:snapToGrid w:val="0"/>
        <w:spacing w:line="560" w:lineRule="exact"/>
        <w:ind w:firstLine="480" w:firstLineChars="200"/>
        <w:jc w:val="left"/>
        <w:rPr>
          <w:rFonts w:asciiTheme="minorEastAsia" w:hAnsiTheme="minorEastAsia"/>
          <w:sz w:val="24"/>
          <w:highlight w:val="none"/>
        </w:rPr>
      </w:pPr>
      <w:r>
        <w:rPr>
          <w:rFonts w:hint="eastAsia" w:asciiTheme="minorEastAsia" w:hAnsiTheme="minorEastAsia"/>
          <w:sz w:val="24"/>
          <w:highlight w:val="none"/>
        </w:rPr>
        <w:t>根据当前国家、行业或甲方近期安全管理的突出方面，或针对项目实际，有针对性地开展安全管理工作，接受甲方的安全管理评价。</w:t>
      </w:r>
    </w:p>
    <w:p>
      <w:pPr>
        <w:adjustRightInd w:val="0"/>
        <w:snapToGrid w:val="0"/>
        <w:spacing w:line="560" w:lineRule="exact"/>
        <w:ind w:firstLine="480" w:firstLineChars="200"/>
        <w:jc w:val="left"/>
        <w:rPr>
          <w:rFonts w:asciiTheme="minorEastAsia" w:hAnsiTheme="minorEastAsia"/>
          <w:sz w:val="24"/>
          <w:highlight w:val="none"/>
        </w:rPr>
      </w:pPr>
      <w:r>
        <w:rPr>
          <w:rFonts w:hint="eastAsia" w:asciiTheme="minorEastAsia" w:hAnsiTheme="minorEastAsia"/>
          <w:sz w:val="24"/>
          <w:highlight w:val="none"/>
        </w:rPr>
        <w:t>配合甲方的安全监督检查，并立即对提出的问题隐患进行整改。</w:t>
      </w:r>
    </w:p>
    <w:p>
      <w:pPr>
        <w:adjustRightInd w:val="0"/>
        <w:snapToGrid w:val="0"/>
        <w:spacing w:line="560" w:lineRule="exact"/>
        <w:ind w:firstLine="480" w:firstLineChars="200"/>
        <w:jc w:val="left"/>
        <w:rPr>
          <w:rFonts w:asciiTheme="minorEastAsia" w:hAnsiTheme="minorEastAsia"/>
          <w:sz w:val="24"/>
          <w:highlight w:val="none"/>
        </w:rPr>
      </w:pPr>
      <w:r>
        <w:rPr>
          <w:rFonts w:hint="eastAsia" w:asciiTheme="minorEastAsia" w:hAnsiTheme="minorEastAsia"/>
          <w:sz w:val="24"/>
          <w:highlight w:val="none"/>
        </w:rPr>
        <w:t>（五）落实人员实名制，在签订主合同前提供本项目全体人员已通过三级安全教育及职业健康体检的证明，确保全员没有职业病，禁止有职业禁忌证的人员从事禁忌证相关工作。</w:t>
      </w:r>
    </w:p>
    <w:p>
      <w:pPr>
        <w:adjustRightInd w:val="0"/>
        <w:snapToGrid w:val="0"/>
        <w:spacing w:line="560" w:lineRule="exact"/>
        <w:ind w:firstLine="480" w:firstLineChars="200"/>
        <w:jc w:val="left"/>
        <w:rPr>
          <w:rFonts w:asciiTheme="minorEastAsia" w:hAnsiTheme="minorEastAsia"/>
          <w:sz w:val="24"/>
          <w:highlight w:val="none"/>
        </w:rPr>
      </w:pPr>
      <w:r>
        <w:rPr>
          <w:rFonts w:hint="eastAsia" w:asciiTheme="minorEastAsia" w:hAnsiTheme="minorEastAsia"/>
          <w:sz w:val="24"/>
          <w:highlight w:val="none"/>
        </w:rPr>
        <w:t>乙方该项目的管理人员、作业人员（包括分包人员）每年由乙方单位依法开展安全生产教育培训，并保存好相关培训证明备查。</w:t>
      </w:r>
    </w:p>
    <w:p>
      <w:pPr>
        <w:adjustRightInd w:val="0"/>
        <w:snapToGrid w:val="0"/>
        <w:spacing w:line="560" w:lineRule="exact"/>
        <w:ind w:firstLine="480" w:firstLineChars="200"/>
        <w:jc w:val="left"/>
        <w:rPr>
          <w:rFonts w:asciiTheme="minorEastAsia" w:hAnsiTheme="minorEastAsia"/>
          <w:sz w:val="24"/>
          <w:highlight w:val="none"/>
        </w:rPr>
      </w:pPr>
      <w:r>
        <w:rPr>
          <w:rFonts w:hint="eastAsia" w:asciiTheme="minorEastAsia" w:hAnsiTheme="minorEastAsia"/>
          <w:sz w:val="24"/>
          <w:highlight w:val="none"/>
        </w:rPr>
        <w:t>施工过程中，项目管理人员、作业人员（包括分包人员）需进行调整的，必须书面向甲方请示，并获得甲方批准后方可执行变更。</w:t>
      </w:r>
    </w:p>
    <w:p>
      <w:pPr>
        <w:adjustRightInd w:val="0"/>
        <w:snapToGrid w:val="0"/>
        <w:spacing w:line="560" w:lineRule="exact"/>
        <w:ind w:firstLine="480" w:firstLineChars="200"/>
        <w:jc w:val="left"/>
        <w:rPr>
          <w:rFonts w:asciiTheme="minorEastAsia" w:hAnsiTheme="minorEastAsia"/>
          <w:sz w:val="24"/>
          <w:highlight w:val="none"/>
        </w:rPr>
      </w:pPr>
      <w:r>
        <w:rPr>
          <w:rFonts w:hint="eastAsia" w:asciiTheme="minorEastAsia" w:hAnsiTheme="minorEastAsia"/>
          <w:sz w:val="24"/>
          <w:highlight w:val="none"/>
        </w:rPr>
        <w:t>（六）建立应急管理体系，编制应急预案和现场处置方案，并定期组织开展应急演练。施工现场，乙方应根据施工方案在施工现场配置应急救援物资，并做好应急救援物资的定期检查，确保完好、有效。</w:t>
      </w:r>
    </w:p>
    <w:p>
      <w:pPr>
        <w:adjustRightInd w:val="0"/>
        <w:snapToGrid w:val="0"/>
        <w:spacing w:line="560" w:lineRule="exact"/>
        <w:ind w:firstLine="480" w:firstLineChars="200"/>
        <w:jc w:val="left"/>
        <w:rPr>
          <w:rFonts w:asciiTheme="minorEastAsia" w:hAnsiTheme="minorEastAsia"/>
          <w:sz w:val="24"/>
          <w:highlight w:val="none"/>
        </w:rPr>
      </w:pPr>
      <w:r>
        <w:rPr>
          <w:rFonts w:hint="eastAsia" w:asciiTheme="minorEastAsia" w:hAnsiTheme="minorEastAsia"/>
          <w:sz w:val="24"/>
          <w:highlight w:val="none"/>
        </w:rPr>
        <w:t>（七）发生突发事件时，应立即报甲方，并同时积极主动地开展应急救援，采取有效措施将事故影响控制在最小范围内。</w:t>
      </w:r>
    </w:p>
    <w:p>
      <w:pPr>
        <w:adjustRightInd w:val="0"/>
        <w:snapToGrid w:val="0"/>
        <w:spacing w:line="560" w:lineRule="exact"/>
        <w:ind w:firstLine="480" w:firstLineChars="200"/>
        <w:jc w:val="left"/>
        <w:rPr>
          <w:rFonts w:asciiTheme="minorEastAsia" w:hAnsiTheme="minorEastAsia"/>
          <w:sz w:val="24"/>
          <w:highlight w:val="none"/>
        </w:rPr>
      </w:pPr>
      <w:r>
        <w:rPr>
          <w:rFonts w:hint="eastAsia" w:asciiTheme="minorEastAsia" w:hAnsiTheme="minorEastAsia"/>
          <w:sz w:val="24"/>
          <w:highlight w:val="none"/>
        </w:rPr>
        <w:t>（八）严格履行本协议，遵守甲方各项管理规定，服从管理。</w:t>
      </w:r>
    </w:p>
    <w:p>
      <w:pPr>
        <w:adjustRightInd w:val="0"/>
        <w:snapToGrid w:val="0"/>
        <w:spacing w:line="560" w:lineRule="exact"/>
        <w:ind w:firstLine="480" w:firstLineChars="200"/>
        <w:jc w:val="left"/>
        <w:rPr>
          <w:rFonts w:asciiTheme="minorEastAsia" w:hAnsiTheme="minorEastAsia"/>
          <w:sz w:val="24"/>
          <w:highlight w:val="none"/>
        </w:rPr>
      </w:pPr>
      <w:r>
        <w:rPr>
          <w:rFonts w:hint="eastAsia" w:asciiTheme="minorEastAsia" w:hAnsiTheme="minorEastAsia"/>
          <w:sz w:val="24"/>
          <w:highlight w:val="none"/>
        </w:rPr>
        <w:t>（九）对甲方的违章指挥，拒绝执行，但需书面明确指出甲方所违反的具体法律法规、标准规范等。</w:t>
      </w:r>
    </w:p>
    <w:p>
      <w:pPr>
        <w:adjustRightInd w:val="0"/>
        <w:snapToGrid w:val="0"/>
        <w:spacing w:line="560" w:lineRule="exact"/>
        <w:ind w:firstLine="480" w:firstLineChars="200"/>
        <w:jc w:val="left"/>
        <w:rPr>
          <w:rFonts w:asciiTheme="minorEastAsia" w:hAnsiTheme="minorEastAsia"/>
          <w:sz w:val="24"/>
          <w:highlight w:val="none"/>
        </w:rPr>
      </w:pPr>
      <w:r>
        <w:rPr>
          <w:rFonts w:hint="eastAsia" w:asciiTheme="minorEastAsia" w:hAnsiTheme="minorEastAsia"/>
          <w:sz w:val="24"/>
          <w:highlight w:val="none"/>
        </w:rPr>
        <w:t>（十）乙方委托的第三方运输单位或个人，违反本协议的，全部责任均由乙方承担。</w:t>
      </w:r>
    </w:p>
    <w:p>
      <w:pPr>
        <w:adjustRightInd w:val="0"/>
        <w:snapToGrid w:val="0"/>
        <w:spacing w:line="560" w:lineRule="exact"/>
        <w:ind w:firstLine="482" w:firstLineChars="200"/>
        <w:jc w:val="left"/>
        <w:rPr>
          <w:rFonts w:asciiTheme="minorEastAsia" w:hAnsiTheme="minorEastAsia"/>
          <w:b/>
          <w:sz w:val="24"/>
          <w:highlight w:val="none"/>
        </w:rPr>
      </w:pPr>
      <w:r>
        <w:rPr>
          <w:rFonts w:hint="eastAsia" w:asciiTheme="minorEastAsia" w:hAnsiTheme="minorEastAsia"/>
          <w:b/>
          <w:sz w:val="24"/>
          <w:highlight w:val="none"/>
        </w:rPr>
        <w:t>四、事故责任</w:t>
      </w:r>
    </w:p>
    <w:p>
      <w:pPr>
        <w:adjustRightInd w:val="0"/>
        <w:snapToGrid w:val="0"/>
        <w:spacing w:line="560" w:lineRule="exact"/>
        <w:ind w:firstLine="480" w:firstLineChars="200"/>
        <w:jc w:val="left"/>
        <w:rPr>
          <w:rFonts w:asciiTheme="minorEastAsia" w:hAnsiTheme="minorEastAsia"/>
          <w:sz w:val="24"/>
          <w:highlight w:val="none"/>
        </w:rPr>
      </w:pPr>
      <w:r>
        <w:rPr>
          <w:rFonts w:hint="eastAsia" w:asciiTheme="minorEastAsia" w:hAnsiTheme="minorEastAsia"/>
          <w:sz w:val="24"/>
          <w:highlight w:val="none"/>
        </w:rPr>
        <w:t>（一）在乙方承包范围内，由于乙方责任发生生产安全事故时，造成的甲方、乙方或者第三方人身伤害事故，乙方负全部责任。</w:t>
      </w:r>
    </w:p>
    <w:p>
      <w:pPr>
        <w:adjustRightInd w:val="0"/>
        <w:snapToGrid w:val="0"/>
        <w:spacing w:line="560" w:lineRule="exact"/>
        <w:ind w:firstLine="480" w:firstLineChars="200"/>
        <w:jc w:val="left"/>
        <w:rPr>
          <w:rFonts w:asciiTheme="minorEastAsia" w:hAnsiTheme="minorEastAsia"/>
          <w:sz w:val="24"/>
          <w:highlight w:val="none"/>
        </w:rPr>
      </w:pPr>
      <w:r>
        <w:rPr>
          <w:rFonts w:hint="eastAsia" w:asciiTheme="minorEastAsia" w:hAnsiTheme="minorEastAsia"/>
          <w:sz w:val="24"/>
          <w:highlight w:val="none"/>
        </w:rPr>
        <w:t>（二）乙方人员违规进入甲方或第三方承包区域，造成事故的，乙方负全部事故责任；乙方人员遭受人身伤害的，乙方负全部责任。</w:t>
      </w:r>
    </w:p>
    <w:p>
      <w:pPr>
        <w:adjustRightInd w:val="0"/>
        <w:snapToGrid w:val="0"/>
        <w:spacing w:line="560" w:lineRule="exact"/>
        <w:ind w:firstLine="480" w:firstLineChars="200"/>
        <w:jc w:val="left"/>
        <w:rPr>
          <w:rFonts w:asciiTheme="minorEastAsia" w:hAnsiTheme="minorEastAsia"/>
          <w:sz w:val="24"/>
          <w:highlight w:val="none"/>
        </w:rPr>
      </w:pPr>
      <w:r>
        <w:rPr>
          <w:rFonts w:hint="eastAsia" w:asciiTheme="minorEastAsia" w:hAnsiTheme="minorEastAsia"/>
          <w:sz w:val="24"/>
          <w:highlight w:val="none"/>
        </w:rPr>
        <w:t>（三）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560" w:lineRule="exact"/>
        <w:ind w:firstLine="480" w:firstLineChars="200"/>
        <w:jc w:val="left"/>
        <w:rPr>
          <w:rFonts w:asciiTheme="minorEastAsia" w:hAnsiTheme="minorEastAsia"/>
          <w:sz w:val="24"/>
          <w:highlight w:val="none"/>
        </w:rPr>
      </w:pPr>
      <w:r>
        <w:rPr>
          <w:rFonts w:hint="eastAsia" w:asciiTheme="minorEastAsia" w:hAnsiTheme="minorEastAsia"/>
          <w:sz w:val="24"/>
          <w:highlight w:val="none"/>
        </w:rPr>
        <w:t>（四）乙方在甲方生产区域内发生生产安全事故后，必须在第一时间向甲方报告，迟报或者隐瞒不报生产安全事故，承担事故的全部责任。</w:t>
      </w:r>
    </w:p>
    <w:p>
      <w:pPr>
        <w:adjustRightInd w:val="0"/>
        <w:snapToGrid w:val="0"/>
        <w:spacing w:line="560" w:lineRule="exact"/>
        <w:ind w:firstLine="480" w:firstLineChars="200"/>
        <w:jc w:val="left"/>
        <w:rPr>
          <w:rFonts w:asciiTheme="minorEastAsia" w:hAnsiTheme="minorEastAsia"/>
          <w:sz w:val="24"/>
          <w:highlight w:val="none"/>
        </w:rPr>
      </w:pPr>
      <w:r>
        <w:rPr>
          <w:rFonts w:hint="eastAsia" w:asciiTheme="minorEastAsia" w:hAnsiTheme="minorEastAsia"/>
          <w:sz w:val="24"/>
          <w:highlight w:val="none"/>
        </w:rPr>
        <w:t>（五）乙方各类人员在甲方生产区域内发生人身伤害事故和其他事故，乙方应开展调查、处理、统计、上报并向甲方报告，配合甲方及有关部门开展事故调查。</w:t>
      </w:r>
    </w:p>
    <w:p>
      <w:pPr>
        <w:spacing w:line="560" w:lineRule="exact"/>
        <w:ind w:firstLine="480" w:firstLineChars="200"/>
        <w:rPr>
          <w:rFonts w:asciiTheme="minorEastAsia" w:hAnsiTheme="minorEastAsia"/>
          <w:sz w:val="24"/>
          <w:highlight w:val="none"/>
        </w:rPr>
      </w:pPr>
      <w:r>
        <w:rPr>
          <w:rFonts w:hint="eastAsia" w:asciiTheme="minorEastAsia" w:hAnsiTheme="minorEastAsia"/>
          <w:sz w:val="24"/>
          <w:highlight w:val="none"/>
        </w:rPr>
        <w:t>（六）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pStyle w:val="40"/>
        <w:spacing w:line="560" w:lineRule="exact"/>
        <w:ind w:firstLine="482" w:firstLineChars="200"/>
        <w:rPr>
          <w:rFonts w:asciiTheme="minorEastAsia" w:hAnsiTheme="minorEastAsia"/>
          <w:sz w:val="24"/>
          <w:highlight w:val="none"/>
        </w:rPr>
      </w:pPr>
      <w:r>
        <w:rPr>
          <w:rFonts w:hint="eastAsia" w:asciiTheme="minorEastAsia" w:hAnsiTheme="minorEastAsia"/>
          <w:b/>
          <w:sz w:val="24"/>
          <w:highlight w:val="none"/>
        </w:rPr>
        <w:t>五、补充条款：</w:t>
      </w:r>
      <w:r>
        <w:rPr>
          <w:rFonts w:asciiTheme="minorEastAsia" w:hAnsiTheme="minorEastAsia"/>
          <w:sz w:val="24"/>
          <w:highlight w:val="none"/>
          <w:u w:val="single"/>
        </w:rPr>
        <w:t xml:space="preserve">                 </w:t>
      </w:r>
      <w:r>
        <w:rPr>
          <w:rFonts w:hint="eastAsia" w:asciiTheme="minorEastAsia" w:hAnsiTheme="minorEastAsia"/>
          <w:sz w:val="24"/>
          <w:highlight w:val="none"/>
        </w:rPr>
        <w:t>。</w:t>
      </w:r>
    </w:p>
    <w:p>
      <w:pPr>
        <w:adjustRightInd w:val="0"/>
        <w:snapToGrid w:val="0"/>
        <w:spacing w:line="560" w:lineRule="exact"/>
        <w:ind w:firstLine="482" w:firstLineChars="200"/>
        <w:jc w:val="left"/>
        <w:rPr>
          <w:rFonts w:asciiTheme="minorEastAsia" w:hAnsiTheme="minorEastAsia"/>
          <w:b/>
          <w:sz w:val="24"/>
          <w:highlight w:val="none"/>
        </w:rPr>
      </w:pPr>
      <w:r>
        <w:rPr>
          <w:rFonts w:hint="eastAsia" w:asciiTheme="minorEastAsia" w:hAnsiTheme="minorEastAsia"/>
          <w:b/>
          <w:sz w:val="24"/>
          <w:highlight w:val="none"/>
        </w:rPr>
        <w:t>六、附则</w:t>
      </w:r>
    </w:p>
    <w:p>
      <w:pPr>
        <w:adjustRightInd w:val="0"/>
        <w:snapToGrid w:val="0"/>
        <w:spacing w:line="560" w:lineRule="exact"/>
        <w:ind w:firstLine="480" w:firstLineChars="200"/>
        <w:jc w:val="left"/>
        <w:rPr>
          <w:rFonts w:asciiTheme="minorEastAsia" w:hAnsiTheme="minorEastAsia"/>
          <w:sz w:val="24"/>
          <w:highlight w:val="none"/>
        </w:rPr>
      </w:pPr>
      <w:r>
        <w:rPr>
          <w:rFonts w:hint="eastAsia" w:asciiTheme="minorEastAsia" w:hAnsiTheme="minorEastAsia"/>
          <w:sz w:val="24"/>
          <w:highlight w:val="none"/>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asciiTheme="minorEastAsia" w:hAnsiTheme="minorEastAsia"/>
          <w:sz w:val="24"/>
          <w:highlight w:val="none"/>
        </w:rPr>
      </w:pPr>
      <w:r>
        <w:rPr>
          <w:rFonts w:hint="eastAsia" w:asciiTheme="minorEastAsia" w:hAnsiTheme="minorEastAsia"/>
          <w:sz w:val="24"/>
          <w:highlight w:val="none"/>
        </w:rPr>
        <w:t>（二）本协议与主合同同时签订、同时终止、同时生效，具有相同的法律效力，自甲方、乙方双方签字、盖章生效，甲方、乙方双方执持数量与主合同一致。</w:t>
      </w:r>
    </w:p>
    <w:p>
      <w:pPr>
        <w:adjustRightInd w:val="0"/>
        <w:snapToGrid w:val="0"/>
        <w:spacing w:line="560" w:lineRule="exact"/>
        <w:rPr>
          <w:rFonts w:ascii="仿宋_GB2312" w:eastAsia="仿宋_GB2312" w:hAnsiTheme="minorEastAsia"/>
          <w:sz w:val="24"/>
          <w:highlight w:val="none"/>
        </w:rPr>
      </w:pPr>
    </w:p>
    <w:tbl>
      <w:tblPr>
        <w:tblStyle w:val="2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61"/>
        <w:gridCol w:w="42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tcPr>
          <w:p>
            <w:pPr>
              <w:adjustRightInd w:val="0"/>
              <w:snapToGrid w:val="0"/>
              <w:spacing w:line="560" w:lineRule="exact"/>
              <w:rPr>
                <w:rFonts w:asciiTheme="minorEastAsia" w:hAnsiTheme="minorEastAsia"/>
                <w:sz w:val="24"/>
                <w:highlight w:val="none"/>
              </w:rPr>
            </w:pPr>
            <w:r>
              <w:rPr>
                <w:rFonts w:hint="eastAsia" w:asciiTheme="minorEastAsia" w:hAnsiTheme="minorEastAsia"/>
                <w:sz w:val="24"/>
                <w:highlight w:val="none"/>
              </w:rPr>
              <w:t>甲方：</w:t>
            </w:r>
          </w:p>
          <w:p>
            <w:pPr>
              <w:adjustRightInd w:val="0"/>
              <w:snapToGrid w:val="0"/>
              <w:spacing w:line="560" w:lineRule="exact"/>
              <w:rPr>
                <w:rFonts w:asciiTheme="minorEastAsia" w:hAnsiTheme="minorEastAsia"/>
                <w:sz w:val="24"/>
                <w:highlight w:val="none"/>
              </w:rPr>
            </w:pPr>
            <w:r>
              <w:rPr>
                <w:rFonts w:hint="eastAsia" w:asciiTheme="minorEastAsia" w:hAnsiTheme="minorEastAsia"/>
                <w:sz w:val="24"/>
                <w:highlight w:val="none"/>
              </w:rPr>
              <w:t>签约代表：</w:t>
            </w:r>
          </w:p>
          <w:p>
            <w:pPr>
              <w:adjustRightInd w:val="0"/>
              <w:snapToGrid w:val="0"/>
              <w:spacing w:line="560" w:lineRule="exact"/>
              <w:rPr>
                <w:rFonts w:asciiTheme="minorEastAsia" w:hAnsiTheme="minorEastAsia"/>
                <w:sz w:val="24"/>
                <w:highlight w:val="none"/>
              </w:rPr>
            </w:pPr>
            <w:r>
              <w:rPr>
                <w:rFonts w:hint="eastAsia" w:asciiTheme="minorEastAsia" w:hAnsiTheme="minorEastAsia"/>
                <w:sz w:val="24"/>
                <w:highlight w:val="none"/>
              </w:rPr>
              <w:t>联系电话：</w:t>
            </w:r>
          </w:p>
          <w:p>
            <w:pPr>
              <w:adjustRightInd w:val="0"/>
              <w:snapToGrid w:val="0"/>
              <w:spacing w:line="560" w:lineRule="exact"/>
              <w:ind w:firstLine="240" w:firstLineChars="100"/>
              <w:jc w:val="right"/>
              <w:rPr>
                <w:rFonts w:asciiTheme="minorEastAsia" w:hAnsiTheme="minorEastAsia"/>
                <w:sz w:val="24"/>
                <w:highlight w:val="none"/>
              </w:rPr>
            </w:pPr>
            <w:r>
              <w:rPr>
                <w:rFonts w:hint="eastAsia" w:asciiTheme="minorEastAsia" w:hAnsiTheme="minorEastAsia"/>
                <w:sz w:val="24"/>
                <w:highlight w:val="none"/>
              </w:rPr>
              <w:t>年</w:t>
            </w:r>
            <w:r>
              <w:rPr>
                <w:rFonts w:asciiTheme="minorEastAsia" w:hAnsiTheme="minorEastAsia"/>
                <w:sz w:val="24"/>
                <w:highlight w:val="none"/>
              </w:rPr>
              <w:t xml:space="preserve">    </w:t>
            </w:r>
            <w:r>
              <w:rPr>
                <w:rFonts w:hint="eastAsia" w:asciiTheme="minorEastAsia" w:hAnsiTheme="minorEastAsia"/>
                <w:sz w:val="24"/>
                <w:highlight w:val="none"/>
              </w:rPr>
              <w:t>月</w:t>
            </w:r>
            <w:r>
              <w:rPr>
                <w:rFonts w:asciiTheme="minorEastAsia" w:hAnsiTheme="minorEastAsia"/>
                <w:sz w:val="24"/>
                <w:highlight w:val="none"/>
              </w:rPr>
              <w:t xml:space="preserve">    </w:t>
            </w:r>
            <w:r>
              <w:rPr>
                <w:rFonts w:hint="eastAsia" w:asciiTheme="minorEastAsia" w:hAnsiTheme="minorEastAsia"/>
                <w:sz w:val="24"/>
                <w:highlight w:val="none"/>
              </w:rPr>
              <w:t>日</w:t>
            </w:r>
          </w:p>
        </w:tc>
        <w:tc>
          <w:tcPr>
            <w:tcW w:w="4474" w:type="dxa"/>
          </w:tcPr>
          <w:p>
            <w:pPr>
              <w:adjustRightInd w:val="0"/>
              <w:snapToGrid w:val="0"/>
              <w:spacing w:line="560" w:lineRule="exact"/>
              <w:rPr>
                <w:rFonts w:asciiTheme="minorEastAsia" w:hAnsiTheme="minorEastAsia"/>
                <w:sz w:val="24"/>
                <w:highlight w:val="none"/>
              </w:rPr>
            </w:pPr>
            <w:r>
              <w:rPr>
                <w:rFonts w:hint="eastAsia" w:asciiTheme="minorEastAsia" w:hAnsiTheme="minorEastAsia"/>
                <w:sz w:val="24"/>
                <w:highlight w:val="none"/>
              </w:rPr>
              <w:t>乙方：</w:t>
            </w:r>
          </w:p>
          <w:p>
            <w:pPr>
              <w:adjustRightInd w:val="0"/>
              <w:snapToGrid w:val="0"/>
              <w:spacing w:line="560" w:lineRule="exact"/>
              <w:rPr>
                <w:rFonts w:asciiTheme="minorEastAsia" w:hAnsiTheme="minorEastAsia"/>
                <w:sz w:val="24"/>
                <w:highlight w:val="none"/>
              </w:rPr>
            </w:pPr>
            <w:r>
              <w:rPr>
                <w:rFonts w:hint="eastAsia" w:asciiTheme="minorEastAsia" w:hAnsiTheme="minorEastAsia"/>
                <w:sz w:val="24"/>
                <w:highlight w:val="none"/>
              </w:rPr>
              <w:t>签约代表：</w:t>
            </w:r>
          </w:p>
          <w:p>
            <w:pPr>
              <w:adjustRightInd w:val="0"/>
              <w:snapToGrid w:val="0"/>
              <w:spacing w:line="560" w:lineRule="exact"/>
              <w:rPr>
                <w:rFonts w:asciiTheme="minorEastAsia" w:hAnsiTheme="minorEastAsia"/>
                <w:sz w:val="24"/>
                <w:highlight w:val="none"/>
              </w:rPr>
            </w:pPr>
            <w:r>
              <w:rPr>
                <w:rFonts w:hint="eastAsia" w:asciiTheme="minorEastAsia" w:hAnsiTheme="minorEastAsia"/>
                <w:sz w:val="24"/>
                <w:highlight w:val="none"/>
              </w:rPr>
              <w:t>联系电话：</w:t>
            </w:r>
          </w:p>
          <w:p>
            <w:pPr>
              <w:adjustRightInd w:val="0"/>
              <w:snapToGrid w:val="0"/>
              <w:spacing w:line="560" w:lineRule="exact"/>
              <w:jc w:val="right"/>
              <w:rPr>
                <w:rFonts w:asciiTheme="minorEastAsia" w:hAnsiTheme="minorEastAsia"/>
                <w:sz w:val="24"/>
                <w:highlight w:val="none"/>
              </w:rPr>
            </w:pPr>
            <w:r>
              <w:rPr>
                <w:rFonts w:hint="eastAsia" w:asciiTheme="minorEastAsia" w:hAnsiTheme="minorEastAsia"/>
                <w:sz w:val="24"/>
                <w:highlight w:val="none"/>
              </w:rPr>
              <w:t>年</w:t>
            </w:r>
            <w:r>
              <w:rPr>
                <w:rFonts w:asciiTheme="minorEastAsia" w:hAnsiTheme="minorEastAsia"/>
                <w:sz w:val="24"/>
                <w:highlight w:val="none"/>
              </w:rPr>
              <w:t xml:space="preserve">    </w:t>
            </w:r>
            <w:r>
              <w:rPr>
                <w:rFonts w:hint="eastAsia" w:asciiTheme="minorEastAsia" w:hAnsiTheme="minorEastAsia"/>
                <w:sz w:val="24"/>
                <w:highlight w:val="none"/>
              </w:rPr>
              <w:t>月</w:t>
            </w:r>
            <w:r>
              <w:rPr>
                <w:rFonts w:asciiTheme="minorEastAsia" w:hAnsiTheme="minorEastAsia"/>
                <w:sz w:val="24"/>
                <w:highlight w:val="none"/>
              </w:rPr>
              <w:t xml:space="preserve">    </w:t>
            </w:r>
            <w:r>
              <w:rPr>
                <w:rFonts w:hint="eastAsia" w:asciiTheme="minorEastAsia" w:hAnsiTheme="minorEastAsia"/>
                <w:sz w:val="24"/>
                <w:highlight w:val="none"/>
              </w:rPr>
              <w:t>日</w:t>
            </w:r>
          </w:p>
        </w:tc>
      </w:tr>
    </w:tbl>
    <w:p>
      <w:pPr>
        <w:widowControl/>
        <w:spacing w:line="560" w:lineRule="exact"/>
        <w:ind w:firstLine="1560" w:firstLineChars="650"/>
        <w:jc w:val="left"/>
        <w:rPr>
          <w:rFonts w:ascii="宋体" w:hAnsi="宋体" w:cs="宋体"/>
          <w:kern w:val="0"/>
          <w:sz w:val="24"/>
          <w:highlight w:val="none"/>
        </w:rPr>
      </w:pPr>
    </w:p>
    <w:p>
      <w:pPr>
        <w:spacing w:line="360" w:lineRule="auto"/>
        <w:rPr>
          <w:rFonts w:ascii="宋体" w:hAnsi="宋体" w:cs="宋体"/>
          <w:b/>
          <w:bCs/>
          <w:szCs w:val="21"/>
          <w:highlight w:val="none"/>
        </w:rPr>
      </w:pPr>
    </w:p>
    <w:p>
      <w:pPr>
        <w:spacing w:line="360" w:lineRule="auto"/>
        <w:rPr>
          <w:rFonts w:hint="eastAsia" w:ascii="宋体" w:hAnsi="宋体" w:cs="宋体"/>
          <w:b/>
          <w:bCs/>
          <w:szCs w:val="21"/>
          <w:highlight w:val="none"/>
        </w:rPr>
      </w:pPr>
    </w:p>
    <w:p>
      <w:pPr>
        <w:spacing w:line="360" w:lineRule="auto"/>
        <w:rPr>
          <w:rFonts w:hint="eastAsia" w:ascii="宋体" w:hAnsi="宋体" w:cs="宋体"/>
          <w:b/>
          <w:bCs/>
          <w:szCs w:val="21"/>
          <w:highlight w:val="none"/>
        </w:rPr>
      </w:pPr>
    </w:p>
    <w:p>
      <w:pPr>
        <w:spacing w:line="360" w:lineRule="auto"/>
        <w:rPr>
          <w:rFonts w:hint="eastAsia" w:ascii="宋体" w:hAnsi="宋体" w:cs="宋体"/>
          <w:b/>
          <w:bCs/>
          <w:szCs w:val="21"/>
          <w:highlight w:val="none"/>
        </w:rPr>
      </w:pPr>
    </w:p>
    <w:p>
      <w:pPr>
        <w:spacing w:line="360" w:lineRule="auto"/>
        <w:rPr>
          <w:rFonts w:ascii="宋体" w:hAnsi="宋体" w:cs="宋体"/>
          <w:b/>
          <w:bCs/>
          <w:szCs w:val="21"/>
          <w:highlight w:val="none"/>
        </w:rPr>
      </w:pPr>
      <w:r>
        <w:rPr>
          <w:rFonts w:hint="eastAsia" w:ascii="宋体" w:hAnsi="宋体" w:cs="宋体"/>
          <w:b/>
          <w:bCs/>
          <w:szCs w:val="21"/>
          <w:highlight w:val="none"/>
        </w:rPr>
        <w:t>附件</w:t>
      </w:r>
      <w:r>
        <w:rPr>
          <w:rFonts w:hint="eastAsia" w:ascii="宋体" w:hAnsi="宋体" w:cs="宋体"/>
          <w:b/>
          <w:bCs/>
          <w:szCs w:val="21"/>
          <w:highlight w:val="none"/>
          <w:lang w:val="en-US" w:eastAsia="zh-CN"/>
        </w:rPr>
        <w:t>4</w:t>
      </w:r>
      <w:r>
        <w:rPr>
          <w:rFonts w:hint="eastAsia" w:ascii="宋体" w:hAnsi="宋体" w:cs="宋体"/>
          <w:b/>
          <w:bCs/>
          <w:szCs w:val="21"/>
          <w:highlight w:val="none"/>
        </w:rPr>
        <w:t>：</w:t>
      </w:r>
    </w:p>
    <w:p>
      <w:pPr>
        <w:spacing w:line="360" w:lineRule="auto"/>
        <w:rPr>
          <w:rFonts w:ascii="宋体" w:hAnsi="宋体" w:cs="宋体"/>
          <w:sz w:val="24"/>
          <w:highlight w:val="none"/>
        </w:rPr>
      </w:pPr>
    </w:p>
    <w:p>
      <w:pPr>
        <w:spacing w:line="360" w:lineRule="auto"/>
        <w:jc w:val="center"/>
        <w:rPr>
          <w:rFonts w:ascii="宋体" w:hAnsi="宋体" w:cs="宋体"/>
          <w:sz w:val="24"/>
          <w:highlight w:val="none"/>
        </w:rPr>
      </w:pPr>
      <w:r>
        <w:rPr>
          <w:rFonts w:hint="eastAsia" w:ascii="宋体" w:hAnsi="宋体" w:cs="宋体"/>
          <w:b/>
          <w:sz w:val="28"/>
          <w:szCs w:val="28"/>
          <w:highlight w:val="none"/>
        </w:rPr>
        <w:t>工程量报价</w:t>
      </w:r>
    </w:p>
    <w:tbl>
      <w:tblPr>
        <w:tblStyle w:val="2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4"/>
        <w:gridCol w:w="3420"/>
        <w:gridCol w:w="1530"/>
        <w:gridCol w:w="1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4" w:type="dxa"/>
          </w:tcPr>
          <w:p>
            <w:pPr>
              <w:spacing w:line="360" w:lineRule="auto"/>
              <w:jc w:val="center"/>
              <w:rPr>
                <w:rFonts w:ascii="宋体" w:hAnsi="宋体" w:cs="宋体"/>
                <w:sz w:val="24"/>
                <w:highlight w:val="none"/>
              </w:rPr>
            </w:pPr>
            <w:r>
              <w:rPr>
                <w:rFonts w:hint="eastAsia" w:ascii="宋体" w:hAnsi="宋体" w:cs="宋体"/>
                <w:sz w:val="24"/>
                <w:highlight w:val="none"/>
              </w:rPr>
              <w:t>序号</w:t>
            </w:r>
          </w:p>
        </w:tc>
        <w:tc>
          <w:tcPr>
            <w:tcW w:w="3420" w:type="dxa"/>
          </w:tcPr>
          <w:p>
            <w:pPr>
              <w:spacing w:line="360" w:lineRule="auto"/>
              <w:jc w:val="center"/>
              <w:rPr>
                <w:rFonts w:ascii="宋体" w:hAnsi="宋体" w:cs="宋体"/>
                <w:sz w:val="24"/>
                <w:highlight w:val="none"/>
              </w:rPr>
            </w:pPr>
            <w:r>
              <w:rPr>
                <w:rFonts w:hint="eastAsia" w:ascii="宋体" w:hAnsi="宋体" w:cs="宋体"/>
                <w:sz w:val="24"/>
                <w:highlight w:val="none"/>
              </w:rPr>
              <w:t>设备名称</w:t>
            </w:r>
          </w:p>
        </w:tc>
        <w:tc>
          <w:tcPr>
            <w:tcW w:w="1530" w:type="dxa"/>
          </w:tcPr>
          <w:p>
            <w:pPr>
              <w:spacing w:line="360" w:lineRule="auto"/>
              <w:jc w:val="center"/>
              <w:rPr>
                <w:rFonts w:ascii="宋体" w:hAnsi="宋体" w:cs="宋体"/>
                <w:sz w:val="24"/>
                <w:highlight w:val="none"/>
              </w:rPr>
            </w:pPr>
            <w:r>
              <w:rPr>
                <w:rFonts w:hint="eastAsia" w:ascii="宋体" w:hAnsi="宋体" w:cs="宋体"/>
                <w:sz w:val="24"/>
                <w:highlight w:val="none"/>
              </w:rPr>
              <w:t>数量</w:t>
            </w:r>
          </w:p>
        </w:tc>
        <w:tc>
          <w:tcPr>
            <w:tcW w:w="1688" w:type="dxa"/>
          </w:tcPr>
          <w:p>
            <w:pPr>
              <w:spacing w:line="360" w:lineRule="auto"/>
              <w:jc w:val="center"/>
              <w:rPr>
                <w:rFonts w:ascii="宋体" w:hAnsi="宋体" w:cs="宋体"/>
                <w:sz w:val="24"/>
                <w:highlight w:val="none"/>
              </w:rPr>
            </w:pPr>
            <w:r>
              <w:rPr>
                <w:rFonts w:hint="eastAsia" w:ascii="宋体" w:hAnsi="宋体" w:cs="宋体"/>
                <w:sz w:val="24"/>
                <w:highlight w:val="none"/>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4" w:type="dxa"/>
          </w:tcPr>
          <w:p>
            <w:pPr>
              <w:spacing w:line="360" w:lineRule="auto"/>
              <w:jc w:val="center"/>
              <w:rPr>
                <w:rFonts w:ascii="宋体" w:hAnsi="宋体" w:cs="宋体"/>
                <w:sz w:val="24"/>
                <w:highlight w:val="none"/>
              </w:rPr>
            </w:pPr>
            <w:r>
              <w:rPr>
                <w:rFonts w:hint="eastAsia" w:ascii="宋体" w:hAnsi="宋体" w:cs="宋体"/>
                <w:sz w:val="24"/>
                <w:highlight w:val="none"/>
              </w:rPr>
              <w:t>1</w:t>
            </w:r>
          </w:p>
        </w:tc>
        <w:tc>
          <w:tcPr>
            <w:tcW w:w="3420" w:type="dxa"/>
            <w:vAlign w:val="center"/>
          </w:tcPr>
          <w:p>
            <w:pPr>
              <w:widowControl/>
              <w:jc w:val="center"/>
              <w:textAlignment w:val="center"/>
              <w:rPr>
                <w:rFonts w:ascii="微软雅黑" w:hAnsi="微软雅黑" w:eastAsia="微软雅黑" w:cs="微软雅黑"/>
                <w:b/>
                <w:bCs/>
                <w:color w:val="000000"/>
                <w:sz w:val="20"/>
                <w:szCs w:val="20"/>
                <w:highlight w:val="none"/>
              </w:rPr>
            </w:pPr>
            <w:r>
              <w:rPr>
                <w:rFonts w:hint="eastAsia" w:ascii="微软雅黑" w:hAnsi="微软雅黑" w:eastAsia="微软雅黑" w:cs="微软雅黑"/>
                <w:b/>
                <w:bCs/>
                <w:color w:val="000000"/>
                <w:kern w:val="0"/>
                <w:sz w:val="20"/>
                <w:szCs w:val="20"/>
                <w:highlight w:val="none"/>
                <w:lang w:bidi="ar"/>
              </w:rPr>
              <w:t>办公网核心交换机</w:t>
            </w:r>
          </w:p>
        </w:tc>
        <w:tc>
          <w:tcPr>
            <w:tcW w:w="1530" w:type="dxa"/>
            <w:vAlign w:val="center"/>
          </w:tcPr>
          <w:p>
            <w:pPr>
              <w:widowControl/>
              <w:jc w:val="center"/>
              <w:textAlignment w:val="center"/>
              <w:rPr>
                <w:rFonts w:ascii="微软雅黑" w:hAnsi="微软雅黑" w:eastAsia="微软雅黑" w:cs="微软雅黑"/>
                <w:color w:val="000000"/>
                <w:sz w:val="18"/>
                <w:szCs w:val="18"/>
                <w:highlight w:val="none"/>
              </w:rPr>
            </w:pPr>
            <w:r>
              <w:rPr>
                <w:rFonts w:hint="eastAsia" w:ascii="微软雅黑" w:hAnsi="微软雅黑" w:eastAsia="微软雅黑" w:cs="微软雅黑"/>
                <w:color w:val="000000"/>
                <w:kern w:val="0"/>
                <w:sz w:val="18"/>
                <w:szCs w:val="18"/>
                <w:highlight w:val="none"/>
                <w:lang w:bidi="ar"/>
              </w:rPr>
              <w:t>1</w:t>
            </w:r>
          </w:p>
        </w:tc>
        <w:tc>
          <w:tcPr>
            <w:tcW w:w="1688" w:type="dxa"/>
            <w:vAlign w:val="center"/>
          </w:tcPr>
          <w:p>
            <w:pPr>
              <w:widowControl/>
              <w:ind w:right="2549" w:rightChars="1214"/>
              <w:jc w:val="center"/>
              <w:textAlignment w:val="center"/>
              <w:rPr>
                <w:rFonts w:ascii="微软雅黑" w:hAnsi="微软雅黑" w:eastAsia="微软雅黑" w:cs="微软雅黑"/>
                <w:color w:val="000000"/>
                <w:sz w:val="18"/>
                <w:szCs w:val="18"/>
                <w:highlight w:val="none"/>
              </w:rPr>
            </w:pPr>
            <w:r>
              <w:rPr>
                <w:rFonts w:hint="eastAsia" w:ascii="微软雅黑" w:hAnsi="微软雅黑" w:eastAsia="微软雅黑" w:cs="微软雅黑"/>
                <w:color w:val="000000"/>
                <w:kern w:val="0"/>
                <w:sz w:val="18"/>
                <w:szCs w:val="18"/>
                <w:highlight w:val="none"/>
                <w:lang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4" w:type="dxa"/>
          </w:tcPr>
          <w:p>
            <w:pPr>
              <w:spacing w:line="360" w:lineRule="auto"/>
              <w:jc w:val="center"/>
              <w:rPr>
                <w:rFonts w:ascii="宋体" w:hAnsi="宋体" w:cs="宋体"/>
                <w:sz w:val="24"/>
                <w:highlight w:val="none"/>
              </w:rPr>
            </w:pPr>
            <w:r>
              <w:rPr>
                <w:rFonts w:hint="eastAsia" w:ascii="宋体" w:hAnsi="宋体" w:cs="宋体"/>
                <w:sz w:val="24"/>
                <w:highlight w:val="none"/>
              </w:rPr>
              <w:t>2</w:t>
            </w:r>
          </w:p>
        </w:tc>
        <w:tc>
          <w:tcPr>
            <w:tcW w:w="3420" w:type="dxa"/>
            <w:vAlign w:val="center"/>
          </w:tcPr>
          <w:p>
            <w:pPr>
              <w:widowControl/>
              <w:jc w:val="center"/>
              <w:textAlignment w:val="center"/>
              <w:rPr>
                <w:rFonts w:ascii="微软雅黑" w:hAnsi="微软雅黑" w:eastAsia="微软雅黑" w:cs="微软雅黑"/>
                <w:b/>
                <w:bCs/>
                <w:color w:val="000000"/>
                <w:sz w:val="20"/>
                <w:szCs w:val="20"/>
                <w:highlight w:val="none"/>
              </w:rPr>
            </w:pPr>
            <w:r>
              <w:rPr>
                <w:rFonts w:hint="eastAsia" w:ascii="微软雅黑" w:hAnsi="微软雅黑" w:eastAsia="微软雅黑" w:cs="微软雅黑"/>
                <w:b/>
                <w:bCs/>
                <w:color w:val="000000"/>
                <w:kern w:val="0"/>
                <w:sz w:val="20"/>
                <w:szCs w:val="20"/>
                <w:highlight w:val="none"/>
                <w:lang w:bidi="ar"/>
              </w:rPr>
              <w:t>办公网16口接入交换机</w:t>
            </w:r>
          </w:p>
        </w:tc>
        <w:tc>
          <w:tcPr>
            <w:tcW w:w="1530" w:type="dxa"/>
            <w:vAlign w:val="center"/>
          </w:tcPr>
          <w:p>
            <w:pPr>
              <w:widowControl/>
              <w:jc w:val="center"/>
              <w:textAlignment w:val="center"/>
              <w:rPr>
                <w:rFonts w:ascii="微软雅黑" w:hAnsi="微软雅黑" w:eastAsia="微软雅黑" w:cs="微软雅黑"/>
                <w:color w:val="000000"/>
                <w:sz w:val="18"/>
                <w:szCs w:val="18"/>
                <w:highlight w:val="none"/>
              </w:rPr>
            </w:pPr>
            <w:r>
              <w:rPr>
                <w:rFonts w:hint="eastAsia" w:ascii="微软雅黑" w:hAnsi="微软雅黑" w:eastAsia="微软雅黑" w:cs="微软雅黑"/>
                <w:color w:val="000000"/>
                <w:kern w:val="0"/>
                <w:sz w:val="18"/>
                <w:szCs w:val="18"/>
                <w:highlight w:val="none"/>
                <w:lang w:bidi="ar"/>
              </w:rPr>
              <w:t>6</w:t>
            </w:r>
          </w:p>
        </w:tc>
        <w:tc>
          <w:tcPr>
            <w:tcW w:w="1688" w:type="dxa"/>
            <w:vAlign w:val="center"/>
          </w:tcPr>
          <w:p>
            <w:pPr>
              <w:widowControl/>
              <w:ind w:right="2549" w:rightChars="1214"/>
              <w:jc w:val="center"/>
              <w:textAlignment w:val="center"/>
              <w:rPr>
                <w:rFonts w:ascii="微软雅黑" w:hAnsi="微软雅黑" w:eastAsia="微软雅黑" w:cs="微软雅黑"/>
                <w:color w:val="000000"/>
                <w:sz w:val="18"/>
                <w:szCs w:val="18"/>
                <w:highlight w:val="none"/>
              </w:rPr>
            </w:pPr>
            <w:r>
              <w:rPr>
                <w:rFonts w:hint="eastAsia" w:ascii="微软雅黑" w:hAnsi="微软雅黑" w:eastAsia="微软雅黑" w:cs="微软雅黑"/>
                <w:color w:val="000000"/>
                <w:kern w:val="0"/>
                <w:sz w:val="18"/>
                <w:szCs w:val="18"/>
                <w:highlight w:val="none"/>
                <w:lang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4" w:type="dxa"/>
          </w:tcPr>
          <w:p>
            <w:pPr>
              <w:spacing w:line="360" w:lineRule="auto"/>
              <w:jc w:val="center"/>
              <w:rPr>
                <w:rFonts w:ascii="宋体" w:hAnsi="宋体" w:cs="宋体"/>
                <w:sz w:val="24"/>
                <w:highlight w:val="none"/>
              </w:rPr>
            </w:pPr>
            <w:r>
              <w:rPr>
                <w:rFonts w:hint="eastAsia" w:ascii="宋体" w:hAnsi="宋体" w:cs="宋体"/>
                <w:sz w:val="24"/>
                <w:highlight w:val="none"/>
              </w:rPr>
              <w:t>3</w:t>
            </w:r>
          </w:p>
        </w:tc>
        <w:tc>
          <w:tcPr>
            <w:tcW w:w="3420" w:type="dxa"/>
            <w:vAlign w:val="center"/>
          </w:tcPr>
          <w:p>
            <w:pPr>
              <w:widowControl/>
              <w:jc w:val="center"/>
              <w:textAlignment w:val="center"/>
              <w:rPr>
                <w:rFonts w:ascii="微软雅黑" w:hAnsi="微软雅黑" w:eastAsia="微软雅黑" w:cs="微软雅黑"/>
                <w:b/>
                <w:bCs/>
                <w:color w:val="000000"/>
                <w:sz w:val="20"/>
                <w:szCs w:val="20"/>
                <w:highlight w:val="none"/>
              </w:rPr>
            </w:pPr>
            <w:r>
              <w:rPr>
                <w:rFonts w:hint="eastAsia" w:ascii="微软雅黑" w:hAnsi="微软雅黑" w:eastAsia="微软雅黑" w:cs="微软雅黑"/>
                <w:b/>
                <w:bCs/>
                <w:color w:val="000000"/>
                <w:kern w:val="0"/>
                <w:sz w:val="20"/>
                <w:szCs w:val="20"/>
                <w:highlight w:val="none"/>
                <w:lang w:bidi="ar"/>
              </w:rPr>
              <w:t>办公网16口POE接入交换机</w:t>
            </w:r>
          </w:p>
        </w:tc>
        <w:tc>
          <w:tcPr>
            <w:tcW w:w="1530" w:type="dxa"/>
            <w:vAlign w:val="center"/>
          </w:tcPr>
          <w:p>
            <w:pPr>
              <w:widowControl/>
              <w:jc w:val="center"/>
              <w:textAlignment w:val="center"/>
              <w:rPr>
                <w:rFonts w:ascii="微软雅黑" w:hAnsi="微软雅黑" w:eastAsia="微软雅黑" w:cs="微软雅黑"/>
                <w:color w:val="000000"/>
                <w:sz w:val="18"/>
                <w:szCs w:val="18"/>
                <w:highlight w:val="none"/>
              </w:rPr>
            </w:pPr>
            <w:r>
              <w:rPr>
                <w:rFonts w:hint="eastAsia" w:ascii="微软雅黑" w:hAnsi="微软雅黑" w:eastAsia="微软雅黑" w:cs="微软雅黑"/>
                <w:color w:val="000000"/>
                <w:kern w:val="0"/>
                <w:sz w:val="18"/>
                <w:szCs w:val="18"/>
                <w:highlight w:val="none"/>
                <w:lang w:bidi="ar"/>
              </w:rPr>
              <w:t>9</w:t>
            </w:r>
          </w:p>
        </w:tc>
        <w:tc>
          <w:tcPr>
            <w:tcW w:w="1688" w:type="dxa"/>
            <w:vAlign w:val="center"/>
          </w:tcPr>
          <w:p>
            <w:pPr>
              <w:widowControl/>
              <w:ind w:right="2549" w:rightChars="1214"/>
              <w:jc w:val="center"/>
              <w:textAlignment w:val="center"/>
              <w:rPr>
                <w:rFonts w:ascii="微软雅黑" w:hAnsi="微软雅黑" w:eastAsia="微软雅黑" w:cs="微软雅黑"/>
                <w:color w:val="000000"/>
                <w:sz w:val="18"/>
                <w:szCs w:val="18"/>
                <w:highlight w:val="none"/>
              </w:rPr>
            </w:pPr>
            <w:r>
              <w:rPr>
                <w:rFonts w:hint="eastAsia" w:ascii="微软雅黑" w:hAnsi="微软雅黑" w:eastAsia="微软雅黑" w:cs="微软雅黑"/>
                <w:color w:val="000000"/>
                <w:kern w:val="0"/>
                <w:sz w:val="18"/>
                <w:szCs w:val="18"/>
                <w:highlight w:val="none"/>
                <w:lang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4" w:type="dxa"/>
          </w:tcPr>
          <w:p>
            <w:pPr>
              <w:spacing w:line="360" w:lineRule="auto"/>
              <w:jc w:val="center"/>
              <w:rPr>
                <w:rFonts w:ascii="宋体" w:hAnsi="宋体" w:cs="宋体"/>
                <w:sz w:val="24"/>
                <w:highlight w:val="none"/>
              </w:rPr>
            </w:pPr>
            <w:r>
              <w:rPr>
                <w:rFonts w:hint="eastAsia" w:ascii="宋体" w:hAnsi="宋体" w:cs="宋体"/>
                <w:sz w:val="24"/>
                <w:highlight w:val="none"/>
              </w:rPr>
              <w:t>4</w:t>
            </w:r>
          </w:p>
        </w:tc>
        <w:tc>
          <w:tcPr>
            <w:tcW w:w="3420" w:type="dxa"/>
            <w:vAlign w:val="center"/>
          </w:tcPr>
          <w:p>
            <w:pPr>
              <w:widowControl/>
              <w:jc w:val="center"/>
              <w:textAlignment w:val="center"/>
              <w:rPr>
                <w:rFonts w:ascii="微软雅黑" w:hAnsi="微软雅黑" w:eastAsia="微软雅黑" w:cs="微软雅黑"/>
                <w:b/>
                <w:bCs/>
                <w:color w:val="000000"/>
                <w:sz w:val="20"/>
                <w:szCs w:val="20"/>
                <w:highlight w:val="none"/>
              </w:rPr>
            </w:pPr>
            <w:r>
              <w:rPr>
                <w:rFonts w:hint="eastAsia" w:ascii="微软雅黑" w:hAnsi="微软雅黑" w:eastAsia="微软雅黑" w:cs="微软雅黑"/>
                <w:b/>
                <w:bCs/>
                <w:color w:val="000000"/>
                <w:kern w:val="0"/>
                <w:sz w:val="20"/>
                <w:szCs w:val="20"/>
                <w:highlight w:val="none"/>
                <w:lang w:bidi="ar"/>
              </w:rPr>
              <w:t>办公网24口POE交换机</w:t>
            </w:r>
          </w:p>
        </w:tc>
        <w:tc>
          <w:tcPr>
            <w:tcW w:w="1530" w:type="dxa"/>
            <w:vAlign w:val="center"/>
          </w:tcPr>
          <w:p>
            <w:pPr>
              <w:widowControl/>
              <w:jc w:val="center"/>
              <w:textAlignment w:val="center"/>
              <w:rPr>
                <w:rFonts w:ascii="微软雅黑" w:hAnsi="微软雅黑" w:eastAsia="微软雅黑" w:cs="微软雅黑"/>
                <w:color w:val="000000"/>
                <w:sz w:val="18"/>
                <w:szCs w:val="18"/>
                <w:highlight w:val="none"/>
              </w:rPr>
            </w:pPr>
            <w:r>
              <w:rPr>
                <w:rFonts w:hint="eastAsia" w:ascii="微软雅黑" w:hAnsi="微软雅黑" w:eastAsia="微软雅黑" w:cs="微软雅黑"/>
                <w:color w:val="000000"/>
                <w:kern w:val="0"/>
                <w:sz w:val="18"/>
                <w:szCs w:val="18"/>
                <w:highlight w:val="none"/>
                <w:lang w:bidi="ar"/>
              </w:rPr>
              <w:t>1</w:t>
            </w:r>
          </w:p>
        </w:tc>
        <w:tc>
          <w:tcPr>
            <w:tcW w:w="1688" w:type="dxa"/>
            <w:vAlign w:val="center"/>
          </w:tcPr>
          <w:p>
            <w:pPr>
              <w:widowControl/>
              <w:ind w:right="2549" w:rightChars="1214"/>
              <w:jc w:val="center"/>
              <w:textAlignment w:val="center"/>
              <w:rPr>
                <w:rFonts w:ascii="微软雅黑" w:hAnsi="微软雅黑" w:eastAsia="微软雅黑" w:cs="微软雅黑"/>
                <w:color w:val="000000"/>
                <w:sz w:val="18"/>
                <w:szCs w:val="18"/>
                <w:highlight w:val="none"/>
              </w:rPr>
            </w:pPr>
            <w:r>
              <w:rPr>
                <w:rFonts w:hint="eastAsia" w:ascii="微软雅黑" w:hAnsi="微软雅黑" w:eastAsia="微软雅黑" w:cs="微软雅黑"/>
                <w:color w:val="000000"/>
                <w:kern w:val="0"/>
                <w:sz w:val="18"/>
                <w:szCs w:val="18"/>
                <w:highlight w:val="none"/>
                <w:lang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4" w:type="dxa"/>
          </w:tcPr>
          <w:p>
            <w:pPr>
              <w:spacing w:line="360" w:lineRule="auto"/>
              <w:jc w:val="center"/>
              <w:rPr>
                <w:rFonts w:ascii="宋体" w:hAnsi="宋体" w:cs="宋体"/>
                <w:sz w:val="24"/>
                <w:highlight w:val="none"/>
              </w:rPr>
            </w:pPr>
            <w:r>
              <w:rPr>
                <w:rFonts w:hint="eastAsia" w:ascii="宋体" w:hAnsi="宋体" w:cs="宋体"/>
                <w:sz w:val="24"/>
                <w:highlight w:val="none"/>
              </w:rPr>
              <w:t>5</w:t>
            </w:r>
          </w:p>
        </w:tc>
        <w:tc>
          <w:tcPr>
            <w:tcW w:w="3420" w:type="dxa"/>
            <w:vAlign w:val="center"/>
          </w:tcPr>
          <w:p>
            <w:pPr>
              <w:widowControl/>
              <w:jc w:val="center"/>
              <w:textAlignment w:val="center"/>
              <w:rPr>
                <w:rFonts w:ascii="微软雅黑" w:hAnsi="微软雅黑" w:eastAsia="微软雅黑" w:cs="微软雅黑"/>
                <w:b/>
                <w:bCs/>
                <w:color w:val="000000"/>
                <w:sz w:val="20"/>
                <w:szCs w:val="20"/>
                <w:highlight w:val="none"/>
              </w:rPr>
            </w:pPr>
            <w:r>
              <w:rPr>
                <w:rFonts w:hint="eastAsia" w:ascii="微软雅黑" w:hAnsi="微软雅黑" w:eastAsia="微软雅黑" w:cs="微软雅黑"/>
                <w:b/>
                <w:bCs/>
                <w:color w:val="000000"/>
                <w:kern w:val="0"/>
                <w:sz w:val="20"/>
                <w:szCs w:val="20"/>
                <w:highlight w:val="none"/>
                <w:lang w:bidi="ar"/>
              </w:rPr>
              <w:t>办公网8口POE交换机</w:t>
            </w:r>
          </w:p>
        </w:tc>
        <w:tc>
          <w:tcPr>
            <w:tcW w:w="1530" w:type="dxa"/>
            <w:vAlign w:val="center"/>
          </w:tcPr>
          <w:p>
            <w:pPr>
              <w:widowControl/>
              <w:jc w:val="center"/>
              <w:textAlignment w:val="center"/>
              <w:rPr>
                <w:rFonts w:ascii="微软雅黑" w:hAnsi="微软雅黑" w:eastAsia="微软雅黑" w:cs="微软雅黑"/>
                <w:color w:val="000000"/>
                <w:sz w:val="18"/>
                <w:szCs w:val="18"/>
                <w:highlight w:val="none"/>
              </w:rPr>
            </w:pPr>
            <w:r>
              <w:rPr>
                <w:rFonts w:hint="eastAsia" w:ascii="微软雅黑" w:hAnsi="微软雅黑" w:eastAsia="微软雅黑" w:cs="微软雅黑"/>
                <w:color w:val="000000"/>
                <w:kern w:val="0"/>
                <w:sz w:val="18"/>
                <w:szCs w:val="18"/>
                <w:highlight w:val="none"/>
                <w:lang w:bidi="ar"/>
              </w:rPr>
              <w:t>3</w:t>
            </w:r>
          </w:p>
        </w:tc>
        <w:tc>
          <w:tcPr>
            <w:tcW w:w="1688" w:type="dxa"/>
            <w:vAlign w:val="center"/>
          </w:tcPr>
          <w:p>
            <w:pPr>
              <w:widowControl/>
              <w:ind w:right="2549" w:rightChars="1214"/>
              <w:jc w:val="center"/>
              <w:textAlignment w:val="center"/>
              <w:rPr>
                <w:rFonts w:ascii="微软雅黑" w:hAnsi="微软雅黑" w:eastAsia="微软雅黑" w:cs="微软雅黑"/>
                <w:color w:val="000000"/>
                <w:sz w:val="18"/>
                <w:szCs w:val="18"/>
                <w:highlight w:val="none"/>
              </w:rPr>
            </w:pPr>
            <w:r>
              <w:rPr>
                <w:rFonts w:hint="eastAsia" w:ascii="微软雅黑" w:hAnsi="微软雅黑" w:eastAsia="微软雅黑" w:cs="微软雅黑"/>
                <w:color w:val="000000"/>
                <w:kern w:val="0"/>
                <w:sz w:val="18"/>
                <w:szCs w:val="18"/>
                <w:highlight w:val="none"/>
                <w:lang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4" w:type="dxa"/>
          </w:tcPr>
          <w:p>
            <w:pPr>
              <w:spacing w:line="360" w:lineRule="auto"/>
              <w:jc w:val="center"/>
              <w:rPr>
                <w:rFonts w:ascii="宋体" w:hAnsi="宋体" w:cs="宋体"/>
                <w:sz w:val="24"/>
                <w:highlight w:val="none"/>
              </w:rPr>
            </w:pPr>
            <w:r>
              <w:rPr>
                <w:rFonts w:hint="eastAsia" w:ascii="宋体" w:hAnsi="宋体" w:cs="宋体"/>
                <w:sz w:val="24"/>
                <w:highlight w:val="none"/>
              </w:rPr>
              <w:t>6</w:t>
            </w:r>
          </w:p>
        </w:tc>
        <w:tc>
          <w:tcPr>
            <w:tcW w:w="3420" w:type="dxa"/>
            <w:vAlign w:val="center"/>
          </w:tcPr>
          <w:p>
            <w:pPr>
              <w:widowControl/>
              <w:jc w:val="center"/>
              <w:textAlignment w:val="center"/>
              <w:rPr>
                <w:rFonts w:ascii="微软雅黑" w:hAnsi="微软雅黑" w:eastAsia="微软雅黑" w:cs="微软雅黑"/>
                <w:b/>
                <w:bCs/>
                <w:color w:val="000000"/>
                <w:sz w:val="20"/>
                <w:szCs w:val="20"/>
                <w:highlight w:val="none"/>
              </w:rPr>
            </w:pPr>
            <w:r>
              <w:rPr>
                <w:rFonts w:hint="eastAsia" w:ascii="微软雅黑" w:hAnsi="微软雅黑" w:eastAsia="微软雅黑" w:cs="微软雅黑"/>
                <w:b/>
                <w:bCs/>
                <w:color w:val="000000"/>
                <w:kern w:val="0"/>
                <w:sz w:val="20"/>
                <w:szCs w:val="20"/>
                <w:highlight w:val="none"/>
                <w:lang w:bidi="ar"/>
              </w:rPr>
              <w:t>办公网24口接入交换机</w:t>
            </w:r>
          </w:p>
        </w:tc>
        <w:tc>
          <w:tcPr>
            <w:tcW w:w="1530" w:type="dxa"/>
            <w:vAlign w:val="center"/>
          </w:tcPr>
          <w:p>
            <w:pPr>
              <w:widowControl/>
              <w:jc w:val="center"/>
              <w:textAlignment w:val="center"/>
              <w:rPr>
                <w:rFonts w:ascii="微软雅黑" w:hAnsi="微软雅黑" w:eastAsia="微软雅黑" w:cs="微软雅黑"/>
                <w:color w:val="000000"/>
                <w:sz w:val="18"/>
                <w:szCs w:val="18"/>
                <w:highlight w:val="none"/>
              </w:rPr>
            </w:pPr>
            <w:r>
              <w:rPr>
                <w:rFonts w:hint="eastAsia" w:ascii="微软雅黑" w:hAnsi="微软雅黑" w:eastAsia="微软雅黑" w:cs="微软雅黑"/>
                <w:color w:val="000000"/>
                <w:kern w:val="0"/>
                <w:sz w:val="18"/>
                <w:szCs w:val="18"/>
                <w:highlight w:val="none"/>
                <w:lang w:bidi="ar"/>
              </w:rPr>
              <w:t>4</w:t>
            </w:r>
          </w:p>
        </w:tc>
        <w:tc>
          <w:tcPr>
            <w:tcW w:w="1688" w:type="dxa"/>
            <w:vAlign w:val="center"/>
          </w:tcPr>
          <w:p>
            <w:pPr>
              <w:widowControl/>
              <w:ind w:right="2549" w:rightChars="1214"/>
              <w:jc w:val="center"/>
              <w:textAlignment w:val="center"/>
              <w:rPr>
                <w:rFonts w:ascii="微软雅黑" w:hAnsi="微软雅黑" w:eastAsia="微软雅黑" w:cs="微软雅黑"/>
                <w:color w:val="000000"/>
                <w:sz w:val="18"/>
                <w:szCs w:val="18"/>
                <w:highlight w:val="none"/>
              </w:rPr>
            </w:pPr>
            <w:r>
              <w:rPr>
                <w:rFonts w:hint="eastAsia" w:ascii="微软雅黑" w:hAnsi="微软雅黑" w:eastAsia="微软雅黑" w:cs="微软雅黑"/>
                <w:color w:val="000000"/>
                <w:kern w:val="0"/>
                <w:sz w:val="18"/>
                <w:szCs w:val="18"/>
                <w:highlight w:val="none"/>
                <w:lang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4" w:type="dxa"/>
          </w:tcPr>
          <w:p>
            <w:pPr>
              <w:spacing w:line="360" w:lineRule="auto"/>
              <w:jc w:val="center"/>
              <w:rPr>
                <w:rFonts w:ascii="宋体" w:hAnsi="宋体" w:cs="宋体"/>
                <w:sz w:val="24"/>
                <w:highlight w:val="none"/>
              </w:rPr>
            </w:pPr>
            <w:r>
              <w:rPr>
                <w:rFonts w:hint="eastAsia" w:ascii="宋体" w:hAnsi="宋体" w:cs="宋体"/>
                <w:sz w:val="24"/>
                <w:highlight w:val="none"/>
              </w:rPr>
              <w:t>7</w:t>
            </w:r>
          </w:p>
        </w:tc>
        <w:tc>
          <w:tcPr>
            <w:tcW w:w="3420" w:type="dxa"/>
            <w:vAlign w:val="center"/>
          </w:tcPr>
          <w:p>
            <w:pPr>
              <w:widowControl/>
              <w:jc w:val="center"/>
              <w:textAlignment w:val="center"/>
              <w:rPr>
                <w:rFonts w:ascii="微软雅黑" w:hAnsi="微软雅黑" w:eastAsia="微软雅黑" w:cs="微软雅黑"/>
                <w:b/>
                <w:bCs/>
                <w:color w:val="000000"/>
                <w:sz w:val="20"/>
                <w:szCs w:val="20"/>
                <w:highlight w:val="none"/>
              </w:rPr>
            </w:pPr>
            <w:r>
              <w:rPr>
                <w:rFonts w:hint="eastAsia" w:ascii="微软雅黑" w:hAnsi="微软雅黑" w:eastAsia="微软雅黑" w:cs="微软雅黑"/>
                <w:b/>
                <w:bCs/>
                <w:color w:val="000000"/>
                <w:kern w:val="0"/>
                <w:sz w:val="20"/>
                <w:szCs w:val="20"/>
                <w:highlight w:val="none"/>
                <w:lang w:bidi="ar"/>
              </w:rPr>
              <w:t>办公网吸顶AP</w:t>
            </w:r>
          </w:p>
        </w:tc>
        <w:tc>
          <w:tcPr>
            <w:tcW w:w="1530" w:type="dxa"/>
            <w:vAlign w:val="center"/>
          </w:tcPr>
          <w:p>
            <w:pPr>
              <w:widowControl/>
              <w:jc w:val="center"/>
              <w:textAlignment w:val="center"/>
              <w:rPr>
                <w:rFonts w:ascii="微软雅黑" w:hAnsi="微软雅黑" w:eastAsia="微软雅黑" w:cs="微软雅黑"/>
                <w:color w:val="000000"/>
                <w:sz w:val="18"/>
                <w:szCs w:val="18"/>
                <w:highlight w:val="none"/>
              </w:rPr>
            </w:pPr>
            <w:r>
              <w:rPr>
                <w:rFonts w:hint="eastAsia" w:ascii="微软雅黑" w:hAnsi="微软雅黑" w:eastAsia="微软雅黑" w:cs="微软雅黑"/>
                <w:color w:val="000000"/>
                <w:kern w:val="0"/>
                <w:sz w:val="18"/>
                <w:szCs w:val="18"/>
                <w:highlight w:val="none"/>
                <w:lang w:bidi="ar"/>
              </w:rPr>
              <w:t>50</w:t>
            </w:r>
          </w:p>
        </w:tc>
        <w:tc>
          <w:tcPr>
            <w:tcW w:w="1688" w:type="dxa"/>
            <w:vAlign w:val="center"/>
          </w:tcPr>
          <w:p>
            <w:pPr>
              <w:widowControl/>
              <w:ind w:right="2549" w:rightChars="1214"/>
              <w:jc w:val="center"/>
              <w:textAlignment w:val="center"/>
              <w:rPr>
                <w:rFonts w:ascii="微软雅黑" w:hAnsi="微软雅黑" w:eastAsia="微软雅黑" w:cs="微软雅黑"/>
                <w:color w:val="000000"/>
                <w:sz w:val="18"/>
                <w:szCs w:val="18"/>
                <w:highlight w:val="none"/>
              </w:rPr>
            </w:pPr>
            <w:r>
              <w:rPr>
                <w:rFonts w:hint="eastAsia" w:ascii="微软雅黑" w:hAnsi="微软雅黑" w:eastAsia="微软雅黑" w:cs="微软雅黑"/>
                <w:color w:val="000000"/>
                <w:kern w:val="0"/>
                <w:sz w:val="18"/>
                <w:szCs w:val="18"/>
                <w:highlight w:val="none"/>
                <w:lang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4" w:type="dxa"/>
          </w:tcPr>
          <w:p>
            <w:pPr>
              <w:spacing w:line="360" w:lineRule="auto"/>
              <w:jc w:val="center"/>
              <w:rPr>
                <w:rFonts w:ascii="宋体" w:hAnsi="宋体" w:cs="宋体"/>
                <w:sz w:val="24"/>
                <w:highlight w:val="none"/>
              </w:rPr>
            </w:pPr>
            <w:r>
              <w:rPr>
                <w:rFonts w:hint="eastAsia" w:ascii="宋体" w:hAnsi="宋体" w:cs="宋体"/>
                <w:sz w:val="24"/>
                <w:highlight w:val="none"/>
              </w:rPr>
              <w:t>8</w:t>
            </w:r>
          </w:p>
        </w:tc>
        <w:tc>
          <w:tcPr>
            <w:tcW w:w="3420" w:type="dxa"/>
            <w:vAlign w:val="center"/>
          </w:tcPr>
          <w:p>
            <w:pPr>
              <w:widowControl/>
              <w:jc w:val="center"/>
              <w:textAlignment w:val="center"/>
              <w:rPr>
                <w:rFonts w:ascii="微软雅黑" w:hAnsi="微软雅黑" w:eastAsia="微软雅黑" w:cs="微软雅黑"/>
                <w:b/>
                <w:bCs/>
                <w:color w:val="000000"/>
                <w:sz w:val="20"/>
                <w:szCs w:val="20"/>
                <w:highlight w:val="none"/>
              </w:rPr>
            </w:pPr>
            <w:r>
              <w:rPr>
                <w:rFonts w:hint="eastAsia" w:ascii="微软雅黑" w:hAnsi="微软雅黑" w:eastAsia="微软雅黑" w:cs="微软雅黑"/>
                <w:b/>
                <w:bCs/>
                <w:color w:val="000000"/>
                <w:kern w:val="0"/>
                <w:sz w:val="20"/>
                <w:szCs w:val="20"/>
                <w:highlight w:val="none"/>
                <w:lang w:bidi="ar"/>
              </w:rPr>
              <w:t>办公网室外AP</w:t>
            </w:r>
          </w:p>
        </w:tc>
        <w:tc>
          <w:tcPr>
            <w:tcW w:w="1530" w:type="dxa"/>
            <w:vAlign w:val="center"/>
          </w:tcPr>
          <w:p>
            <w:pPr>
              <w:widowControl/>
              <w:jc w:val="center"/>
              <w:textAlignment w:val="center"/>
              <w:rPr>
                <w:rFonts w:ascii="微软雅黑" w:hAnsi="微软雅黑" w:eastAsia="微软雅黑" w:cs="微软雅黑"/>
                <w:color w:val="000000"/>
                <w:sz w:val="18"/>
                <w:szCs w:val="18"/>
                <w:highlight w:val="none"/>
              </w:rPr>
            </w:pPr>
            <w:r>
              <w:rPr>
                <w:rFonts w:hint="eastAsia" w:ascii="微软雅黑" w:hAnsi="微软雅黑" w:eastAsia="微软雅黑" w:cs="微软雅黑"/>
                <w:color w:val="000000"/>
                <w:kern w:val="0"/>
                <w:sz w:val="18"/>
                <w:szCs w:val="18"/>
                <w:highlight w:val="none"/>
                <w:lang w:bidi="ar"/>
              </w:rPr>
              <w:t>8</w:t>
            </w:r>
          </w:p>
        </w:tc>
        <w:tc>
          <w:tcPr>
            <w:tcW w:w="1688" w:type="dxa"/>
            <w:vAlign w:val="center"/>
          </w:tcPr>
          <w:p>
            <w:pPr>
              <w:widowControl/>
              <w:ind w:right="2549" w:rightChars="1214"/>
              <w:jc w:val="center"/>
              <w:textAlignment w:val="center"/>
              <w:rPr>
                <w:rFonts w:ascii="微软雅黑" w:hAnsi="微软雅黑" w:eastAsia="微软雅黑" w:cs="微软雅黑"/>
                <w:color w:val="000000"/>
                <w:sz w:val="18"/>
                <w:szCs w:val="18"/>
                <w:highlight w:val="none"/>
              </w:rPr>
            </w:pPr>
            <w:r>
              <w:rPr>
                <w:rFonts w:hint="eastAsia" w:ascii="微软雅黑" w:hAnsi="微软雅黑" w:eastAsia="微软雅黑" w:cs="微软雅黑"/>
                <w:color w:val="000000"/>
                <w:kern w:val="0"/>
                <w:sz w:val="18"/>
                <w:szCs w:val="18"/>
                <w:highlight w:val="none"/>
                <w:lang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4" w:type="dxa"/>
          </w:tcPr>
          <w:p>
            <w:pPr>
              <w:spacing w:line="360" w:lineRule="auto"/>
              <w:jc w:val="center"/>
              <w:rPr>
                <w:rFonts w:ascii="宋体" w:hAnsi="宋体" w:cs="宋体"/>
                <w:sz w:val="24"/>
                <w:highlight w:val="none"/>
              </w:rPr>
            </w:pPr>
            <w:r>
              <w:rPr>
                <w:rFonts w:hint="eastAsia" w:ascii="宋体" w:hAnsi="宋体" w:cs="宋体"/>
                <w:sz w:val="24"/>
                <w:highlight w:val="none"/>
              </w:rPr>
              <w:t>9</w:t>
            </w:r>
          </w:p>
        </w:tc>
        <w:tc>
          <w:tcPr>
            <w:tcW w:w="3420" w:type="dxa"/>
            <w:vAlign w:val="center"/>
          </w:tcPr>
          <w:p>
            <w:pPr>
              <w:widowControl/>
              <w:jc w:val="center"/>
              <w:textAlignment w:val="center"/>
              <w:rPr>
                <w:rFonts w:ascii="微软雅黑" w:hAnsi="微软雅黑" w:eastAsia="微软雅黑" w:cs="微软雅黑"/>
                <w:b/>
                <w:bCs/>
                <w:color w:val="000000"/>
                <w:sz w:val="20"/>
                <w:szCs w:val="20"/>
                <w:highlight w:val="none"/>
              </w:rPr>
            </w:pPr>
            <w:r>
              <w:rPr>
                <w:rFonts w:hint="eastAsia" w:ascii="微软雅黑" w:hAnsi="微软雅黑" w:eastAsia="微软雅黑" w:cs="微软雅黑"/>
                <w:b/>
                <w:bCs/>
                <w:color w:val="000000"/>
                <w:kern w:val="0"/>
                <w:sz w:val="20"/>
                <w:szCs w:val="20"/>
                <w:highlight w:val="none"/>
                <w:lang w:bidi="ar"/>
              </w:rPr>
              <w:t>办公网室外AP专用8口交换机</w:t>
            </w:r>
          </w:p>
        </w:tc>
        <w:tc>
          <w:tcPr>
            <w:tcW w:w="1530" w:type="dxa"/>
            <w:vAlign w:val="center"/>
          </w:tcPr>
          <w:p>
            <w:pPr>
              <w:widowControl/>
              <w:jc w:val="center"/>
              <w:textAlignment w:val="center"/>
              <w:rPr>
                <w:rFonts w:ascii="微软雅黑" w:hAnsi="微软雅黑" w:eastAsia="微软雅黑" w:cs="微软雅黑"/>
                <w:color w:val="000000"/>
                <w:sz w:val="18"/>
                <w:szCs w:val="18"/>
                <w:highlight w:val="none"/>
              </w:rPr>
            </w:pPr>
            <w:r>
              <w:rPr>
                <w:rFonts w:hint="eastAsia" w:ascii="微软雅黑" w:hAnsi="微软雅黑" w:eastAsia="微软雅黑" w:cs="微软雅黑"/>
                <w:color w:val="000000"/>
                <w:kern w:val="0"/>
                <w:sz w:val="18"/>
                <w:szCs w:val="18"/>
                <w:highlight w:val="none"/>
                <w:lang w:bidi="ar"/>
              </w:rPr>
              <w:t>5</w:t>
            </w:r>
          </w:p>
        </w:tc>
        <w:tc>
          <w:tcPr>
            <w:tcW w:w="1688" w:type="dxa"/>
            <w:vAlign w:val="center"/>
          </w:tcPr>
          <w:p>
            <w:pPr>
              <w:widowControl/>
              <w:ind w:right="2549" w:rightChars="1214"/>
              <w:jc w:val="center"/>
              <w:textAlignment w:val="center"/>
              <w:rPr>
                <w:rFonts w:ascii="微软雅黑" w:hAnsi="微软雅黑" w:eastAsia="微软雅黑" w:cs="微软雅黑"/>
                <w:color w:val="000000"/>
                <w:sz w:val="18"/>
                <w:szCs w:val="18"/>
                <w:highlight w:val="none"/>
              </w:rPr>
            </w:pPr>
            <w:r>
              <w:rPr>
                <w:rFonts w:hint="eastAsia" w:ascii="微软雅黑" w:hAnsi="微软雅黑" w:eastAsia="微软雅黑" w:cs="微软雅黑"/>
                <w:color w:val="000000"/>
                <w:kern w:val="0"/>
                <w:sz w:val="18"/>
                <w:szCs w:val="18"/>
                <w:highlight w:val="none"/>
                <w:lang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4" w:type="dxa"/>
          </w:tcPr>
          <w:p>
            <w:pPr>
              <w:spacing w:line="360" w:lineRule="auto"/>
              <w:jc w:val="center"/>
              <w:rPr>
                <w:rFonts w:ascii="宋体" w:hAnsi="宋体" w:cs="宋体"/>
                <w:sz w:val="24"/>
                <w:highlight w:val="none"/>
              </w:rPr>
            </w:pPr>
            <w:r>
              <w:rPr>
                <w:rFonts w:hint="eastAsia" w:ascii="宋体" w:hAnsi="宋体" w:cs="宋体"/>
                <w:sz w:val="24"/>
                <w:highlight w:val="none"/>
              </w:rPr>
              <w:t>10</w:t>
            </w:r>
          </w:p>
        </w:tc>
        <w:tc>
          <w:tcPr>
            <w:tcW w:w="3420" w:type="dxa"/>
            <w:vAlign w:val="center"/>
          </w:tcPr>
          <w:p>
            <w:pPr>
              <w:widowControl/>
              <w:jc w:val="center"/>
              <w:textAlignment w:val="center"/>
              <w:rPr>
                <w:rFonts w:ascii="微软雅黑" w:hAnsi="微软雅黑" w:eastAsia="微软雅黑" w:cs="微软雅黑"/>
                <w:b/>
                <w:bCs/>
                <w:color w:val="000000"/>
                <w:sz w:val="20"/>
                <w:szCs w:val="20"/>
                <w:highlight w:val="none"/>
              </w:rPr>
            </w:pPr>
            <w:r>
              <w:rPr>
                <w:rFonts w:hint="eastAsia" w:ascii="微软雅黑" w:hAnsi="微软雅黑" w:eastAsia="微软雅黑" w:cs="微软雅黑"/>
                <w:b/>
                <w:bCs/>
                <w:color w:val="000000"/>
                <w:kern w:val="0"/>
                <w:sz w:val="20"/>
                <w:szCs w:val="20"/>
                <w:highlight w:val="none"/>
                <w:lang w:bidi="ar"/>
              </w:rPr>
              <w:t>办公网无线控制器</w:t>
            </w:r>
          </w:p>
        </w:tc>
        <w:tc>
          <w:tcPr>
            <w:tcW w:w="1530" w:type="dxa"/>
            <w:vAlign w:val="center"/>
          </w:tcPr>
          <w:p>
            <w:pPr>
              <w:widowControl/>
              <w:jc w:val="center"/>
              <w:textAlignment w:val="center"/>
              <w:rPr>
                <w:rFonts w:ascii="微软雅黑" w:hAnsi="微软雅黑" w:eastAsia="微软雅黑" w:cs="微软雅黑"/>
                <w:color w:val="000000"/>
                <w:sz w:val="18"/>
                <w:szCs w:val="18"/>
                <w:highlight w:val="none"/>
              </w:rPr>
            </w:pPr>
            <w:r>
              <w:rPr>
                <w:rFonts w:hint="eastAsia" w:ascii="微软雅黑" w:hAnsi="微软雅黑" w:eastAsia="微软雅黑" w:cs="微软雅黑"/>
                <w:color w:val="000000"/>
                <w:kern w:val="0"/>
                <w:sz w:val="18"/>
                <w:szCs w:val="18"/>
                <w:highlight w:val="none"/>
                <w:lang w:bidi="ar"/>
              </w:rPr>
              <w:t>1</w:t>
            </w:r>
          </w:p>
        </w:tc>
        <w:tc>
          <w:tcPr>
            <w:tcW w:w="1688" w:type="dxa"/>
            <w:vAlign w:val="center"/>
          </w:tcPr>
          <w:p>
            <w:pPr>
              <w:widowControl/>
              <w:ind w:right="2549" w:rightChars="1214"/>
              <w:jc w:val="center"/>
              <w:textAlignment w:val="center"/>
              <w:rPr>
                <w:rFonts w:ascii="微软雅黑" w:hAnsi="微软雅黑" w:eastAsia="微软雅黑" w:cs="微软雅黑"/>
                <w:color w:val="000000"/>
                <w:sz w:val="18"/>
                <w:szCs w:val="18"/>
                <w:highlight w:val="none"/>
              </w:rPr>
            </w:pPr>
            <w:r>
              <w:rPr>
                <w:rFonts w:hint="eastAsia" w:ascii="微软雅黑" w:hAnsi="微软雅黑" w:eastAsia="微软雅黑" w:cs="微软雅黑"/>
                <w:color w:val="000000"/>
                <w:kern w:val="0"/>
                <w:sz w:val="18"/>
                <w:szCs w:val="18"/>
                <w:highlight w:val="none"/>
                <w:lang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4" w:type="dxa"/>
          </w:tcPr>
          <w:p>
            <w:pPr>
              <w:spacing w:line="360" w:lineRule="auto"/>
              <w:jc w:val="center"/>
              <w:rPr>
                <w:rFonts w:ascii="宋体" w:hAnsi="宋体" w:cs="宋体"/>
                <w:sz w:val="24"/>
                <w:highlight w:val="none"/>
              </w:rPr>
            </w:pPr>
            <w:r>
              <w:rPr>
                <w:rFonts w:hint="eastAsia" w:ascii="宋体" w:hAnsi="宋体" w:cs="宋体"/>
                <w:sz w:val="24"/>
                <w:highlight w:val="none"/>
              </w:rPr>
              <w:t>11</w:t>
            </w:r>
          </w:p>
        </w:tc>
        <w:tc>
          <w:tcPr>
            <w:tcW w:w="3420" w:type="dxa"/>
            <w:vAlign w:val="center"/>
          </w:tcPr>
          <w:p>
            <w:pPr>
              <w:widowControl/>
              <w:jc w:val="center"/>
              <w:textAlignment w:val="center"/>
              <w:rPr>
                <w:rFonts w:ascii="微软雅黑" w:hAnsi="微软雅黑" w:eastAsia="微软雅黑" w:cs="微软雅黑"/>
                <w:b/>
                <w:bCs/>
                <w:color w:val="000000"/>
                <w:sz w:val="20"/>
                <w:szCs w:val="20"/>
                <w:highlight w:val="none"/>
              </w:rPr>
            </w:pPr>
            <w:r>
              <w:rPr>
                <w:rFonts w:hint="eastAsia" w:ascii="微软雅黑" w:hAnsi="微软雅黑" w:eastAsia="微软雅黑" w:cs="微软雅黑"/>
                <w:b/>
                <w:bCs/>
                <w:color w:val="000000"/>
                <w:kern w:val="0"/>
                <w:sz w:val="20"/>
                <w:szCs w:val="20"/>
                <w:highlight w:val="none"/>
                <w:lang w:bidi="ar"/>
              </w:rPr>
              <w:t>办公网网络管理软件</w:t>
            </w:r>
          </w:p>
        </w:tc>
        <w:tc>
          <w:tcPr>
            <w:tcW w:w="1530" w:type="dxa"/>
            <w:vAlign w:val="center"/>
          </w:tcPr>
          <w:p>
            <w:pPr>
              <w:widowControl/>
              <w:jc w:val="center"/>
              <w:textAlignment w:val="center"/>
              <w:rPr>
                <w:rFonts w:ascii="微软雅黑" w:hAnsi="微软雅黑" w:eastAsia="微软雅黑" w:cs="微软雅黑"/>
                <w:color w:val="000000"/>
                <w:sz w:val="18"/>
                <w:szCs w:val="18"/>
                <w:highlight w:val="none"/>
              </w:rPr>
            </w:pPr>
            <w:r>
              <w:rPr>
                <w:rFonts w:hint="eastAsia" w:ascii="微软雅黑" w:hAnsi="微软雅黑" w:eastAsia="微软雅黑" w:cs="微软雅黑"/>
                <w:color w:val="000000"/>
                <w:kern w:val="0"/>
                <w:sz w:val="18"/>
                <w:szCs w:val="18"/>
                <w:highlight w:val="none"/>
                <w:lang w:bidi="ar"/>
              </w:rPr>
              <w:t>1</w:t>
            </w:r>
          </w:p>
        </w:tc>
        <w:tc>
          <w:tcPr>
            <w:tcW w:w="1688" w:type="dxa"/>
            <w:vAlign w:val="center"/>
          </w:tcPr>
          <w:p>
            <w:pPr>
              <w:widowControl/>
              <w:ind w:right="2549" w:rightChars="1214"/>
              <w:jc w:val="center"/>
              <w:textAlignment w:val="center"/>
              <w:rPr>
                <w:rFonts w:ascii="微软雅黑" w:hAnsi="微软雅黑" w:eastAsia="微软雅黑" w:cs="微软雅黑"/>
                <w:color w:val="000000"/>
                <w:sz w:val="18"/>
                <w:szCs w:val="18"/>
                <w:highlight w:val="none"/>
              </w:rPr>
            </w:pPr>
            <w:r>
              <w:rPr>
                <w:rFonts w:hint="eastAsia" w:ascii="微软雅黑" w:hAnsi="微软雅黑" w:eastAsia="微软雅黑" w:cs="微软雅黑"/>
                <w:color w:val="000000"/>
                <w:kern w:val="0"/>
                <w:sz w:val="18"/>
                <w:szCs w:val="18"/>
                <w:highlight w:val="none"/>
                <w:lang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4" w:type="dxa"/>
          </w:tcPr>
          <w:p>
            <w:pPr>
              <w:spacing w:line="360" w:lineRule="auto"/>
              <w:jc w:val="center"/>
              <w:rPr>
                <w:rFonts w:ascii="宋体" w:hAnsi="宋体" w:cs="宋体"/>
                <w:sz w:val="24"/>
                <w:highlight w:val="none"/>
              </w:rPr>
            </w:pPr>
            <w:r>
              <w:rPr>
                <w:rFonts w:hint="eastAsia" w:ascii="宋体" w:hAnsi="宋体" w:cs="宋体"/>
                <w:sz w:val="24"/>
                <w:highlight w:val="none"/>
              </w:rPr>
              <w:t>12</w:t>
            </w:r>
          </w:p>
        </w:tc>
        <w:tc>
          <w:tcPr>
            <w:tcW w:w="3420" w:type="dxa"/>
            <w:vAlign w:val="center"/>
          </w:tcPr>
          <w:p>
            <w:pPr>
              <w:widowControl/>
              <w:jc w:val="center"/>
              <w:textAlignment w:val="center"/>
              <w:rPr>
                <w:rFonts w:ascii="微软雅黑" w:hAnsi="微软雅黑" w:eastAsia="微软雅黑" w:cs="微软雅黑"/>
                <w:b/>
                <w:bCs/>
                <w:color w:val="000000"/>
                <w:sz w:val="20"/>
                <w:szCs w:val="20"/>
                <w:highlight w:val="none"/>
              </w:rPr>
            </w:pPr>
            <w:r>
              <w:rPr>
                <w:rFonts w:hint="eastAsia" w:ascii="微软雅黑" w:hAnsi="微软雅黑" w:eastAsia="微软雅黑" w:cs="微软雅黑"/>
                <w:b/>
                <w:bCs/>
                <w:color w:val="000000"/>
                <w:kern w:val="0"/>
                <w:sz w:val="20"/>
                <w:szCs w:val="20"/>
                <w:highlight w:val="none"/>
                <w:lang w:bidi="ar"/>
              </w:rPr>
              <w:t>办公网网络管理平台</w:t>
            </w:r>
          </w:p>
        </w:tc>
        <w:tc>
          <w:tcPr>
            <w:tcW w:w="1530" w:type="dxa"/>
            <w:vAlign w:val="center"/>
          </w:tcPr>
          <w:p>
            <w:pPr>
              <w:widowControl/>
              <w:jc w:val="center"/>
              <w:textAlignment w:val="center"/>
              <w:rPr>
                <w:rFonts w:ascii="微软雅黑" w:hAnsi="微软雅黑" w:eastAsia="微软雅黑" w:cs="微软雅黑"/>
                <w:color w:val="000000"/>
                <w:sz w:val="18"/>
                <w:szCs w:val="18"/>
                <w:highlight w:val="none"/>
              </w:rPr>
            </w:pPr>
            <w:r>
              <w:rPr>
                <w:rFonts w:hint="eastAsia" w:ascii="微软雅黑" w:hAnsi="微软雅黑" w:eastAsia="微软雅黑" w:cs="微软雅黑"/>
                <w:color w:val="000000"/>
                <w:kern w:val="0"/>
                <w:sz w:val="18"/>
                <w:szCs w:val="18"/>
                <w:highlight w:val="none"/>
                <w:lang w:bidi="ar"/>
              </w:rPr>
              <w:t>1</w:t>
            </w:r>
          </w:p>
        </w:tc>
        <w:tc>
          <w:tcPr>
            <w:tcW w:w="1688" w:type="dxa"/>
            <w:vAlign w:val="center"/>
          </w:tcPr>
          <w:p>
            <w:pPr>
              <w:widowControl/>
              <w:ind w:right="2549" w:rightChars="1214"/>
              <w:jc w:val="center"/>
              <w:textAlignment w:val="center"/>
              <w:rPr>
                <w:rFonts w:ascii="微软雅黑" w:hAnsi="微软雅黑" w:eastAsia="微软雅黑" w:cs="微软雅黑"/>
                <w:color w:val="000000"/>
                <w:sz w:val="18"/>
                <w:szCs w:val="18"/>
                <w:highlight w:val="none"/>
              </w:rPr>
            </w:pPr>
            <w:r>
              <w:rPr>
                <w:rFonts w:hint="eastAsia" w:ascii="微软雅黑" w:hAnsi="微软雅黑" w:eastAsia="微软雅黑" w:cs="微软雅黑"/>
                <w:color w:val="000000"/>
                <w:kern w:val="0"/>
                <w:sz w:val="18"/>
                <w:szCs w:val="18"/>
                <w:highlight w:val="none"/>
                <w:lang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4" w:type="dxa"/>
          </w:tcPr>
          <w:p>
            <w:pPr>
              <w:rPr>
                <w:highlight w:val="none"/>
              </w:rPr>
            </w:pPr>
          </w:p>
        </w:tc>
        <w:tc>
          <w:tcPr>
            <w:tcW w:w="3420" w:type="dxa"/>
            <w:vAlign w:val="center"/>
          </w:tcPr>
          <w:p>
            <w:pPr>
              <w:rPr>
                <w:highlight w:val="none"/>
              </w:rPr>
            </w:pPr>
          </w:p>
        </w:tc>
        <w:tc>
          <w:tcPr>
            <w:tcW w:w="1530" w:type="dxa"/>
            <w:vAlign w:val="center"/>
          </w:tcPr>
          <w:p>
            <w:pPr>
              <w:rPr>
                <w:highlight w:val="none"/>
              </w:rPr>
            </w:pPr>
          </w:p>
        </w:tc>
        <w:tc>
          <w:tcPr>
            <w:tcW w:w="1688" w:type="dxa"/>
            <w:vAlign w:val="center"/>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4" w:type="dxa"/>
          </w:tcPr>
          <w:p>
            <w:pPr>
              <w:rPr>
                <w:highlight w:val="none"/>
              </w:rPr>
            </w:pPr>
          </w:p>
        </w:tc>
        <w:tc>
          <w:tcPr>
            <w:tcW w:w="3420" w:type="dxa"/>
            <w:vAlign w:val="center"/>
          </w:tcPr>
          <w:p>
            <w:pPr>
              <w:rPr>
                <w:highlight w:val="none"/>
              </w:rPr>
            </w:pPr>
          </w:p>
        </w:tc>
        <w:tc>
          <w:tcPr>
            <w:tcW w:w="1530" w:type="dxa"/>
            <w:vAlign w:val="center"/>
          </w:tcPr>
          <w:p>
            <w:pPr>
              <w:rPr>
                <w:highlight w:val="none"/>
              </w:rPr>
            </w:pPr>
          </w:p>
        </w:tc>
        <w:tc>
          <w:tcPr>
            <w:tcW w:w="1688" w:type="dxa"/>
            <w:vAlign w:val="center"/>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4" w:type="dxa"/>
          </w:tcPr>
          <w:p>
            <w:pPr>
              <w:spacing w:line="360" w:lineRule="auto"/>
              <w:jc w:val="center"/>
              <w:rPr>
                <w:rFonts w:ascii="宋体" w:hAnsi="宋体" w:cs="宋体"/>
                <w:sz w:val="24"/>
                <w:highlight w:val="none"/>
              </w:rPr>
            </w:pPr>
            <w:r>
              <w:rPr>
                <w:rFonts w:hint="eastAsia" w:ascii="宋体" w:hAnsi="宋体" w:cs="宋体"/>
                <w:sz w:val="24"/>
                <w:highlight w:val="none"/>
              </w:rPr>
              <w:t>15</w:t>
            </w:r>
          </w:p>
        </w:tc>
        <w:tc>
          <w:tcPr>
            <w:tcW w:w="3420" w:type="dxa"/>
            <w:vAlign w:val="center"/>
          </w:tcPr>
          <w:p>
            <w:pPr>
              <w:widowControl/>
              <w:jc w:val="center"/>
              <w:textAlignment w:val="center"/>
              <w:rPr>
                <w:rFonts w:ascii="微软雅黑" w:hAnsi="微软雅黑" w:eastAsia="微软雅黑" w:cs="微软雅黑"/>
                <w:b/>
                <w:bCs/>
                <w:color w:val="000000"/>
                <w:sz w:val="20"/>
                <w:szCs w:val="20"/>
                <w:highlight w:val="none"/>
              </w:rPr>
            </w:pPr>
            <w:r>
              <w:rPr>
                <w:rFonts w:hint="eastAsia" w:ascii="微软雅黑" w:hAnsi="微软雅黑" w:eastAsia="微软雅黑" w:cs="微软雅黑"/>
                <w:b/>
                <w:bCs/>
                <w:color w:val="000000"/>
                <w:kern w:val="0"/>
                <w:sz w:val="20"/>
                <w:szCs w:val="20"/>
                <w:highlight w:val="none"/>
                <w:lang w:bidi="ar"/>
              </w:rPr>
              <w:t>办公网上网行为管理</w:t>
            </w:r>
          </w:p>
        </w:tc>
        <w:tc>
          <w:tcPr>
            <w:tcW w:w="1530" w:type="dxa"/>
            <w:vAlign w:val="center"/>
          </w:tcPr>
          <w:p>
            <w:pPr>
              <w:widowControl/>
              <w:jc w:val="center"/>
              <w:textAlignment w:val="center"/>
              <w:rPr>
                <w:rFonts w:ascii="微软雅黑" w:hAnsi="微软雅黑" w:eastAsia="微软雅黑" w:cs="微软雅黑"/>
                <w:color w:val="000000"/>
                <w:sz w:val="18"/>
                <w:szCs w:val="18"/>
                <w:highlight w:val="none"/>
              </w:rPr>
            </w:pPr>
            <w:r>
              <w:rPr>
                <w:rFonts w:hint="eastAsia" w:ascii="微软雅黑" w:hAnsi="微软雅黑" w:eastAsia="微软雅黑" w:cs="微软雅黑"/>
                <w:color w:val="000000"/>
                <w:kern w:val="0"/>
                <w:sz w:val="18"/>
                <w:szCs w:val="18"/>
                <w:highlight w:val="none"/>
                <w:lang w:bidi="ar"/>
              </w:rPr>
              <w:t>1</w:t>
            </w:r>
          </w:p>
        </w:tc>
        <w:tc>
          <w:tcPr>
            <w:tcW w:w="1688" w:type="dxa"/>
            <w:vAlign w:val="center"/>
          </w:tcPr>
          <w:p>
            <w:pPr>
              <w:widowControl/>
              <w:ind w:right="2549" w:rightChars="1214"/>
              <w:jc w:val="center"/>
              <w:textAlignment w:val="center"/>
              <w:rPr>
                <w:rFonts w:ascii="微软雅黑" w:hAnsi="微软雅黑" w:eastAsia="微软雅黑" w:cs="微软雅黑"/>
                <w:color w:val="000000"/>
                <w:sz w:val="18"/>
                <w:szCs w:val="18"/>
                <w:highlight w:val="none"/>
              </w:rPr>
            </w:pPr>
            <w:r>
              <w:rPr>
                <w:rFonts w:hint="eastAsia" w:ascii="微软雅黑" w:hAnsi="微软雅黑" w:eastAsia="微软雅黑" w:cs="微软雅黑"/>
                <w:color w:val="000000"/>
                <w:kern w:val="0"/>
                <w:sz w:val="18"/>
                <w:szCs w:val="18"/>
                <w:highlight w:val="none"/>
                <w:lang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4" w:type="dxa"/>
          </w:tcPr>
          <w:p>
            <w:pPr>
              <w:spacing w:line="360" w:lineRule="auto"/>
              <w:jc w:val="center"/>
              <w:rPr>
                <w:rFonts w:ascii="宋体" w:hAnsi="宋体" w:cs="宋体"/>
                <w:sz w:val="24"/>
                <w:highlight w:val="none"/>
              </w:rPr>
            </w:pPr>
            <w:r>
              <w:rPr>
                <w:rFonts w:hint="eastAsia" w:ascii="宋体" w:hAnsi="宋体" w:cs="宋体"/>
                <w:sz w:val="24"/>
                <w:highlight w:val="none"/>
              </w:rPr>
              <w:t>16</w:t>
            </w:r>
          </w:p>
        </w:tc>
        <w:tc>
          <w:tcPr>
            <w:tcW w:w="3420" w:type="dxa"/>
            <w:vAlign w:val="center"/>
          </w:tcPr>
          <w:p>
            <w:pPr>
              <w:widowControl/>
              <w:jc w:val="center"/>
              <w:textAlignment w:val="center"/>
              <w:rPr>
                <w:rFonts w:ascii="微软雅黑" w:hAnsi="微软雅黑" w:eastAsia="微软雅黑" w:cs="微软雅黑"/>
                <w:b/>
                <w:bCs/>
                <w:color w:val="000000"/>
                <w:sz w:val="20"/>
                <w:szCs w:val="20"/>
                <w:highlight w:val="none"/>
              </w:rPr>
            </w:pPr>
            <w:r>
              <w:rPr>
                <w:rFonts w:hint="eastAsia" w:ascii="微软雅黑" w:hAnsi="微软雅黑" w:eastAsia="微软雅黑" w:cs="微软雅黑"/>
                <w:b/>
                <w:bCs/>
                <w:color w:val="000000"/>
                <w:kern w:val="0"/>
                <w:sz w:val="20"/>
                <w:szCs w:val="20"/>
                <w:highlight w:val="none"/>
                <w:lang w:bidi="ar"/>
              </w:rPr>
              <w:t>监控网室外AP</w:t>
            </w:r>
          </w:p>
        </w:tc>
        <w:tc>
          <w:tcPr>
            <w:tcW w:w="1530" w:type="dxa"/>
            <w:vAlign w:val="center"/>
          </w:tcPr>
          <w:p>
            <w:pPr>
              <w:widowControl/>
              <w:jc w:val="center"/>
              <w:textAlignment w:val="center"/>
              <w:rPr>
                <w:rFonts w:ascii="微软雅黑" w:hAnsi="微软雅黑" w:eastAsia="微软雅黑" w:cs="微软雅黑"/>
                <w:color w:val="000000"/>
                <w:sz w:val="18"/>
                <w:szCs w:val="18"/>
                <w:highlight w:val="none"/>
              </w:rPr>
            </w:pPr>
            <w:r>
              <w:rPr>
                <w:rFonts w:hint="eastAsia" w:ascii="微软雅黑" w:hAnsi="微软雅黑" w:eastAsia="微软雅黑" w:cs="微软雅黑"/>
                <w:color w:val="000000"/>
                <w:kern w:val="0"/>
                <w:sz w:val="18"/>
                <w:szCs w:val="18"/>
                <w:highlight w:val="none"/>
                <w:lang w:bidi="ar"/>
              </w:rPr>
              <w:t>8</w:t>
            </w:r>
          </w:p>
        </w:tc>
        <w:tc>
          <w:tcPr>
            <w:tcW w:w="1688" w:type="dxa"/>
            <w:vAlign w:val="center"/>
          </w:tcPr>
          <w:p>
            <w:pPr>
              <w:widowControl/>
              <w:ind w:right="2549" w:rightChars="1214"/>
              <w:jc w:val="center"/>
              <w:textAlignment w:val="center"/>
              <w:rPr>
                <w:rFonts w:ascii="微软雅黑" w:hAnsi="微软雅黑" w:eastAsia="微软雅黑" w:cs="微软雅黑"/>
                <w:color w:val="000000"/>
                <w:sz w:val="18"/>
                <w:szCs w:val="18"/>
                <w:highlight w:val="none"/>
              </w:rPr>
            </w:pPr>
            <w:r>
              <w:rPr>
                <w:rFonts w:hint="eastAsia" w:ascii="微软雅黑" w:hAnsi="微软雅黑" w:eastAsia="微软雅黑" w:cs="微软雅黑"/>
                <w:color w:val="000000"/>
                <w:kern w:val="0"/>
                <w:sz w:val="18"/>
                <w:szCs w:val="18"/>
                <w:highlight w:val="none"/>
                <w:lang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4" w:type="dxa"/>
          </w:tcPr>
          <w:p>
            <w:pPr>
              <w:spacing w:line="360" w:lineRule="auto"/>
              <w:jc w:val="center"/>
              <w:rPr>
                <w:rFonts w:ascii="宋体" w:hAnsi="宋体" w:cs="宋体"/>
                <w:sz w:val="24"/>
                <w:highlight w:val="none"/>
              </w:rPr>
            </w:pPr>
            <w:r>
              <w:rPr>
                <w:rFonts w:hint="eastAsia" w:ascii="宋体" w:hAnsi="宋体" w:cs="宋体"/>
                <w:sz w:val="24"/>
                <w:highlight w:val="none"/>
              </w:rPr>
              <w:t>17</w:t>
            </w:r>
          </w:p>
        </w:tc>
        <w:tc>
          <w:tcPr>
            <w:tcW w:w="3420" w:type="dxa"/>
            <w:vAlign w:val="center"/>
          </w:tcPr>
          <w:p>
            <w:pPr>
              <w:widowControl/>
              <w:jc w:val="center"/>
              <w:textAlignment w:val="center"/>
              <w:rPr>
                <w:rFonts w:ascii="微软雅黑" w:hAnsi="微软雅黑" w:eastAsia="微软雅黑" w:cs="微软雅黑"/>
                <w:b/>
                <w:bCs/>
                <w:color w:val="000000"/>
                <w:sz w:val="20"/>
                <w:szCs w:val="20"/>
                <w:highlight w:val="none"/>
              </w:rPr>
            </w:pPr>
            <w:r>
              <w:rPr>
                <w:rFonts w:hint="eastAsia" w:ascii="微软雅黑" w:hAnsi="微软雅黑" w:eastAsia="微软雅黑" w:cs="微软雅黑"/>
                <w:b/>
                <w:bCs/>
                <w:color w:val="000000"/>
                <w:kern w:val="0"/>
                <w:sz w:val="20"/>
                <w:szCs w:val="20"/>
                <w:highlight w:val="none"/>
                <w:lang w:bidi="ar"/>
              </w:rPr>
              <w:t>监控网无线控制器</w:t>
            </w:r>
          </w:p>
        </w:tc>
        <w:tc>
          <w:tcPr>
            <w:tcW w:w="1530" w:type="dxa"/>
            <w:vAlign w:val="center"/>
          </w:tcPr>
          <w:p>
            <w:pPr>
              <w:widowControl/>
              <w:jc w:val="center"/>
              <w:textAlignment w:val="center"/>
              <w:rPr>
                <w:rFonts w:ascii="微软雅黑" w:hAnsi="微软雅黑" w:eastAsia="微软雅黑" w:cs="微软雅黑"/>
                <w:color w:val="000000"/>
                <w:sz w:val="18"/>
                <w:szCs w:val="18"/>
                <w:highlight w:val="none"/>
              </w:rPr>
            </w:pPr>
            <w:r>
              <w:rPr>
                <w:rFonts w:hint="eastAsia" w:ascii="微软雅黑" w:hAnsi="微软雅黑" w:eastAsia="微软雅黑" w:cs="微软雅黑"/>
                <w:color w:val="000000"/>
                <w:kern w:val="0"/>
                <w:sz w:val="18"/>
                <w:szCs w:val="18"/>
                <w:highlight w:val="none"/>
                <w:lang w:bidi="ar"/>
              </w:rPr>
              <w:t>1</w:t>
            </w:r>
          </w:p>
        </w:tc>
        <w:tc>
          <w:tcPr>
            <w:tcW w:w="1688" w:type="dxa"/>
            <w:vAlign w:val="center"/>
          </w:tcPr>
          <w:p>
            <w:pPr>
              <w:widowControl/>
              <w:ind w:right="2549" w:rightChars="1214"/>
              <w:jc w:val="center"/>
              <w:textAlignment w:val="center"/>
              <w:rPr>
                <w:rFonts w:ascii="微软雅黑" w:hAnsi="微软雅黑" w:eastAsia="微软雅黑" w:cs="微软雅黑"/>
                <w:color w:val="000000"/>
                <w:sz w:val="18"/>
                <w:szCs w:val="18"/>
                <w:highlight w:val="none"/>
              </w:rPr>
            </w:pPr>
            <w:r>
              <w:rPr>
                <w:rFonts w:hint="eastAsia" w:ascii="微软雅黑" w:hAnsi="微软雅黑" w:eastAsia="微软雅黑" w:cs="微软雅黑"/>
                <w:color w:val="000000"/>
                <w:kern w:val="0"/>
                <w:sz w:val="18"/>
                <w:szCs w:val="18"/>
                <w:highlight w:val="none"/>
                <w:lang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4" w:type="dxa"/>
          </w:tcPr>
          <w:p>
            <w:pPr>
              <w:spacing w:line="360" w:lineRule="auto"/>
              <w:jc w:val="center"/>
              <w:rPr>
                <w:rFonts w:ascii="宋体" w:hAnsi="宋体" w:cs="宋体"/>
                <w:sz w:val="24"/>
                <w:highlight w:val="none"/>
              </w:rPr>
            </w:pPr>
            <w:r>
              <w:rPr>
                <w:rFonts w:hint="eastAsia" w:ascii="宋体" w:hAnsi="宋体" w:cs="宋体"/>
                <w:sz w:val="24"/>
                <w:highlight w:val="none"/>
              </w:rPr>
              <w:t>18</w:t>
            </w:r>
          </w:p>
        </w:tc>
        <w:tc>
          <w:tcPr>
            <w:tcW w:w="3420" w:type="dxa"/>
            <w:vAlign w:val="center"/>
          </w:tcPr>
          <w:p>
            <w:pPr>
              <w:widowControl/>
              <w:jc w:val="center"/>
              <w:textAlignment w:val="center"/>
              <w:rPr>
                <w:rFonts w:ascii="微软雅黑" w:hAnsi="微软雅黑" w:eastAsia="微软雅黑" w:cs="微软雅黑"/>
                <w:b/>
                <w:bCs/>
                <w:color w:val="000000"/>
                <w:sz w:val="20"/>
                <w:szCs w:val="20"/>
                <w:highlight w:val="none"/>
              </w:rPr>
            </w:pPr>
            <w:r>
              <w:rPr>
                <w:rFonts w:hint="eastAsia" w:ascii="微软雅黑" w:hAnsi="微软雅黑" w:eastAsia="微软雅黑" w:cs="微软雅黑"/>
                <w:b/>
                <w:bCs/>
                <w:color w:val="000000"/>
                <w:kern w:val="0"/>
                <w:sz w:val="20"/>
                <w:szCs w:val="20"/>
                <w:highlight w:val="none"/>
                <w:lang w:bidi="ar"/>
              </w:rPr>
              <w:t>监控网室外AP专用8口交换机</w:t>
            </w:r>
          </w:p>
        </w:tc>
        <w:tc>
          <w:tcPr>
            <w:tcW w:w="1530" w:type="dxa"/>
            <w:vAlign w:val="center"/>
          </w:tcPr>
          <w:p>
            <w:pPr>
              <w:widowControl/>
              <w:jc w:val="center"/>
              <w:textAlignment w:val="center"/>
              <w:rPr>
                <w:rFonts w:ascii="微软雅黑" w:hAnsi="微软雅黑" w:eastAsia="微软雅黑" w:cs="微软雅黑"/>
                <w:color w:val="000000"/>
                <w:sz w:val="18"/>
                <w:szCs w:val="18"/>
                <w:highlight w:val="none"/>
              </w:rPr>
            </w:pPr>
            <w:r>
              <w:rPr>
                <w:rFonts w:hint="eastAsia" w:ascii="微软雅黑" w:hAnsi="微软雅黑" w:eastAsia="微软雅黑" w:cs="微软雅黑"/>
                <w:color w:val="000000"/>
                <w:kern w:val="0"/>
                <w:sz w:val="18"/>
                <w:szCs w:val="18"/>
                <w:highlight w:val="none"/>
                <w:lang w:bidi="ar"/>
              </w:rPr>
              <w:t>5</w:t>
            </w:r>
          </w:p>
        </w:tc>
        <w:tc>
          <w:tcPr>
            <w:tcW w:w="1688" w:type="dxa"/>
            <w:vAlign w:val="center"/>
          </w:tcPr>
          <w:p>
            <w:pPr>
              <w:widowControl/>
              <w:ind w:right="2549" w:rightChars="1214"/>
              <w:jc w:val="center"/>
              <w:textAlignment w:val="center"/>
              <w:rPr>
                <w:rFonts w:ascii="微软雅黑" w:hAnsi="微软雅黑" w:eastAsia="微软雅黑" w:cs="微软雅黑"/>
                <w:color w:val="000000"/>
                <w:sz w:val="18"/>
                <w:szCs w:val="18"/>
                <w:highlight w:val="none"/>
              </w:rPr>
            </w:pPr>
            <w:r>
              <w:rPr>
                <w:rFonts w:hint="eastAsia" w:ascii="微软雅黑" w:hAnsi="微软雅黑" w:eastAsia="微软雅黑" w:cs="微软雅黑"/>
                <w:color w:val="000000"/>
                <w:kern w:val="0"/>
                <w:sz w:val="18"/>
                <w:szCs w:val="18"/>
                <w:highlight w:val="none"/>
                <w:lang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4" w:type="dxa"/>
          </w:tcPr>
          <w:p>
            <w:pPr>
              <w:spacing w:line="360" w:lineRule="auto"/>
              <w:jc w:val="center"/>
              <w:rPr>
                <w:rFonts w:ascii="宋体" w:hAnsi="宋体" w:cs="宋体"/>
                <w:sz w:val="24"/>
                <w:highlight w:val="none"/>
              </w:rPr>
            </w:pPr>
            <w:r>
              <w:rPr>
                <w:rFonts w:hint="eastAsia" w:ascii="宋体" w:hAnsi="宋体" w:cs="宋体"/>
                <w:sz w:val="24"/>
                <w:highlight w:val="none"/>
              </w:rPr>
              <w:t>19</w:t>
            </w:r>
          </w:p>
        </w:tc>
        <w:tc>
          <w:tcPr>
            <w:tcW w:w="3420" w:type="dxa"/>
            <w:vAlign w:val="center"/>
          </w:tcPr>
          <w:p>
            <w:pPr>
              <w:widowControl/>
              <w:jc w:val="center"/>
              <w:textAlignment w:val="center"/>
              <w:rPr>
                <w:rFonts w:ascii="微软雅黑" w:hAnsi="微软雅黑" w:eastAsia="微软雅黑" w:cs="微软雅黑"/>
                <w:b/>
                <w:bCs/>
                <w:color w:val="000000"/>
                <w:sz w:val="20"/>
                <w:szCs w:val="20"/>
                <w:highlight w:val="none"/>
              </w:rPr>
            </w:pPr>
            <w:r>
              <w:rPr>
                <w:rFonts w:hint="eastAsia" w:ascii="微软雅黑" w:hAnsi="微软雅黑" w:eastAsia="微软雅黑" w:cs="微软雅黑"/>
                <w:b/>
                <w:bCs/>
                <w:color w:val="000000"/>
                <w:kern w:val="0"/>
                <w:sz w:val="20"/>
                <w:szCs w:val="20"/>
                <w:highlight w:val="none"/>
                <w:lang w:bidi="ar"/>
              </w:rPr>
              <w:t>监控网汇聚交换机</w:t>
            </w:r>
          </w:p>
        </w:tc>
        <w:tc>
          <w:tcPr>
            <w:tcW w:w="1530" w:type="dxa"/>
            <w:vAlign w:val="center"/>
          </w:tcPr>
          <w:p>
            <w:pPr>
              <w:widowControl/>
              <w:jc w:val="center"/>
              <w:textAlignment w:val="center"/>
              <w:rPr>
                <w:rFonts w:ascii="微软雅黑" w:hAnsi="微软雅黑" w:eastAsia="微软雅黑" w:cs="微软雅黑"/>
                <w:color w:val="000000"/>
                <w:sz w:val="18"/>
                <w:szCs w:val="18"/>
                <w:highlight w:val="none"/>
              </w:rPr>
            </w:pPr>
            <w:r>
              <w:rPr>
                <w:rFonts w:hint="eastAsia" w:ascii="微软雅黑" w:hAnsi="微软雅黑" w:eastAsia="微软雅黑" w:cs="微软雅黑"/>
                <w:color w:val="000000"/>
                <w:kern w:val="0"/>
                <w:sz w:val="18"/>
                <w:szCs w:val="18"/>
                <w:highlight w:val="none"/>
                <w:lang w:bidi="ar"/>
              </w:rPr>
              <w:t>1</w:t>
            </w:r>
          </w:p>
        </w:tc>
        <w:tc>
          <w:tcPr>
            <w:tcW w:w="1688" w:type="dxa"/>
            <w:vAlign w:val="center"/>
          </w:tcPr>
          <w:p>
            <w:pPr>
              <w:widowControl/>
              <w:ind w:right="2549" w:rightChars="1214"/>
              <w:jc w:val="center"/>
              <w:textAlignment w:val="center"/>
              <w:rPr>
                <w:rFonts w:ascii="微软雅黑" w:hAnsi="微软雅黑" w:eastAsia="微软雅黑" w:cs="微软雅黑"/>
                <w:color w:val="000000"/>
                <w:sz w:val="18"/>
                <w:szCs w:val="18"/>
                <w:highlight w:val="none"/>
              </w:rPr>
            </w:pPr>
            <w:r>
              <w:rPr>
                <w:rFonts w:hint="eastAsia" w:ascii="微软雅黑" w:hAnsi="微软雅黑" w:eastAsia="微软雅黑" w:cs="微软雅黑"/>
                <w:color w:val="000000"/>
                <w:kern w:val="0"/>
                <w:sz w:val="18"/>
                <w:szCs w:val="18"/>
                <w:highlight w:val="none"/>
                <w:lang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4" w:type="dxa"/>
          </w:tcPr>
          <w:p>
            <w:pPr>
              <w:spacing w:line="360" w:lineRule="auto"/>
              <w:jc w:val="center"/>
              <w:rPr>
                <w:rFonts w:ascii="宋体" w:hAnsi="宋体" w:cs="宋体"/>
                <w:sz w:val="24"/>
                <w:highlight w:val="none"/>
              </w:rPr>
            </w:pPr>
            <w:r>
              <w:rPr>
                <w:rFonts w:hint="eastAsia" w:ascii="宋体" w:hAnsi="宋体" w:cs="宋体"/>
                <w:sz w:val="24"/>
                <w:highlight w:val="none"/>
              </w:rPr>
              <w:t>20</w:t>
            </w:r>
          </w:p>
        </w:tc>
        <w:tc>
          <w:tcPr>
            <w:tcW w:w="3420" w:type="dxa"/>
            <w:vAlign w:val="center"/>
          </w:tcPr>
          <w:p>
            <w:pPr>
              <w:widowControl/>
              <w:jc w:val="center"/>
              <w:textAlignment w:val="center"/>
              <w:rPr>
                <w:rFonts w:ascii="微软雅黑" w:hAnsi="微软雅黑" w:eastAsia="微软雅黑" w:cs="微软雅黑"/>
                <w:b/>
                <w:bCs/>
                <w:color w:val="000000"/>
                <w:sz w:val="20"/>
                <w:szCs w:val="20"/>
                <w:highlight w:val="none"/>
              </w:rPr>
            </w:pPr>
            <w:r>
              <w:rPr>
                <w:rFonts w:hint="eastAsia" w:ascii="微软雅黑" w:hAnsi="微软雅黑" w:eastAsia="微软雅黑" w:cs="微软雅黑"/>
                <w:b/>
                <w:bCs/>
                <w:color w:val="000000"/>
                <w:kern w:val="0"/>
                <w:sz w:val="20"/>
                <w:szCs w:val="20"/>
                <w:highlight w:val="none"/>
                <w:lang w:bidi="ar"/>
              </w:rPr>
              <w:t>六类网线</w:t>
            </w:r>
          </w:p>
        </w:tc>
        <w:tc>
          <w:tcPr>
            <w:tcW w:w="1530" w:type="dxa"/>
            <w:vAlign w:val="center"/>
          </w:tcPr>
          <w:p>
            <w:pPr>
              <w:widowControl/>
              <w:jc w:val="center"/>
              <w:textAlignment w:val="center"/>
              <w:rPr>
                <w:rFonts w:ascii="微软雅黑" w:hAnsi="微软雅黑" w:eastAsia="微软雅黑" w:cs="微软雅黑"/>
                <w:color w:val="000000"/>
                <w:sz w:val="18"/>
                <w:szCs w:val="18"/>
                <w:highlight w:val="none"/>
              </w:rPr>
            </w:pPr>
            <w:r>
              <w:rPr>
                <w:rFonts w:hint="eastAsia" w:ascii="微软雅黑" w:hAnsi="微软雅黑" w:eastAsia="微软雅黑" w:cs="微软雅黑"/>
                <w:color w:val="000000"/>
                <w:kern w:val="0"/>
                <w:sz w:val="18"/>
                <w:szCs w:val="18"/>
                <w:highlight w:val="none"/>
                <w:lang w:bidi="ar"/>
              </w:rPr>
              <w:t>40</w:t>
            </w:r>
          </w:p>
        </w:tc>
        <w:tc>
          <w:tcPr>
            <w:tcW w:w="1688" w:type="dxa"/>
            <w:vAlign w:val="center"/>
          </w:tcPr>
          <w:p>
            <w:pPr>
              <w:widowControl/>
              <w:ind w:right="2549" w:rightChars="1214"/>
              <w:jc w:val="center"/>
              <w:textAlignment w:val="center"/>
              <w:rPr>
                <w:rFonts w:ascii="微软雅黑" w:hAnsi="微软雅黑" w:eastAsia="微软雅黑" w:cs="微软雅黑"/>
                <w:color w:val="000000"/>
                <w:sz w:val="18"/>
                <w:szCs w:val="18"/>
                <w:highlight w:val="none"/>
              </w:rPr>
            </w:pPr>
            <w:r>
              <w:rPr>
                <w:rFonts w:hint="eastAsia" w:ascii="微软雅黑" w:hAnsi="微软雅黑" w:eastAsia="微软雅黑" w:cs="微软雅黑"/>
                <w:color w:val="000000"/>
                <w:kern w:val="0"/>
                <w:sz w:val="18"/>
                <w:szCs w:val="18"/>
                <w:highlight w:val="none"/>
                <w:lang w:bidi="ar"/>
              </w:rPr>
              <w:t>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4" w:type="dxa"/>
          </w:tcPr>
          <w:p>
            <w:pPr>
              <w:spacing w:line="360" w:lineRule="auto"/>
              <w:jc w:val="center"/>
              <w:rPr>
                <w:rFonts w:ascii="宋体" w:hAnsi="宋体" w:cs="宋体"/>
                <w:sz w:val="24"/>
                <w:highlight w:val="none"/>
              </w:rPr>
            </w:pPr>
            <w:r>
              <w:rPr>
                <w:rFonts w:hint="eastAsia" w:ascii="宋体" w:hAnsi="宋体" w:cs="宋体"/>
                <w:sz w:val="24"/>
                <w:highlight w:val="none"/>
              </w:rPr>
              <w:t>21</w:t>
            </w:r>
          </w:p>
        </w:tc>
        <w:tc>
          <w:tcPr>
            <w:tcW w:w="3420" w:type="dxa"/>
            <w:vAlign w:val="center"/>
          </w:tcPr>
          <w:p>
            <w:pPr>
              <w:widowControl/>
              <w:jc w:val="center"/>
              <w:textAlignment w:val="center"/>
              <w:rPr>
                <w:rFonts w:ascii="微软雅黑" w:hAnsi="微软雅黑" w:eastAsia="微软雅黑" w:cs="微软雅黑"/>
                <w:b/>
                <w:bCs/>
                <w:color w:val="000000"/>
                <w:sz w:val="20"/>
                <w:szCs w:val="20"/>
                <w:highlight w:val="none"/>
              </w:rPr>
            </w:pPr>
            <w:r>
              <w:rPr>
                <w:rFonts w:hint="eastAsia" w:ascii="微软雅黑" w:hAnsi="微软雅黑" w:eastAsia="微软雅黑" w:cs="微软雅黑"/>
                <w:b/>
                <w:bCs/>
                <w:color w:val="000000"/>
                <w:kern w:val="0"/>
                <w:sz w:val="20"/>
                <w:szCs w:val="20"/>
                <w:highlight w:val="none"/>
                <w:lang w:bidi="ar"/>
              </w:rPr>
              <w:t>光纤</w:t>
            </w:r>
          </w:p>
        </w:tc>
        <w:tc>
          <w:tcPr>
            <w:tcW w:w="1530" w:type="dxa"/>
            <w:vAlign w:val="center"/>
          </w:tcPr>
          <w:p>
            <w:pPr>
              <w:widowControl/>
              <w:jc w:val="center"/>
              <w:textAlignment w:val="center"/>
              <w:rPr>
                <w:rFonts w:ascii="微软雅黑" w:hAnsi="微软雅黑" w:eastAsia="微软雅黑" w:cs="微软雅黑"/>
                <w:color w:val="000000"/>
                <w:sz w:val="18"/>
                <w:szCs w:val="18"/>
                <w:highlight w:val="none"/>
              </w:rPr>
            </w:pPr>
            <w:r>
              <w:rPr>
                <w:rFonts w:hint="eastAsia" w:ascii="微软雅黑" w:hAnsi="微软雅黑" w:eastAsia="微软雅黑" w:cs="微软雅黑"/>
                <w:color w:val="000000"/>
                <w:kern w:val="0"/>
                <w:sz w:val="18"/>
                <w:szCs w:val="18"/>
                <w:highlight w:val="none"/>
                <w:lang w:bidi="ar"/>
              </w:rPr>
              <w:t>3500</w:t>
            </w:r>
          </w:p>
        </w:tc>
        <w:tc>
          <w:tcPr>
            <w:tcW w:w="1688" w:type="dxa"/>
            <w:vAlign w:val="center"/>
          </w:tcPr>
          <w:p>
            <w:pPr>
              <w:widowControl/>
              <w:ind w:right="2549" w:rightChars="1214"/>
              <w:jc w:val="center"/>
              <w:textAlignment w:val="center"/>
              <w:rPr>
                <w:rFonts w:ascii="微软雅黑" w:hAnsi="微软雅黑" w:eastAsia="微软雅黑" w:cs="微软雅黑"/>
                <w:color w:val="000000"/>
                <w:sz w:val="18"/>
                <w:szCs w:val="18"/>
                <w:highlight w:val="none"/>
              </w:rPr>
            </w:pPr>
            <w:r>
              <w:rPr>
                <w:rFonts w:hint="eastAsia" w:ascii="微软雅黑" w:hAnsi="微软雅黑" w:eastAsia="微软雅黑" w:cs="微软雅黑"/>
                <w:color w:val="000000"/>
                <w:kern w:val="0"/>
                <w:sz w:val="18"/>
                <w:szCs w:val="18"/>
                <w:highlight w:val="none"/>
                <w:lang w:bidi="ar"/>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4" w:type="dxa"/>
          </w:tcPr>
          <w:p>
            <w:pPr>
              <w:spacing w:line="360" w:lineRule="auto"/>
              <w:jc w:val="center"/>
              <w:rPr>
                <w:rFonts w:ascii="宋体" w:hAnsi="宋体" w:cs="宋体"/>
                <w:sz w:val="24"/>
                <w:highlight w:val="none"/>
              </w:rPr>
            </w:pPr>
            <w:r>
              <w:rPr>
                <w:rFonts w:hint="eastAsia" w:ascii="宋体" w:hAnsi="宋体" w:cs="宋体"/>
                <w:sz w:val="24"/>
                <w:highlight w:val="none"/>
              </w:rPr>
              <w:t>22</w:t>
            </w:r>
          </w:p>
        </w:tc>
        <w:tc>
          <w:tcPr>
            <w:tcW w:w="3420" w:type="dxa"/>
            <w:vAlign w:val="center"/>
          </w:tcPr>
          <w:p>
            <w:pPr>
              <w:widowControl/>
              <w:jc w:val="center"/>
              <w:textAlignment w:val="center"/>
              <w:rPr>
                <w:rFonts w:ascii="微软雅黑" w:hAnsi="微软雅黑" w:eastAsia="微软雅黑" w:cs="微软雅黑"/>
                <w:b/>
                <w:bCs/>
                <w:color w:val="000000"/>
                <w:sz w:val="20"/>
                <w:szCs w:val="20"/>
                <w:highlight w:val="none"/>
              </w:rPr>
            </w:pPr>
            <w:r>
              <w:rPr>
                <w:rFonts w:hint="eastAsia" w:ascii="微软雅黑" w:hAnsi="微软雅黑" w:eastAsia="微软雅黑" w:cs="微软雅黑"/>
                <w:b/>
                <w:bCs/>
                <w:color w:val="000000"/>
                <w:kern w:val="0"/>
                <w:sz w:val="20"/>
                <w:szCs w:val="20"/>
                <w:highlight w:val="none"/>
                <w:lang w:bidi="ar"/>
              </w:rPr>
              <w:t>综合布线</w:t>
            </w:r>
          </w:p>
        </w:tc>
        <w:tc>
          <w:tcPr>
            <w:tcW w:w="1530" w:type="dxa"/>
            <w:vAlign w:val="center"/>
          </w:tcPr>
          <w:p>
            <w:pPr>
              <w:widowControl/>
              <w:jc w:val="center"/>
              <w:textAlignment w:val="center"/>
              <w:rPr>
                <w:rFonts w:ascii="微软雅黑" w:hAnsi="微软雅黑" w:eastAsia="微软雅黑" w:cs="微软雅黑"/>
                <w:color w:val="000000"/>
                <w:sz w:val="18"/>
                <w:szCs w:val="18"/>
                <w:highlight w:val="none"/>
              </w:rPr>
            </w:pPr>
            <w:r>
              <w:rPr>
                <w:rFonts w:hint="eastAsia" w:ascii="微软雅黑" w:hAnsi="微软雅黑" w:eastAsia="微软雅黑" w:cs="微软雅黑"/>
                <w:color w:val="000000"/>
                <w:kern w:val="0"/>
                <w:sz w:val="18"/>
                <w:szCs w:val="18"/>
                <w:highlight w:val="none"/>
                <w:lang w:bidi="ar"/>
              </w:rPr>
              <w:t>1</w:t>
            </w:r>
          </w:p>
        </w:tc>
        <w:tc>
          <w:tcPr>
            <w:tcW w:w="1688" w:type="dxa"/>
            <w:vAlign w:val="center"/>
          </w:tcPr>
          <w:p>
            <w:pPr>
              <w:widowControl/>
              <w:ind w:right="2549" w:rightChars="1214"/>
              <w:jc w:val="center"/>
              <w:textAlignment w:val="center"/>
              <w:rPr>
                <w:rFonts w:ascii="微软雅黑" w:hAnsi="微软雅黑" w:eastAsia="微软雅黑" w:cs="微软雅黑"/>
                <w:color w:val="000000"/>
                <w:sz w:val="18"/>
                <w:szCs w:val="18"/>
                <w:highlight w:val="none"/>
              </w:rPr>
            </w:pPr>
            <w:r>
              <w:rPr>
                <w:rFonts w:hint="eastAsia" w:ascii="微软雅黑" w:hAnsi="微软雅黑" w:eastAsia="微软雅黑" w:cs="微软雅黑"/>
                <w:color w:val="000000"/>
                <w:kern w:val="0"/>
                <w:sz w:val="18"/>
                <w:szCs w:val="18"/>
                <w:highlight w:val="none"/>
                <w:lang w:bidi="ar"/>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4" w:type="dxa"/>
          </w:tcPr>
          <w:p>
            <w:pPr>
              <w:spacing w:line="360" w:lineRule="auto"/>
              <w:jc w:val="center"/>
              <w:rPr>
                <w:rFonts w:ascii="宋体" w:hAnsi="宋体" w:cs="宋体"/>
                <w:sz w:val="24"/>
                <w:highlight w:val="none"/>
              </w:rPr>
            </w:pPr>
            <w:r>
              <w:rPr>
                <w:rFonts w:hint="eastAsia" w:ascii="宋体" w:hAnsi="宋体" w:cs="宋体"/>
                <w:sz w:val="24"/>
                <w:highlight w:val="none"/>
              </w:rPr>
              <w:t>23</w:t>
            </w:r>
          </w:p>
        </w:tc>
        <w:tc>
          <w:tcPr>
            <w:tcW w:w="3420" w:type="dxa"/>
            <w:vAlign w:val="center"/>
          </w:tcPr>
          <w:p>
            <w:pPr>
              <w:widowControl/>
              <w:jc w:val="center"/>
              <w:textAlignment w:val="center"/>
              <w:rPr>
                <w:rFonts w:ascii="微软雅黑" w:hAnsi="微软雅黑" w:eastAsia="微软雅黑" w:cs="微软雅黑"/>
                <w:b/>
                <w:bCs/>
                <w:color w:val="000000"/>
                <w:sz w:val="20"/>
                <w:szCs w:val="20"/>
                <w:highlight w:val="none"/>
              </w:rPr>
            </w:pPr>
            <w:r>
              <w:rPr>
                <w:rFonts w:hint="eastAsia" w:ascii="微软雅黑" w:hAnsi="微软雅黑" w:eastAsia="微软雅黑" w:cs="微软雅黑"/>
                <w:b/>
                <w:bCs/>
                <w:color w:val="000000"/>
                <w:kern w:val="0"/>
                <w:sz w:val="20"/>
                <w:szCs w:val="20"/>
                <w:highlight w:val="none"/>
                <w:lang w:bidi="ar"/>
              </w:rPr>
              <w:t>管井</w:t>
            </w:r>
          </w:p>
        </w:tc>
        <w:tc>
          <w:tcPr>
            <w:tcW w:w="1530" w:type="dxa"/>
            <w:vAlign w:val="center"/>
          </w:tcPr>
          <w:p>
            <w:pPr>
              <w:widowControl/>
              <w:jc w:val="center"/>
              <w:textAlignment w:val="center"/>
              <w:rPr>
                <w:rFonts w:ascii="微软雅黑" w:hAnsi="微软雅黑" w:eastAsia="微软雅黑" w:cs="微软雅黑"/>
                <w:color w:val="000000"/>
                <w:sz w:val="18"/>
                <w:szCs w:val="18"/>
                <w:highlight w:val="none"/>
              </w:rPr>
            </w:pPr>
            <w:r>
              <w:rPr>
                <w:rFonts w:hint="eastAsia" w:ascii="微软雅黑" w:hAnsi="微软雅黑" w:eastAsia="微软雅黑" w:cs="微软雅黑"/>
                <w:color w:val="000000"/>
                <w:kern w:val="0"/>
                <w:sz w:val="18"/>
                <w:szCs w:val="18"/>
                <w:highlight w:val="none"/>
                <w:lang w:bidi="ar"/>
              </w:rPr>
              <w:t>1</w:t>
            </w:r>
          </w:p>
        </w:tc>
        <w:tc>
          <w:tcPr>
            <w:tcW w:w="1688" w:type="dxa"/>
            <w:vAlign w:val="center"/>
          </w:tcPr>
          <w:p>
            <w:pPr>
              <w:widowControl/>
              <w:ind w:right="2549" w:rightChars="1214"/>
              <w:jc w:val="center"/>
              <w:textAlignment w:val="center"/>
              <w:rPr>
                <w:rFonts w:ascii="微软雅黑" w:hAnsi="微软雅黑" w:eastAsia="微软雅黑" w:cs="微软雅黑"/>
                <w:color w:val="000000"/>
                <w:sz w:val="18"/>
                <w:szCs w:val="18"/>
                <w:highlight w:val="none"/>
              </w:rPr>
            </w:pPr>
            <w:r>
              <w:rPr>
                <w:rFonts w:hint="eastAsia" w:ascii="微软雅黑" w:hAnsi="微软雅黑" w:eastAsia="微软雅黑" w:cs="微软雅黑"/>
                <w:color w:val="000000"/>
                <w:kern w:val="0"/>
                <w:sz w:val="18"/>
                <w:szCs w:val="18"/>
                <w:highlight w:val="none"/>
                <w:lang w:bidi="ar"/>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4" w:type="dxa"/>
          </w:tcPr>
          <w:p>
            <w:pPr>
              <w:spacing w:line="360" w:lineRule="auto"/>
              <w:jc w:val="center"/>
              <w:rPr>
                <w:rFonts w:ascii="宋体" w:hAnsi="宋体" w:cs="宋体"/>
                <w:sz w:val="24"/>
                <w:highlight w:val="none"/>
              </w:rPr>
            </w:pPr>
            <w:r>
              <w:rPr>
                <w:rFonts w:hint="eastAsia" w:ascii="宋体" w:hAnsi="宋体" w:cs="宋体"/>
                <w:sz w:val="24"/>
                <w:highlight w:val="none"/>
              </w:rPr>
              <w:t>24</w:t>
            </w:r>
          </w:p>
        </w:tc>
        <w:tc>
          <w:tcPr>
            <w:tcW w:w="3420" w:type="dxa"/>
            <w:vAlign w:val="center"/>
          </w:tcPr>
          <w:p>
            <w:pPr>
              <w:widowControl/>
              <w:jc w:val="center"/>
              <w:textAlignment w:val="center"/>
              <w:rPr>
                <w:rFonts w:ascii="微软雅黑" w:hAnsi="微软雅黑" w:eastAsia="微软雅黑" w:cs="微软雅黑"/>
                <w:b/>
                <w:bCs/>
                <w:color w:val="000000"/>
                <w:sz w:val="20"/>
                <w:szCs w:val="20"/>
                <w:highlight w:val="none"/>
              </w:rPr>
            </w:pPr>
            <w:r>
              <w:rPr>
                <w:rFonts w:hint="eastAsia" w:ascii="微软雅黑" w:hAnsi="微软雅黑" w:eastAsia="微软雅黑" w:cs="微软雅黑"/>
                <w:b/>
                <w:bCs/>
                <w:color w:val="000000"/>
                <w:kern w:val="0"/>
                <w:sz w:val="20"/>
                <w:szCs w:val="20"/>
                <w:highlight w:val="none"/>
                <w:lang w:bidi="ar"/>
              </w:rPr>
              <w:t>辅材</w:t>
            </w:r>
          </w:p>
        </w:tc>
        <w:tc>
          <w:tcPr>
            <w:tcW w:w="1530" w:type="dxa"/>
            <w:vAlign w:val="center"/>
          </w:tcPr>
          <w:p>
            <w:pPr>
              <w:widowControl/>
              <w:jc w:val="center"/>
              <w:textAlignment w:val="center"/>
              <w:rPr>
                <w:rFonts w:ascii="微软雅黑" w:hAnsi="微软雅黑" w:eastAsia="微软雅黑" w:cs="微软雅黑"/>
                <w:color w:val="000000"/>
                <w:sz w:val="18"/>
                <w:szCs w:val="18"/>
                <w:highlight w:val="none"/>
              </w:rPr>
            </w:pPr>
            <w:r>
              <w:rPr>
                <w:rFonts w:hint="eastAsia" w:ascii="微软雅黑" w:hAnsi="微软雅黑" w:eastAsia="微软雅黑" w:cs="微软雅黑"/>
                <w:color w:val="000000"/>
                <w:kern w:val="0"/>
                <w:sz w:val="18"/>
                <w:szCs w:val="18"/>
                <w:highlight w:val="none"/>
                <w:lang w:bidi="ar"/>
              </w:rPr>
              <w:t>1</w:t>
            </w:r>
          </w:p>
        </w:tc>
        <w:tc>
          <w:tcPr>
            <w:tcW w:w="1688" w:type="dxa"/>
            <w:vAlign w:val="center"/>
          </w:tcPr>
          <w:p>
            <w:pPr>
              <w:widowControl/>
              <w:ind w:right="2549" w:rightChars="1214"/>
              <w:jc w:val="center"/>
              <w:textAlignment w:val="center"/>
              <w:rPr>
                <w:rFonts w:ascii="微软雅黑" w:hAnsi="微软雅黑" w:eastAsia="微软雅黑" w:cs="微软雅黑"/>
                <w:color w:val="000000"/>
                <w:sz w:val="18"/>
                <w:szCs w:val="18"/>
                <w:highlight w:val="none"/>
              </w:rPr>
            </w:pPr>
            <w:r>
              <w:rPr>
                <w:rFonts w:hint="eastAsia" w:ascii="微软雅黑" w:hAnsi="微软雅黑" w:eastAsia="微软雅黑" w:cs="微软雅黑"/>
                <w:color w:val="000000"/>
                <w:kern w:val="0"/>
                <w:sz w:val="18"/>
                <w:szCs w:val="18"/>
                <w:highlight w:val="none"/>
                <w:lang w:bidi="ar"/>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4" w:type="dxa"/>
          </w:tcPr>
          <w:p>
            <w:pPr>
              <w:spacing w:line="360" w:lineRule="auto"/>
              <w:jc w:val="center"/>
              <w:rPr>
                <w:rFonts w:ascii="宋体" w:hAnsi="宋体" w:cs="宋体"/>
                <w:sz w:val="24"/>
                <w:highlight w:val="none"/>
              </w:rPr>
            </w:pPr>
            <w:r>
              <w:rPr>
                <w:rFonts w:hint="eastAsia" w:ascii="宋体" w:hAnsi="宋体" w:cs="宋体"/>
                <w:sz w:val="24"/>
                <w:highlight w:val="none"/>
              </w:rPr>
              <w:t>25</w:t>
            </w:r>
          </w:p>
        </w:tc>
        <w:tc>
          <w:tcPr>
            <w:tcW w:w="3420" w:type="dxa"/>
            <w:vAlign w:val="center"/>
          </w:tcPr>
          <w:p>
            <w:pPr>
              <w:widowControl/>
              <w:jc w:val="center"/>
              <w:textAlignment w:val="center"/>
              <w:rPr>
                <w:rFonts w:ascii="微软雅黑" w:hAnsi="微软雅黑" w:eastAsia="微软雅黑" w:cs="微软雅黑"/>
                <w:b/>
                <w:bCs/>
                <w:color w:val="000000"/>
                <w:sz w:val="20"/>
                <w:szCs w:val="20"/>
                <w:highlight w:val="none"/>
              </w:rPr>
            </w:pPr>
            <w:r>
              <w:rPr>
                <w:rFonts w:hint="eastAsia" w:ascii="微软雅黑" w:hAnsi="微软雅黑" w:eastAsia="微软雅黑" w:cs="微软雅黑"/>
                <w:b/>
                <w:bCs/>
                <w:color w:val="000000"/>
                <w:kern w:val="0"/>
                <w:sz w:val="20"/>
                <w:szCs w:val="20"/>
                <w:highlight w:val="none"/>
                <w:lang w:bidi="ar"/>
              </w:rPr>
              <w:t>室外机柜</w:t>
            </w:r>
          </w:p>
        </w:tc>
        <w:tc>
          <w:tcPr>
            <w:tcW w:w="1530" w:type="dxa"/>
            <w:vAlign w:val="center"/>
          </w:tcPr>
          <w:p>
            <w:pPr>
              <w:widowControl/>
              <w:jc w:val="center"/>
              <w:textAlignment w:val="center"/>
              <w:rPr>
                <w:rFonts w:ascii="微软雅黑" w:hAnsi="微软雅黑" w:eastAsia="微软雅黑" w:cs="微软雅黑"/>
                <w:color w:val="000000"/>
                <w:sz w:val="18"/>
                <w:szCs w:val="18"/>
                <w:highlight w:val="none"/>
              </w:rPr>
            </w:pPr>
            <w:r>
              <w:rPr>
                <w:rFonts w:hint="eastAsia" w:ascii="微软雅黑" w:hAnsi="微软雅黑" w:eastAsia="微软雅黑" w:cs="微软雅黑"/>
                <w:color w:val="000000"/>
                <w:kern w:val="0"/>
                <w:sz w:val="18"/>
                <w:szCs w:val="18"/>
                <w:highlight w:val="none"/>
                <w:lang w:bidi="ar"/>
              </w:rPr>
              <w:t>8</w:t>
            </w:r>
          </w:p>
        </w:tc>
        <w:tc>
          <w:tcPr>
            <w:tcW w:w="1688" w:type="dxa"/>
            <w:vAlign w:val="center"/>
          </w:tcPr>
          <w:p>
            <w:pPr>
              <w:widowControl/>
              <w:ind w:right="2549" w:rightChars="1214"/>
              <w:jc w:val="center"/>
              <w:textAlignment w:val="center"/>
              <w:rPr>
                <w:rFonts w:ascii="微软雅黑" w:hAnsi="微软雅黑" w:eastAsia="微软雅黑" w:cs="微软雅黑"/>
                <w:color w:val="000000"/>
                <w:sz w:val="18"/>
                <w:szCs w:val="18"/>
                <w:highlight w:val="none"/>
              </w:rPr>
            </w:pPr>
            <w:r>
              <w:rPr>
                <w:rFonts w:hint="eastAsia" w:ascii="微软雅黑" w:hAnsi="微软雅黑" w:eastAsia="微软雅黑" w:cs="微软雅黑"/>
                <w:color w:val="000000"/>
                <w:kern w:val="0"/>
                <w:sz w:val="18"/>
                <w:szCs w:val="18"/>
                <w:highlight w:val="none"/>
                <w:lang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4" w:type="dxa"/>
          </w:tcPr>
          <w:p>
            <w:pPr>
              <w:spacing w:line="360" w:lineRule="auto"/>
              <w:jc w:val="center"/>
              <w:rPr>
                <w:rFonts w:ascii="宋体" w:hAnsi="宋体" w:cs="宋体"/>
                <w:sz w:val="24"/>
                <w:highlight w:val="none"/>
              </w:rPr>
            </w:pPr>
            <w:r>
              <w:rPr>
                <w:rFonts w:hint="eastAsia" w:ascii="宋体" w:hAnsi="宋体" w:cs="宋体"/>
                <w:sz w:val="24"/>
                <w:highlight w:val="none"/>
              </w:rPr>
              <w:t>26</w:t>
            </w:r>
          </w:p>
        </w:tc>
        <w:tc>
          <w:tcPr>
            <w:tcW w:w="3420" w:type="dxa"/>
            <w:vAlign w:val="center"/>
          </w:tcPr>
          <w:p>
            <w:pPr>
              <w:widowControl/>
              <w:jc w:val="center"/>
              <w:textAlignment w:val="center"/>
              <w:rPr>
                <w:rFonts w:ascii="微软雅黑" w:hAnsi="微软雅黑" w:eastAsia="微软雅黑" w:cs="微软雅黑"/>
                <w:b/>
                <w:bCs/>
                <w:color w:val="000000"/>
                <w:sz w:val="20"/>
                <w:szCs w:val="20"/>
                <w:highlight w:val="none"/>
              </w:rPr>
            </w:pPr>
            <w:r>
              <w:rPr>
                <w:rFonts w:hint="eastAsia" w:ascii="微软雅黑" w:hAnsi="微软雅黑" w:eastAsia="微软雅黑" w:cs="微软雅黑"/>
                <w:b/>
                <w:bCs/>
                <w:color w:val="000000"/>
                <w:kern w:val="0"/>
                <w:sz w:val="20"/>
                <w:szCs w:val="20"/>
                <w:highlight w:val="none"/>
                <w:lang w:bidi="ar"/>
              </w:rPr>
              <w:t>立杆</w:t>
            </w:r>
          </w:p>
        </w:tc>
        <w:tc>
          <w:tcPr>
            <w:tcW w:w="1530" w:type="dxa"/>
            <w:vAlign w:val="center"/>
          </w:tcPr>
          <w:p>
            <w:pPr>
              <w:widowControl/>
              <w:jc w:val="center"/>
              <w:textAlignment w:val="center"/>
              <w:rPr>
                <w:rFonts w:ascii="微软雅黑" w:hAnsi="微软雅黑" w:eastAsia="微软雅黑" w:cs="微软雅黑"/>
                <w:color w:val="000000"/>
                <w:sz w:val="18"/>
                <w:szCs w:val="18"/>
                <w:highlight w:val="none"/>
              </w:rPr>
            </w:pPr>
            <w:r>
              <w:rPr>
                <w:rFonts w:hint="eastAsia" w:ascii="微软雅黑" w:hAnsi="微软雅黑" w:eastAsia="微软雅黑" w:cs="微软雅黑"/>
                <w:color w:val="000000"/>
                <w:kern w:val="0"/>
                <w:sz w:val="18"/>
                <w:szCs w:val="18"/>
                <w:highlight w:val="none"/>
                <w:lang w:bidi="ar"/>
              </w:rPr>
              <w:t>8</w:t>
            </w:r>
          </w:p>
        </w:tc>
        <w:tc>
          <w:tcPr>
            <w:tcW w:w="1688" w:type="dxa"/>
            <w:vAlign w:val="center"/>
          </w:tcPr>
          <w:p>
            <w:pPr>
              <w:widowControl/>
              <w:ind w:right="2549" w:rightChars="1214"/>
              <w:jc w:val="center"/>
              <w:textAlignment w:val="center"/>
              <w:rPr>
                <w:rFonts w:ascii="微软雅黑" w:hAnsi="微软雅黑" w:eastAsia="微软雅黑" w:cs="微软雅黑"/>
                <w:color w:val="000000"/>
                <w:sz w:val="18"/>
                <w:szCs w:val="18"/>
                <w:highlight w:val="none"/>
              </w:rPr>
            </w:pPr>
            <w:r>
              <w:rPr>
                <w:rFonts w:hint="eastAsia" w:ascii="微软雅黑" w:hAnsi="微软雅黑" w:eastAsia="微软雅黑" w:cs="微软雅黑"/>
                <w:color w:val="000000"/>
                <w:kern w:val="0"/>
                <w:sz w:val="18"/>
                <w:szCs w:val="18"/>
                <w:highlight w:val="none"/>
                <w:lang w:bidi="ar"/>
              </w:rPr>
              <w:t>套</w:t>
            </w:r>
          </w:p>
        </w:tc>
      </w:tr>
    </w:tbl>
    <w:p>
      <w:pPr>
        <w:spacing w:line="360" w:lineRule="auto"/>
        <w:rPr>
          <w:rFonts w:ascii="宋体" w:hAnsi="宋体" w:cs="宋体"/>
          <w:sz w:val="24"/>
          <w:highlight w:val="none"/>
        </w:rPr>
      </w:pPr>
    </w:p>
    <w:p>
      <w:pPr>
        <w:spacing w:line="360" w:lineRule="auto"/>
        <w:rPr>
          <w:rFonts w:ascii="宋体" w:hAnsi="宋体" w:cs="宋体"/>
          <w:sz w:val="24"/>
          <w:highlight w:val="none"/>
        </w:rPr>
      </w:pPr>
    </w:p>
    <w:p>
      <w:pPr>
        <w:spacing w:line="360" w:lineRule="auto"/>
        <w:rPr>
          <w:rFonts w:ascii="宋体" w:hAnsi="宋体" w:cs="宋体"/>
          <w:b/>
          <w:bCs/>
          <w:szCs w:val="21"/>
          <w:highlight w:val="none"/>
        </w:rPr>
      </w:pPr>
    </w:p>
    <w:p>
      <w:pPr>
        <w:spacing w:line="360" w:lineRule="auto"/>
        <w:rPr>
          <w:rFonts w:ascii="宋体" w:hAnsi="宋体" w:cs="宋体"/>
          <w:b/>
          <w:bCs/>
          <w:szCs w:val="21"/>
          <w:highlight w:val="none"/>
        </w:rPr>
      </w:pPr>
      <w:r>
        <w:rPr>
          <w:rFonts w:hint="eastAsia" w:ascii="宋体" w:hAnsi="宋体" w:cs="宋体"/>
          <w:b/>
          <w:bCs/>
          <w:szCs w:val="21"/>
          <w:highlight w:val="none"/>
        </w:rPr>
        <w:t>附件</w:t>
      </w:r>
      <w:r>
        <w:rPr>
          <w:rFonts w:hint="eastAsia" w:ascii="宋体" w:hAnsi="宋体" w:cs="宋体"/>
          <w:b/>
          <w:bCs/>
          <w:szCs w:val="21"/>
          <w:highlight w:val="none"/>
          <w:lang w:val="en-US" w:eastAsia="zh-CN"/>
        </w:rPr>
        <w:t>5</w:t>
      </w:r>
      <w:r>
        <w:rPr>
          <w:rFonts w:hint="eastAsia" w:ascii="宋体" w:hAnsi="宋体" w:cs="宋体"/>
          <w:b/>
          <w:bCs/>
          <w:szCs w:val="21"/>
          <w:highlight w:val="none"/>
        </w:rPr>
        <w:t xml:space="preserve"> ：项目投入人员架构表</w:t>
      </w:r>
    </w:p>
    <w:p>
      <w:pPr>
        <w:spacing w:line="360" w:lineRule="auto"/>
        <w:rPr>
          <w:rFonts w:hint="eastAsia" w:ascii="宋体" w:hAnsi="宋体" w:cs="宋体"/>
          <w:b/>
          <w:bCs/>
          <w:sz w:val="21"/>
          <w:szCs w:val="21"/>
          <w:highlight w:val="none"/>
        </w:rPr>
      </w:pPr>
      <w:r>
        <w:rPr>
          <w:rFonts w:hint="eastAsia" w:ascii="宋体" w:hAnsi="宋体" w:cs="宋体"/>
          <w:b/>
          <w:bCs/>
          <w:szCs w:val="21"/>
          <w:highlight w:val="none"/>
        </w:rPr>
        <w:t>附件</w:t>
      </w:r>
      <w:r>
        <w:rPr>
          <w:rFonts w:hint="eastAsia" w:ascii="宋体" w:hAnsi="宋体" w:cs="宋体"/>
          <w:b/>
          <w:bCs/>
          <w:szCs w:val="21"/>
          <w:highlight w:val="none"/>
          <w:lang w:val="en-US" w:eastAsia="zh-CN"/>
        </w:rPr>
        <w:t>6</w:t>
      </w:r>
      <w:r>
        <w:rPr>
          <w:rFonts w:hint="eastAsia" w:ascii="宋体" w:hAnsi="宋体" w:cs="宋体"/>
          <w:b/>
          <w:bCs/>
          <w:szCs w:val="21"/>
          <w:highlight w:val="none"/>
        </w:rPr>
        <w:t xml:space="preserve"> ：</w:t>
      </w:r>
      <w:r>
        <w:rPr>
          <w:rFonts w:hint="eastAsia" w:ascii="宋体" w:hAnsi="宋体" w:cs="宋体"/>
          <w:b/>
          <w:bCs/>
          <w:sz w:val="21"/>
          <w:szCs w:val="21"/>
          <w:highlight w:val="none"/>
        </w:rPr>
        <w:t>应急救援物资清单</w:t>
      </w:r>
    </w:p>
    <w:p>
      <w:pPr>
        <w:rPr>
          <w:rFonts w:cs="仿宋_GB2312" w:asciiTheme="minorEastAsia" w:hAnsiTheme="minorEastAsia"/>
          <w:sz w:val="24"/>
          <w:highlight w:val="none"/>
        </w:rPr>
      </w:pPr>
    </w:p>
    <w:p>
      <w:pPr>
        <w:rPr>
          <w:rFonts w:cs="仿宋_GB2312" w:asciiTheme="minorEastAsia" w:hAnsiTheme="minorEastAsia"/>
          <w:sz w:val="24"/>
          <w:highlight w:val="none"/>
        </w:rPr>
      </w:pPr>
    </w:p>
    <w:p>
      <w:pPr>
        <w:rPr>
          <w:rFonts w:cs="仿宋_GB2312" w:asciiTheme="minorEastAsia" w:hAnsiTheme="minorEastAsia"/>
          <w:sz w:val="24"/>
        </w:rPr>
      </w:pPr>
    </w:p>
    <w:p>
      <w:pPr>
        <w:pStyle w:val="25"/>
      </w:pPr>
    </w:p>
    <w:p>
      <w:pPr>
        <w:pStyle w:val="3"/>
      </w:pPr>
      <w:bookmarkStart w:id="73" w:name="_Toc16552"/>
      <w:bookmarkStart w:id="74" w:name="_Toc12169"/>
      <w:bookmarkStart w:id="75" w:name="_Toc1563"/>
      <w:bookmarkStart w:id="76" w:name="_Toc3723"/>
      <w:bookmarkStart w:id="77" w:name="_Toc30824"/>
      <w:bookmarkStart w:id="78" w:name="_Toc23515"/>
      <w:bookmarkStart w:id="79" w:name="_Toc8147"/>
      <w:bookmarkStart w:id="80" w:name="_Toc28358"/>
      <w:bookmarkStart w:id="81" w:name="_Toc5129"/>
      <w:bookmarkStart w:id="82" w:name="_Toc21847"/>
      <w:bookmarkStart w:id="83" w:name="_Toc6230"/>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3"/>
      </w:pPr>
      <w:r>
        <mc:AlternateContent>
          <mc:Choice Requires="wps">
            <w:drawing>
              <wp:anchor distT="0" distB="0" distL="114300" distR="114300" simplePos="0" relativeHeight="251674624" behindDoc="0" locked="0" layoutInCell="1" allowOverlap="1">
                <wp:simplePos x="0" y="0"/>
                <wp:positionH relativeFrom="column">
                  <wp:posOffset>2119630</wp:posOffset>
                </wp:positionH>
                <wp:positionV relativeFrom="paragraph">
                  <wp:posOffset>732790</wp:posOffset>
                </wp:positionV>
                <wp:extent cx="958850" cy="0"/>
                <wp:effectExtent l="0" t="4445" r="0" b="5080"/>
                <wp:wrapNone/>
                <wp:docPr id="15" name="自选图形 2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1" o:spid="_x0000_s1026" o:spt="32" type="#_x0000_t32" style="position:absolute;left:0pt;margin-left:166.9pt;margin-top:57.7pt;height:0pt;width:75.5pt;z-index:251674624;mso-width-relative:page;mso-height-relative:page;" filled="f" stroked="t" coordsize="21600,21600" o:gfxdata="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4wnNZtcAAAALAQAADwAAAAAAAAABACAAAAAiAAAAZHJzL2Rvd25yZXYueG1sUEsBAhQA&#10;FAAAAAgAh07iQHdUp+zzAQAA5AMAAA4AAAAAAAAAAQAgAAAAJgEAAGRycy9lMm9Eb2MueG1sUEsF&#10;BgAAAAAGAAYAWQEAAIsFA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75648" behindDoc="0" locked="0" layoutInCell="1" allowOverlap="1">
                <wp:simplePos x="0" y="0"/>
                <wp:positionH relativeFrom="column">
                  <wp:posOffset>2138045</wp:posOffset>
                </wp:positionH>
                <wp:positionV relativeFrom="paragraph">
                  <wp:posOffset>236220</wp:posOffset>
                </wp:positionV>
                <wp:extent cx="958850" cy="0"/>
                <wp:effectExtent l="0" t="4445" r="0" b="5080"/>
                <wp:wrapNone/>
                <wp:docPr id="16" name="自选图形 2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0" o:spid="_x0000_s1026" o:spt="32" type="#_x0000_t32" style="position:absolute;left:0pt;margin-left:168.35pt;margin-top:18.6pt;height:0pt;width:75.5pt;z-index:251675648;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AhFkA/IBAADkAwAADgAAAAAAAAABACAAAAAmAQAAZHJzL2Uyb0RvYy54bWxQSwUG&#10;AAAAAAYABgBZAQAAigUAAAAA&#10;">
                <v:fill on="f" focussize="0,0"/>
                <v:stroke color="#000000" joinstyle="round"/>
                <v:imagedata o:title=""/>
                <o:lock v:ext="edit" aspectratio="f"/>
              </v:shape>
            </w:pict>
          </mc:Fallback>
        </mc:AlternateContent>
      </w:r>
      <w:r>
        <w:rPr>
          <w:rFonts w:hint="eastAsia"/>
        </w:rPr>
        <w:t>第七章</w:t>
      </w:r>
      <w:bookmarkEnd w:id="73"/>
      <w:bookmarkEnd w:id="74"/>
      <w:bookmarkEnd w:id="75"/>
      <w:bookmarkEnd w:id="76"/>
      <w:bookmarkEnd w:id="77"/>
      <w:bookmarkEnd w:id="78"/>
      <w:bookmarkEnd w:id="79"/>
      <w:bookmarkEnd w:id="80"/>
      <w:bookmarkEnd w:id="81"/>
      <w:bookmarkEnd w:id="82"/>
      <w:bookmarkEnd w:id="83"/>
    </w:p>
    <w:p>
      <w:pPr>
        <w:pStyle w:val="40"/>
      </w:pPr>
    </w:p>
    <w:p>
      <w:pPr>
        <w:pStyle w:val="3"/>
      </w:pPr>
      <w:bookmarkStart w:id="84" w:name="_Toc21675"/>
      <w:bookmarkStart w:id="85" w:name="_Toc10840"/>
      <w:bookmarkStart w:id="86" w:name="_Toc5342"/>
      <w:bookmarkStart w:id="87" w:name="_Toc31564"/>
      <w:bookmarkStart w:id="88" w:name="_Toc30157"/>
      <w:bookmarkStart w:id="89" w:name="_Toc87616388"/>
      <w:bookmarkStart w:id="90" w:name="_Toc88209951"/>
      <w:bookmarkStart w:id="91" w:name="_Toc24815"/>
      <w:bookmarkStart w:id="92" w:name="_Toc24490"/>
      <w:bookmarkStart w:id="93" w:name="_Toc17119"/>
      <w:bookmarkStart w:id="94" w:name="_Toc12769"/>
      <w:bookmarkStart w:id="95" w:name="_Toc22764"/>
      <w:bookmarkStart w:id="96" w:name="_Toc12610"/>
      <w:r>
        <w:rPr>
          <w:rFonts w:hint="eastAsia"/>
        </w:rPr>
        <w:t>响应文件格式要求</w:t>
      </w:r>
      <w:bookmarkEnd w:id="84"/>
      <w:bookmarkEnd w:id="85"/>
      <w:bookmarkEnd w:id="86"/>
      <w:bookmarkEnd w:id="87"/>
      <w:bookmarkEnd w:id="88"/>
      <w:bookmarkEnd w:id="89"/>
      <w:bookmarkEnd w:id="90"/>
      <w:bookmarkEnd w:id="91"/>
      <w:bookmarkEnd w:id="92"/>
      <w:bookmarkEnd w:id="93"/>
      <w:bookmarkEnd w:id="94"/>
      <w:bookmarkEnd w:id="95"/>
      <w:bookmarkEnd w:id="96"/>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hint="eastAsia" w:ascii="方正小标宋简体" w:eastAsia="方正小标宋简体"/>
          <w:sz w:val="44"/>
          <w:szCs w:val="44"/>
          <w:u w:val="single"/>
        </w:rPr>
      </w:pPr>
    </w:p>
    <w:p>
      <w:pPr>
        <w:adjustRightInd w:val="0"/>
        <w:snapToGrid w:val="0"/>
        <w:spacing w:before="156" w:beforeLines="50" w:after="156" w:afterLines="50" w:line="600" w:lineRule="exact"/>
        <w:jc w:val="center"/>
        <w:rPr>
          <w:rFonts w:hint="eastAsia" w:ascii="方正小标宋简体" w:eastAsia="方正小标宋简体"/>
          <w:sz w:val="44"/>
          <w:szCs w:val="44"/>
          <w:u w:val="single"/>
        </w:rPr>
      </w:pPr>
    </w:p>
    <w:p>
      <w:pPr>
        <w:adjustRightInd w:val="0"/>
        <w:snapToGrid w:val="0"/>
        <w:spacing w:before="156" w:beforeLines="50" w:after="156" w:afterLines="50" w:line="600" w:lineRule="exact"/>
        <w:jc w:val="center"/>
        <w:rPr>
          <w:rFonts w:hint="eastAsia" w:ascii="方正小标宋简体" w:eastAsia="方正小标宋简体"/>
          <w:sz w:val="44"/>
          <w:szCs w:val="44"/>
          <w:u w:val="single"/>
        </w:rPr>
      </w:pPr>
    </w:p>
    <w:p>
      <w:pPr>
        <w:adjustRightInd w:val="0"/>
        <w:snapToGrid w:val="0"/>
        <w:spacing w:before="156" w:beforeLines="50" w:after="156" w:afterLines="50" w:line="600" w:lineRule="exact"/>
        <w:jc w:val="center"/>
        <w:rPr>
          <w:rFonts w:hint="eastAsia" w:ascii="方正小标宋简体" w:eastAsia="方正小标宋简体"/>
          <w:sz w:val="44"/>
          <w:szCs w:val="44"/>
          <w:u w:val="single"/>
        </w:rPr>
      </w:pPr>
    </w:p>
    <w:p>
      <w:pPr>
        <w:adjustRightInd w:val="0"/>
        <w:snapToGrid w:val="0"/>
        <w:spacing w:before="156" w:beforeLines="50" w:after="156" w:afterLines="50" w:line="600" w:lineRule="exact"/>
        <w:jc w:val="center"/>
        <w:rPr>
          <w:rFonts w:hint="eastAsia" w:ascii="方正小标宋简体" w:eastAsia="方正小标宋简体"/>
          <w:sz w:val="44"/>
          <w:szCs w:val="44"/>
          <w:u w:val="single"/>
        </w:rPr>
      </w:pPr>
    </w:p>
    <w:p>
      <w:pPr>
        <w:adjustRightInd w:val="0"/>
        <w:snapToGrid w:val="0"/>
        <w:spacing w:before="156" w:beforeLines="50" w:after="156" w:afterLines="50" w:line="600" w:lineRule="exact"/>
        <w:jc w:val="center"/>
        <w:rPr>
          <w:rFonts w:hint="eastAsia" w:ascii="方正小标宋简体" w:eastAsia="方正小标宋简体"/>
          <w:sz w:val="44"/>
          <w:szCs w:val="44"/>
          <w:u w:val="single"/>
        </w:rPr>
      </w:pPr>
    </w:p>
    <w:p>
      <w:pPr>
        <w:adjustRightInd w:val="0"/>
        <w:snapToGrid w:val="0"/>
        <w:spacing w:before="156" w:beforeLines="50" w:after="156" w:afterLines="50" w:line="600" w:lineRule="exact"/>
        <w:jc w:val="center"/>
        <w:rPr>
          <w:rFonts w:hint="eastAsia" w:ascii="方正小标宋简体" w:eastAsia="方正小标宋简体"/>
          <w:sz w:val="44"/>
          <w:szCs w:val="44"/>
          <w:u w:val="single"/>
        </w:rPr>
      </w:pPr>
    </w:p>
    <w:p>
      <w:pPr>
        <w:adjustRightInd w:val="0"/>
        <w:snapToGrid w:val="0"/>
        <w:spacing w:before="156" w:beforeLines="50" w:after="156" w:afterLines="50" w:line="600" w:lineRule="exact"/>
        <w:jc w:val="center"/>
        <w:rPr>
          <w:rFonts w:hint="eastAsia" w:ascii="方正小标宋简体" w:eastAsia="方正小标宋简体"/>
          <w:sz w:val="44"/>
          <w:szCs w:val="44"/>
          <w:u w:val="single"/>
        </w:rPr>
      </w:pPr>
    </w:p>
    <w:p>
      <w:pPr>
        <w:adjustRightInd w:val="0"/>
        <w:snapToGrid w:val="0"/>
        <w:spacing w:before="156" w:beforeLines="50" w:after="156" w:afterLines="50" w:line="600" w:lineRule="exact"/>
        <w:jc w:val="center"/>
        <w:rPr>
          <w:rFonts w:hint="eastAsia" w:ascii="方正小标宋简体" w:eastAsia="方正小标宋简体"/>
          <w:sz w:val="44"/>
          <w:szCs w:val="44"/>
          <w:u w:val="single"/>
        </w:rPr>
      </w:pPr>
    </w:p>
    <w:p>
      <w:pPr>
        <w:adjustRightInd w:val="0"/>
        <w:snapToGrid w:val="0"/>
        <w:spacing w:before="156" w:beforeLines="50" w:after="156" w:afterLines="50" w:line="600" w:lineRule="exact"/>
        <w:jc w:val="center"/>
        <w:rPr>
          <w:rFonts w:hint="eastAsia" w:ascii="方正小标宋简体" w:eastAsia="方正小标宋简体"/>
          <w:sz w:val="44"/>
          <w:szCs w:val="44"/>
          <w:u w:val="single"/>
        </w:rPr>
      </w:pPr>
    </w:p>
    <w:p>
      <w:pPr>
        <w:adjustRightInd w:val="0"/>
        <w:snapToGrid w:val="0"/>
        <w:spacing w:before="156" w:beforeLines="50" w:after="156" w:afterLines="50" w:line="600" w:lineRule="exact"/>
        <w:jc w:val="center"/>
        <w:rPr>
          <w:rFonts w:hint="eastAsia" w:ascii="方正小标宋简体" w:eastAsia="方正小标宋简体"/>
          <w:sz w:val="44"/>
          <w:szCs w:val="44"/>
          <w:u w:val="single"/>
        </w:rPr>
      </w:pPr>
    </w:p>
    <w:p>
      <w:pPr>
        <w:adjustRightInd w:val="0"/>
        <w:snapToGrid w:val="0"/>
        <w:spacing w:before="156" w:beforeLines="50" w:after="156" w:afterLines="50" w:line="600" w:lineRule="exact"/>
        <w:jc w:val="center"/>
        <w:rPr>
          <w:rFonts w:ascii="方正小标宋简体" w:eastAsia="方正小标宋简体"/>
          <w:sz w:val="44"/>
          <w:szCs w:val="44"/>
          <w:u w:val="single"/>
        </w:rPr>
      </w:pPr>
      <w:r>
        <w:rPr>
          <w:rFonts w:hint="eastAsia" w:ascii="方正小标宋简体" w:eastAsia="方正小标宋简体"/>
          <w:sz w:val="44"/>
          <w:szCs w:val="44"/>
          <w:u w:val="single"/>
        </w:rPr>
        <w:t>（项目名称</w:t>
      </w:r>
      <w:r>
        <w:rPr>
          <w:rFonts w:hint="eastAsia" w:ascii="方正小标宋简体" w:eastAsia="方正小标宋简体"/>
          <w:sz w:val="44"/>
          <w:szCs w:val="44"/>
          <w:u w:val="single"/>
          <w:lang w:eastAsia="zh-CN"/>
        </w:rPr>
        <w:t>（</w:t>
      </w:r>
      <w:r>
        <w:rPr>
          <w:rFonts w:hint="eastAsia" w:ascii="方正小标宋简体" w:eastAsia="方正小标宋简体"/>
          <w:sz w:val="44"/>
          <w:szCs w:val="44"/>
          <w:u w:val="single"/>
          <w:lang w:val="en-US" w:eastAsia="zh-CN"/>
        </w:rPr>
        <w:t>第二次</w:t>
      </w:r>
      <w:r>
        <w:rPr>
          <w:rFonts w:hint="eastAsia" w:ascii="方正小标宋简体" w:eastAsia="方正小标宋简体"/>
          <w:sz w:val="44"/>
          <w:szCs w:val="44"/>
          <w:u w:val="single"/>
          <w:lang w:eastAsia="zh-CN"/>
        </w:rPr>
        <w:t>）</w:t>
      </w:r>
      <w:r>
        <w:rPr>
          <w:rFonts w:hint="eastAsia" w:ascii="方正小标宋简体" w:eastAsia="方正小标宋简体"/>
          <w:sz w:val="44"/>
          <w:szCs w:val="44"/>
          <w:u w:val="single"/>
        </w:rPr>
        <w:t>、标段/标包号）</w:t>
      </w:r>
    </w:p>
    <w:p>
      <w:pPr>
        <w:adjustRightInd w:val="0"/>
        <w:snapToGrid w:val="0"/>
        <w:spacing w:before="156" w:beforeLines="50" w:after="156" w:afterLines="50" w:line="600" w:lineRule="exact"/>
        <w:jc w:val="center"/>
        <w:rPr>
          <w:rFonts w:ascii="仿宋_GB2312" w:eastAsia="仿宋_GB2312"/>
          <w:sz w:val="30"/>
          <w:szCs w:val="30"/>
        </w:rPr>
      </w:pPr>
    </w:p>
    <w:p>
      <w:pPr>
        <w:adjustRightInd w:val="0"/>
        <w:snapToGrid w:val="0"/>
        <w:spacing w:before="156" w:beforeLines="50" w:after="156" w:afterLines="50" w:line="600" w:lineRule="exact"/>
        <w:jc w:val="center"/>
        <w:rPr>
          <w:rFonts w:ascii="仿宋_GB2312" w:eastAsia="仿宋_GB2312"/>
          <w:sz w:val="30"/>
          <w:szCs w:val="30"/>
        </w:rPr>
      </w:pPr>
      <w:r>
        <w:rPr>
          <w:rFonts w:hint="eastAsia" w:ascii="仿宋_GB2312" w:eastAsia="仿宋_GB2312"/>
          <w:sz w:val="30"/>
          <w:szCs w:val="30"/>
        </w:rPr>
        <w:t>（项目编号：</w:t>
      </w:r>
      <w:r>
        <w:rPr>
          <w:rFonts w:ascii="仿宋_GB2312" w:eastAsia="仿宋_GB2312"/>
          <w:sz w:val="30"/>
          <w:szCs w:val="30"/>
        </w:rPr>
        <w:t xml:space="preserve">   </w:t>
      </w:r>
      <w:r>
        <w:rPr>
          <w:rFonts w:hint="eastAsia" w:ascii="仿宋_GB2312" w:eastAsia="仿宋_GB2312"/>
          <w:sz w:val="30"/>
          <w:szCs w:val="30"/>
        </w:rPr>
        <w:t>）</w:t>
      </w: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rPr>
          <w:rFonts w:ascii="方正小标宋简体" w:eastAsia="方正小标宋简体"/>
          <w:sz w:val="30"/>
          <w:szCs w:val="30"/>
        </w:rPr>
      </w:pPr>
    </w:p>
    <w:p>
      <w:pPr>
        <w:pStyle w:val="25"/>
        <w:rPr>
          <w:rFonts w:ascii="方正小标宋简体" w:eastAsia="方正小标宋简体"/>
          <w:sz w:val="30"/>
          <w:szCs w:val="30"/>
        </w:rPr>
      </w:pPr>
    </w:p>
    <w:p>
      <w:pPr>
        <w:pStyle w:val="25"/>
        <w:rPr>
          <w:rFonts w:ascii="方正小标宋简体" w:eastAsia="方正小标宋简体"/>
          <w:sz w:val="30"/>
          <w:szCs w:val="30"/>
        </w:rPr>
      </w:pPr>
    </w:p>
    <w:p>
      <w:pPr>
        <w:pStyle w:val="25"/>
        <w:rPr>
          <w:rFonts w:ascii="方正小标宋简体" w:eastAsia="方正小标宋简体"/>
          <w:sz w:val="30"/>
          <w:szCs w:val="30"/>
        </w:rPr>
      </w:pPr>
    </w:p>
    <w:p>
      <w:pPr>
        <w:pStyle w:val="25"/>
        <w:rPr>
          <w:rFonts w:ascii="方正小标宋简体" w:eastAsia="方正小标宋简体"/>
          <w:sz w:val="30"/>
          <w:szCs w:val="30"/>
        </w:rPr>
      </w:pPr>
    </w:p>
    <w:p>
      <w:pPr>
        <w:pStyle w:val="25"/>
        <w:rPr>
          <w:rFonts w:ascii="方正小标宋简体" w:eastAsia="方正小标宋简体"/>
          <w:sz w:val="30"/>
          <w:szCs w:val="30"/>
        </w:rPr>
      </w:pPr>
    </w:p>
    <w:p>
      <w:pPr>
        <w:pStyle w:val="25"/>
        <w:rPr>
          <w:rFonts w:ascii="方正小标宋简体" w:eastAsia="方正小标宋简体"/>
          <w:sz w:val="30"/>
          <w:szCs w:val="30"/>
        </w:rPr>
      </w:pPr>
    </w:p>
    <w:p>
      <w:pPr>
        <w:pStyle w:val="25"/>
        <w:rPr>
          <w:rFonts w:ascii="方正小标宋简体" w:eastAsia="方正小标宋简体"/>
          <w:sz w:val="30"/>
          <w:szCs w:val="30"/>
        </w:rPr>
      </w:pPr>
    </w:p>
    <w:p>
      <w:pPr>
        <w:pStyle w:val="25"/>
        <w:rPr>
          <w:rFonts w:ascii="方正小标宋简体" w:eastAsia="方正小标宋简体"/>
          <w:sz w:val="30"/>
          <w:szCs w:val="30"/>
        </w:rPr>
      </w:pPr>
    </w:p>
    <w:p>
      <w:pPr>
        <w:pStyle w:val="25"/>
        <w:rPr>
          <w:rFonts w:ascii="方正小标宋简体" w:eastAsia="方正小标宋简体"/>
          <w:sz w:val="30"/>
          <w:szCs w:val="30"/>
        </w:rPr>
      </w:pPr>
    </w:p>
    <w:p>
      <w:pPr>
        <w:pStyle w:val="25"/>
        <w:rPr>
          <w:rFonts w:ascii="方正小标宋简体" w:eastAsia="方正小标宋简体"/>
          <w:sz w:val="30"/>
          <w:szCs w:val="30"/>
        </w:rPr>
      </w:pPr>
    </w:p>
    <w:p>
      <w:pPr>
        <w:pStyle w:val="2"/>
        <w:rPr>
          <w:rFonts w:hint="eastAsia"/>
        </w:rPr>
      </w:pPr>
    </w:p>
    <w:p>
      <w:pPr>
        <w:adjustRightInd w:val="0"/>
        <w:snapToGrid w:val="0"/>
        <w:spacing w:line="600" w:lineRule="exact"/>
        <w:ind w:left="1"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rPr>
        <w:t>供应商：</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（单位公章）</w:t>
      </w:r>
    </w:p>
    <w:p>
      <w:pPr>
        <w:adjustRightInd w:val="0"/>
        <w:snapToGrid w:val="0"/>
        <w:spacing w:line="600" w:lineRule="exact"/>
        <w:ind w:left="1" w:right="560"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年</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月</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日</w:t>
      </w:r>
    </w:p>
    <w:p>
      <w:pPr>
        <w:pStyle w:val="25"/>
        <w:rPr>
          <w:rFonts w:ascii="方正小标宋简体" w:eastAsia="方正小标宋简体"/>
          <w:sz w:val="30"/>
          <w:szCs w:val="30"/>
        </w:rPr>
      </w:pPr>
    </w:p>
    <w:p>
      <w:pPr>
        <w:pStyle w:val="25"/>
        <w:rPr>
          <w:rFonts w:ascii="方正小标宋简体" w:eastAsia="方正小标宋简体"/>
          <w:sz w:val="30"/>
          <w:szCs w:val="30"/>
        </w:rPr>
      </w:pPr>
    </w:p>
    <w:p>
      <w:pPr>
        <w:pStyle w:val="25"/>
        <w:rPr>
          <w:rFonts w:ascii="方正小标宋简体" w:eastAsia="方正小标宋简体"/>
          <w:sz w:val="30"/>
          <w:szCs w:val="30"/>
        </w:rPr>
      </w:pPr>
    </w:p>
    <w:p>
      <w:pPr>
        <w:adjustRightInd w:val="0"/>
        <w:snapToGrid w:val="0"/>
        <w:spacing w:before="156" w:beforeLines="50" w:after="156" w:afterLines="50" w:line="600" w:lineRule="exact"/>
        <w:jc w:val="center"/>
        <w:rPr>
          <w:rFonts w:ascii="方正小标宋简体" w:eastAsia="方正小标宋简体"/>
          <w:sz w:val="44"/>
          <w:szCs w:val="44"/>
        </w:rPr>
      </w:pPr>
      <w:r>
        <w:rPr>
          <w:rFonts w:hint="eastAsia" w:ascii="方正小标宋简体" w:eastAsia="方正小标宋简体"/>
          <w:sz w:val="44"/>
          <w:szCs w:val="44"/>
        </w:rPr>
        <w:t>目录</w:t>
      </w: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line="600" w:lineRule="exact"/>
        <w:jc w:val="center"/>
        <w:rPr>
          <w:rFonts w:ascii="方正小标宋简体" w:eastAsia="方正小标宋简体"/>
          <w:sz w:val="44"/>
          <w:szCs w:val="44"/>
        </w:rPr>
      </w:pPr>
    </w:p>
    <w:p>
      <w:pPr>
        <w:spacing w:line="600" w:lineRule="exact"/>
        <w:rPr>
          <w:rFonts w:ascii="仿宋_GB2312" w:eastAsia="仿宋_GB2312"/>
          <w:sz w:val="28"/>
          <w:szCs w:val="28"/>
        </w:rPr>
      </w:pPr>
      <w:bookmarkStart w:id="97" w:name="_Toc88209952"/>
      <w:bookmarkStart w:id="98" w:name="_Toc87616389"/>
    </w:p>
    <w:p>
      <w:pPr>
        <w:spacing w:line="600" w:lineRule="exact"/>
        <w:rPr>
          <w:rFonts w:ascii="仿宋_GB2312" w:eastAsia="仿宋_GB2312"/>
          <w:sz w:val="28"/>
          <w:szCs w:val="28"/>
        </w:rPr>
      </w:pPr>
    </w:p>
    <w:p>
      <w:pPr>
        <w:spacing w:line="600" w:lineRule="exact"/>
        <w:rPr>
          <w:rFonts w:ascii="仿宋_GB2312" w:eastAsia="仿宋_GB2312"/>
          <w:sz w:val="28"/>
          <w:szCs w:val="28"/>
        </w:rPr>
      </w:pPr>
      <w:r>
        <w:rPr>
          <w:rFonts w:hint="eastAsia" w:ascii="仿宋_GB2312" w:eastAsia="仿宋_GB2312"/>
          <w:sz w:val="28"/>
          <w:szCs w:val="28"/>
        </w:rPr>
        <w:t>1.响应函</w:t>
      </w:r>
      <w:bookmarkEnd w:id="97"/>
      <w:bookmarkEnd w:id="98"/>
    </w:p>
    <w:p>
      <w:pPr>
        <w:spacing w:line="600" w:lineRule="exact"/>
        <w:rPr>
          <w:rFonts w:ascii="仿宋_GB2312" w:eastAsia="仿宋_GB2312"/>
          <w:sz w:val="28"/>
          <w:szCs w:val="28"/>
        </w:rPr>
      </w:pPr>
      <w:bookmarkStart w:id="99" w:name="_Toc88209953"/>
      <w:bookmarkStart w:id="100" w:name="_Toc87616390"/>
      <w:r>
        <w:rPr>
          <w:rFonts w:hint="eastAsia" w:ascii="仿宋_GB2312" w:eastAsia="仿宋_GB2312"/>
          <w:sz w:val="28"/>
          <w:szCs w:val="28"/>
        </w:rPr>
        <w:t>2.法定代表人证明或授权委托书</w:t>
      </w:r>
      <w:bookmarkEnd w:id="99"/>
      <w:bookmarkEnd w:id="100"/>
      <w:bookmarkStart w:id="101" w:name="_Toc88209956"/>
      <w:bookmarkStart w:id="102" w:name="_Toc87616393"/>
      <w:r>
        <w:rPr>
          <w:rFonts w:ascii="仿宋_GB2312" w:eastAsia="仿宋_GB2312"/>
          <w:sz w:val="28"/>
          <w:szCs w:val="28"/>
        </w:rPr>
        <w:cr/>
      </w:r>
      <w:r>
        <w:rPr>
          <w:rFonts w:hint="eastAsia" w:ascii="仿宋_GB2312" w:eastAsia="仿宋_GB2312"/>
          <w:sz w:val="28"/>
          <w:szCs w:val="28"/>
        </w:rPr>
        <w:t>3.资格审查资料</w:t>
      </w:r>
      <w:r>
        <w:rPr>
          <w:rFonts w:ascii="仿宋_GB2312" w:eastAsia="仿宋_GB2312"/>
          <w:sz w:val="28"/>
          <w:szCs w:val="28"/>
        </w:rPr>
        <w:cr/>
      </w:r>
      <w:r>
        <w:rPr>
          <w:rFonts w:hint="eastAsia" w:ascii="仿宋_GB2312" w:eastAsia="仿宋_GB2312"/>
          <w:sz w:val="28"/>
          <w:szCs w:val="28"/>
        </w:rPr>
        <w:t>4.拟投入本项目的项目负责人情况表</w:t>
      </w:r>
    </w:p>
    <w:p>
      <w:pPr>
        <w:spacing w:line="600" w:lineRule="exact"/>
        <w:rPr>
          <w:rFonts w:ascii="仿宋_GB2312" w:eastAsia="仿宋_GB2312"/>
          <w:sz w:val="28"/>
          <w:szCs w:val="28"/>
        </w:rPr>
      </w:pPr>
      <w:r>
        <w:rPr>
          <w:rFonts w:hint="eastAsia" w:ascii="仿宋_GB2312" w:eastAsia="仿宋_GB2312"/>
          <w:sz w:val="28"/>
          <w:szCs w:val="28"/>
        </w:rPr>
        <w:t>5.报价表</w:t>
      </w:r>
      <w:r>
        <w:rPr>
          <w:rFonts w:ascii="仿宋_GB2312" w:eastAsia="仿宋_GB2312"/>
          <w:sz w:val="28"/>
          <w:szCs w:val="28"/>
        </w:rPr>
        <w:cr/>
      </w:r>
      <w:r>
        <w:rPr>
          <w:rFonts w:hint="eastAsia" w:ascii="仿宋_GB2312" w:eastAsia="仿宋_GB2312"/>
          <w:sz w:val="28"/>
          <w:szCs w:val="28"/>
        </w:rPr>
        <w:t>6.</w:t>
      </w:r>
      <w:bookmarkEnd w:id="101"/>
      <w:bookmarkEnd w:id="102"/>
      <w:r>
        <w:rPr>
          <w:rFonts w:hint="eastAsia" w:ascii="仿宋_GB2312" w:eastAsia="仿宋_GB2312"/>
          <w:sz w:val="28"/>
          <w:szCs w:val="28"/>
          <w:lang w:val="en-US" w:eastAsia="zh-CN"/>
        </w:rPr>
        <w:t>承诺函</w:t>
      </w:r>
      <w:r>
        <w:rPr>
          <w:rFonts w:ascii="仿宋_GB2312" w:eastAsia="仿宋_GB2312"/>
          <w:sz w:val="28"/>
          <w:szCs w:val="28"/>
        </w:rPr>
        <w:cr/>
      </w:r>
      <w:r>
        <w:rPr>
          <w:rFonts w:hint="eastAsia" w:ascii="仿宋_GB2312" w:eastAsia="仿宋_GB2312"/>
          <w:sz w:val="28"/>
          <w:szCs w:val="28"/>
        </w:rPr>
        <w:t>7.其他资料</w:t>
      </w: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rPr>
      </w:pPr>
    </w:p>
    <w:p>
      <w:pPr>
        <w:pStyle w:val="25"/>
      </w:pPr>
    </w:p>
    <w:p>
      <w:pPr>
        <w:pStyle w:val="25"/>
      </w:pPr>
    </w:p>
    <w:p>
      <w:pPr>
        <w:pStyle w:val="25"/>
      </w:pPr>
    </w:p>
    <w:p>
      <w:pPr>
        <w:pStyle w:val="25"/>
      </w:pPr>
    </w:p>
    <w:p>
      <w:pPr>
        <w:pStyle w:val="25"/>
      </w:pPr>
    </w:p>
    <w:p>
      <w:pPr>
        <w:pStyle w:val="25"/>
      </w:pPr>
    </w:p>
    <w:p>
      <w:pPr>
        <w:pStyle w:val="25"/>
      </w:pPr>
    </w:p>
    <w:p>
      <w:pPr>
        <w:pStyle w:val="25"/>
      </w:pPr>
    </w:p>
    <w:p>
      <w:pPr>
        <w:pStyle w:val="25"/>
      </w:pPr>
    </w:p>
    <w:p>
      <w:pPr>
        <w:pStyle w:val="5"/>
        <w:spacing w:line="240" w:lineRule="auto"/>
        <w:rPr>
          <w:rFonts w:asciiTheme="minorEastAsia" w:hAnsiTheme="minorEastAsia" w:eastAsiaTheme="minorEastAsia"/>
          <w:sz w:val="28"/>
          <w:szCs w:val="28"/>
        </w:rPr>
      </w:pPr>
      <w:bookmarkStart w:id="103" w:name="_Toc88209957"/>
      <w:bookmarkStart w:id="104" w:name="_Toc6313"/>
      <w:bookmarkStart w:id="105" w:name="_Toc87616394"/>
      <w:bookmarkStart w:id="106" w:name="_Toc28619645"/>
      <w:bookmarkStart w:id="107" w:name="_Toc12665"/>
      <w:r>
        <w:rPr>
          <w:rFonts w:asciiTheme="minorEastAsia" w:hAnsiTheme="minorEastAsia" w:eastAsiaTheme="minorEastAsia"/>
          <w:sz w:val="28"/>
          <w:szCs w:val="28"/>
        </w:rPr>
        <w:t>1.响应函</w:t>
      </w:r>
      <w:bookmarkEnd w:id="103"/>
      <w:bookmarkEnd w:id="104"/>
      <w:bookmarkEnd w:id="105"/>
      <w:bookmarkEnd w:id="106"/>
      <w:bookmarkEnd w:id="107"/>
    </w:p>
    <w:p>
      <w:pPr>
        <w:spacing w:line="360" w:lineRule="auto"/>
        <w:rPr>
          <w:rFonts w:ascii="仿宋_GB2312" w:hAnsi="黑体" w:eastAsia="仿宋_GB2312"/>
          <w:sz w:val="28"/>
          <w:szCs w:val="28"/>
        </w:rPr>
      </w:pPr>
      <w:r>
        <w:rPr>
          <w:rFonts w:ascii="仿宋_GB2312" w:hAnsi="黑体" w:eastAsia="仿宋_GB2312"/>
          <w:sz w:val="28"/>
          <w:szCs w:val="28"/>
        </w:rPr>
        <w:t>1.1响应函</w:t>
      </w:r>
    </w:p>
    <w:p>
      <w:pPr>
        <w:rPr>
          <w:rFonts w:ascii="仿宋_GB2312" w:hAnsi="黑体" w:eastAsia="仿宋_GB2312"/>
          <w:sz w:val="28"/>
          <w:szCs w:val="28"/>
          <w:u w:val="single"/>
        </w:rPr>
      </w:pPr>
      <w:r>
        <w:rPr>
          <w:rFonts w:hint="eastAsia" w:ascii="仿宋_GB2312" w:hAnsi="黑体" w:eastAsia="仿宋_GB2312"/>
          <w:sz w:val="28"/>
          <w:szCs w:val="28"/>
          <w:u w:val="single"/>
        </w:rPr>
        <w:t>广州市净水有限公司：</w:t>
      </w:r>
    </w:p>
    <w:p>
      <w:pPr>
        <w:ind w:firstLine="560" w:firstLineChars="200"/>
        <w:rPr>
          <w:rFonts w:ascii="仿宋_GB2312" w:hAnsi="黑体" w:eastAsia="仿宋_GB2312"/>
          <w:sz w:val="28"/>
          <w:szCs w:val="28"/>
        </w:rPr>
      </w:pPr>
      <w:r>
        <w:rPr>
          <w:rFonts w:ascii="仿宋_GB2312" w:hAnsi="黑体" w:eastAsia="仿宋_GB2312"/>
          <w:sz w:val="28"/>
          <w:szCs w:val="28"/>
        </w:rPr>
        <w:t>1.我方已仔细研究了</w:t>
      </w:r>
      <w:r>
        <w:rPr>
          <w:rFonts w:hint="eastAsia" w:ascii="仿宋_GB2312" w:hAnsi="黑体" w:eastAsia="仿宋_GB2312"/>
          <w:sz w:val="28"/>
          <w:szCs w:val="28"/>
          <w:u w:val="single"/>
        </w:rPr>
        <w:t>（项目名称</w:t>
      </w:r>
      <w:r>
        <w:rPr>
          <w:rFonts w:hint="eastAsia" w:ascii="仿宋_GB2312" w:hAnsi="黑体" w:eastAsia="仿宋_GB2312"/>
          <w:sz w:val="28"/>
          <w:szCs w:val="28"/>
          <w:u w:val="single"/>
          <w:lang w:eastAsia="zh-CN"/>
        </w:rPr>
        <w:t>（</w:t>
      </w:r>
      <w:r>
        <w:rPr>
          <w:rFonts w:hint="eastAsia" w:ascii="仿宋_GB2312" w:hAnsi="黑体" w:eastAsia="仿宋_GB2312"/>
          <w:sz w:val="28"/>
          <w:szCs w:val="28"/>
          <w:u w:val="single"/>
          <w:lang w:val="en-US" w:eastAsia="zh-CN"/>
        </w:rPr>
        <w:t>第二次</w:t>
      </w:r>
      <w:r>
        <w:rPr>
          <w:rFonts w:hint="eastAsia" w:ascii="仿宋_GB2312" w:hAnsi="黑体" w:eastAsia="仿宋_GB2312"/>
          <w:sz w:val="28"/>
          <w:szCs w:val="28"/>
          <w:u w:val="single"/>
          <w:lang w:eastAsia="zh-CN"/>
        </w:rPr>
        <w:t>）</w:t>
      </w:r>
      <w:r>
        <w:rPr>
          <w:rFonts w:hint="eastAsia" w:ascii="仿宋_GB2312" w:hAnsi="黑体" w:eastAsia="仿宋_GB2312"/>
          <w:sz w:val="28"/>
          <w:szCs w:val="28"/>
          <w:u w:val="single"/>
        </w:rPr>
        <w:t>、项目编号、标段</w:t>
      </w:r>
      <w:r>
        <w:rPr>
          <w:rFonts w:ascii="仿宋_GB2312" w:hAnsi="黑体" w:eastAsia="仿宋_GB2312"/>
          <w:sz w:val="28"/>
          <w:szCs w:val="28"/>
          <w:u w:val="single"/>
        </w:rPr>
        <w:t xml:space="preserve">/标包号）   </w:t>
      </w:r>
      <w:r>
        <w:rPr>
          <w:rFonts w:hint="eastAsia" w:ascii="仿宋_GB2312" w:hAnsi="黑体" w:eastAsia="仿宋_GB2312"/>
          <w:sz w:val="28"/>
          <w:szCs w:val="28"/>
        </w:rPr>
        <w:t>采购文件的全部内容，愿意以含税价人民币（大写）</w:t>
      </w:r>
      <w:r>
        <w:rPr>
          <w:rFonts w:ascii="仿宋_GB2312" w:hAnsi="黑体" w:eastAsia="仿宋_GB2312"/>
          <w:sz w:val="28"/>
          <w:szCs w:val="28"/>
        </w:rPr>
        <w:t>(</w:t>
      </w:r>
      <w:r>
        <w:rPr>
          <w:rFonts w:ascii="宋体" w:hAnsi="宋体" w:eastAsia="仿宋_GB2312"/>
          <w:sz w:val="28"/>
          <w:szCs w:val="28"/>
        </w:rPr>
        <w:t>¥</w:t>
      </w:r>
      <w:r>
        <w:rPr>
          <w:rFonts w:ascii="仿宋_GB2312" w:hAnsi="黑体" w:eastAsia="仿宋_GB2312"/>
          <w:sz w:val="28"/>
          <w:szCs w:val="28"/>
          <w:u w:val="single"/>
        </w:rPr>
        <w:tab/>
      </w:r>
      <w:r>
        <w:rPr>
          <w:rFonts w:ascii="仿宋_GB2312" w:hAnsi="黑体" w:eastAsia="仿宋_GB2312"/>
          <w:sz w:val="28"/>
          <w:szCs w:val="28"/>
          <w:u w:val="single"/>
        </w:rPr>
        <w:tab/>
      </w:r>
      <w:r>
        <w:rPr>
          <w:rFonts w:ascii="仿宋_GB2312" w:hAnsi="黑体" w:eastAsia="仿宋_GB2312"/>
          <w:sz w:val="28"/>
          <w:szCs w:val="28"/>
          <w:u w:val="single"/>
        </w:rPr>
        <w:tab/>
      </w:r>
      <w:r>
        <w:rPr>
          <w:rFonts w:ascii="仿宋_GB2312" w:hAnsi="黑体" w:eastAsia="仿宋_GB2312"/>
          <w:sz w:val="28"/>
          <w:szCs w:val="28"/>
          <w:u w:val="single"/>
        </w:rPr>
        <w:tab/>
      </w:r>
      <w:r>
        <w:rPr>
          <w:rFonts w:hint="eastAsia" w:ascii="仿宋_GB2312" w:hAnsi="黑体" w:eastAsia="仿宋_GB2312"/>
          <w:sz w:val="28"/>
          <w:szCs w:val="28"/>
        </w:rPr>
        <w:t>）的报价（其中，不含税价为；增值税为）完成</w:t>
      </w:r>
      <w:r>
        <w:rPr>
          <w:rFonts w:ascii="仿宋_GB2312" w:hAnsi="黑体" w:eastAsia="仿宋_GB2312"/>
          <w:sz w:val="28"/>
          <w:szCs w:val="28"/>
        </w:rPr>
        <w:t>/提供本项目</w:t>
      </w:r>
      <w:r>
        <w:rPr>
          <w:rFonts w:hint="eastAsia" w:ascii="仿宋_GB2312" w:eastAsia="仿宋_GB2312" w:hAnsiTheme="minorEastAsia"/>
          <w:sz w:val="28"/>
          <w:szCs w:val="28"/>
        </w:rPr>
        <w:t>□</w:t>
      </w:r>
      <w:r>
        <w:rPr>
          <w:rFonts w:hint="eastAsia" w:ascii="仿宋_GB2312" w:hAnsi="黑体" w:eastAsia="仿宋_GB2312"/>
          <w:sz w:val="28"/>
          <w:szCs w:val="28"/>
        </w:rPr>
        <w:t>工程</w:t>
      </w:r>
      <w:r>
        <w:rPr>
          <w:rFonts w:ascii="仿宋_GB2312" w:hAnsi="黑体" w:eastAsia="仿宋_GB2312"/>
          <w:sz w:val="28"/>
          <w:szCs w:val="28"/>
        </w:rPr>
        <w:t xml:space="preserve"> </w:t>
      </w:r>
      <w:r>
        <w:rPr>
          <w:rFonts w:ascii="仿宋_GB2312" w:eastAsia="仿宋_GB2312" w:hAnsiTheme="minorEastAsia"/>
          <w:sz w:val="28"/>
          <w:szCs w:val="28"/>
        </w:rPr>
        <w:sym w:font="Wingdings 2" w:char="0052"/>
      </w:r>
      <w:r>
        <w:rPr>
          <w:rFonts w:hint="eastAsia" w:ascii="仿宋_GB2312" w:hAnsi="黑体" w:eastAsia="仿宋_GB2312"/>
          <w:sz w:val="28"/>
          <w:szCs w:val="28"/>
        </w:rPr>
        <w:t>货物</w:t>
      </w:r>
      <w:r>
        <w:rPr>
          <w:rFonts w:hint="eastAsia" w:ascii="仿宋_GB2312" w:eastAsia="仿宋_GB2312" w:hAnsiTheme="minorEastAsia"/>
          <w:sz w:val="28"/>
          <w:szCs w:val="28"/>
        </w:rPr>
        <w:t>□</w:t>
      </w:r>
      <w:r>
        <w:rPr>
          <w:rFonts w:hint="eastAsia" w:ascii="仿宋_GB2312" w:hAnsi="黑体" w:eastAsia="仿宋_GB2312"/>
          <w:sz w:val="28"/>
          <w:szCs w:val="28"/>
        </w:rPr>
        <w:t>服务并按合同约定履行义务。</w:t>
      </w:r>
    </w:p>
    <w:p>
      <w:pPr>
        <w:ind w:firstLine="560" w:firstLineChars="200"/>
        <w:rPr>
          <w:rFonts w:ascii="仿宋_GB2312" w:hAnsi="黑体" w:eastAsia="仿宋_GB2312"/>
          <w:sz w:val="28"/>
          <w:szCs w:val="28"/>
        </w:rPr>
      </w:pPr>
      <w:r>
        <w:rPr>
          <w:rFonts w:ascii="仿宋_GB2312" w:hAnsi="黑体" w:eastAsia="仿宋_GB2312"/>
          <w:sz w:val="28"/>
          <w:szCs w:val="28"/>
        </w:rPr>
        <w:t>2.我方响应文件包括下列内容：</w:t>
      </w:r>
    </w:p>
    <w:p>
      <w:pPr>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1）响应函</w:t>
      </w:r>
    </w:p>
    <w:p>
      <w:pPr>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2）法定代表人证明或授权委托书</w:t>
      </w:r>
    </w:p>
    <w:p>
      <w:pPr>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3）资格审查资料</w:t>
      </w:r>
    </w:p>
    <w:p>
      <w:pPr>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4）拟投入本项目的项目负责人情况表</w:t>
      </w:r>
    </w:p>
    <w:p>
      <w:pPr>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5）报价表</w:t>
      </w:r>
    </w:p>
    <w:p>
      <w:pPr>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6）承诺函</w:t>
      </w:r>
    </w:p>
    <w:p>
      <w:pPr>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7）其他资料</w:t>
      </w:r>
    </w:p>
    <w:p>
      <w:pPr>
        <w:ind w:firstLine="560" w:firstLineChars="200"/>
        <w:rPr>
          <w:rFonts w:ascii="仿宋_GB2312" w:hAnsi="黑体" w:eastAsia="仿宋_GB2312"/>
          <w:sz w:val="28"/>
          <w:szCs w:val="28"/>
        </w:rPr>
      </w:pPr>
      <w:r>
        <w:rPr>
          <w:rFonts w:hint="eastAsia" w:ascii="仿宋_GB2312" w:hAnsi="黑体" w:eastAsia="仿宋_GB2312"/>
          <w:sz w:val="28"/>
          <w:szCs w:val="28"/>
        </w:rPr>
        <w:t>响应文件的上述组成部分如有不一致的内容，以响应函为准。</w:t>
      </w:r>
    </w:p>
    <w:p>
      <w:pPr>
        <w:spacing w:line="360" w:lineRule="auto"/>
        <w:ind w:firstLine="560" w:firstLineChars="200"/>
        <w:rPr>
          <w:rFonts w:ascii="仿宋_GB2312" w:hAnsi="黑体" w:eastAsia="仿宋_GB2312"/>
          <w:sz w:val="28"/>
          <w:szCs w:val="28"/>
        </w:rPr>
      </w:pPr>
      <w:r>
        <w:rPr>
          <w:rFonts w:ascii="仿宋_GB2312" w:hAnsi="黑体" w:eastAsia="仿宋_GB2312"/>
          <w:sz w:val="28"/>
          <w:szCs w:val="28"/>
        </w:rPr>
        <w:t>3.</w:t>
      </w:r>
      <w:r>
        <w:rPr>
          <w:rFonts w:hint="eastAsia" w:ascii="仿宋_GB2312" w:hAnsi="黑体" w:eastAsia="仿宋_GB2312"/>
          <w:sz w:val="28"/>
          <w:szCs w:val="28"/>
        </w:rPr>
        <w:t>▲我方完全理解询价文件中所有要求均为实质性响应条款，如有任何一条负偏离或者不满足将导致询价无效。由于我方提供资料不实或与需求书中所有条款不符而造成的责任和后果由我方承担。</w:t>
      </w:r>
    </w:p>
    <w:p>
      <w:pPr>
        <w:ind w:firstLine="560" w:firstLineChars="200"/>
        <w:rPr>
          <w:rFonts w:ascii="仿宋_GB2312" w:hAnsi="黑体" w:eastAsia="仿宋_GB2312"/>
          <w:sz w:val="28"/>
          <w:szCs w:val="28"/>
        </w:rPr>
      </w:pPr>
      <w:r>
        <w:rPr>
          <w:rFonts w:ascii="仿宋_GB2312" w:hAnsi="黑体" w:eastAsia="仿宋_GB2312"/>
          <w:sz w:val="28"/>
          <w:szCs w:val="28"/>
        </w:rPr>
        <w:t>4.我方承诺在</w:t>
      </w:r>
      <w:r>
        <w:rPr>
          <w:rFonts w:hint="eastAsia" w:ascii="仿宋_GB2312" w:hAnsi="黑体" w:eastAsia="仿宋_GB2312"/>
          <w:sz w:val="28"/>
          <w:szCs w:val="28"/>
        </w:rPr>
        <w:t>采购</w:t>
      </w:r>
      <w:r>
        <w:rPr>
          <w:rFonts w:ascii="仿宋_GB2312" w:hAnsi="黑体" w:eastAsia="仿宋_GB2312"/>
          <w:sz w:val="28"/>
          <w:szCs w:val="28"/>
        </w:rPr>
        <w:t>文件有效期内不撤销响应文件。</w:t>
      </w:r>
    </w:p>
    <w:p>
      <w:pPr>
        <w:ind w:firstLine="560" w:firstLineChars="200"/>
        <w:rPr>
          <w:rFonts w:ascii="仿宋_GB2312" w:hAnsi="黑体" w:eastAsia="仿宋_GB2312"/>
          <w:sz w:val="28"/>
          <w:szCs w:val="28"/>
        </w:rPr>
      </w:pPr>
      <w:r>
        <w:rPr>
          <w:rFonts w:ascii="仿宋_GB2312" w:hAnsi="黑体" w:eastAsia="仿宋_GB2312"/>
          <w:sz w:val="28"/>
          <w:szCs w:val="28"/>
        </w:rPr>
        <w:t>5.如我方</w:t>
      </w:r>
      <w:r>
        <w:rPr>
          <w:rFonts w:hint="eastAsia" w:ascii="仿宋_GB2312" w:hAnsi="黑体" w:eastAsia="仿宋_GB2312"/>
          <w:sz w:val="28"/>
          <w:szCs w:val="28"/>
        </w:rPr>
        <w:t>成交</w:t>
      </w:r>
      <w:r>
        <w:rPr>
          <w:rFonts w:ascii="仿宋_GB2312" w:hAnsi="黑体" w:eastAsia="仿宋_GB2312"/>
          <w:sz w:val="28"/>
          <w:szCs w:val="28"/>
        </w:rPr>
        <w:t>，我方承诺：</w:t>
      </w:r>
    </w:p>
    <w:p>
      <w:pPr>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1）在收到成交通知书后，在成交通知书规定的期限内与你方签订合同；</w:t>
      </w:r>
    </w:p>
    <w:p>
      <w:pPr>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2）在签订合同时不向你方提出附加条件；</w:t>
      </w:r>
    </w:p>
    <w:p>
      <w:pPr>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3）按照采购文件要求提交履约保证金；</w:t>
      </w:r>
    </w:p>
    <w:p>
      <w:pPr>
        <w:ind w:left="559" w:leftChars="266" w:firstLine="0" w:firstLineChars="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4）在合同约定的期限内完成合同规定的全部义务。</w:t>
      </w:r>
      <w:r>
        <w:rPr>
          <w:rFonts w:ascii="仿宋_GB2312" w:hAnsi="黑体" w:eastAsia="仿宋_GB2312"/>
          <w:sz w:val="28"/>
          <w:szCs w:val="28"/>
        </w:rPr>
        <w:br w:type="textWrapping"/>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5</w:t>
      </w:r>
      <w:r>
        <w:rPr>
          <w:rFonts w:hint="eastAsia" w:ascii="仿宋_GB2312" w:hAnsi="黑体" w:eastAsia="仿宋_GB2312"/>
          <w:color w:val="auto"/>
          <w:sz w:val="28"/>
          <w:szCs w:val="28"/>
          <w:highlight w:val="none"/>
          <w:lang w:eastAsia="zh-CN"/>
        </w:rPr>
        <w:t>）</w:t>
      </w:r>
      <w:r>
        <w:rPr>
          <w:rFonts w:hint="default" w:ascii="仿宋_GB2312" w:hAnsi="黑体" w:eastAsia="仿宋_GB2312" w:cstheme="minorBidi"/>
          <w:color w:val="auto"/>
          <w:kern w:val="2"/>
          <w:sz w:val="28"/>
          <w:szCs w:val="28"/>
          <w:highlight w:val="none"/>
          <w:lang w:eastAsia="zh-CN"/>
        </w:rPr>
        <w:t>如放弃成交，我方依法</w:t>
      </w:r>
      <w:r>
        <w:rPr>
          <w:rFonts w:hint="eastAsia" w:ascii="仿宋_GB2312" w:hAnsi="黑体" w:eastAsia="仿宋_GB2312"/>
          <w:color w:val="auto"/>
          <w:sz w:val="28"/>
          <w:szCs w:val="28"/>
          <w:highlight w:val="none"/>
          <w:lang w:eastAsia="zh-CN"/>
        </w:rPr>
        <w:t>承担相应的法律责任。</w:t>
      </w:r>
    </w:p>
    <w:p>
      <w:pPr>
        <w:ind w:firstLine="560" w:firstLineChars="200"/>
        <w:rPr>
          <w:rFonts w:ascii="仿宋_GB2312" w:hAnsi="黑体" w:eastAsia="仿宋_GB2312"/>
          <w:sz w:val="28"/>
          <w:szCs w:val="28"/>
        </w:rPr>
      </w:pPr>
      <w:r>
        <w:rPr>
          <w:rFonts w:ascii="仿宋_GB2312" w:hAnsi="黑体" w:eastAsia="仿宋_GB2312"/>
          <w:sz w:val="28"/>
          <w:szCs w:val="28"/>
        </w:rPr>
        <w:t>6.我方在此声明，所递交的响应文件及有关资料内容完整、真实和准确，且不存在采购公告中供应商不得存在的情形。</w:t>
      </w:r>
    </w:p>
    <w:p>
      <w:pPr>
        <w:ind w:firstLine="560" w:firstLineChars="200"/>
        <w:rPr>
          <w:rFonts w:ascii="仿宋_GB2312" w:hAnsi="黑体" w:eastAsia="仿宋_GB2312"/>
          <w:sz w:val="28"/>
          <w:szCs w:val="28"/>
        </w:rPr>
      </w:pPr>
      <w:r>
        <w:rPr>
          <w:rFonts w:ascii="仿宋_GB2312" w:hAnsi="黑体" w:eastAsia="仿宋_GB2312"/>
          <w:sz w:val="28"/>
          <w:szCs w:val="28"/>
        </w:rPr>
        <w:t>7.</w:t>
      </w:r>
      <w:r>
        <w:rPr>
          <w:rFonts w:hint="eastAsia" w:ascii="仿宋_GB2312" w:hAnsi="黑体" w:eastAsia="仿宋_GB2312"/>
          <w:sz w:val="28"/>
          <w:szCs w:val="28"/>
          <w:lang w:eastAsia="zh-CN"/>
        </w:rPr>
        <w:t>（</w:t>
      </w:r>
      <w:r>
        <w:rPr>
          <w:rFonts w:hint="eastAsia" w:ascii="仿宋_GB2312" w:hAnsi="黑体" w:eastAsia="仿宋_GB2312"/>
          <w:sz w:val="28"/>
          <w:szCs w:val="28"/>
          <w:lang w:val="en-US" w:eastAsia="zh-CN"/>
        </w:rPr>
        <w:t>其他补充说明</w:t>
      </w:r>
      <w:r>
        <w:rPr>
          <w:rFonts w:hint="eastAsia" w:ascii="仿宋_GB2312" w:hAnsi="黑体" w:eastAsia="仿宋_GB2312"/>
          <w:sz w:val="28"/>
          <w:szCs w:val="28"/>
          <w:lang w:eastAsia="zh-CN"/>
        </w:rPr>
        <w:t>）</w:t>
      </w:r>
    </w:p>
    <w:p>
      <w:pPr>
        <w:adjustRightInd w:val="0"/>
        <w:snapToGrid w:val="0"/>
        <w:ind w:left="1" w:firstLine="551" w:firstLineChars="197"/>
        <w:jc w:val="left"/>
        <w:rPr>
          <w:rFonts w:ascii="仿宋_GB2312" w:eastAsia="仿宋_GB2312" w:hAnsiTheme="minorEastAsia"/>
          <w:sz w:val="28"/>
          <w:szCs w:val="28"/>
        </w:rPr>
      </w:pPr>
    </w:p>
    <w:p>
      <w:pPr>
        <w:adjustRightInd w:val="0"/>
        <w:snapToGrid w:val="0"/>
        <w:spacing w:line="600" w:lineRule="exact"/>
        <w:ind w:left="1" w:firstLine="551" w:firstLineChars="197"/>
        <w:jc w:val="left"/>
        <w:rPr>
          <w:rFonts w:ascii="仿宋_GB2312" w:eastAsia="仿宋_GB2312" w:hAnsiTheme="minorEastAsia"/>
          <w:sz w:val="28"/>
          <w:szCs w:val="28"/>
        </w:rPr>
      </w:pPr>
    </w:p>
    <w:p>
      <w:pPr>
        <w:adjustRightInd w:val="0"/>
        <w:snapToGrid w:val="0"/>
        <w:spacing w:line="600" w:lineRule="exact"/>
        <w:ind w:left="1" w:firstLine="551" w:firstLineChars="197"/>
        <w:jc w:val="right"/>
        <w:rPr>
          <w:rFonts w:ascii="仿宋_GB2312" w:eastAsia="仿宋_GB2312" w:hAnsiTheme="minorEastAsia"/>
          <w:sz w:val="28"/>
          <w:szCs w:val="28"/>
        </w:rPr>
      </w:pPr>
      <w:r>
        <w:rPr>
          <w:rFonts w:hint="eastAsia" w:ascii="仿宋_GB2312" w:eastAsia="仿宋_GB2312" w:hAnsiTheme="minorEastAsia"/>
          <w:sz w:val="28"/>
          <w:szCs w:val="28"/>
        </w:rPr>
        <w:t>供应商：（单位公章）</w:t>
      </w:r>
    </w:p>
    <w:p>
      <w:pPr>
        <w:adjustRightInd w:val="0"/>
        <w:snapToGrid w:val="0"/>
        <w:spacing w:line="600" w:lineRule="exact"/>
        <w:ind w:left="1" w:firstLine="551" w:firstLineChars="197"/>
        <w:jc w:val="right"/>
        <w:rPr>
          <w:rFonts w:ascii="仿宋_GB2312" w:eastAsia="仿宋_GB2312" w:hAnsiTheme="minorEastAsia"/>
          <w:sz w:val="28"/>
          <w:szCs w:val="28"/>
        </w:rPr>
      </w:pPr>
      <w:r>
        <w:rPr>
          <w:rFonts w:hint="eastAsia" w:ascii="仿宋_GB2312" w:eastAsia="仿宋_GB2312" w:hAnsiTheme="minorEastAsia"/>
          <w:sz w:val="28"/>
          <w:szCs w:val="28"/>
        </w:rPr>
        <w:t>法定代表人或委托代理人：（签字或盖</w:t>
      </w:r>
      <w:r>
        <w:rPr>
          <w:rFonts w:hint="eastAsia" w:ascii="仿宋_GB2312" w:eastAsia="仿宋_GB2312" w:hAnsiTheme="minorEastAsia"/>
          <w:sz w:val="28"/>
          <w:szCs w:val="28"/>
          <w:lang w:val="en-US" w:eastAsia="zh-CN"/>
        </w:rPr>
        <w:t>私</w:t>
      </w:r>
      <w:r>
        <w:rPr>
          <w:rFonts w:hint="eastAsia" w:ascii="仿宋_GB2312" w:eastAsia="仿宋_GB2312" w:hAnsiTheme="minorEastAsia"/>
          <w:sz w:val="28"/>
          <w:szCs w:val="28"/>
        </w:rPr>
        <w:t>章）</w:t>
      </w:r>
    </w:p>
    <w:p>
      <w:pPr>
        <w:adjustRightInd w:val="0"/>
        <w:snapToGrid w:val="0"/>
        <w:spacing w:line="600" w:lineRule="exact"/>
        <w:ind w:left="1" w:firstLine="3771" w:firstLineChars="1347"/>
        <w:jc w:val="left"/>
        <w:rPr>
          <w:rFonts w:ascii="仿宋_GB2312" w:eastAsia="仿宋_GB2312" w:hAnsiTheme="minorEastAsia"/>
          <w:sz w:val="28"/>
          <w:szCs w:val="28"/>
        </w:rPr>
      </w:pPr>
      <w:r>
        <w:rPr>
          <w:rFonts w:hint="eastAsia" w:ascii="仿宋_GB2312" w:eastAsia="仿宋_GB2312" w:hAnsiTheme="minorEastAsia"/>
          <w:sz w:val="28"/>
          <w:szCs w:val="28"/>
        </w:rPr>
        <w:t>地址：</w:t>
      </w:r>
    </w:p>
    <w:p>
      <w:pPr>
        <w:adjustRightInd w:val="0"/>
        <w:snapToGrid w:val="0"/>
        <w:spacing w:line="600" w:lineRule="exact"/>
        <w:ind w:left="1" w:firstLine="3771" w:firstLineChars="1347"/>
        <w:jc w:val="left"/>
        <w:rPr>
          <w:rFonts w:ascii="仿宋_GB2312" w:eastAsia="仿宋_GB2312" w:hAnsiTheme="minorEastAsia"/>
          <w:sz w:val="28"/>
          <w:szCs w:val="28"/>
        </w:rPr>
      </w:pPr>
      <w:r>
        <w:rPr>
          <w:rFonts w:hint="eastAsia" w:ascii="仿宋_GB2312" w:eastAsia="仿宋_GB2312" w:hAnsiTheme="minorEastAsia"/>
          <w:sz w:val="28"/>
          <w:szCs w:val="28"/>
        </w:rPr>
        <w:t>电子邮箱：</w:t>
      </w:r>
    </w:p>
    <w:p>
      <w:pPr>
        <w:adjustRightInd w:val="0"/>
        <w:snapToGrid w:val="0"/>
        <w:spacing w:line="600" w:lineRule="exact"/>
        <w:ind w:left="1" w:firstLine="3771" w:firstLineChars="1347"/>
        <w:jc w:val="left"/>
        <w:rPr>
          <w:rFonts w:ascii="仿宋_GB2312" w:eastAsia="仿宋_GB2312" w:hAnsiTheme="minorEastAsia"/>
          <w:sz w:val="28"/>
          <w:szCs w:val="28"/>
        </w:rPr>
      </w:pPr>
      <w:r>
        <w:rPr>
          <w:rFonts w:hint="eastAsia" w:ascii="仿宋_GB2312" w:eastAsia="仿宋_GB2312" w:hAnsiTheme="minorEastAsia"/>
          <w:sz w:val="28"/>
          <w:szCs w:val="28"/>
        </w:rPr>
        <w:t>电话：</w:t>
      </w:r>
    </w:p>
    <w:p>
      <w:pPr>
        <w:adjustRightInd w:val="0"/>
        <w:snapToGrid w:val="0"/>
        <w:spacing w:line="600" w:lineRule="exact"/>
        <w:ind w:left="1" w:firstLine="3771" w:firstLineChars="1347"/>
        <w:jc w:val="left"/>
        <w:rPr>
          <w:rFonts w:ascii="仿宋_GB2312" w:eastAsia="仿宋_GB2312" w:hAnsiTheme="minorEastAsia"/>
          <w:sz w:val="28"/>
          <w:szCs w:val="28"/>
        </w:rPr>
      </w:pPr>
      <w:r>
        <w:rPr>
          <w:rFonts w:hint="eastAsia" w:ascii="仿宋_GB2312" w:eastAsia="仿宋_GB2312" w:hAnsiTheme="minorEastAsia"/>
          <w:sz w:val="28"/>
          <w:szCs w:val="28"/>
        </w:rPr>
        <w:t>传真：</w:t>
      </w:r>
    </w:p>
    <w:p>
      <w:pPr>
        <w:spacing w:line="600" w:lineRule="exact"/>
        <w:ind w:left="1" w:firstLine="551" w:firstLineChars="197"/>
        <w:jc w:val="right"/>
        <w:rPr>
          <w:rFonts w:ascii="仿宋_GB2312" w:eastAsia="仿宋_GB2312" w:hAnsiTheme="minorEastAsia"/>
          <w:sz w:val="28"/>
          <w:szCs w:val="28"/>
        </w:rPr>
      </w:pPr>
      <w:r>
        <w:rPr>
          <w:rFonts w:hint="eastAsia" w:ascii="仿宋_GB2312" w:eastAsia="仿宋_GB2312" w:hAnsiTheme="minorEastAsia"/>
          <w:sz w:val="28"/>
          <w:szCs w:val="28"/>
        </w:rPr>
        <w:t>年</w:t>
      </w:r>
      <w:r>
        <w:rPr>
          <w:rFonts w:ascii="仿宋_GB2312" w:eastAsia="仿宋_GB2312" w:hAnsiTheme="minorEastAsia"/>
          <w:sz w:val="28"/>
          <w:szCs w:val="28"/>
        </w:rPr>
        <w:t xml:space="preserve">   </w:t>
      </w:r>
      <w:r>
        <w:rPr>
          <w:rFonts w:hint="eastAsia" w:ascii="仿宋_GB2312" w:eastAsia="仿宋_GB2312" w:hAnsiTheme="minorEastAsia"/>
          <w:sz w:val="28"/>
          <w:szCs w:val="28"/>
        </w:rPr>
        <w:t>月</w:t>
      </w:r>
      <w:r>
        <w:rPr>
          <w:rFonts w:ascii="仿宋_GB2312" w:eastAsia="仿宋_GB2312" w:hAnsiTheme="minorEastAsia"/>
          <w:sz w:val="28"/>
          <w:szCs w:val="28"/>
        </w:rPr>
        <w:t xml:space="preserve">   </w:t>
      </w:r>
      <w:r>
        <w:rPr>
          <w:rFonts w:hint="eastAsia" w:ascii="仿宋_GB2312" w:eastAsia="仿宋_GB2312" w:hAnsiTheme="minorEastAsia"/>
          <w:sz w:val="28"/>
          <w:szCs w:val="28"/>
        </w:rPr>
        <w:t>日</w:t>
      </w:r>
    </w:p>
    <w:p>
      <w:pPr>
        <w:adjustRightInd w:val="0"/>
        <w:snapToGrid w:val="0"/>
        <w:spacing w:line="600" w:lineRule="exact"/>
        <w:ind w:left="0" w:firstLine="0" w:firstLineChars="0"/>
        <w:jc w:val="both"/>
        <w:rPr>
          <w:rFonts w:asciiTheme="minorEastAsia" w:hAnsiTheme="minorEastAsia"/>
          <w:sz w:val="28"/>
          <w:szCs w:val="28"/>
        </w:rPr>
      </w:pPr>
      <w:bookmarkStart w:id="108" w:name="_Toc88209958"/>
      <w:bookmarkStart w:id="109" w:name="_Toc22527"/>
      <w:bookmarkStart w:id="110" w:name="_Toc87616395"/>
      <w:bookmarkStart w:id="111" w:name="_Toc29833"/>
    </w:p>
    <w:p>
      <w:pPr>
        <w:adjustRightInd w:val="0"/>
        <w:snapToGrid w:val="0"/>
        <w:spacing w:line="600" w:lineRule="exact"/>
        <w:ind w:left="0" w:firstLine="0" w:firstLineChars="0"/>
        <w:jc w:val="both"/>
        <w:rPr>
          <w:rFonts w:asciiTheme="minorEastAsia" w:hAnsiTheme="minorEastAsia"/>
          <w:sz w:val="28"/>
          <w:szCs w:val="28"/>
        </w:rPr>
      </w:pPr>
    </w:p>
    <w:p>
      <w:pPr>
        <w:keepNext/>
        <w:keepLines/>
        <w:kinsoku w:val="0"/>
        <w:spacing w:before="0" w:after="0" w:line="240" w:lineRule="auto"/>
        <w:outlineLvl w:val="9"/>
        <w:rPr>
          <w:rFonts w:asciiTheme="minorEastAsia" w:hAnsiTheme="minorEastAsia" w:eastAsiaTheme="minorEastAsia"/>
          <w:sz w:val="28"/>
          <w:szCs w:val="28"/>
        </w:rPr>
      </w:pPr>
    </w:p>
    <w:p>
      <w:pPr>
        <w:pStyle w:val="5"/>
        <w:kinsoku w:val="0"/>
        <w:spacing w:before="0" w:after="0" w:line="240" w:lineRule="auto"/>
        <w:rPr>
          <w:rFonts w:asciiTheme="minorEastAsia" w:hAnsiTheme="minorEastAsia" w:eastAsiaTheme="minorEastAsia"/>
          <w:sz w:val="28"/>
          <w:szCs w:val="28"/>
        </w:rPr>
      </w:pPr>
    </w:p>
    <w:p>
      <w:pPr>
        <w:pStyle w:val="5"/>
        <w:spacing w:before="0" w:after="0" w:line="240" w:lineRule="auto"/>
        <w:rPr>
          <w:rFonts w:hint="eastAsia" w:asciiTheme="minorEastAsia" w:hAnsiTheme="minorEastAsia" w:eastAsiaTheme="minorEastAsia"/>
          <w:sz w:val="28"/>
          <w:szCs w:val="28"/>
          <w:lang w:eastAsia="zh-CN"/>
        </w:rPr>
      </w:pPr>
    </w:p>
    <w:p>
      <w:pPr>
        <w:pStyle w:val="5"/>
        <w:spacing w:before="0" w:after="0" w:line="240" w:lineRule="auto"/>
        <w:rPr>
          <w:rFonts w:asciiTheme="minorEastAsia" w:hAnsiTheme="minorEastAsia" w:eastAsiaTheme="minorEastAsia"/>
          <w:sz w:val="28"/>
          <w:szCs w:val="28"/>
        </w:rPr>
      </w:pPr>
      <w:r>
        <w:rPr>
          <w:rFonts w:asciiTheme="minorEastAsia" w:hAnsiTheme="minorEastAsia" w:eastAsiaTheme="minorEastAsia"/>
          <w:sz w:val="28"/>
          <w:szCs w:val="28"/>
        </w:rPr>
        <w:t>2.法定代表人证明或授权委托书</w:t>
      </w:r>
      <w:bookmarkEnd w:id="108"/>
      <w:bookmarkEnd w:id="109"/>
      <w:bookmarkEnd w:id="110"/>
      <w:bookmarkEnd w:id="111"/>
    </w:p>
    <w:p>
      <w:pPr>
        <w:spacing w:line="360" w:lineRule="auto"/>
      </w:pPr>
      <w:r>
        <w:rPr>
          <w:rFonts w:ascii="仿宋_GB2312" w:hAnsi="黑体" w:eastAsia="仿宋_GB2312"/>
          <w:sz w:val="28"/>
          <w:szCs w:val="28"/>
        </w:rPr>
        <w:t>2.1法定代表人证明格式</w:t>
      </w:r>
    </w:p>
    <w:p>
      <w:pPr>
        <w:widowControl/>
        <w:adjustRightInd w:val="0"/>
        <w:snapToGrid w:val="0"/>
        <w:spacing w:before="156" w:beforeLines="50" w:after="156" w:afterLines="50" w:line="600" w:lineRule="exact"/>
        <w:jc w:val="center"/>
        <w:rPr>
          <w:rFonts w:ascii="方正小标宋简体" w:hAnsi="Times New Roman" w:eastAsia="方正小标宋简体" w:cs="Tahoma"/>
          <w:kern w:val="0"/>
          <w:sz w:val="44"/>
          <w:szCs w:val="44"/>
        </w:rPr>
      </w:pPr>
      <w:r>
        <w:rPr>
          <w:rFonts w:hint="eastAsia" w:ascii="方正小标宋简体" w:hAnsi="Times New Roman" w:eastAsia="方正小标宋简体" w:cs="Tahoma"/>
          <w:kern w:val="0"/>
          <w:sz w:val="44"/>
          <w:szCs w:val="44"/>
        </w:rPr>
        <w:t>法定代表人证明书</w:t>
      </w:r>
    </w:p>
    <w:p>
      <w:pPr>
        <w:pStyle w:val="42"/>
        <w:snapToGrid w:val="0"/>
        <w:spacing w:after="0" w:line="600" w:lineRule="exact"/>
        <w:jc w:val="both"/>
        <w:rPr>
          <w:rFonts w:ascii="仿宋_GB2312" w:hAnsi="宋体" w:eastAsia="仿宋_GB2312" w:cs="Times New Roman"/>
          <w:color w:val="000000"/>
          <w:sz w:val="30"/>
          <w:szCs w:val="30"/>
          <w:u w:val="single"/>
        </w:rPr>
      </w:pPr>
      <w:r>
        <w:rPr>
          <w:rFonts w:hint="eastAsia" w:ascii="仿宋_GB2312" w:hAnsi="宋体" w:eastAsia="仿宋_GB2312" w:cs="Times New Roman"/>
          <w:color w:val="000000"/>
          <w:sz w:val="30"/>
          <w:szCs w:val="30"/>
        </w:rPr>
        <w:t>供应商名称：</w:t>
      </w:r>
    </w:p>
    <w:p>
      <w:pPr>
        <w:pStyle w:val="15"/>
        <w:snapToGrid w:val="0"/>
        <w:spacing w:line="600" w:lineRule="exact"/>
        <w:rPr>
          <w:rFonts w:ascii="仿宋_GB2312" w:hAnsi="宋体" w:eastAsia="仿宋_GB2312" w:cs="Times New Roman"/>
          <w:sz w:val="30"/>
          <w:szCs w:val="30"/>
          <w:u w:val="single"/>
        </w:rPr>
      </w:pPr>
      <w:r>
        <w:rPr>
          <w:rFonts w:ascii="仿宋_GB2312" w:hAnsi="宋体" w:eastAsia="仿宋_GB2312" w:cs="Times New Roman"/>
          <w:sz w:val="30"/>
          <w:szCs w:val="30"/>
        </w:rPr>
        <w:t xml:space="preserve">     单位性质：</w:t>
      </w:r>
    </w:p>
    <w:p>
      <w:pPr>
        <w:pStyle w:val="41"/>
        <w:snapToGrid w:val="0"/>
        <w:spacing w:after="0" w:line="600" w:lineRule="exact"/>
        <w:ind w:firstLine="750" w:firstLineChars="250"/>
        <w:rPr>
          <w:rFonts w:ascii="仿宋_GB2312" w:hAnsi="宋体" w:eastAsia="仿宋_GB2312" w:cs="Times New Roman"/>
          <w:color w:val="000000"/>
          <w:sz w:val="30"/>
          <w:szCs w:val="30"/>
          <w:u w:val="single"/>
        </w:rPr>
      </w:pPr>
      <w:r>
        <w:rPr>
          <w:rFonts w:hint="eastAsia" w:ascii="仿宋_GB2312" w:hAnsi="宋体" w:eastAsia="仿宋_GB2312" w:cs="Times New Roman"/>
          <w:color w:val="000000"/>
          <w:sz w:val="30"/>
          <w:szCs w:val="30"/>
        </w:rPr>
        <w:t>地</w:t>
      </w:r>
      <w:r>
        <w:rPr>
          <w:rFonts w:ascii="仿宋_GB2312" w:hAnsi="宋体" w:eastAsia="仿宋_GB2312" w:cs="Times New Roman"/>
          <w:color w:val="000000"/>
          <w:sz w:val="30"/>
          <w:szCs w:val="30"/>
        </w:rPr>
        <w:t xml:space="preserve">    </w:t>
      </w:r>
      <w:r>
        <w:rPr>
          <w:rFonts w:hint="eastAsia" w:ascii="仿宋_GB2312" w:hAnsi="宋体" w:eastAsia="仿宋_GB2312" w:cs="Times New Roman"/>
          <w:color w:val="000000"/>
          <w:sz w:val="30"/>
          <w:szCs w:val="30"/>
        </w:rPr>
        <w:t>址：</w:t>
      </w:r>
    </w:p>
    <w:p>
      <w:pPr>
        <w:pStyle w:val="15"/>
        <w:snapToGrid w:val="0"/>
        <w:spacing w:line="600" w:lineRule="exact"/>
        <w:ind w:firstLine="771" w:firstLineChars="257"/>
        <w:rPr>
          <w:rFonts w:ascii="仿宋_GB2312" w:hAnsi="宋体" w:eastAsia="仿宋_GB2312" w:cs="Times New Roman"/>
          <w:sz w:val="30"/>
          <w:szCs w:val="30"/>
        </w:rPr>
      </w:pPr>
      <w:r>
        <w:rPr>
          <w:rFonts w:hint="eastAsia" w:ascii="仿宋_GB2312" w:hAnsi="宋体" w:eastAsia="仿宋_GB2312" w:cs="Times New Roman"/>
          <w:sz w:val="30"/>
          <w:szCs w:val="30"/>
        </w:rPr>
        <w:t>成立时间：</w:t>
      </w:r>
      <w:r>
        <w:rPr>
          <w:rFonts w:ascii="仿宋_GB2312" w:hAnsi="宋体" w:eastAsia="仿宋_GB2312" w:cs="Times New Roman"/>
          <w:sz w:val="30"/>
          <w:szCs w:val="30"/>
        </w:rPr>
        <w:t xml:space="preserve">  </w:t>
      </w:r>
      <w:r>
        <w:rPr>
          <w:rFonts w:hint="eastAsia" w:ascii="仿宋_GB2312" w:hAnsi="宋体" w:eastAsia="仿宋_GB2312" w:cs="Times New Roman"/>
          <w:sz w:val="30"/>
          <w:szCs w:val="30"/>
        </w:rPr>
        <w:t>年</w:t>
      </w:r>
      <w:r>
        <w:rPr>
          <w:rFonts w:ascii="仿宋_GB2312" w:hAnsi="宋体" w:eastAsia="仿宋_GB2312" w:cs="Times New Roman"/>
          <w:sz w:val="30"/>
          <w:szCs w:val="30"/>
        </w:rPr>
        <w:t xml:space="preserve">  </w:t>
      </w:r>
      <w:r>
        <w:rPr>
          <w:rFonts w:hint="eastAsia" w:ascii="仿宋_GB2312" w:hAnsi="宋体" w:eastAsia="仿宋_GB2312" w:cs="Times New Roman"/>
          <w:sz w:val="30"/>
          <w:szCs w:val="30"/>
        </w:rPr>
        <w:t>月</w:t>
      </w:r>
      <w:r>
        <w:rPr>
          <w:rFonts w:ascii="仿宋_GB2312" w:hAnsi="宋体" w:eastAsia="仿宋_GB2312" w:cs="Times New Roman"/>
          <w:sz w:val="30"/>
          <w:szCs w:val="30"/>
        </w:rPr>
        <w:t xml:space="preserve">  </w:t>
      </w:r>
      <w:r>
        <w:rPr>
          <w:rFonts w:hint="eastAsia" w:ascii="仿宋_GB2312" w:hAnsi="宋体" w:eastAsia="仿宋_GB2312" w:cs="Times New Roman"/>
          <w:sz w:val="30"/>
          <w:szCs w:val="30"/>
        </w:rPr>
        <w:t>日</w:t>
      </w:r>
    </w:p>
    <w:p>
      <w:pPr>
        <w:pStyle w:val="15"/>
        <w:snapToGrid w:val="0"/>
        <w:spacing w:line="600" w:lineRule="exact"/>
        <w:ind w:firstLine="771" w:firstLineChars="257"/>
        <w:rPr>
          <w:rFonts w:ascii="仿宋_GB2312" w:hAnsi="宋体" w:eastAsia="仿宋_GB2312" w:cs="Times New Roman"/>
          <w:sz w:val="30"/>
          <w:szCs w:val="30"/>
        </w:rPr>
      </w:pPr>
      <w:r>
        <w:rPr>
          <w:rFonts w:hint="eastAsia" w:ascii="仿宋_GB2312" w:hAnsi="宋体" w:eastAsia="仿宋_GB2312" w:cs="Times New Roman"/>
          <w:sz w:val="30"/>
          <w:szCs w:val="30"/>
        </w:rPr>
        <w:t>经营期限：</w:t>
      </w:r>
    </w:p>
    <w:p>
      <w:pPr>
        <w:pStyle w:val="15"/>
        <w:snapToGrid w:val="0"/>
        <w:spacing w:line="600" w:lineRule="exact"/>
        <w:ind w:firstLine="771" w:firstLineChars="257"/>
        <w:rPr>
          <w:rFonts w:ascii="仿宋_GB2312" w:hAnsi="宋体" w:eastAsia="仿宋_GB2312" w:cs="Times New Roman"/>
          <w:sz w:val="30"/>
          <w:szCs w:val="30"/>
        </w:rPr>
      </w:pPr>
      <w:r>
        <w:rPr>
          <w:rFonts w:hint="eastAsia" w:ascii="仿宋_GB2312" w:hAnsi="宋体" w:eastAsia="仿宋_GB2312" w:cs="Times New Roman"/>
          <w:sz w:val="30"/>
          <w:szCs w:val="30"/>
        </w:rPr>
        <w:t>姓名：</w:t>
      </w:r>
      <w:r>
        <w:rPr>
          <w:rFonts w:ascii="仿宋_GB2312" w:hAnsi="宋体" w:eastAsia="仿宋_GB2312" w:cs="Times New Roman"/>
          <w:sz w:val="30"/>
          <w:szCs w:val="30"/>
        </w:rPr>
        <w:t xml:space="preserve"> </w:t>
      </w:r>
      <w:r>
        <w:rPr>
          <w:rFonts w:hint="eastAsia" w:ascii="仿宋_GB2312" w:hAnsi="宋体" w:eastAsia="仿宋_GB2312" w:cs="Times New Roman"/>
          <w:sz w:val="30"/>
          <w:szCs w:val="30"/>
        </w:rPr>
        <w:t>性别：</w:t>
      </w:r>
      <w:r>
        <w:rPr>
          <w:rFonts w:ascii="仿宋_GB2312" w:hAnsi="宋体" w:eastAsia="仿宋_GB2312" w:cs="Times New Roman"/>
          <w:sz w:val="30"/>
          <w:szCs w:val="30"/>
        </w:rPr>
        <w:t xml:space="preserve"> </w:t>
      </w:r>
      <w:r>
        <w:rPr>
          <w:rFonts w:hint="eastAsia" w:ascii="仿宋_GB2312" w:hAnsi="宋体" w:eastAsia="仿宋_GB2312" w:cs="Times New Roman"/>
          <w:sz w:val="30"/>
          <w:szCs w:val="30"/>
        </w:rPr>
        <w:t>年龄：</w:t>
      </w:r>
      <w:r>
        <w:rPr>
          <w:rFonts w:ascii="仿宋_GB2312" w:hAnsi="宋体" w:eastAsia="仿宋_GB2312" w:cs="Times New Roman"/>
          <w:sz w:val="30"/>
          <w:szCs w:val="30"/>
        </w:rPr>
        <w:t xml:space="preserve"> </w:t>
      </w:r>
      <w:r>
        <w:rPr>
          <w:rFonts w:hint="eastAsia" w:ascii="仿宋_GB2312" w:hAnsi="宋体" w:eastAsia="仿宋_GB2312" w:cs="Times New Roman"/>
          <w:sz w:val="30"/>
          <w:szCs w:val="30"/>
        </w:rPr>
        <w:t>身份证号码：</w:t>
      </w:r>
    </w:p>
    <w:p>
      <w:pPr>
        <w:pStyle w:val="15"/>
        <w:snapToGrid w:val="0"/>
        <w:spacing w:line="600" w:lineRule="exact"/>
        <w:ind w:firstLine="771" w:firstLineChars="257"/>
        <w:rPr>
          <w:rFonts w:ascii="仿宋_GB2312" w:hAnsi="宋体" w:eastAsia="仿宋_GB2312" w:cs="Times New Roman"/>
          <w:sz w:val="30"/>
          <w:szCs w:val="30"/>
        </w:rPr>
      </w:pPr>
      <w:r>
        <w:rPr>
          <w:rFonts w:hint="eastAsia" w:ascii="仿宋_GB2312" w:hAnsi="宋体" w:eastAsia="仿宋_GB2312" w:cs="Times New Roman"/>
          <w:sz w:val="30"/>
          <w:szCs w:val="30"/>
        </w:rPr>
        <w:t>职务：系</w:t>
      </w:r>
      <w:r>
        <w:rPr>
          <w:rFonts w:ascii="仿宋_GB2312" w:hAnsi="宋体" w:eastAsia="仿宋_GB2312" w:cs="Times New Roman"/>
          <w:sz w:val="30"/>
          <w:szCs w:val="30"/>
          <w:u w:val="single"/>
        </w:rPr>
        <w:t xml:space="preserve">     (供应商名称)       </w:t>
      </w:r>
      <w:r>
        <w:rPr>
          <w:rFonts w:ascii="仿宋_GB2312" w:hAnsi="宋体" w:eastAsia="仿宋_GB2312" w:cs="Times New Roman"/>
          <w:sz w:val="30"/>
          <w:szCs w:val="30"/>
        </w:rPr>
        <w:t xml:space="preserve"> 的法定代表人。</w:t>
      </w:r>
    </w:p>
    <w:p>
      <w:pPr>
        <w:pStyle w:val="15"/>
        <w:snapToGrid w:val="0"/>
        <w:spacing w:line="600" w:lineRule="exact"/>
        <w:ind w:firstLine="771" w:firstLineChars="257"/>
        <w:rPr>
          <w:rFonts w:ascii="仿宋_GB2312" w:hAnsi="宋体" w:eastAsia="仿宋_GB2312" w:cs="Times New Roman"/>
          <w:sz w:val="30"/>
          <w:szCs w:val="30"/>
        </w:rPr>
      </w:pPr>
      <w:r>
        <w:rPr>
          <w:rFonts w:hint="eastAsia" w:ascii="仿宋_GB2312" w:hAnsi="宋体" w:eastAsia="仿宋_GB2312" w:cs="Times New Roman"/>
          <w:sz w:val="30"/>
          <w:szCs w:val="30"/>
        </w:rPr>
        <w:t>特此证明。</w:t>
      </w:r>
    </w:p>
    <w:p>
      <w:pPr>
        <w:adjustRightInd w:val="0"/>
        <w:snapToGrid w:val="0"/>
        <w:spacing w:line="600" w:lineRule="exact"/>
        <w:ind w:firstLine="702" w:firstLineChars="234"/>
        <w:rPr>
          <w:rFonts w:ascii="仿宋_GB2312" w:hAnsi="宋体" w:eastAsia="仿宋_GB2312"/>
          <w:color w:val="000000"/>
          <w:sz w:val="30"/>
          <w:szCs w:val="30"/>
        </w:rPr>
      </w:pPr>
      <w:r>
        <w:rPr>
          <w:rFonts w:hint="eastAsia" w:ascii="仿宋_GB2312" w:hAnsi="宋体" w:eastAsia="仿宋_GB2312"/>
          <w:color w:val="000000"/>
          <w:sz w:val="30"/>
          <w:szCs w:val="30"/>
        </w:rPr>
        <w:t>附：法定代表人身份证</w:t>
      </w:r>
      <w:r>
        <w:rPr>
          <w:rFonts w:ascii="仿宋_GB2312" w:hAnsi="宋体" w:eastAsia="仿宋_GB2312"/>
          <w:color w:val="000000"/>
          <w:sz w:val="30"/>
          <w:szCs w:val="30"/>
        </w:rPr>
        <w:t>(正反两面)复印件</w:t>
      </w:r>
    </w:p>
    <w:p>
      <w:pPr>
        <w:pStyle w:val="15"/>
        <w:snapToGrid w:val="0"/>
        <w:spacing w:line="600" w:lineRule="exact"/>
        <w:ind w:firstLine="3907" w:firstLineChars="1221"/>
        <w:rPr>
          <w:rFonts w:ascii="仿宋_GB2312" w:hAnsi="宋体" w:eastAsia="仿宋_GB2312" w:cs="Times New Roman"/>
          <w:sz w:val="32"/>
          <w:szCs w:val="32"/>
        </w:rPr>
      </w:pPr>
    </w:p>
    <w:p>
      <w:pPr>
        <w:pStyle w:val="15"/>
        <w:snapToGrid w:val="0"/>
        <w:spacing w:line="600" w:lineRule="exact"/>
        <w:ind w:firstLine="3663" w:firstLineChars="1221"/>
        <w:rPr>
          <w:rFonts w:ascii="仿宋_GB2312" w:hAnsi="宋体" w:eastAsia="仿宋_GB2312" w:cs="Times New Roman"/>
          <w:sz w:val="30"/>
          <w:szCs w:val="30"/>
        </w:rPr>
      </w:pPr>
      <w:r>
        <w:rPr>
          <w:rFonts w:hint="eastAsia" w:ascii="仿宋_GB2312" w:hAnsi="宋体" w:eastAsia="仿宋_GB2312" w:cs="Times New Roman"/>
          <w:sz w:val="30"/>
          <w:szCs w:val="30"/>
        </w:rPr>
        <w:t>供应商：</w:t>
      </w:r>
      <w:r>
        <w:rPr>
          <w:rFonts w:ascii="仿宋_GB2312" w:hAnsi="宋体" w:eastAsia="仿宋_GB2312" w:cs="Times New Roman"/>
          <w:sz w:val="30"/>
          <w:szCs w:val="30"/>
          <w:u w:val="single"/>
        </w:rPr>
        <w:t xml:space="preserve">       (盖单位章)      </w:t>
      </w:r>
    </w:p>
    <w:p>
      <w:pPr>
        <w:widowControl/>
        <w:adjustRightInd w:val="0"/>
        <w:snapToGrid w:val="0"/>
        <w:spacing w:line="600" w:lineRule="exact"/>
        <w:jc w:val="right"/>
        <w:rPr>
          <w:rFonts w:ascii="仿宋_GB2312" w:hAnsi="宋体" w:eastAsia="仿宋_GB2312"/>
          <w:color w:val="000000"/>
          <w:sz w:val="30"/>
          <w:szCs w:val="30"/>
        </w:rPr>
      </w:pPr>
      <w:r>
        <w:rPr>
          <w:rFonts w:hint="eastAsia" w:ascii="仿宋_GB2312" w:hAnsi="宋体" w:eastAsia="仿宋_GB2312"/>
          <w:color w:val="000000"/>
          <w:sz w:val="30"/>
          <w:szCs w:val="30"/>
        </w:rPr>
        <w:t>日</w:t>
      </w:r>
      <w:r>
        <w:rPr>
          <w:rFonts w:ascii="仿宋_GB2312" w:hAnsi="宋体" w:eastAsia="仿宋_GB2312"/>
          <w:color w:val="000000"/>
          <w:sz w:val="30"/>
          <w:szCs w:val="30"/>
        </w:rPr>
        <w:t xml:space="preserve">  </w:t>
      </w:r>
      <w:r>
        <w:rPr>
          <w:rFonts w:hint="eastAsia" w:ascii="仿宋_GB2312" w:hAnsi="宋体" w:eastAsia="仿宋_GB2312"/>
          <w:color w:val="000000"/>
          <w:sz w:val="30"/>
          <w:szCs w:val="30"/>
        </w:rPr>
        <w:t>期：</w:t>
      </w:r>
      <w:r>
        <w:rPr>
          <w:rFonts w:ascii="仿宋_GB2312" w:hAnsi="宋体" w:eastAsia="仿宋_GB2312"/>
          <w:color w:val="000000"/>
          <w:sz w:val="30"/>
          <w:szCs w:val="30"/>
        </w:rPr>
        <w:t xml:space="preserve"> </w:t>
      </w:r>
      <w:r>
        <w:rPr>
          <w:rFonts w:hint="eastAsia" w:ascii="仿宋_GB2312" w:hAnsi="宋体" w:eastAsia="仿宋_GB2312"/>
          <w:color w:val="000000"/>
          <w:sz w:val="30"/>
          <w:szCs w:val="30"/>
        </w:rPr>
        <w:t>年</w:t>
      </w:r>
      <w:r>
        <w:rPr>
          <w:rFonts w:ascii="仿宋_GB2312" w:hAnsi="宋体" w:eastAsia="仿宋_GB2312"/>
          <w:color w:val="000000"/>
          <w:sz w:val="30"/>
          <w:szCs w:val="30"/>
        </w:rPr>
        <w:t xml:space="preserve">  </w:t>
      </w:r>
      <w:r>
        <w:rPr>
          <w:rFonts w:hint="eastAsia" w:ascii="仿宋_GB2312" w:hAnsi="宋体" w:eastAsia="仿宋_GB2312"/>
          <w:color w:val="000000"/>
          <w:sz w:val="30"/>
          <w:szCs w:val="30"/>
        </w:rPr>
        <w:t>月</w:t>
      </w:r>
      <w:r>
        <w:rPr>
          <w:rFonts w:ascii="仿宋_GB2312" w:hAnsi="宋体" w:eastAsia="仿宋_GB2312"/>
          <w:color w:val="000000"/>
          <w:sz w:val="30"/>
          <w:szCs w:val="30"/>
        </w:rPr>
        <w:t xml:space="preserve">  </w:t>
      </w:r>
      <w:r>
        <w:rPr>
          <w:rFonts w:hint="eastAsia" w:ascii="仿宋_GB2312" w:hAnsi="宋体" w:eastAsia="仿宋_GB2312"/>
          <w:color w:val="000000"/>
          <w:sz w:val="30"/>
          <w:szCs w:val="30"/>
        </w:rPr>
        <w:t>日</w:t>
      </w:r>
    </w:p>
    <w:p>
      <w:pPr>
        <w:widowControl/>
        <w:adjustRightInd w:val="0"/>
        <w:snapToGrid w:val="0"/>
        <w:spacing w:line="600" w:lineRule="exact"/>
        <w:jc w:val="left"/>
        <w:rPr>
          <w:rFonts w:ascii="仿宋_GB2312" w:hAnsi="宋体" w:eastAsia="仿宋_GB2312" w:cs="宋体"/>
          <w:color w:val="000000"/>
          <w:kern w:val="0"/>
          <w:sz w:val="28"/>
          <w:szCs w:val="28"/>
        </w:rPr>
      </w:pPr>
      <w:r>
        <w:rPr>
          <w:rFonts w:ascii="仿宋_GB2312" w:hAnsi="宋体" w:eastAsia="仿宋_GB2312" w:cs="宋体"/>
          <w:color w:val="000000"/>
          <w:kern w:val="0"/>
          <w:sz w:val="28"/>
          <w:szCs w:val="28"/>
        </w:rPr>
        <mc:AlternateContent>
          <mc:Choice Requires="wps">
            <w:drawing>
              <wp:anchor distT="0" distB="0" distL="114300" distR="114300" simplePos="0" relativeHeight="251666432" behindDoc="0" locked="0" layoutInCell="1" allowOverlap="1">
                <wp:simplePos x="0" y="0"/>
                <wp:positionH relativeFrom="column">
                  <wp:posOffset>406400</wp:posOffset>
                </wp:positionH>
                <wp:positionV relativeFrom="paragraph">
                  <wp:posOffset>187960</wp:posOffset>
                </wp:positionV>
                <wp:extent cx="3771900" cy="1287780"/>
                <wp:effectExtent l="4445" t="5080" r="14605" b="21590"/>
                <wp:wrapSquare wrapText="bothSides"/>
                <wp:docPr id="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101.4pt;width:297pt;mso-wrap-distance-bottom:0pt;mso-wrap-distance-left:9pt;mso-wrap-distance-right:9pt;mso-wrap-distance-top:0pt;z-index:251666432;mso-width-relative:page;mso-height-relative:page;" fillcolor="#FFFFFF" filled="t" stroked="t" coordsize="21600,21600" o:gfxdata="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9qn8X9gAAAAJAQAADwAAAAAAAAAB&#10;ACAAAAAiAAAAZHJzL2Rvd25yZXYueG1sUEsBAhQAFAAAAAgAh07iQE62HSRJAgAAlgQAAA4AAAAA&#10;AAAAAQAgAAAAJwEAAGRycy9lMm9Eb2MueG1sUEsFBgAAAAAGAAYAWQEAAOIFA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color w:val="000000"/>
          <w:kern w:val="0"/>
          <w:sz w:val="28"/>
          <w:szCs w:val="28"/>
        </w:rPr>
      </w:pPr>
    </w:p>
    <w:p>
      <w:pPr>
        <w:widowControl/>
        <w:adjustRightInd w:val="0"/>
        <w:snapToGrid w:val="0"/>
        <w:spacing w:line="600" w:lineRule="exact"/>
        <w:jc w:val="left"/>
        <w:rPr>
          <w:rFonts w:ascii="仿宋_GB2312" w:hAnsi="宋体" w:eastAsia="仿宋_GB2312" w:cs="宋体"/>
          <w:color w:val="000000"/>
          <w:kern w:val="0"/>
          <w:sz w:val="28"/>
          <w:szCs w:val="28"/>
        </w:rPr>
      </w:pPr>
    </w:p>
    <w:p>
      <w:pPr>
        <w:widowControl/>
        <w:adjustRightInd w:val="0"/>
        <w:snapToGrid w:val="0"/>
        <w:spacing w:line="600" w:lineRule="exact"/>
        <w:jc w:val="left"/>
        <w:rPr>
          <w:rFonts w:ascii="仿宋_GB2312" w:hAnsi="宋体" w:eastAsia="仿宋_GB2312" w:cs="宋体"/>
          <w:color w:val="000000"/>
          <w:kern w:val="0"/>
          <w:sz w:val="28"/>
          <w:szCs w:val="28"/>
        </w:rPr>
      </w:pPr>
    </w:p>
    <w:p>
      <w:pPr>
        <w:adjustRightInd w:val="0"/>
        <w:snapToGrid w:val="0"/>
        <w:spacing w:line="600" w:lineRule="exact"/>
        <w:ind w:firstLine="480"/>
        <w:rPr>
          <w:rFonts w:ascii="仿宋_GB2312" w:eastAsia="仿宋_GB2312"/>
        </w:rPr>
      </w:pPr>
      <w:r>
        <w:rPr>
          <w:rFonts w:hint="eastAsia" w:ascii="仿宋_GB2312" w:hAnsi="宋体" w:eastAsia="仿宋_GB2312"/>
          <w:kern w:val="0"/>
          <w:szCs w:val="21"/>
        </w:rPr>
        <w:t>注：法定代表人证明书亦可采用工商行政管理局统一制订的格式。</w:t>
      </w:r>
    </w:p>
    <w:p>
      <w:pPr>
        <w:spacing w:line="360" w:lineRule="auto"/>
      </w:pPr>
      <w:r>
        <w:rPr>
          <w:rFonts w:ascii="宋体" w:hAnsi="宋体" w:cs="宋体"/>
          <w:color w:val="000000"/>
          <w:kern w:val="0"/>
          <w:sz w:val="28"/>
          <w:szCs w:val="28"/>
        </w:rPr>
        <w:br w:type="page"/>
      </w:r>
      <w:r>
        <w:rPr>
          <w:rFonts w:ascii="仿宋_GB2312" w:hAnsi="黑体" w:eastAsia="仿宋_GB2312"/>
          <w:sz w:val="28"/>
          <w:szCs w:val="28"/>
        </w:rPr>
        <w:t>2.2法人授权委托书</w:t>
      </w:r>
    </w:p>
    <w:p>
      <w:pPr>
        <w:adjustRightInd w:val="0"/>
        <w:snapToGrid w:val="0"/>
        <w:spacing w:before="156" w:beforeLines="50" w:after="156" w:afterLines="50" w:line="600" w:lineRule="exact"/>
        <w:jc w:val="center"/>
        <w:rPr>
          <w:rFonts w:ascii="方正小标宋简体" w:hAnsi="Times New Roman" w:eastAsia="方正小标宋简体" w:cs="Tahoma"/>
          <w:kern w:val="0"/>
          <w:sz w:val="44"/>
          <w:szCs w:val="44"/>
        </w:rPr>
      </w:pPr>
      <w:r>
        <w:rPr>
          <w:rFonts w:hint="eastAsia" w:ascii="方正小标宋简体" w:hAnsi="Times New Roman" w:eastAsia="方正小标宋简体" w:cs="Tahoma"/>
          <w:kern w:val="0"/>
          <w:sz w:val="44"/>
          <w:szCs w:val="44"/>
        </w:rPr>
        <w:t>法定代表人授权委托书</w:t>
      </w:r>
    </w:p>
    <w:p>
      <w:pPr>
        <w:adjustRightInd w:val="0"/>
        <w:snapToGrid w:val="0"/>
        <w:spacing w:line="600" w:lineRule="exact"/>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本人</w:t>
      </w:r>
      <w:r>
        <w:rPr>
          <w:rFonts w:ascii="仿宋_GB2312" w:hAnsi="宋体" w:eastAsia="仿宋_GB2312"/>
          <w:color w:val="000000"/>
          <w:sz w:val="30"/>
          <w:szCs w:val="30"/>
          <w:u w:val="single"/>
        </w:rPr>
        <w:t xml:space="preserve">   (姓名)    </w:t>
      </w:r>
      <w:r>
        <w:rPr>
          <w:rFonts w:hint="eastAsia" w:ascii="仿宋_GB2312" w:hAnsi="宋体" w:eastAsia="仿宋_GB2312"/>
          <w:color w:val="000000"/>
          <w:sz w:val="30"/>
          <w:szCs w:val="30"/>
        </w:rPr>
        <w:t>系</w:t>
      </w:r>
      <w:r>
        <w:rPr>
          <w:rFonts w:ascii="仿宋_GB2312" w:hAnsi="宋体" w:eastAsia="仿宋_GB2312"/>
          <w:color w:val="000000"/>
          <w:sz w:val="30"/>
          <w:szCs w:val="30"/>
          <w:u w:val="single"/>
        </w:rPr>
        <w:t xml:space="preserve">        (供应商名称)          </w:t>
      </w:r>
      <w:r>
        <w:rPr>
          <w:rFonts w:hint="eastAsia" w:ascii="仿宋_GB2312" w:hAnsi="宋体" w:eastAsia="仿宋_GB2312"/>
          <w:color w:val="000000"/>
          <w:sz w:val="30"/>
          <w:szCs w:val="30"/>
        </w:rPr>
        <w:t>的法定代表人，现授权</w:t>
      </w:r>
      <w:r>
        <w:rPr>
          <w:rFonts w:ascii="仿宋_GB2312" w:hAnsi="宋体" w:eastAsia="仿宋_GB2312"/>
          <w:color w:val="000000"/>
          <w:sz w:val="30"/>
          <w:szCs w:val="30"/>
          <w:u w:val="single"/>
        </w:rPr>
        <w:t xml:space="preserve">   (姓名)   </w:t>
      </w:r>
      <w:r>
        <w:rPr>
          <w:rFonts w:hint="eastAsia" w:ascii="仿宋_GB2312" w:hAnsi="宋体" w:eastAsia="仿宋_GB2312"/>
          <w:color w:val="000000"/>
          <w:sz w:val="30"/>
          <w:szCs w:val="30"/>
        </w:rPr>
        <w:t>为我方代理人。代理人根据授权，以我方名义签署、澄清、说明、提交、撤回、修改</w:t>
      </w:r>
      <w:r>
        <w:rPr>
          <w:rFonts w:ascii="仿宋_GB2312" w:hAnsi="宋体" w:eastAsia="仿宋_GB2312"/>
          <w:color w:val="000000"/>
          <w:sz w:val="30"/>
          <w:szCs w:val="30"/>
          <w:u w:val="single"/>
        </w:rPr>
        <w:t xml:space="preserve"> （项目名称、项目编号、标段/标包号）  </w:t>
      </w:r>
      <w:r>
        <w:rPr>
          <w:rFonts w:hint="eastAsia" w:ascii="仿宋_GB2312" w:hAnsi="宋体" w:eastAsia="仿宋_GB2312"/>
          <w:color w:val="000000"/>
          <w:sz w:val="30"/>
          <w:szCs w:val="30"/>
        </w:rPr>
        <w:t>的响应文件、签订合同和处理有关事宜，其法律后果由我方承担。</w:t>
      </w:r>
    </w:p>
    <w:p>
      <w:pPr>
        <w:adjustRightInd w:val="0"/>
        <w:snapToGrid w:val="0"/>
        <w:spacing w:line="600" w:lineRule="exact"/>
        <w:ind w:firstLine="590"/>
        <w:rPr>
          <w:rFonts w:ascii="仿宋_GB2312" w:hAnsi="宋体" w:eastAsia="仿宋_GB2312"/>
          <w:color w:val="000000"/>
          <w:sz w:val="30"/>
          <w:szCs w:val="30"/>
        </w:rPr>
      </w:pPr>
      <w:r>
        <w:rPr>
          <w:rFonts w:hint="eastAsia" w:ascii="仿宋_GB2312" w:hAnsi="宋体" w:eastAsia="仿宋_GB2312"/>
          <w:color w:val="000000"/>
          <w:sz w:val="30"/>
          <w:szCs w:val="30"/>
        </w:rPr>
        <w:t>委托期限：。</w:t>
      </w:r>
    </w:p>
    <w:p>
      <w:pPr>
        <w:adjustRightInd w:val="0"/>
        <w:snapToGrid w:val="0"/>
        <w:spacing w:line="600" w:lineRule="exact"/>
        <w:ind w:firstLine="590"/>
        <w:rPr>
          <w:rFonts w:ascii="仿宋_GB2312" w:hAnsi="宋体" w:eastAsia="仿宋_GB2312"/>
          <w:color w:val="000000"/>
          <w:sz w:val="30"/>
          <w:szCs w:val="30"/>
        </w:rPr>
      </w:pPr>
      <w:r>
        <w:rPr>
          <w:rFonts w:hint="eastAsia" w:ascii="仿宋_GB2312" w:hAnsi="宋体" w:eastAsia="仿宋_GB2312"/>
          <w:color w:val="000000"/>
          <w:sz w:val="30"/>
          <w:szCs w:val="30"/>
        </w:rPr>
        <w:t>代理人无转委托权。</w:t>
      </w:r>
    </w:p>
    <w:p>
      <w:pPr>
        <w:adjustRightInd w:val="0"/>
        <w:snapToGrid w:val="0"/>
        <w:spacing w:line="600" w:lineRule="exact"/>
        <w:ind w:firstLine="590"/>
        <w:rPr>
          <w:rFonts w:ascii="仿宋_GB2312" w:hAnsi="宋体" w:eastAsia="仿宋_GB2312"/>
          <w:color w:val="000000"/>
          <w:sz w:val="30"/>
          <w:szCs w:val="30"/>
        </w:rPr>
      </w:pPr>
      <w:r>
        <w:rPr>
          <w:rFonts w:hint="eastAsia" w:ascii="仿宋_GB2312" w:hAnsi="宋体" w:eastAsia="仿宋_GB2312"/>
          <w:color w:val="000000"/>
          <w:sz w:val="30"/>
          <w:szCs w:val="30"/>
        </w:rPr>
        <w:t>附：</w:t>
      </w:r>
      <w:r>
        <w:rPr>
          <w:rFonts w:ascii="仿宋_GB2312" w:hAnsi="宋体" w:eastAsia="仿宋_GB2312"/>
          <w:color w:val="000000"/>
          <w:sz w:val="30"/>
          <w:szCs w:val="30"/>
        </w:rPr>
        <w:t>1.委托代理人身份证(正反两面)复印件</w:t>
      </w:r>
    </w:p>
    <w:p>
      <w:pPr>
        <w:pStyle w:val="40"/>
        <w:ind w:firstLine="1200" w:firstLineChars="400"/>
        <w:rPr>
          <w:rFonts w:ascii="仿宋_GB2312" w:hAnsi="宋体" w:eastAsia="仿宋_GB2312"/>
          <w:color w:val="000000"/>
          <w:sz w:val="30"/>
          <w:szCs w:val="30"/>
        </w:rPr>
      </w:pPr>
      <w:r>
        <w:rPr>
          <w:rFonts w:ascii="仿宋_GB2312" w:hAnsi="宋体" w:eastAsia="仿宋_GB2312"/>
          <w:color w:val="000000"/>
          <w:sz w:val="30"/>
          <w:szCs w:val="30"/>
        </w:rPr>
        <w:t>2.提供授权委托人</w:t>
      </w:r>
      <w:r>
        <w:rPr>
          <w:rFonts w:hint="eastAsia" w:ascii="仿宋_GB2312" w:hAnsi="宋体" w:eastAsia="仿宋_GB2312"/>
          <w:color w:val="000000"/>
          <w:sz w:val="30"/>
          <w:szCs w:val="30"/>
          <w:lang w:val="en-US" w:eastAsia="zh-CN"/>
        </w:rPr>
        <w:t>自公告发布当月起</w:t>
      </w:r>
      <w:r>
        <w:rPr>
          <w:rFonts w:ascii="仿宋_GB2312" w:hAnsi="宋体" w:eastAsia="仿宋_GB2312"/>
          <w:color w:val="000000"/>
          <w:sz w:val="30"/>
          <w:szCs w:val="30"/>
        </w:rPr>
        <w:t>在本单位近三个月社保记录（以加盖社会保险基金管理中心印章的《缴费历史明细表》或《社会保险参保人员证明》为准），否则为无效代理人，询价响应文件无效。</w:t>
      </w:r>
    </w:p>
    <w:p>
      <w:pPr>
        <w:pStyle w:val="15"/>
        <w:snapToGrid w:val="0"/>
        <w:spacing w:line="600" w:lineRule="exact"/>
        <w:ind w:firstLine="3618" w:firstLineChars="1005"/>
        <w:rPr>
          <w:rFonts w:ascii="仿宋_GB2312" w:hAnsi="宋体" w:eastAsia="仿宋_GB2312" w:cs="Times New Roman"/>
          <w:sz w:val="30"/>
          <w:szCs w:val="30"/>
        </w:rPr>
      </w:pPr>
      <w:r>
        <w:rPr>
          <w:rFonts w:hint="eastAsia" w:ascii="仿宋_GB2312" w:hAnsi="宋体" w:eastAsia="仿宋_GB2312" w:cs="Times New Roman"/>
          <w:spacing w:val="30"/>
          <w:sz w:val="30"/>
          <w:szCs w:val="30"/>
        </w:rPr>
        <w:t>供应商</w:t>
      </w:r>
      <w:r>
        <w:rPr>
          <w:rFonts w:hint="eastAsia" w:ascii="仿宋_GB2312" w:hAnsi="宋体" w:eastAsia="仿宋_GB2312" w:cs="Times New Roman"/>
          <w:sz w:val="30"/>
          <w:szCs w:val="30"/>
        </w:rPr>
        <w:t>：</w:t>
      </w:r>
      <w:r>
        <w:rPr>
          <w:rFonts w:ascii="仿宋_GB2312" w:hAnsi="宋体" w:eastAsia="仿宋_GB2312" w:cs="Times New Roman"/>
          <w:sz w:val="30"/>
          <w:szCs w:val="30"/>
          <w:u w:val="single"/>
        </w:rPr>
        <w:t xml:space="preserve">      (单位公章)         </w:t>
      </w:r>
    </w:p>
    <w:p>
      <w:pPr>
        <w:pStyle w:val="15"/>
        <w:snapToGrid w:val="0"/>
        <w:spacing w:line="600" w:lineRule="exact"/>
        <w:ind w:firstLine="2100" w:firstLineChars="700"/>
        <w:rPr>
          <w:rFonts w:ascii="仿宋_GB2312" w:hAnsi="宋体" w:eastAsia="仿宋_GB2312" w:cs="Times New Roman"/>
          <w:sz w:val="30"/>
          <w:szCs w:val="30"/>
        </w:rPr>
      </w:pPr>
      <w:r>
        <w:rPr>
          <w:rFonts w:hint="eastAsia" w:ascii="仿宋_GB2312" w:hAnsi="宋体" w:eastAsia="仿宋_GB2312" w:cs="Times New Roman"/>
          <w:sz w:val="30"/>
          <w:szCs w:val="30"/>
        </w:rPr>
        <w:t>法定代表人：</w:t>
      </w:r>
      <w:r>
        <w:rPr>
          <w:rFonts w:ascii="仿宋_GB2312" w:hAnsi="宋体" w:eastAsia="仿宋_GB2312" w:cs="Times New Roman"/>
          <w:sz w:val="30"/>
          <w:szCs w:val="30"/>
          <w:u w:val="single"/>
        </w:rPr>
        <w:t xml:space="preserve">       (签字</w:t>
      </w:r>
      <w:r>
        <w:rPr>
          <w:rFonts w:hint="eastAsia" w:ascii="仿宋_GB2312" w:hAnsi="宋体" w:eastAsia="仿宋_GB2312" w:cs="Times New Roman"/>
          <w:sz w:val="30"/>
          <w:szCs w:val="30"/>
          <w:u w:val="single"/>
          <w:lang w:val="en-US" w:eastAsia="zh-CN"/>
        </w:rPr>
        <w:t>或盖私章</w:t>
      </w:r>
      <w:r>
        <w:rPr>
          <w:rFonts w:ascii="仿宋_GB2312" w:hAnsi="宋体" w:eastAsia="仿宋_GB2312" w:cs="Times New Roman"/>
          <w:sz w:val="30"/>
          <w:szCs w:val="30"/>
          <w:u w:val="single"/>
        </w:rPr>
        <w:t xml:space="preserve">)            </w:t>
      </w:r>
    </w:p>
    <w:p>
      <w:pPr>
        <w:pStyle w:val="15"/>
        <w:snapToGrid w:val="0"/>
        <w:spacing w:line="600" w:lineRule="exact"/>
        <w:ind w:firstLine="2100" w:firstLineChars="700"/>
        <w:rPr>
          <w:rFonts w:ascii="仿宋_GB2312" w:hAnsi="宋体" w:eastAsia="仿宋_GB2312" w:cs="Times New Roman"/>
          <w:sz w:val="30"/>
          <w:szCs w:val="30"/>
        </w:rPr>
      </w:pPr>
      <w:r>
        <w:rPr>
          <w:rFonts w:hint="eastAsia" w:ascii="仿宋_GB2312" w:hAnsi="宋体" w:eastAsia="仿宋_GB2312" w:cs="Times New Roman"/>
          <w:sz w:val="30"/>
          <w:szCs w:val="30"/>
        </w:rPr>
        <w:t>委托代理人：</w:t>
      </w:r>
      <w:r>
        <w:rPr>
          <w:rFonts w:ascii="仿宋_GB2312" w:hAnsi="宋体" w:eastAsia="仿宋_GB2312" w:cs="Times New Roman"/>
          <w:sz w:val="30"/>
          <w:szCs w:val="30"/>
          <w:u w:val="single"/>
        </w:rPr>
        <w:t xml:space="preserve">       (签字</w:t>
      </w:r>
      <w:r>
        <w:rPr>
          <w:rFonts w:hint="eastAsia" w:ascii="仿宋_GB2312" w:hAnsi="宋体" w:eastAsia="仿宋_GB2312" w:cs="Times New Roman"/>
          <w:sz w:val="30"/>
          <w:szCs w:val="30"/>
          <w:u w:val="single"/>
          <w:lang w:val="en-US" w:eastAsia="zh-CN"/>
        </w:rPr>
        <w:t>或盖私章</w:t>
      </w:r>
      <w:r>
        <w:rPr>
          <w:rFonts w:ascii="仿宋_GB2312" w:hAnsi="宋体" w:eastAsia="仿宋_GB2312" w:cs="Times New Roman"/>
          <w:sz w:val="30"/>
          <w:szCs w:val="30"/>
          <w:u w:val="single"/>
        </w:rPr>
        <w:t xml:space="preserve">)            </w:t>
      </w:r>
    </w:p>
    <w:p>
      <w:pPr>
        <w:widowControl/>
        <w:adjustRightInd w:val="0"/>
        <w:snapToGrid w:val="0"/>
        <w:spacing w:line="600" w:lineRule="exact"/>
        <w:rPr>
          <w:rFonts w:ascii="仿宋_GB2312" w:hAnsi="宋体" w:eastAsia="仿宋_GB2312"/>
          <w:color w:val="000000"/>
          <w:sz w:val="30"/>
          <w:szCs w:val="30"/>
        </w:rPr>
      </w:pPr>
      <w:r>
        <w:rPr>
          <w:rFonts w:ascii="仿宋_GB2312" w:hAnsi="宋体" w:eastAsia="仿宋_GB2312"/>
          <w:color w:val="000000"/>
          <w:sz w:val="30"/>
          <w:szCs w:val="30"/>
        </w:rPr>
        <w:t xml:space="preserve">                        日    期：年月日</w:t>
      </w:r>
    </w:p>
    <w:p>
      <w:pPr>
        <w:pStyle w:val="25"/>
        <w:rPr>
          <w:rFonts w:ascii="仿宋_GB2312" w:eastAsia="仿宋_GB2312"/>
          <w:sz w:val="30"/>
          <w:szCs w:val="30"/>
        </w:rPr>
      </w:pPr>
    </w:p>
    <w:p>
      <w:pPr>
        <w:pStyle w:val="25"/>
        <w:rPr>
          <w:rFonts w:ascii="仿宋_GB2312" w:eastAsia="仿宋_GB2312"/>
          <w:sz w:val="30"/>
          <w:szCs w:val="30"/>
        </w:rPr>
      </w:pPr>
    </w:p>
    <w:p>
      <w:pPr>
        <w:pStyle w:val="25"/>
        <w:rPr>
          <w:rFonts w:ascii="仿宋_GB2312" w:eastAsia="仿宋_GB2312"/>
          <w:sz w:val="30"/>
          <w:szCs w:val="30"/>
        </w:rPr>
      </w:pPr>
    </w:p>
    <w:p>
      <w:pPr>
        <w:pStyle w:val="25"/>
        <w:rPr>
          <w:rFonts w:ascii="仿宋_GB2312" w:eastAsia="仿宋_GB2312"/>
          <w:sz w:val="30"/>
          <w:szCs w:val="30"/>
        </w:rPr>
      </w:pPr>
    </w:p>
    <w:p>
      <w:pPr>
        <w:pStyle w:val="25"/>
        <w:rPr>
          <w:rFonts w:ascii="仿宋_GB2312" w:eastAsia="仿宋_GB2312"/>
          <w:sz w:val="30"/>
          <w:szCs w:val="30"/>
        </w:rPr>
      </w:pPr>
    </w:p>
    <w:p>
      <w:pPr>
        <w:pStyle w:val="25"/>
        <w:rPr>
          <w:rFonts w:ascii="仿宋_GB2312" w:eastAsia="仿宋_GB2312"/>
          <w:sz w:val="30"/>
          <w:szCs w:val="30"/>
        </w:rPr>
      </w:pPr>
    </w:p>
    <w:p>
      <w:pPr>
        <w:pStyle w:val="6"/>
        <w:spacing w:after="0" w:line="600" w:lineRule="exact"/>
        <w:rPr>
          <w:rFonts w:ascii="仿宋_GB2312" w:eastAsia="仿宋_GB2312"/>
        </w:rPr>
      </w:pPr>
      <w:r>
        <w:rPr>
          <w:rFonts w:ascii="仿宋_GB2312" w:eastAsia="仿宋_GB2312"/>
          <w:color w:val="000000"/>
          <w:sz w:val="44"/>
          <w:szCs w:val="44"/>
          <w:u w:val="single"/>
        </w:rPr>
        <mc:AlternateContent>
          <mc:Choice Requires="wps">
            <w:drawing>
              <wp:anchor distT="0" distB="0" distL="114300" distR="114300" simplePos="0" relativeHeight="251667456" behindDoc="0" locked="0" layoutInCell="1" allowOverlap="1">
                <wp:simplePos x="0" y="0"/>
                <wp:positionH relativeFrom="column">
                  <wp:posOffset>615950</wp:posOffset>
                </wp:positionH>
                <wp:positionV relativeFrom="paragraph">
                  <wp:posOffset>200025</wp:posOffset>
                </wp:positionV>
                <wp:extent cx="3771900" cy="1287780"/>
                <wp:effectExtent l="4445" t="5080" r="14605" b="21590"/>
                <wp:wrapSquare wrapText="bothSides"/>
                <wp:docPr id="8"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297pt;mso-wrap-distance-bottom:0pt;mso-wrap-distance-left:9pt;mso-wrap-distance-right:9pt;mso-wrap-distance-top:0pt;z-index:251667456;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9TIojtkAAAAJAQAADwAAAAAAAAAB&#10;ACAAAAAiAAAAZHJzL2Rvd25yZXYueG1sUEsBAhQAFAAAAAgAh07iQL7E1bNIAgAAlgQAAA4AAAAA&#10;AAAAAQAgAAAAKAEAAGRycy9lMm9Eb2MueG1sUEsFBgAAAAAGAAYAWQEAAOIFA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6"/>
        <w:spacing w:after="0" w:line="600" w:lineRule="exact"/>
        <w:rPr>
          <w:rFonts w:ascii="仿宋_GB2312" w:eastAsia="仿宋_GB2312"/>
        </w:rPr>
      </w:pPr>
    </w:p>
    <w:p>
      <w:pPr>
        <w:pStyle w:val="6"/>
        <w:spacing w:after="0" w:line="600" w:lineRule="exact"/>
        <w:rPr>
          <w:rFonts w:ascii="仿宋_GB2312" w:eastAsia="仿宋_GB2312"/>
        </w:rPr>
      </w:pPr>
    </w:p>
    <w:p>
      <w:pPr>
        <w:pStyle w:val="6"/>
        <w:spacing w:after="0" w:line="600" w:lineRule="exact"/>
        <w:ind w:firstLine="0"/>
        <w:rPr>
          <w:rFonts w:ascii="仿宋_GB2312" w:eastAsia="仿宋_GB2312"/>
        </w:rPr>
      </w:pPr>
    </w:p>
    <w:p>
      <w:pPr>
        <w:pStyle w:val="6"/>
        <w:spacing w:after="0" w:line="600" w:lineRule="exact"/>
        <w:rPr>
          <w:rFonts w:ascii="仿宋_GB2312" w:eastAsia="仿宋_GB2312"/>
        </w:rPr>
      </w:pPr>
    </w:p>
    <w:p>
      <w:pPr>
        <w:adjustRightInd w:val="0"/>
        <w:snapToGrid w:val="0"/>
        <w:spacing w:line="600" w:lineRule="exact"/>
        <w:ind w:firstLine="480"/>
        <w:rPr>
          <w:rFonts w:ascii="仿宋_GB2312" w:hAnsi="宋体" w:eastAsia="仿宋_GB2312"/>
          <w:kern w:val="0"/>
          <w:szCs w:val="21"/>
        </w:rPr>
      </w:pPr>
      <w:r>
        <w:rPr>
          <w:rFonts w:hint="eastAsia" w:ascii="仿宋_GB2312" w:hAnsi="宋体" w:eastAsia="仿宋_GB2312"/>
          <w:kern w:val="0"/>
          <w:szCs w:val="21"/>
        </w:rPr>
        <w:t>注：法人授权委托书亦可采用工商行政管理局统一制订的格式。</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tcPr>
          <w:p>
            <w:pPr>
              <w:spacing w:line="360" w:lineRule="auto"/>
              <w:rPr>
                <w:rFonts w:ascii="宋体" w:hAnsi="宋体" w:eastAsia="宋体" w:cs="Times New Roman"/>
                <w:sz w:val="24"/>
                <w:szCs w:val="24"/>
              </w:rPr>
            </w:pPr>
          </w:p>
          <w:p>
            <w:pPr>
              <w:spacing w:line="360" w:lineRule="auto"/>
              <w:jc w:val="center"/>
              <w:rPr>
                <w:rFonts w:ascii="宋体" w:hAnsi="宋体" w:eastAsia="宋体" w:cs="Times New Roman"/>
                <w:sz w:val="24"/>
                <w:szCs w:val="24"/>
              </w:rPr>
            </w:pPr>
          </w:p>
          <w:p>
            <w:pPr>
              <w:spacing w:line="360" w:lineRule="auto"/>
              <w:jc w:val="center"/>
              <w:rPr>
                <w:rFonts w:ascii="宋体" w:hAnsi="宋体"/>
                <w:sz w:val="24"/>
                <w:szCs w:val="24"/>
              </w:rPr>
            </w:pPr>
            <w:r>
              <w:rPr>
                <w:rFonts w:hint="eastAsia" w:ascii="宋体" w:hAnsi="宋体" w:cs="Times New Roman"/>
                <w:sz w:val="24"/>
                <w:szCs w:val="24"/>
              </w:rPr>
              <w:t>授权代理人</w:t>
            </w:r>
            <w:r>
              <w:rPr>
                <w:rFonts w:hint="eastAsia" w:ascii="宋体" w:hAnsi="宋体" w:cs="Times New Roman"/>
                <w:sz w:val="24"/>
                <w:szCs w:val="24"/>
                <w:lang w:val="en-US" w:eastAsia="zh-CN"/>
              </w:rPr>
              <w:t>自公告发布当月起</w:t>
            </w:r>
            <w:r>
              <w:rPr>
                <w:rFonts w:hint="eastAsia" w:ascii="宋体" w:hAnsi="宋体" w:cs="Times New Roman"/>
                <w:sz w:val="24"/>
                <w:szCs w:val="24"/>
              </w:rPr>
              <w:t>在本单位近三个月社保记录，（以加盖社会保险基金管理中心印章的《缴费历史明细表》或《社会保险参保人员证明》为准，加</w:t>
            </w:r>
            <w:r>
              <w:rPr>
                <w:rFonts w:hint="eastAsia" w:ascii="宋体" w:hAnsi="宋体"/>
                <w:sz w:val="24"/>
                <w:szCs w:val="24"/>
              </w:rPr>
              <w:t>盖单位公章</w:t>
            </w:r>
          </w:p>
          <w:p>
            <w:pPr>
              <w:spacing w:line="360" w:lineRule="auto"/>
              <w:jc w:val="center"/>
              <w:rPr>
                <w:rFonts w:ascii="宋体" w:hAnsi="宋体"/>
                <w:sz w:val="24"/>
                <w:szCs w:val="24"/>
              </w:rPr>
            </w:pPr>
          </w:p>
          <w:p>
            <w:pPr>
              <w:spacing w:line="360" w:lineRule="auto"/>
              <w:jc w:val="left"/>
              <w:rPr>
                <w:rFonts w:ascii="宋体" w:hAnsi="宋体"/>
                <w:sz w:val="24"/>
                <w:szCs w:val="24"/>
              </w:rPr>
            </w:pPr>
          </w:p>
          <w:p>
            <w:pPr>
              <w:spacing w:line="360" w:lineRule="auto"/>
              <w:jc w:val="left"/>
              <w:rPr>
                <w:rFonts w:ascii="宋体" w:hAnsi="宋体"/>
                <w:sz w:val="24"/>
                <w:szCs w:val="24"/>
              </w:rPr>
            </w:pPr>
          </w:p>
        </w:tc>
      </w:tr>
    </w:tbl>
    <w:p>
      <w:pPr>
        <w:spacing w:line="440" w:lineRule="exact"/>
        <w:ind w:firstLine="859" w:firstLineChars="307"/>
        <w:rPr>
          <w:rFonts w:ascii="仿宋" w:hAnsi="仿宋" w:eastAsia="仿宋" w:cs="仿宋_GB2312"/>
          <w:sz w:val="28"/>
          <w:szCs w:val="28"/>
        </w:rPr>
      </w:pPr>
    </w:p>
    <w:p>
      <w:pPr>
        <w:spacing w:line="480" w:lineRule="exact"/>
        <w:ind w:firstLine="843" w:firstLineChars="300"/>
        <w:rPr>
          <w:rFonts w:ascii="仿宋" w:hAnsi="仿宋" w:eastAsia="仿宋" w:cs="仿宋_GB2312"/>
          <w:b/>
          <w:sz w:val="28"/>
          <w:szCs w:val="28"/>
        </w:rPr>
      </w:pPr>
    </w:p>
    <w:p>
      <w:pPr>
        <w:pStyle w:val="25"/>
      </w:pPr>
    </w:p>
    <w:p>
      <w:pPr>
        <w:pStyle w:val="25"/>
      </w:pPr>
    </w:p>
    <w:p>
      <w:pPr>
        <w:pStyle w:val="25"/>
        <w:ind w:firstLine="0"/>
      </w:pPr>
      <w:bookmarkStart w:id="112" w:name="_Toc8086"/>
      <w:bookmarkStart w:id="113" w:name="_Toc87616400"/>
      <w:bookmarkStart w:id="114" w:name="_Toc19830"/>
      <w:bookmarkStart w:id="115" w:name="_Toc88209963"/>
    </w:p>
    <w:p>
      <w:pPr>
        <w:pStyle w:val="5"/>
        <w:rPr>
          <w:rFonts w:ascii="仿宋_GB2312" w:eastAsia="仿宋_GB2312" w:hAnsiTheme="minorEastAsia"/>
          <w:sz w:val="28"/>
          <w:szCs w:val="28"/>
        </w:rPr>
      </w:pPr>
    </w:p>
    <w:p>
      <w:pPr>
        <w:pStyle w:val="5"/>
        <w:rPr>
          <w:rFonts w:asciiTheme="minorEastAsia" w:hAnsiTheme="minorEastAsia" w:eastAsiaTheme="minorEastAsia"/>
          <w:sz w:val="28"/>
          <w:szCs w:val="28"/>
        </w:rPr>
      </w:pPr>
      <w:r>
        <w:rPr>
          <w:rFonts w:ascii="仿宋_GB2312" w:eastAsia="仿宋_GB2312" w:hAnsiTheme="minorEastAsia"/>
          <w:sz w:val="28"/>
          <w:szCs w:val="28"/>
        </w:rPr>
        <w:t>3</w:t>
      </w:r>
      <w:r>
        <w:rPr>
          <w:rFonts w:asciiTheme="minorEastAsia" w:hAnsiTheme="minorEastAsia" w:eastAsiaTheme="minorEastAsia"/>
          <w:sz w:val="28"/>
          <w:szCs w:val="28"/>
        </w:rPr>
        <w:t>.资格审查资料</w:t>
      </w:r>
      <w:bookmarkEnd w:id="112"/>
      <w:bookmarkEnd w:id="113"/>
      <w:bookmarkEnd w:id="114"/>
      <w:bookmarkEnd w:id="115"/>
    </w:p>
    <w:p>
      <w:pPr>
        <w:spacing w:line="360" w:lineRule="auto"/>
        <w:rPr>
          <w:rFonts w:ascii="仿宋_GB2312" w:hAnsi="黑体" w:eastAsia="仿宋_GB2312"/>
          <w:sz w:val="28"/>
          <w:szCs w:val="28"/>
        </w:rPr>
      </w:pPr>
      <w:r>
        <w:rPr>
          <w:rFonts w:ascii="仿宋_GB2312" w:hAnsi="黑体" w:eastAsia="仿宋_GB2312"/>
          <w:sz w:val="28"/>
          <w:szCs w:val="28"/>
        </w:rPr>
        <w:t>3.1供应商基本情况表</w:t>
      </w:r>
    </w:p>
    <w:tbl>
      <w:tblPr>
        <w:tblStyle w:val="27"/>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供应商名称</w:t>
            </w:r>
          </w:p>
        </w:tc>
        <w:tc>
          <w:tcPr>
            <w:tcW w:w="7278" w:type="dxa"/>
            <w:gridSpan w:val="9"/>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注册地址</w:t>
            </w:r>
          </w:p>
        </w:tc>
        <w:tc>
          <w:tcPr>
            <w:tcW w:w="3118" w:type="dxa"/>
            <w:gridSpan w:val="3"/>
          </w:tcPr>
          <w:p>
            <w:pPr>
              <w:adjustRightInd w:val="0"/>
              <w:snapToGrid w:val="0"/>
              <w:spacing w:line="600" w:lineRule="exact"/>
              <w:rPr>
                <w:rFonts w:ascii="仿宋_GB2312" w:eastAsia="仿宋_GB2312" w:hAnsiTheme="minorEastAsia"/>
                <w:sz w:val="28"/>
                <w:szCs w:val="28"/>
              </w:rPr>
            </w:pPr>
          </w:p>
        </w:tc>
        <w:tc>
          <w:tcPr>
            <w:tcW w:w="1570"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邮政编码</w:t>
            </w:r>
          </w:p>
        </w:tc>
        <w:tc>
          <w:tcPr>
            <w:tcW w:w="2590" w:type="dxa"/>
            <w:gridSpan w:val="3"/>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联系方式</w:t>
            </w:r>
          </w:p>
        </w:tc>
        <w:tc>
          <w:tcPr>
            <w:tcW w:w="1134" w:type="dxa"/>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sz w:val="28"/>
                <w:szCs w:val="28"/>
              </w:rPr>
            </w:pPr>
          </w:p>
        </w:tc>
        <w:tc>
          <w:tcPr>
            <w:tcW w:w="1570" w:type="dxa"/>
            <w:gridSpan w:val="3"/>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电话</w:t>
            </w:r>
          </w:p>
        </w:tc>
        <w:tc>
          <w:tcPr>
            <w:tcW w:w="2590" w:type="dxa"/>
            <w:gridSpan w:val="3"/>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sz w:val="28"/>
                <w:szCs w:val="28"/>
              </w:rPr>
            </w:pPr>
          </w:p>
        </w:tc>
        <w:tc>
          <w:tcPr>
            <w:tcW w:w="1134" w:type="dxa"/>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传真</w:t>
            </w:r>
          </w:p>
        </w:tc>
        <w:tc>
          <w:tcPr>
            <w:tcW w:w="1984" w:type="dxa"/>
            <w:gridSpan w:val="2"/>
            <w:vAlign w:val="center"/>
          </w:tcPr>
          <w:p>
            <w:pPr>
              <w:adjustRightInd w:val="0"/>
              <w:snapToGrid w:val="0"/>
              <w:spacing w:line="600" w:lineRule="exact"/>
              <w:jc w:val="center"/>
              <w:rPr>
                <w:rFonts w:ascii="仿宋_GB2312" w:eastAsia="仿宋_GB2312" w:hAnsiTheme="minorEastAsia"/>
                <w:sz w:val="28"/>
                <w:szCs w:val="28"/>
              </w:rPr>
            </w:pPr>
          </w:p>
        </w:tc>
        <w:tc>
          <w:tcPr>
            <w:tcW w:w="1570" w:type="dxa"/>
            <w:gridSpan w:val="3"/>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网址</w:t>
            </w:r>
          </w:p>
        </w:tc>
        <w:tc>
          <w:tcPr>
            <w:tcW w:w="2590" w:type="dxa"/>
            <w:gridSpan w:val="3"/>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组织结构</w:t>
            </w:r>
          </w:p>
        </w:tc>
        <w:tc>
          <w:tcPr>
            <w:tcW w:w="7278" w:type="dxa"/>
            <w:gridSpan w:val="9"/>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法定代表人</w:t>
            </w:r>
          </w:p>
        </w:tc>
        <w:tc>
          <w:tcPr>
            <w:tcW w:w="1134"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姓名</w:t>
            </w:r>
          </w:p>
        </w:tc>
        <w:tc>
          <w:tcPr>
            <w:tcW w:w="966" w:type="dxa"/>
          </w:tcPr>
          <w:p>
            <w:pPr>
              <w:adjustRightInd w:val="0"/>
              <w:snapToGrid w:val="0"/>
              <w:spacing w:line="600" w:lineRule="exact"/>
              <w:rPr>
                <w:rFonts w:ascii="仿宋_GB2312" w:eastAsia="仿宋_GB2312" w:hAnsiTheme="minorEastAsia"/>
                <w:sz w:val="28"/>
                <w:szCs w:val="28"/>
              </w:rPr>
            </w:pPr>
          </w:p>
        </w:tc>
        <w:tc>
          <w:tcPr>
            <w:tcW w:w="1443"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技术职称</w:t>
            </w:r>
          </w:p>
        </w:tc>
        <w:tc>
          <w:tcPr>
            <w:tcW w:w="1145" w:type="dxa"/>
          </w:tcPr>
          <w:p>
            <w:pPr>
              <w:adjustRightInd w:val="0"/>
              <w:snapToGrid w:val="0"/>
              <w:spacing w:line="600" w:lineRule="exact"/>
              <w:rPr>
                <w:rFonts w:ascii="仿宋_GB2312" w:eastAsia="仿宋_GB2312" w:hAnsiTheme="minorEastAsia"/>
                <w:sz w:val="28"/>
                <w:szCs w:val="28"/>
              </w:rPr>
            </w:pPr>
          </w:p>
        </w:tc>
        <w:tc>
          <w:tcPr>
            <w:tcW w:w="1295" w:type="dxa"/>
            <w:gridSpan w:val="2"/>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电话</w:t>
            </w:r>
          </w:p>
        </w:tc>
        <w:tc>
          <w:tcPr>
            <w:tcW w:w="1295" w:type="dxa"/>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技术负责人</w:t>
            </w:r>
          </w:p>
        </w:tc>
        <w:tc>
          <w:tcPr>
            <w:tcW w:w="1134"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姓名</w:t>
            </w:r>
          </w:p>
        </w:tc>
        <w:tc>
          <w:tcPr>
            <w:tcW w:w="966" w:type="dxa"/>
          </w:tcPr>
          <w:p>
            <w:pPr>
              <w:adjustRightInd w:val="0"/>
              <w:snapToGrid w:val="0"/>
              <w:spacing w:line="600" w:lineRule="exact"/>
              <w:rPr>
                <w:rFonts w:ascii="仿宋_GB2312" w:eastAsia="仿宋_GB2312" w:hAnsiTheme="minorEastAsia"/>
                <w:sz w:val="28"/>
                <w:szCs w:val="28"/>
              </w:rPr>
            </w:pPr>
          </w:p>
        </w:tc>
        <w:tc>
          <w:tcPr>
            <w:tcW w:w="1443"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技术职称</w:t>
            </w:r>
          </w:p>
        </w:tc>
        <w:tc>
          <w:tcPr>
            <w:tcW w:w="1145" w:type="dxa"/>
          </w:tcPr>
          <w:p>
            <w:pPr>
              <w:adjustRightInd w:val="0"/>
              <w:snapToGrid w:val="0"/>
              <w:spacing w:line="600" w:lineRule="exact"/>
              <w:rPr>
                <w:rFonts w:ascii="仿宋_GB2312" w:eastAsia="仿宋_GB2312" w:hAnsiTheme="minorEastAsia"/>
                <w:sz w:val="28"/>
                <w:szCs w:val="28"/>
              </w:rPr>
            </w:pPr>
          </w:p>
        </w:tc>
        <w:tc>
          <w:tcPr>
            <w:tcW w:w="1295" w:type="dxa"/>
            <w:gridSpan w:val="2"/>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电话</w:t>
            </w:r>
          </w:p>
        </w:tc>
        <w:tc>
          <w:tcPr>
            <w:tcW w:w="1295" w:type="dxa"/>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成立时间</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5178" w:type="dxa"/>
            <w:gridSpan w:val="7"/>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企业资质等级</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restart"/>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其中</w:t>
            </w: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项目负责人</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营业执照号</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continue"/>
          </w:tcPr>
          <w:p>
            <w:pPr>
              <w:adjustRightInd w:val="0"/>
              <w:snapToGrid w:val="0"/>
              <w:spacing w:line="600" w:lineRule="exact"/>
              <w:rPr>
                <w:rFonts w:ascii="仿宋_GB2312" w:eastAsia="仿宋_GB2312" w:hAnsiTheme="minorEastAsia"/>
                <w:sz w:val="28"/>
                <w:szCs w:val="28"/>
              </w:rPr>
            </w:pP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□高级职称人员</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注册资金</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continue"/>
          </w:tcPr>
          <w:p>
            <w:pPr>
              <w:adjustRightInd w:val="0"/>
              <w:snapToGrid w:val="0"/>
              <w:spacing w:line="600" w:lineRule="exact"/>
              <w:rPr>
                <w:rFonts w:ascii="仿宋_GB2312" w:eastAsia="仿宋_GB2312" w:hAnsiTheme="minorEastAsia"/>
                <w:sz w:val="28"/>
                <w:szCs w:val="28"/>
              </w:rPr>
            </w:pP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□中级职称人员</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开户银行</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continue"/>
          </w:tcPr>
          <w:p>
            <w:pPr>
              <w:adjustRightInd w:val="0"/>
              <w:snapToGrid w:val="0"/>
              <w:spacing w:line="600" w:lineRule="exact"/>
              <w:rPr>
                <w:rFonts w:ascii="仿宋_GB2312" w:eastAsia="仿宋_GB2312" w:hAnsiTheme="minorEastAsia"/>
                <w:sz w:val="28"/>
                <w:szCs w:val="28"/>
              </w:rPr>
            </w:pP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□初级职称人员</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账户</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continue"/>
          </w:tcPr>
          <w:p>
            <w:pPr>
              <w:adjustRightInd w:val="0"/>
              <w:snapToGrid w:val="0"/>
              <w:spacing w:line="600" w:lineRule="exact"/>
              <w:rPr>
                <w:rFonts w:ascii="仿宋_GB2312" w:eastAsia="仿宋_GB2312" w:hAnsiTheme="minorEastAsia"/>
                <w:sz w:val="28"/>
                <w:szCs w:val="28"/>
              </w:rPr>
            </w:pP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□技工</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经营范围</w:t>
            </w:r>
          </w:p>
        </w:tc>
        <w:tc>
          <w:tcPr>
            <w:tcW w:w="7278" w:type="dxa"/>
            <w:gridSpan w:val="9"/>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备注</w:t>
            </w:r>
          </w:p>
        </w:tc>
        <w:tc>
          <w:tcPr>
            <w:tcW w:w="7278" w:type="dxa"/>
            <w:gridSpan w:val="9"/>
          </w:tcPr>
          <w:p>
            <w:pPr>
              <w:adjustRightInd w:val="0"/>
              <w:snapToGrid w:val="0"/>
              <w:spacing w:line="600" w:lineRule="exact"/>
              <w:rPr>
                <w:rFonts w:ascii="仿宋_GB2312" w:eastAsia="仿宋_GB2312" w:hAnsiTheme="minorEastAsia"/>
                <w:sz w:val="28"/>
                <w:szCs w:val="28"/>
              </w:rPr>
            </w:pPr>
          </w:p>
        </w:tc>
      </w:tr>
    </w:tbl>
    <w:p>
      <w:pPr>
        <w:adjustRightInd w:val="0"/>
        <w:snapToGrid w:val="0"/>
        <w:ind w:firstLine="573"/>
        <w:rPr>
          <w:rFonts w:cs="Times New Roman" w:asciiTheme="minorEastAsia" w:hAnsiTheme="minorEastAsia"/>
          <w:b/>
          <w:bCs/>
          <w:sz w:val="28"/>
          <w:szCs w:val="28"/>
        </w:rPr>
      </w:pPr>
      <w:r>
        <w:rPr>
          <w:rFonts w:ascii="仿宋_GB2312" w:eastAsia="仿宋_GB2312" w:hAnsiTheme="minorEastAsia"/>
          <w:sz w:val="28"/>
          <w:szCs w:val="28"/>
        </w:rPr>
        <w:t>注</w:t>
      </w:r>
      <w:r>
        <w:rPr>
          <w:rFonts w:hint="eastAsia" w:ascii="仿宋_GB2312" w:eastAsia="仿宋_GB2312" w:hAnsiTheme="minorEastAsia"/>
          <w:sz w:val="28"/>
          <w:szCs w:val="28"/>
        </w:rPr>
        <w:t>：</w:t>
      </w:r>
      <w:r>
        <w:rPr>
          <w:rFonts w:ascii="仿宋_GB2312" w:eastAsia="仿宋_GB2312" w:hAnsiTheme="minorEastAsia"/>
          <w:sz w:val="28"/>
          <w:szCs w:val="28"/>
        </w:rPr>
        <w:t>供应商应按供应商须知的要求提供主体资格证明材料及相关资质证明材料</w:t>
      </w:r>
      <w:r>
        <w:rPr>
          <w:rFonts w:hint="eastAsia" w:ascii="仿宋_GB2312" w:eastAsia="仿宋_GB2312" w:hAnsiTheme="minorEastAsia"/>
          <w:sz w:val="28"/>
          <w:szCs w:val="28"/>
        </w:rPr>
        <w:t>。</w:t>
      </w:r>
      <w:r>
        <w:rPr>
          <w:rFonts w:hint="eastAsia" w:cs="Times New Roman" w:asciiTheme="minorEastAsia" w:hAnsiTheme="minorEastAsia"/>
          <w:b/>
          <w:bCs/>
          <w:sz w:val="28"/>
          <w:szCs w:val="28"/>
        </w:rPr>
        <w:t>（相关证明文件附后）</w:t>
      </w:r>
    </w:p>
    <w:p>
      <w:pPr>
        <w:adjustRightInd w:val="0"/>
        <w:snapToGrid w:val="0"/>
        <w:spacing w:line="360" w:lineRule="auto"/>
        <w:jc w:val="left"/>
        <w:rPr>
          <w:rFonts w:cs="Times New Roman" w:asciiTheme="minorEastAsia" w:hAnsiTheme="minorEastAsia"/>
          <w:b/>
          <w:bCs/>
          <w:sz w:val="28"/>
          <w:szCs w:val="28"/>
        </w:rPr>
      </w:pPr>
      <w:bookmarkStart w:id="116" w:name="_Hlk59025866"/>
    </w:p>
    <w:p>
      <w:pPr>
        <w:adjustRightInd w:val="0"/>
        <w:snapToGrid w:val="0"/>
        <w:spacing w:line="360" w:lineRule="auto"/>
        <w:jc w:val="left"/>
        <w:rPr>
          <w:rFonts w:cs="Times New Roman" w:asciiTheme="minorEastAsia" w:hAnsiTheme="minorEastAsia"/>
          <w:b/>
          <w:bCs/>
          <w:sz w:val="28"/>
          <w:szCs w:val="28"/>
        </w:rPr>
      </w:pPr>
    </w:p>
    <w:p>
      <w:pPr>
        <w:adjustRightInd w:val="0"/>
        <w:snapToGrid w:val="0"/>
        <w:spacing w:line="360" w:lineRule="auto"/>
        <w:jc w:val="left"/>
        <w:rPr>
          <w:rFonts w:cs="Times New Roman" w:asciiTheme="minorEastAsia" w:hAnsiTheme="minorEastAsia"/>
          <w:b/>
          <w:bCs/>
          <w:sz w:val="28"/>
          <w:szCs w:val="28"/>
        </w:rPr>
      </w:pPr>
      <w:r>
        <w:rPr>
          <w:rFonts w:cs="Times New Roman" w:asciiTheme="minorEastAsia" w:hAnsiTheme="minorEastAsia"/>
          <w:b/>
          <w:bCs/>
          <w:sz w:val="28"/>
          <w:szCs w:val="28"/>
        </w:rPr>
        <w:t>3.2不得存在情形承诺函</w:t>
      </w:r>
    </w:p>
    <w:bookmarkEnd w:id="116"/>
    <w:p>
      <w:pPr>
        <w:adjustRightInd w:val="0"/>
        <w:snapToGrid w:val="0"/>
        <w:spacing w:line="360" w:lineRule="auto"/>
        <w:rPr>
          <w:rFonts w:ascii="宋体" w:hAnsi="宋体" w:eastAsia="宋体" w:cs="宋体"/>
          <w:sz w:val="24"/>
          <w:szCs w:val="24"/>
          <w:lang w:val="en-GB"/>
        </w:rPr>
      </w:pPr>
    </w:p>
    <w:p>
      <w:pPr>
        <w:adjustRightInd w:val="0"/>
        <w:snapToGrid w:val="0"/>
        <w:spacing w:line="360" w:lineRule="auto"/>
        <w:rPr>
          <w:rFonts w:ascii="宋体" w:hAnsi="宋体" w:eastAsia="宋体" w:cs="宋体"/>
          <w:sz w:val="24"/>
          <w:szCs w:val="24"/>
          <w:lang w:val="en-GB"/>
        </w:rPr>
      </w:pPr>
      <w:r>
        <w:rPr>
          <w:rFonts w:hint="eastAsia" w:ascii="宋体" w:hAnsi="宋体" w:eastAsia="宋体" w:cs="宋体"/>
          <w:sz w:val="24"/>
          <w:szCs w:val="24"/>
          <w:lang w:val="en-GB"/>
        </w:rPr>
        <w:t>致：广州从化净水有限公司</w:t>
      </w:r>
    </w:p>
    <w:p>
      <w:pPr>
        <w:adjustRightInd w:val="0"/>
        <w:snapToGrid w:val="0"/>
        <w:spacing w:line="360" w:lineRule="auto"/>
        <w:ind w:firstLine="480" w:firstLineChars="200"/>
        <w:rPr>
          <w:rFonts w:ascii="仿宋_GB2312" w:eastAsia="仿宋_GB2312"/>
          <w:sz w:val="28"/>
          <w:szCs w:val="28"/>
        </w:rPr>
      </w:pPr>
      <w:r>
        <w:rPr>
          <w:rFonts w:hint="eastAsia" w:ascii="宋体" w:hAnsi="宋体" w:eastAsia="宋体" w:cs="宋体"/>
          <w:sz w:val="24"/>
          <w:szCs w:val="24"/>
          <w:lang w:val="en-GB"/>
        </w:rPr>
        <w:t>我方郑重承诺，在参与</w:t>
      </w:r>
      <w:r>
        <w:rPr>
          <w:rFonts w:hint="eastAsia" w:ascii="Times New Roman" w:hAnsi="Times New Roman" w:cs="Times New Roman"/>
          <w:bCs/>
          <w:sz w:val="28"/>
          <w:szCs w:val="28"/>
          <w:u w:val="single"/>
        </w:rPr>
        <w:t>广州市净水有限公司竹料分公司2024年厂区网络改造项目</w:t>
      </w:r>
      <w:r>
        <w:rPr>
          <w:rFonts w:hint="eastAsia" w:ascii="Times New Roman" w:hAnsi="Times New Roman" w:cs="Times New Roman"/>
          <w:bCs/>
          <w:sz w:val="28"/>
          <w:szCs w:val="28"/>
          <w:u w:val="single"/>
          <w:lang w:eastAsia="zh-CN"/>
        </w:rPr>
        <w:t>（</w:t>
      </w:r>
      <w:r>
        <w:rPr>
          <w:rFonts w:hint="eastAsia" w:ascii="Times New Roman" w:hAnsi="Times New Roman" w:cs="Times New Roman"/>
          <w:bCs/>
          <w:sz w:val="28"/>
          <w:szCs w:val="28"/>
          <w:u w:val="single"/>
          <w:lang w:val="en-US" w:eastAsia="zh-CN"/>
        </w:rPr>
        <w:t>第二次</w:t>
      </w:r>
      <w:r>
        <w:rPr>
          <w:rFonts w:hint="eastAsia" w:ascii="Times New Roman" w:hAnsi="Times New Roman" w:cs="Times New Roman"/>
          <w:bCs/>
          <w:sz w:val="28"/>
          <w:szCs w:val="28"/>
          <w:u w:val="single"/>
          <w:lang w:eastAsia="zh-CN"/>
        </w:rPr>
        <w:t>）</w:t>
      </w:r>
      <w:r>
        <w:rPr>
          <w:rFonts w:hint="eastAsia" w:ascii="宋体" w:hAnsi="宋体" w:eastAsia="宋体" w:cs="宋体"/>
          <w:sz w:val="24"/>
          <w:szCs w:val="24"/>
          <w:u w:val="single"/>
          <w:lang w:val="en-GB"/>
        </w:rPr>
        <w:t>（项目编号：</w:t>
      </w:r>
      <w:r>
        <w:rPr>
          <w:rFonts w:ascii="宋体" w:hAnsi="宋体" w:eastAsia="宋体" w:cs="宋体"/>
          <w:sz w:val="24"/>
          <w:szCs w:val="24"/>
          <w:u w:val="single"/>
        </w:rPr>
        <w:t xml:space="preserve">     </w:t>
      </w:r>
      <w:r>
        <w:rPr>
          <w:rFonts w:hint="eastAsia" w:ascii="宋体" w:hAnsi="宋体" w:eastAsia="宋体" w:cs="宋体"/>
          <w:sz w:val="24"/>
          <w:szCs w:val="24"/>
          <w:u w:val="single"/>
          <w:lang w:val="en-GB"/>
        </w:rPr>
        <w:t>）</w:t>
      </w:r>
      <w:r>
        <w:rPr>
          <w:rFonts w:hint="eastAsia" w:ascii="宋体" w:hAnsi="宋体" w:eastAsia="宋体" w:cs="宋体"/>
          <w:sz w:val="24"/>
          <w:szCs w:val="24"/>
          <w:lang w:val="en-GB"/>
        </w:rPr>
        <w:t>采购期间，未被列入下列情形之一：</w:t>
      </w:r>
    </w:p>
    <w:p>
      <w:pPr>
        <w:adjustRightInd w:val="0"/>
        <w:snapToGrid w:val="0"/>
        <w:spacing w:line="360" w:lineRule="auto"/>
        <w:ind w:firstLine="480" w:firstLineChars="200"/>
        <w:rPr>
          <w:rFonts w:hint="eastAsia" w:ascii="宋体" w:hAnsi="宋体" w:cs="宋体"/>
          <w:sz w:val="24"/>
          <w:szCs w:val="24"/>
          <w:lang w:val="en-GB"/>
        </w:rPr>
      </w:pPr>
      <w:r>
        <w:rPr>
          <w:rFonts w:hint="eastAsia" w:ascii="宋体" w:hAnsi="宋体" w:cs="宋体"/>
          <w:sz w:val="24"/>
          <w:szCs w:val="24"/>
          <w:lang w:val="en-GB"/>
        </w:rPr>
        <w:t>（1）与本项目其他供应商的单位负责人为同一人。</w:t>
      </w:r>
    </w:p>
    <w:p>
      <w:pPr>
        <w:adjustRightInd w:val="0"/>
        <w:snapToGrid w:val="0"/>
        <w:spacing w:line="360" w:lineRule="auto"/>
        <w:ind w:firstLine="480" w:firstLineChars="200"/>
        <w:rPr>
          <w:rFonts w:hint="eastAsia" w:ascii="宋体" w:hAnsi="宋体" w:cs="宋体"/>
          <w:sz w:val="24"/>
          <w:szCs w:val="24"/>
          <w:lang w:val="en-GB"/>
        </w:rPr>
      </w:pPr>
      <w:r>
        <w:rPr>
          <w:rFonts w:hint="eastAsia" w:ascii="宋体" w:hAnsi="宋体" w:cs="宋体"/>
          <w:sz w:val="24"/>
          <w:szCs w:val="24"/>
          <w:lang w:val="en-GB"/>
        </w:rPr>
        <w:t>（2）与本项目其他供应商存在控股或管理关系。</w:t>
      </w:r>
    </w:p>
    <w:p>
      <w:pPr>
        <w:adjustRightInd w:val="0"/>
        <w:snapToGrid w:val="0"/>
        <w:spacing w:line="360" w:lineRule="auto"/>
        <w:ind w:firstLine="480" w:firstLineChars="200"/>
        <w:rPr>
          <w:rFonts w:hint="eastAsia" w:ascii="宋体" w:hAnsi="宋体" w:cs="宋体"/>
          <w:sz w:val="24"/>
          <w:szCs w:val="24"/>
          <w:lang w:val="en-GB"/>
        </w:rPr>
      </w:pPr>
      <w:r>
        <w:rPr>
          <w:rFonts w:hint="eastAsia" w:ascii="宋体" w:hAnsi="宋体" w:cs="宋体"/>
          <w:sz w:val="24"/>
          <w:szCs w:val="24"/>
          <w:lang w:val="en-GB"/>
        </w:rPr>
        <w:t>（3）被本项目所在地省级以上行业主管部门依法暂停、取消投标或禁止参加采购活动且处于有效期内的。</w:t>
      </w:r>
    </w:p>
    <w:p>
      <w:pPr>
        <w:adjustRightInd w:val="0"/>
        <w:snapToGrid w:val="0"/>
        <w:spacing w:line="360" w:lineRule="auto"/>
        <w:ind w:firstLine="480" w:firstLineChars="200"/>
        <w:rPr>
          <w:rFonts w:hint="eastAsia" w:ascii="宋体" w:hAnsi="宋体" w:cs="宋体"/>
          <w:sz w:val="24"/>
          <w:szCs w:val="24"/>
          <w:lang w:val="en-GB"/>
        </w:rPr>
      </w:pPr>
      <w:r>
        <w:rPr>
          <w:rFonts w:hint="eastAsia" w:ascii="宋体" w:hAnsi="宋体" w:cs="宋体"/>
          <w:sz w:val="24"/>
          <w:szCs w:val="24"/>
          <w:lang w:val="en-GB"/>
        </w:rPr>
        <w:t>（4）处于被责令停产停业、暂扣或者吊销执照、暂扣或者吊销许可证、吊销资质证书状态。</w:t>
      </w:r>
    </w:p>
    <w:p>
      <w:pPr>
        <w:adjustRightInd w:val="0"/>
        <w:snapToGrid w:val="0"/>
        <w:spacing w:line="360" w:lineRule="auto"/>
        <w:ind w:firstLine="480" w:firstLineChars="200"/>
        <w:rPr>
          <w:rFonts w:hint="eastAsia" w:ascii="宋体" w:hAnsi="宋体" w:cs="宋体"/>
          <w:sz w:val="24"/>
          <w:szCs w:val="24"/>
          <w:lang w:val="en-GB"/>
        </w:rPr>
      </w:pPr>
      <w:r>
        <w:rPr>
          <w:rFonts w:hint="eastAsia" w:ascii="宋体" w:hAnsi="宋体" w:cs="宋体"/>
          <w:sz w:val="24"/>
          <w:szCs w:val="24"/>
          <w:lang w:val="en-GB"/>
        </w:rPr>
        <w:t>（5）进入清算程序，或被宣告破产，或其他丧失履约能力情形的。</w:t>
      </w:r>
    </w:p>
    <w:p>
      <w:pPr>
        <w:adjustRightInd w:val="0"/>
        <w:snapToGrid w:val="0"/>
        <w:spacing w:line="360" w:lineRule="auto"/>
        <w:ind w:firstLine="480" w:firstLineChars="200"/>
        <w:rPr>
          <w:rFonts w:hint="eastAsia" w:ascii="宋体" w:hAnsi="宋体" w:cs="宋体"/>
          <w:sz w:val="24"/>
          <w:szCs w:val="24"/>
          <w:lang w:val="en-GB"/>
        </w:rPr>
      </w:pPr>
      <w:r>
        <w:rPr>
          <w:rFonts w:hint="eastAsia" w:ascii="宋体" w:hAnsi="宋体" w:cs="宋体"/>
          <w:sz w:val="24"/>
          <w:szCs w:val="24"/>
          <w:lang w:val="en-GB"/>
        </w:rPr>
        <w:t>（6）近三年内因发生质量或安全生产事故等受到行政处罚且在处罚期内的。</w:t>
      </w:r>
    </w:p>
    <w:p>
      <w:pPr>
        <w:adjustRightInd w:val="0"/>
        <w:snapToGrid w:val="0"/>
        <w:spacing w:line="360" w:lineRule="auto"/>
        <w:ind w:firstLine="480" w:firstLineChars="200"/>
        <w:rPr>
          <w:rFonts w:hint="eastAsia" w:ascii="宋体" w:hAnsi="宋体" w:cs="宋体"/>
          <w:sz w:val="24"/>
          <w:szCs w:val="24"/>
          <w:lang w:val="en-GB"/>
        </w:rPr>
      </w:pPr>
      <w:r>
        <w:rPr>
          <w:rFonts w:hint="eastAsia" w:ascii="宋体" w:hAnsi="宋体" w:cs="宋体"/>
          <w:sz w:val="24"/>
          <w:szCs w:val="24"/>
          <w:lang w:val="en-GB"/>
        </w:rPr>
        <w:t>（7）在“信用中国”网站（www.creditchina.gov.cn）中被列入失信执行人、安全生产领域严重失信惩戒名单、拖欠农民工工资失信联合惩戒对象名单。</w:t>
      </w:r>
    </w:p>
    <w:p>
      <w:pPr>
        <w:adjustRightInd w:val="0"/>
        <w:snapToGrid w:val="0"/>
        <w:spacing w:line="360" w:lineRule="auto"/>
        <w:ind w:firstLine="480" w:firstLineChars="200"/>
        <w:rPr>
          <w:rFonts w:hint="eastAsia" w:ascii="宋体" w:hAnsi="宋体" w:cs="宋体"/>
          <w:sz w:val="24"/>
          <w:szCs w:val="24"/>
          <w:lang w:val="en-GB"/>
        </w:rPr>
      </w:pPr>
      <w:r>
        <w:rPr>
          <w:rFonts w:hint="eastAsia" w:ascii="宋体" w:hAnsi="宋体" w:cs="宋体"/>
          <w:sz w:val="24"/>
          <w:szCs w:val="24"/>
          <w:lang w:val="en-GB"/>
        </w:rPr>
        <w:t>（8）在“信用中国”网站（www.creditchina.gov.cn）中被列入严重失信主体名单。</w:t>
      </w:r>
    </w:p>
    <w:p>
      <w:pPr>
        <w:adjustRightInd w:val="0"/>
        <w:snapToGrid w:val="0"/>
        <w:spacing w:line="360" w:lineRule="auto"/>
        <w:ind w:firstLine="480" w:firstLineChars="200"/>
        <w:rPr>
          <w:rFonts w:hint="eastAsia" w:ascii="宋体" w:hAnsi="宋体" w:cs="宋体"/>
          <w:sz w:val="24"/>
          <w:szCs w:val="24"/>
          <w:lang w:val="en-GB"/>
        </w:rPr>
      </w:pPr>
      <w:r>
        <w:rPr>
          <w:rFonts w:hint="eastAsia" w:ascii="宋体" w:hAnsi="宋体" w:cs="宋体"/>
          <w:sz w:val="24"/>
          <w:szCs w:val="24"/>
          <w:lang w:val="en-GB"/>
        </w:rPr>
        <w:t>（9）其他违法违纪行为，经审查认为不宜被邀请参加采购活动的。</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（10）其他禁止情形：</w:t>
      </w:r>
    </w:p>
    <w:p>
      <w:pPr>
        <w:adjustRightInd w:val="0"/>
        <w:snapToGrid w:val="0"/>
        <w:spacing w:line="360" w:lineRule="auto"/>
        <w:rPr>
          <w:rFonts w:ascii="宋体" w:hAnsi="宋体" w:eastAsia="宋体" w:cs="宋体"/>
          <w:b/>
          <w:sz w:val="24"/>
          <w:szCs w:val="24"/>
        </w:rPr>
      </w:pPr>
    </w:p>
    <w:p>
      <w:pPr>
        <w:adjustRightInd w:val="0"/>
        <w:snapToGrid w:val="0"/>
        <w:spacing w:line="360" w:lineRule="auto"/>
        <w:jc w:val="right"/>
        <w:rPr>
          <w:rFonts w:ascii="宋体" w:hAnsi="宋体" w:eastAsia="宋体" w:cs="宋体"/>
          <w:sz w:val="24"/>
          <w:szCs w:val="24"/>
          <w:lang w:val="en-GB"/>
        </w:rPr>
      </w:pPr>
      <w:r>
        <w:rPr>
          <w:rFonts w:hint="eastAsia" w:ascii="宋体" w:hAnsi="宋体" w:eastAsia="宋体" w:cs="宋体"/>
          <w:sz w:val="24"/>
          <w:szCs w:val="24"/>
          <w:lang w:val="en-GB"/>
        </w:rPr>
        <w:t>供应商名称（加盖公章）：</w:t>
      </w:r>
      <w:r>
        <w:rPr>
          <w:rFonts w:ascii="宋体" w:hAnsi="宋体" w:eastAsia="宋体" w:cs="宋体"/>
          <w:sz w:val="24"/>
          <w:szCs w:val="24"/>
          <w:lang w:val="en-GB"/>
        </w:rPr>
        <w:t xml:space="preserve"> </w:t>
      </w:r>
    </w:p>
    <w:p>
      <w:pPr>
        <w:adjustRightInd w:val="0"/>
        <w:snapToGrid w:val="0"/>
        <w:spacing w:line="360" w:lineRule="auto"/>
        <w:jc w:val="right"/>
        <w:rPr>
          <w:rFonts w:ascii="宋体" w:hAnsi="宋体" w:eastAsia="宋体" w:cs="宋体"/>
          <w:sz w:val="24"/>
          <w:szCs w:val="24"/>
          <w:lang w:val="en-GB"/>
        </w:rPr>
      </w:pPr>
      <w:r>
        <w:rPr>
          <w:rFonts w:hint="eastAsia" w:ascii="宋体" w:hAnsi="宋体" w:eastAsia="宋体" w:cs="宋体"/>
          <w:sz w:val="24"/>
          <w:szCs w:val="24"/>
          <w:lang w:val="en-GB"/>
        </w:rPr>
        <w:t>年</w:t>
      </w:r>
      <w:r>
        <w:rPr>
          <w:rFonts w:ascii="宋体" w:hAnsi="宋体" w:eastAsia="宋体" w:cs="宋体"/>
          <w:sz w:val="24"/>
          <w:szCs w:val="24"/>
          <w:lang w:val="en-GB"/>
        </w:rPr>
        <w:t xml:space="preserve">  </w:t>
      </w:r>
      <w:r>
        <w:rPr>
          <w:rFonts w:hint="eastAsia" w:ascii="宋体" w:hAnsi="宋体" w:eastAsia="宋体" w:cs="宋体"/>
          <w:sz w:val="24"/>
          <w:szCs w:val="24"/>
          <w:lang w:val="en-GB"/>
        </w:rPr>
        <w:t>月</w:t>
      </w:r>
      <w:r>
        <w:rPr>
          <w:rFonts w:ascii="宋体" w:hAnsi="宋体" w:eastAsia="宋体" w:cs="宋体"/>
          <w:sz w:val="24"/>
          <w:szCs w:val="24"/>
          <w:lang w:val="en-GB"/>
        </w:rPr>
        <w:t xml:space="preserve">  </w:t>
      </w:r>
      <w:r>
        <w:rPr>
          <w:rFonts w:hint="eastAsia" w:ascii="宋体" w:hAnsi="宋体" w:eastAsia="宋体" w:cs="宋体"/>
          <w:sz w:val="24"/>
          <w:szCs w:val="24"/>
          <w:lang w:val="en-GB"/>
        </w:rPr>
        <w:t>日</w:t>
      </w:r>
    </w:p>
    <w:p>
      <w:pPr>
        <w:jc w:val="left"/>
        <w:rPr>
          <w:rFonts w:cs="Times New Roman" w:asciiTheme="minorEastAsia" w:hAnsiTheme="minorEastAsia"/>
          <w:b/>
          <w:bCs/>
          <w:sz w:val="28"/>
          <w:szCs w:val="28"/>
        </w:rPr>
      </w:pPr>
    </w:p>
    <w:p>
      <w:pPr>
        <w:jc w:val="left"/>
        <w:rPr>
          <w:rFonts w:cs="Times New Roman" w:asciiTheme="minorEastAsia" w:hAnsiTheme="minorEastAsia"/>
          <w:b/>
          <w:bCs/>
          <w:sz w:val="28"/>
          <w:szCs w:val="28"/>
        </w:rPr>
      </w:pPr>
    </w:p>
    <w:p>
      <w:pPr>
        <w:jc w:val="left"/>
        <w:rPr>
          <w:rFonts w:cs="Times New Roman" w:asciiTheme="minorEastAsia" w:hAnsiTheme="minorEastAsia"/>
          <w:b/>
          <w:bCs/>
          <w:sz w:val="28"/>
          <w:szCs w:val="28"/>
        </w:rPr>
      </w:pPr>
    </w:p>
    <w:p>
      <w:pPr>
        <w:pStyle w:val="25"/>
      </w:pPr>
    </w:p>
    <w:p>
      <w:pPr>
        <w:jc w:val="left"/>
        <w:rPr>
          <w:rFonts w:cs="Times New Roman" w:asciiTheme="minorEastAsia" w:hAnsiTheme="minorEastAsia"/>
          <w:b/>
          <w:bCs/>
          <w:sz w:val="28"/>
          <w:szCs w:val="28"/>
        </w:rPr>
      </w:pPr>
    </w:p>
    <w:p>
      <w:pPr>
        <w:jc w:val="left"/>
        <w:rPr>
          <w:rFonts w:cs="Times New Roman" w:asciiTheme="minorEastAsia" w:hAnsiTheme="minorEastAsia"/>
          <w:b/>
          <w:bCs/>
          <w:sz w:val="28"/>
          <w:szCs w:val="28"/>
        </w:rPr>
      </w:pPr>
    </w:p>
    <w:p>
      <w:pPr>
        <w:jc w:val="left"/>
        <w:rPr>
          <w:rFonts w:cs="Times New Roman" w:asciiTheme="minorEastAsia" w:hAnsiTheme="minorEastAsia"/>
          <w:b/>
          <w:bCs/>
          <w:sz w:val="28"/>
          <w:szCs w:val="28"/>
        </w:rPr>
      </w:pPr>
      <w:r>
        <w:rPr>
          <w:rFonts w:cs="Times New Roman" w:asciiTheme="minorEastAsia" w:hAnsiTheme="minorEastAsia"/>
          <w:b/>
          <w:bCs/>
          <w:sz w:val="28"/>
          <w:szCs w:val="28"/>
        </w:rPr>
        <w:t>4.拟投入本项目的项目负责人情况表</w:t>
      </w:r>
    </w:p>
    <w:p>
      <w:pPr>
        <w:pStyle w:val="25"/>
        <w:rPr>
          <w:rFonts w:ascii="仿宋_GB2312" w:eastAsia="仿宋_GB2312" w:hAnsiTheme="minorEastAsia"/>
          <w:sz w:val="28"/>
          <w:szCs w:val="28"/>
        </w:rPr>
      </w:pPr>
    </w:p>
    <w:p>
      <w:pPr>
        <w:jc w:val="center"/>
        <w:rPr>
          <w:rFonts w:ascii="仿宋" w:hAnsi="仿宋" w:eastAsia="仿宋" w:cs="仿宋_GB2312"/>
          <w:b/>
          <w:sz w:val="28"/>
          <w:szCs w:val="28"/>
        </w:rPr>
      </w:pPr>
      <w:r>
        <w:rPr>
          <w:rFonts w:ascii="仿宋" w:hAnsi="仿宋" w:eastAsia="仿宋" w:cs="仿宋_GB2312"/>
          <w:b/>
          <w:sz w:val="28"/>
          <w:szCs w:val="28"/>
        </w:rPr>
        <w:t xml:space="preserve"> 拟投入本项目的项目负责人情况表</w:t>
      </w:r>
    </w:p>
    <w:tbl>
      <w:tblPr>
        <w:tblStyle w:val="26"/>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61" w:type="dxa"/>
            <w:noWrap/>
          </w:tcPr>
          <w:p>
            <w:pPr>
              <w:jc w:val="center"/>
              <w:rPr>
                <w:rFonts w:ascii="仿宋" w:hAnsi="仿宋" w:eastAsia="仿宋" w:cs="仿宋_GB2312"/>
                <w:b/>
                <w:sz w:val="28"/>
                <w:szCs w:val="28"/>
              </w:rPr>
            </w:pPr>
            <w:r>
              <w:rPr>
                <w:rFonts w:hint="eastAsia" w:ascii="仿宋" w:hAnsi="仿宋" w:eastAsia="仿宋" w:cs="仿宋_GB2312"/>
                <w:b/>
                <w:sz w:val="28"/>
                <w:szCs w:val="28"/>
              </w:rPr>
              <w:t>姓名</w:t>
            </w:r>
          </w:p>
        </w:tc>
        <w:tc>
          <w:tcPr>
            <w:tcW w:w="1497" w:type="dxa"/>
            <w:gridSpan w:val="2"/>
            <w:noWrap/>
          </w:tcPr>
          <w:p>
            <w:pPr>
              <w:jc w:val="center"/>
              <w:rPr>
                <w:rFonts w:ascii="仿宋" w:hAnsi="仿宋" w:eastAsia="仿宋" w:cs="仿宋_GB2312"/>
                <w:b/>
                <w:sz w:val="28"/>
                <w:szCs w:val="28"/>
              </w:rPr>
            </w:pPr>
          </w:p>
        </w:tc>
        <w:tc>
          <w:tcPr>
            <w:tcW w:w="1613" w:type="dxa"/>
            <w:gridSpan w:val="2"/>
            <w:noWrap/>
          </w:tcPr>
          <w:p>
            <w:pPr>
              <w:jc w:val="center"/>
              <w:rPr>
                <w:rFonts w:ascii="仿宋" w:hAnsi="仿宋" w:eastAsia="仿宋" w:cs="仿宋_GB2312"/>
                <w:b/>
                <w:sz w:val="28"/>
                <w:szCs w:val="28"/>
              </w:rPr>
            </w:pPr>
            <w:r>
              <w:rPr>
                <w:rFonts w:hint="eastAsia" w:ascii="仿宋" w:hAnsi="仿宋" w:eastAsia="仿宋" w:cs="仿宋_GB2312"/>
                <w:b/>
                <w:sz w:val="28"/>
                <w:szCs w:val="28"/>
              </w:rPr>
              <w:t>出生年月</w:t>
            </w:r>
          </w:p>
        </w:tc>
        <w:tc>
          <w:tcPr>
            <w:tcW w:w="1337" w:type="dxa"/>
            <w:gridSpan w:val="2"/>
            <w:noWrap/>
          </w:tcPr>
          <w:p>
            <w:pPr>
              <w:jc w:val="center"/>
              <w:rPr>
                <w:rFonts w:ascii="仿宋" w:hAnsi="仿宋" w:eastAsia="仿宋" w:cs="仿宋_GB2312"/>
                <w:b/>
                <w:sz w:val="28"/>
                <w:szCs w:val="28"/>
              </w:rPr>
            </w:pPr>
          </w:p>
        </w:tc>
        <w:tc>
          <w:tcPr>
            <w:tcW w:w="2198" w:type="dxa"/>
            <w:gridSpan w:val="2"/>
            <w:noWrap/>
          </w:tcPr>
          <w:p>
            <w:pPr>
              <w:jc w:val="center"/>
              <w:rPr>
                <w:rFonts w:ascii="仿宋" w:hAnsi="仿宋" w:eastAsia="仿宋" w:cs="仿宋_GB2312"/>
                <w:b/>
                <w:sz w:val="28"/>
                <w:szCs w:val="28"/>
              </w:rPr>
            </w:pPr>
            <w:r>
              <w:rPr>
                <w:rFonts w:hint="eastAsia" w:ascii="仿宋" w:hAnsi="仿宋" w:eastAsia="仿宋" w:cs="仿宋_GB2312"/>
                <w:b/>
                <w:sz w:val="28"/>
                <w:szCs w:val="28"/>
              </w:rPr>
              <w:t>学历</w:t>
            </w:r>
          </w:p>
        </w:tc>
        <w:tc>
          <w:tcPr>
            <w:tcW w:w="1119" w:type="dxa"/>
            <w:noWrap/>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职称</w:t>
            </w:r>
          </w:p>
        </w:tc>
        <w:tc>
          <w:tcPr>
            <w:tcW w:w="1497" w:type="dxa"/>
            <w:gridSpan w:val="2"/>
            <w:noWrap/>
          </w:tcPr>
          <w:p>
            <w:pPr>
              <w:spacing w:line="360" w:lineRule="exact"/>
              <w:jc w:val="center"/>
              <w:rPr>
                <w:rFonts w:ascii="仿宋" w:hAnsi="仿宋" w:eastAsia="仿宋" w:cs="仿宋_GB2312"/>
                <w:b/>
                <w:sz w:val="28"/>
                <w:szCs w:val="28"/>
              </w:rPr>
            </w:pPr>
          </w:p>
        </w:tc>
        <w:tc>
          <w:tcPr>
            <w:tcW w:w="1613" w:type="dxa"/>
            <w:gridSpan w:val="2"/>
            <w:noWra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职务</w:t>
            </w:r>
          </w:p>
        </w:tc>
        <w:tc>
          <w:tcPr>
            <w:tcW w:w="1337" w:type="dxa"/>
            <w:gridSpan w:val="2"/>
            <w:noWrap/>
          </w:tcPr>
          <w:p>
            <w:pPr>
              <w:spacing w:line="360" w:lineRule="exact"/>
              <w:jc w:val="center"/>
              <w:rPr>
                <w:rFonts w:ascii="仿宋" w:hAnsi="仿宋" w:eastAsia="仿宋" w:cs="仿宋_GB2312"/>
                <w:b/>
                <w:sz w:val="28"/>
                <w:szCs w:val="28"/>
              </w:rPr>
            </w:pPr>
          </w:p>
        </w:tc>
        <w:tc>
          <w:tcPr>
            <w:tcW w:w="2198" w:type="dxa"/>
            <w:gridSpan w:val="2"/>
            <w:noWra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从事本工作时间</w:t>
            </w:r>
          </w:p>
        </w:tc>
        <w:tc>
          <w:tcPr>
            <w:tcW w:w="1119" w:type="dxa"/>
            <w:noWrap/>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5" w:hRule="atLeast"/>
        </w:trPr>
        <w:tc>
          <w:tcPr>
            <w:tcW w:w="1661" w:type="dxa"/>
            <w:noWra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毕业院校</w:t>
            </w:r>
          </w:p>
        </w:tc>
        <w:tc>
          <w:tcPr>
            <w:tcW w:w="1497" w:type="dxa"/>
            <w:gridSpan w:val="2"/>
            <w:noWrap/>
          </w:tcPr>
          <w:p>
            <w:pPr>
              <w:spacing w:line="360" w:lineRule="exact"/>
              <w:jc w:val="center"/>
              <w:rPr>
                <w:rFonts w:ascii="仿宋" w:hAnsi="仿宋" w:eastAsia="仿宋" w:cs="仿宋_GB2312"/>
                <w:b/>
                <w:sz w:val="28"/>
                <w:szCs w:val="28"/>
              </w:rPr>
            </w:pPr>
          </w:p>
        </w:tc>
        <w:tc>
          <w:tcPr>
            <w:tcW w:w="1613" w:type="dxa"/>
            <w:gridSpan w:val="2"/>
            <w:noWra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毕业时间</w:t>
            </w:r>
          </w:p>
        </w:tc>
        <w:tc>
          <w:tcPr>
            <w:tcW w:w="1337" w:type="dxa"/>
            <w:gridSpan w:val="2"/>
            <w:noWrap/>
          </w:tcPr>
          <w:p>
            <w:pPr>
              <w:spacing w:line="360" w:lineRule="exact"/>
              <w:jc w:val="center"/>
              <w:rPr>
                <w:rFonts w:ascii="仿宋" w:hAnsi="仿宋" w:eastAsia="仿宋" w:cs="仿宋_GB2312"/>
                <w:b/>
                <w:sz w:val="28"/>
                <w:szCs w:val="28"/>
              </w:rPr>
            </w:pPr>
          </w:p>
        </w:tc>
        <w:tc>
          <w:tcPr>
            <w:tcW w:w="2198" w:type="dxa"/>
            <w:gridSpan w:val="2"/>
            <w:noWra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专业</w:t>
            </w:r>
          </w:p>
        </w:tc>
        <w:tc>
          <w:tcPr>
            <w:tcW w:w="1119" w:type="dxa"/>
            <w:noWrap/>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注册证书等级</w:t>
            </w:r>
          </w:p>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和专业</w:t>
            </w:r>
          </w:p>
        </w:tc>
        <w:tc>
          <w:tcPr>
            <w:tcW w:w="2950" w:type="dxa"/>
            <w:gridSpan w:val="4"/>
            <w:noWrap/>
          </w:tcPr>
          <w:p>
            <w:pPr>
              <w:spacing w:line="360" w:lineRule="exact"/>
              <w:jc w:val="center"/>
              <w:rPr>
                <w:rFonts w:ascii="仿宋" w:hAnsi="仿宋" w:eastAsia="仿宋" w:cs="仿宋_GB2312"/>
                <w:b/>
                <w:sz w:val="28"/>
                <w:szCs w:val="28"/>
              </w:rPr>
            </w:pPr>
          </w:p>
        </w:tc>
        <w:tc>
          <w:tcPr>
            <w:tcW w:w="2198" w:type="dxa"/>
            <w:gridSpan w:val="2"/>
            <w:noWra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证书编号</w:t>
            </w:r>
          </w:p>
        </w:tc>
        <w:tc>
          <w:tcPr>
            <w:tcW w:w="1119" w:type="dxa"/>
            <w:noWrap/>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tcPr>
          <w:p>
            <w:pPr>
              <w:jc w:val="center"/>
              <w:rPr>
                <w:rFonts w:ascii="仿宋" w:hAnsi="仿宋" w:eastAsia="仿宋" w:cs="仿宋_GB2312"/>
                <w:b/>
                <w:sz w:val="28"/>
                <w:szCs w:val="28"/>
              </w:rPr>
            </w:pPr>
            <w:r>
              <w:rPr>
                <w:rFonts w:hint="eastAsia" w:ascii="仿宋" w:hAnsi="仿宋" w:eastAsia="仿宋" w:cs="仿宋_GB2312"/>
                <w:b/>
                <w:sz w:val="28"/>
                <w:szCs w:val="28"/>
              </w:rPr>
              <w:t>职称证专业</w:t>
            </w:r>
          </w:p>
        </w:tc>
        <w:tc>
          <w:tcPr>
            <w:tcW w:w="2950" w:type="dxa"/>
            <w:gridSpan w:val="4"/>
            <w:noWrap/>
          </w:tcPr>
          <w:p>
            <w:pPr>
              <w:jc w:val="center"/>
              <w:rPr>
                <w:rFonts w:ascii="仿宋" w:hAnsi="仿宋" w:eastAsia="仿宋" w:cs="仿宋_GB2312"/>
                <w:b/>
                <w:sz w:val="28"/>
                <w:szCs w:val="28"/>
              </w:rPr>
            </w:pPr>
          </w:p>
        </w:tc>
        <w:tc>
          <w:tcPr>
            <w:tcW w:w="2198" w:type="dxa"/>
            <w:gridSpan w:val="2"/>
            <w:noWrap/>
          </w:tcPr>
          <w:p>
            <w:pPr>
              <w:jc w:val="center"/>
              <w:rPr>
                <w:rFonts w:ascii="仿宋" w:hAnsi="仿宋" w:eastAsia="仿宋" w:cs="仿宋_GB2312"/>
                <w:b/>
                <w:sz w:val="28"/>
                <w:szCs w:val="28"/>
              </w:rPr>
            </w:pPr>
            <w:r>
              <w:rPr>
                <w:rFonts w:hint="eastAsia" w:ascii="仿宋" w:hAnsi="仿宋" w:eastAsia="仿宋" w:cs="仿宋_GB2312"/>
                <w:b/>
                <w:sz w:val="28"/>
                <w:szCs w:val="28"/>
              </w:rPr>
              <w:t>证书编号</w:t>
            </w:r>
          </w:p>
        </w:tc>
        <w:tc>
          <w:tcPr>
            <w:tcW w:w="1119" w:type="dxa"/>
            <w:noWrap/>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noWrap/>
          </w:tcPr>
          <w:p>
            <w:pPr>
              <w:jc w:val="center"/>
              <w:rPr>
                <w:rFonts w:ascii="仿宋" w:hAnsi="仿宋" w:eastAsia="仿宋" w:cs="仿宋_GB2312"/>
                <w:b/>
                <w:sz w:val="28"/>
                <w:szCs w:val="28"/>
              </w:rPr>
            </w:pPr>
            <w:r>
              <w:rPr>
                <w:rFonts w:hint="eastAsia" w:ascii="仿宋" w:hAnsi="仿宋" w:eastAsia="仿宋" w:cs="仿宋_GB2312"/>
                <w:b/>
                <w:sz w:val="28"/>
                <w:szCs w:val="28"/>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tcPr>
          <w:p>
            <w:pPr>
              <w:jc w:val="center"/>
              <w:rPr>
                <w:rFonts w:ascii="仿宋" w:hAnsi="仿宋" w:eastAsia="仿宋" w:cs="仿宋_GB2312"/>
                <w:b/>
                <w:sz w:val="28"/>
                <w:szCs w:val="28"/>
              </w:rPr>
            </w:pPr>
            <w:r>
              <w:rPr>
                <w:rFonts w:hint="eastAsia" w:ascii="仿宋" w:hAnsi="仿宋" w:eastAsia="仿宋" w:cs="仿宋_GB2312"/>
                <w:b/>
                <w:sz w:val="28"/>
                <w:szCs w:val="28"/>
              </w:rPr>
              <w:t>项目名称</w:t>
            </w:r>
          </w:p>
        </w:tc>
        <w:tc>
          <w:tcPr>
            <w:tcW w:w="1993" w:type="dxa"/>
            <w:gridSpan w:val="2"/>
            <w:noWrap/>
          </w:tcPr>
          <w:p>
            <w:pPr>
              <w:jc w:val="center"/>
              <w:rPr>
                <w:rFonts w:ascii="仿宋" w:hAnsi="仿宋" w:eastAsia="仿宋" w:cs="仿宋_GB2312"/>
                <w:b/>
                <w:sz w:val="28"/>
                <w:szCs w:val="28"/>
              </w:rPr>
            </w:pPr>
            <w:r>
              <w:rPr>
                <w:rFonts w:hint="eastAsia" w:ascii="仿宋" w:hAnsi="仿宋" w:eastAsia="仿宋" w:cs="仿宋_GB2312"/>
                <w:b/>
                <w:sz w:val="28"/>
                <w:szCs w:val="28"/>
              </w:rPr>
              <w:t>合同金额</w:t>
            </w:r>
          </w:p>
        </w:tc>
        <w:tc>
          <w:tcPr>
            <w:tcW w:w="1993" w:type="dxa"/>
            <w:gridSpan w:val="2"/>
            <w:noWrap/>
          </w:tcPr>
          <w:p>
            <w:pPr>
              <w:jc w:val="center"/>
              <w:rPr>
                <w:rFonts w:ascii="仿宋" w:hAnsi="仿宋" w:eastAsia="仿宋" w:cs="仿宋_GB2312"/>
                <w:b/>
                <w:sz w:val="28"/>
                <w:szCs w:val="28"/>
              </w:rPr>
            </w:pPr>
            <w:r>
              <w:rPr>
                <w:rFonts w:hint="eastAsia" w:ascii="仿宋" w:hAnsi="仿宋" w:eastAsia="仿宋" w:cs="仿宋_GB2312"/>
                <w:b/>
                <w:sz w:val="28"/>
                <w:szCs w:val="28"/>
              </w:rPr>
              <w:t>开、竣工时间</w:t>
            </w:r>
          </w:p>
        </w:tc>
        <w:tc>
          <w:tcPr>
            <w:tcW w:w="1993" w:type="dxa"/>
            <w:gridSpan w:val="2"/>
            <w:noWrap/>
          </w:tcPr>
          <w:p>
            <w:pPr>
              <w:jc w:val="center"/>
              <w:rPr>
                <w:rFonts w:ascii="仿宋" w:hAnsi="仿宋" w:eastAsia="仿宋" w:cs="仿宋_GB2312"/>
                <w:b/>
                <w:sz w:val="28"/>
                <w:szCs w:val="28"/>
              </w:rPr>
            </w:pPr>
            <w:r>
              <w:rPr>
                <w:rFonts w:hint="eastAsia" w:ascii="仿宋" w:hAnsi="仿宋" w:eastAsia="仿宋" w:cs="仿宋_GB2312"/>
                <w:b/>
                <w:sz w:val="28"/>
                <w:szCs w:val="28"/>
              </w:rPr>
              <w:t>担任职务</w:t>
            </w:r>
          </w:p>
        </w:tc>
        <w:tc>
          <w:tcPr>
            <w:tcW w:w="1453" w:type="dxa"/>
            <w:gridSpan w:val="2"/>
            <w:noWrap/>
          </w:tcPr>
          <w:p>
            <w:pPr>
              <w:jc w:val="center"/>
              <w:rPr>
                <w:rFonts w:ascii="仿宋" w:hAnsi="仿宋" w:eastAsia="仿宋" w:cs="仿宋_GB2312"/>
                <w:b/>
                <w:sz w:val="28"/>
                <w:szCs w:val="28"/>
              </w:rPr>
            </w:pPr>
            <w:r>
              <w:rPr>
                <w:rFonts w:hint="eastAsia" w:ascii="仿宋" w:hAnsi="仿宋" w:eastAsia="仿宋" w:cs="仿宋_GB2312"/>
                <w:b/>
                <w:sz w:val="28"/>
                <w:szCs w:val="28"/>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93" w:type="dxa"/>
            <w:gridSpan w:val="2"/>
            <w:noWrap/>
          </w:tcPr>
          <w:p>
            <w:pPr>
              <w:jc w:val="center"/>
              <w:rPr>
                <w:rFonts w:ascii="仿宋" w:hAnsi="仿宋" w:eastAsia="仿宋" w:cs="仿宋_GB2312"/>
                <w:b/>
                <w:sz w:val="28"/>
                <w:szCs w:val="28"/>
              </w:rPr>
            </w:pPr>
          </w:p>
        </w:tc>
        <w:tc>
          <w:tcPr>
            <w:tcW w:w="1993" w:type="dxa"/>
            <w:gridSpan w:val="2"/>
            <w:noWrap/>
          </w:tcPr>
          <w:p>
            <w:pPr>
              <w:jc w:val="center"/>
              <w:rPr>
                <w:rFonts w:ascii="仿宋" w:hAnsi="仿宋" w:eastAsia="仿宋" w:cs="仿宋_GB2312"/>
                <w:b/>
                <w:sz w:val="28"/>
                <w:szCs w:val="28"/>
              </w:rPr>
            </w:pPr>
          </w:p>
        </w:tc>
        <w:tc>
          <w:tcPr>
            <w:tcW w:w="1993" w:type="dxa"/>
            <w:gridSpan w:val="2"/>
            <w:noWrap/>
          </w:tcPr>
          <w:p>
            <w:pPr>
              <w:jc w:val="center"/>
              <w:rPr>
                <w:rFonts w:ascii="仿宋" w:hAnsi="仿宋" w:eastAsia="仿宋" w:cs="仿宋_GB2312"/>
                <w:b/>
                <w:sz w:val="28"/>
                <w:szCs w:val="28"/>
              </w:rPr>
            </w:pPr>
          </w:p>
        </w:tc>
        <w:tc>
          <w:tcPr>
            <w:tcW w:w="1993" w:type="dxa"/>
            <w:gridSpan w:val="2"/>
            <w:noWrap/>
          </w:tcPr>
          <w:p>
            <w:pPr>
              <w:jc w:val="center"/>
              <w:rPr>
                <w:rFonts w:ascii="仿宋" w:hAnsi="仿宋" w:eastAsia="仿宋" w:cs="仿宋_GB2312"/>
                <w:b/>
                <w:sz w:val="28"/>
                <w:szCs w:val="28"/>
              </w:rPr>
            </w:pPr>
          </w:p>
        </w:tc>
        <w:tc>
          <w:tcPr>
            <w:tcW w:w="1453" w:type="dxa"/>
            <w:gridSpan w:val="2"/>
            <w:noWrap/>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tcPr>
          <w:p>
            <w:pPr>
              <w:jc w:val="center"/>
              <w:rPr>
                <w:rFonts w:ascii="仿宋" w:hAnsi="仿宋" w:eastAsia="仿宋" w:cs="仿宋_GB2312"/>
                <w:b/>
                <w:sz w:val="28"/>
                <w:szCs w:val="28"/>
              </w:rPr>
            </w:pPr>
          </w:p>
        </w:tc>
        <w:tc>
          <w:tcPr>
            <w:tcW w:w="1993" w:type="dxa"/>
            <w:gridSpan w:val="2"/>
            <w:noWrap/>
          </w:tcPr>
          <w:p>
            <w:pPr>
              <w:jc w:val="center"/>
              <w:rPr>
                <w:rFonts w:ascii="仿宋" w:hAnsi="仿宋" w:eastAsia="仿宋" w:cs="仿宋_GB2312"/>
                <w:b/>
                <w:sz w:val="28"/>
                <w:szCs w:val="28"/>
              </w:rPr>
            </w:pPr>
          </w:p>
        </w:tc>
        <w:tc>
          <w:tcPr>
            <w:tcW w:w="1993" w:type="dxa"/>
            <w:gridSpan w:val="2"/>
            <w:noWrap/>
          </w:tcPr>
          <w:p>
            <w:pPr>
              <w:jc w:val="center"/>
              <w:rPr>
                <w:rFonts w:ascii="仿宋" w:hAnsi="仿宋" w:eastAsia="仿宋" w:cs="仿宋_GB2312"/>
                <w:b/>
                <w:sz w:val="28"/>
                <w:szCs w:val="28"/>
              </w:rPr>
            </w:pPr>
          </w:p>
        </w:tc>
        <w:tc>
          <w:tcPr>
            <w:tcW w:w="1993" w:type="dxa"/>
            <w:gridSpan w:val="2"/>
            <w:noWrap/>
          </w:tcPr>
          <w:p>
            <w:pPr>
              <w:jc w:val="center"/>
              <w:rPr>
                <w:rFonts w:ascii="仿宋" w:hAnsi="仿宋" w:eastAsia="仿宋" w:cs="仿宋_GB2312"/>
                <w:b/>
                <w:sz w:val="28"/>
                <w:szCs w:val="28"/>
              </w:rPr>
            </w:pPr>
          </w:p>
        </w:tc>
        <w:tc>
          <w:tcPr>
            <w:tcW w:w="1453" w:type="dxa"/>
            <w:gridSpan w:val="2"/>
            <w:noWrap/>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tcPr>
          <w:p>
            <w:pPr>
              <w:jc w:val="center"/>
              <w:rPr>
                <w:rFonts w:ascii="仿宋" w:hAnsi="仿宋" w:eastAsia="仿宋" w:cs="仿宋_GB2312"/>
                <w:b/>
                <w:sz w:val="28"/>
                <w:szCs w:val="28"/>
              </w:rPr>
            </w:pPr>
          </w:p>
        </w:tc>
        <w:tc>
          <w:tcPr>
            <w:tcW w:w="1993" w:type="dxa"/>
            <w:gridSpan w:val="2"/>
            <w:noWrap/>
          </w:tcPr>
          <w:p>
            <w:pPr>
              <w:jc w:val="center"/>
              <w:rPr>
                <w:rFonts w:ascii="仿宋" w:hAnsi="仿宋" w:eastAsia="仿宋" w:cs="仿宋_GB2312"/>
                <w:b/>
                <w:sz w:val="28"/>
                <w:szCs w:val="28"/>
              </w:rPr>
            </w:pPr>
          </w:p>
        </w:tc>
        <w:tc>
          <w:tcPr>
            <w:tcW w:w="1993" w:type="dxa"/>
            <w:gridSpan w:val="2"/>
            <w:noWrap/>
          </w:tcPr>
          <w:p>
            <w:pPr>
              <w:jc w:val="center"/>
              <w:rPr>
                <w:rFonts w:ascii="仿宋" w:hAnsi="仿宋" w:eastAsia="仿宋" w:cs="仿宋_GB2312"/>
                <w:b/>
                <w:sz w:val="28"/>
                <w:szCs w:val="28"/>
              </w:rPr>
            </w:pPr>
          </w:p>
        </w:tc>
        <w:tc>
          <w:tcPr>
            <w:tcW w:w="1993" w:type="dxa"/>
            <w:gridSpan w:val="2"/>
            <w:noWrap/>
          </w:tcPr>
          <w:p>
            <w:pPr>
              <w:jc w:val="center"/>
              <w:rPr>
                <w:rFonts w:ascii="仿宋" w:hAnsi="仿宋" w:eastAsia="仿宋" w:cs="仿宋_GB2312"/>
                <w:b/>
                <w:sz w:val="28"/>
                <w:szCs w:val="28"/>
              </w:rPr>
            </w:pPr>
          </w:p>
        </w:tc>
        <w:tc>
          <w:tcPr>
            <w:tcW w:w="1453" w:type="dxa"/>
            <w:gridSpan w:val="2"/>
            <w:noWrap/>
          </w:tcPr>
          <w:p>
            <w:pPr>
              <w:jc w:val="center"/>
              <w:rPr>
                <w:rFonts w:ascii="仿宋" w:hAnsi="仿宋" w:eastAsia="仿宋" w:cs="仿宋_GB2312"/>
                <w:b/>
                <w:sz w:val="28"/>
                <w:szCs w:val="28"/>
              </w:rPr>
            </w:pPr>
          </w:p>
        </w:tc>
      </w:tr>
    </w:tbl>
    <w:p>
      <w:pPr>
        <w:pStyle w:val="25"/>
        <w:rPr>
          <w:rFonts w:ascii="仿宋_GB2312" w:eastAsia="仿宋_GB2312" w:hAnsiTheme="minorEastAsia"/>
          <w:sz w:val="28"/>
          <w:szCs w:val="28"/>
        </w:rPr>
      </w:pPr>
    </w:p>
    <w:p>
      <w:pPr>
        <w:adjustRightInd w:val="0"/>
        <w:snapToGrid w:val="0"/>
        <w:spacing w:line="360" w:lineRule="auto"/>
        <w:jc w:val="right"/>
        <w:rPr>
          <w:rFonts w:hint="eastAsia" w:ascii="宋体" w:hAnsi="宋体" w:eastAsia="宋体" w:cs="宋体"/>
          <w:sz w:val="24"/>
          <w:szCs w:val="24"/>
          <w:lang w:val="en-GB"/>
        </w:rPr>
      </w:pPr>
      <w:r>
        <w:rPr>
          <w:rFonts w:hint="eastAsia" w:ascii="宋体" w:hAnsi="宋体" w:eastAsia="宋体" w:cs="宋体"/>
          <w:sz w:val="24"/>
          <w:szCs w:val="24"/>
          <w:lang w:val="en-GB"/>
        </w:rPr>
        <w:t>供应商名称（加盖公章）：</w:t>
      </w:r>
    </w:p>
    <w:p>
      <w:pPr>
        <w:adjustRightInd w:val="0"/>
        <w:snapToGrid w:val="0"/>
        <w:spacing w:line="360" w:lineRule="auto"/>
        <w:jc w:val="right"/>
        <w:rPr>
          <w:rFonts w:ascii="宋体" w:hAnsi="宋体"/>
          <w:color w:val="000000"/>
          <w:sz w:val="24"/>
        </w:rPr>
      </w:pPr>
      <w:r>
        <w:rPr>
          <w:rFonts w:ascii="宋体" w:hAnsi="宋体" w:eastAsia="宋体" w:cs="宋体"/>
          <w:sz w:val="24"/>
          <w:szCs w:val="24"/>
          <w:lang w:val="en-GB"/>
        </w:rPr>
        <w:t xml:space="preserve"> </w:t>
      </w:r>
      <w:r>
        <w:rPr>
          <w:rFonts w:hint="eastAsia" w:ascii="宋体" w:hAnsi="宋体" w:eastAsia="宋体" w:cs="宋体"/>
          <w:sz w:val="24"/>
          <w:szCs w:val="24"/>
          <w:lang w:val="en-GB"/>
        </w:rPr>
        <w:t>年</w:t>
      </w:r>
      <w:r>
        <w:rPr>
          <w:rFonts w:ascii="宋体" w:hAnsi="宋体" w:eastAsia="宋体" w:cs="宋体"/>
          <w:sz w:val="24"/>
          <w:szCs w:val="24"/>
          <w:lang w:val="en-GB"/>
        </w:rPr>
        <w:t xml:space="preserve">  </w:t>
      </w:r>
      <w:r>
        <w:rPr>
          <w:rFonts w:hint="eastAsia" w:ascii="宋体" w:hAnsi="宋体" w:eastAsia="宋体" w:cs="宋体"/>
          <w:sz w:val="24"/>
          <w:szCs w:val="24"/>
          <w:lang w:val="en-GB"/>
        </w:rPr>
        <w:t>月</w:t>
      </w:r>
      <w:r>
        <w:rPr>
          <w:rFonts w:ascii="宋体" w:hAnsi="宋体" w:eastAsia="宋体" w:cs="宋体"/>
          <w:sz w:val="24"/>
          <w:szCs w:val="24"/>
          <w:lang w:val="en-GB"/>
        </w:rPr>
        <w:t xml:space="preserve">  </w:t>
      </w:r>
      <w:r>
        <w:rPr>
          <w:rFonts w:hint="eastAsia" w:ascii="宋体" w:hAnsi="宋体" w:eastAsia="宋体" w:cs="宋体"/>
          <w:sz w:val="24"/>
          <w:szCs w:val="24"/>
          <w:lang w:val="en-GB"/>
        </w:rPr>
        <w:t>日</w:t>
      </w:r>
    </w:p>
    <w:p>
      <w:pPr>
        <w:pStyle w:val="25"/>
        <w:rPr>
          <w:rFonts w:ascii="仿宋_GB2312" w:eastAsia="仿宋_GB2312" w:hAnsiTheme="minorEastAsia"/>
          <w:sz w:val="28"/>
          <w:szCs w:val="28"/>
        </w:rPr>
      </w:pPr>
    </w:p>
    <w:p>
      <w:pPr>
        <w:pStyle w:val="25"/>
        <w:rPr>
          <w:rFonts w:ascii="仿宋_GB2312" w:eastAsia="仿宋_GB2312" w:hAnsiTheme="minorEastAsia"/>
          <w:sz w:val="28"/>
          <w:szCs w:val="28"/>
        </w:rPr>
      </w:pPr>
    </w:p>
    <w:p>
      <w:pPr>
        <w:pStyle w:val="25"/>
        <w:rPr>
          <w:rFonts w:ascii="仿宋_GB2312" w:eastAsia="仿宋_GB2312" w:hAnsiTheme="minorEastAsia"/>
          <w:sz w:val="28"/>
          <w:szCs w:val="28"/>
        </w:rPr>
      </w:pPr>
    </w:p>
    <w:p>
      <w:pPr>
        <w:pStyle w:val="25"/>
        <w:rPr>
          <w:rFonts w:ascii="仿宋_GB2312" w:eastAsia="仿宋_GB2312" w:hAnsiTheme="minorEastAsia"/>
          <w:sz w:val="28"/>
          <w:szCs w:val="28"/>
        </w:rPr>
      </w:pPr>
    </w:p>
    <w:p>
      <w:pPr>
        <w:pStyle w:val="5"/>
        <w:numPr>
          <w:ilvl w:val="0"/>
          <w:numId w:val="8"/>
        </w:numPr>
        <w:rPr>
          <w:rFonts w:asciiTheme="minorEastAsia" w:hAnsiTheme="minorEastAsia" w:eastAsiaTheme="minorEastAsia"/>
          <w:sz w:val="28"/>
          <w:szCs w:val="28"/>
        </w:rPr>
      </w:pPr>
      <w:bookmarkStart w:id="117" w:name="_Toc19423"/>
      <w:bookmarkStart w:id="118" w:name="_Toc32430"/>
      <w:r>
        <w:rPr>
          <w:rFonts w:hint="eastAsia" w:asciiTheme="minorEastAsia" w:hAnsiTheme="minorEastAsia" w:eastAsiaTheme="minorEastAsia"/>
          <w:sz w:val="28"/>
          <w:szCs w:val="28"/>
        </w:rPr>
        <w:t>报价表</w:t>
      </w:r>
      <w:bookmarkEnd w:id="117"/>
      <w:bookmarkEnd w:id="118"/>
    </w:p>
    <w:tbl>
      <w:tblPr>
        <w:tblStyle w:val="26"/>
        <w:tblW w:w="6625" w:type="pct"/>
        <w:jc w:val="center"/>
        <w:tblLayout w:type="fixed"/>
        <w:tblCellMar>
          <w:top w:w="0" w:type="dxa"/>
          <w:left w:w="108" w:type="dxa"/>
          <w:bottom w:w="0" w:type="dxa"/>
          <w:right w:w="108" w:type="dxa"/>
        </w:tblCellMar>
      </w:tblPr>
      <w:tblGrid>
        <w:gridCol w:w="676"/>
        <w:gridCol w:w="1288"/>
        <w:gridCol w:w="4999"/>
        <w:gridCol w:w="494"/>
        <w:gridCol w:w="375"/>
        <w:gridCol w:w="711"/>
        <w:gridCol w:w="775"/>
        <w:gridCol w:w="737"/>
        <w:gridCol w:w="1238"/>
        <w:tblGridChange w:id="0">
          <w:tblGrid>
            <w:gridCol w:w="658"/>
            <w:gridCol w:w="18"/>
            <w:gridCol w:w="1288"/>
            <w:gridCol w:w="4999"/>
            <w:gridCol w:w="494"/>
            <w:gridCol w:w="375"/>
            <w:gridCol w:w="711"/>
            <w:gridCol w:w="775"/>
            <w:gridCol w:w="737"/>
            <w:gridCol w:w="1238"/>
          </w:tblGrid>
        </w:tblGridChange>
      </w:tblGrid>
      <w:tr>
        <w:tblPrEx>
          <w:tblCellMar>
            <w:top w:w="0" w:type="dxa"/>
            <w:left w:w="108" w:type="dxa"/>
            <w:bottom w:w="0" w:type="dxa"/>
            <w:right w:w="108" w:type="dxa"/>
          </w:tblCellMar>
        </w:tblPrEx>
        <w:trPr>
          <w:trHeight w:val="90" w:hRule="atLeast"/>
          <w:jc w:val="center"/>
        </w:trPr>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序号</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设备名称</w:t>
            </w:r>
          </w:p>
        </w:tc>
        <w:tc>
          <w:tcPr>
            <w:tcW w:w="22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仿宋_GB2312" w:cs="微软雅黑"/>
                <w:b/>
                <w:bCs/>
                <w:color w:val="000000"/>
                <w:sz w:val="20"/>
                <w:szCs w:val="20"/>
              </w:rPr>
            </w:pPr>
            <w:r>
              <w:rPr>
                <w:rFonts w:hint="eastAsia" w:ascii="微软雅黑" w:hAnsi="微软雅黑" w:eastAsia="微软雅黑" w:cs="微软雅黑"/>
                <w:b/>
                <w:bCs/>
                <w:color w:val="000000"/>
                <w:kern w:val="0"/>
                <w:sz w:val="20"/>
                <w:szCs w:val="20"/>
                <w:lang w:bidi="ar"/>
              </w:rPr>
              <w:t>性能参数</w:t>
            </w:r>
          </w:p>
        </w:tc>
        <w:tc>
          <w:tcPr>
            <w:tcW w:w="2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微软雅黑" w:hAnsi="微软雅黑" w:eastAsia="微软雅黑" w:cs="微软雅黑"/>
                <w:color w:val="000000"/>
                <w:sz w:val="24"/>
                <w:szCs w:val="24"/>
              </w:rPr>
            </w:pPr>
            <w:r>
              <w:rPr>
                <w:rFonts w:hint="eastAsia" w:ascii="微软雅黑" w:hAnsi="微软雅黑" w:eastAsia="微软雅黑" w:cs="微软雅黑"/>
                <w:b/>
                <w:bCs/>
                <w:color w:val="000000"/>
                <w:kern w:val="0"/>
                <w:sz w:val="20"/>
                <w:szCs w:val="20"/>
                <w:lang w:bidi="ar"/>
              </w:rPr>
              <w:t>数量</w:t>
            </w:r>
          </w:p>
        </w:tc>
        <w:tc>
          <w:tcPr>
            <w:tcW w:w="1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微软雅黑" w:hAnsi="微软雅黑" w:eastAsia="微软雅黑" w:cs="微软雅黑"/>
                <w:color w:val="000000"/>
                <w:sz w:val="24"/>
                <w:szCs w:val="24"/>
              </w:rPr>
            </w:pPr>
            <w:r>
              <w:rPr>
                <w:rFonts w:hint="eastAsia" w:ascii="微软雅黑" w:hAnsi="微软雅黑" w:eastAsia="微软雅黑" w:cs="微软雅黑"/>
                <w:b/>
                <w:bCs/>
                <w:color w:val="000000"/>
                <w:kern w:val="0"/>
                <w:sz w:val="20"/>
                <w:szCs w:val="20"/>
                <w:lang w:bidi="ar"/>
              </w:rPr>
              <w:t>单位</w:t>
            </w:r>
          </w:p>
        </w:tc>
        <w:tc>
          <w:tcPr>
            <w:tcW w:w="31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单价</w:t>
            </w: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合计</w:t>
            </w: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品牌型号</w:t>
            </w:r>
          </w:p>
        </w:tc>
        <w:tc>
          <w:tcPr>
            <w:tcW w:w="5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备注</w:t>
            </w:r>
          </w:p>
        </w:tc>
      </w:tr>
      <w:tr>
        <w:tblPrEx>
          <w:tblCellMar>
            <w:top w:w="0" w:type="dxa"/>
            <w:left w:w="108" w:type="dxa"/>
            <w:bottom w:w="0" w:type="dxa"/>
            <w:right w:w="108" w:type="dxa"/>
          </w:tblCellMar>
        </w:tblPrEx>
        <w:trPr>
          <w:trHeight w:val="1001" w:hRule="atLeast"/>
          <w:jc w:val="center"/>
        </w:trPr>
        <w:tc>
          <w:tcPr>
            <w:tcW w:w="299" w:type="pct"/>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1_1</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办公网核心交换机</w:t>
            </w:r>
          </w:p>
        </w:tc>
        <w:tc>
          <w:tcPr>
            <w:tcW w:w="22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交换架构：Crossbar</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交换容量：38.4Tbps/168Tbps</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包转发率：7200Mpps/36000Mpps</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槽位数量：3</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接口形态：1G/10G/25G/40G/100G速率板卡</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简要参数：</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全宽主控，可提供官网安装指导</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高度5U，官网彩页</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支持FW防火墙和IPS防火墙业务卡，官网彩页；</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ARP最大容量均为256K个，可提供2018年泰尔报告</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支持的MAC最大容量均为1M个，可提供2017泰尔报告</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支持的ACL条目最大容量均为120K个，可提供2018年泰尔报告</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支持的IPv4 FIB最大容量均为3M个，支持IPv6 FIB最大容量均为1M，可提供2017年泰尔报告</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支持的端口缓存均为200ms，可提供2017年泰尔报告</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支持四框堆叠及统一管理（IRF2），可提供2017年泰尔报告</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支持1虚多技术（MDC），可提供2017年泰尔报告</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支持BFD，能够实现BFD与OSPF/VRRP联动。支持BFD 3ms最小探测间隔测试，可提供2017年泰尔报告</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支持内置智能图形化管理功能（SmartMC），对于下联设备具备统一管理的功能</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支持 EPON OLT及10G EPON OLT接口,支持10G EPON 功能，支持10G 对称和非对称 ONU，可提供2017年泰尔测试报告</w:t>
            </w:r>
          </w:p>
        </w:tc>
        <w:tc>
          <w:tcPr>
            <w:tcW w:w="2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微软雅黑" w:hAnsi="微软雅黑" w:eastAsia="微软雅黑" w:cs="微软雅黑"/>
                <w:color w:val="000000"/>
                <w:sz w:val="24"/>
                <w:szCs w:val="24"/>
              </w:rPr>
            </w:pPr>
            <w:r>
              <w:rPr>
                <w:rFonts w:hint="eastAsia" w:ascii="微软雅黑" w:hAnsi="微软雅黑" w:eastAsia="微软雅黑" w:cs="微软雅黑"/>
                <w:color w:val="000000"/>
                <w:kern w:val="0"/>
                <w:sz w:val="18"/>
                <w:szCs w:val="18"/>
                <w:lang w:bidi="ar"/>
              </w:rPr>
              <w:t>1</w:t>
            </w:r>
          </w:p>
        </w:tc>
        <w:tc>
          <w:tcPr>
            <w:tcW w:w="1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微软雅黑" w:hAnsi="微软雅黑" w:eastAsia="微软雅黑" w:cs="微软雅黑"/>
                <w:color w:val="000000"/>
                <w:sz w:val="24"/>
                <w:szCs w:val="24"/>
              </w:rPr>
            </w:pPr>
            <w:r>
              <w:rPr>
                <w:rFonts w:hint="eastAsia" w:ascii="微软雅黑" w:hAnsi="微软雅黑" w:eastAsia="微软雅黑" w:cs="微软雅黑"/>
                <w:color w:val="000000"/>
                <w:kern w:val="0"/>
                <w:sz w:val="18"/>
                <w:szCs w:val="18"/>
                <w:lang w:bidi="ar"/>
              </w:rPr>
              <w:t>台</w:t>
            </w:r>
          </w:p>
        </w:tc>
        <w:tc>
          <w:tcPr>
            <w:tcW w:w="314"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微软雅黑" w:hAnsi="微软雅黑" w:eastAsia="微软雅黑" w:cs="微软雅黑"/>
                <w:color w:val="000000"/>
                <w:sz w:val="24"/>
                <w:szCs w:val="24"/>
              </w:rPr>
            </w:pP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微软雅黑" w:hAnsi="微软雅黑" w:eastAsia="微软雅黑" w:cs="微软雅黑"/>
                <w:color w:val="000000"/>
                <w:sz w:val="24"/>
                <w:szCs w:val="24"/>
              </w:rPr>
            </w:pP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微软雅黑" w:hAnsi="微软雅黑" w:eastAsia="微软雅黑" w:cs="微软雅黑"/>
                <w:color w:val="000000"/>
                <w:sz w:val="24"/>
                <w:szCs w:val="24"/>
              </w:rPr>
            </w:pPr>
          </w:p>
        </w:tc>
        <w:tc>
          <w:tcPr>
            <w:tcW w:w="5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微软雅黑" w:hAnsi="微软雅黑" w:eastAsia="微软雅黑" w:cs="微软雅黑"/>
                <w:color w:val="000000"/>
                <w:sz w:val="24"/>
                <w:szCs w:val="24"/>
              </w:rPr>
            </w:pPr>
          </w:p>
        </w:tc>
      </w:tr>
      <w:tr>
        <w:tblPrEx>
          <w:tblCellMar>
            <w:top w:w="0" w:type="dxa"/>
            <w:left w:w="108" w:type="dxa"/>
            <w:bottom w:w="0" w:type="dxa"/>
            <w:right w:w="108" w:type="dxa"/>
          </w:tblCellMar>
        </w:tblPrEx>
        <w:trPr>
          <w:wAfter w:w="0" w:type="auto"/>
          <w:trHeight w:val="4010" w:hRule="atLeast"/>
          <w:jc w:val="center"/>
        </w:trPr>
        <w:tc>
          <w:tcPr>
            <w:tcW w:w="299" w:type="pct"/>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1_2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办公网16口接入交换机</w:t>
            </w:r>
          </w:p>
        </w:tc>
        <w:tc>
          <w:tcPr>
            <w:tcW w:w="22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可网管的千兆以太网交换机。</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1、交换容量≥336Gbps，包转发率≥</w:t>
            </w:r>
            <w:r>
              <w:rPr>
                <w:rFonts w:ascii="微软雅黑" w:hAnsi="微软雅黑" w:eastAsia="微软雅黑" w:cs="微软雅黑"/>
                <w:color w:val="000000"/>
                <w:kern w:val="0"/>
                <w:sz w:val="18"/>
                <w:szCs w:val="18"/>
                <w:lang w:bidi="ar"/>
              </w:rPr>
              <w:t>114</w:t>
            </w:r>
            <w:r>
              <w:rPr>
                <w:rFonts w:hint="eastAsia" w:ascii="微软雅黑" w:hAnsi="微软雅黑" w:eastAsia="微软雅黑" w:cs="微软雅黑"/>
                <w:color w:val="000000"/>
                <w:kern w:val="0"/>
                <w:sz w:val="18"/>
                <w:szCs w:val="18"/>
                <w:lang w:bidi="ar"/>
              </w:rPr>
              <w:t>Mpps（官网最小值）</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2、10/100/1000Base-T自适应以太网端口≥16个，千兆SFP口≥4个；</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3、支持基于端口的VLAN，支持基于协议的VLAN；</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4、支持ERPS功能，收敛时间小于50ms；</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5、支持IPv4/IPV6双栈管理和转发，支持静态路由协议和RIP、OSPF等路由协议，支持丰富的管理和安全特性；</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6、支持内置智能图形化管理功能，能够实现通过图形化界面设备配置及命令一键下发和版本智能升级，全局配置及网管口配置，设备升级备份、监控及设备故障替换，组网拓扑可视及管理、设备列表展示等功能。</w:t>
            </w:r>
          </w:p>
        </w:tc>
        <w:tc>
          <w:tcPr>
            <w:tcW w:w="2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微软雅黑" w:hAnsi="微软雅黑" w:eastAsia="微软雅黑" w:cs="微软雅黑"/>
                <w:color w:val="000000"/>
                <w:sz w:val="24"/>
                <w:szCs w:val="24"/>
              </w:rPr>
            </w:pPr>
            <w:r>
              <w:rPr>
                <w:rFonts w:hint="eastAsia" w:ascii="微软雅黑" w:hAnsi="微软雅黑" w:eastAsia="微软雅黑" w:cs="微软雅黑"/>
                <w:color w:val="000000"/>
                <w:kern w:val="0"/>
                <w:sz w:val="18"/>
                <w:szCs w:val="18"/>
                <w:lang w:bidi="ar"/>
              </w:rPr>
              <w:t>6</w:t>
            </w:r>
          </w:p>
        </w:tc>
        <w:tc>
          <w:tcPr>
            <w:tcW w:w="1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微软雅黑" w:hAnsi="微软雅黑" w:eastAsia="微软雅黑" w:cs="微软雅黑"/>
                <w:color w:val="000000"/>
                <w:sz w:val="24"/>
                <w:szCs w:val="24"/>
              </w:rPr>
            </w:pPr>
            <w:r>
              <w:rPr>
                <w:rFonts w:hint="eastAsia" w:ascii="微软雅黑" w:hAnsi="微软雅黑" w:eastAsia="微软雅黑" w:cs="微软雅黑"/>
                <w:color w:val="000000"/>
                <w:kern w:val="0"/>
                <w:sz w:val="18"/>
                <w:szCs w:val="18"/>
                <w:lang w:bidi="ar"/>
              </w:rPr>
              <w:t>台</w:t>
            </w:r>
          </w:p>
        </w:tc>
        <w:tc>
          <w:tcPr>
            <w:tcW w:w="31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微软雅黑" w:hAnsi="微软雅黑" w:eastAsia="微软雅黑" w:cs="微软雅黑"/>
                <w:color w:val="000000"/>
                <w:sz w:val="24"/>
                <w:szCs w:val="24"/>
              </w:rPr>
            </w:pP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微软雅黑" w:hAnsi="微软雅黑" w:eastAsia="微软雅黑" w:cs="微软雅黑"/>
                <w:color w:val="000000"/>
                <w:sz w:val="24"/>
                <w:szCs w:val="24"/>
              </w:rPr>
            </w:pP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微软雅黑" w:hAnsi="微软雅黑" w:eastAsia="微软雅黑" w:cs="微软雅黑"/>
                <w:color w:val="000000"/>
                <w:sz w:val="24"/>
                <w:szCs w:val="24"/>
              </w:rPr>
            </w:pPr>
          </w:p>
        </w:tc>
        <w:tc>
          <w:tcPr>
            <w:tcW w:w="5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微软雅黑" w:hAnsi="微软雅黑" w:eastAsia="微软雅黑" w:cs="微软雅黑"/>
                <w:color w:val="000000"/>
                <w:sz w:val="24"/>
                <w:szCs w:val="24"/>
              </w:rPr>
            </w:pPr>
          </w:p>
        </w:tc>
      </w:tr>
      <w:tr>
        <w:tblPrEx>
          <w:tblCellMar>
            <w:top w:w="0" w:type="dxa"/>
            <w:left w:w="108" w:type="dxa"/>
            <w:bottom w:w="0" w:type="dxa"/>
            <w:right w:w="108" w:type="dxa"/>
          </w:tblCellMar>
        </w:tblPrEx>
        <w:trPr>
          <w:wAfter w:w="0" w:type="auto"/>
          <w:trHeight w:val="4318" w:hRule="atLeast"/>
          <w:jc w:val="center"/>
        </w:trPr>
        <w:tc>
          <w:tcPr>
            <w:tcW w:w="299" w:type="pct"/>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1_3</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办公网16口POE接入交换机</w:t>
            </w:r>
          </w:p>
        </w:tc>
        <w:tc>
          <w:tcPr>
            <w:tcW w:w="22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可网管的千兆以太网交换机。</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1、交换容量≥336Gbps，包转发率≥</w:t>
            </w:r>
            <w:r>
              <w:rPr>
                <w:rFonts w:ascii="微软雅黑" w:hAnsi="微软雅黑" w:eastAsia="微软雅黑" w:cs="微软雅黑"/>
                <w:color w:val="000000"/>
                <w:kern w:val="0"/>
                <w:sz w:val="18"/>
                <w:szCs w:val="18"/>
                <w:lang w:bidi="ar"/>
              </w:rPr>
              <w:t>114</w:t>
            </w:r>
            <w:r>
              <w:rPr>
                <w:rFonts w:hint="eastAsia" w:ascii="微软雅黑" w:hAnsi="微软雅黑" w:eastAsia="微软雅黑" w:cs="微软雅黑"/>
                <w:color w:val="000000"/>
                <w:kern w:val="0"/>
                <w:sz w:val="18"/>
                <w:szCs w:val="18"/>
                <w:lang w:bidi="ar"/>
              </w:rPr>
              <w:t>Mpps（官网最小值）</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2、10/100/1000Base-T电口≥16个，千兆SFP口≥4个；</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3、支持802.3at/POE+供电标准，单端口最大支持30W,整机POE功率≥170W；</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4、支持基于端口的VLAN，支持基于协议的VLAN；</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5、支持ERPS功能，收敛时间小于50ms；</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6、支持IPv4/IPV6双栈管理和转发，支持静态路由协议和RIP、OSPF等路由协议，支持丰富的管理和安全特性；</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 xml:space="preserve">7、支持内置智能图形化管理功能，能够实现通过图形化界面设备配置及命令一键下发和版本智能升级，全局配置及网管口配置，设备升级备份、监控及设备故障替换，组网拓扑可视及管理、设备列表展示等功能。 </w:t>
            </w:r>
          </w:p>
        </w:tc>
        <w:tc>
          <w:tcPr>
            <w:tcW w:w="2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微软雅黑" w:hAnsi="微软雅黑" w:eastAsia="微软雅黑" w:cs="微软雅黑"/>
                <w:color w:val="000000"/>
                <w:sz w:val="24"/>
                <w:szCs w:val="24"/>
              </w:rPr>
            </w:pPr>
            <w:r>
              <w:rPr>
                <w:rFonts w:hint="eastAsia" w:ascii="微软雅黑" w:hAnsi="微软雅黑" w:eastAsia="微软雅黑" w:cs="微软雅黑"/>
                <w:color w:val="000000"/>
                <w:kern w:val="0"/>
                <w:sz w:val="18"/>
                <w:szCs w:val="18"/>
                <w:lang w:bidi="ar"/>
              </w:rPr>
              <w:t>9</w:t>
            </w:r>
          </w:p>
        </w:tc>
        <w:tc>
          <w:tcPr>
            <w:tcW w:w="1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微软雅黑" w:hAnsi="微软雅黑" w:eastAsia="微软雅黑" w:cs="微软雅黑"/>
                <w:color w:val="000000"/>
                <w:sz w:val="24"/>
                <w:szCs w:val="24"/>
              </w:rPr>
            </w:pPr>
            <w:r>
              <w:rPr>
                <w:rFonts w:hint="eastAsia" w:ascii="微软雅黑" w:hAnsi="微软雅黑" w:eastAsia="微软雅黑" w:cs="微软雅黑"/>
                <w:color w:val="000000"/>
                <w:kern w:val="0"/>
                <w:sz w:val="18"/>
                <w:szCs w:val="18"/>
                <w:lang w:bidi="ar"/>
              </w:rPr>
              <w:t>台</w:t>
            </w:r>
          </w:p>
        </w:tc>
        <w:tc>
          <w:tcPr>
            <w:tcW w:w="31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微软雅黑" w:hAnsi="微软雅黑" w:eastAsia="微软雅黑" w:cs="微软雅黑"/>
                <w:color w:val="000000"/>
                <w:sz w:val="24"/>
                <w:szCs w:val="24"/>
              </w:rPr>
            </w:pP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微软雅黑" w:hAnsi="微软雅黑" w:eastAsia="微软雅黑" w:cs="微软雅黑"/>
                <w:color w:val="000000"/>
                <w:sz w:val="24"/>
                <w:szCs w:val="24"/>
              </w:rPr>
            </w:pP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微软雅黑" w:hAnsi="微软雅黑" w:eastAsia="微软雅黑" w:cs="微软雅黑"/>
                <w:color w:val="000000"/>
                <w:sz w:val="24"/>
                <w:szCs w:val="24"/>
              </w:rPr>
            </w:pPr>
          </w:p>
        </w:tc>
        <w:tc>
          <w:tcPr>
            <w:tcW w:w="5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微软雅黑" w:hAnsi="微软雅黑" w:eastAsia="微软雅黑" w:cs="微软雅黑"/>
                <w:color w:val="000000"/>
                <w:sz w:val="24"/>
                <w:szCs w:val="24"/>
              </w:rPr>
            </w:pPr>
          </w:p>
        </w:tc>
      </w:tr>
      <w:tr>
        <w:tblPrEx>
          <w:tblCellMar>
            <w:top w:w="0" w:type="dxa"/>
            <w:left w:w="108" w:type="dxa"/>
            <w:bottom w:w="0" w:type="dxa"/>
            <w:right w:w="108" w:type="dxa"/>
          </w:tblCellMar>
        </w:tblPrEx>
        <w:trPr>
          <w:wAfter w:w="0" w:type="auto"/>
          <w:trHeight w:val="4625" w:hRule="atLeast"/>
          <w:jc w:val="center"/>
        </w:trPr>
        <w:tc>
          <w:tcPr>
            <w:tcW w:w="299" w:type="pct"/>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1_4</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办公网24口POE交换机</w:t>
            </w:r>
          </w:p>
        </w:tc>
        <w:tc>
          <w:tcPr>
            <w:tcW w:w="22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可网管的千兆以太网交换机。</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1、交换容量≥336Gbps，包转发率≥1</w:t>
            </w:r>
            <w:r>
              <w:rPr>
                <w:rFonts w:ascii="微软雅黑" w:hAnsi="微软雅黑" w:eastAsia="微软雅黑" w:cs="微软雅黑"/>
                <w:color w:val="000000"/>
                <w:kern w:val="0"/>
                <w:sz w:val="18"/>
                <w:szCs w:val="18"/>
                <w:lang w:bidi="ar"/>
              </w:rPr>
              <w:t>26</w:t>
            </w:r>
            <w:r>
              <w:rPr>
                <w:rFonts w:hint="eastAsia" w:ascii="微软雅黑" w:hAnsi="微软雅黑" w:eastAsia="微软雅黑" w:cs="微软雅黑"/>
                <w:color w:val="000000"/>
                <w:kern w:val="0"/>
                <w:sz w:val="18"/>
                <w:szCs w:val="18"/>
                <w:lang w:bidi="ar"/>
              </w:rPr>
              <w:t>Mpps（官网最小值）</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2、10/100/1000Base-T电口≥24个（其中GE combo口≥4个），万兆SFP+口≥4个；</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3、支持802.3at/POE+供电标准，单端口最大支持30W,整机POE功率≥370W；</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4、支持基于端口的VLAN，支持基于协议的VLAN；</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5、支持ERPS功能，收敛时间小于50ms；</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6、支持IPv4/IPV6双栈管理和转发，支持静态路由协议和RIP、OSPF等路由协议，支持丰富的管理和安全特性；</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7、支持内置智能图形化管理功能，能够实现通过图形化界面设备配置及命令一键下发和版本智能升级，全局配置及网管口配置，设备升级备份、监控及设备故障替换，组网拓扑可视及管理、设备列表展示等功能。</w:t>
            </w:r>
          </w:p>
        </w:tc>
        <w:tc>
          <w:tcPr>
            <w:tcW w:w="2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微软雅黑" w:hAnsi="微软雅黑" w:eastAsia="微软雅黑" w:cs="微软雅黑"/>
                <w:color w:val="000000"/>
                <w:sz w:val="24"/>
                <w:szCs w:val="24"/>
              </w:rPr>
            </w:pPr>
            <w:r>
              <w:rPr>
                <w:rFonts w:hint="eastAsia" w:ascii="微软雅黑" w:hAnsi="微软雅黑" w:eastAsia="微软雅黑" w:cs="微软雅黑"/>
                <w:color w:val="000000"/>
                <w:kern w:val="0"/>
                <w:sz w:val="18"/>
                <w:szCs w:val="18"/>
                <w:lang w:bidi="ar"/>
              </w:rPr>
              <w:t>1</w:t>
            </w:r>
          </w:p>
        </w:tc>
        <w:tc>
          <w:tcPr>
            <w:tcW w:w="1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微软雅黑" w:hAnsi="微软雅黑" w:eastAsia="微软雅黑" w:cs="微软雅黑"/>
                <w:color w:val="000000"/>
                <w:sz w:val="24"/>
                <w:szCs w:val="24"/>
              </w:rPr>
            </w:pPr>
            <w:r>
              <w:rPr>
                <w:rFonts w:hint="eastAsia" w:ascii="微软雅黑" w:hAnsi="微软雅黑" w:eastAsia="微软雅黑" w:cs="微软雅黑"/>
                <w:color w:val="000000"/>
                <w:kern w:val="0"/>
                <w:sz w:val="18"/>
                <w:szCs w:val="18"/>
                <w:lang w:bidi="ar"/>
              </w:rPr>
              <w:t>台</w:t>
            </w:r>
          </w:p>
        </w:tc>
        <w:tc>
          <w:tcPr>
            <w:tcW w:w="31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微软雅黑" w:hAnsi="微软雅黑" w:eastAsia="微软雅黑" w:cs="微软雅黑"/>
                <w:color w:val="000000"/>
                <w:sz w:val="24"/>
                <w:szCs w:val="24"/>
              </w:rPr>
            </w:pP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微软雅黑" w:hAnsi="微软雅黑" w:eastAsia="微软雅黑" w:cs="微软雅黑"/>
                <w:color w:val="000000"/>
                <w:sz w:val="24"/>
                <w:szCs w:val="24"/>
              </w:rPr>
            </w:pP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微软雅黑" w:hAnsi="微软雅黑" w:eastAsia="微软雅黑" w:cs="微软雅黑"/>
                <w:color w:val="000000"/>
                <w:sz w:val="24"/>
                <w:szCs w:val="24"/>
              </w:rPr>
            </w:pPr>
          </w:p>
        </w:tc>
        <w:tc>
          <w:tcPr>
            <w:tcW w:w="5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微软雅黑" w:hAnsi="微软雅黑" w:eastAsia="微软雅黑" w:cs="微软雅黑"/>
                <w:color w:val="000000"/>
                <w:sz w:val="24"/>
                <w:szCs w:val="24"/>
              </w:rPr>
            </w:pPr>
          </w:p>
        </w:tc>
      </w:tr>
      <w:tr>
        <w:tblPrEx>
          <w:tblCellMar>
            <w:top w:w="0" w:type="dxa"/>
            <w:left w:w="108" w:type="dxa"/>
            <w:bottom w:w="0" w:type="dxa"/>
            <w:right w:w="108" w:type="dxa"/>
          </w:tblCellMar>
        </w:tblPrEx>
        <w:trPr>
          <w:wAfter w:w="0" w:type="auto"/>
          <w:trHeight w:val="4318" w:hRule="atLeast"/>
          <w:jc w:val="center"/>
        </w:trPr>
        <w:tc>
          <w:tcPr>
            <w:tcW w:w="299" w:type="pct"/>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1_5</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办公网8口POE交换机</w:t>
            </w:r>
          </w:p>
        </w:tc>
        <w:tc>
          <w:tcPr>
            <w:tcW w:w="22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可网管的千兆以太网交换机。</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1、交换容量≥336Gbps，包转发率≥</w:t>
            </w:r>
            <w:r>
              <w:rPr>
                <w:rFonts w:ascii="微软雅黑" w:hAnsi="微软雅黑" w:eastAsia="微软雅黑" w:cs="微软雅黑"/>
                <w:color w:val="000000"/>
                <w:kern w:val="0"/>
                <w:sz w:val="18"/>
                <w:szCs w:val="18"/>
                <w:lang w:bidi="ar"/>
              </w:rPr>
              <w:t>102</w:t>
            </w:r>
            <w:r>
              <w:rPr>
                <w:rFonts w:hint="eastAsia" w:ascii="微软雅黑" w:hAnsi="微软雅黑" w:eastAsia="微软雅黑" w:cs="微软雅黑"/>
                <w:color w:val="000000"/>
                <w:kern w:val="0"/>
                <w:sz w:val="18"/>
                <w:szCs w:val="18"/>
                <w:lang w:bidi="ar"/>
              </w:rPr>
              <w:t>Mpps（官网最小值）</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2、10/100/1000Base-T电口≥8个，千兆SFP口≥2个；</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3、支持802.3at/POE+供电标准，单端口最大支持30W,整机POE功率≥125W；</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4、支持基于端口的VLAN，支持基于协议的VLAN；</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5、支持ERPS功能，收敛时间小于50ms；</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6、支持IPv4/IPV6双栈管理和转发，支持静态路由协议和RIP、OSPF等路由协议，支持丰富的管理和安全特性；</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 xml:space="preserve">7、支持内置智能图形化管理功能，能够实现通过图形化界面设备配置及命令一键下发和版本智能升级，全局配置及网管口配置，设备升级备份、监控及设备故障替换，组网拓扑可视及管理、设备列表展示等功能。 </w:t>
            </w:r>
          </w:p>
        </w:tc>
        <w:tc>
          <w:tcPr>
            <w:tcW w:w="2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微软雅黑" w:hAnsi="微软雅黑" w:eastAsia="微软雅黑" w:cs="微软雅黑"/>
                <w:color w:val="000000"/>
                <w:sz w:val="24"/>
                <w:szCs w:val="24"/>
              </w:rPr>
            </w:pPr>
            <w:r>
              <w:rPr>
                <w:rFonts w:hint="eastAsia" w:ascii="微软雅黑" w:hAnsi="微软雅黑" w:eastAsia="微软雅黑" w:cs="微软雅黑"/>
                <w:color w:val="000000"/>
                <w:kern w:val="0"/>
                <w:sz w:val="18"/>
                <w:szCs w:val="18"/>
                <w:lang w:bidi="ar"/>
              </w:rPr>
              <w:t>3</w:t>
            </w:r>
          </w:p>
        </w:tc>
        <w:tc>
          <w:tcPr>
            <w:tcW w:w="1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微软雅黑" w:hAnsi="微软雅黑" w:eastAsia="微软雅黑" w:cs="微软雅黑"/>
                <w:color w:val="000000"/>
                <w:sz w:val="24"/>
                <w:szCs w:val="24"/>
              </w:rPr>
            </w:pPr>
            <w:r>
              <w:rPr>
                <w:rFonts w:hint="eastAsia" w:ascii="微软雅黑" w:hAnsi="微软雅黑" w:eastAsia="微软雅黑" w:cs="微软雅黑"/>
                <w:color w:val="000000"/>
                <w:kern w:val="0"/>
                <w:sz w:val="18"/>
                <w:szCs w:val="18"/>
                <w:lang w:bidi="ar"/>
              </w:rPr>
              <w:t>台</w:t>
            </w:r>
          </w:p>
        </w:tc>
        <w:tc>
          <w:tcPr>
            <w:tcW w:w="31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微软雅黑" w:hAnsi="微软雅黑" w:eastAsia="微软雅黑" w:cs="微软雅黑"/>
                <w:color w:val="000000"/>
                <w:sz w:val="24"/>
                <w:szCs w:val="24"/>
              </w:rPr>
            </w:pP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微软雅黑" w:hAnsi="微软雅黑" w:eastAsia="微软雅黑" w:cs="微软雅黑"/>
                <w:color w:val="000000"/>
                <w:sz w:val="24"/>
                <w:szCs w:val="24"/>
              </w:rPr>
            </w:pP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微软雅黑" w:hAnsi="微软雅黑" w:eastAsia="微软雅黑" w:cs="微软雅黑"/>
                <w:color w:val="000000"/>
                <w:sz w:val="24"/>
                <w:szCs w:val="24"/>
              </w:rPr>
            </w:pPr>
          </w:p>
        </w:tc>
        <w:tc>
          <w:tcPr>
            <w:tcW w:w="5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微软雅黑" w:hAnsi="微软雅黑" w:eastAsia="微软雅黑" w:cs="微软雅黑"/>
                <w:color w:val="000000"/>
                <w:sz w:val="24"/>
                <w:szCs w:val="24"/>
              </w:rPr>
            </w:pPr>
          </w:p>
        </w:tc>
      </w:tr>
      <w:tr>
        <w:tblPrEx>
          <w:tblCellMar>
            <w:top w:w="0" w:type="dxa"/>
            <w:left w:w="108" w:type="dxa"/>
            <w:bottom w:w="0" w:type="dxa"/>
            <w:right w:w="108" w:type="dxa"/>
          </w:tblCellMar>
        </w:tblPrEx>
        <w:trPr>
          <w:trHeight w:val="3355" w:hRule="atLeast"/>
          <w:jc w:val="center"/>
        </w:trPr>
        <w:tc>
          <w:tcPr>
            <w:tcW w:w="299" w:type="pct"/>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1_6</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办公网24口接入交换机</w:t>
            </w:r>
          </w:p>
        </w:tc>
        <w:tc>
          <w:tcPr>
            <w:tcW w:w="22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可网管的千兆以太网交换机。</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1、交换容量≥336Gbps，包转发率≥</w:t>
            </w:r>
            <w:r>
              <w:rPr>
                <w:rFonts w:ascii="微软雅黑" w:hAnsi="微软雅黑" w:eastAsia="微软雅黑" w:cs="微软雅黑"/>
                <w:color w:val="000000"/>
                <w:kern w:val="0"/>
                <w:sz w:val="18"/>
                <w:szCs w:val="18"/>
                <w:lang w:bidi="ar"/>
              </w:rPr>
              <w:t>126</w:t>
            </w:r>
            <w:r>
              <w:rPr>
                <w:rFonts w:hint="eastAsia" w:ascii="微软雅黑" w:hAnsi="微软雅黑" w:eastAsia="微软雅黑" w:cs="微软雅黑"/>
                <w:color w:val="000000"/>
                <w:kern w:val="0"/>
                <w:sz w:val="18"/>
                <w:szCs w:val="18"/>
                <w:lang w:bidi="ar"/>
              </w:rPr>
              <w:t>Mpps（官网最小值）</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2、10/100/1000Base-T自适应以太网端口≥24个，万兆SFP+口≥4个；</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3、支持基于端口的VLAN，支持基于协议的VLAN；</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4、支持ERPS功能，收敛时间小于50ms；</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5、支持IPv4/IPV6双栈管理和转发，支持静态路由协议和RIP、OSPF等路由协议，支持丰富的管理和安全特性；</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6、支持内置智能图形化管理功能，能够实现通过图形化界面设备配置及命令一键下发和版本智能升级，全局配置及网管口配置，设备升级备份、监控及设备故障替换，组网拓扑可视及管理、设备列表展示等功能。</w:t>
            </w:r>
          </w:p>
        </w:tc>
        <w:tc>
          <w:tcPr>
            <w:tcW w:w="2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微软雅黑" w:hAnsi="微软雅黑" w:eastAsia="微软雅黑" w:cs="微软雅黑"/>
                <w:color w:val="000000"/>
                <w:sz w:val="24"/>
                <w:szCs w:val="24"/>
              </w:rPr>
            </w:pPr>
            <w:r>
              <w:rPr>
                <w:rFonts w:hint="eastAsia" w:ascii="微软雅黑" w:hAnsi="微软雅黑" w:eastAsia="微软雅黑" w:cs="微软雅黑"/>
                <w:color w:val="000000"/>
                <w:kern w:val="0"/>
                <w:sz w:val="18"/>
                <w:szCs w:val="18"/>
                <w:lang w:bidi="ar"/>
              </w:rPr>
              <w:t>4</w:t>
            </w:r>
          </w:p>
        </w:tc>
        <w:tc>
          <w:tcPr>
            <w:tcW w:w="1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微软雅黑" w:hAnsi="微软雅黑" w:eastAsia="微软雅黑" w:cs="微软雅黑"/>
                <w:color w:val="000000"/>
                <w:sz w:val="24"/>
                <w:szCs w:val="24"/>
              </w:rPr>
            </w:pPr>
            <w:r>
              <w:rPr>
                <w:rFonts w:hint="eastAsia" w:ascii="微软雅黑" w:hAnsi="微软雅黑" w:eastAsia="微软雅黑" w:cs="微软雅黑"/>
                <w:color w:val="000000"/>
                <w:kern w:val="0"/>
                <w:sz w:val="18"/>
                <w:szCs w:val="18"/>
                <w:lang w:bidi="ar"/>
              </w:rPr>
              <w:t>台</w:t>
            </w:r>
          </w:p>
        </w:tc>
        <w:tc>
          <w:tcPr>
            <w:tcW w:w="31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微软雅黑" w:hAnsi="微软雅黑" w:eastAsia="微软雅黑" w:cs="微软雅黑"/>
                <w:color w:val="000000"/>
                <w:sz w:val="24"/>
                <w:szCs w:val="24"/>
              </w:rPr>
            </w:pP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微软雅黑" w:hAnsi="微软雅黑" w:eastAsia="微软雅黑" w:cs="微软雅黑"/>
                <w:color w:val="000000"/>
                <w:sz w:val="24"/>
                <w:szCs w:val="24"/>
              </w:rPr>
            </w:pP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微软雅黑" w:hAnsi="微软雅黑" w:eastAsia="微软雅黑" w:cs="微软雅黑"/>
                <w:color w:val="000000"/>
                <w:sz w:val="24"/>
                <w:szCs w:val="24"/>
              </w:rPr>
            </w:pPr>
          </w:p>
        </w:tc>
        <w:tc>
          <w:tcPr>
            <w:tcW w:w="5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微软雅黑" w:hAnsi="微软雅黑" w:eastAsia="微软雅黑" w:cs="微软雅黑"/>
                <w:color w:val="000000"/>
                <w:sz w:val="24"/>
                <w:szCs w:val="24"/>
              </w:rPr>
            </w:pPr>
          </w:p>
        </w:tc>
      </w:tr>
      <w:tr>
        <w:tblPrEx>
          <w:tblCellMar>
            <w:top w:w="0" w:type="dxa"/>
            <w:left w:w="108" w:type="dxa"/>
            <w:bottom w:w="0" w:type="dxa"/>
            <w:right w:w="108" w:type="dxa"/>
          </w:tblCellMar>
        </w:tblPrEx>
        <w:trPr>
          <w:wAfter w:w="0" w:type="auto"/>
          <w:trHeight w:val="4933" w:hRule="atLeast"/>
          <w:jc w:val="center"/>
        </w:trPr>
        <w:tc>
          <w:tcPr>
            <w:tcW w:w="299" w:type="pct"/>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1_7</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办公网吸顶AP</w:t>
            </w:r>
          </w:p>
        </w:tc>
        <w:tc>
          <w:tcPr>
            <w:tcW w:w="22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功能描述：Wi-Fi 6光放装AP</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技术标准（ax/ac/n）：802.11ax/ac/n</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接入速率：≥2.975Gbps</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射频卡数量：2</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空间流数量：4</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参数：2.5G光口</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 xml:space="preserve">接口数量： </w:t>
            </w:r>
            <w:r>
              <w:rPr>
                <w:rFonts w:ascii="微软雅黑" w:hAnsi="微软雅黑" w:eastAsia="微软雅黑" w:cs="微软雅黑"/>
                <w:color w:val="000000"/>
                <w:kern w:val="0"/>
                <w:sz w:val="18"/>
                <w:szCs w:val="18"/>
                <w:lang w:bidi="ar"/>
              </w:rPr>
              <w:t>2 (1个2.5G/1G光口，1个10/100/1000M电口</w:t>
            </w:r>
            <w:r>
              <w:rPr>
                <w:rFonts w:hint="eastAsia" w:ascii="微软雅黑" w:hAnsi="微软雅黑" w:eastAsia="微软雅黑" w:cs="微软雅黑"/>
                <w:color w:val="000000"/>
                <w:kern w:val="0"/>
                <w:sz w:val="18"/>
                <w:szCs w:val="18"/>
                <w:lang w:bidi="ar"/>
              </w:rPr>
              <w:t>)</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天线类型： 内置全向</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形态：放装</w:t>
            </w:r>
            <w:r>
              <w:rPr>
                <w:rFonts w:hint="eastAsia" w:ascii="微软雅黑" w:hAnsi="微软雅黑" w:eastAsia="微软雅黑" w:cs="微软雅黑"/>
                <w:color w:val="000000"/>
                <w:kern w:val="0"/>
                <w:sz w:val="18"/>
                <w:szCs w:val="18"/>
                <w:lang w:bidi="ar"/>
              </w:rPr>
              <w:br w:type="textWrapping"/>
            </w:r>
          </w:p>
        </w:tc>
        <w:tc>
          <w:tcPr>
            <w:tcW w:w="2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微软雅黑" w:hAnsi="微软雅黑" w:eastAsia="微软雅黑" w:cs="微软雅黑"/>
                <w:color w:val="000000"/>
                <w:sz w:val="24"/>
                <w:szCs w:val="24"/>
              </w:rPr>
            </w:pPr>
            <w:r>
              <w:rPr>
                <w:rFonts w:hint="eastAsia" w:ascii="微软雅黑" w:hAnsi="微软雅黑" w:eastAsia="微软雅黑" w:cs="微软雅黑"/>
                <w:color w:val="000000"/>
                <w:kern w:val="0"/>
                <w:sz w:val="18"/>
                <w:szCs w:val="18"/>
                <w:lang w:bidi="ar"/>
              </w:rPr>
              <w:t>50</w:t>
            </w:r>
          </w:p>
        </w:tc>
        <w:tc>
          <w:tcPr>
            <w:tcW w:w="1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微软雅黑" w:hAnsi="微软雅黑" w:eastAsia="微软雅黑" w:cs="微软雅黑"/>
                <w:color w:val="000000"/>
                <w:sz w:val="24"/>
                <w:szCs w:val="24"/>
              </w:rPr>
            </w:pPr>
            <w:r>
              <w:rPr>
                <w:rFonts w:hint="eastAsia" w:ascii="微软雅黑" w:hAnsi="微软雅黑" w:eastAsia="微软雅黑" w:cs="微软雅黑"/>
                <w:color w:val="000000"/>
                <w:kern w:val="0"/>
                <w:sz w:val="18"/>
                <w:szCs w:val="18"/>
                <w:lang w:bidi="ar"/>
              </w:rPr>
              <w:t>台</w:t>
            </w:r>
          </w:p>
        </w:tc>
        <w:tc>
          <w:tcPr>
            <w:tcW w:w="31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微软雅黑" w:hAnsi="微软雅黑" w:eastAsia="微软雅黑" w:cs="微软雅黑"/>
                <w:color w:val="000000"/>
                <w:sz w:val="24"/>
                <w:szCs w:val="24"/>
              </w:rPr>
            </w:pP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微软雅黑" w:hAnsi="微软雅黑" w:eastAsia="微软雅黑" w:cs="微软雅黑"/>
                <w:color w:val="000000"/>
                <w:sz w:val="24"/>
                <w:szCs w:val="24"/>
              </w:rPr>
            </w:pP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微软雅黑" w:hAnsi="微软雅黑" w:eastAsia="微软雅黑" w:cs="微软雅黑"/>
                <w:color w:val="000000"/>
                <w:sz w:val="24"/>
                <w:szCs w:val="24"/>
              </w:rPr>
            </w:pPr>
          </w:p>
        </w:tc>
        <w:tc>
          <w:tcPr>
            <w:tcW w:w="5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微软雅黑" w:hAnsi="微软雅黑" w:eastAsia="微软雅黑" w:cs="微软雅黑"/>
                <w:color w:val="000000"/>
                <w:sz w:val="24"/>
                <w:szCs w:val="24"/>
              </w:rPr>
            </w:pPr>
          </w:p>
        </w:tc>
      </w:tr>
      <w:tr>
        <w:tblPrEx>
          <w:tblCellMar>
            <w:top w:w="0" w:type="dxa"/>
            <w:left w:w="108" w:type="dxa"/>
            <w:bottom w:w="0" w:type="dxa"/>
            <w:right w:w="108" w:type="dxa"/>
          </w:tblCellMar>
        </w:tblPrEx>
        <w:trPr>
          <w:wAfter w:w="0" w:type="auto"/>
          <w:trHeight w:val="4933" w:hRule="atLeast"/>
          <w:jc w:val="center"/>
        </w:trPr>
        <w:tc>
          <w:tcPr>
            <w:tcW w:w="299" w:type="pct"/>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1_8</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办公网室外AP</w:t>
            </w:r>
          </w:p>
        </w:tc>
        <w:tc>
          <w:tcPr>
            <w:tcW w:w="22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color w:val="000000"/>
                <w:kern w:val="0"/>
                <w:sz w:val="18"/>
                <w:szCs w:val="18"/>
                <w:lang w:bidi="ar"/>
              </w:rPr>
            </w:pPr>
            <w:r>
              <w:rPr>
                <w:rFonts w:hint="eastAsia" w:ascii="微软雅黑" w:hAnsi="微软雅黑" w:eastAsia="微软雅黑" w:cs="微软雅黑"/>
                <w:color w:val="000000"/>
                <w:kern w:val="0"/>
                <w:sz w:val="18"/>
                <w:szCs w:val="18"/>
                <w:lang w:bidi="ar"/>
              </w:rPr>
              <w:t>功能描述：室外Wi-Fi 6 AP</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技术标准（ax/ac/n）：802.11ax/ac/n</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接入速率：≥2.4Gbps</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射频卡数量：2</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空间流数量：4参数：具备内置和外置天线，支持双5G部署</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接口数量： 3</w:t>
            </w:r>
            <w:r>
              <w:rPr>
                <w:rFonts w:ascii="微软雅黑" w:hAnsi="微软雅黑" w:eastAsia="微软雅黑" w:cs="微软雅黑"/>
                <w:color w:val="000000"/>
                <w:kern w:val="0"/>
                <w:sz w:val="18"/>
                <w:szCs w:val="18"/>
                <w:lang w:bidi="ar"/>
              </w:rPr>
              <w:t>（1个1000M SFP光接口，2个10/100/1000M电口</w:t>
            </w:r>
            <w:r>
              <w:rPr>
                <w:rFonts w:hint="eastAsia" w:ascii="微软雅黑" w:hAnsi="微软雅黑" w:eastAsia="微软雅黑" w:cs="微软雅黑"/>
                <w:color w:val="000000"/>
                <w:kern w:val="0"/>
                <w:sz w:val="18"/>
                <w:szCs w:val="18"/>
                <w:lang w:bidi="ar"/>
              </w:rPr>
              <w:t>）</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天线类型： 内置定向或外置天线</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形态：放装</w:t>
            </w:r>
          </w:p>
          <w:p>
            <w:pPr>
              <w:widowControl/>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防护等级：I</w:t>
            </w:r>
            <w:r>
              <w:rPr>
                <w:rFonts w:ascii="微软雅黑" w:hAnsi="微软雅黑" w:eastAsia="微软雅黑" w:cs="微软雅黑"/>
                <w:color w:val="000000"/>
                <w:kern w:val="0"/>
                <w:sz w:val="18"/>
                <w:szCs w:val="18"/>
                <w:lang w:bidi="ar"/>
              </w:rPr>
              <w:t>P68</w:t>
            </w:r>
            <w:r>
              <w:rPr>
                <w:rFonts w:hint="eastAsia" w:ascii="微软雅黑" w:hAnsi="微软雅黑" w:eastAsia="微软雅黑" w:cs="微软雅黑"/>
                <w:color w:val="000000"/>
                <w:kern w:val="0"/>
                <w:sz w:val="18"/>
                <w:szCs w:val="18"/>
                <w:lang w:bidi="ar"/>
              </w:rPr>
              <w:t xml:space="preserve"> </w:t>
            </w:r>
          </w:p>
        </w:tc>
        <w:tc>
          <w:tcPr>
            <w:tcW w:w="2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微软雅黑" w:hAnsi="微软雅黑" w:eastAsia="微软雅黑" w:cs="微软雅黑"/>
                <w:color w:val="000000"/>
                <w:sz w:val="24"/>
                <w:szCs w:val="24"/>
              </w:rPr>
            </w:pPr>
            <w:r>
              <w:rPr>
                <w:rFonts w:hint="eastAsia" w:ascii="微软雅黑" w:hAnsi="微软雅黑" w:eastAsia="微软雅黑" w:cs="微软雅黑"/>
                <w:color w:val="000000"/>
                <w:kern w:val="0"/>
                <w:sz w:val="18"/>
                <w:szCs w:val="18"/>
                <w:lang w:bidi="ar"/>
              </w:rPr>
              <w:t>8</w:t>
            </w:r>
          </w:p>
        </w:tc>
        <w:tc>
          <w:tcPr>
            <w:tcW w:w="1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微软雅黑" w:hAnsi="微软雅黑" w:eastAsia="微软雅黑" w:cs="微软雅黑"/>
                <w:color w:val="000000"/>
                <w:sz w:val="24"/>
                <w:szCs w:val="24"/>
              </w:rPr>
            </w:pPr>
            <w:r>
              <w:rPr>
                <w:rFonts w:hint="eastAsia" w:ascii="微软雅黑" w:hAnsi="微软雅黑" w:eastAsia="微软雅黑" w:cs="微软雅黑"/>
                <w:color w:val="000000"/>
                <w:kern w:val="0"/>
                <w:sz w:val="18"/>
                <w:szCs w:val="18"/>
                <w:lang w:bidi="ar"/>
              </w:rPr>
              <w:t>个</w:t>
            </w:r>
          </w:p>
        </w:tc>
        <w:tc>
          <w:tcPr>
            <w:tcW w:w="31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微软雅黑" w:hAnsi="微软雅黑" w:eastAsia="微软雅黑" w:cs="微软雅黑"/>
                <w:color w:val="000000"/>
                <w:sz w:val="24"/>
                <w:szCs w:val="24"/>
              </w:rPr>
            </w:pP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微软雅黑" w:hAnsi="微软雅黑" w:eastAsia="微软雅黑" w:cs="微软雅黑"/>
                <w:color w:val="000000"/>
                <w:sz w:val="24"/>
                <w:szCs w:val="24"/>
              </w:rPr>
            </w:pP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微软雅黑" w:hAnsi="微软雅黑" w:eastAsia="微软雅黑" w:cs="微软雅黑"/>
                <w:color w:val="000000"/>
                <w:sz w:val="24"/>
                <w:szCs w:val="24"/>
              </w:rPr>
            </w:pPr>
          </w:p>
        </w:tc>
        <w:tc>
          <w:tcPr>
            <w:tcW w:w="5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微软雅黑" w:hAnsi="微软雅黑" w:eastAsia="微软雅黑" w:cs="微软雅黑"/>
                <w:color w:val="000000"/>
                <w:sz w:val="24"/>
                <w:szCs w:val="24"/>
              </w:rPr>
            </w:pPr>
          </w:p>
        </w:tc>
      </w:tr>
      <w:tr>
        <w:tblPrEx>
          <w:tblCellMar>
            <w:top w:w="0" w:type="dxa"/>
            <w:left w:w="108" w:type="dxa"/>
            <w:bottom w:w="0" w:type="dxa"/>
            <w:right w:w="108" w:type="dxa"/>
          </w:tblCellMar>
        </w:tblPrEx>
        <w:trPr>
          <w:wAfter w:w="0" w:type="auto"/>
          <w:trHeight w:val="4010" w:hRule="atLeast"/>
          <w:jc w:val="center"/>
        </w:trPr>
        <w:tc>
          <w:tcPr>
            <w:tcW w:w="299" w:type="pct"/>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1_9</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办公网室外AP专用8口交换机</w:t>
            </w:r>
          </w:p>
        </w:tc>
        <w:tc>
          <w:tcPr>
            <w:tcW w:w="22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可网管的千兆以太网交换机。</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1、交换容量≥336Gbps，包转发率≥</w:t>
            </w:r>
            <w:r>
              <w:rPr>
                <w:rFonts w:ascii="微软雅黑" w:hAnsi="微软雅黑" w:eastAsia="微软雅黑" w:cs="微软雅黑"/>
                <w:color w:val="000000"/>
                <w:kern w:val="0"/>
                <w:sz w:val="18"/>
                <w:szCs w:val="18"/>
                <w:lang w:bidi="ar"/>
              </w:rPr>
              <w:t>102</w:t>
            </w:r>
            <w:r>
              <w:rPr>
                <w:rFonts w:hint="eastAsia" w:ascii="微软雅黑" w:hAnsi="微软雅黑" w:eastAsia="微软雅黑" w:cs="微软雅黑"/>
                <w:color w:val="000000"/>
                <w:kern w:val="0"/>
                <w:sz w:val="18"/>
                <w:szCs w:val="18"/>
                <w:lang w:bidi="ar"/>
              </w:rPr>
              <w:t>Mpps（官网最小值）</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2、10/100/1000Base-T自适应以太网端口≥8个，千兆SFP口≥2个；</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3、支持基于端口的VLAN，支持基于协议的VLAN；</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4、支持ERPS功能，收敛时间小于50ms；</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5、支持IPv4/IPV6双栈管理和转发，支持静态路由协议和RIP、OSPF等路由协议，支持丰富的管理和安全特性；</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6、支持内置智能图形化管理功能，能够实现通过图形化界面设备配置及命令一键下发和版本智能升级，全局配置及网管口配置，设备升级备份、监控及设备故障替换，组网拓扑可视及管理、设备列表展示等功能。</w:t>
            </w:r>
          </w:p>
        </w:tc>
        <w:tc>
          <w:tcPr>
            <w:tcW w:w="2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微软雅黑" w:hAnsi="微软雅黑" w:eastAsia="微软雅黑" w:cs="微软雅黑"/>
                <w:color w:val="000000"/>
                <w:sz w:val="24"/>
                <w:szCs w:val="24"/>
              </w:rPr>
            </w:pPr>
            <w:r>
              <w:rPr>
                <w:rFonts w:hint="eastAsia" w:ascii="微软雅黑" w:hAnsi="微软雅黑" w:eastAsia="微软雅黑" w:cs="微软雅黑"/>
                <w:color w:val="000000"/>
                <w:kern w:val="0"/>
                <w:sz w:val="18"/>
                <w:szCs w:val="18"/>
                <w:lang w:bidi="ar"/>
              </w:rPr>
              <w:t>5</w:t>
            </w:r>
          </w:p>
        </w:tc>
        <w:tc>
          <w:tcPr>
            <w:tcW w:w="1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微软雅黑" w:hAnsi="微软雅黑" w:eastAsia="微软雅黑" w:cs="微软雅黑"/>
                <w:color w:val="000000"/>
                <w:sz w:val="24"/>
                <w:szCs w:val="24"/>
              </w:rPr>
            </w:pPr>
            <w:r>
              <w:rPr>
                <w:rFonts w:hint="eastAsia" w:ascii="微软雅黑" w:hAnsi="微软雅黑" w:eastAsia="微软雅黑" w:cs="微软雅黑"/>
                <w:color w:val="000000"/>
                <w:kern w:val="0"/>
                <w:sz w:val="18"/>
                <w:szCs w:val="18"/>
                <w:lang w:bidi="ar"/>
              </w:rPr>
              <w:t>台</w:t>
            </w:r>
          </w:p>
        </w:tc>
        <w:tc>
          <w:tcPr>
            <w:tcW w:w="31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微软雅黑" w:hAnsi="微软雅黑" w:eastAsia="微软雅黑" w:cs="微软雅黑"/>
                <w:color w:val="000000"/>
                <w:sz w:val="24"/>
                <w:szCs w:val="24"/>
              </w:rPr>
            </w:pP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微软雅黑" w:hAnsi="微软雅黑" w:eastAsia="微软雅黑" w:cs="微软雅黑"/>
                <w:color w:val="000000"/>
                <w:sz w:val="24"/>
                <w:szCs w:val="24"/>
              </w:rPr>
            </w:pP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微软雅黑" w:hAnsi="微软雅黑" w:eastAsia="微软雅黑" w:cs="微软雅黑"/>
                <w:color w:val="000000"/>
                <w:sz w:val="24"/>
                <w:szCs w:val="24"/>
              </w:rPr>
            </w:pPr>
          </w:p>
        </w:tc>
        <w:tc>
          <w:tcPr>
            <w:tcW w:w="5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微软雅黑" w:hAnsi="微软雅黑" w:eastAsia="微软雅黑" w:cs="微软雅黑"/>
                <w:color w:val="000000"/>
                <w:sz w:val="24"/>
                <w:szCs w:val="24"/>
              </w:rPr>
            </w:pPr>
          </w:p>
        </w:tc>
      </w:tr>
      <w:tr>
        <w:tblPrEx>
          <w:tblCellMar>
            <w:top w:w="0" w:type="dxa"/>
            <w:left w:w="108" w:type="dxa"/>
            <w:bottom w:w="0" w:type="dxa"/>
            <w:right w:w="108" w:type="dxa"/>
          </w:tblCellMar>
        </w:tblPrEx>
        <w:trPr>
          <w:wAfter w:w="0" w:type="auto"/>
          <w:trHeight w:val="4318" w:hRule="atLeast"/>
          <w:jc w:val="center"/>
        </w:trPr>
        <w:tc>
          <w:tcPr>
            <w:tcW w:w="299" w:type="pct"/>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1_10</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办公网无线控制器</w:t>
            </w:r>
          </w:p>
        </w:tc>
        <w:tc>
          <w:tcPr>
            <w:tcW w:w="22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要求能与现网无线控制器H</w:t>
            </w:r>
            <w:r>
              <w:rPr>
                <w:rFonts w:ascii="微软雅黑" w:hAnsi="微软雅黑" w:eastAsia="微软雅黑" w:cs="微软雅黑"/>
                <w:color w:val="000000"/>
                <w:kern w:val="0"/>
                <w:sz w:val="18"/>
                <w:szCs w:val="18"/>
                <w:lang w:bidi="ar"/>
              </w:rPr>
              <w:t>3C WX2560</w:t>
            </w:r>
            <w:r>
              <w:rPr>
                <w:rFonts w:hint="eastAsia" w:ascii="微软雅黑" w:hAnsi="微软雅黑" w:eastAsia="微软雅黑" w:cs="微软雅黑"/>
                <w:color w:val="000000"/>
                <w:kern w:val="0"/>
                <w:sz w:val="18"/>
                <w:szCs w:val="18"/>
                <w:lang w:bidi="ar"/>
              </w:rPr>
              <w:t>做双机热备</w:t>
            </w:r>
            <w:r>
              <w:rPr>
                <w:rFonts w:ascii="微软雅黑" w:hAnsi="微软雅黑" w:eastAsia="微软雅黑" w:cs="微软雅黑"/>
                <w:color w:val="000000"/>
                <w:kern w:val="0"/>
                <w:sz w:val="18"/>
                <w:szCs w:val="18"/>
                <w:lang w:bidi="ar"/>
              </w:rPr>
              <w:t>，</w:t>
            </w:r>
            <w:r>
              <w:rPr>
                <w:rFonts w:hint="eastAsia" w:ascii="微软雅黑" w:hAnsi="微软雅黑" w:eastAsia="微软雅黑" w:cs="微软雅黑"/>
                <w:color w:val="000000"/>
                <w:kern w:val="0"/>
                <w:sz w:val="18"/>
                <w:szCs w:val="18"/>
                <w:lang w:bidi="ar"/>
              </w:rPr>
              <w:t>能共享一套A</w:t>
            </w:r>
            <w:r>
              <w:rPr>
                <w:rFonts w:ascii="微软雅黑" w:hAnsi="微软雅黑" w:eastAsia="微软雅黑" w:cs="微软雅黑"/>
                <w:color w:val="000000"/>
                <w:kern w:val="0"/>
                <w:sz w:val="18"/>
                <w:szCs w:val="18"/>
                <w:lang w:bidi="ar"/>
              </w:rPr>
              <w:t>P</w:t>
            </w:r>
            <w:r>
              <w:rPr>
                <w:rFonts w:hint="eastAsia" w:ascii="微软雅黑" w:hAnsi="微软雅黑" w:eastAsia="微软雅黑" w:cs="微软雅黑"/>
                <w:color w:val="000000"/>
                <w:kern w:val="0"/>
                <w:sz w:val="18"/>
                <w:szCs w:val="18"/>
                <w:lang w:bidi="ar"/>
              </w:rPr>
              <w:t>授权</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参数：为了满足设备的稳定性，要求所投产品支持双电源冗余供电</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接口数量： WAN: 2*2.5G</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LAN: 8*GE + 2*SFP+</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（所有端口可LAN/WAN切换。）</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要求所投产品支持常规AP最大数量≥144</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 xml:space="preserve">             要求所投产品集中转发性能≥10Gbps</w:t>
            </w:r>
          </w:p>
        </w:tc>
        <w:tc>
          <w:tcPr>
            <w:tcW w:w="2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微软雅黑" w:hAnsi="微软雅黑" w:eastAsia="微软雅黑" w:cs="微软雅黑"/>
                <w:color w:val="000000"/>
                <w:sz w:val="24"/>
                <w:szCs w:val="24"/>
              </w:rPr>
            </w:pPr>
            <w:r>
              <w:rPr>
                <w:rFonts w:hint="eastAsia" w:ascii="微软雅黑" w:hAnsi="微软雅黑" w:eastAsia="微软雅黑" w:cs="微软雅黑"/>
                <w:color w:val="000000"/>
                <w:kern w:val="0"/>
                <w:sz w:val="18"/>
                <w:szCs w:val="18"/>
                <w:lang w:bidi="ar"/>
              </w:rPr>
              <w:t>1</w:t>
            </w:r>
          </w:p>
        </w:tc>
        <w:tc>
          <w:tcPr>
            <w:tcW w:w="1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微软雅黑" w:hAnsi="微软雅黑" w:eastAsia="微软雅黑" w:cs="微软雅黑"/>
                <w:color w:val="000000"/>
                <w:sz w:val="24"/>
                <w:szCs w:val="24"/>
              </w:rPr>
            </w:pPr>
            <w:r>
              <w:rPr>
                <w:rFonts w:hint="eastAsia" w:ascii="微软雅黑" w:hAnsi="微软雅黑" w:eastAsia="微软雅黑" w:cs="微软雅黑"/>
                <w:color w:val="000000"/>
                <w:kern w:val="0"/>
                <w:sz w:val="18"/>
                <w:szCs w:val="18"/>
                <w:lang w:bidi="ar"/>
              </w:rPr>
              <w:t>台</w:t>
            </w:r>
          </w:p>
        </w:tc>
        <w:tc>
          <w:tcPr>
            <w:tcW w:w="31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微软雅黑" w:hAnsi="微软雅黑" w:eastAsia="微软雅黑" w:cs="微软雅黑"/>
                <w:color w:val="000000"/>
                <w:sz w:val="24"/>
                <w:szCs w:val="24"/>
              </w:rPr>
            </w:pP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微软雅黑" w:hAnsi="微软雅黑" w:eastAsia="微软雅黑" w:cs="微软雅黑"/>
                <w:color w:val="000000"/>
                <w:sz w:val="24"/>
                <w:szCs w:val="24"/>
              </w:rPr>
            </w:pP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微软雅黑" w:hAnsi="微软雅黑" w:eastAsia="微软雅黑" w:cs="微软雅黑"/>
                <w:color w:val="000000"/>
                <w:sz w:val="24"/>
                <w:szCs w:val="24"/>
              </w:rPr>
            </w:pPr>
          </w:p>
        </w:tc>
        <w:tc>
          <w:tcPr>
            <w:tcW w:w="5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微软雅黑" w:hAnsi="微软雅黑" w:eastAsia="微软雅黑" w:cs="微软雅黑"/>
                <w:color w:val="000000"/>
                <w:sz w:val="24"/>
                <w:szCs w:val="24"/>
              </w:rPr>
            </w:pPr>
          </w:p>
        </w:tc>
      </w:tr>
      <w:tr>
        <w:tblPrEx>
          <w:tblCellMar>
            <w:top w:w="0" w:type="dxa"/>
            <w:left w:w="108" w:type="dxa"/>
            <w:bottom w:w="0" w:type="dxa"/>
            <w:right w:w="108" w:type="dxa"/>
          </w:tblCellMar>
        </w:tblPrEx>
        <w:trPr>
          <w:wAfter w:w="0" w:type="auto"/>
          <w:trHeight w:val="9241" w:hRule="atLeast"/>
          <w:jc w:val="center"/>
        </w:trPr>
        <w:tc>
          <w:tcPr>
            <w:tcW w:w="299" w:type="pct"/>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1_11</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办公网网络管理软件</w:t>
            </w:r>
          </w:p>
        </w:tc>
        <w:tc>
          <w:tcPr>
            <w:tcW w:w="22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简要参数：</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1）多平台支持：支持Windows、Linux平台、麒麟等国产操作系统，及MS SQL、Oracle、达梦等数据库，支持B/S架构。</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2）支持自定义用户主页：管理员可以首页中通过拖拽，自定义需要在首页展示页面，同时支持Widget扩展。</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3）自动发现拓扑：自动发现网络中的所有网络设备，并在拓扑中显示出来，支持拓扑图自定义修改，包括设备、链路等。</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4）故障管理：支持对全网设备告警的实时监控和统一浏览；支持多种提醒方式，如告警实时提醒（告警板）、告警音响提示；支持多种转发方式，比如转E-mail，转短信，转上级网管或其它网管等。支持告警分析，可以屏蔽重复告警、闪断告警，支持告警自动确认功能；</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5）性能管理：支持基于任务的性能监控，可定制监控任务，长期监控网络性能，可以形成日报、周报、月报等报表。支持定制性能阈值，可以为监控的性能指标设置两级阈值，当性能指标超过阈值时根据不同的阈值发送不同级别的告警。</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6）提供直观的设备的面板视图：支持设备面板的显示、定时刷新、面板缩放功能，通过面板管理，网络管理人员可以直观地看到设备、板卡、端口的工作状态；并提供基于设备面板的设备、单板、端口配置功能。</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 xml:space="preserve">7）支持设备配置集中管理：配置库包括配置文件和配置片断，配置内容可带有参数，在部署时根据设备的差异设置不同的值；配置文件可部署到设备的启动配置或者运行配置；配置片断只能部署到设备的运行配置； </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 xml:space="preserve">8）用户分权管理：可以为不同的管理员设置不同的用户名、密码，并限制管理员的管理权限和管理范围，实现用户分权管理。 </w:t>
            </w:r>
          </w:p>
        </w:tc>
        <w:tc>
          <w:tcPr>
            <w:tcW w:w="2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微软雅黑" w:hAnsi="微软雅黑" w:eastAsia="微软雅黑" w:cs="微软雅黑"/>
                <w:color w:val="000000"/>
                <w:sz w:val="24"/>
                <w:szCs w:val="24"/>
              </w:rPr>
            </w:pPr>
            <w:r>
              <w:rPr>
                <w:rFonts w:hint="eastAsia" w:ascii="微软雅黑" w:hAnsi="微软雅黑" w:eastAsia="微软雅黑" w:cs="微软雅黑"/>
                <w:color w:val="000000"/>
                <w:kern w:val="0"/>
                <w:sz w:val="18"/>
                <w:szCs w:val="18"/>
                <w:lang w:bidi="ar"/>
              </w:rPr>
              <w:t>1</w:t>
            </w:r>
          </w:p>
        </w:tc>
        <w:tc>
          <w:tcPr>
            <w:tcW w:w="1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微软雅黑" w:hAnsi="微软雅黑" w:eastAsia="微软雅黑" w:cs="微软雅黑"/>
                <w:color w:val="000000"/>
                <w:sz w:val="24"/>
                <w:szCs w:val="24"/>
              </w:rPr>
            </w:pPr>
            <w:r>
              <w:rPr>
                <w:rFonts w:hint="eastAsia" w:ascii="微软雅黑" w:hAnsi="微软雅黑" w:eastAsia="微软雅黑" w:cs="微软雅黑"/>
                <w:color w:val="000000"/>
                <w:kern w:val="0"/>
                <w:sz w:val="18"/>
                <w:szCs w:val="18"/>
                <w:lang w:bidi="ar"/>
              </w:rPr>
              <w:t>套</w:t>
            </w:r>
          </w:p>
        </w:tc>
        <w:tc>
          <w:tcPr>
            <w:tcW w:w="31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微软雅黑" w:hAnsi="微软雅黑" w:eastAsia="微软雅黑" w:cs="微软雅黑"/>
                <w:color w:val="000000"/>
                <w:sz w:val="24"/>
                <w:szCs w:val="24"/>
              </w:rPr>
            </w:pP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微软雅黑" w:hAnsi="微软雅黑" w:eastAsia="微软雅黑" w:cs="微软雅黑"/>
                <w:color w:val="000000"/>
                <w:sz w:val="24"/>
                <w:szCs w:val="24"/>
              </w:rPr>
            </w:pP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微软雅黑" w:hAnsi="微软雅黑" w:eastAsia="微软雅黑" w:cs="微软雅黑"/>
                <w:color w:val="000000"/>
                <w:sz w:val="24"/>
                <w:szCs w:val="24"/>
              </w:rPr>
            </w:pPr>
          </w:p>
        </w:tc>
        <w:tc>
          <w:tcPr>
            <w:tcW w:w="5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微软雅黑" w:hAnsi="微软雅黑" w:eastAsia="微软雅黑" w:cs="微软雅黑"/>
                <w:color w:val="000000"/>
                <w:sz w:val="24"/>
                <w:szCs w:val="24"/>
              </w:rPr>
            </w:pPr>
          </w:p>
        </w:tc>
      </w:tr>
      <w:tr>
        <w:tblPrEx>
          <w:tblCellMar>
            <w:top w:w="0" w:type="dxa"/>
            <w:left w:w="108" w:type="dxa"/>
            <w:bottom w:w="0" w:type="dxa"/>
            <w:right w:w="108" w:type="dxa"/>
          </w:tblCellMar>
        </w:tblPrEx>
        <w:trPr>
          <w:trHeight w:val="5495" w:hRule="atLeast"/>
          <w:jc w:val="center"/>
        </w:trPr>
        <w:tc>
          <w:tcPr>
            <w:tcW w:w="299" w:type="pct"/>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1_12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办公网网络管理平台</w:t>
            </w:r>
          </w:p>
        </w:tc>
        <w:tc>
          <w:tcPr>
            <w:tcW w:w="22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color w:val="000000"/>
                <w:kern w:val="0"/>
                <w:sz w:val="18"/>
                <w:szCs w:val="18"/>
                <w:lang w:bidi="ar"/>
              </w:rPr>
            </w:pPr>
            <w:r>
              <w:rPr>
                <w:rFonts w:hint="eastAsia" w:ascii="微软雅黑" w:hAnsi="微软雅黑" w:eastAsia="微软雅黑" w:cs="微软雅黑"/>
                <w:color w:val="000000"/>
                <w:kern w:val="0"/>
                <w:sz w:val="18"/>
                <w:szCs w:val="18"/>
                <w:lang w:bidi="ar"/>
              </w:rPr>
              <w:t>2U两路机架式服务器, 支持多达32个DDR4内存插槽，速率最高支持3200MT/s，支持RDIMM或LRDIMM；板载1个1Gbps 独立远程管理控制端口，支持HDM无代理管理工具 (带独立管理端口); 本次配置</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 xml:space="preserve">CPU：数量 2、主频 2.4GHz、物理核数16C; </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内存： 4*32</w:t>
            </w:r>
            <w:r>
              <w:rPr>
                <w:rFonts w:ascii="微软雅黑" w:hAnsi="微软雅黑" w:eastAsia="微软雅黑" w:cs="微软雅黑"/>
                <w:color w:val="000000"/>
                <w:kern w:val="0"/>
                <w:sz w:val="18"/>
                <w:szCs w:val="18"/>
                <w:lang w:bidi="ar"/>
              </w:rPr>
              <w:t>GB</w:t>
            </w:r>
            <w:r>
              <w:rPr>
                <w:rFonts w:hint="eastAsia" w:ascii="微软雅黑" w:hAnsi="微软雅黑" w:eastAsia="微软雅黑" w:cs="微软雅黑"/>
                <w:color w:val="000000"/>
                <w:kern w:val="0"/>
                <w:sz w:val="18"/>
                <w:szCs w:val="18"/>
                <w:lang w:bidi="ar"/>
              </w:rPr>
              <w:t xml:space="preserve"> DDR4 RDIMM、频率3200MHz</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硬盘：</w:t>
            </w:r>
          </w:p>
          <w:p>
            <w:pPr>
              <w:widowControl/>
              <w:jc w:val="left"/>
              <w:textAlignment w:val="center"/>
              <w:rPr>
                <w:rFonts w:ascii="微软雅黑" w:hAnsi="微软雅黑" w:eastAsia="微软雅黑" w:cs="微软雅黑"/>
                <w:color w:val="000000"/>
                <w:kern w:val="0"/>
                <w:sz w:val="18"/>
                <w:szCs w:val="18"/>
                <w:lang w:bidi="ar"/>
              </w:rPr>
            </w:pPr>
            <w:r>
              <w:rPr>
                <w:rFonts w:hint="eastAsia" w:ascii="微软雅黑" w:hAnsi="微软雅黑" w:eastAsia="微软雅黑" w:cs="微软雅黑"/>
                <w:color w:val="000000"/>
                <w:kern w:val="0"/>
                <w:sz w:val="18"/>
                <w:szCs w:val="18"/>
                <w:lang w:bidi="ar"/>
              </w:rPr>
              <w:t>数量 为2、类型 HDD、转速10K、单盘容量1.2TB;</w:t>
            </w:r>
            <w:r>
              <w:rPr>
                <w:rFonts w:ascii="微软雅黑" w:hAnsi="微软雅黑" w:eastAsia="微软雅黑" w:cs="微软雅黑"/>
                <w:color w:val="000000"/>
                <w:kern w:val="0"/>
                <w:sz w:val="18"/>
                <w:szCs w:val="18"/>
                <w:lang w:bidi="ar"/>
              </w:rPr>
              <w:t xml:space="preserve"> </w:t>
            </w:r>
          </w:p>
          <w:p>
            <w:pPr>
              <w:widowControl/>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 xml:space="preserve">数量 为2、类型 SSD、单盘容量960GB; </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 xml:space="preserve">Raid卡：数量 1、缓存 2GB、支持Raid级别：RAID 0,RAID 1,RAID 10,RAID 5,RAID 6,RAID 50,RAID 60,RAID 1ADM,RAID 10(ADM); </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 xml:space="preserve">4端口千兆电接口网卡-360T-B2; </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2 * 800W交流&amp;240V高压直流电源模块6 个风扇模块;</w:t>
            </w:r>
          </w:p>
        </w:tc>
        <w:tc>
          <w:tcPr>
            <w:tcW w:w="2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微软雅黑" w:hAnsi="微软雅黑" w:eastAsia="微软雅黑" w:cs="微软雅黑"/>
                <w:color w:val="000000"/>
                <w:sz w:val="24"/>
                <w:szCs w:val="24"/>
              </w:rPr>
            </w:pPr>
            <w:r>
              <w:rPr>
                <w:rFonts w:hint="eastAsia" w:ascii="微软雅黑" w:hAnsi="微软雅黑" w:eastAsia="微软雅黑" w:cs="微软雅黑"/>
                <w:color w:val="000000"/>
                <w:kern w:val="0"/>
                <w:sz w:val="18"/>
                <w:szCs w:val="18"/>
                <w:lang w:bidi="ar"/>
              </w:rPr>
              <w:t>1</w:t>
            </w:r>
          </w:p>
        </w:tc>
        <w:tc>
          <w:tcPr>
            <w:tcW w:w="1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微软雅黑" w:hAnsi="微软雅黑" w:eastAsia="微软雅黑" w:cs="微软雅黑"/>
                <w:color w:val="000000"/>
                <w:sz w:val="24"/>
                <w:szCs w:val="24"/>
              </w:rPr>
            </w:pPr>
            <w:r>
              <w:rPr>
                <w:rFonts w:hint="eastAsia" w:ascii="微软雅黑" w:hAnsi="微软雅黑" w:eastAsia="微软雅黑" w:cs="微软雅黑"/>
                <w:color w:val="000000"/>
                <w:kern w:val="0"/>
                <w:sz w:val="18"/>
                <w:szCs w:val="18"/>
                <w:lang w:bidi="ar"/>
              </w:rPr>
              <w:t>套</w:t>
            </w:r>
          </w:p>
        </w:tc>
        <w:tc>
          <w:tcPr>
            <w:tcW w:w="31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微软雅黑" w:hAnsi="微软雅黑" w:eastAsia="微软雅黑" w:cs="微软雅黑"/>
                <w:color w:val="000000"/>
                <w:sz w:val="24"/>
                <w:szCs w:val="24"/>
              </w:rPr>
            </w:pP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微软雅黑" w:hAnsi="微软雅黑" w:eastAsia="微软雅黑" w:cs="微软雅黑"/>
                <w:color w:val="000000"/>
                <w:sz w:val="24"/>
                <w:szCs w:val="24"/>
              </w:rPr>
            </w:pP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微软雅黑" w:hAnsi="微软雅黑" w:eastAsia="微软雅黑" w:cs="微软雅黑"/>
                <w:color w:val="000000"/>
                <w:sz w:val="24"/>
                <w:szCs w:val="24"/>
              </w:rPr>
            </w:pPr>
          </w:p>
        </w:tc>
        <w:tc>
          <w:tcPr>
            <w:tcW w:w="5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微软雅黑" w:hAnsi="微软雅黑" w:eastAsia="微软雅黑" w:cs="微软雅黑"/>
                <w:color w:val="000000"/>
                <w:sz w:val="24"/>
                <w:szCs w:val="24"/>
              </w:rPr>
            </w:pPr>
          </w:p>
        </w:tc>
      </w:tr>
      <w:tr>
        <w:tblPrEx>
          <w:tblCellMar>
            <w:top w:w="0" w:type="dxa"/>
            <w:left w:w="108" w:type="dxa"/>
            <w:bottom w:w="0" w:type="dxa"/>
            <w:right w:w="108" w:type="dxa"/>
          </w:tblCellMar>
        </w:tblPrEx>
        <w:trPr>
          <w:wAfter w:w="0" w:type="auto"/>
          <w:trHeight w:val="7395" w:hRule="atLeast"/>
          <w:jc w:val="center"/>
        </w:trPr>
        <w:tc>
          <w:tcPr>
            <w:tcW w:w="299" w:type="pct"/>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1_15</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办公网上网行为管理</w:t>
            </w:r>
          </w:p>
        </w:tc>
        <w:tc>
          <w:tcPr>
            <w:tcW w:w="22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color w:val="000000"/>
                <w:kern w:val="0"/>
                <w:sz w:val="18"/>
                <w:szCs w:val="18"/>
                <w:lang w:bidi="ar"/>
              </w:rPr>
            </w:pP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吞吐性能：2G</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新建连接数：8000</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并发连接数：80W</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固化接口形态及插槽：4GE（Combo）+10GE（电） 1TF卡扩展</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简要参数：</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机架式独立硬件设备，系统硬件为全内置封闭式结构，稳定可靠，加电即可运行，启动过程无须人工干预。多核MIPS架构设计，不允许采用X86架构，功能采用模块化结构设计</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1、产品支持应用特征库数量不低于7100+，提供产品web界面配置截图</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2、支持用户上网应用的精细化控制，例如微信的：“微信”“微信语音”“微信发消息”“微信收消息”“微信登录”“微信发文件”“微信收文件” 3、支持移动终端发现管理，可一键添加为信任终端、发现终端后可邮件告警/冻结等，支持趋势图呈现移动终端接入趋势及列表详情等</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 xml:space="preserve">4、支持用户虚拟身份画像，以时间轴的形式展示用户上网行为轨迹；支持单用户全天行为分析报表，一个界面同时展示用户名、用户组、在线时长、虚拟身份（如QQ号码、微博账号等）、日志关联情况、全天流量使用分布、网站访问类别分布、全天关键网络行为轴等信息，支持对单用户进行网站访问质量检测， </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 xml:space="preserve">5、产品需解决安全合规要求，支持集中和独立两种与当地网监对接方式，支持任子行、派博、虹旭、爱思、锐安、宽广智通、网博、云辰、携网、兆物、恒邦、中新、博网、美亚柏科、盛世光明、烽火科技、中科新业、新网程、网盾、海康、白虹、西软、兴容、佰安、珠海网盈以上厂商的非经对接， </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 xml:space="preserve">6、支持下一代防火墙IPS、AV、WAF、弱密码扫描、SSL VPN、负载均衡等一系列能力， </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7、支持文件缓存，支持安卓和IOS形式的文件，主动缓存文件形式包含APP应用等，提供web配置截图</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 xml:space="preserve">8、支持对内网资产的IP、用户、部门、操作系统、重要程度、可用服务、是否可信进行统一梳理，发现问题资产支持阻断IP， </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9、为简化设备运维工作量，产品需支持策略分组并可按照区域划分管理和自动化运维能力，包含但不限于分析冗余策略、隐藏策略、冲突策略、空策略、无效策略，</w:t>
            </w:r>
          </w:p>
          <w:p>
            <w:pPr>
              <w:widowControl/>
              <w:jc w:val="left"/>
              <w:textAlignment w:val="center"/>
              <w:rPr>
                <w:rFonts w:ascii="微软雅黑" w:hAnsi="微软雅黑" w:eastAsia="微软雅黑" w:cs="微软雅黑"/>
                <w:color w:val="000000"/>
                <w:sz w:val="18"/>
                <w:szCs w:val="18"/>
              </w:rPr>
            </w:pPr>
            <w:r>
              <w:rPr>
                <w:rFonts w:hint="eastAsia"/>
              </w:rPr>
              <w:t>10、产品应按照《网络关键设备和网络安全专用产品目录》《信息安全技术网络安全专用产品安全技术要求》等相关国家标准强制性要求</w:t>
            </w:r>
          </w:p>
        </w:tc>
        <w:tc>
          <w:tcPr>
            <w:tcW w:w="2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微软雅黑" w:hAnsi="微软雅黑" w:eastAsia="微软雅黑" w:cs="微软雅黑"/>
                <w:color w:val="000000"/>
                <w:sz w:val="24"/>
                <w:szCs w:val="24"/>
              </w:rPr>
            </w:pPr>
            <w:r>
              <w:rPr>
                <w:rFonts w:hint="eastAsia" w:ascii="微软雅黑" w:hAnsi="微软雅黑" w:eastAsia="微软雅黑" w:cs="微软雅黑"/>
                <w:color w:val="000000"/>
                <w:kern w:val="0"/>
                <w:sz w:val="18"/>
                <w:szCs w:val="18"/>
                <w:lang w:bidi="ar"/>
              </w:rPr>
              <w:t>1</w:t>
            </w:r>
          </w:p>
        </w:tc>
        <w:tc>
          <w:tcPr>
            <w:tcW w:w="1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微软雅黑" w:hAnsi="微软雅黑" w:eastAsia="微软雅黑" w:cs="微软雅黑"/>
                <w:color w:val="000000"/>
                <w:sz w:val="24"/>
                <w:szCs w:val="24"/>
              </w:rPr>
            </w:pPr>
            <w:r>
              <w:rPr>
                <w:rFonts w:hint="eastAsia" w:ascii="微软雅黑" w:hAnsi="微软雅黑" w:eastAsia="微软雅黑" w:cs="微软雅黑"/>
                <w:color w:val="000000"/>
                <w:kern w:val="0"/>
                <w:sz w:val="18"/>
                <w:szCs w:val="18"/>
                <w:lang w:bidi="ar"/>
              </w:rPr>
              <w:t>套</w:t>
            </w:r>
          </w:p>
        </w:tc>
        <w:tc>
          <w:tcPr>
            <w:tcW w:w="31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微软雅黑" w:hAnsi="微软雅黑" w:eastAsia="微软雅黑" w:cs="微软雅黑"/>
                <w:color w:val="000000"/>
                <w:sz w:val="24"/>
                <w:szCs w:val="24"/>
              </w:rPr>
            </w:pP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微软雅黑" w:hAnsi="微软雅黑" w:eastAsia="微软雅黑" w:cs="微软雅黑"/>
                <w:color w:val="000000"/>
                <w:sz w:val="24"/>
                <w:szCs w:val="24"/>
              </w:rPr>
            </w:pP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微软雅黑" w:hAnsi="微软雅黑" w:eastAsia="微软雅黑" w:cs="微软雅黑"/>
                <w:color w:val="000000"/>
                <w:sz w:val="24"/>
                <w:szCs w:val="24"/>
              </w:rPr>
            </w:pPr>
          </w:p>
        </w:tc>
        <w:tc>
          <w:tcPr>
            <w:tcW w:w="5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微软雅黑" w:hAnsi="微软雅黑" w:eastAsia="微软雅黑" w:cs="微软雅黑"/>
                <w:color w:val="000000"/>
                <w:sz w:val="24"/>
                <w:szCs w:val="24"/>
              </w:rPr>
            </w:pPr>
          </w:p>
        </w:tc>
      </w:tr>
      <w:tr>
        <w:tblPrEx>
          <w:tblCellMar>
            <w:top w:w="0" w:type="dxa"/>
            <w:left w:w="108" w:type="dxa"/>
            <w:bottom w:w="0" w:type="dxa"/>
            <w:right w:w="108" w:type="dxa"/>
          </w:tblCellMar>
        </w:tblPrEx>
        <w:trPr>
          <w:trHeight w:val="90" w:hRule="atLeast"/>
          <w:jc w:val="center"/>
        </w:trPr>
        <w:tc>
          <w:tcPr>
            <w:tcW w:w="299" w:type="pct"/>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1_16</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监控网室外AP</w:t>
            </w:r>
          </w:p>
        </w:tc>
        <w:tc>
          <w:tcPr>
            <w:tcW w:w="22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color w:val="000000"/>
                <w:kern w:val="0"/>
                <w:sz w:val="18"/>
                <w:szCs w:val="18"/>
                <w:lang w:bidi="ar"/>
              </w:rPr>
            </w:pPr>
            <w:r>
              <w:rPr>
                <w:rFonts w:hint="eastAsia" w:ascii="微软雅黑" w:hAnsi="微软雅黑" w:eastAsia="微软雅黑" w:cs="微软雅黑"/>
                <w:color w:val="000000"/>
                <w:kern w:val="0"/>
                <w:sz w:val="18"/>
                <w:szCs w:val="18"/>
                <w:lang w:bidi="ar"/>
              </w:rPr>
              <w:t>功能描述：室外Wi-Fi 6 AP</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技术标准（ax/ac/n）：802.11ax/ac/n</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接入速率：2.4Gbps</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射频卡数量：2</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空间流数量：4</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参数：具备内置和外置天线，支持双5G部署</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接口数量： 3</w:t>
            </w:r>
            <w:r>
              <w:rPr>
                <w:rFonts w:ascii="微软雅黑" w:hAnsi="微软雅黑" w:eastAsia="微软雅黑" w:cs="微软雅黑"/>
                <w:color w:val="000000"/>
                <w:kern w:val="0"/>
                <w:sz w:val="18"/>
                <w:szCs w:val="18"/>
                <w:lang w:bidi="ar"/>
              </w:rPr>
              <w:t>（1个1000M SFP光接口，2个10/100/1000M电口</w:t>
            </w:r>
            <w:r>
              <w:rPr>
                <w:rFonts w:hint="eastAsia" w:ascii="微软雅黑" w:hAnsi="微软雅黑" w:eastAsia="微软雅黑" w:cs="微软雅黑"/>
                <w:color w:val="000000"/>
                <w:kern w:val="0"/>
                <w:sz w:val="18"/>
                <w:szCs w:val="18"/>
                <w:lang w:bidi="ar"/>
              </w:rPr>
              <w:t>）</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天线类型： 内置定向或外置天线</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形态：放装</w:t>
            </w:r>
          </w:p>
          <w:p>
            <w:pPr>
              <w:widowControl/>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防护等级：I</w:t>
            </w:r>
            <w:r>
              <w:rPr>
                <w:rFonts w:ascii="微软雅黑" w:hAnsi="微软雅黑" w:eastAsia="微软雅黑" w:cs="微软雅黑"/>
                <w:color w:val="000000"/>
                <w:kern w:val="0"/>
                <w:sz w:val="18"/>
                <w:szCs w:val="18"/>
                <w:lang w:bidi="ar"/>
              </w:rPr>
              <w:t>P68</w:t>
            </w:r>
            <w:r>
              <w:rPr>
                <w:rFonts w:hint="eastAsia" w:ascii="微软雅黑" w:hAnsi="微软雅黑" w:eastAsia="微软雅黑" w:cs="微软雅黑"/>
                <w:color w:val="000000"/>
                <w:kern w:val="0"/>
                <w:sz w:val="18"/>
                <w:szCs w:val="18"/>
                <w:lang w:bidi="ar"/>
              </w:rPr>
              <w:t xml:space="preserve">。 </w:t>
            </w:r>
          </w:p>
        </w:tc>
        <w:tc>
          <w:tcPr>
            <w:tcW w:w="2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微软雅黑" w:hAnsi="微软雅黑" w:eastAsia="微软雅黑" w:cs="微软雅黑"/>
                <w:color w:val="000000"/>
                <w:sz w:val="24"/>
                <w:szCs w:val="24"/>
              </w:rPr>
            </w:pPr>
            <w:r>
              <w:rPr>
                <w:rFonts w:hint="eastAsia" w:ascii="微软雅黑" w:hAnsi="微软雅黑" w:eastAsia="微软雅黑" w:cs="微软雅黑"/>
                <w:color w:val="000000"/>
                <w:kern w:val="0"/>
                <w:sz w:val="18"/>
                <w:szCs w:val="18"/>
                <w:lang w:bidi="ar"/>
              </w:rPr>
              <w:t>8</w:t>
            </w:r>
          </w:p>
        </w:tc>
        <w:tc>
          <w:tcPr>
            <w:tcW w:w="1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微软雅黑" w:hAnsi="微软雅黑" w:eastAsia="微软雅黑" w:cs="微软雅黑"/>
                <w:color w:val="000000"/>
                <w:sz w:val="24"/>
                <w:szCs w:val="24"/>
              </w:rPr>
            </w:pPr>
            <w:r>
              <w:rPr>
                <w:rFonts w:hint="eastAsia" w:ascii="微软雅黑" w:hAnsi="微软雅黑" w:eastAsia="微软雅黑" w:cs="微软雅黑"/>
                <w:color w:val="000000"/>
                <w:kern w:val="0"/>
                <w:sz w:val="18"/>
                <w:szCs w:val="18"/>
                <w:lang w:bidi="ar"/>
              </w:rPr>
              <w:t>个</w:t>
            </w:r>
          </w:p>
        </w:tc>
        <w:tc>
          <w:tcPr>
            <w:tcW w:w="31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微软雅黑" w:hAnsi="微软雅黑" w:eastAsia="微软雅黑" w:cs="微软雅黑"/>
                <w:color w:val="000000"/>
                <w:sz w:val="24"/>
                <w:szCs w:val="24"/>
              </w:rPr>
            </w:pP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微软雅黑" w:hAnsi="微软雅黑" w:eastAsia="微软雅黑" w:cs="微软雅黑"/>
                <w:color w:val="000000"/>
                <w:sz w:val="24"/>
                <w:szCs w:val="24"/>
              </w:rPr>
            </w:pP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微软雅黑" w:hAnsi="微软雅黑" w:eastAsia="微软雅黑" w:cs="微软雅黑"/>
                <w:color w:val="000000"/>
                <w:sz w:val="24"/>
                <w:szCs w:val="24"/>
              </w:rPr>
            </w:pPr>
          </w:p>
        </w:tc>
        <w:tc>
          <w:tcPr>
            <w:tcW w:w="5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微软雅黑" w:hAnsi="微软雅黑" w:eastAsia="微软雅黑" w:cs="微软雅黑"/>
                <w:color w:val="000000"/>
                <w:sz w:val="24"/>
                <w:szCs w:val="24"/>
              </w:rPr>
            </w:pPr>
          </w:p>
        </w:tc>
      </w:tr>
      <w:tr>
        <w:tblPrEx>
          <w:tblCellMar>
            <w:top w:w="0" w:type="dxa"/>
            <w:left w:w="108" w:type="dxa"/>
            <w:bottom w:w="0" w:type="dxa"/>
            <w:right w:w="108" w:type="dxa"/>
          </w:tblCellMar>
        </w:tblPrEx>
        <w:trPr>
          <w:wAfter w:w="0" w:type="auto"/>
          <w:trHeight w:val="4318" w:hRule="atLeast"/>
          <w:jc w:val="center"/>
        </w:trPr>
        <w:tc>
          <w:tcPr>
            <w:tcW w:w="299" w:type="pct"/>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1_17</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监控网无线控制器</w:t>
            </w:r>
          </w:p>
        </w:tc>
        <w:tc>
          <w:tcPr>
            <w:tcW w:w="22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要求与现网无线控制器H</w:t>
            </w:r>
            <w:r>
              <w:rPr>
                <w:rFonts w:ascii="微软雅黑" w:hAnsi="微软雅黑" w:eastAsia="微软雅黑" w:cs="微软雅黑"/>
                <w:color w:val="000000"/>
                <w:kern w:val="0"/>
                <w:sz w:val="18"/>
                <w:szCs w:val="18"/>
                <w:lang w:bidi="ar"/>
              </w:rPr>
              <w:t>3C WX2560</w:t>
            </w:r>
            <w:r>
              <w:rPr>
                <w:rFonts w:hint="eastAsia" w:ascii="微软雅黑" w:hAnsi="微软雅黑" w:eastAsia="微软雅黑" w:cs="微软雅黑"/>
                <w:color w:val="000000"/>
                <w:kern w:val="0"/>
                <w:sz w:val="18"/>
                <w:szCs w:val="18"/>
                <w:lang w:bidi="ar"/>
              </w:rPr>
              <w:t>做双机热备</w:t>
            </w:r>
            <w:r>
              <w:rPr>
                <w:rFonts w:ascii="微软雅黑" w:hAnsi="微软雅黑" w:eastAsia="微软雅黑" w:cs="微软雅黑"/>
                <w:color w:val="000000"/>
                <w:kern w:val="0"/>
                <w:sz w:val="18"/>
                <w:szCs w:val="18"/>
                <w:lang w:bidi="ar"/>
              </w:rPr>
              <w:t>，</w:t>
            </w:r>
            <w:r>
              <w:rPr>
                <w:rFonts w:hint="eastAsia" w:ascii="微软雅黑" w:hAnsi="微软雅黑" w:eastAsia="微软雅黑" w:cs="微软雅黑"/>
                <w:color w:val="000000"/>
                <w:kern w:val="0"/>
                <w:sz w:val="18"/>
                <w:szCs w:val="18"/>
                <w:lang w:bidi="ar"/>
              </w:rPr>
              <w:t>能共享一套A</w:t>
            </w:r>
            <w:r>
              <w:rPr>
                <w:rFonts w:ascii="微软雅黑" w:hAnsi="微软雅黑" w:eastAsia="微软雅黑" w:cs="微软雅黑"/>
                <w:color w:val="000000"/>
                <w:kern w:val="0"/>
                <w:sz w:val="18"/>
                <w:szCs w:val="18"/>
                <w:lang w:bidi="ar"/>
              </w:rPr>
              <w:t>P</w:t>
            </w:r>
            <w:r>
              <w:rPr>
                <w:rFonts w:hint="eastAsia" w:ascii="微软雅黑" w:hAnsi="微软雅黑" w:eastAsia="微软雅黑" w:cs="微软雅黑"/>
                <w:color w:val="000000"/>
                <w:kern w:val="0"/>
                <w:sz w:val="18"/>
                <w:szCs w:val="18"/>
                <w:lang w:bidi="ar"/>
              </w:rPr>
              <w:t>授权</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参数：为了满足设备的稳定性，要求所投产品支持双电源冗余供电</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接口数量： WAN: 2*2.5G</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LAN: 8*GE + 2*SFP+</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（所有端口可LAN/WAN切换。）</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要求所投产品支持常规AP最大数量≥144</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 xml:space="preserve"> 要求所投产品集中转发性能≥10Gbps</w:t>
            </w:r>
          </w:p>
        </w:tc>
        <w:tc>
          <w:tcPr>
            <w:tcW w:w="2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微软雅黑" w:hAnsi="微软雅黑" w:eastAsia="微软雅黑" w:cs="微软雅黑"/>
                <w:color w:val="000000"/>
                <w:sz w:val="24"/>
                <w:szCs w:val="24"/>
              </w:rPr>
            </w:pPr>
            <w:r>
              <w:rPr>
                <w:rFonts w:hint="eastAsia" w:ascii="微软雅黑" w:hAnsi="微软雅黑" w:eastAsia="微软雅黑" w:cs="微软雅黑"/>
                <w:color w:val="000000"/>
                <w:kern w:val="0"/>
                <w:sz w:val="18"/>
                <w:szCs w:val="18"/>
                <w:lang w:bidi="ar"/>
              </w:rPr>
              <w:t>1</w:t>
            </w:r>
          </w:p>
        </w:tc>
        <w:tc>
          <w:tcPr>
            <w:tcW w:w="1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微软雅黑" w:hAnsi="微软雅黑" w:eastAsia="微软雅黑" w:cs="微软雅黑"/>
                <w:color w:val="000000"/>
                <w:sz w:val="24"/>
                <w:szCs w:val="24"/>
              </w:rPr>
            </w:pPr>
            <w:r>
              <w:rPr>
                <w:rFonts w:hint="eastAsia" w:ascii="微软雅黑" w:hAnsi="微软雅黑" w:eastAsia="微软雅黑" w:cs="微软雅黑"/>
                <w:color w:val="000000"/>
                <w:kern w:val="0"/>
                <w:sz w:val="18"/>
                <w:szCs w:val="18"/>
                <w:lang w:bidi="ar"/>
              </w:rPr>
              <w:t>台</w:t>
            </w:r>
          </w:p>
        </w:tc>
        <w:tc>
          <w:tcPr>
            <w:tcW w:w="31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微软雅黑" w:hAnsi="微软雅黑" w:eastAsia="微软雅黑" w:cs="微软雅黑"/>
                <w:color w:val="000000"/>
                <w:sz w:val="24"/>
                <w:szCs w:val="24"/>
              </w:rPr>
            </w:pP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微软雅黑" w:hAnsi="微软雅黑" w:eastAsia="微软雅黑" w:cs="微软雅黑"/>
                <w:color w:val="000000"/>
                <w:sz w:val="24"/>
                <w:szCs w:val="24"/>
              </w:rPr>
            </w:pP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微软雅黑" w:hAnsi="微软雅黑" w:eastAsia="微软雅黑" w:cs="微软雅黑"/>
                <w:color w:val="000000"/>
                <w:sz w:val="24"/>
                <w:szCs w:val="24"/>
              </w:rPr>
            </w:pPr>
          </w:p>
        </w:tc>
        <w:tc>
          <w:tcPr>
            <w:tcW w:w="5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微软雅黑" w:hAnsi="微软雅黑" w:eastAsia="微软雅黑" w:cs="微软雅黑"/>
                <w:color w:val="000000"/>
                <w:sz w:val="24"/>
                <w:szCs w:val="24"/>
              </w:rPr>
            </w:pPr>
          </w:p>
        </w:tc>
      </w:tr>
      <w:tr>
        <w:tblPrEx>
          <w:tblCellMar>
            <w:top w:w="0" w:type="dxa"/>
            <w:left w:w="108" w:type="dxa"/>
            <w:bottom w:w="0" w:type="dxa"/>
            <w:right w:w="108" w:type="dxa"/>
          </w:tblCellMar>
        </w:tblPrEx>
        <w:trPr>
          <w:trHeight w:val="2770" w:hRule="atLeast"/>
          <w:jc w:val="center"/>
        </w:trPr>
        <w:tc>
          <w:tcPr>
            <w:tcW w:w="299" w:type="pct"/>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1_18</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监控网室外AP专用8口交换机</w:t>
            </w:r>
          </w:p>
        </w:tc>
        <w:tc>
          <w:tcPr>
            <w:tcW w:w="22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可网管的千兆以太网交换机。</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1、交换容量≥336Gbps，包转发率≥</w:t>
            </w:r>
            <w:r>
              <w:rPr>
                <w:rFonts w:ascii="微软雅黑" w:hAnsi="微软雅黑" w:eastAsia="微软雅黑" w:cs="微软雅黑"/>
                <w:color w:val="000000"/>
                <w:kern w:val="0"/>
                <w:sz w:val="18"/>
                <w:szCs w:val="18"/>
                <w:lang w:bidi="ar"/>
              </w:rPr>
              <w:t>102</w:t>
            </w:r>
            <w:r>
              <w:rPr>
                <w:rFonts w:hint="eastAsia" w:ascii="微软雅黑" w:hAnsi="微软雅黑" w:eastAsia="微软雅黑" w:cs="微软雅黑"/>
                <w:color w:val="000000"/>
                <w:kern w:val="0"/>
                <w:sz w:val="18"/>
                <w:szCs w:val="18"/>
                <w:lang w:bidi="ar"/>
              </w:rPr>
              <w:t>Mpps（官网最小值）</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2、10/100/1000Base-T自适应以太网端口≥8个，千兆SFP口≥2个；</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3、支持基于端口的VLAN，支持基于协议的VLAN；</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4、支持ERPS功能，收敛时间小于50ms；</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5、支持IPv4/IPV6双栈管理和转发，支持静态路由协议和RIP、OSPF等路由协议，支持丰富的管理和安全特性；</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 xml:space="preserve">6、支持内置智能图形化管理功能，能够实现通过图形化界面设备配置及命令一键下发和版本智能升级，全局配置及网管口配置，设备升级备份、监控及设备故障替换，组网拓扑可视及管理、设备列表展示等功能。  </w:t>
            </w:r>
          </w:p>
        </w:tc>
        <w:tc>
          <w:tcPr>
            <w:tcW w:w="2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微软雅黑" w:hAnsi="微软雅黑" w:eastAsia="微软雅黑" w:cs="微软雅黑"/>
                <w:color w:val="000000"/>
                <w:sz w:val="24"/>
                <w:szCs w:val="24"/>
              </w:rPr>
            </w:pPr>
            <w:r>
              <w:rPr>
                <w:rFonts w:hint="eastAsia" w:ascii="微软雅黑" w:hAnsi="微软雅黑" w:eastAsia="微软雅黑" w:cs="微软雅黑"/>
                <w:color w:val="000000"/>
                <w:kern w:val="0"/>
                <w:sz w:val="18"/>
                <w:szCs w:val="18"/>
                <w:lang w:bidi="ar"/>
              </w:rPr>
              <w:t>5</w:t>
            </w:r>
          </w:p>
        </w:tc>
        <w:tc>
          <w:tcPr>
            <w:tcW w:w="1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微软雅黑" w:hAnsi="微软雅黑" w:eastAsia="微软雅黑" w:cs="微软雅黑"/>
                <w:color w:val="000000"/>
                <w:sz w:val="24"/>
                <w:szCs w:val="24"/>
              </w:rPr>
            </w:pPr>
            <w:r>
              <w:rPr>
                <w:rFonts w:hint="eastAsia" w:ascii="微软雅黑" w:hAnsi="微软雅黑" w:eastAsia="微软雅黑" w:cs="微软雅黑"/>
                <w:color w:val="000000"/>
                <w:kern w:val="0"/>
                <w:sz w:val="18"/>
                <w:szCs w:val="18"/>
                <w:lang w:bidi="ar"/>
              </w:rPr>
              <w:t>台</w:t>
            </w:r>
          </w:p>
        </w:tc>
        <w:tc>
          <w:tcPr>
            <w:tcW w:w="31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微软雅黑" w:hAnsi="微软雅黑" w:eastAsia="微软雅黑" w:cs="微软雅黑"/>
                <w:color w:val="000000"/>
                <w:sz w:val="24"/>
                <w:szCs w:val="24"/>
              </w:rPr>
            </w:pP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微软雅黑" w:hAnsi="微软雅黑" w:eastAsia="微软雅黑" w:cs="微软雅黑"/>
                <w:color w:val="000000"/>
                <w:sz w:val="24"/>
                <w:szCs w:val="24"/>
              </w:rPr>
            </w:pP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微软雅黑" w:hAnsi="微软雅黑" w:eastAsia="微软雅黑" w:cs="微软雅黑"/>
                <w:color w:val="000000"/>
                <w:sz w:val="24"/>
                <w:szCs w:val="24"/>
              </w:rPr>
            </w:pPr>
          </w:p>
        </w:tc>
        <w:tc>
          <w:tcPr>
            <w:tcW w:w="5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微软雅黑" w:hAnsi="微软雅黑" w:eastAsia="微软雅黑" w:cs="微软雅黑"/>
                <w:color w:val="000000"/>
                <w:sz w:val="24"/>
                <w:szCs w:val="24"/>
              </w:rPr>
            </w:pPr>
          </w:p>
        </w:tc>
      </w:tr>
      <w:tr>
        <w:tblPrEx>
          <w:tblCellMar>
            <w:top w:w="0" w:type="dxa"/>
            <w:left w:w="108" w:type="dxa"/>
            <w:bottom w:w="0" w:type="dxa"/>
            <w:right w:w="108" w:type="dxa"/>
          </w:tblCellMar>
        </w:tblPrEx>
        <w:trPr>
          <w:wAfter w:w="0" w:type="auto"/>
          <w:trHeight w:val="4010" w:hRule="atLeast"/>
          <w:jc w:val="center"/>
        </w:trPr>
        <w:tc>
          <w:tcPr>
            <w:tcW w:w="299" w:type="pct"/>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1_19</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监控网汇聚交换机</w:t>
            </w:r>
          </w:p>
        </w:tc>
        <w:tc>
          <w:tcPr>
            <w:tcW w:w="22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可网管的千兆以太网交换机。</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1、交换容量≥336Gbps，包转发率≥</w:t>
            </w:r>
            <w:r>
              <w:rPr>
                <w:rFonts w:ascii="微软雅黑" w:hAnsi="微软雅黑" w:eastAsia="微软雅黑" w:cs="微软雅黑"/>
                <w:color w:val="000000"/>
                <w:kern w:val="0"/>
                <w:sz w:val="18"/>
                <w:szCs w:val="18"/>
                <w:lang w:bidi="ar"/>
              </w:rPr>
              <w:t>126</w:t>
            </w:r>
            <w:r>
              <w:rPr>
                <w:rFonts w:hint="eastAsia" w:ascii="微软雅黑" w:hAnsi="微软雅黑" w:eastAsia="微软雅黑" w:cs="微软雅黑"/>
                <w:color w:val="000000"/>
                <w:kern w:val="0"/>
                <w:sz w:val="18"/>
                <w:szCs w:val="18"/>
                <w:lang w:bidi="ar"/>
              </w:rPr>
              <w:t>Mpps（官网最小值）</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2、100/1000 SFP光口≥24个（其中 GE combo口≥8个），万兆SFP+口≥4个；</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3、支持基于端口的VLAN，支持基于协议的VLAN；</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4、支持ERPS功能，收敛时间小于50ms；</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5、支持IPv4/IPV6双栈管理和转发，支持静态路由协议和RIP、OSPF等路由协议，支持丰富的管理和安全特性；</w:t>
            </w:r>
            <w:r>
              <w:rPr>
                <w:rFonts w:hint="eastAsia" w:ascii="微软雅黑" w:hAnsi="微软雅黑" w:eastAsia="微软雅黑" w:cs="微软雅黑"/>
                <w:color w:val="000000"/>
                <w:kern w:val="0"/>
                <w:sz w:val="18"/>
                <w:szCs w:val="18"/>
                <w:lang w:bidi="ar"/>
              </w:rPr>
              <w:br w:type="textWrapping"/>
            </w:r>
            <w:r>
              <w:rPr>
                <w:rFonts w:hint="eastAsia" w:ascii="微软雅黑" w:hAnsi="微软雅黑" w:eastAsia="微软雅黑" w:cs="微软雅黑"/>
                <w:color w:val="000000"/>
                <w:kern w:val="0"/>
                <w:sz w:val="18"/>
                <w:szCs w:val="18"/>
                <w:lang w:bidi="ar"/>
              </w:rPr>
              <w:t xml:space="preserve">6、支持内置智能图形化管理功能，能够实现通过图形化界面设备配置及命令一键下发和版本智能升级，全局配置及网管口配置，设备升级备份、监控及设备故障替换，组网拓扑可视及管理、设备列表展示等功能。 </w:t>
            </w:r>
          </w:p>
        </w:tc>
        <w:tc>
          <w:tcPr>
            <w:tcW w:w="2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微软雅黑" w:hAnsi="微软雅黑" w:eastAsia="微软雅黑" w:cs="微软雅黑"/>
                <w:color w:val="000000"/>
                <w:sz w:val="24"/>
                <w:szCs w:val="24"/>
              </w:rPr>
            </w:pPr>
            <w:r>
              <w:rPr>
                <w:rFonts w:hint="eastAsia" w:ascii="微软雅黑" w:hAnsi="微软雅黑" w:eastAsia="微软雅黑" w:cs="微软雅黑"/>
                <w:color w:val="000000"/>
                <w:kern w:val="0"/>
                <w:sz w:val="18"/>
                <w:szCs w:val="18"/>
                <w:lang w:bidi="ar"/>
              </w:rPr>
              <w:t>1</w:t>
            </w:r>
          </w:p>
        </w:tc>
        <w:tc>
          <w:tcPr>
            <w:tcW w:w="1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微软雅黑" w:hAnsi="微软雅黑" w:eastAsia="微软雅黑" w:cs="微软雅黑"/>
                <w:color w:val="000000"/>
                <w:sz w:val="24"/>
                <w:szCs w:val="24"/>
              </w:rPr>
            </w:pPr>
            <w:r>
              <w:rPr>
                <w:rFonts w:hint="eastAsia" w:ascii="微软雅黑" w:hAnsi="微软雅黑" w:eastAsia="微软雅黑" w:cs="微软雅黑"/>
                <w:color w:val="000000"/>
                <w:kern w:val="0"/>
                <w:sz w:val="18"/>
                <w:szCs w:val="18"/>
                <w:lang w:bidi="ar"/>
              </w:rPr>
              <w:t>台</w:t>
            </w:r>
          </w:p>
        </w:tc>
        <w:tc>
          <w:tcPr>
            <w:tcW w:w="31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微软雅黑" w:hAnsi="微软雅黑" w:eastAsia="微软雅黑" w:cs="微软雅黑"/>
                <w:color w:val="000000"/>
                <w:sz w:val="24"/>
                <w:szCs w:val="24"/>
              </w:rPr>
            </w:pP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微软雅黑" w:hAnsi="微软雅黑" w:eastAsia="微软雅黑" w:cs="微软雅黑"/>
                <w:color w:val="000000"/>
                <w:sz w:val="24"/>
                <w:szCs w:val="24"/>
              </w:rPr>
            </w:pP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微软雅黑" w:hAnsi="微软雅黑" w:eastAsia="微软雅黑" w:cs="微软雅黑"/>
                <w:color w:val="000000"/>
                <w:sz w:val="24"/>
                <w:szCs w:val="24"/>
              </w:rPr>
            </w:pPr>
          </w:p>
        </w:tc>
        <w:tc>
          <w:tcPr>
            <w:tcW w:w="5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微软雅黑" w:hAnsi="微软雅黑" w:eastAsia="微软雅黑" w:cs="微软雅黑"/>
                <w:color w:val="000000"/>
                <w:sz w:val="24"/>
                <w:szCs w:val="24"/>
              </w:rPr>
            </w:pPr>
          </w:p>
        </w:tc>
      </w:tr>
      <w:tr>
        <w:tblPrEx>
          <w:tblCellMar>
            <w:top w:w="0" w:type="dxa"/>
            <w:left w:w="108" w:type="dxa"/>
            <w:bottom w:w="0" w:type="dxa"/>
            <w:right w:w="108" w:type="dxa"/>
          </w:tblCellMar>
        </w:tblPrEx>
        <w:trPr>
          <w:trHeight w:val="90" w:hRule="atLeast"/>
          <w:jc w:val="center"/>
        </w:trPr>
        <w:tc>
          <w:tcPr>
            <w:tcW w:w="299" w:type="pct"/>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1_20</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六类网线</w:t>
            </w:r>
          </w:p>
        </w:tc>
        <w:tc>
          <w:tcPr>
            <w:tcW w:w="221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六类千兆工程网线，高纯度无氧铜材质，足305米</w:t>
            </w:r>
          </w:p>
        </w:tc>
        <w:tc>
          <w:tcPr>
            <w:tcW w:w="2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微软雅黑" w:hAnsi="微软雅黑" w:eastAsia="微软雅黑" w:cs="微软雅黑"/>
                <w:color w:val="000000"/>
                <w:sz w:val="24"/>
                <w:szCs w:val="24"/>
              </w:rPr>
            </w:pPr>
            <w:r>
              <w:rPr>
                <w:rFonts w:hint="eastAsia" w:ascii="微软雅黑" w:hAnsi="微软雅黑" w:eastAsia="微软雅黑" w:cs="微软雅黑"/>
                <w:color w:val="000000"/>
                <w:kern w:val="0"/>
                <w:sz w:val="18"/>
                <w:szCs w:val="18"/>
                <w:lang w:bidi="ar"/>
              </w:rPr>
              <w:t>40</w:t>
            </w:r>
          </w:p>
        </w:tc>
        <w:tc>
          <w:tcPr>
            <w:tcW w:w="1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微软雅黑" w:hAnsi="微软雅黑" w:eastAsia="微软雅黑" w:cs="微软雅黑"/>
                <w:color w:val="000000"/>
                <w:sz w:val="24"/>
                <w:szCs w:val="24"/>
              </w:rPr>
            </w:pPr>
            <w:r>
              <w:rPr>
                <w:rFonts w:hint="eastAsia" w:ascii="微软雅黑" w:hAnsi="微软雅黑" w:eastAsia="微软雅黑" w:cs="微软雅黑"/>
                <w:color w:val="000000"/>
                <w:kern w:val="0"/>
                <w:sz w:val="18"/>
                <w:szCs w:val="18"/>
                <w:lang w:bidi="ar"/>
              </w:rPr>
              <w:t>箱</w:t>
            </w:r>
          </w:p>
        </w:tc>
        <w:tc>
          <w:tcPr>
            <w:tcW w:w="31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微软雅黑" w:hAnsi="微软雅黑" w:eastAsia="微软雅黑" w:cs="微软雅黑"/>
                <w:color w:val="000000"/>
                <w:sz w:val="24"/>
                <w:szCs w:val="24"/>
              </w:rPr>
            </w:pP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微软雅黑" w:hAnsi="微软雅黑" w:eastAsia="微软雅黑" w:cs="微软雅黑"/>
                <w:color w:val="000000"/>
                <w:sz w:val="24"/>
                <w:szCs w:val="24"/>
              </w:rPr>
            </w:pP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微软雅黑" w:hAnsi="微软雅黑" w:eastAsia="微软雅黑" w:cs="微软雅黑"/>
                <w:color w:val="000000"/>
                <w:sz w:val="24"/>
                <w:szCs w:val="24"/>
              </w:rPr>
            </w:pPr>
          </w:p>
        </w:tc>
        <w:tc>
          <w:tcPr>
            <w:tcW w:w="5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微软雅黑" w:hAnsi="微软雅黑" w:eastAsia="微软雅黑" w:cs="微软雅黑"/>
                <w:color w:val="000000"/>
                <w:sz w:val="24"/>
                <w:szCs w:val="24"/>
              </w:rPr>
            </w:pPr>
          </w:p>
        </w:tc>
      </w:tr>
      <w:tr>
        <w:tblPrEx>
          <w:tblCellMar>
            <w:top w:w="0" w:type="dxa"/>
            <w:left w:w="108" w:type="dxa"/>
            <w:bottom w:w="0" w:type="dxa"/>
            <w:right w:w="108" w:type="dxa"/>
          </w:tblCellMar>
        </w:tblPrEx>
        <w:trPr>
          <w:trHeight w:val="90" w:hRule="atLeast"/>
          <w:jc w:val="center"/>
        </w:trPr>
        <w:tc>
          <w:tcPr>
            <w:tcW w:w="299" w:type="pct"/>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1_21</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光纤</w:t>
            </w:r>
          </w:p>
        </w:tc>
        <w:tc>
          <w:tcPr>
            <w:tcW w:w="221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室外光纤8芯</w:t>
            </w:r>
          </w:p>
        </w:tc>
        <w:tc>
          <w:tcPr>
            <w:tcW w:w="2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微软雅黑" w:hAnsi="微软雅黑" w:eastAsia="微软雅黑" w:cs="微软雅黑"/>
                <w:color w:val="000000"/>
                <w:sz w:val="24"/>
                <w:szCs w:val="24"/>
              </w:rPr>
            </w:pPr>
            <w:r>
              <w:rPr>
                <w:rFonts w:hint="eastAsia" w:ascii="微软雅黑" w:hAnsi="微软雅黑" w:eastAsia="微软雅黑" w:cs="微软雅黑"/>
                <w:color w:val="000000"/>
                <w:kern w:val="0"/>
                <w:sz w:val="18"/>
                <w:szCs w:val="18"/>
                <w:lang w:bidi="ar"/>
              </w:rPr>
              <w:t>3500</w:t>
            </w:r>
          </w:p>
        </w:tc>
        <w:tc>
          <w:tcPr>
            <w:tcW w:w="1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微软雅黑" w:hAnsi="微软雅黑" w:eastAsia="微软雅黑" w:cs="微软雅黑"/>
                <w:color w:val="000000"/>
                <w:sz w:val="24"/>
                <w:szCs w:val="24"/>
              </w:rPr>
            </w:pPr>
            <w:r>
              <w:rPr>
                <w:rFonts w:hint="eastAsia" w:ascii="微软雅黑" w:hAnsi="微软雅黑" w:eastAsia="微软雅黑" w:cs="微软雅黑"/>
                <w:color w:val="000000"/>
                <w:kern w:val="0"/>
                <w:sz w:val="18"/>
                <w:szCs w:val="18"/>
                <w:lang w:bidi="ar"/>
              </w:rPr>
              <w:t>米</w:t>
            </w:r>
          </w:p>
        </w:tc>
        <w:tc>
          <w:tcPr>
            <w:tcW w:w="31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微软雅黑" w:hAnsi="微软雅黑" w:eastAsia="微软雅黑" w:cs="微软雅黑"/>
                <w:color w:val="000000"/>
                <w:sz w:val="24"/>
                <w:szCs w:val="24"/>
              </w:rPr>
            </w:pP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微软雅黑" w:hAnsi="微软雅黑" w:eastAsia="微软雅黑" w:cs="微软雅黑"/>
                <w:color w:val="000000"/>
                <w:sz w:val="24"/>
                <w:szCs w:val="24"/>
              </w:rPr>
            </w:pP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微软雅黑" w:hAnsi="微软雅黑" w:eastAsia="微软雅黑" w:cs="微软雅黑"/>
                <w:color w:val="000000"/>
                <w:sz w:val="24"/>
                <w:szCs w:val="24"/>
              </w:rPr>
            </w:pPr>
          </w:p>
        </w:tc>
        <w:tc>
          <w:tcPr>
            <w:tcW w:w="5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微软雅黑" w:hAnsi="微软雅黑" w:eastAsia="微软雅黑" w:cs="微软雅黑"/>
                <w:color w:val="000000"/>
                <w:sz w:val="24"/>
                <w:szCs w:val="24"/>
              </w:rPr>
            </w:pPr>
          </w:p>
        </w:tc>
      </w:tr>
      <w:tr>
        <w:tblPrEx>
          <w:tblCellMar>
            <w:top w:w="0" w:type="dxa"/>
            <w:left w:w="108" w:type="dxa"/>
            <w:bottom w:w="0" w:type="dxa"/>
            <w:right w:w="108" w:type="dxa"/>
          </w:tblCellMar>
        </w:tblPrEx>
        <w:trPr>
          <w:trHeight w:val="90" w:hRule="atLeast"/>
          <w:jc w:val="center"/>
        </w:trPr>
        <w:tc>
          <w:tcPr>
            <w:tcW w:w="299" w:type="pct"/>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1_22</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综合布线</w:t>
            </w:r>
          </w:p>
        </w:tc>
        <w:tc>
          <w:tcPr>
            <w:tcW w:w="221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厂区整体网络线材全部更换成六类千兆工程网线，网线布线，光纤布线以及敷设管线材等</w:t>
            </w:r>
          </w:p>
        </w:tc>
        <w:tc>
          <w:tcPr>
            <w:tcW w:w="2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微软雅黑" w:hAnsi="微软雅黑" w:eastAsia="微软雅黑" w:cs="微软雅黑"/>
                <w:color w:val="000000"/>
                <w:sz w:val="24"/>
                <w:szCs w:val="24"/>
              </w:rPr>
            </w:pPr>
            <w:r>
              <w:rPr>
                <w:rFonts w:hint="eastAsia" w:ascii="微软雅黑" w:hAnsi="微软雅黑" w:eastAsia="微软雅黑" w:cs="微软雅黑"/>
                <w:color w:val="000000"/>
                <w:kern w:val="0"/>
                <w:sz w:val="18"/>
                <w:szCs w:val="18"/>
                <w:lang w:bidi="ar"/>
              </w:rPr>
              <w:t>1</w:t>
            </w:r>
          </w:p>
        </w:tc>
        <w:tc>
          <w:tcPr>
            <w:tcW w:w="1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微软雅黑" w:hAnsi="微软雅黑" w:eastAsia="微软雅黑" w:cs="微软雅黑"/>
                <w:color w:val="000000"/>
                <w:sz w:val="24"/>
                <w:szCs w:val="24"/>
              </w:rPr>
            </w:pPr>
            <w:r>
              <w:rPr>
                <w:rFonts w:hint="eastAsia" w:ascii="微软雅黑" w:hAnsi="微软雅黑" w:eastAsia="微软雅黑" w:cs="微软雅黑"/>
                <w:color w:val="000000"/>
                <w:kern w:val="0"/>
                <w:sz w:val="18"/>
                <w:szCs w:val="18"/>
                <w:lang w:bidi="ar"/>
              </w:rPr>
              <w:t>项</w:t>
            </w:r>
          </w:p>
        </w:tc>
        <w:tc>
          <w:tcPr>
            <w:tcW w:w="31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微软雅黑" w:hAnsi="微软雅黑" w:eastAsia="微软雅黑" w:cs="微软雅黑"/>
                <w:color w:val="000000"/>
                <w:sz w:val="24"/>
                <w:szCs w:val="24"/>
              </w:rPr>
            </w:pP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微软雅黑" w:hAnsi="微软雅黑" w:eastAsia="微软雅黑" w:cs="微软雅黑"/>
                <w:color w:val="000000"/>
                <w:sz w:val="24"/>
                <w:szCs w:val="24"/>
              </w:rPr>
            </w:pP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微软雅黑" w:hAnsi="微软雅黑" w:eastAsia="微软雅黑" w:cs="微软雅黑"/>
                <w:color w:val="000000"/>
                <w:sz w:val="24"/>
                <w:szCs w:val="24"/>
              </w:rPr>
            </w:pPr>
          </w:p>
        </w:tc>
        <w:tc>
          <w:tcPr>
            <w:tcW w:w="5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微软雅黑" w:hAnsi="微软雅黑" w:eastAsia="微软雅黑" w:cs="微软雅黑"/>
                <w:color w:val="000000"/>
                <w:sz w:val="24"/>
                <w:szCs w:val="24"/>
              </w:rPr>
            </w:pPr>
          </w:p>
        </w:tc>
      </w:tr>
      <w:tr>
        <w:trPr>
          <w:trHeight w:val="90" w:hRule="atLeast"/>
          <w:jc w:val="center"/>
        </w:trPr>
        <w:tc>
          <w:tcPr>
            <w:tcW w:w="299" w:type="pct"/>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1_23</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管井</w:t>
            </w:r>
          </w:p>
        </w:tc>
        <w:tc>
          <w:tcPr>
            <w:tcW w:w="221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户外网络架构管井，所有管井打通到机房，包含开挖，填埋；管井尺寸：600mm*600mm*800mm，内部砌砖要求为：使用砖块，注意保持井壁的垂直和平整度；回填要求：井周50cm范围内的回填材料，均应采用无砂沙大孔混合材料。</w:t>
            </w:r>
          </w:p>
        </w:tc>
        <w:tc>
          <w:tcPr>
            <w:tcW w:w="2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微软雅黑" w:hAnsi="微软雅黑" w:eastAsia="微软雅黑" w:cs="微软雅黑"/>
                <w:color w:val="000000"/>
                <w:sz w:val="24"/>
                <w:szCs w:val="24"/>
              </w:rPr>
            </w:pPr>
            <w:r>
              <w:rPr>
                <w:rFonts w:hint="eastAsia" w:ascii="微软雅黑" w:hAnsi="微软雅黑" w:eastAsia="微软雅黑" w:cs="微软雅黑"/>
                <w:color w:val="000000"/>
                <w:kern w:val="0"/>
                <w:sz w:val="18"/>
                <w:szCs w:val="18"/>
                <w:lang w:bidi="ar"/>
              </w:rPr>
              <w:t>1</w:t>
            </w:r>
          </w:p>
        </w:tc>
        <w:tc>
          <w:tcPr>
            <w:tcW w:w="1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微软雅黑" w:hAnsi="微软雅黑" w:eastAsia="微软雅黑" w:cs="微软雅黑"/>
                <w:color w:val="000000"/>
                <w:sz w:val="24"/>
                <w:szCs w:val="24"/>
              </w:rPr>
            </w:pPr>
            <w:r>
              <w:rPr>
                <w:rFonts w:hint="eastAsia" w:ascii="微软雅黑" w:hAnsi="微软雅黑" w:eastAsia="微软雅黑" w:cs="微软雅黑"/>
                <w:color w:val="000000"/>
                <w:kern w:val="0"/>
                <w:sz w:val="18"/>
                <w:szCs w:val="18"/>
                <w:lang w:bidi="ar"/>
              </w:rPr>
              <w:t>项</w:t>
            </w:r>
          </w:p>
        </w:tc>
        <w:tc>
          <w:tcPr>
            <w:tcW w:w="31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微软雅黑" w:hAnsi="微软雅黑" w:eastAsia="微软雅黑" w:cs="微软雅黑"/>
                <w:color w:val="000000"/>
                <w:sz w:val="24"/>
                <w:szCs w:val="24"/>
              </w:rPr>
            </w:pP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微软雅黑" w:hAnsi="微软雅黑" w:eastAsia="微软雅黑" w:cs="微软雅黑"/>
                <w:color w:val="000000"/>
                <w:sz w:val="24"/>
                <w:szCs w:val="24"/>
              </w:rPr>
            </w:pP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微软雅黑" w:hAnsi="微软雅黑" w:eastAsia="微软雅黑" w:cs="微软雅黑"/>
                <w:color w:val="000000"/>
                <w:sz w:val="24"/>
                <w:szCs w:val="24"/>
              </w:rPr>
            </w:pPr>
          </w:p>
        </w:tc>
        <w:tc>
          <w:tcPr>
            <w:tcW w:w="5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微软雅黑" w:hAnsi="微软雅黑" w:eastAsia="微软雅黑" w:cs="微软雅黑"/>
                <w:color w:val="000000"/>
                <w:sz w:val="24"/>
                <w:szCs w:val="24"/>
              </w:rPr>
            </w:pPr>
          </w:p>
        </w:tc>
      </w:tr>
      <w:tr>
        <w:tblPrEx>
          <w:tblCellMar>
            <w:top w:w="0" w:type="dxa"/>
            <w:left w:w="108" w:type="dxa"/>
            <w:bottom w:w="0" w:type="dxa"/>
            <w:right w:w="108" w:type="dxa"/>
          </w:tblCellMar>
        </w:tblPrEx>
        <w:trPr>
          <w:trHeight w:val="90" w:hRule="atLeast"/>
          <w:jc w:val="center"/>
        </w:trPr>
        <w:tc>
          <w:tcPr>
            <w:tcW w:w="299" w:type="pct"/>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1_24</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辅材</w:t>
            </w:r>
          </w:p>
        </w:tc>
        <w:tc>
          <w:tcPr>
            <w:tcW w:w="221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线管、线槽、膨胀钉、线材、螺钉、水晶头、连接件、挂件、铁钉、扎带、标识、弯头、光纤盘，融纤等</w:t>
            </w:r>
          </w:p>
        </w:tc>
        <w:tc>
          <w:tcPr>
            <w:tcW w:w="2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微软雅黑" w:hAnsi="微软雅黑" w:eastAsia="微软雅黑" w:cs="微软雅黑"/>
                <w:color w:val="000000"/>
                <w:sz w:val="24"/>
                <w:szCs w:val="24"/>
              </w:rPr>
            </w:pPr>
            <w:r>
              <w:rPr>
                <w:rFonts w:hint="eastAsia" w:ascii="微软雅黑" w:hAnsi="微软雅黑" w:eastAsia="微软雅黑" w:cs="微软雅黑"/>
                <w:color w:val="000000"/>
                <w:kern w:val="0"/>
                <w:sz w:val="18"/>
                <w:szCs w:val="18"/>
                <w:lang w:bidi="ar"/>
              </w:rPr>
              <w:t>1</w:t>
            </w:r>
          </w:p>
        </w:tc>
        <w:tc>
          <w:tcPr>
            <w:tcW w:w="1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微软雅黑" w:hAnsi="微软雅黑" w:eastAsia="微软雅黑" w:cs="微软雅黑"/>
                <w:color w:val="000000"/>
                <w:sz w:val="24"/>
                <w:szCs w:val="24"/>
              </w:rPr>
            </w:pPr>
            <w:r>
              <w:rPr>
                <w:rFonts w:hint="eastAsia" w:ascii="微软雅黑" w:hAnsi="微软雅黑" w:eastAsia="微软雅黑" w:cs="微软雅黑"/>
                <w:color w:val="000000"/>
                <w:kern w:val="0"/>
                <w:sz w:val="18"/>
                <w:szCs w:val="18"/>
                <w:lang w:bidi="ar"/>
              </w:rPr>
              <w:t>项目</w:t>
            </w:r>
          </w:p>
        </w:tc>
        <w:tc>
          <w:tcPr>
            <w:tcW w:w="31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微软雅黑" w:hAnsi="微软雅黑" w:eastAsia="微软雅黑" w:cs="微软雅黑"/>
                <w:color w:val="000000"/>
                <w:sz w:val="24"/>
                <w:szCs w:val="24"/>
              </w:rPr>
            </w:pP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微软雅黑" w:hAnsi="微软雅黑" w:eastAsia="微软雅黑" w:cs="微软雅黑"/>
                <w:color w:val="000000"/>
                <w:sz w:val="24"/>
                <w:szCs w:val="24"/>
              </w:rPr>
            </w:pP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微软雅黑" w:hAnsi="微软雅黑" w:eastAsia="微软雅黑" w:cs="微软雅黑"/>
                <w:color w:val="000000"/>
                <w:sz w:val="24"/>
                <w:szCs w:val="24"/>
              </w:rPr>
            </w:pPr>
          </w:p>
        </w:tc>
        <w:tc>
          <w:tcPr>
            <w:tcW w:w="5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微软雅黑" w:hAnsi="微软雅黑" w:eastAsia="微软雅黑" w:cs="微软雅黑"/>
                <w:color w:val="000000"/>
                <w:sz w:val="24"/>
                <w:szCs w:val="24"/>
              </w:rPr>
            </w:pPr>
          </w:p>
        </w:tc>
      </w:tr>
      <w:tr>
        <w:tblPrEx>
          <w:tblCellMar>
            <w:top w:w="0" w:type="dxa"/>
            <w:left w:w="108" w:type="dxa"/>
            <w:bottom w:w="0" w:type="dxa"/>
            <w:right w:w="108" w:type="dxa"/>
          </w:tblCellMar>
        </w:tblPrEx>
        <w:trPr>
          <w:trHeight w:val="90" w:hRule="atLeast"/>
          <w:jc w:val="center"/>
        </w:trPr>
        <w:tc>
          <w:tcPr>
            <w:tcW w:w="299" w:type="pct"/>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1_25</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室外机柜</w:t>
            </w:r>
          </w:p>
        </w:tc>
        <w:tc>
          <w:tcPr>
            <w:tcW w:w="221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室外防水机柜，机柜尺寸：600mm*600mm*1200mm；镀锌钢板材质，防水等级为≦IP55</w:t>
            </w:r>
          </w:p>
        </w:tc>
        <w:tc>
          <w:tcPr>
            <w:tcW w:w="2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微软雅黑" w:hAnsi="微软雅黑" w:eastAsia="微软雅黑" w:cs="微软雅黑"/>
                <w:color w:val="000000"/>
                <w:sz w:val="24"/>
                <w:szCs w:val="24"/>
              </w:rPr>
            </w:pPr>
            <w:r>
              <w:rPr>
                <w:rFonts w:hint="eastAsia" w:ascii="微软雅黑" w:hAnsi="微软雅黑" w:eastAsia="微软雅黑" w:cs="微软雅黑"/>
                <w:color w:val="000000"/>
                <w:kern w:val="0"/>
                <w:sz w:val="18"/>
                <w:szCs w:val="18"/>
                <w:lang w:bidi="ar"/>
              </w:rPr>
              <w:t>8</w:t>
            </w:r>
          </w:p>
        </w:tc>
        <w:tc>
          <w:tcPr>
            <w:tcW w:w="1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微软雅黑" w:hAnsi="微软雅黑" w:eastAsia="微软雅黑" w:cs="微软雅黑"/>
                <w:color w:val="000000"/>
                <w:sz w:val="24"/>
                <w:szCs w:val="24"/>
              </w:rPr>
            </w:pPr>
            <w:r>
              <w:rPr>
                <w:rFonts w:hint="eastAsia" w:ascii="微软雅黑" w:hAnsi="微软雅黑" w:eastAsia="微软雅黑" w:cs="微软雅黑"/>
                <w:color w:val="000000"/>
                <w:kern w:val="0"/>
                <w:sz w:val="18"/>
                <w:szCs w:val="18"/>
                <w:lang w:bidi="ar"/>
              </w:rPr>
              <w:t>套</w:t>
            </w:r>
          </w:p>
        </w:tc>
        <w:tc>
          <w:tcPr>
            <w:tcW w:w="31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微软雅黑" w:hAnsi="微软雅黑" w:eastAsia="微软雅黑" w:cs="微软雅黑"/>
                <w:color w:val="000000"/>
                <w:sz w:val="24"/>
                <w:szCs w:val="24"/>
              </w:rPr>
            </w:pP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微软雅黑" w:hAnsi="微软雅黑" w:eastAsia="微软雅黑" w:cs="微软雅黑"/>
                <w:color w:val="000000"/>
                <w:sz w:val="24"/>
                <w:szCs w:val="24"/>
              </w:rPr>
            </w:pP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微软雅黑" w:hAnsi="微软雅黑" w:eastAsia="微软雅黑" w:cs="微软雅黑"/>
                <w:color w:val="000000"/>
                <w:sz w:val="24"/>
                <w:szCs w:val="24"/>
              </w:rPr>
            </w:pPr>
          </w:p>
        </w:tc>
        <w:tc>
          <w:tcPr>
            <w:tcW w:w="5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微软雅黑" w:hAnsi="微软雅黑" w:eastAsia="微软雅黑" w:cs="微软雅黑"/>
                <w:color w:val="000000"/>
                <w:sz w:val="24"/>
                <w:szCs w:val="24"/>
              </w:rPr>
            </w:pPr>
          </w:p>
        </w:tc>
      </w:tr>
      <w:tr>
        <w:trPr>
          <w:trHeight w:val="90" w:hRule="atLeast"/>
          <w:jc w:val="center"/>
        </w:trPr>
        <w:tc>
          <w:tcPr>
            <w:tcW w:w="299" w:type="pct"/>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1_26</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微软雅黑" w:hAnsi="微软雅黑" w:eastAsia="微软雅黑" w:cs="微软雅黑"/>
                <w:b/>
                <w:bCs/>
                <w:color w:val="000000"/>
                <w:sz w:val="20"/>
                <w:szCs w:val="20"/>
              </w:rPr>
            </w:pPr>
            <w:r>
              <w:rPr>
                <w:rFonts w:hint="eastAsia" w:ascii="微软雅黑" w:hAnsi="微软雅黑" w:eastAsia="微软雅黑" w:cs="微软雅黑"/>
                <w:b/>
                <w:bCs/>
                <w:color w:val="000000"/>
                <w:kern w:val="0"/>
                <w:sz w:val="20"/>
                <w:szCs w:val="20"/>
                <w:lang w:bidi="ar"/>
              </w:rPr>
              <w:t>立杆</w:t>
            </w:r>
          </w:p>
        </w:tc>
        <w:tc>
          <w:tcPr>
            <w:tcW w:w="221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微软雅黑" w:hAnsi="微软雅黑" w:eastAsia="微软雅黑" w:cs="微软雅黑"/>
                <w:color w:val="000000"/>
                <w:sz w:val="18"/>
                <w:szCs w:val="18"/>
              </w:rPr>
            </w:pPr>
            <w:r>
              <w:rPr>
                <w:rFonts w:hint="eastAsia" w:ascii="微软雅黑" w:hAnsi="微软雅黑" w:eastAsia="微软雅黑" w:cs="微软雅黑"/>
                <w:color w:val="000000"/>
                <w:sz w:val="18"/>
                <w:szCs w:val="18"/>
              </w:rPr>
              <w:t>立杆的规格：热镀锌钢管，预留装监控横臂，3.5米圆杆+地笼，直径：115-90mm，厚度3mm，避雷针定做防雷。</w:t>
            </w:r>
          </w:p>
        </w:tc>
        <w:tc>
          <w:tcPr>
            <w:tcW w:w="218"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微软雅黑" w:hAnsi="微软雅黑" w:eastAsia="微软雅黑" w:cs="微软雅黑"/>
                <w:color w:val="000000"/>
                <w:sz w:val="24"/>
                <w:szCs w:val="24"/>
              </w:rPr>
            </w:pPr>
            <w:r>
              <w:rPr>
                <w:rFonts w:hint="eastAsia" w:ascii="微软雅黑" w:hAnsi="微软雅黑" w:eastAsia="微软雅黑" w:cs="微软雅黑"/>
                <w:color w:val="000000"/>
                <w:kern w:val="0"/>
                <w:sz w:val="18"/>
                <w:szCs w:val="18"/>
                <w:lang w:bidi="ar"/>
              </w:rPr>
              <w:t>8</w:t>
            </w:r>
          </w:p>
        </w:tc>
        <w:tc>
          <w:tcPr>
            <w:tcW w:w="16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微软雅黑" w:hAnsi="微软雅黑" w:eastAsia="微软雅黑" w:cs="微软雅黑"/>
                <w:color w:val="000000"/>
                <w:sz w:val="24"/>
                <w:szCs w:val="24"/>
              </w:rPr>
            </w:pPr>
            <w:r>
              <w:rPr>
                <w:rFonts w:hint="eastAsia" w:ascii="微软雅黑" w:hAnsi="微软雅黑" w:eastAsia="微软雅黑" w:cs="微软雅黑"/>
                <w:color w:val="000000"/>
                <w:kern w:val="0"/>
                <w:sz w:val="18"/>
                <w:szCs w:val="18"/>
                <w:lang w:bidi="ar"/>
              </w:rPr>
              <w:t>套</w:t>
            </w:r>
          </w:p>
        </w:tc>
        <w:tc>
          <w:tcPr>
            <w:tcW w:w="31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微软雅黑" w:hAnsi="微软雅黑" w:eastAsia="微软雅黑" w:cs="微软雅黑"/>
                <w:color w:val="000000"/>
                <w:sz w:val="24"/>
                <w:szCs w:val="24"/>
              </w:rPr>
            </w:pPr>
          </w:p>
        </w:tc>
        <w:tc>
          <w:tcPr>
            <w:tcW w:w="34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微软雅黑" w:hAnsi="微软雅黑" w:eastAsia="微软雅黑" w:cs="微软雅黑"/>
                <w:color w:val="000000"/>
                <w:sz w:val="24"/>
                <w:szCs w:val="24"/>
              </w:rPr>
            </w:pPr>
          </w:p>
        </w:tc>
        <w:tc>
          <w:tcPr>
            <w:tcW w:w="3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微软雅黑" w:hAnsi="微软雅黑" w:eastAsia="微软雅黑" w:cs="微软雅黑"/>
                <w:color w:val="000000"/>
                <w:sz w:val="24"/>
                <w:szCs w:val="24"/>
              </w:rPr>
            </w:pPr>
          </w:p>
        </w:tc>
        <w:tc>
          <w:tcPr>
            <w:tcW w:w="5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微软雅黑" w:hAnsi="微软雅黑" w:eastAsia="微软雅黑" w:cs="微软雅黑"/>
                <w:color w:val="000000"/>
                <w:sz w:val="24"/>
                <w:szCs w:val="24"/>
              </w:rPr>
            </w:pPr>
          </w:p>
        </w:tc>
      </w:tr>
      <w:tr>
        <w:trPr>
          <w:trHeight w:val="90" w:hRule="atLeast"/>
          <w:jc w:val="center"/>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default" w:ascii="微软雅黑" w:hAnsi="微软雅黑" w:eastAsia="微软雅黑" w:cs="微软雅黑"/>
                <w:color w:val="000000"/>
                <w:sz w:val="24"/>
                <w:szCs w:val="24"/>
                <w:lang w:val="en-US" w:eastAsia="zh-CN"/>
              </w:rPr>
            </w:pPr>
            <w:r>
              <w:rPr>
                <w:rFonts w:hint="eastAsia" w:ascii="微软雅黑" w:hAnsi="微软雅黑" w:eastAsia="微软雅黑" w:cs="微软雅黑"/>
                <w:color w:val="000000"/>
                <w:sz w:val="24"/>
                <w:szCs w:val="24"/>
                <w:lang w:val="en-US" w:eastAsia="zh-CN"/>
              </w:rPr>
              <w:t>合计：  元（含税： %）</w:t>
            </w:r>
          </w:p>
        </w:tc>
      </w:tr>
    </w:tbl>
    <w:p>
      <w:pPr>
        <w:rPr>
          <w:rFonts w:hint="eastAsia" w:ascii="宋体" w:hAnsi="宋体" w:eastAsia="宋体" w:cs="宋体"/>
          <w:sz w:val="24"/>
          <w:szCs w:val="24"/>
          <w:lang w:val="en-US" w:eastAsia="zh-CN"/>
        </w:rPr>
      </w:pPr>
    </w:p>
    <w:p>
      <w:r>
        <w:rPr>
          <w:rFonts w:hint="eastAsia" w:ascii="宋体" w:hAnsi="宋体" w:eastAsia="宋体" w:cs="宋体"/>
          <w:sz w:val="24"/>
          <w:szCs w:val="24"/>
          <w:lang w:val="en-US" w:eastAsia="zh-CN"/>
        </w:rPr>
        <w:t>备注：</w:t>
      </w:r>
      <w:r>
        <w:rPr>
          <w:rFonts w:ascii="宋体" w:hAnsi="宋体" w:eastAsia="宋体" w:cs="宋体"/>
          <w:sz w:val="24"/>
          <w:szCs w:val="24"/>
        </w:rPr>
        <w:t>报价清单（含不同分公司/子公司）中相同项目（或单项）的单价须保持一致，如单价不同的，按最低的单价执行。</w:t>
      </w:r>
    </w:p>
    <w:p>
      <w:pPr>
        <w:spacing w:line="360" w:lineRule="auto"/>
        <w:jc w:val="center"/>
      </w:pPr>
    </w:p>
    <w:p>
      <w:pPr>
        <w:wordWrap w:val="0"/>
        <w:adjustRightInd w:val="0"/>
        <w:snapToGrid w:val="0"/>
        <w:spacing w:line="360" w:lineRule="auto"/>
        <w:jc w:val="right"/>
        <w:rPr>
          <w:rFonts w:hint="eastAsia" w:ascii="宋体" w:hAnsi="宋体" w:eastAsia="宋体" w:cs="宋体"/>
          <w:sz w:val="24"/>
          <w:szCs w:val="24"/>
          <w:lang w:val="en-GB"/>
        </w:rPr>
      </w:pPr>
      <w:r>
        <w:rPr>
          <w:rFonts w:hint="eastAsia" w:ascii="宋体" w:hAnsi="宋体" w:eastAsia="宋体" w:cs="宋体"/>
          <w:sz w:val="24"/>
          <w:szCs w:val="24"/>
          <w:lang w:val="en-GB"/>
        </w:rPr>
        <w:t>供应商名称（加盖公章）：</w:t>
      </w:r>
      <w:r>
        <w:rPr>
          <w:rFonts w:hint="eastAsia" w:ascii="宋体" w:hAnsi="宋体" w:eastAsia="宋体" w:cs="宋体"/>
          <w:sz w:val="24"/>
          <w:szCs w:val="24"/>
          <w:lang w:val="en-GB"/>
        </w:rPr>
        <w:br w:type="textWrapping"/>
      </w:r>
      <w:r>
        <w:rPr>
          <w:rFonts w:ascii="宋体" w:hAnsi="宋体" w:eastAsia="宋体" w:cs="宋体"/>
          <w:sz w:val="24"/>
          <w:szCs w:val="24"/>
          <w:lang w:val="en-GB"/>
        </w:rPr>
        <w:t xml:space="preserve"> </w:t>
      </w:r>
      <w:r>
        <w:rPr>
          <w:rFonts w:hint="eastAsia" w:ascii="宋体" w:hAnsi="宋体" w:eastAsia="宋体" w:cs="宋体"/>
          <w:sz w:val="24"/>
          <w:szCs w:val="24"/>
          <w:lang w:val="en-GB"/>
        </w:rPr>
        <w:t>年</w:t>
      </w:r>
      <w:r>
        <w:rPr>
          <w:rFonts w:ascii="宋体" w:hAnsi="宋体" w:eastAsia="宋体" w:cs="宋体"/>
          <w:sz w:val="24"/>
          <w:szCs w:val="24"/>
          <w:lang w:val="en-GB"/>
        </w:rPr>
        <w:t xml:space="preserve">  </w:t>
      </w:r>
      <w:r>
        <w:rPr>
          <w:rFonts w:hint="eastAsia" w:ascii="宋体" w:hAnsi="宋体" w:eastAsia="宋体" w:cs="宋体"/>
          <w:sz w:val="24"/>
          <w:szCs w:val="24"/>
          <w:lang w:val="en-GB"/>
        </w:rPr>
        <w:t>月</w:t>
      </w:r>
      <w:r>
        <w:rPr>
          <w:rFonts w:ascii="宋体" w:hAnsi="宋体" w:eastAsia="宋体" w:cs="宋体"/>
          <w:sz w:val="24"/>
          <w:szCs w:val="24"/>
          <w:lang w:val="en-GB"/>
        </w:rPr>
        <w:t xml:space="preserve">  </w:t>
      </w:r>
      <w:r>
        <w:rPr>
          <w:rFonts w:hint="eastAsia" w:ascii="宋体" w:hAnsi="宋体" w:eastAsia="宋体" w:cs="宋体"/>
          <w:sz w:val="24"/>
          <w:szCs w:val="24"/>
          <w:lang w:val="en-GB"/>
        </w:rPr>
        <w:t>日</w:t>
      </w:r>
    </w:p>
    <w:p>
      <w:pPr>
        <w:wordWrap w:val="0"/>
        <w:adjustRightInd w:val="0"/>
        <w:snapToGrid w:val="0"/>
        <w:spacing w:line="360" w:lineRule="auto"/>
        <w:jc w:val="right"/>
        <w:rPr>
          <w:rFonts w:hint="eastAsia" w:ascii="宋体" w:hAnsi="宋体" w:eastAsia="宋体" w:cs="宋体"/>
          <w:sz w:val="24"/>
          <w:szCs w:val="24"/>
          <w:lang w:val="en-GB"/>
        </w:rPr>
      </w:pPr>
    </w:p>
    <w:p>
      <w:pPr>
        <w:wordWrap w:val="0"/>
        <w:adjustRightInd w:val="0"/>
        <w:snapToGrid w:val="0"/>
        <w:spacing w:line="360" w:lineRule="auto"/>
        <w:jc w:val="right"/>
        <w:rPr>
          <w:rFonts w:hint="eastAsia" w:ascii="宋体" w:hAnsi="宋体" w:eastAsia="宋体" w:cs="宋体"/>
          <w:sz w:val="24"/>
          <w:szCs w:val="24"/>
          <w:lang w:val="en-GB"/>
        </w:rPr>
      </w:pPr>
    </w:p>
    <w:p>
      <w:pPr>
        <w:wordWrap w:val="0"/>
        <w:adjustRightInd w:val="0"/>
        <w:snapToGrid w:val="0"/>
        <w:spacing w:line="360" w:lineRule="auto"/>
        <w:jc w:val="right"/>
        <w:rPr>
          <w:rFonts w:hint="eastAsia" w:ascii="宋体" w:hAnsi="宋体" w:eastAsia="宋体" w:cs="宋体"/>
          <w:sz w:val="24"/>
          <w:szCs w:val="24"/>
          <w:lang w:val="en-GB"/>
        </w:rPr>
      </w:pPr>
    </w:p>
    <w:p>
      <w:pPr>
        <w:wordWrap w:val="0"/>
        <w:adjustRightInd w:val="0"/>
        <w:snapToGrid w:val="0"/>
        <w:spacing w:line="360" w:lineRule="auto"/>
        <w:jc w:val="right"/>
        <w:rPr>
          <w:rFonts w:hint="eastAsia" w:ascii="宋体" w:hAnsi="宋体" w:eastAsia="宋体" w:cs="宋体"/>
          <w:sz w:val="24"/>
          <w:szCs w:val="24"/>
          <w:lang w:val="en-GB"/>
        </w:rPr>
      </w:pPr>
    </w:p>
    <w:p>
      <w:pPr>
        <w:wordWrap w:val="0"/>
        <w:adjustRightInd w:val="0"/>
        <w:snapToGrid w:val="0"/>
        <w:spacing w:line="360" w:lineRule="auto"/>
        <w:jc w:val="right"/>
        <w:rPr>
          <w:rFonts w:hint="eastAsia" w:ascii="宋体" w:hAnsi="宋体" w:eastAsia="宋体" w:cs="宋体"/>
          <w:sz w:val="24"/>
          <w:szCs w:val="24"/>
          <w:lang w:val="en-GB"/>
        </w:rPr>
      </w:pPr>
    </w:p>
    <w:p>
      <w:pPr>
        <w:numPr>
          <w:ilvl w:val="-1"/>
          <w:numId w:val="0"/>
        </w:numPr>
        <w:wordWrap w:val="0"/>
        <w:adjustRightInd w:val="0"/>
        <w:snapToGrid w:val="0"/>
        <w:spacing w:line="360" w:lineRule="auto"/>
        <w:ind w:left="0" w:firstLine="0" w:firstLineChars="0"/>
        <w:rPr>
          <w:rFonts w:hint="eastAsia" w:ascii="宋体" w:hAnsi="宋体" w:eastAsia="宋体" w:cs="宋体"/>
          <w:sz w:val="24"/>
          <w:szCs w:val="24"/>
          <w:lang w:val="en-US" w:eastAsia="zh-CN"/>
        </w:rPr>
      </w:pPr>
    </w:p>
    <w:p>
      <w:pPr>
        <w:numPr>
          <w:ilvl w:val="-1"/>
          <w:numId w:val="0"/>
        </w:numPr>
        <w:wordWrap w:val="0"/>
        <w:adjustRightInd w:val="0"/>
        <w:snapToGrid w:val="0"/>
        <w:spacing w:line="360" w:lineRule="auto"/>
        <w:ind w:left="0" w:firstLine="0" w:firstLineChars="0"/>
        <w:rPr>
          <w:rFonts w:hint="eastAsia" w:ascii="宋体" w:hAnsi="宋体" w:eastAsia="宋体" w:cs="宋体"/>
          <w:sz w:val="24"/>
          <w:szCs w:val="24"/>
          <w:lang w:val="en-US" w:eastAsia="zh-CN"/>
        </w:rPr>
      </w:pPr>
    </w:p>
    <w:p>
      <w:pPr>
        <w:numPr>
          <w:ilvl w:val="-1"/>
          <w:numId w:val="0"/>
        </w:numPr>
        <w:wordWrap w:val="0"/>
        <w:adjustRightInd w:val="0"/>
        <w:snapToGrid w:val="0"/>
        <w:spacing w:line="360" w:lineRule="auto"/>
        <w:ind w:left="0" w:firstLine="0" w:firstLineChars="0"/>
        <w:rPr>
          <w:rFonts w:hint="eastAsia" w:ascii="宋体" w:hAnsi="宋体" w:eastAsia="宋体" w:cs="宋体"/>
          <w:sz w:val="24"/>
          <w:szCs w:val="24"/>
          <w:lang w:val="en-US" w:eastAsia="zh-CN"/>
        </w:rPr>
      </w:pPr>
    </w:p>
    <w:p>
      <w:pPr>
        <w:numPr>
          <w:ilvl w:val="-1"/>
          <w:numId w:val="0"/>
        </w:numPr>
        <w:wordWrap w:val="0"/>
        <w:adjustRightInd w:val="0"/>
        <w:snapToGrid w:val="0"/>
        <w:spacing w:line="360" w:lineRule="auto"/>
        <w:ind w:left="0" w:firstLine="0" w:firstLineChars="0"/>
        <w:rPr>
          <w:rFonts w:hint="eastAsia" w:ascii="宋体" w:hAnsi="宋体" w:eastAsia="宋体" w:cs="宋体"/>
          <w:sz w:val="24"/>
          <w:szCs w:val="24"/>
          <w:lang w:val="en-US" w:eastAsia="zh-CN"/>
        </w:rPr>
      </w:pPr>
    </w:p>
    <w:p>
      <w:pPr>
        <w:numPr>
          <w:ilvl w:val="-1"/>
          <w:numId w:val="0"/>
        </w:numPr>
        <w:wordWrap w:val="0"/>
        <w:adjustRightInd w:val="0"/>
        <w:snapToGrid w:val="0"/>
        <w:spacing w:line="360" w:lineRule="auto"/>
        <w:ind w:left="0" w:firstLine="0" w:firstLineChars="0"/>
        <w:rPr>
          <w:rFonts w:hint="eastAsia" w:ascii="宋体" w:hAnsi="宋体" w:eastAsia="宋体" w:cs="宋体"/>
          <w:sz w:val="24"/>
          <w:szCs w:val="24"/>
          <w:lang w:val="en-US" w:eastAsia="zh-CN"/>
        </w:rPr>
      </w:pPr>
    </w:p>
    <w:p>
      <w:pPr>
        <w:numPr>
          <w:ilvl w:val="-1"/>
          <w:numId w:val="0"/>
        </w:numPr>
        <w:wordWrap w:val="0"/>
        <w:adjustRightInd w:val="0"/>
        <w:snapToGrid w:val="0"/>
        <w:spacing w:line="360" w:lineRule="auto"/>
        <w:ind w:left="0" w:firstLine="0" w:firstLineChars="0"/>
        <w:rPr>
          <w:rFonts w:hint="eastAsia" w:ascii="宋体" w:hAnsi="宋体" w:eastAsia="宋体" w:cs="宋体"/>
          <w:sz w:val="24"/>
          <w:szCs w:val="24"/>
          <w:lang w:val="en-US" w:eastAsia="zh-CN"/>
        </w:rPr>
      </w:pPr>
    </w:p>
    <w:p>
      <w:pPr>
        <w:numPr>
          <w:ilvl w:val="-1"/>
          <w:numId w:val="0"/>
        </w:numPr>
        <w:wordWrap w:val="0"/>
        <w:adjustRightInd w:val="0"/>
        <w:snapToGrid w:val="0"/>
        <w:spacing w:line="360" w:lineRule="auto"/>
        <w:ind w:left="0" w:firstLine="0" w:firstLineChars="0"/>
        <w:rPr>
          <w:rFonts w:hint="eastAsia" w:ascii="宋体" w:hAnsi="宋体" w:eastAsia="宋体" w:cs="宋体"/>
          <w:sz w:val="24"/>
          <w:szCs w:val="24"/>
          <w:lang w:val="en-US" w:eastAsia="zh-CN"/>
        </w:rPr>
      </w:pPr>
    </w:p>
    <w:p>
      <w:pPr>
        <w:numPr>
          <w:ilvl w:val="-1"/>
          <w:numId w:val="0"/>
        </w:numPr>
        <w:wordWrap w:val="0"/>
        <w:adjustRightInd w:val="0"/>
        <w:snapToGrid w:val="0"/>
        <w:spacing w:line="360" w:lineRule="auto"/>
        <w:ind w:left="0" w:firstLine="0" w:firstLineChars="0"/>
        <w:rPr>
          <w:rFonts w:hint="eastAsia" w:ascii="宋体" w:hAnsi="宋体" w:eastAsia="宋体" w:cs="宋体"/>
          <w:sz w:val="24"/>
          <w:szCs w:val="24"/>
          <w:lang w:val="en-US" w:eastAsia="zh-CN"/>
        </w:rPr>
      </w:pPr>
    </w:p>
    <w:p>
      <w:pPr>
        <w:numPr>
          <w:ilvl w:val="-1"/>
          <w:numId w:val="0"/>
        </w:numPr>
        <w:wordWrap w:val="0"/>
        <w:adjustRightInd w:val="0"/>
        <w:snapToGrid w:val="0"/>
        <w:spacing w:line="360" w:lineRule="auto"/>
        <w:ind w:left="0" w:firstLine="0" w:firstLineChars="0"/>
        <w:rPr>
          <w:rFonts w:hint="eastAsia" w:ascii="宋体" w:hAnsi="宋体" w:eastAsia="宋体" w:cs="宋体"/>
          <w:sz w:val="24"/>
          <w:szCs w:val="24"/>
          <w:lang w:val="en-US" w:eastAsia="zh-CN"/>
        </w:rPr>
      </w:pPr>
    </w:p>
    <w:p>
      <w:pPr>
        <w:numPr>
          <w:ilvl w:val="-1"/>
          <w:numId w:val="0"/>
        </w:numPr>
        <w:wordWrap w:val="0"/>
        <w:adjustRightInd w:val="0"/>
        <w:snapToGrid w:val="0"/>
        <w:spacing w:line="360" w:lineRule="auto"/>
        <w:ind w:left="0" w:firstLine="0" w:firstLineChars="0"/>
        <w:rPr>
          <w:rFonts w:hint="eastAsia" w:ascii="宋体" w:hAnsi="宋体" w:eastAsia="宋体" w:cs="宋体"/>
          <w:sz w:val="24"/>
          <w:szCs w:val="24"/>
          <w:lang w:val="en-US" w:eastAsia="zh-CN"/>
        </w:rPr>
      </w:pPr>
    </w:p>
    <w:p>
      <w:pPr>
        <w:numPr>
          <w:ilvl w:val="-1"/>
          <w:numId w:val="0"/>
        </w:numPr>
        <w:wordWrap w:val="0"/>
        <w:adjustRightInd w:val="0"/>
        <w:snapToGrid w:val="0"/>
        <w:spacing w:line="360" w:lineRule="auto"/>
        <w:ind w:left="0" w:firstLine="0" w:firstLineChars="0"/>
        <w:rPr>
          <w:rFonts w:hint="eastAsia" w:ascii="宋体" w:hAnsi="宋体" w:eastAsia="宋体" w:cs="宋体"/>
          <w:sz w:val="24"/>
          <w:szCs w:val="24"/>
          <w:lang w:val="en-US" w:eastAsia="zh-CN"/>
        </w:rPr>
      </w:pPr>
    </w:p>
    <w:p>
      <w:pPr>
        <w:numPr>
          <w:ilvl w:val="-1"/>
          <w:numId w:val="0"/>
        </w:numPr>
        <w:wordWrap w:val="0"/>
        <w:adjustRightInd w:val="0"/>
        <w:snapToGrid w:val="0"/>
        <w:spacing w:line="360" w:lineRule="auto"/>
        <w:ind w:left="0" w:firstLine="0" w:firstLineChars="0"/>
        <w:rPr>
          <w:rFonts w:hint="eastAsia" w:ascii="宋体" w:hAnsi="宋体" w:eastAsia="宋体" w:cs="宋体"/>
          <w:sz w:val="24"/>
          <w:szCs w:val="24"/>
          <w:lang w:val="en-US" w:eastAsia="zh-CN"/>
        </w:rPr>
      </w:pPr>
    </w:p>
    <w:p>
      <w:pPr>
        <w:numPr>
          <w:ilvl w:val="-1"/>
          <w:numId w:val="0"/>
        </w:numPr>
        <w:wordWrap w:val="0"/>
        <w:adjustRightInd w:val="0"/>
        <w:snapToGrid w:val="0"/>
        <w:spacing w:line="360" w:lineRule="auto"/>
        <w:ind w:left="0" w:firstLine="0" w:firstLineChars="0"/>
        <w:rPr>
          <w:rFonts w:hint="eastAsia" w:ascii="宋体" w:hAnsi="宋体" w:eastAsia="宋体" w:cs="宋体"/>
          <w:sz w:val="24"/>
          <w:szCs w:val="24"/>
          <w:lang w:val="en-US" w:eastAsia="zh-CN"/>
        </w:rPr>
      </w:pPr>
    </w:p>
    <w:p>
      <w:pPr>
        <w:numPr>
          <w:ilvl w:val="-1"/>
          <w:numId w:val="0"/>
        </w:numPr>
        <w:wordWrap w:val="0"/>
        <w:adjustRightInd w:val="0"/>
        <w:snapToGrid w:val="0"/>
        <w:spacing w:line="360" w:lineRule="auto"/>
        <w:ind w:left="0" w:firstLine="0" w:firstLineChars="0"/>
        <w:rPr>
          <w:rFonts w:hint="eastAsia"/>
          <w:lang w:val="en-US" w:eastAsia="zh-CN"/>
        </w:rPr>
      </w:pPr>
      <w:r>
        <w:rPr>
          <w:rFonts w:hint="eastAsia" w:ascii="宋体" w:hAnsi="宋体" w:eastAsia="宋体" w:cs="宋体"/>
          <w:sz w:val="24"/>
          <w:szCs w:val="24"/>
          <w:lang w:val="en-US" w:eastAsia="zh-CN"/>
        </w:rPr>
        <w:t>6.</w:t>
      </w:r>
      <w:r>
        <w:rPr>
          <w:rFonts w:hint="eastAsia" w:ascii="宋体" w:hAnsi="宋体" w:eastAsia="宋体" w:cs="宋体"/>
          <w:sz w:val="24"/>
          <w:szCs w:val="24"/>
          <w:lang w:val="en-GB" w:eastAsia="zh-CN"/>
        </w:rPr>
        <w:t>承诺函</w:t>
      </w:r>
    </w:p>
    <w:p>
      <w:pPr>
        <w:numPr>
          <w:ilvl w:val="-1"/>
          <w:numId w:val="0"/>
        </w:numPr>
        <w:wordWrap w:val="0"/>
        <w:adjustRightInd w:val="0"/>
        <w:snapToGrid w:val="0"/>
        <w:spacing w:line="360" w:lineRule="auto"/>
        <w:ind w:left="0" w:firstLine="480" w:firstLineChars="200"/>
        <w:rPr>
          <w:rFonts w:hint="eastAsia" w:ascii="宋体" w:hAnsi="宋体" w:eastAsia="宋体" w:cs="宋体"/>
          <w:sz w:val="24"/>
          <w:szCs w:val="24"/>
          <w:lang w:val="en-GB" w:eastAsia="zh-CN"/>
        </w:rPr>
      </w:pPr>
      <w:r>
        <w:rPr>
          <w:rFonts w:hint="eastAsia" w:ascii="宋体" w:hAnsi="宋体" w:eastAsia="宋体" w:cs="宋体"/>
          <w:sz w:val="24"/>
          <w:szCs w:val="24"/>
          <w:lang w:val="en-GB" w:eastAsia="zh-CN"/>
        </w:rPr>
        <w:t>我司承诺，所供货物符合</w:t>
      </w:r>
      <w:r>
        <w:rPr>
          <w:rFonts w:hint="eastAsia" w:ascii="宋体" w:hAnsi="宋体" w:eastAsia="宋体" w:cs="宋体"/>
          <w:sz w:val="24"/>
          <w:szCs w:val="24"/>
          <w:lang w:val="en-US" w:eastAsia="zh-CN"/>
        </w:rPr>
        <w:t>采购文件</w:t>
      </w:r>
      <w:r>
        <w:rPr>
          <w:rFonts w:hint="eastAsia" w:ascii="宋体" w:hAnsi="宋体" w:eastAsia="宋体" w:cs="宋体"/>
          <w:sz w:val="24"/>
          <w:szCs w:val="24"/>
          <w:lang w:val="en-GB" w:eastAsia="zh-CN"/>
        </w:rPr>
        <w:t>要求</w:t>
      </w:r>
      <w:r>
        <w:rPr>
          <w:rFonts w:hint="eastAsia" w:ascii="宋体" w:hAnsi="宋体" w:eastAsia="宋体" w:cs="宋体"/>
          <w:sz w:val="24"/>
          <w:szCs w:val="24"/>
          <w:lang w:val="en-GB" w:eastAsia="zh-CN"/>
        </w:rPr>
        <w:t>，</w:t>
      </w:r>
      <w:r>
        <w:rPr>
          <w:rFonts w:hint="eastAsia" w:ascii="宋体" w:hAnsi="宋体" w:eastAsia="宋体" w:cs="宋体"/>
          <w:sz w:val="24"/>
          <w:szCs w:val="24"/>
          <w:lang w:val="en-GB" w:eastAsia="zh-CN"/>
        </w:rPr>
        <w:t>皆为原装全新、质量合格的产品</w:t>
      </w:r>
      <w:r>
        <w:rPr>
          <w:rFonts w:hint="eastAsia" w:ascii="宋体" w:hAnsi="宋体" w:eastAsia="宋体" w:cs="宋体"/>
          <w:sz w:val="24"/>
          <w:szCs w:val="24"/>
          <w:lang w:val="en-GB" w:eastAsia="zh-CN"/>
        </w:rPr>
        <w:t>，与分公司设备适配使用。</w:t>
      </w:r>
      <w:r>
        <w:rPr>
          <w:rFonts w:hint="eastAsia" w:ascii="宋体" w:hAnsi="宋体" w:eastAsia="宋体" w:cs="宋体"/>
          <w:sz w:val="24"/>
          <w:szCs w:val="24"/>
          <w:lang w:val="en-GB" w:eastAsia="zh-CN"/>
        </w:rPr>
        <w:t>货物自设备开箱验收合格之日起 1 年内免费提供维保服务。保修期内我司免费对设备进行日常维护保养及质量缺陷修复</w:t>
      </w:r>
      <w:r>
        <w:rPr>
          <w:rFonts w:hint="eastAsia" w:ascii="宋体" w:hAnsi="宋体" w:eastAsia="宋体" w:cs="宋体"/>
          <w:sz w:val="24"/>
          <w:szCs w:val="24"/>
          <w:lang w:val="en-GB" w:eastAsia="zh-CN"/>
        </w:rPr>
        <w:t>，</w:t>
      </w:r>
      <w:r>
        <w:rPr>
          <w:rFonts w:hint="eastAsia" w:ascii="宋体" w:hAnsi="宋体" w:eastAsia="宋体" w:cs="宋体"/>
          <w:sz w:val="24"/>
          <w:szCs w:val="24"/>
          <w:lang w:val="en-GB" w:eastAsia="zh-CN"/>
        </w:rPr>
        <w:t>质保期如有质量问题，我司24小时内派技术人员免费到现场进行维修。</w:t>
      </w:r>
    </w:p>
    <w:p>
      <w:pPr>
        <w:wordWrap w:val="0"/>
        <w:adjustRightInd w:val="0"/>
        <w:snapToGrid w:val="0"/>
        <w:spacing w:line="360" w:lineRule="auto"/>
        <w:jc w:val="righ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w:t>
      </w:r>
    </w:p>
    <w:p>
      <w:pPr>
        <w:wordWrap w:val="0"/>
        <w:adjustRightInd w:val="0"/>
        <w:snapToGrid w:val="0"/>
        <w:spacing w:line="360" w:lineRule="auto"/>
        <w:jc w:val="right"/>
        <w:rPr>
          <w:rFonts w:hint="eastAsia" w:ascii="宋体" w:hAnsi="宋体" w:eastAsia="宋体" w:cs="宋体"/>
          <w:sz w:val="24"/>
          <w:szCs w:val="24"/>
          <w:lang w:val="en-GB"/>
        </w:rPr>
      </w:pPr>
      <w:r>
        <w:rPr>
          <w:rFonts w:hint="eastAsia" w:ascii="宋体" w:hAnsi="宋体" w:eastAsia="宋体" w:cs="宋体"/>
          <w:sz w:val="24"/>
          <w:szCs w:val="24"/>
          <w:lang w:val="en-GB"/>
        </w:rPr>
        <w:t>供应商名称（加盖公章）：</w:t>
      </w:r>
      <w:r>
        <w:rPr>
          <w:rFonts w:hint="eastAsia" w:ascii="宋体" w:hAnsi="宋体" w:eastAsia="宋体" w:cs="宋体"/>
          <w:sz w:val="24"/>
          <w:szCs w:val="24"/>
          <w:lang w:val="en-GB"/>
        </w:rPr>
        <w:br w:type="textWrapping"/>
      </w:r>
      <w:r>
        <w:rPr>
          <w:rFonts w:ascii="宋体" w:hAnsi="宋体" w:eastAsia="宋体" w:cs="宋体"/>
          <w:sz w:val="24"/>
          <w:szCs w:val="24"/>
          <w:lang w:val="en-GB"/>
        </w:rPr>
        <w:t xml:space="preserve"> </w:t>
      </w:r>
      <w:r>
        <w:rPr>
          <w:rFonts w:hint="eastAsia" w:ascii="宋体" w:hAnsi="宋体" w:eastAsia="宋体" w:cs="宋体"/>
          <w:sz w:val="24"/>
          <w:szCs w:val="24"/>
          <w:lang w:val="en-GB"/>
        </w:rPr>
        <w:t>年</w:t>
      </w:r>
      <w:r>
        <w:rPr>
          <w:rFonts w:ascii="宋体" w:hAnsi="宋体" w:eastAsia="宋体" w:cs="宋体"/>
          <w:sz w:val="24"/>
          <w:szCs w:val="24"/>
          <w:lang w:val="en-GB"/>
        </w:rPr>
        <w:t xml:space="preserve">  </w:t>
      </w:r>
      <w:r>
        <w:rPr>
          <w:rFonts w:hint="eastAsia" w:ascii="宋体" w:hAnsi="宋体" w:eastAsia="宋体" w:cs="宋体"/>
          <w:sz w:val="24"/>
          <w:szCs w:val="24"/>
          <w:lang w:val="en-GB"/>
        </w:rPr>
        <w:t>月</w:t>
      </w:r>
      <w:r>
        <w:rPr>
          <w:rFonts w:ascii="宋体" w:hAnsi="宋体" w:eastAsia="宋体" w:cs="宋体"/>
          <w:sz w:val="24"/>
          <w:szCs w:val="24"/>
          <w:lang w:val="en-GB"/>
        </w:rPr>
        <w:t xml:space="preserve">  </w:t>
      </w:r>
      <w:r>
        <w:rPr>
          <w:rFonts w:hint="eastAsia" w:ascii="宋体" w:hAnsi="宋体" w:eastAsia="宋体" w:cs="宋体"/>
          <w:sz w:val="24"/>
          <w:szCs w:val="24"/>
          <w:lang w:val="en-GB"/>
        </w:rPr>
        <w:t>日</w:t>
      </w:r>
    </w:p>
    <w:p>
      <w:pPr>
        <w:numPr>
          <w:ilvl w:val="-1"/>
          <w:numId w:val="0"/>
        </w:numPr>
        <w:wordWrap w:val="0"/>
        <w:adjustRightInd w:val="0"/>
        <w:snapToGrid w:val="0"/>
        <w:spacing w:line="360" w:lineRule="auto"/>
        <w:ind w:left="0" w:firstLine="480" w:firstLineChars="200"/>
        <w:rPr>
          <w:rFonts w:hint="default" w:ascii="宋体" w:hAnsi="宋体" w:eastAsia="宋体" w:cs="宋体"/>
          <w:sz w:val="24"/>
          <w:szCs w:val="24"/>
          <w:lang w:val="en-US" w:eastAsia="zh-CN"/>
        </w:rPr>
      </w:pPr>
    </w:p>
    <w:p>
      <w:pPr>
        <w:numPr>
          <w:ilvl w:val="-1"/>
          <w:numId w:val="0"/>
        </w:numPr>
        <w:wordWrap w:val="0"/>
        <w:adjustRightInd w:val="0"/>
        <w:snapToGrid w:val="0"/>
        <w:spacing w:line="360" w:lineRule="auto"/>
        <w:ind w:left="0" w:firstLine="480" w:firstLineChars="200"/>
        <w:rPr>
          <w:rFonts w:hint="default" w:ascii="宋体" w:hAnsi="宋体" w:eastAsia="宋体" w:cs="宋体"/>
          <w:sz w:val="24"/>
          <w:szCs w:val="24"/>
          <w:lang w:val="en-US" w:eastAsia="zh-CN"/>
        </w:rPr>
      </w:pPr>
    </w:p>
    <w:p>
      <w:pPr>
        <w:numPr>
          <w:ilvl w:val="-1"/>
          <w:numId w:val="0"/>
        </w:numPr>
        <w:wordWrap w:val="0"/>
        <w:adjustRightInd w:val="0"/>
        <w:snapToGrid w:val="0"/>
        <w:spacing w:line="360" w:lineRule="auto"/>
        <w:ind w:left="0" w:firstLine="480" w:firstLineChars="200"/>
        <w:rPr>
          <w:rFonts w:hint="default" w:ascii="宋体" w:hAnsi="宋体" w:eastAsia="宋体" w:cs="宋体"/>
          <w:sz w:val="24"/>
          <w:szCs w:val="24"/>
          <w:lang w:val="en-US" w:eastAsia="zh-CN"/>
        </w:rPr>
      </w:pPr>
    </w:p>
    <w:p>
      <w:pPr>
        <w:numPr>
          <w:ilvl w:val="-1"/>
          <w:numId w:val="0"/>
        </w:numPr>
        <w:wordWrap w:val="0"/>
        <w:adjustRightInd w:val="0"/>
        <w:snapToGrid w:val="0"/>
        <w:spacing w:line="360" w:lineRule="auto"/>
        <w:ind w:left="0" w:firstLine="480" w:firstLineChars="200"/>
        <w:rPr>
          <w:rFonts w:hint="default" w:ascii="宋体" w:hAnsi="宋体" w:eastAsia="宋体" w:cs="宋体"/>
          <w:sz w:val="24"/>
          <w:szCs w:val="24"/>
          <w:lang w:val="en-US" w:eastAsia="zh-CN"/>
        </w:rPr>
      </w:pPr>
    </w:p>
    <w:p>
      <w:pPr>
        <w:numPr>
          <w:ilvl w:val="-1"/>
          <w:numId w:val="0"/>
        </w:numPr>
        <w:wordWrap w:val="0"/>
        <w:adjustRightInd w:val="0"/>
        <w:snapToGrid w:val="0"/>
        <w:spacing w:line="360" w:lineRule="auto"/>
        <w:ind w:left="0" w:firstLine="0" w:firstLineChars="0"/>
        <w:rPr>
          <w:rFonts w:hint="default" w:ascii="宋体" w:hAnsi="宋体" w:eastAsia="宋体" w:cs="宋体"/>
          <w:sz w:val="24"/>
          <w:szCs w:val="24"/>
          <w:lang w:val="en-US" w:eastAsia="zh-CN"/>
        </w:rPr>
      </w:pPr>
    </w:p>
    <w:p>
      <w:pPr>
        <w:numPr>
          <w:ilvl w:val="-1"/>
          <w:numId w:val="0"/>
        </w:numPr>
        <w:wordWrap w:val="0"/>
        <w:adjustRightInd w:val="0"/>
        <w:snapToGrid w:val="0"/>
        <w:spacing w:line="360" w:lineRule="auto"/>
        <w:ind w:left="0" w:firstLine="0" w:firstLineChars="0"/>
        <w:rPr>
          <w:rFonts w:hint="eastAsia" w:ascii="宋体" w:hAnsi="宋体" w:eastAsia="宋体" w:cs="宋体"/>
          <w:sz w:val="24"/>
          <w:szCs w:val="24"/>
          <w:lang w:val="en-US" w:eastAsia="zh-CN"/>
        </w:rPr>
      </w:pPr>
    </w:p>
    <w:p>
      <w:pPr>
        <w:numPr>
          <w:ilvl w:val="-1"/>
          <w:numId w:val="0"/>
        </w:numPr>
        <w:wordWrap w:val="0"/>
        <w:adjustRightInd w:val="0"/>
        <w:snapToGrid w:val="0"/>
        <w:spacing w:line="360" w:lineRule="auto"/>
        <w:ind w:left="0" w:firstLine="0" w:firstLineChars="0"/>
        <w:rPr>
          <w:rFonts w:hint="eastAsia" w:ascii="宋体" w:hAnsi="宋体" w:eastAsia="宋体" w:cs="宋体"/>
          <w:sz w:val="24"/>
          <w:szCs w:val="24"/>
          <w:lang w:val="en-US" w:eastAsia="zh-CN"/>
        </w:rPr>
      </w:pPr>
    </w:p>
    <w:p>
      <w:pPr>
        <w:numPr>
          <w:ilvl w:val="-1"/>
          <w:numId w:val="0"/>
        </w:numPr>
        <w:wordWrap w:val="0"/>
        <w:adjustRightInd w:val="0"/>
        <w:snapToGrid w:val="0"/>
        <w:spacing w:line="360" w:lineRule="auto"/>
        <w:ind w:left="0" w:firstLine="0" w:firstLineChars="0"/>
        <w:rPr>
          <w:rFonts w:hint="eastAsia" w:ascii="宋体" w:hAnsi="宋体" w:eastAsia="宋体" w:cs="宋体"/>
          <w:sz w:val="24"/>
          <w:szCs w:val="24"/>
          <w:lang w:val="en-US" w:eastAsia="zh-CN"/>
        </w:rPr>
      </w:pPr>
    </w:p>
    <w:p>
      <w:pPr>
        <w:numPr>
          <w:ilvl w:val="-1"/>
          <w:numId w:val="0"/>
        </w:numPr>
        <w:wordWrap w:val="0"/>
        <w:adjustRightInd w:val="0"/>
        <w:snapToGrid w:val="0"/>
        <w:spacing w:line="360" w:lineRule="auto"/>
        <w:ind w:left="0" w:firstLine="0" w:firstLineChars="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7.其他资料</w:t>
      </w:r>
    </w:p>
    <w:sectPr>
      <w:footerReference r:id="rId9" w:type="first"/>
      <w:headerReference r:id="rId6" w:type="default"/>
      <w:footerReference r:id="rId7" w:type="default"/>
      <w:footerReference r:id="rId8" w:type="even"/>
      <w:pgSz w:w="11906" w:h="16838"/>
      <w:pgMar w:top="873"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MS Mincho">
    <w:altName w:val="MS Gothic"/>
    <w:panose1 w:val="02020609040205080304"/>
    <w:charset w:val="80"/>
    <w:family w:val="roman"/>
    <w:pitch w:val="default"/>
    <w:sig w:usb0="00000000" w:usb1="00000000" w:usb2="00000010" w:usb3="00000000" w:csb0="00020000" w:csb1="00000000"/>
  </w:font>
  <w:font w:name="MS Gothic">
    <w:panose1 w:val="020B0609070205080204"/>
    <w:charset w:val="80"/>
    <w:family w:val="auto"/>
    <w:pitch w:val="default"/>
    <w:sig w:usb0="E00002FF" w:usb1="6AC7FDFB" w:usb2="08000012" w:usb3="00000000" w:csb0="4002009F" w:csb1="DFD70000"/>
  </w:font>
  <w:font w:name="Batang">
    <w:altName w:val="Malgun Gothic"/>
    <w:panose1 w:val="02030600000101010101"/>
    <w:charset w:val="81"/>
    <w:family w:val="auto"/>
    <w:pitch w:val="default"/>
    <w:sig w:usb0="00000000" w:usb1="00000000" w:usb2="00000010" w:usb3="00000000" w:csb0="00080000"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left="2250" w:hanging="1200"/>
      <w:jc w:val="center"/>
    </w:pPr>
  </w:p>
  <w:p>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framePr w:wrap="around" w:vAnchor="text" w:hAnchor="margin" w:xAlign="center" w:y="1"/>
      <w:rPr>
        <w:rStyle w:val="30"/>
      </w:rPr>
    </w:pPr>
    <w:r>
      <w:fldChar w:fldCharType="begin"/>
    </w:r>
    <w:r>
      <w:rPr>
        <w:rStyle w:val="30"/>
      </w:rPr>
      <w:instrText xml:space="preserve">PAGE  </w:instrText>
    </w:r>
    <w:r>
      <w:fldChar w:fldCharType="separate"/>
    </w:r>
    <w:r>
      <w:rPr>
        <w:rStyle w:val="30"/>
      </w:rPr>
      <w:t>24</w:t>
    </w:r>
    <w:r>
      <w:fldChar w:fldCharType="end"/>
    </w:r>
  </w:p>
  <w:p>
    <w:pPr>
      <w:pStyle w:val="1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9"/>
                          </w:pPr>
                          <w:r>
                            <w:fldChar w:fldCharType="begin"/>
                          </w:r>
                          <w:r>
                            <w:instrText xml:space="preserve"> PAGE  \* MERGEFORMAT </w:instrText>
                          </w:r>
                          <w:r>
                            <w:fldChar w:fldCharType="separate"/>
                          </w:r>
                          <w:r>
                            <w:t>30</w:t>
                          </w:r>
                          <w:r>
                            <w:fldChar w:fldCharType="end"/>
                          </w:r>
                        </w:p>
                      </w:txbxContent>
                    </wps:txbx>
                    <wps:bodyPr wrap="none" lIns="0" tIns="0" rIns="0" bIns="0" upright="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hJUmAyQEAAJoDAAAOAAAAAAAAAAEAIAAAAB4BAABkcnMvZTJvRG9j&#10;LnhtbFBLBQYAAAAABgAGAFkBAABZBQAAAAA=&#10;">
              <v:fill on="f" focussize="0,0"/>
              <v:stroke on="f"/>
              <v:imagedata o:title=""/>
              <o:lock v:ext="edit" aspectratio="f"/>
              <v:textbox inset="0mm,0mm,0mm,0mm" style="mso-fit-shape-to-text:t;">
                <w:txbxContent>
                  <w:p>
                    <w:pPr>
                      <w:pStyle w:val="19"/>
                    </w:pPr>
                    <w:r>
                      <w:fldChar w:fldCharType="begin"/>
                    </w:r>
                    <w:r>
                      <w:instrText xml:space="preserve"> PAGE  \* MERGEFORMAT </w:instrText>
                    </w:r>
                    <w:r>
                      <w:fldChar w:fldCharType="separate"/>
                    </w:r>
                    <w:r>
                      <w:t>30</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9"/>
                          </w:pPr>
                        </w:p>
                        <w:p/>
                      </w:txbxContent>
                    </wps:txbx>
                    <wps:bodyPr wrap="none" lIns="0" tIns="0" rIns="0" bIns="0" upright="1">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JL/mWyQEAAJoDAAAOAAAAAAAAAAEAIAAAAB4BAABkcnMvZTJvRG9j&#10;LnhtbFBLBQYAAAAABgAGAFkBAABZBQAAAAA=&#10;">
              <v:fill on="f" focussize="0,0"/>
              <v:stroke on="f"/>
              <v:imagedata o:title=""/>
              <o:lock v:ext="edit" aspectratio="f"/>
              <v:textbox inset="0mm,0mm,0mm,0mm" style="mso-fit-shape-to-text:t;">
                <w:txbxContent>
                  <w:p>
                    <w:pPr>
                      <w:pStyle w:val="19"/>
                    </w:pPr>
                  </w:p>
                  <w:p/>
                </w:txbxContent>
              </v:textbox>
            </v:shape>
          </w:pict>
        </mc:Fallback>
      </mc:AlternateContent>
    </w:r>
  </w:p>
  <w:p>
    <w:pPr>
      <w:pStyle w:val="1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sdtPr>
    <w:sdtContent>
      <w:p>
        <w:pPr>
          <w:pStyle w:val="19"/>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9"/>
                          </w:pPr>
                          <w:r>
                            <w:fldChar w:fldCharType="begin"/>
                          </w:r>
                          <w:r>
                            <w:instrText xml:space="preserve"> PAGE  \* MERGEFORMAT </w:instrText>
                          </w:r>
                          <w:r>
                            <w:fldChar w:fldCharType="separate"/>
                          </w:r>
                          <w:r>
                            <w:t>0</w:t>
                          </w:r>
                          <w:r>
                            <w:fldChar w:fldCharType="end"/>
                          </w:r>
                        </w:p>
                      </w:txbxContent>
                    </wps:txbx>
                    <wps:bodyPr wrap="none" lIns="0" tIns="0" rIns="0" bIns="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FKMC5rIAQAAmgMAAA4AAAAAAAAAAQAgAAAAHgEAAGRycy9lMm9Eb2Mu&#10;eG1sUEsFBgAAAAAGAAYAWQEAAFgFAAAAAA==&#10;">
              <v:fill on="f" focussize="0,0"/>
              <v:stroke on="f"/>
              <v:imagedata o:title=""/>
              <o:lock v:ext="edit" aspectratio="f"/>
              <v:textbox inset="0mm,0mm,0mm,0mm" style="mso-fit-shape-to-text:t;">
                <w:txbxContent>
                  <w:p>
                    <w:pPr>
                      <w:pStyle w:val="19"/>
                    </w:pPr>
                    <w:r>
                      <w:fldChar w:fldCharType="begin"/>
                    </w:r>
                    <w:r>
                      <w:instrText xml:space="preserve"> PAGE  \* MERGEFORMAT </w:instrText>
                    </w:r>
                    <w:r>
                      <w:fldChar w:fldCharType="separate"/>
                    </w:r>
                    <w:r>
                      <w:t>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36D907"/>
    <w:multiLevelType w:val="singleLevel"/>
    <w:tmpl w:val="8636D907"/>
    <w:lvl w:ilvl="0" w:tentative="0">
      <w:start w:val="7"/>
      <w:numFmt w:val="decimal"/>
      <w:suff w:val="nothing"/>
      <w:lvlText w:val="%1、"/>
      <w:lvlJc w:val="left"/>
    </w:lvl>
  </w:abstractNum>
  <w:abstractNum w:abstractNumId="1">
    <w:nsid w:val="C9586129"/>
    <w:multiLevelType w:val="singleLevel"/>
    <w:tmpl w:val="C9586129"/>
    <w:lvl w:ilvl="0" w:tentative="0">
      <w:start w:val="2"/>
      <w:numFmt w:val="chineseCounting"/>
      <w:suff w:val="nothing"/>
      <w:lvlText w:val="%1、"/>
      <w:lvlJc w:val="left"/>
      <w:rPr>
        <w:rFonts w:hint="eastAsia"/>
      </w:rPr>
    </w:lvl>
  </w:abstractNum>
  <w:abstractNum w:abstractNumId="2">
    <w:nsid w:val="CC9CF724"/>
    <w:multiLevelType w:val="singleLevel"/>
    <w:tmpl w:val="CC9CF724"/>
    <w:lvl w:ilvl="0" w:tentative="0">
      <w:start w:val="1"/>
      <w:numFmt w:val="chineseCounting"/>
      <w:suff w:val="space"/>
      <w:lvlText w:val="第%1章"/>
      <w:lvlJc w:val="left"/>
      <w:rPr>
        <w:rFonts w:hint="eastAsia"/>
      </w:rPr>
    </w:lvl>
  </w:abstractNum>
  <w:abstractNum w:abstractNumId="3">
    <w:nsid w:val="F474C9A6"/>
    <w:multiLevelType w:val="singleLevel"/>
    <w:tmpl w:val="F474C9A6"/>
    <w:lvl w:ilvl="0" w:tentative="0">
      <w:start w:val="10"/>
      <w:numFmt w:val="chineseCounting"/>
      <w:suff w:val="space"/>
      <w:lvlText w:val="第%1条"/>
      <w:lvlJc w:val="left"/>
      <w:rPr>
        <w:rFonts w:hint="eastAsia"/>
      </w:rPr>
    </w:lvl>
  </w:abstractNum>
  <w:abstractNum w:abstractNumId="4">
    <w:nsid w:val="40D20F9D"/>
    <w:multiLevelType w:val="singleLevel"/>
    <w:tmpl w:val="40D20F9D"/>
    <w:lvl w:ilvl="0" w:tentative="0">
      <w:start w:val="5"/>
      <w:numFmt w:val="decimal"/>
      <w:lvlText w:val="%1."/>
      <w:lvlJc w:val="left"/>
      <w:pPr>
        <w:tabs>
          <w:tab w:val="left" w:pos="312"/>
        </w:tabs>
      </w:pPr>
    </w:lvl>
  </w:abstractNum>
  <w:abstractNum w:abstractNumId="5">
    <w:nsid w:val="4734DCE6"/>
    <w:multiLevelType w:val="singleLevel"/>
    <w:tmpl w:val="4734DCE6"/>
    <w:lvl w:ilvl="0" w:tentative="0">
      <w:start w:val="1"/>
      <w:numFmt w:val="decimal"/>
      <w:lvlText w:val="%1."/>
      <w:lvlJc w:val="left"/>
      <w:pPr>
        <w:tabs>
          <w:tab w:val="left" w:pos="312"/>
        </w:tabs>
      </w:pPr>
    </w:lvl>
  </w:abstractNum>
  <w:abstractNum w:abstractNumId="6">
    <w:nsid w:val="705D32C3"/>
    <w:multiLevelType w:val="singleLevel"/>
    <w:tmpl w:val="705D32C3"/>
    <w:lvl w:ilvl="0" w:tentative="0">
      <w:start w:val="5"/>
      <w:numFmt w:val="decimal"/>
      <w:lvlText w:val="%1."/>
      <w:lvlJc w:val="left"/>
      <w:pPr>
        <w:tabs>
          <w:tab w:val="left" w:pos="312"/>
        </w:tabs>
      </w:pPr>
    </w:lvl>
  </w:abstractNum>
  <w:abstractNum w:abstractNumId="7">
    <w:nsid w:val="78DF564C"/>
    <w:multiLevelType w:val="multilevel"/>
    <w:tmpl w:val="78DF564C"/>
    <w:lvl w:ilvl="0" w:tentative="0">
      <w:start w:val="1"/>
      <w:numFmt w:val="decimal"/>
      <w:lvlText w:val="%1、"/>
      <w:lvlJc w:val="left"/>
      <w:pPr>
        <w:ind w:left="1000" w:hanging="720"/>
      </w:pPr>
      <w:rPr>
        <w:rFonts w:hint="default"/>
      </w:rPr>
    </w:lvl>
    <w:lvl w:ilvl="1" w:tentative="0">
      <w:start w:val="1"/>
      <w:numFmt w:val="lowerLetter"/>
      <w:lvlText w:val="%2)"/>
      <w:lvlJc w:val="left"/>
      <w:pPr>
        <w:ind w:left="1120" w:hanging="420"/>
      </w:pPr>
    </w:lvl>
    <w:lvl w:ilvl="2" w:tentative="0">
      <w:start w:val="1"/>
      <w:numFmt w:val="lowerRoman"/>
      <w:lvlText w:val="%3."/>
      <w:lvlJc w:val="right"/>
      <w:pPr>
        <w:ind w:left="1540" w:hanging="420"/>
      </w:pPr>
    </w:lvl>
    <w:lvl w:ilvl="3" w:tentative="0">
      <w:start w:val="1"/>
      <w:numFmt w:val="decimal"/>
      <w:lvlText w:val="%4."/>
      <w:lvlJc w:val="left"/>
      <w:pPr>
        <w:ind w:left="1960" w:hanging="420"/>
      </w:pPr>
    </w:lvl>
    <w:lvl w:ilvl="4" w:tentative="0">
      <w:start w:val="1"/>
      <w:numFmt w:val="lowerLetter"/>
      <w:lvlText w:val="%5)"/>
      <w:lvlJc w:val="left"/>
      <w:pPr>
        <w:ind w:left="2380" w:hanging="420"/>
      </w:pPr>
    </w:lvl>
    <w:lvl w:ilvl="5" w:tentative="0">
      <w:start w:val="1"/>
      <w:numFmt w:val="lowerRoman"/>
      <w:lvlText w:val="%6."/>
      <w:lvlJc w:val="right"/>
      <w:pPr>
        <w:ind w:left="2800" w:hanging="420"/>
      </w:pPr>
    </w:lvl>
    <w:lvl w:ilvl="6" w:tentative="0">
      <w:start w:val="1"/>
      <w:numFmt w:val="decimal"/>
      <w:lvlText w:val="%7."/>
      <w:lvlJc w:val="left"/>
      <w:pPr>
        <w:ind w:left="3220" w:hanging="420"/>
      </w:pPr>
    </w:lvl>
    <w:lvl w:ilvl="7" w:tentative="0">
      <w:start w:val="1"/>
      <w:numFmt w:val="lowerLetter"/>
      <w:lvlText w:val="%8)"/>
      <w:lvlJc w:val="left"/>
      <w:pPr>
        <w:ind w:left="3640" w:hanging="420"/>
      </w:pPr>
    </w:lvl>
    <w:lvl w:ilvl="8" w:tentative="0">
      <w:start w:val="1"/>
      <w:numFmt w:val="lowerRoman"/>
      <w:lvlText w:val="%9."/>
      <w:lvlJc w:val="right"/>
      <w:pPr>
        <w:ind w:left="4060" w:hanging="420"/>
      </w:pPr>
    </w:lvl>
  </w:abstractNum>
  <w:num w:numId="1">
    <w:abstractNumId w:val="2"/>
  </w:num>
  <w:num w:numId="2">
    <w:abstractNumId w:val="6"/>
  </w:num>
  <w:num w:numId="3">
    <w:abstractNumId w:val="5"/>
  </w:num>
  <w:num w:numId="4">
    <w:abstractNumId w:val="1"/>
  </w:num>
  <w:num w:numId="5">
    <w:abstractNumId w:val="7"/>
  </w:num>
  <w:num w:numId="6">
    <w:abstractNumId w:val="0"/>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hideSpellingErrors/>
  <w:revisionView w:markup="0"/>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E1ZTE5ZmRkMDY3NDgxM2Y4M2M2Y2QwMWExNjc3N2IifQ=="/>
  </w:docVars>
  <w:rsids>
    <w:rsidRoot w:val="005D618A"/>
    <w:rsid w:val="0000157C"/>
    <w:rsid w:val="00001DE6"/>
    <w:rsid w:val="00003EB0"/>
    <w:rsid w:val="00021680"/>
    <w:rsid w:val="00032516"/>
    <w:rsid w:val="00033635"/>
    <w:rsid w:val="00041CB7"/>
    <w:rsid w:val="00047DEF"/>
    <w:rsid w:val="000607E4"/>
    <w:rsid w:val="00062B8F"/>
    <w:rsid w:val="000652E9"/>
    <w:rsid w:val="00071239"/>
    <w:rsid w:val="000759EB"/>
    <w:rsid w:val="00094D69"/>
    <w:rsid w:val="000A4717"/>
    <w:rsid w:val="000C22BE"/>
    <w:rsid w:val="000E053A"/>
    <w:rsid w:val="00107EDA"/>
    <w:rsid w:val="001152B6"/>
    <w:rsid w:val="00122447"/>
    <w:rsid w:val="001434BF"/>
    <w:rsid w:val="00156E1E"/>
    <w:rsid w:val="00166DF3"/>
    <w:rsid w:val="00186F80"/>
    <w:rsid w:val="001946CA"/>
    <w:rsid w:val="001A6D0F"/>
    <w:rsid w:val="001B40CE"/>
    <w:rsid w:val="001C1539"/>
    <w:rsid w:val="001C18AD"/>
    <w:rsid w:val="001C30BC"/>
    <w:rsid w:val="001C691D"/>
    <w:rsid w:val="001C69CE"/>
    <w:rsid w:val="001D100F"/>
    <w:rsid w:val="00231B09"/>
    <w:rsid w:val="002505BB"/>
    <w:rsid w:val="002608BE"/>
    <w:rsid w:val="00261DF3"/>
    <w:rsid w:val="00274E56"/>
    <w:rsid w:val="00275185"/>
    <w:rsid w:val="00277606"/>
    <w:rsid w:val="0028083E"/>
    <w:rsid w:val="002859A9"/>
    <w:rsid w:val="00286A05"/>
    <w:rsid w:val="00291043"/>
    <w:rsid w:val="0029287D"/>
    <w:rsid w:val="002A4687"/>
    <w:rsid w:val="002A7FEE"/>
    <w:rsid w:val="002C2C68"/>
    <w:rsid w:val="002D36B0"/>
    <w:rsid w:val="002E53A1"/>
    <w:rsid w:val="002F2E0C"/>
    <w:rsid w:val="00320DC2"/>
    <w:rsid w:val="003211B9"/>
    <w:rsid w:val="00324912"/>
    <w:rsid w:val="00367ACE"/>
    <w:rsid w:val="00371964"/>
    <w:rsid w:val="0037721F"/>
    <w:rsid w:val="00381C59"/>
    <w:rsid w:val="003C1527"/>
    <w:rsid w:val="003D090B"/>
    <w:rsid w:val="003D60BA"/>
    <w:rsid w:val="003D6C9D"/>
    <w:rsid w:val="003E1C53"/>
    <w:rsid w:val="003E2FB3"/>
    <w:rsid w:val="003E7A60"/>
    <w:rsid w:val="003F51A0"/>
    <w:rsid w:val="0040304E"/>
    <w:rsid w:val="00405B48"/>
    <w:rsid w:val="00410E4F"/>
    <w:rsid w:val="00411689"/>
    <w:rsid w:val="00414058"/>
    <w:rsid w:val="004144D0"/>
    <w:rsid w:val="00421E38"/>
    <w:rsid w:val="00422376"/>
    <w:rsid w:val="00424C2F"/>
    <w:rsid w:val="00425D15"/>
    <w:rsid w:val="004430F0"/>
    <w:rsid w:val="00475ABE"/>
    <w:rsid w:val="00495A32"/>
    <w:rsid w:val="004C2856"/>
    <w:rsid w:val="004C3495"/>
    <w:rsid w:val="004E0A25"/>
    <w:rsid w:val="004E2A27"/>
    <w:rsid w:val="004E2D16"/>
    <w:rsid w:val="00510A02"/>
    <w:rsid w:val="0052164F"/>
    <w:rsid w:val="005576C7"/>
    <w:rsid w:val="00562297"/>
    <w:rsid w:val="00570ABB"/>
    <w:rsid w:val="0057112B"/>
    <w:rsid w:val="005723D4"/>
    <w:rsid w:val="00577BE9"/>
    <w:rsid w:val="00583ABF"/>
    <w:rsid w:val="00587177"/>
    <w:rsid w:val="005878AB"/>
    <w:rsid w:val="00587AD1"/>
    <w:rsid w:val="005946F4"/>
    <w:rsid w:val="005A2E86"/>
    <w:rsid w:val="005A6935"/>
    <w:rsid w:val="005B1B4C"/>
    <w:rsid w:val="005B22E9"/>
    <w:rsid w:val="005B75B4"/>
    <w:rsid w:val="005B7BEB"/>
    <w:rsid w:val="005D534F"/>
    <w:rsid w:val="005D618A"/>
    <w:rsid w:val="005D756C"/>
    <w:rsid w:val="006100A5"/>
    <w:rsid w:val="00611ACF"/>
    <w:rsid w:val="00615726"/>
    <w:rsid w:val="00623111"/>
    <w:rsid w:val="00623574"/>
    <w:rsid w:val="006240DD"/>
    <w:rsid w:val="006321C1"/>
    <w:rsid w:val="006344F9"/>
    <w:rsid w:val="00647CA3"/>
    <w:rsid w:val="0065693B"/>
    <w:rsid w:val="00674C25"/>
    <w:rsid w:val="0067510D"/>
    <w:rsid w:val="0069452C"/>
    <w:rsid w:val="0069499A"/>
    <w:rsid w:val="006A7B3E"/>
    <w:rsid w:val="006B3039"/>
    <w:rsid w:val="006D454F"/>
    <w:rsid w:val="006D4DC4"/>
    <w:rsid w:val="006E4FEF"/>
    <w:rsid w:val="006F105E"/>
    <w:rsid w:val="006F5555"/>
    <w:rsid w:val="006F750D"/>
    <w:rsid w:val="00704480"/>
    <w:rsid w:val="007058F2"/>
    <w:rsid w:val="0071743C"/>
    <w:rsid w:val="00726A54"/>
    <w:rsid w:val="0073346A"/>
    <w:rsid w:val="007339A8"/>
    <w:rsid w:val="00734FE5"/>
    <w:rsid w:val="007354C4"/>
    <w:rsid w:val="00762653"/>
    <w:rsid w:val="00780874"/>
    <w:rsid w:val="00782023"/>
    <w:rsid w:val="00791205"/>
    <w:rsid w:val="007A0009"/>
    <w:rsid w:val="007A4B14"/>
    <w:rsid w:val="007C29B3"/>
    <w:rsid w:val="007C39FF"/>
    <w:rsid w:val="007D52B6"/>
    <w:rsid w:val="007E6301"/>
    <w:rsid w:val="008111D1"/>
    <w:rsid w:val="00811809"/>
    <w:rsid w:val="00835FF7"/>
    <w:rsid w:val="008369C1"/>
    <w:rsid w:val="00840BAC"/>
    <w:rsid w:val="00840BB5"/>
    <w:rsid w:val="00863524"/>
    <w:rsid w:val="00872D69"/>
    <w:rsid w:val="0087469B"/>
    <w:rsid w:val="00883DAA"/>
    <w:rsid w:val="00896A03"/>
    <w:rsid w:val="008B2453"/>
    <w:rsid w:val="008C1F69"/>
    <w:rsid w:val="008E4B67"/>
    <w:rsid w:val="008E4DFE"/>
    <w:rsid w:val="00900319"/>
    <w:rsid w:val="009008CE"/>
    <w:rsid w:val="00903F7D"/>
    <w:rsid w:val="0090681E"/>
    <w:rsid w:val="00911ECD"/>
    <w:rsid w:val="009131CA"/>
    <w:rsid w:val="00920D43"/>
    <w:rsid w:val="0093247D"/>
    <w:rsid w:val="0094704D"/>
    <w:rsid w:val="00950F81"/>
    <w:rsid w:val="00953459"/>
    <w:rsid w:val="00956A01"/>
    <w:rsid w:val="00970B55"/>
    <w:rsid w:val="00993A27"/>
    <w:rsid w:val="00994035"/>
    <w:rsid w:val="009A1B1A"/>
    <w:rsid w:val="009A5F7C"/>
    <w:rsid w:val="009E7BA6"/>
    <w:rsid w:val="00A02FF7"/>
    <w:rsid w:val="00A042E0"/>
    <w:rsid w:val="00A05294"/>
    <w:rsid w:val="00A1190E"/>
    <w:rsid w:val="00A275B6"/>
    <w:rsid w:val="00A532C0"/>
    <w:rsid w:val="00A600AD"/>
    <w:rsid w:val="00A6571E"/>
    <w:rsid w:val="00A65F91"/>
    <w:rsid w:val="00A8294A"/>
    <w:rsid w:val="00A93F34"/>
    <w:rsid w:val="00A946FD"/>
    <w:rsid w:val="00A976C2"/>
    <w:rsid w:val="00AA380D"/>
    <w:rsid w:val="00AB0AC1"/>
    <w:rsid w:val="00AC135B"/>
    <w:rsid w:val="00AD2634"/>
    <w:rsid w:val="00AD33D1"/>
    <w:rsid w:val="00AD695D"/>
    <w:rsid w:val="00AE40E6"/>
    <w:rsid w:val="00AF5017"/>
    <w:rsid w:val="00B1392F"/>
    <w:rsid w:val="00B17BB2"/>
    <w:rsid w:val="00B21C5D"/>
    <w:rsid w:val="00B26039"/>
    <w:rsid w:val="00B26BB1"/>
    <w:rsid w:val="00B26E21"/>
    <w:rsid w:val="00B30100"/>
    <w:rsid w:val="00B377C9"/>
    <w:rsid w:val="00B41B62"/>
    <w:rsid w:val="00B514FA"/>
    <w:rsid w:val="00B521A0"/>
    <w:rsid w:val="00B62523"/>
    <w:rsid w:val="00B844AA"/>
    <w:rsid w:val="00B9375E"/>
    <w:rsid w:val="00B9492E"/>
    <w:rsid w:val="00BB5554"/>
    <w:rsid w:val="00BD48A3"/>
    <w:rsid w:val="00BE3695"/>
    <w:rsid w:val="00BF2963"/>
    <w:rsid w:val="00BF30F9"/>
    <w:rsid w:val="00BF664E"/>
    <w:rsid w:val="00BF71F6"/>
    <w:rsid w:val="00C013A9"/>
    <w:rsid w:val="00C05168"/>
    <w:rsid w:val="00C12334"/>
    <w:rsid w:val="00C125D4"/>
    <w:rsid w:val="00C265CF"/>
    <w:rsid w:val="00C30909"/>
    <w:rsid w:val="00C41DA4"/>
    <w:rsid w:val="00C559A6"/>
    <w:rsid w:val="00C6098A"/>
    <w:rsid w:val="00C74A86"/>
    <w:rsid w:val="00C81E54"/>
    <w:rsid w:val="00C91368"/>
    <w:rsid w:val="00CD1AC6"/>
    <w:rsid w:val="00CD43FC"/>
    <w:rsid w:val="00CD6928"/>
    <w:rsid w:val="00D101C0"/>
    <w:rsid w:val="00D14566"/>
    <w:rsid w:val="00D2469F"/>
    <w:rsid w:val="00D36D41"/>
    <w:rsid w:val="00D413D0"/>
    <w:rsid w:val="00D53A1F"/>
    <w:rsid w:val="00D564D8"/>
    <w:rsid w:val="00D765D8"/>
    <w:rsid w:val="00D824F1"/>
    <w:rsid w:val="00D904E7"/>
    <w:rsid w:val="00DA2CE3"/>
    <w:rsid w:val="00DC3BD4"/>
    <w:rsid w:val="00DE05C5"/>
    <w:rsid w:val="00DE3DFA"/>
    <w:rsid w:val="00DF0AEB"/>
    <w:rsid w:val="00DF5D7A"/>
    <w:rsid w:val="00DF6F94"/>
    <w:rsid w:val="00E12CE1"/>
    <w:rsid w:val="00E13330"/>
    <w:rsid w:val="00E2130F"/>
    <w:rsid w:val="00E34A94"/>
    <w:rsid w:val="00E4280A"/>
    <w:rsid w:val="00E44497"/>
    <w:rsid w:val="00E518C8"/>
    <w:rsid w:val="00E6006F"/>
    <w:rsid w:val="00E63503"/>
    <w:rsid w:val="00E645BC"/>
    <w:rsid w:val="00E74E80"/>
    <w:rsid w:val="00E77E6A"/>
    <w:rsid w:val="00E80293"/>
    <w:rsid w:val="00E80E24"/>
    <w:rsid w:val="00E83967"/>
    <w:rsid w:val="00E8548C"/>
    <w:rsid w:val="00E9331B"/>
    <w:rsid w:val="00E9507C"/>
    <w:rsid w:val="00EB6AF7"/>
    <w:rsid w:val="00ED6305"/>
    <w:rsid w:val="00ED7465"/>
    <w:rsid w:val="00EE1D1F"/>
    <w:rsid w:val="00EF7774"/>
    <w:rsid w:val="00F06510"/>
    <w:rsid w:val="00F12D60"/>
    <w:rsid w:val="00F22F4D"/>
    <w:rsid w:val="00F24FB3"/>
    <w:rsid w:val="00F32077"/>
    <w:rsid w:val="00F41A4A"/>
    <w:rsid w:val="00F44F67"/>
    <w:rsid w:val="00F5694A"/>
    <w:rsid w:val="00F56B1E"/>
    <w:rsid w:val="00F62687"/>
    <w:rsid w:val="00F81C16"/>
    <w:rsid w:val="00F83B64"/>
    <w:rsid w:val="00F92B97"/>
    <w:rsid w:val="00FA0396"/>
    <w:rsid w:val="00FA749F"/>
    <w:rsid w:val="00FC04AF"/>
    <w:rsid w:val="00FC08C4"/>
    <w:rsid w:val="00FD2122"/>
    <w:rsid w:val="00FE74B2"/>
    <w:rsid w:val="00FF1C04"/>
    <w:rsid w:val="01173991"/>
    <w:rsid w:val="018A2B1B"/>
    <w:rsid w:val="019627C6"/>
    <w:rsid w:val="02056D00"/>
    <w:rsid w:val="02090C75"/>
    <w:rsid w:val="022044E3"/>
    <w:rsid w:val="02A23A3C"/>
    <w:rsid w:val="03085871"/>
    <w:rsid w:val="031F2043"/>
    <w:rsid w:val="03AC246A"/>
    <w:rsid w:val="03AD58A1"/>
    <w:rsid w:val="03B23056"/>
    <w:rsid w:val="03D4203E"/>
    <w:rsid w:val="03DC3EBA"/>
    <w:rsid w:val="03F9794D"/>
    <w:rsid w:val="04060BBE"/>
    <w:rsid w:val="04247911"/>
    <w:rsid w:val="046A2461"/>
    <w:rsid w:val="055E6E53"/>
    <w:rsid w:val="059A3B3C"/>
    <w:rsid w:val="063240C6"/>
    <w:rsid w:val="06B70F10"/>
    <w:rsid w:val="06C64829"/>
    <w:rsid w:val="06D67EFC"/>
    <w:rsid w:val="06F9665D"/>
    <w:rsid w:val="07500980"/>
    <w:rsid w:val="07627150"/>
    <w:rsid w:val="077D16D2"/>
    <w:rsid w:val="07896130"/>
    <w:rsid w:val="08587989"/>
    <w:rsid w:val="08675FC8"/>
    <w:rsid w:val="08D7639D"/>
    <w:rsid w:val="08E916A0"/>
    <w:rsid w:val="09540D48"/>
    <w:rsid w:val="09B713FD"/>
    <w:rsid w:val="09C517E0"/>
    <w:rsid w:val="09EF6ACC"/>
    <w:rsid w:val="0A2759B6"/>
    <w:rsid w:val="0A315056"/>
    <w:rsid w:val="0A8947FB"/>
    <w:rsid w:val="0AFB45AD"/>
    <w:rsid w:val="0B147FF4"/>
    <w:rsid w:val="0B351E9B"/>
    <w:rsid w:val="0B4C50D3"/>
    <w:rsid w:val="0B806B92"/>
    <w:rsid w:val="0B827E94"/>
    <w:rsid w:val="0BD070E1"/>
    <w:rsid w:val="0BD460DC"/>
    <w:rsid w:val="0C247926"/>
    <w:rsid w:val="0C366C48"/>
    <w:rsid w:val="0CAA198A"/>
    <w:rsid w:val="0CBA294B"/>
    <w:rsid w:val="0CBB4B8B"/>
    <w:rsid w:val="0CFF4F6B"/>
    <w:rsid w:val="0D4A10E3"/>
    <w:rsid w:val="0D5A2DEF"/>
    <w:rsid w:val="0D794204"/>
    <w:rsid w:val="0DC129CD"/>
    <w:rsid w:val="0E2125D1"/>
    <w:rsid w:val="0E214211"/>
    <w:rsid w:val="0E5F2769"/>
    <w:rsid w:val="0E9438E5"/>
    <w:rsid w:val="0EB42A94"/>
    <w:rsid w:val="0F4D75A3"/>
    <w:rsid w:val="0F5B2DCA"/>
    <w:rsid w:val="0FED051E"/>
    <w:rsid w:val="0FEE4C29"/>
    <w:rsid w:val="10046082"/>
    <w:rsid w:val="112949B8"/>
    <w:rsid w:val="112B101A"/>
    <w:rsid w:val="11737AE7"/>
    <w:rsid w:val="11812847"/>
    <w:rsid w:val="119B53FC"/>
    <w:rsid w:val="12424CDC"/>
    <w:rsid w:val="126314FB"/>
    <w:rsid w:val="12980D80"/>
    <w:rsid w:val="129A2738"/>
    <w:rsid w:val="12A3059B"/>
    <w:rsid w:val="12B56BF1"/>
    <w:rsid w:val="12CB1A89"/>
    <w:rsid w:val="131840FB"/>
    <w:rsid w:val="13467417"/>
    <w:rsid w:val="136E76CF"/>
    <w:rsid w:val="13724F81"/>
    <w:rsid w:val="139323BD"/>
    <w:rsid w:val="13EC2DA3"/>
    <w:rsid w:val="142C17C5"/>
    <w:rsid w:val="15BC6B3C"/>
    <w:rsid w:val="15DB7084"/>
    <w:rsid w:val="16117F96"/>
    <w:rsid w:val="162C0A5E"/>
    <w:rsid w:val="163548CE"/>
    <w:rsid w:val="1694429A"/>
    <w:rsid w:val="17054571"/>
    <w:rsid w:val="17607512"/>
    <w:rsid w:val="17635326"/>
    <w:rsid w:val="17822E75"/>
    <w:rsid w:val="17D11706"/>
    <w:rsid w:val="18161417"/>
    <w:rsid w:val="18236EFD"/>
    <w:rsid w:val="184C3483"/>
    <w:rsid w:val="18994516"/>
    <w:rsid w:val="189D5B1F"/>
    <w:rsid w:val="18A34CD0"/>
    <w:rsid w:val="18B13FC0"/>
    <w:rsid w:val="196A3BC0"/>
    <w:rsid w:val="199C7AF2"/>
    <w:rsid w:val="19B64DBC"/>
    <w:rsid w:val="1A22182F"/>
    <w:rsid w:val="1A373ACF"/>
    <w:rsid w:val="1A895341"/>
    <w:rsid w:val="1AA50C28"/>
    <w:rsid w:val="1B0D071F"/>
    <w:rsid w:val="1B4568CE"/>
    <w:rsid w:val="1B9015B7"/>
    <w:rsid w:val="1BBC2149"/>
    <w:rsid w:val="1BE96FF4"/>
    <w:rsid w:val="1C066D7F"/>
    <w:rsid w:val="1C0E0531"/>
    <w:rsid w:val="1C161DDD"/>
    <w:rsid w:val="1C320285"/>
    <w:rsid w:val="1C4701E9"/>
    <w:rsid w:val="1C511068"/>
    <w:rsid w:val="1C975D58"/>
    <w:rsid w:val="1D3E15EC"/>
    <w:rsid w:val="1D5A79EE"/>
    <w:rsid w:val="1D897CE0"/>
    <w:rsid w:val="1E0E2CD0"/>
    <w:rsid w:val="1E831280"/>
    <w:rsid w:val="1E8B1475"/>
    <w:rsid w:val="1EBB0FDE"/>
    <w:rsid w:val="1EBC4704"/>
    <w:rsid w:val="1EE86AB8"/>
    <w:rsid w:val="1F06438B"/>
    <w:rsid w:val="1F172EB5"/>
    <w:rsid w:val="1F3C14F6"/>
    <w:rsid w:val="1F94592D"/>
    <w:rsid w:val="1FB02549"/>
    <w:rsid w:val="1FB860DE"/>
    <w:rsid w:val="203C5A02"/>
    <w:rsid w:val="209D4C94"/>
    <w:rsid w:val="20B07068"/>
    <w:rsid w:val="20E4503D"/>
    <w:rsid w:val="20E84705"/>
    <w:rsid w:val="21185F27"/>
    <w:rsid w:val="2136082C"/>
    <w:rsid w:val="218400BA"/>
    <w:rsid w:val="218F0580"/>
    <w:rsid w:val="219849EB"/>
    <w:rsid w:val="21AB1E2F"/>
    <w:rsid w:val="21B345CC"/>
    <w:rsid w:val="21D40498"/>
    <w:rsid w:val="22067D67"/>
    <w:rsid w:val="22767047"/>
    <w:rsid w:val="2343544D"/>
    <w:rsid w:val="23700025"/>
    <w:rsid w:val="23A05588"/>
    <w:rsid w:val="23A86200"/>
    <w:rsid w:val="23FC7D41"/>
    <w:rsid w:val="242B03F0"/>
    <w:rsid w:val="2442484C"/>
    <w:rsid w:val="248C5333"/>
    <w:rsid w:val="25431AEB"/>
    <w:rsid w:val="25744ED8"/>
    <w:rsid w:val="25B55C28"/>
    <w:rsid w:val="25BF43FD"/>
    <w:rsid w:val="25D0124F"/>
    <w:rsid w:val="25D929C8"/>
    <w:rsid w:val="25F86BCD"/>
    <w:rsid w:val="26633E71"/>
    <w:rsid w:val="266578D3"/>
    <w:rsid w:val="269E416A"/>
    <w:rsid w:val="26B26BA7"/>
    <w:rsid w:val="27053663"/>
    <w:rsid w:val="272100D3"/>
    <w:rsid w:val="272C72FC"/>
    <w:rsid w:val="278751AB"/>
    <w:rsid w:val="27EB149D"/>
    <w:rsid w:val="27FD3E52"/>
    <w:rsid w:val="288307FB"/>
    <w:rsid w:val="28A43765"/>
    <w:rsid w:val="28E11370"/>
    <w:rsid w:val="28FB0D6D"/>
    <w:rsid w:val="294A756A"/>
    <w:rsid w:val="294C6E3F"/>
    <w:rsid w:val="29591165"/>
    <w:rsid w:val="29C54E43"/>
    <w:rsid w:val="29D5322D"/>
    <w:rsid w:val="2A025DD9"/>
    <w:rsid w:val="2A64640A"/>
    <w:rsid w:val="2A676E2C"/>
    <w:rsid w:val="2A7C2231"/>
    <w:rsid w:val="2ABB753D"/>
    <w:rsid w:val="2B25431C"/>
    <w:rsid w:val="2B7A49FA"/>
    <w:rsid w:val="2BAA2138"/>
    <w:rsid w:val="2C615D26"/>
    <w:rsid w:val="2CB679ED"/>
    <w:rsid w:val="2CD6778D"/>
    <w:rsid w:val="2D173C07"/>
    <w:rsid w:val="2D424A86"/>
    <w:rsid w:val="2E5132F4"/>
    <w:rsid w:val="2E7B52DB"/>
    <w:rsid w:val="2EB23691"/>
    <w:rsid w:val="2EE61AE3"/>
    <w:rsid w:val="2F324CFE"/>
    <w:rsid w:val="2F676247"/>
    <w:rsid w:val="2F8D1F5F"/>
    <w:rsid w:val="2FBA09F1"/>
    <w:rsid w:val="2FEF2ACF"/>
    <w:rsid w:val="30540211"/>
    <w:rsid w:val="307E2672"/>
    <w:rsid w:val="30D77C66"/>
    <w:rsid w:val="312D7741"/>
    <w:rsid w:val="316F137F"/>
    <w:rsid w:val="31DF525F"/>
    <w:rsid w:val="31F95961"/>
    <w:rsid w:val="32324C2E"/>
    <w:rsid w:val="32494863"/>
    <w:rsid w:val="327171DF"/>
    <w:rsid w:val="32C21BC4"/>
    <w:rsid w:val="32E225C2"/>
    <w:rsid w:val="32E4633A"/>
    <w:rsid w:val="32F347CF"/>
    <w:rsid w:val="330469DC"/>
    <w:rsid w:val="336271A2"/>
    <w:rsid w:val="33B45D0C"/>
    <w:rsid w:val="33C721FE"/>
    <w:rsid w:val="34085DB6"/>
    <w:rsid w:val="341E3434"/>
    <w:rsid w:val="34AE6BFF"/>
    <w:rsid w:val="34CB27D7"/>
    <w:rsid w:val="34E73EBF"/>
    <w:rsid w:val="35A95619"/>
    <w:rsid w:val="35BB240F"/>
    <w:rsid w:val="360B7EBA"/>
    <w:rsid w:val="36592B9B"/>
    <w:rsid w:val="367943B2"/>
    <w:rsid w:val="369C32FD"/>
    <w:rsid w:val="36B97FE8"/>
    <w:rsid w:val="36DD557A"/>
    <w:rsid w:val="37666E72"/>
    <w:rsid w:val="38167A04"/>
    <w:rsid w:val="383C613F"/>
    <w:rsid w:val="38523D46"/>
    <w:rsid w:val="38545D10"/>
    <w:rsid w:val="38685317"/>
    <w:rsid w:val="39075F63"/>
    <w:rsid w:val="393660D1"/>
    <w:rsid w:val="394B167A"/>
    <w:rsid w:val="39EF1721"/>
    <w:rsid w:val="3A282FB0"/>
    <w:rsid w:val="3A4E4336"/>
    <w:rsid w:val="3A6007FE"/>
    <w:rsid w:val="3AE0388B"/>
    <w:rsid w:val="3B7C2CE4"/>
    <w:rsid w:val="3BE253E0"/>
    <w:rsid w:val="3C0B5355"/>
    <w:rsid w:val="3C747957"/>
    <w:rsid w:val="3C7E15AD"/>
    <w:rsid w:val="3CA54D8C"/>
    <w:rsid w:val="3CD4176B"/>
    <w:rsid w:val="3D1F44D9"/>
    <w:rsid w:val="3D5C38CD"/>
    <w:rsid w:val="3D8C6ADA"/>
    <w:rsid w:val="3DFE1762"/>
    <w:rsid w:val="3E5070F1"/>
    <w:rsid w:val="3EE576C2"/>
    <w:rsid w:val="3F6C3589"/>
    <w:rsid w:val="3F850180"/>
    <w:rsid w:val="3F9004D6"/>
    <w:rsid w:val="3FC7497A"/>
    <w:rsid w:val="400E4D5E"/>
    <w:rsid w:val="40380E19"/>
    <w:rsid w:val="40BC08F6"/>
    <w:rsid w:val="40E1138C"/>
    <w:rsid w:val="41356224"/>
    <w:rsid w:val="413814BA"/>
    <w:rsid w:val="41872511"/>
    <w:rsid w:val="42466655"/>
    <w:rsid w:val="4278084D"/>
    <w:rsid w:val="428F48BB"/>
    <w:rsid w:val="42B23D5F"/>
    <w:rsid w:val="42C82F57"/>
    <w:rsid w:val="434B46A2"/>
    <w:rsid w:val="43790020"/>
    <w:rsid w:val="43C76AF7"/>
    <w:rsid w:val="43D10BF5"/>
    <w:rsid w:val="44431087"/>
    <w:rsid w:val="446828F0"/>
    <w:rsid w:val="447E0187"/>
    <w:rsid w:val="454669E0"/>
    <w:rsid w:val="45C13B4D"/>
    <w:rsid w:val="46054BCA"/>
    <w:rsid w:val="464C6AFC"/>
    <w:rsid w:val="468B0091"/>
    <w:rsid w:val="46A107C3"/>
    <w:rsid w:val="46B15CE2"/>
    <w:rsid w:val="46BE113D"/>
    <w:rsid w:val="46E44B13"/>
    <w:rsid w:val="46FA2178"/>
    <w:rsid w:val="4703508A"/>
    <w:rsid w:val="475023F8"/>
    <w:rsid w:val="479755D1"/>
    <w:rsid w:val="479D361E"/>
    <w:rsid w:val="47A43F53"/>
    <w:rsid w:val="47B74789"/>
    <w:rsid w:val="480F2B9D"/>
    <w:rsid w:val="48282920"/>
    <w:rsid w:val="485321E0"/>
    <w:rsid w:val="48546AD3"/>
    <w:rsid w:val="486343A9"/>
    <w:rsid w:val="48CA4868"/>
    <w:rsid w:val="48F005D3"/>
    <w:rsid w:val="493C0826"/>
    <w:rsid w:val="49415B4D"/>
    <w:rsid w:val="498C72D3"/>
    <w:rsid w:val="498F4AF1"/>
    <w:rsid w:val="49A16721"/>
    <w:rsid w:val="49B54134"/>
    <w:rsid w:val="49C05787"/>
    <w:rsid w:val="49CF518D"/>
    <w:rsid w:val="4A3707F2"/>
    <w:rsid w:val="4A8D0E3C"/>
    <w:rsid w:val="4ADA1F63"/>
    <w:rsid w:val="4AE23D89"/>
    <w:rsid w:val="4B2038D0"/>
    <w:rsid w:val="4B296E7D"/>
    <w:rsid w:val="4B7E5126"/>
    <w:rsid w:val="4B877F28"/>
    <w:rsid w:val="4C013661"/>
    <w:rsid w:val="4C044C26"/>
    <w:rsid w:val="4C156B0E"/>
    <w:rsid w:val="4CCA6149"/>
    <w:rsid w:val="4D522188"/>
    <w:rsid w:val="4D5F4AE3"/>
    <w:rsid w:val="4D916BA6"/>
    <w:rsid w:val="4DA44B41"/>
    <w:rsid w:val="4DA478AD"/>
    <w:rsid w:val="4DC44169"/>
    <w:rsid w:val="4E351DED"/>
    <w:rsid w:val="4EF0709E"/>
    <w:rsid w:val="4F135B85"/>
    <w:rsid w:val="4F6C34E7"/>
    <w:rsid w:val="4FAA26A3"/>
    <w:rsid w:val="50447DBC"/>
    <w:rsid w:val="51131701"/>
    <w:rsid w:val="513C6A7B"/>
    <w:rsid w:val="524D13AE"/>
    <w:rsid w:val="52D23FA9"/>
    <w:rsid w:val="52E41C54"/>
    <w:rsid w:val="52E56089"/>
    <w:rsid w:val="5333545B"/>
    <w:rsid w:val="53E02FB3"/>
    <w:rsid w:val="53E90591"/>
    <w:rsid w:val="541A7B8B"/>
    <w:rsid w:val="5450213C"/>
    <w:rsid w:val="54B25E40"/>
    <w:rsid w:val="54D24048"/>
    <w:rsid w:val="54D64CD5"/>
    <w:rsid w:val="55887D69"/>
    <w:rsid w:val="55943798"/>
    <w:rsid w:val="561A0928"/>
    <w:rsid w:val="56423872"/>
    <w:rsid w:val="567B2F3F"/>
    <w:rsid w:val="56B279F0"/>
    <w:rsid w:val="57527466"/>
    <w:rsid w:val="579D710E"/>
    <w:rsid w:val="57A84A18"/>
    <w:rsid w:val="581F22F6"/>
    <w:rsid w:val="58621B57"/>
    <w:rsid w:val="586E1E17"/>
    <w:rsid w:val="58724098"/>
    <w:rsid w:val="58862C35"/>
    <w:rsid w:val="58B87F94"/>
    <w:rsid w:val="58C14957"/>
    <w:rsid w:val="58C82D5E"/>
    <w:rsid w:val="596B5C87"/>
    <w:rsid w:val="59873483"/>
    <w:rsid w:val="5AE83A50"/>
    <w:rsid w:val="5B2F5419"/>
    <w:rsid w:val="5B7C2D04"/>
    <w:rsid w:val="5B834EAA"/>
    <w:rsid w:val="5B847D68"/>
    <w:rsid w:val="5BAB2917"/>
    <w:rsid w:val="5BED775E"/>
    <w:rsid w:val="5BFC33FA"/>
    <w:rsid w:val="5C3107A4"/>
    <w:rsid w:val="5C3B1B93"/>
    <w:rsid w:val="5C4B2E74"/>
    <w:rsid w:val="5C9220DF"/>
    <w:rsid w:val="5D395350"/>
    <w:rsid w:val="5D4A15F3"/>
    <w:rsid w:val="5D69542A"/>
    <w:rsid w:val="5DFC68AE"/>
    <w:rsid w:val="5E0930EF"/>
    <w:rsid w:val="5E3D4D53"/>
    <w:rsid w:val="5E4510D4"/>
    <w:rsid w:val="5E4717E6"/>
    <w:rsid w:val="5E55774C"/>
    <w:rsid w:val="5F4922C9"/>
    <w:rsid w:val="5F677827"/>
    <w:rsid w:val="5FF53085"/>
    <w:rsid w:val="5FFE462F"/>
    <w:rsid w:val="60104DDC"/>
    <w:rsid w:val="605C0804"/>
    <w:rsid w:val="60695978"/>
    <w:rsid w:val="60795A64"/>
    <w:rsid w:val="60C72C73"/>
    <w:rsid w:val="6189617B"/>
    <w:rsid w:val="61B52BB6"/>
    <w:rsid w:val="61B749C2"/>
    <w:rsid w:val="62280D20"/>
    <w:rsid w:val="622B7232"/>
    <w:rsid w:val="62CA2457"/>
    <w:rsid w:val="62DE3CDE"/>
    <w:rsid w:val="638240A1"/>
    <w:rsid w:val="63A5257B"/>
    <w:rsid w:val="63BD3DCC"/>
    <w:rsid w:val="63C61741"/>
    <w:rsid w:val="6412507E"/>
    <w:rsid w:val="641F17EC"/>
    <w:rsid w:val="64560967"/>
    <w:rsid w:val="64731CCC"/>
    <w:rsid w:val="64E57B6C"/>
    <w:rsid w:val="65640A91"/>
    <w:rsid w:val="656B1D10"/>
    <w:rsid w:val="65AE5130"/>
    <w:rsid w:val="66022B28"/>
    <w:rsid w:val="661A13C0"/>
    <w:rsid w:val="66581E87"/>
    <w:rsid w:val="66FA11D5"/>
    <w:rsid w:val="674302C7"/>
    <w:rsid w:val="67C154D2"/>
    <w:rsid w:val="67EF3D83"/>
    <w:rsid w:val="680A5986"/>
    <w:rsid w:val="680D5F4B"/>
    <w:rsid w:val="68113F51"/>
    <w:rsid w:val="68381E12"/>
    <w:rsid w:val="683C319D"/>
    <w:rsid w:val="68776992"/>
    <w:rsid w:val="68E94770"/>
    <w:rsid w:val="68F949C9"/>
    <w:rsid w:val="690348AE"/>
    <w:rsid w:val="69313E36"/>
    <w:rsid w:val="695A4290"/>
    <w:rsid w:val="69670B4F"/>
    <w:rsid w:val="69BE4554"/>
    <w:rsid w:val="6A334932"/>
    <w:rsid w:val="6A3353FF"/>
    <w:rsid w:val="6A5D63E6"/>
    <w:rsid w:val="6A5F24D1"/>
    <w:rsid w:val="6A645201"/>
    <w:rsid w:val="6A6D6639"/>
    <w:rsid w:val="6AE347EB"/>
    <w:rsid w:val="6B3B2294"/>
    <w:rsid w:val="6B434AF0"/>
    <w:rsid w:val="6B57675A"/>
    <w:rsid w:val="6BDD7B4D"/>
    <w:rsid w:val="6C4B64BB"/>
    <w:rsid w:val="6CD873B5"/>
    <w:rsid w:val="6D262AD0"/>
    <w:rsid w:val="6D596F87"/>
    <w:rsid w:val="6DBF1105"/>
    <w:rsid w:val="6E512154"/>
    <w:rsid w:val="6E650F3D"/>
    <w:rsid w:val="6EBC0B3A"/>
    <w:rsid w:val="6EC3663C"/>
    <w:rsid w:val="6ED87CBF"/>
    <w:rsid w:val="6EF235B1"/>
    <w:rsid w:val="6EF51C7D"/>
    <w:rsid w:val="6F0D5B4C"/>
    <w:rsid w:val="6F180CF2"/>
    <w:rsid w:val="6F4365AB"/>
    <w:rsid w:val="6F8363E5"/>
    <w:rsid w:val="6FA7614A"/>
    <w:rsid w:val="6FC746F5"/>
    <w:rsid w:val="70317AC6"/>
    <w:rsid w:val="705379FA"/>
    <w:rsid w:val="706930C5"/>
    <w:rsid w:val="70863262"/>
    <w:rsid w:val="70A76ED3"/>
    <w:rsid w:val="71860B17"/>
    <w:rsid w:val="723B27CC"/>
    <w:rsid w:val="72687227"/>
    <w:rsid w:val="726C4B4E"/>
    <w:rsid w:val="72A03FD9"/>
    <w:rsid w:val="72E326F3"/>
    <w:rsid w:val="73053387"/>
    <w:rsid w:val="73406CFF"/>
    <w:rsid w:val="7383028C"/>
    <w:rsid w:val="73997733"/>
    <w:rsid w:val="73A25E44"/>
    <w:rsid w:val="73BC57A4"/>
    <w:rsid w:val="73CD0149"/>
    <w:rsid w:val="73D2154B"/>
    <w:rsid w:val="73D40F13"/>
    <w:rsid w:val="741F68CF"/>
    <w:rsid w:val="74212243"/>
    <w:rsid w:val="74D47972"/>
    <w:rsid w:val="7510653F"/>
    <w:rsid w:val="75252DF3"/>
    <w:rsid w:val="754E0CB6"/>
    <w:rsid w:val="75621536"/>
    <w:rsid w:val="759E0F0F"/>
    <w:rsid w:val="75BF3154"/>
    <w:rsid w:val="75E17EDC"/>
    <w:rsid w:val="75FE0A8D"/>
    <w:rsid w:val="76276342"/>
    <w:rsid w:val="764A07CF"/>
    <w:rsid w:val="764F12E9"/>
    <w:rsid w:val="764F6B3D"/>
    <w:rsid w:val="7682346D"/>
    <w:rsid w:val="76CD2B7B"/>
    <w:rsid w:val="76D80645"/>
    <w:rsid w:val="76E03371"/>
    <w:rsid w:val="779F2A68"/>
    <w:rsid w:val="780E5898"/>
    <w:rsid w:val="782642CC"/>
    <w:rsid w:val="7894095E"/>
    <w:rsid w:val="78A376CA"/>
    <w:rsid w:val="78BE2756"/>
    <w:rsid w:val="78DF49C6"/>
    <w:rsid w:val="78F863F4"/>
    <w:rsid w:val="79000679"/>
    <w:rsid w:val="791B2677"/>
    <w:rsid w:val="7962220F"/>
    <w:rsid w:val="79907C4E"/>
    <w:rsid w:val="79A416F0"/>
    <w:rsid w:val="79B03EB6"/>
    <w:rsid w:val="79ED1DA4"/>
    <w:rsid w:val="7A661C2C"/>
    <w:rsid w:val="7AF37579"/>
    <w:rsid w:val="7AF87F64"/>
    <w:rsid w:val="7B1C0C84"/>
    <w:rsid w:val="7B5A62DF"/>
    <w:rsid w:val="7B7A04A8"/>
    <w:rsid w:val="7BA45C33"/>
    <w:rsid w:val="7C0C3F6D"/>
    <w:rsid w:val="7C105077"/>
    <w:rsid w:val="7C22163C"/>
    <w:rsid w:val="7C3145FF"/>
    <w:rsid w:val="7C595075"/>
    <w:rsid w:val="7C6B07B2"/>
    <w:rsid w:val="7D133243"/>
    <w:rsid w:val="7D1943FF"/>
    <w:rsid w:val="7D641B1E"/>
    <w:rsid w:val="7D8E0949"/>
    <w:rsid w:val="7E0806CA"/>
    <w:rsid w:val="7E394207"/>
    <w:rsid w:val="7E4007A2"/>
    <w:rsid w:val="7E7458EF"/>
    <w:rsid w:val="7E791CAD"/>
    <w:rsid w:val="7EA50DFB"/>
    <w:rsid w:val="7EC86878"/>
    <w:rsid w:val="7F16390D"/>
    <w:rsid w:val="7F752917"/>
    <w:rsid w:val="7F821D85"/>
    <w:rsid w:val="7FA95096"/>
    <w:rsid w:val="7FBD72C3"/>
    <w:rsid w:val="7FE37961"/>
    <w:rsid w:val="7FF633F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iPriority="99" w:name="Body Text Indent 2"/>
    <w:lsdException w:uiPriority="99" w:name="Body Text Indent 3"/>
    <w:lsdException w:qFormat="1" w:uiPriority="99" w:semiHidden="0"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34"/>
    <w:qFormat/>
    <w:uiPriority w:val="9"/>
    <w:pPr>
      <w:keepNext/>
      <w:keepLines/>
      <w:spacing w:before="340" w:after="330" w:line="578" w:lineRule="auto"/>
      <w:jc w:val="center"/>
      <w:outlineLvl w:val="0"/>
    </w:pPr>
    <w:rPr>
      <w:rFonts w:eastAsia="方正小标宋简体"/>
      <w:bCs/>
      <w:kern w:val="44"/>
      <w:sz w:val="44"/>
      <w:szCs w:val="44"/>
    </w:rPr>
  </w:style>
  <w:style w:type="paragraph" w:styleId="4">
    <w:name w:val="heading 2"/>
    <w:basedOn w:val="1"/>
    <w:next w:val="1"/>
    <w:link w:val="35"/>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5">
    <w:name w:val="heading 3"/>
    <w:basedOn w:val="1"/>
    <w:next w:val="1"/>
    <w:link w:val="36"/>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customStyle="1" w:styleId="2">
    <w:name w:val="Default1"/>
    <w:qFormat/>
    <w:uiPriority w:val="0"/>
    <w:pPr>
      <w:widowControl w:val="0"/>
      <w:autoSpaceDE w:val="0"/>
      <w:autoSpaceDN w:val="0"/>
      <w:adjustRightInd w:val="0"/>
      <w:jc w:val="center"/>
    </w:pPr>
    <w:rPr>
      <w:rFonts w:ascii="宋体" w:hAnsi="Times New Roman" w:eastAsia="仿宋_GB2312" w:cs="宋体"/>
      <w:color w:val="000000"/>
      <w:sz w:val="24"/>
      <w:szCs w:val="24"/>
      <w:lang w:val="en-US" w:eastAsia="zh-CN" w:bidi="ar-SA"/>
    </w:rPr>
  </w:style>
  <w:style w:type="paragraph" w:styleId="6">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7">
    <w:name w:val="Body Text 3"/>
    <w:basedOn w:val="1"/>
    <w:link w:val="44"/>
    <w:unhideWhenUsed/>
    <w:qFormat/>
    <w:uiPriority w:val="99"/>
    <w:pPr>
      <w:spacing w:after="120"/>
    </w:pPr>
    <w:rPr>
      <w:sz w:val="16"/>
      <w:szCs w:val="16"/>
    </w:rPr>
  </w:style>
  <w:style w:type="paragraph" w:styleId="8">
    <w:name w:val="Body Text"/>
    <w:basedOn w:val="1"/>
    <w:next w:val="9"/>
    <w:link w:val="50"/>
    <w:qFormat/>
    <w:uiPriority w:val="99"/>
    <w:pPr>
      <w:spacing w:after="120"/>
    </w:pPr>
  </w:style>
  <w:style w:type="paragraph" w:styleId="9">
    <w:name w:val="Body Text 2"/>
    <w:basedOn w:val="1"/>
    <w:qFormat/>
    <w:uiPriority w:val="0"/>
    <w:pPr>
      <w:spacing w:after="120" w:line="480" w:lineRule="auto"/>
    </w:pPr>
  </w:style>
  <w:style w:type="paragraph" w:styleId="10">
    <w:name w:val="Body Text Indent"/>
    <w:basedOn w:val="1"/>
    <w:next w:val="11"/>
    <w:qFormat/>
    <w:uiPriority w:val="0"/>
    <w:pPr>
      <w:adjustRightInd w:val="0"/>
      <w:snapToGrid w:val="0"/>
      <w:spacing w:line="360" w:lineRule="exact"/>
      <w:ind w:firstLine="630"/>
      <w:textAlignment w:val="baseline"/>
    </w:pPr>
    <w:rPr>
      <w:rFonts w:ascii="宋体" w:hAnsi="宋体" w:cs="Times New Roman"/>
      <w:kern w:val="0"/>
      <w:sz w:val="24"/>
      <w:szCs w:val="20"/>
    </w:rPr>
  </w:style>
  <w:style w:type="paragraph" w:styleId="11">
    <w:name w:val="envelope return"/>
    <w:basedOn w:val="1"/>
    <w:qFormat/>
    <w:uiPriority w:val="0"/>
    <w:pPr>
      <w:snapToGrid w:val="0"/>
    </w:pPr>
    <w:rPr>
      <w:rFonts w:ascii="Arial" w:hAnsi="Arial"/>
    </w:rPr>
  </w:style>
  <w:style w:type="paragraph" w:styleId="12">
    <w:name w:val="Block Text"/>
    <w:basedOn w:val="1"/>
    <w:unhideWhenUsed/>
    <w:qFormat/>
    <w:uiPriority w:val="99"/>
    <w:pPr>
      <w:spacing w:after="120"/>
    </w:pPr>
    <w:rPr>
      <w:rFonts w:ascii="Times New Roman" w:hAnsi="Times New Roman"/>
    </w:rPr>
  </w:style>
  <w:style w:type="paragraph" w:styleId="13">
    <w:name w:val="toc 3"/>
    <w:basedOn w:val="1"/>
    <w:next w:val="1"/>
    <w:unhideWhenUsed/>
    <w:qFormat/>
    <w:uiPriority w:val="39"/>
    <w:pPr>
      <w:widowControl/>
      <w:spacing w:after="100" w:line="276" w:lineRule="auto"/>
      <w:ind w:left="440"/>
      <w:jc w:val="left"/>
    </w:pPr>
    <w:rPr>
      <w:kern w:val="0"/>
      <w:sz w:val="22"/>
    </w:rPr>
  </w:style>
  <w:style w:type="paragraph" w:styleId="14">
    <w:name w:val="Plain Text"/>
    <w:basedOn w:val="1"/>
    <w:next w:val="15"/>
    <w:link w:val="52"/>
    <w:qFormat/>
    <w:uiPriority w:val="0"/>
    <w:rPr>
      <w:rFonts w:ascii="宋体" w:hAnsi="Courier New"/>
      <w:szCs w:val="21"/>
    </w:rPr>
  </w:style>
  <w:style w:type="paragraph" w:customStyle="1" w:styleId="15">
    <w:name w:val="Default"/>
    <w:next w:val="16"/>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6">
    <w:name w:val="List"/>
    <w:basedOn w:val="1"/>
    <w:next w:val="1"/>
    <w:qFormat/>
    <w:uiPriority w:val="0"/>
    <w:pPr>
      <w:snapToGrid w:val="0"/>
    </w:pPr>
    <w:rPr>
      <w:szCs w:val="24"/>
    </w:rPr>
  </w:style>
  <w:style w:type="paragraph" w:styleId="17">
    <w:name w:val="Body Text Indent 2"/>
    <w:basedOn w:val="1"/>
    <w:link w:val="53"/>
    <w:semiHidden/>
    <w:unhideWhenUsed/>
    <w:qFormat/>
    <w:uiPriority w:val="99"/>
    <w:pPr>
      <w:spacing w:after="120" w:line="480" w:lineRule="auto"/>
      <w:ind w:left="420" w:leftChars="200"/>
    </w:pPr>
  </w:style>
  <w:style w:type="paragraph" w:styleId="18">
    <w:name w:val="Balloon Text"/>
    <w:basedOn w:val="1"/>
    <w:link w:val="39"/>
    <w:semiHidden/>
    <w:unhideWhenUsed/>
    <w:qFormat/>
    <w:uiPriority w:val="99"/>
    <w:rPr>
      <w:sz w:val="18"/>
      <w:szCs w:val="18"/>
    </w:rPr>
  </w:style>
  <w:style w:type="paragraph" w:styleId="19">
    <w:name w:val="footer"/>
    <w:basedOn w:val="1"/>
    <w:link w:val="33"/>
    <w:unhideWhenUsed/>
    <w:qFormat/>
    <w:uiPriority w:val="99"/>
    <w:pPr>
      <w:tabs>
        <w:tab w:val="center" w:pos="4153"/>
        <w:tab w:val="right" w:pos="8306"/>
      </w:tabs>
      <w:snapToGrid w:val="0"/>
      <w:jc w:val="left"/>
    </w:pPr>
    <w:rPr>
      <w:sz w:val="18"/>
      <w:szCs w:val="18"/>
    </w:rPr>
  </w:style>
  <w:style w:type="paragraph" w:styleId="20">
    <w:name w:val="header"/>
    <w:basedOn w:val="1"/>
    <w:link w:val="32"/>
    <w:unhideWhenUsed/>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unhideWhenUsed/>
    <w:qFormat/>
    <w:uiPriority w:val="39"/>
    <w:pPr>
      <w:widowControl/>
      <w:spacing w:after="100" w:line="276" w:lineRule="auto"/>
      <w:jc w:val="left"/>
    </w:pPr>
    <w:rPr>
      <w:kern w:val="0"/>
      <w:sz w:val="22"/>
    </w:rPr>
  </w:style>
  <w:style w:type="paragraph" w:styleId="22">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3">
    <w:name w:val="Normal (Web)"/>
    <w:basedOn w:val="1"/>
    <w:qFormat/>
    <w:uiPriority w:val="99"/>
    <w:pPr>
      <w:widowControl/>
      <w:spacing w:before="100" w:beforeAutospacing="1" w:after="100" w:afterAutospacing="1"/>
      <w:jc w:val="left"/>
    </w:pPr>
    <w:rPr>
      <w:rFonts w:ascii="宋体" w:hAnsi="宋体" w:eastAsia="宋体" w:cs="Times New Roman"/>
      <w:color w:val="000000"/>
      <w:kern w:val="0"/>
      <w:sz w:val="24"/>
      <w:szCs w:val="24"/>
    </w:rPr>
  </w:style>
  <w:style w:type="paragraph" w:styleId="24">
    <w:name w:val="Body Text First Indent"/>
    <w:basedOn w:val="8"/>
    <w:link w:val="51"/>
    <w:semiHidden/>
    <w:unhideWhenUsed/>
    <w:qFormat/>
    <w:uiPriority w:val="99"/>
    <w:pPr>
      <w:ind w:firstLine="420" w:firstLineChars="100"/>
    </w:pPr>
  </w:style>
  <w:style w:type="paragraph" w:styleId="25">
    <w:name w:val="Body Text First Indent 2"/>
    <w:basedOn w:val="10"/>
    <w:qFormat/>
    <w:uiPriority w:val="0"/>
    <w:pPr>
      <w:spacing w:line="360" w:lineRule="auto"/>
      <w:ind w:firstLine="420"/>
    </w:pPr>
    <w:rPr>
      <w:rFonts w:eastAsia="等线"/>
      <w:color w:val="000000"/>
      <w:szCs w:val="24"/>
    </w:rPr>
  </w:style>
  <w:style w:type="table" w:styleId="27">
    <w:name w:val="Table Grid"/>
    <w:basedOn w:val="2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29">
    <w:name w:val="Strong"/>
    <w:qFormat/>
    <w:uiPriority w:val="22"/>
    <w:rPr>
      <w:rFonts w:eastAsia="宋体"/>
      <w:b/>
      <w:bCs/>
      <w:kern w:val="2"/>
      <w:sz w:val="24"/>
      <w:szCs w:val="24"/>
      <w:lang w:val="en-US" w:eastAsia="zh-CN" w:bidi="ar-SA"/>
    </w:rPr>
  </w:style>
  <w:style w:type="character" w:styleId="30">
    <w:name w:val="page number"/>
    <w:basedOn w:val="28"/>
    <w:qFormat/>
    <w:uiPriority w:val="0"/>
    <w:rPr>
      <w:kern w:val="2"/>
      <w:sz w:val="24"/>
      <w:szCs w:val="24"/>
    </w:rPr>
  </w:style>
  <w:style w:type="character" w:styleId="31">
    <w:name w:val="Hyperlink"/>
    <w:basedOn w:val="28"/>
    <w:unhideWhenUsed/>
    <w:qFormat/>
    <w:uiPriority w:val="99"/>
    <w:rPr>
      <w:color w:val="0000FF" w:themeColor="hyperlink"/>
      <w:u w:val="single"/>
      <w14:textFill>
        <w14:solidFill>
          <w14:schemeClr w14:val="hlink"/>
        </w14:solidFill>
      </w14:textFill>
    </w:rPr>
  </w:style>
  <w:style w:type="character" w:customStyle="1" w:styleId="32">
    <w:name w:val="页眉 Char"/>
    <w:basedOn w:val="28"/>
    <w:link w:val="20"/>
    <w:qFormat/>
    <w:uiPriority w:val="99"/>
    <w:rPr>
      <w:sz w:val="18"/>
      <w:szCs w:val="18"/>
    </w:rPr>
  </w:style>
  <w:style w:type="character" w:customStyle="1" w:styleId="33">
    <w:name w:val="页脚 Char"/>
    <w:basedOn w:val="28"/>
    <w:link w:val="19"/>
    <w:qFormat/>
    <w:uiPriority w:val="99"/>
    <w:rPr>
      <w:sz w:val="18"/>
      <w:szCs w:val="18"/>
    </w:rPr>
  </w:style>
  <w:style w:type="character" w:customStyle="1" w:styleId="34">
    <w:name w:val="标题 1 Char"/>
    <w:basedOn w:val="28"/>
    <w:link w:val="3"/>
    <w:qFormat/>
    <w:uiPriority w:val="9"/>
    <w:rPr>
      <w:rFonts w:eastAsia="方正小标宋简体"/>
      <w:bCs/>
      <w:kern w:val="44"/>
      <w:sz w:val="44"/>
      <w:szCs w:val="44"/>
    </w:rPr>
  </w:style>
  <w:style w:type="character" w:customStyle="1" w:styleId="35">
    <w:name w:val="标题 2 Char"/>
    <w:basedOn w:val="28"/>
    <w:link w:val="4"/>
    <w:qFormat/>
    <w:uiPriority w:val="9"/>
    <w:rPr>
      <w:rFonts w:eastAsia="方正小标宋简体" w:asciiTheme="majorHAnsi" w:hAnsiTheme="majorHAnsi" w:cstheme="majorBidi"/>
      <w:bCs/>
      <w:sz w:val="36"/>
      <w:szCs w:val="32"/>
    </w:rPr>
  </w:style>
  <w:style w:type="character" w:customStyle="1" w:styleId="36">
    <w:name w:val="标题 3 Char"/>
    <w:basedOn w:val="28"/>
    <w:link w:val="5"/>
    <w:qFormat/>
    <w:uiPriority w:val="9"/>
    <w:rPr>
      <w:rFonts w:ascii="Calibri" w:hAnsi="Calibri" w:eastAsia="宋体" w:cs="Times New Roman"/>
      <w:b/>
      <w:bCs/>
      <w:sz w:val="32"/>
      <w:szCs w:val="32"/>
    </w:rPr>
  </w:style>
  <w:style w:type="paragraph" w:styleId="37">
    <w:name w:val="List Paragraph"/>
    <w:basedOn w:val="1"/>
    <w:link w:val="45"/>
    <w:qFormat/>
    <w:uiPriority w:val="99"/>
    <w:pPr>
      <w:ind w:firstLine="420" w:firstLineChars="200"/>
    </w:pPr>
  </w:style>
  <w:style w:type="paragraph" w:customStyle="1" w:styleId="38">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9">
    <w:name w:val="批注框文本 Char"/>
    <w:basedOn w:val="28"/>
    <w:link w:val="18"/>
    <w:semiHidden/>
    <w:qFormat/>
    <w:uiPriority w:val="99"/>
    <w:rPr>
      <w:sz w:val="18"/>
      <w:szCs w:val="18"/>
    </w:rPr>
  </w:style>
  <w:style w:type="paragraph" w:styleId="40">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41">
    <w:name w:val="CM97"/>
    <w:basedOn w:val="15"/>
    <w:next w:val="15"/>
    <w:qFormat/>
    <w:uiPriority w:val="0"/>
    <w:pPr>
      <w:spacing w:after="373"/>
    </w:pPr>
    <w:rPr>
      <w:color w:val="auto"/>
    </w:rPr>
  </w:style>
  <w:style w:type="paragraph" w:customStyle="1" w:styleId="42">
    <w:name w:val="CM91"/>
    <w:basedOn w:val="15"/>
    <w:next w:val="15"/>
    <w:qFormat/>
    <w:uiPriority w:val="0"/>
    <w:pPr>
      <w:spacing w:after="160"/>
    </w:pPr>
    <w:rPr>
      <w:color w:val="auto"/>
    </w:rPr>
  </w:style>
  <w:style w:type="character" w:customStyle="1" w:styleId="43">
    <w:name w:val="正文文本 3 Char"/>
    <w:qFormat/>
    <w:uiPriority w:val="99"/>
    <w:rPr>
      <w:sz w:val="16"/>
      <w:szCs w:val="16"/>
    </w:rPr>
  </w:style>
  <w:style w:type="character" w:customStyle="1" w:styleId="44">
    <w:name w:val="正文文本 3 Char1"/>
    <w:basedOn w:val="28"/>
    <w:link w:val="7"/>
    <w:semiHidden/>
    <w:qFormat/>
    <w:uiPriority w:val="99"/>
    <w:rPr>
      <w:sz w:val="16"/>
      <w:szCs w:val="16"/>
    </w:rPr>
  </w:style>
  <w:style w:type="character" w:customStyle="1" w:styleId="45">
    <w:name w:val="列出段落 Char"/>
    <w:link w:val="37"/>
    <w:qFormat/>
    <w:uiPriority w:val="34"/>
  </w:style>
  <w:style w:type="paragraph" w:customStyle="1" w:styleId="46">
    <w:name w:val="1"/>
    <w:basedOn w:val="1"/>
    <w:next w:val="14"/>
    <w:qFormat/>
    <w:uiPriority w:val="99"/>
    <w:rPr>
      <w:rFonts w:ascii="宋体" w:hAnsi="Courier New"/>
    </w:rPr>
  </w:style>
  <w:style w:type="paragraph" w:customStyle="1" w:styleId="47">
    <w:name w:val="WPSOffice手动目录 1"/>
    <w:qFormat/>
    <w:uiPriority w:val="0"/>
    <w:rPr>
      <w:rFonts w:asciiTheme="minorHAnsi" w:hAnsiTheme="minorHAnsi" w:eastAsiaTheme="minorEastAsia" w:cstheme="minorBidi"/>
      <w:lang w:val="en-US" w:eastAsia="zh-CN" w:bidi="ar-SA"/>
    </w:rPr>
  </w:style>
  <w:style w:type="paragraph" w:customStyle="1" w:styleId="48">
    <w:name w:val="WPSOffice手动目录 2"/>
    <w:qFormat/>
    <w:uiPriority w:val="0"/>
    <w:pPr>
      <w:ind w:left="200" w:leftChars="200"/>
    </w:pPr>
    <w:rPr>
      <w:rFonts w:asciiTheme="minorHAnsi" w:hAnsiTheme="minorHAnsi" w:eastAsiaTheme="minorEastAsia" w:cstheme="minorBidi"/>
      <w:lang w:val="en-US" w:eastAsia="zh-CN" w:bidi="ar-SA"/>
    </w:rPr>
  </w:style>
  <w:style w:type="paragraph" w:customStyle="1" w:styleId="49">
    <w:name w:val="WPSOffice手动目录 3"/>
    <w:qFormat/>
    <w:uiPriority w:val="0"/>
    <w:pPr>
      <w:ind w:left="400" w:leftChars="400"/>
    </w:pPr>
    <w:rPr>
      <w:rFonts w:asciiTheme="minorHAnsi" w:hAnsiTheme="minorHAnsi" w:eastAsiaTheme="minorEastAsia" w:cstheme="minorBidi"/>
      <w:lang w:val="en-US" w:eastAsia="zh-CN" w:bidi="ar-SA"/>
    </w:rPr>
  </w:style>
  <w:style w:type="character" w:customStyle="1" w:styleId="50">
    <w:name w:val="正文文本 Char"/>
    <w:basedOn w:val="28"/>
    <w:link w:val="8"/>
    <w:qFormat/>
    <w:uiPriority w:val="99"/>
    <w:rPr>
      <w:kern w:val="2"/>
      <w:sz w:val="21"/>
      <w:szCs w:val="22"/>
    </w:rPr>
  </w:style>
  <w:style w:type="character" w:customStyle="1" w:styleId="51">
    <w:name w:val="正文首行缩进 Char"/>
    <w:basedOn w:val="50"/>
    <w:link w:val="24"/>
    <w:qFormat/>
    <w:uiPriority w:val="0"/>
    <w:rPr>
      <w:kern w:val="2"/>
      <w:sz w:val="21"/>
      <w:szCs w:val="22"/>
    </w:rPr>
  </w:style>
  <w:style w:type="character" w:customStyle="1" w:styleId="52">
    <w:name w:val="纯文本 Char"/>
    <w:link w:val="14"/>
    <w:qFormat/>
    <w:uiPriority w:val="0"/>
    <w:rPr>
      <w:rFonts w:ascii="宋体" w:hAnsi="Courier New"/>
      <w:kern w:val="2"/>
      <w:sz w:val="21"/>
      <w:szCs w:val="21"/>
    </w:rPr>
  </w:style>
  <w:style w:type="character" w:customStyle="1" w:styleId="53">
    <w:name w:val="正文文本缩进 2 Char"/>
    <w:basedOn w:val="28"/>
    <w:link w:val="17"/>
    <w:semiHidden/>
    <w:qFormat/>
    <w:uiPriority w:val="99"/>
    <w:rPr>
      <w:kern w:val="2"/>
      <w:sz w:val="21"/>
      <w:szCs w:val="22"/>
    </w:rPr>
  </w:style>
  <w:style w:type="paragraph" w:customStyle="1" w:styleId="54">
    <w:name w:val="_Style 4"/>
    <w:basedOn w:val="3"/>
    <w:next w:val="1"/>
    <w:qFormat/>
    <w:uiPriority w:val="0"/>
    <w:pPr>
      <w:keepNext w:val="0"/>
      <w:keepLines w:val="0"/>
      <w:spacing w:after="0" w:line="576" w:lineRule="auto"/>
      <w:jc w:val="left"/>
      <w:outlineLvl w:val="9"/>
    </w:pPr>
    <w:rPr>
      <w:rFonts w:ascii="Calibri" w:hAnsi="Calibri" w:eastAsia="宋体" w:cs="Times New Roman"/>
      <w:b/>
      <w:kern w:val="0"/>
      <w:lang w:eastAsia="en-US"/>
    </w:rPr>
  </w:style>
  <w:style w:type="character" w:customStyle="1" w:styleId="55">
    <w:name w:val="font11"/>
    <w:basedOn w:val="28"/>
    <w:qFormat/>
    <w:uiPriority w:val="0"/>
    <w:rPr>
      <w:rFonts w:hint="default" w:ascii="仿宋_GB2312" w:eastAsia="仿宋_GB2312" w:cs="仿宋_GB2312"/>
      <w:color w:val="000000"/>
      <w:sz w:val="20"/>
      <w:szCs w:val="20"/>
      <w:u w:val="none"/>
    </w:rPr>
  </w:style>
  <w:style w:type="character" w:customStyle="1" w:styleId="56">
    <w:name w:val="font21"/>
    <w:basedOn w:val="28"/>
    <w:qFormat/>
    <w:uiPriority w:val="0"/>
    <w:rPr>
      <w:rFonts w:hint="eastAsia" w:ascii="宋体" w:hAnsi="宋体" w:eastAsia="宋体" w:cs="宋体"/>
      <w:color w:val="000000"/>
      <w:sz w:val="20"/>
      <w:szCs w:val="20"/>
      <w:u w:val="none"/>
    </w:rPr>
  </w:style>
  <w:style w:type="paragraph" w:customStyle="1" w:styleId="57">
    <w:name w:val="正"/>
    <w:basedOn w:val="58"/>
    <w:qFormat/>
    <w:uiPriority w:val="0"/>
    <w:pPr>
      <w:ind w:firstLine="560"/>
      <w:jc w:val="both"/>
    </w:pPr>
    <w:rPr>
      <w:sz w:val="28"/>
      <w:szCs w:val="28"/>
    </w:rPr>
  </w:style>
  <w:style w:type="paragraph" w:customStyle="1" w:styleId="58">
    <w:name w:val="正文-段落"/>
    <w:qFormat/>
    <w:uiPriority w:val="0"/>
    <w:pPr>
      <w:spacing w:line="360" w:lineRule="auto"/>
      <w:ind w:firstLine="200" w:firstLineChars="200"/>
    </w:pPr>
    <w:rPr>
      <w:rFonts w:ascii="Calibri" w:hAnsi="Calibri" w:eastAsia="宋体" w:cs="宋体"/>
      <w:sz w:val="24"/>
      <w:szCs w:val="24"/>
      <w:lang w:val="en-GB" w:eastAsia="zh-CN" w:bidi="ar-SA"/>
    </w:rPr>
  </w:style>
  <w:style w:type="paragraph" w:customStyle="1" w:styleId="59">
    <w:name w:val="列出段落3"/>
    <w:basedOn w:val="1"/>
    <w:qFormat/>
    <w:uiPriority w:val="0"/>
    <w:pPr>
      <w:ind w:firstLine="420" w:firstLineChars="200"/>
    </w:pPr>
    <w:rPr>
      <w:rFonts w:ascii="Calibri" w:hAnsi="Calibri"/>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5FB6F7C-14E6-4998-8429-0A321BC1BE63}">
  <ds:schemaRefs/>
</ds:datastoreItem>
</file>

<file path=docProps/app.xml><?xml version="1.0" encoding="utf-8"?>
<Properties xmlns="http://schemas.openxmlformats.org/officeDocument/2006/extended-properties" xmlns:vt="http://schemas.openxmlformats.org/officeDocument/2006/docPropsVTypes">
  <Template>Normal</Template>
  <Pages>173</Pages>
  <Words>15500</Words>
  <Characters>88352</Characters>
  <Lines>736</Lines>
  <Paragraphs>207</Paragraphs>
  <TotalTime>16</TotalTime>
  <ScaleCrop>false</ScaleCrop>
  <LinksUpToDate>false</LinksUpToDate>
  <CharactersWithSpaces>103645</CharactersWithSpaces>
  <Application>WPS Office_11.8.6.11719_F1E327BC-269C-435d-A152-05C5408002CA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2023-11-03T05:04:00Z</dcterms:created>
  <dc:creator>陈义春</dc:creator>
  <cp:lastModifiedBy>琳</cp:lastModifiedBy>
  <cp:lastPrinted>2024-08-16T00:41:00Z</cp:lastPrinted>
  <dcterms:modified xsi:type="dcterms:W3CDTF">2024-09-06T07:22:59Z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2052-11.8.6.11719</vt:lpwstr>
  </property>
  <property fmtid="{D5CDD505-2E9C-101B-9397-08002B2CF9AE}" pid="3" name="ICV">
    <vt:lpwstr>7DA33F1BDBFE47F7839B12523B381B75</vt:lpwstr>
  </property>
</Properties>
</file>