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38" w:name="_GoBack"/>
      <w:bookmarkEnd w:id="38"/>
    </w:p>
    <w:p>
      <w:pPr>
        <w:pStyle w:val="2"/>
        <w:rPr>
          <w:color w:val="auto"/>
          <w:highlight w:val="none"/>
        </w:rPr>
      </w:pPr>
      <w:bookmarkStart w:id="0" w:name="_Hlk155778699"/>
      <w:r>
        <w:rPr>
          <w:rFonts w:hint="eastAsia" w:eastAsia="方正小标宋简体" w:asciiTheme="minorHAnsi" w:hAnsiTheme="minorHAnsi" w:cstheme="minorBidi"/>
          <w:bCs/>
          <w:color w:val="auto"/>
          <w:kern w:val="44"/>
          <w:sz w:val="44"/>
          <w:szCs w:val="44"/>
          <w:highlight w:val="none"/>
          <w:lang w:val="en-US" w:eastAsia="zh-CN" w:bidi="ar-SA"/>
        </w:rPr>
        <w:t>广州市净水有限公司</w:t>
      </w:r>
      <w:bookmarkEnd w:id="0"/>
      <w:r>
        <w:rPr>
          <w:rFonts w:hint="eastAsia" w:eastAsia="方正小标宋简体" w:asciiTheme="minorHAnsi" w:hAnsiTheme="minorHAnsi" w:cstheme="minorBidi"/>
          <w:bCs/>
          <w:color w:val="auto"/>
          <w:kern w:val="44"/>
          <w:sz w:val="44"/>
          <w:szCs w:val="44"/>
          <w:highlight w:val="none"/>
          <w:lang w:val="en-US" w:eastAsia="zh-CN" w:bidi="ar-SA"/>
        </w:rPr>
        <w:t>生物膜电流对水体生物毒性的响应规律及其调控技术研究</w:t>
      </w:r>
    </w:p>
    <w:p>
      <w:pPr>
        <w:pStyle w:val="2"/>
        <w:rPr>
          <w:color w:val="auto"/>
          <w:highlight w:val="none"/>
        </w:rPr>
      </w:pPr>
    </w:p>
    <w:p>
      <w:pPr>
        <w:pStyle w:val="2"/>
        <w:rPr>
          <w:color w:val="auto"/>
          <w:highlight w:val="none"/>
        </w:rPr>
      </w:pPr>
      <w:r>
        <w:rPr>
          <w:rFonts w:hint="eastAsia"/>
          <w:color w:val="auto"/>
          <w:highlight w:val="none"/>
        </w:rPr>
        <w:t>采购文件</w:t>
      </w:r>
    </w:p>
    <w:p>
      <w:pPr>
        <w:jc w:val="left"/>
        <w:rPr>
          <w:color w:val="auto"/>
          <w:highlight w:val="none"/>
        </w:rPr>
      </w:pPr>
    </w:p>
    <w:p>
      <w:pPr>
        <w:jc w:val="left"/>
        <w:rPr>
          <w:color w:val="auto"/>
          <w:highlight w:val="none"/>
        </w:rPr>
      </w:pPr>
    </w:p>
    <w:p>
      <w:pPr>
        <w:jc w:val="left"/>
        <w:rPr>
          <w:color w:val="auto"/>
          <w:highlight w:val="none"/>
        </w:rPr>
      </w:pPr>
    </w:p>
    <w:p>
      <w:pPr>
        <w:jc w:val="left"/>
        <w:rPr>
          <w:color w:val="auto"/>
          <w:highlight w:val="none"/>
        </w:rPr>
      </w:pPr>
    </w:p>
    <w:p>
      <w:pPr>
        <w:jc w:val="left"/>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jc w:val="left"/>
        <w:rPr>
          <w:color w:val="auto"/>
          <w:highlight w:val="none"/>
        </w:rPr>
      </w:pPr>
    </w:p>
    <w:p>
      <w:pPr>
        <w:widowControl w:val="0"/>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rPr>
        <w:t>广州市净水有限公司</w:t>
      </w:r>
    </w:p>
    <w:p>
      <w:pPr>
        <w:widowControl w:val="0"/>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rPr>
        <w:t>二零二四年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jc w:val="center"/>
        <w:rPr>
          <w:rFonts w:hint="eastAsia" w:ascii="方正小标宋简体" w:eastAsia="方正小标宋简体"/>
          <w:b/>
          <w:color w:val="auto"/>
          <w:sz w:val="44"/>
          <w:szCs w:val="44"/>
          <w:highlight w:val="none"/>
        </w:rPr>
        <w:sectPr>
          <w:pgSz w:w="11907" w:h="16840"/>
          <w:pgMar w:top="1701" w:right="1701" w:bottom="1701" w:left="1701" w:header="851" w:footer="992" w:gutter="0"/>
          <w:pgNumType w:fmt="decimal" w:start="1"/>
          <w:cols w:space="720" w:num="1"/>
          <w:docGrid w:type="linesAndChars" w:linePitch="381" w:charSpace="0"/>
        </w:sectPr>
      </w:pPr>
    </w:p>
    <w:p>
      <w:pPr>
        <w:jc w:val="center"/>
        <w:rPr>
          <w:rFonts w:hint="eastAsia"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color w:val="auto"/>
          <w:highlight w:val="none"/>
        </w:rPr>
      </w:pPr>
    </w:p>
    <w:p>
      <w:pPr>
        <w:pStyle w:val="20"/>
        <w:widowControl/>
        <w:numPr>
          <w:ilvl w:val="0"/>
          <w:numId w:val="1"/>
        </w:numPr>
        <w:tabs>
          <w:tab w:val="right" w:pos="8844"/>
        </w:tabs>
        <w:jc w:val="left"/>
        <w:rPr>
          <w:rFonts w:hint="eastAsia"/>
          <w:color w:val="auto"/>
          <w:highlight w:val="none"/>
        </w:rPr>
      </w:pPr>
      <w:r>
        <w:rPr>
          <w:rFonts w:hint="eastAsia"/>
          <w:color w:val="auto"/>
          <w:highlight w:val="none"/>
        </w:rPr>
        <w:t>采购公告（采购邀请书）</w:t>
      </w:r>
    </w:p>
    <w:p>
      <w:pPr>
        <w:pStyle w:val="20"/>
        <w:widowControl/>
        <w:numPr>
          <w:ilvl w:val="0"/>
          <w:numId w:val="1"/>
        </w:numPr>
        <w:tabs>
          <w:tab w:val="right" w:pos="8844"/>
        </w:tabs>
        <w:jc w:val="left"/>
        <w:rPr>
          <w:rFonts w:hint="eastAsia"/>
          <w:color w:val="auto"/>
          <w:highlight w:val="none"/>
        </w:rPr>
      </w:pPr>
      <w:r>
        <w:rPr>
          <w:rFonts w:hint="eastAsia"/>
          <w:color w:val="auto"/>
          <w:highlight w:val="none"/>
        </w:rPr>
        <w:t>供应商须知</w:t>
      </w:r>
    </w:p>
    <w:p>
      <w:pPr>
        <w:pStyle w:val="20"/>
        <w:widowControl/>
        <w:numPr>
          <w:ilvl w:val="0"/>
          <w:numId w:val="1"/>
        </w:numPr>
        <w:tabs>
          <w:tab w:val="right" w:pos="8844"/>
        </w:tabs>
        <w:jc w:val="left"/>
        <w:rPr>
          <w:rFonts w:hint="eastAsia"/>
          <w:color w:val="auto"/>
          <w:highlight w:val="none"/>
        </w:rPr>
      </w:pPr>
      <w:r>
        <w:rPr>
          <w:rFonts w:hint="eastAsia"/>
          <w:color w:val="auto"/>
          <w:highlight w:val="none"/>
        </w:rPr>
        <w:t>采购方法</w:t>
      </w:r>
    </w:p>
    <w:p>
      <w:pPr>
        <w:pStyle w:val="20"/>
        <w:widowControl/>
        <w:numPr>
          <w:ilvl w:val="0"/>
          <w:numId w:val="1"/>
        </w:numPr>
        <w:tabs>
          <w:tab w:val="right" w:pos="8844"/>
        </w:tabs>
        <w:jc w:val="left"/>
        <w:rPr>
          <w:rFonts w:hint="eastAsia"/>
          <w:color w:val="auto"/>
          <w:highlight w:val="none"/>
        </w:rPr>
      </w:pPr>
      <w:r>
        <w:rPr>
          <w:rFonts w:hint="eastAsia"/>
          <w:color w:val="auto"/>
          <w:highlight w:val="none"/>
        </w:rPr>
        <w:t>评审方法</w:t>
      </w:r>
    </w:p>
    <w:p>
      <w:pPr>
        <w:pStyle w:val="20"/>
        <w:widowControl/>
        <w:numPr>
          <w:ilvl w:val="0"/>
          <w:numId w:val="1"/>
        </w:numPr>
        <w:tabs>
          <w:tab w:val="right" w:pos="8844"/>
        </w:tabs>
        <w:jc w:val="left"/>
        <w:rPr>
          <w:rFonts w:hint="eastAsia"/>
          <w:color w:val="auto"/>
          <w:highlight w:val="none"/>
        </w:rPr>
      </w:pPr>
      <w:r>
        <w:rPr>
          <w:rFonts w:hint="eastAsia"/>
          <w:color w:val="auto"/>
          <w:highlight w:val="none"/>
        </w:rPr>
        <w:t>采购需求</w:t>
      </w:r>
    </w:p>
    <w:p>
      <w:pPr>
        <w:pStyle w:val="20"/>
        <w:widowControl/>
        <w:numPr>
          <w:ilvl w:val="0"/>
          <w:numId w:val="1"/>
        </w:numPr>
        <w:tabs>
          <w:tab w:val="right" w:pos="8844"/>
        </w:tabs>
        <w:jc w:val="left"/>
        <w:rPr>
          <w:rFonts w:hint="eastAsia"/>
          <w:color w:val="auto"/>
          <w:highlight w:val="none"/>
        </w:rPr>
      </w:pPr>
      <w:r>
        <w:rPr>
          <w:rFonts w:hint="eastAsia"/>
          <w:color w:val="auto"/>
          <w:highlight w:val="none"/>
        </w:rPr>
        <w:t>合同草案</w:t>
      </w:r>
    </w:p>
    <w:p>
      <w:pPr>
        <w:pStyle w:val="20"/>
        <w:widowControl/>
        <w:numPr>
          <w:ilvl w:val="0"/>
          <w:numId w:val="1"/>
        </w:numPr>
        <w:tabs>
          <w:tab w:val="right" w:pos="8844"/>
        </w:tabs>
        <w:jc w:val="left"/>
        <w:rPr>
          <w:rFonts w:hint="eastAsia"/>
          <w:color w:val="auto"/>
          <w:highlight w:val="none"/>
        </w:rPr>
      </w:pPr>
      <w:r>
        <w:rPr>
          <w:rFonts w:hint="eastAsia"/>
          <w:color w:val="auto"/>
          <w:highlight w:val="none"/>
        </w:rPr>
        <w:t>响应文件格式要求</w:t>
      </w:r>
      <w:bookmarkStart w:id="1" w:name="_Toc1711"/>
      <w:bookmarkStart w:id="2" w:name="_Toc18145"/>
      <w:bookmarkStart w:id="3" w:name="_Toc26148"/>
      <w:bookmarkStart w:id="4" w:name="_Toc17696"/>
    </w:p>
    <w:p>
      <w:pPr>
        <w:rPr>
          <w:color w:val="auto"/>
          <w:highlight w:val="none"/>
        </w:rPr>
      </w:pPr>
      <w:r>
        <w:rPr>
          <w:color w:val="auto"/>
          <w:highlight w:val="none"/>
        </w:rPr>
        <w:br w:type="page"/>
      </w:r>
    </w:p>
    <w:p>
      <w:pPr>
        <w:pStyle w:val="5"/>
        <w:rPr>
          <w:color w:val="auto"/>
          <w:highlight w:val="none"/>
        </w:rPr>
        <w:sectPr>
          <w:footerReference r:id="rId3" w:type="default"/>
          <w:pgSz w:w="11907" w:h="16840"/>
          <w:pgMar w:top="1701" w:right="1701" w:bottom="1701" w:left="1701" w:header="851" w:footer="992" w:gutter="0"/>
          <w:pgNumType w:fmt="decimal" w:start="1"/>
          <w:cols w:space="720" w:num="1"/>
          <w:docGrid w:type="linesAndChars" w:linePitch="381" w:charSpace="0"/>
        </w:sectPr>
      </w:pPr>
    </w:p>
    <w:bookmarkEnd w:id="1"/>
    <w:bookmarkEnd w:id="2"/>
    <w:bookmarkEnd w:id="3"/>
    <w:bookmarkEnd w:id="4"/>
    <w:p>
      <w:pPr>
        <w:widowControl/>
        <w:adjustRightInd w:val="0"/>
        <w:snapToGrid w:val="0"/>
        <w:spacing w:after="200"/>
        <w:jc w:val="left"/>
        <w:rPr>
          <w:rFonts w:ascii="仿宋_GB2312" w:hAnsi="仿宋_GB2312" w:eastAsia="仿宋_GB2312" w:cs="仿宋_GB2312"/>
          <w:color w:val="auto"/>
          <w:kern w:val="0"/>
          <w:sz w:val="28"/>
          <w:szCs w:val="28"/>
          <w:highlight w:val="none"/>
          <w:lang w:val="en-US" w:eastAsia="zh-CN" w:bidi="ar-SA"/>
        </w:rPr>
      </w:pPr>
      <w:bookmarkStart w:id="5" w:name="_Toc31938"/>
      <w:bookmarkStart w:id="6" w:name="_Toc19609"/>
      <w:bookmarkStart w:id="7" w:name="_Toc17801"/>
      <w:bookmarkStart w:id="8" w:name="_Toc11322"/>
      <w:bookmarkStart w:id="9" w:name="_Toc4275"/>
      <w:bookmarkStart w:id="10" w:name="_Toc1669"/>
      <w:bookmarkStart w:id="11" w:name="_Toc7519"/>
    </w:p>
    <w:p>
      <w:pPr>
        <w:widowControl/>
        <w:adjustRightInd w:val="0"/>
        <w:snapToGrid w:val="0"/>
        <w:spacing w:after="200"/>
        <w:jc w:val="left"/>
        <w:rPr>
          <w:rFonts w:ascii="仿宋_GB2312" w:hAnsi="仿宋_GB2312" w:eastAsia="仿宋_GB2312" w:cs="仿宋_GB2312"/>
          <w:color w:val="auto"/>
          <w:kern w:val="0"/>
          <w:sz w:val="28"/>
          <w:szCs w:val="28"/>
          <w:highlight w:val="none"/>
          <w:lang w:val="en-US" w:eastAsia="zh-CN" w:bidi="ar-SA"/>
        </w:rPr>
      </w:pPr>
    </w:p>
    <w:p>
      <w:pPr>
        <w:widowControl/>
        <w:adjustRightInd w:val="0"/>
        <w:snapToGrid w:val="0"/>
        <w:spacing w:after="200"/>
        <w:jc w:val="left"/>
        <w:rPr>
          <w:rFonts w:ascii="仿宋_GB2312" w:hAnsi="仿宋_GB2312" w:eastAsia="仿宋_GB2312" w:cs="仿宋_GB2312"/>
          <w:color w:val="auto"/>
          <w:kern w:val="0"/>
          <w:sz w:val="28"/>
          <w:szCs w:val="28"/>
          <w:highlight w:val="none"/>
          <w:lang w:val="en-US" w:eastAsia="zh-CN" w:bidi="ar-SA"/>
        </w:rPr>
      </w:pPr>
    </w:p>
    <w:p>
      <w:pPr>
        <w:widowControl w:val="0"/>
        <w:jc w:val="both"/>
        <w:rPr>
          <w:rFonts w:hint="eastAsia" w:ascii="仿宋_GB2312" w:hAnsi="仿宋_GB2312" w:eastAsia="仿宋_GB2312" w:cs="仿宋_GB2312"/>
          <w:color w:val="auto"/>
          <w:sz w:val="28"/>
          <w:szCs w:val="28"/>
          <w:highlight w:val="none"/>
        </w:rPr>
      </w:pPr>
    </w:p>
    <w:p>
      <w:pPr>
        <w:widowControl w:val="0"/>
        <w:pBdr>
          <w:bottom w:val="none" w:color="auto" w:sz="0" w:space="0"/>
        </w:pBdr>
        <w:jc w:val="both"/>
        <w:rPr>
          <w:rFonts w:hint="eastAsia" w:ascii="仿宋_GB2312" w:hAnsi="仿宋_GB2312" w:eastAsia="仿宋_GB2312" w:cs="仿宋_GB2312"/>
          <w:color w:val="auto"/>
          <w:sz w:val="28"/>
          <w:szCs w:val="28"/>
          <w:highlight w:val="none"/>
        </w:rPr>
      </w:pPr>
    </w:p>
    <w:p>
      <w:pPr>
        <w:widowControl w:val="0"/>
        <w:pBdr>
          <w:top w:val="double" w:color="auto" w:sz="4" w:space="0"/>
          <w:bottom w:val="double" w:color="auto" w:sz="4" w:space="0"/>
        </w:pBdr>
        <w:jc w:val="center"/>
        <w:rPr>
          <w:rFonts w:hint="default" w:ascii="仿宋_GB2312" w:hAnsi="仿宋_GB2312" w:eastAsia="仿宋_GB2312" w:cs="仿宋_GB2312"/>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第一章</w:t>
      </w:r>
    </w:p>
    <w:p>
      <w:pPr>
        <w:widowControl w:val="0"/>
        <w:jc w:val="both"/>
        <w:rPr>
          <w:rFonts w:hint="eastAsia" w:ascii="仿宋_GB2312" w:hAnsi="仿宋_GB2312" w:eastAsia="仿宋_GB2312" w:cs="仿宋_GB2312"/>
          <w:color w:val="auto"/>
          <w:sz w:val="28"/>
          <w:szCs w:val="28"/>
          <w:highlight w:val="none"/>
        </w:rPr>
      </w:pPr>
    </w:p>
    <w:bookmarkEnd w:id="5"/>
    <w:bookmarkEnd w:id="6"/>
    <w:bookmarkEnd w:id="7"/>
    <w:bookmarkEnd w:id="8"/>
    <w:bookmarkEnd w:id="9"/>
    <w:bookmarkEnd w:id="10"/>
    <w:bookmarkEnd w:id="11"/>
    <w:p>
      <w:pPr>
        <w:keepNext/>
        <w:keepLines/>
        <w:widowControl w:val="0"/>
        <w:spacing w:before="340" w:after="330" w:line="578" w:lineRule="auto"/>
        <w:jc w:val="center"/>
        <w:outlineLvl w:val="0"/>
        <w:rPr>
          <w:rFonts w:eastAsia="方正小标宋简体" w:asciiTheme="minorHAnsi" w:hAnsiTheme="minorHAnsi" w:cstheme="minorBidi"/>
          <w:bCs/>
          <w:color w:val="auto"/>
          <w:kern w:val="44"/>
          <w:sz w:val="44"/>
          <w:szCs w:val="44"/>
          <w:highlight w:val="none"/>
          <w:lang w:val="en-US" w:eastAsia="zh-CN" w:bidi="ar-SA"/>
        </w:rPr>
      </w:pPr>
      <w:r>
        <w:rPr>
          <w:rFonts w:hint="eastAsia" w:eastAsia="方正小标宋简体" w:asciiTheme="minorHAnsi" w:hAnsiTheme="minorHAnsi" w:cstheme="minorBidi"/>
          <w:bCs/>
          <w:color w:val="auto"/>
          <w:kern w:val="44"/>
          <w:sz w:val="44"/>
          <w:szCs w:val="44"/>
          <w:highlight w:val="none"/>
          <w:lang w:val="en-US" w:eastAsia="zh-CN" w:bidi="ar-SA"/>
        </w:rPr>
        <w:t>采购公告（采购邀请书）</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adjustRightInd/>
        <w:snapToGrid/>
        <w:spacing w:before="0" w:beforeLines="-2147483648" w:after="0" w:afterLines="-2147483648" w:line="240" w:lineRule="auto"/>
        <w:rPr>
          <w:color w:val="auto"/>
          <w:sz w:val="24"/>
          <w:szCs w:val="28"/>
          <w:highlight w:val="none"/>
        </w:rPr>
      </w:pPr>
      <w:r>
        <w:rPr>
          <w:rFonts w:hint="eastAsia"/>
          <w:color w:val="auto"/>
          <w:sz w:val="24"/>
          <w:szCs w:val="28"/>
          <w:highlight w:val="none"/>
        </w:rPr>
        <w:t>适用于纸质评审的公开采购方式</w:t>
      </w:r>
    </w:p>
    <w:p>
      <w:pPr>
        <w:rPr>
          <w:color w:val="auto"/>
          <w:highlight w:val="none"/>
        </w:rPr>
      </w:pPr>
      <w:r>
        <w:rPr>
          <w:color w:val="auto"/>
          <w:highlight w:val="none"/>
        </w:rPr>
        <w:br w:type="page"/>
      </w:r>
    </w:p>
    <w:p>
      <w:pPr>
        <w:pStyle w:val="2"/>
        <w:rPr>
          <w:rFonts w:hint="eastAsia" w:ascii="方正小标宋简体" w:hAnsi="方正小标宋简体" w:eastAsia="方正小标宋简体" w:cs="方正小标宋简体"/>
          <w:color w:val="auto"/>
          <w:highlight w:val="none"/>
        </w:rPr>
      </w:pPr>
      <w:bookmarkStart w:id="12" w:name="_Toc21373"/>
      <w:bookmarkStart w:id="13" w:name="_Toc9680"/>
      <w:r>
        <w:rPr>
          <w:rFonts w:hint="eastAsia" w:ascii="方正小标宋简体" w:hAnsi="方正小标宋简体" w:eastAsia="方正小标宋简体" w:cs="方正小标宋简体"/>
          <w:color w:val="auto"/>
          <w:highlight w:val="none"/>
        </w:rPr>
        <w:t>采购公告（采购邀请书）</w:t>
      </w:r>
    </w:p>
    <w:bookmarkEnd w:id="12"/>
    <w:bookmarkEnd w:id="13"/>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color w:val="auto"/>
          <w:sz w:val="24"/>
          <w:szCs w:val="28"/>
          <w:highlight w:val="none"/>
          <w:u w:val="single"/>
        </w:rPr>
      </w:pPr>
      <w:r>
        <w:rPr>
          <w:rFonts w:hint="eastAsia" w:ascii="仿宋_GB2312" w:hAnsi="仿宋_GB2312" w:eastAsia="仿宋_GB2312" w:cs="仿宋_GB2312"/>
          <w:color w:val="auto"/>
          <w:sz w:val="28"/>
          <w:szCs w:val="32"/>
          <w:highlight w:val="none"/>
          <w:u w:val="single"/>
        </w:rPr>
        <w:t>广州市净水有限公司生物膜电流对水体生物毒性的响应规律及其调控技术研究</w:t>
      </w:r>
      <w:r>
        <w:rPr>
          <w:rFonts w:hint="eastAsia" w:ascii="仿宋_GB2312" w:hAnsi="仿宋_GB2312" w:eastAsia="仿宋_GB2312" w:cs="仿宋_GB2312"/>
          <w:color w:val="auto"/>
          <w:sz w:val="28"/>
          <w:szCs w:val="32"/>
          <w:highlight w:val="none"/>
        </w:rPr>
        <w:t xml:space="preserve">已具备采购条件，现邀请合格单位参加本□施工  □货物 </w:t>
      </w:r>
      <w:r>
        <w:rPr>
          <w:rFonts w:hint="eastAsia" w:ascii="仿宋_GB2312" w:hAnsi="仿宋_GB2312" w:eastAsia="仿宋_GB2312" w:cs="仿宋_GB2312"/>
          <w:color w:val="auto"/>
          <w:sz w:val="28"/>
          <w:szCs w:val="32"/>
          <w:highlight w:val="none"/>
        </w:rPr>
        <w:sym w:font="Wingdings 2" w:char="0052"/>
      </w:r>
      <w:r>
        <w:rPr>
          <w:rFonts w:hint="eastAsia" w:ascii="仿宋_GB2312" w:hAnsi="仿宋_GB2312" w:eastAsia="仿宋_GB2312" w:cs="仿宋_GB2312"/>
          <w:color w:val="auto"/>
          <w:sz w:val="28"/>
          <w:szCs w:val="32"/>
          <w:highlight w:val="none"/>
        </w:rPr>
        <w:t>服务项目采购活动，采用</w:t>
      </w:r>
      <w:r>
        <w:rPr>
          <w:rFonts w:hint="eastAsia" w:ascii="仿宋_GB2312" w:hAnsi="仿宋_GB2312" w:eastAsia="仿宋_GB2312" w:cs="仿宋_GB2312"/>
          <w:color w:val="auto"/>
          <w:sz w:val="28"/>
          <w:szCs w:val="32"/>
          <w:highlight w:val="none"/>
          <w:u w:val="single"/>
        </w:rPr>
        <w:sym w:font="Wingdings 2" w:char="00A3"/>
      </w:r>
      <w:r>
        <w:rPr>
          <w:rFonts w:hint="eastAsia" w:ascii="仿宋_GB2312" w:hAnsi="仿宋_GB2312" w:eastAsia="仿宋_GB2312" w:cs="仿宋_GB2312"/>
          <w:color w:val="auto"/>
          <w:sz w:val="28"/>
          <w:szCs w:val="32"/>
          <w:highlight w:val="none"/>
          <w:u w:val="single"/>
        </w:rPr>
        <w:t xml:space="preserve">邀请采购 </w:t>
      </w:r>
      <w:r>
        <w:rPr>
          <w:rFonts w:hint="eastAsia" w:ascii="仿宋_GB2312" w:hAnsi="仿宋_GB2312" w:eastAsia="仿宋_GB2312" w:cs="仿宋_GB2312"/>
          <w:color w:val="auto"/>
          <w:sz w:val="28"/>
          <w:szCs w:val="32"/>
          <w:highlight w:val="none"/>
          <w:u w:val="single"/>
        </w:rPr>
        <w:sym w:font="Wingdings 2" w:char="0052"/>
      </w:r>
      <w:r>
        <w:rPr>
          <w:rFonts w:hint="eastAsia" w:ascii="仿宋_GB2312" w:hAnsi="仿宋_GB2312" w:eastAsia="仿宋_GB2312" w:cs="仿宋_GB2312"/>
          <w:color w:val="auto"/>
          <w:sz w:val="28"/>
          <w:szCs w:val="32"/>
          <w:highlight w:val="none"/>
          <w:u w:val="single"/>
        </w:rPr>
        <w:t>公开采购</w:t>
      </w:r>
      <w:r>
        <w:rPr>
          <w:rFonts w:hint="eastAsia" w:ascii="仿宋_GB2312" w:hAnsi="仿宋_GB2312" w:eastAsia="仿宋_GB2312" w:cs="仿宋_GB2312"/>
          <w:color w:val="auto"/>
          <w:sz w:val="28"/>
          <w:szCs w:val="32"/>
          <w:highlight w:val="none"/>
        </w:rPr>
        <w:t>的方式邀请合格供应商参加本项目采购活动。</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1.采购项目简介</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1.1采购项目名称：</w:t>
      </w:r>
      <w:r>
        <w:rPr>
          <w:rFonts w:hint="eastAsia" w:ascii="仿宋_GB2312" w:hAnsi="仿宋_GB2312" w:eastAsia="仿宋_GB2312" w:cs="仿宋_GB2312"/>
          <w:color w:val="auto"/>
          <w:sz w:val="28"/>
          <w:szCs w:val="28"/>
          <w:highlight w:val="none"/>
          <w:u w:val="single"/>
        </w:rPr>
        <w:t>广州市净水有限公司生物膜电流对水体生物毒性的响应规律及其调控技术研究</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1.2项目编号：</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XJ-20240704-1</w:t>
      </w:r>
      <w:r>
        <w:rPr>
          <w:rFonts w:hint="eastAsia" w:ascii="仿宋_GB2312" w:hAnsi="仿宋_GB2312" w:eastAsia="仿宋_GB2312" w:cs="仿宋_GB2312"/>
          <w:color w:val="auto"/>
          <w:sz w:val="28"/>
          <w:szCs w:val="28"/>
          <w:highlight w:val="none"/>
          <w:u w:val="single"/>
        </w:rPr>
        <w:t xml:space="preserve"> </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1.3资金来源：</w:t>
      </w:r>
      <w:r>
        <w:rPr>
          <w:rFonts w:hint="eastAsia" w:ascii="仿宋_GB2312" w:hAnsi="仿宋_GB2312" w:eastAsia="仿宋_GB2312" w:cs="仿宋_GB2312"/>
          <w:color w:val="auto"/>
          <w:sz w:val="28"/>
          <w:szCs w:val="28"/>
          <w:highlight w:val="none"/>
          <w:u w:val="single"/>
        </w:rPr>
        <w:t xml:space="preserve"> 自有资金 </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1.4最高限价（元）：</w:t>
      </w:r>
      <w:r>
        <w:rPr>
          <w:rFonts w:hint="eastAsia" w:ascii="仿宋_GB2312" w:hAnsi="仿宋_GB2312" w:eastAsia="仿宋_GB2312" w:cs="仿宋_GB2312"/>
          <w:color w:val="auto"/>
          <w:sz w:val="28"/>
          <w:szCs w:val="28"/>
          <w:highlight w:val="none"/>
          <w:u w:val="single"/>
        </w:rPr>
        <w:t>298</w:t>
      </w:r>
      <w:r>
        <w:rPr>
          <w:rFonts w:hint="eastAsia" w:ascii="仿宋_GB2312" w:hAnsi="仿宋_GB2312" w:eastAsia="仿宋_GB2312" w:cs="仿宋_GB2312"/>
          <w:color w:val="auto"/>
          <w:sz w:val="28"/>
          <w:szCs w:val="28"/>
          <w:highlight w:val="none"/>
          <w:u w:val="single"/>
          <w:lang w:val="en-US" w:eastAsia="zh-CN"/>
        </w:rPr>
        <w:t>,</w:t>
      </w:r>
      <w:r>
        <w:rPr>
          <w:rFonts w:hint="eastAsia" w:ascii="仿宋_GB2312" w:hAnsi="仿宋_GB2312" w:eastAsia="仿宋_GB2312" w:cs="仿宋_GB2312"/>
          <w:color w:val="auto"/>
          <w:sz w:val="28"/>
          <w:szCs w:val="28"/>
          <w:highlight w:val="none"/>
          <w:u w:val="single"/>
        </w:rPr>
        <w:t>000</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bCs/>
          <w:color w:val="auto"/>
          <w:sz w:val="28"/>
          <w:szCs w:val="28"/>
          <w:highlight w:val="none"/>
          <w:lang w:val="zh-CN"/>
        </w:rPr>
        <w:t>元。</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1.5标段划分：</w:t>
      </w:r>
      <w:r>
        <w:rPr>
          <w:rFonts w:hint="eastAsia" w:ascii="仿宋_GB2312" w:hAnsi="仿宋_GB2312" w:eastAsia="仿宋_GB2312" w:cs="仿宋_GB2312"/>
          <w:color w:val="auto"/>
          <w:sz w:val="28"/>
          <w:szCs w:val="28"/>
          <w:highlight w:val="none"/>
          <w:u w:val="single"/>
        </w:rPr>
        <w:t xml:space="preserve"> / </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2.采购内容和范围</w:t>
      </w:r>
    </w:p>
    <w:p>
      <w:pPr>
        <w:spacing w:line="600" w:lineRule="exac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2.1采购内容和范围：</w:t>
      </w:r>
      <w:r>
        <w:rPr>
          <w:rFonts w:hint="eastAsia" w:ascii="仿宋_GB2312" w:hAnsi="仿宋_GB2312" w:eastAsia="仿宋_GB2312" w:cs="仿宋_GB2312"/>
          <w:color w:val="auto"/>
          <w:sz w:val="28"/>
          <w:szCs w:val="28"/>
          <w:highlight w:val="none"/>
          <w:u w:val="single"/>
        </w:rPr>
        <w:t>本项目需到净水公司指定净水厂内进行</w:t>
      </w:r>
      <w:bookmarkStart w:id="14" w:name="_Hlk155771121"/>
      <w:r>
        <w:rPr>
          <w:rFonts w:hint="eastAsia" w:ascii="仿宋_GB2312" w:hAnsi="仿宋_GB2312" w:eastAsia="仿宋_GB2312" w:cs="仿宋_GB2312"/>
          <w:color w:val="auto"/>
          <w:sz w:val="28"/>
          <w:szCs w:val="28"/>
          <w:highlight w:val="none"/>
          <w:u w:val="single"/>
        </w:rPr>
        <w:t>采样、检测</w:t>
      </w:r>
      <w:bookmarkEnd w:id="14"/>
      <w:r>
        <w:rPr>
          <w:rFonts w:hint="eastAsia" w:ascii="仿宋_GB2312" w:hAnsi="仿宋_GB2312" w:eastAsia="仿宋_GB2312" w:cs="仿宋_GB2312"/>
          <w:color w:val="auto"/>
          <w:sz w:val="28"/>
          <w:szCs w:val="28"/>
          <w:highlight w:val="none"/>
          <w:u w:val="single"/>
        </w:rPr>
        <w:t>分析、研究，并基于指定净水厂的功能微生物菌群完成</w:t>
      </w:r>
      <w:r>
        <w:rPr>
          <w:rFonts w:hint="eastAsia" w:ascii="仿宋_GB2312" w:hAnsi="仿宋_GB2312" w:eastAsia="仿宋_GB2312" w:cs="仿宋_GB2312"/>
          <w:color w:val="auto"/>
          <w:sz w:val="28"/>
          <w:szCs w:val="28"/>
          <w:highlight w:val="none"/>
          <w:u w:val="single"/>
          <w:lang w:val="en-US" w:eastAsia="zh-CN"/>
        </w:rPr>
        <w:t>指定</w:t>
      </w:r>
      <w:r>
        <w:rPr>
          <w:rFonts w:hint="eastAsia" w:ascii="仿宋_GB2312" w:hAnsi="仿宋_GB2312" w:eastAsia="仿宋_GB2312" w:cs="仿宋_GB2312"/>
          <w:color w:val="auto"/>
          <w:sz w:val="28"/>
          <w:szCs w:val="28"/>
          <w:highlight w:val="none"/>
          <w:u w:val="single"/>
        </w:rPr>
        <w:t>研究任务内容，并编制研究报告，形成技术体系。</w:t>
      </w:r>
      <w:r>
        <w:rPr>
          <w:rFonts w:hint="eastAsia" w:ascii="仿宋_GB2312" w:hAnsi="仿宋_GB2312" w:eastAsia="仿宋_GB2312" w:cs="仿宋_GB2312"/>
          <w:color w:val="auto"/>
          <w:sz w:val="28"/>
          <w:szCs w:val="28"/>
          <w:highlight w:val="none"/>
          <w:u w:val="single"/>
          <w:lang w:val="en-US" w:eastAsia="zh-CN"/>
        </w:rPr>
        <w:t>具体研究内容见第五章 采购内容。</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2.2项目工期：□计划工期   □交货期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服务期为</w:t>
      </w:r>
      <w:r>
        <w:rPr>
          <w:rFonts w:hint="eastAsia" w:ascii="仿宋_GB2312" w:hAnsi="仿宋_GB2312" w:eastAsia="仿宋_GB2312" w:cs="仿宋_GB2312"/>
          <w:color w:val="auto"/>
          <w:sz w:val="28"/>
          <w:szCs w:val="28"/>
          <w:highlight w:val="none"/>
          <w:u w:val="single"/>
        </w:rPr>
        <w:t xml:space="preserve">自合同生效之日起1年或合同总额用完为止，以先到者为准。 </w:t>
      </w:r>
      <w:r>
        <w:rPr>
          <w:rFonts w:hint="eastAsia" w:ascii="仿宋_GB2312" w:hAnsi="仿宋_GB2312" w:eastAsia="仿宋_GB2312" w:cs="仿宋_GB2312"/>
          <w:color w:val="auto"/>
          <w:sz w:val="28"/>
          <w:szCs w:val="28"/>
          <w:highlight w:val="none"/>
        </w:rPr>
        <w:t xml:space="preserve"> </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 xml:space="preserve">2.3地点：□建设地点  □交货地点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服务地点位于</w:t>
      </w:r>
      <w:r>
        <w:rPr>
          <w:rFonts w:hint="eastAsia" w:ascii="仿宋_GB2312" w:hAnsi="仿宋_GB2312" w:eastAsia="仿宋_GB2312" w:cs="仿宋_GB2312"/>
          <w:color w:val="auto"/>
          <w:sz w:val="28"/>
          <w:szCs w:val="28"/>
          <w:highlight w:val="none"/>
          <w:u w:val="single"/>
        </w:rPr>
        <w:t>广州市净水有限公司指定的净水厂。</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2.4质量要求：□施工质量要求   □货物质量标准或主要技术性能指标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服务质量要求或服务标准如下：</w:t>
      </w:r>
      <w:r>
        <w:rPr>
          <w:rFonts w:hint="eastAsia" w:ascii="仿宋_GB2312" w:hAnsi="仿宋_GB2312" w:eastAsia="仿宋_GB2312" w:cs="仿宋_GB2312"/>
          <w:color w:val="auto"/>
          <w:sz w:val="28"/>
          <w:szCs w:val="28"/>
          <w:highlight w:val="none"/>
          <w:u w:val="single"/>
        </w:rPr>
        <w:t xml:space="preserve">详见合同附件  </w:t>
      </w:r>
      <w:r>
        <w:rPr>
          <w:rFonts w:hint="eastAsia" w:ascii="仿宋_GB2312" w:hAnsi="仿宋_GB2312" w:eastAsia="仿宋_GB2312" w:cs="仿宋_GB2312"/>
          <w:color w:val="auto"/>
          <w:sz w:val="28"/>
          <w:szCs w:val="28"/>
          <w:highlight w:val="none"/>
        </w:rPr>
        <w:t xml:space="preserve"> </w:t>
      </w:r>
    </w:p>
    <w:p>
      <w:pPr>
        <w:keepNext w:val="0"/>
        <w:keepLines w:val="0"/>
        <w:pageBreakBefore w:val="0"/>
        <w:widowControl/>
        <w:kinsoku/>
        <w:wordWrap/>
        <w:overflowPunct/>
        <w:topLinePunct w:val="0"/>
        <w:autoSpaceDE/>
        <w:autoSpaceDN/>
        <w:bidi w:val="0"/>
        <w:adjustRightInd/>
        <w:snapToGrid/>
        <w:spacing w:line="600" w:lineRule="exact"/>
        <w:ind w:left="0" w:right="0" w:rightChars="0" w:firstLine="0" w:firstLineChars="0"/>
        <w:textAlignment w:val="auto"/>
        <w:rPr>
          <w:rFonts w:ascii="仿宋_GB2312" w:eastAsia="仿宋_GB2312"/>
          <w:color w:val="auto"/>
          <w:highlight w:val="none"/>
        </w:rPr>
      </w:pPr>
      <w:r>
        <w:rPr>
          <w:rFonts w:hint="eastAsia" w:ascii="仿宋_GB2312" w:hAnsi="仿宋_GB2312" w:eastAsia="仿宋_GB2312" w:cs="仿宋_GB2312"/>
          <w:color w:val="auto"/>
          <w:sz w:val="28"/>
          <w:szCs w:val="28"/>
          <w:highlight w:val="none"/>
        </w:rPr>
        <w:t>2.5其他：</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安全目标如下：</w:t>
      </w:r>
      <w:r>
        <w:rPr>
          <w:rFonts w:hint="eastAsia" w:ascii="仿宋_GB2312" w:hAnsi="仿宋_GB2312" w:eastAsia="仿宋_GB2312" w:cs="仿宋_GB2312"/>
          <w:color w:val="auto"/>
          <w:sz w:val="28"/>
          <w:szCs w:val="28"/>
          <w:highlight w:val="none"/>
          <w:u w:val="single"/>
        </w:rPr>
        <w:t xml:space="preserve">  详见合同附件</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3.供应商资格要求（须提供复印件并加盖单位公章）</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3.1参与本项目采购活动的</w:t>
      </w:r>
      <w:bookmarkStart w:id="15" w:name="_Hlk155770890"/>
      <w:r>
        <w:rPr>
          <w:rFonts w:hint="eastAsia" w:ascii="仿宋_GB2312" w:hAnsi="仿宋_GB2312" w:eastAsia="仿宋_GB2312" w:cs="仿宋_GB2312"/>
          <w:color w:val="auto"/>
          <w:sz w:val="28"/>
          <w:szCs w:val="28"/>
          <w:highlight w:val="none"/>
        </w:rPr>
        <w:t>供应商</w:t>
      </w:r>
      <w:bookmarkEnd w:id="15"/>
      <w:r>
        <w:rPr>
          <w:rFonts w:hint="eastAsia" w:ascii="仿宋_GB2312" w:hAnsi="仿宋_GB2312" w:eastAsia="仿宋_GB2312" w:cs="仿宋_GB2312"/>
          <w:color w:val="auto"/>
          <w:sz w:val="28"/>
          <w:szCs w:val="28"/>
          <w:highlight w:val="none"/>
        </w:rPr>
        <w:t>应当依法设立且满足如下要求：</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2019年1月1日至今</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rPr>
        <w:t>供应商最少承担过一项生态环境或微生物领域的技术合同，或牵头承担过一项生态环境或微生物领域的来源于区、县级</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或</w:t>
      </w:r>
      <w:r>
        <w:rPr>
          <w:rFonts w:hint="eastAsia" w:ascii="仿宋_GB2312" w:eastAsia="仿宋_GB2312"/>
          <w:color w:val="auto"/>
          <w:sz w:val="28"/>
          <w:szCs w:val="28"/>
          <w:highlight w:val="none"/>
        </w:rPr>
        <w:t>以上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政府部门发布的科技项目的业绩。业绩需提供技术合同，或科技项目的任务书，业绩时间以合同/任务书签订时间为准。（提供合同复印件证明，包括但不限于项目名称、金额及实施内容、合同盖章、签订日期，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环境/生物类中级及以上职称或环境/生物类专业博士研究生学历 </w:t>
      </w:r>
      <w:r>
        <w:rPr>
          <w:rFonts w:hint="eastAsia" w:ascii="仿宋_GB2312" w:eastAsia="仿宋_GB2312"/>
          <w:color w:val="auto"/>
          <w:sz w:val="28"/>
          <w:szCs w:val="28"/>
          <w:highlight w:val="none"/>
        </w:rPr>
        <w:t>资格条件。</w:t>
      </w:r>
    </w:p>
    <w:p>
      <w:pPr>
        <w:pStyle w:val="25"/>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p>
    <w:p>
      <w:pPr>
        <w:pStyle w:val="25"/>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u w:val="single"/>
          <w:lang w:val="en-US" w:eastAsia="zh-CN"/>
        </w:rPr>
        <w:t>提供</w:t>
      </w:r>
      <w:r>
        <w:rPr>
          <w:rFonts w:hint="eastAsia" w:ascii="仿宋_GB2312" w:eastAsia="仿宋_GB2312"/>
          <w:color w:val="auto"/>
          <w:sz w:val="28"/>
          <w:szCs w:val="28"/>
          <w:highlight w:val="none"/>
          <w:u w:val="single"/>
        </w:rPr>
        <w:t>《广州市净水有限公司生物膜电流对水体生物毒性的响应规律及其调控技术研究计划》。研究计划需结合“第五章 采购需求 第一部分 项目概况”内容进行编制</w:t>
      </w:r>
      <w:r>
        <w:rPr>
          <w:rFonts w:hint="eastAsia" w:ascii="仿宋_GB2312" w:eastAsia="仿宋_GB2312"/>
          <w:color w:val="auto"/>
          <w:sz w:val="28"/>
          <w:szCs w:val="28"/>
          <w:highlight w:val="none"/>
          <w:u w:val="single"/>
          <w:lang w:val="en-US" w:eastAsia="zh-CN"/>
        </w:rPr>
        <w:t>且覆盖项目概况所有需求</w:t>
      </w:r>
      <w:r>
        <w:rPr>
          <w:rFonts w:hint="eastAsia" w:ascii="仿宋_GB2312" w:eastAsia="仿宋_GB2312"/>
          <w:color w:val="auto"/>
          <w:sz w:val="28"/>
          <w:szCs w:val="28"/>
          <w:highlight w:val="none"/>
          <w:u w:val="single"/>
        </w:rPr>
        <w:t>，并加盖单位公章。</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3.2供应商在响应文件提交截止日期止不得存在下列情形之一（须出具不得存在情形承诺函）：</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none"/>
          <w:lang w:eastAsia="zh-CN"/>
        </w:rPr>
        <w:t>。</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3.3本次项目</w:t>
      </w:r>
      <w:r>
        <w:rPr>
          <w:rFonts w:hint="eastAsia" w:ascii="仿宋_GB2312" w:hAnsi="仿宋_GB2312" w:eastAsia="仿宋_GB2312" w:cs="仿宋_GB2312"/>
          <w:color w:val="auto"/>
          <w:sz w:val="28"/>
          <w:szCs w:val="28"/>
          <w:highlight w:val="none"/>
          <w:u w:val="single"/>
        </w:rPr>
        <w:t>不接受</w:t>
      </w:r>
      <w:r>
        <w:rPr>
          <w:rFonts w:hint="eastAsia" w:ascii="仿宋_GB2312" w:hAnsi="仿宋_GB2312" w:eastAsia="仿宋_GB2312" w:cs="仿宋_GB2312"/>
          <w:color w:val="auto"/>
          <w:sz w:val="28"/>
          <w:szCs w:val="28"/>
          <w:highlight w:val="none"/>
        </w:rPr>
        <w:t>联合体参加采购活动</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4.采购文件的获取</w:t>
      </w:r>
    </w:p>
    <w:p>
      <w:pPr>
        <w:keepNext w:val="0"/>
        <w:keepLines w:val="0"/>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4.1获取时间</w:t>
      </w:r>
    </w:p>
    <w:p>
      <w:pPr>
        <w:keepNext w:val="0"/>
        <w:keepLines w:val="0"/>
        <w:pageBreakBefore w:val="0"/>
        <w:widowControl/>
        <w:kinsoku/>
        <w:wordWrap/>
        <w:overflowPunct/>
        <w:topLinePunct w:val="0"/>
        <w:autoSpaceDE/>
        <w:autoSpaceDN/>
        <w:bidi w:val="0"/>
        <w:spacing w:line="600" w:lineRule="exact"/>
        <w:ind w:firstLine="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7</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7</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9</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日（北京时间）</w:t>
      </w:r>
    </w:p>
    <w:p>
      <w:pPr>
        <w:keepNext w:val="0"/>
        <w:keepLines w:val="0"/>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4.2获取方式</w:t>
      </w:r>
    </w:p>
    <w:p>
      <w:pPr>
        <w:keepNext w:val="0"/>
        <w:keepLines w:val="0"/>
        <w:pageBreakBefore w:val="0"/>
        <w:widowControl/>
        <w:kinsoku/>
        <w:wordWrap/>
        <w:overflowPunct/>
        <w:topLinePunct w:val="0"/>
        <w:autoSpaceDE/>
        <w:autoSpaceDN/>
        <w:bidi w:val="0"/>
        <w:spacing w:line="600" w:lineRule="exact"/>
        <w:ind w:firstLine="0" w:firstLine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u w:val="single"/>
        </w:rPr>
        <w:t>广州市净水有限公司门户网站</w:t>
      </w:r>
      <w:r>
        <w:rPr>
          <w:rFonts w:hint="eastAsia" w:ascii="仿宋_GB2312" w:hAnsi="仿宋_GB2312" w:eastAsia="仿宋_GB2312" w:cs="仿宋_GB2312"/>
          <w:color w:val="auto"/>
          <w:sz w:val="28"/>
          <w:szCs w:val="28"/>
          <w:highlight w:val="none"/>
        </w:rPr>
        <w:t>下载采购文件，无需报名。</w:t>
      </w:r>
    </w:p>
    <w:p>
      <w:pPr>
        <w:pStyle w:val="37"/>
        <w:numPr>
          <w:ilvl w:val="0"/>
          <w:numId w:val="0"/>
        </w:numPr>
        <w:spacing w:line="600" w:lineRule="exact"/>
        <w:rPr>
          <w:b/>
          <w:bCs/>
          <w:color w:val="auto"/>
          <w:sz w:val="32"/>
          <w:szCs w:val="32"/>
          <w:highlight w:val="none"/>
        </w:rPr>
      </w:pPr>
      <w:r>
        <w:rPr>
          <w:rFonts w:hint="eastAsia"/>
          <w:b/>
          <w:bCs/>
          <w:color w:val="auto"/>
          <w:sz w:val="32"/>
          <w:szCs w:val="32"/>
          <w:highlight w:val="none"/>
          <w:lang w:val="en-US" w:eastAsia="zh-CN"/>
        </w:rPr>
        <w:t>5.</w:t>
      </w:r>
      <w:r>
        <w:rPr>
          <w:rFonts w:hint="eastAsia"/>
          <w:b/>
          <w:bCs/>
          <w:color w:val="auto"/>
          <w:sz w:val="32"/>
          <w:szCs w:val="32"/>
          <w:highlight w:val="none"/>
        </w:rPr>
        <w:t>踏勘现场</w:t>
      </w:r>
    </w:p>
    <w:p>
      <w:pPr>
        <w:keepNext w:val="0"/>
        <w:keepLines w:val="0"/>
        <w:pageBreakBefore w:val="0"/>
        <w:widowControl/>
        <w:kinsoku/>
        <w:wordWrap/>
        <w:overflowPunct/>
        <w:topLinePunct w:val="0"/>
        <w:autoSpaceDE/>
        <w:autoSpaceDN/>
        <w:bidi w:val="0"/>
        <w:spacing w:line="600" w:lineRule="exact"/>
        <w:ind w:firstLine="0" w:firstLineChars="0"/>
        <w:textAlignment w:val="auto"/>
        <w:rPr>
          <w:rFonts w:hint="eastAsia" w:ascii="仿宋_GB2312" w:hAnsi="仿宋_GB2312" w:eastAsia="仿宋_GB2312" w:cs="仿宋_GB2312"/>
          <w:color w:val="auto"/>
          <w:sz w:val="28"/>
          <w:szCs w:val="28"/>
          <w:highlight w:val="none"/>
        </w:rPr>
      </w:pPr>
      <w:bookmarkStart w:id="16" w:name="_Hlk155865049"/>
      <w:r>
        <w:rPr>
          <w:rFonts w:hint="eastAsia" w:ascii="仿宋_GB2312" w:hAnsi="仿宋_GB2312" w:eastAsia="仿宋_GB2312" w:cs="仿宋_GB2312"/>
          <w:color w:val="auto"/>
          <w:sz w:val="28"/>
          <w:szCs w:val="28"/>
          <w:highlight w:val="none"/>
        </w:rPr>
        <w:sym w:font="Wingdings 2" w:char="0052"/>
      </w:r>
      <w:bookmarkEnd w:id="16"/>
      <w:r>
        <w:rPr>
          <w:rFonts w:hint="eastAsia" w:ascii="仿宋_GB2312" w:hAnsi="仿宋_GB2312" w:eastAsia="仿宋_GB2312" w:cs="仿宋_GB2312"/>
          <w:color w:val="auto"/>
          <w:sz w:val="28"/>
          <w:szCs w:val="28"/>
          <w:highlight w:val="none"/>
        </w:rPr>
        <w:t>不组织</w:t>
      </w:r>
    </w:p>
    <w:p>
      <w:pPr>
        <w:keepNext w:val="0"/>
        <w:keepLines w:val="0"/>
        <w:pageBreakBefore w:val="0"/>
        <w:widowControl/>
        <w:kinsoku/>
        <w:wordWrap/>
        <w:overflowPunct/>
        <w:topLinePunct w:val="0"/>
        <w:autoSpaceDE/>
        <w:autoSpaceDN/>
        <w:bidi w:val="0"/>
        <w:spacing w:line="600" w:lineRule="exact"/>
        <w:ind w:firstLine="0" w:firstLineChars="0"/>
        <w:textAlignment w:val="auto"/>
        <w:rPr>
          <w:rFonts w:hint="eastAsia"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sym w:font="Wingdings 2" w:char="00A3"/>
      </w:r>
      <w:r>
        <w:rPr>
          <w:rFonts w:hint="eastAsia" w:ascii="仿宋_GB2312" w:hAnsi="仿宋_GB2312" w:eastAsia="仿宋_GB2312" w:cs="仿宋_GB2312"/>
          <w:color w:val="auto"/>
          <w:sz w:val="28"/>
          <w:szCs w:val="28"/>
          <w:highlight w:val="none"/>
        </w:rPr>
        <w:t>组织：供应商可</w:t>
      </w:r>
      <w:r>
        <w:rPr>
          <w:rFonts w:hint="eastAsia" w:ascii="仿宋_GB2312" w:hAnsi="仿宋_GB2312" w:eastAsia="仿宋_GB2312" w:cs="仿宋_GB2312"/>
          <w:color w:val="auto"/>
          <w:sz w:val="28"/>
          <w:szCs w:val="28"/>
          <w:highlight w:val="none"/>
          <w:lang w:val="zh-CN"/>
        </w:rPr>
        <w:t>自行</w:t>
      </w:r>
      <w:r>
        <w:rPr>
          <w:rFonts w:hint="eastAsia" w:ascii="仿宋_GB2312" w:hAnsi="仿宋_GB2312" w:eastAsia="仿宋_GB2312" w:cs="仿宋_GB2312"/>
          <w:color w:val="auto"/>
          <w:sz w:val="28"/>
          <w:szCs w:val="28"/>
          <w:highlight w:val="none"/>
        </w:rPr>
        <w:t>选择是否前往现场踏勘</w:t>
      </w:r>
      <w:r>
        <w:rPr>
          <w:rFonts w:hint="eastAsia" w:ascii="仿宋_GB2312" w:hAnsi="仿宋_GB2312" w:eastAsia="仿宋_GB2312" w:cs="仿宋_GB2312"/>
          <w:color w:val="auto"/>
          <w:sz w:val="28"/>
          <w:szCs w:val="28"/>
          <w:highlight w:val="none"/>
          <w:lang w:val="zh-CN"/>
        </w:rPr>
        <w:t>，</w:t>
      </w:r>
      <w:r>
        <w:rPr>
          <w:rFonts w:hint="eastAsia" w:ascii="仿宋_GB2312" w:hAnsi="仿宋_GB2312" w:eastAsia="仿宋_GB2312" w:cs="仿宋_GB2312"/>
          <w:color w:val="auto"/>
          <w:sz w:val="28"/>
          <w:szCs w:val="28"/>
          <w:highlight w:val="none"/>
        </w:rPr>
        <w:t>若前往现场踏勘须在规定时间内到达集中地点，逾期不再接待</w:t>
      </w:r>
      <w:r>
        <w:rPr>
          <w:rFonts w:hint="eastAsia" w:ascii="仿宋_GB2312" w:hAnsi="仿宋_GB2312" w:eastAsia="仿宋_GB2312" w:cs="仿宋_GB2312"/>
          <w:color w:val="auto"/>
          <w:sz w:val="28"/>
          <w:szCs w:val="28"/>
          <w:highlight w:val="none"/>
          <w:lang w:val="zh-CN"/>
        </w:rPr>
        <w:t>。</w:t>
      </w:r>
    </w:p>
    <w:p>
      <w:pPr>
        <w:pStyle w:val="37"/>
        <w:numPr>
          <w:ilvl w:val="0"/>
          <w:numId w:val="0"/>
        </w:numPr>
        <w:spacing w:line="600" w:lineRule="exact"/>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6.</w:t>
      </w:r>
      <w:r>
        <w:rPr>
          <w:rFonts w:hint="eastAsia" w:ascii="宋体" w:hAnsi="宋体" w:eastAsia="宋体" w:cs="宋体"/>
          <w:b/>
          <w:bCs/>
          <w:color w:val="auto"/>
          <w:sz w:val="32"/>
          <w:szCs w:val="32"/>
          <w:highlight w:val="none"/>
        </w:rPr>
        <w:t>响应文件的递交</w:t>
      </w:r>
    </w:p>
    <w:p>
      <w:pPr>
        <w:keepNext w:val="0"/>
        <w:keepLines w:val="0"/>
        <w:pageBreakBefore w:val="0"/>
        <w:widowControl/>
        <w:kinsoku/>
        <w:wordWrap/>
        <w:overflowPunct/>
        <w:topLinePunct w:val="0"/>
        <w:autoSpaceDE/>
        <w:autoSpaceDN/>
        <w:bidi w:val="0"/>
        <w:spacing w:line="600" w:lineRule="exact"/>
        <w:ind w:left="280" w:hanging="280" w:hanging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6.1递交响应文件集合时间：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7</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9</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30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分至</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7</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分（北京时间）。</w:t>
      </w:r>
    </w:p>
    <w:p>
      <w:pPr>
        <w:keepNext w:val="0"/>
        <w:keepLines w:val="0"/>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6.2递交响应文件截止时间：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7</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00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分前（北京时间）。</w:t>
      </w:r>
    </w:p>
    <w:p>
      <w:pPr>
        <w:keepNext w:val="0"/>
        <w:keepLines w:val="0"/>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6.3递交地址：广州市天河区临江大道501号</w:t>
      </w:r>
      <w:r>
        <w:rPr>
          <w:rFonts w:hint="eastAsia" w:ascii="仿宋_GB2312" w:hAnsi="仿宋_GB2312" w:eastAsia="仿宋_GB2312" w:cs="仿宋_GB2312"/>
          <w:color w:val="auto"/>
          <w:sz w:val="28"/>
          <w:szCs w:val="28"/>
          <w:highlight w:val="none"/>
          <w:u w:val="single"/>
        </w:rPr>
        <w:t>广州市净水有限公司6楼招标部</w:t>
      </w:r>
      <w:r>
        <w:rPr>
          <w:rFonts w:hint="eastAsia" w:ascii="仿宋_GB2312" w:hAnsi="仿宋_GB2312" w:eastAsia="仿宋_GB2312" w:cs="仿宋_GB2312"/>
          <w:color w:val="auto"/>
          <w:sz w:val="28"/>
          <w:szCs w:val="28"/>
          <w:highlight w:val="none"/>
        </w:rPr>
        <w:t>。</w:t>
      </w:r>
    </w:p>
    <w:p>
      <w:pPr>
        <w:pStyle w:val="5"/>
        <w:keepNext w:val="0"/>
        <w:keepLines w:val="0"/>
        <w:pageBreakBefore w:val="0"/>
        <w:widowControl/>
        <w:kinsoku/>
        <w:wordWrap/>
        <w:overflowPunct/>
        <w:topLinePunct w:val="0"/>
        <w:autoSpaceDE/>
        <w:autoSpaceDN/>
        <w:bidi w:val="0"/>
        <w:spacing w:after="0" w:line="6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5"/>
        <w:keepNext w:val="0"/>
        <w:keepLines w:val="0"/>
        <w:pageBreakBefore w:val="0"/>
        <w:widowControl/>
        <w:kinsoku/>
        <w:wordWrap/>
        <w:overflowPunct/>
        <w:topLinePunct w:val="0"/>
        <w:autoSpaceDE/>
        <w:autoSpaceDN/>
        <w:bidi w:val="0"/>
        <w:spacing w:after="0" w:line="6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响应文件递交预约信息填写：</w:t>
      </w:r>
    </w:p>
    <w:p>
      <w:pPr>
        <w:pStyle w:val="5"/>
        <w:keepNext w:val="0"/>
        <w:keepLines w:val="0"/>
        <w:pageBreakBefore w:val="0"/>
        <w:widowControl/>
        <w:kinsoku/>
        <w:wordWrap/>
        <w:overflowPunct/>
        <w:topLinePunct w:val="0"/>
        <w:autoSpaceDE/>
        <w:autoSpaceDN/>
        <w:bidi w:val="0"/>
        <w:spacing w:after="0" w:line="6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（1）通过“广州净水公司”微信公众号或来访时扫码进行访客预约登记。</w:t>
      </w:r>
    </w:p>
    <w:p>
      <w:pPr>
        <w:pStyle w:val="5"/>
        <w:keepNext w:val="0"/>
        <w:keepLines w:val="0"/>
        <w:pageBreakBefore w:val="0"/>
        <w:widowControl/>
        <w:kinsoku/>
        <w:wordWrap/>
        <w:overflowPunct/>
        <w:topLinePunct w:val="0"/>
        <w:autoSpaceDE/>
        <w:autoSpaceDN/>
        <w:bidi w:val="0"/>
        <w:spacing w:after="0" w:line="6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（2）“组织”选择“公司本部”，“部门”选择“招投标合同管理部”。</w:t>
      </w:r>
    </w:p>
    <w:p>
      <w:pPr>
        <w:pStyle w:val="5"/>
        <w:keepNext w:val="0"/>
        <w:keepLines w:val="0"/>
        <w:pageBreakBefore w:val="0"/>
        <w:widowControl/>
        <w:kinsoku/>
        <w:wordWrap/>
        <w:overflowPunct/>
        <w:topLinePunct w:val="0"/>
        <w:autoSpaceDE/>
        <w:autoSpaceDN/>
        <w:bidi w:val="0"/>
        <w:spacing w:after="0" w:line="6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（3）“被访人员”选择“招标部”，“手机号”：“62315524”。</w:t>
      </w:r>
    </w:p>
    <w:p>
      <w:pPr>
        <w:pStyle w:val="5"/>
        <w:keepNext w:val="0"/>
        <w:keepLines w:val="0"/>
        <w:pageBreakBefore w:val="0"/>
        <w:widowControl/>
        <w:kinsoku/>
        <w:wordWrap/>
        <w:overflowPunct/>
        <w:topLinePunct w:val="0"/>
        <w:autoSpaceDE/>
        <w:autoSpaceDN/>
        <w:bidi w:val="0"/>
        <w:spacing w:after="0" w:line="6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（4）“详细描述”：找XX，递交XX项目响应文件。</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7.其他</w:t>
      </w:r>
    </w:p>
    <w:p>
      <w:pPr>
        <w:keepNext w:val="0"/>
        <w:keepLines w:val="0"/>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7.1发布公告的其他媒介</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本项目采购公告（采购邀请书）、公告补充及修改同步在广州净水公司门户网站及阳光平台上发布。本公告在各媒体发布的文本如有不同之处，以广州净水公司门户网站为准。</w:t>
      </w:r>
    </w:p>
    <w:p>
      <w:pPr>
        <w:keepNext w:val="0"/>
        <w:keepLines w:val="0"/>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7.2响应文件递交注意事项</w:t>
      </w:r>
    </w:p>
    <w:p>
      <w:pPr>
        <w:keepNext w:val="0"/>
        <w:keepLines w:val="0"/>
        <w:pageBreakBefore w:val="0"/>
        <w:widowControl/>
        <w:kinsoku/>
        <w:wordWrap/>
        <w:overflowPunct/>
        <w:topLinePunct w:val="0"/>
        <w:autoSpaceDE/>
        <w:autoSpaceDN/>
        <w:bidi w:val="0"/>
        <w:spacing w:line="600" w:lineRule="exact"/>
        <w:ind w:firstLine="0" w:firstLine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（1）逾期送达的、未送达指定地点的响应文件，采购人将予以拒收。</w:t>
      </w:r>
    </w:p>
    <w:p>
      <w:pPr>
        <w:keepNext w:val="0"/>
        <w:keepLines w:val="0"/>
        <w:pageBreakBefore w:val="0"/>
        <w:widowControl/>
        <w:kinsoku/>
        <w:wordWrap/>
        <w:overflowPunct/>
        <w:topLinePunct w:val="0"/>
        <w:autoSpaceDE/>
        <w:autoSpaceDN/>
        <w:bidi w:val="0"/>
        <w:spacing w:line="600" w:lineRule="exact"/>
        <w:ind w:firstLine="0" w:firstLineChars="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（2）不按照采购文件要求密封的响应文件，采购人将予以拒收。</w:t>
      </w:r>
    </w:p>
    <w:p>
      <w:pPr>
        <w:keepNext w:val="0"/>
        <w:keepLines w:val="0"/>
        <w:pageBreakBefore w:val="0"/>
        <w:widowControl/>
        <w:shd w:val="clear" w:color="auto" w:fill="auto"/>
        <w:kinsoku/>
        <w:wordWrap/>
        <w:overflowPunct/>
        <w:topLinePunct w:val="0"/>
        <w:autoSpaceDE/>
        <w:autoSpaceDN/>
        <w:bidi w:val="0"/>
        <w:adjustRightInd/>
        <w:snapToGrid/>
        <w:spacing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8.异议及投诉的受理</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潜在供应商或利害关系人对本采购公告及采购文件中任何违法及不公平内容有异议的，可以在提交响应文件截止之日</w:t>
      </w:r>
      <w:r>
        <w:rPr>
          <w:rFonts w:hint="eastAsia" w:ascii="仿宋_GB2312" w:hAnsi="仿宋_GB2312" w:eastAsia="仿宋_GB2312" w:cs="仿宋_GB2312"/>
          <w:color w:val="auto"/>
          <w:sz w:val="28"/>
          <w:szCs w:val="28"/>
          <w:highlight w:val="none"/>
          <w:u w:val="single"/>
        </w:rPr>
        <w:t>2</w:t>
      </w:r>
      <w:r>
        <w:rPr>
          <w:rFonts w:hint="eastAsia" w:ascii="仿宋_GB2312" w:hAnsi="仿宋_GB2312" w:eastAsia="仿宋_GB2312" w:cs="仿宋_GB2312"/>
          <w:color w:val="auto"/>
          <w:sz w:val="28"/>
          <w:szCs w:val="28"/>
          <w:highlight w:val="none"/>
        </w:rPr>
        <w:t>个工作日前书面提出异议，并由授权人亲自递交至净水公司。如潜在响应人或其他利害关系人对采购人答复仍持有异议的，可按相关规定进行投诉。</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异议受理部门：</w:t>
      </w:r>
      <w:r>
        <w:rPr>
          <w:rFonts w:hint="eastAsia" w:ascii="仿宋_GB2312" w:hAnsi="仿宋_GB2312" w:eastAsia="仿宋_GB2312" w:cs="仿宋_GB2312"/>
          <w:color w:val="auto"/>
          <w:sz w:val="28"/>
          <w:szCs w:val="28"/>
          <w:highlight w:val="none"/>
          <w:u w:val="single"/>
        </w:rPr>
        <w:t>广州市净水有限公司招标部</w:t>
      </w:r>
      <w:r>
        <w:rPr>
          <w:rFonts w:hint="eastAsia" w:ascii="仿宋_GB2312" w:hAnsi="仿宋_GB2312" w:eastAsia="仿宋_GB2312" w:cs="仿宋_GB2312"/>
          <w:color w:val="auto"/>
          <w:sz w:val="28"/>
          <w:szCs w:val="28"/>
          <w:highlight w:val="none"/>
        </w:rPr>
        <w:t>，电话：</w:t>
      </w:r>
      <w:r>
        <w:rPr>
          <w:rFonts w:hint="eastAsia" w:ascii="仿宋_GB2312" w:hAnsi="仿宋_GB2312" w:eastAsia="仿宋_GB2312" w:cs="仿宋_GB2312"/>
          <w:color w:val="auto"/>
          <w:sz w:val="28"/>
          <w:szCs w:val="28"/>
          <w:highlight w:val="none"/>
          <w:u w:val="single"/>
        </w:rPr>
        <w:t>38890841/62315524</w:t>
      </w:r>
      <w:r>
        <w:rPr>
          <w:rFonts w:hint="eastAsia" w:ascii="仿宋_GB2312" w:hAnsi="仿宋_GB2312" w:eastAsia="仿宋_GB2312" w:cs="仿宋_GB2312"/>
          <w:color w:val="auto"/>
          <w:sz w:val="28"/>
          <w:szCs w:val="28"/>
          <w:highlight w:val="none"/>
        </w:rPr>
        <w:t>。</w:t>
      </w:r>
    </w:p>
    <w:p>
      <w:pPr>
        <w:keepNext w:val="0"/>
        <w:keepLines w:val="0"/>
        <w:pageBreakBefore w:val="0"/>
        <w:widowControl/>
        <w:shd w:val="clear" w:color="auto" w:fill="auto"/>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地址：</w:t>
      </w:r>
      <w:r>
        <w:rPr>
          <w:rFonts w:hint="eastAsia" w:ascii="仿宋_GB2312" w:hAnsi="仿宋_GB2312" w:eastAsia="仿宋_GB2312" w:cs="仿宋_GB2312"/>
          <w:color w:val="auto"/>
          <w:sz w:val="28"/>
          <w:szCs w:val="28"/>
          <w:highlight w:val="none"/>
          <w:u w:val="single"/>
        </w:rPr>
        <w:t>广州市天河区临江大道501号广州市净水有限公司</w:t>
      </w:r>
      <w:r>
        <w:rPr>
          <w:rFonts w:hint="eastAsia" w:ascii="仿宋_GB2312" w:hAnsi="仿宋_GB2312" w:eastAsia="仿宋_GB2312" w:cs="仿宋_GB2312"/>
          <w:color w:val="auto"/>
          <w:sz w:val="28"/>
          <w:szCs w:val="28"/>
          <w:highlight w:val="none"/>
        </w:rPr>
        <w:t>。</w:t>
      </w:r>
    </w:p>
    <w:p>
      <w:pPr>
        <w:keepNext w:val="0"/>
        <w:keepLines w:val="0"/>
        <w:pageBreakBefore w:val="0"/>
        <w:widowControl/>
        <w:kinsoku/>
        <w:wordWrap/>
        <w:overflowPunct/>
        <w:topLinePunct w:val="0"/>
        <w:autoSpaceDE/>
        <w:autoSpaceDN/>
        <w:bidi w:val="0"/>
        <w:adjustRightInd/>
        <w:snapToGrid/>
        <w:spacing w:before="0" w:beforeLines="-2147483648" w:afterLines="-2147483648" w:line="600" w:lineRule="exact"/>
        <w:textAlignment w:val="auto"/>
        <w:rPr>
          <w:rFonts w:hint="eastAsia" w:ascii="宋体" w:hAnsi="宋体" w:eastAsia="宋体" w:cs="宋体"/>
          <w:b/>
          <w:bCs/>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before="0" w:beforeLines="-2147483648" w:afterLines="-2147483648" w:line="600" w:lineRule="exact"/>
        <w:textAlignment w:val="auto"/>
        <w:rPr>
          <w:rFonts w:hint="eastAsia" w:ascii="宋体" w:hAnsi="宋体" w:eastAsia="宋体" w:cs="宋体"/>
          <w:b/>
          <w:bCs/>
          <w:color w:val="auto"/>
          <w:sz w:val="32"/>
          <w:szCs w:val="32"/>
          <w:highlight w:val="none"/>
        </w:rPr>
      </w:pPr>
    </w:p>
    <w:p>
      <w:pPr>
        <w:keepNext w:val="0"/>
        <w:keepLines w:val="0"/>
        <w:pageBreakBefore w:val="0"/>
        <w:widowControl/>
        <w:kinsoku/>
        <w:wordWrap/>
        <w:overflowPunct/>
        <w:topLinePunct w:val="0"/>
        <w:autoSpaceDE/>
        <w:autoSpaceDN/>
        <w:bidi w:val="0"/>
        <w:adjustRightInd/>
        <w:snapToGrid/>
        <w:spacing w:before="0" w:beforeLines="-2147483648" w:afterLines="-2147483648" w:line="600" w:lineRule="exact"/>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9.联系方式</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采购人：广州市净水有限公司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地  址：广州市天河区临江大道501号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联系人：李工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pageBreakBefore w:val="0"/>
              <w:widowControl/>
              <w:kinsoku/>
              <w:wordWrap/>
              <w:overflowPunct/>
              <w:topLinePunct w:val="0"/>
              <w:autoSpaceDE/>
              <w:autoSpaceDN/>
              <w:bidi w:val="0"/>
              <w:spacing w:line="600" w:lineRule="exac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电  话：020-38890467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keepNext w:val="0"/>
              <w:keepLines w:val="0"/>
              <w:pageBreakBefore w:val="0"/>
              <w:widowControl/>
              <w:kinsoku/>
              <w:wordWrap/>
              <w:overflowPunct/>
              <w:topLinePunct w:val="0"/>
              <w:autoSpaceDE/>
              <w:autoSpaceDN/>
              <w:bidi w:val="0"/>
              <w:spacing w:line="600" w:lineRule="exact"/>
              <w:ind w:firstLine="2800" w:firstLineChars="10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lang w:val="en-US" w:eastAsia="zh-CN"/>
              </w:rPr>
              <w:t>2024</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lang w:val="en-US" w:eastAsia="zh-CN"/>
              </w:rPr>
              <w:t>7</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lang w:val="en-US" w:eastAsia="zh-CN"/>
              </w:rPr>
              <w:t>4</w:t>
            </w:r>
            <w:r>
              <w:rPr>
                <w:rFonts w:hint="eastAsia" w:ascii="仿宋_GB2312" w:hAnsi="仿宋_GB2312" w:eastAsia="仿宋_GB2312" w:cs="仿宋_GB2312"/>
                <w:color w:val="auto"/>
                <w:sz w:val="28"/>
                <w:szCs w:val="28"/>
                <w:highlight w:val="none"/>
              </w:rPr>
              <w:t>日</w:t>
            </w:r>
          </w:p>
        </w:tc>
      </w:tr>
    </w:tbl>
    <w:p>
      <w:pPr>
        <w:keepNext w:val="0"/>
        <w:keepLines w:val="0"/>
        <w:pageBreakBefore w:val="0"/>
        <w:widowControl/>
        <w:kinsoku/>
        <w:wordWrap/>
        <w:overflowPunct/>
        <w:topLinePunct w:val="0"/>
        <w:autoSpaceDE/>
        <w:autoSpaceDN/>
        <w:bidi w:val="0"/>
        <w:adjustRightInd/>
        <w:snapToGrid/>
        <w:spacing w:before="0" w:beforeLines="-2147483648" w:afterLines="-2147483648" w:line="600" w:lineRule="exact"/>
        <w:textAlignment w:val="auto"/>
        <w:rPr>
          <w:color w:val="auto"/>
          <w:highlight w:val="none"/>
        </w:rPr>
      </w:pPr>
    </w:p>
    <w:p>
      <w:pPr>
        <w:pStyle w:val="5"/>
        <w:rPr>
          <w:color w:val="auto"/>
          <w:highlight w:val="none"/>
        </w:rPr>
      </w:pPr>
      <w:r>
        <w:rPr>
          <w:color w:val="auto"/>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第二章</w:t>
      </w: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r>
        <w:rPr>
          <w:rFonts w:hint="eastAsia"/>
          <w:color w:val="auto"/>
          <w:sz w:val="44"/>
          <w:szCs w:val="40"/>
          <w:highlight w:val="none"/>
        </w:rPr>
        <w:t>供应商须知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适用于纸质评审的采购项目</w:t>
      </w:r>
    </w:p>
    <w:p>
      <w:pP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pPr>
        <w:keepNext w:val="0"/>
        <w:keepLines w:val="0"/>
        <w:pageBreakBefore w:val="0"/>
        <w:widowControl w:val="0"/>
        <w:numPr>
          <w:ilvl w:val="0"/>
          <w:numId w:val="2"/>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5"/>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2"/>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5"/>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表2-1 本次交易一般规则</w:t>
      </w:r>
    </w:p>
    <w:tbl>
      <w:tblPr>
        <w:tblStyle w:val="27"/>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如采购文件内容与响应文件格式工程量清单存在不一致情形，则以响应文件格式工程量清单为准。如采购文件条款与合同存在不一致情形，则以合同为准。</w:t>
            </w:r>
          </w:p>
        </w:tc>
      </w:tr>
    </w:tbl>
    <w:p>
      <w:pPr>
        <w:keepNext w:val="0"/>
        <w:keepLines w:val="0"/>
        <w:pageBreakBefore w:val="0"/>
        <w:widowControl w:val="0"/>
        <w:numPr>
          <w:ilvl w:val="0"/>
          <w:numId w:val="2"/>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（2）不按照采购文件要求密封的响应文件，采购人将予以拒收。</w:t>
      </w:r>
    </w:p>
    <w:p>
      <w:pPr>
        <w:keepNext w:val="0"/>
        <w:keepLines w:val="0"/>
        <w:pageBreakBefore w:val="0"/>
        <w:widowControl w:val="0"/>
        <w:numPr>
          <w:ilvl w:val="0"/>
          <w:numId w:val="2"/>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snapToGrid/>
        <w:spacing w:line="600" w:lineRule="exact"/>
        <w:ind w:firstLine="560" w:firstLineChars="200"/>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keepNext w:val="0"/>
        <w:keepLines w:val="0"/>
        <w:pageBreakBefore w:val="0"/>
        <w:widowControl w:val="0"/>
        <w:numPr>
          <w:ilvl w:val="0"/>
          <w:numId w:val="2"/>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keepNext w:val="0"/>
        <w:keepLines w:val="0"/>
        <w:pageBreakBefore w:val="0"/>
        <w:widowControl w:val="0"/>
        <w:numPr>
          <w:ilvl w:val="0"/>
          <w:numId w:val="2"/>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keepNext w:val="0"/>
        <w:keepLines w:val="0"/>
        <w:pageBreakBefore w:val="0"/>
        <w:widowControl w:val="0"/>
        <w:numPr>
          <w:ilvl w:val="0"/>
          <w:numId w:val="2"/>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2"/>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方正小标宋简体" w:hAnsiTheme="majorEastAsia"/>
          <w:color w:val="auto"/>
          <w:sz w:val="40"/>
          <w:szCs w:val="40"/>
          <w:highlight w:val="none"/>
        </w:rPr>
      </w:pPr>
      <w:r>
        <w:rPr>
          <w:rFonts w:hint="eastAsia" w:ascii="方正小标宋简体" w:eastAsia="方正小标宋简体" w:hAnsiTheme="majorEastAsia"/>
          <w:color w:val="auto"/>
          <w:sz w:val="40"/>
          <w:szCs w:val="40"/>
          <w:highlight w:val="none"/>
        </w:rPr>
        <w:t>响应文件开启表</w:t>
      </w:r>
    </w:p>
    <w:p>
      <w:pPr>
        <w:pStyle w:val="40"/>
        <w:rPr>
          <w:rFonts w:hint="eastAsia" w:ascii="仿宋_GB2312" w:hAnsi="仿宋_GB2312" w:eastAsia="仿宋_GB2312"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u w:val="single"/>
          <w:lang w:val="en-US" w:eastAsia="zh-CN"/>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7"/>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3301"/>
        <w:gridCol w:w="1001"/>
        <w:gridCol w:w="1675"/>
        <w:gridCol w:w="1384"/>
        <w:gridCol w:w="83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_GB2312"/>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_GB2312"/>
                <w:b/>
                <w:bCs/>
                <w:color w:val="auto"/>
                <w:sz w:val="24"/>
                <w:szCs w:val="24"/>
                <w:highlight w:val="none"/>
                <w:lang w:eastAsia="zh-CN"/>
              </w:rPr>
              <w:t>（</w:t>
            </w:r>
            <w:r>
              <w:rPr>
                <w:rFonts w:hint="eastAsia" w:ascii="仿宋_GB2312" w:eastAsia="仿宋_GB2312"/>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_GB2312"/>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问题澄清通知</w:t>
      </w:r>
    </w:p>
    <w:p>
      <w:pPr>
        <w:pStyle w:val="40"/>
        <w:rPr>
          <w:rFonts w:hint="eastAsia" w:ascii="仿宋_GB2312" w:hAnsi="仿宋_GB2312" w:eastAsia="仿宋_GB2312" w:cs="仿宋_GB2312"/>
          <w:color w:val="auto"/>
          <w:highlight w:val="none"/>
        </w:rPr>
      </w:pP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编号：</w:t>
      </w:r>
    </w:p>
    <w:p>
      <w:pPr>
        <w:adjustRightInd w:val="0"/>
        <w:snapToGrid w:val="0"/>
        <w:spacing w:line="600" w:lineRule="exact"/>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（供应商名称）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 （项目名称） </w:t>
      </w:r>
      <w:r>
        <w:rPr>
          <w:rFonts w:hint="eastAsia" w:ascii="仿宋_GB2312" w:hAnsi="仿宋_GB2312" w:eastAsia="仿宋_GB2312"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请将上述问题的澄清于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时前递交至</w:t>
      </w:r>
      <w:r>
        <w:rPr>
          <w:rFonts w:hint="eastAsia" w:ascii="仿宋_GB2312" w:hAnsi="仿宋_GB2312" w:eastAsia="仿宋_GB2312" w:cs="仿宋_GB2312"/>
          <w:color w:val="auto"/>
          <w:sz w:val="28"/>
          <w:szCs w:val="28"/>
          <w:highlight w:val="none"/>
          <w:u w:val="single"/>
        </w:rPr>
        <w:t xml:space="preserve">  （详细地址） </w:t>
      </w:r>
      <w:r>
        <w:rPr>
          <w:rFonts w:hint="eastAsia" w:ascii="仿宋_GB2312" w:hAnsi="仿宋_GB2312" w:eastAsia="仿宋_GB2312" w:cs="仿宋_GB2312"/>
          <w:color w:val="auto"/>
          <w:sz w:val="28"/>
          <w:szCs w:val="28"/>
          <w:highlight w:val="none"/>
        </w:rPr>
        <w:t>。</w:t>
      </w:r>
    </w:p>
    <w:p>
      <w:pPr>
        <w:adjustRightInd w:val="0"/>
        <w:snapToGrid w:val="0"/>
        <w:spacing w:line="600" w:lineRule="exact"/>
        <w:jc w:val="left"/>
        <w:rPr>
          <w:rFonts w:hint="eastAsia" w:ascii="仿宋_GB2312" w:hAnsi="仿宋_GB2312" w:eastAsia="仿宋_GB2312"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u w:val="single"/>
        </w:rPr>
        <w:t xml:space="preserve">（项目名称） </w:t>
      </w:r>
      <w:r>
        <w:rPr>
          <w:rFonts w:hint="eastAsia" w:ascii="仿宋_GB2312" w:hAnsi="仿宋_GB2312" w:eastAsia="仿宋_GB2312"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评审小组：</w:t>
      </w:r>
      <w:r>
        <w:rPr>
          <w:rFonts w:hint="eastAsia" w:ascii="仿宋_GB2312" w:hAnsi="仿宋_GB2312" w:eastAsia="仿宋_GB2312" w:cs="仿宋_GB2312"/>
          <w:b/>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（签字）</w:t>
      </w:r>
    </w:p>
    <w:p>
      <w:pPr>
        <w:wordWrap w:val="0"/>
        <w:adjustRightInd w:val="0"/>
        <w:snapToGrid w:val="0"/>
        <w:spacing w:line="600" w:lineRule="exact"/>
        <w:jc w:val="right"/>
        <w:rPr>
          <w:rFonts w:hint="default" w:ascii="仿宋_GB2312" w:eastAsia="仿宋_GB2312" w:hAnsiTheme="majorEastAsia"/>
          <w:color w:val="auto"/>
          <w:sz w:val="28"/>
          <w:szCs w:val="28"/>
          <w:highlight w:val="non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w:t>
      </w:r>
      <w:r>
        <w:rPr>
          <w:rFonts w:hint="eastAsia" w:ascii="仿宋_GB2312" w:hAnsi="仿宋_GB2312" w:eastAsia="仿宋_GB2312"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问题的澄清</w:t>
      </w:r>
    </w:p>
    <w:p>
      <w:pPr>
        <w:pStyle w:val="40"/>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仿宋_GB2312" w:eastAsia="仿宋_GB2312" w:hAnsiTheme="majorEastAsia"/>
          <w:color w:val="auto"/>
          <w:sz w:val="28"/>
          <w:szCs w:val="28"/>
          <w:highlight w:val="none"/>
        </w:rPr>
      </w:pPr>
      <w:r>
        <w:rPr>
          <w:rFonts w:ascii="仿宋_GB2312" w:eastAsia="仿宋_GB2312"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成交通知书</w:t>
      </w:r>
    </w:p>
    <w:p>
      <w:pPr>
        <w:pStyle w:val="40"/>
        <w:rPr>
          <w:color w:val="auto"/>
          <w:highlight w:val="none"/>
        </w:rPr>
      </w:pPr>
    </w:p>
    <w:p>
      <w:pPr>
        <w:pStyle w:val="40"/>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方正小标宋简体" w:hAnsiTheme="majorEastAsia"/>
          <w:color w:val="auto"/>
          <w:sz w:val="44"/>
          <w:szCs w:val="44"/>
          <w:highlight w:val="none"/>
        </w:rPr>
      </w:pPr>
      <w:r>
        <w:rPr>
          <w:rFonts w:hint="eastAsia" w:ascii="方正小标宋简体" w:eastAsia="方正小标宋简体" w:hAnsiTheme="majorEastAsia"/>
          <w:color w:val="auto"/>
          <w:sz w:val="44"/>
          <w:szCs w:val="44"/>
          <w:highlight w:val="none"/>
        </w:rPr>
        <w:t>关于</w:t>
      </w:r>
      <w:r>
        <w:rPr>
          <w:rFonts w:hint="eastAsia" w:ascii="方正小标宋简体" w:eastAsia="方正小标宋简体" w:hAnsiTheme="majorEastAsia"/>
          <w:color w:val="auto"/>
          <w:sz w:val="44"/>
          <w:szCs w:val="44"/>
          <w:highlight w:val="none"/>
          <w:lang w:val="en-US" w:eastAsia="zh-CN"/>
        </w:rPr>
        <w:t>**</w:t>
      </w:r>
      <w:r>
        <w:rPr>
          <w:rFonts w:hint="eastAsia" w:ascii="方正小标宋简体" w:eastAsia="方正小标宋简体" w:hAnsiTheme="majorEastAsia"/>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仿宋_GB2312"/>
          <w:color w:val="auto"/>
          <w:kern w:val="0"/>
          <w:sz w:val="28"/>
          <w:szCs w:val="28"/>
          <w:highlight w:val="none"/>
        </w:rPr>
      </w:pPr>
    </w:p>
    <w:p>
      <w:pPr>
        <w:widowControl/>
        <w:ind w:left="98"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8" w:leftChars="47" w:firstLine="1960" w:firstLineChars="700"/>
        <w:jc w:val="left"/>
        <w:rPr>
          <w:rFonts w:hAnsi="宋体" w:cs="仿宋_GB2312"/>
          <w:color w:val="auto"/>
          <w:kern w:val="0"/>
          <w:sz w:val="28"/>
          <w:szCs w:val="28"/>
          <w:highlight w:val="none"/>
        </w:rPr>
      </w:pPr>
    </w:p>
    <w:p>
      <w:pPr>
        <w:widowControl/>
        <w:ind w:left="98"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8"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r>
        <w:rPr>
          <w:color w:val="auto"/>
          <w:highlight w:val="none"/>
        </w:rP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_GB2312"/>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_GB2312"/>
          <w:color w:val="auto"/>
          <w:sz w:val="28"/>
          <w:szCs w:val="28"/>
          <w:highlight w:val="none"/>
          <w:lang w:val="en-US" w:eastAsia="zh-CN"/>
        </w:rPr>
      </w:pPr>
    </w:p>
    <w:p>
      <w:pPr>
        <w:pStyle w:val="3"/>
        <w:pageBreakBefore w:val="0"/>
        <w:widowControl w:val="0"/>
        <w:kinsoku/>
        <w:wordWrap/>
        <w:overflowPunct/>
        <w:topLinePunct w:val="0"/>
        <w:autoSpaceDE/>
        <w:autoSpaceDN/>
        <w:bidi w:val="0"/>
        <w:adjustRightInd/>
        <w:snapToGrid/>
        <w:spacing w:before="0" w:after="0" w:line="360" w:lineRule="auto"/>
        <w:textAlignment w:val="auto"/>
        <w:rPr>
          <w:color w:val="auto"/>
          <w:sz w:val="44"/>
          <w:szCs w:val="40"/>
          <w:highlight w:val="none"/>
        </w:rPr>
      </w:pPr>
      <w:r>
        <w:rPr>
          <w:rFonts w:hint="eastAsia"/>
          <w:color w:val="auto"/>
          <w:sz w:val="44"/>
          <w:szCs w:val="40"/>
          <w:highlight w:val="none"/>
        </w:rPr>
        <w:t>采购方法</w:t>
      </w:r>
    </w:p>
    <w:p>
      <w:pPr>
        <w:rPr>
          <w:rFonts w:ascii="仿宋_GB2312" w:eastAsia="仿宋_GB2312"/>
          <w:color w:val="auto"/>
          <w:sz w:val="28"/>
          <w:szCs w:val="28"/>
          <w:highlight w:val="none"/>
        </w:rPr>
      </w:pPr>
      <w:r>
        <w:rPr>
          <w:rFonts w:ascii="仿宋_GB2312" w:eastAsia="仿宋_GB2312"/>
          <w:color w:val="auto"/>
          <w:sz w:val="28"/>
          <w:szCs w:val="28"/>
          <w:highlight w:val="none"/>
        </w:rPr>
        <w:br w:type="page"/>
      </w:r>
    </w:p>
    <w:p>
      <w:pPr>
        <w:pStyle w:val="3"/>
        <w:jc w:val="center"/>
        <w:rPr>
          <w:color w:val="auto"/>
          <w:highlight w:val="none"/>
        </w:rPr>
      </w:pPr>
      <w:r>
        <w:rPr>
          <w:rFonts w:hint="eastAsia"/>
          <w:color w:val="auto"/>
          <w:highlight w:val="none"/>
        </w:rPr>
        <w:t>询比采购</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7"/>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_GB2312"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_GB2312"/>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_GB2312"/>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评审办法</w:t>
      </w:r>
    </w:p>
    <w:p>
      <w:pPr>
        <w:rPr>
          <w:rFonts w:hint="default" w:ascii="仿宋_GB2312" w:eastAsia="仿宋_GB2312"/>
          <w:color w:val="auto"/>
          <w:sz w:val="28"/>
          <w:szCs w:val="28"/>
          <w:highlight w:val="none"/>
          <w:lang w:val="en-US" w:eastAsia="zh-CN"/>
        </w:rPr>
      </w:pPr>
      <w:r>
        <w:rPr>
          <w:rFonts w:hint="default" w:ascii="仿宋_GB2312" w:eastAsia="仿宋_GB2312"/>
          <w:color w:val="auto"/>
          <w:sz w:val="28"/>
          <w:szCs w:val="28"/>
          <w:highlight w:val="none"/>
          <w:lang w:val="en-US" w:eastAsia="zh-CN"/>
        </w:rPr>
        <w:br w:type="page"/>
      </w:r>
    </w:p>
    <w:p>
      <w:pPr>
        <w:pStyle w:val="3"/>
        <w:rPr>
          <w:color w:val="auto"/>
          <w:highlight w:val="none"/>
        </w:rPr>
      </w:pPr>
      <w:r>
        <w:rPr>
          <w:rFonts w:hint="eastAsia"/>
          <w:color w:val="auto"/>
          <w:highlight w:val="none"/>
        </w:rPr>
        <w:sym w:font="Wingdings 2" w:char="0052"/>
      </w:r>
      <w:r>
        <w:rPr>
          <w:rFonts w:hint="eastAsia"/>
          <w:color w:val="auto"/>
          <w:highlight w:val="none"/>
        </w:rPr>
        <w:t>经评审的最低价法</w:t>
      </w:r>
    </w:p>
    <w:p>
      <w:pPr>
        <w:adjustRightInd w:val="0"/>
        <w:snapToGrid w:val="0"/>
        <w:spacing w:line="600" w:lineRule="exact"/>
        <w:jc w:val="left"/>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r>
        <w:rPr>
          <w:rFonts w:hint="eastAsia" w:ascii="仿宋_GB2312" w:eastAsia="仿宋_GB2312"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7"/>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21"/>
        <w:gridCol w:w="2061"/>
        <w:gridCol w:w="533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color w:val="auto"/>
          <w:sz w:val="28"/>
          <w:szCs w:val="28"/>
          <w:highlight w:val="none"/>
        </w:rPr>
      </w:pPr>
      <w:r>
        <w:rPr>
          <w:rFonts w:hint="eastAsia" w:ascii="仿宋_GB2312" w:eastAsia="仿宋_GB2312" w:hAnsiTheme="minorEastAsia"/>
          <w:color w:val="auto"/>
          <w:sz w:val="28"/>
          <w:szCs w:val="28"/>
          <w:highlight w:val="none"/>
        </w:rPr>
        <w:br w:type="page"/>
      </w:r>
    </w:p>
    <w:p>
      <w:pPr>
        <w:widowControl w:val="0"/>
        <w:autoSpaceDE w:val="0"/>
        <w:autoSpaceDN w:val="0"/>
        <w:adjustRightInd/>
        <w:snapToGrid/>
        <w:spacing w:line="600" w:lineRule="exact"/>
        <w:ind w:firstLine="480" w:firstLineChars="200"/>
        <w:jc w:val="both"/>
        <w:textAlignment w:val="baseline"/>
        <w:rPr>
          <w:rFonts w:ascii="宋体" w:hAnsi="宋体" w:eastAsia="等线" w:cs="Times New Roman"/>
          <w:color w:val="auto"/>
          <w:kern w:val="0"/>
          <w:sz w:val="24"/>
          <w:szCs w:val="24"/>
          <w:highlight w:val="none"/>
          <w:lang w:val="en-US" w:eastAsia="zh-CN" w:bidi="ar-SA"/>
        </w:rPr>
      </w:pPr>
      <w:bookmarkStart w:id="17" w:name="_Toc88209947"/>
    </w:p>
    <w:p>
      <w:pPr>
        <w:widowControl w:val="0"/>
        <w:autoSpaceDE w:val="0"/>
        <w:autoSpaceDN w:val="0"/>
        <w:adjustRightInd/>
        <w:snapToGrid/>
        <w:spacing w:line="600" w:lineRule="exact"/>
        <w:ind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widowControl w:val="0"/>
        <w:autoSpaceDE w:val="0"/>
        <w:autoSpaceDN w:val="0"/>
        <w:adjustRightInd/>
        <w:snapToGrid/>
        <w:spacing w:line="600" w:lineRule="exact"/>
        <w:ind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widowControl w:val="0"/>
        <w:autoSpaceDE w:val="0"/>
        <w:autoSpaceDN w:val="0"/>
        <w:adjustRightInd/>
        <w:snapToGrid/>
        <w:spacing w:line="600" w:lineRule="exact"/>
        <w:ind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keepNext/>
        <w:keepLines/>
        <w:widowControl w:val="0"/>
        <w:spacing w:before="260" w:after="260" w:line="416" w:lineRule="auto"/>
        <w:jc w:val="center"/>
        <w:outlineLvl w:val="1"/>
        <w:rPr>
          <w:rFonts w:eastAsia="方正小标宋简体" w:asciiTheme="majorHAnsi" w:hAnsiTheme="majorHAnsi" w:cstheme="majorBidi"/>
          <w:bCs/>
          <w:color w:val="auto"/>
          <w:kern w:val="2"/>
          <w:sz w:val="36"/>
          <w:szCs w:val="44"/>
          <w:highlight w:val="none"/>
          <w:lang w:val="en-US" w:eastAsia="zh-CN" w:bidi="ar-SA"/>
        </w:rPr>
      </w:pPr>
      <w:r>
        <w:rPr>
          <w:rFonts w:hint="eastAsia" w:eastAsia="方正小标宋简体" w:asciiTheme="majorHAnsi" w:hAnsiTheme="majorHAnsi" w:cstheme="majorBidi"/>
          <w:bCs/>
          <w:color w:val="auto"/>
          <w:kern w:val="2"/>
          <w:sz w:val="36"/>
          <w:szCs w:val="44"/>
          <w:highlight w:val="none"/>
          <w:lang w:val="en-US" w:eastAsia="zh-CN" w:bidi="ar-SA"/>
        </w:rPr>
        <w:t>采购需求</w:t>
      </w:r>
    </w:p>
    <w:p>
      <w:pPr>
        <w:widowControl w:val="0"/>
        <w:spacing w:line="600" w:lineRule="exact"/>
        <w:ind w:firstLine="548" w:firstLineChars="196"/>
        <w:jc w:val="both"/>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1、供应商须对本项目为单位的服务进行整体响应，任何只对其中一部分内容进行的响应都被视为无效响应。</w:t>
      </w:r>
    </w:p>
    <w:p>
      <w:pPr>
        <w:widowControl w:val="0"/>
        <w:spacing w:line="600" w:lineRule="exact"/>
        <w:ind w:firstLine="548" w:firstLineChars="196"/>
        <w:jc w:val="both"/>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2、全文所有要求均为实质性响应条款，供应商如有任何一条负偏离则导致</w:t>
      </w:r>
      <w:r>
        <w:rPr>
          <w:rFonts w:hint="eastAsia" w:ascii="仿宋_GB2312" w:hAnsi="仿宋_GB2312" w:eastAsia="仿宋_GB2312" w:cs="仿宋_GB2312"/>
          <w:color w:val="auto"/>
          <w:sz w:val="28"/>
          <w:szCs w:val="28"/>
          <w:highlight w:val="none"/>
        </w:rPr>
        <w:t>响应（报价）文件无效。</w:t>
      </w:r>
    </w:p>
    <w:p>
      <w:pPr>
        <w:pStyle w:val="5"/>
        <w:rPr>
          <w:color w:val="auto"/>
          <w:highlight w:val="none"/>
        </w:rPr>
      </w:pPr>
      <w:r>
        <w:rPr>
          <w:color w:val="auto"/>
          <w:highlight w:val="none"/>
        </w:rPr>
        <w:br w:type="page"/>
      </w:r>
    </w:p>
    <w:bookmarkEnd w:id="17"/>
    <w:p>
      <w:pPr>
        <w:keepNext w:val="0"/>
        <w:keepLines w:val="0"/>
        <w:pageBreakBefore w:val="0"/>
        <w:widowControl/>
        <w:kinsoku/>
        <w:wordWrap/>
        <w:overflowPunct/>
        <w:topLinePunct w:val="0"/>
        <w:autoSpaceDE/>
        <w:autoSpaceDN/>
        <w:bidi w:val="0"/>
        <w:spacing w:line="600" w:lineRule="exact"/>
        <w:textAlignment w:val="auto"/>
        <w:rPr>
          <w:b/>
          <w:bCs/>
          <w:color w:val="auto"/>
          <w:sz w:val="28"/>
          <w:szCs w:val="28"/>
          <w:highlight w:val="none"/>
        </w:rPr>
      </w:pPr>
      <w:r>
        <w:rPr>
          <w:rFonts w:hint="eastAsia"/>
          <w:b/>
          <w:bCs/>
          <w:color w:val="auto"/>
          <w:sz w:val="28"/>
          <w:szCs w:val="28"/>
          <w:highlight w:val="none"/>
        </w:rPr>
        <w:t>一、项目概况</w:t>
      </w:r>
    </w:p>
    <w:p>
      <w:pPr>
        <w:keepNext w:val="0"/>
        <w:keepLines w:val="0"/>
        <w:pageBreakBefore w:val="0"/>
        <w:widowControl/>
        <w:kinsoku/>
        <w:wordWrap/>
        <w:overflowPunct/>
        <w:topLinePunct w:val="0"/>
        <w:autoSpaceDE/>
        <w:autoSpaceDN/>
        <w:bidi w:val="0"/>
        <w:adjustRightInd/>
        <w:snapToGrid/>
        <w:spacing w:after="0" w:line="6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具体研究内容为：</w:t>
      </w:r>
    </w:p>
    <w:p>
      <w:pPr>
        <w:keepNext w:val="0"/>
        <w:keepLines w:val="0"/>
        <w:pageBreakBefore w:val="0"/>
        <w:widowControl/>
        <w:kinsoku/>
        <w:wordWrap/>
        <w:overflowPunct/>
        <w:topLinePunct w:val="0"/>
        <w:autoSpaceDE/>
        <w:autoSpaceDN/>
        <w:bidi w:val="0"/>
        <w:adjustRightInd/>
        <w:snapToGrid/>
        <w:spacing w:after="0" w:line="6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 驯化适应性强、性能稳定的产电生物膜。</w:t>
      </w:r>
    </w:p>
    <w:p>
      <w:pPr>
        <w:keepNext w:val="0"/>
        <w:keepLines w:val="0"/>
        <w:pageBreakBefore w:val="0"/>
        <w:widowControl/>
        <w:kinsoku/>
        <w:wordWrap/>
        <w:overflowPunct/>
        <w:topLinePunct w:val="0"/>
        <w:autoSpaceDE/>
        <w:autoSpaceDN/>
        <w:bidi w:val="0"/>
        <w:adjustRightInd/>
        <w:snapToGrid/>
        <w:spacing w:after="0" w:line="6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从污水厂采集进水水样，使用生物电化学系统在电极表面富集驯化产电功能微生物菌群，并筛选分离不同进水共有的产电微生物。优化组合菌群、菌株，并模拟不同进水组分和环境参数的变化，比较分析产电生物膜输出电信号的变化情况，从而获得电活性稳定、电信号强且反应灵敏的产电生物膜。</w:t>
      </w:r>
    </w:p>
    <w:p>
      <w:pPr>
        <w:keepNext w:val="0"/>
        <w:keepLines w:val="0"/>
        <w:pageBreakBefore w:val="0"/>
        <w:widowControl/>
        <w:kinsoku/>
        <w:wordWrap/>
        <w:overflowPunct/>
        <w:topLinePunct w:val="0"/>
        <w:autoSpaceDE/>
        <w:autoSpaceDN/>
        <w:bidi w:val="0"/>
        <w:adjustRightInd/>
        <w:snapToGrid/>
        <w:spacing w:after="0" w:line="6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 组装构建可以灵敏响应进水生物毒性的杂合生物膜系统。</w:t>
      </w:r>
    </w:p>
    <w:p>
      <w:pPr>
        <w:keepNext w:val="0"/>
        <w:keepLines w:val="0"/>
        <w:pageBreakBefore w:val="0"/>
        <w:widowControl/>
        <w:kinsoku/>
        <w:wordWrap/>
        <w:overflowPunct/>
        <w:topLinePunct w:val="0"/>
        <w:autoSpaceDE/>
        <w:autoSpaceDN/>
        <w:bidi w:val="0"/>
        <w:adjustRightInd/>
        <w:snapToGrid/>
        <w:spacing w:after="0" w:line="6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常规的微生物生物膜对环境的耐受性差、且生物膜发育及活性难以控制，因而需要通过跨学科技术对其进行调控。通过导电凝胶、生物膜自组装导电纳米颗粒等方法构建杂合型生物膜体系，并通过电极材料、电极电位优化，调控生物膜发育和结构，从而强化生物膜电信号、提升其灵敏性和抗逆性，并进行不少于半年的实际废水测试优化。</w:t>
      </w:r>
    </w:p>
    <w:p>
      <w:pPr>
        <w:keepNext w:val="0"/>
        <w:keepLines w:val="0"/>
        <w:pageBreakBefore w:val="0"/>
        <w:widowControl/>
        <w:kinsoku/>
        <w:wordWrap/>
        <w:overflowPunct/>
        <w:topLinePunct w:val="0"/>
        <w:autoSpaceDE/>
        <w:autoSpaceDN/>
        <w:bidi w:val="0"/>
        <w:adjustRightInd/>
        <w:snapToGrid/>
        <w:spacing w:after="0" w:line="6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技术研发成果为：</w:t>
      </w:r>
    </w:p>
    <w:p>
      <w:pPr>
        <w:keepNext w:val="0"/>
        <w:keepLines w:val="0"/>
        <w:pageBreakBefore w:val="0"/>
        <w:widowControl/>
        <w:kinsoku/>
        <w:wordWrap/>
        <w:overflowPunct/>
        <w:topLinePunct w:val="0"/>
        <w:autoSpaceDE/>
        <w:autoSpaceDN/>
        <w:bidi w:val="0"/>
        <w:adjustRightInd/>
        <w:snapToGrid/>
        <w:spacing w:after="0" w:line="60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为保证技术研发完成质量，供应商需对指定净水厂采样，并基于净水厂的进水水质及微生物菌群特征，研发适用性强的生物膜响应及调控技术，结果需体现于报告中，并对净水厂运营提供参考建议。</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5"/>
        <w:gridCol w:w="4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5" w:type="dxa"/>
            <w:vAlign w:val="center"/>
          </w:tcPr>
          <w:p>
            <w:pPr>
              <w:keepNext w:val="0"/>
              <w:keepLines w:val="0"/>
              <w:pageBreakBefore w:val="0"/>
              <w:widowControl/>
              <w:kinsoku/>
              <w:wordWrap/>
              <w:overflowPunct/>
              <w:topLinePunct w:val="0"/>
              <w:autoSpaceDE/>
              <w:autoSpaceDN/>
              <w:bidi w:val="0"/>
              <w:adjustRightInd/>
              <w:snapToGrid/>
              <w:spacing w:after="120" w:line="60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项目</w:t>
            </w:r>
          </w:p>
        </w:tc>
        <w:tc>
          <w:tcPr>
            <w:tcW w:w="4566" w:type="dxa"/>
            <w:vAlign w:val="center"/>
          </w:tcPr>
          <w:p>
            <w:pPr>
              <w:keepNext w:val="0"/>
              <w:keepLines w:val="0"/>
              <w:pageBreakBefore w:val="0"/>
              <w:widowControl/>
              <w:kinsoku/>
              <w:wordWrap/>
              <w:overflowPunct/>
              <w:topLinePunct w:val="0"/>
              <w:autoSpaceDE/>
              <w:autoSpaceDN/>
              <w:bidi w:val="0"/>
              <w:adjustRightInd/>
              <w:snapToGrid/>
              <w:spacing w:after="120" w:line="60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5" w:type="dxa"/>
          </w:tcPr>
          <w:p>
            <w:pPr>
              <w:keepNext w:val="0"/>
              <w:keepLines w:val="0"/>
              <w:pageBreakBefore w:val="0"/>
              <w:widowControl/>
              <w:kinsoku/>
              <w:wordWrap/>
              <w:overflowPunct/>
              <w:topLinePunct w:val="0"/>
              <w:autoSpaceDE/>
              <w:autoSpaceDN/>
              <w:bidi w:val="0"/>
              <w:adjustRightInd/>
              <w:snapToGrid/>
              <w:spacing w:after="120" w:line="60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指定水厂进水微生物种群结构及功能特征</w:t>
            </w:r>
          </w:p>
        </w:tc>
        <w:tc>
          <w:tcPr>
            <w:tcW w:w="4566" w:type="dxa"/>
          </w:tcPr>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根据指定水厂的进水特征和需求，分析进水微生物群落的结构及代谢功能特征，并总结其时空变化规律；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5" w:type="dxa"/>
          </w:tcPr>
          <w:p>
            <w:pPr>
              <w:keepNext w:val="0"/>
              <w:keepLines w:val="0"/>
              <w:pageBreakBefore w:val="0"/>
              <w:widowControl/>
              <w:kinsoku/>
              <w:wordWrap/>
              <w:overflowPunct/>
              <w:topLinePunct w:val="0"/>
              <w:autoSpaceDE/>
              <w:autoSpaceDN/>
              <w:bidi w:val="0"/>
              <w:adjustRightInd/>
              <w:snapToGrid/>
              <w:spacing w:after="120" w:line="60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可灵敏响应进水水质变化的生物膜</w:t>
            </w:r>
          </w:p>
        </w:tc>
        <w:tc>
          <w:tcPr>
            <w:tcW w:w="4566" w:type="dxa"/>
          </w:tcPr>
          <w:p>
            <w:pPr>
              <w:keepNext w:val="0"/>
              <w:keepLines w:val="0"/>
              <w:pageBreakBefore w:val="0"/>
              <w:widowControl/>
              <w:kinsoku/>
              <w:wordWrap/>
              <w:overflowPunct/>
              <w:topLinePunct w:val="0"/>
              <w:autoSpaceDE/>
              <w:autoSpaceDN/>
              <w:bidi w:val="0"/>
              <w:adjustRightInd/>
              <w:snapToGrid/>
              <w:spacing w:after="120" w:line="60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基于进水微生物菌群富集分离电活性生物并构建生物膜，验证生物膜对进水生物毒性的灵敏响应功能并通过跨学科技术方法对其响应特征进行调控优化，总结分析响应规律；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5" w:type="dxa"/>
          </w:tcPr>
          <w:p>
            <w:pPr>
              <w:keepNext w:val="0"/>
              <w:keepLines w:val="0"/>
              <w:pageBreakBefore w:val="0"/>
              <w:widowControl/>
              <w:kinsoku/>
              <w:wordWrap/>
              <w:overflowPunct/>
              <w:topLinePunct w:val="0"/>
              <w:autoSpaceDE/>
              <w:autoSpaceDN/>
              <w:bidi w:val="0"/>
              <w:adjustRightInd/>
              <w:snapToGrid/>
              <w:spacing w:after="120" w:line="60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生物膜生态安全性评价</w:t>
            </w:r>
          </w:p>
        </w:tc>
        <w:tc>
          <w:tcPr>
            <w:tcW w:w="4566" w:type="dxa"/>
          </w:tcPr>
          <w:p>
            <w:pPr>
              <w:keepNext w:val="0"/>
              <w:keepLines w:val="0"/>
              <w:pageBreakBefore w:val="0"/>
              <w:widowControl/>
              <w:kinsoku/>
              <w:wordWrap/>
              <w:overflowPunct/>
              <w:topLinePunct w:val="0"/>
              <w:autoSpaceDE/>
              <w:autoSpaceDN/>
              <w:bidi w:val="0"/>
              <w:adjustRightInd/>
              <w:snapToGrid/>
              <w:spacing w:after="120" w:line="60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基于符合国际生态毒性评价技术标准的评价方法对所构建的生物膜进行评价测试，证明其生态安全性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5" w:type="dxa"/>
          </w:tcPr>
          <w:p>
            <w:pPr>
              <w:keepNext w:val="0"/>
              <w:keepLines w:val="0"/>
              <w:pageBreakBefore w:val="0"/>
              <w:widowControl/>
              <w:kinsoku/>
              <w:wordWrap/>
              <w:overflowPunct/>
              <w:topLinePunct w:val="0"/>
              <w:autoSpaceDE/>
              <w:autoSpaceDN/>
              <w:bidi w:val="0"/>
              <w:adjustRightInd/>
              <w:snapToGrid/>
              <w:spacing w:after="120" w:line="60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研究结果分析及报告编写</w:t>
            </w:r>
          </w:p>
        </w:tc>
        <w:tc>
          <w:tcPr>
            <w:tcW w:w="4566" w:type="dxa"/>
          </w:tcPr>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需包含：</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1、上述检测及研发的结果数据及分析；</w:t>
            </w:r>
          </w:p>
          <w:p>
            <w:pPr>
              <w:keepNext w:val="0"/>
              <w:keepLines w:val="0"/>
              <w:pageBreakBefore w:val="0"/>
              <w:widowControl/>
              <w:kinsoku/>
              <w:wordWrap/>
              <w:overflowPunct/>
              <w:topLinePunct w:val="0"/>
              <w:autoSpaceDE/>
              <w:autoSpaceDN/>
              <w:bidi w:val="0"/>
              <w:adjustRightInd/>
              <w:snapToGrid/>
              <w:spacing w:after="120" w:line="60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2、电活性生物膜的菌群组成及毒性响应规律</w:t>
            </w:r>
          </w:p>
          <w:p>
            <w:pPr>
              <w:keepNext w:val="0"/>
              <w:keepLines w:val="0"/>
              <w:pageBreakBefore w:val="0"/>
              <w:widowControl/>
              <w:kinsoku/>
              <w:wordWrap/>
              <w:overflowPunct/>
              <w:topLinePunct w:val="0"/>
              <w:autoSpaceDE/>
              <w:autoSpaceDN/>
              <w:bidi w:val="0"/>
              <w:adjustRightInd/>
              <w:snapToGrid/>
              <w:spacing w:after="120" w:line="60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3、生物膜具有生态安全性的证明材料；</w:t>
            </w:r>
          </w:p>
          <w:p>
            <w:pPr>
              <w:keepNext w:val="0"/>
              <w:keepLines w:val="0"/>
              <w:pageBreakBefore w:val="0"/>
              <w:widowControl/>
              <w:kinsoku/>
              <w:wordWrap/>
              <w:overflowPunct/>
              <w:topLinePunct w:val="0"/>
              <w:autoSpaceDE/>
              <w:autoSpaceDN/>
              <w:bidi w:val="0"/>
              <w:adjustRightInd/>
              <w:snapToGrid/>
              <w:spacing w:after="120" w:line="60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4、申请发明专利一项</w:t>
            </w:r>
          </w:p>
        </w:tc>
      </w:tr>
    </w:tbl>
    <w:p>
      <w:pPr>
        <w:pStyle w:val="13"/>
        <w:keepNext w:val="0"/>
        <w:keepLines w:val="0"/>
        <w:pageBreakBefore w:val="0"/>
        <w:widowControl/>
        <w:kinsoku/>
        <w:wordWrap/>
        <w:overflowPunct/>
        <w:topLinePunct w:val="0"/>
        <w:autoSpaceDE/>
        <w:autoSpaceDN/>
        <w:bidi w:val="0"/>
        <w:spacing w:line="600" w:lineRule="exact"/>
        <w:textAlignment w:val="auto"/>
        <w:rPr>
          <w:b/>
          <w:bCs/>
          <w:color w:val="auto"/>
          <w:sz w:val="28"/>
          <w:szCs w:val="28"/>
          <w:highlight w:val="none"/>
          <w:lang w:val="zh-CN"/>
        </w:rPr>
      </w:pPr>
      <w:r>
        <w:rPr>
          <w:rFonts w:hint="eastAsia"/>
          <w:b/>
          <w:bCs/>
          <w:color w:val="auto"/>
          <w:sz w:val="28"/>
          <w:szCs w:val="28"/>
          <w:highlight w:val="none"/>
          <w:lang w:val="zh-CN"/>
        </w:rPr>
        <w:t>二、项目技术要求</w:t>
      </w:r>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按照本询价文件的项目概况，撰写《广州市净水有限公司生物膜电流对水体生物毒性的响应规律及其调控技术研究计划》。</w:t>
      </w:r>
      <w:bookmarkStart w:id="18" w:name="_Hlk156806809"/>
    </w:p>
    <w:p>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val="0"/>
          <w:color w:val="auto"/>
          <w:sz w:val="28"/>
          <w:szCs w:val="28"/>
          <w:highlight w:val="none"/>
        </w:rPr>
        <w:t>研究计划需结合“第五章 采购需求 第一部分 项目概况”内容进行编制，并加盖单位公章。</w:t>
      </w:r>
    </w:p>
    <w:bookmarkEnd w:id="18"/>
    <w:p>
      <w:pPr>
        <w:pStyle w:val="5"/>
        <w:rPr>
          <w:color w:val="auto"/>
          <w:highlight w:val="none"/>
        </w:rPr>
      </w:pPr>
      <w:r>
        <w:rPr>
          <w:color w:val="auto"/>
          <w:highlight w:val="none"/>
        </w:rPr>
        <w:br w:type="page"/>
      </w:r>
    </w:p>
    <w:p>
      <w:pPr>
        <w:keepNext/>
        <w:keepLines/>
        <w:widowControl w:val="0"/>
        <w:spacing w:before="340" w:after="330" w:line="578" w:lineRule="auto"/>
        <w:jc w:val="center"/>
        <w:outlineLvl w:val="0"/>
        <w:rPr>
          <w:rFonts w:hint="eastAsia" w:eastAsia="方正小标宋简体" w:asciiTheme="minorHAnsi" w:hAnsiTheme="minorHAnsi" w:cstheme="minorBidi"/>
          <w:bCs/>
          <w:color w:val="auto"/>
          <w:kern w:val="44"/>
          <w:sz w:val="44"/>
          <w:szCs w:val="44"/>
          <w:highlight w:val="none"/>
          <w:lang w:val="en-US" w:eastAsia="zh-CN" w:bidi="ar-SA"/>
        </w:rPr>
      </w:pPr>
    </w:p>
    <w:p>
      <w:pPr>
        <w:keepNext/>
        <w:keepLines/>
        <w:widowControl w:val="0"/>
        <w:spacing w:before="340" w:after="330" w:line="578" w:lineRule="auto"/>
        <w:jc w:val="center"/>
        <w:outlineLvl w:val="0"/>
        <w:rPr>
          <w:rFonts w:hint="eastAsia" w:eastAsia="方正小标宋简体" w:asciiTheme="minorHAnsi" w:hAnsiTheme="minorHAnsi" w:cstheme="minorBidi"/>
          <w:bCs/>
          <w:color w:val="auto"/>
          <w:kern w:val="44"/>
          <w:sz w:val="44"/>
          <w:szCs w:val="44"/>
          <w:highlight w:val="none"/>
          <w:lang w:val="en-US" w:eastAsia="zh-CN" w:bidi="ar-SA"/>
        </w:rPr>
      </w:pPr>
    </w:p>
    <w:p>
      <w:pPr>
        <w:widowControl w:val="0"/>
        <w:autoSpaceDE w:val="0"/>
        <w:autoSpaceDN w:val="0"/>
        <w:adjustRightInd/>
        <w:snapToGrid/>
        <w:spacing w:line="600" w:lineRule="exact"/>
        <w:ind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keepNext/>
        <w:keepLines/>
        <w:widowControl w:val="0"/>
        <w:spacing w:before="340" w:after="330" w:line="578" w:lineRule="auto"/>
        <w:jc w:val="center"/>
        <w:outlineLvl w:val="0"/>
        <w:rPr>
          <w:rFonts w:eastAsia="方正小标宋简体" w:asciiTheme="minorHAnsi" w:hAnsiTheme="minorHAnsi" w:cstheme="minorBidi"/>
          <w:bCs/>
          <w:color w:val="auto"/>
          <w:kern w:val="44"/>
          <w:sz w:val="44"/>
          <w:szCs w:val="44"/>
          <w:highlight w:val="none"/>
          <w:lang w:val="en-US" w:eastAsia="zh-CN" w:bidi="ar-SA"/>
        </w:rPr>
      </w:pPr>
      <w:r>
        <w:rPr>
          <w:rFonts w:hint="eastAsia" w:eastAsia="方正小标宋简体" w:asciiTheme="minorHAnsi" w:hAnsiTheme="minorHAnsi" w:cstheme="minorBidi"/>
          <w:bCs/>
          <w:color w:val="auto"/>
          <w:kern w:val="44"/>
          <w:sz w:val="44"/>
          <w:szCs w:val="44"/>
          <w:highlight w:val="none"/>
          <w:lang w:val="en-US" w:eastAsia="zh-CN" w:bidi="ar-SA"/>
        </w:rPr>
        <w:t>合同</w:t>
      </w:r>
    </w:p>
    <w:p>
      <w:pPr>
        <w:widowControl/>
        <w:jc w:val="left"/>
        <w:rPr>
          <w:rFonts w:ascii="仿宋_GB2312" w:hAnsi="宋体" w:eastAsia="仿宋_GB2312" w:cs="Times New Roman"/>
          <w:color w:val="auto"/>
          <w:kern w:val="0"/>
          <w:sz w:val="28"/>
          <w:szCs w:val="28"/>
          <w:highlight w:val="none"/>
        </w:rPr>
      </w:pPr>
      <w:r>
        <w:rPr>
          <w:rFonts w:ascii="仿宋_GB2312" w:eastAsia="仿宋_GB2312"/>
          <w:color w:val="auto"/>
          <w:sz w:val="28"/>
          <w:szCs w:val="28"/>
          <w:highlight w:val="none"/>
        </w:rPr>
        <w:br w:type="page"/>
      </w:r>
    </w:p>
    <w:p>
      <w:pPr>
        <w:widowControl w:val="0"/>
        <w:spacing w:line="360" w:lineRule="auto"/>
        <w:jc w:val="center"/>
        <w:rPr>
          <w:rFonts w:ascii="Calibri" w:hAnsi="Calibri" w:eastAsia="宋体" w:cs="Times New Roman"/>
          <w:b/>
          <w:color w:val="auto"/>
          <w:sz w:val="48"/>
          <w:szCs w:val="48"/>
          <w:highlight w:val="none"/>
        </w:rPr>
      </w:pPr>
      <w:r>
        <w:rPr>
          <w:rFonts w:hint="eastAsia" w:ascii="Calibri" w:hAnsi="Calibri" w:eastAsia="宋体" w:cs="Times New Roman"/>
          <w:b/>
          <w:color w:val="auto"/>
          <w:sz w:val="48"/>
          <w:szCs w:val="48"/>
          <w:highlight w:val="none"/>
        </w:rPr>
        <w:t>广州市净水有限公司</w:t>
      </w:r>
    </w:p>
    <w:p>
      <w:pPr>
        <w:widowControl w:val="0"/>
        <w:spacing w:line="360" w:lineRule="auto"/>
        <w:jc w:val="center"/>
        <w:rPr>
          <w:rFonts w:ascii="Calibri" w:hAnsi="Calibri" w:eastAsia="宋体" w:cs="Times New Roman"/>
          <w:b/>
          <w:color w:val="auto"/>
          <w:sz w:val="48"/>
          <w:szCs w:val="48"/>
          <w:highlight w:val="none"/>
        </w:rPr>
      </w:pPr>
      <w:r>
        <w:rPr>
          <w:rFonts w:ascii="Calibri" w:hAnsi="Calibri" w:eastAsia="宋体" w:cs="Times New Roman"/>
          <w:b/>
          <w:color w:val="auto"/>
          <w:sz w:val="52"/>
          <w:szCs w:val="84"/>
          <w:highlight w:val="none"/>
        </w:rPr>
        <w:t>服务合同</w:t>
      </w:r>
    </w:p>
    <w:p>
      <w:pPr>
        <w:widowControl w:val="0"/>
        <w:spacing w:line="360" w:lineRule="auto"/>
        <w:ind w:firstLine="600" w:firstLineChars="200"/>
        <w:jc w:val="left"/>
        <w:rPr>
          <w:rFonts w:ascii="宋体" w:hAnsi="宋体" w:eastAsia="宋体" w:cs="Times New Roman"/>
          <w:b/>
          <w:bCs/>
          <w:snapToGrid w:val="0"/>
          <w:color w:val="auto"/>
          <w:kern w:val="0"/>
          <w:sz w:val="30"/>
          <w:szCs w:val="30"/>
          <w:highlight w:val="none"/>
        </w:rPr>
      </w:pPr>
    </w:p>
    <w:p>
      <w:pPr>
        <w:spacing w:line="240" w:lineRule="auto"/>
        <w:ind w:left="0" w:firstLine="0" w:firstLineChars="0"/>
        <w:rPr>
          <w:rFonts w:hint="eastAsia" w:ascii="宋体" w:hAnsi="宋体" w:eastAsia="宋体" w:cs="宋体"/>
          <w:color w:val="auto"/>
          <w:sz w:val="30"/>
          <w:szCs w:val="30"/>
          <w:highlight w:val="none"/>
        </w:rPr>
      </w:pPr>
    </w:p>
    <w:p>
      <w:pPr>
        <w:keepNext w:val="0"/>
        <w:keepLines w:val="0"/>
        <w:pageBreakBefore w:val="0"/>
        <w:widowControl/>
        <w:kinsoku/>
        <w:wordWrap/>
        <w:overflowPunct/>
        <w:topLinePunct w:val="0"/>
        <w:autoSpaceDE/>
        <w:autoSpaceDN/>
        <w:bidi w:val="0"/>
        <w:adjustRightInd/>
        <w:snapToGrid/>
        <w:spacing w:line="240" w:lineRule="auto"/>
        <w:ind w:left="1500" w:hanging="1500" w:hangingChars="500"/>
        <w:textAlignment w:val="auto"/>
        <w:rPr>
          <w:rFonts w:hint="eastAsia" w:ascii="宋体" w:hAnsi="宋体" w:eastAsia="宋体" w:cs="宋体"/>
          <w:snapToGrid w:val="0"/>
          <w:color w:val="auto"/>
          <w:sz w:val="30"/>
          <w:szCs w:val="30"/>
          <w:highlight w:val="none"/>
        </w:rPr>
      </w:pPr>
      <w:r>
        <w:rPr>
          <w:rFonts w:hint="eastAsia" w:ascii="宋体" w:hAnsi="宋体" w:eastAsia="宋体" w:cs="宋体"/>
          <w:snapToGrid w:val="0"/>
          <w:color w:val="auto"/>
          <w:sz w:val="30"/>
          <w:szCs w:val="30"/>
          <w:highlight w:val="none"/>
        </w:rPr>
        <w:t>项目名称：</w:t>
      </w:r>
      <w:r>
        <w:rPr>
          <w:rFonts w:hint="eastAsia" w:ascii="宋体" w:hAnsi="宋体" w:eastAsia="宋体" w:cs="宋体"/>
          <w:b/>
          <w:bCs/>
          <w:snapToGrid w:val="0"/>
          <w:color w:val="auto"/>
          <w:sz w:val="30"/>
          <w:szCs w:val="30"/>
          <w:highlight w:val="none"/>
          <w:lang w:val="en-GB"/>
        </w:rPr>
        <w:t>污水处理过程精细化控制研究</w:t>
      </w:r>
      <w:r>
        <w:rPr>
          <w:rFonts w:hint="eastAsia" w:ascii="宋体" w:hAnsi="宋体" w:eastAsia="宋体" w:cs="宋体"/>
          <w:b/>
          <w:bCs/>
          <w:snapToGrid w:val="0"/>
          <w:color w:val="auto"/>
          <w:kern w:val="2"/>
          <w:sz w:val="30"/>
          <w:szCs w:val="30"/>
          <w:highlight w:val="none"/>
          <w:lang w:val="en-GB"/>
        </w:rPr>
        <w:t>（</w:t>
      </w:r>
      <w:r>
        <w:rPr>
          <w:rFonts w:hint="eastAsia" w:ascii="宋体" w:hAnsi="宋体" w:eastAsia="宋体" w:cs="宋体"/>
          <w:b/>
          <w:bCs/>
          <w:snapToGrid w:val="0"/>
          <w:color w:val="auto"/>
          <w:sz w:val="30"/>
          <w:szCs w:val="30"/>
          <w:highlight w:val="none"/>
          <w:lang w:val="en-GB"/>
        </w:rPr>
        <w:t>10492021000001</w:t>
      </w:r>
      <w:r>
        <w:rPr>
          <w:rFonts w:hint="eastAsia" w:ascii="宋体" w:hAnsi="宋体" w:eastAsia="宋体" w:cs="宋体"/>
          <w:b/>
          <w:bCs/>
          <w:snapToGrid w:val="0"/>
          <w:color w:val="auto"/>
          <w:kern w:val="2"/>
          <w:sz w:val="30"/>
          <w:szCs w:val="30"/>
          <w:highlight w:val="none"/>
          <w:lang w:val="en-GB"/>
        </w:rPr>
        <w:t>）</w:t>
      </w:r>
    </w:p>
    <w:p>
      <w:pPr>
        <w:keepNext w:val="0"/>
        <w:keepLines w:val="0"/>
        <w:pageBreakBefore w:val="0"/>
        <w:widowControl/>
        <w:kinsoku/>
        <w:wordWrap/>
        <w:overflowPunct/>
        <w:topLinePunct w:val="0"/>
        <w:autoSpaceDE/>
        <w:autoSpaceDN/>
        <w:bidi w:val="0"/>
        <w:adjustRightInd/>
        <w:snapToGrid/>
        <w:spacing w:after="0"/>
        <w:ind w:left="1500" w:hanging="1500" w:hangingChars="500"/>
        <w:textAlignment w:val="auto"/>
        <w:rPr>
          <w:rFonts w:hint="eastAsia" w:ascii="宋体" w:hAnsi="宋体" w:eastAsia="宋体" w:cs="宋体"/>
          <w:snapToGrid w:val="0"/>
          <w:color w:val="auto"/>
          <w:sz w:val="30"/>
          <w:szCs w:val="30"/>
          <w:highlight w:val="none"/>
        </w:rPr>
      </w:pPr>
    </w:p>
    <w:p>
      <w:pPr>
        <w:keepNext w:val="0"/>
        <w:keepLines w:val="0"/>
        <w:pageBreakBefore w:val="0"/>
        <w:widowControl/>
        <w:kinsoku/>
        <w:wordWrap/>
        <w:overflowPunct/>
        <w:topLinePunct w:val="0"/>
        <w:autoSpaceDE/>
        <w:autoSpaceDN/>
        <w:bidi w:val="0"/>
        <w:adjustRightInd/>
        <w:snapToGrid/>
        <w:spacing w:after="0"/>
        <w:ind w:left="1500" w:hanging="1500" w:hangingChars="500"/>
        <w:textAlignment w:val="auto"/>
        <w:rPr>
          <w:rFonts w:hint="eastAsia" w:ascii="宋体" w:hAnsi="宋体" w:eastAsia="宋体" w:cs="宋体"/>
          <w:snapToGrid w:val="0"/>
          <w:color w:val="auto"/>
          <w:sz w:val="30"/>
          <w:szCs w:val="30"/>
          <w:highlight w:val="none"/>
        </w:rPr>
      </w:pPr>
      <w:r>
        <w:rPr>
          <w:rFonts w:hint="eastAsia" w:ascii="宋体" w:hAnsi="宋体" w:eastAsia="宋体" w:cs="宋体"/>
          <w:snapToGrid w:val="0"/>
          <w:color w:val="auto"/>
          <w:sz w:val="30"/>
          <w:szCs w:val="30"/>
          <w:highlight w:val="none"/>
        </w:rPr>
        <w:t>合同名称：</w:t>
      </w:r>
      <w:r>
        <w:rPr>
          <w:rFonts w:hint="eastAsia" w:ascii="宋体" w:hAnsi="宋体" w:eastAsia="宋体" w:cs="宋体"/>
          <w:b/>
          <w:bCs/>
          <w:snapToGrid w:val="0"/>
          <w:color w:val="auto"/>
          <w:sz w:val="30"/>
          <w:szCs w:val="30"/>
          <w:highlight w:val="none"/>
        </w:rPr>
        <w:t>广州市净水有限公司生物膜电流对水体生物毒性的响应规律及其调控技术研究</w:t>
      </w:r>
    </w:p>
    <w:p>
      <w:pPr>
        <w:keepNext w:val="0"/>
        <w:keepLines w:val="0"/>
        <w:pageBreakBefore w:val="0"/>
        <w:widowControl/>
        <w:kinsoku/>
        <w:wordWrap/>
        <w:overflowPunct/>
        <w:topLinePunct w:val="0"/>
        <w:autoSpaceDE/>
        <w:autoSpaceDN/>
        <w:bidi w:val="0"/>
        <w:adjustRightInd/>
        <w:snapToGrid/>
        <w:spacing w:after="0"/>
        <w:ind w:left="1500" w:hanging="1500" w:hangingChars="500"/>
        <w:textAlignment w:val="auto"/>
        <w:rPr>
          <w:rFonts w:hint="eastAsia" w:ascii="宋体" w:hAnsi="宋体" w:eastAsia="宋体" w:cs="宋体"/>
          <w:snapToGrid w:val="0"/>
          <w:color w:val="auto"/>
          <w:sz w:val="30"/>
          <w:szCs w:val="30"/>
          <w:highlight w:val="none"/>
        </w:rPr>
      </w:pPr>
      <w:r>
        <w:rPr>
          <w:rFonts w:hint="eastAsia" w:ascii="宋体" w:hAnsi="宋体" w:eastAsia="宋体" w:cs="宋体"/>
          <w:snapToGrid w:val="0"/>
          <w:color w:val="auto"/>
          <w:sz w:val="30"/>
          <w:szCs w:val="30"/>
          <w:highlight w:val="none"/>
        </w:rPr>
        <w:t>合同编号：</w:t>
      </w:r>
      <w:r>
        <w:rPr>
          <w:rFonts w:hint="eastAsia" w:ascii="宋体" w:hAnsi="宋体" w:eastAsia="宋体" w:cs="宋体"/>
          <w:b/>
          <w:bCs/>
          <w:snapToGrid w:val="0"/>
          <w:color w:val="auto"/>
          <w:sz w:val="30"/>
          <w:szCs w:val="30"/>
          <w:highlight w:val="none"/>
        </w:rPr>
        <w:t>穗净水合〔2024〕</w:t>
      </w:r>
      <w:r>
        <w:rPr>
          <w:rFonts w:hint="eastAsia" w:ascii="宋体" w:hAnsi="宋体" w:eastAsia="宋体" w:cs="宋体"/>
          <w:snapToGrid w:val="0"/>
          <w:color w:val="auto"/>
          <w:sz w:val="30"/>
          <w:szCs w:val="30"/>
          <w:highlight w:val="none"/>
        </w:rPr>
        <w:t xml:space="preserve">    号</w:t>
      </w:r>
    </w:p>
    <w:p>
      <w:pPr>
        <w:adjustRightInd/>
        <w:snapToGrid/>
        <w:spacing w:line="240" w:lineRule="auto"/>
        <w:ind w:firstLine="0"/>
        <w:rPr>
          <w:rFonts w:hint="eastAsia" w:ascii="宋体" w:hAnsi="宋体" w:eastAsia="宋体" w:cs="宋体"/>
          <w:snapToGrid w:val="0"/>
          <w:color w:val="auto"/>
          <w:sz w:val="30"/>
          <w:szCs w:val="30"/>
          <w:highlight w:val="none"/>
        </w:rPr>
      </w:pPr>
    </w:p>
    <w:p>
      <w:pPr>
        <w:autoSpaceDE/>
        <w:autoSpaceDN/>
        <w:adjustRightInd/>
        <w:ind w:left="0"/>
        <w:rPr>
          <w:rFonts w:hint="eastAsia" w:ascii="宋体" w:hAnsi="宋体" w:eastAsia="宋体" w:cs="宋体"/>
          <w:color w:val="auto"/>
          <w:sz w:val="30"/>
          <w:szCs w:val="30"/>
          <w:highlight w:val="none"/>
        </w:rPr>
      </w:pPr>
    </w:p>
    <w:p>
      <w:pPr>
        <w:adjustRightInd/>
        <w:snapToGrid/>
        <w:spacing w:line="240" w:lineRule="auto"/>
        <w:rPr>
          <w:rFonts w:hint="eastAsia" w:ascii="宋体" w:hAnsi="宋体" w:eastAsia="宋体" w:cs="宋体"/>
          <w:snapToGrid w:val="0"/>
          <w:color w:val="auto"/>
          <w:sz w:val="30"/>
          <w:szCs w:val="30"/>
          <w:highlight w:val="none"/>
        </w:rPr>
      </w:pPr>
      <w:r>
        <w:rPr>
          <w:rFonts w:hint="eastAsia" w:ascii="宋体" w:hAnsi="宋体" w:eastAsia="宋体" w:cs="宋体"/>
          <w:snapToGrid w:val="0"/>
          <w:color w:val="auto"/>
          <w:sz w:val="30"/>
          <w:szCs w:val="30"/>
          <w:highlight w:val="none"/>
        </w:rPr>
        <w:t>甲方：</w:t>
      </w:r>
      <w:r>
        <w:rPr>
          <w:rFonts w:hint="eastAsia" w:ascii="宋体" w:hAnsi="宋体" w:eastAsia="宋体" w:cs="宋体"/>
          <w:snapToGrid w:val="0"/>
          <w:color w:val="auto"/>
          <w:sz w:val="30"/>
          <w:szCs w:val="30"/>
          <w:highlight w:val="none"/>
          <w:u w:val="single"/>
        </w:rPr>
        <w:t>广州市净水有限公司</w:t>
      </w:r>
    </w:p>
    <w:p>
      <w:pPr>
        <w:adjustRightInd/>
        <w:snapToGrid/>
        <w:spacing w:line="240" w:lineRule="auto"/>
        <w:rPr>
          <w:rFonts w:hint="eastAsia" w:ascii="宋体" w:hAnsi="宋体" w:eastAsia="宋体" w:cs="宋体"/>
          <w:snapToGrid w:val="0"/>
          <w:color w:val="auto"/>
          <w:sz w:val="30"/>
          <w:szCs w:val="30"/>
          <w:highlight w:val="none"/>
        </w:rPr>
      </w:pPr>
      <w:r>
        <w:rPr>
          <w:rFonts w:hint="eastAsia" w:ascii="宋体" w:hAnsi="宋体" w:eastAsia="宋体" w:cs="宋体"/>
          <w:snapToGrid w:val="0"/>
          <w:color w:val="auto"/>
          <w:sz w:val="30"/>
          <w:szCs w:val="30"/>
          <w:highlight w:val="none"/>
        </w:rPr>
        <w:t>乙方：</w:t>
      </w:r>
      <w:r>
        <w:rPr>
          <w:rFonts w:hint="eastAsia" w:ascii="宋体" w:hAnsi="宋体" w:eastAsia="宋体" w:cs="宋体"/>
          <w:snapToGrid w:val="0"/>
          <w:color w:val="auto"/>
          <w:sz w:val="30"/>
          <w:szCs w:val="30"/>
          <w:highlight w:val="none"/>
          <w:u w:val="single"/>
        </w:rPr>
        <w:t xml:space="preserve">                          </w:t>
      </w:r>
    </w:p>
    <w:p>
      <w:pPr>
        <w:autoSpaceDE/>
        <w:autoSpaceDN/>
        <w:adjustRightInd/>
        <w:ind w:left="0"/>
        <w:rPr>
          <w:rFonts w:hint="eastAsia" w:ascii="宋体" w:hAnsi="宋体" w:eastAsia="宋体" w:cs="宋体"/>
          <w:snapToGrid w:val="0"/>
          <w:color w:val="auto"/>
          <w:sz w:val="30"/>
          <w:szCs w:val="30"/>
          <w:highlight w:val="none"/>
        </w:rPr>
      </w:pPr>
    </w:p>
    <w:p>
      <w:pPr>
        <w:autoSpaceDE/>
        <w:autoSpaceDN/>
        <w:adjustRightInd/>
        <w:ind w:left="0"/>
        <w:rPr>
          <w:rFonts w:hint="eastAsia" w:ascii="宋体" w:hAnsi="宋体" w:eastAsia="宋体" w:cs="宋体"/>
          <w:snapToGrid w:val="0"/>
          <w:color w:val="auto"/>
          <w:sz w:val="30"/>
          <w:szCs w:val="30"/>
          <w:highlight w:val="none"/>
        </w:rPr>
      </w:pPr>
    </w:p>
    <w:p>
      <w:pP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签订日期：         年      月      日</w:t>
      </w:r>
    </w:p>
    <w:p>
      <w:pPr>
        <w:rPr>
          <w:rFonts w:hint="eastAsia" w:ascii="宋体" w:hAnsi="宋体" w:eastAsia="宋体" w:cs="宋体"/>
          <w:color w:val="auto"/>
          <w:sz w:val="30"/>
          <w:szCs w:val="30"/>
          <w:highlight w:val="none"/>
        </w:rPr>
        <w:sectPr>
          <w:footerReference r:id="rId4" w:type="default"/>
          <w:pgSz w:w="11907" w:h="16840"/>
          <w:pgMar w:top="1701" w:right="1701" w:bottom="1701" w:left="1701" w:header="851" w:footer="992" w:gutter="0"/>
          <w:pgNumType w:fmt="decimal"/>
          <w:cols w:space="720" w:num="1"/>
          <w:docGrid w:type="linesAndChars" w:linePitch="381" w:charSpace="0"/>
        </w:sectPr>
      </w:pPr>
      <w:r>
        <w:rPr>
          <w:rFonts w:hint="eastAsia" w:ascii="宋体" w:hAnsi="宋体" w:eastAsia="宋体" w:cs="宋体"/>
          <w:color w:val="auto"/>
          <w:sz w:val="30"/>
          <w:szCs w:val="30"/>
          <w:highlight w:val="none"/>
        </w:rPr>
        <w:t>签约地点：广州市</w:t>
      </w:r>
    </w:p>
    <w:p>
      <w:pPr>
        <w:spacing w:line="240" w:lineRule="auto"/>
        <w:ind w:firstLine="0" w:firstLineChars="0"/>
        <w:rPr>
          <w:color w:val="auto"/>
          <w:highlight w:val="none"/>
        </w:rPr>
      </w:pP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根据《中华人民共和国民法典》及其他有关法律、行政法规，广州市净水有限公司（以下简称“甲方”）与</w:t>
      </w:r>
      <w:r>
        <w:rPr>
          <w:rFonts w:hint="eastAsia" w:ascii="宋体" w:hAnsi="宋体" w:eastAsia="宋体" w:cs="宋体"/>
          <w:bCs/>
          <w:snapToGrid w:val="0"/>
          <w:color w:val="auto"/>
          <w:kern w:val="0"/>
          <w:sz w:val="24"/>
          <w:szCs w:val="24"/>
          <w:highlight w:val="none"/>
          <w:u w:val="single"/>
        </w:rPr>
        <w:t xml:space="preserve">                    </w:t>
      </w:r>
      <w:r>
        <w:rPr>
          <w:rFonts w:hint="eastAsia" w:ascii="宋体" w:hAnsi="宋体" w:eastAsia="宋体" w:cs="宋体"/>
          <w:color w:val="auto"/>
          <w:sz w:val="24"/>
          <w:szCs w:val="24"/>
          <w:highlight w:val="none"/>
        </w:rPr>
        <w:t>（以下简称“乙方”）就</w:t>
      </w:r>
      <w:r>
        <w:rPr>
          <w:rFonts w:hint="eastAsia" w:ascii="宋体" w:hAnsi="宋体" w:eastAsia="宋体" w:cs="宋体"/>
          <w:color w:val="auto"/>
          <w:sz w:val="24"/>
          <w:szCs w:val="24"/>
          <w:highlight w:val="none"/>
          <w:u w:val="single"/>
        </w:rPr>
        <w:t>广州市净水有限公司生物膜电流对水体生物毒性的响应规律及其调控技术研究</w:t>
      </w:r>
      <w:r>
        <w:rPr>
          <w:rFonts w:hint="eastAsia" w:ascii="宋体" w:hAnsi="宋体" w:eastAsia="宋体" w:cs="宋体"/>
          <w:color w:val="auto"/>
          <w:sz w:val="24"/>
          <w:szCs w:val="24"/>
          <w:highlight w:val="none"/>
        </w:rPr>
        <w:t>和相应技术服务事宜，遵循平等、自愿、公平和诚实信用的原则，双方协商一致，订立本合同。</w:t>
      </w:r>
    </w:p>
    <w:p>
      <w:pPr>
        <w:keepNext w:val="0"/>
        <w:keepLines w:val="0"/>
        <w:pageBreakBefore w:val="0"/>
        <w:widowControl/>
        <w:kinsoku/>
        <w:wordWrap/>
        <w:overflowPunct/>
        <w:topLinePunct w:val="0"/>
        <w:bidi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组成合同的文件及优先顺序</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下列文件（如有）均为本合同的组成部分，可视为能相互说明和补充的，如果合同文件存在歧义或相矛盾的地方，则根据以下次序判断：</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（1）在本合同实施过程双方签署的补充与修正文件；</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（2）本合同书；</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（3）本合同其他附件；</w:t>
      </w:r>
    </w:p>
    <w:p>
      <w:pPr>
        <w:keepNext w:val="0"/>
        <w:keepLines w:val="0"/>
        <w:pageBreakBefore w:val="0"/>
        <w:widowControl/>
        <w:kinsoku/>
        <w:wordWrap/>
        <w:overflowPunct/>
        <w:topLinePunct w:val="0"/>
        <w:bidi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服务范围</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2.1</w:t>
      </w:r>
      <w:r>
        <w:rPr>
          <w:rFonts w:hint="eastAsia" w:ascii="宋体" w:hAnsi="宋体" w:eastAsia="宋体" w:cs="宋体"/>
          <w:color w:val="auto"/>
          <w:sz w:val="24"/>
          <w:szCs w:val="24"/>
          <w:highlight w:val="none"/>
        </w:rPr>
        <w:t xml:space="preserve">采购内容和范围： </w:t>
      </w:r>
    </w:p>
    <w:p>
      <w:pPr>
        <w:keepNext w:val="0"/>
        <w:keepLines w:val="0"/>
        <w:pageBreakBefore w:val="0"/>
        <w:widowControl/>
        <w:kinsoku/>
        <w:wordWrap/>
        <w:overflowPunct/>
        <w:topLinePunct w:val="0"/>
        <w:bidi w:val="0"/>
        <w:spacing w:after="0"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2.1.1具体研究内容为：</w:t>
      </w:r>
    </w:p>
    <w:p>
      <w:pPr>
        <w:keepNext w:val="0"/>
        <w:keepLines w:val="0"/>
        <w:pageBreakBefore w:val="0"/>
        <w:widowControl/>
        <w:kinsoku/>
        <w:wordWrap/>
        <w:overflowPunct/>
        <w:topLinePunct w:val="0"/>
        <w:bidi w:val="0"/>
        <w:spacing w:after="0"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 驯化适应性强、性能稳定的产电生物膜。</w:t>
      </w:r>
    </w:p>
    <w:p>
      <w:pPr>
        <w:keepNext w:val="0"/>
        <w:keepLines w:val="0"/>
        <w:pageBreakBefore w:val="0"/>
        <w:widowControl/>
        <w:kinsoku/>
        <w:wordWrap/>
        <w:overflowPunct/>
        <w:topLinePunct w:val="0"/>
        <w:bidi w:val="0"/>
        <w:spacing w:after="0"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从污水厂采集进水水样，使用生物电化学系统在电极表面富集驯化产电功能微生物菌群，并筛选分离不同进水共有的产电微生物。优化组合菌群、菌株，并模拟不同进水组分和环境参数的变化，比较分析产电生物膜输出电信号的变化情况，从而获得电活性稳定、电信号强且反应灵敏的产电生物膜。</w:t>
      </w:r>
    </w:p>
    <w:p>
      <w:pPr>
        <w:keepNext w:val="0"/>
        <w:keepLines w:val="0"/>
        <w:pageBreakBefore w:val="0"/>
        <w:widowControl/>
        <w:kinsoku/>
        <w:wordWrap/>
        <w:overflowPunct/>
        <w:topLinePunct w:val="0"/>
        <w:bidi w:val="0"/>
        <w:spacing w:after="0"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 组装构建可以灵敏响应进水生物毒性的杂合生物膜系统。</w:t>
      </w:r>
    </w:p>
    <w:p>
      <w:pPr>
        <w:keepNext w:val="0"/>
        <w:keepLines w:val="0"/>
        <w:pageBreakBefore w:val="0"/>
        <w:widowControl/>
        <w:kinsoku/>
        <w:wordWrap/>
        <w:overflowPunct/>
        <w:topLinePunct w:val="0"/>
        <w:bidi w:val="0"/>
        <w:spacing w:after="0"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常规的微生物生物膜对环境的耐受性差、且生物膜发育及活性难以控制，因而需要通过跨学科技术对其进行调控。通过导电凝胶、生物膜自组装导电纳米颗粒等方法构建杂合型生物膜体系，并通过电极材料、电极电位优化，调控生物膜发育和结构，从而强化生物膜电信号、提升其灵敏性和抗逆性，并进行不少于半年的实际废水测试优化。</w:t>
      </w:r>
    </w:p>
    <w:p>
      <w:pPr>
        <w:keepNext w:val="0"/>
        <w:keepLines w:val="0"/>
        <w:pageBreakBefore w:val="0"/>
        <w:widowControl/>
        <w:kinsoku/>
        <w:wordWrap/>
        <w:overflowPunct/>
        <w:topLinePunct w:val="0"/>
        <w:bidi w:val="0"/>
        <w:spacing w:after="0"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2.1.2技术研发成果为：</w:t>
      </w:r>
    </w:p>
    <w:p>
      <w:pPr>
        <w:keepNext w:val="0"/>
        <w:keepLines w:val="0"/>
        <w:pageBreakBefore w:val="0"/>
        <w:widowControl/>
        <w:kinsoku/>
        <w:wordWrap/>
        <w:overflowPunct/>
        <w:topLinePunct w:val="0"/>
        <w:bidi w:val="0"/>
        <w:spacing w:after="0"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为保证技术研发完成质量，供应商需对指定净水厂采样，并基于净水厂的进水水质及微生物菌群特征，研发适用性强的生物膜响应及调控技术，结果需体现于报告中，并对净水厂运营提供参考建议。</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5"/>
        <w:gridCol w:w="4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5" w:type="dxa"/>
            <w:vAlign w:val="center"/>
          </w:tcPr>
          <w:p>
            <w:pPr>
              <w:keepNext w:val="0"/>
              <w:keepLines w:val="0"/>
              <w:pageBreakBefore w:val="0"/>
              <w:widowControl/>
              <w:kinsoku/>
              <w:wordWrap/>
              <w:overflowPunct/>
              <w:topLinePunct w:val="0"/>
              <w:autoSpaceDE/>
              <w:autoSpaceDN/>
              <w:bidi w:val="0"/>
              <w:adjustRightInd/>
              <w:snapToGrid/>
              <w:spacing w:after="120" w:line="6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项目</w:t>
            </w:r>
          </w:p>
        </w:tc>
        <w:tc>
          <w:tcPr>
            <w:tcW w:w="4566" w:type="dxa"/>
            <w:vAlign w:val="center"/>
          </w:tcPr>
          <w:p>
            <w:pPr>
              <w:keepNext w:val="0"/>
              <w:keepLines w:val="0"/>
              <w:pageBreakBefore w:val="0"/>
              <w:widowControl/>
              <w:kinsoku/>
              <w:wordWrap/>
              <w:overflowPunct/>
              <w:topLinePunct w:val="0"/>
              <w:autoSpaceDE/>
              <w:autoSpaceDN/>
              <w:bidi w:val="0"/>
              <w:adjustRightInd/>
              <w:snapToGrid/>
              <w:spacing w:after="120" w:line="6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5" w:type="dxa"/>
          </w:tcPr>
          <w:p>
            <w:pPr>
              <w:keepNext w:val="0"/>
              <w:keepLines w:val="0"/>
              <w:pageBreakBefore w:val="0"/>
              <w:widowControl/>
              <w:kinsoku/>
              <w:wordWrap/>
              <w:overflowPunct/>
              <w:topLinePunct w:val="0"/>
              <w:autoSpaceDE/>
              <w:autoSpaceDN/>
              <w:bidi w:val="0"/>
              <w:adjustRightInd/>
              <w:snapToGrid/>
              <w:spacing w:after="120" w:line="6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指定水厂进水微生物种群结构及功能特征</w:t>
            </w:r>
          </w:p>
        </w:tc>
        <w:tc>
          <w:tcPr>
            <w:tcW w:w="4566" w:type="dxa"/>
          </w:tcPr>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根据指定水厂的进水特征和需求，分析进水微生物群落的结构及代谢功能特征，并总结其时空变化规律；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5" w:type="dxa"/>
          </w:tcPr>
          <w:p>
            <w:pPr>
              <w:keepNext w:val="0"/>
              <w:keepLines w:val="0"/>
              <w:pageBreakBefore w:val="0"/>
              <w:widowControl/>
              <w:kinsoku/>
              <w:wordWrap/>
              <w:overflowPunct/>
              <w:topLinePunct w:val="0"/>
              <w:autoSpaceDE/>
              <w:autoSpaceDN/>
              <w:bidi w:val="0"/>
              <w:adjustRightInd/>
              <w:snapToGrid/>
              <w:spacing w:after="120" w:line="6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可灵敏响应进水水质变化的生物膜</w:t>
            </w:r>
          </w:p>
        </w:tc>
        <w:tc>
          <w:tcPr>
            <w:tcW w:w="4566" w:type="dxa"/>
          </w:tcPr>
          <w:p>
            <w:pPr>
              <w:keepNext w:val="0"/>
              <w:keepLines w:val="0"/>
              <w:pageBreakBefore w:val="0"/>
              <w:widowControl/>
              <w:kinsoku/>
              <w:wordWrap/>
              <w:overflowPunct/>
              <w:topLinePunct w:val="0"/>
              <w:autoSpaceDE/>
              <w:autoSpaceDN/>
              <w:bidi w:val="0"/>
              <w:adjustRightInd/>
              <w:snapToGrid/>
              <w:spacing w:after="120" w:line="6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基于进水微生物菌群富集分离电活性生物并构建生物膜，验证生物膜对进水生物毒性的灵敏响应功能并通过跨学科技术方法对其响应特征进行调控优化，总结分析响应规律；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5" w:type="dxa"/>
          </w:tcPr>
          <w:p>
            <w:pPr>
              <w:keepNext w:val="0"/>
              <w:keepLines w:val="0"/>
              <w:pageBreakBefore w:val="0"/>
              <w:widowControl/>
              <w:kinsoku/>
              <w:wordWrap/>
              <w:overflowPunct/>
              <w:topLinePunct w:val="0"/>
              <w:autoSpaceDE/>
              <w:autoSpaceDN/>
              <w:bidi w:val="0"/>
              <w:adjustRightInd/>
              <w:snapToGrid/>
              <w:spacing w:after="120" w:line="6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生物膜生态安全性评价</w:t>
            </w:r>
          </w:p>
        </w:tc>
        <w:tc>
          <w:tcPr>
            <w:tcW w:w="4566" w:type="dxa"/>
          </w:tcPr>
          <w:p>
            <w:pPr>
              <w:keepNext w:val="0"/>
              <w:keepLines w:val="0"/>
              <w:pageBreakBefore w:val="0"/>
              <w:widowControl/>
              <w:kinsoku/>
              <w:wordWrap/>
              <w:overflowPunct/>
              <w:topLinePunct w:val="0"/>
              <w:autoSpaceDE/>
              <w:autoSpaceDN/>
              <w:bidi w:val="0"/>
              <w:adjustRightInd/>
              <w:snapToGrid/>
              <w:spacing w:after="120" w:line="6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基于符合国际生态毒性评价技术标准的评价方法对所构建的生物膜进行评价测试，证明其生态安全性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5" w:type="dxa"/>
          </w:tcPr>
          <w:p>
            <w:pPr>
              <w:keepNext w:val="0"/>
              <w:keepLines w:val="0"/>
              <w:pageBreakBefore w:val="0"/>
              <w:widowControl/>
              <w:kinsoku/>
              <w:wordWrap/>
              <w:overflowPunct/>
              <w:topLinePunct w:val="0"/>
              <w:autoSpaceDE/>
              <w:autoSpaceDN/>
              <w:bidi w:val="0"/>
              <w:adjustRightInd/>
              <w:snapToGrid/>
              <w:spacing w:after="120" w:line="6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研究结果分析及报告编写</w:t>
            </w:r>
          </w:p>
        </w:tc>
        <w:tc>
          <w:tcPr>
            <w:tcW w:w="4566" w:type="dxa"/>
          </w:tcPr>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需包含：</w:t>
            </w:r>
          </w:p>
          <w:p>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1、上述检测及研发的结果数据及分析；</w:t>
            </w:r>
          </w:p>
          <w:p>
            <w:pPr>
              <w:keepNext w:val="0"/>
              <w:keepLines w:val="0"/>
              <w:pageBreakBefore w:val="0"/>
              <w:widowControl/>
              <w:kinsoku/>
              <w:wordWrap/>
              <w:overflowPunct/>
              <w:topLinePunct w:val="0"/>
              <w:autoSpaceDE/>
              <w:autoSpaceDN/>
              <w:bidi w:val="0"/>
              <w:adjustRightInd/>
              <w:snapToGrid/>
              <w:spacing w:after="120" w:line="6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2、电活性生物膜的菌群组成及毒性响应规律</w:t>
            </w:r>
          </w:p>
          <w:p>
            <w:pPr>
              <w:keepNext w:val="0"/>
              <w:keepLines w:val="0"/>
              <w:pageBreakBefore w:val="0"/>
              <w:widowControl/>
              <w:kinsoku/>
              <w:wordWrap/>
              <w:overflowPunct/>
              <w:topLinePunct w:val="0"/>
              <w:autoSpaceDE/>
              <w:autoSpaceDN/>
              <w:bidi w:val="0"/>
              <w:adjustRightInd/>
              <w:snapToGrid/>
              <w:spacing w:after="120" w:line="6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3、生物膜具有生态安全性的证明材料；</w:t>
            </w:r>
          </w:p>
          <w:p>
            <w:pPr>
              <w:keepNext w:val="0"/>
              <w:keepLines w:val="0"/>
              <w:pageBreakBefore w:val="0"/>
              <w:widowControl/>
              <w:kinsoku/>
              <w:wordWrap/>
              <w:overflowPunct/>
              <w:topLinePunct w:val="0"/>
              <w:autoSpaceDE/>
              <w:autoSpaceDN/>
              <w:bidi w:val="0"/>
              <w:adjustRightInd/>
              <w:snapToGrid/>
              <w:spacing w:after="120" w:line="600" w:lineRule="exact"/>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4、申请发明专利一项</w:t>
            </w:r>
          </w:p>
        </w:tc>
      </w:tr>
    </w:tbl>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2.2服务工期：自合同生效之日起1年或合同研究内容完成为止，以先到者为准。</w:t>
      </w:r>
    </w:p>
    <w:p>
      <w:pPr>
        <w:keepNext w:val="0"/>
        <w:keepLines w:val="0"/>
        <w:pageBreakBefore w:val="0"/>
        <w:widowControl/>
        <w:kinsoku/>
        <w:wordWrap/>
        <w:overflowPunct/>
        <w:topLinePunct w:val="0"/>
        <w:bidi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合同价格</w:t>
      </w:r>
    </w:p>
    <w:p>
      <w:pPr>
        <w:keepNext w:val="0"/>
        <w:keepLines w:val="0"/>
        <w:pageBreakBefore w:val="0"/>
        <w:widowControl/>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3.1本合同总价为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。本合同约定的价格为含税价（税率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%），合同履行期间国家税率调整或乙方开票的实际税率与前述税率不一致的，价税合计按实际税率相应调整，以开具发票时间为准。</w:t>
      </w:r>
    </w:p>
    <w:p>
      <w:pPr>
        <w:keepNext w:val="0"/>
        <w:keepLines w:val="0"/>
        <w:pageBreakBefore w:val="0"/>
        <w:widowControl/>
        <w:kinsoku/>
        <w:wordWrap/>
        <w:overflowPunct/>
        <w:topLinePunct w:val="0"/>
        <w:bidi w:val="0"/>
        <w:spacing w:line="360" w:lineRule="auto"/>
        <w:ind w:firstLine="482" w:firstLineChars="200"/>
        <w:rPr>
          <w:rFonts w:hint="eastAsia" w:ascii="宋体" w:hAnsi="宋体" w:eastAsia="宋体" w:cs="宋体"/>
          <w:b/>
          <w:bCs w:val="0"/>
          <w:snapToGrid w:val="0"/>
          <w:color w:val="auto"/>
          <w:sz w:val="24"/>
          <w:szCs w:val="24"/>
          <w:highlight w:val="none"/>
        </w:rPr>
      </w:pPr>
      <w:r>
        <w:rPr>
          <w:rFonts w:hint="eastAsia" w:ascii="宋体" w:hAnsi="宋体" w:eastAsia="宋体" w:cs="宋体"/>
          <w:b/>
          <w:bCs w:val="0"/>
          <w:snapToGrid w:val="0"/>
          <w:color w:val="auto"/>
          <w:sz w:val="24"/>
          <w:szCs w:val="24"/>
          <w:highlight w:val="none"/>
        </w:rPr>
        <w:t>第四条 甲方责任和义务</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4.1甲方辖下各分公司指定项目联系人负责本项目工作事项的联络沟通。</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4.2甲方须按照本合同约定向乙方支付技术研发服务的工作报酬。</w:t>
      </w:r>
    </w:p>
    <w:p>
      <w:pPr>
        <w:keepNext w:val="0"/>
        <w:keepLines w:val="0"/>
        <w:pageBreakBefore w:val="0"/>
        <w:widowControl/>
        <w:kinsoku/>
        <w:wordWrap/>
        <w:overflowPunct/>
        <w:topLinePunct w:val="0"/>
        <w:bidi w:val="0"/>
        <w:spacing w:line="360" w:lineRule="auto"/>
        <w:ind w:firstLine="482" w:firstLineChars="200"/>
        <w:rPr>
          <w:rFonts w:hint="eastAsia" w:ascii="宋体" w:hAnsi="宋体" w:eastAsia="宋体" w:cs="宋体"/>
          <w:b/>
          <w:bCs w:val="0"/>
          <w:snapToGrid w:val="0"/>
          <w:color w:val="auto"/>
          <w:sz w:val="24"/>
          <w:szCs w:val="24"/>
          <w:highlight w:val="none"/>
        </w:rPr>
      </w:pPr>
      <w:r>
        <w:rPr>
          <w:rFonts w:hint="eastAsia" w:ascii="宋体" w:hAnsi="宋体" w:eastAsia="宋体" w:cs="宋体"/>
          <w:b/>
          <w:bCs w:val="0"/>
          <w:snapToGrid w:val="0"/>
          <w:color w:val="auto"/>
          <w:sz w:val="24"/>
          <w:szCs w:val="24"/>
          <w:highlight w:val="none"/>
        </w:rPr>
        <w:t>第五条 乙方责任和义务</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5.1乙方指定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w:t>
      </w:r>
      <w:r>
        <w:rPr>
          <w:rFonts w:hint="eastAsia" w:ascii="宋体" w:hAnsi="宋体" w:eastAsia="宋体" w:cs="宋体"/>
          <w:snapToGrid w:val="0"/>
          <w:color w:val="auto"/>
          <w:sz w:val="24"/>
          <w:szCs w:val="24"/>
          <w:highlight w:val="none"/>
        </w:rPr>
        <w:t>乙方项目联系人及</w:t>
      </w:r>
      <w:r>
        <w:rPr>
          <w:rFonts w:hint="eastAsia" w:ascii="宋体" w:hAnsi="宋体" w:eastAsia="宋体" w:cs="宋体"/>
          <w:color w:val="auto"/>
          <w:sz w:val="24"/>
          <w:szCs w:val="24"/>
          <w:highlight w:val="none"/>
        </w:rPr>
        <w:t>现场代表</w:t>
      </w:r>
      <w:r>
        <w:rPr>
          <w:rFonts w:hint="eastAsia" w:ascii="宋体" w:hAnsi="宋体" w:eastAsia="宋体" w:cs="宋体"/>
          <w:snapToGrid w:val="0"/>
          <w:color w:val="auto"/>
          <w:sz w:val="24"/>
          <w:szCs w:val="24"/>
          <w:highlight w:val="none"/>
        </w:rPr>
        <w:t>，</w:t>
      </w:r>
      <w:r>
        <w:rPr>
          <w:rFonts w:hint="eastAsia" w:ascii="宋体" w:hAnsi="宋体" w:eastAsia="宋体" w:cs="宋体"/>
          <w:bCs/>
          <w:snapToGrid w:val="0"/>
          <w:color w:val="auto"/>
          <w:sz w:val="24"/>
          <w:szCs w:val="24"/>
          <w:highlight w:val="none"/>
        </w:rPr>
        <w:t>联系电话：</w:t>
      </w:r>
      <w:r>
        <w:rPr>
          <w:rFonts w:hint="eastAsia" w:ascii="宋体" w:hAnsi="宋体" w:eastAsia="宋体" w:cs="宋体"/>
          <w:bCs/>
          <w:snapToGrid w:val="0"/>
          <w:color w:val="auto"/>
          <w:sz w:val="24"/>
          <w:szCs w:val="24"/>
          <w:highlight w:val="none"/>
          <w:u w:val="single"/>
        </w:rPr>
        <w:t xml:space="preserve">          </w:t>
      </w:r>
      <w:r>
        <w:rPr>
          <w:rFonts w:hint="eastAsia" w:ascii="宋体" w:hAnsi="宋体" w:eastAsia="宋体" w:cs="宋体"/>
          <w:bCs/>
          <w:snapToGrid w:val="0"/>
          <w:color w:val="auto"/>
          <w:sz w:val="24"/>
          <w:szCs w:val="24"/>
          <w:highlight w:val="none"/>
        </w:rPr>
        <w:t>，负责本项目工作事项的联络沟通，完成</w:t>
      </w:r>
      <w:r>
        <w:rPr>
          <w:rFonts w:hint="eastAsia" w:ascii="宋体" w:hAnsi="宋体" w:eastAsia="宋体" w:cs="宋体"/>
          <w:color w:val="auto"/>
          <w:sz w:val="24"/>
          <w:szCs w:val="24"/>
          <w:highlight w:val="none"/>
        </w:rPr>
        <w:t>项目检测报告。</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若乙方需变更项目联系人及</w:t>
      </w:r>
      <w:r>
        <w:rPr>
          <w:rFonts w:hint="eastAsia" w:ascii="宋体" w:hAnsi="宋体" w:eastAsia="宋体" w:cs="宋体"/>
          <w:color w:val="auto"/>
          <w:sz w:val="24"/>
          <w:szCs w:val="24"/>
          <w:highlight w:val="none"/>
        </w:rPr>
        <w:t>现场代表</w:t>
      </w:r>
      <w:r>
        <w:rPr>
          <w:rFonts w:hint="eastAsia" w:ascii="宋体" w:hAnsi="宋体" w:eastAsia="宋体" w:cs="宋体"/>
          <w:snapToGrid w:val="0"/>
          <w:color w:val="auto"/>
          <w:sz w:val="24"/>
          <w:szCs w:val="24"/>
          <w:highlight w:val="none"/>
        </w:rPr>
        <w:t>，应及时以邮件或书面形式通知甲方。若乙方未履行及时通知义务，影响本合同的履行或造成损失的，乙方应一次性支付本合同价总额的 10%作为违约金，并承担相应的法律责任。</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5.2乙方须按照下列要求提交本合同技术研发成果。</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color w:val="auto"/>
          <w:sz w:val="24"/>
          <w:szCs w:val="24"/>
          <w:highlight w:val="none"/>
        </w:rPr>
        <w:t>5.2.1</w:t>
      </w:r>
      <w:r>
        <w:rPr>
          <w:rFonts w:hint="eastAsia" w:ascii="宋体" w:hAnsi="宋体" w:eastAsia="宋体" w:cs="宋体"/>
          <w:snapToGrid w:val="0"/>
          <w:color w:val="auto"/>
          <w:sz w:val="24"/>
          <w:szCs w:val="24"/>
          <w:highlight w:val="none"/>
        </w:rPr>
        <w:t>合同签订后30天内，</w:t>
      </w:r>
      <w:r>
        <w:rPr>
          <w:rFonts w:hint="eastAsia" w:ascii="宋体" w:hAnsi="宋体" w:eastAsia="宋体" w:cs="宋体"/>
          <w:color w:val="auto"/>
          <w:sz w:val="24"/>
          <w:szCs w:val="24"/>
          <w:highlight w:val="none"/>
        </w:rPr>
        <w:t>乙方需向甲方提交</w:t>
      </w:r>
      <w:r>
        <w:rPr>
          <w:rFonts w:hint="eastAsia" w:ascii="宋体" w:hAnsi="宋体" w:eastAsia="宋体" w:cs="宋体"/>
          <w:snapToGrid w:val="0"/>
          <w:color w:val="auto"/>
          <w:sz w:val="24"/>
          <w:szCs w:val="24"/>
          <w:highlight w:val="none"/>
        </w:rPr>
        <w:t>项目的具体实施方案（包括具体的样品采集、检测措施，具体的研究方案，预期的项目进展，预期的中期报告完成时间、预期的结题完成时间）的编制。</w:t>
      </w:r>
    </w:p>
    <w:p>
      <w:pPr>
        <w:keepNext w:val="0"/>
        <w:keepLines w:val="0"/>
        <w:pageBreakBefore w:val="0"/>
        <w:widowControl/>
        <w:kinsoku/>
        <w:wordWrap/>
        <w:overflowPunct/>
        <w:topLinePunct w:val="0"/>
        <w:bidi w:val="0"/>
        <w:adjustRightInd/>
        <w:snapToGrid/>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5.2.2合同签订半年内，乙方须向甲方提交</w:t>
      </w:r>
      <w:r>
        <w:rPr>
          <w:rFonts w:hint="eastAsia" w:ascii="宋体" w:hAnsi="宋体" w:eastAsia="宋体" w:cs="宋体"/>
          <w:snapToGrid w:val="0"/>
          <w:color w:val="auto"/>
          <w:kern w:val="0"/>
          <w:sz w:val="24"/>
          <w:szCs w:val="24"/>
          <w:highlight w:val="none"/>
        </w:rPr>
        <w:t>中期报告：需包含</w:t>
      </w:r>
      <w:r>
        <w:rPr>
          <w:rFonts w:hint="eastAsia" w:ascii="宋体" w:hAnsi="宋体" w:eastAsia="宋体" w:cs="宋体"/>
          <w:snapToGrid w:val="0"/>
          <w:color w:val="auto"/>
          <w:sz w:val="24"/>
          <w:szCs w:val="24"/>
          <w:highlight w:val="none"/>
        </w:rPr>
        <w:t>2.1.2技术研发成果</w:t>
      </w:r>
      <w:r>
        <w:rPr>
          <w:rFonts w:hint="eastAsia" w:ascii="宋体" w:hAnsi="宋体" w:eastAsia="宋体" w:cs="宋体"/>
          <w:snapToGrid w:val="0"/>
          <w:color w:val="auto"/>
          <w:sz w:val="24"/>
          <w:szCs w:val="24"/>
          <w:highlight w:val="none"/>
          <w:lang w:val="en-US" w:eastAsia="zh-CN"/>
        </w:rPr>
        <w:t>中</w:t>
      </w:r>
      <w:r>
        <w:rPr>
          <w:rFonts w:hint="eastAsia" w:ascii="宋体" w:hAnsi="宋体" w:eastAsia="宋体" w:cs="宋体"/>
          <w:snapToGrid w:val="0"/>
          <w:color w:val="auto"/>
          <w:sz w:val="24"/>
          <w:szCs w:val="24"/>
          <w:highlight w:val="none"/>
        </w:rPr>
        <w:t>项目</w:t>
      </w:r>
      <w:r>
        <w:rPr>
          <w:rFonts w:hint="eastAsia" w:ascii="宋体" w:hAnsi="宋体" w:eastAsia="宋体" w:cs="宋体"/>
          <w:snapToGrid w:val="0"/>
          <w:color w:val="auto"/>
          <w:sz w:val="24"/>
          <w:szCs w:val="24"/>
          <w:highlight w:val="none"/>
          <w:lang w:val="en-US" w:eastAsia="zh-CN"/>
        </w:rPr>
        <w:t>、内容要求</w:t>
      </w:r>
      <w:r>
        <w:rPr>
          <w:rFonts w:hint="eastAsia" w:ascii="宋体" w:hAnsi="宋体" w:eastAsia="宋体" w:cs="宋体"/>
          <w:snapToGrid w:val="0"/>
          <w:color w:val="auto"/>
          <w:kern w:val="0"/>
          <w:sz w:val="24"/>
          <w:szCs w:val="24"/>
          <w:highlight w:val="none"/>
        </w:rPr>
        <w:t>不少于</w:t>
      </w:r>
      <w:r>
        <w:rPr>
          <w:rFonts w:hint="eastAsia" w:ascii="宋体" w:hAnsi="宋体" w:eastAsia="宋体" w:cs="宋体"/>
          <w:snapToGrid w:val="0"/>
          <w:color w:val="auto"/>
          <w:kern w:val="0"/>
          <w:sz w:val="24"/>
          <w:szCs w:val="24"/>
          <w:highlight w:val="none"/>
          <w:lang w:val="en-US" w:eastAsia="zh-CN"/>
        </w:rPr>
        <w:t>2项</w:t>
      </w:r>
      <w:r>
        <w:rPr>
          <w:rFonts w:hint="eastAsia" w:ascii="宋体" w:hAnsi="宋体" w:eastAsia="宋体" w:cs="宋体"/>
          <w:snapToGrid w:val="0"/>
          <w:color w:val="auto"/>
          <w:kern w:val="0"/>
          <w:sz w:val="24"/>
          <w:szCs w:val="24"/>
          <w:highlight w:val="none"/>
        </w:rPr>
        <w:t>的结果</w:t>
      </w:r>
      <w:r>
        <w:rPr>
          <w:rFonts w:hint="eastAsia" w:ascii="宋体" w:hAnsi="宋体" w:eastAsia="宋体" w:cs="宋体"/>
          <w:color w:val="auto"/>
          <w:sz w:val="24"/>
          <w:szCs w:val="24"/>
          <w:highlight w:val="none"/>
        </w:rPr>
        <w:t>，并得到2.1.1具体研究内容不少于一点的结论</w:t>
      </w:r>
      <w:r>
        <w:rPr>
          <w:rFonts w:hint="eastAsia" w:ascii="宋体" w:hAnsi="宋体" w:eastAsia="宋体" w:cs="宋体"/>
          <w:snapToGrid w:val="0"/>
          <w:color w:val="auto"/>
          <w:kern w:val="0"/>
          <w:sz w:val="24"/>
          <w:szCs w:val="24"/>
          <w:highlight w:val="none"/>
        </w:rPr>
        <w:t>。</w:t>
      </w:r>
    </w:p>
    <w:p>
      <w:pPr>
        <w:keepNext w:val="0"/>
        <w:keepLines w:val="0"/>
        <w:pageBreakBefore w:val="0"/>
        <w:widowControl/>
        <w:kinsoku/>
        <w:wordWrap/>
        <w:overflowPunct/>
        <w:topLinePunct w:val="0"/>
        <w:bidi w:val="0"/>
        <w:adjustRightInd/>
        <w:snapToGrid/>
        <w:spacing w:line="360" w:lineRule="auto"/>
        <w:ind w:firstLine="480" w:firstLineChars="200"/>
        <w:rPr>
          <w:rFonts w:hint="eastAsia" w:ascii="宋体" w:hAnsi="宋体" w:eastAsia="宋体" w:cs="宋体"/>
          <w:snapToGrid w:val="0"/>
          <w:color w:val="auto"/>
          <w:sz w:val="24"/>
          <w:szCs w:val="24"/>
          <w:highlight w:val="none"/>
        </w:rPr>
      </w:pPr>
      <w:r>
        <w:rPr>
          <w:rFonts w:hint="eastAsia" w:ascii="宋体" w:hAnsi="宋体" w:eastAsia="宋体" w:cs="宋体"/>
          <w:snapToGrid w:val="0"/>
          <w:color w:val="auto"/>
          <w:sz w:val="24"/>
          <w:szCs w:val="24"/>
          <w:highlight w:val="none"/>
        </w:rPr>
        <w:t>5.2.3</w:t>
      </w:r>
      <w:r>
        <w:rPr>
          <w:rFonts w:hint="eastAsia" w:ascii="宋体" w:hAnsi="宋体" w:eastAsia="宋体" w:cs="宋体"/>
          <w:color w:val="auto"/>
          <w:sz w:val="24"/>
          <w:szCs w:val="24"/>
          <w:highlight w:val="none"/>
        </w:rPr>
        <w:t>合同签订一年内，乙方须向甲方提交</w:t>
      </w:r>
      <w:r>
        <w:rPr>
          <w:rFonts w:hint="eastAsia" w:ascii="宋体" w:hAnsi="宋体" w:eastAsia="宋体" w:cs="宋体"/>
          <w:snapToGrid w:val="0"/>
          <w:color w:val="auto"/>
          <w:sz w:val="24"/>
          <w:szCs w:val="24"/>
          <w:highlight w:val="none"/>
        </w:rPr>
        <w:t>结题报告：需包含2.1.2技术研发</w:t>
      </w:r>
      <w:r>
        <w:rPr>
          <w:rFonts w:hint="eastAsia" w:ascii="宋体" w:hAnsi="宋体" w:eastAsia="宋体" w:cs="宋体"/>
          <w:snapToGrid w:val="0"/>
          <w:color w:val="auto"/>
          <w:sz w:val="24"/>
          <w:szCs w:val="24"/>
          <w:highlight w:val="none"/>
          <w:lang w:eastAsia="zh-CN"/>
        </w:rPr>
        <w:t>成果</w:t>
      </w:r>
      <w:r>
        <w:rPr>
          <w:rFonts w:hint="eastAsia" w:ascii="宋体" w:hAnsi="宋体" w:eastAsia="宋体" w:cs="宋体"/>
          <w:snapToGrid w:val="0"/>
          <w:color w:val="auto"/>
          <w:sz w:val="24"/>
          <w:szCs w:val="24"/>
          <w:highlight w:val="none"/>
        </w:rPr>
        <w:t>全部项目</w:t>
      </w:r>
      <w:r>
        <w:rPr>
          <w:rFonts w:hint="eastAsia" w:ascii="宋体" w:hAnsi="宋体" w:eastAsia="宋体" w:cs="宋体"/>
          <w:snapToGrid w:val="0"/>
          <w:color w:val="auto"/>
          <w:sz w:val="24"/>
          <w:szCs w:val="24"/>
          <w:highlight w:val="none"/>
          <w:lang w:eastAsia="zh-CN"/>
        </w:rPr>
        <w:t>、</w:t>
      </w:r>
      <w:r>
        <w:rPr>
          <w:rFonts w:hint="eastAsia" w:ascii="宋体" w:hAnsi="宋体" w:eastAsia="宋体" w:cs="宋体"/>
          <w:snapToGrid w:val="0"/>
          <w:color w:val="auto"/>
          <w:sz w:val="24"/>
          <w:szCs w:val="24"/>
          <w:highlight w:val="none"/>
        </w:rPr>
        <w:t>内容要求的成果，并得到2.1.1具体研究内容的全部结论；以甲方为主体申请发明专利一项。</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5.3乙方须做到下列规定要求</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 乙方保证检测及研究过程成果不侵犯其他任何第三方的知识产权，如因乙方原因导致甲方涉及知识产权的纠纷，则由乙方承担全部责任。</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5.3.2 乙方不得擅自将检测及研究结果向第三方泄露、转让，如发生上述情况，甲方有权要求乙方支付本合同总额的20%作为违约金并承担因此造成的法律责任和损失。</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snapToGrid w:val="0"/>
          <w:color w:val="auto"/>
          <w:kern w:val="0"/>
          <w:sz w:val="24"/>
          <w:szCs w:val="24"/>
          <w:highlight w:val="none"/>
        </w:rPr>
      </w:pPr>
      <w:r>
        <w:rPr>
          <w:rFonts w:hint="eastAsia" w:ascii="宋体" w:hAnsi="宋体" w:eastAsia="宋体" w:cs="宋体"/>
          <w:color w:val="auto"/>
          <w:sz w:val="24"/>
          <w:szCs w:val="24"/>
          <w:highlight w:val="none"/>
        </w:rPr>
        <w:t>5.3.3.乙方需对提供的成果负责，报告结果需真实、准确，并符合相关规范要求：若因乙方原因造成报告出现错误或不能真实反映情况，乙方需无条件重新对错误的部分进行重新检测，并赔偿甲方由此引起的相关费用</w:t>
      </w:r>
      <w:r>
        <w:rPr>
          <w:rFonts w:hint="eastAsia" w:ascii="宋体" w:hAnsi="宋体" w:eastAsia="宋体" w:cs="宋体"/>
          <w:snapToGrid w:val="0"/>
          <w:color w:val="auto"/>
          <w:kern w:val="0"/>
          <w:sz w:val="24"/>
          <w:szCs w:val="24"/>
          <w:highlight w:val="none"/>
        </w:rPr>
        <w:t>。</w:t>
      </w:r>
    </w:p>
    <w:p>
      <w:pPr>
        <w:keepNext w:val="0"/>
        <w:keepLines w:val="0"/>
        <w:pageBreakBefore w:val="0"/>
        <w:widowControl/>
        <w:kinsoku/>
        <w:wordWrap/>
        <w:overflowPunct/>
        <w:topLinePunct w:val="0"/>
        <w:bidi w:val="0"/>
        <w:spacing w:line="360" w:lineRule="auto"/>
        <w:ind w:firstLine="482" w:firstLineChars="200"/>
        <w:rPr>
          <w:rFonts w:hint="eastAsia" w:ascii="宋体" w:hAnsi="宋体" w:eastAsia="宋体" w:cs="宋体"/>
          <w:b/>
          <w:bCs/>
          <w:snapToGrid w:val="0"/>
          <w:color w:val="auto"/>
          <w:kern w:val="0"/>
          <w:sz w:val="24"/>
          <w:szCs w:val="24"/>
          <w:highlight w:val="none"/>
        </w:rPr>
      </w:pPr>
      <w:r>
        <w:rPr>
          <w:rFonts w:hint="eastAsia" w:ascii="宋体" w:hAnsi="宋体" w:eastAsia="宋体" w:cs="宋体"/>
          <w:b/>
          <w:bCs/>
          <w:color w:val="auto"/>
          <w:sz w:val="24"/>
          <w:szCs w:val="24"/>
          <w:highlight w:val="none"/>
        </w:rPr>
        <w:t>第六条 支付方式</w:t>
      </w:r>
    </w:p>
    <w:p>
      <w:pPr>
        <w:keepNext w:val="0"/>
        <w:keepLines w:val="0"/>
        <w:pageBreakBefore w:val="0"/>
        <w:widowControl/>
        <w:kinsoku/>
        <w:wordWrap/>
        <w:overflowPunct/>
        <w:topLinePunct w:val="0"/>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6.1合同价款由甲方分期支付乙方。具体支付方式和时间如下：</w:t>
      </w:r>
    </w:p>
    <w:p>
      <w:pPr>
        <w:keepNext w:val="0"/>
        <w:keepLines w:val="0"/>
        <w:pageBreakBefore w:val="0"/>
        <w:widowControl/>
        <w:numPr>
          <w:ilvl w:val="0"/>
          <w:numId w:val="0"/>
        </w:numPr>
        <w:kinsoku/>
        <w:wordWrap/>
        <w:overflowPunct/>
        <w:topLinePunct w:val="0"/>
        <w:bidi w:val="0"/>
        <w:spacing w:line="360" w:lineRule="auto"/>
        <w:ind w:firstLine="488" w:firstLineChars="200"/>
        <w:rPr>
          <w:rFonts w:hint="eastAsia" w:ascii="宋体" w:hAnsi="宋体" w:eastAsia="宋体" w:cs="宋体"/>
          <w:color w:val="auto"/>
          <w:sz w:val="24"/>
          <w:szCs w:val="24"/>
          <w:highlight w:val="none"/>
        </w:rPr>
      </w:pPr>
      <w:r>
        <w:rPr>
          <w:rFonts w:hint="eastAsia" w:ascii="宋体" w:hAnsi="宋体" w:eastAsia="宋体" w:cs="宋体"/>
          <w:bCs/>
          <w:color w:val="auto"/>
          <w:spacing w:val="2"/>
          <w:kern w:val="36"/>
          <w:position w:val="2"/>
          <w:sz w:val="24"/>
          <w:szCs w:val="24"/>
          <w:highlight w:val="none"/>
        </w:rPr>
        <w:t>6.1.1预付款的支付：</w:t>
      </w:r>
      <w:r>
        <w:rPr>
          <w:rFonts w:hint="eastAsia" w:ascii="宋体" w:hAnsi="宋体" w:eastAsia="宋体" w:cs="宋体"/>
          <w:bCs/>
          <w:color w:val="auto"/>
          <w:sz w:val="24"/>
          <w:szCs w:val="24"/>
          <w:highlight w:val="none"/>
        </w:rPr>
        <w:sym w:font="Wingdings" w:char="F0FE"/>
      </w:r>
      <w:r>
        <w:rPr>
          <w:rFonts w:hint="eastAsia" w:ascii="宋体" w:hAnsi="宋体" w:eastAsia="宋体" w:cs="宋体"/>
          <w:bCs/>
          <w:color w:val="auto"/>
          <w:sz w:val="24"/>
          <w:szCs w:val="24"/>
          <w:highlight w:val="none"/>
        </w:rPr>
        <w:t xml:space="preserve">无；     </w:t>
      </w:r>
      <w:r>
        <w:rPr>
          <w:rFonts w:hint="eastAsia" w:ascii="宋体" w:hAnsi="宋体" w:eastAsia="宋体" w:cs="宋体"/>
          <w:bCs/>
          <w:color w:val="auto"/>
          <w:sz w:val="24"/>
          <w:szCs w:val="24"/>
          <w:highlight w:val="none"/>
        </w:rPr>
        <w:sym w:font="Wingdings" w:char="F0A8"/>
      </w:r>
      <w:r>
        <w:rPr>
          <w:rFonts w:hint="eastAsia" w:ascii="宋体" w:hAnsi="宋体" w:eastAsia="宋体" w:cs="宋体"/>
          <w:bCs/>
          <w:color w:val="auto"/>
          <w:sz w:val="24"/>
          <w:szCs w:val="24"/>
          <w:highlight w:val="none"/>
        </w:rPr>
        <w:t>有，合同签订后乙方开具等额的增值税专用发票，提交预付款担保后</w:t>
      </w:r>
      <w:r>
        <w:rPr>
          <w:rFonts w:hint="eastAsia" w:ascii="宋体" w:hAnsi="宋体" w:eastAsia="宋体" w:cs="宋体"/>
          <w:bCs/>
          <w:color w:val="auto"/>
          <w:sz w:val="24"/>
          <w:szCs w:val="24"/>
          <w:highlight w:val="none"/>
          <w:u w:val="single"/>
        </w:rPr>
        <w:t xml:space="preserve"> / </w:t>
      </w:r>
      <w:r>
        <w:rPr>
          <w:rFonts w:hint="eastAsia" w:ascii="宋体" w:hAnsi="宋体" w:eastAsia="宋体" w:cs="宋体"/>
          <w:bCs/>
          <w:color w:val="auto"/>
          <w:sz w:val="24"/>
          <w:szCs w:val="24"/>
          <w:highlight w:val="none"/>
        </w:rPr>
        <w:t>个工作日内，甲方支付合同</w:t>
      </w:r>
      <w:r>
        <w:rPr>
          <w:rFonts w:hint="eastAsia" w:ascii="宋体" w:hAnsi="宋体" w:eastAsia="宋体" w:cs="宋体"/>
          <w:color w:val="auto"/>
          <w:sz w:val="24"/>
          <w:szCs w:val="24"/>
          <w:highlight w:val="none"/>
        </w:rPr>
        <w:t>总价</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u w:val="single"/>
        </w:rPr>
        <w:t xml:space="preserve">  /  </w:t>
      </w:r>
      <w:r>
        <w:rPr>
          <w:rFonts w:hint="eastAsia" w:ascii="宋体" w:hAnsi="宋体" w:eastAsia="宋体" w:cs="宋体"/>
          <w:color w:val="auto"/>
          <w:sz w:val="24"/>
          <w:szCs w:val="24"/>
          <w:highlight w:val="none"/>
        </w:rPr>
        <w:t>即</w:t>
      </w:r>
      <w:r>
        <w:rPr>
          <w:rFonts w:hint="eastAsia" w:ascii="宋体" w:hAnsi="宋体" w:eastAsia="宋体" w:cs="宋体"/>
          <w:color w:val="auto"/>
          <w:sz w:val="24"/>
          <w:szCs w:val="24"/>
          <w:highlight w:val="none"/>
          <w:u w:val="single"/>
        </w:rPr>
        <w:t xml:space="preserve"> / 元，（大写：/）</w:t>
      </w:r>
      <w:r>
        <w:rPr>
          <w:rFonts w:hint="eastAsia" w:ascii="宋体" w:hAnsi="宋体" w:eastAsia="宋体" w:cs="宋体"/>
          <w:color w:val="auto"/>
          <w:sz w:val="24"/>
          <w:szCs w:val="24"/>
          <w:highlight w:val="none"/>
        </w:rPr>
        <w:t>。若合同解除或终止，乙方在</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个工作日内返还预付款（无息）。逾期未返还，每逾期一天，乙方应按资本性支出费用的</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支付违约金。</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6.1.2进度款的支付：</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1）乙方向甲方提交项目的具体实施方案（方案需包含5.2.1乙方服务进度节点要求的内容）的编制，经甲方确认后，由乙方提交申请支付资料15个工作日内，甲方支付至合同总价的20%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2）乙方完成项目中期报告（需满足5.2.2要求的内容），且经甲方召开的项目中期进展专家会议评审通过后，由乙方提交申请支付资料15个工作日内，甲方支付至合同总价的 60%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3）乙方完成项目结题报告（需满足5.2.3要求的内容），且经甲方召开的项目结题专家会议评审通过后，由乙方提交申请支付资料15个工作日内，甲方支付至合同总价的 100%</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rPr>
        <w:t>6.2如乙方应向甲方支付违约金、赔偿款或者其他款项，应当在接到甲方通知后</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rPr>
        <w:t>日内付清，甲方有权直接从应付款项中抵扣。</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6.3乙方收款账户：                          ；</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收款账号：                          ；</w:t>
      </w:r>
    </w:p>
    <w:p>
      <w:pPr>
        <w:keepNext w:val="0"/>
        <w:keepLines w:val="0"/>
        <w:pageBreakBefore w:val="0"/>
        <w:widowControl/>
        <w:kinsoku/>
        <w:wordWrap/>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开户行：                            ；</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6.4乙方在收款前需提交等额增值税专用发票给甲方。</w:t>
      </w:r>
    </w:p>
    <w:p>
      <w:pPr>
        <w:keepNext w:val="0"/>
        <w:keepLines w:val="0"/>
        <w:pageBreakBefore w:val="0"/>
        <w:widowControl/>
        <w:kinsoku/>
        <w:wordWrap/>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增值税专用发票信息：</w:t>
      </w:r>
    </w:p>
    <w:p>
      <w:pPr>
        <w:keepNext w:val="0"/>
        <w:keepLines w:val="0"/>
        <w:pageBreakBefore w:val="0"/>
        <w:widowControl/>
        <w:kinsoku/>
        <w:wordWrap/>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公司名称:广州市净水有限公司 </w:t>
      </w:r>
    </w:p>
    <w:p>
      <w:pPr>
        <w:keepNext w:val="0"/>
        <w:keepLines w:val="0"/>
        <w:pageBreakBefore w:val="0"/>
        <w:widowControl/>
        <w:kinsoku/>
        <w:wordWrap/>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注册地址:广州市天河区临江大道 501 号 </w:t>
      </w:r>
    </w:p>
    <w:p>
      <w:pPr>
        <w:keepNext w:val="0"/>
        <w:keepLines w:val="0"/>
        <w:pageBreakBefore w:val="0"/>
        <w:widowControl/>
        <w:kinsoku/>
        <w:wordWrap/>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纳税人识别号：9144 0101 7555 8472 9Q </w:t>
      </w:r>
    </w:p>
    <w:p>
      <w:pPr>
        <w:keepNext w:val="0"/>
        <w:keepLines w:val="0"/>
        <w:pageBreakBefore w:val="0"/>
        <w:widowControl/>
        <w:kinsoku/>
        <w:wordWrap/>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电话：020-38890283 </w:t>
      </w:r>
    </w:p>
    <w:p>
      <w:pPr>
        <w:keepNext w:val="0"/>
        <w:keepLines w:val="0"/>
        <w:pageBreakBefore w:val="0"/>
        <w:widowControl/>
        <w:kinsoku/>
        <w:wordWrap/>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开户行:民生银行广州分行 </w:t>
      </w:r>
    </w:p>
    <w:p>
      <w:pPr>
        <w:keepNext w:val="0"/>
        <w:keepLines w:val="0"/>
        <w:pageBreakBefore w:val="0"/>
        <w:widowControl/>
        <w:kinsoku/>
        <w:wordWrap/>
        <w:overflowPunct/>
        <w:topLinePunct w:val="0"/>
        <w:bidi w:val="0"/>
        <w:spacing w:line="360" w:lineRule="auto"/>
        <w:ind w:firstLine="480" w:firstLineChars="200"/>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账号:0301 0141 4000 6932</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6.5付款方式： </w:t>
      </w:r>
      <w:r>
        <w:rPr>
          <w:rFonts w:hint="eastAsia" w:ascii="宋体" w:hAnsi="宋体" w:eastAsia="宋体" w:cs="宋体"/>
          <w:color w:val="auto"/>
          <w:sz w:val="24"/>
          <w:szCs w:val="24"/>
          <w:highlight w:val="none"/>
        </w:rPr>
        <w:sym w:font="Wingdings" w:char="F0FE"/>
      </w:r>
      <w:r>
        <w:rPr>
          <w:rFonts w:hint="eastAsia" w:ascii="宋体" w:hAnsi="宋体" w:eastAsia="宋体" w:cs="宋体"/>
          <w:color w:val="auto"/>
          <w:sz w:val="24"/>
          <w:szCs w:val="24"/>
          <w:highlight w:val="none"/>
        </w:rPr>
        <w:t xml:space="preserve">网银支付；  </w:t>
      </w:r>
      <w:r>
        <w:rPr>
          <w:rFonts w:hint="eastAsia" w:ascii="宋体" w:hAnsi="宋体" w:eastAsia="宋体" w:cs="宋体"/>
          <w:color w:val="auto"/>
          <w:sz w:val="24"/>
          <w:szCs w:val="24"/>
          <w:highlight w:val="none"/>
        </w:rPr>
        <w:sym w:font="Wingdings" w:char="F0A8"/>
      </w:r>
      <w:r>
        <w:rPr>
          <w:rFonts w:hint="eastAsia" w:ascii="宋体" w:hAnsi="宋体" w:eastAsia="宋体" w:cs="宋体"/>
          <w:color w:val="auto"/>
          <w:sz w:val="24"/>
          <w:szCs w:val="24"/>
          <w:highlight w:val="none"/>
        </w:rPr>
        <w:t xml:space="preserve">支票；   </w:t>
      </w:r>
      <w:r>
        <w:rPr>
          <w:rFonts w:hint="eastAsia" w:ascii="宋体" w:hAnsi="宋体" w:eastAsia="宋体" w:cs="宋体"/>
          <w:color w:val="auto"/>
          <w:sz w:val="24"/>
          <w:szCs w:val="24"/>
          <w:highlight w:val="none"/>
        </w:rPr>
        <w:sym w:font="Wingdings" w:char="F0A8"/>
      </w:r>
      <w:r>
        <w:rPr>
          <w:rFonts w:hint="eastAsia" w:ascii="宋体" w:hAnsi="宋体" w:eastAsia="宋体" w:cs="宋体"/>
          <w:color w:val="auto"/>
          <w:sz w:val="24"/>
          <w:szCs w:val="24"/>
          <w:highlight w:val="none"/>
        </w:rPr>
        <w:t xml:space="preserve">其他：/       </w:t>
      </w:r>
    </w:p>
    <w:p>
      <w:pPr>
        <w:numPr>
          <w:ilvl w:val="0"/>
          <w:numId w:val="3"/>
        </w:numPr>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质量保证</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须安排具有从事相应专业知识和专业技能的技术人员跟踪负责项目的检测、数据分析、报告出具等流程工作，并与甲方（其所属各单位）做好对接工作。乙方技术人员对检测、结果评价过程中出现的问题情况，应及时与甲方（其所属各单位）联系，并就甲方（其所属各单位）反映的检测、数据审核和报告出具等环节中问题及时作出回应，及时安排重检或给出解决办法。</w:t>
      </w:r>
    </w:p>
    <w:p>
      <w:pPr>
        <w:keepNext w:val="0"/>
        <w:keepLines w:val="0"/>
        <w:pageBreakBefore w:val="0"/>
        <w:widowControl/>
        <w:kinsoku/>
        <w:wordWrap/>
        <w:overflowPunct/>
        <w:topLinePunct w:val="0"/>
        <w:bidi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8.1因不可抗力(如战争、台风、洪水或双方同意的其它情况)引起进度延误，在此情况下，进度应相应顺延，如延期超过30天，任何一方有权终止合同，但双方继续履行在合同终止前的责任和义务。</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8.2若违反本合同的约定，违约方应当按照当时生效的相关法律法规，承担违约责任。</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8.3若乙方未按合同要求进行检测、研究分析及提交相应成果报告，造成甲方损失的，乙方应支付本合同总额的</w:t>
      </w:r>
      <w:r>
        <w:rPr>
          <w:rFonts w:hint="eastAsia" w:ascii="宋体" w:hAnsi="宋体" w:eastAsia="宋体" w:cs="宋体"/>
          <w:color w:val="auto"/>
          <w:sz w:val="24"/>
          <w:szCs w:val="24"/>
          <w:highlight w:val="none"/>
          <w:u w:val="single"/>
        </w:rPr>
        <w:t xml:space="preserve"> 20 %</w:t>
      </w:r>
      <w:r>
        <w:rPr>
          <w:rFonts w:hint="eastAsia" w:ascii="宋体" w:hAnsi="宋体" w:eastAsia="宋体" w:cs="宋体"/>
          <w:color w:val="auto"/>
          <w:sz w:val="24"/>
          <w:szCs w:val="24"/>
          <w:highlight w:val="none"/>
        </w:rPr>
        <w:t>作为违约金并赔偿甲方损失。如果原样品在有效期内且甲方明确要求重检，乙方免费安排重新检测。</w:t>
      </w:r>
    </w:p>
    <w:p>
      <w:pPr>
        <w:keepNext w:val="0"/>
        <w:keepLines w:val="0"/>
        <w:pageBreakBefore w:val="0"/>
        <w:widowControl/>
        <w:kinsoku/>
        <w:wordWrap/>
        <w:overflowPunct/>
        <w:topLinePunct w:val="0"/>
        <w:autoSpaceDE w:val="0"/>
        <w:autoSpaceDN w:val="0"/>
        <w:bidi w:val="0"/>
        <w:adjustRightInd/>
        <w:snapToGrid/>
        <w:spacing w:line="360" w:lineRule="auto"/>
        <w:ind w:firstLine="480" w:firstLineChars="200"/>
        <w:textAlignment w:val="baseline"/>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8.4若乙方不能按时出具相应成果报告，除非向甲方书面报告原因且经甲方同意，每逾期1日，按合同总价的 1%支付违约金，逾期达到15天及以上的，甲方有权解除合同。甲方已支付部分经费，甲方可组织专家进行评审经费使用的合理性，认定为不合理支出部分甲方将有权要求乙方退回。</w:t>
      </w:r>
    </w:p>
    <w:p>
      <w:pPr>
        <w:keepNext w:val="0"/>
        <w:keepLines w:val="0"/>
        <w:pageBreakBefore w:val="0"/>
        <w:widowControl/>
        <w:kinsoku/>
        <w:wordWrap/>
        <w:overflowPunct/>
        <w:topLinePunct w:val="0"/>
        <w:bidi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第九条 合同的解除</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甲方解除合同</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9.1.1如乙方存在下述情况之一，甲方有权向乙方发出书面通知，全部或部分解除本合同：</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 乙方未能或无法在本合同约定或甲方另行指定的期限内提供部分或全部服务，并经甲方以书面形式催告后在15天期限内仍未提供； </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乙方提供服务存在严重的质量问题，导致本合同目的不能实现；</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乙方存在违反合同义务的其他情形；</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9.1.2甲方不再需要检测服务的，有权单方解除合同，但需提前7天通知乙方。</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乙方解除合同</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如甲方无正当理由未能按本合同约定期限向乙方支付合同款，并经乙方催告后在合理期限内仍未支付，乙方有权以书面通知解除本合同。</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9.3 如本合同因任何一方根据本条约定行使合同解除权而全部解除，本合同尚未履行部分终止履行；对本合同已经履行部分，行使合同解除权的一方有权根据本合同其他条款之约定采取救济措施，包括要求对方支付违约金、赔偿守约方因执行本合同而发生的一切支出费用及由此造成的一切损失。</w:t>
      </w:r>
    </w:p>
    <w:p>
      <w:pPr>
        <w:keepNext w:val="0"/>
        <w:keepLines w:val="0"/>
        <w:pageBreakBefore w:val="0"/>
        <w:widowControl/>
        <w:kinsoku/>
        <w:wordWrap/>
        <w:overflowPunct/>
        <w:topLinePunct w:val="0"/>
        <w:bidi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 不可抗力</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⑴ 地震、火山爆发、滑坡、暴雨（橙色预警及以上）、台风（黄色预警及以上）、海啸、龙卷风、大面积流行病或瘟疫；</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⑵ 战争行为、入侵、武装冲突或外敌行为、封锁、暴乱、恐怖行为或军事演习；</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kinsoku/>
        <w:wordWrap/>
        <w:overflowPunct/>
        <w:topLinePunct w:val="0"/>
        <w:bidi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第十一条 争议解决</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bookmarkStart w:id="19" w:name="_Toc306350469"/>
      <w:bookmarkStart w:id="20" w:name="_Toc183666533"/>
      <w:r>
        <w:rPr>
          <w:rFonts w:hint="eastAsia" w:ascii="宋体" w:hAnsi="宋体" w:eastAsia="宋体" w:cs="宋体"/>
          <w:color w:val="auto"/>
          <w:sz w:val="24"/>
          <w:szCs w:val="24"/>
          <w:highlight w:val="none"/>
        </w:rPr>
        <w:t>11.1甲乙双方应通过友好协商，解决在执行本合同所发生的或与本合同有关的一切争议。如协商不能解决争议，任何一方均可依法向甲方所在地人民法院提起诉讼。</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 在甲方同意的情况下，除有争端之外的合同其它部分在争端解决前应继续执行。</w:t>
      </w:r>
      <w:bookmarkEnd w:id="19"/>
      <w:bookmarkEnd w:id="20"/>
    </w:p>
    <w:p>
      <w:pPr>
        <w:keepNext w:val="0"/>
        <w:keepLines w:val="0"/>
        <w:pageBreakBefore w:val="0"/>
        <w:widowControl/>
        <w:kinsoku/>
        <w:wordWrap/>
        <w:overflowPunct/>
        <w:topLinePunct w:val="0"/>
        <w:bidi w:val="0"/>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第十二条  合同生效及其他</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12.1本合同经双方法定代表人或授权代表签字并加盖双方公章后生效。</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12.2本合同正文一式</w:t>
      </w:r>
      <w:r>
        <w:rPr>
          <w:rFonts w:hint="eastAsia" w:ascii="宋体" w:hAnsi="宋体" w:eastAsia="宋体" w:cs="宋体"/>
          <w:color w:val="auto"/>
          <w:sz w:val="24"/>
          <w:szCs w:val="24"/>
          <w:highlight w:val="none"/>
          <w:u w:val="single"/>
        </w:rPr>
        <w:t>捌</w:t>
      </w:r>
      <w:r>
        <w:rPr>
          <w:rFonts w:hint="eastAsia" w:ascii="宋体" w:hAnsi="宋体" w:eastAsia="宋体" w:cs="宋体"/>
          <w:color w:val="auto"/>
          <w:sz w:val="24"/>
          <w:szCs w:val="24"/>
          <w:highlight w:val="none"/>
        </w:rPr>
        <w:t>份，其中：甲方</w:t>
      </w:r>
      <w:r>
        <w:rPr>
          <w:rFonts w:hint="eastAsia" w:ascii="宋体" w:hAnsi="宋体" w:eastAsia="宋体" w:cs="宋体"/>
          <w:color w:val="auto"/>
          <w:sz w:val="24"/>
          <w:szCs w:val="24"/>
          <w:highlight w:val="none"/>
          <w:u w:val="single"/>
        </w:rPr>
        <w:t>陆</w:t>
      </w:r>
      <w:r>
        <w:rPr>
          <w:rFonts w:hint="eastAsia" w:ascii="宋体" w:hAnsi="宋体" w:eastAsia="宋体" w:cs="宋体"/>
          <w:color w:val="auto"/>
          <w:sz w:val="24"/>
          <w:szCs w:val="24"/>
          <w:highlight w:val="none"/>
        </w:rPr>
        <w:t>份，乙方</w:t>
      </w:r>
      <w:r>
        <w:rPr>
          <w:rFonts w:hint="eastAsia" w:ascii="宋体" w:hAnsi="宋体" w:eastAsia="宋体" w:cs="宋体"/>
          <w:color w:val="auto"/>
          <w:sz w:val="24"/>
          <w:szCs w:val="24"/>
          <w:highlight w:val="none"/>
          <w:u w:val="single"/>
        </w:rPr>
        <w:t>贰</w:t>
      </w:r>
      <w:r>
        <w:rPr>
          <w:rFonts w:hint="eastAsia" w:ascii="宋体" w:hAnsi="宋体" w:eastAsia="宋体" w:cs="宋体"/>
          <w:color w:val="auto"/>
          <w:sz w:val="24"/>
          <w:szCs w:val="24"/>
          <w:highlight w:val="none"/>
        </w:rPr>
        <w:t>份。</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 如需修改或补充本合同内容，双方应签署书面修改或补充协议，该等协议将作为本合同的一个组成部分。</w:t>
      </w:r>
    </w:p>
    <w:p>
      <w:pPr>
        <w:keepNext w:val="0"/>
        <w:keepLines w:val="0"/>
        <w:pageBreakBefore w:val="0"/>
        <w:widowControl/>
        <w:kinsoku/>
        <w:wordWrap/>
        <w:overflowPunct/>
        <w:topLinePunct w:val="0"/>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附件：1.廉洁协议</w:t>
      </w:r>
    </w:p>
    <w:p>
      <w:pPr>
        <w:keepNext w:val="0"/>
        <w:keepLines w:val="0"/>
        <w:pageBreakBefore w:val="0"/>
        <w:widowControl/>
        <w:kinsoku/>
        <w:wordWrap/>
        <w:overflowPunct/>
        <w:topLinePunct w:val="0"/>
        <w:bidi w:val="0"/>
        <w:spacing w:line="360" w:lineRule="auto"/>
        <w:ind w:left="479" w:leftChars="228" w:firstLine="720" w:firstLineChars="3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2.营运场所施工安全及消防安全协议书</w:t>
      </w:r>
    </w:p>
    <w:p>
      <w:pPr>
        <w:keepNext w:val="0"/>
        <w:keepLines w:val="0"/>
        <w:pageBreakBefore w:val="0"/>
        <w:widowControl/>
        <w:kinsoku/>
        <w:wordWrap/>
        <w:overflowPunct/>
        <w:topLinePunct w:val="0"/>
        <w:bidi w:val="0"/>
        <w:spacing w:line="360" w:lineRule="auto"/>
        <w:ind w:left="479" w:leftChars="228" w:firstLine="720" w:firstLineChars="300"/>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3</w:t>
      </w:r>
      <w:r>
        <w:rPr>
          <w:rFonts w:hint="eastAsia" w:ascii="宋体" w:hAnsi="宋体" w:eastAsia="宋体" w:cs="宋体"/>
          <w:color w:val="auto"/>
          <w:sz w:val="24"/>
          <w:szCs w:val="24"/>
          <w:highlight w:val="none"/>
        </w:rPr>
        <w:t>.</w:t>
      </w:r>
      <w:r>
        <w:rPr>
          <w:rFonts w:hint="eastAsia" w:ascii="宋体" w:hAnsi="宋体" w:eastAsia="宋体" w:cs="宋体"/>
          <w:color w:val="auto"/>
          <w:kern w:val="2"/>
          <w:sz w:val="24"/>
          <w:szCs w:val="24"/>
          <w:highlight w:val="none"/>
        </w:rPr>
        <w:t>工作保密承诺函</w:t>
      </w:r>
    </w:p>
    <w:p>
      <w:pPr>
        <w:keepNext w:val="0"/>
        <w:keepLines w:val="0"/>
        <w:pageBreakBefore w:val="0"/>
        <w:widowControl/>
        <w:kinsoku/>
        <w:wordWrap/>
        <w:overflowPunct/>
        <w:topLinePunct w:val="0"/>
        <w:bidi w:val="0"/>
        <w:spacing w:line="360" w:lineRule="auto"/>
        <w:ind w:left="479" w:leftChars="228"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4.成果</w:t>
      </w:r>
      <w:r>
        <w:rPr>
          <w:rFonts w:hint="eastAsia" w:ascii="宋体" w:hAnsi="宋体" w:eastAsia="宋体" w:cs="宋体"/>
          <w:color w:val="auto"/>
          <w:sz w:val="24"/>
          <w:szCs w:val="24"/>
          <w:highlight w:val="none"/>
          <w:lang w:val="en-US" w:eastAsia="zh-CN"/>
        </w:rPr>
        <w:t>归属</w:t>
      </w:r>
      <w:r>
        <w:rPr>
          <w:rFonts w:hint="eastAsia" w:ascii="宋体" w:hAnsi="宋体" w:eastAsia="宋体" w:cs="宋体"/>
          <w:color w:val="auto"/>
          <w:sz w:val="24"/>
          <w:szCs w:val="24"/>
          <w:highlight w:val="none"/>
        </w:rPr>
        <w:t>协议</w:t>
      </w:r>
    </w:p>
    <w:p>
      <w:pPr>
        <w:keepNext w:val="0"/>
        <w:keepLines w:val="0"/>
        <w:pageBreakBefore w:val="0"/>
        <w:widowControl/>
        <w:kinsoku/>
        <w:wordWrap/>
        <w:overflowPunct/>
        <w:topLinePunct w:val="0"/>
        <w:bidi w:val="0"/>
        <w:adjustRightInd w:val="0"/>
        <w:snapToGrid w:val="0"/>
        <w:spacing w:after="0" w:line="360" w:lineRule="auto"/>
        <w:ind w:firstLine="480" w:firstLineChars="200"/>
        <w:rPr>
          <w:rFonts w:hint="eastAsia" w:ascii="宋体" w:hAnsi="宋体" w:eastAsia="宋体" w:cs="宋体"/>
          <w:color w:val="auto"/>
          <w:kern w:val="0"/>
          <w:sz w:val="24"/>
          <w:szCs w:val="24"/>
          <w:highlight w:val="none"/>
          <w:lang w:val="en-US" w:eastAsia="zh-CN" w:bidi="ar-SA"/>
        </w:rPr>
      </w:pPr>
    </w:p>
    <w:tbl>
      <w:tblPr>
        <w:tblStyle w:val="26"/>
        <w:tblW w:w="0" w:type="auto"/>
        <w:jc w:val="center"/>
        <w:tblLayout w:type="fixed"/>
        <w:tblCellMar>
          <w:top w:w="0" w:type="dxa"/>
          <w:left w:w="108" w:type="dxa"/>
          <w:bottom w:w="0" w:type="dxa"/>
          <w:right w:w="108" w:type="dxa"/>
        </w:tblCellMar>
      </w:tblPr>
      <w:tblGrid>
        <w:gridCol w:w="4566"/>
        <w:gridCol w:w="4993"/>
      </w:tblGrid>
      <w:tr>
        <w:tblPrEx>
          <w:tblCellMar>
            <w:top w:w="0" w:type="dxa"/>
            <w:left w:w="108" w:type="dxa"/>
            <w:bottom w:w="0" w:type="dxa"/>
            <w:right w:w="108" w:type="dxa"/>
          </w:tblCellMar>
        </w:tblPrEx>
        <w:trPr>
          <w:trHeight w:val="3163" w:hRule="atLeast"/>
          <w:jc w:val="center"/>
        </w:trPr>
        <w:tc>
          <w:tcPr>
            <w:tcW w:w="4566" w:type="dxa"/>
          </w:tcPr>
          <w:p>
            <w:pPr>
              <w:keepNext w:val="0"/>
              <w:keepLines w:val="0"/>
              <w:pageBreakBefore w:val="0"/>
              <w:widowControl/>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甲方（盖章）：广州市净水有限公司</w:t>
            </w:r>
          </w:p>
          <w:p>
            <w:pPr>
              <w:keepNext w:val="0"/>
              <w:keepLines w:val="0"/>
              <w:pageBreakBefore w:val="0"/>
              <w:widowControl/>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法定代表或授权代表：</w:t>
            </w:r>
          </w:p>
          <w:p>
            <w:pPr>
              <w:keepNext w:val="0"/>
              <w:keepLines w:val="0"/>
              <w:pageBreakBefore w:val="0"/>
              <w:widowControl/>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签署日期：</w:t>
            </w:r>
          </w:p>
          <w:p>
            <w:pPr>
              <w:keepNext w:val="0"/>
              <w:keepLines w:val="0"/>
              <w:pageBreakBefore w:val="0"/>
              <w:widowControl/>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地址：广州市天河区临江大道501号</w:t>
            </w:r>
          </w:p>
          <w:p>
            <w:pPr>
              <w:keepNext w:val="0"/>
              <w:keepLines w:val="0"/>
              <w:pageBreakBefore w:val="0"/>
              <w:widowControl/>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电话：020-81791223</w:t>
            </w:r>
          </w:p>
          <w:p>
            <w:pPr>
              <w:keepNext w:val="0"/>
              <w:keepLines w:val="0"/>
              <w:pageBreakBefore w:val="0"/>
              <w:widowControl/>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传真：020-81793097</w:t>
            </w:r>
          </w:p>
          <w:p>
            <w:pPr>
              <w:keepNext w:val="0"/>
              <w:keepLines w:val="0"/>
              <w:pageBreakBefore w:val="0"/>
              <w:widowControl/>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经办人： </w:t>
            </w:r>
          </w:p>
        </w:tc>
        <w:tc>
          <w:tcPr>
            <w:tcW w:w="4993" w:type="dxa"/>
          </w:tcPr>
          <w:p>
            <w:pPr>
              <w:keepNext w:val="0"/>
              <w:keepLines w:val="0"/>
              <w:pageBreakBefore w:val="0"/>
              <w:widowControl/>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乙方（盖章）：  </w:t>
            </w:r>
          </w:p>
          <w:p>
            <w:pPr>
              <w:keepNext w:val="0"/>
              <w:keepLines w:val="0"/>
              <w:pageBreakBefore w:val="0"/>
              <w:widowControl/>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法定代表或授权代表： </w:t>
            </w:r>
          </w:p>
          <w:p>
            <w:pPr>
              <w:keepNext w:val="0"/>
              <w:keepLines w:val="0"/>
              <w:pageBreakBefore w:val="0"/>
              <w:widowControl/>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签署日期：</w:t>
            </w:r>
          </w:p>
          <w:p>
            <w:pPr>
              <w:keepNext w:val="0"/>
              <w:keepLines w:val="0"/>
              <w:pageBreakBefore w:val="0"/>
              <w:widowControl/>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地址： </w:t>
            </w:r>
          </w:p>
          <w:p>
            <w:pPr>
              <w:keepNext w:val="0"/>
              <w:keepLines w:val="0"/>
              <w:pageBreakBefore w:val="0"/>
              <w:widowControl/>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电话：  </w:t>
            </w:r>
          </w:p>
          <w:p>
            <w:pPr>
              <w:keepNext w:val="0"/>
              <w:keepLines w:val="0"/>
              <w:pageBreakBefore w:val="0"/>
              <w:widowControl/>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传真：  </w:t>
            </w:r>
          </w:p>
          <w:p>
            <w:pPr>
              <w:keepNext w:val="0"/>
              <w:keepLines w:val="0"/>
              <w:pageBreakBefore w:val="0"/>
              <w:widowControl/>
              <w:kinsoku/>
              <w:wordWrap/>
              <w:overflowPunct/>
              <w:topLinePunct w:val="0"/>
              <w:bidi w:val="0"/>
              <w:spacing w:line="360" w:lineRule="auto"/>
              <w:ind w:firstLine="420" w:firstLineChars="200"/>
              <w:rPr>
                <w:rFonts w:hint="eastAsia" w:ascii="宋体" w:hAnsi="宋体" w:eastAsia="宋体" w:cs="宋体"/>
                <w:color w:val="auto"/>
                <w:sz w:val="21"/>
                <w:szCs w:val="21"/>
                <w:highlight w:val="none"/>
              </w:rPr>
            </w:pPr>
          </w:p>
        </w:tc>
      </w:tr>
    </w:tbl>
    <w:p>
      <w:pPr>
        <w:rPr>
          <w:color w:val="auto"/>
          <w:highlight w:val="none"/>
        </w:rPr>
      </w:pPr>
    </w:p>
    <w:p>
      <w:pPr>
        <w:spacing w:line="240" w:lineRule="auto"/>
        <w:rPr>
          <w:color w:val="auto"/>
          <w:highlight w:val="none"/>
        </w:rPr>
      </w:pPr>
      <w:r>
        <w:rPr>
          <w:rFonts w:hint="eastAsia"/>
          <w:color w:val="auto"/>
          <w:highlight w:val="none"/>
        </w:rPr>
        <w:br w:type="page"/>
      </w:r>
      <w:r>
        <w:rPr>
          <w:rFonts w:hint="eastAsia" w:ascii="宋体" w:hAnsi="宋体" w:eastAsia="宋体" w:cs="宋体"/>
          <w:b/>
          <w:bCs/>
          <w:color w:val="auto"/>
          <w:sz w:val="24"/>
          <w:szCs w:val="24"/>
          <w:highlight w:val="none"/>
        </w:rPr>
        <w:t>附件1：廉洁协议</w:t>
      </w:r>
    </w:p>
    <w:p>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b/>
          <w:bCs/>
          <w:color w:val="auto"/>
          <w:sz w:val="44"/>
          <w:szCs w:val="44"/>
          <w:highlight w:val="none"/>
        </w:rPr>
      </w:pPr>
      <w:r>
        <w:rPr>
          <w:rFonts w:hint="eastAsia"/>
          <w:b/>
          <w:bCs/>
          <w:color w:val="auto"/>
          <w:sz w:val="44"/>
          <w:szCs w:val="44"/>
          <w:highlight w:val="none"/>
        </w:rPr>
        <w:t>廉洁协议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为促进双方诚信经营、廉洁从业，防范商业贿赂，保护国家、集体和当事人的合法权益，根据国家有关法律法规和广东省、广州市廉政建设的规定，</w:t>
      </w:r>
      <w:r>
        <w:rPr>
          <w:rFonts w:hint="eastAsia" w:ascii="宋体" w:hAnsi="宋体" w:eastAsia="宋体" w:cs="宋体"/>
          <w:color w:val="auto"/>
          <w:sz w:val="24"/>
          <w:szCs w:val="24"/>
          <w:highlight w:val="none"/>
          <w:u w:val="single"/>
        </w:rPr>
        <w:t>广州市净水有限公司</w:t>
      </w:r>
      <w:r>
        <w:rPr>
          <w:rFonts w:hint="eastAsia" w:ascii="宋体" w:hAnsi="宋体" w:eastAsia="宋体" w:cs="宋体"/>
          <w:color w:val="auto"/>
          <w:sz w:val="24"/>
          <w:szCs w:val="24"/>
          <w:highlight w:val="none"/>
        </w:rPr>
        <w:t>(以下称甲方)与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(以下称乙方)，特此订立本协议共同遵照执行。</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甲乙双方的权利和义务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（一）甲乙双方严格遵守国家关于市场准入、项目招标投标、市场经营活动等有关法律、法规相关政策及廉政建设的各项规定。</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（二）严格执行</w:t>
      </w:r>
      <w:r>
        <w:rPr>
          <w:rFonts w:hint="eastAsia" w:ascii="宋体" w:hAnsi="宋体" w:eastAsia="宋体" w:cs="宋体"/>
          <w:color w:val="auto"/>
          <w:sz w:val="24"/>
          <w:szCs w:val="24"/>
          <w:highlight w:val="none"/>
          <w:u w:val="single"/>
        </w:rPr>
        <w:t>广州市净水有限公司生物膜电流对水体生物毒性的响应规律及其调控技术研究（穗净水合[    ]   号）</w:t>
      </w:r>
      <w:r>
        <w:rPr>
          <w:rFonts w:hint="eastAsia" w:ascii="宋体" w:hAnsi="宋体" w:eastAsia="宋体" w:cs="宋体"/>
          <w:color w:val="auto"/>
          <w:sz w:val="24"/>
          <w:szCs w:val="24"/>
          <w:highlight w:val="none"/>
        </w:rPr>
        <w:t>合同（以下简称：主合同），自觉履行合同约定的相关义务。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（三）在业务活动中坚持公开、公正、诚信、透明的原则，不得损害国家、集体利益。</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（四）建立健全廉洁从业制度，开展廉洁教育，公布举报电话，监督并认真查处不廉洁及违法违纪行为。</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（五）发现对方在业务活动中有不廉洁行为，应及时提醒对方纠正。情节严重的，应向其有关监督部门检举。</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第二条甲方的义务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（一）甲方及其工作人员不得索要或接受乙方的礼金、有价证券和贵重物品，不得在乙方报销任何应由甲方或个人支付的费用等。</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（三）甲方及其工作人员不得要求或者接受乙方为其住房装修、婚丧嫁娶活动、配偶子女工作安排以及出国出境、旅游等提供方便等。</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（四）甲方工作人员不得在乙方或与乙方有股权关联的企业兼职，不得向乙方介绍家属或者亲友从事与甲方业务有关的经济活动。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（六）甲方工作人员不得利用职务之便收受乙方以回扣、手续费、加班费、咨询费、劳务费、协调费、辛苦费等各种名义给予或赠送的钱物。</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（七）甲方工作人员不得接受乙方给予或赠送的干股或红利。</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(八）不得存在其他违反廉洁规定的行为。</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第三条乙方的义务</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（一）乙方不得以任何理由向甲方及其工作人员行贿或馈赠礼金、有价证券、贵重礼品。</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（二)乙方不得以任何名义为甲方及其工作人员报销应由甲方单位或个人支付的任何费用。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（三）乙方不得以任何理由安排甲方工作人员参加可能影响相关业务公开、公正、公平性的宴请及娱乐活动。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（四）乙方不得为甲方单位和个人购置或提供通讯工具和高档办公用品等物品，也不得为甲方提供与工作无关的房屋、汽车等。</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（五）乙方不得擅自与甲方工作人员就主合同中的质量、数量、价格、工程量、验收等条款进行私下商谈或者达成默契。</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（六）乙方不得以回扣、手续费、加班费、咨询费、劳务费、协调费、辛苦费等各种名义向甲方工作人员给予或赠送钱物。</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（七）乙方不得向甲方工作人员提供干股或红利。</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(八）不得存在其他违反廉洁规定的行为。</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第四条违约责任</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甲方举报投诉联系部门：广州市净水有限公司</w:t>
      </w:r>
      <w:r>
        <w:rPr>
          <w:rFonts w:hint="eastAsia" w:ascii="宋体" w:hAnsi="宋体" w:eastAsia="宋体" w:cs="宋体"/>
          <w:color w:val="auto"/>
          <w:sz w:val="24"/>
          <w:szCs w:val="24"/>
          <w:highlight w:val="none"/>
          <w:u w:val="single"/>
        </w:rPr>
        <w:t>纪检室</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020-38890265 </w:t>
      </w:r>
      <w:r>
        <w:rPr>
          <w:rFonts w:hint="eastAsia" w:ascii="宋体" w:hAnsi="宋体" w:eastAsia="宋体" w:cs="宋体"/>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1、扣除主合同的全部履约保证金；</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2、解除主合同；</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3、追究乙方其他违约责任；</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4、根据甲方的有关规章制度，在一定时间内暂停乙方参与甲方及下属单位所有项目的交易资格；</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5、根据甲方的有关规章制度，将乙方清退出甲方相关企业库；</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6、根据甲方上级单位、行政主管部门的意见、决定执行；</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7、按规定向有关行政监督部门、乙方业务管理部门进行投诉、报告。</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乙方无条件接受甲方的处理决定并承担给甲方造成的损失，全额返还通过不正当手段获取的非法所得，并承担相应的法律责任。</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第五条 本协议执行情况，接受有管辖权的纪检、监察部门的监督，双方应予以配合检查调查。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第六条本协议作为广州市净水有限公司生物膜电流对水体生物毒性的响应规律及其调控技术研究（合同编号：穗净水合[202 ]     号）合同的附件，并具有同等的法律效力，本协议自双方签字盖章之日起生效，与主合同同时终止。</w:t>
      </w:r>
    </w:p>
    <w:p>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eastAsiaTheme="minorEastAsia"/>
          <w:color w:val="auto"/>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甲方（盖章）：                     乙方（盖章）：</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color w:val="auto"/>
          <w:sz w:val="24"/>
          <w:szCs w:val="24"/>
          <w:highlight w:val="none"/>
        </w:rPr>
        <w:t>签约代表：                         签约代表：</w:t>
      </w:r>
    </w:p>
    <w:p>
      <w:pPr>
        <w:spacing w:line="360" w:lineRule="auto"/>
        <w:ind w:firstLine="480" w:firstLineChars="200"/>
        <w:rPr>
          <w:rFonts w:cs="Times New Roman"/>
          <w:color w:val="auto"/>
          <w:sz w:val="24"/>
          <w:szCs w:val="28"/>
          <w:highlight w:val="none"/>
        </w:rPr>
        <w:sectPr>
          <w:headerReference r:id="rId5" w:type="default"/>
          <w:footerReference r:id="rId6" w:type="default"/>
          <w:pgSz w:w="11906" w:h="16838"/>
          <w:pgMar w:top="1089" w:right="1466" w:bottom="1089" w:left="1077" w:header="851" w:footer="992" w:gutter="0"/>
          <w:pgNumType w:fmt="decimal"/>
          <w:cols w:space="720" w:num="1"/>
          <w:docGrid w:type="lines" w:linePitch="312" w:charSpace="0"/>
        </w:sectPr>
      </w:pPr>
      <w:r>
        <w:rPr>
          <w:rFonts w:hint="eastAsia"/>
          <w:color w:val="auto"/>
          <w:sz w:val="24"/>
          <w:szCs w:val="28"/>
          <w:highlight w:val="none"/>
        </w:rPr>
        <w:t>日期:    年  月  日</w:t>
      </w:r>
      <w:r>
        <w:rPr>
          <w:rFonts w:hint="eastAsia"/>
          <w:color w:val="auto"/>
          <w:sz w:val="24"/>
          <w:szCs w:val="28"/>
          <w:highlight w:val="none"/>
        </w:rPr>
        <w:tab/>
      </w:r>
      <w:r>
        <w:rPr>
          <w:rFonts w:hint="eastAsia" w:asciiTheme="minorHAnsi" w:eastAsiaTheme="minorEastAsia"/>
          <w:color w:val="auto"/>
          <w:sz w:val="24"/>
          <w:szCs w:val="28"/>
          <w:highlight w:val="none"/>
          <w:lang w:val="en-US" w:eastAsia="zh-CN"/>
        </w:rPr>
        <w:t xml:space="preserve">               </w:t>
      </w:r>
      <w:r>
        <w:rPr>
          <w:rFonts w:hint="eastAsia"/>
          <w:color w:val="auto"/>
          <w:sz w:val="24"/>
          <w:szCs w:val="28"/>
          <w:highlight w:val="none"/>
        </w:rPr>
        <w:t>日期：  年  月  日</w:t>
      </w:r>
    </w:p>
    <w:p>
      <w:p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附件2：营运场所施工安全及消防安全协议书</w:t>
      </w:r>
    </w:p>
    <w:p>
      <w:pPr>
        <w:keepNext w:val="0"/>
        <w:keepLines w:val="0"/>
        <w:pageBreakBefore w:val="0"/>
        <w:widowControl w:val="0"/>
        <w:kinsoku/>
        <w:wordWrap/>
        <w:overflowPunct/>
        <w:topLinePunct w:val="0"/>
        <w:autoSpaceDE/>
        <w:autoSpaceDN/>
        <w:bidi w:val="0"/>
        <w:spacing w:line="360" w:lineRule="auto"/>
        <w:jc w:val="center"/>
        <w:textAlignment w:val="auto"/>
        <w:rPr>
          <w:rFonts w:hint="eastAsia" w:ascii="方正小标宋简体" w:hAnsi="方正小标宋简体" w:eastAsia="方正小标宋简体" w:cs="方正小标宋简体"/>
          <w:bCs/>
          <w:color w:val="auto"/>
          <w:sz w:val="32"/>
          <w:szCs w:val="32"/>
          <w:highlight w:val="none"/>
          <w:lang w:val="en-US" w:eastAsia="zh-CN"/>
        </w:rPr>
      </w:pPr>
      <w:r>
        <w:rPr>
          <w:rFonts w:hint="eastAsia" w:ascii="宋体" w:hAnsi="宋体" w:eastAsia="宋体" w:cs="宋体"/>
          <w:b/>
          <w:bCs w:val="0"/>
          <w:color w:val="auto"/>
          <w:sz w:val="44"/>
          <w:szCs w:val="44"/>
          <w:highlight w:val="none"/>
          <w:lang w:val="en-US" w:eastAsia="zh-CN"/>
        </w:rPr>
        <w:t>营运场所施工安全及消防安全协议书</w:t>
      </w:r>
    </w:p>
    <w:p>
      <w:pPr>
        <w:keepNext w:val="0"/>
        <w:keepLines w:val="0"/>
        <w:pageBreakBefore w:val="0"/>
        <w:widowControl w:val="0"/>
        <w:kinsoku/>
        <w:wordWrap/>
        <w:overflowPunct/>
        <w:topLinePunct w:val="0"/>
        <w:autoSpaceDE/>
        <w:autoSpaceDN/>
        <w:bidi w:val="0"/>
        <w:spacing w:line="440" w:lineRule="exact"/>
        <w:jc w:val="both"/>
        <w:textAlignment w:val="auto"/>
        <w:rPr>
          <w:rFonts w:hint="eastAsia" w:ascii="仿宋_GB2312" w:hAnsi="仿宋_GB2312" w:eastAsia="仿宋_GB2312" w:cs="仿宋_GB2312"/>
          <w:bCs/>
          <w:color w:val="auto"/>
          <w:kern w:val="0"/>
          <w:sz w:val="24"/>
          <w:szCs w:val="32"/>
          <w:highlight w:val="none"/>
        </w:rPr>
      </w:pPr>
    </w:p>
    <w:p>
      <w:pPr>
        <w:keepNext w:val="0"/>
        <w:keepLines w:val="0"/>
        <w:pageBreakBefore w:val="0"/>
        <w:widowControl w:val="0"/>
        <w:kinsoku/>
        <w:wordWrap/>
        <w:overflowPunct/>
        <w:topLinePunct w:val="0"/>
        <w:autoSpaceDE/>
        <w:autoSpaceDN/>
        <w:bidi w:val="0"/>
        <w:spacing w:line="440" w:lineRule="exact"/>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甲方：</w:t>
      </w:r>
      <w:r>
        <w:rPr>
          <w:rFonts w:hint="eastAsia" w:ascii="宋体" w:hAnsi="宋体" w:eastAsia="宋体" w:cs="宋体"/>
          <w:bCs/>
          <w:color w:val="auto"/>
          <w:sz w:val="24"/>
          <w:szCs w:val="24"/>
          <w:highlight w:val="none"/>
        </w:rPr>
        <w:t>广州市净水有限公司</w:t>
      </w:r>
    </w:p>
    <w:p>
      <w:pPr>
        <w:keepNext w:val="0"/>
        <w:keepLines w:val="0"/>
        <w:pageBreakBefore w:val="0"/>
        <w:widowControl w:val="0"/>
        <w:kinsoku/>
        <w:wordWrap/>
        <w:overflowPunct/>
        <w:topLinePunct w:val="0"/>
        <w:autoSpaceDE/>
        <w:autoSpaceDN/>
        <w:bidi w:val="0"/>
        <w:spacing w:line="440" w:lineRule="exact"/>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 xml:space="preserve">乙方： </w:t>
      </w:r>
    </w:p>
    <w:p>
      <w:pPr>
        <w:keepNext w:val="0"/>
        <w:keepLines w:val="0"/>
        <w:pageBreakBefore w:val="0"/>
        <w:widowControl w:val="0"/>
        <w:kinsoku/>
        <w:wordWrap/>
        <w:overflowPunct/>
        <w:topLinePunct w:val="0"/>
        <w:autoSpaceDE/>
        <w:autoSpaceDN/>
        <w:bidi w:val="0"/>
        <w:spacing w:line="440" w:lineRule="exact"/>
        <w:jc w:val="both"/>
        <w:textAlignment w:val="auto"/>
        <w:rPr>
          <w:rFonts w:hint="eastAsia" w:ascii="宋体" w:hAnsi="宋体" w:eastAsia="宋体" w:cs="宋体"/>
          <w:bCs/>
          <w:color w:val="auto"/>
          <w:kern w:val="0"/>
          <w:sz w:val="24"/>
          <w:szCs w:val="24"/>
          <w:highlight w:val="none"/>
        </w:rPr>
      </w:pPr>
    </w:p>
    <w:p>
      <w:pPr>
        <w:keepNext w:val="0"/>
        <w:keepLines w:val="0"/>
        <w:pageBreakBefore w:val="0"/>
        <w:widowControl w:val="0"/>
        <w:kinsoku/>
        <w:wordWrap/>
        <w:overflowPunct/>
        <w:topLinePunct w:val="0"/>
        <w:autoSpaceDE/>
        <w:autoSpaceDN/>
        <w:bidi w:val="0"/>
        <w:spacing w:line="440" w:lineRule="exact"/>
        <w:ind w:firstLine="480" w:firstLineChars="200"/>
        <w:jc w:val="both"/>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rPr>
        <w:t>根据《中华人民共和国安全生产法》、</w:t>
      </w:r>
      <w:r>
        <w:rPr>
          <w:rFonts w:hint="eastAsia" w:ascii="宋体" w:hAnsi="宋体" w:eastAsia="宋体" w:cs="宋体"/>
          <w:bCs/>
          <w:color w:val="auto"/>
          <w:kern w:val="0"/>
          <w:sz w:val="24"/>
          <w:szCs w:val="24"/>
          <w:highlight w:val="none"/>
          <w:lang w:eastAsia="zh-CN"/>
        </w:rPr>
        <w:t>《中华人民共和国消防法》、</w:t>
      </w:r>
      <w:r>
        <w:rPr>
          <w:rFonts w:hint="eastAsia" w:ascii="宋体" w:hAnsi="宋体" w:eastAsia="宋体" w:cs="宋体"/>
          <w:bCs/>
          <w:color w:val="auto"/>
          <w:kern w:val="0"/>
          <w:sz w:val="24"/>
          <w:szCs w:val="24"/>
          <w:highlight w:val="none"/>
        </w:rPr>
        <w:t>《生产安全事故报告和调查处理条例》</w:t>
      </w:r>
      <w:r>
        <w:rPr>
          <w:rFonts w:hint="eastAsia" w:ascii="宋体" w:hAnsi="宋体" w:eastAsia="宋体" w:cs="宋体"/>
          <w:bCs/>
          <w:color w:val="auto"/>
          <w:kern w:val="0"/>
          <w:sz w:val="24"/>
          <w:szCs w:val="24"/>
          <w:highlight w:val="none"/>
          <w:lang w:eastAsia="zh-CN"/>
        </w:rPr>
        <w:t>、《建设工程安全生产管理条例》</w:t>
      </w:r>
      <w:r>
        <w:rPr>
          <w:rFonts w:hint="eastAsia" w:ascii="宋体" w:hAnsi="宋体" w:eastAsia="宋体" w:cs="宋体"/>
          <w:bCs/>
          <w:color w:val="auto"/>
          <w:kern w:val="0"/>
          <w:sz w:val="24"/>
          <w:szCs w:val="24"/>
          <w:highlight w:val="none"/>
        </w:rPr>
        <w:t>等国家及地方有关安全生产</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消防安全</w:t>
      </w:r>
      <w:r>
        <w:rPr>
          <w:rFonts w:hint="eastAsia" w:ascii="宋体" w:hAnsi="宋体" w:eastAsia="宋体" w:cs="宋体"/>
          <w:bCs/>
          <w:color w:val="auto"/>
          <w:kern w:val="0"/>
          <w:sz w:val="24"/>
          <w:szCs w:val="24"/>
          <w:highlight w:val="none"/>
        </w:rPr>
        <w:t>法律法规，甲乙双方就安全</w:t>
      </w:r>
      <w:r>
        <w:rPr>
          <w:rFonts w:hint="eastAsia" w:ascii="宋体" w:hAnsi="宋体" w:eastAsia="宋体" w:cs="宋体"/>
          <w:bCs/>
          <w:color w:val="auto"/>
          <w:kern w:val="0"/>
          <w:sz w:val="24"/>
          <w:szCs w:val="24"/>
          <w:highlight w:val="none"/>
          <w:lang w:val="en-US" w:eastAsia="zh-CN"/>
        </w:rPr>
        <w:t>及消防安全</w:t>
      </w:r>
      <w:r>
        <w:rPr>
          <w:rFonts w:hint="eastAsia" w:ascii="宋体" w:hAnsi="宋体" w:eastAsia="宋体" w:cs="宋体"/>
          <w:bCs/>
          <w:color w:val="auto"/>
          <w:kern w:val="0"/>
          <w:sz w:val="24"/>
          <w:szCs w:val="24"/>
          <w:highlight w:val="none"/>
        </w:rPr>
        <w:t>事宜，</w:t>
      </w:r>
      <w:r>
        <w:rPr>
          <w:rFonts w:hint="eastAsia" w:ascii="宋体" w:hAnsi="宋体" w:eastAsia="宋体" w:cs="宋体"/>
          <w:bCs/>
          <w:color w:val="auto"/>
          <w:sz w:val="24"/>
          <w:szCs w:val="24"/>
          <w:highlight w:val="none"/>
        </w:rPr>
        <w:t>经双方友好协商，达成如下协议</w:t>
      </w:r>
      <w:r>
        <w:rPr>
          <w:rFonts w:hint="eastAsia" w:ascii="宋体" w:hAnsi="宋体" w:eastAsia="宋体" w:cs="宋体"/>
          <w:bCs/>
          <w:color w:val="auto"/>
          <w:kern w:val="0"/>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一、总则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本协议是合同</w:t>
      </w:r>
      <w:r>
        <w:rPr>
          <w:rFonts w:hint="eastAsia" w:ascii="宋体" w:hAnsi="宋体" w:eastAsia="宋体" w:cs="宋体"/>
          <w:bCs/>
          <w:color w:val="auto"/>
          <w:sz w:val="24"/>
          <w:szCs w:val="24"/>
          <w:highlight w:val="none"/>
          <w:u w:val="single"/>
        </w:rPr>
        <w:t xml:space="preserve">广州市净水有限公司生物膜电流对水体生物毒性的响应规律及其调控技术研究（穗净水合〔     〕    号） </w:t>
      </w:r>
      <w:r>
        <w:rPr>
          <w:rFonts w:hint="eastAsia" w:ascii="宋体" w:hAnsi="宋体" w:eastAsia="宋体" w:cs="宋体"/>
          <w:bCs/>
          <w:color w:val="auto"/>
          <w:sz w:val="24"/>
          <w:szCs w:val="24"/>
          <w:highlight w:val="none"/>
        </w:rPr>
        <w:t>的组成部分。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二</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甲</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乙双方应遵守国家、省、市有关安全生产</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消防安全的法律、法规、规章，履行</w:t>
      </w:r>
      <w:r>
        <w:rPr>
          <w:rFonts w:hint="eastAsia" w:ascii="宋体" w:hAnsi="宋体" w:eastAsia="宋体" w:cs="宋体"/>
          <w:bCs/>
          <w:color w:val="auto"/>
          <w:kern w:val="0"/>
          <w:sz w:val="24"/>
          <w:szCs w:val="24"/>
          <w:highlight w:val="none"/>
          <w:lang w:val="en-US" w:eastAsia="zh-CN"/>
        </w:rPr>
        <w:t>安全生产、</w:t>
      </w:r>
      <w:r>
        <w:rPr>
          <w:rFonts w:hint="eastAsia" w:ascii="宋体" w:hAnsi="宋体" w:eastAsia="宋体" w:cs="宋体"/>
          <w:bCs/>
          <w:color w:val="auto"/>
          <w:kern w:val="0"/>
          <w:sz w:val="24"/>
          <w:szCs w:val="24"/>
          <w:highlight w:val="none"/>
        </w:rPr>
        <w:t>消防安全职责，保障人员生命、财产安全。</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kern w:val="0"/>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三</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甲</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rPr>
        <w:t>乙双方应当逐级落实</w:t>
      </w:r>
      <w:r>
        <w:rPr>
          <w:rFonts w:hint="eastAsia" w:ascii="宋体" w:hAnsi="宋体" w:eastAsia="宋体" w:cs="宋体"/>
          <w:bCs/>
          <w:color w:val="auto"/>
          <w:kern w:val="0"/>
          <w:sz w:val="24"/>
          <w:szCs w:val="24"/>
          <w:highlight w:val="none"/>
          <w:lang w:val="en-US" w:eastAsia="zh-CN"/>
        </w:rPr>
        <w:t>安全生产、</w:t>
      </w:r>
      <w:r>
        <w:rPr>
          <w:rFonts w:hint="eastAsia" w:ascii="宋体" w:hAnsi="宋体" w:eastAsia="宋体" w:cs="宋体"/>
          <w:bCs/>
          <w:color w:val="auto"/>
          <w:kern w:val="0"/>
          <w:sz w:val="24"/>
          <w:szCs w:val="24"/>
          <w:highlight w:val="none"/>
        </w:rPr>
        <w:t>消防安全责任制，明确逐级岗位人员的安全</w:t>
      </w:r>
      <w:r>
        <w:rPr>
          <w:rFonts w:hint="eastAsia" w:ascii="宋体" w:hAnsi="宋体" w:eastAsia="宋体" w:cs="宋体"/>
          <w:bCs/>
          <w:color w:val="auto"/>
          <w:kern w:val="0"/>
          <w:sz w:val="24"/>
          <w:szCs w:val="24"/>
          <w:highlight w:val="none"/>
          <w:lang w:val="en-US" w:eastAsia="zh-CN"/>
        </w:rPr>
        <w:t>生产、消防安全</w:t>
      </w:r>
      <w:r>
        <w:rPr>
          <w:rFonts w:hint="eastAsia" w:ascii="宋体" w:hAnsi="宋体" w:eastAsia="宋体" w:cs="宋体"/>
          <w:bCs/>
          <w:color w:val="auto"/>
          <w:kern w:val="0"/>
          <w:sz w:val="24"/>
          <w:szCs w:val="24"/>
          <w:highlight w:val="none"/>
        </w:rPr>
        <w:t>职责。</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四</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本协议是对在满足法律法规规定的双方安全及消防安全责任的基础上的补充事项。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（五）当同一个场所、池体内，甲方安排两个或以上的承包单位同时施工的，由甲方组织各承包单位签订《营运场所交叉作业安全及消防安全协议书》。</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六</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乙方的单位及人员资质（</w:t>
      </w:r>
      <w:r>
        <w:rPr>
          <w:rFonts w:hint="eastAsia" w:ascii="宋体" w:hAnsi="宋体" w:eastAsia="宋体" w:cs="宋体"/>
          <w:b/>
          <w:bCs w:val="0"/>
          <w:color w:val="auto"/>
          <w:kern w:val="0"/>
          <w:sz w:val="24"/>
          <w:szCs w:val="24"/>
          <w:highlight w:val="none"/>
          <w:lang w:val="en-US" w:eastAsia="zh-CN"/>
        </w:rPr>
        <w:t>单项选择并填写</w:t>
      </w:r>
      <w:r>
        <w:rPr>
          <w:rFonts w:hint="eastAsia" w:ascii="宋体" w:hAnsi="宋体" w:eastAsia="宋体" w:cs="宋体"/>
          <w:bCs/>
          <w:color w:val="auto"/>
          <w:kern w:val="0"/>
          <w:sz w:val="24"/>
          <w:szCs w:val="24"/>
          <w:highlight w:val="none"/>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u w:val="none"/>
          <w:lang w:val="en-US" w:eastAsia="zh-CN"/>
        </w:rPr>
      </w:pPr>
      <w:r>
        <w:rPr>
          <w:rFonts w:hint="eastAsia" w:ascii="宋体" w:hAnsi="宋体" w:eastAsia="宋体" w:cs="宋体"/>
          <w:bCs/>
          <w:color w:val="auto"/>
          <w:kern w:val="0"/>
          <w:sz w:val="24"/>
          <w:szCs w:val="24"/>
          <w:highlight w:val="none"/>
          <w:lang w:val="en-US" w:eastAsia="zh-CN"/>
        </w:rPr>
        <w:sym w:font="Wingdings 2" w:char="00A3"/>
      </w:r>
      <w:r>
        <w:rPr>
          <w:rFonts w:hint="eastAsia" w:ascii="宋体" w:hAnsi="宋体" w:eastAsia="宋体" w:cs="宋体"/>
          <w:bCs/>
          <w:color w:val="auto"/>
          <w:kern w:val="0"/>
          <w:sz w:val="24"/>
          <w:szCs w:val="24"/>
          <w:highlight w:val="none"/>
          <w:lang w:val="en-US" w:eastAsia="zh-CN"/>
        </w:rPr>
        <w:t>1.详见合同第</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none"/>
          <w:lang w:val="en-US" w:eastAsia="zh-CN"/>
        </w:rPr>
        <w:t>条。</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sym w:font="Wingdings 2" w:char="00A3"/>
      </w:r>
      <w:r>
        <w:rPr>
          <w:rFonts w:hint="eastAsia" w:ascii="宋体" w:hAnsi="宋体" w:eastAsia="宋体" w:cs="宋体"/>
          <w:bCs/>
          <w:color w:val="auto"/>
          <w:kern w:val="0"/>
          <w:sz w:val="24"/>
          <w:szCs w:val="24"/>
          <w:highlight w:val="none"/>
          <w:lang w:val="en-US" w:eastAsia="zh-CN"/>
        </w:rPr>
        <w:t>2.详见文件《</w:t>
      </w:r>
      <w:r>
        <w:rPr>
          <w:rFonts w:hint="eastAsia" w:ascii="宋体" w:hAnsi="宋体" w:eastAsia="宋体" w:cs="宋体"/>
          <w:bCs/>
          <w:color w:val="auto"/>
          <w:kern w:val="0"/>
          <w:sz w:val="24"/>
          <w:szCs w:val="24"/>
          <w:highlight w:val="none"/>
          <w:u w:val="single"/>
          <w:lang w:val="en-US" w:eastAsia="zh-CN"/>
        </w:rPr>
        <w:t xml:space="preserve">           </w:t>
      </w:r>
      <w:r>
        <w:rPr>
          <w:rFonts w:hint="eastAsia" w:ascii="宋体" w:hAnsi="宋体" w:eastAsia="宋体" w:cs="宋体"/>
          <w:bCs/>
          <w:color w:val="auto"/>
          <w:kern w:val="0"/>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二、甲方的安全及消防安全责任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交底告知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宋体" w:hAnsi="宋体" w:eastAsia="宋体" w:cs="宋体"/>
          <w:bCs/>
          <w:color w:val="auto"/>
          <w:sz w:val="24"/>
          <w:szCs w:val="24"/>
          <w:highlight w:val="none"/>
        </w:rPr>
        <w:t>允许进出及行走的路线、禁止触动甲方设备设施等</w:t>
      </w:r>
      <w:r>
        <w:rPr>
          <w:rFonts w:hint="eastAsia" w:ascii="宋体" w:hAnsi="宋体" w:eastAsia="宋体" w:cs="宋体"/>
          <w:bCs/>
          <w:color w:val="auto"/>
          <w:sz w:val="24"/>
          <w:szCs w:val="24"/>
          <w:highlight w:val="none"/>
          <w:lang w:val="en-US" w:eastAsia="zh-CN"/>
        </w:rPr>
        <w:t>；项目备案的要求。</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2.乙方进场作业前，</w:t>
      </w:r>
      <w:r>
        <w:rPr>
          <w:rFonts w:hint="eastAsia" w:ascii="宋体" w:hAnsi="宋体" w:eastAsia="宋体" w:cs="宋体"/>
          <w:bCs/>
          <w:color w:val="auto"/>
          <w:sz w:val="24"/>
          <w:szCs w:val="24"/>
          <w:highlight w:val="none"/>
        </w:rPr>
        <w:t>应对乙方进行交底</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再次向乙方强调</w:t>
      </w:r>
      <w:r>
        <w:rPr>
          <w:rFonts w:hint="eastAsia" w:ascii="宋体" w:hAnsi="宋体" w:eastAsia="宋体" w:cs="宋体"/>
          <w:bCs/>
          <w:color w:val="auto"/>
          <w:sz w:val="24"/>
          <w:szCs w:val="24"/>
          <w:highlight w:val="none"/>
        </w:rPr>
        <w:t>的</w:t>
      </w:r>
      <w:r>
        <w:rPr>
          <w:rFonts w:hint="eastAsia" w:ascii="宋体" w:hAnsi="宋体" w:eastAsia="宋体" w:cs="宋体"/>
          <w:bCs/>
          <w:color w:val="auto"/>
          <w:sz w:val="24"/>
          <w:szCs w:val="24"/>
          <w:highlight w:val="none"/>
          <w:lang w:val="en-US" w:eastAsia="zh-CN"/>
        </w:rPr>
        <w:t>上述内容，以及施工期间的其他特殊注意事项，如生产方面的调度协调配合等</w:t>
      </w:r>
      <w:r>
        <w:rPr>
          <w:rFonts w:hint="eastAsia" w:ascii="宋体" w:hAnsi="宋体" w:eastAsia="宋体" w:cs="宋体"/>
          <w:bCs/>
          <w:color w:val="auto"/>
          <w:sz w:val="24"/>
          <w:szCs w:val="24"/>
          <w:highlight w:val="none"/>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3.当乙方提出相关规范或乙方内部管理制度，比甲方规定的</w:t>
      </w:r>
      <w:r>
        <w:rPr>
          <w:rFonts w:hint="eastAsia" w:ascii="宋体" w:hAnsi="宋体" w:eastAsia="宋体" w:cs="宋体"/>
          <w:bCs/>
          <w:color w:val="auto"/>
          <w:sz w:val="24"/>
          <w:szCs w:val="24"/>
          <w:highlight w:val="none"/>
        </w:rPr>
        <w:t>安全生产及消防安全管理要求</w:t>
      </w:r>
      <w:r>
        <w:rPr>
          <w:rFonts w:hint="eastAsia" w:ascii="宋体" w:hAnsi="宋体" w:eastAsia="宋体" w:cs="宋体"/>
          <w:bCs/>
          <w:color w:val="auto"/>
          <w:sz w:val="24"/>
          <w:szCs w:val="24"/>
          <w:highlight w:val="none"/>
          <w:lang w:val="en-US" w:eastAsia="zh-CN"/>
        </w:rPr>
        <w:t>更严格的，应当接纳乙方的建议。</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（二）落实配合措施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1.落实生产营运等相关配合措施，提供必要的施工条件。</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lang w:eastAsia="zh-CN"/>
        </w:rPr>
        <w:t>）安全及消防安全隐患</w:t>
      </w:r>
      <w:r>
        <w:rPr>
          <w:rFonts w:hint="eastAsia" w:ascii="宋体" w:hAnsi="宋体" w:eastAsia="宋体" w:cs="宋体"/>
          <w:bCs/>
          <w:color w:val="auto"/>
          <w:sz w:val="24"/>
          <w:szCs w:val="24"/>
          <w:highlight w:val="none"/>
          <w:lang w:val="en-US" w:eastAsia="zh-CN"/>
        </w:rPr>
        <w:t>检查与督促整改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在项目施工期，应每天不少于一次对乙方安全措施、消防安全措施投入、现场安全施工情况等进行安全、消防安全监督检查，并提出整改</w:t>
      </w:r>
      <w:r>
        <w:rPr>
          <w:rFonts w:hint="eastAsia" w:ascii="宋体" w:hAnsi="宋体" w:eastAsia="宋体" w:cs="宋体"/>
          <w:bCs/>
          <w:color w:val="auto"/>
          <w:sz w:val="24"/>
          <w:szCs w:val="24"/>
          <w:highlight w:val="none"/>
          <w:lang w:val="en-US" w:eastAsia="zh-CN"/>
        </w:rPr>
        <w:t>。</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四</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重大安全风险、生产安全重大事故隐患（重大火灾隐患）等情况报告及举报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1.对乙方上报的重大安全风险、生产安全重大事故隐患（重大火灾隐患），应当如实向水投集团报告。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2.如发现乙方瞒报重大安全风险、生产安全重大事故隐患（重大火灾隐患），甲方除向水投集团报告外，有权向属地安全应急管理部门、属地行业主管部门举报。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3.甲方发现乙方在项目范围内（含工地范围内的住宿、办公等区域）开展违法、犯罪活动，向公安部门举报。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（五）事故报告及举报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1.对乙方上报的安全事故及消防安全事故，应当按水投集团有关程序，如实向集团报告。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2.如发现乙方瞒报安全事故及消防安全事故，甲方除向水投集团报告外，有权向属地安全应急管理部门、属地行业主管部门举报。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（六）补充条款</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三、乙方的安全及消防安全责任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接受交底告知并复核确认安全风险，落实管控措施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1.乙方接受甲方交底。</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2.编制的方案应响应甲方告知，明确相应的措施。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3.根据甲方项目备案的要求，提交项目备案材料</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4.当甲方规定的安全生产及消防安全管理要求，比相关规范或乙方内部管理制度严格的，按甲方的执行。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5.当相关规范或乙方内部管理制度，比甲方规定的安全生产及消防安全管理要求严格的，应明确告知甲方确认，并按相关规范或乙方内部管理制度执行。</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二</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告知甲方需要配合的事项</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1.向甲方告知在施工作业期间，需要甲方配合落实的措施</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落实安全及消防安全隐患排查与整改，并接受检查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lang w:eastAsia="zh-CN"/>
        </w:rPr>
        <w:t>乙方应做好的每日安全生产、消防安全巡查及开展人员安全生产、消防安全教育，确保场所、场地、区域、施工、</w:t>
      </w:r>
      <w:r>
        <w:rPr>
          <w:rFonts w:hint="eastAsia" w:ascii="宋体" w:hAnsi="宋体" w:eastAsia="宋体" w:cs="宋体"/>
          <w:bCs/>
          <w:color w:val="auto"/>
          <w:sz w:val="24"/>
          <w:szCs w:val="24"/>
          <w:highlight w:val="none"/>
          <w:lang w:val="en-US" w:eastAsia="zh-CN"/>
        </w:rPr>
        <w:t>仓储、住宿、办公</w:t>
      </w:r>
      <w:r>
        <w:rPr>
          <w:rFonts w:hint="eastAsia" w:ascii="宋体" w:hAnsi="宋体" w:eastAsia="宋体" w:cs="宋体"/>
          <w:bCs/>
          <w:color w:val="auto"/>
          <w:sz w:val="24"/>
          <w:szCs w:val="24"/>
          <w:highlight w:val="none"/>
          <w:lang w:eastAsia="zh-CN"/>
        </w:rPr>
        <w:t>等，符合国家、行业安全生产、消防安全相关要求，无对甲方、</w:t>
      </w:r>
      <w:r>
        <w:rPr>
          <w:rFonts w:hint="eastAsia" w:ascii="宋体" w:hAnsi="宋体" w:eastAsia="宋体" w:cs="宋体"/>
          <w:bCs/>
          <w:color w:val="auto"/>
          <w:sz w:val="24"/>
          <w:szCs w:val="24"/>
          <w:highlight w:val="none"/>
          <w:lang w:val="en-US" w:eastAsia="zh-CN"/>
        </w:rPr>
        <w:t>乙方以及周边第三方</w:t>
      </w:r>
      <w:r>
        <w:rPr>
          <w:rFonts w:hint="eastAsia" w:ascii="宋体" w:hAnsi="宋体" w:eastAsia="宋体" w:cs="宋体"/>
          <w:bCs/>
          <w:color w:val="auto"/>
          <w:sz w:val="24"/>
          <w:szCs w:val="24"/>
          <w:highlight w:val="none"/>
          <w:lang w:eastAsia="zh-CN"/>
        </w:rPr>
        <w:t>生产安全、消防安全、</w:t>
      </w:r>
      <w:r>
        <w:rPr>
          <w:rFonts w:hint="eastAsia" w:ascii="宋体" w:hAnsi="宋体" w:eastAsia="宋体" w:cs="宋体"/>
          <w:bCs/>
          <w:color w:val="auto"/>
          <w:sz w:val="24"/>
          <w:szCs w:val="24"/>
          <w:highlight w:val="none"/>
          <w:lang w:val="en-US" w:eastAsia="zh-CN"/>
        </w:rPr>
        <w:t>人身安全等</w:t>
      </w:r>
      <w:r>
        <w:rPr>
          <w:rFonts w:hint="eastAsia" w:ascii="宋体" w:hAnsi="宋体" w:eastAsia="宋体" w:cs="宋体"/>
          <w:bCs/>
          <w:color w:val="auto"/>
          <w:sz w:val="24"/>
          <w:szCs w:val="24"/>
          <w:highlight w:val="none"/>
          <w:lang w:eastAsia="zh-CN"/>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2.接受甲方“四不两直”的不定期检查。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重大安全风险、生产安全重大事故隐患（重大火灾隐患）报告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1.乙方识别存在重大安全风险的，应研究并落实管控措施，降低风险等级，并向甲方、属地安全应急管理部门、属地行业主管部门上报。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2.乙方自查或被外单位检查发现生产安全重大事故隐患（重大火灾隐患）的，应当立即向甲方、属地安全应急管理部门、属地行业主管部门上报。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3.如甲方未收到乙方关于重大安全风险、生产安全重大事故隐患（重大火灾隐患）的报告，但由其他途径获知信息的，视为瞒报。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（四）事故报告</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1.项目发生安全事故及消防安全事故的，乙方应当在预案规定时间内立即向甲方上报。否则视为迟报。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2.如甲方未收到乙方关于安全事故及消防安全事故的报告，但由其他途径获知信息的，视为瞒报。</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3.不得谎报信息。</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（五）补充条款</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四、违约责任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一</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未发生安全事故或消防安全事故的违约责任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1.乙方未履行安全及消防安全责任的，甲方有权按合同相关条款处理。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2.因甲方未履行安全及消防安全责任，乙方有权按合同相关条款处理。</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（二）发生安全事故或消防安全事故的违约责任</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keepNext w:val="0"/>
        <w:keepLines w:val="0"/>
        <w:pageBreakBefore w:val="0"/>
        <w:widowControl/>
        <w:kinsoku/>
        <w:wordWrap/>
        <w:overflowPunct/>
        <w:topLinePunct w:val="0"/>
        <w:autoSpaceDE/>
        <w:autoSpaceDN/>
        <w:bidi w:val="0"/>
        <w:spacing w:line="440" w:lineRule="exact"/>
        <w:ind w:firstLine="480" w:firstLineChars="200"/>
        <w:jc w:val="left"/>
        <w:textAlignment w:val="auto"/>
        <w:rPr>
          <w:rFonts w:hint="eastAsia" w:ascii="宋体" w:hAnsi="宋体" w:eastAsia="宋体" w:cs="宋体"/>
          <w:bCs/>
          <w:color w:val="auto"/>
          <w:kern w:val="0"/>
          <w:sz w:val="24"/>
          <w:szCs w:val="24"/>
          <w:highlight w:val="none"/>
          <w:lang w:val="en-US" w:eastAsia="zh-CN"/>
        </w:rPr>
      </w:pPr>
      <w:r>
        <w:rPr>
          <w:rFonts w:hint="eastAsia" w:ascii="宋体" w:hAnsi="宋体" w:eastAsia="宋体" w:cs="宋体"/>
          <w:bCs/>
          <w:color w:val="auto"/>
          <w:kern w:val="0"/>
          <w:sz w:val="24"/>
          <w:szCs w:val="24"/>
          <w:highlight w:val="none"/>
          <w:lang w:val="en-US" w:eastAsia="zh-CN"/>
        </w:rPr>
        <w:t>2.如甲方未能提供甲方履职证明的，根据责任调查报告（意见）承担责任。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五、附则</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（一）本协议未尽事宜，依据有关法律、法规、规章处理。法律、法规、规章没有明确规定的，经双方协商处理解决。</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（二）在合同（协议）执行期间，因国家、地方、以及广州市净水有限公司印发有关文件，加强安全管理要求的，乙方应按最新要求无条件执行。如不执行，甲方有权根据合同或有关文件进行处理。</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三</w:t>
      </w:r>
      <w:r>
        <w:rPr>
          <w:rFonts w:hint="eastAsia" w:ascii="宋体" w:hAnsi="宋体" w:eastAsia="宋体" w:cs="宋体"/>
          <w:bCs/>
          <w:color w:val="auto"/>
          <w:sz w:val="24"/>
          <w:szCs w:val="24"/>
          <w:highlight w:val="none"/>
        </w:rPr>
        <w:t>）本协议</w:t>
      </w:r>
      <w:r>
        <w:rPr>
          <w:rFonts w:hint="eastAsia" w:ascii="宋体" w:hAnsi="宋体" w:eastAsia="宋体" w:cs="宋体"/>
          <w:bCs/>
          <w:color w:val="auto"/>
          <w:sz w:val="24"/>
          <w:szCs w:val="24"/>
          <w:highlight w:val="none"/>
          <w:lang w:val="en-US" w:eastAsia="zh-CN"/>
        </w:rPr>
        <w:t>作为合同的附件</w:t>
      </w:r>
      <w:r>
        <w:rPr>
          <w:rFonts w:hint="eastAsia" w:ascii="宋体" w:hAnsi="宋体" w:eastAsia="宋体" w:cs="宋体"/>
          <w:bCs/>
          <w:color w:val="auto"/>
          <w:sz w:val="24"/>
          <w:szCs w:val="24"/>
          <w:highlight w:val="none"/>
        </w:rPr>
        <w:t>同时</w:t>
      </w:r>
      <w:r>
        <w:rPr>
          <w:rFonts w:hint="eastAsia" w:ascii="宋体" w:hAnsi="宋体" w:eastAsia="宋体" w:cs="宋体"/>
          <w:bCs/>
          <w:color w:val="auto"/>
          <w:sz w:val="24"/>
          <w:szCs w:val="24"/>
          <w:highlight w:val="none"/>
          <w:lang w:val="en-US" w:eastAsia="zh-CN"/>
        </w:rPr>
        <w:t>签字、同事盖章</w:t>
      </w:r>
      <w:r>
        <w:rPr>
          <w:rFonts w:hint="eastAsia" w:ascii="宋体" w:hAnsi="宋体" w:eastAsia="宋体" w:cs="宋体"/>
          <w:bCs/>
          <w:color w:val="auto"/>
          <w:sz w:val="24"/>
          <w:szCs w:val="24"/>
          <w:highlight w:val="none"/>
        </w:rPr>
        <w:t>、同时生效、同时终止，具有</w:t>
      </w:r>
      <w:r>
        <w:rPr>
          <w:rFonts w:hint="eastAsia" w:ascii="宋体" w:hAnsi="宋体" w:eastAsia="宋体" w:cs="宋体"/>
          <w:bCs/>
          <w:color w:val="auto"/>
          <w:sz w:val="24"/>
          <w:szCs w:val="24"/>
          <w:highlight w:val="none"/>
          <w:lang w:val="en-US" w:eastAsia="zh-CN"/>
        </w:rPr>
        <w:t>同等</w:t>
      </w:r>
      <w:r>
        <w:rPr>
          <w:rFonts w:hint="eastAsia" w:ascii="宋体" w:hAnsi="宋体" w:eastAsia="宋体" w:cs="宋体"/>
          <w:bCs/>
          <w:color w:val="auto"/>
          <w:sz w:val="24"/>
          <w:szCs w:val="24"/>
          <w:highlight w:val="none"/>
        </w:rPr>
        <w:t>的法律效力</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甲方、乙方双方执持数量与合同一致。</w:t>
      </w:r>
    </w:p>
    <w:p>
      <w:pPr>
        <w:widowControl w:val="0"/>
        <w:jc w:val="both"/>
        <w:rPr>
          <w:rFonts w:hint="eastAsia" w:ascii="宋体" w:hAnsi="宋体" w:eastAsia="宋体" w:cs="宋体"/>
          <w:bCs/>
          <w:color w:val="auto"/>
          <w:sz w:val="24"/>
          <w:szCs w:val="24"/>
          <w:highlight w:val="none"/>
        </w:rPr>
      </w:pP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line="56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甲方</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盖章</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w:t>
            </w:r>
          </w:p>
          <w:p>
            <w:pPr>
              <w:widowControl w:val="0"/>
              <w:adjustRightInd w:val="0"/>
              <w:snapToGrid w:val="0"/>
              <w:spacing w:line="56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签约代表：</w:t>
            </w:r>
          </w:p>
          <w:p>
            <w:pPr>
              <w:widowControl w:val="0"/>
              <w:adjustRightInd w:val="0"/>
              <w:snapToGrid w:val="0"/>
              <w:spacing w:line="56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p>
          <w:p>
            <w:pPr>
              <w:widowControl w:val="0"/>
              <w:adjustRightInd w:val="0"/>
              <w:snapToGrid w:val="0"/>
              <w:spacing w:line="560" w:lineRule="exact"/>
              <w:ind w:firstLine="240" w:firstLineChars="100"/>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年    月    日</w:t>
            </w:r>
          </w:p>
        </w:tc>
        <w:tc>
          <w:tcPr>
            <w:tcW w:w="4474" w:type="dxa"/>
          </w:tcPr>
          <w:p>
            <w:pPr>
              <w:widowControl w:val="0"/>
              <w:adjustRightInd w:val="0"/>
              <w:snapToGrid w:val="0"/>
              <w:spacing w:line="56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乙方</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盖章</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rPr>
              <w:t>：</w:t>
            </w:r>
          </w:p>
          <w:p>
            <w:pPr>
              <w:widowControl w:val="0"/>
              <w:adjustRightInd w:val="0"/>
              <w:snapToGrid w:val="0"/>
              <w:spacing w:line="56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签约代表：</w:t>
            </w:r>
          </w:p>
          <w:p>
            <w:pPr>
              <w:widowControl w:val="0"/>
              <w:adjustRightInd w:val="0"/>
              <w:snapToGrid w:val="0"/>
              <w:spacing w:line="560" w:lineRule="exact"/>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联系电话：</w:t>
            </w:r>
          </w:p>
          <w:p>
            <w:pPr>
              <w:widowControl w:val="0"/>
              <w:adjustRightInd w:val="0"/>
              <w:snapToGrid w:val="0"/>
              <w:spacing w:line="560" w:lineRule="exact"/>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年    月    日</w:t>
            </w:r>
          </w:p>
        </w:tc>
      </w:tr>
    </w:tbl>
    <w:p>
      <w:pPr>
        <w:adjustRightInd/>
        <w:snapToGrid/>
        <w:spacing w:after="0"/>
        <w:ind w:firstLine="0"/>
        <w:rPr>
          <w:color w:val="auto"/>
          <w:highlight w:val="none"/>
        </w:rPr>
      </w:pPr>
      <w:r>
        <w:rPr>
          <w:color w:val="auto"/>
          <w:highlight w:val="none"/>
        </w:rPr>
        <w:br w:type="page"/>
      </w:r>
    </w:p>
    <w:p>
      <w:p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附件3：工作保密承诺函</w:t>
      </w:r>
    </w:p>
    <w:p>
      <w:pPr>
        <w:keepNext w:val="0"/>
        <w:keepLines w:val="0"/>
        <w:spacing w:before="0" w:after="0" w:line="240" w:lineRule="auto"/>
        <w:jc w:val="center"/>
        <w:outlineLvl w:val="9"/>
        <w:rPr>
          <w:b/>
          <w:bCs/>
          <w:color w:val="auto"/>
          <w:sz w:val="44"/>
          <w:szCs w:val="44"/>
          <w:highlight w:val="none"/>
        </w:rPr>
      </w:pPr>
      <w:r>
        <w:rPr>
          <w:rFonts w:hint="eastAsia"/>
          <w:b/>
          <w:bCs/>
          <w:color w:val="auto"/>
          <w:sz w:val="44"/>
          <w:szCs w:val="44"/>
          <w:highlight w:val="none"/>
        </w:rPr>
        <w:t>工作保密承诺函</w:t>
      </w:r>
    </w:p>
    <w:p>
      <w:pPr>
        <w:snapToGrid/>
        <w:spacing w:line="240" w:lineRule="auto"/>
        <w:rPr>
          <w:color w:val="auto"/>
          <w:highlight w:val="none"/>
        </w:rPr>
      </w:pPr>
    </w:p>
    <w:p>
      <w:pPr>
        <w:keepNext w:val="0"/>
        <w:keepLines w:val="0"/>
        <w:pageBreakBefore w:val="0"/>
        <w:widowControl/>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color w:val="auto"/>
          <w:sz w:val="24"/>
          <w:szCs w:val="24"/>
          <w:highlight w:val="none"/>
        </w:rPr>
        <w:t>广州市净水有限公司：</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宋体" w:hAnsi="宋体" w:cs="宋体"/>
          <w:b/>
          <w:bCs/>
          <w:color w:val="auto"/>
          <w:sz w:val="24"/>
          <w:szCs w:val="24"/>
          <w:highlight w:val="none"/>
        </w:rPr>
      </w:pPr>
      <w:r>
        <w:rPr>
          <w:rFonts w:hint="eastAsia"/>
          <w:color w:val="auto"/>
          <w:sz w:val="24"/>
          <w:szCs w:val="24"/>
          <w:highlight w:val="none"/>
        </w:rPr>
        <w:t>我方参与贵司的</w:t>
      </w:r>
      <w:r>
        <w:rPr>
          <w:color w:val="auto"/>
          <w:sz w:val="24"/>
          <w:szCs w:val="24"/>
          <w:highlight w:val="none"/>
        </w:rPr>
        <w:t xml:space="preserve"> </w:t>
      </w:r>
      <w:r>
        <w:rPr>
          <w:rFonts w:hint="eastAsia"/>
          <w:b/>
          <w:bCs/>
          <w:color w:val="auto"/>
          <w:sz w:val="24"/>
          <w:szCs w:val="24"/>
          <w:highlight w:val="none"/>
          <w:u w:val="single"/>
        </w:rPr>
        <w:t>广州市净水有限公司生物膜电流对水体生物毒性的响应规律及其调控技术研究</w:t>
      </w:r>
      <w:r>
        <w:rPr>
          <w:rFonts w:hint="eastAsia" w:ascii="宋体" w:hAnsi="宋体" w:cs="宋体"/>
          <w:color w:val="auto"/>
          <w:sz w:val="24"/>
          <w:szCs w:val="24"/>
          <w:highlight w:val="none"/>
          <w:u w:val="single"/>
        </w:rPr>
        <w:t xml:space="preserve"> </w:t>
      </w:r>
      <w:r>
        <w:rPr>
          <w:rFonts w:hint="eastAsia"/>
          <w:color w:val="auto"/>
          <w:sz w:val="24"/>
          <w:szCs w:val="24"/>
          <w:highlight w:val="none"/>
        </w:rPr>
        <w:t>项目，基于本项目对信息保密性的严格要求以及泄密可能导致的对本项目、贵公司的严重不利后果，为妥善保护保密信息，我方向贵公司承诺如下：</w:t>
      </w:r>
    </w:p>
    <w:p>
      <w:pPr>
        <w:numPr>
          <w:ilvl w:val="0"/>
          <w:numId w:val="4"/>
        </w:numPr>
        <w:spacing w:line="360" w:lineRule="auto"/>
        <w:ind w:firstLine="420" w:firstLineChars="0"/>
        <w:rPr>
          <w:rFonts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遵守《中华人民共和国国家安全法》、《中华人民共和国保守国家秘密法》和《中华人民共和国网络安全法中华人民共和国数据安全法》等中国法律法规及规定以及项目双方各项制度关于保密的规定。</w:t>
      </w:r>
    </w:p>
    <w:p>
      <w:pPr>
        <w:numPr>
          <w:ilvl w:val="0"/>
          <w:numId w:val="4"/>
        </w:numPr>
        <w:spacing w:line="360" w:lineRule="auto"/>
        <w:ind w:firstLine="420" w:firstLineChars="0"/>
        <w:rPr>
          <w:rFonts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本项目相关保密信息包括但不限于：可能获取或知悉的来源于合作项目双方的包括但不限于：以口头、书面或以其它方式反映的项目秘密事项；技术性信息、商业性信息、文件、程序、计划、技术、图表、模型、参数、数据、标准、专有技术、业务或业务运作方法以及其他专有信息；我方在完成贵公司要求的项目工作中所产生的一切内容、资料信息，包括</w:t>
      </w:r>
      <w:r>
        <w:rPr>
          <w:rFonts w:hint="eastAsia" w:asciiTheme="minorHAnsi" w:hAnsiTheme="minorHAnsi" w:eastAsiaTheme="minorEastAsia" w:cstheme="minorBidi"/>
          <w:b/>
          <w:bCs/>
          <w:color w:val="auto"/>
          <w:kern w:val="2"/>
          <w:sz w:val="24"/>
          <w:szCs w:val="24"/>
          <w:highlight w:val="none"/>
          <w:lang w:val="en-US" w:eastAsia="zh-CN" w:bidi="ar-SA"/>
        </w:rPr>
        <w:t>工作进度、过程报告、实验数据、工作成果</w:t>
      </w:r>
      <w:r>
        <w:rPr>
          <w:rFonts w:hint="eastAsia" w:asciiTheme="minorHAnsi" w:hAnsiTheme="minorHAnsi" w:eastAsiaTheme="minorEastAsia" w:cstheme="minorBidi"/>
          <w:color w:val="auto"/>
          <w:kern w:val="2"/>
          <w:sz w:val="24"/>
          <w:szCs w:val="24"/>
          <w:highlight w:val="none"/>
          <w:lang w:val="en-US" w:eastAsia="zh-CN" w:bidi="ar-SA"/>
        </w:rPr>
        <w:t>等信息。</w:t>
      </w:r>
    </w:p>
    <w:p>
      <w:pPr>
        <w:numPr>
          <w:ilvl w:val="0"/>
          <w:numId w:val="4"/>
        </w:numPr>
        <w:spacing w:line="360" w:lineRule="auto"/>
        <w:ind w:firstLine="420" w:firstLineChars="0"/>
        <w:rPr>
          <w:rFonts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对涉密信息承担保密义务和法律责任。我方承诺获知的涉密信息，仅限于为实现本项目目的且在国家有关部门批准和项目双方确认的范围内使用；只能由我方及我方有关人员为本项目目的而使用，除项目另有约定外，对于贵公司提供的任何保密信息，未经贵公司的书面同意，我方及我方知悉保密信息的人员均不得直接或间接地以任何方式提供、披露或转让给任何第三方或许可第三方使用，或以保密信息为任何第三方提供任何意见或建议。在本条款中，“第三方”是指除本项目当事人以外的任何自然人、法人或其他组织，但不包括贵公司的分、子公司。</w:t>
      </w:r>
    </w:p>
    <w:p>
      <w:pPr>
        <w:numPr>
          <w:ilvl w:val="0"/>
          <w:numId w:val="4"/>
        </w:numPr>
        <w:spacing w:line="360" w:lineRule="auto"/>
        <w:ind w:firstLine="420" w:firstLineChars="0"/>
        <w:rPr>
          <w:rFonts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我方的律师、会计师、承包商和顾问等为提供专业协助而需要了解保密信息时，我方可向其披露保密信息，但是其应要求上述人员签订保密协议或按照有关职业道德标准履行保密义务。</w:t>
      </w:r>
    </w:p>
    <w:p>
      <w:pPr>
        <w:numPr>
          <w:ilvl w:val="0"/>
          <w:numId w:val="4"/>
        </w:numPr>
        <w:spacing w:line="360" w:lineRule="auto"/>
        <w:ind w:firstLine="420" w:firstLineChars="0"/>
        <w:rPr>
          <w:rFonts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如相关政府部门或监管机构要求本单位披露任何保密信息，我方可在该政府部门或机构要求的范围内做出披露而无需承担本合同项下的责任，但前提是我方应立即将需披露的信息书面通知贵公司，以便贵公司采取必要的保护措施，且该等通知应尽可能在信息披露前做出，并且我方应尽商业上合理的努力确保该等被披露的信息获得有关政府机关或机构的保密待遇。</w:t>
      </w:r>
    </w:p>
    <w:p>
      <w:pPr>
        <w:numPr>
          <w:ilvl w:val="0"/>
          <w:numId w:val="4"/>
        </w:numPr>
        <w:spacing w:line="360" w:lineRule="auto"/>
        <w:ind w:firstLine="420" w:firstLineChars="0"/>
        <w:rPr>
          <w:rFonts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如发生涉密信息泄露或者可能泄露的情形，我方第一时间通知我方相关人员并根据我方相关要求采取补救措施，并承担相应的法律责任。如我方不履行或未按本单位要求妥善履行本承诺书保密义务，因此而造成项目双方任何损失的，我方承担包括赔偿在内的一切法律责任。如我方的行为存在严重过失或故意，导致泄密后果情节严重的，项目双方有权直接通过司法途径追究我方的法律责任。</w:t>
      </w:r>
    </w:p>
    <w:p>
      <w:pPr>
        <w:numPr>
          <w:ilvl w:val="0"/>
          <w:numId w:val="4"/>
        </w:numPr>
        <w:spacing w:line="360" w:lineRule="auto"/>
        <w:ind w:firstLine="420" w:firstLineChars="0"/>
        <w:rPr>
          <w:rFonts w:asciiTheme="minorHAnsi" w:hAnsiTheme="minorHAnsi" w:eastAsiaTheme="minorEastAsia" w:cstheme="minorBidi"/>
          <w:color w:val="auto"/>
          <w:kern w:val="2"/>
          <w:sz w:val="24"/>
          <w:szCs w:val="24"/>
          <w:highlight w:val="none"/>
          <w:lang w:val="en-US" w:eastAsia="zh-CN" w:bidi="ar-SA"/>
        </w:rPr>
      </w:pPr>
      <w:r>
        <w:rPr>
          <w:rFonts w:hint="eastAsia" w:asciiTheme="minorHAnsi" w:hAnsiTheme="minorHAnsi" w:eastAsiaTheme="minorEastAsia" w:cstheme="minorBidi"/>
          <w:color w:val="auto"/>
          <w:kern w:val="2"/>
          <w:sz w:val="24"/>
          <w:szCs w:val="24"/>
          <w:highlight w:val="none"/>
          <w:lang w:val="en-US" w:eastAsia="zh-CN" w:bidi="ar-SA"/>
        </w:rPr>
        <w:t>我方承诺的我方保密义务自我方签署本保密承诺函之日起直至保密信息为公众知晓为止。在保密期限内，我方承诺负有我方保密义务的任何一方的保密义务不因本项目结束而终止。</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color w:val="auto"/>
          <w:sz w:val="24"/>
          <w:szCs w:val="24"/>
          <w:highlight w:val="none"/>
        </w:rPr>
      </w:pPr>
      <w:r>
        <w:rPr>
          <w:rFonts w:hint="eastAsia"/>
          <w:color w:val="auto"/>
          <w:sz w:val="24"/>
          <w:szCs w:val="24"/>
          <w:highlight w:val="none"/>
        </w:rPr>
        <w:t>本承诺书本协议与主合同同时签订、同时终止、同时生效，甲方、乙方双方执持数量与主合同一致。本承诺函为不可撤销单方承诺函。</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color w:val="auto"/>
          <w:sz w:val="24"/>
          <w:szCs w:val="24"/>
          <w:highlight w:val="none"/>
        </w:rPr>
      </w:pPr>
      <w:r>
        <w:rPr>
          <w:rFonts w:hint="eastAsia"/>
          <w:color w:val="auto"/>
          <w:sz w:val="24"/>
          <w:szCs w:val="24"/>
          <w:highlight w:val="none"/>
        </w:rPr>
        <w:t>特此承诺。</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color w:val="auto"/>
          <w:sz w:val="24"/>
          <w:szCs w:val="24"/>
          <w:highlight w:val="none"/>
        </w:rPr>
      </w:pPr>
    </w:p>
    <w:tbl>
      <w:tblPr>
        <w:tblStyle w:val="6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399"/>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1" w:hRule="atLeast"/>
        </w:trPr>
        <w:tc>
          <w:tcPr>
            <w:tcW w:w="3399" w:type="dxa"/>
          </w:tcPr>
          <w:p>
            <w:pPr>
              <w:keepNext w:val="0"/>
              <w:keepLines w:val="0"/>
              <w:pageBreakBefore w:val="0"/>
              <w:widowControl/>
              <w:kinsoku/>
              <w:wordWrap/>
              <w:overflowPunct/>
              <w:topLinePunct w:val="0"/>
              <w:autoSpaceDE/>
              <w:autoSpaceDN/>
              <w:bidi w:val="0"/>
              <w:adjustRightInd/>
              <w:snapToGrid/>
              <w:spacing w:line="360" w:lineRule="auto"/>
              <w:textAlignment w:val="auto"/>
              <w:rPr>
                <w:color w:val="auto"/>
                <w:sz w:val="24"/>
                <w:szCs w:val="24"/>
                <w:highlight w:val="none"/>
              </w:rPr>
            </w:pPr>
          </w:p>
        </w:tc>
        <w:tc>
          <w:tcPr>
            <w:tcW w:w="5121" w:type="dxa"/>
          </w:tcPr>
          <w:p>
            <w:pPr>
              <w:keepNext w:val="0"/>
              <w:keepLines w:val="0"/>
              <w:pageBreakBefore w:val="0"/>
              <w:widowControl/>
              <w:kinsoku/>
              <w:wordWrap/>
              <w:overflowPunct/>
              <w:topLinePunct w:val="0"/>
              <w:autoSpaceDE/>
              <w:autoSpaceDN/>
              <w:bidi w:val="0"/>
              <w:adjustRightInd/>
              <w:snapToGrid/>
              <w:spacing w:line="360" w:lineRule="auto"/>
              <w:textAlignment w:val="auto"/>
              <w:rPr>
                <w:rFonts w:ascii="Calibri" w:hAnsi="Calibri" w:cs="Times New Roman"/>
                <w:bCs/>
                <w:color w:val="auto"/>
                <w:sz w:val="24"/>
                <w:szCs w:val="24"/>
                <w:highlight w:val="none"/>
              </w:rPr>
            </w:pPr>
            <w:r>
              <w:rPr>
                <w:rFonts w:hint="eastAsia"/>
                <w:color w:val="auto"/>
                <w:sz w:val="24"/>
                <w:szCs w:val="24"/>
                <w:highlight w:val="none"/>
              </w:rPr>
              <w:t>乙方</w:t>
            </w:r>
            <w:r>
              <w:rPr>
                <w:color w:val="auto"/>
                <w:sz w:val="24"/>
                <w:szCs w:val="24"/>
                <w:highlight w:val="none"/>
              </w:rPr>
              <w:t>（盖章）</w:t>
            </w:r>
            <w:r>
              <w:rPr>
                <w:rFonts w:hint="eastAsia"/>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auto"/>
              <w:textAlignment w:val="auto"/>
              <w:rPr>
                <w:color w:val="auto"/>
                <w:sz w:val="24"/>
                <w:szCs w:val="24"/>
                <w:highlight w:val="none"/>
              </w:rPr>
            </w:pPr>
          </w:p>
          <w:p>
            <w:pPr>
              <w:keepNext w:val="0"/>
              <w:keepLines w:val="0"/>
              <w:pageBreakBefore w:val="0"/>
              <w:widowControl/>
              <w:kinsoku/>
              <w:wordWrap/>
              <w:overflowPunct/>
              <w:topLinePunct w:val="0"/>
              <w:autoSpaceDE/>
              <w:autoSpaceDN/>
              <w:bidi w:val="0"/>
              <w:adjustRightInd/>
              <w:snapToGrid/>
              <w:spacing w:line="360" w:lineRule="auto"/>
              <w:textAlignment w:val="auto"/>
              <w:rPr>
                <w:color w:val="auto"/>
                <w:sz w:val="24"/>
                <w:szCs w:val="24"/>
                <w:highlight w:val="none"/>
              </w:rPr>
            </w:pPr>
            <w:r>
              <w:rPr>
                <w:rFonts w:hint="eastAsia"/>
                <w:color w:val="auto"/>
                <w:sz w:val="24"/>
                <w:szCs w:val="24"/>
                <w:highlight w:val="none"/>
              </w:rPr>
              <w:t>签约代表</w:t>
            </w:r>
            <w:r>
              <w:rPr>
                <w:color w:val="auto"/>
                <w:sz w:val="24"/>
                <w:szCs w:val="24"/>
                <w:highlight w:val="none"/>
              </w:rPr>
              <w:t>：</w:t>
            </w:r>
          </w:p>
          <w:p>
            <w:pPr>
              <w:keepNext w:val="0"/>
              <w:keepLines w:val="0"/>
              <w:pageBreakBefore w:val="0"/>
              <w:widowControl/>
              <w:kinsoku/>
              <w:wordWrap/>
              <w:overflowPunct/>
              <w:topLinePunct w:val="0"/>
              <w:autoSpaceDE/>
              <w:autoSpaceDN/>
              <w:bidi w:val="0"/>
              <w:adjustRightInd/>
              <w:snapToGrid/>
              <w:spacing w:line="360" w:lineRule="auto"/>
              <w:textAlignment w:val="auto"/>
              <w:rPr>
                <w:color w:val="auto"/>
                <w:sz w:val="24"/>
                <w:szCs w:val="24"/>
                <w:highlight w:val="none"/>
              </w:rPr>
            </w:pPr>
            <w:r>
              <w:rPr>
                <w:color w:val="auto"/>
                <w:sz w:val="24"/>
                <w:szCs w:val="24"/>
                <w:highlight w:val="none"/>
              </w:rPr>
              <w:tab/>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仿宋_GB2312" w:hAnsi="Calibri" w:eastAsia="仿宋_GB2312" w:cs="Times New Roman"/>
                <w:color w:val="auto"/>
                <w:sz w:val="24"/>
                <w:szCs w:val="24"/>
                <w:highlight w:val="none"/>
              </w:rPr>
            </w:pPr>
            <w:r>
              <w:rPr>
                <w:rFonts w:hint="eastAsia"/>
                <w:color w:val="auto"/>
                <w:sz w:val="24"/>
                <w:szCs w:val="24"/>
                <w:highlight w:val="none"/>
              </w:rPr>
              <w:t>日期：</w:t>
            </w:r>
          </w:p>
        </w:tc>
      </w:tr>
    </w:tbl>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color w:val="auto"/>
          <w:highlight w:val="none"/>
        </w:rPr>
      </w:pPr>
    </w:p>
    <w:p>
      <w:pPr>
        <w:keepNext w:val="0"/>
        <w:keepLines w:val="0"/>
        <w:pageBreakBefore w:val="0"/>
        <w:widowControl/>
        <w:kinsoku/>
        <w:wordWrap/>
        <w:overflowPunct/>
        <w:topLinePunct w:val="0"/>
        <w:autoSpaceDE/>
        <w:autoSpaceDN/>
        <w:bidi w:val="0"/>
        <w:adjustRightInd/>
        <w:snapToGrid/>
        <w:spacing w:line="360" w:lineRule="auto"/>
        <w:textAlignment w:val="auto"/>
        <w:rPr>
          <w:color w:val="auto"/>
          <w:highlight w:val="none"/>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color w:val="auto"/>
          <w:highlight w:val="none"/>
        </w:rPr>
      </w:pPr>
    </w:p>
    <w:p>
      <w:pPr>
        <w:rPr>
          <w:color w:val="auto"/>
          <w:highlight w:val="none"/>
        </w:rPr>
      </w:pPr>
      <w:r>
        <w:rPr>
          <w:rFonts w:hint="eastAsia"/>
          <w:color w:val="auto"/>
          <w:highlight w:val="none"/>
        </w:rPr>
        <w:br w:type="page"/>
      </w:r>
    </w:p>
    <w:p>
      <w:pPr>
        <w:spacing w:line="24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附件4：成果</w:t>
      </w:r>
      <w:r>
        <w:rPr>
          <w:rFonts w:hint="eastAsia" w:ascii="宋体" w:hAnsi="宋体" w:eastAsia="宋体" w:cs="宋体"/>
          <w:b/>
          <w:bCs/>
          <w:color w:val="auto"/>
          <w:sz w:val="24"/>
          <w:szCs w:val="24"/>
          <w:highlight w:val="none"/>
          <w:lang w:val="en-US" w:eastAsia="zh-CN"/>
        </w:rPr>
        <w:t>归属</w:t>
      </w:r>
      <w:r>
        <w:rPr>
          <w:rFonts w:hint="eastAsia" w:ascii="宋体" w:hAnsi="宋体" w:eastAsia="宋体" w:cs="宋体"/>
          <w:b/>
          <w:bCs/>
          <w:color w:val="auto"/>
          <w:sz w:val="24"/>
          <w:szCs w:val="24"/>
          <w:highlight w:val="none"/>
        </w:rPr>
        <w:t>协议</w:t>
      </w:r>
    </w:p>
    <w:p>
      <w:pPr>
        <w:spacing w:line="240" w:lineRule="auto"/>
        <w:jc w:val="center"/>
        <w:rPr>
          <w:b/>
          <w:bCs/>
          <w:color w:val="auto"/>
          <w:sz w:val="44"/>
          <w:szCs w:val="44"/>
          <w:highlight w:val="none"/>
        </w:rPr>
      </w:pPr>
      <w:r>
        <w:rPr>
          <w:rFonts w:hint="eastAsia"/>
          <w:b/>
          <w:bCs/>
          <w:color w:val="auto"/>
          <w:sz w:val="44"/>
          <w:szCs w:val="44"/>
          <w:highlight w:val="none"/>
        </w:rPr>
        <w:t>成果</w:t>
      </w:r>
      <w:r>
        <w:rPr>
          <w:rFonts w:hint="eastAsia" w:asciiTheme="minorHAnsi" w:eastAsiaTheme="minorEastAsia"/>
          <w:b/>
          <w:bCs/>
          <w:color w:val="auto"/>
          <w:sz w:val="44"/>
          <w:szCs w:val="44"/>
          <w:highlight w:val="none"/>
          <w:lang w:val="en-US" w:eastAsia="zh-CN"/>
        </w:rPr>
        <w:t>归属</w:t>
      </w:r>
      <w:r>
        <w:rPr>
          <w:b/>
          <w:bCs/>
          <w:color w:val="auto"/>
          <w:sz w:val="44"/>
          <w:szCs w:val="44"/>
          <w:highlight w:val="none"/>
        </w:rPr>
        <w:t>协议</w:t>
      </w:r>
    </w:p>
    <w:p>
      <w:pPr>
        <w:autoSpaceDE/>
        <w:autoSpaceDN/>
        <w:adjustRightInd/>
        <w:rPr>
          <w:color w:val="auto"/>
          <w:highlight w:val="none"/>
        </w:rPr>
      </w:pPr>
    </w:p>
    <w:p>
      <w:pPr>
        <w:keepNext w:val="0"/>
        <w:keepLines w:val="0"/>
        <w:pageBreakBefore w:val="0"/>
        <w:widowControl/>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为保护双方利益，根据国家有关法律法规，</w:t>
      </w:r>
      <w:r>
        <w:rPr>
          <w:rFonts w:hint="eastAsia" w:ascii="宋体" w:hAnsi="宋体" w:eastAsia="宋体" w:cs="宋体"/>
          <w:color w:val="auto"/>
          <w:sz w:val="24"/>
          <w:szCs w:val="24"/>
          <w:highlight w:val="none"/>
          <w:u w:val="single"/>
        </w:rPr>
        <w:t>广州市净水有限公司</w:t>
      </w:r>
      <w:r>
        <w:rPr>
          <w:rFonts w:hint="eastAsia" w:ascii="宋体" w:hAnsi="宋体" w:eastAsia="宋体" w:cs="宋体"/>
          <w:color w:val="auto"/>
          <w:sz w:val="24"/>
          <w:szCs w:val="24"/>
          <w:highlight w:val="none"/>
        </w:rPr>
        <w:t>(以下称甲方)与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(以下称乙方)，特此订立本协议共同遵照执行。</w:t>
      </w:r>
    </w:p>
    <w:p>
      <w:pPr>
        <w:numPr>
          <w:ilvl w:val="0"/>
          <w:numId w:val="5"/>
        </w:num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协议所述成果指本项目实施过程中产生的成果，内容包括：</w:t>
      </w:r>
    </w:p>
    <w:p>
      <w:pPr>
        <w:numPr>
          <w:ilvl w:val="0"/>
          <w:numId w:val="6"/>
        </w:num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技术成果：项目实施过程中取得的及最终取得的发明、发现和其他科学技术成就。其表现形式包括但不限于技术资料、设计图纸、工艺方法、材料配方、计算机程序、技术信息及其组合;也包括但不限于样品、样机、新产品、新材料以及新生产线。</w:t>
      </w:r>
    </w:p>
    <w:p>
      <w:pPr>
        <w:numPr>
          <w:ilvl w:val="0"/>
          <w:numId w:val="6"/>
        </w:num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学术发表：出于学术研究目的，在期刊、报纸、书籍或电子图书馆上公开发表，或在课堂、讲座或研讨会等公开场合发表。</w:t>
      </w:r>
    </w:p>
    <w:p>
      <w:pPr>
        <w:numPr>
          <w:ilvl w:val="0"/>
          <w:numId w:val="6"/>
        </w:num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知识产权：（1）作品；（2）发明专利、实用新型专利、外观设计专利；（3）商标；（4）地理标志；（5）商业秘密；（6）集成电路布图设计；（7）植物新品种；（8）法律规定的其他客体。</w:t>
      </w:r>
    </w:p>
    <w:p>
      <w:pPr>
        <w:numPr>
          <w:ilvl w:val="0"/>
          <w:numId w:val="5"/>
        </w:numPr>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背景知识产权：</w:t>
      </w:r>
    </w:p>
    <w:p>
      <w:pPr>
        <w:keepNext w:val="0"/>
        <w:keepLines w:val="0"/>
        <w:pageBreakBefore w:val="0"/>
        <w:widowControl/>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1.本协议的履行不影响双方原本拥有的背景知识产权的归属，其仍然归原权利人所有；</w:t>
      </w:r>
    </w:p>
    <w:p>
      <w:pPr>
        <w:keepNext w:val="0"/>
        <w:keepLines w:val="0"/>
        <w:pageBreakBefore w:val="0"/>
        <w:widowControl/>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2.本协议双方应授予对方为实施本项目研发而使用背景知识产权的免费普通许可。除以实施本项目为目的允许甲方关联企业员工或乙方学生使用外，双方均不得授予第三方使用对方背景知识产权的分许可；</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3.甲方需以实施本项目研发以外的其他目的使用乙方背景知识产权的，双方应另行签订许可协议。</w:t>
      </w:r>
    </w:p>
    <w:p>
      <w:pPr>
        <w:keepNext w:val="0"/>
        <w:keepLines w:val="0"/>
        <w:pageBreakBefore w:val="0"/>
        <w:widowControl/>
        <w:kinsoku/>
        <w:wordWrap/>
        <w:overflowPunct/>
        <w:topLinePunct w:val="0"/>
        <w:autoSpaceDE/>
        <w:autoSpaceDN/>
        <w:bidi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第三条 </w:t>
      </w:r>
      <w:r>
        <w:rPr>
          <w:rFonts w:hint="eastAsia" w:ascii="宋体" w:hAnsi="宋体" w:eastAsia="宋体" w:cs="宋体"/>
          <w:color w:val="auto"/>
          <w:sz w:val="24"/>
          <w:szCs w:val="24"/>
          <w:highlight w:val="none"/>
        </w:rPr>
        <w:t>乙方保证在项目开发过程中不侵犯任何第三方和甲方的知识产权，如有侵权，乙方应当决定采取以下补救措施之一以使甲方能合法地继续使用本项目开发成果：（一）自行获得第三方的许可；或（二）修改或更换前述开发成果使其不侵权。乙方采取前述补救措施的费用应由乙方自行承担。若乙方无法采取以上任何补救措施，导致甲方无法继续合法地使用前述开发成果,乙方同意向甲方返还已收取的金额。</w:t>
      </w:r>
    </w:p>
    <w:p>
      <w:pPr>
        <w:keepNext w:val="0"/>
        <w:keepLines w:val="0"/>
        <w:pageBreakBefore w:val="0"/>
        <w:widowControl/>
        <w:numPr>
          <w:ilvl w:val="0"/>
          <w:numId w:val="0"/>
        </w:numP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第四条 </w:t>
      </w:r>
      <w:r>
        <w:rPr>
          <w:rFonts w:hint="eastAsia" w:ascii="宋体" w:hAnsi="宋体" w:eastAsia="宋体" w:cs="宋体"/>
          <w:color w:val="auto"/>
          <w:sz w:val="24"/>
          <w:szCs w:val="24"/>
          <w:highlight w:val="none"/>
        </w:rPr>
        <w:t>技术成果知识产权的归属和使用：</w:t>
      </w:r>
    </w:p>
    <w:p>
      <w:pPr>
        <w:keepNext w:val="0"/>
        <w:keepLines w:val="0"/>
        <w:pageBreakBefore w:val="0"/>
        <w:widowControl/>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1.甲方委托乙方开发完成的技术成果知识产权应当归甲方所有，该技术成果知识产权申请权归甲方所有。</w:t>
      </w:r>
    </w:p>
    <w:p>
      <w:pPr>
        <w:keepNext w:val="0"/>
        <w:keepLines w:val="0"/>
        <w:pageBreakBefore w:val="0"/>
        <w:widowControl/>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2.双方可以不定期（不限于项目期间）对任何涉嫌或实际侵犯其技术成果知识产权的行为采取一切合理必要措施，另一方应当为其采取上述措施提供合理的帮助。</w:t>
      </w:r>
    </w:p>
    <w:p>
      <w:pPr>
        <w:keepNext w:val="0"/>
        <w:keepLines w:val="0"/>
        <w:pageBreakBefore w:val="0"/>
        <w:widowControl/>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4.双方应允许对方以实施本项目研发为目的授予使用技术成果知识产权的许可，但不得授予其他第三方使用技术成果知识产权的分许可。</w:t>
      </w:r>
    </w:p>
    <w:p>
      <w:pPr>
        <w:keepNext w:val="0"/>
        <w:keepLines w:val="0"/>
        <w:pageBreakBefore w:val="0"/>
        <w:widowControl/>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果存在任何第三方（如学生、承包商或其他非项目界定参与人员）参与或曾经参与该项目，则按有关协议或管理权限可以约束该第三方的一方应当确保已获得（或者在未来适当情况下获得）该第三方在技术成果中可能拥有的所有权利。</w:t>
      </w:r>
    </w:p>
    <w:p>
      <w:pPr>
        <w:keepNext w:val="0"/>
        <w:keepLines w:val="0"/>
        <w:pageBreakBefore w:val="0"/>
        <w:widowControl/>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未经甲方书面同意，乙方不得赋予技术成果完成人（团队）技术成果知识产权所有权或长期使用权。若甲方书面同意赋予技术成果完成人（团队）技术成果知识产权所有权或长期使用权，协议双方应与技术成果完成人（团队）签署三方书面协议，合理约定转化技术成果收益分配比例、转化决策机制、转化费用分担以及知识产权维持费用等。</w:t>
      </w:r>
    </w:p>
    <w:p>
      <w:pPr>
        <w:keepNext w:val="0"/>
        <w:keepLines w:val="0"/>
        <w:pageBreakBefore w:val="0"/>
        <w:widowControl/>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7.无论是否存在技术成果知识产权的许可和转让，乙方及其员工和学生拥有不可撤销的出于学术研究目的使用技术成果知识产权的权利。但涉及甲方商业秘密，须事先取得甲方书面同意。</w:t>
      </w:r>
    </w:p>
    <w:p>
      <w:pPr>
        <w:keepNext w:val="0"/>
        <w:keepLines w:val="0"/>
        <w:pageBreakBefore w:val="0"/>
        <w:widowControl/>
        <w:numPr>
          <w:ilvl w:val="0"/>
          <w:numId w:val="0"/>
        </w:numP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第五条 </w:t>
      </w:r>
      <w:r>
        <w:rPr>
          <w:rFonts w:hint="eastAsia" w:ascii="宋体" w:hAnsi="宋体" w:eastAsia="宋体" w:cs="宋体"/>
          <w:color w:val="auto"/>
          <w:sz w:val="24"/>
          <w:szCs w:val="24"/>
          <w:highlight w:val="none"/>
        </w:rPr>
        <w:t>技术成果知识产权的改进：</w:t>
      </w:r>
    </w:p>
    <w:p>
      <w:pPr>
        <w:keepNext w:val="0"/>
        <w:keepLines w:val="0"/>
        <w:pageBreakBefore w:val="0"/>
        <w:widowControl/>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另有约定外，本协议期满或终止后，任何一方均有对技术成果知识产权进行改进或二次开发的权利，一方单独改进或二次开发的成果属于改进一方或二次开发方所有。需利用对方商业秘密进行改进或二次开发的，须获得对方书面同意，且改进或二次开发成果属于双方共有。双方合作改进或二次开发的成果属于双方共有。</w:t>
      </w:r>
    </w:p>
    <w:p>
      <w:pPr>
        <w:keepNext w:val="0"/>
        <w:keepLines w:val="0"/>
        <w:pageBreakBefore w:val="0"/>
        <w:widowControl/>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2.一方对技术成果知识产权改进或二次开发的成果，同等条件下应当授予对方优先被许可或受让的权利。</w:t>
      </w:r>
    </w:p>
    <w:p>
      <w:pPr>
        <w:keepNext w:val="0"/>
        <w:keepLines w:val="0"/>
        <w:pageBreakBefore w:val="0"/>
        <w:widowControl/>
        <w:numPr>
          <w:ilvl w:val="0"/>
          <w:numId w:val="0"/>
        </w:numP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第六条 </w:t>
      </w:r>
      <w:r>
        <w:rPr>
          <w:rFonts w:hint="eastAsia" w:ascii="宋体" w:hAnsi="宋体" w:eastAsia="宋体" w:cs="宋体"/>
          <w:color w:val="auto"/>
          <w:sz w:val="24"/>
          <w:szCs w:val="24"/>
          <w:highlight w:val="none"/>
        </w:rPr>
        <w:t>协议双方使用对方知识产权的，对方应当向其提供该知识产权不侵犯第三方任何权利的担保。</w:t>
      </w:r>
    </w:p>
    <w:p>
      <w:pPr>
        <w:keepNext w:val="0"/>
        <w:keepLines w:val="0"/>
        <w:pageBreakBefore w:val="0"/>
        <w:widowControl/>
        <w:numPr>
          <w:ilvl w:val="0"/>
          <w:numId w:val="0"/>
        </w:numPr>
        <w:kinsoku/>
        <w:wordWrap/>
        <w:overflowPunct/>
        <w:topLinePunct w:val="0"/>
        <w:autoSpaceDE/>
        <w:autoSpaceDN/>
        <w:bidi w:val="0"/>
        <w:adjustRightIn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第七条 </w:t>
      </w:r>
      <w:r>
        <w:rPr>
          <w:rFonts w:hint="eastAsia" w:ascii="宋体" w:hAnsi="宋体" w:eastAsia="宋体" w:cs="宋体"/>
          <w:color w:val="auto"/>
          <w:sz w:val="24"/>
          <w:szCs w:val="24"/>
          <w:highlight w:val="none"/>
        </w:rPr>
        <w:t>学术发表：</w:t>
      </w:r>
    </w:p>
    <w:p>
      <w:pPr>
        <w:keepNext w:val="0"/>
        <w:keepLines w:val="0"/>
        <w:pageBreakBefore w:val="0"/>
        <w:widowControl/>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不违反本协议关于保密和知识产权规定的情况下，协议双方均有权发表本项目的技术成果。协议任何一方在其发表的论文或出版物中应该明确标明另外一方对本技术成果的贡献，以及其对本技术成果的资助情况。</w:t>
      </w:r>
    </w:p>
    <w:p>
      <w:pPr>
        <w:keepNext w:val="0"/>
        <w:keepLines w:val="0"/>
        <w:pageBreakBefore w:val="0"/>
        <w:widowControl/>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2.拟发表方应当至少在拟发表日期前的30天内，以书面形式向对方提交拟发表内容的详细信息。对方可以向拟发表方以书面形式发出保密通知。</w:t>
      </w:r>
    </w:p>
    <w:p>
      <w:pPr>
        <w:keepNext w:val="0"/>
        <w:keepLines w:val="0"/>
        <w:pageBreakBefore w:val="0"/>
        <w:widowControl/>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3.保密通知发出方有权在保密通知中要求，将拟发表推迟3个月。但该方须有合理意见说明该要求是为了对拟发表内容寻求专利或其他知识产权保护而必要的。</w:t>
      </w:r>
    </w:p>
    <w:p>
      <w:pPr>
        <w:keepNext w:val="0"/>
        <w:keepLines w:val="0"/>
        <w:pageBreakBefore w:val="0"/>
        <w:widowControl/>
        <w:numPr>
          <w:ilvl w:val="0"/>
          <w:numId w:val="0"/>
        </w:numPr>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4.保密通知发出方必须在收到拟发表内容的详细信息后的15天内发出保密通知。如果拟发表方在该期限内未收到保密通知，则视为同意发表，但该拟发表内容与对方背景知识产权有关且是其保密信息的除外。</w:t>
      </w:r>
    </w:p>
    <w:p>
      <w:pPr>
        <w:keepNext w:val="0"/>
        <w:keepLines w:val="0"/>
        <w:pageBreakBefore w:val="0"/>
        <w:widowControl/>
        <w:kinsoku/>
        <w:wordWrap/>
        <w:overflowPunct/>
        <w:topLinePunct w:val="0"/>
        <w:autoSpaceDE/>
        <w:autoSpaceDN/>
        <w:bidi w:val="0"/>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第八条 </w:t>
      </w:r>
      <w:r>
        <w:rPr>
          <w:rFonts w:hint="eastAsia" w:ascii="宋体" w:hAnsi="宋体" w:eastAsia="宋体" w:cs="宋体"/>
          <w:color w:val="auto"/>
          <w:sz w:val="24"/>
          <w:szCs w:val="24"/>
          <w:highlight w:val="none"/>
        </w:rPr>
        <w:t>本协议作为                                （合同编号：    号）合同的附件，并具有同等的法律效力。</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color w:val="auto"/>
          <w:sz w:val="24"/>
          <w:szCs w:val="24"/>
          <w:highlight w:val="none"/>
        </w:rPr>
        <w:t xml:space="preserve"> 本协议与主合同同时签订、同时终止、同时生效，具有相同的法律效力，自甲方、乙方双方签字、盖章生效，甲方、乙方双方执持数量与主合同一致。</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eastAsia="zh-CN"/>
        </w:rPr>
      </w:pPr>
    </w:p>
    <w:p>
      <w:pPr>
        <w:keepNext w:val="0"/>
        <w:keepLines w:val="0"/>
        <w:pageBreakBefore w:val="0"/>
        <w:widowControl/>
        <w:kinsoku/>
        <w:wordWrap/>
        <w:overflowPunct/>
        <w:topLinePunct w:val="0"/>
        <w:autoSpaceDE/>
        <w:autoSpaceDN/>
        <w:bidi w:val="0"/>
        <w:adjustRightInd w:val="0"/>
        <w:snapToGrid w:val="0"/>
        <w:spacing w:after="200" w:line="360" w:lineRule="auto"/>
        <w:ind w:firstLine="480" w:firstLineChars="200"/>
        <w:textAlignment w:val="auto"/>
        <w:rPr>
          <w:rFonts w:hint="eastAsia" w:ascii="宋体" w:hAnsi="宋体" w:eastAsia="宋体" w:cs="宋体"/>
          <w:color w:val="auto"/>
          <w:kern w:val="0"/>
          <w:sz w:val="24"/>
          <w:szCs w:val="24"/>
          <w:highlight w:val="none"/>
          <w:lang w:val="en-US" w:eastAsia="zh-CN" w:bidi="ar-SA"/>
        </w:rPr>
      </w:pP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甲方（盖章）：广州市净水有限公司   乙方（盖章）：</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签约代表：                        签约代表：</w:t>
      </w: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rPr>
      </w:pPr>
    </w:p>
    <w:p>
      <w:pPr>
        <w:keepNext w:val="0"/>
        <w:keepLines w:val="0"/>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 xml:space="preserve">                           日期：</w:t>
      </w:r>
    </w:p>
    <w:p>
      <w:pPr>
        <w:keepNext w:val="0"/>
        <w:keepLines w:val="0"/>
        <w:pageBreakBefore w:val="0"/>
        <w:widowControl/>
        <w:kinsoku/>
        <w:wordWrap/>
        <w:overflowPunct/>
        <w:topLinePunct w:val="0"/>
        <w:autoSpaceDE/>
        <w:autoSpaceDN/>
        <w:bidi w:val="0"/>
        <w:spacing w:line="360" w:lineRule="auto"/>
        <w:textAlignment w:val="auto"/>
        <w:rPr>
          <w:color w:val="auto"/>
          <w:highlight w:val="none"/>
        </w:rPr>
      </w:pPr>
      <w:r>
        <w:rPr>
          <w:color w:val="auto"/>
          <w:highlight w:val="none"/>
        </w:rPr>
        <w:br w:type="page"/>
      </w:r>
    </w:p>
    <w:p>
      <w:pPr>
        <w:widowControl/>
        <w:adjustRightInd w:val="0"/>
        <w:snapToGrid w:val="0"/>
        <w:spacing w:after="200"/>
        <w:jc w:val="left"/>
        <w:rPr>
          <w:rFonts w:ascii="Times New Roman" w:hAnsi="Times New Roman" w:eastAsia="微软雅黑" w:cs="Tahoma"/>
          <w:color w:val="auto"/>
          <w:kern w:val="0"/>
          <w:sz w:val="28"/>
          <w:szCs w:val="28"/>
          <w:highlight w:val="none"/>
          <w:lang w:val="en-US" w:eastAsia="zh-CN" w:bidi="ar-SA"/>
        </w:rPr>
      </w:pPr>
    </w:p>
    <w:p>
      <w:pPr>
        <w:widowControl w:val="0"/>
        <w:autoSpaceDE w:val="0"/>
        <w:autoSpaceDN w:val="0"/>
        <w:spacing w:line="360" w:lineRule="auto"/>
        <w:jc w:val="left"/>
        <w:rPr>
          <w:rFonts w:ascii="仿宋_GB2312" w:hAnsi="仿宋_GB2312" w:eastAsia="仿宋_GB2312" w:cs="仿宋_GB2312"/>
          <w:color w:val="auto"/>
          <w:kern w:val="0"/>
          <w:sz w:val="28"/>
          <w:szCs w:val="28"/>
          <w:highlight w:val="none"/>
        </w:rPr>
      </w:pPr>
    </w:p>
    <w:p>
      <w:pPr>
        <w:widowControl w:val="0"/>
        <w:autoSpaceDE w:val="0"/>
        <w:autoSpaceDN w:val="0"/>
        <w:adjustRightInd/>
        <w:snapToGrid/>
        <w:spacing w:line="600" w:lineRule="exact"/>
        <w:ind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widowControl w:val="0"/>
        <w:autoSpaceDE w:val="0"/>
        <w:autoSpaceDN w:val="0"/>
        <w:adjustRightInd/>
        <w:snapToGrid/>
        <w:spacing w:line="600" w:lineRule="exact"/>
        <w:ind w:firstLine="480" w:firstLineChars="200"/>
        <w:jc w:val="both"/>
        <w:textAlignment w:val="baseline"/>
        <w:rPr>
          <w:rFonts w:ascii="宋体" w:hAnsi="宋体" w:eastAsia="等线" w:cs="Times New Roman"/>
          <w:color w:val="auto"/>
          <w:kern w:val="0"/>
          <w:sz w:val="24"/>
          <w:szCs w:val="24"/>
          <w:highlight w:val="none"/>
          <w:lang w:val="en-US" w:eastAsia="zh-CN" w:bidi="ar-SA"/>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_GB2312"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_GB2312" w:hAnsiTheme="minorEastAsia"/>
          <w:color w:val="auto"/>
          <w:sz w:val="28"/>
          <w:szCs w:val="28"/>
          <w:highlight w:val="none"/>
          <w:lang w:val="en-US" w:eastAsia="zh-CN"/>
        </w:rPr>
      </w:pPr>
    </w:p>
    <w:p>
      <w:pPr>
        <w:keepNext/>
        <w:keepLines/>
        <w:widowControl w:val="0"/>
        <w:spacing w:before="340" w:after="330" w:line="578" w:lineRule="auto"/>
        <w:jc w:val="center"/>
        <w:outlineLvl w:val="0"/>
        <w:rPr>
          <w:rFonts w:eastAsia="方正小标宋简体" w:asciiTheme="minorHAnsi" w:hAnsiTheme="minorHAnsi" w:cstheme="minorBidi"/>
          <w:bCs/>
          <w:color w:val="auto"/>
          <w:kern w:val="44"/>
          <w:sz w:val="44"/>
          <w:szCs w:val="44"/>
          <w:highlight w:val="none"/>
          <w:lang w:val="en-US" w:eastAsia="zh-CN" w:bidi="ar-SA"/>
        </w:rPr>
      </w:pPr>
      <w:bookmarkStart w:id="21" w:name="_Toc10840"/>
      <w:bookmarkStart w:id="22" w:name="_Toc24815"/>
      <w:bookmarkStart w:id="23" w:name="_Toc21675"/>
      <w:bookmarkStart w:id="24" w:name="_Toc5342"/>
      <w:bookmarkStart w:id="25" w:name="_Toc30157"/>
      <w:bookmarkStart w:id="26" w:name="_Toc88209951"/>
      <w:bookmarkStart w:id="27" w:name="_Toc87616388"/>
      <w:bookmarkStart w:id="28" w:name="_Toc24490"/>
      <w:bookmarkStart w:id="29" w:name="_Toc12610"/>
      <w:bookmarkStart w:id="30" w:name="_Toc12769"/>
      <w:bookmarkStart w:id="31" w:name="_Toc31564"/>
      <w:bookmarkStart w:id="32" w:name="_Toc22764"/>
      <w:bookmarkStart w:id="33" w:name="_Toc17119"/>
      <w:r>
        <w:rPr>
          <w:rFonts w:hint="eastAsia" w:eastAsia="方正小标宋简体" w:asciiTheme="minorHAnsi" w:hAnsiTheme="minorHAnsi" w:cstheme="minorBidi"/>
          <w:bCs/>
          <w:color w:val="auto"/>
          <w:kern w:val="44"/>
          <w:sz w:val="44"/>
          <w:szCs w:val="44"/>
          <w:highlight w:val="none"/>
          <w:lang w:val="en-US" w:eastAsia="zh-CN" w:bidi="ar-SA"/>
        </w:rPr>
        <w:t>响应文件格式要求</w:t>
      </w:r>
      <w:bookmarkEnd w:id="21"/>
      <w:bookmarkEnd w:id="22"/>
      <w:bookmarkEnd w:id="23"/>
      <w:bookmarkEnd w:id="24"/>
      <w:bookmarkEnd w:id="25"/>
      <w:bookmarkEnd w:id="26"/>
      <w:bookmarkEnd w:id="27"/>
      <w:bookmarkEnd w:id="28"/>
      <w:bookmarkEnd w:id="29"/>
      <w:bookmarkEnd w:id="30"/>
      <w:bookmarkEnd w:id="31"/>
      <w:bookmarkEnd w:id="32"/>
      <w:bookmarkEnd w:id="33"/>
    </w:p>
    <w:p>
      <w:pPr>
        <w:widowControl w:val="0"/>
        <w:jc w:val="left"/>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br w:type="page"/>
      </w:r>
    </w:p>
    <w:p>
      <w:pPr>
        <w:rPr>
          <w:color w:val="auto"/>
          <w:highlight w:val="none"/>
        </w:rPr>
      </w:pPr>
    </w:p>
    <w:p>
      <w:pPr>
        <w:adjustRightInd/>
        <w:snapToGrid/>
        <w:spacing w:before="0" w:beforeLines="-2147483648" w:after="0" w:afterLines="-2147483648" w:line="240" w:lineRule="auto"/>
        <w:jc w:val="left"/>
        <w:rPr>
          <w:color w:val="auto"/>
          <w:highlight w:val="none"/>
        </w:rPr>
      </w:pPr>
    </w:p>
    <w:p>
      <w:pPr>
        <w:adjustRightInd/>
        <w:snapToGrid/>
        <w:spacing w:before="0" w:beforeLines="-2147483648" w:after="0" w:afterLines="-2147483648" w:line="240" w:lineRule="auto"/>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广州市净水有限公司生物膜电流对水体生物毒性的响应规律及其调控技术研究</w:t>
      </w:r>
    </w:p>
    <w:p>
      <w:pPr>
        <w:adjustRightInd/>
        <w:snapToGrid/>
        <w:spacing w:before="0" w:beforeLines="-2147483648" w:after="0" w:afterLines="-2147483648" w:line="240" w:lineRule="auto"/>
        <w:jc w:val="center"/>
        <w:rPr>
          <w:rFonts w:hint="eastAsia" w:ascii="仿宋_GB2312" w:hAnsi="仿宋_GB2312" w:eastAsia="仿宋_GB2312" w:cs="仿宋_GB2312"/>
          <w:color w:val="auto"/>
          <w:sz w:val="30"/>
          <w:szCs w:val="30"/>
          <w:highlight w:val="none"/>
          <w:u w:val="single"/>
        </w:rPr>
      </w:pPr>
      <w:r>
        <w:rPr>
          <w:rFonts w:hint="eastAsia" w:ascii="仿宋_GB2312" w:hAnsi="仿宋_GB2312" w:eastAsia="仿宋_GB2312" w:cs="仿宋_GB2312"/>
          <w:color w:val="auto"/>
          <w:sz w:val="30"/>
          <w:szCs w:val="30"/>
          <w:highlight w:val="none"/>
        </w:rPr>
        <w:t>（项目编号：</w:t>
      </w:r>
      <w:r>
        <w:rPr>
          <w:rFonts w:hint="eastAsia" w:ascii="仿宋_GB2312" w:hAnsi="仿宋_GB2312" w:eastAsia="仿宋_GB2312" w:cs="仿宋_GB2312"/>
          <w:color w:val="auto"/>
          <w:sz w:val="30"/>
          <w:szCs w:val="30"/>
          <w:highlight w:val="none"/>
          <w:lang w:val="en-US" w:eastAsia="zh-CN"/>
        </w:rPr>
        <w:t xml:space="preserve">               </w:t>
      </w:r>
      <w:r>
        <w:rPr>
          <w:rFonts w:hint="eastAsia" w:ascii="仿宋_GB2312" w:hAnsi="仿宋_GB2312" w:eastAsia="仿宋_GB2312" w:cs="仿宋_GB2312"/>
          <w:color w:val="auto"/>
          <w:sz w:val="30"/>
          <w:szCs w:val="30"/>
          <w:highlight w:val="none"/>
        </w:rPr>
        <w:t xml:space="preserve">   ）</w:t>
      </w:r>
    </w:p>
    <w:p>
      <w:pPr>
        <w:adjustRightInd/>
        <w:snapToGrid/>
        <w:spacing w:before="0" w:beforeLines="-2147483648" w:after="0" w:afterLines="-2147483648" w:line="240" w:lineRule="auto"/>
        <w:jc w:val="left"/>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rPr>
          <w:color w:val="auto"/>
          <w:highlight w:val="none"/>
        </w:rPr>
      </w:pPr>
    </w:p>
    <w:p>
      <w:pPr>
        <w:pStyle w:val="5"/>
        <w:jc w:val="center"/>
        <w:rPr>
          <w:rFonts w:hint="eastAsia" w:ascii="仿宋_GB2312" w:hAnsi="仿宋_GB2312" w:eastAsia="仿宋_GB2312" w:cs="仿宋_GB2312"/>
          <w:color w:val="auto"/>
          <w:sz w:val="36"/>
          <w:szCs w:val="36"/>
          <w:highlight w:val="none"/>
        </w:rPr>
      </w:pPr>
    </w:p>
    <w:p>
      <w:pPr>
        <w:jc w:val="center"/>
        <w:rPr>
          <w:rFonts w:hint="eastAsia" w:ascii="仿宋_GB2312" w:hAnsi="仿宋_GB2312" w:eastAsia="仿宋_GB2312" w:cs="仿宋_GB2312"/>
          <w:color w:val="auto"/>
          <w:sz w:val="36"/>
          <w:szCs w:val="36"/>
          <w:highlight w:val="none"/>
        </w:rPr>
      </w:pPr>
    </w:p>
    <w:p>
      <w:pPr>
        <w:adjustRightInd/>
        <w:snapToGrid/>
        <w:spacing w:line="240" w:lineRule="auto"/>
        <w:ind w:left="0" w:firstLine="0" w:firstLineChars="0"/>
        <w:jc w:val="center"/>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供应商：                 （单位公章）</w:t>
      </w:r>
    </w:p>
    <w:p>
      <w:pPr>
        <w:adjustRightInd/>
        <w:snapToGrid/>
        <w:spacing w:line="240" w:lineRule="auto"/>
        <w:ind w:left="0" w:right="0" w:firstLine="0" w:firstLineChars="0"/>
        <w:jc w:val="center"/>
        <w:rPr>
          <w:rFonts w:hint="eastAsia" w:ascii="仿宋_GB2312" w:hAnsi="仿宋_GB2312" w:eastAsia="仿宋_GB2312" w:cs="仿宋_GB2312"/>
          <w:color w:val="auto"/>
          <w:sz w:val="36"/>
          <w:szCs w:val="36"/>
          <w:highlight w:val="none"/>
        </w:rPr>
      </w:pPr>
      <w:r>
        <w:rPr>
          <w:rFonts w:hint="eastAsia" w:ascii="仿宋_GB2312" w:hAnsi="仿宋_GB2312" w:eastAsia="仿宋_GB2312" w:cs="仿宋_GB2312"/>
          <w:color w:val="auto"/>
          <w:sz w:val="36"/>
          <w:szCs w:val="36"/>
          <w:highlight w:val="none"/>
        </w:rPr>
        <w:t>年     月     日</w:t>
      </w:r>
    </w:p>
    <w:p>
      <w:pPr>
        <w:rPr>
          <w:color w:val="auto"/>
          <w:highlight w:val="none"/>
        </w:rPr>
      </w:pPr>
      <w:r>
        <w:rPr>
          <w:color w:val="auto"/>
          <w:highlight w:val="none"/>
        </w:rPr>
        <w:br w:type="page"/>
      </w: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hint="eastAsia" w:ascii="方正小标宋简体" w:eastAsia="方正小标宋简体"/>
          <w:color w:val="auto"/>
          <w:sz w:val="44"/>
          <w:szCs w:val="44"/>
          <w:highlight w:val="none"/>
          <w:lang w:val="en-US" w:eastAsia="zh-CN"/>
        </w:rPr>
        <w:t xml:space="preserve"> </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方正小标宋简体"/>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1.响应函</w:t>
      </w:r>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5"/>
        <w:ind w:firstLine="560" w:firstLineChars="200"/>
        <w:rPr>
          <w:rFonts w:hint="eastAsia" w:eastAsia="仿宋_GB2312"/>
          <w:color w:val="auto"/>
          <w:highlight w:val="none"/>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2.法定代表人证明或授权委托书</w:t>
      </w:r>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42"/>
        <w:keepNext w:val="0"/>
        <w:keepLines w:val="0"/>
        <w:pageBreakBefore w:val="0"/>
        <w:widowControl w:val="0"/>
        <w:kinsoku/>
        <w:wordWrap/>
        <w:overflowPunct/>
        <w:topLinePunct w:val="0"/>
        <w:bidi w:val="0"/>
        <w:adjustRightInd w:val="0"/>
        <w:snapToGrid w:val="0"/>
        <w:spacing w:after="0" w:line="600" w:lineRule="exact"/>
        <w:ind w:firstLine="600" w:firstLineChars="200"/>
        <w:jc w:val="both"/>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单位性质：</w:t>
      </w:r>
      <w:r>
        <w:rPr>
          <w:rFonts w:hint="eastAsia" w:ascii="仿宋_GB2312" w:hAnsi="宋体" w:eastAsia="仿宋_GB2312" w:cs="Times New Roman"/>
          <w:color w:val="auto"/>
          <w:sz w:val="30"/>
          <w:szCs w:val="30"/>
          <w:highlight w:val="none"/>
          <w:u w:val="single"/>
        </w:rPr>
        <w:t xml:space="preserve">                            </w:t>
      </w:r>
    </w:p>
    <w:p>
      <w:pPr>
        <w:pStyle w:val="41"/>
        <w:keepNext w:val="0"/>
        <w:keepLines w:val="0"/>
        <w:pageBreakBefore w:val="0"/>
        <w:widowControl w:val="0"/>
        <w:kinsoku/>
        <w:wordWrap/>
        <w:overflowPunct/>
        <w:topLinePunct w:val="0"/>
        <w:bidi w:val="0"/>
        <w:adjustRightInd w:val="0"/>
        <w:snapToGrid w:val="0"/>
        <w:spacing w:after="0" w:line="600" w:lineRule="exact"/>
        <w:ind w:firstLine="600" w:firstLineChars="200"/>
        <w:textAlignment w:val="auto"/>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rPr>
              <w:t>身份证复印件（</w:t>
            </w:r>
            <w:r>
              <w:rPr>
                <w:rFonts w:hint="eastAsia" w:ascii="仿宋_GB2312" w:hAnsi="仿宋_GB2312" w:eastAsia="仿宋_GB2312" w:cs="仿宋_GB2312"/>
                <w:color w:val="auto"/>
                <w:sz w:val="24"/>
                <w:szCs w:val="24"/>
                <w:highlight w:val="none"/>
                <w:lang w:val="en-US" w:eastAsia="zh-CN"/>
              </w:rPr>
              <w:t>人像</w:t>
            </w:r>
            <w:r>
              <w:rPr>
                <w:rFonts w:hint="eastAsia" w:ascii="仿宋_GB2312" w:hAnsi="仿宋_GB2312" w:eastAsia="仿宋_GB2312" w:cs="仿宋_GB2312"/>
                <w:color w:val="auto"/>
                <w:sz w:val="24"/>
                <w:szCs w:val="24"/>
                <w:highlight w:val="none"/>
              </w:rPr>
              <w:t>面）</w:t>
            </w:r>
          </w:p>
        </w:tc>
        <w:tc>
          <w:tcPr>
            <w:tcW w:w="4530"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_GB2312" w:cs="仿宋_GB2312"/>
                <w:color w:val="auto"/>
                <w:sz w:val="24"/>
                <w:szCs w:val="24"/>
                <w:highlight w:val="none"/>
              </w:rPr>
              <w:t>身份证复印件（</w:t>
            </w:r>
            <w:r>
              <w:rPr>
                <w:rFonts w:hint="eastAsia" w:ascii="仿宋_GB2312" w:hAnsi="仿宋_GB2312" w:eastAsia="仿宋_GB2312" w:cs="仿宋_GB2312"/>
                <w:color w:val="auto"/>
                <w:sz w:val="24"/>
                <w:szCs w:val="24"/>
                <w:highlight w:val="none"/>
                <w:lang w:val="en-US" w:eastAsia="zh-CN"/>
              </w:rPr>
              <w:t>国徽</w:t>
            </w:r>
            <w:r>
              <w:rPr>
                <w:rFonts w:hint="eastAsia" w:ascii="仿宋_GB2312" w:hAnsi="仿宋_GB2312" w:eastAsia="仿宋_GB2312" w:cs="仿宋_GB2312"/>
                <w:color w:val="auto"/>
                <w:sz w:val="24"/>
                <w:szCs w:val="24"/>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40"/>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40"/>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40"/>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_GB2312"/>
          <w:color w:val="auto"/>
          <w:sz w:val="30"/>
          <w:szCs w:val="30"/>
          <w:highlight w:val="none"/>
          <w:lang w:val="en-US" w:eastAsia="zh-CN"/>
        </w:rPr>
      </w:pPr>
    </w:p>
    <w:p>
      <w:pPr>
        <w:pStyle w:val="14"/>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u w:val="single"/>
          <w:lang w:val="en-US" w:eastAsia="zh-CN"/>
        </w:rPr>
        <w:t xml:space="preserve">  </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5"/>
        <w:ind w:left="0" w:leftChars="0" w:firstLine="0" w:firstLineChars="0"/>
        <w:rPr>
          <w:rFonts w:hint="eastAsia" w:ascii="仿宋_GB2312" w:hAnsi="宋体" w:eastAsia="仿宋_GB2312"/>
          <w:color w:val="auto"/>
          <w:sz w:val="30"/>
          <w:szCs w:val="30"/>
          <w:highlight w:val="none"/>
        </w:rPr>
      </w:pPr>
    </w:p>
    <w:p>
      <w:pPr>
        <w:pStyle w:val="25"/>
        <w:ind w:left="0" w:leftChars="0" w:firstLine="0" w:firstLineChars="0"/>
        <w:rPr>
          <w:rFonts w:hint="eastAsia" w:ascii="仿宋_GB2312" w:hAnsi="宋体" w:eastAsia="仿宋_GB2312"/>
          <w:color w:val="auto"/>
          <w:sz w:val="30"/>
          <w:szCs w:val="30"/>
          <w:highlight w:val="none"/>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sz w:val="28"/>
                <w:szCs w:val="28"/>
                <w:highlight w:val="none"/>
              </w:rPr>
              <w:t>身份证复印件（</w:t>
            </w:r>
            <w:r>
              <w:rPr>
                <w:rFonts w:hint="eastAsia" w:ascii="仿宋_GB2312" w:hAnsi="仿宋_GB2312" w:eastAsia="仿宋_GB2312" w:cs="仿宋_GB2312"/>
                <w:color w:val="auto"/>
                <w:sz w:val="28"/>
                <w:szCs w:val="28"/>
                <w:highlight w:val="none"/>
                <w:lang w:val="en-US" w:eastAsia="zh-CN"/>
              </w:rPr>
              <w:t>人像</w:t>
            </w:r>
            <w:r>
              <w:rPr>
                <w:rFonts w:hint="eastAsia" w:ascii="仿宋_GB2312" w:hAnsi="仿宋_GB2312" w:eastAsia="仿宋_GB2312" w:cs="仿宋_GB2312"/>
                <w:color w:val="auto"/>
                <w:sz w:val="28"/>
                <w:szCs w:val="28"/>
                <w:highlight w:val="none"/>
              </w:rPr>
              <w:t>面）</w:t>
            </w:r>
          </w:p>
        </w:tc>
        <w:tc>
          <w:tcPr>
            <w:tcW w:w="4530" w:type="dxa"/>
            <w:vAlign w:val="center"/>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_GB2312" w:cs="仿宋_GB2312"/>
                <w:color w:val="auto"/>
                <w:sz w:val="28"/>
                <w:szCs w:val="28"/>
                <w:highlight w:val="none"/>
              </w:rPr>
              <w:t>身份证复印件（</w:t>
            </w:r>
            <w:r>
              <w:rPr>
                <w:rFonts w:hint="eastAsia" w:ascii="仿宋_GB2312" w:hAnsi="仿宋_GB2312" w:eastAsia="仿宋_GB2312" w:cs="仿宋_GB2312"/>
                <w:color w:val="auto"/>
                <w:sz w:val="28"/>
                <w:szCs w:val="28"/>
                <w:highlight w:val="none"/>
                <w:lang w:val="en-US" w:eastAsia="zh-CN"/>
              </w:rPr>
              <w:t>国徽</w:t>
            </w:r>
            <w:r>
              <w:rPr>
                <w:rFonts w:hint="eastAsia" w:ascii="仿宋_GB2312" w:hAnsi="仿宋_GB2312" w:eastAsia="仿宋_GB2312" w:cs="仿宋_GB2312"/>
                <w:color w:val="auto"/>
                <w:sz w:val="28"/>
                <w:szCs w:val="28"/>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240" w:lineRule="auto"/>
              <w:ind w:right="0" w:firstLine="0"/>
              <w:jc w:val="center"/>
              <w:textAlignment w:val="baseline"/>
              <w:rPr>
                <w:rFonts w:hint="eastAsia" w:ascii="仿宋_GB2312" w:hAnsi="仿宋_GB2312" w:eastAsia="仿宋_GB2312" w:cs="仿宋_GB2312"/>
                <w:color w:val="auto"/>
                <w:sz w:val="28"/>
                <w:szCs w:val="28"/>
                <w:highlight w:val="none"/>
              </w:rPr>
            </w:pPr>
          </w:p>
        </w:tc>
      </w:tr>
    </w:tbl>
    <w:p>
      <w:pPr>
        <w:pStyle w:val="5"/>
        <w:spacing w:after="0" w:line="600" w:lineRule="exact"/>
        <w:ind w:left="0" w:leftChars="0" w:firstLine="0" w:firstLineChars="0"/>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560" w:firstLineChars="200"/>
              <w:jc w:val="both"/>
              <w:textAlignment w:val="auto"/>
              <w:rPr>
                <w:rFonts w:hint="default" w:ascii="宋体" w:hAnsi="宋体"/>
                <w:color w:val="auto"/>
                <w:sz w:val="24"/>
                <w:szCs w:val="24"/>
                <w:highlight w:val="none"/>
              </w:rPr>
            </w:pPr>
            <w:r>
              <w:rPr>
                <w:rFonts w:hint="eastAsia" w:ascii="仿宋_GB2312" w:hAnsi="仿宋_GB2312" w:eastAsia="仿宋_GB2312" w:cs="仿宋_GB2312"/>
                <w:color w:val="auto"/>
                <w:sz w:val="28"/>
                <w:szCs w:val="28"/>
                <w:highlight w:val="none"/>
                <w:lang w:eastAsia="zh-CN"/>
              </w:rPr>
              <w:t>授权代理人在本单位近三个月社保记录，（以加盖社会保险基金管理中心印章的《缴费历史明细表》或《社会保险参保人员证明》为准，</w:t>
            </w:r>
            <w:r>
              <w:rPr>
                <w:rFonts w:hint="eastAsia" w:ascii="仿宋_GB2312" w:hAnsi="仿宋_GB2312" w:eastAsia="仿宋_GB2312"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7"/>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left"/>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vAlign w:val="center"/>
          </w:tcPr>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default"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5"/>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5"/>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供应商名称（加盖公章）：</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6"/>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613"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2198"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1613" w:type="dxa"/>
            <w:gridSpan w:val="2"/>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2198" w:type="dxa"/>
            <w:gridSpan w:val="2"/>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1613" w:type="dxa"/>
            <w:gridSpan w:val="2"/>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2198" w:type="dxa"/>
            <w:gridSpan w:val="2"/>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c>
          <w:tcPr>
            <w:tcW w:w="2198" w:type="dxa"/>
            <w:gridSpan w:val="2"/>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keepNext w:val="0"/>
              <w:keepLines w:val="0"/>
              <w:suppressLineNumbers w:val="0"/>
              <w:spacing w:before="0" w:beforeAutospacing="0" w:after="0" w:afterAutospacing="0" w:line="360" w:lineRule="exact"/>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2198"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99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c>
          <w:tcPr>
            <w:tcW w:w="1453" w:type="dxa"/>
            <w:gridSpan w:val="2"/>
            <w:noWrap w:val="0"/>
            <w:vAlign w:val="top"/>
          </w:tcPr>
          <w:p>
            <w:pPr>
              <w:keepNext w:val="0"/>
              <w:keepLines w:val="0"/>
              <w:suppressLineNumbers w:val="0"/>
              <w:spacing w:before="0" w:beforeAutospacing="0" w:after="0" w:afterAutospacing="0"/>
              <w:ind w:left="0" w:right="0"/>
              <w:jc w:val="center"/>
              <w:rPr>
                <w:rFonts w:hint="default" w:ascii="仿宋" w:hAnsi="仿宋" w:eastAsia="仿宋" w:cs="仿宋_GB2312"/>
                <w:b/>
                <w:color w:val="auto"/>
                <w:sz w:val="28"/>
                <w:szCs w:val="28"/>
                <w:highlight w:val="none"/>
              </w:rPr>
            </w:pPr>
          </w:p>
        </w:tc>
      </w:tr>
    </w:tbl>
    <w:p>
      <w:pPr>
        <w:pStyle w:val="25"/>
        <w:rPr>
          <w:rFonts w:hint="default" w:ascii="仿宋_GB2312" w:eastAsia="仿宋_GB2312" w:hAnsiTheme="minorEastAsia"/>
          <w:color w:val="auto"/>
          <w:sz w:val="28"/>
          <w:szCs w:val="28"/>
          <w:highlight w:val="none"/>
          <w:lang w:val="en-US" w:eastAsia="zh-CN"/>
        </w:rPr>
      </w:pPr>
    </w:p>
    <w:p>
      <w:pPr>
        <w:pStyle w:val="25"/>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_GB2312" w:hAnsiTheme="minorEastAsia"/>
          <w:color w:val="auto"/>
          <w:sz w:val="28"/>
          <w:szCs w:val="28"/>
          <w:highlight w:val="none"/>
          <w:lang w:val="en-US" w:eastAsia="zh-CN"/>
        </w:rPr>
      </w:pPr>
      <w:r>
        <w:rPr>
          <w:rFonts w:hint="default" w:ascii="仿宋_GB2312" w:eastAsia="仿宋_GB2312" w:hAnsiTheme="minorEastAsia"/>
          <w:color w:val="auto"/>
          <w:sz w:val="28"/>
          <w:szCs w:val="28"/>
          <w:highlight w:val="none"/>
          <w:lang w:val="en-US" w:eastAsia="zh-CN"/>
        </w:rPr>
        <w:br w:type="page"/>
      </w:r>
    </w:p>
    <w:p>
      <w:pPr>
        <w:pStyle w:val="25"/>
        <w:ind w:left="0" w:leftChars="0" w:firstLine="0" w:firstLineChars="0"/>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6"/>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360" w:lineRule="auto"/>
              <w:ind w:left="0" w:right="0"/>
              <w:jc w:val="center"/>
              <w:rPr>
                <w:rFonts w:hint="default" w:ascii="宋体" w:hAnsi="宋体" w:cs="宋体"/>
                <w:color w:val="auto"/>
                <w:sz w:val="24"/>
                <w:szCs w:val="24"/>
                <w:highlight w:val="none"/>
              </w:rPr>
            </w:pPr>
          </w:p>
        </w:tc>
      </w:tr>
    </w:tbl>
    <w:p>
      <w:pPr>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5.报价表</w:t>
      </w:r>
    </w:p>
    <w:p>
      <w:pPr>
        <w:adjustRightInd w:val="0"/>
        <w:snapToGrid w:val="0"/>
        <w:spacing w:line="360" w:lineRule="auto"/>
        <w:jc w:val="center"/>
        <w:rPr>
          <w:rFonts w:ascii="宋体" w:hAnsi="宋体" w:cs="宋体"/>
          <w:color w:val="auto"/>
          <w:sz w:val="32"/>
          <w:szCs w:val="32"/>
          <w:highlight w:val="none"/>
        </w:rPr>
      </w:pPr>
      <w:r>
        <w:rPr>
          <w:rFonts w:hint="eastAsia" w:ascii="宋体" w:hAnsi="宋体" w:cs="宋体"/>
          <w:color w:val="auto"/>
          <w:sz w:val="32"/>
          <w:szCs w:val="32"/>
          <w:highlight w:val="none"/>
        </w:rPr>
        <w:t>报价表</w:t>
      </w:r>
    </w:p>
    <w:p>
      <w:pPr>
        <w:adjustRightInd/>
        <w:snapToGrid/>
        <w:spacing w:line="360" w:lineRule="auto"/>
        <w:rPr>
          <w:rFonts w:ascii="宋体" w:hAnsi="宋体" w:cs="宋体"/>
          <w:color w:val="auto"/>
          <w:sz w:val="24"/>
          <w:szCs w:val="24"/>
          <w:highlight w:val="none"/>
        </w:rPr>
      </w:pPr>
    </w:p>
    <w:p>
      <w:pPr>
        <w:adjustRightInd/>
        <w:snapToGrid/>
        <w:spacing w:line="360" w:lineRule="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项目名称：生物膜电流对水体生物毒性的响应规律及其调控技术研究项目</w:t>
      </w:r>
    </w:p>
    <w:p>
      <w:pPr>
        <w:adjustRightInd/>
        <w:snapToGrid/>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lang w:eastAsia="zh-CN"/>
        </w:rPr>
        <w:t>********</w:t>
      </w:r>
    </w:p>
    <w:p>
      <w:pPr>
        <w:adjustRightInd/>
        <w:snapToGrid/>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供应商名称：</w:t>
      </w:r>
    </w:p>
    <w:p>
      <w:pPr>
        <w:widowControl/>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[货币单位：人民币元]</w:t>
      </w:r>
    </w:p>
    <w:p>
      <w:pPr>
        <w:widowControl/>
        <w:spacing w:line="360" w:lineRule="auto"/>
        <w:jc w:val="right"/>
        <w:rPr>
          <w:rFonts w:hint="eastAsia" w:ascii="宋体" w:hAnsi="宋体" w:eastAsia="宋体" w:cs="宋体"/>
          <w:color w:val="auto"/>
          <w:sz w:val="24"/>
          <w:highlight w:val="none"/>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46"/>
        <w:gridCol w:w="4904"/>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6"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项目</w:t>
            </w:r>
          </w:p>
        </w:tc>
        <w:tc>
          <w:tcPr>
            <w:tcW w:w="4904"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内容要求</w:t>
            </w:r>
          </w:p>
        </w:tc>
        <w:tc>
          <w:tcPr>
            <w:tcW w:w="1672" w:type="dxa"/>
            <w:vAlign w:val="center"/>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6"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指定水厂进水微生物种群结构及功能特征</w:t>
            </w:r>
          </w:p>
        </w:tc>
        <w:tc>
          <w:tcPr>
            <w:tcW w:w="4904" w:type="dxa"/>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根据指定水厂的进水特征和需求，分析进水微生物群落的结构及代谢功能特征，并总结其时空变化规律；</w:t>
            </w:r>
          </w:p>
        </w:tc>
        <w:tc>
          <w:tcPr>
            <w:tcW w:w="1672" w:type="dxa"/>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6"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可灵敏响应进水水质变化的生物膜</w:t>
            </w:r>
          </w:p>
        </w:tc>
        <w:tc>
          <w:tcPr>
            <w:tcW w:w="4904"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基于进水微生物菌群富集分离电活性生物并构建生物膜，验证生物膜对进水生物毒性的灵敏响应功能并通过跨学科技术方法对其响应特征进行调控优化，总结分析响应规律；</w:t>
            </w:r>
          </w:p>
        </w:tc>
        <w:tc>
          <w:tcPr>
            <w:tcW w:w="1672"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6"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生物膜生态安全性评价</w:t>
            </w:r>
          </w:p>
        </w:tc>
        <w:tc>
          <w:tcPr>
            <w:tcW w:w="4904"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基于符合国际生态毒性评价技术标准的评价方法对所构建的生物膜进行评价测试，证明其生态安全性</w:t>
            </w:r>
          </w:p>
        </w:tc>
        <w:tc>
          <w:tcPr>
            <w:tcW w:w="1672"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46"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研究结果分析及报告编写</w:t>
            </w:r>
          </w:p>
        </w:tc>
        <w:tc>
          <w:tcPr>
            <w:tcW w:w="4904" w:type="dxa"/>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需包含：</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1、上述检测及研发的结果数据及分析；</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2、电活性生物膜的菌群组成及毒性响应规律</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3、生物膜具有生态安全性的证明材料；</w:t>
            </w:r>
          </w:p>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4、申请发明专利一项</w:t>
            </w:r>
          </w:p>
        </w:tc>
        <w:tc>
          <w:tcPr>
            <w:tcW w:w="1672"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0" w:type="dxa"/>
            <w:gridSpan w:val="2"/>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不含税总价</w:t>
            </w:r>
          </w:p>
        </w:tc>
        <w:tc>
          <w:tcPr>
            <w:tcW w:w="1672"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0" w:type="dxa"/>
            <w:gridSpan w:val="2"/>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税率/%</w:t>
            </w:r>
          </w:p>
        </w:tc>
        <w:tc>
          <w:tcPr>
            <w:tcW w:w="1672" w:type="dxa"/>
          </w:tcPr>
          <w:p>
            <w:pPr>
              <w:keepNext w:val="0"/>
              <w:keepLines w:val="0"/>
              <w:pageBreakBefore w:val="0"/>
              <w:widowControl/>
              <w:kinsoku/>
              <w:wordWrap/>
              <w:overflowPunct/>
              <w:topLinePunct w:val="0"/>
              <w:autoSpaceDE/>
              <w:autoSpaceDN/>
              <w:bidi w:val="0"/>
              <w:adjustRightInd/>
              <w:snapToGrid/>
              <w:spacing w:after="0" w:line="240" w:lineRule="auto"/>
              <w:ind w:firstLine="0" w:firstLineChars="0"/>
              <w:jc w:val="both"/>
              <w:textAlignment w:val="auto"/>
              <w:rPr>
                <w:rFonts w:hint="default" w:ascii="仿宋_GB2312" w:hAnsi="仿宋_GB2312" w:eastAsia="仿宋_GB2312" w:cs="仿宋_GB2312"/>
                <w:color w:val="auto"/>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50" w:type="dxa"/>
            <w:gridSpan w:val="2"/>
          </w:tcPr>
          <w:p>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含税总价</w:t>
            </w:r>
          </w:p>
        </w:tc>
        <w:tc>
          <w:tcPr>
            <w:tcW w:w="1672" w:type="dxa"/>
          </w:tcPr>
          <w:p>
            <w:pPr>
              <w:keepNext w:val="0"/>
              <w:keepLines w:val="0"/>
              <w:pageBreakBefore w:val="0"/>
              <w:widowControl/>
              <w:kinsoku/>
              <w:wordWrap/>
              <w:overflowPunct/>
              <w:topLinePunct w:val="0"/>
              <w:autoSpaceDE/>
              <w:autoSpaceDN/>
              <w:bidi w:val="0"/>
              <w:adjustRightInd/>
              <w:snapToGrid/>
              <w:spacing w:after="0" w:line="240" w:lineRule="auto"/>
              <w:jc w:val="both"/>
              <w:textAlignment w:val="auto"/>
              <w:rPr>
                <w:rFonts w:hint="eastAsia" w:ascii="仿宋_GB2312" w:hAnsi="仿宋_GB2312" w:eastAsia="仿宋_GB2312" w:cs="仿宋_GB2312"/>
                <w:color w:val="auto"/>
                <w:kern w:val="2"/>
                <w:sz w:val="21"/>
                <w:szCs w:val="21"/>
                <w:highlight w:val="none"/>
                <w:lang w:val="en-US" w:eastAsia="zh-CN" w:bidi="ar-SA"/>
              </w:rPr>
            </w:pPr>
          </w:p>
        </w:tc>
      </w:tr>
    </w:tbl>
    <w:p>
      <w:pPr>
        <w:adjustRightInd/>
        <w:snapToGrid w:val="0"/>
        <w:spacing w:line="500" w:lineRule="exact"/>
        <w:ind w:firstLine="480" w:firstLineChars="200"/>
        <w:jc w:val="right"/>
        <w:rPr>
          <w:rFonts w:hint="eastAsia" w:ascii="宋体" w:hAnsi="宋体" w:cs="宋体"/>
          <w:color w:val="auto"/>
          <w:sz w:val="24"/>
          <w:szCs w:val="24"/>
          <w:highlight w:val="none"/>
        </w:rPr>
      </w:pPr>
    </w:p>
    <w:p>
      <w:pPr>
        <w:adjustRightInd/>
        <w:snapToGrid w:val="0"/>
        <w:spacing w:line="500" w:lineRule="exact"/>
        <w:ind w:firstLine="480" w:firstLineChars="200"/>
        <w:jc w:val="right"/>
        <w:rPr>
          <w:rFonts w:hint="eastAsia" w:ascii="宋体" w:hAnsi="宋体" w:cs="宋体"/>
          <w:color w:val="auto"/>
          <w:sz w:val="24"/>
          <w:szCs w:val="24"/>
          <w:highlight w:val="none"/>
        </w:rPr>
      </w:pPr>
    </w:p>
    <w:p>
      <w:pPr>
        <w:adjustRightInd/>
        <w:snapToGrid w:val="0"/>
        <w:spacing w:line="500" w:lineRule="exact"/>
        <w:ind w:firstLine="480" w:firstLineChars="200"/>
        <w:jc w:val="right"/>
        <w:rPr>
          <w:rFonts w:ascii="宋体" w:hAnsi="宋体" w:cs="宋体"/>
          <w:color w:val="auto"/>
          <w:sz w:val="24"/>
          <w:szCs w:val="24"/>
          <w:highlight w:val="none"/>
        </w:rPr>
      </w:pPr>
      <w:r>
        <w:rPr>
          <w:rFonts w:hint="eastAsia" w:ascii="宋体" w:hAnsi="宋体" w:cs="宋体"/>
          <w:color w:val="auto"/>
          <w:sz w:val="24"/>
          <w:szCs w:val="24"/>
          <w:highlight w:val="none"/>
        </w:rPr>
        <w:t>供应商名称（单位公章）：</w:t>
      </w:r>
    </w:p>
    <w:p>
      <w:pPr>
        <w:adjustRightInd/>
        <w:snapToGrid w:val="0"/>
        <w:spacing w:line="500" w:lineRule="exact"/>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日期：    年   月   日</w:t>
      </w:r>
    </w:p>
    <w:p>
      <w:pPr>
        <w:widowControl/>
        <w:spacing w:line="24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pPr>
        <w:keepNext/>
        <w:keepLines/>
        <w:widowControl w:val="0"/>
        <w:spacing w:before="260" w:after="260" w:line="416" w:lineRule="auto"/>
        <w:jc w:val="both"/>
        <w:outlineLvl w:val="2"/>
        <w:rPr>
          <w:rFonts w:cs="Times New Roman" w:asciiTheme="majorEastAsia" w:hAnsiTheme="majorEastAsia" w:eastAsiaTheme="majorEastAsia"/>
          <w:b/>
          <w:bCs/>
          <w:color w:val="auto"/>
          <w:kern w:val="2"/>
          <w:sz w:val="28"/>
          <w:szCs w:val="28"/>
          <w:highlight w:val="none"/>
          <w:lang w:val="en-US" w:eastAsia="zh-CN" w:bidi="ar-SA"/>
        </w:rPr>
      </w:pPr>
      <w:bookmarkStart w:id="34" w:name="_Toc88209965"/>
      <w:bookmarkStart w:id="35" w:name="_Toc87616402"/>
      <w:bookmarkStart w:id="36" w:name="_Toc6058"/>
      <w:bookmarkStart w:id="37" w:name="_Toc16386"/>
      <w:r>
        <w:rPr>
          <w:rFonts w:hint="eastAsia" w:ascii="Calibri" w:hAnsi="Calibri" w:cs="Times New Roman" w:eastAsiaTheme="majorEastAsia"/>
          <w:b/>
          <w:bCs/>
          <w:color w:val="auto"/>
          <w:kern w:val="2"/>
          <w:sz w:val="32"/>
          <w:szCs w:val="32"/>
          <w:highlight w:val="none"/>
          <w:lang w:val="en-US" w:eastAsia="zh-CN" w:bidi="ar-SA"/>
        </w:rPr>
        <w:t>6</w:t>
      </w:r>
      <w:r>
        <w:rPr>
          <w:rFonts w:hint="eastAsia" w:cs="Times New Roman" w:asciiTheme="majorEastAsia" w:hAnsiTheme="majorEastAsia" w:eastAsiaTheme="majorEastAsia"/>
          <w:b/>
          <w:bCs/>
          <w:color w:val="auto"/>
          <w:kern w:val="2"/>
          <w:sz w:val="28"/>
          <w:szCs w:val="28"/>
          <w:highlight w:val="none"/>
          <w:lang w:val="en-US" w:eastAsia="zh-CN" w:bidi="ar-SA"/>
        </w:rPr>
        <w:t>.其他资料</w:t>
      </w:r>
      <w:bookmarkEnd w:id="34"/>
      <w:bookmarkEnd w:id="35"/>
      <w:bookmarkEnd w:id="36"/>
      <w:bookmarkEnd w:id="37"/>
    </w:p>
    <w:p>
      <w:pPr>
        <w:widowControl w:val="0"/>
        <w:autoSpaceDE w:val="0"/>
        <w:autoSpaceDN w:val="0"/>
        <w:adjustRightInd/>
        <w:snapToGrid/>
        <w:spacing w:line="600" w:lineRule="exact"/>
        <w:ind w:firstLine="0" w:firstLineChars="0"/>
        <w:jc w:val="both"/>
        <w:textAlignment w:val="baseline"/>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6.1研发计划</w:t>
      </w:r>
    </w:p>
    <w:p>
      <w:pPr>
        <w:spacing w:line="600" w:lineRule="exact"/>
        <w:ind w:firstLine="560" w:firstLineChars="200"/>
        <w:rPr>
          <w:color w:val="auto"/>
          <w:highlight w:val="none"/>
        </w:rPr>
      </w:pPr>
      <w:r>
        <w:rPr>
          <w:rFonts w:hint="eastAsia" w:ascii="仿宋_GB2312" w:hAnsi="仿宋_GB2312" w:eastAsia="仿宋_GB2312" w:cs="仿宋_GB2312"/>
          <w:color w:val="auto"/>
          <w:sz w:val="28"/>
          <w:szCs w:val="28"/>
          <w:highlight w:val="none"/>
        </w:rPr>
        <w:t>研究计划需结合“第五章 采购需求 第一部分 项目概况”内容进行编制且覆盖项目概况所有需求，并加盖单位公章。</w:t>
      </w:r>
      <w:r>
        <w:rPr>
          <w:color w:val="auto"/>
          <w:highlight w:val="none"/>
        </w:rPr>
        <w:br w:type="page"/>
      </w:r>
    </w:p>
    <w:p>
      <w:pPr>
        <w:widowControl w:val="0"/>
        <w:autoSpaceDE w:val="0"/>
        <w:autoSpaceDN w:val="0"/>
        <w:adjustRightInd/>
        <w:snapToGrid/>
        <w:spacing w:line="600" w:lineRule="exact"/>
        <w:ind w:firstLine="0" w:firstLineChars="0"/>
        <w:jc w:val="both"/>
        <w:textAlignment w:val="baseline"/>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6.2其他资料</w:t>
      </w:r>
    </w:p>
    <w:p>
      <w:pPr>
        <w:pStyle w:val="16"/>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供应商认为有必要提供的其他资料。</w:t>
      </w:r>
    </w:p>
    <w:sectPr>
      <w:footerReference r:id="rId10" w:type="first"/>
      <w:headerReference r:id="rId7" w:type="default"/>
      <w:footerReference r:id="rId8" w:type="default"/>
      <w:footerReference r:id="rId9" w:type="even"/>
      <w:pgSz w:w="11906" w:h="16838"/>
      <w:pgMar w:top="2098" w:right="1474" w:bottom="1985" w:left="1588"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3DFBC8C-00D3-440C-825C-237C0910CAD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7BFB584-7CB8-4B80-A1C5-16EBD48F6D4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136741B-33F0-43FB-AB8D-1F93BB9F61A5}"/>
  </w:font>
  <w:font w:name="方正小标宋简体">
    <w:panose1 w:val="03000509000000000000"/>
    <w:charset w:val="86"/>
    <w:family w:val="auto"/>
    <w:pitch w:val="default"/>
    <w:sig w:usb0="00000001" w:usb1="080E0000" w:usb2="00000000" w:usb3="00000000" w:csb0="00040000" w:csb1="00000000"/>
    <w:embedRegular r:id="rId4" w:fontKey="{F367CE8E-CFA4-4182-B2B2-E621266EC8B0}"/>
  </w:font>
  <w:font w:name="Cambria">
    <w:panose1 w:val="02040503050406030204"/>
    <w:charset w:val="00"/>
    <w:family w:val="roman"/>
    <w:pitch w:val="default"/>
    <w:sig w:usb0="E00006FF" w:usb1="420024FF" w:usb2="02000000" w:usb3="00000000" w:csb0="2000019F" w:csb1="00000000"/>
    <w:embedRegular r:id="rId5" w:fontKey="{5DF941D8-C34B-42D9-8136-41DE0371595B}"/>
  </w:font>
  <w:font w:name="微软雅黑">
    <w:panose1 w:val="020B0503020204020204"/>
    <w:charset w:val="86"/>
    <w:family w:val="swiss"/>
    <w:pitch w:val="default"/>
    <w:sig w:usb0="80000287" w:usb1="2ACF3C50" w:usb2="00000016" w:usb3="00000000" w:csb0="0004001F" w:csb1="00000000"/>
    <w:embedRegular r:id="rId6" w:fontKey="{5C1C45A3-5D1C-44F3-A117-B7E6E81CDFCD}"/>
  </w:font>
  <w:font w:name="Tahoma">
    <w:panose1 w:val="020B0604030504040204"/>
    <w:charset w:val="00"/>
    <w:family w:val="swiss"/>
    <w:pitch w:val="default"/>
    <w:sig w:usb0="E1002EFF" w:usb1="C000605B" w:usb2="00000029" w:usb3="00000000" w:csb0="200101FF" w:csb1="20280000"/>
    <w:embedRegular r:id="rId7" w:fontKey="{CC743361-C12D-4FA6-93AC-25550F16B4C8}"/>
  </w:font>
  <w:font w:name="等线">
    <w:panose1 w:val="02010600030101010101"/>
    <w:charset w:val="86"/>
    <w:family w:val="auto"/>
    <w:pitch w:val="default"/>
    <w:sig w:usb0="A00002BF" w:usb1="38CF7CFA" w:usb2="00000016" w:usb3="00000000" w:csb0="0004000F" w:csb1="00000000"/>
    <w:embedRegular r:id="rId8" w:fontKey="{AEC913DF-560A-40F3-BFAE-D4A20D87BE04}"/>
  </w:font>
  <w:font w:name="仿宋_GB2312">
    <w:panose1 w:val="02010609030101010101"/>
    <w:charset w:val="86"/>
    <w:family w:val="modern"/>
    <w:pitch w:val="default"/>
    <w:sig w:usb0="00000001" w:usb1="080E0000" w:usb2="00000000" w:usb3="00000000" w:csb0="00040000" w:csb1="00000000"/>
    <w:embedRegular r:id="rId9" w:fontKey="{25C2561A-258D-422A-99EE-84DE60C6E535}"/>
  </w:font>
  <w:font w:name="Wingdings 2">
    <w:panose1 w:val="05020102010507070707"/>
    <w:charset w:val="02"/>
    <w:family w:val="roman"/>
    <w:pitch w:val="default"/>
    <w:sig w:usb0="00000000" w:usb1="00000000" w:usb2="00000000" w:usb3="00000000" w:csb0="80000000" w:csb1="00000000"/>
    <w:embedRegular r:id="rId10" w:fontKey="{F3678D5F-9F9D-4B1F-9059-BAF386B84239}"/>
  </w:font>
  <w:font w:name="仿宋">
    <w:panose1 w:val="02010609060101010101"/>
    <w:charset w:val="86"/>
    <w:family w:val="modern"/>
    <w:pitch w:val="default"/>
    <w:sig w:usb0="800002BF" w:usb1="38CF7CFA" w:usb2="00000016" w:usb3="00000000" w:csb0="00040001" w:csb1="00000000"/>
    <w:embedRegular r:id="rId11" w:fontKey="{9A33CD2C-2077-4CE0-BCB5-699A1562FB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asciiTheme="minorHAnsi" w:hAnsiTheme="minorHAnsi" w:eastAsiaTheme="minorEastAsia" w:cstheme="minorBidi"/>
        <w:kern w:val="2"/>
        <w:sz w:val="18"/>
        <w:szCs w:val="18"/>
        <w:lang w:val="en-US" w:eastAsia="zh-CN" w:bidi="ar-S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302260"/>
              <wp:effectExtent l="4445" t="3175" r="4445" b="0"/>
              <wp:wrapNone/>
              <wp:docPr id="1558954197"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302260"/>
                      </a:xfrm>
                      <a:prstGeom prst="rect">
                        <a:avLst/>
                      </a:prstGeom>
                      <a:noFill/>
                      <a:ln>
                        <a:noFill/>
                      </a:ln>
                    </wps:spPr>
                    <wps:txbx>
                      <w:txbxContent>
                        <w:p>
                          <w:pPr>
                            <w:pStyle w:val="18"/>
                          </w:pPr>
                        </w:p>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23.8pt;width:9.05pt;mso-position-horizontal:center;mso-position-horizontal-relative:margin;mso-wrap-style:none;z-index:251659264;mso-width-relative:page;mso-height-relative:page;" filled="f" stroked="f" coordsize="21600,21600" o:gfxdata="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TsblidEAAAADAQAADwAAAAAAAAABACAAAAAiAAAAZHJzL2Rvd25yZXYu&#10;eG1sUEsBAhQAFAAAAAgAh07iQOuY4CwCAgAACgQAAA4AAAAAAAAAAQAgAAAAIAEAAGRycy9lMm9E&#10;b2MueG1sUEsFBgAAAAAGAAYAWQEAAJQFA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8"/>
        </w:pPr>
        <w:r>
          <w:rPr>
            <w:rFonts w:hint="eastAsia"/>
          </w:rPr>
          <w:t>-</w:t>
        </w:r>
        <w:r>
          <w:rPr>
            <w:rFonts w:hint="eastAsia"/>
          </w:rPr>
          <w:fldChar w:fldCharType="begin"/>
        </w:r>
        <w:r>
          <w:rPr>
            <w:rFonts w:hint="eastAsia"/>
          </w:rPr>
          <w:instrText xml:space="preserve"> PAGE   \* MERGEFORMAT </w:instrText>
        </w:r>
        <w:r>
          <w:rPr>
            <w:rFonts w:hint="eastAsia"/>
          </w:rPr>
          <w:fldChar w:fldCharType="separate"/>
        </w:r>
        <w:r>
          <w:rPr>
            <w:lang w:val="zh-CN"/>
          </w:rPr>
          <w:t>98</w:t>
        </w:r>
        <w:r>
          <w:rPr>
            <w:rFonts w:hint="eastAsia"/>
          </w:rPr>
          <w:fldChar w:fldCharType="end"/>
        </w:r>
        <w:r>
          <w:rPr>
            <w:rFonts w:hint="eastAsia"/>
          </w:rPr>
          <w:t>-</w:t>
        </w:r>
      </w:p>
    </w:sdtContent>
  </w:sdt>
  <w:p>
    <w:pPr>
      <w:pStyle w:val="18"/>
    </w:pPr>
  </w:p>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rFonts w:asciiTheme="minorHAnsi" w:hAnsiTheme="minorHAnsi" w:eastAsiaTheme="minorEastAsia" w:cstheme="minorBidi"/>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AFD46"/>
    <w:multiLevelType w:val="singleLevel"/>
    <w:tmpl w:val="BB4AFD46"/>
    <w:lvl w:ilvl="0" w:tentative="0">
      <w:start w:val="1"/>
      <w:numFmt w:val="decimal"/>
      <w:suff w:val="space"/>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DAC9ACE6"/>
    <w:multiLevelType w:val="singleLevel"/>
    <w:tmpl w:val="DAC9ACE6"/>
    <w:lvl w:ilvl="0" w:tentative="0">
      <w:start w:val="1"/>
      <w:numFmt w:val="chineseCounting"/>
      <w:suff w:val="space"/>
      <w:lvlText w:val="第%1条"/>
      <w:lvlJc w:val="left"/>
      <w:rPr>
        <w:rFonts w:hint="eastAsia"/>
        <w:b/>
        <w:bCs/>
      </w:rPr>
    </w:lvl>
  </w:abstractNum>
  <w:abstractNum w:abstractNumId="3">
    <w:nsid w:val="E2EA672B"/>
    <w:multiLevelType w:val="singleLevel"/>
    <w:tmpl w:val="E2EA672B"/>
    <w:lvl w:ilvl="0" w:tentative="0">
      <w:start w:val="7"/>
      <w:numFmt w:val="chineseCounting"/>
      <w:suff w:val="space"/>
      <w:lvlText w:val="第%1条"/>
      <w:lvlJc w:val="left"/>
      <w:rPr>
        <w:rFonts w:hint="eastAsia"/>
      </w:rPr>
    </w:lvl>
  </w:abstractNum>
  <w:abstractNum w:abstractNumId="4">
    <w:nsid w:val="209A7CF0"/>
    <w:multiLevelType w:val="singleLevel"/>
    <w:tmpl w:val="209A7CF0"/>
    <w:lvl w:ilvl="0" w:tentative="0">
      <w:start w:val="1"/>
      <w:numFmt w:val="decimal"/>
      <w:lvlText w:val="%1."/>
      <w:lvlJc w:val="left"/>
      <w:pPr>
        <w:tabs>
          <w:tab w:val="left" w:pos="312"/>
        </w:tabs>
      </w:pPr>
    </w:lvl>
  </w:abstractNum>
  <w:abstractNum w:abstractNumId="5">
    <w:nsid w:val="4734DCE6"/>
    <w:multiLevelType w:val="singleLevel"/>
    <w:tmpl w:val="4734DCE6"/>
    <w:lvl w:ilvl="0" w:tentative="0">
      <w:start w:val="1"/>
      <w:numFmt w:val="decimal"/>
      <w:lvlText w:val="%1."/>
      <w:lvlJc w:val="left"/>
      <w:pPr>
        <w:tabs>
          <w:tab w:val="left" w:pos="312"/>
        </w:tabs>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TrueTypeFonts/>
  <w:saveSubset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lNTNmYTg2YTk2YzBlZmY5MDJmNzVhNmU5MTU4MDEifQ=="/>
  </w:docVars>
  <w:rsids>
    <w:rsidRoot w:val="005D618A"/>
    <w:rsid w:val="00000B5F"/>
    <w:rsid w:val="000243D7"/>
    <w:rsid w:val="000367FB"/>
    <w:rsid w:val="0004391C"/>
    <w:rsid w:val="00051F39"/>
    <w:rsid w:val="00060781"/>
    <w:rsid w:val="00073944"/>
    <w:rsid w:val="00075BD5"/>
    <w:rsid w:val="0008062A"/>
    <w:rsid w:val="000833F6"/>
    <w:rsid w:val="00096AB4"/>
    <w:rsid w:val="000B1701"/>
    <w:rsid w:val="000B5D9C"/>
    <w:rsid w:val="000D6026"/>
    <w:rsid w:val="000E368F"/>
    <w:rsid w:val="001461D5"/>
    <w:rsid w:val="00167AE8"/>
    <w:rsid w:val="001A47F2"/>
    <w:rsid w:val="001F12AB"/>
    <w:rsid w:val="001F60DA"/>
    <w:rsid w:val="00241C6B"/>
    <w:rsid w:val="00243E3D"/>
    <w:rsid w:val="002B2F3F"/>
    <w:rsid w:val="002E34D5"/>
    <w:rsid w:val="00300E99"/>
    <w:rsid w:val="003078CA"/>
    <w:rsid w:val="003173F4"/>
    <w:rsid w:val="003178AC"/>
    <w:rsid w:val="00343D3F"/>
    <w:rsid w:val="00381A4D"/>
    <w:rsid w:val="00394AED"/>
    <w:rsid w:val="003B0146"/>
    <w:rsid w:val="003D3593"/>
    <w:rsid w:val="003D60BA"/>
    <w:rsid w:val="003F5265"/>
    <w:rsid w:val="003F5A61"/>
    <w:rsid w:val="00411689"/>
    <w:rsid w:val="00422AA7"/>
    <w:rsid w:val="00425273"/>
    <w:rsid w:val="0044033E"/>
    <w:rsid w:val="004665EC"/>
    <w:rsid w:val="00480477"/>
    <w:rsid w:val="00481319"/>
    <w:rsid w:val="00492C8B"/>
    <w:rsid w:val="004D18A7"/>
    <w:rsid w:val="004D40F8"/>
    <w:rsid w:val="004F4F4E"/>
    <w:rsid w:val="004F72D1"/>
    <w:rsid w:val="00511A32"/>
    <w:rsid w:val="005315AC"/>
    <w:rsid w:val="0053656E"/>
    <w:rsid w:val="005838DC"/>
    <w:rsid w:val="00591D1D"/>
    <w:rsid w:val="005D2BDF"/>
    <w:rsid w:val="005D618A"/>
    <w:rsid w:val="005E39AB"/>
    <w:rsid w:val="006020CC"/>
    <w:rsid w:val="00635BB0"/>
    <w:rsid w:val="006411BB"/>
    <w:rsid w:val="0064296D"/>
    <w:rsid w:val="00644AE3"/>
    <w:rsid w:val="0065671A"/>
    <w:rsid w:val="00657AAE"/>
    <w:rsid w:val="006607B1"/>
    <w:rsid w:val="0066112F"/>
    <w:rsid w:val="006624CE"/>
    <w:rsid w:val="00681F2D"/>
    <w:rsid w:val="00683123"/>
    <w:rsid w:val="00684A7A"/>
    <w:rsid w:val="00692B6B"/>
    <w:rsid w:val="0069742F"/>
    <w:rsid w:val="006B3416"/>
    <w:rsid w:val="006D0CCF"/>
    <w:rsid w:val="007006CF"/>
    <w:rsid w:val="0070645A"/>
    <w:rsid w:val="00712BFF"/>
    <w:rsid w:val="007A1ABA"/>
    <w:rsid w:val="007B6049"/>
    <w:rsid w:val="007F4770"/>
    <w:rsid w:val="00815F74"/>
    <w:rsid w:val="00835330"/>
    <w:rsid w:val="00850960"/>
    <w:rsid w:val="00877308"/>
    <w:rsid w:val="0088126E"/>
    <w:rsid w:val="008B525B"/>
    <w:rsid w:val="008C4952"/>
    <w:rsid w:val="008D5692"/>
    <w:rsid w:val="008D76AB"/>
    <w:rsid w:val="008F2C43"/>
    <w:rsid w:val="00911ECD"/>
    <w:rsid w:val="009147D3"/>
    <w:rsid w:val="009422C0"/>
    <w:rsid w:val="00944C03"/>
    <w:rsid w:val="0096478B"/>
    <w:rsid w:val="00975EC3"/>
    <w:rsid w:val="009A260A"/>
    <w:rsid w:val="009B22C2"/>
    <w:rsid w:val="009C1110"/>
    <w:rsid w:val="009C1D0E"/>
    <w:rsid w:val="009E2499"/>
    <w:rsid w:val="00A001B5"/>
    <w:rsid w:val="00A042E0"/>
    <w:rsid w:val="00A20924"/>
    <w:rsid w:val="00A23BB5"/>
    <w:rsid w:val="00A26857"/>
    <w:rsid w:val="00A34980"/>
    <w:rsid w:val="00A65027"/>
    <w:rsid w:val="00A87AFD"/>
    <w:rsid w:val="00AA0B8C"/>
    <w:rsid w:val="00AB1F6B"/>
    <w:rsid w:val="00AB57B5"/>
    <w:rsid w:val="00AD64D0"/>
    <w:rsid w:val="00AE7E52"/>
    <w:rsid w:val="00AF2317"/>
    <w:rsid w:val="00B26BB1"/>
    <w:rsid w:val="00B26E21"/>
    <w:rsid w:val="00B26F22"/>
    <w:rsid w:val="00B313A1"/>
    <w:rsid w:val="00B64777"/>
    <w:rsid w:val="00B726DF"/>
    <w:rsid w:val="00B741D7"/>
    <w:rsid w:val="00B77A3C"/>
    <w:rsid w:val="00BA282B"/>
    <w:rsid w:val="00BC35D4"/>
    <w:rsid w:val="00BC4B1E"/>
    <w:rsid w:val="00BD1A18"/>
    <w:rsid w:val="00BE7203"/>
    <w:rsid w:val="00C069FF"/>
    <w:rsid w:val="00C60D3A"/>
    <w:rsid w:val="00C654B5"/>
    <w:rsid w:val="00C87AAC"/>
    <w:rsid w:val="00C90753"/>
    <w:rsid w:val="00C946CB"/>
    <w:rsid w:val="00CA6A47"/>
    <w:rsid w:val="00CB3927"/>
    <w:rsid w:val="00CD27F4"/>
    <w:rsid w:val="00D4533C"/>
    <w:rsid w:val="00D50FD6"/>
    <w:rsid w:val="00D631A1"/>
    <w:rsid w:val="00D83E4F"/>
    <w:rsid w:val="00D91408"/>
    <w:rsid w:val="00D91799"/>
    <w:rsid w:val="00D91DCA"/>
    <w:rsid w:val="00DB73B1"/>
    <w:rsid w:val="00DC71EA"/>
    <w:rsid w:val="00DF6118"/>
    <w:rsid w:val="00E03814"/>
    <w:rsid w:val="00E0575A"/>
    <w:rsid w:val="00E11745"/>
    <w:rsid w:val="00E1598F"/>
    <w:rsid w:val="00E3133F"/>
    <w:rsid w:val="00E42C72"/>
    <w:rsid w:val="00E42E32"/>
    <w:rsid w:val="00E47DE3"/>
    <w:rsid w:val="00E5562C"/>
    <w:rsid w:val="00E601A0"/>
    <w:rsid w:val="00E6198A"/>
    <w:rsid w:val="00E92707"/>
    <w:rsid w:val="00EC10A3"/>
    <w:rsid w:val="00ED3CE9"/>
    <w:rsid w:val="00EE74C9"/>
    <w:rsid w:val="00F05990"/>
    <w:rsid w:val="00F1786B"/>
    <w:rsid w:val="00F33059"/>
    <w:rsid w:val="00F36AE1"/>
    <w:rsid w:val="00F503C0"/>
    <w:rsid w:val="00F52A8D"/>
    <w:rsid w:val="00F604BB"/>
    <w:rsid w:val="00F630A2"/>
    <w:rsid w:val="00F654C3"/>
    <w:rsid w:val="00F675E2"/>
    <w:rsid w:val="00F83B64"/>
    <w:rsid w:val="00F8585B"/>
    <w:rsid w:val="00F92659"/>
    <w:rsid w:val="00F95DAC"/>
    <w:rsid w:val="00FA5203"/>
    <w:rsid w:val="00FA74DE"/>
    <w:rsid w:val="00FE34F6"/>
    <w:rsid w:val="00FE507B"/>
    <w:rsid w:val="00FF5324"/>
    <w:rsid w:val="00FF63F6"/>
    <w:rsid w:val="013A1025"/>
    <w:rsid w:val="013E3461"/>
    <w:rsid w:val="01BB0F13"/>
    <w:rsid w:val="02090C75"/>
    <w:rsid w:val="02A23A3C"/>
    <w:rsid w:val="02FB196F"/>
    <w:rsid w:val="035D130A"/>
    <w:rsid w:val="039110A9"/>
    <w:rsid w:val="03AC246A"/>
    <w:rsid w:val="03AE6061"/>
    <w:rsid w:val="03B23056"/>
    <w:rsid w:val="03DA023E"/>
    <w:rsid w:val="03DC3EBA"/>
    <w:rsid w:val="03F9794D"/>
    <w:rsid w:val="046A2461"/>
    <w:rsid w:val="04702783"/>
    <w:rsid w:val="051C2970"/>
    <w:rsid w:val="05AB6B59"/>
    <w:rsid w:val="060C3611"/>
    <w:rsid w:val="06C64829"/>
    <w:rsid w:val="070E7B6E"/>
    <w:rsid w:val="071D62B7"/>
    <w:rsid w:val="07247C28"/>
    <w:rsid w:val="077D16D2"/>
    <w:rsid w:val="082A69F3"/>
    <w:rsid w:val="08675FC8"/>
    <w:rsid w:val="08A72A75"/>
    <w:rsid w:val="09B713FD"/>
    <w:rsid w:val="09EF6ACC"/>
    <w:rsid w:val="0A315056"/>
    <w:rsid w:val="0A3665F0"/>
    <w:rsid w:val="0A3E3B7B"/>
    <w:rsid w:val="0A694621"/>
    <w:rsid w:val="0AA213B4"/>
    <w:rsid w:val="0AF61C7E"/>
    <w:rsid w:val="0AFB45AD"/>
    <w:rsid w:val="0B0E2589"/>
    <w:rsid w:val="0B351E9B"/>
    <w:rsid w:val="0B4C50D3"/>
    <w:rsid w:val="0B806B92"/>
    <w:rsid w:val="0B827E94"/>
    <w:rsid w:val="0B842F76"/>
    <w:rsid w:val="0BCE27D9"/>
    <w:rsid w:val="0BD070E1"/>
    <w:rsid w:val="0BD65B6B"/>
    <w:rsid w:val="0C2361E7"/>
    <w:rsid w:val="0C247926"/>
    <w:rsid w:val="0D37662E"/>
    <w:rsid w:val="0D794204"/>
    <w:rsid w:val="0D9D13BC"/>
    <w:rsid w:val="0DA371D4"/>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21B83"/>
    <w:rsid w:val="10CF50A9"/>
    <w:rsid w:val="111703D2"/>
    <w:rsid w:val="112B101A"/>
    <w:rsid w:val="116E48C1"/>
    <w:rsid w:val="11877731"/>
    <w:rsid w:val="119B53FC"/>
    <w:rsid w:val="1215733B"/>
    <w:rsid w:val="12424CDC"/>
    <w:rsid w:val="129A2738"/>
    <w:rsid w:val="12B56BF1"/>
    <w:rsid w:val="12CB1A89"/>
    <w:rsid w:val="13021765"/>
    <w:rsid w:val="131840FB"/>
    <w:rsid w:val="13467417"/>
    <w:rsid w:val="136E76CF"/>
    <w:rsid w:val="1424395D"/>
    <w:rsid w:val="145F08C6"/>
    <w:rsid w:val="14897D69"/>
    <w:rsid w:val="14E43F59"/>
    <w:rsid w:val="15776308"/>
    <w:rsid w:val="15973CBB"/>
    <w:rsid w:val="15BC6B3C"/>
    <w:rsid w:val="15EC2C59"/>
    <w:rsid w:val="16360A7B"/>
    <w:rsid w:val="164D40B0"/>
    <w:rsid w:val="1694429A"/>
    <w:rsid w:val="16BE5831"/>
    <w:rsid w:val="16F00D62"/>
    <w:rsid w:val="173C752E"/>
    <w:rsid w:val="17635326"/>
    <w:rsid w:val="178D4AD1"/>
    <w:rsid w:val="17B803EA"/>
    <w:rsid w:val="17C63785"/>
    <w:rsid w:val="17E07B9B"/>
    <w:rsid w:val="1815096B"/>
    <w:rsid w:val="18236EFD"/>
    <w:rsid w:val="18377249"/>
    <w:rsid w:val="185D743E"/>
    <w:rsid w:val="189D5B1F"/>
    <w:rsid w:val="18A34CD0"/>
    <w:rsid w:val="19A53EA8"/>
    <w:rsid w:val="19B64DBC"/>
    <w:rsid w:val="19EC6A4A"/>
    <w:rsid w:val="1A143B2C"/>
    <w:rsid w:val="1A373ACF"/>
    <w:rsid w:val="1A7B10BA"/>
    <w:rsid w:val="1A895341"/>
    <w:rsid w:val="1B0D071F"/>
    <w:rsid w:val="1B3141F1"/>
    <w:rsid w:val="1B4568CE"/>
    <w:rsid w:val="1B9015B7"/>
    <w:rsid w:val="1B950DA6"/>
    <w:rsid w:val="1BF54245"/>
    <w:rsid w:val="1C762AA7"/>
    <w:rsid w:val="1D0E6976"/>
    <w:rsid w:val="1D5A79EE"/>
    <w:rsid w:val="1E0E2CD0"/>
    <w:rsid w:val="1E164317"/>
    <w:rsid w:val="1E6E2769"/>
    <w:rsid w:val="1E831280"/>
    <w:rsid w:val="1EBC4704"/>
    <w:rsid w:val="1EC02562"/>
    <w:rsid w:val="1EE522C8"/>
    <w:rsid w:val="1F172EB5"/>
    <w:rsid w:val="1F22070B"/>
    <w:rsid w:val="1F94592D"/>
    <w:rsid w:val="1FB860DE"/>
    <w:rsid w:val="203C5A02"/>
    <w:rsid w:val="209D4C94"/>
    <w:rsid w:val="20A36C18"/>
    <w:rsid w:val="20B44FCD"/>
    <w:rsid w:val="20E24984"/>
    <w:rsid w:val="20E84705"/>
    <w:rsid w:val="21294361"/>
    <w:rsid w:val="218400BA"/>
    <w:rsid w:val="21AB1E2F"/>
    <w:rsid w:val="21D40498"/>
    <w:rsid w:val="22493963"/>
    <w:rsid w:val="22767047"/>
    <w:rsid w:val="22FF7A6F"/>
    <w:rsid w:val="234763D3"/>
    <w:rsid w:val="23A05588"/>
    <w:rsid w:val="240476A1"/>
    <w:rsid w:val="24E953B9"/>
    <w:rsid w:val="250A0792"/>
    <w:rsid w:val="25431AEB"/>
    <w:rsid w:val="25B875EB"/>
    <w:rsid w:val="25BE3BFB"/>
    <w:rsid w:val="25BF43FD"/>
    <w:rsid w:val="25F86BCD"/>
    <w:rsid w:val="2605748B"/>
    <w:rsid w:val="260B2287"/>
    <w:rsid w:val="26396D26"/>
    <w:rsid w:val="264544A6"/>
    <w:rsid w:val="265B5E13"/>
    <w:rsid w:val="267702FB"/>
    <w:rsid w:val="26932E57"/>
    <w:rsid w:val="269E416A"/>
    <w:rsid w:val="26AA787D"/>
    <w:rsid w:val="26C11C6B"/>
    <w:rsid w:val="26D92385"/>
    <w:rsid w:val="271850AC"/>
    <w:rsid w:val="272100D3"/>
    <w:rsid w:val="272C72FC"/>
    <w:rsid w:val="275131CB"/>
    <w:rsid w:val="278F6521"/>
    <w:rsid w:val="27EB149D"/>
    <w:rsid w:val="27FD3E52"/>
    <w:rsid w:val="284130B3"/>
    <w:rsid w:val="28E11370"/>
    <w:rsid w:val="290C6A42"/>
    <w:rsid w:val="294A756A"/>
    <w:rsid w:val="29781BF8"/>
    <w:rsid w:val="297939E2"/>
    <w:rsid w:val="29C33ED0"/>
    <w:rsid w:val="29D5322D"/>
    <w:rsid w:val="2A025DD9"/>
    <w:rsid w:val="2A2619CB"/>
    <w:rsid w:val="2A7317D3"/>
    <w:rsid w:val="2A7740BB"/>
    <w:rsid w:val="2A7C2231"/>
    <w:rsid w:val="2A920E4F"/>
    <w:rsid w:val="2ABB753D"/>
    <w:rsid w:val="2AFE6EC4"/>
    <w:rsid w:val="2B345DDC"/>
    <w:rsid w:val="2B7A49FA"/>
    <w:rsid w:val="2C615D26"/>
    <w:rsid w:val="2CA90A4C"/>
    <w:rsid w:val="2CB679ED"/>
    <w:rsid w:val="2CB73169"/>
    <w:rsid w:val="2CE83C37"/>
    <w:rsid w:val="2CEB2FFC"/>
    <w:rsid w:val="2D173C07"/>
    <w:rsid w:val="2D424A86"/>
    <w:rsid w:val="2DDA66B7"/>
    <w:rsid w:val="2DED451B"/>
    <w:rsid w:val="2E6F2D11"/>
    <w:rsid w:val="2E7B52DB"/>
    <w:rsid w:val="2ED60115"/>
    <w:rsid w:val="2F324CFE"/>
    <w:rsid w:val="2FAB189B"/>
    <w:rsid w:val="2FBA09F1"/>
    <w:rsid w:val="2FEF2ACF"/>
    <w:rsid w:val="2FF93D20"/>
    <w:rsid w:val="30540211"/>
    <w:rsid w:val="30E45100"/>
    <w:rsid w:val="310A6A4A"/>
    <w:rsid w:val="31112A0D"/>
    <w:rsid w:val="3118711F"/>
    <w:rsid w:val="311F4B20"/>
    <w:rsid w:val="312D7741"/>
    <w:rsid w:val="316F137F"/>
    <w:rsid w:val="31815AF3"/>
    <w:rsid w:val="31DF525F"/>
    <w:rsid w:val="31EC162B"/>
    <w:rsid w:val="32324C2E"/>
    <w:rsid w:val="327171DF"/>
    <w:rsid w:val="32F2739F"/>
    <w:rsid w:val="33133EB9"/>
    <w:rsid w:val="3391569E"/>
    <w:rsid w:val="33BB0DED"/>
    <w:rsid w:val="341E3434"/>
    <w:rsid w:val="34BB4442"/>
    <w:rsid w:val="3584136B"/>
    <w:rsid w:val="35EE5A04"/>
    <w:rsid w:val="35FF5AA4"/>
    <w:rsid w:val="360B7EBA"/>
    <w:rsid w:val="36416867"/>
    <w:rsid w:val="367D5DD4"/>
    <w:rsid w:val="3684230E"/>
    <w:rsid w:val="369C32FD"/>
    <w:rsid w:val="37607F59"/>
    <w:rsid w:val="37666E72"/>
    <w:rsid w:val="38081EA3"/>
    <w:rsid w:val="38167A04"/>
    <w:rsid w:val="381C3783"/>
    <w:rsid w:val="38C06F01"/>
    <w:rsid w:val="394B167A"/>
    <w:rsid w:val="39AD34EA"/>
    <w:rsid w:val="39DA2868"/>
    <w:rsid w:val="39DF6BF2"/>
    <w:rsid w:val="3A055F4B"/>
    <w:rsid w:val="3A4E4336"/>
    <w:rsid w:val="3A6007FE"/>
    <w:rsid w:val="3A802587"/>
    <w:rsid w:val="3A852164"/>
    <w:rsid w:val="3AF93D6C"/>
    <w:rsid w:val="3AFD06C8"/>
    <w:rsid w:val="3B477B26"/>
    <w:rsid w:val="3B7C2CE4"/>
    <w:rsid w:val="3BAF716B"/>
    <w:rsid w:val="3C0B5355"/>
    <w:rsid w:val="3C7E7F35"/>
    <w:rsid w:val="3CD4176B"/>
    <w:rsid w:val="3D1F44D9"/>
    <w:rsid w:val="3D5C38CD"/>
    <w:rsid w:val="3DA93037"/>
    <w:rsid w:val="3E5070F1"/>
    <w:rsid w:val="3E7569E0"/>
    <w:rsid w:val="3EC370CB"/>
    <w:rsid w:val="3F6C3589"/>
    <w:rsid w:val="3F850180"/>
    <w:rsid w:val="3F9004D6"/>
    <w:rsid w:val="3F9F3D14"/>
    <w:rsid w:val="3FEE7CFA"/>
    <w:rsid w:val="400E4D5E"/>
    <w:rsid w:val="40E1138C"/>
    <w:rsid w:val="413814BA"/>
    <w:rsid w:val="41872511"/>
    <w:rsid w:val="41DF1251"/>
    <w:rsid w:val="424236D9"/>
    <w:rsid w:val="42466655"/>
    <w:rsid w:val="42C82F57"/>
    <w:rsid w:val="42FD59EE"/>
    <w:rsid w:val="435707E5"/>
    <w:rsid w:val="439927E1"/>
    <w:rsid w:val="43C76AF7"/>
    <w:rsid w:val="43D54C8A"/>
    <w:rsid w:val="43E97E4A"/>
    <w:rsid w:val="440D65DA"/>
    <w:rsid w:val="446828F0"/>
    <w:rsid w:val="45093E85"/>
    <w:rsid w:val="450B3BFA"/>
    <w:rsid w:val="45C13B4D"/>
    <w:rsid w:val="46054BCA"/>
    <w:rsid w:val="464C6AFC"/>
    <w:rsid w:val="4673686B"/>
    <w:rsid w:val="468B0091"/>
    <w:rsid w:val="46A107C3"/>
    <w:rsid w:val="46B02D60"/>
    <w:rsid w:val="46B15CE2"/>
    <w:rsid w:val="46BE113D"/>
    <w:rsid w:val="46E44B13"/>
    <w:rsid w:val="4703508A"/>
    <w:rsid w:val="475023F8"/>
    <w:rsid w:val="478B2DD0"/>
    <w:rsid w:val="479A1E7B"/>
    <w:rsid w:val="479D361E"/>
    <w:rsid w:val="47B74789"/>
    <w:rsid w:val="47C87B80"/>
    <w:rsid w:val="47F44E19"/>
    <w:rsid w:val="48032A55"/>
    <w:rsid w:val="480F2B9D"/>
    <w:rsid w:val="48102176"/>
    <w:rsid w:val="48282920"/>
    <w:rsid w:val="483E1347"/>
    <w:rsid w:val="48480CC1"/>
    <w:rsid w:val="485321E0"/>
    <w:rsid w:val="48546AD3"/>
    <w:rsid w:val="48CA4868"/>
    <w:rsid w:val="48F005D3"/>
    <w:rsid w:val="49431DC1"/>
    <w:rsid w:val="49466522"/>
    <w:rsid w:val="49547ADD"/>
    <w:rsid w:val="4965328F"/>
    <w:rsid w:val="49732351"/>
    <w:rsid w:val="498F4AF1"/>
    <w:rsid w:val="49C05787"/>
    <w:rsid w:val="49CF518D"/>
    <w:rsid w:val="49D56585"/>
    <w:rsid w:val="4A7F3979"/>
    <w:rsid w:val="4ADA1F63"/>
    <w:rsid w:val="4AE23D89"/>
    <w:rsid w:val="4B2038D0"/>
    <w:rsid w:val="4B296E7D"/>
    <w:rsid w:val="4B79394E"/>
    <w:rsid w:val="4B877F28"/>
    <w:rsid w:val="4CD200BA"/>
    <w:rsid w:val="4D2044E7"/>
    <w:rsid w:val="4D8C39AB"/>
    <w:rsid w:val="4D916BA6"/>
    <w:rsid w:val="4DC44169"/>
    <w:rsid w:val="4DE24E21"/>
    <w:rsid w:val="4E1B19A3"/>
    <w:rsid w:val="4E48787F"/>
    <w:rsid w:val="4E8D5680"/>
    <w:rsid w:val="4EF0709E"/>
    <w:rsid w:val="4F0469A4"/>
    <w:rsid w:val="4FBF5D0D"/>
    <w:rsid w:val="500E56F4"/>
    <w:rsid w:val="50540C73"/>
    <w:rsid w:val="50752AF8"/>
    <w:rsid w:val="509C0951"/>
    <w:rsid w:val="513C6A7B"/>
    <w:rsid w:val="517300C9"/>
    <w:rsid w:val="51B31D16"/>
    <w:rsid w:val="525D29A1"/>
    <w:rsid w:val="52EC6EC2"/>
    <w:rsid w:val="532D486F"/>
    <w:rsid w:val="5333545B"/>
    <w:rsid w:val="538D0E89"/>
    <w:rsid w:val="54283945"/>
    <w:rsid w:val="5450213C"/>
    <w:rsid w:val="546711F3"/>
    <w:rsid w:val="546C3825"/>
    <w:rsid w:val="54D062C6"/>
    <w:rsid w:val="54D24048"/>
    <w:rsid w:val="54D64CD5"/>
    <w:rsid w:val="5532287C"/>
    <w:rsid w:val="55683555"/>
    <w:rsid w:val="55887D69"/>
    <w:rsid w:val="55EE5D11"/>
    <w:rsid w:val="561A0928"/>
    <w:rsid w:val="56423872"/>
    <w:rsid w:val="569E06BC"/>
    <w:rsid w:val="56B279F0"/>
    <w:rsid w:val="56F20F86"/>
    <w:rsid w:val="57183488"/>
    <w:rsid w:val="57521214"/>
    <w:rsid w:val="579D710E"/>
    <w:rsid w:val="581F22F6"/>
    <w:rsid w:val="586E1E17"/>
    <w:rsid w:val="58862C35"/>
    <w:rsid w:val="58C14957"/>
    <w:rsid w:val="58CC23D2"/>
    <w:rsid w:val="58E66050"/>
    <w:rsid w:val="596B36B6"/>
    <w:rsid w:val="59E63F07"/>
    <w:rsid w:val="59FC7994"/>
    <w:rsid w:val="5AE83A50"/>
    <w:rsid w:val="5B353193"/>
    <w:rsid w:val="5B995664"/>
    <w:rsid w:val="5BAB2917"/>
    <w:rsid w:val="5BD541E1"/>
    <w:rsid w:val="5BFC33FA"/>
    <w:rsid w:val="5C007491"/>
    <w:rsid w:val="5C3107A4"/>
    <w:rsid w:val="5C337866"/>
    <w:rsid w:val="5C3B1B93"/>
    <w:rsid w:val="5C9220DF"/>
    <w:rsid w:val="5CB55804"/>
    <w:rsid w:val="5CB62EEC"/>
    <w:rsid w:val="5D4A15F3"/>
    <w:rsid w:val="5D633843"/>
    <w:rsid w:val="5D69542A"/>
    <w:rsid w:val="5D783B72"/>
    <w:rsid w:val="5E0930EF"/>
    <w:rsid w:val="5E3D4D53"/>
    <w:rsid w:val="5E4717E6"/>
    <w:rsid w:val="5E55774C"/>
    <w:rsid w:val="5E8A70FF"/>
    <w:rsid w:val="5E8C1BF5"/>
    <w:rsid w:val="60045F96"/>
    <w:rsid w:val="60104DDC"/>
    <w:rsid w:val="605C0804"/>
    <w:rsid w:val="60913E6F"/>
    <w:rsid w:val="60CC2038"/>
    <w:rsid w:val="610E366C"/>
    <w:rsid w:val="611F0045"/>
    <w:rsid w:val="61733C3E"/>
    <w:rsid w:val="6189617B"/>
    <w:rsid w:val="61B52BB6"/>
    <w:rsid w:val="61B749C2"/>
    <w:rsid w:val="61D029AA"/>
    <w:rsid w:val="62280D20"/>
    <w:rsid w:val="629C50CC"/>
    <w:rsid w:val="62B4786E"/>
    <w:rsid w:val="62CA2457"/>
    <w:rsid w:val="631303F2"/>
    <w:rsid w:val="638240A1"/>
    <w:rsid w:val="63833423"/>
    <w:rsid w:val="63A5257B"/>
    <w:rsid w:val="63BD3DCC"/>
    <w:rsid w:val="63C61741"/>
    <w:rsid w:val="64560967"/>
    <w:rsid w:val="656B1D10"/>
    <w:rsid w:val="65740183"/>
    <w:rsid w:val="65B841F9"/>
    <w:rsid w:val="66022B28"/>
    <w:rsid w:val="664A38E2"/>
    <w:rsid w:val="66581E87"/>
    <w:rsid w:val="666F1DE3"/>
    <w:rsid w:val="66766EBB"/>
    <w:rsid w:val="66D15E62"/>
    <w:rsid w:val="66FA11D5"/>
    <w:rsid w:val="674302C7"/>
    <w:rsid w:val="67C25F42"/>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34AF0"/>
    <w:rsid w:val="6B57675A"/>
    <w:rsid w:val="6B87098A"/>
    <w:rsid w:val="6BD10E4A"/>
    <w:rsid w:val="6BDD7B4D"/>
    <w:rsid w:val="6D52013C"/>
    <w:rsid w:val="6EBC0B3A"/>
    <w:rsid w:val="6EED597D"/>
    <w:rsid w:val="6EF51C7D"/>
    <w:rsid w:val="6F553A51"/>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680CB1"/>
    <w:rsid w:val="7383028C"/>
    <w:rsid w:val="738C32E5"/>
    <w:rsid w:val="73A25E44"/>
    <w:rsid w:val="73D03795"/>
    <w:rsid w:val="741F68CF"/>
    <w:rsid w:val="75252DF3"/>
    <w:rsid w:val="75621536"/>
    <w:rsid w:val="75BF3154"/>
    <w:rsid w:val="75DA4A2D"/>
    <w:rsid w:val="76400F7F"/>
    <w:rsid w:val="764A07CF"/>
    <w:rsid w:val="764F6B3D"/>
    <w:rsid w:val="76BB24DB"/>
    <w:rsid w:val="76CD2B7B"/>
    <w:rsid w:val="76D80645"/>
    <w:rsid w:val="76E03371"/>
    <w:rsid w:val="771211AA"/>
    <w:rsid w:val="77736C04"/>
    <w:rsid w:val="77F144A1"/>
    <w:rsid w:val="780E5898"/>
    <w:rsid w:val="782642CC"/>
    <w:rsid w:val="7894095E"/>
    <w:rsid w:val="78964555"/>
    <w:rsid w:val="78CF4963"/>
    <w:rsid w:val="78F30652"/>
    <w:rsid w:val="79000679"/>
    <w:rsid w:val="7916258F"/>
    <w:rsid w:val="791C0FE5"/>
    <w:rsid w:val="79A416F0"/>
    <w:rsid w:val="79B03EB6"/>
    <w:rsid w:val="79B61437"/>
    <w:rsid w:val="79EC2A16"/>
    <w:rsid w:val="7AE15A5C"/>
    <w:rsid w:val="7AF37579"/>
    <w:rsid w:val="7AF87F64"/>
    <w:rsid w:val="7B1C0C84"/>
    <w:rsid w:val="7B5A62DF"/>
    <w:rsid w:val="7B7A04A8"/>
    <w:rsid w:val="7B8E4662"/>
    <w:rsid w:val="7BDD2EF3"/>
    <w:rsid w:val="7BE5599F"/>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927503"/>
    <w:rsid w:val="7FB2700E"/>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pPrChange w:id="0" w:author="yonggang yang" w:date="2024-05-05T18:47:00Z">
        <w:pPr>
          <w:widowControl w:val="0"/>
          <w:jc w:val="both"/>
        </w:pPr>
      </w:pPrChange>
    </w:pPr>
    <w:rPr>
      <w:rFonts w:asciiTheme="minorHAnsi" w:hAnsiTheme="minorHAnsi" w:eastAsiaTheme="minorEastAsia" w:cstheme="minorBidi"/>
      <w:kern w:val="2"/>
      <w:sz w:val="21"/>
      <w:szCs w:val="22"/>
      <w:lang w:val="en-US" w:eastAsia="zh-CN" w:bidi="ar-SA"/>
      <w:rPrChange w:id="1" w:author="yonggang yang" w:date="2024-05-05T18:47:00Z">
        <w:rPr>
          <w:rFonts w:asciiTheme="minorHAnsi" w:hAnsiTheme="minorHAnsi" w:eastAsiaTheme="minorEastAsia" w:cstheme="minorBidi"/>
          <w:kern w:val="2"/>
          <w:sz w:val="21"/>
          <w:szCs w:val="22"/>
          <w:lang w:val="en-US" w:eastAsia="zh-CN" w:bidi="ar-SA"/>
        </w:rPr>
      </w:rPrChange>
    </w:rPr>
  </w:style>
  <w:style w:type="paragraph" w:styleId="2">
    <w:name w:val="heading 1"/>
    <w:basedOn w:val="1"/>
    <w:next w:val="1"/>
    <w:link w:val="34"/>
    <w:qFormat/>
    <w:uiPriority w:val="9"/>
    <w:pPr>
      <w:keepNext/>
      <w:keepLines/>
      <w:spacing w:before="340" w:after="330" w:line="578" w:lineRule="auto"/>
      <w:jc w:val="center"/>
      <w:outlineLvl w:val="0"/>
      <w:pPrChange w:id="2" w:author="yonggang yang" w:date="2024-05-05T18:45:00Z">
        <w:pPr>
          <w:keepNext/>
          <w:keepLines/>
          <w:widowControl w:val="0"/>
          <w:spacing w:before="340" w:after="330" w:line="578" w:lineRule="auto"/>
          <w:jc w:val="center"/>
          <w:outlineLvl w:val="0"/>
        </w:pPr>
      </w:pPrChange>
    </w:pPr>
    <w:rPr>
      <w:rFonts w:eastAsia="方正小标宋简体"/>
      <w:bCs/>
      <w:kern w:val="44"/>
      <w:sz w:val="44"/>
      <w:szCs w:val="44"/>
      <w:rPrChange w:id="3" w:author="yonggang yang" w:date="2024-05-05T18:45:00Z">
        <w:rPr>
          <w:rFonts w:eastAsia="方正小标宋简体" w:asciiTheme="minorHAnsi" w:hAnsiTheme="minorHAnsi" w:cstheme="minorBidi"/>
          <w:bCs/>
          <w:kern w:val="44"/>
          <w:sz w:val="44"/>
          <w:szCs w:val="44"/>
          <w:lang w:val="en-US" w:eastAsia="zh-CN" w:bidi="ar-SA"/>
        </w:rPr>
      </w:rPrChange>
    </w:rPr>
  </w:style>
  <w:style w:type="paragraph" w:styleId="3">
    <w:name w:val="heading 2"/>
    <w:basedOn w:val="1"/>
    <w:next w:val="1"/>
    <w:link w:val="35"/>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6"/>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adjustRightInd w:val="0"/>
      <w:snapToGrid w:val="0"/>
      <w:spacing w:after="200"/>
      <w:ind w:firstLine="420"/>
    </w:pPr>
    <w:rPr>
      <w:rFonts w:ascii="Times New Roman" w:hAnsi="Times New Roman" w:eastAsia="微软雅黑" w:cs="Tahoma"/>
      <w:kern w:val="0"/>
      <w:sz w:val="22"/>
      <w:szCs w:val="20"/>
    </w:rPr>
  </w:style>
  <w:style w:type="paragraph" w:styleId="6">
    <w:name w:val="annotation text"/>
    <w:basedOn w:val="1"/>
    <w:link w:val="57"/>
    <w:unhideWhenUsed/>
    <w:qFormat/>
    <w:uiPriority w:val="99"/>
  </w:style>
  <w:style w:type="paragraph" w:styleId="7">
    <w:name w:val="Body Text 3"/>
    <w:basedOn w:val="1"/>
    <w:link w:val="44"/>
    <w:unhideWhenUsed/>
    <w:qFormat/>
    <w:uiPriority w:val="99"/>
    <w:pPr>
      <w:spacing w:after="120"/>
    </w:pPr>
    <w:rPr>
      <w:sz w:val="16"/>
      <w:szCs w:val="16"/>
    </w:rPr>
  </w:style>
  <w:style w:type="paragraph" w:styleId="8">
    <w:name w:val="Body Text"/>
    <w:basedOn w:val="1"/>
    <w:next w:val="9"/>
    <w:link w:val="53"/>
    <w:qFormat/>
    <w:uiPriority w:val="99"/>
    <w:pPr>
      <w:spacing w:after="120"/>
      <w:pPrChange w:id="4" w:author="yonggang yang" w:date="2024-05-05T18:49:00Z">
        <w:pPr>
          <w:widowControl w:val="0"/>
          <w:spacing w:after="120"/>
          <w:jc w:val="both"/>
        </w:pPr>
      </w:pPrChange>
    </w:pPr>
    <w:rPr>
      <w:rPrChange w:id="5" w:author="yonggang yang" w:date="2024-05-05T18:49:00Z">
        <w:rPr>
          <w:rFonts w:asciiTheme="minorHAnsi" w:hAnsiTheme="minorHAnsi" w:eastAsiaTheme="minorEastAsia" w:cstheme="minorBidi"/>
          <w:kern w:val="2"/>
          <w:sz w:val="21"/>
          <w:szCs w:val="22"/>
          <w:lang w:val="en-US" w:eastAsia="zh-CN" w:bidi="ar-SA"/>
        </w:rPr>
      </w:rPrChange>
    </w:rPr>
  </w:style>
  <w:style w:type="paragraph" w:styleId="9">
    <w:name w:val="Body Text 2"/>
    <w:basedOn w:val="1"/>
    <w:link w:val="65"/>
    <w:qFormat/>
    <w:uiPriority w:val="0"/>
    <w:pPr>
      <w:spacing w:after="120" w:line="480" w:lineRule="auto"/>
    </w:pPr>
  </w:style>
  <w:style w:type="paragraph" w:styleId="10">
    <w:name w:val="Body Text Indent"/>
    <w:basedOn w:val="1"/>
    <w:next w:val="1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11">
    <w:name w:val="envelope return"/>
    <w:qFormat/>
    <w:uiPriority w:val="0"/>
    <w:pPr>
      <w:snapToGrid w:val="0"/>
    </w:pPr>
    <w:rPr>
      <w:rFonts w:ascii="Arial" w:hAnsi="Arial" w:eastAsiaTheme="minorEastAsia" w:cstheme="minorBidi"/>
      <w:kern w:val="2"/>
      <w:sz w:val="21"/>
      <w:szCs w:val="24"/>
      <w:lang w:val="en-US" w:eastAsia="zh-CN" w:bidi="ar-SA"/>
    </w:rPr>
  </w:style>
  <w:style w:type="paragraph" w:styleId="12">
    <w:name w:val="toc 3"/>
    <w:basedOn w:val="1"/>
    <w:next w:val="1"/>
    <w:unhideWhenUsed/>
    <w:qFormat/>
    <w:uiPriority w:val="39"/>
    <w:pPr>
      <w:spacing w:after="100" w:line="276" w:lineRule="auto"/>
      <w:ind w:left="440"/>
    </w:pPr>
    <w:rPr>
      <w:kern w:val="0"/>
      <w:sz w:val="22"/>
    </w:rPr>
  </w:style>
  <w:style w:type="paragraph" w:styleId="13">
    <w:name w:val="Plain Text"/>
    <w:basedOn w:val="1"/>
    <w:next w:val="14"/>
    <w:link w:val="52"/>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link w:val="55"/>
    <w:qFormat/>
    <w:uiPriority w:val="0"/>
    <w:pPr>
      <w:spacing w:after="120" w:line="480" w:lineRule="auto"/>
      <w:ind w:left="420" w:leftChars="200"/>
    </w:pPr>
    <w:rPr>
      <w:rFonts w:ascii="Calibri" w:hAnsi="Calibri" w:eastAsia="宋体" w:cs="Times New Roman"/>
    </w:rPr>
  </w:style>
  <w:style w:type="paragraph" w:styleId="17">
    <w:name w:val="Balloon Text"/>
    <w:basedOn w:val="1"/>
    <w:link w:val="39"/>
    <w:semiHidden/>
    <w:unhideWhenUsed/>
    <w:qFormat/>
    <w:uiPriority w:val="99"/>
    <w:rPr>
      <w:sz w:val="18"/>
      <w:szCs w:val="18"/>
    </w:rPr>
  </w:style>
  <w:style w:type="paragraph" w:styleId="18">
    <w:name w:val="footer"/>
    <w:basedOn w:val="1"/>
    <w:link w:val="33"/>
    <w:unhideWhenUsed/>
    <w:qFormat/>
    <w:uiPriority w:val="99"/>
    <w:pPr>
      <w:tabs>
        <w:tab w:val="center" w:pos="4153"/>
        <w:tab w:val="right" w:pos="8306"/>
      </w:tabs>
      <w:snapToGrid w:val="0"/>
    </w:pPr>
    <w:rPr>
      <w:sz w:val="18"/>
      <w:szCs w:val="18"/>
    </w:rPr>
  </w:style>
  <w:style w:type="paragraph" w:styleId="19">
    <w:name w:val="header"/>
    <w:basedOn w:val="1"/>
    <w:link w:val="32"/>
    <w:unhideWhenUsed/>
    <w:qFormat/>
    <w:uiPriority w:val="99"/>
    <w:pPr>
      <w:tabs>
        <w:tab w:val="center" w:pos="4153"/>
        <w:tab w:val="right" w:pos="8306"/>
      </w:tabs>
      <w:snapToGrid w:val="0"/>
      <w:jc w:val="center"/>
    </w:pPr>
    <w:rPr>
      <w:sz w:val="18"/>
      <w:szCs w:val="18"/>
    </w:rPr>
  </w:style>
  <w:style w:type="paragraph" w:styleId="20">
    <w:name w:val="toc 1"/>
    <w:basedOn w:val="1"/>
    <w:next w:val="1"/>
    <w:unhideWhenUsed/>
    <w:qFormat/>
    <w:uiPriority w:val="39"/>
    <w:pPr>
      <w:spacing w:after="100" w:line="276" w:lineRule="auto"/>
    </w:pPr>
    <w:rPr>
      <w:kern w:val="0"/>
      <w:sz w:val="22"/>
    </w:rPr>
  </w:style>
  <w:style w:type="paragraph" w:styleId="21">
    <w:name w:val="toc 2"/>
    <w:basedOn w:val="1"/>
    <w:next w:val="1"/>
    <w:unhideWhenUsed/>
    <w:qFormat/>
    <w:uiPriority w:val="39"/>
    <w:pPr>
      <w:tabs>
        <w:tab w:val="right" w:leader="dot" w:pos="8834"/>
      </w:tabs>
      <w:spacing w:after="100" w:line="276" w:lineRule="auto"/>
      <w:ind w:left="-1" w:leftChars="-1" w:hanging="2"/>
    </w:pPr>
    <w:rPr>
      <w:kern w:val="0"/>
      <w:sz w:val="22"/>
    </w:rPr>
  </w:style>
  <w:style w:type="paragraph" w:styleId="22">
    <w:name w:val="Normal (Web)"/>
    <w:basedOn w:val="1"/>
    <w:qFormat/>
    <w:uiPriority w:val="99"/>
    <w:pPr>
      <w:spacing w:before="100" w:beforeAutospacing="1" w:after="100" w:afterAutospacing="1"/>
    </w:pPr>
    <w:rPr>
      <w:rFonts w:ascii="宋体" w:hAnsi="宋体" w:eastAsia="宋体" w:cs="Times New Roman"/>
      <w:color w:val="000000"/>
      <w:kern w:val="0"/>
      <w:sz w:val="24"/>
    </w:rPr>
  </w:style>
  <w:style w:type="paragraph" w:styleId="23">
    <w:name w:val="annotation subject"/>
    <w:basedOn w:val="6"/>
    <w:next w:val="6"/>
    <w:link w:val="58"/>
    <w:semiHidden/>
    <w:unhideWhenUsed/>
    <w:qFormat/>
    <w:uiPriority w:val="99"/>
    <w:rPr>
      <w:b/>
      <w:bCs/>
    </w:rPr>
  </w:style>
  <w:style w:type="paragraph" w:styleId="24">
    <w:name w:val="Body Text First Indent"/>
    <w:basedOn w:val="8"/>
    <w:link w:val="54"/>
    <w:semiHidden/>
    <w:unhideWhenUsed/>
    <w:qFormat/>
    <w:uiPriority w:val="99"/>
    <w:pPr>
      <w:ind w:firstLine="420" w:firstLineChars="100"/>
    </w:pPr>
  </w:style>
  <w:style w:type="paragraph" w:styleId="25">
    <w:name w:val="Body Text First Indent 2"/>
    <w:basedOn w:val="10"/>
    <w:qFormat/>
    <w:uiPriority w:val="0"/>
    <w:pPr>
      <w:autoSpaceDE w:val="0"/>
      <w:autoSpaceDN w:val="0"/>
      <w:adjustRightInd/>
      <w:snapToGrid/>
      <w:spacing w:line="600" w:lineRule="exact"/>
      <w:ind w:firstLine="480" w:firstLineChars="200"/>
    </w:pPr>
    <w:rPr>
      <w:rFonts w:eastAsia="等线"/>
      <w:color w:val="000000"/>
      <w:szCs w:val="24"/>
    </w:rPr>
  </w:style>
  <w:style w:type="table" w:styleId="27">
    <w:name w:val="Table Grid"/>
    <w:basedOn w:val="26"/>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9">
    <w:name w:val="page number"/>
    <w:qFormat/>
    <w:uiPriority w:val="0"/>
  </w:style>
  <w:style w:type="character" w:styleId="30">
    <w:name w:val="Hyperlink"/>
    <w:basedOn w:val="28"/>
    <w:unhideWhenUsed/>
    <w:qFormat/>
    <w:uiPriority w:val="99"/>
    <w:rPr>
      <w:color w:val="0000FF" w:themeColor="hyperlink"/>
      <w:u w:val="single"/>
      <w14:textFill>
        <w14:solidFill>
          <w14:schemeClr w14:val="hlink"/>
        </w14:solidFill>
      </w14:textFill>
    </w:rPr>
  </w:style>
  <w:style w:type="character" w:styleId="31">
    <w:name w:val="annotation reference"/>
    <w:basedOn w:val="28"/>
    <w:semiHidden/>
    <w:unhideWhenUsed/>
    <w:qFormat/>
    <w:uiPriority w:val="99"/>
    <w:rPr>
      <w:sz w:val="21"/>
      <w:szCs w:val="21"/>
    </w:rPr>
  </w:style>
  <w:style w:type="character" w:customStyle="1" w:styleId="32">
    <w:name w:val="页眉 字符"/>
    <w:basedOn w:val="28"/>
    <w:link w:val="19"/>
    <w:qFormat/>
    <w:uiPriority w:val="99"/>
    <w:rPr>
      <w:kern w:val="2"/>
      <w:sz w:val="18"/>
      <w:szCs w:val="18"/>
    </w:rPr>
  </w:style>
  <w:style w:type="character" w:customStyle="1" w:styleId="33">
    <w:name w:val="页脚 字符"/>
    <w:basedOn w:val="28"/>
    <w:link w:val="18"/>
    <w:qFormat/>
    <w:uiPriority w:val="99"/>
    <w:rPr>
      <w:sz w:val="18"/>
      <w:szCs w:val="18"/>
    </w:rPr>
  </w:style>
  <w:style w:type="character" w:customStyle="1" w:styleId="34">
    <w:name w:val="标题 1 字符"/>
    <w:basedOn w:val="28"/>
    <w:link w:val="2"/>
    <w:qFormat/>
    <w:uiPriority w:val="9"/>
    <w:rPr>
      <w:rFonts w:eastAsia="方正小标宋简体"/>
      <w:bCs/>
      <w:kern w:val="44"/>
      <w:sz w:val="44"/>
      <w:szCs w:val="44"/>
    </w:rPr>
  </w:style>
  <w:style w:type="character" w:customStyle="1" w:styleId="35">
    <w:name w:val="标题 2 字符"/>
    <w:basedOn w:val="28"/>
    <w:link w:val="3"/>
    <w:qFormat/>
    <w:uiPriority w:val="9"/>
    <w:rPr>
      <w:rFonts w:eastAsia="方正小标宋简体" w:asciiTheme="majorHAnsi" w:hAnsiTheme="majorHAnsi" w:cstheme="majorBidi"/>
      <w:bCs/>
      <w:sz w:val="36"/>
      <w:szCs w:val="32"/>
    </w:rPr>
  </w:style>
  <w:style w:type="character" w:customStyle="1" w:styleId="36">
    <w:name w:val="标题 3 字符"/>
    <w:basedOn w:val="28"/>
    <w:link w:val="4"/>
    <w:qFormat/>
    <w:uiPriority w:val="9"/>
    <w:rPr>
      <w:rFonts w:ascii="Calibri" w:hAnsi="Calibri" w:eastAsia="宋体" w:cs="Times New Roman"/>
      <w:b/>
      <w:bCs/>
      <w:sz w:val="32"/>
      <w:szCs w:val="32"/>
    </w:rPr>
  </w:style>
  <w:style w:type="paragraph" w:styleId="37">
    <w:name w:val="List Paragraph"/>
    <w:basedOn w:val="1"/>
    <w:link w:val="45"/>
    <w:qFormat/>
    <w:uiPriority w:val="99"/>
    <w:pPr>
      <w:ind w:firstLine="420" w:firstLineChars="200"/>
    </w:pPr>
  </w:style>
  <w:style w:type="paragraph" w:customStyle="1" w:styleId="38">
    <w:name w:val="TOC 标题1"/>
    <w:basedOn w:val="2"/>
    <w:next w:val="1"/>
    <w:unhideWhenUsed/>
    <w:qFormat/>
    <w:uiPriority w:val="39"/>
    <w:pPr>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9">
    <w:name w:val="批注框文本 字符"/>
    <w:basedOn w:val="28"/>
    <w:link w:val="17"/>
    <w:semiHidden/>
    <w:qFormat/>
    <w:uiPriority w:val="99"/>
    <w:rPr>
      <w:sz w:val="18"/>
      <w:szCs w:val="18"/>
    </w:rPr>
  </w:style>
  <w:style w:type="paragraph" w:styleId="4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1">
    <w:name w:val="CM97"/>
    <w:basedOn w:val="14"/>
    <w:next w:val="14"/>
    <w:qFormat/>
    <w:uiPriority w:val="0"/>
    <w:pPr>
      <w:spacing w:after="373"/>
    </w:pPr>
    <w:rPr>
      <w:color w:val="auto"/>
    </w:rPr>
  </w:style>
  <w:style w:type="paragraph" w:customStyle="1" w:styleId="42">
    <w:name w:val="CM91"/>
    <w:basedOn w:val="14"/>
    <w:next w:val="14"/>
    <w:qFormat/>
    <w:uiPriority w:val="0"/>
    <w:pPr>
      <w:spacing w:after="160"/>
    </w:pPr>
    <w:rPr>
      <w:color w:val="auto"/>
    </w:rPr>
  </w:style>
  <w:style w:type="character" w:customStyle="1" w:styleId="43">
    <w:name w:val="正文文本 3 Char"/>
    <w:qFormat/>
    <w:uiPriority w:val="99"/>
    <w:rPr>
      <w:sz w:val="16"/>
      <w:szCs w:val="16"/>
    </w:rPr>
  </w:style>
  <w:style w:type="character" w:customStyle="1" w:styleId="44">
    <w:name w:val="正文文本 3 字符"/>
    <w:basedOn w:val="28"/>
    <w:link w:val="7"/>
    <w:semiHidden/>
    <w:qFormat/>
    <w:uiPriority w:val="99"/>
    <w:rPr>
      <w:sz w:val="16"/>
      <w:szCs w:val="16"/>
    </w:rPr>
  </w:style>
  <w:style w:type="character" w:customStyle="1" w:styleId="45">
    <w:name w:val="列表段落 字符"/>
    <w:link w:val="37"/>
    <w:qFormat/>
    <w:uiPriority w:val="34"/>
  </w:style>
  <w:style w:type="paragraph" w:customStyle="1" w:styleId="46">
    <w:name w:val="1"/>
    <w:basedOn w:val="1"/>
    <w:next w:val="13"/>
    <w:qFormat/>
    <w:uiPriority w:val="99"/>
    <w:rPr>
      <w:rFonts w:ascii="宋体" w:hAnsi="Courier New"/>
    </w:rPr>
  </w:style>
  <w:style w:type="paragraph" w:customStyle="1" w:styleId="47">
    <w:name w:val="WPSOffice手动目录 1"/>
    <w:qFormat/>
    <w:uiPriority w:val="0"/>
    <w:rPr>
      <w:rFonts w:asciiTheme="minorHAnsi" w:hAnsiTheme="minorHAnsi" w:eastAsiaTheme="minorEastAsia" w:cstheme="minorBidi"/>
      <w:lang w:val="en-US" w:eastAsia="zh-CN" w:bidi="ar-SA"/>
    </w:rPr>
  </w:style>
  <w:style w:type="paragraph" w:customStyle="1" w:styleId="48">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9">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50">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51">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2">
    <w:name w:val="纯文本 字符"/>
    <w:basedOn w:val="28"/>
    <w:link w:val="13"/>
    <w:qFormat/>
    <w:uiPriority w:val="0"/>
    <w:rPr>
      <w:rFonts w:ascii="宋体" w:hAnsi="Courier New"/>
      <w:kern w:val="2"/>
      <w:sz w:val="21"/>
      <w:szCs w:val="21"/>
    </w:rPr>
  </w:style>
  <w:style w:type="character" w:customStyle="1" w:styleId="53">
    <w:name w:val="正文文本 字符"/>
    <w:basedOn w:val="28"/>
    <w:link w:val="8"/>
    <w:qFormat/>
    <w:uiPriority w:val="99"/>
    <w:rPr>
      <w:kern w:val="2"/>
      <w:sz w:val="21"/>
      <w:szCs w:val="22"/>
    </w:rPr>
  </w:style>
  <w:style w:type="character" w:customStyle="1" w:styleId="54">
    <w:name w:val="正文文本首行缩进 字符"/>
    <w:basedOn w:val="53"/>
    <w:link w:val="24"/>
    <w:semiHidden/>
    <w:qFormat/>
    <w:uiPriority w:val="99"/>
    <w:rPr>
      <w:kern w:val="2"/>
      <w:sz w:val="21"/>
      <w:szCs w:val="22"/>
    </w:rPr>
  </w:style>
  <w:style w:type="character" w:customStyle="1" w:styleId="55">
    <w:name w:val="正文文本缩进 2 字符"/>
    <w:basedOn w:val="28"/>
    <w:link w:val="16"/>
    <w:qFormat/>
    <w:uiPriority w:val="0"/>
    <w:rPr>
      <w:rFonts w:ascii="Calibri" w:hAnsi="Calibri" w:eastAsia="宋体" w:cs="Times New Roman"/>
      <w:kern w:val="2"/>
      <w:sz w:val="21"/>
      <w:szCs w:val="22"/>
    </w:rPr>
  </w:style>
  <w:style w:type="paragraph" w:customStyle="1" w:styleId="56">
    <w:name w:val="修订2"/>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57">
    <w:name w:val="批注文字 字符"/>
    <w:basedOn w:val="28"/>
    <w:link w:val="6"/>
    <w:qFormat/>
    <w:uiPriority w:val="99"/>
    <w:rPr>
      <w:kern w:val="2"/>
      <w:sz w:val="21"/>
      <w:szCs w:val="22"/>
    </w:rPr>
  </w:style>
  <w:style w:type="character" w:customStyle="1" w:styleId="58">
    <w:name w:val="批注主题 字符"/>
    <w:basedOn w:val="57"/>
    <w:link w:val="23"/>
    <w:semiHidden/>
    <w:qFormat/>
    <w:uiPriority w:val="99"/>
    <w:rPr>
      <w:b/>
      <w:bCs/>
      <w:kern w:val="2"/>
      <w:sz w:val="21"/>
      <w:szCs w:val="22"/>
    </w:rPr>
  </w:style>
  <w:style w:type="paragraph" w:customStyle="1" w:styleId="59">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0">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1">
    <w:name w:val="修订5"/>
    <w:hidden/>
    <w:unhideWhenUsed/>
    <w:qFormat/>
    <w:uiPriority w:val="99"/>
    <w:rPr>
      <w:rFonts w:asciiTheme="minorHAnsi" w:hAnsiTheme="minorHAnsi" w:eastAsiaTheme="minorEastAsia" w:cstheme="minorBidi"/>
      <w:kern w:val="2"/>
      <w:sz w:val="21"/>
      <w:szCs w:val="22"/>
      <w:lang w:val="en-US" w:eastAsia="zh-CN" w:bidi="ar-SA"/>
    </w:rPr>
  </w:style>
  <w:style w:type="table" w:customStyle="1" w:styleId="62">
    <w:name w:val="网格型1"/>
    <w:basedOn w:val="2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63">
    <w:name w:val="修订6"/>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64">
    <w:name w:val="修订7"/>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65">
    <w:name w:val="正文文本 2 字符"/>
    <w:basedOn w:val="28"/>
    <w:link w:val="9"/>
    <w:qFormat/>
    <w:uiPriority w:val="0"/>
    <w:rPr>
      <w:kern w:val="2"/>
      <w:sz w:val="21"/>
      <w:szCs w:val="22"/>
    </w:rPr>
  </w:style>
  <w:style w:type="paragraph" w:customStyle="1" w:styleId="66">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0678A8-0A44-44E2-AB87-138E45ED611E}">
  <ds:schemaRefs/>
</ds:datastoreItem>
</file>

<file path=docProps/app.xml><?xml version="1.0" encoding="utf-8"?>
<Properties xmlns="http://schemas.openxmlformats.org/officeDocument/2006/extended-properties" xmlns:vt="http://schemas.openxmlformats.org/officeDocument/2006/docPropsVTypes">
  <Template>Normal</Template>
  <Pages>66</Pages>
  <Words>23859</Words>
  <Characters>24622</Characters>
  <Lines>176</Lines>
  <Paragraphs>49</Paragraphs>
  <TotalTime>27</TotalTime>
  <ScaleCrop>false</ScaleCrop>
  <LinksUpToDate>false</LinksUpToDate>
  <CharactersWithSpaces>26554</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2024-05-05T16:35:00Z</dcterms:created>
  <dc:creator>陈义春</dc:creator>
  <cp:lastModifiedBy>琳</cp:lastModifiedBy>
  <cp:lastPrinted>2024-01-17T08:52:00Z</cp:lastPrinted>
  <dcterms:modified xsi:type="dcterms:W3CDTF">2024-07-04T08:15:08Z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158ACE07D23145C58800C1A5FF4874C8</vt:lpwstr>
  </property>
</Properties>
</file>