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eastAsia="方正小标宋简体"/>
          <w:sz w:val="52"/>
          <w:szCs w:val="52"/>
          <w:highlight w:val="none"/>
        </w:rPr>
      </w:pPr>
      <w:bookmarkStart w:id="39" w:name="_GoBack"/>
      <w:bookmarkEnd w:id="39"/>
    </w:p>
    <w:p>
      <w:pPr>
        <w:jc w:val="center"/>
        <w:rPr>
          <w:rFonts w:hint="eastAsia" w:ascii="方正小标宋简体" w:eastAsia="方正小标宋简体"/>
          <w:sz w:val="52"/>
          <w:szCs w:val="52"/>
          <w:highlight w:val="none"/>
        </w:rPr>
      </w:pPr>
      <w:bookmarkStart w:id="0" w:name="_Hlk155778699"/>
      <w:r>
        <w:rPr>
          <w:rFonts w:hint="eastAsia" w:ascii="方正小标宋简体" w:eastAsia="方正小标宋简体"/>
          <w:sz w:val="52"/>
          <w:szCs w:val="52"/>
          <w:highlight w:val="none"/>
        </w:rPr>
        <w:t>广州市净水有限公司</w:t>
      </w:r>
      <w:bookmarkEnd w:id="0"/>
      <w:bookmarkStart w:id="1" w:name="_Hlk164855857"/>
      <w:r>
        <w:rPr>
          <w:rFonts w:hint="eastAsia" w:ascii="方正小标宋简体" w:eastAsia="方正小标宋简体"/>
          <w:sz w:val="52"/>
          <w:szCs w:val="52"/>
          <w:highlight w:val="none"/>
        </w:rPr>
        <w:t>污水处理系统</w:t>
      </w: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进水水质生物毒性监测设备研发</w:t>
      </w:r>
      <w:bookmarkEnd w:id="1"/>
    </w:p>
    <w:p>
      <w:pPr>
        <w:pStyle w:val="5"/>
        <w:rPr>
          <w:rFonts w:hint="eastAsia"/>
          <w:highlight w:val="none"/>
        </w:rPr>
      </w:pP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二零二四</w:t>
      </w:r>
      <w:r>
        <w:rPr>
          <w:rFonts w:hint="eastAsia" w:ascii="黑体" w:hAnsi="黑体" w:eastAsia="黑体" w:cs="仿宋_GB2312"/>
          <w:sz w:val="32"/>
          <w:szCs w:val="32"/>
          <w:highlight w:val="none"/>
        </w:rPr>
        <w:t>年</w:t>
      </w:r>
      <w:r>
        <w:rPr>
          <w:rFonts w:hint="eastAsia" w:ascii="黑体" w:hAnsi="黑体" w:eastAsia="黑体" w:cs="仿宋_GB2312"/>
          <w:sz w:val="32"/>
          <w:szCs w:val="32"/>
          <w:highlight w:val="none"/>
          <w:lang w:val="en-US" w:eastAsia="zh-CN"/>
        </w:rPr>
        <w:t>七</w:t>
      </w:r>
      <w:r>
        <w:rPr>
          <w:rFonts w:hint="eastAsia" w:ascii="黑体" w:hAnsi="黑体" w:eastAsia="黑体" w:cs="仿宋_GB2312"/>
          <w:sz w:val="32"/>
          <w:szCs w:val="32"/>
          <w:highlight w:val="none"/>
        </w:rPr>
        <w:t>月</w:t>
      </w:r>
    </w:p>
    <w:p>
      <w:pPr>
        <w:widowControl/>
        <w:jc w:val="left"/>
        <w:rPr>
          <w:rFonts w:ascii="黑体" w:hAnsi="黑体" w:eastAsia="黑体" w:cs="仿宋_GB2312"/>
          <w:sz w:val="32"/>
          <w:szCs w:val="32"/>
          <w:highlight w:val="none"/>
        </w:rPr>
        <w:sectPr>
          <w:footerReference r:id="rId3" w:type="even"/>
          <w:pgSz w:w="11907" w:h="16840"/>
          <w:pgMar w:top="1701" w:right="1701" w:bottom="1701" w:left="1701" w:header="851" w:footer="992" w:gutter="0"/>
          <w:cols w:space="720" w:num="1"/>
          <w:docGrid w:type="linesAndChars" w:linePitch="381" w:charSpace="0"/>
        </w:sectPr>
      </w:pPr>
      <w:r>
        <w:rPr>
          <w:rFonts w:ascii="黑体" w:hAnsi="黑体" w:eastAsia="黑体" w:cs="仿宋_GB2312"/>
          <w:sz w:val="32"/>
          <w:szCs w:val="32"/>
          <w:highlight w:val="none"/>
        </w:rPr>
        <w:br w:type="page"/>
      </w:r>
    </w:p>
    <w:p>
      <w:pPr>
        <w:pStyle w:val="38"/>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20"/>
        <w:numPr>
          <w:ilvl w:val="0"/>
          <w:numId w:val="1"/>
        </w:numPr>
        <w:tabs>
          <w:tab w:val="right" w:pos="8844"/>
        </w:tabs>
        <w:rPr>
          <w:highlight w:val="none"/>
        </w:rPr>
      </w:pPr>
      <w:r>
        <w:rPr>
          <w:rFonts w:hint="eastAsia"/>
          <w:highlight w:val="none"/>
        </w:rPr>
        <w:t>采购公告（采购邀请书）</w:t>
      </w:r>
    </w:p>
    <w:p>
      <w:pPr>
        <w:pStyle w:val="20"/>
        <w:numPr>
          <w:ilvl w:val="0"/>
          <w:numId w:val="1"/>
        </w:numPr>
        <w:tabs>
          <w:tab w:val="right" w:pos="8844"/>
        </w:tabs>
        <w:rPr>
          <w:highlight w:val="none"/>
        </w:rPr>
      </w:pPr>
      <w:r>
        <w:rPr>
          <w:rFonts w:hint="eastAsia"/>
          <w:highlight w:val="none"/>
        </w:rPr>
        <w:t>供应商须知</w:t>
      </w:r>
    </w:p>
    <w:p>
      <w:pPr>
        <w:pStyle w:val="20"/>
        <w:numPr>
          <w:ilvl w:val="0"/>
          <w:numId w:val="1"/>
        </w:numPr>
        <w:tabs>
          <w:tab w:val="right" w:pos="8844"/>
        </w:tabs>
        <w:rPr>
          <w:highlight w:val="none"/>
        </w:rPr>
      </w:pPr>
      <w:r>
        <w:rPr>
          <w:rFonts w:hint="eastAsia"/>
          <w:highlight w:val="none"/>
        </w:rPr>
        <w:t>采购方法</w:t>
      </w:r>
    </w:p>
    <w:p>
      <w:pPr>
        <w:pStyle w:val="20"/>
        <w:numPr>
          <w:ilvl w:val="0"/>
          <w:numId w:val="1"/>
        </w:numPr>
        <w:tabs>
          <w:tab w:val="right" w:pos="8844"/>
        </w:tabs>
        <w:rPr>
          <w:highlight w:val="none"/>
        </w:rPr>
      </w:pPr>
      <w:r>
        <w:rPr>
          <w:rFonts w:hint="eastAsia"/>
          <w:highlight w:val="none"/>
        </w:rPr>
        <w:t>评审方法</w:t>
      </w:r>
    </w:p>
    <w:p>
      <w:pPr>
        <w:pStyle w:val="20"/>
        <w:numPr>
          <w:ilvl w:val="0"/>
          <w:numId w:val="1"/>
        </w:numPr>
        <w:tabs>
          <w:tab w:val="right" w:pos="8844"/>
        </w:tabs>
        <w:rPr>
          <w:highlight w:val="none"/>
        </w:rPr>
      </w:pPr>
      <w:r>
        <w:rPr>
          <w:rFonts w:hint="eastAsia"/>
          <w:highlight w:val="none"/>
        </w:rPr>
        <w:t>采购需求</w:t>
      </w:r>
    </w:p>
    <w:p>
      <w:pPr>
        <w:pStyle w:val="20"/>
        <w:numPr>
          <w:ilvl w:val="0"/>
          <w:numId w:val="1"/>
        </w:numPr>
        <w:tabs>
          <w:tab w:val="right" w:pos="8844"/>
        </w:tabs>
        <w:rPr>
          <w:highlight w:val="none"/>
        </w:rPr>
      </w:pPr>
      <w:r>
        <w:rPr>
          <w:rFonts w:hint="eastAsia"/>
          <w:highlight w:val="none"/>
        </w:rPr>
        <w:t>合同草案</w:t>
      </w:r>
    </w:p>
    <w:p>
      <w:pPr>
        <w:pStyle w:val="20"/>
        <w:numPr>
          <w:ilvl w:val="0"/>
          <w:numId w:val="1"/>
        </w:numPr>
        <w:tabs>
          <w:tab w:val="right" w:pos="8844"/>
        </w:tabs>
        <w:rPr>
          <w:highlight w:val="none"/>
        </w:rPr>
      </w:pPr>
      <w:r>
        <w:rPr>
          <w:rFonts w:hint="eastAsia"/>
          <w:highlight w:val="none"/>
        </w:rPr>
        <w:t>响应文件格式要求</w:t>
      </w:r>
      <w:bookmarkStart w:id="2" w:name="_Toc1711"/>
      <w:bookmarkStart w:id="3" w:name="_Toc18145"/>
      <w:bookmarkStart w:id="4" w:name="_Toc17696"/>
      <w:bookmarkStart w:id="5" w:name="_Toc26148"/>
    </w:p>
    <w:p>
      <w:pPr>
        <w:spacing w:line="360" w:lineRule="auto"/>
        <w:rPr>
          <w:rFonts w:ascii="仿宋_GB2312" w:hAnsi="仿宋_GB2312" w:eastAsia="仿宋_GB2312" w:cs="仿宋_GB2312"/>
          <w:sz w:val="28"/>
          <w:szCs w:val="28"/>
          <w:highlight w:val="none"/>
        </w:rPr>
      </w:pPr>
      <w:r>
        <w:rPr>
          <w:highlight w:val="none"/>
        </w:rPr>
        <w:br w:type="page"/>
      </w:r>
      <w:bookmarkStart w:id="6" w:name="_Toc17801"/>
      <w:bookmarkStart w:id="7" w:name="_Toc19609"/>
      <w:bookmarkStart w:id="8" w:name="_Toc1669"/>
      <w:bookmarkStart w:id="9" w:name="_Toc7519"/>
      <w:bookmarkStart w:id="10" w:name="_Toc11322"/>
      <w:bookmarkStart w:id="11" w:name="_Toc4275"/>
      <w:bookmarkStart w:id="12" w:name="_Toc31938"/>
    </w:p>
    <w:p>
      <w:pPr>
        <w:pStyle w:val="25"/>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p>
    <w:p>
      <w:pPr>
        <w:pStyle w:val="25"/>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pBdr>
          <w:bottom w:val="none" w:color="auto" w:sz="0" w:space="0"/>
        </w:pBdr>
        <w:rPr>
          <w:rFonts w:hint="eastAsia" w:ascii="仿宋_GB2312" w:hAnsi="仿宋_GB2312" w:eastAsia="仿宋_GB2312" w:cs="仿宋_GB2312"/>
          <w:sz w:val="28"/>
          <w:szCs w:val="28"/>
          <w:highlight w:val="none"/>
        </w:rPr>
      </w:pPr>
    </w:p>
    <w:p>
      <w:pPr>
        <w:pBdr>
          <w:top w:val="double" w:color="auto" w:sz="4" w:space="0"/>
          <w:bottom w:val="double" w:color="auto" w:sz="4" w:space="0"/>
        </w:pBdr>
        <w:jc w:val="center"/>
        <w:rPr>
          <w:rFonts w:hint="default" w:ascii="仿宋_GB2312" w:hAnsi="仿宋_GB2312" w:eastAsia="仿宋_GB2312" w:cs="仿宋_GB2312"/>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第一章</w:t>
      </w:r>
    </w:p>
    <w:p>
      <w:pPr>
        <w:rPr>
          <w:rFonts w:hint="eastAsia" w:ascii="仿宋_GB2312" w:hAnsi="仿宋_GB2312" w:eastAsia="仿宋_GB2312" w:cs="仿宋_GB2312"/>
          <w:sz w:val="28"/>
          <w:szCs w:val="28"/>
          <w:highlight w:val="none"/>
        </w:rPr>
      </w:pPr>
    </w:p>
    <w:p>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仿宋_GB2312" w:eastAsia="仿宋_GB2312"/>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适用于纸质评审的公开采购方式</w:t>
      </w:r>
      <w:r>
        <w:rPr>
          <w:rFonts w:hint="eastAsia" w:asciiTheme="minorEastAsia" w:hAnsiTheme="minorEastAsia"/>
          <w:color w:val="auto"/>
          <w:sz w:val="24"/>
          <w:szCs w:val="24"/>
          <w:highlight w:val="none"/>
        </w:rPr>
        <w:br w:type="textWrapping"/>
      </w:r>
    </w:p>
    <w:p>
      <w:pPr>
        <w:adjustRightInd/>
        <w:snapToGrid/>
        <w:spacing w:beforeLines="-2147483648" w:afterLines="-2147483648" w:line="240" w:lineRule="auto"/>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br w:type="page"/>
      </w:r>
    </w:p>
    <w:bookmarkEnd w:id="2"/>
    <w:bookmarkEnd w:id="3"/>
    <w:bookmarkEnd w:id="4"/>
    <w:bookmarkEnd w:id="5"/>
    <w:bookmarkEnd w:id="6"/>
    <w:bookmarkEnd w:id="7"/>
    <w:bookmarkEnd w:id="8"/>
    <w:bookmarkEnd w:id="9"/>
    <w:bookmarkEnd w:id="10"/>
    <w:bookmarkEnd w:id="11"/>
    <w:bookmarkEnd w:id="12"/>
    <w:p>
      <w:pPr>
        <w:pStyle w:val="2"/>
        <w:rPr>
          <w:highlight w:val="none"/>
        </w:rPr>
      </w:pPr>
      <w:bookmarkStart w:id="13" w:name="_Toc21373"/>
      <w:bookmarkStart w:id="14" w:name="_Toc9680"/>
      <w:r>
        <w:rPr>
          <w:rFonts w:hint="eastAsia"/>
          <w:highlight w:val="none"/>
        </w:rPr>
        <w:t>采购公告（采购邀请书）</w:t>
      </w:r>
    </w:p>
    <w:bookmarkEnd w:id="13"/>
    <w:bookmarkEnd w:id="14"/>
    <w:p>
      <w:pPr>
        <w:spacing w:line="600" w:lineRule="exact"/>
        <w:ind w:firstLine="560" w:firstLineChars="200"/>
        <w:rPr>
          <w:rFonts w:ascii="仿宋_GB2312" w:eastAsia="仿宋_GB2312"/>
          <w:sz w:val="28"/>
          <w:szCs w:val="28"/>
          <w:highlight w:val="none"/>
          <w:u w:val="single"/>
        </w:rPr>
      </w:pPr>
      <w:r>
        <w:rPr>
          <w:rFonts w:hint="eastAsia" w:ascii="仿宋_GB2312" w:eastAsia="仿宋_GB2312"/>
          <w:sz w:val="28"/>
          <w:szCs w:val="28"/>
          <w:highlight w:val="none"/>
          <w:u w:val="single"/>
        </w:rPr>
        <w:t>广州市净水有限公司污水处理系统进水水质生物毒性监测设备研发</w:t>
      </w:r>
      <w:r>
        <w:rPr>
          <w:rFonts w:hint="eastAsia" w:ascii="仿宋_GB2312" w:eastAsia="仿宋_GB2312"/>
          <w:sz w:val="28"/>
          <w:szCs w:val="28"/>
          <w:highlight w:val="none"/>
        </w:rPr>
        <w:t>已具备采购条件，现邀请合格单位参加本□施工</w:t>
      </w:r>
      <w:r>
        <w:rPr>
          <w:rFonts w:ascii="仿宋_GB2312" w:eastAsia="仿宋_GB2312"/>
          <w:sz w:val="28"/>
          <w:szCs w:val="28"/>
          <w:highlight w:val="none"/>
        </w:rPr>
        <w:t xml:space="preserve">  </w:t>
      </w:r>
      <w:r>
        <w:rPr>
          <w:rFonts w:hint="eastAsia" w:ascii="仿宋_GB2312" w:eastAsia="仿宋_GB2312"/>
          <w:sz w:val="28"/>
          <w:szCs w:val="28"/>
          <w:highlight w:val="none"/>
        </w:rPr>
        <w:t>□货物</w:t>
      </w:r>
      <w:r>
        <w:rPr>
          <w:rFonts w:ascii="仿宋_GB2312" w:eastAsia="仿宋_GB2312"/>
          <w:sz w:val="28"/>
          <w:szCs w:val="28"/>
          <w:highlight w:val="none"/>
        </w:rPr>
        <w:t xml:space="preserve"> </w:t>
      </w:r>
      <w:r>
        <w:rPr>
          <w:rFonts w:hint="eastAsia" w:ascii="仿宋" w:hAnsi="仿宋" w:eastAsia="仿宋" w:cs="仿宋"/>
          <w:sz w:val="28"/>
          <w:szCs w:val="28"/>
          <w:highlight w:val="none"/>
        </w:rPr>
        <w:sym w:font="Wingdings 2" w:char="0052"/>
      </w:r>
      <w:r>
        <w:rPr>
          <w:rFonts w:hint="eastAsia" w:ascii="仿宋_GB2312" w:eastAsia="仿宋_GB2312"/>
          <w:sz w:val="28"/>
          <w:szCs w:val="28"/>
          <w:highlight w:val="none"/>
        </w:rPr>
        <w:t>服务项目采购活动，采用</w:t>
      </w:r>
      <w:r>
        <w:rPr>
          <w:rFonts w:ascii="仿宋_GB2312" w:eastAsia="仿宋_GB2312"/>
          <w:sz w:val="28"/>
          <w:szCs w:val="28"/>
          <w:highlight w:val="none"/>
          <w:u w:val="single"/>
        </w:rPr>
        <w:sym w:font="Wingdings 2" w:char="00A3"/>
      </w:r>
      <w:r>
        <w:rPr>
          <w:rFonts w:hint="eastAsia" w:ascii="仿宋_GB2312" w:eastAsia="仿宋_GB2312"/>
          <w:sz w:val="28"/>
          <w:szCs w:val="28"/>
          <w:highlight w:val="none"/>
          <w:u w:val="single"/>
        </w:rPr>
        <w:t>邀请采购</w:t>
      </w:r>
      <w:r>
        <w:rPr>
          <w:rFonts w:ascii="仿宋_GB2312" w:eastAsia="仿宋_GB2312"/>
          <w:sz w:val="28"/>
          <w:szCs w:val="28"/>
          <w:highlight w:val="none"/>
          <w:u w:val="single"/>
        </w:rPr>
        <w:t xml:space="preserve"> </w:t>
      </w:r>
      <w:r>
        <w:rPr>
          <w:rFonts w:hint="eastAsia" w:ascii="仿宋" w:hAnsi="仿宋" w:eastAsia="仿宋" w:cs="仿宋"/>
          <w:sz w:val="28"/>
          <w:szCs w:val="28"/>
          <w:highlight w:val="none"/>
          <w:u w:val="single"/>
        </w:rPr>
        <w:sym w:font="Wingdings 2" w:char="0052"/>
      </w:r>
      <w:r>
        <w:rPr>
          <w:rFonts w:hint="eastAsia" w:ascii="仿宋_GB2312" w:eastAsia="仿宋_GB2312"/>
          <w:sz w:val="28"/>
          <w:szCs w:val="28"/>
          <w:highlight w:val="none"/>
          <w:u w:val="single"/>
        </w:rPr>
        <w:t>公开采购</w:t>
      </w:r>
      <w:r>
        <w:rPr>
          <w:rFonts w:hint="eastAsia" w:ascii="仿宋_GB2312" w:eastAsia="仿宋_GB2312"/>
          <w:sz w:val="28"/>
          <w:szCs w:val="28"/>
          <w:highlight w:val="none"/>
        </w:rPr>
        <w:t>的方式邀请合格供应商参加本项目采购活动。</w:t>
      </w:r>
    </w:p>
    <w:p>
      <w:pPr>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spacing w:line="600" w:lineRule="exact"/>
        <w:rPr>
          <w:rFonts w:ascii="仿宋_GB2312" w:eastAsia="仿宋_GB2312"/>
          <w:sz w:val="28"/>
          <w:szCs w:val="28"/>
          <w:highlight w:val="none"/>
          <w:u w:val="singl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rPr>
        <w:t>广州市净水有限公司污水处理系统进水水质生物毒性监测设备研发</w:t>
      </w:r>
    </w:p>
    <w:p>
      <w:pPr>
        <w:spacing w:line="600" w:lineRule="exact"/>
        <w:rPr>
          <w:rFonts w:hint="default" w:ascii="仿宋_GB2312" w:eastAsia="仿宋_GB2312"/>
          <w:sz w:val="28"/>
          <w:szCs w:val="28"/>
          <w:highlight w:val="none"/>
          <w:lang w:val="en-US" w:eastAsia="zh-CN"/>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lang w:val="en-US" w:eastAsia="zh-CN"/>
        </w:rPr>
        <w:t>XJ-20240703-1</w:t>
      </w:r>
    </w:p>
    <w:p>
      <w:pPr>
        <w:spacing w:line="600" w:lineRule="exact"/>
        <w:rPr>
          <w:rFonts w:ascii="仿宋_GB2312" w:eastAsia="仿宋_GB2312"/>
          <w:sz w:val="28"/>
          <w:szCs w:val="28"/>
          <w:highlight w:val="none"/>
          <w:u w:val="single"/>
        </w:rPr>
      </w:pPr>
      <w:r>
        <w:rPr>
          <w:rFonts w:hint="eastAsia" w:ascii="仿宋_GB2312" w:eastAsia="仿宋_GB2312"/>
          <w:sz w:val="28"/>
          <w:szCs w:val="28"/>
          <w:highlight w:val="none"/>
        </w:rPr>
        <w:t>1.3资金来源：</w:t>
      </w:r>
      <w:r>
        <w:rPr>
          <w:rFonts w:hint="eastAsia" w:ascii="仿宋_GB2312" w:eastAsia="仿宋_GB2312"/>
          <w:sz w:val="28"/>
          <w:szCs w:val="28"/>
          <w:highlight w:val="none"/>
          <w:u w:val="single"/>
        </w:rPr>
        <w:t xml:space="preserve"> 自有资金 </w:t>
      </w:r>
    </w:p>
    <w:p>
      <w:pPr>
        <w:spacing w:line="600" w:lineRule="exact"/>
        <w:rPr>
          <w:rFonts w:ascii="Times New Roman" w:hAnsi="Times New Roman" w:eastAsia="仿宋_GB2312"/>
          <w:bCs/>
          <w:sz w:val="28"/>
          <w:szCs w:val="28"/>
          <w:highlight w:val="none"/>
        </w:rPr>
      </w:pPr>
      <w:r>
        <w:rPr>
          <w:rFonts w:hint="eastAsia" w:ascii="仿宋_GB2312" w:eastAsia="仿宋_GB2312"/>
          <w:sz w:val="28"/>
          <w:szCs w:val="28"/>
          <w:highlight w:val="none"/>
        </w:rPr>
        <w:t>1.4最高限价（元）：</w:t>
      </w:r>
      <w:r>
        <w:rPr>
          <w:rFonts w:hint="eastAsia" w:ascii="仿宋_GB2312" w:eastAsia="仿宋_GB2312"/>
          <w:sz w:val="28"/>
          <w:szCs w:val="28"/>
          <w:highlight w:val="none"/>
          <w:u w:val="single"/>
          <w:lang w:val="en-US" w:eastAsia="zh-CN"/>
        </w:rPr>
        <w:t>193,000.00</w:t>
      </w:r>
      <w:r>
        <w:rPr>
          <w:rFonts w:ascii="Times New Roman" w:hAnsi="Times New Roman" w:eastAsia="仿宋_GB2312"/>
          <w:bCs/>
          <w:sz w:val="28"/>
          <w:szCs w:val="28"/>
          <w:highlight w:val="none"/>
          <w:lang w:val="zh-CN"/>
        </w:rPr>
        <w:t>元</w:t>
      </w:r>
      <w:r>
        <w:rPr>
          <w:rFonts w:hint="eastAsia" w:ascii="Times New Roman" w:hAnsi="Times New Roman" w:eastAsia="仿宋_GB2312"/>
          <w:bCs/>
          <w:sz w:val="28"/>
          <w:szCs w:val="28"/>
          <w:highlight w:val="none"/>
          <w:lang w:val="zh-CN"/>
        </w:rPr>
        <w:t>。</w:t>
      </w:r>
    </w:p>
    <w:p>
      <w:pPr>
        <w:spacing w:line="600" w:lineRule="exact"/>
        <w:rPr>
          <w:rFonts w:ascii="仿宋_GB2312" w:eastAsia="仿宋_GB2312"/>
          <w:sz w:val="28"/>
          <w:szCs w:val="28"/>
          <w:highlight w:val="none"/>
          <w:u w:val="single"/>
        </w:rPr>
      </w:pPr>
      <w:r>
        <w:rPr>
          <w:rFonts w:hint="eastAsia" w:ascii="仿宋_GB2312" w:eastAsia="仿宋_GB2312"/>
          <w:sz w:val="28"/>
          <w:szCs w:val="28"/>
          <w:highlight w:val="none"/>
        </w:rPr>
        <w:t>1.5标段划分：</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p>
    <w:p>
      <w:pPr>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snapToGrid/>
        <w:spacing w:before="0" w:beforeLines="0" w:line="60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2.1采购内容和范围：</w:t>
      </w:r>
      <w:r>
        <w:rPr>
          <w:rFonts w:hint="eastAsia" w:ascii="仿宋_GB2312" w:hAnsi="仿宋_GB2312" w:eastAsia="仿宋_GB2312" w:cs="仿宋_GB2312"/>
          <w:sz w:val="28"/>
          <w:szCs w:val="28"/>
          <w:highlight w:val="none"/>
          <w:u w:val="single"/>
        </w:rPr>
        <w:t>本项目需到净水公司指定净水厂内进行</w:t>
      </w:r>
      <w:bookmarkStart w:id="15" w:name="_Hlk155771121"/>
      <w:r>
        <w:rPr>
          <w:rFonts w:hint="eastAsia" w:ascii="仿宋_GB2312" w:hAnsi="仿宋_GB2312" w:eastAsia="仿宋_GB2312" w:cs="仿宋_GB2312"/>
          <w:sz w:val="28"/>
          <w:szCs w:val="28"/>
          <w:highlight w:val="none"/>
          <w:u w:val="single"/>
        </w:rPr>
        <w:t>采样、检测</w:t>
      </w:r>
      <w:bookmarkEnd w:id="15"/>
      <w:r>
        <w:rPr>
          <w:rFonts w:hint="eastAsia" w:ascii="仿宋_GB2312" w:hAnsi="仿宋_GB2312" w:eastAsia="仿宋_GB2312" w:cs="仿宋_GB2312"/>
          <w:sz w:val="28"/>
          <w:szCs w:val="28"/>
          <w:highlight w:val="none"/>
          <w:u w:val="single"/>
        </w:rPr>
        <w:t>分析、示范应用，并基于指定净水厂进水水质监测需求完成</w:t>
      </w:r>
      <w:r>
        <w:rPr>
          <w:rFonts w:hint="eastAsia" w:ascii="仿宋_GB2312" w:hAnsi="仿宋_GB2312" w:eastAsia="仿宋_GB2312" w:cs="仿宋_GB2312"/>
          <w:sz w:val="28"/>
          <w:szCs w:val="28"/>
          <w:highlight w:val="none"/>
          <w:u w:val="single"/>
          <w:lang w:val="en-US" w:eastAsia="zh-CN"/>
        </w:rPr>
        <w:t>指定</w:t>
      </w:r>
      <w:r>
        <w:rPr>
          <w:rFonts w:hint="eastAsia" w:ascii="仿宋_GB2312" w:hAnsi="仿宋_GB2312" w:eastAsia="仿宋_GB2312" w:cs="仿宋_GB2312"/>
          <w:sz w:val="28"/>
          <w:szCs w:val="28"/>
          <w:highlight w:val="none"/>
          <w:u w:val="single"/>
        </w:rPr>
        <w:t>研究任务内容，并编制研究报告</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详细采购需求见第五章</w:t>
      </w:r>
      <w:r>
        <w:rPr>
          <w:rFonts w:hint="eastAsia" w:ascii="仿宋_GB2312" w:hAnsi="仿宋_GB2312" w:eastAsia="仿宋_GB2312" w:cs="仿宋_GB2312"/>
          <w:sz w:val="28"/>
          <w:szCs w:val="28"/>
          <w:highlight w:val="none"/>
        </w:rPr>
        <w:t>。</w:t>
      </w:r>
    </w:p>
    <w:p>
      <w:pPr>
        <w:keepNext w:val="0"/>
        <w:keepLines w:val="0"/>
        <w:pageBreakBefore w:val="0"/>
        <w:kinsoku/>
        <w:wordWrap/>
        <w:overflowPunct/>
        <w:topLinePunct w:val="0"/>
        <w:autoSpaceDE/>
        <w:autoSpaceDN/>
        <w:bidi w:val="0"/>
        <w:adjustRightInd/>
        <w:snapToGrid/>
        <w:spacing w:before="0" w:beforeLines="0" w:line="600" w:lineRule="exact"/>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2.2项目工期：□计划工期   □交货期  </w:t>
      </w:r>
      <w:r>
        <w:rPr>
          <w:rFonts w:hint="eastAsia" w:ascii="仿宋_GB2312" w:hAnsi="仿宋_GB2312" w:eastAsia="仿宋_GB2312" w:cs="仿宋_GB2312"/>
          <w:sz w:val="28"/>
          <w:szCs w:val="28"/>
          <w:highlight w:val="none"/>
        </w:rPr>
        <w:sym w:font="Wingdings 2" w:char="0052"/>
      </w:r>
      <w:r>
        <w:rPr>
          <w:rFonts w:hint="eastAsia" w:ascii="仿宋_GB2312" w:hAnsi="仿宋_GB2312" w:eastAsia="仿宋_GB2312" w:cs="仿宋_GB2312"/>
          <w:sz w:val="28"/>
          <w:szCs w:val="28"/>
          <w:highlight w:val="none"/>
        </w:rPr>
        <w:t>服务期为</w:t>
      </w:r>
      <w:r>
        <w:rPr>
          <w:rFonts w:hint="eastAsia" w:ascii="仿宋_GB2312" w:hAnsi="仿宋_GB2312" w:eastAsia="仿宋_GB2312" w:cs="仿宋_GB2312"/>
          <w:sz w:val="28"/>
          <w:szCs w:val="28"/>
          <w:highlight w:val="none"/>
          <w:u w:val="single"/>
        </w:rPr>
        <w:t>自合同生效之日起1年或合同总额用完为止，以先到者为准。</w:t>
      </w:r>
    </w:p>
    <w:p>
      <w:pPr>
        <w:keepNext w:val="0"/>
        <w:keepLines w:val="0"/>
        <w:pageBreakBefore w:val="0"/>
        <w:kinsoku/>
        <w:wordWrap/>
        <w:overflowPunct/>
        <w:topLinePunct w:val="0"/>
        <w:autoSpaceDE/>
        <w:autoSpaceDN/>
        <w:bidi w:val="0"/>
        <w:spacing w:beforeLines="0" w:line="600" w:lineRule="exact"/>
        <w:jc w:val="left"/>
        <w:textAlignment w:val="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 xml:space="preserve">2.3地点：□建设地点  □交货地点  </w:t>
      </w:r>
      <w:r>
        <w:rPr>
          <w:rFonts w:hint="eastAsia" w:ascii="仿宋_GB2312" w:hAnsi="仿宋_GB2312" w:eastAsia="仿宋_GB2312" w:cs="仿宋_GB2312"/>
          <w:sz w:val="28"/>
          <w:szCs w:val="28"/>
          <w:highlight w:val="none"/>
        </w:rPr>
        <w:sym w:font="Wingdings 2" w:char="0052"/>
      </w:r>
      <w:r>
        <w:rPr>
          <w:rFonts w:hint="eastAsia" w:ascii="仿宋_GB2312" w:hAnsi="仿宋_GB2312" w:eastAsia="仿宋_GB2312" w:cs="仿宋_GB2312"/>
          <w:sz w:val="28"/>
          <w:szCs w:val="28"/>
          <w:highlight w:val="none"/>
        </w:rPr>
        <w:t>服务地点位于</w:t>
      </w:r>
      <w:r>
        <w:rPr>
          <w:rFonts w:hint="eastAsia" w:ascii="仿宋_GB2312" w:hAnsi="仿宋_GB2312" w:eastAsia="仿宋_GB2312" w:cs="仿宋_GB2312"/>
          <w:sz w:val="28"/>
          <w:szCs w:val="28"/>
          <w:highlight w:val="none"/>
          <w:u w:val="single"/>
        </w:rPr>
        <w:t>广州市净水有限公司</w:t>
      </w:r>
      <w:r>
        <w:rPr>
          <w:rFonts w:hint="eastAsia" w:ascii="仿宋_GB2312" w:hAnsi="仿宋_GB2312" w:eastAsia="仿宋_GB2312" w:cs="仿宋_GB2312"/>
          <w:color w:val="000000"/>
          <w:sz w:val="28"/>
          <w:szCs w:val="28"/>
          <w:highlight w:val="none"/>
          <w:u w:val="single"/>
        </w:rPr>
        <w:t>指定的净水厂</w:t>
      </w:r>
      <w:r>
        <w:rPr>
          <w:rFonts w:hint="eastAsia" w:ascii="仿宋_GB2312" w:hAnsi="仿宋_GB2312" w:eastAsia="仿宋_GB2312" w:cs="仿宋_GB2312"/>
          <w:sz w:val="28"/>
          <w:szCs w:val="28"/>
          <w:highlight w:val="none"/>
          <w:u w:val="single"/>
        </w:rPr>
        <w:t>。</w:t>
      </w:r>
    </w:p>
    <w:p>
      <w:pPr>
        <w:keepNext w:val="0"/>
        <w:keepLines w:val="0"/>
        <w:pageBreakBefore w:val="0"/>
        <w:kinsoku/>
        <w:wordWrap/>
        <w:overflowPunct/>
        <w:topLinePunct w:val="0"/>
        <w:autoSpaceDE/>
        <w:autoSpaceDN/>
        <w:bidi w:val="0"/>
        <w:adjustRightInd/>
        <w:snapToGrid/>
        <w:spacing w:beforeLines="0" w:line="600" w:lineRule="exact"/>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2.4质量要求：□施工质量要求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 xml:space="preserve">货物质量标准或主要技术性能指标  </w:t>
      </w:r>
      <w:r>
        <w:rPr>
          <w:rFonts w:hint="eastAsia" w:ascii="仿宋_GB2312" w:hAnsi="仿宋_GB2312" w:eastAsia="仿宋_GB2312" w:cs="仿宋_GB2312"/>
          <w:sz w:val="28"/>
          <w:szCs w:val="28"/>
          <w:highlight w:val="none"/>
        </w:rPr>
        <w:sym w:font="Wingdings 2" w:char="0052"/>
      </w:r>
      <w:r>
        <w:rPr>
          <w:rFonts w:hint="eastAsia" w:ascii="仿宋_GB2312" w:hAnsi="仿宋_GB2312" w:eastAsia="仿宋_GB2312" w:cs="仿宋_GB2312"/>
          <w:sz w:val="28"/>
          <w:szCs w:val="28"/>
          <w:highlight w:val="none"/>
        </w:rPr>
        <w:t>服务质量要求或服务标准如下：</w:t>
      </w:r>
      <w:r>
        <w:rPr>
          <w:rFonts w:hint="eastAsia" w:ascii="仿宋_GB2312" w:hAnsi="仿宋_GB2312" w:eastAsia="仿宋_GB2312" w:cs="仿宋_GB2312"/>
          <w:sz w:val="28"/>
          <w:szCs w:val="28"/>
          <w:highlight w:val="none"/>
          <w:u w:val="single"/>
        </w:rPr>
        <w:t xml:space="preserve">详见合同附件  </w:t>
      </w:r>
      <w:r>
        <w:rPr>
          <w:rFonts w:hint="eastAsia" w:ascii="仿宋_GB2312" w:hAnsi="仿宋_GB2312" w:eastAsia="仿宋_GB2312" w:cs="仿宋_GB2312"/>
          <w:sz w:val="28"/>
          <w:szCs w:val="28"/>
          <w:highlight w:val="none"/>
        </w:rPr>
        <w:t xml:space="preserve"> </w:t>
      </w:r>
    </w:p>
    <w:p>
      <w:pPr>
        <w:keepNext w:val="0"/>
        <w:keepLines w:val="0"/>
        <w:pageBreakBefore w:val="0"/>
        <w:kinsoku/>
        <w:wordWrap/>
        <w:overflowPunct/>
        <w:topLinePunct w:val="0"/>
        <w:autoSpaceDE/>
        <w:autoSpaceDN/>
        <w:bidi w:val="0"/>
        <w:adjustRightInd/>
        <w:snapToGrid/>
        <w:spacing w:beforeLines="0" w:line="600" w:lineRule="exact"/>
        <w:ind w:left="0" w:right="0" w:rightChars="0" w:hanging="420" w:hangingChars="15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2.5其他：</w:t>
      </w:r>
      <w:r>
        <w:rPr>
          <w:rFonts w:hint="eastAsia" w:ascii="仿宋_GB2312" w:hAnsi="仿宋_GB2312" w:eastAsia="仿宋_GB2312" w:cs="仿宋_GB2312"/>
          <w:sz w:val="28"/>
          <w:szCs w:val="28"/>
          <w:highlight w:val="none"/>
        </w:rPr>
        <w:sym w:font="Wingdings 2" w:char="0052"/>
      </w:r>
      <w:r>
        <w:rPr>
          <w:rFonts w:hint="eastAsia" w:ascii="仿宋_GB2312" w:hAnsi="仿宋_GB2312" w:eastAsia="仿宋_GB2312" w:cs="仿宋_GB2312"/>
          <w:sz w:val="28"/>
          <w:szCs w:val="28"/>
          <w:highlight w:val="none"/>
        </w:rPr>
        <w:t>安全目标如下：</w:t>
      </w:r>
      <w:r>
        <w:rPr>
          <w:rFonts w:hint="eastAsia" w:ascii="仿宋_GB2312" w:hAnsi="仿宋_GB2312" w:eastAsia="仿宋_GB2312" w:cs="仿宋_GB2312"/>
          <w:sz w:val="28"/>
          <w:szCs w:val="28"/>
          <w:highlight w:val="none"/>
          <w:u w:val="single"/>
        </w:rPr>
        <w:t xml:space="preserve">  详见合同附件</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Theme="minorEastAsia" w:hAnsiTheme="minorEastAsia"/>
          <w:b/>
          <w:sz w:val="32"/>
          <w:szCs w:val="32"/>
          <w:highlight w:val="none"/>
        </w:rPr>
      </w:pPr>
      <w:r>
        <w:rPr>
          <w:rFonts w:hint="eastAsia" w:asciiTheme="minorEastAsia" w:hAnsiTheme="minorEastAsia"/>
          <w:b/>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2019年1月1日至今，供应商最少承担过一项生态环境或微生物领域的技术合同，或牵头承担过一项生态环境或微生物领域的来源于区、县级（或以上）政府部门发布的科技项目的业绩。业绩需提供技术合同，或科技项目的任务书，业绩时间以合同/任务书签订时间为准。</w:t>
      </w:r>
      <w:r>
        <w:rPr>
          <w:rFonts w:hint="eastAsia" w:ascii="仿宋_GB2312" w:eastAsia="仿宋_GB2312"/>
          <w:color w:val="auto"/>
          <w:sz w:val="28"/>
          <w:szCs w:val="28"/>
          <w:highlight w:val="none"/>
        </w:rPr>
        <w:t>（提供合同复印件证明，包括但不限于项目名称、金额及实施内容、合同盖章、签订日期，加盖单位公章）</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highlight w:val="none"/>
        </w:rPr>
      </w:pPr>
      <w:r>
        <w:rPr>
          <w:rFonts w:ascii="仿宋_GB2312" w:hAnsi="仿宋_GB2312" w:eastAsia="仿宋_GB2312" w:cs="仿宋_GB2312"/>
          <w:sz w:val="28"/>
          <w:szCs w:val="28"/>
          <w:highlight w:val="none"/>
        </w:rPr>
        <w:sym w:font="Wingdings 2" w:char="0052"/>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w:t>
      </w:r>
      <w:r>
        <w:rPr>
          <w:rFonts w:hint="eastAsia" w:ascii="仿宋_GB2312" w:hAnsi="仿宋_GB2312" w:eastAsia="仿宋_GB2312" w:cs="仿宋_GB2312"/>
          <w:sz w:val="28"/>
          <w:szCs w:val="28"/>
          <w:highlight w:val="none"/>
        </w:rPr>
        <w:t>项目负责人应当具备</w:t>
      </w:r>
      <w:r>
        <w:rPr>
          <w:rFonts w:hint="eastAsia" w:ascii="仿宋_GB2312" w:hAnsi="仿宋_GB2312" w:eastAsia="仿宋_GB2312" w:cs="仿宋_GB2312"/>
          <w:sz w:val="28"/>
          <w:szCs w:val="28"/>
          <w:highlight w:val="none"/>
          <w:u w:val="single"/>
        </w:rPr>
        <w:t xml:space="preserve"> 环境/生物类中级及以上职称或环境/生物类专业博士研究生学历 </w:t>
      </w:r>
      <w:r>
        <w:rPr>
          <w:rFonts w:hint="eastAsia" w:ascii="仿宋_GB2312" w:hAnsi="仿宋_GB2312" w:eastAsia="仿宋_GB2312" w:cs="仿宋_GB2312"/>
          <w:sz w:val="28"/>
          <w:szCs w:val="28"/>
          <w:highlight w:val="none"/>
        </w:rPr>
        <w:t>资格条件。。</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28"/>
          <w:szCs w:val="28"/>
          <w:highlight w:val="none"/>
        </w:rPr>
      </w:pPr>
      <w:r>
        <w:rPr>
          <w:rFonts w:hint="eastAsia" w:ascii="仿宋_GB2312" w:eastAsia="仿宋_GB2312"/>
          <w:sz w:val="28"/>
          <w:szCs w:val="28"/>
          <w:highlight w:val="none"/>
        </w:rPr>
        <w:sym w:font="Wingdings 2" w:char="0052"/>
      </w:r>
      <w:r>
        <w:rPr>
          <w:rFonts w:hint="eastAsia" w:ascii="仿宋_GB2312" w:hAnsi="仿宋_GB2312" w:eastAsia="仿宋_GB2312" w:cs="仿宋_GB2312"/>
          <w:sz w:val="28"/>
          <w:szCs w:val="28"/>
          <w:highlight w:val="none"/>
        </w:rPr>
        <w:t>（5）其他要求：</w:t>
      </w:r>
    </w:p>
    <w:p>
      <w:pPr>
        <w:keepNext w:val="0"/>
        <w:keepLines w:val="0"/>
        <w:pageBreakBefore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撰写《广州市净水有限公司污水处理系统进水水质生物毒性监测设备研发计划》。研究计划需结合“第五章 采购需求 第一部分 项目概况”内容进行编制，并加盖单位公章。</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3.2供应商在响应文件提交截止日期止不得存在下列情形之一（须出具不得存在情形承诺函）：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keepNext w:val="0"/>
        <w:keepLines w:val="0"/>
        <w:pageBreakBefore w:val="0"/>
        <w:kinsoku/>
        <w:wordWrap/>
        <w:overflowPunct/>
        <w:topLinePunct w:val="0"/>
        <w:autoSpaceDE/>
        <w:autoSpaceDN/>
        <w:bidi w:val="0"/>
        <w:adjustRightInd w:val="0"/>
        <w:snapToGrid w:val="0"/>
        <w:spacing w:line="600" w:lineRule="exact"/>
        <w:ind w:firstLine="420" w:firstLineChars="150"/>
        <w:jc w:val="left"/>
        <w:textAlignment w:val="auto"/>
        <w:rPr>
          <w:rFonts w:ascii="仿宋_GB2312" w:hAnsi="仿宋_GB2312" w:eastAsia="仿宋_GB2312" w:cs="仿宋_GB2312"/>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3.3本次项目</w:t>
      </w:r>
      <w:r>
        <w:rPr>
          <w:rFonts w:hint="eastAsia" w:ascii="仿宋_GB2312" w:hAnsi="仿宋_GB2312" w:eastAsia="仿宋_GB2312" w:cs="仿宋_GB2312"/>
          <w:sz w:val="28"/>
          <w:szCs w:val="28"/>
          <w:highlight w:val="none"/>
          <w:u w:val="single"/>
        </w:rPr>
        <w:t>不接受</w:t>
      </w:r>
      <w:r>
        <w:rPr>
          <w:rFonts w:hint="eastAsia" w:ascii="仿宋_GB2312" w:hAnsi="仿宋_GB2312" w:eastAsia="仿宋_GB2312" w:cs="仿宋_GB2312"/>
          <w:sz w:val="28"/>
          <w:szCs w:val="28"/>
          <w:highlight w:val="none"/>
        </w:rPr>
        <w:t>联合体参加采购活动</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keepNext w:val="0"/>
        <w:keepLines w:val="0"/>
        <w:pageBreakBefore w:val="0"/>
        <w:kinsoku/>
        <w:wordWrap/>
        <w:overflowPunct/>
        <w:topLinePunct w:val="0"/>
        <w:autoSpaceDE/>
        <w:autoSpaceDN/>
        <w:bidi w:val="0"/>
        <w:spacing w:line="600" w:lineRule="exact"/>
        <w:jc w:val="left"/>
        <w:textAlignment w:val="auto"/>
        <w:rPr>
          <w:rFonts w:ascii="仿宋_GB2312" w:eastAsia="仿宋_GB2312"/>
          <w:sz w:val="28"/>
          <w:szCs w:val="28"/>
          <w:highlight w:val="none"/>
        </w:rPr>
      </w:pPr>
      <w:r>
        <w:rPr>
          <w:rFonts w:hint="eastAsia" w:ascii="仿宋_GB2312" w:eastAsia="仿宋_GB2312"/>
          <w:sz w:val="28"/>
          <w:szCs w:val="28"/>
          <w:highlight w:val="none"/>
        </w:rPr>
        <w:t>4.1获取时间</w:t>
      </w:r>
    </w:p>
    <w:p>
      <w:pPr>
        <w:keepNext w:val="0"/>
        <w:keepLines w:val="0"/>
        <w:pageBreakBefore w:val="0"/>
        <w:kinsoku/>
        <w:wordWrap/>
        <w:overflowPunct/>
        <w:topLinePunct w:val="0"/>
        <w:autoSpaceDE/>
        <w:autoSpaceDN/>
        <w:bidi w:val="0"/>
        <w:spacing w:line="600" w:lineRule="exact"/>
        <w:ind w:firstLine="555"/>
        <w:jc w:val="left"/>
        <w:textAlignment w:val="auto"/>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2024</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7</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2024</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7</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日（北京时间）</w:t>
      </w:r>
    </w:p>
    <w:p>
      <w:pPr>
        <w:keepNext w:val="0"/>
        <w:keepLines w:val="0"/>
        <w:pageBreakBefore w:val="0"/>
        <w:kinsoku/>
        <w:wordWrap/>
        <w:overflowPunct/>
        <w:topLinePunct w:val="0"/>
        <w:autoSpaceDE/>
        <w:autoSpaceDN/>
        <w:bidi w:val="0"/>
        <w:spacing w:line="600" w:lineRule="exact"/>
        <w:jc w:val="left"/>
        <w:textAlignment w:val="auto"/>
        <w:rPr>
          <w:rFonts w:ascii="仿宋_GB2312" w:eastAsia="仿宋_GB2312"/>
          <w:sz w:val="28"/>
          <w:szCs w:val="28"/>
          <w:highlight w:val="none"/>
        </w:rPr>
      </w:pPr>
      <w:r>
        <w:rPr>
          <w:rFonts w:hint="eastAsia" w:ascii="仿宋_GB2312" w:eastAsia="仿宋_GB2312"/>
          <w:sz w:val="28"/>
          <w:szCs w:val="28"/>
          <w:highlight w:val="none"/>
        </w:rPr>
        <w:t>4.2获取方式</w:t>
      </w:r>
    </w:p>
    <w:p>
      <w:pPr>
        <w:keepNext w:val="0"/>
        <w:keepLines w:val="0"/>
        <w:pageBreakBefore w:val="0"/>
        <w:kinsoku/>
        <w:wordWrap/>
        <w:overflowPunct/>
        <w:topLinePunct w:val="0"/>
        <w:autoSpaceDE/>
        <w:autoSpaceDN/>
        <w:bidi w:val="0"/>
        <w:spacing w:line="600" w:lineRule="exact"/>
        <w:ind w:firstLine="560" w:firstLineChars="200"/>
        <w:jc w:val="left"/>
        <w:textAlignment w:val="auto"/>
        <w:rPr>
          <w:rFonts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rPr>
        <w:t>广州市净水有限公司门户网站</w:t>
      </w:r>
      <w:r>
        <w:rPr>
          <w:rFonts w:hint="eastAsia" w:ascii="仿宋_GB2312" w:eastAsia="仿宋_GB2312"/>
          <w:sz w:val="28"/>
          <w:szCs w:val="28"/>
          <w:highlight w:val="none"/>
        </w:rPr>
        <w:t>下载采购文件，无需报名。</w:t>
      </w:r>
    </w:p>
    <w:p>
      <w:pPr>
        <w:keepNext w:val="0"/>
        <w:keepLines w:val="0"/>
        <w:pageBreakBefore w:val="0"/>
        <w:numPr>
          <w:ilvl w:val="0"/>
          <w:numId w:val="2"/>
        </w:numPr>
        <w:kinsoku/>
        <w:wordWrap/>
        <w:overflowPunct/>
        <w:topLinePunct w:val="0"/>
        <w:autoSpaceDE/>
        <w:autoSpaceDN/>
        <w:bidi w:val="0"/>
        <w:adjustRightInd w:val="0"/>
        <w:snapToGrid w:val="0"/>
        <w:spacing w:line="600" w:lineRule="exact"/>
        <w:jc w:val="left"/>
        <w:textAlignment w:val="auto"/>
        <w:rPr>
          <w:rFonts w:asciiTheme="minorEastAsia" w:hAnsiTheme="minorEastAsia"/>
          <w:b/>
          <w:sz w:val="32"/>
          <w:szCs w:val="32"/>
          <w:highlight w:val="none"/>
        </w:rPr>
      </w:pPr>
      <w:r>
        <w:rPr>
          <w:rFonts w:hint="eastAsia" w:asciiTheme="minorEastAsia" w:hAnsiTheme="minorEastAsia"/>
          <w:b/>
          <w:sz w:val="32"/>
          <w:szCs w:val="32"/>
          <w:highlight w:val="none"/>
        </w:rPr>
        <w:t>踏勘现场</w:t>
      </w:r>
    </w:p>
    <w:p>
      <w:pPr>
        <w:keepNext w:val="0"/>
        <w:keepLines w:val="0"/>
        <w:pageBreakBefore w:val="0"/>
        <w:kinsoku/>
        <w:wordWrap/>
        <w:overflowPunct/>
        <w:topLinePunct w:val="0"/>
        <w:autoSpaceDE/>
        <w:autoSpaceDN/>
        <w:bidi w:val="0"/>
        <w:spacing w:line="600" w:lineRule="exact"/>
        <w:ind w:firstLine="560" w:firstLineChars="200"/>
        <w:textAlignment w:val="auto"/>
        <w:rPr>
          <w:rFonts w:ascii="仿宋_GB2312" w:eastAsia="仿宋_GB2312"/>
          <w:sz w:val="28"/>
          <w:szCs w:val="28"/>
          <w:highlight w:val="none"/>
        </w:rPr>
      </w:pPr>
      <w:bookmarkStart w:id="16" w:name="_Hlk155865049"/>
      <w:r>
        <w:rPr>
          <w:rFonts w:ascii="仿宋" w:hAnsi="仿宋" w:eastAsia="仿宋" w:cs="仿宋"/>
          <w:sz w:val="28"/>
          <w:szCs w:val="28"/>
          <w:highlight w:val="none"/>
        </w:rPr>
        <w:sym w:font="Wingdings 2" w:char="0052"/>
      </w:r>
      <w:bookmarkEnd w:id="16"/>
      <w:r>
        <w:rPr>
          <w:rFonts w:hint="eastAsia" w:ascii="仿宋_GB2312" w:eastAsia="仿宋_GB2312"/>
          <w:sz w:val="28"/>
          <w:szCs w:val="28"/>
          <w:highlight w:val="none"/>
        </w:rPr>
        <w:t>不组织</w:t>
      </w:r>
    </w:p>
    <w:p>
      <w:pPr>
        <w:keepNext w:val="0"/>
        <w:keepLines w:val="0"/>
        <w:pageBreakBefore w:val="0"/>
        <w:kinsoku/>
        <w:wordWrap/>
        <w:overflowPunct/>
        <w:topLinePunct w:val="0"/>
        <w:autoSpaceDE/>
        <w:autoSpaceDN/>
        <w:bidi w:val="0"/>
        <w:spacing w:line="600" w:lineRule="exact"/>
        <w:ind w:firstLine="560" w:firstLineChars="200"/>
        <w:textAlignment w:val="auto"/>
        <w:rPr>
          <w:rFonts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组织：</w:t>
      </w:r>
      <w:r>
        <w:rPr>
          <w:rFonts w:hint="eastAsia" w:ascii="仿宋_GB2312" w:hAnsi="仿宋" w:eastAsia="仿宋_GB2312" w:cs="仿宋_GB2312"/>
          <w:color w:val="000000" w:themeColor="text1"/>
          <w:sz w:val="28"/>
          <w:szCs w:val="28"/>
          <w:highlight w:val="none"/>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keepNext w:val="0"/>
        <w:keepLines w:val="0"/>
        <w:pageBreakBefore w:val="0"/>
        <w:numPr>
          <w:ilvl w:val="0"/>
          <w:numId w:val="2"/>
        </w:numPr>
        <w:kinsoku/>
        <w:wordWrap/>
        <w:overflowPunct/>
        <w:topLinePunct w:val="0"/>
        <w:autoSpaceDE/>
        <w:autoSpaceDN/>
        <w:bidi w:val="0"/>
        <w:adjustRightInd w:val="0"/>
        <w:snapToGrid w:val="0"/>
        <w:spacing w:line="600" w:lineRule="exact"/>
        <w:jc w:val="left"/>
        <w:textAlignment w:val="auto"/>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2024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7</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7</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u w:val="single"/>
          <w:lang w:val="en-US" w:eastAsia="zh-CN"/>
        </w:rPr>
        <w:t>广州市天河区临江大道501号广州市净水有限公司6楼招标部</w:t>
      </w:r>
      <w:r>
        <w:rPr>
          <w:rFonts w:hint="eastAsia" w:ascii="仿宋_GB2312" w:eastAsia="仿宋_GB2312"/>
          <w:color w:val="auto"/>
          <w:sz w:val="28"/>
          <w:szCs w:val="28"/>
          <w:highlight w:val="none"/>
        </w:rPr>
        <w:t>。</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Theme="minorEastAsia" w:hAnsiTheme="minorEastAsia"/>
          <w:b/>
          <w:sz w:val="32"/>
          <w:szCs w:val="32"/>
          <w:highlight w:val="none"/>
        </w:rPr>
      </w:pPr>
      <w:r>
        <w:rPr>
          <w:rFonts w:hint="eastAsia" w:asciiTheme="minorEastAsia" w:hAnsiTheme="minorEastAsia"/>
          <w:b/>
          <w:sz w:val="32"/>
          <w:szCs w:val="32"/>
          <w:highlight w:val="none"/>
        </w:rPr>
        <w:t>7.其他</w:t>
      </w:r>
    </w:p>
    <w:p>
      <w:pPr>
        <w:keepNext w:val="0"/>
        <w:keepLines w:val="0"/>
        <w:pageBreakBefore w:val="0"/>
        <w:kinsoku/>
        <w:wordWrap/>
        <w:overflowPunct/>
        <w:topLinePunct w:val="0"/>
        <w:autoSpaceDE/>
        <w:autoSpaceDN/>
        <w:bidi w:val="0"/>
        <w:spacing w:line="600" w:lineRule="exact"/>
        <w:jc w:val="left"/>
        <w:textAlignment w:val="auto"/>
        <w:rPr>
          <w:rFonts w:ascii="仿宋_GB2312" w:eastAsia="仿宋_GB2312"/>
          <w:sz w:val="28"/>
          <w:szCs w:val="28"/>
          <w:highlight w:val="none"/>
        </w:rPr>
      </w:pPr>
      <w:r>
        <w:rPr>
          <w:rFonts w:hint="eastAsia" w:ascii="仿宋_GB2312" w:eastAsia="仿宋_GB2312"/>
          <w:sz w:val="28"/>
          <w:szCs w:val="28"/>
          <w:highlight w:val="none"/>
        </w:rPr>
        <w:t>7.1发布公告的其他媒介</w:t>
      </w:r>
    </w:p>
    <w:p>
      <w:pPr>
        <w:keepNext w:val="0"/>
        <w:keepLines w:val="0"/>
        <w:pageBreakBefore w:val="0"/>
        <w:kinsoku/>
        <w:wordWrap/>
        <w:overflowPunct/>
        <w:topLinePunct w:val="0"/>
        <w:autoSpaceDE/>
        <w:autoSpaceDN/>
        <w:bidi w:val="0"/>
        <w:spacing w:line="600" w:lineRule="exact"/>
        <w:ind w:firstLine="555"/>
        <w:textAlignment w:val="auto"/>
        <w:rPr>
          <w:rFonts w:ascii="仿宋_GB2312" w:hAnsi="Calibri" w:eastAsia="仿宋_GB2312" w:cs="Times New Roman"/>
          <w:sz w:val="28"/>
          <w:szCs w:val="28"/>
          <w:highlight w:val="none"/>
        </w:rPr>
      </w:pPr>
      <w:r>
        <w:rPr>
          <w:rFonts w:hint="eastAsia" w:ascii="仿宋_GB2312" w:eastAsia="仿宋_GB2312"/>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sz w:val="28"/>
          <w:szCs w:val="28"/>
          <w:highlight w:val="none"/>
        </w:rPr>
        <w:t>本公告在各媒体发布的文本如有不同之处，以广州净水公司门户网站为准。</w:t>
      </w:r>
    </w:p>
    <w:p>
      <w:pPr>
        <w:keepNext w:val="0"/>
        <w:keepLines w:val="0"/>
        <w:pageBreakBefore w:val="0"/>
        <w:kinsoku/>
        <w:wordWrap/>
        <w:overflowPunct/>
        <w:topLinePunct w:val="0"/>
        <w:autoSpaceDE/>
        <w:autoSpaceDN/>
        <w:bidi w:val="0"/>
        <w:spacing w:line="600" w:lineRule="exact"/>
        <w:jc w:val="left"/>
        <w:textAlignment w:val="auto"/>
        <w:rPr>
          <w:rFonts w:ascii="仿宋_GB2312" w:eastAsia="仿宋_GB2312"/>
          <w:sz w:val="28"/>
          <w:szCs w:val="28"/>
          <w:highlight w:val="none"/>
        </w:rPr>
      </w:pPr>
      <w:r>
        <w:rPr>
          <w:rFonts w:hint="eastAsia" w:ascii="仿宋_GB2312" w:eastAsia="仿宋_GB2312"/>
          <w:sz w:val="28"/>
          <w:szCs w:val="28"/>
          <w:highlight w:val="none"/>
        </w:rPr>
        <w:t>7.2响应文件递交注意事项</w:t>
      </w:r>
    </w:p>
    <w:p>
      <w:pPr>
        <w:keepNext w:val="0"/>
        <w:keepLines w:val="0"/>
        <w:pageBreakBefore w:val="0"/>
        <w:kinsoku/>
        <w:wordWrap/>
        <w:overflowPunct/>
        <w:topLinePunct w:val="0"/>
        <w:autoSpaceDE/>
        <w:autoSpaceDN/>
        <w:bidi w:val="0"/>
        <w:spacing w:line="600" w:lineRule="exact"/>
        <w:ind w:firstLine="560" w:firstLineChars="200"/>
        <w:jc w:val="left"/>
        <w:textAlignment w:val="auto"/>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keepNext w:val="0"/>
        <w:keepLines w:val="0"/>
        <w:pageBreakBefore w:val="0"/>
        <w:kinsoku/>
        <w:wordWrap/>
        <w:overflowPunct/>
        <w:topLinePunct w:val="0"/>
        <w:autoSpaceDE/>
        <w:autoSpaceDN/>
        <w:bidi w:val="0"/>
        <w:spacing w:line="600" w:lineRule="exact"/>
        <w:ind w:firstLine="560" w:firstLineChars="200"/>
        <w:jc w:val="left"/>
        <w:textAlignment w:val="auto"/>
        <w:rPr>
          <w:rFonts w:ascii="仿宋_GB2312" w:eastAsia="仿宋_GB2312"/>
          <w:sz w:val="28"/>
          <w:szCs w:val="28"/>
          <w:highlight w:val="none"/>
        </w:rPr>
      </w:pPr>
      <w:r>
        <w:rPr>
          <w:rFonts w:hint="eastAsia" w:ascii="仿宋_GB2312" w:eastAsia="仿宋_GB2312"/>
          <w:sz w:val="28"/>
          <w:szCs w:val="28"/>
          <w:highlight w:val="none"/>
        </w:rPr>
        <w:t>（2）不按照采购文件要求密封的响应文件，采购人将予以拒收。</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textAlignment w:val="auto"/>
        <w:rPr>
          <w:rFonts w:asciiTheme="minorEastAsia" w:hAnsiTheme="minorEastAsia"/>
          <w:b/>
          <w:sz w:val="32"/>
          <w:szCs w:val="32"/>
          <w:highlight w:val="none"/>
        </w:rPr>
      </w:pPr>
      <w:r>
        <w:rPr>
          <w:rFonts w:hint="eastAsia" w:asciiTheme="minorEastAsia" w:hAnsiTheme="minorEastAsia"/>
          <w:b/>
          <w:sz w:val="32"/>
          <w:szCs w:val="32"/>
          <w:highlight w:val="none"/>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keepNext w:val="0"/>
        <w:keepLines w:val="0"/>
        <w:pageBreakBefore w:val="0"/>
        <w:widowControl/>
        <w:shd w:val="clear" w:color="auto" w:fill="FFFFFF"/>
        <w:kinsoku/>
        <w:wordWrap/>
        <w:overflowPunct/>
        <w:topLinePunct w:val="0"/>
        <w:autoSpaceDE/>
        <w:autoSpaceDN/>
        <w:bidi w:val="0"/>
        <w:spacing w:line="600" w:lineRule="exact"/>
        <w:ind w:firstLine="618" w:firstLineChars="221"/>
        <w:textAlignment w:val="auto"/>
        <w:rPr>
          <w:rFonts w:ascii="仿宋_GB2312" w:hAnsi="仿宋" w:eastAsia="仿宋_GB2312"/>
          <w:sz w:val="28"/>
          <w:szCs w:val="28"/>
          <w:highlight w:val="none"/>
        </w:rPr>
      </w:pPr>
      <w:r>
        <w:rPr>
          <w:rFonts w:ascii="仿宋_GB2312" w:hAnsi="仿宋" w:eastAsia="仿宋_GB2312"/>
          <w:sz w:val="28"/>
          <w:szCs w:val="28"/>
          <w:highlight w:val="none"/>
        </w:rPr>
        <w:t>潜在供应商或利害关系人对本</w:t>
      </w:r>
      <w:r>
        <w:rPr>
          <w:rFonts w:hint="eastAsia" w:ascii="仿宋_GB2312" w:hAnsi="仿宋" w:eastAsia="仿宋_GB2312"/>
          <w:sz w:val="28"/>
          <w:szCs w:val="28"/>
          <w:highlight w:val="none"/>
        </w:rPr>
        <w:t>采购</w:t>
      </w:r>
      <w:r>
        <w:rPr>
          <w:rFonts w:ascii="仿宋_GB2312" w:hAnsi="仿宋" w:eastAsia="仿宋_GB2312"/>
          <w:sz w:val="28"/>
          <w:szCs w:val="28"/>
          <w:highlight w:val="none"/>
        </w:rPr>
        <w:t>公告及采购文件中任何违法及不公平内容有异议的，可以在提交</w:t>
      </w:r>
      <w:r>
        <w:rPr>
          <w:rFonts w:hint="eastAsia" w:ascii="仿宋_GB2312" w:hAnsi="仿宋" w:eastAsia="仿宋_GB2312"/>
          <w:sz w:val="28"/>
          <w:szCs w:val="28"/>
          <w:highlight w:val="none"/>
        </w:rPr>
        <w:t>响应文件截止之日</w:t>
      </w:r>
      <w:r>
        <w:rPr>
          <w:rFonts w:hint="eastAsia" w:ascii="仿宋_GB2312" w:hAnsi="仿宋" w:eastAsia="仿宋_GB2312"/>
          <w:sz w:val="28"/>
          <w:szCs w:val="28"/>
          <w:highlight w:val="none"/>
          <w:u w:val="single"/>
        </w:rPr>
        <w:t>2</w:t>
      </w:r>
      <w:r>
        <w:rPr>
          <w:rFonts w:hint="eastAsia" w:ascii="仿宋_GB2312" w:hAnsi="仿宋" w:eastAsia="仿宋_GB2312"/>
          <w:sz w:val="28"/>
          <w:szCs w:val="28"/>
          <w:highlight w:val="none"/>
        </w:rPr>
        <w:t>个工作日前</w:t>
      </w:r>
      <w:r>
        <w:rPr>
          <w:rFonts w:ascii="仿宋_GB2312" w:hAnsi="仿宋" w:eastAsia="仿宋_GB2312"/>
          <w:sz w:val="28"/>
          <w:szCs w:val="28"/>
          <w:highlight w:val="none"/>
        </w:rPr>
        <w:t>书面提出异议</w:t>
      </w:r>
      <w:r>
        <w:rPr>
          <w:rFonts w:hint="eastAsia" w:ascii="仿宋_GB2312" w:hAnsi="仿宋" w:eastAsia="仿宋_GB2312"/>
          <w:sz w:val="28"/>
          <w:szCs w:val="28"/>
          <w:highlight w:val="none"/>
        </w:rPr>
        <w:t>，并由授权人亲自递交至净水公司</w:t>
      </w:r>
      <w:r>
        <w:rPr>
          <w:rFonts w:ascii="仿宋_GB2312" w:hAnsi="仿宋" w:eastAsia="仿宋_GB2312"/>
          <w:sz w:val="28"/>
          <w:szCs w:val="28"/>
          <w:highlight w:val="none"/>
        </w:rPr>
        <w:t>。如潜在响应人或其他利害关系人对采购人答复仍持有异议的，可按相关规定进行投诉。</w:t>
      </w:r>
    </w:p>
    <w:p>
      <w:pPr>
        <w:keepNext w:val="0"/>
        <w:keepLines w:val="0"/>
        <w:pageBreakBefore w:val="0"/>
        <w:widowControl/>
        <w:shd w:val="clear" w:color="auto" w:fill="FFFFFF"/>
        <w:kinsoku/>
        <w:wordWrap/>
        <w:overflowPunct/>
        <w:topLinePunct w:val="0"/>
        <w:autoSpaceDE/>
        <w:autoSpaceDN/>
        <w:bidi w:val="0"/>
        <w:spacing w:line="600" w:lineRule="exact"/>
        <w:ind w:firstLine="480"/>
        <w:textAlignment w:val="auto"/>
        <w:rPr>
          <w:rFonts w:ascii="仿宋_GB2312" w:hAnsi="仿宋" w:eastAsia="仿宋_GB2312"/>
          <w:sz w:val="28"/>
          <w:szCs w:val="28"/>
          <w:highlight w:val="none"/>
        </w:rPr>
      </w:pPr>
      <w:r>
        <w:rPr>
          <w:rFonts w:ascii="仿宋_GB2312" w:hAnsi="仿宋" w:eastAsia="仿宋_GB2312"/>
          <w:sz w:val="28"/>
          <w:szCs w:val="28"/>
          <w:highlight w:val="none"/>
        </w:rPr>
        <w:t>异议受理部门：</w:t>
      </w:r>
      <w:r>
        <w:rPr>
          <w:rFonts w:hint="eastAsia" w:ascii="仿宋_GB2312" w:hAnsi="仿宋" w:eastAsia="仿宋_GB2312"/>
          <w:sz w:val="28"/>
          <w:szCs w:val="28"/>
          <w:highlight w:val="none"/>
          <w:u w:val="single"/>
        </w:rPr>
        <w:t>广州市净水有限公司招标部</w:t>
      </w:r>
      <w:r>
        <w:rPr>
          <w:rFonts w:ascii="仿宋_GB2312" w:hAnsi="仿宋" w:eastAsia="仿宋_GB2312"/>
          <w:sz w:val="28"/>
          <w:szCs w:val="28"/>
          <w:highlight w:val="none"/>
        </w:rPr>
        <w:t>，电话：</w:t>
      </w:r>
      <w:r>
        <w:rPr>
          <w:rFonts w:hint="eastAsia" w:ascii="仿宋_GB2312" w:hAnsi="仿宋" w:eastAsia="仿宋_GB2312"/>
          <w:sz w:val="28"/>
          <w:szCs w:val="28"/>
          <w:highlight w:val="none"/>
          <w:u w:val="single"/>
        </w:rPr>
        <w:t>38890</w:t>
      </w:r>
      <w:r>
        <w:rPr>
          <w:rFonts w:hint="eastAsia" w:ascii="仿宋_GB2312" w:hAnsi="仿宋" w:eastAsia="仿宋_GB2312"/>
          <w:sz w:val="28"/>
          <w:szCs w:val="28"/>
          <w:highlight w:val="none"/>
          <w:u w:val="single"/>
          <w:lang w:val="en-US" w:eastAsia="zh-CN"/>
        </w:rPr>
        <w:t>467</w:t>
      </w:r>
      <w:r>
        <w:rPr>
          <w:rFonts w:ascii="仿宋_GB2312" w:hAnsi="仿宋" w:eastAsia="仿宋_GB2312"/>
          <w:sz w:val="28"/>
          <w:szCs w:val="28"/>
          <w:highlight w:val="none"/>
        </w:rPr>
        <w:t>。</w:t>
      </w:r>
    </w:p>
    <w:p>
      <w:pPr>
        <w:keepNext w:val="0"/>
        <w:keepLines w:val="0"/>
        <w:pageBreakBefore w:val="0"/>
        <w:widowControl/>
        <w:shd w:val="clear" w:color="auto" w:fill="FFFFFF"/>
        <w:kinsoku/>
        <w:wordWrap/>
        <w:overflowPunct/>
        <w:topLinePunct w:val="0"/>
        <w:autoSpaceDE/>
        <w:autoSpaceDN/>
        <w:bidi w:val="0"/>
        <w:spacing w:line="600" w:lineRule="exact"/>
        <w:ind w:firstLine="480"/>
        <w:textAlignment w:val="auto"/>
        <w:rPr>
          <w:rFonts w:ascii="仿宋_GB2312" w:hAnsi="仿宋" w:eastAsia="仿宋_GB2312"/>
          <w:sz w:val="28"/>
          <w:szCs w:val="28"/>
          <w:highlight w:val="none"/>
        </w:rPr>
      </w:pPr>
      <w:r>
        <w:rPr>
          <w:rFonts w:ascii="仿宋_GB2312" w:hAnsi="仿宋" w:eastAsia="仿宋_GB2312"/>
          <w:sz w:val="28"/>
          <w:szCs w:val="28"/>
          <w:highlight w:val="none"/>
        </w:rPr>
        <w:t>地址：</w:t>
      </w:r>
      <w:r>
        <w:rPr>
          <w:rFonts w:hint="eastAsia" w:ascii="仿宋_GB2312" w:hAnsi="仿宋" w:eastAsia="仿宋_GB2312"/>
          <w:sz w:val="28"/>
          <w:szCs w:val="28"/>
          <w:highlight w:val="none"/>
          <w:u w:val="single"/>
        </w:rPr>
        <w:t>广州市天河区临江大道501号广州市净水有限公司</w:t>
      </w:r>
      <w:r>
        <w:rPr>
          <w:rFonts w:ascii="仿宋_GB2312" w:hAnsi="仿宋" w:eastAsia="仿宋_GB2312"/>
          <w:sz w:val="28"/>
          <w:szCs w:val="28"/>
          <w:highlight w:val="none"/>
        </w:rPr>
        <w:t>。</w:t>
      </w:r>
    </w:p>
    <w:p>
      <w:pPr>
        <w:keepNext w:val="0"/>
        <w:keepLines w:val="0"/>
        <w:pageBreakBefore w:val="0"/>
        <w:kinsoku/>
        <w:wordWrap/>
        <w:overflowPunct/>
        <w:topLinePunct w:val="0"/>
        <w:autoSpaceDE/>
        <w:autoSpaceDN/>
        <w:bidi w:val="0"/>
        <w:adjustRightInd w:val="0"/>
        <w:snapToGrid w:val="0"/>
        <w:spacing w:before="190" w:beforeLines="50" w:after="190" w:afterLines="50" w:line="600" w:lineRule="exact"/>
        <w:jc w:val="left"/>
        <w:textAlignment w:val="auto"/>
        <w:rPr>
          <w:rFonts w:hint="eastAsia" w:asciiTheme="minorEastAsia" w:hAnsiTheme="minorEastAsia"/>
          <w:b/>
          <w:sz w:val="32"/>
          <w:szCs w:val="32"/>
          <w:highlight w:val="none"/>
        </w:rPr>
      </w:pPr>
    </w:p>
    <w:p>
      <w:pPr>
        <w:keepNext w:val="0"/>
        <w:keepLines w:val="0"/>
        <w:pageBreakBefore w:val="0"/>
        <w:kinsoku/>
        <w:wordWrap/>
        <w:overflowPunct/>
        <w:topLinePunct w:val="0"/>
        <w:autoSpaceDE/>
        <w:autoSpaceDN/>
        <w:bidi w:val="0"/>
        <w:adjustRightInd w:val="0"/>
        <w:snapToGrid w:val="0"/>
        <w:spacing w:before="190" w:beforeLines="50" w:after="190" w:afterLines="50" w:line="600" w:lineRule="exact"/>
        <w:jc w:val="left"/>
        <w:textAlignment w:val="auto"/>
        <w:rPr>
          <w:rFonts w:hint="eastAsia" w:asciiTheme="minorEastAsia" w:hAnsiTheme="minorEastAsia"/>
          <w:b/>
          <w:sz w:val="32"/>
          <w:szCs w:val="32"/>
          <w:highlight w:val="none"/>
        </w:rPr>
      </w:pPr>
    </w:p>
    <w:p>
      <w:pPr>
        <w:keepNext w:val="0"/>
        <w:keepLines w:val="0"/>
        <w:pageBreakBefore w:val="0"/>
        <w:kinsoku/>
        <w:wordWrap/>
        <w:overflowPunct/>
        <w:topLinePunct w:val="0"/>
        <w:autoSpaceDE/>
        <w:autoSpaceDN/>
        <w:bidi w:val="0"/>
        <w:adjustRightInd w:val="0"/>
        <w:snapToGrid w:val="0"/>
        <w:spacing w:before="190" w:beforeLines="50" w:after="190" w:afterLines="50" w:line="600" w:lineRule="exact"/>
        <w:jc w:val="left"/>
        <w:textAlignment w:val="auto"/>
        <w:rPr>
          <w:rFonts w:hint="eastAsia" w:asciiTheme="minorEastAsia" w:hAnsiTheme="minorEastAsia"/>
          <w:b/>
          <w:sz w:val="32"/>
          <w:szCs w:val="32"/>
          <w:highlight w:val="none"/>
        </w:rPr>
      </w:pPr>
    </w:p>
    <w:p>
      <w:pPr>
        <w:keepNext w:val="0"/>
        <w:keepLines w:val="0"/>
        <w:pageBreakBefore w:val="0"/>
        <w:kinsoku/>
        <w:wordWrap/>
        <w:overflowPunct/>
        <w:topLinePunct w:val="0"/>
        <w:autoSpaceDE/>
        <w:autoSpaceDN/>
        <w:bidi w:val="0"/>
        <w:adjustRightInd w:val="0"/>
        <w:snapToGrid w:val="0"/>
        <w:spacing w:before="190" w:beforeLines="50" w:after="190" w:afterLines="50" w:line="600" w:lineRule="exact"/>
        <w:jc w:val="left"/>
        <w:textAlignment w:val="auto"/>
        <w:rPr>
          <w:rFonts w:hint="eastAsia" w:asciiTheme="minorEastAsia" w:hAnsiTheme="minorEastAsia"/>
          <w:b/>
          <w:sz w:val="32"/>
          <w:szCs w:val="32"/>
          <w:highlight w:val="none"/>
        </w:rPr>
      </w:pPr>
    </w:p>
    <w:p>
      <w:pPr>
        <w:keepNext w:val="0"/>
        <w:keepLines w:val="0"/>
        <w:pageBreakBefore w:val="0"/>
        <w:kinsoku/>
        <w:wordWrap/>
        <w:overflowPunct/>
        <w:topLinePunct w:val="0"/>
        <w:autoSpaceDE/>
        <w:autoSpaceDN/>
        <w:bidi w:val="0"/>
        <w:adjustRightInd w:val="0"/>
        <w:snapToGrid w:val="0"/>
        <w:spacing w:before="190" w:beforeLines="50" w:after="190" w:afterLines="50" w:line="600" w:lineRule="exact"/>
        <w:jc w:val="left"/>
        <w:textAlignment w:val="auto"/>
        <w:rPr>
          <w:rFonts w:hint="eastAsia" w:asciiTheme="minorEastAsia" w:hAnsiTheme="minorEastAsia"/>
          <w:b/>
          <w:sz w:val="32"/>
          <w:szCs w:val="32"/>
          <w:highlight w:val="none"/>
        </w:rPr>
      </w:pPr>
    </w:p>
    <w:p>
      <w:pPr>
        <w:keepNext w:val="0"/>
        <w:keepLines w:val="0"/>
        <w:pageBreakBefore w:val="0"/>
        <w:kinsoku/>
        <w:wordWrap/>
        <w:overflowPunct/>
        <w:topLinePunct w:val="0"/>
        <w:autoSpaceDE/>
        <w:autoSpaceDN/>
        <w:bidi w:val="0"/>
        <w:adjustRightInd w:val="0"/>
        <w:snapToGrid w:val="0"/>
        <w:spacing w:before="190" w:beforeLines="50" w:after="190" w:afterLines="50" w:line="600" w:lineRule="exact"/>
        <w:jc w:val="left"/>
        <w:textAlignment w:val="auto"/>
        <w:rPr>
          <w:rFonts w:asciiTheme="minorEastAsia" w:hAnsiTheme="minorEastAsia"/>
          <w:b/>
          <w:sz w:val="32"/>
          <w:szCs w:val="32"/>
          <w:highlight w:val="none"/>
        </w:rPr>
      </w:pPr>
      <w:r>
        <w:rPr>
          <w:rFonts w:hint="eastAsia" w:asciiTheme="minorEastAsia" w:hAnsiTheme="minorEastAsia"/>
          <w:b/>
          <w:sz w:val="32"/>
          <w:szCs w:val="32"/>
          <w:highlight w:val="none"/>
        </w:rPr>
        <w:t>9.联系方式</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pageBreakBefore w:val="0"/>
              <w:kinsoku/>
              <w:wordWrap/>
              <w:overflowPunct/>
              <w:topLinePunct w:val="0"/>
              <w:autoSpaceDE/>
              <w:autoSpaceDN/>
              <w:bidi w:val="0"/>
              <w:spacing w:line="600" w:lineRule="exact"/>
              <w:jc w:val="left"/>
              <w:textAlignment w:val="auto"/>
              <w:rPr>
                <w:rFonts w:ascii="仿宋_GB2312" w:eastAsia="仿宋_GB2312"/>
                <w:sz w:val="28"/>
                <w:szCs w:val="28"/>
                <w:highlight w:val="none"/>
              </w:rPr>
            </w:pPr>
            <w:r>
              <w:rPr>
                <w:rFonts w:hint="eastAsia" w:ascii="仿宋_GB2312" w:eastAsia="仿宋_GB2312"/>
                <w:sz w:val="28"/>
                <w:szCs w:val="28"/>
                <w:highlight w:val="none"/>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keepNext w:val="0"/>
              <w:keepLines w:val="0"/>
              <w:pageBreakBefore w:val="0"/>
              <w:kinsoku/>
              <w:wordWrap/>
              <w:overflowPunct/>
              <w:topLinePunct w:val="0"/>
              <w:autoSpaceDE/>
              <w:autoSpaceDN/>
              <w:bidi w:val="0"/>
              <w:spacing w:line="600" w:lineRule="exact"/>
              <w:jc w:val="left"/>
              <w:textAlignment w:val="auto"/>
              <w:rPr>
                <w:rFonts w:ascii="仿宋_GB2312" w:eastAsia="仿宋_GB2312"/>
                <w:sz w:val="28"/>
                <w:szCs w:val="28"/>
                <w:highlight w:val="none"/>
              </w:rPr>
            </w:pPr>
            <w:r>
              <w:rPr>
                <w:rFonts w:hint="eastAsia" w:ascii="仿宋_GB2312" w:eastAsia="仿宋_GB2312"/>
                <w:sz w:val="28"/>
                <w:szCs w:val="28"/>
                <w:highlight w:val="none"/>
              </w:rPr>
              <w:t>地</w:t>
            </w:r>
            <w:r>
              <w:rPr>
                <w:rFonts w:ascii="仿宋_GB2312" w:eastAsia="仿宋_GB2312"/>
                <w:sz w:val="28"/>
                <w:szCs w:val="28"/>
                <w:highlight w:val="none"/>
              </w:rPr>
              <w:t xml:space="preserve">  </w:t>
            </w:r>
            <w:r>
              <w:rPr>
                <w:rFonts w:hint="eastAsia" w:ascii="仿宋_GB2312" w:eastAsia="仿宋_GB2312"/>
                <w:sz w:val="28"/>
                <w:szCs w:val="28"/>
                <w:highlight w:val="none"/>
              </w:rPr>
              <w:t>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keepNext w:val="0"/>
              <w:keepLines w:val="0"/>
              <w:pageBreakBefore w:val="0"/>
              <w:kinsoku/>
              <w:wordWrap/>
              <w:overflowPunct/>
              <w:topLinePunct w:val="0"/>
              <w:autoSpaceDE/>
              <w:autoSpaceDN/>
              <w:bidi w:val="0"/>
              <w:spacing w:line="600" w:lineRule="exact"/>
              <w:jc w:val="left"/>
              <w:textAlignment w:val="auto"/>
              <w:rPr>
                <w:rFonts w:ascii="仿宋_GB2312" w:eastAsia="仿宋_GB2312"/>
                <w:sz w:val="28"/>
                <w:szCs w:val="28"/>
                <w:highlight w:val="none"/>
              </w:rPr>
            </w:pPr>
            <w:r>
              <w:rPr>
                <w:rFonts w:hint="eastAsia" w:ascii="仿宋_GB2312" w:eastAsia="仿宋_GB2312"/>
                <w:sz w:val="28"/>
                <w:szCs w:val="28"/>
                <w:highlight w:val="none"/>
              </w:rPr>
              <w:t>联系人：李工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keepNext w:val="0"/>
              <w:keepLines w:val="0"/>
              <w:pageBreakBefore w:val="0"/>
              <w:kinsoku/>
              <w:wordWrap/>
              <w:overflowPunct/>
              <w:topLinePunct w:val="0"/>
              <w:autoSpaceDE/>
              <w:autoSpaceDN/>
              <w:bidi w:val="0"/>
              <w:spacing w:line="600" w:lineRule="exact"/>
              <w:jc w:val="left"/>
              <w:textAlignment w:val="auto"/>
              <w:rPr>
                <w:rFonts w:ascii="仿宋_GB2312" w:eastAsia="仿宋_GB2312"/>
                <w:sz w:val="28"/>
                <w:szCs w:val="28"/>
                <w:highlight w:val="none"/>
              </w:rPr>
            </w:pPr>
            <w:r>
              <w:rPr>
                <w:rFonts w:hint="eastAsia" w:ascii="仿宋_GB2312" w:eastAsia="仿宋_GB2312"/>
                <w:sz w:val="28"/>
                <w:szCs w:val="28"/>
                <w:highlight w:val="none"/>
              </w:rPr>
              <w:t>电</w:t>
            </w:r>
            <w:r>
              <w:rPr>
                <w:rFonts w:ascii="仿宋_GB2312" w:eastAsia="仿宋_GB2312"/>
                <w:sz w:val="28"/>
                <w:szCs w:val="28"/>
                <w:highlight w:val="none"/>
              </w:rPr>
              <w:t xml:space="preserve">  </w:t>
            </w:r>
            <w:r>
              <w:rPr>
                <w:rFonts w:hint="eastAsia" w:ascii="仿宋_GB2312" w:eastAsia="仿宋_GB2312"/>
                <w:sz w:val="28"/>
                <w:szCs w:val="28"/>
                <w:highlight w:val="none"/>
              </w:rPr>
              <w:t>话：020-38890467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pageBreakBefore w:val="0"/>
              <w:kinsoku/>
              <w:wordWrap/>
              <w:overflowPunct/>
              <w:topLinePunct w:val="0"/>
              <w:autoSpaceDE/>
              <w:autoSpaceDN/>
              <w:bidi w:val="0"/>
              <w:spacing w:line="600" w:lineRule="exact"/>
              <w:jc w:val="left"/>
              <w:textAlignment w:val="auto"/>
              <w:rPr>
                <w:rFonts w:ascii="仿宋_GB2312" w:eastAsia="仿宋_GB2312"/>
                <w:sz w:val="28"/>
                <w:szCs w:val="28"/>
                <w:highlight w:val="none"/>
              </w:rPr>
            </w:pPr>
            <w:r>
              <w:rPr>
                <w:rFonts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ascii="仿宋_GB2312" w:eastAsia="仿宋_GB2312"/>
                <w:sz w:val="28"/>
                <w:szCs w:val="28"/>
                <w:highlight w:val="non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2024</w:t>
            </w:r>
            <w:r>
              <w:rPr>
                <w:rFonts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7</w:t>
            </w:r>
            <w:r>
              <w:rPr>
                <w:rFonts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3</w:t>
            </w:r>
            <w:r>
              <w:rPr>
                <w:rFonts w:ascii="仿宋_GB2312" w:eastAsia="仿宋_GB2312"/>
                <w:sz w:val="28"/>
                <w:szCs w:val="28"/>
                <w:highlight w:val="none"/>
                <w:u w:val="single"/>
              </w:rPr>
              <w:t xml:space="preserve"> </w:t>
            </w:r>
            <w:r>
              <w:rPr>
                <w:rFonts w:hint="eastAsia" w:ascii="仿宋_GB2312" w:eastAsia="仿宋_GB2312"/>
                <w:sz w:val="28"/>
                <w:szCs w:val="28"/>
                <w:highlight w:val="none"/>
              </w:rPr>
              <w:t>日</w:t>
            </w:r>
          </w:p>
        </w:tc>
      </w:tr>
    </w:tbl>
    <w:p>
      <w:pPr>
        <w:pStyle w:val="5"/>
        <w:rPr>
          <w:highlight w:val="none"/>
        </w:rPr>
      </w:pPr>
      <w:r>
        <w:rPr>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第二章</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供应商须知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适用于纸质评审的采购项目</w:t>
      </w:r>
    </w:p>
    <w:p>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5"/>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5"/>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表2-1 本次交易一般规则</w:t>
      </w:r>
    </w:p>
    <w:tbl>
      <w:tblPr>
        <w:tblStyle w:val="27"/>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snapToGrid/>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pPr>
        <w:pStyle w:val="40"/>
        <w:rPr>
          <w:rFonts w:hint="eastAsia" w:ascii="仿宋_GB2312" w:hAnsi="仿宋_GB2312" w:eastAsia="仿宋_GB2312"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7"/>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3301"/>
        <w:gridCol w:w="1001"/>
        <w:gridCol w:w="1675"/>
        <w:gridCol w:w="1384"/>
        <w:gridCol w:w="83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pPr>
        <w:pStyle w:val="40"/>
        <w:rPr>
          <w:rFonts w:hint="eastAsia" w:ascii="仿宋_GB2312" w:hAnsi="仿宋_GB2312" w:eastAsia="仿宋_GB2312" w:cs="仿宋_GB2312"/>
          <w:color w:val="auto"/>
          <w:highlight w:val="none"/>
        </w:rPr>
      </w:pP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pPr>
        <w:adjustRightInd w:val="0"/>
        <w:snapToGrid w:val="0"/>
        <w:spacing w:line="600" w:lineRule="exact"/>
        <w:jc w:val="left"/>
        <w:rPr>
          <w:rFonts w:hint="eastAsia" w:ascii="仿宋_GB2312" w:hAnsi="仿宋_GB2312" w:eastAsia="仿宋_GB2312"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pPr>
        <w:wordWrap w:val="0"/>
        <w:adjustRightInd w:val="0"/>
        <w:snapToGrid w:val="0"/>
        <w:spacing w:line="600" w:lineRule="exact"/>
        <w:jc w:val="right"/>
        <w:rPr>
          <w:rFonts w:hint="default" w:ascii="仿宋_GB2312" w:eastAsia="仿宋_GB2312" w:hAnsiTheme="maj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pPr>
        <w:pStyle w:val="40"/>
        <w:rPr>
          <w:color w:val="auto"/>
          <w:highlight w:val="none"/>
        </w:rPr>
      </w:pPr>
    </w:p>
    <w:p>
      <w:pPr>
        <w:pStyle w:val="40"/>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w:t>
      </w:r>
      <w:r>
        <w:rPr>
          <w:rFonts w:hint="eastAsia" w:ascii="方正小标宋简体" w:eastAsia="方正小标宋简体" w:hAnsiTheme="majorEastAsia"/>
          <w:color w:val="auto"/>
          <w:sz w:val="44"/>
          <w:szCs w:val="44"/>
          <w:highlight w:val="none"/>
          <w:lang w:val="en-US" w:eastAsia="zh-CN"/>
        </w:rPr>
        <w:t>**</w:t>
      </w:r>
      <w:r>
        <w:rPr>
          <w:rFonts w:hint="eastAsia" w:ascii="方正小标宋简体" w:eastAsia="方正小标宋简体" w:hAnsiTheme="majorEastAsia"/>
          <w:color w:val="auto"/>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r>
        <w:rPr>
          <w:highlight w:val="none"/>
        </w:rP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lang w:val="en-US" w:eastAsia="zh-CN"/>
        </w:rPr>
      </w:pPr>
    </w:p>
    <w:p>
      <w:pPr>
        <w:pStyle w:val="3"/>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采购方法</w:t>
      </w:r>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3"/>
        <w:jc w:val="center"/>
        <w:rPr>
          <w:color w:val="auto"/>
          <w:highlight w:val="none"/>
        </w:rPr>
      </w:pPr>
      <w:r>
        <w:rPr>
          <w:rFonts w:hint="eastAsia"/>
          <w:color w:val="auto"/>
          <w:highlight w:val="none"/>
        </w:rPr>
        <w:t>询比采购</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7"/>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_GB2312"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评审办法</w:t>
      </w:r>
    </w:p>
    <w:p>
      <w:pPr>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br w:type="page"/>
      </w:r>
    </w:p>
    <w:p>
      <w:pPr>
        <w:pStyle w:val="3"/>
        <w:rPr>
          <w:color w:val="auto"/>
          <w:highlight w:val="none"/>
        </w:rPr>
      </w:pPr>
      <w:r>
        <w:rPr>
          <w:rFonts w:hint="eastAsia"/>
          <w:color w:val="auto"/>
          <w:highlight w:val="none"/>
        </w:rPr>
        <w:sym w:font="Wingdings 2" w:char="0052"/>
      </w:r>
      <w:r>
        <w:rPr>
          <w:rFonts w:hint="eastAsia"/>
          <w:color w:val="auto"/>
          <w:highlight w:val="none"/>
        </w:rPr>
        <w:t>经评审的最低价法</w:t>
      </w:r>
    </w:p>
    <w:p>
      <w:pPr>
        <w:adjustRightInd w:val="0"/>
        <w:snapToGrid w:val="0"/>
        <w:spacing w:line="6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r>
        <w:rPr>
          <w:rFonts w:hint="eastAsia" w:ascii="仿宋_GB2312" w:eastAsia="仿宋_GB2312"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3"/>
        <w:rPr>
          <w:rFonts w:hint="eastAsia"/>
          <w:color w:val="auto"/>
          <w:szCs w:val="44"/>
          <w:highlight w:val="none"/>
        </w:rPr>
      </w:pPr>
      <w:r>
        <w:rPr>
          <w:rFonts w:hint="eastAsia"/>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lang w:val="en-US" w:eastAsia="zh-CN"/>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spacing w:line="60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一、项目概况</w:t>
      </w:r>
    </w:p>
    <w:p>
      <w:pPr>
        <w:pStyle w:val="8"/>
        <w:spacing w:after="0" w:line="60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具体研究内容为：</w:t>
      </w:r>
    </w:p>
    <w:p>
      <w:pPr>
        <w:pStyle w:val="8"/>
        <w:spacing w:after="0" w:line="600" w:lineRule="exact"/>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（1） 微生物电化学系统的材料结构优化及设备化。</w:t>
      </w:r>
    </w:p>
    <w:p>
      <w:pPr>
        <w:pStyle w:val="8"/>
        <w:spacing w:after="0" w:line="600" w:lineRule="exact"/>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结合实际水质特征及监测场景的需求，构建响应灵敏、适用性好的生物电化学检测设备，对设备的电极材料、尺寸、膜材料和系统结构进行优化，在保证系统性能的前提下，实现设备的小型化、低成本化和便携化，并在此基础上对其封装方案进行测试优化。本部分研究将对不同批次间设备的一致稳定性进行评估和调试。</w:t>
      </w:r>
    </w:p>
    <w:p>
      <w:pPr>
        <w:pStyle w:val="8"/>
        <w:spacing w:after="0" w:line="600" w:lineRule="exact"/>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（2） 生物电化学生物毒性监测设备的现场应用优化</w:t>
      </w:r>
    </w:p>
    <w:p>
      <w:pPr>
        <w:pStyle w:val="8"/>
        <w:spacing w:after="0" w:line="60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生物膜电信号的放大及直观简捷的毒性评价和预警系统是整个项目的技术核心。在生物电化学系统性能优化的基础上，本项目还将针对实际应用环境的特点，同时根据生物膜的电信号变化阈值及实际监测场景需要，进行信号放大或转化，结合设备周边软硬件开发及水厂现有监测系统，构建直观、简捷且可拓展的监测预警终端系统，并在水厂实际进水环境中进行不少于 3个月的在线监测并根据实际需求持续优化。</w:t>
      </w:r>
    </w:p>
    <w:p>
      <w:pPr>
        <w:pStyle w:val="8"/>
        <w:spacing w:after="0" w:line="600" w:lineRule="exact"/>
        <w:ind w:firstLine="560" w:firstLineChars="200"/>
        <w:rPr>
          <w:rFonts w:ascii="仿宋_GB2312" w:hAnsi="仿宋" w:eastAsia="仿宋_GB2312" w:cs="仿宋"/>
          <w:b/>
          <w:bCs/>
          <w:sz w:val="28"/>
          <w:szCs w:val="28"/>
          <w:highlight w:val="none"/>
        </w:rPr>
      </w:pPr>
      <w:r>
        <w:rPr>
          <w:rFonts w:hint="eastAsia" w:ascii="仿宋_GB2312" w:hAnsi="仿宋" w:eastAsia="仿宋_GB2312" w:cs="仿宋"/>
          <w:b/>
          <w:bCs/>
          <w:sz w:val="28"/>
          <w:szCs w:val="28"/>
          <w:highlight w:val="none"/>
        </w:rPr>
        <w:t>研发及测试内容为：</w:t>
      </w:r>
    </w:p>
    <w:p>
      <w:pPr>
        <w:pStyle w:val="8"/>
        <w:spacing w:after="0" w:line="600" w:lineRule="exact"/>
        <w:ind w:firstLine="560" w:firstLineChars="200"/>
        <w:rPr>
          <w:rFonts w:ascii="仿宋_GB2312" w:hAnsi="仿宋" w:eastAsia="仿宋_GB2312" w:cs="仿宋"/>
          <w:color w:val="000000"/>
          <w:sz w:val="28"/>
          <w:szCs w:val="28"/>
          <w:highlight w:val="none"/>
        </w:rPr>
      </w:pPr>
      <w:r>
        <w:rPr>
          <w:rFonts w:hint="eastAsia" w:ascii="仿宋_GB2312" w:hAnsi="仿宋" w:eastAsia="仿宋_GB2312" w:cs="仿宋"/>
          <w:sz w:val="28"/>
          <w:szCs w:val="28"/>
          <w:highlight w:val="none"/>
        </w:rPr>
        <w:t>为保证报告完成质量，供应商需对指定净水厂</w:t>
      </w:r>
      <w:r>
        <w:rPr>
          <w:rFonts w:hint="eastAsia" w:ascii="仿宋_GB2312" w:hAnsi="仿宋" w:eastAsia="仿宋_GB2312" w:cs="仿宋"/>
          <w:color w:val="000000"/>
          <w:sz w:val="28"/>
          <w:szCs w:val="28"/>
          <w:highlight w:val="none"/>
        </w:rPr>
        <w:t>采样监测，并基于净水厂的进水特征，研发适用性强的进水生物毒性监测设备，结果需体现于报告中，并对净水厂运营提供参考建议。</w:t>
      </w:r>
    </w:p>
    <w:tbl>
      <w:tblPr>
        <w:tblStyle w:val="27"/>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32"/>
        <w:gridCol w:w="69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5" w:hRule="atLeast"/>
        </w:trPr>
        <w:tc>
          <w:tcPr>
            <w:tcW w:w="1687" w:type="dxa"/>
            <w:vAlign w:val="center"/>
          </w:tcPr>
          <w:p>
            <w:pPr>
              <w:adjustRightInd w:val="0"/>
              <w:snapToGrid w:val="0"/>
              <w:spacing w:line="360" w:lineRule="auto"/>
              <w:jc w:val="center"/>
              <w:rPr>
                <w:rFonts w:ascii="仿宋_GB2312" w:hAnsi="宋体" w:eastAsia="仿宋_GB2312"/>
                <w:b/>
                <w:bCs/>
                <w:sz w:val="28"/>
                <w:szCs w:val="28"/>
                <w:highlight w:val="none"/>
              </w:rPr>
            </w:pPr>
            <w:r>
              <w:rPr>
                <w:rFonts w:hint="eastAsia" w:ascii="仿宋_GB2312" w:hAnsi="宋体" w:eastAsia="仿宋_GB2312"/>
                <w:b/>
                <w:bCs/>
                <w:sz w:val="28"/>
                <w:szCs w:val="28"/>
                <w:highlight w:val="none"/>
              </w:rPr>
              <w:t>研发项目</w:t>
            </w:r>
          </w:p>
        </w:tc>
        <w:tc>
          <w:tcPr>
            <w:tcW w:w="6808" w:type="dxa"/>
            <w:vAlign w:val="center"/>
          </w:tcPr>
          <w:p>
            <w:pPr>
              <w:adjustRightInd w:val="0"/>
              <w:snapToGrid w:val="0"/>
              <w:spacing w:line="360" w:lineRule="auto"/>
              <w:jc w:val="center"/>
              <w:rPr>
                <w:rFonts w:ascii="仿宋_GB2312" w:hAnsi="宋体" w:eastAsia="仿宋_GB2312"/>
                <w:b/>
                <w:bCs/>
                <w:sz w:val="28"/>
                <w:szCs w:val="28"/>
                <w:highlight w:val="none"/>
              </w:rPr>
            </w:pPr>
            <w:r>
              <w:rPr>
                <w:rFonts w:hint="eastAsia" w:ascii="仿宋_GB2312" w:hAnsi="宋体" w:eastAsia="仿宋_GB2312"/>
                <w:b/>
                <w:bCs/>
                <w:sz w:val="28"/>
                <w:szCs w:val="28"/>
                <w:highlight w:val="none"/>
              </w:rPr>
              <w:t>内容要求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12" w:hRule="atLeast"/>
        </w:trPr>
        <w:tc>
          <w:tcPr>
            <w:tcW w:w="1687" w:type="dxa"/>
            <w:vAlign w:val="center"/>
          </w:tcPr>
          <w:p>
            <w:pPr>
              <w:adjustRightInd w:val="0"/>
              <w:snapToGrid w:val="0"/>
              <w:spacing w:line="360" w:lineRule="auto"/>
              <w:jc w:val="center"/>
              <w:rPr>
                <w:rFonts w:ascii="仿宋_GB2312" w:hAnsi="宋体" w:eastAsia="仿宋_GB2312"/>
                <w:sz w:val="28"/>
                <w:szCs w:val="28"/>
                <w:highlight w:val="none"/>
              </w:rPr>
            </w:pPr>
            <w:r>
              <w:rPr>
                <w:rFonts w:hint="eastAsia" w:ascii="仿宋_GB2312" w:hAnsi="宋体" w:eastAsia="仿宋_GB2312"/>
                <w:sz w:val="28"/>
                <w:szCs w:val="28"/>
                <w:highlight w:val="none"/>
              </w:rPr>
              <w:t>可灵敏响应进水生物毒性的在线监测设备</w:t>
            </w:r>
          </w:p>
        </w:tc>
        <w:tc>
          <w:tcPr>
            <w:tcW w:w="6808" w:type="dxa"/>
            <w:vAlign w:val="center"/>
          </w:tcPr>
          <w:p>
            <w:pPr>
              <w:adjustRightInd w:val="0"/>
              <w:snapToGrid w:val="0"/>
              <w:spacing w:line="360" w:lineRule="auto"/>
              <w:rPr>
                <w:rFonts w:ascii="仿宋_GB2312" w:hAnsi="宋体" w:eastAsia="仿宋_GB2312"/>
                <w:sz w:val="28"/>
                <w:szCs w:val="28"/>
                <w:highlight w:val="none"/>
              </w:rPr>
            </w:pPr>
            <w:r>
              <w:rPr>
                <w:rFonts w:hint="eastAsia" w:ascii="仿宋_GB2312" w:hAnsi="宋体" w:eastAsia="仿宋_GB2312"/>
                <w:sz w:val="28"/>
                <w:szCs w:val="28"/>
                <w:highlight w:val="none"/>
              </w:rPr>
              <w:t>可实时响应进水生物毒性，与基于模式生物（发光细菌、大型溞等）的生物毒性评估方法具有较好的一致性，且在实际水厂测试具有较好的稳定性和重现性；</w:t>
            </w:r>
          </w:p>
          <w:p>
            <w:pPr>
              <w:adjustRightInd w:val="0"/>
              <w:snapToGrid w:val="0"/>
              <w:spacing w:line="360" w:lineRule="auto"/>
              <w:jc w:val="left"/>
              <w:rPr>
                <w:rFonts w:ascii="仿宋_GB2312" w:hAnsi="宋体" w:eastAsia="仿宋_GB2312"/>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80" w:hRule="atLeast"/>
        </w:trPr>
        <w:tc>
          <w:tcPr>
            <w:tcW w:w="1687" w:type="dxa"/>
            <w:tcBorders>
              <w:top w:val="single" w:color="auto" w:sz="4" w:space="0"/>
            </w:tcBorders>
            <w:vAlign w:val="center"/>
          </w:tcPr>
          <w:p>
            <w:pPr>
              <w:adjustRightInd w:val="0"/>
              <w:snapToGrid w:val="0"/>
              <w:spacing w:line="360" w:lineRule="auto"/>
              <w:jc w:val="center"/>
              <w:rPr>
                <w:rFonts w:ascii="仿宋_GB2312" w:hAnsi="Times New Roman" w:eastAsia="仿宋_GB2312"/>
                <w:sz w:val="28"/>
                <w:szCs w:val="28"/>
                <w:highlight w:val="none"/>
              </w:rPr>
            </w:pPr>
            <w:r>
              <w:rPr>
                <w:rFonts w:hint="eastAsia" w:ascii="仿宋_GB2312" w:hAnsi="Times New Roman" w:eastAsia="仿宋_GB2312"/>
                <w:sz w:val="28"/>
                <w:szCs w:val="28"/>
                <w:highlight w:val="none"/>
              </w:rPr>
              <w:t>编写合理可行的进水生物毒性评价及预警技术操作规程</w:t>
            </w:r>
          </w:p>
        </w:tc>
        <w:tc>
          <w:tcPr>
            <w:tcW w:w="6808" w:type="dxa"/>
            <w:tcBorders>
              <w:top w:val="single" w:color="auto" w:sz="4" w:space="0"/>
            </w:tcBorders>
            <w:vAlign w:val="center"/>
          </w:tcPr>
          <w:p>
            <w:pPr>
              <w:adjustRightInd w:val="0"/>
              <w:snapToGrid w:val="0"/>
              <w:spacing w:line="360" w:lineRule="auto"/>
              <w:jc w:val="center"/>
              <w:rPr>
                <w:rFonts w:ascii="仿宋_GB2312" w:hAnsi="Times New Roman" w:eastAsia="仿宋_GB2312"/>
                <w:sz w:val="28"/>
                <w:szCs w:val="28"/>
                <w:highlight w:val="none"/>
              </w:rPr>
            </w:pPr>
            <w:r>
              <w:rPr>
                <w:rFonts w:hint="eastAsia" w:ascii="仿宋_GB2312" w:hAnsi="Times New Roman" w:eastAsia="仿宋_GB2312"/>
                <w:sz w:val="28"/>
                <w:szCs w:val="28"/>
                <w:highlight w:val="none"/>
              </w:rPr>
              <w:t>针对水厂进水管控需求，编写合理可行的生物毒性在线监测设备技术操作规程，为水厂运行管理提供可靠依据和技术支持；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5" w:hRule="atLeast"/>
        </w:trPr>
        <w:tc>
          <w:tcPr>
            <w:tcW w:w="1687" w:type="dxa"/>
            <w:vAlign w:val="center"/>
          </w:tcPr>
          <w:p>
            <w:pPr>
              <w:adjustRightInd w:val="0"/>
              <w:snapToGrid w:val="0"/>
              <w:spacing w:line="36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研究结果分析及报告编写</w:t>
            </w:r>
          </w:p>
        </w:tc>
        <w:tc>
          <w:tcPr>
            <w:tcW w:w="6808" w:type="dxa"/>
            <w:vAlign w:val="center"/>
          </w:tcPr>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需包含：</w:t>
            </w:r>
          </w:p>
          <w:p>
            <w:pPr>
              <w:pStyle w:val="37"/>
              <w:numPr>
                <w:ilvl w:val="0"/>
                <w:numId w:val="4"/>
              </w:numPr>
              <w:adjustRightInd w:val="0"/>
              <w:snapToGrid w:val="0"/>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上述检测及研发的结果数据及分析；</w:t>
            </w:r>
          </w:p>
          <w:p>
            <w:pPr>
              <w:pStyle w:val="37"/>
              <w:numPr>
                <w:ilvl w:val="0"/>
                <w:numId w:val="4"/>
              </w:numPr>
              <w:adjustRightInd w:val="0"/>
              <w:snapToGrid w:val="0"/>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检测设备具有生态安全性的证明材料；</w:t>
            </w:r>
          </w:p>
          <w:p>
            <w:pPr>
              <w:pStyle w:val="5"/>
              <w:numPr>
                <w:ilvl w:val="0"/>
                <w:numId w:val="4"/>
              </w:numPr>
              <w:rPr>
                <w:rFonts w:hint="eastAsia" w:ascii="仿宋_GB2312" w:hAnsi="仿宋_GB2312" w:eastAsia="仿宋_GB2312" w:cs="仿宋_GB2312"/>
                <w:highlight w:val="none"/>
              </w:rPr>
            </w:pPr>
            <w:r>
              <w:rPr>
                <w:rFonts w:hint="eastAsia" w:ascii="仿宋_GB2312" w:hAnsi="仿宋_GB2312" w:eastAsia="仿宋_GB2312" w:cs="仿宋_GB2312"/>
                <w:highlight w:val="none"/>
              </w:rPr>
              <w:t>设备使用条件及操作方法或规程</w:t>
            </w:r>
            <w:r>
              <w:rPr>
                <w:rFonts w:hint="eastAsia" w:ascii="仿宋_GB2312" w:hAnsi="仿宋_GB2312" w:eastAsia="仿宋_GB2312" w:cs="仿宋_GB2312"/>
                <w:highlight w:val="none"/>
                <w:lang w:eastAsia="zh-CN"/>
              </w:rPr>
              <w:t>；</w:t>
            </w:r>
          </w:p>
          <w:p>
            <w:pPr>
              <w:pStyle w:val="5"/>
              <w:numPr>
                <w:ilvl w:val="0"/>
                <w:numId w:val="4"/>
              </w:numPr>
              <w:rPr>
                <w:rFonts w:hint="eastAsia" w:ascii="仿宋_GB2312" w:hAnsi="仿宋_GB2312" w:eastAsia="仿宋_GB2312" w:cs="仿宋_GB2312"/>
                <w:highlight w:val="none"/>
              </w:rPr>
            </w:pPr>
            <w:r>
              <w:rPr>
                <w:rFonts w:hint="eastAsia" w:ascii="仿宋_GB2312" w:hAnsi="仿宋_GB2312" w:eastAsia="仿宋_GB2312" w:cs="仿宋_GB2312"/>
                <w:highlight w:val="none"/>
              </w:rPr>
              <w:t>基于生物毒性的进水水质管控合理建议</w:t>
            </w:r>
            <w:r>
              <w:rPr>
                <w:rFonts w:hint="eastAsia" w:ascii="仿宋_GB2312" w:hAnsi="仿宋_GB2312" w:eastAsia="仿宋_GB2312" w:cs="仿宋_GB2312"/>
                <w:highlight w:val="none"/>
                <w:lang w:eastAsia="zh-CN"/>
              </w:rPr>
              <w:t>；</w:t>
            </w:r>
          </w:p>
          <w:p>
            <w:pPr>
              <w:pStyle w:val="5"/>
              <w:numPr>
                <w:ilvl w:val="0"/>
                <w:numId w:val="4"/>
              </w:numP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申请发明专利一项。</w:t>
            </w:r>
          </w:p>
        </w:tc>
      </w:tr>
    </w:tbl>
    <w:p>
      <w:pPr>
        <w:pStyle w:val="9"/>
        <w:ind w:firstLine="420"/>
        <w:rPr>
          <w:highlight w:val="none"/>
        </w:rPr>
      </w:pPr>
    </w:p>
    <w:p>
      <w:pPr>
        <w:pStyle w:val="13"/>
        <w:adjustRightInd w:val="0"/>
        <w:snapToGrid w:val="0"/>
        <w:spacing w:line="300" w:lineRule="auto"/>
        <w:rPr>
          <w:rFonts w:hint="eastAsia" w:ascii="宋体" w:hAnsi="宋体" w:eastAsia="宋体" w:cs="宋体"/>
          <w:sz w:val="28"/>
          <w:szCs w:val="28"/>
          <w:highlight w:val="none"/>
          <w:lang w:val="zh-CN"/>
        </w:rPr>
      </w:pPr>
      <w:r>
        <w:rPr>
          <w:rFonts w:hint="eastAsia" w:ascii="宋体" w:hAnsi="宋体" w:eastAsia="宋体" w:cs="宋体"/>
          <w:b/>
          <w:sz w:val="28"/>
          <w:szCs w:val="28"/>
          <w:highlight w:val="none"/>
          <w:lang w:val="zh-CN"/>
        </w:rPr>
        <w:t>二、项目技术要求</w:t>
      </w:r>
    </w:p>
    <w:p>
      <w:pPr>
        <w:spacing w:line="6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按照本询价文件的项目概况，撰写《广州市净水有限公司生物膜电流对水体生物毒性的响应规律及其调控技术研究计划》。</w:t>
      </w:r>
      <w:bookmarkStart w:id="17" w:name="_Hlk156806809"/>
      <w:r>
        <w:rPr>
          <w:rFonts w:hint="eastAsia" w:ascii="仿宋_GB2312" w:hAnsi="仿宋_GB2312" w:eastAsia="仿宋_GB2312" w:cs="仿宋_GB2312"/>
          <w:sz w:val="28"/>
          <w:szCs w:val="28"/>
          <w:highlight w:val="none"/>
        </w:rPr>
        <w:t>研究计划需结合“第五章 采购需求 第一部分 项目概况”内容进行编制，并加盖单位公章。</w:t>
      </w:r>
    </w:p>
    <w:bookmarkEnd w:id="17"/>
    <w:p>
      <w:pPr>
        <w:pStyle w:val="5"/>
        <w:rPr>
          <w:highlight w:val="none"/>
        </w:rPr>
      </w:pPr>
      <w:r>
        <w:rPr>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2"/>
        <w:rPr>
          <w:color w:val="auto"/>
          <w:highlight w:val="none"/>
        </w:rPr>
      </w:pPr>
      <w:bookmarkStart w:id="18" w:name="_Toc87616386"/>
      <w:bookmarkStart w:id="19" w:name="_Toc12721"/>
      <w:bookmarkStart w:id="20" w:name="_Toc19088"/>
      <w:bookmarkStart w:id="21" w:name="_Toc22797"/>
      <w:bookmarkStart w:id="22" w:name="_Toc323"/>
      <w:bookmarkStart w:id="23" w:name="_Toc1375"/>
      <w:bookmarkStart w:id="24" w:name="_Toc12968"/>
      <w:bookmarkStart w:id="25" w:name="_Toc22501"/>
      <w:bookmarkStart w:id="26" w:name="_Toc12980"/>
      <w:bookmarkStart w:id="27" w:name="_Toc19686"/>
      <w:bookmarkStart w:id="28" w:name="_Toc13309"/>
      <w:bookmarkStart w:id="29" w:name="_Toc8183"/>
      <w:bookmarkStart w:id="30" w:name="_Toc88209949"/>
      <w:r>
        <w:rPr>
          <w:rFonts w:hint="eastAsia"/>
          <w:color w:val="auto"/>
          <w:highlight w:val="none"/>
        </w:rPr>
        <w:t>合同</w:t>
      </w:r>
      <w:bookmarkEnd w:id="18"/>
      <w:bookmarkEnd w:id="19"/>
      <w:bookmarkEnd w:id="20"/>
      <w:bookmarkEnd w:id="21"/>
      <w:bookmarkEnd w:id="22"/>
      <w:bookmarkEnd w:id="23"/>
      <w:bookmarkEnd w:id="24"/>
      <w:bookmarkEnd w:id="25"/>
      <w:bookmarkEnd w:id="26"/>
      <w:bookmarkEnd w:id="27"/>
      <w:bookmarkEnd w:id="28"/>
      <w:bookmarkEnd w:id="29"/>
      <w:bookmarkEnd w:id="30"/>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widowControl/>
        <w:jc w:val="left"/>
        <w:rPr>
          <w:rFonts w:ascii="仿宋_GB2312" w:hAnsi="宋体" w:eastAsia="仿宋_GB2312" w:cs="Times New Roman"/>
          <w:kern w:val="0"/>
          <w:sz w:val="28"/>
          <w:szCs w:val="28"/>
          <w:highlight w:val="none"/>
        </w:rPr>
      </w:pPr>
    </w:p>
    <w:p>
      <w:pPr>
        <w:spacing w:line="360" w:lineRule="auto"/>
        <w:jc w:val="center"/>
        <w:rPr>
          <w:rFonts w:ascii="Calibri" w:hAnsi="Calibri" w:eastAsia="宋体" w:cs="Times New Roman"/>
          <w:b/>
          <w:sz w:val="48"/>
          <w:szCs w:val="48"/>
          <w:highlight w:val="none"/>
        </w:rPr>
      </w:pPr>
      <w:r>
        <w:rPr>
          <w:rFonts w:hint="eastAsia" w:ascii="Calibri" w:hAnsi="Calibri" w:eastAsia="宋体" w:cs="Times New Roman"/>
          <w:b/>
          <w:sz w:val="48"/>
          <w:szCs w:val="48"/>
          <w:highlight w:val="none"/>
        </w:rPr>
        <w:t>广州市净水有限公司</w:t>
      </w:r>
    </w:p>
    <w:p>
      <w:pPr>
        <w:spacing w:line="360" w:lineRule="auto"/>
        <w:jc w:val="center"/>
        <w:rPr>
          <w:rFonts w:ascii="Calibri" w:hAnsi="Calibri" w:eastAsia="宋体" w:cs="Times New Roman"/>
          <w:b/>
          <w:sz w:val="48"/>
          <w:szCs w:val="48"/>
          <w:highlight w:val="none"/>
        </w:rPr>
      </w:pPr>
      <w:r>
        <w:rPr>
          <w:rFonts w:ascii="Calibri" w:hAnsi="Calibri" w:eastAsia="宋体" w:cs="Times New Roman"/>
          <w:b/>
          <w:sz w:val="52"/>
          <w:szCs w:val="84"/>
          <w:highlight w:val="none"/>
        </w:rPr>
        <w:t>服务合同</w:t>
      </w:r>
    </w:p>
    <w:p>
      <w:pPr>
        <w:spacing w:line="360" w:lineRule="auto"/>
        <w:ind w:firstLine="600" w:firstLineChars="200"/>
        <w:jc w:val="left"/>
        <w:rPr>
          <w:rFonts w:ascii="宋体" w:hAnsi="宋体" w:eastAsia="宋体" w:cs="Times New Roman"/>
          <w:b/>
          <w:bCs/>
          <w:snapToGrid w:val="0"/>
          <w:kern w:val="0"/>
          <w:sz w:val="30"/>
          <w:szCs w:val="30"/>
          <w:highlight w:val="none"/>
        </w:rPr>
      </w:pPr>
    </w:p>
    <w:p>
      <w:pPr>
        <w:spacing w:line="360" w:lineRule="auto"/>
        <w:ind w:left="1500" w:hanging="1500" w:hangingChars="500"/>
        <w:rPr>
          <w:rFonts w:ascii="Calibri" w:hAnsi="Calibri" w:eastAsia="宋体" w:cs="Times New Roman"/>
          <w:sz w:val="30"/>
          <w:highlight w:val="none"/>
        </w:rPr>
      </w:pPr>
    </w:p>
    <w:p>
      <w:pPr>
        <w:adjustRightInd w:val="0"/>
        <w:snapToGrid w:val="0"/>
        <w:spacing w:line="360" w:lineRule="auto"/>
        <w:ind w:left="1500" w:hanging="1500" w:hangingChars="500"/>
        <w:rPr>
          <w:rFonts w:ascii="宋体" w:hAnsi="宋体" w:eastAsia="宋体" w:cs="Times New Roman"/>
          <w:b/>
          <w:bCs/>
          <w:snapToGrid w:val="0"/>
          <w:kern w:val="0"/>
          <w:sz w:val="30"/>
          <w:szCs w:val="30"/>
          <w:highlight w:val="none"/>
        </w:rPr>
      </w:pPr>
      <w:r>
        <w:rPr>
          <w:rFonts w:hint="eastAsia" w:ascii="宋体" w:hAnsi="宋体" w:eastAsia="宋体" w:cs="Times New Roman"/>
          <w:snapToGrid w:val="0"/>
          <w:kern w:val="0"/>
          <w:sz w:val="30"/>
          <w:szCs w:val="30"/>
          <w:highlight w:val="none"/>
        </w:rPr>
        <w:t>项目名称：</w:t>
      </w:r>
      <w:r>
        <w:rPr>
          <w:rFonts w:hint="eastAsia" w:ascii="宋体" w:hAnsi="宋体" w:eastAsia="宋体" w:cs="Times New Roman"/>
          <w:b/>
          <w:bCs/>
          <w:snapToGrid w:val="0"/>
          <w:color w:val="auto"/>
          <w:kern w:val="0"/>
          <w:sz w:val="30"/>
          <w:szCs w:val="30"/>
          <w:highlight w:val="none"/>
          <w:lang w:val="en-GB"/>
        </w:rPr>
        <w:t>开发一种污水处理工艺流程中聚磷菌丰度快速简易荧光定量方法（10492023000007）</w:t>
      </w:r>
    </w:p>
    <w:p>
      <w:pPr>
        <w:spacing w:after="120"/>
        <w:ind w:left="1500" w:hanging="1500" w:hangingChars="500"/>
        <w:rPr>
          <w:rFonts w:ascii="宋体" w:hAnsi="宋体" w:eastAsia="宋体" w:cs="Times New Roman"/>
          <w:snapToGrid w:val="0"/>
          <w:kern w:val="0"/>
          <w:sz w:val="30"/>
          <w:szCs w:val="30"/>
          <w:highlight w:val="none"/>
        </w:rPr>
      </w:pPr>
    </w:p>
    <w:p>
      <w:pPr>
        <w:spacing w:after="120"/>
        <w:ind w:left="1500" w:hanging="1500" w:hangingChars="500"/>
        <w:rPr>
          <w:rFonts w:ascii="宋体" w:hAnsi="宋体" w:eastAsia="宋体" w:cs="Times New Roman"/>
          <w:b/>
          <w:bCs/>
          <w:snapToGrid w:val="0"/>
          <w:kern w:val="0"/>
          <w:sz w:val="30"/>
          <w:szCs w:val="30"/>
          <w:highlight w:val="none"/>
          <w:u w:val="single"/>
        </w:rPr>
      </w:pPr>
      <w:r>
        <w:rPr>
          <w:rFonts w:hint="eastAsia" w:ascii="宋体" w:hAnsi="宋体" w:eastAsia="宋体" w:cs="Times New Roman"/>
          <w:snapToGrid w:val="0"/>
          <w:kern w:val="0"/>
          <w:sz w:val="30"/>
          <w:szCs w:val="30"/>
          <w:highlight w:val="none"/>
        </w:rPr>
        <w:t>合同名称：</w:t>
      </w:r>
      <w:r>
        <w:rPr>
          <w:rFonts w:hint="eastAsia" w:ascii="宋体" w:hAnsi="宋体" w:eastAsia="宋体" w:cs="Times New Roman"/>
          <w:b/>
          <w:bCs/>
          <w:snapToGrid w:val="0"/>
          <w:kern w:val="0"/>
          <w:sz w:val="30"/>
          <w:szCs w:val="30"/>
          <w:highlight w:val="none"/>
        </w:rPr>
        <w:t>广州市净水有限公司污水处理系统进水水质生物毒性监测设备研发</w:t>
      </w:r>
    </w:p>
    <w:p>
      <w:pPr>
        <w:spacing w:after="120"/>
        <w:ind w:left="1500" w:hanging="1500" w:hangingChars="500"/>
        <w:rPr>
          <w:rFonts w:ascii="宋体" w:hAnsi="宋体" w:eastAsia="宋体" w:cs="Times New Roman"/>
          <w:b/>
          <w:bCs/>
          <w:snapToGrid w:val="0"/>
          <w:kern w:val="0"/>
          <w:sz w:val="30"/>
          <w:szCs w:val="30"/>
          <w:highlight w:val="none"/>
        </w:rPr>
      </w:pPr>
      <w:r>
        <w:rPr>
          <w:rFonts w:hint="eastAsia" w:ascii="宋体" w:hAnsi="宋体" w:eastAsia="宋体" w:cs="Times New Roman"/>
          <w:snapToGrid w:val="0"/>
          <w:kern w:val="0"/>
          <w:sz w:val="30"/>
          <w:szCs w:val="30"/>
          <w:highlight w:val="none"/>
        </w:rPr>
        <w:t>合同编号：</w:t>
      </w:r>
      <w:r>
        <w:rPr>
          <w:rFonts w:hint="eastAsia" w:ascii="宋体" w:hAnsi="宋体" w:eastAsia="宋体" w:cs="Times New Roman"/>
          <w:b/>
          <w:bCs/>
          <w:snapToGrid w:val="0"/>
          <w:kern w:val="0"/>
          <w:sz w:val="30"/>
          <w:szCs w:val="30"/>
          <w:highlight w:val="none"/>
        </w:rPr>
        <w:t>穗净水合〔202</w:t>
      </w:r>
      <w:r>
        <w:rPr>
          <w:rFonts w:ascii="宋体" w:hAnsi="宋体" w:eastAsia="宋体" w:cs="Times New Roman"/>
          <w:b/>
          <w:bCs/>
          <w:snapToGrid w:val="0"/>
          <w:kern w:val="0"/>
          <w:sz w:val="30"/>
          <w:szCs w:val="30"/>
          <w:highlight w:val="none"/>
        </w:rPr>
        <w:t>4</w:t>
      </w:r>
      <w:r>
        <w:rPr>
          <w:rFonts w:hint="eastAsia" w:ascii="宋体" w:hAnsi="宋体" w:eastAsia="宋体" w:cs="Times New Roman"/>
          <w:b/>
          <w:bCs/>
          <w:snapToGrid w:val="0"/>
          <w:kern w:val="0"/>
          <w:sz w:val="30"/>
          <w:szCs w:val="30"/>
          <w:highlight w:val="none"/>
        </w:rPr>
        <w:t>〕    号</w:t>
      </w:r>
    </w:p>
    <w:p>
      <w:pPr>
        <w:adjustRightInd w:val="0"/>
        <w:snapToGrid w:val="0"/>
        <w:spacing w:line="360" w:lineRule="auto"/>
        <w:ind w:firstLine="600"/>
        <w:rPr>
          <w:rFonts w:ascii="宋体" w:hAnsi="宋体" w:eastAsia="宋体" w:cs="Times New Roman"/>
          <w:snapToGrid w:val="0"/>
          <w:kern w:val="0"/>
          <w:sz w:val="30"/>
          <w:szCs w:val="30"/>
          <w:highlight w:val="none"/>
        </w:rPr>
      </w:pPr>
    </w:p>
    <w:p>
      <w:pPr>
        <w:autoSpaceDE w:val="0"/>
        <w:autoSpaceDN w:val="0"/>
        <w:adjustRightInd w:val="0"/>
        <w:ind w:left="840"/>
        <w:rPr>
          <w:rFonts w:ascii="宋体" w:hAnsi="Times New Roman" w:eastAsia="仿宋_GB2312" w:cs="宋体"/>
          <w:kern w:val="0"/>
          <w:sz w:val="24"/>
          <w:szCs w:val="24"/>
          <w:highlight w:val="none"/>
        </w:rPr>
      </w:pPr>
    </w:p>
    <w:p>
      <w:pPr>
        <w:adjustRightInd w:val="0"/>
        <w:snapToGrid w:val="0"/>
        <w:spacing w:line="360" w:lineRule="auto"/>
        <w:rPr>
          <w:rFonts w:ascii="宋体" w:hAnsi="宋体" w:eastAsia="宋体" w:cs="Times New Roman"/>
          <w:snapToGrid w:val="0"/>
          <w:kern w:val="0"/>
          <w:sz w:val="30"/>
          <w:szCs w:val="30"/>
          <w:highlight w:val="none"/>
          <w:u w:val="single"/>
        </w:rPr>
      </w:pPr>
      <w:r>
        <w:rPr>
          <w:rFonts w:hint="eastAsia" w:ascii="宋体" w:hAnsi="宋体" w:eastAsia="宋体" w:cs="Times New Roman"/>
          <w:snapToGrid w:val="0"/>
          <w:kern w:val="0"/>
          <w:sz w:val="30"/>
          <w:szCs w:val="30"/>
          <w:highlight w:val="none"/>
        </w:rPr>
        <w:t>甲方：</w:t>
      </w:r>
      <w:r>
        <w:rPr>
          <w:rFonts w:hint="eastAsia" w:ascii="宋体" w:hAnsi="宋体" w:eastAsia="宋体" w:cs="Times New Roman"/>
          <w:snapToGrid w:val="0"/>
          <w:kern w:val="0"/>
          <w:sz w:val="30"/>
          <w:szCs w:val="30"/>
          <w:highlight w:val="none"/>
          <w:u w:val="single"/>
        </w:rPr>
        <w:t>广州市净水有限公司</w:t>
      </w:r>
    </w:p>
    <w:p>
      <w:pPr>
        <w:adjustRightInd w:val="0"/>
        <w:snapToGrid w:val="0"/>
        <w:spacing w:line="360" w:lineRule="auto"/>
        <w:rPr>
          <w:rFonts w:ascii="宋体" w:hAnsi="宋体" w:eastAsia="宋体" w:cs="Times New Roman"/>
          <w:snapToGrid w:val="0"/>
          <w:kern w:val="0"/>
          <w:sz w:val="30"/>
          <w:szCs w:val="30"/>
          <w:highlight w:val="none"/>
          <w:u w:val="single"/>
        </w:rPr>
      </w:pPr>
      <w:r>
        <w:rPr>
          <w:rFonts w:hint="eastAsia" w:ascii="宋体" w:hAnsi="宋体" w:eastAsia="宋体" w:cs="Times New Roman"/>
          <w:snapToGrid w:val="0"/>
          <w:kern w:val="0"/>
          <w:sz w:val="30"/>
          <w:szCs w:val="30"/>
          <w:highlight w:val="none"/>
        </w:rPr>
        <w:t>乙方：</w:t>
      </w:r>
      <w:r>
        <w:rPr>
          <w:rFonts w:hint="eastAsia" w:ascii="宋体" w:hAnsi="宋体" w:eastAsia="宋体" w:cs="Times New Roman"/>
          <w:snapToGrid w:val="0"/>
          <w:kern w:val="0"/>
          <w:sz w:val="30"/>
          <w:szCs w:val="30"/>
          <w:highlight w:val="none"/>
          <w:u w:val="single"/>
        </w:rPr>
        <w:t xml:space="preserve">                          </w:t>
      </w:r>
    </w:p>
    <w:p>
      <w:pPr>
        <w:autoSpaceDE w:val="0"/>
        <w:autoSpaceDN w:val="0"/>
        <w:adjustRightInd w:val="0"/>
        <w:ind w:left="840"/>
        <w:jc w:val="left"/>
        <w:rPr>
          <w:rFonts w:ascii="宋体" w:hAnsi="宋体" w:eastAsia="宋体" w:cs="Times New Roman"/>
          <w:snapToGrid w:val="0"/>
          <w:kern w:val="0"/>
          <w:sz w:val="30"/>
          <w:szCs w:val="30"/>
          <w:highlight w:val="none"/>
          <w:u w:val="single"/>
        </w:rPr>
      </w:pPr>
    </w:p>
    <w:p>
      <w:pPr>
        <w:autoSpaceDE w:val="0"/>
        <w:autoSpaceDN w:val="0"/>
        <w:adjustRightInd w:val="0"/>
        <w:ind w:left="840"/>
        <w:jc w:val="left"/>
        <w:rPr>
          <w:rFonts w:ascii="宋体" w:hAnsi="宋体" w:eastAsia="宋体" w:cs="Times New Roman"/>
          <w:snapToGrid w:val="0"/>
          <w:kern w:val="0"/>
          <w:sz w:val="30"/>
          <w:szCs w:val="30"/>
          <w:highlight w:val="none"/>
          <w:u w:val="single"/>
        </w:rPr>
      </w:pPr>
    </w:p>
    <w:p>
      <w:pPr>
        <w:rPr>
          <w:rFonts w:ascii="Calibri" w:hAnsi="Calibri" w:eastAsia="宋体" w:cs="Times New Roman"/>
          <w:sz w:val="30"/>
          <w:highlight w:val="none"/>
        </w:rPr>
      </w:pPr>
      <w:r>
        <w:rPr>
          <w:rFonts w:hint="eastAsia" w:ascii="Calibri" w:hAnsi="Calibri" w:eastAsia="宋体" w:cs="Times New Roman"/>
          <w:sz w:val="30"/>
          <w:highlight w:val="none"/>
        </w:rPr>
        <w:t>签订日期：</w:t>
      </w:r>
      <w:r>
        <w:rPr>
          <w:rFonts w:ascii="Calibri" w:hAnsi="Calibri" w:eastAsia="宋体" w:cs="Times New Roman"/>
          <w:sz w:val="30"/>
          <w:highlight w:val="none"/>
        </w:rPr>
        <w:t xml:space="preserve">   </w:t>
      </w:r>
      <w:r>
        <w:rPr>
          <w:rFonts w:hint="eastAsia" w:ascii="Calibri" w:hAnsi="Calibri" w:eastAsia="宋体" w:cs="Times New Roman"/>
          <w:sz w:val="30"/>
          <w:highlight w:val="none"/>
        </w:rPr>
        <w:t xml:space="preserve">     </w:t>
      </w:r>
      <w:r>
        <w:rPr>
          <w:rFonts w:ascii="Calibri" w:hAnsi="Calibri" w:eastAsia="宋体" w:cs="Times New Roman"/>
          <w:sz w:val="30"/>
          <w:highlight w:val="none"/>
        </w:rPr>
        <w:t xml:space="preserve"> </w:t>
      </w:r>
      <w:r>
        <w:rPr>
          <w:rFonts w:hint="eastAsia" w:ascii="Calibri" w:hAnsi="Calibri" w:eastAsia="宋体" w:cs="Times New Roman"/>
          <w:sz w:val="30"/>
          <w:highlight w:val="none"/>
        </w:rPr>
        <w:t xml:space="preserve">年   </w:t>
      </w:r>
      <w:r>
        <w:rPr>
          <w:rFonts w:ascii="Calibri" w:hAnsi="Calibri" w:eastAsia="宋体" w:cs="Times New Roman"/>
          <w:sz w:val="30"/>
          <w:highlight w:val="none"/>
        </w:rPr>
        <w:t xml:space="preserve">   </w:t>
      </w:r>
      <w:r>
        <w:rPr>
          <w:rFonts w:hint="eastAsia" w:ascii="Calibri" w:hAnsi="Calibri" w:eastAsia="宋体" w:cs="Times New Roman"/>
          <w:sz w:val="30"/>
          <w:highlight w:val="none"/>
        </w:rPr>
        <w:t>月</w:t>
      </w:r>
      <w:r>
        <w:rPr>
          <w:rFonts w:ascii="Calibri" w:hAnsi="Calibri" w:eastAsia="宋体" w:cs="Times New Roman"/>
          <w:sz w:val="30"/>
          <w:highlight w:val="none"/>
        </w:rPr>
        <w:t xml:space="preserve">  </w:t>
      </w:r>
      <w:r>
        <w:rPr>
          <w:rFonts w:hint="eastAsia" w:ascii="Calibri" w:hAnsi="Calibri" w:eastAsia="宋体" w:cs="Times New Roman"/>
          <w:sz w:val="30"/>
          <w:highlight w:val="none"/>
        </w:rPr>
        <w:t xml:space="preserve"> </w:t>
      </w:r>
      <w:r>
        <w:rPr>
          <w:rFonts w:ascii="Calibri" w:hAnsi="Calibri" w:eastAsia="宋体" w:cs="Times New Roman"/>
          <w:sz w:val="30"/>
          <w:highlight w:val="none"/>
        </w:rPr>
        <w:t xml:space="preserve">   </w:t>
      </w:r>
      <w:r>
        <w:rPr>
          <w:rFonts w:hint="eastAsia" w:ascii="Calibri" w:hAnsi="Calibri" w:eastAsia="宋体" w:cs="Times New Roman"/>
          <w:sz w:val="30"/>
          <w:highlight w:val="none"/>
        </w:rPr>
        <w:t>日</w:t>
      </w:r>
    </w:p>
    <w:p>
      <w:pPr>
        <w:rPr>
          <w:rFonts w:ascii="Calibri" w:hAnsi="Calibri" w:eastAsia="宋体" w:cs="Times New Roman"/>
          <w:highlight w:val="none"/>
        </w:rPr>
        <w:sectPr>
          <w:footerReference r:id="rId4" w:type="default"/>
          <w:pgSz w:w="11907" w:h="16840"/>
          <w:pgMar w:top="1701" w:right="1701" w:bottom="1701" w:left="1701" w:header="851" w:footer="992" w:gutter="0"/>
          <w:pgNumType w:start="1"/>
          <w:cols w:space="720" w:num="1"/>
          <w:docGrid w:type="linesAndChars" w:linePitch="381" w:charSpace="0"/>
        </w:sectPr>
      </w:pPr>
      <w:r>
        <w:rPr>
          <w:rFonts w:hint="eastAsia" w:ascii="Calibri" w:hAnsi="Calibri" w:eastAsia="宋体" w:cs="Times New Roman"/>
          <w:sz w:val="30"/>
          <w:highlight w:val="none"/>
        </w:rPr>
        <w:t>签约地点：广州市</w:t>
      </w:r>
    </w:p>
    <w:p>
      <w:pPr>
        <w:spacing w:line="360" w:lineRule="auto"/>
        <w:ind w:firstLine="480" w:firstLineChars="200"/>
        <w:rPr>
          <w:rFonts w:ascii="Calibri" w:hAnsi="Calibri" w:eastAsia="宋体" w:cs="Times New Roman"/>
          <w:sz w:val="24"/>
          <w:highlight w:val="none"/>
        </w:rPr>
      </w:pPr>
    </w:p>
    <w:p>
      <w:pPr>
        <w:spacing w:line="360" w:lineRule="auto"/>
        <w:ind w:firstLine="480" w:firstLineChars="200"/>
        <w:rPr>
          <w:rFonts w:ascii="宋体" w:hAnsi="宋体" w:eastAsia="宋体" w:cs="宋体"/>
          <w:snapToGrid w:val="0"/>
          <w:kern w:val="0"/>
          <w:sz w:val="24"/>
          <w:highlight w:val="none"/>
        </w:rPr>
      </w:pPr>
      <w:r>
        <w:rPr>
          <w:rFonts w:ascii="Calibri" w:hAnsi="Calibri" w:eastAsia="宋体" w:cs="Times New Roman"/>
          <w:sz w:val="24"/>
          <w:highlight w:val="none"/>
        </w:rPr>
        <w:t>根据《中华人民共和国</w:t>
      </w:r>
      <w:r>
        <w:rPr>
          <w:rFonts w:hint="eastAsia" w:ascii="Calibri" w:hAnsi="Calibri" w:eastAsia="宋体" w:cs="Times New Roman"/>
          <w:sz w:val="24"/>
          <w:highlight w:val="none"/>
        </w:rPr>
        <w:t>民法典</w:t>
      </w:r>
      <w:r>
        <w:rPr>
          <w:rFonts w:ascii="Calibri" w:hAnsi="Calibri" w:eastAsia="宋体" w:cs="Times New Roman"/>
          <w:sz w:val="24"/>
          <w:highlight w:val="none"/>
        </w:rPr>
        <w:t>》及其他有关法律、行政法规，</w:t>
      </w:r>
      <w:r>
        <w:rPr>
          <w:rFonts w:ascii="Calibri" w:hAnsi="Calibri" w:eastAsia="宋体" w:cs="Times New Roman"/>
          <w:sz w:val="24"/>
          <w:highlight w:val="none"/>
          <w:u w:val="single"/>
        </w:rPr>
        <w:t>广州市净水有限公司</w:t>
      </w:r>
      <w:r>
        <w:rPr>
          <w:rFonts w:ascii="Calibri" w:hAnsi="Calibri" w:eastAsia="宋体" w:cs="Times New Roman"/>
          <w:sz w:val="24"/>
          <w:highlight w:val="none"/>
        </w:rPr>
        <w:t>（以下简称“甲方”）与</w:t>
      </w:r>
      <w:r>
        <w:rPr>
          <w:rFonts w:hint="eastAsia" w:ascii="宋体" w:hAnsi="宋体" w:eastAsia="宋体" w:cs="Times New Roman"/>
          <w:bCs/>
          <w:snapToGrid w:val="0"/>
          <w:kern w:val="0"/>
          <w:sz w:val="24"/>
          <w:highlight w:val="none"/>
          <w:u w:val="single"/>
        </w:rPr>
        <w:t xml:space="preserve">                    </w:t>
      </w:r>
      <w:r>
        <w:rPr>
          <w:rFonts w:ascii="Calibri" w:hAnsi="Calibri" w:eastAsia="宋体" w:cs="Times New Roman"/>
          <w:sz w:val="24"/>
          <w:highlight w:val="none"/>
        </w:rPr>
        <w:t>（以下简称“乙方”）</w:t>
      </w:r>
      <w:r>
        <w:rPr>
          <w:rFonts w:hint="eastAsia" w:ascii="Calibri" w:hAnsi="Calibri" w:eastAsia="宋体" w:cs="Times New Roman"/>
          <w:sz w:val="24"/>
          <w:highlight w:val="none"/>
        </w:rPr>
        <w:t>就</w:t>
      </w:r>
      <w:r>
        <w:rPr>
          <w:rFonts w:hint="eastAsia" w:ascii="Calibri" w:hAnsi="Calibri" w:eastAsia="宋体" w:cs="Times New Roman"/>
          <w:sz w:val="24"/>
          <w:highlight w:val="none"/>
          <w:u w:val="single"/>
        </w:rPr>
        <w:t>广州市净水有限公司污水处理系统进水水质生物毒性监测设备研发</w:t>
      </w:r>
      <w:r>
        <w:rPr>
          <w:rFonts w:ascii="Calibri" w:hAnsi="Calibri" w:eastAsia="宋体" w:cs="Times New Roman"/>
          <w:sz w:val="24"/>
          <w:highlight w:val="none"/>
        </w:rPr>
        <w:t>和相应技术服务事宜，遵循平等、自愿、公平和诚实信用的原则，双方协商一致，订立本合同。</w:t>
      </w:r>
    </w:p>
    <w:p>
      <w:pPr>
        <w:spacing w:line="360" w:lineRule="auto"/>
        <w:ind w:firstLine="482" w:firstLineChars="200"/>
        <w:rPr>
          <w:rFonts w:ascii="Calibri" w:hAnsi="Calibri" w:eastAsia="宋体" w:cs="Times New Roman"/>
          <w:b/>
          <w:bCs/>
          <w:sz w:val="24"/>
          <w:highlight w:val="none"/>
        </w:rPr>
      </w:pPr>
      <w:r>
        <w:rPr>
          <w:rFonts w:ascii="Calibri" w:hAnsi="Calibri" w:eastAsia="宋体" w:cs="Times New Roman"/>
          <w:b/>
          <w:bCs/>
          <w:sz w:val="24"/>
          <w:highlight w:val="none"/>
        </w:rPr>
        <w:t>第一条 组成合同的文件及优先顺序</w:t>
      </w:r>
    </w:p>
    <w:p>
      <w:pPr>
        <w:spacing w:line="360" w:lineRule="auto"/>
        <w:ind w:firstLine="480" w:firstLineChars="200"/>
        <w:rPr>
          <w:rFonts w:ascii="Calibri" w:hAnsi="Calibri" w:eastAsia="宋体" w:cs="Times New Roman"/>
          <w:sz w:val="24"/>
          <w:highlight w:val="none"/>
        </w:rPr>
      </w:pPr>
      <w:r>
        <w:rPr>
          <w:rFonts w:ascii="Calibri" w:hAnsi="Calibri" w:eastAsia="宋体" w:cs="Times New Roman"/>
          <w:bCs/>
          <w:sz w:val="24"/>
          <w:highlight w:val="none"/>
        </w:rPr>
        <w:t>下列文件（如有）均为本合同的组成部分，可视为能相互说明和补充的，如果合同文件存在歧义或相矛盾的地方，则根据以下次序判断：</w:t>
      </w:r>
    </w:p>
    <w:p>
      <w:pPr>
        <w:spacing w:line="360" w:lineRule="auto"/>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（1）</w:t>
      </w:r>
      <w:r>
        <w:rPr>
          <w:rFonts w:ascii="Calibri" w:hAnsi="Calibri" w:eastAsia="宋体" w:cs="Times New Roman"/>
          <w:sz w:val="24"/>
          <w:highlight w:val="none"/>
        </w:rPr>
        <w:t>在本合同实施过程双方签署的补充与修正文件；</w:t>
      </w:r>
    </w:p>
    <w:p>
      <w:pPr>
        <w:spacing w:line="360" w:lineRule="auto"/>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（2）</w:t>
      </w:r>
      <w:r>
        <w:rPr>
          <w:rFonts w:ascii="Calibri" w:hAnsi="Calibri" w:eastAsia="宋体" w:cs="Times New Roman"/>
          <w:sz w:val="24"/>
          <w:highlight w:val="none"/>
        </w:rPr>
        <w:t>本合同书；</w:t>
      </w:r>
    </w:p>
    <w:p>
      <w:pPr>
        <w:spacing w:line="360" w:lineRule="auto"/>
        <w:ind w:firstLine="480" w:firstLineChars="200"/>
        <w:rPr>
          <w:rFonts w:ascii="Calibri" w:hAnsi="Calibri" w:eastAsia="宋体" w:cs="Times New Roman"/>
          <w:bCs/>
          <w:sz w:val="24"/>
          <w:highlight w:val="none"/>
        </w:rPr>
      </w:pPr>
      <w:r>
        <w:rPr>
          <w:rFonts w:hint="eastAsia" w:ascii="Calibri" w:hAnsi="Calibri" w:eastAsia="宋体" w:cs="Times New Roman"/>
          <w:bCs/>
          <w:sz w:val="24"/>
          <w:highlight w:val="none"/>
        </w:rPr>
        <w:t>（3）</w:t>
      </w:r>
      <w:r>
        <w:rPr>
          <w:rFonts w:ascii="Calibri" w:hAnsi="Calibri" w:eastAsia="宋体" w:cs="Times New Roman"/>
          <w:bCs/>
          <w:sz w:val="24"/>
          <w:highlight w:val="none"/>
        </w:rPr>
        <w:t>本合同其他附件；</w:t>
      </w:r>
    </w:p>
    <w:p>
      <w:pPr>
        <w:spacing w:line="360" w:lineRule="auto"/>
        <w:ind w:firstLine="482" w:firstLineChars="200"/>
        <w:rPr>
          <w:rFonts w:ascii="Calibri" w:hAnsi="Calibri" w:eastAsia="宋体" w:cs="Times New Roman"/>
          <w:bCs/>
          <w:sz w:val="24"/>
          <w:highlight w:val="none"/>
        </w:rPr>
      </w:pPr>
      <w:r>
        <w:rPr>
          <w:rFonts w:ascii="Calibri" w:hAnsi="Calibri" w:eastAsia="宋体" w:cs="Times New Roman"/>
          <w:b/>
          <w:sz w:val="24"/>
          <w:highlight w:val="none"/>
        </w:rPr>
        <w:t>第二条 服务范围</w:t>
      </w:r>
    </w:p>
    <w:p>
      <w:pPr>
        <w:spacing w:line="360" w:lineRule="auto"/>
        <w:ind w:firstLine="480" w:firstLineChars="200"/>
        <w:rPr>
          <w:rFonts w:ascii="Calibri" w:hAnsi="Calibri" w:eastAsia="宋体" w:cs="Times New Roman"/>
          <w:sz w:val="24"/>
          <w:highlight w:val="none"/>
        </w:rPr>
      </w:pPr>
      <w:r>
        <w:rPr>
          <w:rFonts w:ascii="Calibri" w:hAnsi="Calibri" w:eastAsia="宋体" w:cs="Times New Roman"/>
          <w:bCs/>
          <w:sz w:val="24"/>
          <w:highlight w:val="none"/>
        </w:rPr>
        <w:t>2.1</w:t>
      </w:r>
      <w:r>
        <w:rPr>
          <w:rFonts w:ascii="Calibri" w:hAnsi="Calibri" w:eastAsia="宋体" w:cs="Times New Roman"/>
          <w:sz w:val="24"/>
          <w:highlight w:val="none"/>
        </w:rPr>
        <w:t xml:space="preserve">采购内容和范围： </w:t>
      </w:r>
    </w:p>
    <w:p>
      <w:pPr>
        <w:adjustRightInd w:val="0"/>
        <w:snapToGrid w:val="0"/>
        <w:spacing w:line="360" w:lineRule="auto"/>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2</w:t>
      </w:r>
      <w:r>
        <w:rPr>
          <w:rFonts w:ascii="Calibri" w:hAnsi="Calibri" w:eastAsia="宋体" w:cs="Times New Roman"/>
          <w:sz w:val="24"/>
          <w:highlight w:val="none"/>
        </w:rPr>
        <w:t>.1.1</w:t>
      </w:r>
      <w:r>
        <w:rPr>
          <w:rFonts w:hint="eastAsia" w:ascii="Calibri" w:hAnsi="Calibri" w:eastAsia="宋体" w:cs="Times New Roman"/>
          <w:sz w:val="24"/>
          <w:highlight w:val="none"/>
        </w:rPr>
        <w:t>具体研究内容：</w:t>
      </w:r>
    </w:p>
    <w:p>
      <w:pPr>
        <w:widowControl/>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 微生物电化学系统的材料结构优化及设备化。</w:t>
      </w:r>
    </w:p>
    <w:p>
      <w:pPr>
        <w:widowControl/>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结合实际水质特征及监测场景的需求，构建响应灵敏、适用性好的生物电化学检测设备，对设备的电极材料、尺寸、膜材料和系统结构进行优化，在保证系统性能的前提下，实现设备的小型化、低成本化和便携化，并在此基础上对其封装方案进行测试优化。本部分研究将对不同批次间设备的一致稳定性进行评估和调试。</w:t>
      </w:r>
    </w:p>
    <w:p>
      <w:pPr>
        <w:widowControl/>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 生物电化学生物毒性监测设备的现场应用优化</w:t>
      </w:r>
    </w:p>
    <w:p>
      <w:pPr>
        <w:widowControl/>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生物膜电信号的放大及直观简捷的毒性评价和预警系统是整个项目的技术核心。在生物电化学系统性能优化的基础上，本项目还将针对实际应用环境的特点，同时根据生物膜的电信号变化阈值及实际监测场景需要，进行信号放大或转化，结合设备周边软硬件开发及水厂现有监测系统，构建直观、简捷且可拓展的监测预警终端系统，并在水厂实际进水环境中进行不少于 3个月的在线监测并根据实际需求持续优化。</w:t>
      </w:r>
    </w:p>
    <w:p>
      <w:pPr>
        <w:widowControl/>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2.1.2</w:t>
      </w:r>
      <w:r>
        <w:rPr>
          <w:rFonts w:hint="eastAsia" w:ascii="宋体" w:hAnsi="宋体" w:eastAsia="宋体" w:cs="宋体"/>
          <w:bCs/>
          <w:sz w:val="24"/>
          <w:szCs w:val="24"/>
          <w:highlight w:val="none"/>
        </w:rPr>
        <w:t>研发及测试内容为：</w:t>
      </w:r>
    </w:p>
    <w:p>
      <w:pPr>
        <w:widowControl/>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为保证报告完成质量，供应商需对指定净水厂采样监测，并基于净水厂的进水特征，研发适用性强的进水生物毒性监测设备，结果需体现于报告中，并对净水厂运营提供参考建议。</w:t>
      </w:r>
    </w:p>
    <w:tbl>
      <w:tblPr>
        <w:tblStyle w:val="27"/>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02"/>
        <w:gridCol w:w="76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5" w:hRule="atLeast"/>
        </w:trPr>
        <w:tc>
          <w:tcPr>
            <w:tcW w:w="1687" w:type="dxa"/>
            <w:vAlign w:val="center"/>
          </w:tcPr>
          <w:p>
            <w:pPr>
              <w:widowControl/>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研发项目</w:t>
            </w:r>
          </w:p>
        </w:tc>
        <w:tc>
          <w:tcPr>
            <w:tcW w:w="6808" w:type="dxa"/>
            <w:vAlign w:val="center"/>
          </w:tcPr>
          <w:p>
            <w:pPr>
              <w:widowControl/>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内容要求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12" w:hRule="atLeast"/>
        </w:trPr>
        <w:tc>
          <w:tcPr>
            <w:tcW w:w="1687" w:type="dxa"/>
            <w:vAlign w:val="center"/>
          </w:tcPr>
          <w:p>
            <w:pPr>
              <w:widowControl/>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可灵敏响应进水生物毒性的在线监测设备</w:t>
            </w:r>
          </w:p>
        </w:tc>
        <w:tc>
          <w:tcPr>
            <w:tcW w:w="6808" w:type="dxa"/>
            <w:vAlign w:val="center"/>
          </w:tcPr>
          <w:p>
            <w:pPr>
              <w:widowControl/>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可实时响应进水生物毒性，与基于模式生物（发光细菌、大型溞等）的生物毒性评估方法具有较好的一致性，且在实际水厂测试具有较好的稳定性和重现性；</w:t>
            </w:r>
          </w:p>
          <w:p>
            <w:pPr>
              <w:widowControl/>
              <w:spacing w:line="360" w:lineRule="auto"/>
              <w:ind w:firstLine="480" w:firstLineChars="200"/>
              <w:jc w:val="left"/>
              <w:rPr>
                <w:rFonts w:ascii="宋体" w:hAnsi="宋体" w:eastAsia="宋体" w:cs="宋体"/>
                <w:bCs/>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80" w:hRule="atLeast"/>
        </w:trPr>
        <w:tc>
          <w:tcPr>
            <w:tcW w:w="1687" w:type="dxa"/>
            <w:tcBorders>
              <w:top w:val="single" w:color="auto" w:sz="4" w:space="0"/>
            </w:tcBorders>
            <w:vAlign w:val="center"/>
          </w:tcPr>
          <w:p>
            <w:pPr>
              <w:widowControl/>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编写合理可行的进水生物毒性评价及预警技术操作规程</w:t>
            </w:r>
          </w:p>
        </w:tc>
        <w:tc>
          <w:tcPr>
            <w:tcW w:w="6808" w:type="dxa"/>
            <w:tcBorders>
              <w:top w:val="single" w:color="auto" w:sz="4" w:space="0"/>
            </w:tcBorders>
            <w:vAlign w:val="center"/>
          </w:tcPr>
          <w:p>
            <w:pPr>
              <w:widowControl/>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针对水厂进水管控需求，编写合理可行的生物毒性在线监测设备技术操作规程，为水厂运行管理提供可靠依据和技术支持；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5" w:hRule="atLeast"/>
        </w:trPr>
        <w:tc>
          <w:tcPr>
            <w:tcW w:w="1687" w:type="dxa"/>
            <w:vAlign w:val="center"/>
          </w:tcPr>
          <w:p>
            <w:pPr>
              <w:widowControl/>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研究结果分析及报告编写</w:t>
            </w:r>
          </w:p>
        </w:tc>
        <w:tc>
          <w:tcPr>
            <w:tcW w:w="6808" w:type="dxa"/>
            <w:vAlign w:val="center"/>
          </w:tcPr>
          <w:p>
            <w:pPr>
              <w:widowControl/>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需包含：</w:t>
            </w:r>
          </w:p>
          <w:p>
            <w:pPr>
              <w:widowControl/>
              <w:numPr>
                <w:ilvl w:val="0"/>
                <w:numId w:val="5"/>
              </w:numPr>
              <w:spacing w:line="360" w:lineRule="auto"/>
              <w:ind w:left="425" w:hanging="425" w:firstLineChars="0"/>
              <w:jc w:val="left"/>
              <w:rPr>
                <w:rFonts w:ascii="宋体" w:hAnsi="宋体" w:eastAsia="宋体" w:cs="宋体"/>
                <w:bCs/>
                <w:sz w:val="24"/>
                <w:szCs w:val="24"/>
                <w:highlight w:val="none"/>
              </w:rPr>
            </w:pPr>
            <w:r>
              <w:rPr>
                <w:rFonts w:hint="eastAsia" w:ascii="宋体" w:hAnsi="宋体" w:eastAsia="宋体" w:cs="宋体"/>
                <w:bCs/>
                <w:sz w:val="24"/>
                <w:szCs w:val="24"/>
                <w:highlight w:val="none"/>
              </w:rPr>
              <w:t>上述检测及研发的结果数据及分析；</w:t>
            </w:r>
          </w:p>
          <w:p>
            <w:pPr>
              <w:widowControl/>
              <w:numPr>
                <w:ilvl w:val="0"/>
                <w:numId w:val="5"/>
              </w:numPr>
              <w:spacing w:line="360" w:lineRule="auto"/>
              <w:ind w:left="425" w:hanging="425" w:firstLineChars="0"/>
              <w:jc w:val="left"/>
              <w:rPr>
                <w:rFonts w:ascii="宋体" w:hAnsi="宋体" w:eastAsia="宋体" w:cs="宋体"/>
                <w:bCs/>
                <w:sz w:val="24"/>
                <w:szCs w:val="24"/>
                <w:highlight w:val="none"/>
              </w:rPr>
            </w:pPr>
            <w:r>
              <w:rPr>
                <w:rFonts w:hint="eastAsia" w:ascii="宋体" w:hAnsi="宋体" w:eastAsia="宋体" w:cs="宋体"/>
                <w:bCs/>
                <w:sz w:val="24"/>
                <w:szCs w:val="24"/>
                <w:highlight w:val="none"/>
              </w:rPr>
              <w:t>检测设备具有生态安全性的证明材料；</w:t>
            </w:r>
          </w:p>
          <w:p>
            <w:pPr>
              <w:widowControl/>
              <w:numPr>
                <w:ilvl w:val="0"/>
                <w:numId w:val="5"/>
              </w:numPr>
              <w:spacing w:line="360" w:lineRule="auto"/>
              <w:ind w:left="425" w:hanging="425" w:firstLineChars="0"/>
              <w:jc w:val="left"/>
              <w:rPr>
                <w:rFonts w:ascii="宋体" w:hAnsi="宋体" w:eastAsia="宋体" w:cs="宋体"/>
                <w:bCs/>
                <w:sz w:val="24"/>
                <w:szCs w:val="24"/>
                <w:highlight w:val="none"/>
              </w:rPr>
            </w:pPr>
            <w:r>
              <w:rPr>
                <w:rFonts w:hint="eastAsia" w:ascii="宋体" w:hAnsi="宋体" w:eastAsia="宋体" w:cs="宋体"/>
                <w:bCs/>
                <w:sz w:val="24"/>
                <w:szCs w:val="24"/>
                <w:highlight w:val="none"/>
              </w:rPr>
              <w:t>设备使用条件及操作方法或规程</w:t>
            </w:r>
            <w:r>
              <w:rPr>
                <w:rFonts w:hint="eastAsia" w:ascii="宋体" w:hAnsi="宋体" w:eastAsia="宋体" w:cs="宋体"/>
                <w:bCs/>
                <w:sz w:val="24"/>
                <w:szCs w:val="24"/>
                <w:highlight w:val="none"/>
                <w:lang w:eastAsia="zh-CN"/>
              </w:rPr>
              <w:t>；</w:t>
            </w:r>
          </w:p>
          <w:p>
            <w:pPr>
              <w:widowControl/>
              <w:numPr>
                <w:ilvl w:val="0"/>
                <w:numId w:val="5"/>
              </w:numPr>
              <w:spacing w:line="360" w:lineRule="auto"/>
              <w:ind w:left="425" w:hanging="425"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基于生物毒性的进水水质管控合理建议</w:t>
            </w:r>
            <w:r>
              <w:rPr>
                <w:rFonts w:hint="eastAsia" w:ascii="宋体" w:hAnsi="宋体" w:eastAsia="宋体" w:cs="宋体"/>
                <w:bCs/>
                <w:sz w:val="24"/>
                <w:szCs w:val="24"/>
                <w:highlight w:val="none"/>
                <w:lang w:eastAsia="zh-CN"/>
              </w:rPr>
              <w:t>；</w:t>
            </w:r>
          </w:p>
          <w:p>
            <w:pPr>
              <w:widowControl/>
              <w:numPr>
                <w:ilvl w:val="0"/>
                <w:numId w:val="5"/>
              </w:numPr>
              <w:spacing w:line="360" w:lineRule="auto"/>
              <w:ind w:left="425" w:hanging="425"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申请发明专利一项。</w:t>
            </w:r>
          </w:p>
        </w:tc>
      </w:tr>
    </w:tbl>
    <w:p>
      <w:pPr>
        <w:widowControl/>
        <w:adjustRightInd w:val="0"/>
        <w:snapToGrid w:val="0"/>
        <w:spacing w:after="200"/>
        <w:jc w:val="left"/>
        <w:rPr>
          <w:rFonts w:hint="eastAsia" w:ascii="Times New Roman" w:hAnsi="Times New Roman" w:eastAsia="微软雅黑" w:cs="Tahoma"/>
          <w:kern w:val="0"/>
          <w:sz w:val="28"/>
          <w:szCs w:val="28"/>
          <w:highlight w:val="none"/>
          <w:lang w:val="en-US" w:eastAsia="zh-CN" w:bidi="ar-SA"/>
        </w:rPr>
      </w:pPr>
    </w:p>
    <w:p>
      <w:pPr>
        <w:widowControl/>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2.2服务工期：自合同生效之日起1年或合同研究内容完成为止，以先到者为准。</w:t>
      </w:r>
    </w:p>
    <w:p>
      <w:pPr>
        <w:tabs>
          <w:tab w:val="left" w:pos="312"/>
        </w:tabs>
        <w:spacing w:line="360" w:lineRule="auto"/>
        <w:ind w:firstLine="482" w:firstLineChars="200"/>
        <w:rPr>
          <w:rFonts w:ascii="Calibri" w:hAnsi="Calibri" w:eastAsia="宋体" w:cs="Times New Roman"/>
          <w:b/>
          <w:sz w:val="24"/>
          <w:highlight w:val="none"/>
        </w:rPr>
      </w:pPr>
      <w:r>
        <w:rPr>
          <w:rFonts w:ascii="Calibri" w:hAnsi="Calibri" w:eastAsia="宋体" w:cs="Times New Roman"/>
          <w:b/>
          <w:sz w:val="24"/>
          <w:highlight w:val="none"/>
        </w:rPr>
        <w:t>第</w:t>
      </w:r>
      <w:r>
        <w:rPr>
          <w:rFonts w:hint="eastAsia" w:ascii="Calibri" w:hAnsi="Calibri" w:eastAsia="宋体" w:cs="Times New Roman"/>
          <w:b/>
          <w:sz w:val="24"/>
          <w:highlight w:val="none"/>
        </w:rPr>
        <w:t>三</w:t>
      </w:r>
      <w:r>
        <w:rPr>
          <w:rFonts w:ascii="Calibri" w:hAnsi="Calibri" w:eastAsia="宋体" w:cs="Times New Roman"/>
          <w:b/>
          <w:sz w:val="24"/>
          <w:highlight w:val="none"/>
        </w:rPr>
        <w:t>条</w:t>
      </w:r>
      <w:r>
        <w:rPr>
          <w:rFonts w:hint="eastAsia" w:ascii="Calibri" w:hAnsi="Calibri" w:eastAsia="宋体" w:cs="Times New Roman"/>
          <w:b/>
          <w:sz w:val="24"/>
          <w:highlight w:val="none"/>
        </w:rPr>
        <w:t xml:space="preserve"> </w:t>
      </w:r>
      <w:r>
        <w:rPr>
          <w:rFonts w:ascii="Calibri" w:hAnsi="Calibri" w:eastAsia="宋体" w:cs="Times New Roman"/>
          <w:b/>
          <w:sz w:val="24"/>
          <w:highlight w:val="none"/>
        </w:rPr>
        <w:t>合同价格</w:t>
      </w:r>
    </w:p>
    <w:p>
      <w:pPr>
        <w:autoSpaceDE w:val="0"/>
        <w:autoSpaceDN w:val="0"/>
        <w:spacing w:line="360" w:lineRule="auto"/>
        <w:ind w:firstLine="480" w:firstLineChars="200"/>
        <w:jc w:val="left"/>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w:t>
      </w:r>
      <w:r>
        <w:rPr>
          <w:rFonts w:ascii="Times New Roman" w:hAnsi="Times New Roman" w:eastAsia="宋体" w:cs="Times New Roman"/>
          <w:bCs/>
          <w:sz w:val="24"/>
          <w:szCs w:val="24"/>
          <w:highlight w:val="none"/>
        </w:rPr>
        <w:t>.1</w:t>
      </w:r>
      <w:r>
        <w:rPr>
          <w:rFonts w:hint="eastAsia" w:ascii="Times New Roman" w:hAnsi="Times New Roman" w:eastAsia="宋体" w:cs="Times New Roman"/>
          <w:bCs/>
          <w:sz w:val="24"/>
          <w:szCs w:val="24"/>
          <w:highlight w:val="none"/>
        </w:rPr>
        <w:t>本合同总价为</w:t>
      </w:r>
      <w:r>
        <w:rPr>
          <w:rFonts w:ascii="Times New Roman" w:hAnsi="Times New Roman" w:eastAsia="宋体" w:cs="Times New Roman"/>
          <w:bCs/>
          <w:sz w:val="24"/>
          <w:szCs w:val="24"/>
          <w:highlight w:val="none"/>
          <w:u w:val="single"/>
        </w:rPr>
        <w:t>¥</w:t>
      </w:r>
      <w:r>
        <w:rPr>
          <w:rFonts w:hint="eastAsia" w:ascii="Times New Roman" w:hAnsi="Times New Roman" w:eastAsia="宋体" w:cs="Times New Roman"/>
          <w:bCs/>
          <w:sz w:val="24"/>
          <w:szCs w:val="24"/>
          <w:highlight w:val="none"/>
          <w:u w:val="single"/>
        </w:rPr>
        <w:t xml:space="preserve">       </w:t>
      </w:r>
      <w:r>
        <w:rPr>
          <w:rFonts w:hint="eastAsia" w:ascii="Times New Roman" w:hAnsi="Times New Roman" w:eastAsia="宋体" w:cs="Times New Roman"/>
          <w:bCs/>
          <w:sz w:val="24"/>
          <w:szCs w:val="24"/>
          <w:highlight w:val="none"/>
        </w:rPr>
        <w:t>元，（人民币）大写</w:t>
      </w:r>
      <w:r>
        <w:rPr>
          <w:rFonts w:hint="eastAsia" w:ascii="Times New Roman" w:hAnsi="Times New Roman" w:eastAsia="宋体" w:cs="Times New Roman"/>
          <w:bCs/>
          <w:sz w:val="24"/>
          <w:szCs w:val="24"/>
          <w:highlight w:val="none"/>
          <w:u w:val="single"/>
        </w:rPr>
        <w:t xml:space="preserve">：               </w:t>
      </w:r>
      <w:r>
        <w:rPr>
          <w:rFonts w:hint="eastAsia" w:ascii="Times New Roman" w:hAnsi="Times New Roman" w:eastAsia="宋体" w:cs="Times New Roman"/>
          <w:bCs/>
          <w:sz w:val="24"/>
          <w:szCs w:val="24"/>
          <w:highlight w:val="none"/>
        </w:rPr>
        <w:t>。本合同约定的价格为含税价（税率</w:t>
      </w:r>
      <w:r>
        <w:rPr>
          <w:rFonts w:hint="eastAsia" w:ascii="Times New Roman" w:hAnsi="Times New Roman" w:eastAsia="宋体" w:cs="Times New Roman"/>
          <w:bCs/>
          <w:sz w:val="24"/>
          <w:szCs w:val="24"/>
          <w:highlight w:val="none"/>
          <w:u w:val="single"/>
        </w:rPr>
        <w:t xml:space="preserve">  </w:t>
      </w:r>
      <w:r>
        <w:rPr>
          <w:rFonts w:hint="eastAsia" w:ascii="Times New Roman" w:hAnsi="Times New Roman" w:eastAsia="宋体" w:cs="Times New Roman"/>
          <w:bCs/>
          <w:sz w:val="24"/>
          <w:szCs w:val="24"/>
          <w:highlight w:val="none"/>
        </w:rPr>
        <w:t>%），合同履行期间国家税率调整或乙方开票的实际税率与前述税率不一致的，价税合计按实际税率相应调整，以开具发票时间为准。</w:t>
      </w:r>
    </w:p>
    <w:p>
      <w:pPr>
        <w:spacing w:line="360" w:lineRule="auto"/>
        <w:ind w:firstLine="482" w:firstLineChars="200"/>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 xml:space="preserve">第四条 </w:t>
      </w:r>
      <w:r>
        <w:rPr>
          <w:rFonts w:hint="eastAsia" w:ascii="宋体" w:hAnsi="宋体" w:eastAsia="宋体" w:cs="宋体"/>
          <w:bCs/>
          <w:snapToGrid w:val="0"/>
          <w:kern w:val="0"/>
          <w:sz w:val="24"/>
          <w:highlight w:val="none"/>
        </w:rPr>
        <w:t>甲方责任和义务</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4.1甲方辖下各分公司指定项目联系人负责本项目工作事项的联络沟通。</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4.2甲方须按照本合同约定向乙方支付</w:t>
      </w:r>
      <w:r>
        <w:rPr>
          <w:rFonts w:hint="eastAsia" w:ascii="宋体" w:hAnsi="宋体" w:eastAsia="宋体" w:cs="宋体"/>
          <w:sz w:val="24"/>
          <w:highlight w:val="none"/>
          <w:lang w:val="en-US" w:eastAsia="zh-CN"/>
        </w:rPr>
        <w:t>技术研发</w:t>
      </w:r>
      <w:r>
        <w:rPr>
          <w:rFonts w:hint="eastAsia" w:ascii="宋体" w:hAnsi="宋体" w:eastAsia="宋体" w:cs="宋体"/>
          <w:sz w:val="24"/>
          <w:highlight w:val="none"/>
        </w:rPr>
        <w:t>服务的工作报酬。</w:t>
      </w:r>
    </w:p>
    <w:p>
      <w:pPr>
        <w:spacing w:line="360" w:lineRule="auto"/>
        <w:ind w:firstLine="482" w:firstLineChars="200"/>
        <w:rPr>
          <w:rFonts w:ascii="宋体" w:hAnsi="宋体" w:eastAsia="宋体" w:cs="宋体"/>
          <w:snapToGrid w:val="0"/>
          <w:kern w:val="0"/>
          <w:sz w:val="24"/>
          <w:highlight w:val="none"/>
        </w:rPr>
      </w:pPr>
      <w:r>
        <w:rPr>
          <w:rFonts w:hint="eastAsia" w:ascii="宋体" w:hAnsi="宋体" w:eastAsia="宋体" w:cs="宋体"/>
          <w:b/>
          <w:bCs/>
          <w:snapToGrid w:val="0"/>
          <w:kern w:val="0"/>
          <w:sz w:val="24"/>
          <w:highlight w:val="none"/>
        </w:rPr>
        <w:t>第五条</w:t>
      </w:r>
      <w:r>
        <w:rPr>
          <w:rFonts w:hint="eastAsia" w:ascii="宋体" w:hAnsi="宋体" w:eastAsia="宋体" w:cs="宋体"/>
          <w:b/>
          <w:snapToGrid w:val="0"/>
          <w:kern w:val="0"/>
          <w:sz w:val="24"/>
          <w:highlight w:val="none"/>
        </w:rPr>
        <w:t xml:space="preserve"> </w:t>
      </w:r>
      <w:r>
        <w:rPr>
          <w:rFonts w:hint="eastAsia" w:ascii="宋体" w:hAnsi="宋体" w:eastAsia="宋体" w:cs="宋体"/>
          <w:snapToGrid w:val="0"/>
          <w:kern w:val="0"/>
          <w:sz w:val="24"/>
          <w:highlight w:val="none"/>
        </w:rPr>
        <w:t>乙方</w:t>
      </w:r>
      <w:r>
        <w:rPr>
          <w:rFonts w:hint="eastAsia" w:ascii="宋体" w:hAnsi="宋体" w:eastAsia="宋体" w:cs="宋体"/>
          <w:bCs/>
          <w:snapToGrid w:val="0"/>
          <w:kern w:val="0"/>
          <w:sz w:val="24"/>
          <w:highlight w:val="none"/>
        </w:rPr>
        <w:t>责任和</w:t>
      </w:r>
      <w:r>
        <w:rPr>
          <w:rFonts w:hint="eastAsia" w:ascii="宋体" w:hAnsi="宋体" w:eastAsia="宋体" w:cs="宋体"/>
          <w:snapToGrid w:val="0"/>
          <w:kern w:val="0"/>
          <w:sz w:val="24"/>
          <w:highlight w:val="none"/>
        </w:rPr>
        <w:t>义务</w:t>
      </w:r>
    </w:p>
    <w:p>
      <w:pPr>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5.1乙方指定</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为</w:t>
      </w:r>
      <w:r>
        <w:rPr>
          <w:rFonts w:hint="eastAsia" w:ascii="宋体" w:hAnsi="宋体" w:eastAsia="宋体" w:cs="宋体"/>
          <w:snapToGrid w:val="0"/>
          <w:kern w:val="0"/>
          <w:sz w:val="24"/>
          <w:highlight w:val="none"/>
        </w:rPr>
        <w:t>乙方项目联系人及</w:t>
      </w:r>
      <w:r>
        <w:rPr>
          <w:rFonts w:hint="eastAsia" w:ascii="宋体" w:hAnsi="宋体" w:eastAsia="宋体" w:cs="宋体"/>
          <w:sz w:val="24"/>
          <w:highlight w:val="none"/>
        </w:rPr>
        <w:t>现场代表</w:t>
      </w:r>
      <w:r>
        <w:rPr>
          <w:rFonts w:hint="eastAsia" w:ascii="宋体" w:hAnsi="宋体" w:eastAsia="宋体" w:cs="宋体"/>
          <w:snapToGrid w:val="0"/>
          <w:kern w:val="0"/>
          <w:sz w:val="24"/>
          <w:highlight w:val="none"/>
        </w:rPr>
        <w:t>，</w:t>
      </w:r>
      <w:r>
        <w:rPr>
          <w:rFonts w:hint="eastAsia" w:ascii="宋体" w:hAnsi="宋体" w:eastAsia="宋体" w:cs="宋体"/>
          <w:bCs/>
          <w:snapToGrid w:val="0"/>
          <w:kern w:val="0"/>
          <w:sz w:val="24"/>
          <w:highlight w:val="none"/>
        </w:rPr>
        <w:t>联系电话：</w:t>
      </w:r>
      <w:r>
        <w:rPr>
          <w:rFonts w:hint="eastAsia" w:ascii="宋体" w:hAnsi="宋体" w:eastAsia="宋体" w:cs="宋体"/>
          <w:bCs/>
          <w:snapToGrid w:val="0"/>
          <w:kern w:val="0"/>
          <w:sz w:val="24"/>
          <w:highlight w:val="none"/>
          <w:u w:val="single"/>
        </w:rPr>
        <w:t xml:space="preserve">          </w:t>
      </w:r>
      <w:r>
        <w:rPr>
          <w:rFonts w:hint="eastAsia" w:ascii="宋体" w:hAnsi="宋体" w:eastAsia="宋体" w:cs="宋体"/>
          <w:bCs/>
          <w:snapToGrid w:val="0"/>
          <w:kern w:val="0"/>
          <w:sz w:val="24"/>
          <w:highlight w:val="none"/>
        </w:rPr>
        <w:t>，负责本项目工作事项的联络沟通，完成</w:t>
      </w:r>
      <w:r>
        <w:rPr>
          <w:rFonts w:hint="eastAsia" w:ascii="宋体" w:hAnsi="宋体" w:eastAsia="宋体" w:cs="宋体"/>
          <w:sz w:val="24"/>
          <w:highlight w:val="none"/>
        </w:rPr>
        <w:t>项目检测报告。</w:t>
      </w:r>
    </w:p>
    <w:p>
      <w:pPr>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若乙方需变更项目联系人及</w:t>
      </w:r>
      <w:r>
        <w:rPr>
          <w:rFonts w:hint="eastAsia" w:ascii="宋体" w:hAnsi="宋体" w:eastAsia="宋体" w:cs="宋体"/>
          <w:sz w:val="24"/>
          <w:highlight w:val="none"/>
        </w:rPr>
        <w:t>现场代表</w:t>
      </w:r>
      <w:r>
        <w:rPr>
          <w:rFonts w:hint="eastAsia" w:ascii="宋体" w:hAnsi="宋体" w:eastAsia="宋体" w:cs="宋体"/>
          <w:snapToGrid w:val="0"/>
          <w:kern w:val="0"/>
          <w:sz w:val="24"/>
          <w:highlight w:val="none"/>
        </w:rPr>
        <w:t>，应及时以邮件或书面形式通知甲方。若乙方未履行及时通知义务，影响本合同的履行或造成损失的，乙方应一次性支付本合同价总额的</w:t>
      </w:r>
      <w:r>
        <w:rPr>
          <w:rFonts w:ascii="宋体" w:hAnsi="宋体" w:eastAsia="宋体" w:cs="宋体"/>
          <w:snapToGrid w:val="0"/>
          <w:kern w:val="0"/>
          <w:sz w:val="24"/>
          <w:highlight w:val="none"/>
        </w:rPr>
        <w:t xml:space="preserve"> 10%作为违约金，并承担相应的法律责任。</w:t>
      </w:r>
    </w:p>
    <w:p>
      <w:pPr>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5.2乙方须按照下列要求提交本合同检测分析及研究成果。</w:t>
      </w:r>
    </w:p>
    <w:p>
      <w:pPr>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z w:val="24"/>
          <w:highlight w:val="none"/>
        </w:rPr>
        <w:t>5.2.1</w:t>
      </w:r>
      <w:r>
        <w:rPr>
          <w:rFonts w:hint="eastAsia" w:ascii="宋体" w:hAnsi="宋体" w:eastAsia="宋体" w:cs="宋体"/>
          <w:snapToGrid w:val="0"/>
          <w:kern w:val="0"/>
          <w:sz w:val="24"/>
          <w:highlight w:val="none"/>
        </w:rPr>
        <w:t>合同签订后</w:t>
      </w:r>
      <w:r>
        <w:rPr>
          <w:rFonts w:ascii="宋体" w:hAnsi="宋体" w:eastAsia="宋体" w:cs="宋体"/>
          <w:snapToGrid w:val="0"/>
          <w:kern w:val="0"/>
          <w:sz w:val="24"/>
          <w:highlight w:val="none"/>
        </w:rPr>
        <w:t>30天内</w:t>
      </w:r>
      <w:r>
        <w:rPr>
          <w:rFonts w:hint="eastAsia" w:ascii="宋体" w:hAnsi="宋体" w:eastAsia="宋体" w:cs="宋体"/>
          <w:snapToGrid w:val="0"/>
          <w:kern w:val="0"/>
          <w:sz w:val="24"/>
          <w:highlight w:val="none"/>
        </w:rPr>
        <w:t>，</w:t>
      </w:r>
      <w:r>
        <w:rPr>
          <w:rFonts w:hint="eastAsia" w:ascii="宋体" w:hAnsi="宋体" w:eastAsia="宋体" w:cs="宋体"/>
          <w:sz w:val="24"/>
          <w:szCs w:val="24"/>
          <w:highlight w:val="none"/>
        </w:rPr>
        <w:t>乙方需向甲方提交</w:t>
      </w:r>
      <w:r>
        <w:rPr>
          <w:rFonts w:hint="eastAsia" w:ascii="宋体" w:hAnsi="宋体" w:eastAsia="宋体" w:cs="宋体"/>
          <w:snapToGrid w:val="0"/>
          <w:kern w:val="0"/>
          <w:sz w:val="24"/>
          <w:highlight w:val="none"/>
        </w:rPr>
        <w:t>项目的具体实施方案（包括具体的样品采集、检测措施，具体的研究方案，预期的项目进展，预期的中期报告完成时间、预期的结题完成时间）的编制。</w:t>
      </w:r>
    </w:p>
    <w:p>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z w:val="24"/>
          <w:highlight w:val="none"/>
        </w:rPr>
        <w:t>5.2.</w:t>
      </w:r>
      <w:r>
        <w:rPr>
          <w:rFonts w:ascii="宋体" w:hAnsi="宋体" w:eastAsia="宋体" w:cs="宋体"/>
          <w:sz w:val="24"/>
          <w:highlight w:val="none"/>
        </w:rPr>
        <w:t>2合同签订半年内</w:t>
      </w:r>
      <w:r>
        <w:rPr>
          <w:rFonts w:hint="eastAsia" w:ascii="宋体" w:hAnsi="宋体" w:eastAsia="宋体" w:cs="宋体"/>
          <w:sz w:val="24"/>
          <w:highlight w:val="none"/>
        </w:rPr>
        <w:t>，</w:t>
      </w:r>
      <w:r>
        <w:rPr>
          <w:rFonts w:ascii="宋体" w:hAnsi="宋体" w:eastAsia="宋体" w:cs="宋体"/>
          <w:sz w:val="24"/>
          <w:highlight w:val="none"/>
        </w:rPr>
        <w:t>乙方须向甲方提交</w:t>
      </w:r>
      <w:r>
        <w:rPr>
          <w:rFonts w:hint="eastAsia" w:ascii="宋体" w:hAnsi="宋体" w:eastAsia="宋体" w:cs="宋体"/>
          <w:snapToGrid w:val="0"/>
          <w:kern w:val="0"/>
          <w:sz w:val="24"/>
          <w:highlight w:val="none"/>
        </w:rPr>
        <w:t>中期报告：需包含</w:t>
      </w:r>
      <w:r>
        <w:rPr>
          <w:rFonts w:hint="eastAsia" w:ascii="宋体" w:hAnsi="宋体" w:eastAsia="宋体" w:cs="宋体"/>
          <w:snapToGrid w:val="0"/>
          <w:sz w:val="24"/>
          <w:highlight w:val="none"/>
        </w:rPr>
        <w:t>2.1.2研发及测试内容</w:t>
      </w:r>
      <w:r>
        <w:rPr>
          <w:rFonts w:hint="eastAsia" w:ascii="宋体" w:hAnsi="宋体" w:eastAsia="宋体" w:cs="宋体"/>
          <w:snapToGrid w:val="0"/>
          <w:sz w:val="24"/>
          <w:highlight w:val="none"/>
          <w:lang w:val="en-US" w:eastAsia="zh-CN"/>
        </w:rPr>
        <w:t>中研发</w:t>
      </w:r>
      <w:r>
        <w:rPr>
          <w:rFonts w:hint="eastAsia" w:ascii="宋体" w:hAnsi="宋体" w:eastAsia="宋体" w:cs="宋体"/>
          <w:snapToGrid w:val="0"/>
          <w:sz w:val="24"/>
          <w:highlight w:val="none"/>
        </w:rPr>
        <w:t>项目</w:t>
      </w:r>
      <w:r>
        <w:rPr>
          <w:rFonts w:hint="eastAsia" w:ascii="宋体" w:hAnsi="宋体" w:eastAsia="宋体" w:cs="宋体"/>
          <w:snapToGrid w:val="0"/>
          <w:kern w:val="0"/>
          <w:sz w:val="24"/>
          <w:highlight w:val="none"/>
          <w:lang w:eastAsia="zh-CN"/>
        </w:rPr>
        <w:t>、</w:t>
      </w:r>
      <w:r>
        <w:rPr>
          <w:rFonts w:hint="eastAsia" w:ascii="宋体" w:hAnsi="宋体" w:eastAsia="宋体" w:cs="宋体"/>
          <w:snapToGrid w:val="0"/>
          <w:kern w:val="0"/>
          <w:sz w:val="24"/>
          <w:highlight w:val="none"/>
          <w:lang w:val="en-US" w:eastAsia="zh-CN"/>
        </w:rPr>
        <w:t>内容要求不少于2项的</w:t>
      </w:r>
      <w:r>
        <w:rPr>
          <w:rFonts w:hint="eastAsia" w:ascii="宋体" w:hAnsi="宋体" w:eastAsia="宋体" w:cs="宋体"/>
          <w:snapToGrid w:val="0"/>
          <w:kern w:val="0"/>
          <w:sz w:val="24"/>
          <w:highlight w:val="none"/>
        </w:rPr>
        <w:t>结果</w:t>
      </w:r>
      <w:r>
        <w:rPr>
          <w:rFonts w:hint="eastAsia" w:ascii="宋体" w:hAnsi="宋体" w:eastAsia="宋体" w:cs="宋体"/>
          <w:sz w:val="24"/>
          <w:highlight w:val="none"/>
        </w:rPr>
        <w:t>，并得到2.1.1具体研究内容不少于一点的结论</w:t>
      </w:r>
      <w:r>
        <w:rPr>
          <w:rFonts w:hint="eastAsia" w:ascii="宋体" w:hAnsi="宋体" w:eastAsia="宋体" w:cs="宋体"/>
          <w:snapToGrid w:val="0"/>
          <w:kern w:val="0"/>
          <w:sz w:val="24"/>
          <w:highlight w:val="none"/>
        </w:rPr>
        <w:t>。</w:t>
      </w:r>
    </w:p>
    <w:p>
      <w:pPr>
        <w:widowControl/>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5.2.</w:t>
      </w:r>
      <w:r>
        <w:rPr>
          <w:rFonts w:ascii="宋体" w:hAnsi="宋体" w:eastAsia="宋体" w:cs="宋体"/>
          <w:snapToGrid w:val="0"/>
          <w:kern w:val="0"/>
          <w:sz w:val="24"/>
          <w:highlight w:val="none"/>
        </w:rPr>
        <w:t>3</w:t>
      </w:r>
      <w:r>
        <w:rPr>
          <w:rFonts w:ascii="宋体" w:hAnsi="宋体" w:eastAsia="宋体" w:cs="宋体"/>
          <w:sz w:val="24"/>
          <w:highlight w:val="none"/>
        </w:rPr>
        <w:t>合同签订</w:t>
      </w:r>
      <w:r>
        <w:rPr>
          <w:rFonts w:hint="eastAsia" w:ascii="宋体" w:hAnsi="宋体" w:eastAsia="宋体" w:cs="宋体"/>
          <w:sz w:val="24"/>
          <w:highlight w:val="none"/>
        </w:rPr>
        <w:t>一</w:t>
      </w:r>
      <w:r>
        <w:rPr>
          <w:rFonts w:ascii="宋体" w:hAnsi="宋体" w:eastAsia="宋体" w:cs="宋体"/>
          <w:sz w:val="24"/>
          <w:highlight w:val="none"/>
        </w:rPr>
        <w:t>年内</w:t>
      </w:r>
      <w:r>
        <w:rPr>
          <w:rFonts w:hint="eastAsia" w:ascii="宋体" w:hAnsi="宋体" w:eastAsia="宋体" w:cs="宋体"/>
          <w:sz w:val="24"/>
          <w:highlight w:val="none"/>
        </w:rPr>
        <w:t>，</w:t>
      </w:r>
      <w:r>
        <w:rPr>
          <w:rFonts w:ascii="宋体" w:hAnsi="宋体" w:eastAsia="宋体" w:cs="宋体"/>
          <w:sz w:val="24"/>
          <w:highlight w:val="none"/>
        </w:rPr>
        <w:t>乙方须向甲方提交</w:t>
      </w:r>
      <w:r>
        <w:rPr>
          <w:rFonts w:hint="eastAsia" w:ascii="宋体" w:hAnsi="宋体" w:eastAsia="宋体" w:cs="宋体"/>
          <w:snapToGrid w:val="0"/>
          <w:kern w:val="0"/>
          <w:sz w:val="24"/>
          <w:highlight w:val="none"/>
        </w:rPr>
        <w:t>结题报告：需包含2.1.2研发及测试内容</w:t>
      </w:r>
      <w:r>
        <w:rPr>
          <w:rFonts w:hint="eastAsia" w:ascii="宋体" w:hAnsi="宋体" w:eastAsia="宋体" w:cs="宋体"/>
          <w:snapToGrid w:val="0"/>
          <w:kern w:val="0"/>
          <w:sz w:val="24"/>
          <w:highlight w:val="none"/>
          <w:lang w:val="en-US" w:eastAsia="zh-CN"/>
        </w:rPr>
        <w:t>中</w:t>
      </w:r>
      <w:r>
        <w:rPr>
          <w:rFonts w:hint="eastAsia" w:ascii="宋体" w:hAnsi="宋体" w:eastAsia="宋体" w:cs="宋体"/>
          <w:snapToGrid w:val="0"/>
          <w:kern w:val="0"/>
          <w:sz w:val="24"/>
          <w:highlight w:val="none"/>
        </w:rPr>
        <w:t>全部项目、内容要求的</w:t>
      </w:r>
      <w:r>
        <w:rPr>
          <w:rFonts w:hint="eastAsia" w:ascii="宋体" w:hAnsi="宋体" w:eastAsia="宋体" w:cs="宋体"/>
          <w:snapToGrid w:val="0"/>
          <w:kern w:val="0"/>
          <w:sz w:val="24"/>
          <w:highlight w:val="none"/>
          <w:lang w:val="en-US" w:eastAsia="zh-CN"/>
        </w:rPr>
        <w:t>成</w:t>
      </w:r>
      <w:r>
        <w:rPr>
          <w:rFonts w:hint="eastAsia" w:ascii="宋体" w:hAnsi="宋体" w:eastAsia="宋体" w:cs="宋体"/>
          <w:snapToGrid w:val="0"/>
          <w:kern w:val="0"/>
          <w:sz w:val="24"/>
          <w:highlight w:val="none"/>
        </w:rPr>
        <w:t>果，并得到2.1.1具体研究内容的全部结论</w:t>
      </w:r>
      <w:r>
        <w:rPr>
          <w:rFonts w:hint="eastAsia" w:ascii="宋体" w:hAnsi="宋体" w:eastAsia="宋体" w:cs="宋体"/>
          <w:snapToGrid w:val="0"/>
          <w:kern w:val="0"/>
          <w:sz w:val="24"/>
          <w:highlight w:val="none"/>
          <w:lang w:eastAsia="zh-CN"/>
        </w:rPr>
        <w:t>；以甲方为主体申请发明专利一项</w:t>
      </w:r>
      <w:r>
        <w:rPr>
          <w:rFonts w:hint="eastAsia" w:ascii="宋体" w:hAnsi="宋体" w:eastAsia="宋体" w:cs="宋体"/>
          <w:snapToGrid w:val="0"/>
          <w:kern w:val="0"/>
          <w:sz w:val="24"/>
          <w:highlight w:val="none"/>
        </w:rPr>
        <w:t>。</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5.3乙方须做到下列规定要求</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5.3.1 乙方保证检测及研究过程成果不侵犯其他任何第三方的知识产权，如因乙方原因导致甲方涉及知识产权的纠纷，则由乙方承担全部责任。</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5.3.2 乙方不得擅自将检测及研究结果向第三方泄露、转让，如发生上述情况，甲方有权要求乙方支付本合同总额的20%作为违约金并承担因此造成的法律责任和损失。</w:t>
      </w:r>
    </w:p>
    <w:p>
      <w:pPr>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z w:val="24"/>
          <w:highlight w:val="none"/>
        </w:rPr>
        <w:t>5.3.3.乙方需对提供的成果负责，报告结果需真实、准确，并符合相关规范要求：若因乙方原因造成报告出现错误或不能真实反映情况，乙方需无条件重新对错误的部分进行重新检测，并赔偿甲方由此引起的相关费用</w:t>
      </w:r>
      <w:r>
        <w:rPr>
          <w:rFonts w:hint="eastAsia" w:ascii="宋体" w:hAnsi="宋体" w:eastAsia="宋体" w:cs="宋体"/>
          <w:snapToGrid w:val="0"/>
          <w:kern w:val="0"/>
          <w:sz w:val="24"/>
          <w:highlight w:val="none"/>
        </w:rPr>
        <w:t>。</w:t>
      </w:r>
    </w:p>
    <w:p>
      <w:pPr>
        <w:spacing w:line="360" w:lineRule="auto"/>
        <w:ind w:firstLine="482" w:firstLineChars="200"/>
        <w:rPr>
          <w:rFonts w:ascii="宋体" w:hAnsi="宋体" w:eastAsia="宋体" w:cs="宋体"/>
          <w:snapToGrid w:val="0"/>
          <w:kern w:val="0"/>
          <w:sz w:val="24"/>
          <w:highlight w:val="none"/>
        </w:rPr>
      </w:pPr>
      <w:r>
        <w:rPr>
          <w:rFonts w:ascii="Calibri" w:hAnsi="Calibri" w:eastAsia="宋体" w:cs="Times New Roman"/>
          <w:b/>
          <w:sz w:val="24"/>
          <w:highlight w:val="none"/>
        </w:rPr>
        <w:t>第</w:t>
      </w:r>
      <w:r>
        <w:rPr>
          <w:rFonts w:hint="eastAsia" w:ascii="Calibri" w:hAnsi="Calibri" w:eastAsia="宋体" w:cs="Times New Roman"/>
          <w:b/>
          <w:sz w:val="24"/>
          <w:highlight w:val="none"/>
        </w:rPr>
        <w:t>六</w:t>
      </w:r>
      <w:r>
        <w:rPr>
          <w:rFonts w:ascii="Calibri" w:hAnsi="Calibri" w:eastAsia="宋体" w:cs="Times New Roman"/>
          <w:b/>
          <w:sz w:val="24"/>
          <w:highlight w:val="none"/>
        </w:rPr>
        <w:t xml:space="preserve">条 </w:t>
      </w:r>
      <w:r>
        <w:rPr>
          <w:rFonts w:hint="eastAsia" w:ascii="Calibri" w:hAnsi="Calibri" w:eastAsia="宋体" w:cs="Times New Roman"/>
          <w:b/>
          <w:sz w:val="24"/>
          <w:highlight w:val="none"/>
        </w:rPr>
        <w:t>支付方式</w:t>
      </w:r>
    </w:p>
    <w:p>
      <w:pPr>
        <w:autoSpaceDE w:val="0"/>
        <w:autoSpaceDN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6.1合同价款由甲方分期支付乙方。具体支付方式和时间如下：</w:t>
      </w:r>
    </w:p>
    <w:p>
      <w:pPr>
        <w:numPr>
          <w:ilvl w:val="12"/>
          <w:numId w:val="0"/>
        </w:numPr>
        <w:spacing w:line="360" w:lineRule="auto"/>
        <w:ind w:firstLine="488" w:firstLineChars="200"/>
        <w:rPr>
          <w:rFonts w:ascii="宋体" w:hAnsi="宋体" w:eastAsia="宋体" w:cs="宋体"/>
          <w:sz w:val="24"/>
          <w:szCs w:val="24"/>
          <w:highlight w:val="none"/>
        </w:rPr>
      </w:pPr>
      <w:r>
        <w:rPr>
          <w:rFonts w:hint="eastAsia" w:ascii="宋体" w:hAnsi="宋体" w:eastAsia="宋体" w:cs="宋体"/>
          <w:bCs/>
          <w:spacing w:val="2"/>
          <w:kern w:val="36"/>
          <w:position w:val="2"/>
          <w:sz w:val="24"/>
          <w:szCs w:val="24"/>
          <w:highlight w:val="none"/>
        </w:rPr>
        <w:t>6.1.1预付款的支付：</w:t>
      </w:r>
      <w:r>
        <w:rPr>
          <w:rFonts w:ascii="Wingdings" w:hAnsi="Wingdings" w:eastAsia="宋体" w:cs="宋体"/>
          <w:bCs/>
          <w:sz w:val="24"/>
          <w:szCs w:val="24"/>
          <w:highlight w:val="none"/>
        </w:rPr>
        <w:sym w:font="Wingdings" w:char="F0FE"/>
      </w:r>
      <w:r>
        <w:rPr>
          <w:rFonts w:hint="eastAsia" w:ascii="宋体" w:hAnsi="宋体" w:eastAsia="宋体" w:cs="宋体"/>
          <w:bCs/>
          <w:sz w:val="24"/>
          <w:szCs w:val="24"/>
          <w:highlight w:val="none"/>
        </w:rPr>
        <w:t xml:space="preserve">无；     </w:t>
      </w:r>
      <w:r>
        <w:rPr>
          <w:rFonts w:ascii="Wingdings" w:hAnsi="Wingdings" w:eastAsia="宋体" w:cs="宋体"/>
          <w:bCs/>
          <w:sz w:val="24"/>
          <w:szCs w:val="24"/>
          <w:highlight w:val="none"/>
        </w:rPr>
        <w:sym w:font="Wingdings" w:char="F0A8"/>
      </w:r>
      <w:r>
        <w:rPr>
          <w:rFonts w:hint="eastAsia" w:ascii="宋体" w:hAnsi="宋体" w:eastAsia="宋体" w:cs="宋体"/>
          <w:bCs/>
          <w:sz w:val="24"/>
          <w:szCs w:val="24"/>
          <w:highlight w:val="none"/>
        </w:rPr>
        <w:t>有，合同签订后乙方开具等额的增值税专用发票，提交预付款担保后</w:t>
      </w:r>
      <w:r>
        <w:rPr>
          <w:rFonts w:hint="eastAsia" w:ascii="宋体" w:hAnsi="宋体" w:eastAsia="宋体" w:cs="宋体"/>
          <w:bCs/>
          <w:sz w:val="24"/>
          <w:szCs w:val="24"/>
          <w:highlight w:val="none"/>
          <w:u w:val="single"/>
        </w:rPr>
        <w:t xml:space="preserve"> / </w:t>
      </w:r>
      <w:r>
        <w:rPr>
          <w:rFonts w:hint="eastAsia" w:ascii="宋体" w:hAnsi="宋体" w:eastAsia="宋体" w:cs="宋体"/>
          <w:bCs/>
          <w:sz w:val="24"/>
          <w:szCs w:val="24"/>
          <w:highlight w:val="none"/>
        </w:rPr>
        <w:t>个工作日内，甲方支付合同</w:t>
      </w:r>
      <w:r>
        <w:rPr>
          <w:rFonts w:hint="eastAsia" w:ascii="宋体" w:hAnsi="宋体" w:eastAsia="宋体" w:cs="宋体"/>
          <w:sz w:val="24"/>
          <w:szCs w:val="24"/>
          <w:highlight w:val="none"/>
        </w:rPr>
        <w:t>总价</w:t>
      </w:r>
      <w:r>
        <w:rPr>
          <w:rFonts w:hint="eastAsia" w:ascii="宋体" w:hAnsi="宋体" w:eastAsia="宋体" w:cs="宋体"/>
          <w:bCs/>
          <w:sz w:val="24"/>
          <w:szCs w:val="24"/>
          <w:highlight w:val="none"/>
        </w:rPr>
        <w:t>的</w:t>
      </w:r>
      <w:r>
        <w:rPr>
          <w:rFonts w:hint="eastAsia" w:ascii="宋体" w:hAnsi="宋体" w:eastAsia="宋体" w:cs="宋体"/>
          <w:bCs/>
          <w:sz w:val="24"/>
          <w:szCs w:val="24"/>
          <w:highlight w:val="none"/>
          <w:u w:val="single"/>
        </w:rPr>
        <w:t xml:space="preserve">  /  </w:t>
      </w:r>
      <w:r>
        <w:rPr>
          <w:rFonts w:hint="eastAsia" w:ascii="宋体" w:hAnsi="宋体" w:eastAsia="宋体" w:cs="宋体"/>
          <w:sz w:val="24"/>
          <w:szCs w:val="24"/>
          <w:highlight w:val="none"/>
        </w:rPr>
        <w:t>即</w:t>
      </w:r>
      <w:r>
        <w:rPr>
          <w:rFonts w:hint="eastAsia" w:ascii="宋体" w:hAnsi="宋体" w:eastAsia="宋体" w:cs="宋体"/>
          <w:sz w:val="24"/>
          <w:szCs w:val="24"/>
          <w:highlight w:val="none"/>
          <w:u w:val="single"/>
        </w:rPr>
        <w:t xml:space="preserve"> / 元，（大写：/）</w:t>
      </w:r>
      <w:r>
        <w:rPr>
          <w:rFonts w:hint="eastAsia" w:ascii="宋体" w:hAnsi="宋体" w:eastAsia="宋体" w:cs="宋体"/>
          <w:sz w:val="24"/>
          <w:szCs w:val="24"/>
          <w:highlight w:val="none"/>
        </w:rPr>
        <w:t>。若合同解除或终止，乙方在</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个工作日内返还预付款（无息）。逾期未返还，每逾期一天，乙方应按资本性支出费用的</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支付违约金。</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6.1.2进度款的支付：</w:t>
      </w:r>
    </w:p>
    <w:p>
      <w:pPr>
        <w:spacing w:line="360" w:lineRule="auto"/>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1）乙方向甲方提交</w:t>
      </w:r>
      <w:r>
        <w:rPr>
          <w:rFonts w:hint="eastAsia" w:ascii="宋体" w:hAnsi="宋体" w:eastAsia="宋体" w:cs="宋体"/>
          <w:sz w:val="24"/>
          <w:szCs w:val="24"/>
          <w:highlight w:val="none"/>
          <w:u w:val="single"/>
        </w:rPr>
        <w:t xml:space="preserve"> 项目的具体实施方案（方案需包含5.2.1乙方服务进度节点要求的内容）的编制，经甲方确认后，</w:t>
      </w:r>
      <w:r>
        <w:rPr>
          <w:rFonts w:hint="eastAsia" w:ascii="宋体" w:hAnsi="宋体" w:eastAsia="宋体" w:cs="宋体"/>
          <w:sz w:val="24"/>
          <w:szCs w:val="24"/>
          <w:highlight w:val="none"/>
        </w:rPr>
        <w:t>由乙方</w:t>
      </w:r>
      <w:r>
        <w:rPr>
          <w:rFonts w:hint="eastAsia" w:ascii="宋体" w:hAnsi="宋体" w:eastAsia="宋体" w:cs="宋体"/>
          <w:sz w:val="24"/>
          <w:szCs w:val="24"/>
          <w:highlight w:val="none"/>
          <w:u w:val="single"/>
        </w:rPr>
        <w:t xml:space="preserve">提交申请支付资料 15 </w:t>
      </w:r>
      <w:r>
        <w:rPr>
          <w:rFonts w:hint="eastAsia" w:ascii="宋体" w:hAnsi="宋体" w:eastAsia="宋体" w:cs="宋体"/>
          <w:sz w:val="24"/>
          <w:szCs w:val="24"/>
          <w:highlight w:val="none"/>
        </w:rPr>
        <w:t xml:space="preserve">个工作日内，甲方支付至合同总价的 </w:t>
      </w:r>
      <w:r>
        <w:rPr>
          <w:rFonts w:ascii="宋体" w:hAnsi="宋体" w:eastAsia="宋体" w:cs="宋体"/>
          <w:sz w:val="24"/>
          <w:szCs w:val="24"/>
          <w:highlight w:val="none"/>
          <w:u w:val="single"/>
        </w:rPr>
        <w:t>2</w:t>
      </w:r>
      <w:r>
        <w:rPr>
          <w:rFonts w:hint="eastAsia" w:ascii="宋体" w:hAnsi="宋体" w:eastAsia="宋体" w:cs="宋体"/>
          <w:sz w:val="24"/>
          <w:szCs w:val="24"/>
          <w:highlight w:val="none"/>
          <w:u w:val="single"/>
        </w:rPr>
        <w:t>0% 即¥     元，（大写：     ）。</w:t>
      </w:r>
    </w:p>
    <w:p>
      <w:pPr>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rPr>
        <w:t>完成项目中期报告（需满足5</w:t>
      </w:r>
      <w:r>
        <w:rPr>
          <w:rFonts w:ascii="宋体" w:hAnsi="宋体" w:eastAsia="宋体" w:cs="宋体"/>
          <w:sz w:val="24"/>
          <w:szCs w:val="24"/>
          <w:highlight w:val="none"/>
          <w:u w:val="single"/>
        </w:rPr>
        <w:t>.2.2</w:t>
      </w:r>
      <w:r>
        <w:rPr>
          <w:rFonts w:hint="eastAsia" w:ascii="宋体" w:hAnsi="宋体" w:eastAsia="宋体" w:cs="宋体"/>
          <w:sz w:val="24"/>
          <w:szCs w:val="24"/>
          <w:highlight w:val="none"/>
          <w:u w:val="single"/>
        </w:rPr>
        <w:t>要求的内容），且经甲方召开的项目中期进展专家会议评审通过后，</w:t>
      </w:r>
      <w:r>
        <w:rPr>
          <w:rFonts w:hint="eastAsia" w:ascii="宋体" w:hAnsi="宋体" w:eastAsia="宋体" w:cs="宋体"/>
          <w:sz w:val="24"/>
          <w:szCs w:val="24"/>
          <w:highlight w:val="none"/>
        </w:rPr>
        <w:t>由乙方</w:t>
      </w:r>
      <w:r>
        <w:rPr>
          <w:rFonts w:hint="eastAsia" w:ascii="宋体" w:hAnsi="宋体" w:eastAsia="宋体" w:cs="宋体"/>
          <w:sz w:val="24"/>
          <w:szCs w:val="24"/>
          <w:highlight w:val="none"/>
          <w:u w:val="single"/>
        </w:rPr>
        <w:t xml:space="preserve">提交申请支付资料 15 </w:t>
      </w:r>
      <w:r>
        <w:rPr>
          <w:rFonts w:hint="eastAsia" w:ascii="宋体" w:hAnsi="宋体" w:eastAsia="宋体" w:cs="宋体"/>
          <w:sz w:val="24"/>
          <w:szCs w:val="24"/>
          <w:highlight w:val="none"/>
        </w:rPr>
        <w:t>个工作日内，甲方支付至合同总价的</w:t>
      </w:r>
      <w:r>
        <w:rPr>
          <w:rFonts w:hint="eastAsia" w:ascii="宋体" w:hAnsi="宋体" w:eastAsia="宋体" w:cs="宋体"/>
          <w:sz w:val="24"/>
          <w:szCs w:val="24"/>
          <w:highlight w:val="none"/>
          <w:u w:val="single"/>
        </w:rPr>
        <w:t xml:space="preserve"> </w:t>
      </w:r>
      <w:r>
        <w:rPr>
          <w:rFonts w:ascii="宋体" w:hAnsi="宋体" w:eastAsia="宋体" w:cs="宋体"/>
          <w:sz w:val="24"/>
          <w:szCs w:val="24"/>
          <w:highlight w:val="none"/>
          <w:u w:val="single"/>
        </w:rPr>
        <w:t xml:space="preserve">60 </w:t>
      </w:r>
      <w:r>
        <w:rPr>
          <w:rFonts w:hint="eastAsia" w:ascii="宋体" w:hAnsi="宋体" w:eastAsia="宋体" w:cs="宋体"/>
          <w:sz w:val="24"/>
          <w:szCs w:val="24"/>
          <w:highlight w:val="none"/>
          <w:u w:val="single"/>
        </w:rPr>
        <w:t>% 即¥     元，（大写：     ）。</w:t>
      </w:r>
    </w:p>
    <w:p>
      <w:pPr>
        <w:spacing w:line="360" w:lineRule="auto"/>
        <w:ind w:firstLine="480" w:firstLineChars="200"/>
        <w:rPr>
          <w:rFonts w:ascii="宋体" w:hAnsi="宋体" w:eastAsia="宋体" w:cs="宋体"/>
          <w:sz w:val="24"/>
          <w:szCs w:val="24"/>
          <w:highlight w:val="none"/>
          <w:u w:val="single"/>
        </w:rPr>
      </w:pPr>
      <w:r>
        <w:rPr>
          <w:rFonts w:ascii="宋体" w:hAnsi="宋体" w:eastAsia="宋体" w:cs="宋体"/>
          <w:sz w:val="24"/>
          <w:szCs w:val="24"/>
          <w:highlight w:val="none"/>
        </w:rPr>
        <w:t>3</w:t>
      </w: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rPr>
        <w:t>完成项目结题报告（需满足5</w:t>
      </w:r>
      <w:r>
        <w:rPr>
          <w:rFonts w:ascii="宋体" w:hAnsi="宋体" w:eastAsia="宋体" w:cs="宋体"/>
          <w:sz w:val="24"/>
          <w:szCs w:val="24"/>
          <w:highlight w:val="none"/>
          <w:u w:val="single"/>
        </w:rPr>
        <w:t>.2.</w:t>
      </w:r>
      <w:r>
        <w:rPr>
          <w:rFonts w:hint="eastAsia" w:ascii="宋体" w:hAnsi="宋体" w:eastAsia="宋体" w:cs="宋体"/>
          <w:sz w:val="24"/>
          <w:szCs w:val="24"/>
          <w:highlight w:val="none"/>
          <w:u w:val="single"/>
        </w:rPr>
        <w:t>3要求的内容），且经甲方召开的项目结题专家会议评审通过后</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sz w:val="24"/>
          <w:szCs w:val="24"/>
          <w:highlight w:val="none"/>
        </w:rPr>
        <w:t>由乙方</w:t>
      </w:r>
      <w:r>
        <w:rPr>
          <w:rFonts w:hint="eastAsia" w:ascii="宋体" w:hAnsi="宋体" w:eastAsia="宋体" w:cs="宋体"/>
          <w:sz w:val="24"/>
          <w:szCs w:val="24"/>
          <w:highlight w:val="none"/>
          <w:u w:val="single"/>
        </w:rPr>
        <w:t xml:space="preserve">提交申请支付资料 15 </w:t>
      </w:r>
      <w:r>
        <w:rPr>
          <w:rFonts w:hint="eastAsia" w:ascii="宋体" w:hAnsi="宋体" w:eastAsia="宋体" w:cs="宋体"/>
          <w:sz w:val="24"/>
          <w:szCs w:val="24"/>
          <w:highlight w:val="none"/>
        </w:rPr>
        <w:t>个工作日内，甲方支付至合同总价的</w:t>
      </w:r>
      <w:r>
        <w:rPr>
          <w:rFonts w:hint="eastAsia" w:ascii="宋体" w:hAnsi="宋体" w:eastAsia="宋体" w:cs="宋体"/>
          <w:sz w:val="24"/>
          <w:szCs w:val="24"/>
          <w:highlight w:val="none"/>
          <w:u w:val="single"/>
        </w:rPr>
        <w:t xml:space="preserve"> </w:t>
      </w:r>
      <w:r>
        <w:rPr>
          <w:rFonts w:ascii="宋体" w:hAnsi="宋体" w:eastAsia="宋体" w:cs="宋体"/>
          <w:sz w:val="24"/>
          <w:szCs w:val="24"/>
          <w:highlight w:val="none"/>
          <w:u w:val="single"/>
        </w:rPr>
        <w:t>100</w:t>
      </w:r>
      <w:r>
        <w:rPr>
          <w:rFonts w:hint="eastAsia" w:ascii="宋体" w:hAnsi="宋体" w:eastAsia="宋体" w:cs="宋体"/>
          <w:sz w:val="24"/>
          <w:szCs w:val="24"/>
          <w:highlight w:val="none"/>
          <w:u w:val="single"/>
        </w:rPr>
        <w:t xml:space="preserve"> %即 ¥     元，（大写：     ）。</w:t>
      </w:r>
    </w:p>
    <w:p>
      <w:pPr>
        <w:spacing w:line="360" w:lineRule="auto"/>
        <w:ind w:firstLine="480" w:firstLineChars="200"/>
        <w:rPr>
          <w:rFonts w:ascii="宋体" w:hAnsi="宋体" w:eastAsia="宋体" w:cs="宋体"/>
          <w:bCs/>
          <w:sz w:val="24"/>
          <w:szCs w:val="24"/>
          <w:highlight w:val="none"/>
          <w:u w:val="single"/>
        </w:rPr>
      </w:pPr>
      <w:r>
        <w:rPr>
          <w:rFonts w:hint="eastAsia" w:ascii="宋体" w:hAnsi="宋体" w:eastAsia="宋体" w:cs="宋体"/>
          <w:sz w:val="24"/>
          <w:szCs w:val="24"/>
          <w:highlight w:val="none"/>
        </w:rPr>
        <w:t>6.2如乙方应向甲方支付违约金、赔偿款或者其他款项，应当在接到甲方通知后</w:t>
      </w:r>
      <w:r>
        <w:rPr>
          <w:rFonts w:hint="eastAsia" w:ascii="宋体" w:hAnsi="宋体" w:eastAsia="宋体" w:cs="宋体"/>
          <w:sz w:val="24"/>
          <w:szCs w:val="24"/>
          <w:highlight w:val="none"/>
          <w:u w:val="single"/>
        </w:rPr>
        <w:t>30</w:t>
      </w:r>
      <w:r>
        <w:rPr>
          <w:rFonts w:hint="eastAsia" w:ascii="宋体" w:hAnsi="宋体" w:eastAsia="宋体" w:cs="宋体"/>
          <w:sz w:val="24"/>
          <w:szCs w:val="24"/>
          <w:highlight w:val="none"/>
        </w:rPr>
        <w:t>日内付清，甲方有权直接从应付款项中抵扣。</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6.3乙方收款账户：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360" w:lineRule="auto"/>
        <w:ind w:firstLine="1440" w:firstLineChars="600"/>
        <w:rPr>
          <w:rFonts w:ascii="宋体" w:hAnsi="宋体" w:eastAsia="宋体" w:cs="宋体"/>
          <w:sz w:val="24"/>
          <w:szCs w:val="24"/>
          <w:highlight w:val="none"/>
        </w:rPr>
      </w:pPr>
      <w:r>
        <w:rPr>
          <w:rFonts w:hint="eastAsia" w:ascii="宋体" w:hAnsi="宋体" w:eastAsia="宋体" w:cs="宋体"/>
          <w:sz w:val="24"/>
          <w:szCs w:val="24"/>
          <w:highlight w:val="none"/>
        </w:rPr>
        <w:t>收款账号：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360" w:lineRule="auto"/>
        <w:ind w:firstLine="1440" w:firstLineChars="600"/>
        <w:outlineLvl w:val="1"/>
        <w:rPr>
          <w:rFonts w:ascii="宋体" w:hAnsi="宋体" w:eastAsia="宋体" w:cs="宋体"/>
          <w:sz w:val="24"/>
          <w:szCs w:val="24"/>
          <w:highlight w:val="none"/>
        </w:rPr>
      </w:pPr>
      <w:r>
        <w:rPr>
          <w:rFonts w:hint="eastAsia" w:ascii="宋体" w:hAnsi="宋体" w:eastAsia="宋体" w:cs="宋体"/>
          <w:sz w:val="24"/>
          <w:szCs w:val="24"/>
          <w:highlight w:val="none"/>
        </w:rPr>
        <w:t>开户行：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6.4乙方在收款前需提交等额增值税专用发票给甲方。</w:t>
      </w:r>
    </w:p>
    <w:p>
      <w:pPr>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增值税专用发票信息：</w:t>
      </w:r>
    </w:p>
    <w:p>
      <w:pPr>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公司名称:</w:t>
      </w:r>
      <w:r>
        <w:rPr>
          <w:rFonts w:hint="eastAsia" w:ascii="宋体" w:hAnsi="宋体" w:eastAsia="宋体" w:cs="宋体"/>
          <w:sz w:val="24"/>
          <w:szCs w:val="24"/>
          <w:highlight w:val="none"/>
          <w:u w:val="single"/>
        </w:rPr>
        <w:t xml:space="preserve">广州市净水有限公司 </w:t>
      </w:r>
    </w:p>
    <w:p>
      <w:pPr>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注册地址:</w:t>
      </w:r>
      <w:r>
        <w:rPr>
          <w:rFonts w:hint="eastAsia" w:ascii="宋体" w:hAnsi="宋体" w:eastAsia="宋体" w:cs="宋体"/>
          <w:sz w:val="24"/>
          <w:szCs w:val="24"/>
          <w:highlight w:val="none"/>
          <w:u w:val="single"/>
        </w:rPr>
        <w:t xml:space="preserve">广州市天河区临江大道 501 号 </w:t>
      </w:r>
    </w:p>
    <w:p>
      <w:pPr>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纳税人识别号：</w:t>
      </w:r>
      <w:r>
        <w:rPr>
          <w:rFonts w:hint="eastAsia" w:ascii="宋体" w:hAnsi="宋体" w:eastAsia="宋体" w:cs="宋体"/>
          <w:sz w:val="24"/>
          <w:szCs w:val="24"/>
          <w:highlight w:val="none"/>
          <w:u w:val="single"/>
        </w:rPr>
        <w:t xml:space="preserve">9144 0101 7555 8472 9Q </w:t>
      </w:r>
    </w:p>
    <w:p>
      <w:pPr>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xml:space="preserve">020-38890283 </w:t>
      </w:r>
    </w:p>
    <w:p>
      <w:pPr>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开户行:</w:t>
      </w:r>
      <w:r>
        <w:rPr>
          <w:rFonts w:hint="eastAsia" w:ascii="宋体" w:hAnsi="宋体" w:eastAsia="宋体" w:cs="宋体"/>
          <w:sz w:val="24"/>
          <w:szCs w:val="24"/>
          <w:highlight w:val="none"/>
          <w:u w:val="single"/>
        </w:rPr>
        <w:t xml:space="preserve">民生银行广州分行 </w:t>
      </w:r>
    </w:p>
    <w:p>
      <w:pPr>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账号:</w:t>
      </w:r>
      <w:r>
        <w:rPr>
          <w:rFonts w:hint="eastAsia" w:ascii="宋体" w:hAnsi="宋体" w:eastAsia="宋体" w:cs="宋体"/>
          <w:sz w:val="24"/>
          <w:szCs w:val="24"/>
          <w:highlight w:val="none"/>
          <w:u w:val="single"/>
        </w:rPr>
        <w:t>0301 0141 4000 6932</w:t>
      </w:r>
    </w:p>
    <w:p>
      <w:pPr>
        <w:spacing w:line="360" w:lineRule="auto"/>
        <w:ind w:firstLine="480" w:firstLineChars="200"/>
        <w:rPr>
          <w:rFonts w:ascii="宋体" w:hAnsi="宋体" w:eastAsia="宋体" w:cs="宋体"/>
          <w:sz w:val="24"/>
          <w:highlight w:val="none"/>
        </w:rPr>
      </w:pPr>
      <w:r>
        <w:rPr>
          <w:rFonts w:hint="eastAsia" w:ascii="Calibri" w:hAnsi="Calibri" w:eastAsia="宋体" w:cs="Times New Roman"/>
          <w:sz w:val="24"/>
          <w:highlight w:val="none"/>
        </w:rPr>
        <w:t>6</w:t>
      </w:r>
      <w:r>
        <w:rPr>
          <w:rFonts w:ascii="Calibri" w:hAnsi="Calibri" w:eastAsia="宋体" w:cs="Times New Roman"/>
          <w:sz w:val="24"/>
          <w:highlight w:val="none"/>
        </w:rPr>
        <w:t>.</w:t>
      </w:r>
      <w:r>
        <w:rPr>
          <w:rFonts w:hint="eastAsia" w:ascii="Calibri" w:hAnsi="Calibri" w:eastAsia="宋体" w:cs="Times New Roman"/>
          <w:sz w:val="24"/>
          <w:highlight w:val="none"/>
        </w:rPr>
        <w:t>5付款方式</w:t>
      </w:r>
      <w:r>
        <w:rPr>
          <w:rFonts w:hint="eastAsia" w:ascii="宋体" w:hAnsi="宋体" w:eastAsia="宋体" w:cs="宋体"/>
          <w:sz w:val="24"/>
          <w:highlight w:val="none"/>
        </w:rPr>
        <w:t>：</w:t>
      </w:r>
      <w:r>
        <w:rPr>
          <w:rFonts w:ascii="宋体" w:hAnsi="宋体" w:eastAsia="宋体" w:cs="宋体"/>
          <w:sz w:val="24"/>
          <w:highlight w:val="none"/>
        </w:rPr>
        <w:t xml:space="preserve"> </w:t>
      </w:r>
      <w:r>
        <w:rPr>
          <w:rFonts w:ascii="Wingdings" w:hAnsi="Wingdings" w:eastAsia="宋体" w:cs="宋体"/>
          <w:sz w:val="24"/>
          <w:highlight w:val="none"/>
        </w:rPr>
        <w:sym w:font="Wingdings" w:char="F0FE"/>
      </w:r>
      <w:r>
        <w:rPr>
          <w:rFonts w:hint="eastAsia" w:ascii="宋体" w:hAnsi="宋体" w:eastAsia="宋体" w:cs="宋体"/>
          <w:sz w:val="24"/>
          <w:highlight w:val="none"/>
        </w:rPr>
        <w:t>网银支付；</w:t>
      </w:r>
      <w:r>
        <w:rPr>
          <w:rFonts w:ascii="宋体" w:hAnsi="宋体" w:eastAsia="宋体" w:cs="宋体"/>
          <w:sz w:val="24"/>
          <w:highlight w:val="none"/>
        </w:rPr>
        <w:t xml:space="preserve">  </w:t>
      </w:r>
      <w:r>
        <w:rPr>
          <w:rFonts w:ascii="Wingdings" w:hAnsi="Wingdings" w:eastAsia="宋体" w:cs="宋体"/>
          <w:sz w:val="24"/>
          <w:highlight w:val="none"/>
        </w:rPr>
        <w:sym w:font="Wingdings" w:char="F0A8"/>
      </w:r>
      <w:r>
        <w:rPr>
          <w:rFonts w:hint="eastAsia" w:ascii="宋体" w:hAnsi="宋体" w:eastAsia="宋体" w:cs="宋体"/>
          <w:sz w:val="24"/>
          <w:highlight w:val="none"/>
        </w:rPr>
        <w:t>支票；</w:t>
      </w:r>
      <w:r>
        <w:rPr>
          <w:rFonts w:ascii="宋体" w:hAnsi="宋体" w:eastAsia="宋体" w:cs="宋体"/>
          <w:sz w:val="24"/>
          <w:highlight w:val="none"/>
        </w:rPr>
        <w:t xml:space="preserve">   </w:t>
      </w:r>
      <w:r>
        <w:rPr>
          <w:rFonts w:ascii="Wingdings" w:hAnsi="Wingdings" w:eastAsia="宋体" w:cs="宋体"/>
          <w:sz w:val="24"/>
          <w:highlight w:val="none"/>
        </w:rPr>
        <w:sym w:font="Wingdings" w:char="F0A8"/>
      </w:r>
      <w:r>
        <w:rPr>
          <w:rFonts w:hint="eastAsia" w:ascii="宋体" w:hAnsi="宋体" w:eastAsia="宋体" w:cs="宋体"/>
          <w:sz w:val="24"/>
          <w:highlight w:val="none"/>
        </w:rPr>
        <w:t>其他：/</w:t>
      </w:r>
      <w:r>
        <w:rPr>
          <w:rFonts w:ascii="宋体" w:hAnsi="宋体" w:eastAsia="宋体" w:cs="宋体"/>
          <w:sz w:val="24"/>
          <w:highlight w:val="none"/>
        </w:rPr>
        <w:t xml:space="preserve">       </w:t>
      </w:r>
    </w:p>
    <w:p>
      <w:pPr>
        <w:widowControl/>
        <w:numPr>
          <w:ilvl w:val="0"/>
          <w:numId w:val="6"/>
        </w:numPr>
        <w:spacing w:line="360" w:lineRule="auto"/>
        <w:ind w:firstLine="482" w:firstLineChars="200"/>
        <w:rPr>
          <w:rFonts w:ascii="宋体" w:hAnsi="宋体" w:eastAsia="宋体" w:cs="Times New Roman"/>
          <w:b/>
          <w:kern w:val="0"/>
          <w:sz w:val="24"/>
          <w:highlight w:val="none"/>
        </w:rPr>
      </w:pPr>
      <w:r>
        <w:rPr>
          <w:rFonts w:hint="eastAsia" w:ascii="宋体" w:hAnsi="宋体" w:eastAsia="宋体" w:cs="Times New Roman"/>
          <w:b/>
          <w:kern w:val="0"/>
          <w:sz w:val="24"/>
          <w:highlight w:val="none"/>
        </w:rPr>
        <w:t>质量保证</w:t>
      </w:r>
    </w:p>
    <w:p>
      <w:pPr>
        <w:spacing w:line="36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乙方须安排具有从事相应专业知识和专业技能的技术人员跟踪负责项目的检测、数据分析、报告出具等流程工作，并与甲方（其所属各单位）做好对接工作。乙方技术人员对检测、结果评价过程中出现的问题情况，应及时与甲方（其所属各单位）联系，并就甲方（其所属各单位）反映的检测、数据审核和报告出具等环节中问题及时作出回应，及时安排重检或给出解决办法。</w:t>
      </w:r>
    </w:p>
    <w:p>
      <w:pPr>
        <w:spacing w:line="360" w:lineRule="auto"/>
        <w:ind w:firstLine="482" w:firstLineChars="200"/>
        <w:rPr>
          <w:rFonts w:ascii="宋体" w:hAnsi="宋体" w:eastAsia="宋体" w:cs="Times New Roman"/>
          <w:b/>
          <w:sz w:val="24"/>
          <w:highlight w:val="none"/>
        </w:rPr>
      </w:pPr>
      <w:r>
        <w:rPr>
          <w:rFonts w:hint="eastAsia" w:ascii="宋体" w:hAnsi="宋体" w:eastAsia="宋体" w:cs="Times New Roman"/>
          <w:b/>
          <w:sz w:val="24"/>
          <w:highlight w:val="none"/>
        </w:rPr>
        <w:t>第八条 违约责任</w:t>
      </w:r>
    </w:p>
    <w:p>
      <w:pPr>
        <w:spacing w:line="36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8</w:t>
      </w:r>
      <w:r>
        <w:rPr>
          <w:rFonts w:ascii="宋体" w:hAnsi="宋体" w:eastAsia="宋体" w:cs="Times New Roman"/>
          <w:bCs/>
          <w:sz w:val="24"/>
          <w:highlight w:val="none"/>
        </w:rPr>
        <w:t>.1</w:t>
      </w:r>
      <w:r>
        <w:rPr>
          <w:rFonts w:hint="eastAsia" w:ascii="宋体" w:hAnsi="宋体" w:eastAsia="宋体" w:cs="Times New Roman"/>
          <w:bCs/>
          <w:sz w:val="24"/>
          <w:highlight w:val="none"/>
        </w:rPr>
        <w:t>因不可抗力(如战争、台风、洪水或双方同意的其它情况)引起进度延误，在此情况下，进度应相应顺延，如延期超过30天，任何一方有权终止合同，但双方继续履行在合同终止前的责任和义务。</w:t>
      </w:r>
    </w:p>
    <w:p>
      <w:pPr>
        <w:spacing w:line="36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8</w:t>
      </w:r>
      <w:r>
        <w:rPr>
          <w:rFonts w:ascii="宋体" w:hAnsi="宋体" w:eastAsia="宋体" w:cs="Times New Roman"/>
          <w:bCs/>
          <w:sz w:val="24"/>
          <w:highlight w:val="none"/>
        </w:rPr>
        <w:t>.2</w:t>
      </w:r>
      <w:r>
        <w:rPr>
          <w:rFonts w:hint="eastAsia" w:ascii="宋体" w:hAnsi="宋体" w:eastAsia="宋体" w:cs="Times New Roman"/>
          <w:bCs/>
          <w:sz w:val="24"/>
          <w:highlight w:val="none"/>
        </w:rPr>
        <w:t>若违反本合同的约定，违约方应当按照当时生效的相关法律法规，承担违约责任。</w:t>
      </w:r>
    </w:p>
    <w:p>
      <w:pPr>
        <w:spacing w:line="36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8</w:t>
      </w:r>
      <w:r>
        <w:rPr>
          <w:rFonts w:ascii="宋体" w:hAnsi="宋体" w:eastAsia="宋体" w:cs="Times New Roman"/>
          <w:bCs/>
          <w:sz w:val="24"/>
          <w:highlight w:val="none"/>
        </w:rPr>
        <w:t>.3</w:t>
      </w:r>
      <w:r>
        <w:rPr>
          <w:rFonts w:hint="eastAsia" w:ascii="宋体" w:hAnsi="宋体" w:eastAsia="宋体" w:cs="Times New Roman"/>
          <w:bCs/>
          <w:sz w:val="24"/>
          <w:highlight w:val="none"/>
        </w:rPr>
        <w:t>若乙方未按合同要求进行检测、研究分析及提交相应成果报告，造成甲方损失的，乙方应支付本合同总额的</w:t>
      </w:r>
      <w:r>
        <w:rPr>
          <w:rFonts w:hint="eastAsia" w:ascii="宋体" w:hAnsi="宋体" w:eastAsia="宋体" w:cs="Times New Roman"/>
          <w:bCs/>
          <w:sz w:val="24"/>
          <w:highlight w:val="none"/>
          <w:u w:val="single"/>
        </w:rPr>
        <w:t xml:space="preserve"> 20 %</w:t>
      </w:r>
      <w:r>
        <w:rPr>
          <w:rFonts w:hint="eastAsia" w:ascii="宋体" w:hAnsi="宋体" w:eastAsia="宋体" w:cs="Times New Roman"/>
          <w:bCs/>
          <w:sz w:val="24"/>
          <w:highlight w:val="none"/>
        </w:rPr>
        <w:t>作为违约金并赔偿甲方损失。如果原样品在有效期内且甲方明确要求重检，乙方免费安排重新检测。</w:t>
      </w:r>
    </w:p>
    <w:p>
      <w:pPr>
        <w:widowControl w:val="0"/>
        <w:autoSpaceDE w:val="0"/>
        <w:autoSpaceDN w:val="0"/>
        <w:adjustRightInd/>
        <w:snapToGrid/>
        <w:spacing w:line="360" w:lineRule="auto"/>
        <w:ind w:firstLine="480" w:firstLineChars="200"/>
        <w:jc w:val="both"/>
        <w:textAlignment w:val="baseline"/>
        <w:rPr>
          <w:rFonts w:ascii="宋体" w:hAnsi="宋体" w:eastAsia="等线" w:cs="Times New Roman"/>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8.4若乙方不能按时出具相应成果报告，除非向甲方书面报告原因且经甲方同意，每逾期1日，按合同总价的 1%支付违约金，逾期达到15天及以上的，甲方有权解除合同</w:t>
      </w:r>
      <w:r>
        <w:rPr>
          <w:rFonts w:ascii="宋体" w:hAnsi="宋体" w:eastAsia="等线" w:cs="Times New Roman"/>
          <w:color w:val="000000"/>
          <w:kern w:val="0"/>
          <w:sz w:val="24"/>
          <w:szCs w:val="24"/>
          <w:highlight w:val="none"/>
          <w:lang w:val="en-US" w:eastAsia="zh-CN" w:bidi="ar-SA"/>
        </w:rPr>
        <w:t>。</w:t>
      </w:r>
      <w:r>
        <w:rPr>
          <w:rFonts w:hint="eastAsia" w:ascii="宋体" w:hAnsi="宋体" w:eastAsia="等线" w:cs="Times New Roman"/>
          <w:color w:val="000000"/>
          <w:kern w:val="0"/>
          <w:sz w:val="24"/>
          <w:szCs w:val="24"/>
          <w:highlight w:val="none"/>
          <w:lang w:val="en-US" w:eastAsia="zh-CN" w:bidi="ar-SA"/>
        </w:rPr>
        <w:t>甲方已支付部分经费，甲方可组织专家进行评审经费使用的合理性，认定为不合理支出部分甲方将有权要求乙方退回。</w:t>
      </w:r>
    </w:p>
    <w:p>
      <w:pPr>
        <w:spacing w:line="360" w:lineRule="auto"/>
        <w:ind w:firstLine="482" w:firstLineChars="200"/>
        <w:rPr>
          <w:rFonts w:ascii="宋体" w:hAnsi="宋体" w:eastAsia="宋体" w:cs="Times New Roman"/>
          <w:b/>
          <w:sz w:val="24"/>
          <w:highlight w:val="none"/>
        </w:rPr>
      </w:pPr>
      <w:r>
        <w:rPr>
          <w:rFonts w:hint="eastAsia" w:ascii="宋体" w:hAnsi="宋体" w:eastAsia="宋体" w:cs="Times New Roman"/>
          <w:b/>
          <w:sz w:val="24"/>
          <w:highlight w:val="none"/>
        </w:rPr>
        <w:t>第九条</w:t>
      </w:r>
      <w:r>
        <w:rPr>
          <w:rFonts w:ascii="宋体" w:hAnsi="宋体" w:eastAsia="宋体" w:cs="Times New Roman"/>
          <w:b/>
          <w:sz w:val="24"/>
          <w:highlight w:val="none"/>
        </w:rPr>
        <w:t xml:space="preserve"> 合同</w:t>
      </w:r>
      <w:r>
        <w:rPr>
          <w:rFonts w:hint="eastAsia" w:ascii="宋体" w:hAnsi="宋体" w:eastAsia="宋体" w:cs="Times New Roman"/>
          <w:b/>
          <w:sz w:val="24"/>
          <w:highlight w:val="none"/>
        </w:rPr>
        <w:t>的解除</w:t>
      </w:r>
    </w:p>
    <w:p>
      <w:pPr>
        <w:spacing w:line="36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9.1 甲方解除合同</w:t>
      </w:r>
    </w:p>
    <w:p>
      <w:pPr>
        <w:spacing w:line="36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9.1.1如乙方存在下述情况之一，甲方有权向乙方发出书面通知，全部或部分解除本合同：</w:t>
      </w:r>
    </w:p>
    <w:p>
      <w:pPr>
        <w:spacing w:line="36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1 乙方未能或无法在本合同约定或甲方另行指定的期限内提供部分或全部服务，并经甲方以书面形式催告后在</w:t>
      </w:r>
      <w:r>
        <w:rPr>
          <w:rFonts w:ascii="宋体" w:hAnsi="宋体" w:eastAsia="宋体" w:cs="Times New Roman"/>
          <w:bCs/>
          <w:sz w:val="24"/>
          <w:highlight w:val="none"/>
        </w:rPr>
        <w:t>15</w:t>
      </w:r>
      <w:r>
        <w:rPr>
          <w:rFonts w:hint="eastAsia" w:ascii="宋体" w:hAnsi="宋体" w:eastAsia="宋体" w:cs="Times New Roman"/>
          <w:bCs/>
          <w:sz w:val="24"/>
          <w:highlight w:val="none"/>
        </w:rPr>
        <w:t xml:space="preserve">天期限内仍未提供； </w:t>
      </w:r>
    </w:p>
    <w:p>
      <w:pPr>
        <w:spacing w:line="36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2 乙方提供服务存在严重的质量问题，导致本合同目的不能实现；</w:t>
      </w:r>
    </w:p>
    <w:p>
      <w:pPr>
        <w:spacing w:line="36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3 乙方存在违反合同义务的其他情形；</w:t>
      </w:r>
    </w:p>
    <w:p>
      <w:pPr>
        <w:spacing w:line="36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9.1.2甲方不再需要检测服务的，有权单方解除合同，但需提前7天通知乙方。</w:t>
      </w:r>
    </w:p>
    <w:p>
      <w:pPr>
        <w:spacing w:line="360" w:lineRule="auto"/>
        <w:ind w:firstLine="480" w:firstLineChars="200"/>
        <w:rPr>
          <w:rFonts w:ascii="宋体" w:hAnsi="宋体" w:eastAsia="宋体" w:cs="Times New Roman"/>
          <w:bCs/>
          <w:sz w:val="24"/>
          <w:highlight w:val="none"/>
        </w:rPr>
      </w:pPr>
      <w:r>
        <w:rPr>
          <w:rFonts w:ascii="宋体" w:hAnsi="宋体" w:eastAsia="宋体" w:cs="Times New Roman"/>
          <w:bCs/>
          <w:sz w:val="24"/>
          <w:highlight w:val="none"/>
        </w:rPr>
        <w:t>9.2 乙方解除合同</w:t>
      </w:r>
    </w:p>
    <w:p>
      <w:pPr>
        <w:spacing w:line="360" w:lineRule="auto"/>
        <w:ind w:firstLine="480" w:firstLineChars="200"/>
        <w:rPr>
          <w:rFonts w:ascii="宋体" w:hAnsi="宋体" w:eastAsia="宋体" w:cs="Times New Roman"/>
          <w:bCs/>
          <w:sz w:val="24"/>
          <w:highlight w:val="none"/>
        </w:rPr>
      </w:pPr>
      <w:r>
        <w:rPr>
          <w:rFonts w:ascii="宋体" w:hAnsi="宋体" w:eastAsia="宋体" w:cs="Times New Roman"/>
          <w:bCs/>
          <w:sz w:val="24"/>
          <w:highlight w:val="none"/>
        </w:rPr>
        <w:t>如甲方</w:t>
      </w:r>
      <w:r>
        <w:rPr>
          <w:rFonts w:hint="eastAsia" w:ascii="宋体" w:hAnsi="宋体" w:eastAsia="宋体" w:cs="Times New Roman"/>
          <w:bCs/>
          <w:sz w:val="24"/>
          <w:highlight w:val="none"/>
        </w:rPr>
        <w:t>无正当理由</w:t>
      </w:r>
      <w:r>
        <w:rPr>
          <w:rFonts w:ascii="宋体" w:hAnsi="宋体" w:eastAsia="宋体" w:cs="Times New Roman"/>
          <w:bCs/>
          <w:sz w:val="24"/>
          <w:highlight w:val="none"/>
        </w:rPr>
        <w:t>未能按本合同约定期限向乙方支付合同款，并经乙方催告后在合理期限内仍未支付，乙方有权以书面通知解除本合同。</w:t>
      </w:r>
    </w:p>
    <w:p>
      <w:pPr>
        <w:spacing w:line="360" w:lineRule="auto"/>
        <w:ind w:firstLine="480" w:firstLineChars="200"/>
        <w:rPr>
          <w:rFonts w:ascii="宋体" w:hAnsi="宋体" w:eastAsia="宋体" w:cs="Times New Roman"/>
          <w:bCs/>
          <w:sz w:val="24"/>
          <w:highlight w:val="none"/>
        </w:rPr>
      </w:pPr>
      <w:r>
        <w:rPr>
          <w:rFonts w:ascii="宋体" w:hAnsi="宋体" w:eastAsia="宋体" w:cs="Times New Roman"/>
          <w:bCs/>
          <w:sz w:val="24"/>
          <w:highlight w:val="none"/>
        </w:rPr>
        <w:t>9.3 如本合同因任何一方根据本条约定行使合同解除权而全部解除，本合同尚未履行部分终止履行；对本合同已经履行部分，行使合同解除权的一方有权根据本合同其他条款之约定采取救济措施，包括要求对方</w:t>
      </w:r>
      <w:r>
        <w:rPr>
          <w:rFonts w:hint="eastAsia" w:ascii="宋体" w:hAnsi="宋体" w:eastAsia="宋体" w:cs="Times New Roman"/>
          <w:bCs/>
          <w:sz w:val="24"/>
          <w:highlight w:val="none"/>
        </w:rPr>
        <w:t>支付违约金、</w:t>
      </w:r>
      <w:r>
        <w:rPr>
          <w:rFonts w:ascii="宋体" w:hAnsi="宋体" w:eastAsia="宋体" w:cs="Times New Roman"/>
          <w:bCs/>
          <w:sz w:val="24"/>
          <w:highlight w:val="none"/>
        </w:rPr>
        <w:t>赔偿</w:t>
      </w:r>
      <w:r>
        <w:rPr>
          <w:rFonts w:hint="eastAsia" w:ascii="宋体" w:hAnsi="宋体" w:eastAsia="宋体" w:cs="Times New Roman"/>
          <w:bCs/>
          <w:sz w:val="24"/>
          <w:highlight w:val="none"/>
        </w:rPr>
        <w:t>守约方</w:t>
      </w:r>
      <w:r>
        <w:rPr>
          <w:rFonts w:ascii="宋体" w:hAnsi="宋体" w:eastAsia="宋体" w:cs="Times New Roman"/>
          <w:bCs/>
          <w:sz w:val="24"/>
          <w:highlight w:val="none"/>
        </w:rPr>
        <w:t>因执行本合同而发生的一切支出</w:t>
      </w:r>
      <w:r>
        <w:rPr>
          <w:rFonts w:hint="eastAsia" w:ascii="宋体" w:hAnsi="宋体" w:eastAsia="宋体" w:cs="Times New Roman"/>
          <w:bCs/>
          <w:sz w:val="24"/>
          <w:highlight w:val="none"/>
        </w:rPr>
        <w:t>费用及由此造成的</w:t>
      </w:r>
      <w:r>
        <w:rPr>
          <w:rFonts w:ascii="宋体" w:hAnsi="宋体" w:eastAsia="宋体" w:cs="Times New Roman"/>
          <w:bCs/>
          <w:sz w:val="24"/>
          <w:highlight w:val="none"/>
        </w:rPr>
        <w:t>一切损失。</w:t>
      </w:r>
    </w:p>
    <w:p>
      <w:pPr>
        <w:spacing w:line="360" w:lineRule="auto"/>
        <w:ind w:firstLine="482" w:firstLineChars="200"/>
        <w:rPr>
          <w:rFonts w:ascii="宋体" w:hAnsi="宋体" w:eastAsia="宋体" w:cs="Times New Roman"/>
          <w:b/>
          <w:sz w:val="24"/>
          <w:highlight w:val="none"/>
        </w:rPr>
      </w:pPr>
      <w:r>
        <w:rPr>
          <w:rFonts w:hint="eastAsia" w:ascii="宋体" w:hAnsi="宋体" w:eastAsia="宋体" w:cs="Times New Roman"/>
          <w:b/>
          <w:sz w:val="24"/>
          <w:highlight w:val="none"/>
        </w:rPr>
        <w:t>第十条</w:t>
      </w:r>
      <w:r>
        <w:rPr>
          <w:rFonts w:ascii="宋体" w:hAnsi="宋体" w:eastAsia="宋体" w:cs="Times New Roman"/>
          <w:b/>
          <w:sz w:val="24"/>
          <w:highlight w:val="none"/>
        </w:rPr>
        <w:t xml:space="preserve"> 不可抗力</w:t>
      </w:r>
    </w:p>
    <w:p>
      <w:pPr>
        <w:widowControl/>
        <w:spacing w:line="36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10</w:t>
      </w:r>
      <w:r>
        <w:rPr>
          <w:rFonts w:ascii="宋体" w:hAnsi="宋体" w:eastAsia="宋体" w:cs="Times New Roman"/>
          <w:bCs/>
          <w:sz w:val="24"/>
          <w:highlight w:val="none"/>
        </w:rPr>
        <w:t xml:space="preserve">.1 </w:t>
      </w:r>
      <w:r>
        <w:rPr>
          <w:rFonts w:hint="eastAsia" w:ascii="宋体" w:hAnsi="宋体" w:eastAsia="宋体" w:cs="Times New Roman"/>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spacing w:line="36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⑴</w:t>
      </w:r>
      <w:r>
        <w:rPr>
          <w:rFonts w:ascii="宋体" w:hAnsi="宋体" w:eastAsia="宋体" w:cs="Times New Roman"/>
          <w:bCs/>
          <w:sz w:val="24"/>
          <w:highlight w:val="none"/>
        </w:rPr>
        <w:t xml:space="preserve"> </w:t>
      </w:r>
      <w:r>
        <w:rPr>
          <w:rFonts w:hint="eastAsia" w:ascii="宋体" w:hAnsi="宋体" w:eastAsia="宋体" w:cs="Times New Roman"/>
          <w:bCs/>
          <w:sz w:val="24"/>
          <w:highlight w:val="none"/>
        </w:rPr>
        <w:t>地震、火山爆发、滑坡、暴雨（橙色预警及以上）、台风（黄色预警及以上）、海啸、龙卷风、大面积流行病或瘟疫；</w:t>
      </w:r>
    </w:p>
    <w:p>
      <w:pPr>
        <w:widowControl/>
        <w:spacing w:line="36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⑵</w:t>
      </w:r>
      <w:r>
        <w:rPr>
          <w:rFonts w:ascii="宋体" w:hAnsi="宋体" w:eastAsia="宋体" w:cs="Times New Roman"/>
          <w:bCs/>
          <w:sz w:val="24"/>
          <w:highlight w:val="none"/>
        </w:rPr>
        <w:t xml:space="preserve"> </w:t>
      </w:r>
      <w:r>
        <w:rPr>
          <w:rFonts w:hint="eastAsia" w:ascii="宋体" w:hAnsi="宋体" w:eastAsia="宋体" w:cs="Times New Roman"/>
          <w:bCs/>
          <w:sz w:val="24"/>
          <w:highlight w:val="none"/>
        </w:rPr>
        <w:t>战争行为、入侵、武装冲突或外敌行为、封锁、暴乱、恐怖行为或军事演习；</w:t>
      </w:r>
    </w:p>
    <w:p>
      <w:pPr>
        <w:widowControl/>
        <w:spacing w:line="36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10</w:t>
      </w:r>
      <w:r>
        <w:rPr>
          <w:rFonts w:ascii="宋体" w:hAnsi="宋体" w:eastAsia="宋体" w:cs="Times New Roman"/>
          <w:bCs/>
          <w:sz w:val="24"/>
          <w:highlight w:val="none"/>
        </w:rPr>
        <w:t xml:space="preserve">.2 </w:t>
      </w:r>
      <w:r>
        <w:rPr>
          <w:rFonts w:hint="eastAsia" w:ascii="宋体" w:hAnsi="宋体" w:eastAsia="宋体" w:cs="Times New Roman"/>
          <w:bCs/>
          <w:sz w:val="24"/>
          <w:highlight w:val="none"/>
        </w:rPr>
        <w:t>声称受到不可抗力影响的一方，应在发生不可抗力或知道发生不可抗力之后</w:t>
      </w:r>
      <w:r>
        <w:rPr>
          <w:rFonts w:ascii="宋体" w:hAnsi="宋体" w:eastAsia="宋体" w:cs="Times New Roman"/>
          <w:bCs/>
          <w:sz w:val="24"/>
          <w:highlight w:val="none"/>
        </w:rPr>
        <w:t>5日内书面通知另一方，详细描述不可抗力的发生情况和对该方履行在本合同项</w:t>
      </w:r>
      <w:r>
        <w:rPr>
          <w:rFonts w:hint="eastAsia" w:ascii="宋体" w:hAnsi="宋体" w:eastAsia="宋体" w:cs="Times New Roman"/>
          <w:bCs/>
          <w:sz w:val="24"/>
          <w:highlight w:val="none"/>
        </w:rPr>
        <w:t>下义务的影响，同时附上此种不可抗力事件及其持续时间的有效证明文件。</w:t>
      </w:r>
    </w:p>
    <w:p>
      <w:pPr>
        <w:widowControl/>
        <w:spacing w:line="36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10</w:t>
      </w:r>
      <w:r>
        <w:rPr>
          <w:rFonts w:ascii="宋体" w:hAnsi="宋体" w:eastAsia="宋体" w:cs="Times New Roman"/>
          <w:bCs/>
          <w:sz w:val="24"/>
          <w:highlight w:val="none"/>
        </w:rPr>
        <w:t>.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widowControl w:val="0"/>
        <w:autoSpaceDE w:val="0"/>
        <w:autoSpaceDN w:val="0"/>
        <w:adjustRightInd/>
        <w:snapToGrid/>
        <w:spacing w:line="360" w:lineRule="auto"/>
        <w:ind w:firstLine="480" w:firstLineChars="200"/>
        <w:jc w:val="both"/>
        <w:textAlignment w:val="baseline"/>
        <w:rPr>
          <w:rFonts w:ascii="宋体" w:hAnsi="宋体" w:eastAsia="等线" w:cs="Times New Roman"/>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10.4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r>
        <w:rPr>
          <w:rFonts w:hint="eastAsia" w:ascii="宋体" w:hAnsi="宋体" w:eastAsia="等线" w:cs="Times New Roman"/>
          <w:color w:val="000000"/>
          <w:kern w:val="0"/>
          <w:sz w:val="24"/>
          <w:szCs w:val="24"/>
          <w:highlight w:val="none"/>
          <w:lang w:val="en-US" w:eastAsia="zh-CN" w:bidi="ar-SA"/>
        </w:rPr>
        <w:t>。</w:t>
      </w:r>
    </w:p>
    <w:p>
      <w:pPr>
        <w:spacing w:line="360" w:lineRule="auto"/>
        <w:ind w:firstLine="482" w:firstLineChars="200"/>
        <w:rPr>
          <w:rFonts w:ascii="宋体" w:hAnsi="宋体" w:eastAsia="宋体" w:cs="Times New Roman"/>
          <w:b/>
          <w:sz w:val="24"/>
          <w:highlight w:val="none"/>
        </w:rPr>
      </w:pPr>
      <w:r>
        <w:rPr>
          <w:rFonts w:hint="eastAsia" w:ascii="宋体" w:hAnsi="宋体" w:eastAsia="宋体" w:cs="Times New Roman"/>
          <w:b/>
          <w:sz w:val="24"/>
          <w:highlight w:val="none"/>
        </w:rPr>
        <w:t xml:space="preserve">第十一条  </w:t>
      </w:r>
      <w:r>
        <w:rPr>
          <w:rFonts w:ascii="宋体" w:hAnsi="宋体" w:eastAsia="宋体" w:cs="Times New Roman"/>
          <w:b/>
          <w:sz w:val="24"/>
          <w:highlight w:val="none"/>
        </w:rPr>
        <w:t>争议解决</w:t>
      </w:r>
    </w:p>
    <w:p>
      <w:pPr>
        <w:spacing w:line="360" w:lineRule="auto"/>
        <w:ind w:firstLine="480" w:firstLineChars="200"/>
        <w:rPr>
          <w:rFonts w:ascii="宋体" w:hAnsi="宋体" w:eastAsia="宋体" w:cs="Times New Roman"/>
          <w:bCs/>
          <w:sz w:val="24"/>
          <w:highlight w:val="none"/>
        </w:rPr>
      </w:pPr>
      <w:bookmarkStart w:id="31" w:name="_Toc306350469"/>
      <w:bookmarkStart w:id="32" w:name="_Toc183666533"/>
      <w:r>
        <w:rPr>
          <w:rFonts w:hint="eastAsia" w:ascii="宋体" w:hAnsi="宋体" w:eastAsia="宋体" w:cs="Times New Roman"/>
          <w:bCs/>
          <w:sz w:val="24"/>
          <w:highlight w:val="none"/>
        </w:rPr>
        <w:t>11</w:t>
      </w:r>
      <w:r>
        <w:rPr>
          <w:rFonts w:ascii="宋体" w:hAnsi="宋体" w:eastAsia="宋体" w:cs="Times New Roman"/>
          <w:bCs/>
          <w:sz w:val="24"/>
          <w:highlight w:val="none"/>
        </w:rPr>
        <w:t>.1甲乙双方应通过友好协商，解决在执行本合同所发生的或与本合同有关的一切争议。如协商不能解决争议，任何一方均可依法向甲方所在地人民法院提起诉讼。</w:t>
      </w:r>
    </w:p>
    <w:p>
      <w:pPr>
        <w:spacing w:line="360" w:lineRule="auto"/>
        <w:ind w:firstLine="480" w:firstLineChars="200"/>
        <w:jc w:val="left"/>
        <w:rPr>
          <w:rFonts w:ascii="宋体" w:hAnsi="宋体" w:eastAsia="宋体" w:cs="Times New Roman"/>
          <w:bCs/>
          <w:sz w:val="24"/>
          <w:highlight w:val="none"/>
        </w:rPr>
      </w:pPr>
      <w:r>
        <w:rPr>
          <w:rFonts w:hint="eastAsia" w:ascii="宋体" w:hAnsi="宋体" w:eastAsia="宋体" w:cs="Times New Roman"/>
          <w:bCs/>
          <w:sz w:val="24"/>
          <w:highlight w:val="none"/>
        </w:rPr>
        <w:t>11</w:t>
      </w:r>
      <w:r>
        <w:rPr>
          <w:rFonts w:ascii="宋体" w:hAnsi="宋体" w:eastAsia="宋体" w:cs="Times New Roman"/>
          <w:bCs/>
          <w:sz w:val="24"/>
          <w:highlight w:val="none"/>
        </w:rPr>
        <w:t xml:space="preserve">.2 </w:t>
      </w:r>
      <w:r>
        <w:rPr>
          <w:rFonts w:hint="eastAsia" w:ascii="宋体" w:hAnsi="宋体" w:eastAsia="宋体" w:cs="Times New Roman"/>
          <w:bCs/>
          <w:sz w:val="24"/>
          <w:highlight w:val="none"/>
        </w:rPr>
        <w:t>在甲方同意的情况下，除有争端之外的合同其它部分在争端解决前应继续执行。</w:t>
      </w:r>
      <w:bookmarkEnd w:id="31"/>
      <w:bookmarkEnd w:id="32"/>
    </w:p>
    <w:p>
      <w:pPr>
        <w:spacing w:line="360" w:lineRule="auto"/>
        <w:ind w:firstLine="482" w:firstLineChars="200"/>
        <w:rPr>
          <w:rFonts w:ascii="宋体" w:hAnsi="宋体" w:eastAsia="宋体" w:cs="Times New Roman"/>
          <w:b/>
          <w:sz w:val="24"/>
          <w:highlight w:val="none"/>
        </w:rPr>
      </w:pPr>
      <w:r>
        <w:rPr>
          <w:rFonts w:hint="eastAsia" w:ascii="宋体" w:hAnsi="宋体" w:eastAsia="宋体" w:cs="Times New Roman"/>
          <w:b/>
          <w:sz w:val="24"/>
          <w:highlight w:val="none"/>
        </w:rPr>
        <w:t xml:space="preserve">第十二条  </w:t>
      </w:r>
      <w:r>
        <w:rPr>
          <w:rFonts w:ascii="宋体" w:hAnsi="宋体" w:eastAsia="宋体" w:cs="Times New Roman"/>
          <w:b/>
          <w:sz w:val="24"/>
          <w:highlight w:val="none"/>
        </w:rPr>
        <w:t>合同生效及其他</w:t>
      </w:r>
    </w:p>
    <w:p>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12.1</w:t>
      </w:r>
      <w:r>
        <w:rPr>
          <w:rFonts w:hint="eastAsia" w:ascii="宋体" w:hAnsi="宋体" w:eastAsia="宋体" w:cs="Times New Roman"/>
          <w:sz w:val="24"/>
          <w:highlight w:val="none"/>
        </w:rPr>
        <w:t>本合同经双方法定代表人或授权代表签字并加盖双方公章后生效。</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1</w:t>
      </w:r>
      <w:r>
        <w:rPr>
          <w:rFonts w:ascii="宋体" w:hAnsi="宋体" w:eastAsia="宋体" w:cs="Times New Roman"/>
          <w:sz w:val="24"/>
          <w:highlight w:val="none"/>
        </w:rPr>
        <w:t>2.2</w:t>
      </w:r>
      <w:r>
        <w:rPr>
          <w:rFonts w:hint="eastAsia" w:ascii="宋体" w:hAnsi="宋体" w:eastAsia="宋体" w:cs="Times New Roman"/>
          <w:sz w:val="24"/>
          <w:highlight w:val="none"/>
        </w:rPr>
        <w:t>本合同正文一式</w:t>
      </w:r>
      <w:r>
        <w:rPr>
          <w:rFonts w:hint="eastAsia" w:ascii="宋体" w:hAnsi="宋体" w:eastAsia="宋体" w:cs="Times New Roman"/>
          <w:sz w:val="24"/>
          <w:highlight w:val="none"/>
          <w:u w:val="single"/>
        </w:rPr>
        <w:t>捌</w:t>
      </w:r>
      <w:r>
        <w:rPr>
          <w:rFonts w:hint="eastAsia" w:ascii="宋体" w:hAnsi="宋体" w:eastAsia="宋体" w:cs="Times New Roman"/>
          <w:sz w:val="24"/>
          <w:highlight w:val="none"/>
        </w:rPr>
        <w:t>份，其中：甲方</w:t>
      </w:r>
      <w:r>
        <w:rPr>
          <w:rFonts w:hint="eastAsia" w:ascii="宋体" w:hAnsi="宋体" w:eastAsia="宋体" w:cs="Times New Roman"/>
          <w:sz w:val="24"/>
          <w:highlight w:val="none"/>
          <w:u w:val="single"/>
        </w:rPr>
        <w:t>陆</w:t>
      </w:r>
      <w:r>
        <w:rPr>
          <w:rFonts w:hint="eastAsia" w:ascii="宋体" w:hAnsi="宋体" w:eastAsia="宋体" w:cs="Times New Roman"/>
          <w:sz w:val="24"/>
          <w:highlight w:val="none"/>
        </w:rPr>
        <w:t>份，乙方</w:t>
      </w:r>
      <w:r>
        <w:rPr>
          <w:rFonts w:hint="eastAsia" w:ascii="宋体" w:hAnsi="宋体" w:eastAsia="宋体" w:cs="Times New Roman"/>
          <w:sz w:val="24"/>
          <w:highlight w:val="none"/>
          <w:u w:val="single"/>
        </w:rPr>
        <w:t>贰</w:t>
      </w:r>
      <w:r>
        <w:rPr>
          <w:rFonts w:hint="eastAsia" w:ascii="宋体" w:hAnsi="宋体" w:eastAsia="宋体" w:cs="Times New Roman"/>
          <w:sz w:val="24"/>
          <w:highlight w:val="none"/>
        </w:rPr>
        <w:t>份。</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1</w:t>
      </w:r>
      <w:r>
        <w:rPr>
          <w:rFonts w:ascii="宋体" w:hAnsi="宋体" w:eastAsia="宋体" w:cs="Times New Roman"/>
          <w:sz w:val="24"/>
          <w:highlight w:val="none"/>
        </w:rPr>
        <w:t xml:space="preserve">2.3 </w:t>
      </w:r>
      <w:r>
        <w:rPr>
          <w:rFonts w:hint="eastAsia" w:ascii="宋体" w:hAnsi="宋体" w:eastAsia="宋体" w:cs="Times New Roman"/>
          <w:sz w:val="24"/>
          <w:highlight w:val="none"/>
        </w:rPr>
        <w:t>如需修改或补充本合同内容，双方应签署书面修改或补充协议，该等协议将作为本合同的一个组成部分。</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附件：1.廉洁协议</w:t>
      </w:r>
    </w:p>
    <w:p>
      <w:pPr>
        <w:spacing w:line="360" w:lineRule="auto"/>
        <w:ind w:firstLine="1200" w:firstLineChars="500"/>
        <w:textAlignment w:val="baseline"/>
        <w:rPr>
          <w:rFonts w:hint="default" w:ascii="宋体" w:hAnsi="宋体" w:eastAsia="宋体" w:cs="Times New Roman"/>
          <w:color w:val="000000"/>
          <w:kern w:val="0"/>
          <w:sz w:val="24"/>
          <w:szCs w:val="24"/>
          <w:highlight w:val="none"/>
          <w:lang w:val="en-US" w:eastAsia="zh-CN"/>
        </w:rPr>
      </w:pPr>
      <w:r>
        <w:rPr>
          <w:rFonts w:hint="eastAsia" w:ascii="宋体" w:hAnsi="宋体" w:eastAsia="宋体" w:cs="Times New Roman"/>
          <w:sz w:val="24"/>
          <w:highlight w:val="none"/>
        </w:rPr>
        <w:t>2.营运场所施工安全及消防安全协议书</w:t>
      </w:r>
      <w:r>
        <w:rPr>
          <w:rFonts w:hint="eastAsia" w:ascii="宋体" w:hAnsi="宋体" w:eastAsia="宋体" w:cs="Times New Roman"/>
          <w:sz w:val="24"/>
          <w:highlight w:val="none"/>
        </w:rPr>
        <w:br w:type="textWrapping"/>
      </w:r>
      <w:r>
        <w:rPr>
          <w:rFonts w:ascii="宋体" w:hAnsi="宋体" w:eastAsia="等线" w:cs="Times New Roman"/>
          <w:color w:val="000000"/>
          <w:kern w:val="0"/>
          <w:sz w:val="24"/>
          <w:szCs w:val="24"/>
          <w:highlight w:val="none"/>
        </w:rPr>
        <w:t xml:space="preserve">         </w:t>
      </w:r>
      <w:r>
        <w:rPr>
          <w:rFonts w:hint="eastAsia" w:ascii="宋体" w:hAnsi="宋体" w:eastAsia="宋体" w:cs="Times New Roman"/>
          <w:color w:val="auto"/>
          <w:kern w:val="2"/>
          <w:sz w:val="24"/>
          <w:szCs w:val="22"/>
          <w:highlight w:val="none"/>
        </w:rPr>
        <w:t xml:space="preserve"> 3</w:t>
      </w:r>
      <w:r>
        <w:rPr>
          <w:rFonts w:hint="eastAsia" w:ascii="宋体" w:hAnsi="宋体" w:eastAsia="宋体" w:cs="Times New Roman"/>
          <w:sz w:val="24"/>
          <w:highlight w:val="none"/>
        </w:rPr>
        <w:t>.</w:t>
      </w:r>
      <w:r>
        <w:rPr>
          <w:rFonts w:hint="eastAsia" w:ascii="宋体" w:hAnsi="宋体" w:eastAsia="宋体" w:cs="Times New Roman"/>
          <w:color w:val="auto"/>
          <w:kern w:val="2"/>
          <w:sz w:val="24"/>
          <w:szCs w:val="22"/>
          <w:highlight w:val="none"/>
        </w:rPr>
        <w:t>工作保密承诺函</w:t>
      </w:r>
      <w:r>
        <w:rPr>
          <w:rFonts w:hint="eastAsia" w:ascii="宋体" w:hAnsi="宋体" w:eastAsia="宋体" w:cs="Times New Roman"/>
          <w:kern w:val="2"/>
          <w:sz w:val="24"/>
          <w:szCs w:val="22"/>
          <w:highlight w:val="none"/>
        </w:rPr>
        <w:br w:type="textWrapping"/>
      </w:r>
      <w:r>
        <w:rPr>
          <w:rFonts w:hint="eastAsia" w:ascii="宋体" w:hAnsi="宋体" w:eastAsia="宋体" w:cs="Times New Roman"/>
          <w:kern w:val="2"/>
          <w:sz w:val="24"/>
          <w:szCs w:val="22"/>
          <w:highlight w:val="none"/>
          <w:lang w:val="en-US" w:eastAsia="zh-CN"/>
        </w:rPr>
        <w:t xml:space="preserve">          4.成果归属协议</w:t>
      </w:r>
    </w:p>
    <w:tbl>
      <w:tblPr>
        <w:tblStyle w:val="26"/>
        <w:tblW w:w="0" w:type="auto"/>
        <w:jc w:val="center"/>
        <w:tblLayout w:type="fixed"/>
        <w:tblCellMar>
          <w:top w:w="0" w:type="dxa"/>
          <w:left w:w="108" w:type="dxa"/>
          <w:bottom w:w="0" w:type="dxa"/>
          <w:right w:w="108" w:type="dxa"/>
        </w:tblCellMar>
      </w:tblPr>
      <w:tblGrid>
        <w:gridCol w:w="4566"/>
        <w:gridCol w:w="4993"/>
      </w:tblGrid>
      <w:tr>
        <w:tblPrEx>
          <w:tblCellMar>
            <w:top w:w="0" w:type="dxa"/>
            <w:left w:w="108" w:type="dxa"/>
            <w:bottom w:w="0" w:type="dxa"/>
            <w:right w:w="108" w:type="dxa"/>
          </w:tblCellMar>
        </w:tblPrEx>
        <w:trPr>
          <w:trHeight w:val="3163" w:hRule="atLeast"/>
          <w:jc w:val="center"/>
        </w:trPr>
        <w:tc>
          <w:tcPr>
            <w:tcW w:w="4566" w:type="dxa"/>
          </w:tcPr>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甲方（盖章）：广州市净水有限公司</w:t>
            </w: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法定代表或授权代表：</w:t>
            </w: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签署日期：</w:t>
            </w: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地址：广州市天河区临江大道5</w:t>
            </w:r>
            <w:r>
              <w:rPr>
                <w:rFonts w:ascii="宋体" w:hAnsi="宋体" w:eastAsia="宋体" w:cs="Times New Roman"/>
                <w:szCs w:val="21"/>
                <w:highlight w:val="none"/>
              </w:rPr>
              <w:t>01</w:t>
            </w:r>
            <w:r>
              <w:rPr>
                <w:rFonts w:hint="eastAsia" w:ascii="宋体" w:hAnsi="宋体" w:eastAsia="宋体" w:cs="Times New Roman"/>
                <w:szCs w:val="21"/>
                <w:highlight w:val="none"/>
              </w:rPr>
              <w:t>号</w:t>
            </w: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电话：0</w:t>
            </w:r>
            <w:r>
              <w:rPr>
                <w:rFonts w:ascii="宋体" w:hAnsi="宋体" w:eastAsia="宋体" w:cs="Times New Roman"/>
                <w:szCs w:val="21"/>
                <w:highlight w:val="none"/>
              </w:rPr>
              <w:t>20-81791223</w:t>
            </w: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传真：0</w:t>
            </w:r>
            <w:r>
              <w:rPr>
                <w:rFonts w:ascii="宋体" w:hAnsi="宋体" w:eastAsia="宋体" w:cs="Times New Roman"/>
                <w:szCs w:val="21"/>
                <w:highlight w:val="none"/>
              </w:rPr>
              <w:t>20-81793097</w:t>
            </w: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经办人： </w:t>
            </w:r>
          </w:p>
        </w:tc>
        <w:tc>
          <w:tcPr>
            <w:tcW w:w="4993" w:type="dxa"/>
          </w:tcPr>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乙方（盖章）：  </w:t>
            </w: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法定代表或授权代表： </w:t>
            </w: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签署日期：</w:t>
            </w: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地址： </w:t>
            </w: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电话：  </w:t>
            </w: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传真：</w:t>
            </w:r>
            <w:r>
              <w:rPr>
                <w:rFonts w:ascii="宋体" w:hAnsi="宋体" w:eastAsia="宋体" w:cs="Times New Roman"/>
                <w:szCs w:val="21"/>
                <w:highlight w:val="none"/>
              </w:rPr>
              <w:t xml:space="preserve"> </w:t>
            </w:r>
            <w:r>
              <w:rPr>
                <w:rFonts w:hint="eastAsia" w:ascii="宋体" w:hAnsi="宋体" w:eastAsia="宋体" w:cs="Times New Roman"/>
                <w:szCs w:val="21"/>
                <w:highlight w:val="none"/>
              </w:rPr>
              <w:t xml:space="preserve"> </w:t>
            </w:r>
          </w:p>
          <w:p>
            <w:pPr>
              <w:spacing w:line="360" w:lineRule="auto"/>
              <w:rPr>
                <w:rFonts w:ascii="宋体" w:hAnsi="宋体" w:eastAsia="宋体" w:cs="Times New Roman"/>
                <w:szCs w:val="21"/>
                <w:highlight w:val="none"/>
              </w:rPr>
            </w:pPr>
          </w:p>
        </w:tc>
      </w:tr>
    </w:tbl>
    <w:p>
      <w:pPr>
        <w:rPr>
          <w:rFonts w:ascii="宋体" w:hAnsi="宋体" w:eastAsia="宋体" w:cs="宋体"/>
          <w:highlight w:val="none"/>
        </w:rPr>
      </w:pPr>
    </w:p>
    <w:p>
      <w:pPr>
        <w:spacing w:line="276" w:lineRule="auto"/>
        <w:rPr>
          <w:rFonts w:ascii="宋体" w:hAnsi="宋体" w:eastAsia="宋体" w:cs="Times New Roman"/>
          <w:b/>
          <w:sz w:val="24"/>
          <w:highlight w:val="none"/>
        </w:rPr>
      </w:pPr>
      <w:r>
        <w:rPr>
          <w:rFonts w:hint="eastAsia" w:ascii="宋体" w:hAnsi="宋体" w:eastAsia="宋体" w:cs="Times New Roman"/>
          <w:b/>
          <w:sz w:val="24"/>
          <w:highlight w:val="none"/>
        </w:rPr>
        <w:br w:type="page"/>
      </w:r>
      <w:r>
        <w:rPr>
          <w:rFonts w:hint="eastAsia" w:ascii="宋体" w:hAnsi="宋体" w:eastAsia="宋体" w:cs="Times New Roman"/>
          <w:b/>
          <w:sz w:val="24"/>
          <w:highlight w:val="none"/>
        </w:rPr>
        <w:t>附件</w:t>
      </w:r>
      <w:r>
        <w:rPr>
          <w:rFonts w:ascii="宋体" w:hAnsi="宋体" w:eastAsia="宋体" w:cs="Times New Roman"/>
          <w:b/>
          <w:sz w:val="24"/>
          <w:highlight w:val="none"/>
        </w:rPr>
        <w:t>1</w:t>
      </w:r>
      <w:r>
        <w:rPr>
          <w:rFonts w:hint="eastAsia" w:ascii="宋体" w:hAnsi="宋体" w:eastAsia="宋体" w:cs="Times New Roman"/>
          <w:b/>
          <w:sz w:val="24"/>
          <w:highlight w:val="none"/>
        </w:rPr>
        <w:t>：廉洁协议</w:t>
      </w:r>
    </w:p>
    <w:p>
      <w:pPr>
        <w:spacing w:line="360" w:lineRule="auto"/>
        <w:jc w:val="center"/>
        <w:rPr>
          <w:rFonts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廉洁协议</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仿宋_GB2312"/>
          <w:bCs/>
          <w:sz w:val="24"/>
          <w:highlight w:val="none"/>
          <w:u w:val="single"/>
        </w:rPr>
        <w:t>广州市净水有限公司</w:t>
      </w:r>
      <w:r>
        <w:rPr>
          <w:rFonts w:hint="eastAsia" w:ascii="宋体" w:hAnsi="宋体" w:eastAsia="宋体" w:cs="仿宋_GB2312"/>
          <w:bCs/>
          <w:sz w:val="24"/>
          <w:highlight w:val="none"/>
        </w:rPr>
        <w:t>(以下称甲方)与</w:t>
      </w:r>
      <w:r>
        <w:rPr>
          <w:rFonts w:hint="eastAsia" w:ascii="宋体" w:hAnsi="宋体" w:eastAsia="宋体" w:cs="仿宋_GB2312"/>
          <w:bCs/>
          <w:sz w:val="24"/>
          <w:highlight w:val="none"/>
          <w:u w:val="single"/>
        </w:rPr>
        <w:t xml:space="preserve">              </w:t>
      </w:r>
      <w:r>
        <w:rPr>
          <w:rFonts w:hint="eastAsia" w:ascii="宋体" w:hAnsi="宋体" w:eastAsia="宋体" w:cs="仿宋_GB2312"/>
          <w:bCs/>
          <w:sz w:val="24"/>
          <w:highlight w:val="none"/>
        </w:rPr>
        <w:t>(以下称乙方)，特此订立本协议共同遵照执行。</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第一条 甲乙双方的权利和义务</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（一）甲乙双方严格遵守国家关于市场准入、项目招标投标、市场经营活动等有关法律、法规相关政策及廉政建设的各项规定。</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（二）严格执行</w:t>
      </w:r>
      <w:r>
        <w:rPr>
          <w:rFonts w:hint="eastAsia" w:ascii="宋体" w:hAnsi="宋体" w:eastAsia="宋体" w:cs="仿宋_GB2312"/>
          <w:bCs/>
          <w:sz w:val="24"/>
          <w:highlight w:val="none"/>
          <w:u w:val="single"/>
        </w:rPr>
        <w:t>广州市净水有限公司污水处理系统进水水质生物毒性监测设备研发（穗净水合</w:t>
      </w:r>
      <w:r>
        <w:rPr>
          <w:rFonts w:ascii="宋体" w:hAnsi="宋体" w:eastAsia="宋体" w:cs="仿宋_GB2312"/>
          <w:bCs/>
          <w:sz w:val="24"/>
          <w:highlight w:val="none"/>
          <w:u w:val="single"/>
        </w:rPr>
        <w:t xml:space="preserve">[    ]   </w:t>
      </w:r>
      <w:r>
        <w:rPr>
          <w:rFonts w:hint="eastAsia" w:ascii="宋体" w:hAnsi="宋体" w:eastAsia="宋体" w:cs="仿宋_GB2312"/>
          <w:bCs/>
          <w:sz w:val="24"/>
          <w:highlight w:val="none"/>
          <w:u w:val="single"/>
        </w:rPr>
        <w:t>号）</w:t>
      </w:r>
      <w:r>
        <w:rPr>
          <w:rFonts w:hint="eastAsia" w:ascii="宋体" w:hAnsi="宋体" w:eastAsia="宋体" w:cs="仿宋_GB2312"/>
          <w:bCs/>
          <w:sz w:val="24"/>
          <w:highlight w:val="none"/>
        </w:rPr>
        <w:t>合同（以下简称：主合同），自觉履行合同约定的相关义务。</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（三）在业务活动中坚持公开、公正、诚信、透明的原则，不得损害国家、集体利益。</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（四）建立健全廉洁从业制度，开展廉洁教育，公布举报电话，监督并认真查处不廉洁及违法违纪行为。</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（五）发现对方在业务活动中有不廉洁行为，应及时提醒对方纠正。情节严重的，应向其有关监督部门检举。</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第二条甲方的义务</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（三）甲方及其工作人员不得要求或者接受乙方为其住房装修、婚丧嫁娶活动、配偶子女工作安排以及出国出境、旅游等提供方便等。</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（四）甲方工作人员不得在乙方或与乙方有股权关联的企业兼职，不得向乙方介绍家属或者亲友从事与甲方业务有关的经济活动。</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（六）甲方工作人员不得利用职务之便收受乙方以回扣、手续费、加班费、咨询费、劳务费、协调费、辛苦费等各种名义给予或赠送的钱物。</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（七）甲方工作人员不得接受乙方给予或赠送的干股或红利。</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(八）不得存在其他违反廉洁规定的行为。</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第三条乙方的义务</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（一）乙方不得以任何理由向甲方及其工作人员行贿或馈赠礼金、有价证券、贵重礼品。</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（二)乙方不得以任何名义为甲方及其工作人员报销应由甲方单位或个人支付的任何费用。</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（三）乙方不得以任何理由安排甲方工作人员参加可能影响相关业务公开、公正、公平性的宴请及娱乐活动。</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（五）乙方不得擅自与甲方工作人员就主合同中的质量、数量、价格、工程量、验收等条款进行私下商谈或者达成默契。</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（六）乙方不得以回扣、手续费、加班费、咨询费、劳务费、协调费、辛苦费等各种名义向甲方工作人员给予或赠送钱物。</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（七）乙方不得向甲方工作人员提供干股或红利。</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(八）不得存在其他违反廉洁规定的行为。</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第四条违约责任</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甲方举报投诉联系部门：广州市净水有限公司</w:t>
      </w:r>
      <w:r>
        <w:rPr>
          <w:rFonts w:hint="eastAsia" w:ascii="宋体" w:hAnsi="宋体" w:eastAsia="宋体" w:cs="仿宋_GB2312"/>
          <w:bCs/>
          <w:sz w:val="24"/>
          <w:highlight w:val="none"/>
          <w:u w:val="single"/>
        </w:rPr>
        <w:t>纪检室</w:t>
      </w:r>
      <w:r>
        <w:rPr>
          <w:rFonts w:hint="eastAsia" w:ascii="宋体" w:hAnsi="宋体" w:eastAsia="宋体" w:cs="仿宋_GB2312"/>
          <w:bCs/>
          <w:sz w:val="24"/>
          <w:highlight w:val="none"/>
        </w:rPr>
        <w:t>，联系电话：</w:t>
      </w:r>
      <w:r>
        <w:rPr>
          <w:rFonts w:hint="eastAsia" w:ascii="宋体" w:hAnsi="宋体" w:eastAsia="宋体" w:cs="仿宋_GB2312"/>
          <w:bCs/>
          <w:sz w:val="24"/>
          <w:highlight w:val="none"/>
          <w:u w:val="single"/>
        </w:rPr>
        <w:t xml:space="preserve"> 020-38890265 </w:t>
      </w:r>
      <w:r>
        <w:rPr>
          <w:rFonts w:hint="eastAsia" w:ascii="宋体" w:hAnsi="宋体" w:eastAsia="宋体" w:cs="仿宋_GB2312"/>
          <w:bCs/>
          <w:sz w:val="24"/>
          <w:highlight w:val="none"/>
        </w:rPr>
        <w:t>。</w:t>
      </w:r>
    </w:p>
    <w:p>
      <w:pPr>
        <w:widowControl/>
        <w:spacing w:line="360" w:lineRule="auto"/>
        <w:ind w:firstLine="480" w:firstLineChars="200"/>
        <w:jc w:val="left"/>
        <w:rPr>
          <w:rFonts w:ascii="宋体" w:hAnsi="宋体" w:eastAsia="宋体" w:cs="仿宋_GB2312"/>
          <w:bCs/>
          <w:kern w:val="0"/>
          <w:sz w:val="24"/>
          <w:highlight w:val="none"/>
        </w:rPr>
      </w:pPr>
      <w:r>
        <w:rPr>
          <w:rFonts w:hint="eastAsia" w:ascii="宋体" w:hAnsi="宋体" w:eastAsia="宋体" w:cs="仿宋_GB2312"/>
          <w:bCs/>
          <w:kern w:val="0"/>
          <w:sz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widowControl/>
        <w:spacing w:line="360" w:lineRule="auto"/>
        <w:ind w:firstLine="480" w:firstLineChars="200"/>
        <w:jc w:val="left"/>
        <w:rPr>
          <w:rFonts w:ascii="宋体" w:hAnsi="宋体" w:eastAsia="宋体" w:cs="仿宋_GB2312"/>
          <w:bCs/>
          <w:kern w:val="0"/>
          <w:sz w:val="24"/>
          <w:highlight w:val="none"/>
        </w:rPr>
      </w:pPr>
      <w:r>
        <w:rPr>
          <w:rFonts w:hint="eastAsia" w:ascii="宋体" w:hAnsi="宋体" w:eastAsia="宋体" w:cs="仿宋_GB2312"/>
          <w:bCs/>
          <w:kern w:val="0"/>
          <w:sz w:val="24"/>
          <w:highlight w:val="none"/>
        </w:rPr>
        <w:t>1、扣除主合同的全部履约保证金；</w:t>
      </w:r>
    </w:p>
    <w:p>
      <w:pPr>
        <w:widowControl/>
        <w:spacing w:line="360" w:lineRule="auto"/>
        <w:ind w:firstLine="480" w:firstLineChars="200"/>
        <w:jc w:val="left"/>
        <w:rPr>
          <w:rFonts w:ascii="宋体" w:hAnsi="宋体" w:eastAsia="宋体" w:cs="仿宋_GB2312"/>
          <w:bCs/>
          <w:kern w:val="0"/>
          <w:sz w:val="24"/>
          <w:highlight w:val="none"/>
        </w:rPr>
      </w:pPr>
      <w:r>
        <w:rPr>
          <w:rFonts w:hint="eastAsia" w:ascii="宋体" w:hAnsi="宋体" w:eastAsia="宋体" w:cs="仿宋_GB2312"/>
          <w:bCs/>
          <w:kern w:val="0"/>
          <w:sz w:val="24"/>
          <w:highlight w:val="none"/>
        </w:rPr>
        <w:t>2、解除主合同；</w:t>
      </w:r>
    </w:p>
    <w:p>
      <w:pPr>
        <w:widowControl/>
        <w:spacing w:line="360" w:lineRule="auto"/>
        <w:ind w:firstLine="480" w:firstLineChars="200"/>
        <w:jc w:val="left"/>
        <w:rPr>
          <w:rFonts w:ascii="宋体" w:hAnsi="宋体" w:eastAsia="宋体" w:cs="仿宋_GB2312"/>
          <w:bCs/>
          <w:kern w:val="0"/>
          <w:sz w:val="24"/>
          <w:highlight w:val="none"/>
        </w:rPr>
      </w:pPr>
      <w:r>
        <w:rPr>
          <w:rFonts w:hint="eastAsia" w:ascii="宋体" w:hAnsi="宋体" w:eastAsia="宋体" w:cs="仿宋_GB2312"/>
          <w:bCs/>
          <w:kern w:val="0"/>
          <w:sz w:val="24"/>
          <w:highlight w:val="none"/>
        </w:rPr>
        <w:t>3、追究乙方其他违约责任；</w:t>
      </w:r>
    </w:p>
    <w:p>
      <w:pPr>
        <w:widowControl/>
        <w:spacing w:line="360" w:lineRule="auto"/>
        <w:ind w:firstLine="480" w:firstLineChars="200"/>
        <w:jc w:val="left"/>
        <w:rPr>
          <w:rFonts w:ascii="宋体" w:hAnsi="宋体" w:eastAsia="宋体" w:cs="仿宋_GB2312"/>
          <w:bCs/>
          <w:kern w:val="0"/>
          <w:sz w:val="24"/>
          <w:highlight w:val="none"/>
        </w:rPr>
      </w:pPr>
      <w:r>
        <w:rPr>
          <w:rFonts w:hint="eastAsia" w:ascii="宋体" w:hAnsi="宋体" w:eastAsia="宋体" w:cs="仿宋_GB2312"/>
          <w:bCs/>
          <w:kern w:val="0"/>
          <w:sz w:val="24"/>
          <w:highlight w:val="none"/>
        </w:rPr>
        <w:t>4、根据甲方的有关规章制度，在一定时间内暂停乙方参与甲方及下属单位所有项目的交易资格；</w:t>
      </w:r>
    </w:p>
    <w:p>
      <w:pPr>
        <w:widowControl/>
        <w:spacing w:line="360" w:lineRule="auto"/>
        <w:ind w:firstLine="480" w:firstLineChars="200"/>
        <w:jc w:val="left"/>
        <w:rPr>
          <w:rFonts w:ascii="宋体" w:hAnsi="宋体" w:eastAsia="宋体" w:cs="仿宋_GB2312"/>
          <w:bCs/>
          <w:kern w:val="0"/>
          <w:sz w:val="24"/>
          <w:highlight w:val="none"/>
        </w:rPr>
      </w:pPr>
      <w:r>
        <w:rPr>
          <w:rFonts w:hint="eastAsia" w:ascii="宋体" w:hAnsi="宋体" w:eastAsia="宋体" w:cs="仿宋_GB2312"/>
          <w:bCs/>
          <w:kern w:val="0"/>
          <w:sz w:val="24"/>
          <w:highlight w:val="none"/>
        </w:rPr>
        <w:t>5、根据甲方的有关规章制度，将乙方清退出甲方相关企业库；</w:t>
      </w:r>
    </w:p>
    <w:p>
      <w:pPr>
        <w:widowControl/>
        <w:spacing w:line="360" w:lineRule="auto"/>
        <w:ind w:firstLine="480" w:firstLineChars="200"/>
        <w:jc w:val="left"/>
        <w:rPr>
          <w:rFonts w:ascii="宋体" w:hAnsi="宋体" w:eastAsia="宋体" w:cs="仿宋_GB2312"/>
          <w:bCs/>
          <w:kern w:val="0"/>
          <w:sz w:val="24"/>
          <w:highlight w:val="none"/>
        </w:rPr>
      </w:pPr>
      <w:r>
        <w:rPr>
          <w:rFonts w:hint="eastAsia" w:ascii="宋体" w:hAnsi="宋体" w:eastAsia="宋体" w:cs="仿宋_GB2312"/>
          <w:bCs/>
          <w:kern w:val="0"/>
          <w:sz w:val="24"/>
          <w:highlight w:val="none"/>
        </w:rPr>
        <w:t>6、根据甲方上级单位、行政主管部门的意见、决定执行；</w:t>
      </w:r>
    </w:p>
    <w:p>
      <w:pPr>
        <w:widowControl/>
        <w:spacing w:line="360" w:lineRule="auto"/>
        <w:ind w:firstLine="480" w:firstLineChars="200"/>
        <w:jc w:val="left"/>
        <w:rPr>
          <w:rFonts w:ascii="宋体" w:hAnsi="宋体" w:eastAsia="宋体" w:cs="仿宋_GB2312"/>
          <w:bCs/>
          <w:kern w:val="0"/>
          <w:sz w:val="24"/>
          <w:highlight w:val="none"/>
        </w:rPr>
      </w:pPr>
      <w:r>
        <w:rPr>
          <w:rFonts w:hint="eastAsia" w:ascii="宋体" w:hAnsi="宋体" w:eastAsia="宋体" w:cs="仿宋_GB2312"/>
          <w:bCs/>
          <w:kern w:val="0"/>
          <w:sz w:val="24"/>
          <w:highlight w:val="none"/>
        </w:rPr>
        <w:t>7、按规定向有关行政监督部门、乙方业务管理部门进行投诉、报告。</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乙方无条件接受甲方的处理决定并承担给甲方造成的损失，全额返还通过不正当手段获取的非法所得，并承担相应的法律责任。</w:t>
      </w:r>
    </w:p>
    <w:p>
      <w:pPr>
        <w:spacing w:line="360" w:lineRule="auto"/>
        <w:ind w:firstLine="480" w:firstLineChars="200"/>
        <w:rPr>
          <w:rFonts w:ascii="宋体" w:hAnsi="宋体" w:eastAsia="宋体" w:cs="仿宋_GB2312"/>
          <w:bCs/>
          <w:kern w:val="0"/>
          <w:sz w:val="24"/>
          <w:highlight w:val="none"/>
        </w:rPr>
      </w:pPr>
      <w:r>
        <w:rPr>
          <w:rFonts w:hint="eastAsia" w:ascii="宋体" w:hAnsi="宋体" w:eastAsia="宋体" w:cs="仿宋_GB2312"/>
          <w:bCs/>
          <w:sz w:val="24"/>
          <w:highlight w:val="none"/>
        </w:rPr>
        <w:t xml:space="preserve">第五条 </w:t>
      </w:r>
      <w:r>
        <w:rPr>
          <w:rFonts w:hint="eastAsia" w:ascii="宋体" w:hAnsi="宋体" w:eastAsia="宋体" w:cs="仿宋_GB2312"/>
          <w:bCs/>
          <w:kern w:val="0"/>
          <w:sz w:val="24"/>
          <w:highlight w:val="none"/>
        </w:rPr>
        <w:t xml:space="preserve">本协议执行情况，接受有管辖权的纪检、监察部门的监督，双方应予以配合检查调查。 </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第六条本协议作为</w:t>
      </w:r>
      <w:r>
        <w:rPr>
          <w:rFonts w:hint="eastAsia" w:ascii="宋体" w:hAnsi="宋体" w:eastAsia="宋体" w:cs="仿宋_GB2312"/>
          <w:bCs/>
          <w:sz w:val="24"/>
          <w:highlight w:val="none"/>
          <w:u w:val="single"/>
        </w:rPr>
        <w:t>广州市净水有限公司污水处理系统进水水质生物毒性监测设备研发（合同编号：穗净水合[202 ]     号）</w:t>
      </w:r>
      <w:r>
        <w:rPr>
          <w:rFonts w:hint="eastAsia" w:ascii="宋体" w:hAnsi="宋体" w:eastAsia="宋体" w:cs="仿宋_GB2312"/>
          <w:bCs/>
          <w:sz w:val="24"/>
          <w:highlight w:val="none"/>
        </w:rPr>
        <w:t>合同的附件，并具有同等的法律效力，本协议自双方签字盖章之日起生效，与主合同同时终止。</w:t>
      </w:r>
    </w:p>
    <w:p>
      <w:pPr>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br w:type="textWrapping"/>
      </w:r>
      <w:r>
        <w:rPr>
          <w:rFonts w:hint="eastAsia" w:ascii="宋体" w:hAnsi="宋体" w:eastAsia="宋体" w:cs="仿宋_GB2312"/>
          <w:bCs/>
          <w:sz w:val="24"/>
          <w:highlight w:val="none"/>
        </w:rPr>
        <w:t>甲方（盖章）：                     乙方（盖章）：</w:t>
      </w:r>
    </w:p>
    <w:p>
      <w:pPr>
        <w:tabs>
          <w:tab w:val="left" w:pos="5100"/>
        </w:tabs>
        <w:spacing w:line="360" w:lineRule="auto"/>
        <w:ind w:firstLine="480" w:firstLineChars="200"/>
        <w:jc w:val="left"/>
        <w:rPr>
          <w:rFonts w:ascii="宋体" w:hAnsi="宋体" w:eastAsia="宋体" w:cs="仿宋_GB2312"/>
          <w:bCs/>
          <w:sz w:val="24"/>
          <w:highlight w:val="none"/>
        </w:rPr>
      </w:pPr>
    </w:p>
    <w:p>
      <w:pPr>
        <w:tabs>
          <w:tab w:val="left" w:pos="5100"/>
        </w:tabs>
        <w:spacing w:line="360" w:lineRule="auto"/>
        <w:ind w:firstLine="480" w:firstLineChars="200"/>
        <w:rPr>
          <w:rFonts w:ascii="宋体" w:hAnsi="宋体" w:eastAsia="宋体" w:cs="仿宋_GB2312"/>
          <w:bCs/>
          <w:sz w:val="24"/>
          <w:highlight w:val="none"/>
        </w:rPr>
      </w:pPr>
      <w:r>
        <w:rPr>
          <w:rFonts w:hint="eastAsia" w:ascii="宋体" w:hAnsi="宋体" w:eastAsia="宋体" w:cs="仿宋_GB2312"/>
          <w:bCs/>
          <w:sz w:val="24"/>
          <w:highlight w:val="none"/>
        </w:rPr>
        <w:t>签约代表：                         签约代表：</w:t>
      </w:r>
    </w:p>
    <w:p>
      <w:pPr>
        <w:tabs>
          <w:tab w:val="left" w:pos="4170"/>
        </w:tabs>
        <w:spacing w:line="360" w:lineRule="auto"/>
        <w:ind w:firstLine="480" w:firstLineChars="200"/>
        <w:rPr>
          <w:rFonts w:ascii="宋体" w:hAnsi="宋体" w:eastAsia="宋体" w:cs="Times New Roman"/>
          <w:sz w:val="24"/>
          <w:highlight w:val="none"/>
        </w:rPr>
        <w:sectPr>
          <w:headerReference r:id="rId5" w:type="default"/>
          <w:footerReference r:id="rId6" w:type="default"/>
          <w:pgSz w:w="11906" w:h="16838"/>
          <w:pgMar w:top="1089" w:right="1466" w:bottom="1089" w:left="1077" w:header="851" w:footer="992" w:gutter="0"/>
          <w:cols w:space="720" w:num="1"/>
          <w:docGrid w:type="lines" w:linePitch="312" w:charSpace="0"/>
        </w:sectPr>
      </w:pPr>
      <w:r>
        <w:rPr>
          <w:rFonts w:hint="eastAsia" w:ascii="宋体" w:hAnsi="宋体" w:eastAsia="宋体" w:cs="仿宋_GB2312"/>
          <w:bCs/>
          <w:sz w:val="24"/>
          <w:highlight w:val="none"/>
        </w:rPr>
        <w:t>日期:    年  月  日</w:t>
      </w:r>
      <w:r>
        <w:rPr>
          <w:rFonts w:hint="eastAsia" w:ascii="宋体" w:hAnsi="宋体" w:eastAsia="宋体" w:cs="仿宋_GB2312"/>
          <w:bCs/>
          <w:sz w:val="24"/>
          <w:highlight w:val="none"/>
        </w:rPr>
        <w:tab/>
      </w:r>
      <w:r>
        <w:rPr>
          <w:rFonts w:hint="eastAsia" w:ascii="宋体" w:hAnsi="宋体" w:eastAsia="宋体" w:cs="仿宋_GB2312"/>
          <w:bCs/>
          <w:sz w:val="24"/>
          <w:highlight w:val="none"/>
        </w:rPr>
        <w:t>日期：  年  月  日</w:t>
      </w:r>
    </w:p>
    <w:p>
      <w:pPr>
        <w:widowControl/>
        <w:spacing w:line="240" w:lineRule="auto"/>
        <w:jc w:val="left"/>
        <w:rPr>
          <w:rFonts w:hint="eastAsia" w:ascii="宋体" w:hAnsi="宋体" w:eastAsia="宋体" w:cs="宋体"/>
          <w:b/>
          <w:bCs/>
          <w:sz w:val="24"/>
          <w:szCs w:val="24"/>
          <w:highlight w:val="none"/>
        </w:rPr>
      </w:pPr>
      <w:r>
        <w:rPr>
          <w:rFonts w:hint="eastAsia" w:ascii="宋体" w:hAnsi="宋体" w:eastAsia="宋体" w:cs="Times New Roman"/>
          <w:b/>
          <w:sz w:val="24"/>
          <w:highlight w:val="none"/>
        </w:rPr>
        <w:t>附件</w:t>
      </w:r>
      <w:r>
        <w:rPr>
          <w:rFonts w:ascii="宋体" w:hAnsi="宋体" w:eastAsia="宋体" w:cs="Times New Roman"/>
          <w:b/>
          <w:sz w:val="24"/>
          <w:highlight w:val="none"/>
        </w:rPr>
        <w:t>2</w:t>
      </w:r>
      <w:r>
        <w:rPr>
          <w:rFonts w:hint="eastAsia" w:ascii="宋体" w:hAnsi="宋体" w:eastAsia="宋体" w:cs="Times New Roman"/>
          <w:b/>
          <w:sz w:val="24"/>
          <w:highlight w:val="none"/>
        </w:rPr>
        <w:t>：</w:t>
      </w:r>
      <w:r>
        <w:rPr>
          <w:rFonts w:hint="eastAsia" w:ascii="宋体" w:hAnsi="宋体" w:eastAsia="宋体" w:cs="宋体"/>
          <w:b/>
          <w:bCs/>
          <w:sz w:val="24"/>
          <w:szCs w:val="24"/>
          <w:highlight w:val="none"/>
        </w:rPr>
        <w:t>营运场所施工安全及消防安全协议书</w:t>
      </w:r>
    </w:p>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bCs/>
          <w:sz w:val="32"/>
          <w:szCs w:val="32"/>
          <w:highlight w:val="none"/>
          <w:lang w:val="en-US" w:eastAsia="zh-CN"/>
        </w:rPr>
      </w:pPr>
      <w:r>
        <w:rPr>
          <w:rFonts w:hint="eastAsia" w:ascii="方正小标宋简体" w:hAnsi="方正小标宋简体" w:eastAsia="方正小标宋简体" w:cs="方正小标宋简体"/>
          <w:bCs/>
          <w:sz w:val="32"/>
          <w:szCs w:val="32"/>
          <w:highlight w:val="none"/>
          <w:lang w:val="en-US" w:eastAsia="zh-CN"/>
        </w:rPr>
        <w:t>营运场所施工安全及消防安全协议书</w:t>
      </w:r>
    </w:p>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仿宋_GB2312" w:hAnsi="仿宋_GB2312" w:eastAsia="仿宋_GB2312" w:cs="仿宋_GB2312"/>
          <w:bCs/>
          <w:kern w:val="0"/>
          <w:sz w:val="24"/>
          <w:szCs w:val="32"/>
          <w:highlight w:val="none"/>
        </w:rPr>
      </w:pPr>
    </w:p>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甲方：</w:t>
      </w:r>
      <w:r>
        <w:rPr>
          <w:rFonts w:hint="eastAsia" w:ascii="仿宋_GB2312" w:hAnsi="仿宋_GB2312" w:eastAsia="仿宋_GB2312" w:cs="仿宋_GB2312"/>
          <w:bCs/>
          <w:sz w:val="24"/>
          <w:szCs w:val="24"/>
          <w:highlight w:val="none"/>
        </w:rPr>
        <w:t>广州市净水有限公司</w:t>
      </w:r>
    </w:p>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 xml:space="preserve">乙方： </w:t>
      </w:r>
    </w:p>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仿宋_GB2312" w:hAnsi="仿宋_GB2312" w:eastAsia="仿宋_GB2312" w:cs="仿宋_GB2312"/>
          <w:bCs/>
          <w:kern w:val="0"/>
          <w:sz w:val="24"/>
          <w:szCs w:val="24"/>
          <w:highlight w:val="none"/>
        </w:rPr>
      </w:pPr>
    </w:p>
    <w:p>
      <w:pPr>
        <w:keepNext w:val="0"/>
        <w:keepLines w:val="0"/>
        <w:pageBreakBefore w:val="0"/>
        <w:widowControl w:val="0"/>
        <w:kinsoku/>
        <w:wordWrap/>
        <w:overflowPunct/>
        <w:topLinePunct w:val="0"/>
        <w:autoSpaceDE/>
        <w:autoSpaceDN/>
        <w:bidi w:val="0"/>
        <w:spacing w:line="440" w:lineRule="exact"/>
        <w:ind w:firstLine="480" w:firstLineChars="200"/>
        <w:jc w:val="both"/>
        <w:textAlignment w:val="auto"/>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根据《中华人民共和国安全生产法》、</w:t>
      </w:r>
      <w:r>
        <w:rPr>
          <w:rFonts w:hint="eastAsia" w:ascii="仿宋_GB2312" w:hAnsi="仿宋_GB2312" w:eastAsia="仿宋_GB2312" w:cs="仿宋_GB2312"/>
          <w:bCs/>
          <w:kern w:val="0"/>
          <w:sz w:val="24"/>
          <w:szCs w:val="24"/>
          <w:highlight w:val="none"/>
          <w:lang w:eastAsia="zh-CN"/>
        </w:rPr>
        <w:t>《中华人民共和国消防法》、</w:t>
      </w:r>
      <w:r>
        <w:rPr>
          <w:rFonts w:hint="eastAsia" w:ascii="仿宋_GB2312" w:hAnsi="仿宋_GB2312" w:eastAsia="仿宋_GB2312" w:cs="仿宋_GB2312"/>
          <w:bCs/>
          <w:kern w:val="0"/>
          <w:sz w:val="24"/>
          <w:szCs w:val="24"/>
          <w:highlight w:val="none"/>
        </w:rPr>
        <w:t>《生产安全事故报告和调查处理条例》</w:t>
      </w:r>
      <w:r>
        <w:rPr>
          <w:rFonts w:hint="eastAsia" w:ascii="仿宋_GB2312" w:hAnsi="仿宋_GB2312" w:eastAsia="仿宋_GB2312" w:cs="仿宋_GB2312"/>
          <w:bCs/>
          <w:kern w:val="0"/>
          <w:sz w:val="24"/>
          <w:szCs w:val="24"/>
          <w:highlight w:val="none"/>
          <w:lang w:eastAsia="zh-CN"/>
        </w:rPr>
        <w:t>、《建设工程安全生产管理条例》</w:t>
      </w:r>
      <w:r>
        <w:rPr>
          <w:rFonts w:hint="eastAsia" w:ascii="仿宋_GB2312" w:hAnsi="仿宋_GB2312" w:eastAsia="仿宋_GB2312" w:cs="仿宋_GB2312"/>
          <w:bCs/>
          <w:kern w:val="0"/>
          <w:sz w:val="24"/>
          <w:szCs w:val="24"/>
          <w:highlight w:val="none"/>
        </w:rPr>
        <w:t>等国家及地方有关安全生产</w:t>
      </w:r>
      <w:r>
        <w:rPr>
          <w:rFonts w:hint="eastAsia" w:ascii="仿宋_GB2312" w:hAnsi="仿宋_GB2312" w:eastAsia="仿宋_GB2312" w:cs="仿宋_GB2312"/>
          <w:bCs/>
          <w:kern w:val="0"/>
          <w:sz w:val="24"/>
          <w:szCs w:val="24"/>
          <w:highlight w:val="none"/>
          <w:lang w:eastAsia="zh-CN"/>
        </w:rPr>
        <w:t>、</w:t>
      </w:r>
      <w:r>
        <w:rPr>
          <w:rFonts w:hint="eastAsia" w:ascii="仿宋_GB2312" w:hAnsi="仿宋_GB2312" w:eastAsia="仿宋_GB2312" w:cs="仿宋_GB2312"/>
          <w:bCs/>
          <w:kern w:val="0"/>
          <w:sz w:val="24"/>
          <w:szCs w:val="24"/>
          <w:highlight w:val="none"/>
          <w:lang w:val="en-US" w:eastAsia="zh-CN"/>
        </w:rPr>
        <w:t>消防安全</w:t>
      </w:r>
      <w:r>
        <w:rPr>
          <w:rFonts w:hint="eastAsia" w:ascii="仿宋_GB2312" w:hAnsi="仿宋_GB2312" w:eastAsia="仿宋_GB2312" w:cs="仿宋_GB2312"/>
          <w:bCs/>
          <w:kern w:val="0"/>
          <w:sz w:val="24"/>
          <w:szCs w:val="24"/>
          <w:highlight w:val="none"/>
        </w:rPr>
        <w:t>法律法规，甲乙双方就安全</w:t>
      </w:r>
      <w:r>
        <w:rPr>
          <w:rFonts w:hint="eastAsia" w:ascii="仿宋_GB2312" w:hAnsi="仿宋_GB2312" w:eastAsia="仿宋_GB2312" w:cs="仿宋_GB2312"/>
          <w:bCs/>
          <w:kern w:val="0"/>
          <w:sz w:val="24"/>
          <w:szCs w:val="24"/>
          <w:highlight w:val="none"/>
          <w:lang w:val="en-US" w:eastAsia="zh-CN"/>
        </w:rPr>
        <w:t>及消防安全</w:t>
      </w:r>
      <w:r>
        <w:rPr>
          <w:rFonts w:hint="eastAsia" w:ascii="仿宋_GB2312" w:hAnsi="仿宋_GB2312" w:eastAsia="仿宋_GB2312" w:cs="仿宋_GB2312"/>
          <w:bCs/>
          <w:kern w:val="0"/>
          <w:sz w:val="24"/>
          <w:szCs w:val="24"/>
          <w:highlight w:val="none"/>
        </w:rPr>
        <w:t>事宜，</w:t>
      </w:r>
      <w:r>
        <w:rPr>
          <w:rFonts w:hint="eastAsia" w:ascii="仿宋_GB2312" w:hAnsi="仿宋_GB2312" w:eastAsia="仿宋_GB2312" w:cs="仿宋_GB2312"/>
          <w:bCs/>
          <w:sz w:val="24"/>
          <w:szCs w:val="24"/>
          <w:highlight w:val="none"/>
        </w:rPr>
        <w:t>经双方友好协商，达成如下协议</w:t>
      </w:r>
      <w:r>
        <w:rPr>
          <w:rFonts w:hint="eastAsia" w:ascii="仿宋_GB2312" w:hAnsi="仿宋_GB2312" w:eastAsia="仿宋_GB2312" w:cs="仿宋_GB2312"/>
          <w:bCs/>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kern w:val="0"/>
          <w:sz w:val="24"/>
          <w:szCs w:val="24"/>
          <w:highlight w:val="none"/>
          <w:lang w:eastAsia="zh-CN"/>
        </w:rPr>
        <w:t>（</w:t>
      </w:r>
      <w:r>
        <w:rPr>
          <w:rFonts w:hint="eastAsia" w:ascii="仿宋_GB2312" w:hAnsi="仿宋_GB2312" w:eastAsia="仿宋_GB2312" w:cs="仿宋_GB2312"/>
          <w:bCs/>
          <w:kern w:val="0"/>
          <w:sz w:val="24"/>
          <w:szCs w:val="24"/>
          <w:highlight w:val="none"/>
          <w:lang w:val="en-US" w:eastAsia="zh-CN"/>
        </w:rPr>
        <w:t>一</w:t>
      </w:r>
      <w:r>
        <w:rPr>
          <w:rFonts w:hint="eastAsia" w:ascii="仿宋_GB2312" w:hAnsi="仿宋_GB2312" w:eastAsia="仿宋_GB2312" w:cs="仿宋_GB2312"/>
          <w:bCs/>
          <w:kern w:val="0"/>
          <w:sz w:val="24"/>
          <w:szCs w:val="24"/>
          <w:highlight w:val="none"/>
          <w:lang w:eastAsia="zh-CN"/>
        </w:rPr>
        <w:t>）</w:t>
      </w:r>
      <w:r>
        <w:rPr>
          <w:rFonts w:hint="eastAsia" w:ascii="仿宋_GB2312" w:hAnsi="仿宋_GB2312" w:eastAsia="仿宋_GB2312" w:cs="仿宋_GB2312"/>
          <w:bCs/>
          <w:kern w:val="0"/>
          <w:sz w:val="24"/>
          <w:szCs w:val="24"/>
          <w:highlight w:val="none"/>
          <w:lang w:val="en-US" w:eastAsia="zh-CN"/>
        </w:rPr>
        <w:t>本协议是合同</w:t>
      </w:r>
      <w:r>
        <w:rPr>
          <w:rFonts w:hint="eastAsia" w:ascii="仿宋_GB2312" w:hAnsi="仿宋_GB2312" w:eastAsia="仿宋_GB2312" w:cs="仿宋_GB2312"/>
          <w:bCs/>
          <w:sz w:val="24"/>
          <w:szCs w:val="24"/>
          <w:highlight w:val="none"/>
          <w:u w:val="single"/>
        </w:rPr>
        <w:t xml:space="preserve">广州市净水有限公司污水处理系统进水水质生物毒性监测设备研发（穗净水合〔     〕    号） </w:t>
      </w:r>
      <w:r>
        <w:rPr>
          <w:rFonts w:hint="eastAsia" w:ascii="仿宋_GB2312" w:hAnsi="仿宋_GB2312" w:eastAsia="仿宋_GB2312" w:cs="仿宋_GB2312"/>
          <w:bCs/>
          <w:sz w:val="24"/>
          <w:szCs w:val="24"/>
          <w:highlight w:val="none"/>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kern w:val="0"/>
          <w:sz w:val="24"/>
          <w:szCs w:val="24"/>
          <w:highlight w:val="none"/>
          <w:lang w:eastAsia="zh-CN"/>
        </w:rPr>
        <w:t>（</w:t>
      </w:r>
      <w:r>
        <w:rPr>
          <w:rFonts w:hint="eastAsia" w:ascii="仿宋_GB2312" w:hAnsi="仿宋_GB2312" w:eastAsia="仿宋_GB2312" w:cs="仿宋_GB2312"/>
          <w:bCs/>
          <w:kern w:val="0"/>
          <w:sz w:val="24"/>
          <w:szCs w:val="24"/>
          <w:highlight w:val="none"/>
          <w:lang w:val="en-US" w:eastAsia="zh-CN"/>
        </w:rPr>
        <w:t>二</w:t>
      </w:r>
      <w:r>
        <w:rPr>
          <w:rFonts w:hint="eastAsia" w:ascii="仿宋_GB2312" w:hAnsi="仿宋_GB2312" w:eastAsia="仿宋_GB2312" w:cs="仿宋_GB2312"/>
          <w:bCs/>
          <w:kern w:val="0"/>
          <w:sz w:val="24"/>
          <w:szCs w:val="24"/>
          <w:highlight w:val="none"/>
          <w:lang w:eastAsia="zh-CN"/>
        </w:rPr>
        <w:t>）</w:t>
      </w:r>
      <w:r>
        <w:rPr>
          <w:rFonts w:hint="eastAsia" w:ascii="仿宋_GB2312" w:hAnsi="仿宋_GB2312" w:eastAsia="仿宋_GB2312" w:cs="仿宋_GB2312"/>
          <w:bCs/>
          <w:color w:val="auto"/>
          <w:kern w:val="0"/>
          <w:sz w:val="24"/>
          <w:szCs w:val="24"/>
          <w:highlight w:val="none"/>
        </w:rPr>
        <w:t>甲</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rPr>
        <w:t>乙双方应遵守国家、省、市有关</w:t>
      </w:r>
      <w:r>
        <w:rPr>
          <w:rFonts w:hint="eastAsia" w:ascii="仿宋_GB2312" w:hAnsi="仿宋_GB2312" w:eastAsia="仿宋_GB2312" w:cs="仿宋_GB2312"/>
          <w:bCs/>
          <w:kern w:val="0"/>
          <w:sz w:val="24"/>
          <w:szCs w:val="24"/>
          <w:highlight w:val="none"/>
        </w:rPr>
        <w:t>安全生产</w:t>
      </w:r>
      <w:r>
        <w:rPr>
          <w:rFonts w:hint="eastAsia" w:ascii="仿宋_GB2312" w:hAnsi="仿宋_GB2312" w:eastAsia="仿宋_GB2312" w:cs="仿宋_GB2312"/>
          <w:bCs/>
          <w:kern w:val="0"/>
          <w:sz w:val="24"/>
          <w:szCs w:val="24"/>
          <w:highlight w:val="none"/>
          <w:lang w:eastAsia="zh-CN"/>
        </w:rPr>
        <w:t>、</w:t>
      </w:r>
      <w:r>
        <w:rPr>
          <w:rFonts w:hint="eastAsia" w:ascii="仿宋_GB2312" w:hAnsi="仿宋_GB2312" w:eastAsia="仿宋_GB2312" w:cs="仿宋_GB2312"/>
          <w:bCs/>
          <w:color w:val="auto"/>
          <w:kern w:val="0"/>
          <w:sz w:val="24"/>
          <w:szCs w:val="24"/>
          <w:highlight w:val="none"/>
        </w:rPr>
        <w:t>消防安全的法律、法规、规章，履行</w:t>
      </w:r>
      <w:r>
        <w:rPr>
          <w:rFonts w:hint="eastAsia" w:ascii="仿宋_GB2312" w:hAnsi="仿宋_GB2312" w:eastAsia="仿宋_GB2312" w:cs="仿宋_GB2312"/>
          <w:bCs/>
          <w:kern w:val="0"/>
          <w:sz w:val="24"/>
          <w:szCs w:val="24"/>
          <w:highlight w:val="none"/>
          <w:lang w:val="en-US" w:eastAsia="zh-CN"/>
        </w:rPr>
        <w:t>安全生产、</w:t>
      </w:r>
      <w:r>
        <w:rPr>
          <w:rFonts w:hint="eastAsia" w:ascii="仿宋_GB2312" w:hAnsi="仿宋_GB2312" w:eastAsia="仿宋_GB2312" w:cs="仿宋_GB2312"/>
          <w:bCs/>
          <w:color w:val="auto"/>
          <w:kern w:val="0"/>
          <w:sz w:val="24"/>
          <w:szCs w:val="24"/>
          <w:highlight w:val="none"/>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kern w:val="0"/>
          <w:sz w:val="24"/>
          <w:szCs w:val="24"/>
          <w:highlight w:val="none"/>
          <w:lang w:eastAsia="zh-CN"/>
        </w:rPr>
        <w:t>（</w:t>
      </w:r>
      <w:r>
        <w:rPr>
          <w:rFonts w:hint="eastAsia" w:ascii="仿宋_GB2312" w:hAnsi="仿宋_GB2312" w:eastAsia="仿宋_GB2312" w:cs="仿宋_GB2312"/>
          <w:bCs/>
          <w:kern w:val="0"/>
          <w:sz w:val="24"/>
          <w:szCs w:val="24"/>
          <w:highlight w:val="none"/>
          <w:lang w:val="en-US" w:eastAsia="zh-CN"/>
        </w:rPr>
        <w:t>三</w:t>
      </w:r>
      <w:r>
        <w:rPr>
          <w:rFonts w:hint="eastAsia" w:ascii="仿宋_GB2312" w:hAnsi="仿宋_GB2312" w:eastAsia="仿宋_GB2312" w:cs="仿宋_GB2312"/>
          <w:bCs/>
          <w:kern w:val="0"/>
          <w:sz w:val="24"/>
          <w:szCs w:val="24"/>
          <w:highlight w:val="none"/>
          <w:lang w:eastAsia="zh-CN"/>
        </w:rPr>
        <w:t>）</w:t>
      </w:r>
      <w:r>
        <w:rPr>
          <w:rFonts w:hint="eastAsia" w:ascii="仿宋_GB2312" w:hAnsi="仿宋_GB2312" w:eastAsia="仿宋_GB2312" w:cs="仿宋_GB2312"/>
          <w:bCs/>
          <w:color w:val="auto"/>
          <w:kern w:val="0"/>
          <w:sz w:val="24"/>
          <w:szCs w:val="24"/>
          <w:highlight w:val="none"/>
        </w:rPr>
        <w:t>甲</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rPr>
        <w:t>乙双方应当逐级落实</w:t>
      </w:r>
      <w:r>
        <w:rPr>
          <w:rFonts w:hint="eastAsia" w:ascii="仿宋_GB2312" w:hAnsi="仿宋_GB2312" w:eastAsia="仿宋_GB2312" w:cs="仿宋_GB2312"/>
          <w:bCs/>
          <w:kern w:val="0"/>
          <w:sz w:val="24"/>
          <w:szCs w:val="24"/>
          <w:highlight w:val="none"/>
          <w:lang w:val="en-US" w:eastAsia="zh-CN"/>
        </w:rPr>
        <w:t>安全生产、</w:t>
      </w:r>
      <w:r>
        <w:rPr>
          <w:rFonts w:hint="eastAsia" w:ascii="仿宋_GB2312" w:hAnsi="仿宋_GB2312" w:eastAsia="仿宋_GB2312" w:cs="仿宋_GB2312"/>
          <w:bCs/>
          <w:color w:val="auto"/>
          <w:kern w:val="0"/>
          <w:sz w:val="24"/>
          <w:szCs w:val="24"/>
          <w:highlight w:val="none"/>
        </w:rPr>
        <w:t>消防安全责任制，明确逐级岗位人员的安全</w:t>
      </w:r>
      <w:r>
        <w:rPr>
          <w:rFonts w:hint="eastAsia" w:ascii="仿宋_GB2312" w:hAnsi="仿宋_GB2312" w:eastAsia="仿宋_GB2312" w:cs="仿宋_GB2312"/>
          <w:bCs/>
          <w:kern w:val="0"/>
          <w:sz w:val="24"/>
          <w:szCs w:val="24"/>
          <w:highlight w:val="none"/>
          <w:lang w:val="en-US" w:eastAsia="zh-CN"/>
        </w:rPr>
        <w:t>生产、消防安全</w:t>
      </w:r>
      <w:r>
        <w:rPr>
          <w:rFonts w:hint="eastAsia" w:ascii="仿宋_GB2312" w:hAnsi="仿宋_GB2312" w:eastAsia="仿宋_GB2312" w:cs="仿宋_GB2312"/>
          <w:bCs/>
          <w:color w:val="auto"/>
          <w:kern w:val="0"/>
          <w:sz w:val="24"/>
          <w:szCs w:val="24"/>
          <w:highlight w:val="none"/>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lang w:val="en-US" w:eastAsia="zh-CN"/>
        </w:rPr>
        <w:t>四</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（五）当同一个场所、池体内，甲方安排两个或以上的承包单位同时施工的，由甲方组织各承包单位签订《营运场所交叉作业安全及消防安全协议书》。</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lang w:val="en-US" w:eastAsia="zh-CN"/>
        </w:rPr>
        <w:t>六</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lang w:val="en-US" w:eastAsia="zh-CN"/>
        </w:rPr>
        <w:t>乙方的单位及人员资质（</w:t>
      </w:r>
      <w:r>
        <w:rPr>
          <w:rFonts w:hint="eastAsia" w:ascii="仿宋_GB2312" w:hAnsi="仿宋_GB2312" w:eastAsia="仿宋_GB2312" w:cs="仿宋_GB2312"/>
          <w:b/>
          <w:bCs w:val="0"/>
          <w:color w:val="auto"/>
          <w:kern w:val="0"/>
          <w:sz w:val="24"/>
          <w:szCs w:val="24"/>
          <w:highlight w:val="none"/>
          <w:lang w:val="en-US" w:eastAsia="zh-CN"/>
        </w:rPr>
        <w:t>单项选择并填写</w:t>
      </w:r>
      <w:r>
        <w:rPr>
          <w:rFonts w:hint="eastAsia" w:ascii="仿宋_GB2312" w:hAnsi="仿宋_GB2312" w:eastAsia="仿宋_GB2312" w:cs="仿宋_GB2312"/>
          <w:bCs/>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lang w:val="en-US" w:eastAsia="zh-CN"/>
        </w:rPr>
        <w:sym w:font="Wingdings 2" w:char="00A3"/>
      </w:r>
      <w:r>
        <w:rPr>
          <w:rFonts w:hint="eastAsia" w:ascii="仿宋_GB2312" w:hAnsi="仿宋_GB2312" w:eastAsia="仿宋_GB2312" w:cs="仿宋_GB2312"/>
          <w:bCs/>
          <w:color w:val="auto"/>
          <w:kern w:val="0"/>
          <w:sz w:val="24"/>
          <w:szCs w:val="24"/>
          <w:highlight w:val="none"/>
          <w:lang w:val="en-US" w:eastAsia="zh-CN"/>
        </w:rPr>
        <w:t>1.详见合同第</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bCs/>
          <w:sz w:val="24"/>
          <w:szCs w:val="24"/>
          <w:highlight w:val="none"/>
          <w:u w:val="single"/>
          <w:lang w:val="en-US" w:eastAsia="zh-CN"/>
        </w:rPr>
        <w:t xml:space="preserve">       </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bCs/>
          <w:sz w:val="24"/>
          <w:szCs w:val="24"/>
          <w:highlight w:val="none"/>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sym w:font="Wingdings 2" w:char="00A3"/>
      </w:r>
      <w:r>
        <w:rPr>
          <w:rFonts w:hint="eastAsia" w:ascii="仿宋_GB2312" w:hAnsi="仿宋_GB2312" w:eastAsia="仿宋_GB2312" w:cs="仿宋_GB2312"/>
          <w:bCs/>
          <w:color w:val="auto"/>
          <w:kern w:val="0"/>
          <w:sz w:val="24"/>
          <w:szCs w:val="24"/>
          <w:highlight w:val="none"/>
          <w:lang w:val="en-US" w:eastAsia="zh-CN"/>
        </w:rPr>
        <w:t>2.详见文件《</w:t>
      </w:r>
      <w:r>
        <w:rPr>
          <w:rFonts w:hint="eastAsia" w:ascii="仿宋_GB2312" w:hAnsi="仿宋_GB2312" w:eastAsia="仿宋_GB2312" w:cs="仿宋_GB2312"/>
          <w:bCs/>
          <w:color w:val="auto"/>
          <w:kern w:val="0"/>
          <w:sz w:val="24"/>
          <w:szCs w:val="24"/>
          <w:highlight w:val="none"/>
          <w:u w:val="single"/>
          <w:lang w:val="en-US" w:eastAsia="zh-CN"/>
        </w:rPr>
        <w:t xml:space="preserve">           </w:t>
      </w:r>
      <w:r>
        <w:rPr>
          <w:rFonts w:hint="eastAsia" w:ascii="仿宋_GB2312" w:hAnsi="仿宋_GB2312" w:eastAsia="仿宋_GB2312" w:cs="仿宋_GB2312"/>
          <w:bCs/>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kern w:val="0"/>
          <w:sz w:val="24"/>
          <w:szCs w:val="24"/>
          <w:highlight w:val="none"/>
          <w:lang w:eastAsia="zh-CN"/>
        </w:rPr>
        <w:t>（</w:t>
      </w:r>
      <w:r>
        <w:rPr>
          <w:rFonts w:hint="eastAsia" w:ascii="仿宋_GB2312" w:hAnsi="仿宋_GB2312" w:eastAsia="仿宋_GB2312" w:cs="仿宋_GB2312"/>
          <w:bCs/>
          <w:kern w:val="0"/>
          <w:sz w:val="24"/>
          <w:szCs w:val="24"/>
          <w:highlight w:val="none"/>
          <w:lang w:val="en-US" w:eastAsia="zh-CN"/>
        </w:rPr>
        <w:t>一</w:t>
      </w:r>
      <w:r>
        <w:rPr>
          <w:rFonts w:hint="eastAsia" w:ascii="仿宋_GB2312" w:hAnsi="仿宋_GB2312" w:eastAsia="仿宋_GB2312" w:cs="仿宋_GB2312"/>
          <w:bCs/>
          <w:kern w:val="0"/>
          <w:sz w:val="24"/>
          <w:szCs w:val="24"/>
          <w:highlight w:val="none"/>
          <w:lang w:eastAsia="zh-CN"/>
        </w:rPr>
        <w:t>）</w:t>
      </w:r>
      <w:r>
        <w:rPr>
          <w:rFonts w:hint="eastAsia" w:ascii="仿宋_GB2312" w:hAnsi="仿宋_GB2312" w:eastAsia="仿宋_GB2312" w:cs="仿宋_GB2312"/>
          <w:bCs/>
          <w:kern w:val="0"/>
          <w:sz w:val="24"/>
          <w:szCs w:val="24"/>
          <w:highlight w:val="none"/>
          <w:lang w:val="en-US" w:eastAsia="zh-CN"/>
        </w:rPr>
        <w:t>交底告知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bCs/>
          <w:sz w:val="24"/>
          <w:szCs w:val="24"/>
          <w:highlight w:val="none"/>
        </w:rPr>
        <w:t>允许进出及行走的路线、禁止触动甲方设备设施等</w:t>
      </w:r>
      <w:r>
        <w:rPr>
          <w:rFonts w:hint="eastAsia" w:ascii="仿宋_GB2312" w:hAnsi="仿宋_GB2312" w:eastAsia="仿宋_GB2312" w:cs="仿宋_GB2312"/>
          <w:bCs/>
          <w:sz w:val="24"/>
          <w:szCs w:val="24"/>
          <w:highlight w:val="none"/>
          <w:lang w:val="en-US" w:eastAsia="zh-CN"/>
        </w:rPr>
        <w:t>；项目备案的要求。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lang w:val="en-US" w:eastAsia="zh-CN"/>
        </w:rPr>
        <w:t>2.乙方进场作业前，</w:t>
      </w:r>
      <w:r>
        <w:rPr>
          <w:rFonts w:hint="eastAsia" w:ascii="仿宋_GB2312" w:hAnsi="仿宋_GB2312" w:eastAsia="仿宋_GB2312" w:cs="仿宋_GB2312"/>
          <w:bCs/>
          <w:sz w:val="24"/>
          <w:szCs w:val="24"/>
          <w:highlight w:val="none"/>
        </w:rPr>
        <w:t>应对乙方进行交底</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再次向乙方强调</w:t>
      </w:r>
      <w:r>
        <w:rPr>
          <w:rFonts w:hint="eastAsia" w:ascii="仿宋_GB2312" w:hAnsi="仿宋_GB2312" w:eastAsia="仿宋_GB2312" w:cs="仿宋_GB2312"/>
          <w:bCs/>
          <w:sz w:val="24"/>
          <w:szCs w:val="24"/>
          <w:highlight w:val="none"/>
        </w:rPr>
        <w:t>的</w:t>
      </w:r>
      <w:r>
        <w:rPr>
          <w:rFonts w:hint="eastAsia" w:ascii="仿宋_GB2312" w:hAnsi="仿宋_GB2312" w:eastAsia="仿宋_GB2312" w:cs="仿宋_GB2312"/>
          <w:bCs/>
          <w:sz w:val="24"/>
          <w:szCs w:val="24"/>
          <w:highlight w:val="none"/>
          <w:lang w:val="en-US" w:eastAsia="zh-CN"/>
        </w:rPr>
        <w:t>上述内容，以及施工期间的其他特殊注意事项，如生产方面的调度协调配合等</w:t>
      </w:r>
      <w:r>
        <w:rPr>
          <w:rFonts w:hint="eastAsia" w:ascii="仿宋_GB2312" w:hAnsi="仿宋_GB2312" w:eastAsia="仿宋_GB2312" w:cs="仿宋_GB2312"/>
          <w:bCs/>
          <w:sz w:val="24"/>
          <w:szCs w:val="24"/>
          <w:highlight w:val="none"/>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3.当乙方提出相关规范或乙方内部管理制度，比甲方规定的</w:t>
      </w:r>
      <w:r>
        <w:rPr>
          <w:rFonts w:hint="eastAsia" w:ascii="仿宋_GB2312" w:hAnsi="仿宋_GB2312" w:eastAsia="仿宋_GB2312" w:cs="仿宋_GB2312"/>
          <w:bCs/>
          <w:sz w:val="24"/>
          <w:szCs w:val="24"/>
          <w:highlight w:val="none"/>
        </w:rPr>
        <w:t>安全生产及消防安全管理要求</w:t>
      </w:r>
      <w:r>
        <w:rPr>
          <w:rFonts w:hint="eastAsia" w:ascii="仿宋_GB2312" w:hAnsi="仿宋_GB2312" w:eastAsia="仿宋_GB2312" w:cs="仿宋_GB2312"/>
          <w:bCs/>
          <w:sz w:val="24"/>
          <w:szCs w:val="24"/>
          <w:highlight w:val="none"/>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（二）落实配合措施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1.落实生产营运等相关配合措施，提供必要的施工条件。</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eastAsia="zh-CN"/>
        </w:rPr>
      </w:pP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三</w:t>
      </w:r>
      <w:r>
        <w:rPr>
          <w:rFonts w:hint="eastAsia" w:ascii="仿宋_GB2312" w:hAnsi="仿宋_GB2312" w:eastAsia="仿宋_GB2312" w:cs="仿宋_GB2312"/>
          <w:bCs/>
          <w:sz w:val="24"/>
          <w:szCs w:val="24"/>
          <w:highlight w:val="none"/>
          <w:lang w:eastAsia="zh-CN"/>
        </w:rPr>
        <w:t>）安全及消防安全隐患</w:t>
      </w:r>
      <w:r>
        <w:rPr>
          <w:rFonts w:hint="eastAsia" w:ascii="仿宋_GB2312" w:hAnsi="仿宋_GB2312" w:eastAsia="仿宋_GB2312" w:cs="仿宋_GB2312"/>
          <w:bCs/>
          <w:sz w:val="24"/>
          <w:szCs w:val="24"/>
          <w:highlight w:val="none"/>
          <w:lang w:val="en-US" w:eastAsia="zh-CN"/>
        </w:rPr>
        <w:t>检查与督促整改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1.</w:t>
      </w:r>
      <w:r>
        <w:rPr>
          <w:rFonts w:hint="eastAsia" w:ascii="仿宋_GB2312" w:hAnsi="仿宋_GB2312" w:eastAsia="仿宋_GB2312" w:cs="仿宋_GB2312"/>
          <w:bCs/>
          <w:sz w:val="24"/>
          <w:szCs w:val="24"/>
          <w:highlight w:val="none"/>
          <w:lang w:eastAsia="zh-CN"/>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bCs/>
          <w:sz w:val="24"/>
          <w:szCs w:val="24"/>
          <w:highlight w:val="none"/>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四</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重大安全风险、生产安全重大事故隐患（重大火灾隐患）等情况报告及举报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1.对乙方上报的重大安全风险、生产安全重大事故隐患（重大火灾隐患），应当如实向水投集团报告。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2.如发现乙方瞒报重大安全风险、生产安全重大事故隐患（重大火灾隐患），甲方除向水投集团报告外，有权向属地安全应急管理部门、属地行业主管部门举报。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3.甲方发现乙方在项目范围内（含工地范围内的住宿、办公等区域）开展违法、犯罪活动，向公安部门举报。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（五）事故报告及举报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1.对乙方上报的安全事故及消防安全事故，应当按水投集团有关程序，如实向集团报告。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2.如发现乙方瞒报安全事故及消防安全事故，甲方除向水投集团报告外，有权向属地安全应急管理部门、属地行业主管部门举报。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（六）补充条款</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bCs/>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kern w:val="0"/>
          <w:sz w:val="24"/>
          <w:szCs w:val="24"/>
          <w:highlight w:val="none"/>
          <w:lang w:eastAsia="zh-CN"/>
        </w:rPr>
        <w:t>（</w:t>
      </w:r>
      <w:r>
        <w:rPr>
          <w:rFonts w:hint="eastAsia" w:ascii="仿宋_GB2312" w:hAnsi="仿宋_GB2312" w:eastAsia="仿宋_GB2312" w:cs="仿宋_GB2312"/>
          <w:bCs/>
          <w:kern w:val="0"/>
          <w:sz w:val="24"/>
          <w:szCs w:val="24"/>
          <w:highlight w:val="none"/>
          <w:lang w:val="en-US" w:eastAsia="zh-CN"/>
        </w:rPr>
        <w:t>一</w:t>
      </w:r>
      <w:r>
        <w:rPr>
          <w:rFonts w:hint="eastAsia" w:ascii="仿宋_GB2312" w:hAnsi="仿宋_GB2312" w:eastAsia="仿宋_GB2312" w:cs="仿宋_GB2312"/>
          <w:bCs/>
          <w:kern w:val="0"/>
          <w:sz w:val="24"/>
          <w:szCs w:val="24"/>
          <w:highlight w:val="none"/>
          <w:lang w:eastAsia="zh-CN"/>
        </w:rPr>
        <w:t>）</w:t>
      </w:r>
      <w:r>
        <w:rPr>
          <w:rFonts w:hint="eastAsia" w:ascii="仿宋_GB2312" w:hAnsi="仿宋_GB2312" w:eastAsia="仿宋_GB2312" w:cs="仿宋_GB2312"/>
          <w:bCs/>
          <w:kern w:val="0"/>
          <w:sz w:val="24"/>
          <w:szCs w:val="24"/>
          <w:highlight w:val="none"/>
          <w:lang w:val="en-US" w:eastAsia="zh-CN"/>
        </w:rPr>
        <w:t>接受交底告知并复核确认安全风险，落实管控措施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2.编制的方案应响应甲方告知，明确相应的措施。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3.根据甲方项目备案的要求，提交项目备案材料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4.当甲方规定的安全生产及消防安全管理要求，比相关规范或乙方内部管理制度严格的，按甲方的执行。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5.当相关规范或乙方内部管理制度，比甲方规定的安全生产及消防安全管理要求严格的，应明确告知甲方确认，并按相关规范或乙方内部管理制度执行。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二</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告知甲方需要配合的事项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1.向甲方告知在施工作业期间，需要甲方配合落实的措施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eastAsia="zh-CN"/>
        </w:rPr>
      </w:pP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三</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落实安全及消防安全隐患排查与整改，并接受检查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eastAsia="zh-CN"/>
        </w:rPr>
      </w:pPr>
      <w:r>
        <w:rPr>
          <w:rFonts w:hint="eastAsia" w:ascii="仿宋_GB2312" w:hAnsi="仿宋_GB2312" w:eastAsia="仿宋_GB2312" w:cs="仿宋_GB2312"/>
          <w:bCs/>
          <w:sz w:val="24"/>
          <w:szCs w:val="24"/>
          <w:highlight w:val="none"/>
          <w:lang w:val="en-US" w:eastAsia="zh-CN"/>
        </w:rPr>
        <w:t>1.</w:t>
      </w:r>
      <w:r>
        <w:rPr>
          <w:rFonts w:hint="eastAsia" w:ascii="仿宋_GB2312" w:hAnsi="仿宋_GB2312" w:eastAsia="仿宋_GB2312" w:cs="仿宋_GB2312"/>
          <w:bCs/>
          <w:sz w:val="24"/>
          <w:szCs w:val="24"/>
          <w:highlight w:val="none"/>
          <w:lang w:eastAsia="zh-CN"/>
        </w:rPr>
        <w:t>乙方应做好的每日安全生产、消防安全巡查及开展人员安全生产、消防安全教育，确保场所、场地、区域、施工、</w:t>
      </w:r>
      <w:r>
        <w:rPr>
          <w:rFonts w:hint="eastAsia" w:ascii="仿宋_GB2312" w:hAnsi="仿宋_GB2312" w:eastAsia="仿宋_GB2312" w:cs="仿宋_GB2312"/>
          <w:bCs/>
          <w:sz w:val="24"/>
          <w:szCs w:val="24"/>
          <w:highlight w:val="none"/>
          <w:lang w:val="en-US" w:eastAsia="zh-CN"/>
        </w:rPr>
        <w:t>仓储、住宿、办公</w:t>
      </w:r>
      <w:r>
        <w:rPr>
          <w:rFonts w:hint="eastAsia" w:ascii="仿宋_GB2312" w:hAnsi="仿宋_GB2312" w:eastAsia="仿宋_GB2312" w:cs="仿宋_GB2312"/>
          <w:bCs/>
          <w:sz w:val="24"/>
          <w:szCs w:val="24"/>
          <w:highlight w:val="none"/>
          <w:lang w:eastAsia="zh-CN"/>
        </w:rPr>
        <w:t>等，符合国家、行业安全生产、消防安全相关要求，无对甲方、</w:t>
      </w:r>
      <w:r>
        <w:rPr>
          <w:rFonts w:hint="eastAsia" w:ascii="仿宋_GB2312" w:hAnsi="仿宋_GB2312" w:eastAsia="仿宋_GB2312" w:cs="仿宋_GB2312"/>
          <w:bCs/>
          <w:sz w:val="24"/>
          <w:szCs w:val="24"/>
          <w:highlight w:val="none"/>
          <w:lang w:val="en-US" w:eastAsia="zh-CN"/>
        </w:rPr>
        <w:t>乙方以及周边第三方</w:t>
      </w:r>
      <w:r>
        <w:rPr>
          <w:rFonts w:hint="eastAsia" w:ascii="仿宋_GB2312" w:hAnsi="仿宋_GB2312" w:eastAsia="仿宋_GB2312" w:cs="仿宋_GB2312"/>
          <w:bCs/>
          <w:sz w:val="24"/>
          <w:szCs w:val="24"/>
          <w:highlight w:val="none"/>
          <w:lang w:eastAsia="zh-CN"/>
        </w:rPr>
        <w:t>生产安全、消防安全、</w:t>
      </w:r>
      <w:r>
        <w:rPr>
          <w:rFonts w:hint="eastAsia" w:ascii="仿宋_GB2312" w:hAnsi="仿宋_GB2312" w:eastAsia="仿宋_GB2312" w:cs="仿宋_GB2312"/>
          <w:bCs/>
          <w:sz w:val="24"/>
          <w:szCs w:val="24"/>
          <w:highlight w:val="none"/>
          <w:lang w:val="en-US" w:eastAsia="zh-CN"/>
        </w:rPr>
        <w:t>人身安全等</w:t>
      </w:r>
      <w:r>
        <w:rPr>
          <w:rFonts w:hint="eastAsia" w:ascii="仿宋_GB2312" w:hAnsi="仿宋_GB2312" w:eastAsia="仿宋_GB2312" w:cs="仿宋_GB2312"/>
          <w:bCs/>
          <w:sz w:val="24"/>
          <w:szCs w:val="24"/>
          <w:highlight w:val="none"/>
          <w:lang w:eastAsia="zh-CN"/>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2.接受甲方“四不两直”的不定期检查。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三</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重大安全风险、生产安全重大事故隐患（重大火灾隐患）报告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1.乙方识别存在重大安全风险的，应研究并落实管控措施，降低风险等级，并向甲方、属地安全应急管理部门、属地行业主管部门上报。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2.乙方自查或被外单位检查发现生产安全重大事故隐患（重大火灾隐患）的，应当立即向甲方、属地安全应急管理部门、属地行业主管部门上报。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3.如甲方未收到乙方关于重大安全风险、生产安全重大事故隐患（重大火灾隐患）的报告，但由其他途径获知信息的，视为瞒报。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4.不得谎报信息。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（四）事故报告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1.项目发生安全事故及消防安全事故的，乙方应当在预案规定时间内立即向甲方上报。否则视为迟报。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2.如甲方未收到乙方关于安全事故及消防安全事故的报告，但由其他途径获知信息的，视为瞒报。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3.不得谎报信息。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（五）补充条款</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bCs/>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kern w:val="0"/>
          <w:sz w:val="24"/>
          <w:szCs w:val="24"/>
          <w:highlight w:val="none"/>
          <w:lang w:val="en-US" w:eastAsia="zh-CN"/>
        </w:rPr>
      </w:pPr>
      <w:r>
        <w:rPr>
          <w:rFonts w:hint="eastAsia" w:ascii="仿宋_GB2312" w:hAnsi="仿宋_GB2312" w:eastAsia="仿宋_GB2312" w:cs="仿宋_GB2312"/>
          <w:bCs/>
          <w:kern w:val="0"/>
          <w:sz w:val="24"/>
          <w:szCs w:val="24"/>
          <w:highlight w:val="none"/>
          <w:lang w:eastAsia="zh-CN"/>
        </w:rPr>
        <w:t>（</w:t>
      </w:r>
      <w:r>
        <w:rPr>
          <w:rFonts w:hint="eastAsia" w:ascii="仿宋_GB2312" w:hAnsi="仿宋_GB2312" w:eastAsia="仿宋_GB2312" w:cs="仿宋_GB2312"/>
          <w:bCs/>
          <w:kern w:val="0"/>
          <w:sz w:val="24"/>
          <w:szCs w:val="24"/>
          <w:highlight w:val="none"/>
          <w:lang w:val="en-US" w:eastAsia="zh-CN"/>
        </w:rPr>
        <w:t>一</w:t>
      </w:r>
      <w:r>
        <w:rPr>
          <w:rFonts w:hint="eastAsia" w:ascii="仿宋_GB2312" w:hAnsi="仿宋_GB2312" w:eastAsia="仿宋_GB2312" w:cs="仿宋_GB2312"/>
          <w:bCs/>
          <w:kern w:val="0"/>
          <w:sz w:val="24"/>
          <w:szCs w:val="24"/>
          <w:highlight w:val="none"/>
          <w:lang w:eastAsia="zh-CN"/>
        </w:rPr>
        <w:t>）</w:t>
      </w:r>
      <w:r>
        <w:rPr>
          <w:rFonts w:hint="eastAsia" w:ascii="仿宋_GB2312" w:hAnsi="仿宋_GB2312" w:eastAsia="仿宋_GB2312" w:cs="仿宋_GB2312"/>
          <w:bCs/>
          <w:kern w:val="0"/>
          <w:sz w:val="24"/>
          <w:szCs w:val="24"/>
          <w:highlight w:val="none"/>
          <w:lang w:val="en-US" w:eastAsia="zh-CN"/>
        </w:rPr>
        <w:t>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kern w:val="0"/>
          <w:sz w:val="24"/>
          <w:szCs w:val="24"/>
          <w:highlight w:val="none"/>
          <w:lang w:val="en-US" w:eastAsia="zh-CN"/>
        </w:rPr>
      </w:pPr>
      <w:r>
        <w:rPr>
          <w:rFonts w:hint="eastAsia" w:ascii="仿宋_GB2312" w:hAnsi="仿宋_GB2312" w:eastAsia="仿宋_GB2312" w:cs="仿宋_GB2312"/>
          <w:bCs/>
          <w:kern w:val="0"/>
          <w:sz w:val="24"/>
          <w:szCs w:val="24"/>
          <w:highlight w:val="none"/>
          <w:lang w:val="en-US" w:eastAsia="zh-CN"/>
        </w:rPr>
        <w:t>1.乙方未履行安全及消防安全责任的，甲方有权按合同相关条款处理。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kern w:val="0"/>
          <w:sz w:val="24"/>
          <w:szCs w:val="24"/>
          <w:highlight w:val="none"/>
          <w:lang w:val="en-US" w:eastAsia="zh-CN"/>
        </w:rPr>
      </w:pPr>
      <w:r>
        <w:rPr>
          <w:rFonts w:hint="eastAsia" w:ascii="仿宋_GB2312" w:hAnsi="仿宋_GB2312" w:eastAsia="仿宋_GB2312" w:cs="仿宋_GB2312"/>
          <w:bCs/>
          <w:kern w:val="0"/>
          <w:sz w:val="24"/>
          <w:szCs w:val="24"/>
          <w:highlight w:val="none"/>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kern w:val="0"/>
          <w:sz w:val="24"/>
          <w:szCs w:val="24"/>
          <w:highlight w:val="none"/>
          <w:lang w:val="en-US" w:eastAsia="zh-CN"/>
        </w:rPr>
      </w:pPr>
      <w:r>
        <w:rPr>
          <w:rFonts w:hint="eastAsia" w:ascii="仿宋_GB2312" w:hAnsi="仿宋_GB2312" w:eastAsia="仿宋_GB2312" w:cs="仿宋_GB2312"/>
          <w:bCs/>
          <w:kern w:val="0"/>
          <w:sz w:val="24"/>
          <w:szCs w:val="24"/>
          <w:highlight w:val="none"/>
          <w:lang w:val="en-US" w:eastAsia="zh-CN"/>
        </w:rPr>
        <w:t>（二）发生安全事故或消防安全事故的违约责任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kern w:val="0"/>
          <w:sz w:val="24"/>
          <w:szCs w:val="24"/>
          <w:highlight w:val="none"/>
          <w:lang w:val="en-US" w:eastAsia="zh-CN"/>
        </w:rPr>
      </w:pPr>
      <w:r>
        <w:rPr>
          <w:rFonts w:hint="eastAsia" w:ascii="仿宋_GB2312" w:hAnsi="仿宋_GB2312" w:eastAsia="仿宋_GB2312" w:cs="仿宋_GB2312"/>
          <w:bCs/>
          <w:kern w:val="0"/>
          <w:sz w:val="24"/>
          <w:szCs w:val="24"/>
          <w:highlight w:val="none"/>
          <w:lang w:val="en-US" w:eastAsia="zh-CN"/>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kern w:val="0"/>
          <w:sz w:val="24"/>
          <w:szCs w:val="24"/>
          <w:highlight w:val="none"/>
          <w:lang w:val="en-US" w:eastAsia="zh-CN"/>
        </w:rPr>
      </w:pPr>
      <w:r>
        <w:rPr>
          <w:rFonts w:hint="eastAsia" w:ascii="仿宋_GB2312" w:hAnsi="仿宋_GB2312" w:eastAsia="仿宋_GB2312" w:cs="仿宋_GB2312"/>
          <w:bCs/>
          <w:kern w:val="0"/>
          <w:sz w:val="24"/>
          <w:szCs w:val="24"/>
          <w:highlight w:val="none"/>
          <w:lang w:val="en-US" w:eastAsia="zh-CN"/>
        </w:rPr>
        <w:t>2.如甲方未能提供甲方履职证明的，根据责任调查报告（意见）承担责任。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五、附则</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（一）本协议未尽事宜，依据有关法律、法规、规章处理。法律、法规、规章没有明确规定的，经双方协商处理解决。</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r>
        <w:rPr>
          <w:rFonts w:hint="eastAsia" w:ascii="仿宋_GB2312" w:hAnsi="仿宋_GB2312" w:eastAsia="仿宋_GB2312" w:cs="仿宋_GB2312"/>
          <w:bCs/>
          <w:sz w:val="24"/>
          <w:szCs w:val="24"/>
          <w:highlight w:val="none"/>
          <w:lang w:val="en-US" w:eastAsia="zh-CN"/>
        </w:rPr>
        <w:t>三</w:t>
      </w:r>
      <w:r>
        <w:rPr>
          <w:rFonts w:hint="eastAsia" w:ascii="仿宋_GB2312" w:hAnsi="仿宋_GB2312" w:eastAsia="仿宋_GB2312" w:cs="仿宋_GB2312"/>
          <w:bCs/>
          <w:sz w:val="24"/>
          <w:szCs w:val="24"/>
          <w:highlight w:val="none"/>
        </w:rPr>
        <w:t>）本协议</w:t>
      </w:r>
      <w:r>
        <w:rPr>
          <w:rFonts w:hint="eastAsia" w:ascii="仿宋_GB2312" w:hAnsi="仿宋_GB2312" w:eastAsia="仿宋_GB2312" w:cs="仿宋_GB2312"/>
          <w:bCs/>
          <w:sz w:val="24"/>
          <w:szCs w:val="24"/>
          <w:highlight w:val="none"/>
          <w:lang w:val="en-US" w:eastAsia="zh-CN"/>
        </w:rPr>
        <w:t>作为合同的附件</w:t>
      </w:r>
      <w:r>
        <w:rPr>
          <w:rFonts w:hint="eastAsia" w:ascii="仿宋_GB2312" w:hAnsi="仿宋_GB2312" w:eastAsia="仿宋_GB2312" w:cs="仿宋_GB2312"/>
          <w:bCs/>
          <w:sz w:val="24"/>
          <w:szCs w:val="24"/>
          <w:highlight w:val="none"/>
        </w:rPr>
        <w:t>同时</w:t>
      </w:r>
      <w:r>
        <w:rPr>
          <w:rFonts w:hint="eastAsia" w:ascii="仿宋_GB2312" w:hAnsi="仿宋_GB2312" w:eastAsia="仿宋_GB2312" w:cs="仿宋_GB2312"/>
          <w:bCs/>
          <w:sz w:val="24"/>
          <w:szCs w:val="24"/>
          <w:highlight w:val="none"/>
          <w:lang w:val="en-US" w:eastAsia="zh-CN"/>
        </w:rPr>
        <w:t>签字、同事盖章</w:t>
      </w:r>
      <w:r>
        <w:rPr>
          <w:rFonts w:hint="eastAsia" w:ascii="仿宋_GB2312" w:hAnsi="仿宋_GB2312" w:eastAsia="仿宋_GB2312" w:cs="仿宋_GB2312"/>
          <w:bCs/>
          <w:sz w:val="24"/>
          <w:szCs w:val="24"/>
          <w:highlight w:val="none"/>
        </w:rPr>
        <w:t>、同时生效、同时终止，具有</w:t>
      </w:r>
      <w:r>
        <w:rPr>
          <w:rFonts w:hint="eastAsia" w:ascii="仿宋_GB2312" w:hAnsi="仿宋_GB2312" w:eastAsia="仿宋_GB2312" w:cs="仿宋_GB2312"/>
          <w:bCs/>
          <w:sz w:val="24"/>
          <w:szCs w:val="24"/>
          <w:highlight w:val="none"/>
          <w:lang w:val="en-US" w:eastAsia="zh-CN"/>
        </w:rPr>
        <w:t>同等</w:t>
      </w:r>
      <w:r>
        <w:rPr>
          <w:rFonts w:hint="eastAsia" w:ascii="仿宋_GB2312" w:hAnsi="仿宋_GB2312" w:eastAsia="仿宋_GB2312" w:cs="仿宋_GB2312"/>
          <w:bCs/>
          <w:sz w:val="24"/>
          <w:szCs w:val="24"/>
          <w:highlight w:val="none"/>
        </w:rPr>
        <w:t>的法律效力</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rPr>
        <w:t>甲方、乙方双方执持数量与合同一致。</w:t>
      </w:r>
    </w:p>
    <w:p>
      <w:pPr>
        <w:widowControl w:val="0"/>
        <w:jc w:val="both"/>
        <w:rPr>
          <w:rFonts w:hint="eastAsia" w:ascii="仿宋_GB2312" w:hAnsi="仿宋_GB2312" w:eastAsia="仿宋_GB2312" w:cs="仿宋_GB2312"/>
          <w:bCs/>
          <w:sz w:val="24"/>
          <w:szCs w:val="24"/>
          <w:highlight w:val="none"/>
        </w:rPr>
      </w:pP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甲方</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盖章</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rPr>
              <w:t>：</w:t>
            </w:r>
          </w:p>
          <w:p>
            <w:pPr>
              <w:widowControl w:val="0"/>
              <w:adjustRightInd w:val="0"/>
              <w:snapToGrid w:val="0"/>
              <w:spacing w:line="560" w:lineRule="exact"/>
              <w:jc w:val="both"/>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签约代表：</w:t>
            </w:r>
          </w:p>
          <w:p>
            <w:pPr>
              <w:widowControl w:val="0"/>
              <w:adjustRightInd w:val="0"/>
              <w:snapToGrid w:val="0"/>
              <w:spacing w:line="560" w:lineRule="exact"/>
              <w:jc w:val="both"/>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联系电话：</w:t>
            </w:r>
          </w:p>
          <w:p>
            <w:pPr>
              <w:widowControl w:val="0"/>
              <w:adjustRightInd w:val="0"/>
              <w:snapToGrid w:val="0"/>
              <w:spacing w:line="560" w:lineRule="exact"/>
              <w:ind w:firstLine="240" w:firstLineChars="100"/>
              <w:jc w:val="righ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年    月    日</w:t>
            </w:r>
          </w:p>
        </w:tc>
        <w:tc>
          <w:tcPr>
            <w:tcW w:w="4474" w:type="dxa"/>
          </w:tcPr>
          <w:p>
            <w:pPr>
              <w:widowControl w:val="0"/>
              <w:adjustRightInd w:val="0"/>
              <w:snapToGrid w:val="0"/>
              <w:spacing w:line="560" w:lineRule="exact"/>
              <w:jc w:val="both"/>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乙方</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盖章</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rPr>
              <w:t>：</w:t>
            </w:r>
          </w:p>
          <w:p>
            <w:pPr>
              <w:widowControl w:val="0"/>
              <w:adjustRightInd w:val="0"/>
              <w:snapToGrid w:val="0"/>
              <w:spacing w:line="560" w:lineRule="exact"/>
              <w:jc w:val="both"/>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签约代表：</w:t>
            </w:r>
          </w:p>
          <w:p>
            <w:pPr>
              <w:widowControl w:val="0"/>
              <w:adjustRightInd w:val="0"/>
              <w:snapToGrid w:val="0"/>
              <w:spacing w:line="560" w:lineRule="exact"/>
              <w:jc w:val="both"/>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联系电话：</w:t>
            </w:r>
          </w:p>
          <w:p>
            <w:pPr>
              <w:widowControl w:val="0"/>
              <w:adjustRightInd w:val="0"/>
              <w:snapToGrid w:val="0"/>
              <w:spacing w:line="560" w:lineRule="exact"/>
              <w:jc w:val="righ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年    月    日</w:t>
            </w:r>
          </w:p>
        </w:tc>
      </w:tr>
    </w:tbl>
    <w:p>
      <w:pPr>
        <w:rPr>
          <w:rFonts w:ascii="Calibri" w:hAnsi="Calibri" w:eastAsia="宋体" w:cs="Times New Roman"/>
          <w:highlight w:val="none"/>
        </w:rPr>
      </w:pPr>
    </w:p>
    <w:p>
      <w:pPr>
        <w:widowControl/>
        <w:adjustRightInd w:val="0"/>
        <w:snapToGrid w:val="0"/>
        <w:spacing w:after="200"/>
        <w:ind w:firstLine="420"/>
        <w:jc w:val="left"/>
        <w:rPr>
          <w:rFonts w:ascii="Times New Roman" w:hAnsi="Times New Roman" w:eastAsia="微软雅黑" w:cs="Tahoma"/>
          <w:kern w:val="0"/>
          <w:sz w:val="22"/>
          <w:szCs w:val="20"/>
          <w:highlight w:val="none"/>
        </w:rPr>
      </w:pPr>
      <w:r>
        <w:rPr>
          <w:rFonts w:ascii="Times New Roman" w:hAnsi="Times New Roman" w:eastAsia="微软雅黑" w:cs="Tahoma"/>
          <w:kern w:val="0"/>
          <w:sz w:val="22"/>
          <w:szCs w:val="20"/>
          <w:highlight w:val="none"/>
        </w:rPr>
        <w:br w:type="page"/>
      </w:r>
    </w:p>
    <w:p>
      <w:pPr>
        <w:spacing w:line="560" w:lineRule="exact"/>
        <w:rPr>
          <w:rFonts w:ascii="宋体" w:hAnsi="Calibri" w:eastAsia="宋体" w:cs="Times New Roman"/>
          <w:b/>
          <w:sz w:val="24"/>
          <w:highlight w:val="none"/>
        </w:rPr>
      </w:pPr>
      <w:r>
        <w:rPr>
          <w:rFonts w:hint="eastAsia" w:ascii="宋体" w:hAnsi="宋体" w:eastAsia="宋体" w:cs="Times New Roman"/>
          <w:b/>
          <w:sz w:val="24"/>
          <w:highlight w:val="none"/>
        </w:rPr>
        <w:t>附件</w:t>
      </w:r>
      <w:r>
        <w:rPr>
          <w:rFonts w:ascii="宋体" w:hAnsi="宋体" w:eastAsia="宋体" w:cs="Times New Roman"/>
          <w:b/>
          <w:sz w:val="24"/>
          <w:highlight w:val="none"/>
        </w:rPr>
        <w:t>3</w:t>
      </w:r>
      <w:r>
        <w:rPr>
          <w:rFonts w:hint="eastAsia" w:ascii="宋体" w:hAnsi="宋体" w:eastAsia="宋体" w:cs="Times New Roman"/>
          <w:b/>
          <w:sz w:val="24"/>
          <w:highlight w:val="none"/>
        </w:rPr>
        <w:t>：工作保密承诺函</w:t>
      </w:r>
    </w:p>
    <w:p>
      <w:pPr>
        <w:keepNext/>
        <w:keepLines/>
        <w:spacing w:before="340" w:after="330" w:line="578" w:lineRule="auto"/>
        <w:jc w:val="center"/>
        <w:outlineLvl w:val="0"/>
        <w:rPr>
          <w:rFonts w:ascii="Calibri" w:hAnsi="Calibri" w:eastAsia="方正小标宋简体" w:cs="Times New Roman"/>
          <w:bCs/>
          <w:kern w:val="44"/>
          <w:sz w:val="32"/>
          <w:szCs w:val="32"/>
          <w:highlight w:val="none"/>
        </w:rPr>
      </w:pPr>
      <w:r>
        <w:rPr>
          <w:rFonts w:hint="eastAsia" w:ascii="Calibri" w:hAnsi="Calibri" w:eastAsia="方正小标宋简体" w:cs="Times New Roman"/>
          <w:bCs/>
          <w:kern w:val="44"/>
          <w:sz w:val="32"/>
          <w:szCs w:val="32"/>
          <w:highlight w:val="none"/>
        </w:rPr>
        <w:t>工作保密承诺函</w:t>
      </w:r>
    </w:p>
    <w:p>
      <w:pPr>
        <w:tabs>
          <w:tab w:val="left" w:pos="640"/>
        </w:tabs>
        <w:snapToGrid w:val="0"/>
        <w:spacing w:line="360" w:lineRule="auto"/>
        <w:rPr>
          <w:rFonts w:ascii="Times New Roman" w:hAnsi="Times New Roman" w:eastAsia="宋体" w:cs="Times New Roman"/>
          <w:sz w:val="28"/>
          <w:szCs w:val="28"/>
          <w:highlight w:val="none"/>
        </w:rPr>
      </w:pPr>
    </w:p>
    <w:p>
      <w:pPr>
        <w:tabs>
          <w:tab w:val="left" w:pos="640"/>
        </w:tabs>
        <w:spacing w:line="360" w:lineRule="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广州市净水有限公司：</w:t>
      </w:r>
    </w:p>
    <w:p>
      <w:pPr>
        <w:tabs>
          <w:tab w:val="left" w:pos="640"/>
        </w:tabs>
        <w:spacing w:line="360" w:lineRule="auto"/>
        <w:ind w:firstLine="480" w:firstLineChars="200"/>
        <w:rPr>
          <w:rFonts w:ascii="宋体" w:hAnsi="宋体" w:eastAsia="宋体" w:cs="宋体"/>
          <w:b/>
          <w:bCs/>
          <w:sz w:val="24"/>
          <w:szCs w:val="24"/>
          <w:highlight w:val="none"/>
          <w:u w:val="single"/>
        </w:rPr>
      </w:pPr>
      <w:r>
        <w:rPr>
          <w:rFonts w:hint="eastAsia" w:ascii="Times New Roman" w:hAnsi="Times New Roman" w:eastAsia="宋体" w:cs="Times New Roman"/>
          <w:sz w:val="24"/>
          <w:szCs w:val="24"/>
          <w:highlight w:val="none"/>
        </w:rPr>
        <w:t>我方参与</w:t>
      </w:r>
      <w:r>
        <w:rPr>
          <w:rFonts w:hint="eastAsia" w:ascii="Times New Roman" w:hAnsi="Times New Roman" w:eastAsia="宋体" w:cs="Times New Roman"/>
          <w:sz w:val="24"/>
          <w:szCs w:val="24"/>
          <w:highlight w:val="none"/>
          <w:u w:val="single"/>
        </w:rPr>
        <w:t>贵司</w:t>
      </w:r>
      <w:r>
        <w:rPr>
          <w:rFonts w:hint="eastAsia" w:ascii="Times New Roman" w:hAnsi="Times New Roman" w:eastAsia="宋体" w:cs="Times New Roman"/>
          <w:sz w:val="24"/>
          <w:szCs w:val="24"/>
          <w:highlight w:val="none"/>
        </w:rPr>
        <w:t>的</w:t>
      </w:r>
      <w:r>
        <w:rPr>
          <w:rFonts w:ascii="Times New Roman" w:hAnsi="Times New Roman" w:eastAsia="宋体" w:cs="Times New Roman"/>
          <w:sz w:val="24"/>
          <w:szCs w:val="24"/>
          <w:highlight w:val="none"/>
          <w:u w:val="single"/>
        </w:rPr>
        <w:t xml:space="preserve"> </w:t>
      </w:r>
      <w:r>
        <w:rPr>
          <w:rFonts w:hint="eastAsia" w:ascii="Times New Roman" w:hAnsi="Times New Roman" w:eastAsia="宋体" w:cs="Times New Roman"/>
          <w:b/>
          <w:bCs/>
          <w:sz w:val="24"/>
          <w:szCs w:val="24"/>
          <w:highlight w:val="none"/>
          <w:u w:val="single"/>
        </w:rPr>
        <w:t>广州市净水有限公司污水处理系统进水水质生物毒性监测设备研发</w:t>
      </w:r>
      <w:r>
        <w:rPr>
          <w:rFonts w:hint="eastAsia" w:ascii="宋体" w:hAnsi="宋体" w:eastAsia="宋体" w:cs="宋体"/>
          <w:sz w:val="24"/>
          <w:szCs w:val="24"/>
          <w:highlight w:val="none"/>
          <w:u w:val="single"/>
        </w:rPr>
        <w:t xml:space="preserve"> </w:t>
      </w:r>
      <w:r>
        <w:rPr>
          <w:rFonts w:hint="eastAsia" w:ascii="Times New Roman" w:hAnsi="Times New Roman" w:eastAsia="宋体" w:cs="Times New Roman"/>
          <w:sz w:val="24"/>
          <w:szCs w:val="24"/>
          <w:highlight w:val="none"/>
        </w:rPr>
        <w:t>项目，基于本项目对信息保密性的严格要求以及泄密可能导致的对本项目、贵公司的严重不利后果，为妥善保护保密信息，我方向贵公司承诺如下：</w:t>
      </w:r>
    </w:p>
    <w:p>
      <w:pPr>
        <w:widowControl/>
        <w:numPr>
          <w:ilvl w:val="0"/>
          <w:numId w:val="7"/>
        </w:numPr>
        <w:tabs>
          <w:tab w:val="left" w:pos="640"/>
        </w:tabs>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遵守《中华人民共和国国家安全法》、《中华人民共和国保守国家秘密法》和《中华人民共和国网络安全法中华人民共和国数据安全法》等中国法律法规及规定以及项目双方各项制度关于保密的规定。</w:t>
      </w:r>
    </w:p>
    <w:p>
      <w:pPr>
        <w:widowControl/>
        <w:numPr>
          <w:ilvl w:val="0"/>
          <w:numId w:val="7"/>
        </w:numPr>
        <w:tabs>
          <w:tab w:val="left" w:pos="640"/>
        </w:tabs>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本项目相关保密信息包括但不限于：可能获取或知悉的来源于合作项目双方的包括但不限于：以口头、书面或以其它方式反映的项目秘密事项；技术性信息、商业性信息、文件、程序、计划、技术、图表、模型、参数、数据、标准、专有技术、业务或业务运作方法以及其他专有信息；我方在完成贵公司要求的项目工作中所产生的一切内容、资料信息，包括</w:t>
      </w:r>
      <w:r>
        <w:rPr>
          <w:rFonts w:hint="eastAsia" w:ascii="Times New Roman" w:hAnsi="Times New Roman" w:eastAsia="宋体" w:cs="Times New Roman"/>
          <w:b/>
          <w:bCs/>
          <w:sz w:val="24"/>
          <w:szCs w:val="24"/>
          <w:highlight w:val="none"/>
        </w:rPr>
        <w:t>工作进度、过程报告、实验数据、工作成果</w:t>
      </w:r>
      <w:r>
        <w:rPr>
          <w:rFonts w:hint="eastAsia" w:ascii="Times New Roman" w:hAnsi="Times New Roman" w:eastAsia="宋体" w:cs="Times New Roman"/>
          <w:sz w:val="24"/>
          <w:szCs w:val="24"/>
          <w:highlight w:val="none"/>
        </w:rPr>
        <w:t>等信息。</w:t>
      </w:r>
    </w:p>
    <w:p>
      <w:pPr>
        <w:widowControl/>
        <w:numPr>
          <w:ilvl w:val="0"/>
          <w:numId w:val="7"/>
        </w:numPr>
        <w:tabs>
          <w:tab w:val="left" w:pos="640"/>
        </w:tabs>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对涉密信息承担保密义务和法律责任。我方承诺获知的涉密信息，仅限于为实现本项目目的且在国家有关部门批准和项目双方确认的范围内使用；只能由我方及我方有关人员为本项目目的而使用，除项目另有约定外，对于贵公司提供的任何保密信息，未经贵公司的书面同意，我方及我方知悉保密信息的人员均不得直接或间接地以任何方式提供、披露或转让给任何第三方或许可第三方使用，或以保密信息为任何第三方提供任何意见或建议。在本条款中，“第三方”是指除本项目当事人以外的任何自然人、法人或其他组织，但不包括贵公司的分、子公司。</w:t>
      </w:r>
    </w:p>
    <w:p>
      <w:pPr>
        <w:widowControl/>
        <w:numPr>
          <w:ilvl w:val="0"/>
          <w:numId w:val="7"/>
        </w:numPr>
        <w:tabs>
          <w:tab w:val="left" w:pos="640"/>
        </w:tabs>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我方的律师、会计师、承包商和顾问等为提供专业协助而需要了解保密信息时，我方可向其披露保密信息，但是其应要求上述人员签订保密协议或按照有关职业道德标准履行保密义务。</w:t>
      </w:r>
    </w:p>
    <w:p>
      <w:pPr>
        <w:widowControl/>
        <w:numPr>
          <w:ilvl w:val="0"/>
          <w:numId w:val="7"/>
        </w:numPr>
        <w:tabs>
          <w:tab w:val="left" w:pos="640"/>
        </w:tabs>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如相关政府部门或监管机构要求本单位披露任何保密信息，我方可在该政府部门或机构要求的范围内做出披露而无需承担本合同项下的责任，但前提是我方应立即将需披露的信息书面通知贵公司，以便贵公司采取必要的保护措施，且该等通知应尽可能在信息披露前做出，并且我方应尽商业上合理的努力确保该等被披露的信息获得有关政府机关或机构的保密待遇。</w:t>
      </w:r>
    </w:p>
    <w:p>
      <w:pPr>
        <w:widowControl/>
        <w:numPr>
          <w:ilvl w:val="0"/>
          <w:numId w:val="7"/>
        </w:numPr>
        <w:tabs>
          <w:tab w:val="left" w:pos="640"/>
        </w:tabs>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如发生涉密信息泄露或者可能泄露的情形，我方第一时间通知我方相关人员并根据我方相关要求采取补救措施，并承担相应的法律责任。如我方不履行或未按本单位要求妥善履行本承诺书保密义务，因此而造成项目双方任何损失的，我方承担包括赔偿在内的一切法律责任。如我方的行为存在严重过失或故意，导致泄密后果情节严重的，项目双方有权直接通过司法途径追究我方的法律责任。</w:t>
      </w:r>
    </w:p>
    <w:p>
      <w:pPr>
        <w:widowControl/>
        <w:numPr>
          <w:ilvl w:val="0"/>
          <w:numId w:val="7"/>
        </w:numPr>
        <w:tabs>
          <w:tab w:val="left" w:pos="640"/>
        </w:tabs>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我方承诺的我方保密义务自我方签署本保密承诺函之日起直至保密信息为公众知晓为止。在保密期限内，我方承诺负有我方保密义务的任何一方的保密义务不因本项目结束而终止。</w:t>
      </w:r>
    </w:p>
    <w:p>
      <w:pPr>
        <w:tabs>
          <w:tab w:val="left" w:pos="640"/>
        </w:tabs>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本承诺书本协议与主合同同时签订、同时终止、同时生效，甲方、乙方双方执持数量与主合同一致。本承诺函为不可撤销单方承诺函。</w:t>
      </w:r>
    </w:p>
    <w:p>
      <w:pPr>
        <w:tabs>
          <w:tab w:val="left" w:pos="640"/>
        </w:tabs>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特此承诺。</w:t>
      </w:r>
    </w:p>
    <w:p>
      <w:pPr>
        <w:adjustRightInd w:val="0"/>
        <w:snapToGrid w:val="0"/>
        <w:spacing w:line="500" w:lineRule="exact"/>
        <w:ind w:firstLine="480" w:firstLineChars="200"/>
        <w:rPr>
          <w:rFonts w:ascii="Times New Roman" w:hAnsi="Times New Roman" w:eastAsia="宋体" w:cs="Times New Roman"/>
          <w:sz w:val="24"/>
          <w:szCs w:val="24"/>
          <w:highlight w:val="none"/>
        </w:rPr>
      </w:pPr>
    </w:p>
    <w:p>
      <w:pPr>
        <w:adjustRightInd w:val="0"/>
        <w:snapToGrid w:val="0"/>
        <w:spacing w:line="500" w:lineRule="exact"/>
        <w:ind w:firstLine="5280" w:firstLineChars="2200"/>
        <w:jc w:val="right"/>
        <w:rPr>
          <w:rFonts w:ascii="Times New Roman" w:hAnsi="Times New Roman" w:eastAsia="宋体" w:cs="Times New Roman"/>
          <w:sz w:val="24"/>
          <w:szCs w:val="24"/>
          <w:highlight w:val="none"/>
        </w:rPr>
      </w:pPr>
    </w:p>
    <w:tbl>
      <w:tblPr>
        <w:tblStyle w:val="6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99"/>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atLeast"/>
        </w:trPr>
        <w:tc>
          <w:tcPr>
            <w:tcW w:w="3399" w:type="dxa"/>
          </w:tcPr>
          <w:p>
            <w:pPr>
              <w:widowControl/>
              <w:spacing w:line="360" w:lineRule="auto"/>
              <w:rPr>
                <w:rFonts w:ascii="仿宋_GB2312" w:hAnsi="Calibri" w:eastAsia="仿宋_GB2312" w:cs="Times New Roman"/>
                <w:kern w:val="0"/>
                <w:sz w:val="24"/>
                <w:szCs w:val="24"/>
                <w:highlight w:val="none"/>
              </w:rPr>
            </w:pPr>
          </w:p>
        </w:tc>
        <w:tc>
          <w:tcPr>
            <w:tcW w:w="5121" w:type="dxa"/>
          </w:tcPr>
          <w:p>
            <w:pPr>
              <w:widowControl/>
              <w:spacing w:line="440" w:lineRule="exact"/>
              <w:rPr>
                <w:rFonts w:ascii="Calibri" w:hAnsi="Calibri" w:eastAsia="宋体" w:cs="Times New Roman"/>
                <w:bCs/>
                <w:kern w:val="0"/>
                <w:sz w:val="24"/>
                <w:szCs w:val="24"/>
                <w:highlight w:val="none"/>
              </w:rPr>
            </w:pPr>
            <w:r>
              <w:rPr>
                <w:rFonts w:hint="eastAsia" w:ascii="宋体" w:hAnsi="宋体" w:eastAsia="宋体" w:cs="宋体"/>
                <w:kern w:val="0"/>
                <w:sz w:val="24"/>
                <w:szCs w:val="24"/>
                <w:highlight w:val="none"/>
              </w:rPr>
              <w:t>乙方</w:t>
            </w:r>
            <w:r>
              <w:rPr>
                <w:rFonts w:ascii="宋体" w:hAnsi="宋体" w:eastAsia="宋体" w:cs="宋体"/>
                <w:kern w:val="0"/>
                <w:sz w:val="24"/>
                <w:szCs w:val="24"/>
                <w:highlight w:val="none"/>
              </w:rPr>
              <w:t>（盖章）</w:t>
            </w:r>
            <w:r>
              <w:rPr>
                <w:rFonts w:hint="eastAsia" w:ascii="宋体" w:hAnsi="宋体" w:eastAsia="宋体" w:cs="宋体"/>
                <w:kern w:val="0"/>
                <w:sz w:val="24"/>
                <w:szCs w:val="24"/>
                <w:highlight w:val="none"/>
              </w:rPr>
              <w:t>：</w:t>
            </w:r>
          </w:p>
          <w:p>
            <w:pPr>
              <w:widowControl/>
              <w:spacing w:line="440" w:lineRule="exact"/>
              <w:rPr>
                <w:rFonts w:ascii="Calibri" w:hAnsi="Calibri" w:eastAsia="宋体" w:cs="Times New Roman"/>
                <w:bCs/>
                <w:kern w:val="0"/>
                <w:sz w:val="24"/>
                <w:szCs w:val="24"/>
                <w:highlight w:val="none"/>
              </w:rPr>
            </w:pPr>
          </w:p>
          <w:p>
            <w:pPr>
              <w:widowControl/>
              <w:spacing w:line="440" w:lineRule="exact"/>
              <w:rPr>
                <w:rFonts w:ascii="Calibri" w:hAnsi="Calibri" w:eastAsia="宋体" w:cs="Times New Roman"/>
                <w:bCs/>
                <w:kern w:val="0"/>
                <w:sz w:val="24"/>
                <w:szCs w:val="24"/>
                <w:highlight w:val="none"/>
              </w:rPr>
            </w:pPr>
            <w:r>
              <w:rPr>
                <w:rFonts w:hint="eastAsia" w:ascii="Calibri" w:hAnsi="Calibri" w:eastAsia="宋体" w:cs="Times New Roman"/>
                <w:bCs/>
                <w:kern w:val="0"/>
                <w:sz w:val="24"/>
                <w:szCs w:val="24"/>
                <w:highlight w:val="none"/>
              </w:rPr>
              <w:t>签约代表</w:t>
            </w:r>
            <w:r>
              <w:rPr>
                <w:rFonts w:ascii="Calibri" w:hAnsi="Calibri" w:eastAsia="宋体" w:cs="Times New Roman"/>
                <w:bCs/>
                <w:kern w:val="0"/>
                <w:sz w:val="24"/>
                <w:szCs w:val="24"/>
                <w:highlight w:val="none"/>
              </w:rPr>
              <w:t>：</w:t>
            </w:r>
          </w:p>
          <w:p>
            <w:pPr>
              <w:widowControl/>
              <w:tabs>
                <w:tab w:val="left" w:pos="825"/>
              </w:tabs>
              <w:spacing w:line="440" w:lineRule="exact"/>
              <w:rPr>
                <w:rFonts w:ascii="宋体" w:hAnsi="宋体" w:eastAsia="宋体" w:cs="宋体"/>
                <w:kern w:val="0"/>
                <w:sz w:val="24"/>
                <w:szCs w:val="24"/>
                <w:highlight w:val="none"/>
              </w:rPr>
            </w:pPr>
            <w:r>
              <w:rPr>
                <w:rFonts w:ascii="宋体" w:hAnsi="宋体" w:eastAsia="宋体" w:cs="宋体"/>
                <w:kern w:val="0"/>
                <w:sz w:val="24"/>
                <w:szCs w:val="24"/>
                <w:highlight w:val="none"/>
              </w:rPr>
              <w:tab/>
            </w:r>
          </w:p>
          <w:p>
            <w:pPr>
              <w:widowControl/>
              <w:spacing w:line="440" w:lineRule="exact"/>
              <w:rPr>
                <w:rFonts w:ascii="仿宋_GB2312" w:hAnsi="Calibri" w:eastAsia="仿宋_GB2312" w:cs="Times New Roman"/>
                <w:kern w:val="0"/>
                <w:sz w:val="24"/>
                <w:szCs w:val="24"/>
                <w:highlight w:val="none"/>
              </w:rPr>
            </w:pPr>
            <w:r>
              <w:rPr>
                <w:rFonts w:hint="eastAsia" w:ascii="宋体" w:hAnsi="宋体" w:eastAsia="宋体" w:cs="宋体"/>
                <w:kern w:val="0"/>
                <w:sz w:val="24"/>
                <w:szCs w:val="24"/>
                <w:highlight w:val="none"/>
              </w:rPr>
              <w:t>日期：</w:t>
            </w:r>
          </w:p>
        </w:tc>
      </w:tr>
    </w:tbl>
    <w:p>
      <w:pPr>
        <w:autoSpaceDE w:val="0"/>
        <w:autoSpaceDN w:val="0"/>
        <w:adjustRightInd w:val="0"/>
        <w:spacing w:line="360" w:lineRule="auto"/>
        <w:ind w:firstLine="480" w:firstLineChars="200"/>
        <w:jc w:val="left"/>
        <w:rPr>
          <w:rFonts w:ascii="Times New Roman" w:hAnsi="Times New Roman" w:eastAsia="宋体" w:cs="Times New Roman"/>
          <w:color w:val="000000"/>
          <w:kern w:val="0"/>
          <w:sz w:val="24"/>
          <w:highlight w:val="none"/>
        </w:rPr>
      </w:pPr>
    </w:p>
    <w:p>
      <w:pPr>
        <w:rPr>
          <w:highlight w:val="none"/>
        </w:rPr>
      </w:pPr>
    </w:p>
    <w:p>
      <w:pPr>
        <w:spacing w:line="360" w:lineRule="auto"/>
        <w:jc w:val="center"/>
        <w:rPr>
          <w:b/>
          <w:color w:val="000000"/>
          <w:sz w:val="48"/>
          <w:szCs w:val="48"/>
          <w:highlight w:val="none"/>
        </w:rPr>
      </w:pPr>
    </w:p>
    <w:p>
      <w:pPr>
        <w:jc w:val="left"/>
        <w:rPr>
          <w:rFonts w:ascii="Times New Roman" w:hAnsi="Times New Roman"/>
          <w:color w:val="000000"/>
          <w:kern w:val="0"/>
          <w:sz w:val="24"/>
          <w:highlight w:val="none"/>
        </w:rPr>
      </w:pPr>
      <w:r>
        <w:rPr>
          <w:rFonts w:hint="eastAsia" w:ascii="Times New Roman" w:hAnsi="Times New Roman"/>
          <w:color w:val="000000"/>
          <w:kern w:val="0"/>
          <w:sz w:val="24"/>
          <w:highlight w:val="none"/>
        </w:rPr>
        <w:br w:type="page"/>
      </w:r>
    </w:p>
    <w:p>
      <w:pPr>
        <w:spacing w:line="560" w:lineRule="exact"/>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附件</w:t>
      </w:r>
      <w:r>
        <w:rPr>
          <w:rFonts w:hint="eastAsia" w:ascii="Times New Roman" w:hAnsi="Times New Roman" w:eastAsia="宋体" w:cs="Times New Roman"/>
          <w:b/>
          <w:sz w:val="24"/>
          <w:szCs w:val="24"/>
          <w:highlight w:val="none"/>
          <w:lang w:val="en-US" w:eastAsia="zh-CN"/>
        </w:rPr>
        <w:t>4</w:t>
      </w:r>
      <w:r>
        <w:rPr>
          <w:rFonts w:ascii="Times New Roman" w:hAnsi="Times New Roman" w:eastAsia="宋体" w:cs="Times New Roman"/>
          <w:b/>
          <w:sz w:val="24"/>
          <w:szCs w:val="24"/>
          <w:highlight w:val="none"/>
        </w:rPr>
        <w:t>：</w:t>
      </w:r>
      <w:r>
        <w:rPr>
          <w:rFonts w:hint="eastAsia" w:ascii="Times New Roman" w:hAnsi="Times New Roman" w:eastAsia="宋体" w:cs="Times New Roman"/>
          <w:b/>
          <w:sz w:val="24"/>
          <w:szCs w:val="24"/>
          <w:highlight w:val="none"/>
        </w:rPr>
        <w:t>成果归属协议</w:t>
      </w:r>
    </w:p>
    <w:p>
      <w:pPr>
        <w:spacing w:line="360" w:lineRule="auto"/>
        <w:jc w:val="center"/>
        <w:rPr>
          <w:rFonts w:ascii="Times New Roman" w:hAnsi="Times New Roman" w:eastAsia="宋体" w:cs="Times New Roman"/>
          <w:b/>
          <w:color w:val="000000"/>
          <w:sz w:val="32"/>
          <w:szCs w:val="32"/>
          <w:highlight w:val="none"/>
        </w:rPr>
      </w:pPr>
      <w:r>
        <w:rPr>
          <w:rFonts w:hint="eastAsia" w:ascii="Times New Roman" w:hAnsi="Times New Roman" w:eastAsia="宋体" w:cs="Times New Roman"/>
          <w:b/>
          <w:color w:val="000000"/>
          <w:sz w:val="32"/>
          <w:szCs w:val="32"/>
          <w:highlight w:val="none"/>
        </w:rPr>
        <w:t>成果</w:t>
      </w:r>
      <w:r>
        <w:rPr>
          <w:rFonts w:hint="eastAsia" w:ascii="Times New Roman" w:hAnsi="Times New Roman" w:eastAsia="宋体" w:cs="Times New Roman"/>
          <w:b/>
          <w:color w:val="000000"/>
          <w:sz w:val="32"/>
          <w:szCs w:val="32"/>
          <w:highlight w:val="none"/>
          <w:lang w:val="en-US" w:eastAsia="zh-CN"/>
        </w:rPr>
        <w:t>归属</w:t>
      </w:r>
      <w:r>
        <w:rPr>
          <w:rFonts w:ascii="Times New Roman" w:hAnsi="Times New Roman" w:eastAsia="宋体" w:cs="Times New Roman"/>
          <w:b/>
          <w:color w:val="000000"/>
          <w:sz w:val="32"/>
          <w:szCs w:val="32"/>
          <w:highlight w:val="none"/>
        </w:rPr>
        <w:t>协议</w:t>
      </w:r>
    </w:p>
    <w:p>
      <w:pPr>
        <w:widowControl w:val="0"/>
        <w:autoSpaceDE w:val="0"/>
        <w:autoSpaceDN w:val="0"/>
        <w:adjustRightInd w:val="0"/>
        <w:rPr>
          <w:rFonts w:ascii="宋体" w:hAnsi="Times New Roman" w:eastAsia="仿宋_GB2312" w:cs="宋体"/>
          <w:color w:val="000000"/>
          <w:sz w:val="24"/>
          <w:szCs w:val="24"/>
          <w:highlight w:val="none"/>
          <w:lang w:val="en-US" w:eastAsia="zh-CN" w:bidi="ar-SA"/>
        </w:rPr>
      </w:pPr>
    </w:p>
    <w:p>
      <w:pPr>
        <w:widowControl w:val="0"/>
        <w:wordWrap w:val="0"/>
        <w:overflowPunct w:val="0"/>
        <w:autoSpaceDE w:val="0"/>
        <w:autoSpaceDN w:val="0"/>
        <w:adjustRightInd w:val="0"/>
        <w:spacing w:line="360" w:lineRule="auto"/>
        <w:ind w:firstLine="480" w:firstLineChars="200"/>
        <w:jc w:val="both"/>
        <w:rPr>
          <w:rFonts w:ascii="宋体" w:hAnsi="Times New Roman" w:eastAsia="仿宋_GB2312"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为保护双方利益，根据国家有关法律法规，</w:t>
      </w:r>
      <w:r>
        <w:rPr>
          <w:rFonts w:hint="eastAsia" w:ascii="宋体" w:hAnsi="宋体" w:eastAsia="宋体" w:cs="宋体"/>
          <w:color w:val="000000"/>
          <w:sz w:val="24"/>
          <w:szCs w:val="24"/>
          <w:highlight w:val="none"/>
          <w:u w:val="single"/>
          <w:lang w:val="en-US" w:eastAsia="zh-CN" w:bidi="ar-SA"/>
        </w:rPr>
        <w:t>广州市净水有限公司</w:t>
      </w:r>
      <w:r>
        <w:rPr>
          <w:rFonts w:hint="eastAsia" w:ascii="宋体" w:hAnsi="宋体" w:eastAsia="宋体" w:cs="宋体"/>
          <w:color w:val="000000"/>
          <w:sz w:val="24"/>
          <w:szCs w:val="24"/>
          <w:highlight w:val="none"/>
          <w:lang w:val="en-US" w:eastAsia="zh-CN" w:bidi="ar-SA"/>
        </w:rPr>
        <w:t>(以下称甲方)与</w:t>
      </w:r>
      <w:r>
        <w:rPr>
          <w:rFonts w:hint="eastAsia" w:ascii="宋体" w:hAnsi="宋体" w:eastAsia="宋体" w:cs="宋体"/>
          <w:color w:val="000000"/>
          <w:sz w:val="24"/>
          <w:szCs w:val="24"/>
          <w:highlight w:val="none"/>
          <w:u w:val="single"/>
          <w:lang w:val="en-US" w:eastAsia="zh-CN" w:bidi="ar-SA"/>
        </w:rPr>
        <w:t xml:space="preserve">        </w:t>
      </w:r>
      <w:r>
        <w:rPr>
          <w:rFonts w:hint="eastAsia" w:ascii="宋体" w:hAnsi="宋体" w:eastAsia="宋体" w:cs="宋体"/>
          <w:color w:val="000000"/>
          <w:sz w:val="24"/>
          <w:szCs w:val="24"/>
          <w:highlight w:val="none"/>
          <w:lang w:val="en-US" w:eastAsia="zh-CN" w:bidi="ar-SA"/>
        </w:rPr>
        <w:t>(以下称乙方)，特此订立本协议共同遵照执行。</w:t>
      </w:r>
    </w:p>
    <w:p>
      <w:pPr>
        <w:widowControl w:val="0"/>
        <w:numPr>
          <w:ilvl w:val="0"/>
          <w:numId w:val="8"/>
        </w:numPr>
        <w:autoSpaceDE w:val="0"/>
        <w:autoSpaceDN w:val="0"/>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协议所述成果指本项目实施过程中产生的成果，内容包括：</w:t>
      </w:r>
    </w:p>
    <w:p>
      <w:pPr>
        <w:widowControl w:val="0"/>
        <w:numPr>
          <w:ilvl w:val="0"/>
          <w:numId w:val="9"/>
        </w:numPr>
        <w:autoSpaceDE w:val="0"/>
        <w:autoSpaceDN w:val="0"/>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技术成果：项目实施过程中取得的及最终取得的发明、发现和其他科学技术成就。其表现形式包括但不限于技术资料、设计图纸、工艺方法、材料配方、计算机程序、技术信息及其组合;也包括但不限于样品、样机、新产品、新材料以及新生产线。</w:t>
      </w:r>
    </w:p>
    <w:p>
      <w:pPr>
        <w:widowControl w:val="0"/>
        <w:numPr>
          <w:ilvl w:val="0"/>
          <w:numId w:val="9"/>
        </w:numPr>
        <w:autoSpaceDE w:val="0"/>
        <w:autoSpaceDN w:val="0"/>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学术发表：出于学术研究目的，在期刊、报纸、书籍或电子图书馆上公开发表，或在课堂、讲座或研讨会等公开场合发表。</w:t>
      </w:r>
    </w:p>
    <w:p>
      <w:pPr>
        <w:widowControl w:val="0"/>
        <w:numPr>
          <w:ilvl w:val="0"/>
          <w:numId w:val="9"/>
        </w:numPr>
        <w:autoSpaceDE w:val="0"/>
        <w:autoSpaceDN w:val="0"/>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知识产权：（1）作品；（2）发明专利、实用新型专利、外观设计专利；（3）商标；（4）地理标志；（5）商业秘密；（6）集成电路布图设计；（7）植物新品种；（8）法律规定的其他客体。</w:t>
      </w:r>
    </w:p>
    <w:p>
      <w:pPr>
        <w:widowControl w:val="0"/>
        <w:numPr>
          <w:ilvl w:val="0"/>
          <w:numId w:val="8"/>
        </w:numPr>
        <w:autoSpaceDE w:val="0"/>
        <w:autoSpaceDN w:val="0"/>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背景知识产权：</w:t>
      </w:r>
    </w:p>
    <w:p>
      <w:pPr>
        <w:widowControl w:val="0"/>
        <w:numPr>
          <w:ilvl w:val="255"/>
          <w:numId w:val="0"/>
        </w:numPr>
        <w:autoSpaceDE w:val="0"/>
        <w:autoSpaceDN w:val="0"/>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1.本协议的履行不影响双方原本拥有的背景知识产权的归属，其仍然归原权利人所有；</w:t>
      </w:r>
    </w:p>
    <w:p>
      <w:pPr>
        <w:widowControl w:val="0"/>
        <w:numPr>
          <w:ilvl w:val="255"/>
          <w:numId w:val="0"/>
        </w:numPr>
        <w:autoSpaceDE w:val="0"/>
        <w:autoSpaceDN w:val="0"/>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w:t>
      </w:r>
      <w:r>
        <w:rPr>
          <w:rFonts w:ascii="宋体" w:hAnsi="宋体" w:eastAsia="宋体" w:cs="宋体"/>
          <w:color w:val="000000"/>
          <w:sz w:val="24"/>
          <w:szCs w:val="24"/>
          <w:highlight w:val="none"/>
          <w:lang w:val="en-US" w:eastAsia="zh-CN" w:bidi="ar-SA"/>
        </w:rPr>
        <w:t>本协议双方应授予对方为实施本项目研发而使用背景知识产权的免费普通许可。除以实施本项目为目的允许甲方关联企业员工或乙方学生使用外，双方均不得授予第三方使用对方背景知识产权的分许可</w:t>
      </w:r>
      <w:r>
        <w:rPr>
          <w:rFonts w:hint="eastAsia" w:ascii="宋体" w:hAnsi="宋体" w:eastAsia="宋体" w:cs="宋体"/>
          <w:color w:val="000000"/>
          <w:sz w:val="24"/>
          <w:szCs w:val="24"/>
          <w:highlight w:val="none"/>
          <w:lang w:val="en-US" w:eastAsia="zh-CN" w:bidi="ar-SA"/>
        </w:rPr>
        <w:t>；</w:t>
      </w:r>
    </w:p>
    <w:p>
      <w:pPr>
        <w:widowControl/>
        <w:spacing w:line="360" w:lineRule="auto"/>
        <w:ind w:firstLine="480" w:firstLineChars="200"/>
        <w:rPr>
          <w:rFonts w:ascii="Times New Roman" w:hAnsi="宋体" w:eastAsia="宋体" w:cs="Times New Roman"/>
          <w:szCs w:val="24"/>
          <w:highlight w:val="none"/>
        </w:rPr>
      </w:pPr>
      <w:r>
        <w:rPr>
          <w:rFonts w:hint="default" w:ascii="宋体" w:hAnsi="宋体" w:eastAsia="宋体" w:cs="宋体"/>
          <w:color w:val="000000"/>
          <w:sz w:val="24"/>
          <w:szCs w:val="24"/>
          <w:highlight w:val="none"/>
        </w:rPr>
        <w:t>3.甲方需以实施本项目研发以外的其他目的使用乙方背景知识产权的，双方应另行签订许可协议。</w:t>
      </w:r>
    </w:p>
    <w:p>
      <w:pPr>
        <w:widowControl/>
        <w:spacing w:line="360" w:lineRule="auto"/>
        <w:ind w:firstLine="482" w:firstLineChars="200"/>
        <w:rPr>
          <w:rFonts w:ascii="宋体" w:hAnsi="宋体" w:eastAsia="宋体" w:cs="宋体"/>
          <w:bCs/>
          <w:sz w:val="24"/>
          <w:szCs w:val="22"/>
          <w:highlight w:val="none"/>
        </w:rPr>
      </w:pPr>
      <w:r>
        <w:rPr>
          <w:rFonts w:hint="eastAsia" w:ascii="宋体" w:hAnsi="宋体" w:eastAsia="宋体" w:cs="宋体"/>
          <w:b/>
          <w:sz w:val="24"/>
          <w:szCs w:val="22"/>
          <w:highlight w:val="none"/>
        </w:rPr>
        <w:t xml:space="preserve">第三条 </w:t>
      </w:r>
      <w:r>
        <w:rPr>
          <w:rFonts w:hint="eastAsia" w:ascii="宋体" w:hAnsi="宋体" w:eastAsia="宋体" w:cs="宋体"/>
          <w:bCs/>
          <w:sz w:val="24"/>
          <w:szCs w:val="22"/>
          <w:highlight w:val="none"/>
        </w:rPr>
        <w:t>乙方保证在项目开发过程中不侵犯任何第三方和甲方的知识产权，如有侵权，乙方应当决定采取以下补救措施之一以使甲方能合法地继续使用本项目开发成果：（一）自行获得第三方的许可；或（二）修改或更换前述开发成果使其不侵权。乙方采取前述补救措施的费用应由乙方自行承担。若乙方无法采取以上任何补救措施，导致甲方无法继续合法地使用前述开发成果,乙方同意向甲方返还已收取的金额。</w:t>
      </w:r>
    </w:p>
    <w:p>
      <w:pPr>
        <w:widowControl w:val="0"/>
        <w:numPr>
          <w:ilvl w:val="255"/>
          <w:numId w:val="0"/>
        </w:numPr>
        <w:autoSpaceDE w:val="0"/>
        <w:autoSpaceDN w:val="0"/>
        <w:adjustRightInd w:val="0"/>
        <w:spacing w:line="360" w:lineRule="auto"/>
        <w:ind w:firstLine="482"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 xml:space="preserve">第四条 </w:t>
      </w:r>
      <w:r>
        <w:rPr>
          <w:rFonts w:hint="eastAsia" w:ascii="宋体" w:hAnsi="宋体" w:eastAsia="宋体" w:cs="宋体"/>
          <w:color w:val="000000"/>
          <w:sz w:val="24"/>
          <w:szCs w:val="24"/>
          <w:highlight w:val="none"/>
          <w:lang w:val="en-US" w:eastAsia="zh-CN" w:bidi="ar-SA"/>
        </w:rPr>
        <w:t>技术成果知识产权的归属和使用：</w:t>
      </w:r>
    </w:p>
    <w:p>
      <w:pPr>
        <w:widowControl w:val="0"/>
        <w:numPr>
          <w:ilvl w:val="255"/>
          <w:numId w:val="0"/>
        </w:numPr>
        <w:autoSpaceDE w:val="0"/>
        <w:autoSpaceDN w:val="0"/>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1.甲方委托乙方开发完成的技术成果知识产权应当归甲方所有，该技术成果知识产权申请权归甲方所有。</w:t>
      </w:r>
    </w:p>
    <w:p>
      <w:pPr>
        <w:widowControl w:val="0"/>
        <w:numPr>
          <w:ilvl w:val="255"/>
          <w:numId w:val="0"/>
        </w:numPr>
        <w:autoSpaceDE w:val="0"/>
        <w:autoSpaceDN w:val="0"/>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w:t>
      </w:r>
      <w:r>
        <w:rPr>
          <w:rFonts w:ascii="宋体" w:hAnsi="宋体" w:eastAsia="宋体" w:cs="宋体"/>
          <w:color w:val="000000"/>
          <w:sz w:val="24"/>
          <w:szCs w:val="24"/>
          <w:highlight w:val="none"/>
          <w:lang w:val="en-US" w:eastAsia="zh-CN" w:bidi="ar-SA"/>
        </w:rPr>
        <w:t>双方可以不定期（不限于项目期间）对任何涉嫌或实际侵犯其技术成果知识产权的行为采取一切合理必要措施，另一方应当为其采取上述措施提供合理的帮助。</w:t>
      </w:r>
    </w:p>
    <w:p>
      <w:pPr>
        <w:widowControl w:val="0"/>
        <w:numPr>
          <w:ilvl w:val="255"/>
          <w:numId w:val="0"/>
        </w:numPr>
        <w:autoSpaceDE w:val="0"/>
        <w:autoSpaceDN w:val="0"/>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w:t>
      </w:r>
      <w:r>
        <w:rPr>
          <w:rFonts w:ascii="宋体" w:hAnsi="宋体" w:eastAsia="宋体" w:cs="宋体"/>
          <w:color w:val="000000"/>
          <w:sz w:val="24"/>
          <w:szCs w:val="24"/>
          <w:highlight w:val="none"/>
          <w:lang w:val="en-US" w:eastAsia="zh-CN" w:bidi="ar-SA"/>
        </w:rPr>
        <w:t>双方应允许对方以实施本项目研发为目的授予使用技术成果知识产权的许可，但不得授予其他第三方使用技术成果知识产权的分许可。</w:t>
      </w:r>
    </w:p>
    <w:p>
      <w:pPr>
        <w:widowControl w:val="0"/>
        <w:numPr>
          <w:ilvl w:val="255"/>
          <w:numId w:val="0"/>
        </w:numPr>
        <w:autoSpaceDE w:val="0"/>
        <w:autoSpaceDN w:val="0"/>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如果存在任何第三方（如学生、承包商或其他非项目界定参与人员）参与或曾经参与该项目，则按有关协议或管理权限可以约束该第三方的一方应当确保已获得（或者在未来适当情况下获得）该第三方在技术成果中可能拥有的所有权利。</w:t>
      </w:r>
    </w:p>
    <w:p>
      <w:pPr>
        <w:widowControl w:val="0"/>
        <w:numPr>
          <w:ilvl w:val="255"/>
          <w:numId w:val="0"/>
        </w:numPr>
        <w:autoSpaceDE w:val="0"/>
        <w:autoSpaceDN w:val="0"/>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6.</w:t>
      </w:r>
      <w:r>
        <w:rPr>
          <w:rFonts w:ascii="宋体" w:hAnsi="宋体" w:eastAsia="宋体" w:cs="宋体"/>
          <w:color w:val="000000"/>
          <w:sz w:val="24"/>
          <w:szCs w:val="24"/>
          <w:highlight w:val="none"/>
          <w:lang w:val="en-US" w:eastAsia="zh-CN" w:bidi="ar-SA"/>
        </w:rPr>
        <w:t>未经甲方书面同意，乙方不得赋予技术成果完成人（团队）技术成果知识产权所有权或长期使用权。若甲方书面同意赋予技术成果完成人（团队）技术成果知识产权所有权或长期使用权，协议双方应与技术成果完成人（团队）签署三方书面协议，合理约定转化技术成果收益分配比例、转化决策机制、转化费用分担以及知识产权维持费用等。</w:t>
      </w:r>
    </w:p>
    <w:p>
      <w:pPr>
        <w:widowControl w:val="0"/>
        <w:numPr>
          <w:ilvl w:val="255"/>
          <w:numId w:val="0"/>
        </w:numPr>
        <w:autoSpaceDE w:val="0"/>
        <w:autoSpaceDN w:val="0"/>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7.无论是否存在技术成果知识产权的许可和转让，乙方及其员工和学生拥有不可撤销的出于学术研究目的使用技术成果知识产权的权利。但涉及甲方商业秘密，须事先取得甲方书面同意。</w:t>
      </w:r>
    </w:p>
    <w:p>
      <w:pPr>
        <w:widowControl w:val="0"/>
        <w:numPr>
          <w:ilvl w:val="255"/>
          <w:numId w:val="0"/>
        </w:numPr>
        <w:autoSpaceDE w:val="0"/>
        <w:autoSpaceDN w:val="0"/>
        <w:adjustRightInd w:val="0"/>
        <w:spacing w:line="360" w:lineRule="auto"/>
        <w:ind w:firstLine="482"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 xml:space="preserve">第五条 </w:t>
      </w:r>
      <w:r>
        <w:rPr>
          <w:rFonts w:hint="eastAsia" w:ascii="宋体" w:hAnsi="宋体" w:eastAsia="宋体" w:cs="宋体"/>
          <w:color w:val="000000"/>
          <w:sz w:val="24"/>
          <w:szCs w:val="24"/>
          <w:highlight w:val="none"/>
          <w:lang w:val="en-US" w:eastAsia="zh-CN" w:bidi="ar-SA"/>
        </w:rPr>
        <w:t>技术成果知识产权的改进：</w:t>
      </w:r>
    </w:p>
    <w:p>
      <w:pPr>
        <w:widowControl w:val="0"/>
        <w:numPr>
          <w:ilvl w:val="255"/>
          <w:numId w:val="0"/>
        </w:numPr>
        <w:autoSpaceDE w:val="0"/>
        <w:autoSpaceDN w:val="0"/>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除另有约定外，本协议期满或终止后，任何一方均有对技术成果知识产权进行改进或二次开发的权利，一方单独改进或二次开发的成果属于改进一方或二次开发方所有。需利用对方商业秘密进行改进或二次开发的，须获得对方书面同意，且改进或二次开发成果属于双方共有。双方合作改进或二次开发的成果属于双方共有。</w:t>
      </w:r>
    </w:p>
    <w:p>
      <w:pPr>
        <w:widowControl w:val="0"/>
        <w:numPr>
          <w:ilvl w:val="255"/>
          <w:numId w:val="0"/>
        </w:numPr>
        <w:autoSpaceDE w:val="0"/>
        <w:autoSpaceDN w:val="0"/>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2.一方对技术成果知识产权改进或二次开发的成果，同等条件下应当授予对方优先被许可或受让的权利。</w:t>
      </w:r>
    </w:p>
    <w:p>
      <w:pPr>
        <w:widowControl w:val="0"/>
        <w:numPr>
          <w:ilvl w:val="255"/>
          <w:numId w:val="0"/>
        </w:numPr>
        <w:autoSpaceDE w:val="0"/>
        <w:autoSpaceDN w:val="0"/>
        <w:adjustRightInd w:val="0"/>
        <w:spacing w:line="360" w:lineRule="auto"/>
        <w:ind w:firstLine="482"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 xml:space="preserve">第六条 </w:t>
      </w:r>
      <w:r>
        <w:rPr>
          <w:rFonts w:hint="eastAsia" w:ascii="宋体" w:hAnsi="宋体" w:eastAsia="宋体" w:cs="宋体"/>
          <w:color w:val="000000"/>
          <w:sz w:val="24"/>
          <w:szCs w:val="24"/>
          <w:highlight w:val="none"/>
          <w:lang w:val="en-US" w:eastAsia="zh-CN" w:bidi="ar-SA"/>
        </w:rPr>
        <w:t>协议双方使用对方知识产权的，对方应当向其提供该知识产权不侵犯第三方任何权利的担保。</w:t>
      </w:r>
    </w:p>
    <w:p>
      <w:pPr>
        <w:widowControl w:val="0"/>
        <w:numPr>
          <w:ilvl w:val="255"/>
          <w:numId w:val="0"/>
        </w:numPr>
        <w:autoSpaceDE w:val="0"/>
        <w:autoSpaceDN w:val="0"/>
        <w:adjustRightInd w:val="0"/>
        <w:spacing w:line="360" w:lineRule="auto"/>
        <w:ind w:firstLine="482"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 xml:space="preserve">第七条 </w:t>
      </w:r>
      <w:r>
        <w:rPr>
          <w:rFonts w:hint="eastAsia" w:ascii="宋体" w:hAnsi="宋体" w:eastAsia="宋体" w:cs="宋体"/>
          <w:color w:val="000000"/>
          <w:sz w:val="24"/>
          <w:szCs w:val="24"/>
          <w:highlight w:val="none"/>
          <w:lang w:val="en-US" w:eastAsia="zh-CN" w:bidi="ar-SA"/>
        </w:rPr>
        <w:t>学术发表：</w:t>
      </w:r>
    </w:p>
    <w:p>
      <w:pPr>
        <w:widowControl w:val="0"/>
        <w:numPr>
          <w:ilvl w:val="255"/>
          <w:numId w:val="0"/>
        </w:numPr>
        <w:autoSpaceDE w:val="0"/>
        <w:autoSpaceDN w:val="0"/>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在不违反本协议关于保密和知识产权规定的情况下，协议双方均有权发表本项目的技术成果。协议任何一方在其发表的论文或出版物中应该明确标明另外一方对本技术成果的贡献，以及其对本技术成果的资助情况。</w:t>
      </w:r>
    </w:p>
    <w:p>
      <w:pPr>
        <w:widowControl w:val="0"/>
        <w:numPr>
          <w:ilvl w:val="255"/>
          <w:numId w:val="0"/>
        </w:numPr>
        <w:autoSpaceDE w:val="0"/>
        <w:autoSpaceDN w:val="0"/>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2.拟发表方应当至少在拟发表日期前的30天内，以书面形式向对方提交拟发表内容的详细信息。对方可以向拟发表方以书面形式发出保密通知。</w:t>
      </w:r>
    </w:p>
    <w:p>
      <w:pPr>
        <w:widowControl w:val="0"/>
        <w:numPr>
          <w:ilvl w:val="255"/>
          <w:numId w:val="0"/>
        </w:numPr>
        <w:autoSpaceDE w:val="0"/>
        <w:autoSpaceDN w:val="0"/>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3.保密通知发出方有权在保密通知中要求，将拟发表推迟3个月。但该方须有合理意见说明该要求是为了对拟发表内容寻求专利或其他知识产权保护而必要的。</w:t>
      </w:r>
    </w:p>
    <w:p>
      <w:pPr>
        <w:widowControl w:val="0"/>
        <w:numPr>
          <w:ilvl w:val="255"/>
          <w:numId w:val="0"/>
        </w:numPr>
        <w:autoSpaceDE w:val="0"/>
        <w:autoSpaceDN w:val="0"/>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w:t>
      </w:r>
      <w:r>
        <w:rPr>
          <w:rFonts w:ascii="宋体" w:hAnsi="宋体" w:eastAsia="宋体" w:cs="宋体"/>
          <w:color w:val="000000"/>
          <w:sz w:val="24"/>
          <w:szCs w:val="24"/>
          <w:highlight w:val="none"/>
          <w:lang w:val="en-US" w:eastAsia="zh-CN" w:bidi="ar-SA"/>
        </w:rPr>
        <w:t>保密通知发出方必须在收到拟发表内容的详细信息后的</w:t>
      </w:r>
      <w:r>
        <w:rPr>
          <w:rFonts w:hint="eastAsia" w:ascii="宋体" w:hAnsi="宋体" w:eastAsia="宋体" w:cs="宋体"/>
          <w:color w:val="000000"/>
          <w:sz w:val="24"/>
          <w:szCs w:val="24"/>
          <w:highlight w:val="none"/>
          <w:lang w:val="en-US" w:eastAsia="zh-CN" w:bidi="ar-SA"/>
        </w:rPr>
        <w:t>15</w:t>
      </w:r>
      <w:r>
        <w:rPr>
          <w:rFonts w:ascii="宋体" w:hAnsi="宋体" w:eastAsia="宋体" w:cs="宋体"/>
          <w:color w:val="000000"/>
          <w:sz w:val="24"/>
          <w:szCs w:val="24"/>
          <w:highlight w:val="none"/>
          <w:lang w:val="en-US" w:eastAsia="zh-CN" w:bidi="ar-SA"/>
        </w:rPr>
        <w:t>天内发出保密通知。如果拟发表方在该期限内未收到保密通知，则视为同意发表，但该拟发表内容与对方背景知识产权有关且是其保密信息的除外。</w:t>
      </w:r>
    </w:p>
    <w:p>
      <w:pPr>
        <w:spacing w:line="360" w:lineRule="auto"/>
        <w:ind w:firstLine="482"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b/>
          <w:color w:val="000000"/>
          <w:sz w:val="24"/>
          <w:szCs w:val="24"/>
          <w:highlight w:val="none"/>
        </w:rPr>
        <w:t>第</w:t>
      </w:r>
      <w:r>
        <w:rPr>
          <w:rFonts w:hint="eastAsia" w:ascii="Times New Roman" w:hAnsi="Times New Roman" w:eastAsia="宋体" w:cs="Times New Roman"/>
          <w:b/>
          <w:color w:val="000000"/>
          <w:sz w:val="24"/>
          <w:szCs w:val="24"/>
          <w:highlight w:val="none"/>
        </w:rPr>
        <w:t>八</w:t>
      </w:r>
      <w:r>
        <w:rPr>
          <w:rFonts w:ascii="Times New Roman" w:hAnsi="Times New Roman" w:eastAsia="宋体" w:cs="Times New Roman"/>
          <w:b/>
          <w:color w:val="000000"/>
          <w:sz w:val="24"/>
          <w:szCs w:val="24"/>
          <w:highlight w:val="none"/>
        </w:rPr>
        <w:t>条</w:t>
      </w:r>
      <w:r>
        <w:rPr>
          <w:rFonts w:hint="eastAsia" w:ascii="Times New Roman" w:hAnsi="Times New Roman" w:eastAsia="宋体" w:cs="Times New Roman"/>
          <w:b/>
          <w:color w:val="000000"/>
          <w:sz w:val="24"/>
          <w:szCs w:val="24"/>
          <w:highlight w:val="none"/>
        </w:rPr>
        <w:t xml:space="preserve"> </w:t>
      </w:r>
      <w:r>
        <w:rPr>
          <w:rFonts w:ascii="Times New Roman" w:hAnsi="Times New Roman" w:eastAsia="宋体" w:cs="Times New Roman"/>
          <w:color w:val="000000"/>
          <w:sz w:val="24"/>
          <w:szCs w:val="24"/>
          <w:highlight w:val="none"/>
        </w:rPr>
        <w:t>本协议作为</w:t>
      </w:r>
      <w:r>
        <w:rPr>
          <w:rFonts w:hint="eastAsia" w:ascii="Times New Roman" w:hAnsi="Times New Roman" w:eastAsia="宋体" w:cs="Times New Roman"/>
          <w:color w:val="000000"/>
          <w:sz w:val="24"/>
          <w:szCs w:val="24"/>
          <w:highlight w:val="none"/>
          <w:u w:val="single"/>
          <w:lang w:val="en-US" w:eastAsia="zh-CN"/>
        </w:rPr>
        <w:t>广州市净水有限公司污水处理系统进水水质生物毒性监测设备研发</w:t>
      </w:r>
      <w:r>
        <w:rPr>
          <w:rFonts w:ascii="Times New Roman" w:hAnsi="Times New Roman" w:eastAsia="宋体" w:cs="Times New Roman"/>
          <w:color w:val="000000"/>
          <w:sz w:val="24"/>
          <w:szCs w:val="24"/>
          <w:highlight w:val="none"/>
          <w:u w:val="single"/>
        </w:rPr>
        <w:t>（合同编号：    号）</w:t>
      </w:r>
      <w:r>
        <w:rPr>
          <w:rFonts w:ascii="Times New Roman" w:hAnsi="Times New Roman" w:eastAsia="宋体" w:cs="Times New Roman"/>
          <w:color w:val="000000"/>
          <w:sz w:val="24"/>
          <w:szCs w:val="24"/>
          <w:highlight w:val="none"/>
        </w:rPr>
        <w:t>合同的附件，并具有同等的法律效力。</w:t>
      </w:r>
    </w:p>
    <w:p>
      <w:pPr>
        <w:adjustRightInd w:val="0"/>
        <w:snapToGrid w:val="0"/>
        <w:spacing w:line="360" w:lineRule="auto"/>
        <w:ind w:firstLine="482" w:firstLineChars="200"/>
        <w:jc w:val="left"/>
        <w:rPr>
          <w:rFonts w:ascii="Times New Roman" w:hAnsi="Times New Roman" w:eastAsia="宋体" w:cs="Times New Roman"/>
          <w:sz w:val="24"/>
          <w:szCs w:val="24"/>
          <w:highlight w:val="none"/>
        </w:rPr>
      </w:pPr>
      <w:r>
        <w:rPr>
          <w:rFonts w:hint="eastAsia" w:ascii="Times New Roman" w:hAnsi="Times New Roman" w:eastAsia="宋体" w:cs="Times New Roman"/>
          <w:b/>
          <w:bCs/>
          <w:sz w:val="24"/>
          <w:szCs w:val="24"/>
          <w:highlight w:val="none"/>
        </w:rPr>
        <w:t>第九条</w:t>
      </w:r>
      <w:r>
        <w:rPr>
          <w:rFonts w:hint="eastAsia" w:ascii="Times New Roman" w:hAnsi="Times New Roman" w:eastAsia="宋体" w:cs="Times New Roman"/>
          <w:sz w:val="24"/>
          <w:szCs w:val="24"/>
          <w:highlight w:val="none"/>
        </w:rPr>
        <w:t xml:space="preserve"> </w:t>
      </w:r>
      <w:r>
        <w:rPr>
          <w:rFonts w:ascii="Times New Roman" w:hAnsi="Times New Roman" w:eastAsia="宋体" w:cs="Times New Roman"/>
          <w:sz w:val="24"/>
          <w:szCs w:val="24"/>
          <w:highlight w:val="none"/>
        </w:rPr>
        <w:t>本协议与主合同同时签订、同时终止、同时生效，具有相同的法律效力，自甲方、乙方双方签字、盖章生效，甲方、乙方双方执持数量与主合同一致。</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br w:type="textWrapping"/>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甲方（盖章）：</w:t>
      </w:r>
      <w:r>
        <w:rPr>
          <w:rFonts w:hint="eastAsia" w:ascii="Times New Roman" w:hAnsi="Times New Roman" w:eastAsia="宋体" w:cs="Times New Roman"/>
          <w:color w:val="000000"/>
          <w:sz w:val="24"/>
          <w:szCs w:val="24"/>
          <w:highlight w:val="none"/>
        </w:rPr>
        <w:t>广州市净水有限公司</w:t>
      </w:r>
      <w:r>
        <w:rPr>
          <w:rFonts w:ascii="Times New Roman" w:hAnsi="Times New Roman" w:eastAsia="宋体" w:cs="Times New Roman"/>
          <w:color w:val="000000"/>
          <w:sz w:val="24"/>
          <w:szCs w:val="24"/>
          <w:highlight w:val="none"/>
        </w:rPr>
        <w:t xml:space="preserve">   乙方（盖章）：</w:t>
      </w:r>
    </w:p>
    <w:p>
      <w:pPr>
        <w:widowControl w:val="0"/>
        <w:tabs>
          <w:tab w:val="left" w:pos="5100"/>
        </w:tabs>
        <w:spacing w:line="360" w:lineRule="auto"/>
        <w:ind w:firstLine="480" w:firstLineChars="200"/>
        <w:jc w:val="left"/>
        <w:rPr>
          <w:rFonts w:ascii="Times New Roman" w:hAnsi="Times New Roman" w:eastAsia="宋体" w:cs="Times New Roman"/>
          <w:color w:val="000000"/>
          <w:kern w:val="2"/>
          <w:sz w:val="24"/>
          <w:szCs w:val="24"/>
          <w:highlight w:val="none"/>
          <w:lang w:val="en-US" w:eastAsia="zh-CN" w:bidi="ar-SA"/>
        </w:rPr>
      </w:pPr>
    </w:p>
    <w:p>
      <w:pPr>
        <w:tabs>
          <w:tab w:val="left" w:pos="5100"/>
        </w:tabs>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 xml:space="preserve">签约代表：                    </w:t>
      </w:r>
      <w:r>
        <w:rPr>
          <w:rFonts w:hint="eastAsia" w:ascii="Times New Roman" w:hAnsi="Times New Roman" w:eastAsia="宋体" w:cs="Times New Roman"/>
          <w:color w:val="000000"/>
          <w:sz w:val="24"/>
          <w:szCs w:val="24"/>
          <w:highlight w:val="none"/>
        </w:rPr>
        <w:t xml:space="preserve"> </w:t>
      </w:r>
      <w:r>
        <w:rPr>
          <w:rFonts w:ascii="Times New Roman" w:hAnsi="Times New Roman" w:eastAsia="宋体" w:cs="Times New Roman"/>
          <w:color w:val="000000"/>
          <w:sz w:val="24"/>
          <w:szCs w:val="24"/>
          <w:highlight w:val="none"/>
        </w:rPr>
        <w:t xml:space="preserve">   签约代表：</w:t>
      </w:r>
    </w:p>
    <w:p>
      <w:pPr>
        <w:tabs>
          <w:tab w:val="left" w:pos="4170"/>
        </w:tabs>
        <w:spacing w:line="360" w:lineRule="auto"/>
        <w:ind w:firstLine="480" w:firstLineChars="200"/>
        <w:rPr>
          <w:rFonts w:ascii="Times New Roman" w:hAnsi="Times New Roman" w:eastAsia="宋体" w:cs="Times New Roman"/>
          <w:color w:val="000000"/>
          <w:sz w:val="24"/>
          <w:szCs w:val="24"/>
          <w:highlight w:val="none"/>
        </w:rPr>
      </w:pPr>
    </w:p>
    <w:p>
      <w:pPr>
        <w:ind w:firstLine="420" w:firstLineChars="175"/>
        <w:rPr>
          <w:rFonts w:ascii="Times New Roman" w:hAnsi="Times New Roman" w:eastAsia="宋体" w:cs="Times New Roman"/>
          <w:b/>
          <w:sz w:val="24"/>
          <w:szCs w:val="24"/>
          <w:highlight w:val="none"/>
        </w:rPr>
      </w:pPr>
      <w:r>
        <w:rPr>
          <w:rFonts w:ascii="Times New Roman" w:hAnsi="Times New Roman" w:eastAsia="宋体" w:cs="Times New Roman"/>
          <w:color w:val="000000"/>
          <w:sz w:val="24"/>
          <w:szCs w:val="24"/>
          <w:highlight w:val="none"/>
        </w:rPr>
        <w:t>日期:</w:t>
      </w:r>
      <w:r>
        <w:rPr>
          <w:rFonts w:hint="eastAsia" w:ascii="Times New Roman" w:hAnsi="Times New Roman" w:eastAsia="宋体" w:cs="Times New Roman"/>
          <w:color w:val="000000"/>
          <w:sz w:val="24"/>
          <w:szCs w:val="24"/>
          <w:highlight w:val="none"/>
        </w:rPr>
        <w:t xml:space="preserve">  </w:t>
      </w:r>
      <w:r>
        <w:rPr>
          <w:rFonts w:ascii="Times New Roman" w:hAnsi="Times New Roman" w:eastAsia="宋体" w:cs="Times New Roman"/>
          <w:color w:val="000000"/>
          <w:sz w:val="24"/>
          <w:szCs w:val="24"/>
          <w:highlight w:val="none"/>
        </w:rPr>
        <w:tab/>
      </w:r>
      <w:r>
        <w:rPr>
          <w:rFonts w:ascii="Times New Roman" w:hAnsi="Times New Roman" w:eastAsia="宋体" w:cs="Times New Roman"/>
          <w:color w:val="000000"/>
          <w:sz w:val="24"/>
          <w:szCs w:val="24"/>
          <w:highlight w:val="none"/>
        </w:rPr>
        <w:t xml:space="preserve">          </w:t>
      </w:r>
      <w:r>
        <w:rPr>
          <w:rFonts w:hint="eastAsia" w:ascii="Times New Roman" w:hAnsi="Times New Roman" w:eastAsia="宋体" w:cs="Times New Roman"/>
          <w:color w:val="000000"/>
          <w:sz w:val="24"/>
          <w:szCs w:val="24"/>
          <w:highlight w:val="none"/>
        </w:rPr>
        <w:t xml:space="preserve">              </w:t>
      </w:r>
      <w:r>
        <w:rPr>
          <w:rFonts w:ascii="Times New Roman" w:hAnsi="Times New Roman" w:eastAsia="宋体" w:cs="Times New Roman"/>
          <w:color w:val="000000"/>
          <w:sz w:val="24"/>
          <w:szCs w:val="24"/>
          <w:highlight w:val="none"/>
        </w:rPr>
        <w:t xml:space="preserve">   日期：</w:t>
      </w:r>
    </w:p>
    <w:p>
      <w:pPr>
        <w:adjustRightInd/>
        <w:snapToGrid/>
        <w:spacing w:after="0" w:line="360" w:lineRule="auto"/>
        <w:rPr>
          <w:rFonts w:ascii="仿宋_GB2312" w:hAnsi="仿宋_GB2312" w:eastAsia="仿宋_GB2312" w:cs="仿宋_GB2312"/>
          <w:sz w:val="32"/>
          <w:szCs w:val="32"/>
          <w:highlight w:val="none"/>
          <w:u w:val="single"/>
        </w:rPr>
      </w:pPr>
    </w:p>
    <w:p>
      <w:pPr>
        <w:adjustRightInd/>
        <w:snapToGrid/>
        <w:spacing w:after="0" w:line="360" w:lineRule="auto"/>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2"/>
        <w:rPr>
          <w:color w:val="auto"/>
          <w:highlight w:val="none"/>
        </w:rPr>
      </w:pPr>
      <w:r>
        <w:rPr>
          <w:rFonts w:hint="eastAsia"/>
          <w:color w:val="auto"/>
          <w:highlight w:val="none"/>
        </w:rPr>
        <w:t>响应文件</w:t>
      </w:r>
      <w:r>
        <w:rPr>
          <w:rFonts w:hint="eastAsia"/>
          <w:color w:val="auto"/>
          <w:highlight w:val="none"/>
          <w:lang w:val="en-US" w:eastAsia="zh-CN"/>
        </w:rPr>
        <w:t>格式要求</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val="en-US" w:eastAsia="zh-CN"/>
        </w:rPr>
      </w:pPr>
      <w:r>
        <w:rPr>
          <w:rFonts w:hint="eastAsia" w:ascii="方正小标宋简体" w:eastAsia="方正小标宋简体"/>
          <w:color w:val="auto"/>
          <w:sz w:val="44"/>
          <w:szCs w:val="44"/>
          <w:highlight w:val="none"/>
          <w:u w:val="single"/>
        </w:rPr>
        <w:t>广州市净水有限公司污水处理系统进水水质生物毒性监测设备研发</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1.响应函</w:t>
      </w:r>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5"/>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2.法定代表人证明或授权委托书</w:t>
      </w:r>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2"/>
        <w:keepNext w:val="0"/>
        <w:keepLines w:val="0"/>
        <w:pageBreakBefore w:val="0"/>
        <w:widowControl w:val="0"/>
        <w:kinsoku/>
        <w:wordWrap/>
        <w:overflowPunct/>
        <w:topLinePunct w:val="0"/>
        <w:bidi w:val="0"/>
        <w:adjustRightInd w:val="0"/>
        <w:snapToGrid w:val="0"/>
        <w:spacing w:after="0" w:line="600" w:lineRule="exact"/>
        <w:ind w:firstLine="600" w:firstLineChars="200"/>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pPr>
        <w:pStyle w:val="41"/>
        <w:keepNext w:val="0"/>
        <w:keepLines w:val="0"/>
        <w:pageBreakBefore w:val="0"/>
        <w:widowControl w:val="0"/>
        <w:kinsoku/>
        <w:wordWrap/>
        <w:overflowPunct/>
        <w:topLinePunct w:val="0"/>
        <w:bidi w:val="0"/>
        <w:adjustRightInd w:val="0"/>
        <w:snapToGrid w:val="0"/>
        <w:spacing w:after="0"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5"/>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highlight w:val="none"/>
              </w:rPr>
              <w:t>身份证复印件（</w:t>
            </w:r>
            <w:r>
              <w:rPr>
                <w:rFonts w:hint="eastAsia" w:ascii="仿宋_GB2312" w:hAnsi="仿宋_GB2312" w:eastAsia="仿宋_GB2312" w:cs="仿宋_GB2312"/>
                <w:sz w:val="24"/>
                <w:szCs w:val="24"/>
                <w:highlight w:val="none"/>
                <w:lang w:val="en-US" w:eastAsia="zh-CN"/>
              </w:rPr>
              <w:t>人像</w:t>
            </w:r>
            <w:r>
              <w:rPr>
                <w:rFonts w:hint="eastAsia" w:ascii="仿宋_GB2312" w:hAnsi="仿宋_GB2312" w:eastAsia="仿宋_GB2312" w:cs="仿宋_GB2312"/>
                <w:sz w:val="24"/>
                <w:szCs w:val="24"/>
                <w:highlight w:val="none"/>
              </w:rPr>
              <w:t>面）</w:t>
            </w:r>
          </w:p>
        </w:tc>
        <w:tc>
          <w:tcPr>
            <w:tcW w:w="4530" w:type="dxa"/>
            <w:vAlign w:val="center"/>
          </w:tcPr>
          <w:p>
            <w:pPr>
              <w:pStyle w:val="25"/>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highlight w:val="none"/>
              </w:rPr>
              <w:t>身份证复印件（</w:t>
            </w:r>
            <w:r>
              <w:rPr>
                <w:rFonts w:hint="eastAsia" w:ascii="仿宋_GB2312" w:hAnsi="仿宋_GB2312" w:eastAsia="仿宋_GB2312" w:cs="仿宋_GB2312"/>
                <w:sz w:val="24"/>
                <w:szCs w:val="24"/>
                <w:highlight w:val="none"/>
                <w:lang w:val="en-US" w:eastAsia="zh-CN"/>
              </w:rPr>
              <w:t>国徽</w:t>
            </w:r>
            <w:r>
              <w:rPr>
                <w:rFonts w:hint="eastAsia" w:ascii="仿宋_GB2312" w:hAnsi="仿宋_GB2312" w:eastAsia="仿宋_GB2312" w:cs="仿宋_GB2312"/>
                <w:sz w:val="24"/>
                <w:szCs w:val="24"/>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5"/>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highlight w:val="none"/>
              </w:rPr>
            </w:pPr>
          </w:p>
        </w:tc>
        <w:tc>
          <w:tcPr>
            <w:tcW w:w="4530" w:type="dxa"/>
            <w:vAlign w:val="top"/>
          </w:tcPr>
          <w:p>
            <w:pPr>
              <w:pStyle w:val="25"/>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highlight w:val="none"/>
              </w:rPr>
            </w:pPr>
          </w:p>
        </w:tc>
      </w:tr>
    </w:tbl>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40"/>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40"/>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40"/>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lang w:val="en-US" w:eastAsia="zh-CN"/>
        </w:rPr>
      </w:pPr>
    </w:p>
    <w:p>
      <w:pPr>
        <w:pStyle w:val="14"/>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5"/>
        <w:ind w:left="0" w:leftChars="0" w:firstLine="0" w:firstLineChars="0"/>
        <w:rPr>
          <w:rFonts w:hint="eastAsia" w:ascii="仿宋_GB2312" w:hAnsi="宋体" w:eastAsia="仿宋_GB2312"/>
          <w:color w:val="auto"/>
          <w:sz w:val="30"/>
          <w:szCs w:val="30"/>
          <w:highlight w:val="none"/>
        </w:rPr>
      </w:pPr>
    </w:p>
    <w:p>
      <w:pPr>
        <w:pStyle w:val="25"/>
        <w:ind w:left="0" w:leftChars="0" w:firstLine="0" w:firstLineChars="0"/>
        <w:rPr>
          <w:rFonts w:hint="eastAsia" w:ascii="仿宋_GB2312" w:hAnsi="宋体" w:eastAsia="仿宋_GB2312"/>
          <w:color w:val="auto"/>
          <w:sz w:val="30"/>
          <w:szCs w:val="30"/>
          <w:highlight w:val="non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530" w:type="dxa"/>
            <w:vAlign w:val="center"/>
          </w:tcPr>
          <w:p>
            <w:pPr>
              <w:pStyle w:val="25"/>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highlight w:val="none"/>
              </w:rPr>
              <w:t>身份证复印件（</w:t>
            </w:r>
            <w:r>
              <w:rPr>
                <w:rFonts w:hint="eastAsia" w:ascii="仿宋_GB2312" w:hAnsi="仿宋_GB2312" w:eastAsia="仿宋_GB2312" w:cs="仿宋_GB2312"/>
                <w:sz w:val="28"/>
                <w:szCs w:val="28"/>
                <w:highlight w:val="none"/>
                <w:lang w:val="en-US" w:eastAsia="zh-CN"/>
              </w:rPr>
              <w:t>人像</w:t>
            </w:r>
            <w:r>
              <w:rPr>
                <w:rFonts w:hint="eastAsia" w:ascii="仿宋_GB2312" w:hAnsi="仿宋_GB2312" w:eastAsia="仿宋_GB2312" w:cs="仿宋_GB2312"/>
                <w:sz w:val="28"/>
                <w:szCs w:val="28"/>
                <w:highlight w:val="none"/>
              </w:rPr>
              <w:t>面）</w:t>
            </w:r>
          </w:p>
        </w:tc>
        <w:tc>
          <w:tcPr>
            <w:tcW w:w="4530" w:type="dxa"/>
            <w:vAlign w:val="center"/>
          </w:tcPr>
          <w:p>
            <w:pPr>
              <w:pStyle w:val="25"/>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highlight w:val="none"/>
              </w:rPr>
              <w:t>身份证复印件（</w:t>
            </w:r>
            <w:r>
              <w:rPr>
                <w:rFonts w:hint="eastAsia" w:ascii="仿宋_GB2312" w:hAnsi="仿宋_GB2312" w:eastAsia="仿宋_GB2312" w:cs="仿宋_GB2312"/>
                <w:sz w:val="28"/>
                <w:szCs w:val="28"/>
                <w:highlight w:val="none"/>
                <w:lang w:val="en-US" w:eastAsia="zh-CN"/>
              </w:rPr>
              <w:t>国徽</w:t>
            </w:r>
            <w:r>
              <w:rPr>
                <w:rFonts w:hint="eastAsia" w:ascii="仿宋_GB2312" w:hAnsi="仿宋_GB2312" w:eastAsia="仿宋_GB2312" w:cs="仿宋_GB2312"/>
                <w:sz w:val="28"/>
                <w:szCs w:val="28"/>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5"/>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highlight w:val="none"/>
              </w:rPr>
            </w:pPr>
          </w:p>
        </w:tc>
        <w:tc>
          <w:tcPr>
            <w:tcW w:w="4530" w:type="dxa"/>
            <w:vAlign w:val="top"/>
          </w:tcPr>
          <w:p>
            <w:pPr>
              <w:pStyle w:val="25"/>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highlight w:val="none"/>
              </w:rPr>
            </w:pPr>
          </w:p>
        </w:tc>
      </w:tr>
    </w:tbl>
    <w:p>
      <w:pPr>
        <w:pStyle w:val="5"/>
        <w:spacing w:after="0" w:line="600" w:lineRule="exact"/>
        <w:ind w:left="0" w:leftChars="0" w:firstLine="0" w:firstLineChars="0"/>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7"/>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5"/>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5"/>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6"/>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5"/>
        <w:rPr>
          <w:rFonts w:hint="default" w:ascii="仿宋_GB2312" w:eastAsia="仿宋_GB2312" w:hAnsiTheme="minorEastAsia"/>
          <w:color w:val="auto"/>
          <w:sz w:val="28"/>
          <w:szCs w:val="28"/>
          <w:highlight w:val="none"/>
          <w:lang w:val="en-US" w:eastAsia="zh-CN"/>
        </w:rPr>
      </w:pPr>
    </w:p>
    <w:p>
      <w:pPr>
        <w:pStyle w:val="25"/>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pStyle w:val="25"/>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6"/>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pStyle w:val="4"/>
        <w:rPr>
          <w:rFonts w:asciiTheme="minorEastAsia" w:hAnsiTheme="minorEastAsia" w:eastAsiaTheme="minorEastAsia"/>
          <w:sz w:val="28"/>
          <w:szCs w:val="28"/>
          <w:highlight w:val="none"/>
        </w:rPr>
      </w:pPr>
      <w:bookmarkStart w:id="33" w:name="_Toc19423"/>
      <w:bookmarkStart w:id="34" w:name="_Toc32430"/>
      <w:r>
        <w:rPr>
          <w:rFonts w:hint="eastAsia" w:ascii="仿宋_GB2312" w:eastAsia="仿宋_GB2312" w:hAnsiTheme="minorEastAsia"/>
          <w:sz w:val="28"/>
          <w:szCs w:val="28"/>
          <w:highlight w:val="none"/>
        </w:rPr>
        <w:t>5</w:t>
      </w:r>
      <w:r>
        <w:rPr>
          <w:rFonts w:hint="eastAsia" w:asciiTheme="minorEastAsia" w:hAnsiTheme="minorEastAsia" w:eastAsiaTheme="minorEastAsia"/>
          <w:sz w:val="28"/>
          <w:szCs w:val="28"/>
          <w:highlight w:val="none"/>
        </w:rPr>
        <w:t>.报价表</w:t>
      </w:r>
      <w:bookmarkEnd w:id="33"/>
      <w:bookmarkEnd w:id="34"/>
    </w:p>
    <w:tbl>
      <w:tblPr>
        <w:tblStyle w:val="26"/>
        <w:tblW w:w="484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135"/>
        <w:gridCol w:w="2836"/>
        <w:gridCol w:w="28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ascii="宋体" w:hAnsi="宋体"/>
                <w:b/>
                <w:bCs/>
                <w:sz w:val="24"/>
                <w:szCs w:val="24"/>
                <w:highlight w:val="none"/>
              </w:rPr>
            </w:pPr>
            <w:r>
              <w:rPr>
                <w:rFonts w:hint="eastAsia" w:ascii="宋体" w:hAnsi="宋体"/>
                <w:b/>
                <w:bCs/>
                <w:sz w:val="24"/>
                <w:szCs w:val="24"/>
                <w:highlight w:val="none"/>
              </w:rPr>
              <w:t>项目</w:t>
            </w:r>
          </w:p>
        </w:tc>
        <w:tc>
          <w:tcPr>
            <w:tcW w:w="1135"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bCs/>
                <w:sz w:val="24"/>
                <w:szCs w:val="24"/>
                <w:highlight w:val="none"/>
              </w:rPr>
            </w:pPr>
            <w:r>
              <w:rPr>
                <w:rFonts w:hint="eastAsia" w:ascii="宋体" w:hAnsi="宋体"/>
                <w:b/>
                <w:bCs/>
                <w:sz w:val="24"/>
                <w:szCs w:val="24"/>
                <w:highlight w:val="none"/>
              </w:rPr>
              <w:t>数量</w:t>
            </w:r>
          </w:p>
        </w:tc>
        <w:tc>
          <w:tcPr>
            <w:tcW w:w="2836" w:type="dxa"/>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bCs/>
                <w:sz w:val="24"/>
                <w:szCs w:val="24"/>
                <w:highlight w:val="none"/>
              </w:rPr>
            </w:pPr>
            <w:r>
              <w:rPr>
                <w:rFonts w:hint="eastAsia" w:ascii="宋体" w:hAnsi="宋体"/>
                <w:b/>
                <w:bCs/>
                <w:sz w:val="24"/>
                <w:szCs w:val="24"/>
                <w:highlight w:val="none"/>
              </w:rPr>
              <w:t>单价</w:t>
            </w:r>
          </w:p>
        </w:tc>
        <w:tc>
          <w:tcPr>
            <w:tcW w:w="2836" w:type="dxa"/>
            <w:tcBorders>
              <w:top w:val="single" w:color="auto" w:sz="12" w:space="0"/>
              <w:left w:val="single" w:color="auto" w:sz="4" w:space="0"/>
              <w:bottom w:val="single" w:color="auto" w:sz="4" w:space="0"/>
              <w:right w:val="single" w:color="auto" w:sz="12" w:space="0"/>
            </w:tcBorders>
            <w:vAlign w:val="center"/>
          </w:tcPr>
          <w:p>
            <w:pPr>
              <w:jc w:val="center"/>
              <w:rPr>
                <w:rFonts w:ascii="宋体" w:hAnsi="宋体"/>
                <w:b/>
                <w:bCs/>
                <w:sz w:val="24"/>
                <w:szCs w:val="24"/>
                <w:highlight w:val="none"/>
              </w:rPr>
            </w:pPr>
            <w:r>
              <w:rPr>
                <w:rFonts w:hint="eastAsia" w:ascii="宋体" w:hAnsi="宋体"/>
                <w:b/>
                <w:bCs/>
                <w:sz w:val="24"/>
                <w:szCs w:val="24"/>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Merge w:val="continue"/>
            <w:tcBorders>
              <w:top w:val="single" w:color="auto" w:sz="12" w:space="0"/>
              <w:left w:val="single" w:color="auto" w:sz="12" w:space="0"/>
              <w:bottom w:val="single" w:color="auto" w:sz="4" w:space="0"/>
              <w:right w:val="single" w:color="auto" w:sz="4" w:space="0"/>
            </w:tcBorders>
            <w:vAlign w:val="center"/>
          </w:tcPr>
          <w:p>
            <w:pPr>
              <w:widowControl/>
              <w:jc w:val="left"/>
              <w:rPr>
                <w:rFonts w:ascii="宋体" w:hAnsi="宋体" w:eastAsia="宋体"/>
                <w:b/>
                <w:bCs/>
                <w:sz w:val="24"/>
                <w:szCs w:val="24"/>
                <w:highlight w:val="none"/>
              </w:rPr>
            </w:pPr>
          </w:p>
        </w:tc>
        <w:tc>
          <w:tcPr>
            <w:tcW w:w="1135"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hAnsi="宋体" w:eastAsia="宋体"/>
                <w:b/>
                <w:bCs/>
                <w:sz w:val="24"/>
                <w:szCs w:val="24"/>
                <w:highlight w:val="none"/>
              </w:rPr>
            </w:pPr>
          </w:p>
        </w:tc>
        <w:tc>
          <w:tcPr>
            <w:tcW w:w="28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4"/>
                <w:highlight w:val="none"/>
              </w:rPr>
            </w:pPr>
            <w:r>
              <w:rPr>
                <w:rFonts w:hint="eastAsia" w:ascii="宋体" w:hAnsi="宋体"/>
                <w:b/>
                <w:bCs/>
                <w:sz w:val="24"/>
                <w:szCs w:val="24"/>
                <w:highlight w:val="none"/>
              </w:rPr>
              <w:t>含税</w:t>
            </w:r>
          </w:p>
        </w:tc>
        <w:tc>
          <w:tcPr>
            <w:tcW w:w="2836" w:type="dxa"/>
            <w:tcBorders>
              <w:top w:val="single" w:color="auto" w:sz="4" w:space="0"/>
              <w:left w:val="single" w:color="auto" w:sz="4" w:space="0"/>
              <w:bottom w:val="single" w:color="auto" w:sz="4" w:space="0"/>
              <w:right w:val="single" w:color="auto" w:sz="12" w:space="0"/>
            </w:tcBorders>
            <w:vAlign w:val="center"/>
          </w:tcPr>
          <w:p>
            <w:pPr>
              <w:jc w:val="center"/>
              <w:rPr>
                <w:rFonts w:ascii="宋体" w:hAnsi="宋体"/>
                <w:b/>
                <w:bCs/>
                <w:sz w:val="24"/>
                <w:szCs w:val="24"/>
                <w:highlight w:val="none"/>
              </w:rPr>
            </w:pPr>
            <w:r>
              <w:rPr>
                <w:rFonts w:hint="eastAsia" w:ascii="宋体" w:hAnsi="宋体"/>
                <w:b/>
                <w:bCs/>
                <w:sz w:val="24"/>
                <w:szCs w:val="24"/>
                <w:highlight w:val="none"/>
              </w:rPr>
              <w:t>含税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80" w:type="dxa"/>
            <w:tcBorders>
              <w:top w:val="single" w:color="auto" w:sz="4" w:space="0"/>
              <w:left w:val="single" w:color="auto" w:sz="12" w:space="0"/>
              <w:bottom w:val="single" w:color="auto" w:sz="4" w:space="0"/>
              <w:right w:val="single" w:color="auto" w:sz="4" w:space="0"/>
            </w:tcBorders>
            <w:vAlign w:val="center"/>
          </w:tcPr>
          <w:p>
            <w:pPr>
              <w:jc w:val="center"/>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lang w:val="en-US" w:eastAsia="zh-CN"/>
              </w:rPr>
              <w:t>请补充项目名称</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highlight w:val="none"/>
              </w:rPr>
            </w:pPr>
          </w:p>
        </w:tc>
        <w:tc>
          <w:tcPr>
            <w:tcW w:w="28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highlight w:val="none"/>
              </w:rPr>
            </w:pPr>
          </w:p>
        </w:tc>
        <w:tc>
          <w:tcPr>
            <w:tcW w:w="2836" w:type="dxa"/>
            <w:tcBorders>
              <w:top w:val="single" w:color="auto" w:sz="4" w:space="0"/>
              <w:left w:val="single" w:color="auto" w:sz="4" w:space="0"/>
              <w:bottom w:val="single" w:color="auto" w:sz="4" w:space="0"/>
              <w:right w:val="single" w:color="auto" w:sz="12" w:space="0"/>
            </w:tcBorders>
            <w:vAlign w:val="center"/>
          </w:tcPr>
          <w:p>
            <w:pPr>
              <w:jc w:val="center"/>
              <w:rPr>
                <w:rFonts w:ascii="仿宋_GB2312" w:hAnsi="宋体" w:eastAsia="仿宋_GB231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80"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hAnsi="Times New Roman" w:eastAsia="仿宋_GB2312"/>
                <w:sz w:val="24"/>
                <w:szCs w:val="24"/>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highlight w:val="none"/>
              </w:rPr>
            </w:pPr>
          </w:p>
        </w:tc>
        <w:tc>
          <w:tcPr>
            <w:tcW w:w="28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highlight w:val="none"/>
              </w:rPr>
            </w:pPr>
          </w:p>
        </w:tc>
        <w:tc>
          <w:tcPr>
            <w:tcW w:w="2836" w:type="dxa"/>
            <w:tcBorders>
              <w:top w:val="single" w:color="auto" w:sz="4" w:space="0"/>
              <w:left w:val="single" w:color="auto" w:sz="4" w:space="0"/>
              <w:bottom w:val="single" w:color="auto" w:sz="4" w:space="0"/>
              <w:right w:val="single" w:color="auto" w:sz="12" w:space="0"/>
            </w:tcBorders>
            <w:vAlign w:val="center"/>
          </w:tcPr>
          <w:p>
            <w:pPr>
              <w:jc w:val="center"/>
              <w:rPr>
                <w:rFonts w:ascii="仿宋_GB2312" w:hAnsi="Times New Roman" w:eastAsia="仿宋_GB231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80"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hAnsi="Times New Roman" w:eastAsia="仿宋_GB2312"/>
                <w:sz w:val="24"/>
                <w:szCs w:val="24"/>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highlight w:val="none"/>
              </w:rPr>
            </w:pPr>
          </w:p>
        </w:tc>
        <w:tc>
          <w:tcPr>
            <w:tcW w:w="28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highlight w:val="none"/>
              </w:rPr>
            </w:pPr>
          </w:p>
        </w:tc>
        <w:tc>
          <w:tcPr>
            <w:tcW w:w="2836" w:type="dxa"/>
            <w:tcBorders>
              <w:top w:val="single" w:color="auto" w:sz="4" w:space="0"/>
              <w:left w:val="single" w:color="auto" w:sz="4" w:space="0"/>
              <w:bottom w:val="single" w:color="auto" w:sz="4" w:space="0"/>
              <w:right w:val="single" w:color="auto" w:sz="12" w:space="0"/>
            </w:tcBorders>
            <w:vAlign w:val="center"/>
          </w:tcPr>
          <w:p>
            <w:pPr>
              <w:jc w:val="center"/>
              <w:rPr>
                <w:rFonts w:ascii="仿宋_GB2312" w:hAnsi="Times New Roman" w:eastAsia="仿宋_GB231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80"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hAnsi="宋体" w:eastAsia="仿宋_GB2312"/>
                <w:sz w:val="24"/>
                <w:szCs w:val="24"/>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highlight w:val="none"/>
              </w:rPr>
            </w:pPr>
          </w:p>
        </w:tc>
        <w:tc>
          <w:tcPr>
            <w:tcW w:w="28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highlight w:val="none"/>
              </w:rPr>
            </w:pPr>
          </w:p>
        </w:tc>
        <w:tc>
          <w:tcPr>
            <w:tcW w:w="2836" w:type="dxa"/>
            <w:tcBorders>
              <w:top w:val="single" w:color="auto" w:sz="4" w:space="0"/>
              <w:left w:val="single" w:color="auto" w:sz="4" w:space="0"/>
              <w:bottom w:val="single" w:color="auto" w:sz="4" w:space="0"/>
              <w:right w:val="single" w:color="auto" w:sz="12" w:space="0"/>
            </w:tcBorders>
            <w:vAlign w:val="center"/>
          </w:tcPr>
          <w:p>
            <w:pPr>
              <w:jc w:val="center"/>
              <w:rPr>
                <w:rFonts w:ascii="仿宋_GB2312" w:hAnsi="Times New Roman" w:eastAsia="仿宋_GB231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80"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hAnsi="Times New Roman" w:eastAsia="仿宋_GB2312"/>
                <w:sz w:val="24"/>
                <w:szCs w:val="24"/>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highlight w:val="none"/>
              </w:rPr>
            </w:pPr>
          </w:p>
        </w:tc>
        <w:tc>
          <w:tcPr>
            <w:tcW w:w="28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highlight w:val="none"/>
              </w:rPr>
            </w:pPr>
          </w:p>
        </w:tc>
        <w:tc>
          <w:tcPr>
            <w:tcW w:w="2836" w:type="dxa"/>
            <w:tcBorders>
              <w:top w:val="single" w:color="auto" w:sz="4" w:space="0"/>
              <w:left w:val="single" w:color="auto" w:sz="4" w:space="0"/>
              <w:bottom w:val="single" w:color="auto" w:sz="4" w:space="0"/>
              <w:right w:val="single" w:color="auto" w:sz="12" w:space="0"/>
            </w:tcBorders>
            <w:vAlign w:val="center"/>
          </w:tcPr>
          <w:p>
            <w:pPr>
              <w:jc w:val="center"/>
              <w:rPr>
                <w:rFonts w:ascii="仿宋_GB2312" w:hAnsi="Times New Roman" w:eastAsia="仿宋_GB231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115" w:type="dxa"/>
            <w:gridSpan w:val="2"/>
            <w:tcBorders>
              <w:top w:val="single" w:color="auto" w:sz="4" w:space="0"/>
              <w:left w:val="single" w:color="auto" w:sz="12" w:space="0"/>
              <w:bottom w:val="single" w:color="auto" w:sz="4" w:space="0"/>
              <w:right w:val="single" w:color="auto" w:sz="4" w:space="0"/>
            </w:tcBorders>
            <w:vAlign w:val="center"/>
          </w:tcPr>
          <w:p>
            <w:pPr>
              <w:jc w:val="center"/>
              <w:rPr>
                <w:rFonts w:hint="default" w:ascii="仿宋_GB2312" w:hAnsi="Times New Roman" w:eastAsia="仿宋_GB2312"/>
                <w:sz w:val="24"/>
                <w:szCs w:val="24"/>
                <w:highlight w:val="none"/>
                <w:lang w:val="en-US" w:eastAsia="zh-CN"/>
              </w:rPr>
            </w:pPr>
            <w:r>
              <w:rPr>
                <w:rFonts w:hint="eastAsia" w:ascii="仿宋_GB2312" w:hAnsi="Times New Roman" w:eastAsia="仿宋_GB2312"/>
                <w:sz w:val="24"/>
                <w:szCs w:val="24"/>
                <w:highlight w:val="none"/>
                <w:lang w:val="en-US" w:eastAsia="zh-CN"/>
              </w:rPr>
              <w:t>不含税总价</w:t>
            </w:r>
          </w:p>
        </w:tc>
        <w:tc>
          <w:tcPr>
            <w:tcW w:w="5672" w:type="dxa"/>
            <w:gridSpan w:val="2"/>
            <w:tcBorders>
              <w:top w:val="single" w:color="auto" w:sz="4" w:space="0"/>
              <w:left w:val="single" w:color="auto" w:sz="4" w:space="0"/>
              <w:bottom w:val="single" w:color="auto" w:sz="4" w:space="0"/>
              <w:right w:val="single" w:color="auto" w:sz="12" w:space="0"/>
            </w:tcBorders>
            <w:vAlign w:val="center"/>
          </w:tcPr>
          <w:p>
            <w:pPr>
              <w:jc w:val="center"/>
              <w:rPr>
                <w:rFonts w:ascii="仿宋_GB2312" w:hAnsi="Times New Roman" w:eastAsia="仿宋_GB231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115" w:type="dxa"/>
            <w:gridSpan w:val="2"/>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Times New Roman" w:eastAsia="仿宋_GB2312"/>
                <w:sz w:val="24"/>
                <w:szCs w:val="24"/>
                <w:highlight w:val="none"/>
                <w:lang w:val="en-US" w:eastAsia="zh-CN"/>
              </w:rPr>
            </w:pPr>
            <w:r>
              <w:rPr>
                <w:rFonts w:hint="eastAsia" w:ascii="仿宋_GB2312" w:hAnsi="Times New Roman" w:eastAsia="仿宋_GB2312"/>
                <w:sz w:val="24"/>
                <w:szCs w:val="24"/>
                <w:highlight w:val="none"/>
                <w:lang w:val="en-US" w:eastAsia="zh-CN"/>
              </w:rPr>
              <w:t>税率</w:t>
            </w:r>
          </w:p>
        </w:tc>
        <w:tc>
          <w:tcPr>
            <w:tcW w:w="5672" w:type="dxa"/>
            <w:gridSpan w:val="2"/>
            <w:tcBorders>
              <w:top w:val="single" w:color="auto" w:sz="4" w:space="0"/>
              <w:left w:val="single" w:color="auto" w:sz="4" w:space="0"/>
              <w:bottom w:val="single" w:color="auto" w:sz="4" w:space="0"/>
              <w:right w:val="single" w:color="auto" w:sz="12" w:space="0"/>
            </w:tcBorders>
            <w:vAlign w:val="center"/>
          </w:tcPr>
          <w:p>
            <w:pPr>
              <w:jc w:val="center"/>
              <w:rPr>
                <w:rFonts w:ascii="仿宋_GB2312" w:hAnsi="Times New Roman" w:eastAsia="仿宋_GB231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115"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ascii="仿宋_GB2312" w:hAnsi="Times New Roman" w:eastAsia="仿宋_GB2312"/>
                <w:sz w:val="24"/>
                <w:szCs w:val="24"/>
                <w:highlight w:val="none"/>
                <w:lang w:val="en-US" w:eastAsia="zh-CN"/>
              </w:rPr>
            </w:pPr>
            <w:r>
              <w:rPr>
                <w:rFonts w:hint="eastAsia" w:ascii="仿宋_GB2312" w:hAnsi="Times New Roman" w:eastAsia="仿宋_GB2312"/>
                <w:sz w:val="24"/>
                <w:szCs w:val="24"/>
                <w:highlight w:val="none"/>
                <w:lang w:val="en-US" w:eastAsia="zh-CN"/>
              </w:rPr>
              <w:t>含税总价</w:t>
            </w:r>
          </w:p>
        </w:tc>
        <w:tc>
          <w:tcPr>
            <w:tcW w:w="5672" w:type="dxa"/>
            <w:gridSpan w:val="2"/>
            <w:tcBorders>
              <w:top w:val="single" w:color="auto" w:sz="4" w:space="0"/>
              <w:left w:val="single" w:color="auto" w:sz="4" w:space="0"/>
              <w:bottom w:val="single" w:color="auto" w:sz="12" w:space="0"/>
              <w:right w:val="single" w:color="auto" w:sz="12" w:space="0"/>
            </w:tcBorders>
            <w:vAlign w:val="center"/>
          </w:tcPr>
          <w:p>
            <w:pPr>
              <w:jc w:val="center"/>
              <w:rPr>
                <w:rFonts w:ascii="仿宋_GB2312" w:hAnsi="Times New Roman" w:eastAsia="仿宋_GB2312"/>
                <w:sz w:val="24"/>
                <w:szCs w:val="24"/>
                <w:highlight w:val="none"/>
              </w:rPr>
            </w:pPr>
          </w:p>
        </w:tc>
      </w:tr>
    </w:tbl>
    <w:p>
      <w:pPr>
        <w:rPr>
          <w:highlight w:val="none"/>
        </w:rPr>
      </w:pPr>
    </w:p>
    <w:p>
      <w:pPr>
        <w:pStyle w:val="25"/>
        <w:rPr>
          <w:highlight w:val="none"/>
        </w:rPr>
      </w:pPr>
    </w:p>
    <w:p>
      <w:pPr>
        <w:pStyle w:val="25"/>
        <w:rPr>
          <w:highlight w:val="none"/>
        </w:rPr>
      </w:pPr>
    </w:p>
    <w:p>
      <w:pPr>
        <w:pStyle w:val="9"/>
        <w:ind w:firstLine="420"/>
        <w:rPr>
          <w:highlight w:val="none"/>
        </w:rPr>
      </w:pPr>
      <w:r>
        <w:rPr>
          <w:rFonts w:hint="eastAsia"/>
          <w:highlight w:val="none"/>
        </w:rPr>
        <w:t xml:space="preserve">                                           供应商名称（加盖公章）</w:t>
      </w:r>
    </w:p>
    <w:p>
      <w:pPr>
        <w:wordWrap w:val="0"/>
        <w:adjustRightInd w:val="0"/>
        <w:snapToGrid w:val="0"/>
        <w:spacing w:line="360" w:lineRule="auto"/>
        <w:jc w:val="right"/>
        <w:rPr>
          <w:rFonts w:ascii="宋体" w:hAnsi="宋体" w:cs="宋体"/>
          <w:sz w:val="24"/>
          <w:szCs w:val="24"/>
          <w:highlight w:val="none"/>
          <w:lang w:val="en-GB"/>
        </w:rPr>
      </w:pPr>
      <w:r>
        <w:rPr>
          <w:rFonts w:hint="eastAsia"/>
          <w:highlight w:val="none"/>
        </w:rPr>
        <w:t xml:space="preserve">                                  </w:t>
      </w:r>
      <w:r>
        <w:rPr>
          <w:rFonts w:hint="eastAsia" w:ascii="宋体" w:hAnsi="宋体" w:cs="宋体"/>
          <w:sz w:val="24"/>
          <w:szCs w:val="24"/>
          <w:highlight w:val="none"/>
          <w:lang w:val="en-GB"/>
        </w:rPr>
        <w:t xml:space="preserve">年 </w:t>
      </w:r>
      <w:r>
        <w:rPr>
          <w:rFonts w:hint="eastAsia" w:ascii="宋体" w:hAnsi="宋体" w:cs="宋体"/>
          <w:sz w:val="24"/>
          <w:szCs w:val="24"/>
          <w:highlight w:val="none"/>
        </w:rPr>
        <w:t xml:space="preserve">  </w:t>
      </w:r>
      <w:r>
        <w:rPr>
          <w:rFonts w:hint="eastAsia" w:ascii="宋体" w:hAnsi="宋体" w:cs="宋体"/>
          <w:sz w:val="24"/>
          <w:szCs w:val="24"/>
          <w:highlight w:val="none"/>
          <w:lang w:val="en-GB"/>
        </w:rPr>
        <w:t xml:space="preserve"> 月 </w:t>
      </w:r>
      <w:r>
        <w:rPr>
          <w:rFonts w:hint="eastAsia" w:ascii="宋体" w:hAnsi="宋体" w:cs="宋体"/>
          <w:sz w:val="24"/>
          <w:szCs w:val="24"/>
          <w:highlight w:val="none"/>
        </w:rPr>
        <w:t xml:space="preserve">  </w:t>
      </w:r>
      <w:r>
        <w:rPr>
          <w:rFonts w:hint="eastAsia" w:ascii="宋体" w:hAnsi="宋体" w:cs="宋体"/>
          <w:sz w:val="24"/>
          <w:szCs w:val="24"/>
          <w:highlight w:val="none"/>
          <w:lang w:val="en-GB"/>
        </w:rPr>
        <w:t xml:space="preserve"> 日 </w:t>
      </w:r>
      <w:r>
        <w:rPr>
          <w:rFonts w:ascii="宋体" w:hAnsi="宋体" w:cs="宋体"/>
          <w:sz w:val="24"/>
          <w:szCs w:val="24"/>
          <w:highlight w:val="none"/>
          <w:lang w:val="en-GB"/>
        </w:rPr>
        <w:t xml:space="preserve">   </w:t>
      </w:r>
    </w:p>
    <w:p>
      <w:pPr>
        <w:widowControl/>
        <w:jc w:val="left"/>
        <w:rPr>
          <w:rFonts w:ascii="仿宋_GB2312" w:eastAsia="仿宋_GB2312" w:hAnsiTheme="minorEastAsia"/>
          <w:sz w:val="28"/>
          <w:szCs w:val="28"/>
          <w:highlight w:val="none"/>
        </w:rPr>
      </w:pPr>
      <w:r>
        <w:rPr>
          <w:rFonts w:ascii="仿宋_GB2312" w:eastAsia="仿宋_GB2312" w:hAnsiTheme="minorEastAsia"/>
          <w:sz w:val="28"/>
          <w:szCs w:val="28"/>
          <w:highlight w:val="none"/>
        </w:rPr>
        <w:br w:type="page"/>
      </w:r>
    </w:p>
    <w:p>
      <w:pPr>
        <w:pStyle w:val="4"/>
        <w:rPr>
          <w:rFonts w:asciiTheme="majorEastAsia" w:hAnsiTheme="majorEastAsia" w:eastAsiaTheme="majorEastAsia"/>
          <w:sz w:val="28"/>
          <w:szCs w:val="28"/>
          <w:highlight w:val="none"/>
        </w:rPr>
      </w:pPr>
      <w:bookmarkStart w:id="35" w:name="_Toc87616402"/>
      <w:bookmarkStart w:id="36" w:name="_Toc6058"/>
      <w:bookmarkStart w:id="37" w:name="_Toc16386"/>
      <w:bookmarkStart w:id="38" w:name="_Toc88209965"/>
      <w:r>
        <w:rPr>
          <w:rFonts w:hint="eastAsia" w:eastAsiaTheme="majorEastAsia"/>
          <w:highlight w:val="none"/>
        </w:rPr>
        <w:t>6</w:t>
      </w:r>
      <w:r>
        <w:rPr>
          <w:rFonts w:hint="eastAsia" w:asciiTheme="majorEastAsia" w:hAnsiTheme="majorEastAsia" w:eastAsiaTheme="majorEastAsia"/>
          <w:sz w:val="28"/>
          <w:szCs w:val="28"/>
          <w:highlight w:val="none"/>
        </w:rPr>
        <w:t>.其他资料</w:t>
      </w:r>
      <w:bookmarkEnd w:id="35"/>
      <w:bookmarkEnd w:id="36"/>
      <w:bookmarkEnd w:id="37"/>
      <w:bookmarkEnd w:id="38"/>
    </w:p>
    <w:p>
      <w:pPr>
        <w:pStyle w:val="25"/>
        <w:rPr>
          <w:highlight w:val="none"/>
        </w:rPr>
      </w:pPr>
      <w:r>
        <w:rPr>
          <w:rFonts w:hint="eastAsia"/>
          <w:highlight w:val="none"/>
          <w:lang w:val="en-US" w:eastAsia="zh-CN"/>
        </w:rPr>
        <w:t>研发</w:t>
      </w:r>
      <w:r>
        <w:rPr>
          <w:rFonts w:hint="eastAsia"/>
          <w:highlight w:val="none"/>
        </w:rPr>
        <w:t>计划</w:t>
      </w:r>
    </w:p>
    <w:p>
      <w:pPr>
        <w:spacing w:line="600" w:lineRule="exact"/>
        <w:ind w:firstLine="210" w:firstLineChars="100"/>
        <w:rPr>
          <w:highlight w:val="none"/>
        </w:rPr>
      </w:pPr>
    </w:p>
    <w:p>
      <w:pPr>
        <w:spacing w:line="360" w:lineRule="auto"/>
        <w:ind w:firstLine="640" w:firstLineChars="200"/>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研究方案计划需结合“第五章 采购需求 第一部分 项目概况”内容进行编制，加盖单位公章。</w:t>
      </w:r>
      <w:r>
        <w:rPr>
          <w:rFonts w:hint="eastAsia" w:ascii="仿宋_GB2312" w:hAnsi="仿宋_GB2312" w:eastAsia="仿宋_GB2312" w:cs="仿宋_GB2312"/>
          <w:sz w:val="32"/>
          <w:szCs w:val="32"/>
          <w:highlight w:val="none"/>
        </w:rPr>
        <w:t>）</w:t>
      </w:r>
    </w:p>
    <w:sectPr>
      <w:footerReference r:id="rId10" w:type="first"/>
      <w:headerReference r:id="rId7" w:type="default"/>
      <w:footerReference r:id="rId8" w:type="default"/>
      <w:footerReference r:id="rId9" w:type="even"/>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561D262-E55C-4AB0-ABC4-3AC29DD84ED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FBA2392-8F5B-4856-9019-2085AD6D93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78D95A5-A90C-4F43-98F4-4682D1E0E87B}"/>
  </w:font>
  <w:font w:name="方正小标宋简体">
    <w:panose1 w:val="03000509000000000000"/>
    <w:charset w:val="86"/>
    <w:family w:val="auto"/>
    <w:pitch w:val="default"/>
    <w:sig w:usb0="00000001" w:usb1="080E0000" w:usb2="00000000" w:usb3="00000000" w:csb0="00040000" w:csb1="00000000"/>
    <w:embedRegular r:id="rId4" w:fontKey="{FDC224D0-AB7D-440A-A719-FCDDAFE7C64A}"/>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5" w:fontKey="{E4A21C3D-DB41-4350-AE7C-69BB18B7E544}"/>
  </w:font>
  <w:font w:name="Tahoma">
    <w:panose1 w:val="020B0604030504040204"/>
    <w:charset w:val="00"/>
    <w:family w:val="swiss"/>
    <w:pitch w:val="default"/>
    <w:sig w:usb0="E1002EFF" w:usb1="C000605B" w:usb2="00000029" w:usb3="00000000" w:csb0="200101FF" w:csb1="20280000"/>
    <w:embedRegular r:id="rId6" w:fontKey="{A39CE497-947D-412E-8453-73E7390713A9}"/>
  </w:font>
  <w:font w:name="等线">
    <w:panose1 w:val="02010600030101010101"/>
    <w:charset w:val="86"/>
    <w:family w:val="auto"/>
    <w:pitch w:val="default"/>
    <w:sig w:usb0="A00002BF" w:usb1="38CF7CFA" w:usb2="00000016" w:usb3="00000000" w:csb0="0004000F" w:csb1="00000000"/>
    <w:embedRegular r:id="rId7" w:fontKey="{6CCBAFB7-F0A0-41FA-B0B1-7BBFABE7C791}"/>
  </w:font>
  <w:font w:name="仿宋_GB2312">
    <w:panose1 w:val="02010609030101010101"/>
    <w:charset w:val="86"/>
    <w:family w:val="modern"/>
    <w:pitch w:val="default"/>
    <w:sig w:usb0="00000001" w:usb1="080E0000" w:usb2="00000000" w:usb3="00000000" w:csb0="00040000" w:csb1="00000000"/>
    <w:embedRegular r:id="rId8" w:fontKey="{1B4A29E2-BC9E-400B-9788-C8565D71A042}"/>
  </w:font>
  <w:font w:name="仿宋">
    <w:panose1 w:val="02010609060101010101"/>
    <w:charset w:val="86"/>
    <w:family w:val="modern"/>
    <w:pitch w:val="default"/>
    <w:sig w:usb0="800002BF" w:usb1="38CF7CFA" w:usb2="00000016" w:usb3="00000000" w:csb0="00040001" w:csb1="00000000"/>
    <w:embedRegular r:id="rId9" w:fontKey="{AE62DB5D-A9BC-4E65-8C8F-86FA24191F1E}"/>
  </w:font>
  <w:font w:name="Wingdings 2">
    <w:panose1 w:val="05020102010507070707"/>
    <w:charset w:val="02"/>
    <w:family w:val="roman"/>
    <w:pitch w:val="default"/>
    <w:sig w:usb0="00000000" w:usb1="00000000" w:usb2="00000000" w:usb3="00000000" w:csb0="80000000" w:csb1="00000000"/>
    <w:embedRegular r:id="rId10" w:fontKey="{A65DDD64-CCFE-4569-A24C-68CE06FA9B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24</w:t>
    </w:r>
    <w:r>
      <w:fldChar w:fldCharType="end"/>
    </w:r>
  </w:p>
  <w:p>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0" r="0" b="0"/>
              <wp:wrapNone/>
              <wp:docPr id="1172106790"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8"/>
                            <w:rPr>
                              <w:rStyle w:val="29"/>
                            </w:rPr>
                          </w:pPr>
                          <w:r>
                            <w:fldChar w:fldCharType="begin"/>
                          </w:r>
                          <w:r>
                            <w:rPr>
                              <w:rStyle w:val="29"/>
                              <w:sz w:val="21"/>
                              <w:szCs w:val="22"/>
                            </w:rPr>
                            <w:instrText xml:space="preserve">PAGE  </w:instrText>
                          </w:r>
                          <w:r>
                            <w:fldChar w:fldCharType="separate"/>
                          </w:r>
                          <w:r>
                            <w:rPr>
                              <w:rStyle w:val="29"/>
                              <w:sz w:val="21"/>
                              <w:szCs w:val="22"/>
                            </w:rPr>
                            <w:t>5</w:t>
                          </w:r>
                          <w:r>
                            <w:fldChar w:fldCharType="end"/>
                          </w:r>
                        </w:p>
                      </w:txbxContent>
                    </wps:txbx>
                    <wps:bodyPr rot="0" vert="horz" wrap="none" lIns="0" tIns="0" rIns="0" bIns="0" anchor="t" anchorCtr="0" upright="1">
                      <a:spAutoFit/>
                    </wps:bodyPr>
                  </wps:wsp>
                </a:graphicData>
              </a:graphic>
            </wp:anchor>
          </w:drawing>
        </mc:Choice>
        <mc:Fallback>
          <w:pict>
            <v:shape id="文本框 84"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i6WFNAAAAADAQAADwAAAAAAAAABACAAAAAi&#10;AAAAZHJzL2Rvd25yZXYueG1sUEsBAhQAFAAAAAgAh07iQBLpC8QSAgAADAQAAA4AAAAAAAAAAQAg&#10;AAAAHwEAAGRycy9lMm9Eb2MueG1sUEsFBgAAAAAGAAYAWQEAAKMFAAAAAA==&#10;">
              <v:fill on="f" focussize="0,0"/>
              <v:stroke on="f"/>
              <v:imagedata o:title=""/>
              <o:lock v:ext="edit" aspectratio="f"/>
              <v:textbox inset="0mm,0mm,0mm,0mm" style="mso-fit-shape-to-text:t;">
                <w:txbxContent>
                  <w:p>
                    <w:pPr>
                      <w:pStyle w:val="18"/>
                      <w:rPr>
                        <w:rStyle w:val="29"/>
                      </w:rPr>
                    </w:pPr>
                    <w:r>
                      <w:fldChar w:fldCharType="begin"/>
                    </w:r>
                    <w:r>
                      <w:rPr>
                        <w:rStyle w:val="29"/>
                        <w:sz w:val="21"/>
                        <w:szCs w:val="22"/>
                      </w:rPr>
                      <w:instrText xml:space="preserve">PAGE  </w:instrText>
                    </w:r>
                    <w:r>
                      <w:fldChar w:fldCharType="separate"/>
                    </w:r>
                    <w:r>
                      <w:rPr>
                        <w:rStyle w:val="29"/>
                        <w:sz w:val="21"/>
                        <w:szCs w:val="22"/>
                      </w:rP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4445" t="3175" r="3810" b="0"/>
              <wp:wrapNone/>
              <wp:docPr id="2053753901" name="Text Box 3"/>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W7l30AAAAAIBAAAPAAAAAAAAAAEAIAAAACIAAABkcnMvZG93bnJldi54&#10;bWxQSwECFAAUAAAACACHTuJAjMK5TgICAAAJBAAADgAAAAAAAAABACAAAAAfAQAAZHJzL2Uyb0Rv&#10;Yy54bWxQSwUGAAAAAAYABgBZAQAAkw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2260"/>
              <wp:effectExtent l="4445" t="3175" r="4445" b="0"/>
              <wp:wrapNone/>
              <wp:docPr id="1558954197"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wps:spPr>
                    <wps:txbx>
                      <w:txbxContent>
                        <w:p>
                          <w:pPr>
                            <w:pStyle w:val="18"/>
                          </w:pPr>
                        </w:p>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23.8pt;width:9.05pt;mso-position-horizontal:center;mso-position-horizontal-relative:margin;mso-wrap-style:none;z-index:251659264;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sblidEAAAADAQAADwAAAAAAAAABACAAAAAiAAAAZHJzL2Rvd25yZXYu&#10;eG1sUEsBAhQAFAAAAAgAh07iQOuY4CwCAgAACgQAAA4AAAAAAAAAAQAgAAAAIAEAAGRycy9lMm9E&#10;b2MueG1sUEsFBgAAAAAGAAYAWQEAAJQ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4445" t="0" r="3810" b="0"/>
              <wp:wrapNone/>
              <wp:docPr id="12143878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1u5d9AAAAACAQAADwAAAAAAAAABACAAAAAiAAAAZHJzL2Rvd25yZXYueG1s&#10;UEsBAhQAFAAAAAgAh07iQGjsAe4AAgAACQQAAA4AAAAAAAAAAQAgAAAAHwEAAGRycy9lMm9Eb2Mu&#10;eG1sUEsFBgAAAAAGAAYAWQEAAJE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AFD46"/>
    <w:multiLevelType w:val="singleLevel"/>
    <w:tmpl w:val="BB4AFD46"/>
    <w:lvl w:ilvl="0" w:tentative="0">
      <w:start w:val="1"/>
      <w:numFmt w:val="decimal"/>
      <w:suff w:val="space"/>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AC9ACE6"/>
    <w:multiLevelType w:val="singleLevel"/>
    <w:tmpl w:val="DAC9ACE6"/>
    <w:lvl w:ilvl="0" w:tentative="0">
      <w:start w:val="1"/>
      <w:numFmt w:val="chineseCounting"/>
      <w:suff w:val="space"/>
      <w:lvlText w:val="第%1条"/>
      <w:lvlJc w:val="left"/>
      <w:rPr>
        <w:rFonts w:hint="eastAsia"/>
        <w:b/>
        <w:bCs/>
      </w:rPr>
    </w:lvl>
  </w:abstractNum>
  <w:abstractNum w:abstractNumId="3">
    <w:nsid w:val="E2EA672B"/>
    <w:multiLevelType w:val="singleLevel"/>
    <w:tmpl w:val="E2EA672B"/>
    <w:lvl w:ilvl="0" w:tentative="0">
      <w:start w:val="7"/>
      <w:numFmt w:val="chineseCounting"/>
      <w:suff w:val="space"/>
      <w:lvlText w:val="第%1条"/>
      <w:lvlJc w:val="left"/>
      <w:rPr>
        <w:rFonts w:hint="eastAsia"/>
      </w:rPr>
    </w:lvl>
  </w:abstractNum>
  <w:abstractNum w:abstractNumId="4">
    <w:nsid w:val="1A5E3317"/>
    <w:multiLevelType w:val="multilevel"/>
    <w:tmpl w:val="1A5E3317"/>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09A7CF0"/>
    <w:multiLevelType w:val="singleLevel"/>
    <w:tmpl w:val="209A7CF0"/>
    <w:lvl w:ilvl="0" w:tentative="0">
      <w:start w:val="1"/>
      <w:numFmt w:val="decimal"/>
      <w:lvlText w:val="%1."/>
      <w:lvlJc w:val="left"/>
      <w:pPr>
        <w:tabs>
          <w:tab w:val="left" w:pos="312"/>
        </w:tabs>
      </w:pPr>
    </w:lvl>
  </w:abstractNum>
  <w:abstractNum w:abstractNumId="6">
    <w:nsid w:val="300AABAD"/>
    <w:multiLevelType w:val="singleLevel"/>
    <w:tmpl w:val="300AABAD"/>
    <w:lvl w:ilvl="0" w:tentative="0">
      <w:start w:val="1"/>
      <w:numFmt w:val="decimal"/>
      <w:lvlText w:val="%1."/>
      <w:lvlJc w:val="left"/>
      <w:pPr>
        <w:ind w:left="425" w:hanging="425"/>
      </w:pPr>
      <w:rPr>
        <w:rFonts w:hint="default"/>
      </w:rPr>
    </w:lvl>
  </w:abstractNum>
  <w:abstractNum w:abstractNumId="7">
    <w:nsid w:val="4734DCE6"/>
    <w:multiLevelType w:val="singleLevel"/>
    <w:tmpl w:val="4734DCE6"/>
    <w:lvl w:ilvl="0" w:tentative="0">
      <w:start w:val="1"/>
      <w:numFmt w:val="decimal"/>
      <w:lvlText w:val="%1."/>
      <w:lvlJc w:val="left"/>
      <w:pPr>
        <w:tabs>
          <w:tab w:val="left" w:pos="312"/>
        </w:tabs>
      </w:pPr>
    </w:lvl>
  </w:abstractNum>
  <w:abstractNum w:abstractNumId="8">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8"/>
  </w:num>
  <w:num w:numId="3">
    <w:abstractNumId w:val="7"/>
  </w:num>
  <w:num w:numId="4">
    <w:abstractNumId w:val="4"/>
  </w:num>
  <w:num w:numId="5">
    <w:abstractNumId w:val="6"/>
  </w:num>
  <w:num w:numId="6">
    <w:abstractNumId w:val="3"/>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lNTNmYTg2YTk2YzBlZmY5MDJmNzVhNmU5MTU4MDEifQ=="/>
  </w:docVars>
  <w:rsids>
    <w:rsidRoot w:val="005D618A"/>
    <w:rsid w:val="00000B5F"/>
    <w:rsid w:val="000243D7"/>
    <w:rsid w:val="000367FB"/>
    <w:rsid w:val="0003723D"/>
    <w:rsid w:val="0004391C"/>
    <w:rsid w:val="00060781"/>
    <w:rsid w:val="0007146E"/>
    <w:rsid w:val="00073944"/>
    <w:rsid w:val="00075BD5"/>
    <w:rsid w:val="0008062A"/>
    <w:rsid w:val="000833F6"/>
    <w:rsid w:val="00096AB4"/>
    <w:rsid w:val="000B1701"/>
    <w:rsid w:val="000B5D9C"/>
    <w:rsid w:val="000D6026"/>
    <w:rsid w:val="000E368F"/>
    <w:rsid w:val="001461D5"/>
    <w:rsid w:val="001A47F2"/>
    <w:rsid w:val="001F12AB"/>
    <w:rsid w:val="001F60DA"/>
    <w:rsid w:val="00241C6B"/>
    <w:rsid w:val="00243E3D"/>
    <w:rsid w:val="002E34D5"/>
    <w:rsid w:val="00300E99"/>
    <w:rsid w:val="003078CA"/>
    <w:rsid w:val="003173F4"/>
    <w:rsid w:val="003178AC"/>
    <w:rsid w:val="00343D3F"/>
    <w:rsid w:val="00381A4D"/>
    <w:rsid w:val="00394AED"/>
    <w:rsid w:val="003B0146"/>
    <w:rsid w:val="003D3593"/>
    <w:rsid w:val="003D60BA"/>
    <w:rsid w:val="003F5265"/>
    <w:rsid w:val="003F5A61"/>
    <w:rsid w:val="00411689"/>
    <w:rsid w:val="00422AA7"/>
    <w:rsid w:val="00425273"/>
    <w:rsid w:val="0044033E"/>
    <w:rsid w:val="004665EC"/>
    <w:rsid w:val="00480477"/>
    <w:rsid w:val="00492C8B"/>
    <w:rsid w:val="004D18A7"/>
    <w:rsid w:val="004D40F8"/>
    <w:rsid w:val="004F4F4E"/>
    <w:rsid w:val="004F72D1"/>
    <w:rsid w:val="00511A32"/>
    <w:rsid w:val="005315AC"/>
    <w:rsid w:val="0053656E"/>
    <w:rsid w:val="00541967"/>
    <w:rsid w:val="005838DC"/>
    <w:rsid w:val="005D2BDF"/>
    <w:rsid w:val="005D618A"/>
    <w:rsid w:val="006020CC"/>
    <w:rsid w:val="00614991"/>
    <w:rsid w:val="00635BB0"/>
    <w:rsid w:val="006411BB"/>
    <w:rsid w:val="00644AE3"/>
    <w:rsid w:val="0065671A"/>
    <w:rsid w:val="00657AAE"/>
    <w:rsid w:val="006607B1"/>
    <w:rsid w:val="0066112F"/>
    <w:rsid w:val="006624CE"/>
    <w:rsid w:val="006630DD"/>
    <w:rsid w:val="00681F2D"/>
    <w:rsid w:val="00683123"/>
    <w:rsid w:val="00684A7A"/>
    <w:rsid w:val="00692B6B"/>
    <w:rsid w:val="0069742F"/>
    <w:rsid w:val="006B3416"/>
    <w:rsid w:val="006D0CCF"/>
    <w:rsid w:val="007006CF"/>
    <w:rsid w:val="0070645A"/>
    <w:rsid w:val="00712BFF"/>
    <w:rsid w:val="007242BF"/>
    <w:rsid w:val="00784564"/>
    <w:rsid w:val="007A1ABA"/>
    <w:rsid w:val="007B6049"/>
    <w:rsid w:val="007D1208"/>
    <w:rsid w:val="007F4770"/>
    <w:rsid w:val="00815F74"/>
    <w:rsid w:val="00835330"/>
    <w:rsid w:val="0084532D"/>
    <w:rsid w:val="00850960"/>
    <w:rsid w:val="00877308"/>
    <w:rsid w:val="0088126E"/>
    <w:rsid w:val="008B525B"/>
    <w:rsid w:val="008C4952"/>
    <w:rsid w:val="008D5692"/>
    <w:rsid w:val="008D76AB"/>
    <w:rsid w:val="008F2C43"/>
    <w:rsid w:val="00911ECD"/>
    <w:rsid w:val="009147D3"/>
    <w:rsid w:val="009422C0"/>
    <w:rsid w:val="00944C03"/>
    <w:rsid w:val="0096478B"/>
    <w:rsid w:val="00975EC3"/>
    <w:rsid w:val="009A260A"/>
    <w:rsid w:val="009B22C2"/>
    <w:rsid w:val="009C1D0E"/>
    <w:rsid w:val="009E2499"/>
    <w:rsid w:val="00A001B5"/>
    <w:rsid w:val="00A042E0"/>
    <w:rsid w:val="00A20924"/>
    <w:rsid w:val="00A23BB5"/>
    <w:rsid w:val="00A26857"/>
    <w:rsid w:val="00A34980"/>
    <w:rsid w:val="00A65027"/>
    <w:rsid w:val="00A87AFD"/>
    <w:rsid w:val="00AA0B8C"/>
    <w:rsid w:val="00AB1F6B"/>
    <w:rsid w:val="00AB57B5"/>
    <w:rsid w:val="00AD64D0"/>
    <w:rsid w:val="00AE7E52"/>
    <w:rsid w:val="00AF2317"/>
    <w:rsid w:val="00B26BB1"/>
    <w:rsid w:val="00B26E21"/>
    <w:rsid w:val="00B26F22"/>
    <w:rsid w:val="00B313A1"/>
    <w:rsid w:val="00B64777"/>
    <w:rsid w:val="00B726DF"/>
    <w:rsid w:val="00B741D7"/>
    <w:rsid w:val="00B77A3C"/>
    <w:rsid w:val="00BA282B"/>
    <w:rsid w:val="00BC35D4"/>
    <w:rsid w:val="00BC4B1E"/>
    <w:rsid w:val="00BD1A18"/>
    <w:rsid w:val="00BE3D89"/>
    <w:rsid w:val="00BE7203"/>
    <w:rsid w:val="00C069FF"/>
    <w:rsid w:val="00C60D3A"/>
    <w:rsid w:val="00C654B5"/>
    <w:rsid w:val="00C87AAC"/>
    <w:rsid w:val="00C946CB"/>
    <w:rsid w:val="00CA6A47"/>
    <w:rsid w:val="00CB3927"/>
    <w:rsid w:val="00D428FB"/>
    <w:rsid w:val="00D4533C"/>
    <w:rsid w:val="00D50FD6"/>
    <w:rsid w:val="00D631A1"/>
    <w:rsid w:val="00D83E4F"/>
    <w:rsid w:val="00D91408"/>
    <w:rsid w:val="00D91799"/>
    <w:rsid w:val="00D91DCA"/>
    <w:rsid w:val="00DB73B1"/>
    <w:rsid w:val="00DC71EA"/>
    <w:rsid w:val="00DF6118"/>
    <w:rsid w:val="00E03814"/>
    <w:rsid w:val="00E0575A"/>
    <w:rsid w:val="00E11745"/>
    <w:rsid w:val="00E1598F"/>
    <w:rsid w:val="00E3133F"/>
    <w:rsid w:val="00E42C72"/>
    <w:rsid w:val="00E42E32"/>
    <w:rsid w:val="00E47DE3"/>
    <w:rsid w:val="00E5562C"/>
    <w:rsid w:val="00E601A0"/>
    <w:rsid w:val="00E6198A"/>
    <w:rsid w:val="00E92707"/>
    <w:rsid w:val="00EC10A3"/>
    <w:rsid w:val="00ED3CE9"/>
    <w:rsid w:val="00EE74C9"/>
    <w:rsid w:val="00F05990"/>
    <w:rsid w:val="00F1786B"/>
    <w:rsid w:val="00F33059"/>
    <w:rsid w:val="00F36AE1"/>
    <w:rsid w:val="00F503C0"/>
    <w:rsid w:val="00F630A2"/>
    <w:rsid w:val="00F654C3"/>
    <w:rsid w:val="00F675E2"/>
    <w:rsid w:val="00F83B64"/>
    <w:rsid w:val="00F8585B"/>
    <w:rsid w:val="00F92659"/>
    <w:rsid w:val="00F95DAC"/>
    <w:rsid w:val="00FA5203"/>
    <w:rsid w:val="00FA74DE"/>
    <w:rsid w:val="00FE34F6"/>
    <w:rsid w:val="00FE507B"/>
    <w:rsid w:val="00FF5324"/>
    <w:rsid w:val="00FF63F6"/>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1D4AE9"/>
    <w:rsid w:val="06C64829"/>
    <w:rsid w:val="070E7B6E"/>
    <w:rsid w:val="071D62B7"/>
    <w:rsid w:val="07437E42"/>
    <w:rsid w:val="075524D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AE764F"/>
    <w:rsid w:val="0BD070E1"/>
    <w:rsid w:val="0BD65B6B"/>
    <w:rsid w:val="0C2361E7"/>
    <w:rsid w:val="0C247926"/>
    <w:rsid w:val="0C495FBA"/>
    <w:rsid w:val="0C9D1F01"/>
    <w:rsid w:val="0D37662E"/>
    <w:rsid w:val="0D442DD2"/>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254FCF"/>
    <w:rsid w:val="104974DD"/>
    <w:rsid w:val="106A66D3"/>
    <w:rsid w:val="10C32A8D"/>
    <w:rsid w:val="10CF50A9"/>
    <w:rsid w:val="111703D2"/>
    <w:rsid w:val="112B101A"/>
    <w:rsid w:val="11877731"/>
    <w:rsid w:val="119B53FC"/>
    <w:rsid w:val="1215733B"/>
    <w:rsid w:val="12424CDC"/>
    <w:rsid w:val="129A2738"/>
    <w:rsid w:val="12B56BF1"/>
    <w:rsid w:val="12CB1A89"/>
    <w:rsid w:val="12EC0194"/>
    <w:rsid w:val="131840FB"/>
    <w:rsid w:val="13467417"/>
    <w:rsid w:val="136E76CF"/>
    <w:rsid w:val="1424395D"/>
    <w:rsid w:val="145F08C6"/>
    <w:rsid w:val="14897D69"/>
    <w:rsid w:val="14B444C1"/>
    <w:rsid w:val="14E43F59"/>
    <w:rsid w:val="15776308"/>
    <w:rsid w:val="15973CBB"/>
    <w:rsid w:val="15BC6B3C"/>
    <w:rsid w:val="15EC2C59"/>
    <w:rsid w:val="16360A7B"/>
    <w:rsid w:val="164D40B0"/>
    <w:rsid w:val="1694429A"/>
    <w:rsid w:val="173C752E"/>
    <w:rsid w:val="17635326"/>
    <w:rsid w:val="178D4AD1"/>
    <w:rsid w:val="17B803EA"/>
    <w:rsid w:val="18016517"/>
    <w:rsid w:val="1815096B"/>
    <w:rsid w:val="18236EFD"/>
    <w:rsid w:val="18377249"/>
    <w:rsid w:val="185D743E"/>
    <w:rsid w:val="189D5B1F"/>
    <w:rsid w:val="18A34CD0"/>
    <w:rsid w:val="19A53EA8"/>
    <w:rsid w:val="19B64DBC"/>
    <w:rsid w:val="19EC6A4A"/>
    <w:rsid w:val="1A373ACF"/>
    <w:rsid w:val="1A7B10BA"/>
    <w:rsid w:val="1A895341"/>
    <w:rsid w:val="1AF8344E"/>
    <w:rsid w:val="1B0D071F"/>
    <w:rsid w:val="1B3141F1"/>
    <w:rsid w:val="1B4568CE"/>
    <w:rsid w:val="1B9015B7"/>
    <w:rsid w:val="1B950DA6"/>
    <w:rsid w:val="1BC53330"/>
    <w:rsid w:val="1BF54245"/>
    <w:rsid w:val="1C762AA7"/>
    <w:rsid w:val="1D0E6976"/>
    <w:rsid w:val="1D5A79EE"/>
    <w:rsid w:val="1E0E2CD0"/>
    <w:rsid w:val="1E164317"/>
    <w:rsid w:val="1E6E2769"/>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7A11BB"/>
    <w:rsid w:val="269E416A"/>
    <w:rsid w:val="26C11C6B"/>
    <w:rsid w:val="27021E9C"/>
    <w:rsid w:val="272100D3"/>
    <w:rsid w:val="272C72FC"/>
    <w:rsid w:val="275131CB"/>
    <w:rsid w:val="278F6521"/>
    <w:rsid w:val="27EB149D"/>
    <w:rsid w:val="27FD3E52"/>
    <w:rsid w:val="284130B3"/>
    <w:rsid w:val="28E11370"/>
    <w:rsid w:val="28E31299"/>
    <w:rsid w:val="294A756A"/>
    <w:rsid w:val="29781BF8"/>
    <w:rsid w:val="297939E2"/>
    <w:rsid w:val="29C33ED0"/>
    <w:rsid w:val="29D5322D"/>
    <w:rsid w:val="2A025DD9"/>
    <w:rsid w:val="2A2619CB"/>
    <w:rsid w:val="2A7317D3"/>
    <w:rsid w:val="2A7C2231"/>
    <w:rsid w:val="2A920E4F"/>
    <w:rsid w:val="2ABB753D"/>
    <w:rsid w:val="2AC35868"/>
    <w:rsid w:val="2AFE6EC4"/>
    <w:rsid w:val="2B345DDC"/>
    <w:rsid w:val="2B7A49FA"/>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1E56F6"/>
    <w:rsid w:val="3391569E"/>
    <w:rsid w:val="341E3434"/>
    <w:rsid w:val="34BB4442"/>
    <w:rsid w:val="3584136B"/>
    <w:rsid w:val="35EE5A04"/>
    <w:rsid w:val="35FF5AA4"/>
    <w:rsid w:val="360B7EBA"/>
    <w:rsid w:val="36416867"/>
    <w:rsid w:val="367D5DD4"/>
    <w:rsid w:val="369C32FD"/>
    <w:rsid w:val="37666E72"/>
    <w:rsid w:val="38081EA3"/>
    <w:rsid w:val="381231E8"/>
    <w:rsid w:val="38167A04"/>
    <w:rsid w:val="381C3783"/>
    <w:rsid w:val="387E2D8D"/>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31DC1"/>
    <w:rsid w:val="49466522"/>
    <w:rsid w:val="49547ADD"/>
    <w:rsid w:val="49732351"/>
    <w:rsid w:val="498F4AF1"/>
    <w:rsid w:val="49C05787"/>
    <w:rsid w:val="49CF518D"/>
    <w:rsid w:val="49D56585"/>
    <w:rsid w:val="4A7F3979"/>
    <w:rsid w:val="4ADA1F63"/>
    <w:rsid w:val="4AE23D89"/>
    <w:rsid w:val="4B2038D0"/>
    <w:rsid w:val="4B296E7D"/>
    <w:rsid w:val="4B79394E"/>
    <w:rsid w:val="4B877F28"/>
    <w:rsid w:val="4BA55D28"/>
    <w:rsid w:val="4CD200BA"/>
    <w:rsid w:val="4D2044E7"/>
    <w:rsid w:val="4D8C39AB"/>
    <w:rsid w:val="4D916BA6"/>
    <w:rsid w:val="4DC44169"/>
    <w:rsid w:val="4DE24E21"/>
    <w:rsid w:val="4E1B19A3"/>
    <w:rsid w:val="4E48787F"/>
    <w:rsid w:val="4E8D5680"/>
    <w:rsid w:val="4EF0709E"/>
    <w:rsid w:val="4F0469A4"/>
    <w:rsid w:val="4FBF5D0D"/>
    <w:rsid w:val="500E56F4"/>
    <w:rsid w:val="50540C73"/>
    <w:rsid w:val="50752AF8"/>
    <w:rsid w:val="509C0951"/>
    <w:rsid w:val="513C6A7B"/>
    <w:rsid w:val="517300C9"/>
    <w:rsid w:val="51B31D16"/>
    <w:rsid w:val="52EC6EC2"/>
    <w:rsid w:val="532D486F"/>
    <w:rsid w:val="5333545B"/>
    <w:rsid w:val="538D0E89"/>
    <w:rsid w:val="5450213C"/>
    <w:rsid w:val="546711F3"/>
    <w:rsid w:val="546C3825"/>
    <w:rsid w:val="54D062C6"/>
    <w:rsid w:val="54D24048"/>
    <w:rsid w:val="54D64CD5"/>
    <w:rsid w:val="5532287C"/>
    <w:rsid w:val="55887D69"/>
    <w:rsid w:val="55B654BC"/>
    <w:rsid w:val="55EE5D11"/>
    <w:rsid w:val="561A0928"/>
    <w:rsid w:val="56423872"/>
    <w:rsid w:val="569E06BC"/>
    <w:rsid w:val="56B279F0"/>
    <w:rsid w:val="56F20F86"/>
    <w:rsid w:val="576A47B0"/>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5E8C1BF5"/>
    <w:rsid w:val="60045F96"/>
    <w:rsid w:val="60104DDC"/>
    <w:rsid w:val="605C0804"/>
    <w:rsid w:val="60913E6F"/>
    <w:rsid w:val="611F0045"/>
    <w:rsid w:val="61733C3E"/>
    <w:rsid w:val="6189617B"/>
    <w:rsid w:val="61B44D36"/>
    <w:rsid w:val="61B52BB6"/>
    <w:rsid w:val="61B749C2"/>
    <w:rsid w:val="62280D20"/>
    <w:rsid w:val="629C50CC"/>
    <w:rsid w:val="62B4786E"/>
    <w:rsid w:val="62CA2457"/>
    <w:rsid w:val="631303F2"/>
    <w:rsid w:val="638240A1"/>
    <w:rsid w:val="63833423"/>
    <w:rsid w:val="63A5257B"/>
    <w:rsid w:val="63BD3DCC"/>
    <w:rsid w:val="63C61741"/>
    <w:rsid w:val="63DB137A"/>
    <w:rsid w:val="64560967"/>
    <w:rsid w:val="656B1D10"/>
    <w:rsid w:val="65740183"/>
    <w:rsid w:val="65B841F9"/>
    <w:rsid w:val="66022B28"/>
    <w:rsid w:val="664A38E2"/>
    <w:rsid w:val="66581E87"/>
    <w:rsid w:val="666F1DE3"/>
    <w:rsid w:val="66766EBB"/>
    <w:rsid w:val="66FA11D5"/>
    <w:rsid w:val="674302C7"/>
    <w:rsid w:val="674566A0"/>
    <w:rsid w:val="67CB09D8"/>
    <w:rsid w:val="67EE3B0F"/>
    <w:rsid w:val="680A5986"/>
    <w:rsid w:val="680D5F4B"/>
    <w:rsid w:val="68113F51"/>
    <w:rsid w:val="687F5F15"/>
    <w:rsid w:val="68B272C7"/>
    <w:rsid w:val="68E94770"/>
    <w:rsid w:val="68EC1CEF"/>
    <w:rsid w:val="68F949C9"/>
    <w:rsid w:val="695A4290"/>
    <w:rsid w:val="696F3649"/>
    <w:rsid w:val="6A267606"/>
    <w:rsid w:val="6A3240F1"/>
    <w:rsid w:val="6A334932"/>
    <w:rsid w:val="6A3353FF"/>
    <w:rsid w:val="6A374AB5"/>
    <w:rsid w:val="6A5D63E6"/>
    <w:rsid w:val="6A5F24D1"/>
    <w:rsid w:val="6ACA70C4"/>
    <w:rsid w:val="6AE347EB"/>
    <w:rsid w:val="6B330365"/>
    <w:rsid w:val="6B434AF0"/>
    <w:rsid w:val="6B57675A"/>
    <w:rsid w:val="6B87098A"/>
    <w:rsid w:val="6BDD7B4D"/>
    <w:rsid w:val="6C375E67"/>
    <w:rsid w:val="6D52013C"/>
    <w:rsid w:val="6E672C2F"/>
    <w:rsid w:val="6EBC0B3A"/>
    <w:rsid w:val="6EED597D"/>
    <w:rsid w:val="6EF51C7D"/>
    <w:rsid w:val="6F553A51"/>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5D5ACB"/>
    <w:rsid w:val="79A416F0"/>
    <w:rsid w:val="79B03EB6"/>
    <w:rsid w:val="79B61437"/>
    <w:rsid w:val="79EC2A16"/>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jc w:val="left"/>
    </w:pPr>
    <w:rPr>
      <w:rFonts w:ascii="Times New Roman" w:hAnsi="Times New Roman" w:eastAsia="微软雅黑" w:cs="Tahoma"/>
      <w:kern w:val="0"/>
      <w:sz w:val="28"/>
      <w:szCs w:val="28"/>
    </w:rPr>
  </w:style>
  <w:style w:type="paragraph" w:styleId="6">
    <w:name w:val="annotation text"/>
    <w:basedOn w:val="1"/>
    <w:link w:val="57"/>
    <w:unhideWhenUsed/>
    <w:qFormat/>
    <w:uiPriority w:val="99"/>
    <w:pPr>
      <w:jc w:val="left"/>
    </w:pPr>
  </w:style>
  <w:style w:type="paragraph" w:styleId="7">
    <w:name w:val="Body Text 3"/>
    <w:basedOn w:val="1"/>
    <w:link w:val="44"/>
    <w:unhideWhenUsed/>
    <w:qFormat/>
    <w:uiPriority w:val="99"/>
    <w:pPr>
      <w:spacing w:after="120"/>
    </w:pPr>
    <w:rPr>
      <w:sz w:val="16"/>
      <w:szCs w:val="16"/>
    </w:rPr>
  </w:style>
  <w:style w:type="paragraph" w:styleId="8">
    <w:name w:val="Body Text"/>
    <w:basedOn w:val="1"/>
    <w:next w:val="9"/>
    <w:link w:val="53"/>
    <w:qFormat/>
    <w:uiPriority w:val="99"/>
    <w:pPr>
      <w:spacing w:after="120"/>
    </w:pPr>
  </w:style>
  <w:style w:type="paragraph" w:styleId="9">
    <w:name w:val="Body Text 2"/>
    <w:basedOn w:val="1"/>
    <w:link w:val="65"/>
    <w:qFormat/>
    <w:uiPriority w:val="0"/>
    <w:pPr>
      <w:adjustRightInd w:val="0"/>
      <w:snapToGrid w:val="0"/>
      <w:spacing w:after="120" w:line="600" w:lineRule="exact"/>
      <w:ind w:firstLine="560" w:firstLineChars="200"/>
    </w:pPr>
  </w:style>
  <w:style w:type="paragraph" w:styleId="10">
    <w:name w:val="Body Text Indent"/>
    <w:basedOn w:val="1"/>
    <w:next w:val="1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link w:val="52"/>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link w:val="55"/>
    <w:qFormat/>
    <w:uiPriority w:val="0"/>
    <w:pPr>
      <w:spacing w:after="120" w:line="480" w:lineRule="auto"/>
      <w:ind w:left="420" w:leftChars="200"/>
    </w:pPr>
    <w:rPr>
      <w:rFonts w:ascii="Calibri" w:hAnsi="Calibri" w:eastAsia="宋体" w:cs="Times New Roman"/>
    </w:rPr>
  </w:style>
  <w:style w:type="paragraph" w:styleId="17">
    <w:name w:val="Balloon Text"/>
    <w:basedOn w:val="1"/>
    <w:link w:val="39"/>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jc w:val="left"/>
    </w:pPr>
    <w:rPr>
      <w:sz w:val="18"/>
      <w:szCs w:val="18"/>
    </w:rPr>
  </w:style>
  <w:style w:type="paragraph" w:styleId="19">
    <w:name w:val="header"/>
    <w:basedOn w:val="1"/>
    <w:link w:val="32"/>
    <w:unhideWhenUsed/>
    <w:qFormat/>
    <w:uiPriority w:val="99"/>
    <w:pP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rPr>
  </w:style>
  <w:style w:type="paragraph" w:styleId="23">
    <w:name w:val="annotation subject"/>
    <w:basedOn w:val="6"/>
    <w:next w:val="6"/>
    <w:link w:val="58"/>
    <w:semiHidden/>
    <w:unhideWhenUsed/>
    <w:qFormat/>
    <w:uiPriority w:val="99"/>
    <w:rPr>
      <w:b/>
      <w:bCs/>
    </w:rPr>
  </w:style>
  <w:style w:type="paragraph" w:styleId="24">
    <w:name w:val="Body Text First Indent"/>
    <w:basedOn w:val="8"/>
    <w:link w:val="54"/>
    <w:semiHidden/>
    <w:unhideWhenUsed/>
    <w:qFormat/>
    <w:uiPriority w:val="99"/>
    <w:pPr>
      <w:ind w:firstLine="420" w:firstLineChars="100"/>
    </w:pPr>
  </w:style>
  <w:style w:type="paragraph" w:styleId="25">
    <w:name w:val="Body Text First Indent 2"/>
    <w:basedOn w:val="10"/>
    <w:qFormat/>
    <w:uiPriority w:val="0"/>
    <w:pPr>
      <w:autoSpaceDE w:val="0"/>
      <w:autoSpaceDN w:val="0"/>
      <w:adjustRightInd/>
      <w:snapToGrid/>
      <w:spacing w:line="600" w:lineRule="exact"/>
      <w:ind w:firstLine="480" w:firstLineChars="200"/>
    </w:pPr>
    <w:rPr>
      <w:rFonts w:eastAsia="等线"/>
      <w:color w:val="000000"/>
      <w:szCs w:val="24"/>
    </w:rPr>
  </w:style>
  <w:style w:type="table" w:styleId="27">
    <w:name w:val="Table Grid"/>
    <w:basedOn w:val="2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9">
    <w:name w:val="page number"/>
    <w:qFormat/>
    <w:uiPriority w:val="0"/>
  </w:style>
  <w:style w:type="character" w:styleId="30">
    <w:name w:val="Hyperlink"/>
    <w:basedOn w:val="28"/>
    <w:unhideWhenUsed/>
    <w:qFormat/>
    <w:uiPriority w:val="99"/>
    <w:rPr>
      <w:color w:val="0000FF" w:themeColor="hyperlink"/>
      <w:u w:val="single"/>
      <w14:textFill>
        <w14:solidFill>
          <w14:schemeClr w14:val="hlink"/>
        </w14:solidFill>
      </w14:textFill>
    </w:rPr>
  </w:style>
  <w:style w:type="character" w:styleId="31">
    <w:name w:val="annotation reference"/>
    <w:basedOn w:val="28"/>
    <w:semiHidden/>
    <w:unhideWhenUsed/>
    <w:qFormat/>
    <w:uiPriority w:val="99"/>
    <w:rPr>
      <w:sz w:val="21"/>
      <w:szCs w:val="21"/>
    </w:rPr>
  </w:style>
  <w:style w:type="character" w:customStyle="1" w:styleId="32">
    <w:name w:val="页眉 字符"/>
    <w:basedOn w:val="28"/>
    <w:link w:val="19"/>
    <w:qFormat/>
    <w:uiPriority w:val="99"/>
    <w:rPr>
      <w:kern w:val="2"/>
      <w:sz w:val="18"/>
      <w:szCs w:val="18"/>
    </w:rPr>
  </w:style>
  <w:style w:type="character" w:customStyle="1" w:styleId="33">
    <w:name w:val="页脚 字符"/>
    <w:basedOn w:val="28"/>
    <w:link w:val="18"/>
    <w:qFormat/>
    <w:uiPriority w:val="99"/>
    <w:rPr>
      <w:sz w:val="18"/>
      <w:szCs w:val="18"/>
    </w:rPr>
  </w:style>
  <w:style w:type="character" w:customStyle="1" w:styleId="34">
    <w:name w:val="标题 1 字符"/>
    <w:basedOn w:val="28"/>
    <w:link w:val="2"/>
    <w:qFormat/>
    <w:uiPriority w:val="9"/>
    <w:rPr>
      <w:rFonts w:eastAsia="方正小标宋简体"/>
      <w:bCs/>
      <w:kern w:val="44"/>
      <w:sz w:val="44"/>
      <w:szCs w:val="44"/>
    </w:rPr>
  </w:style>
  <w:style w:type="character" w:customStyle="1" w:styleId="35">
    <w:name w:val="标题 2 字符"/>
    <w:basedOn w:val="28"/>
    <w:link w:val="3"/>
    <w:qFormat/>
    <w:uiPriority w:val="9"/>
    <w:rPr>
      <w:rFonts w:eastAsia="方正小标宋简体" w:asciiTheme="majorHAnsi" w:hAnsiTheme="majorHAnsi" w:cstheme="majorBidi"/>
      <w:bCs/>
      <w:sz w:val="36"/>
      <w:szCs w:val="32"/>
    </w:rPr>
  </w:style>
  <w:style w:type="character" w:customStyle="1" w:styleId="36">
    <w:name w:val="标题 3 字符"/>
    <w:basedOn w:val="28"/>
    <w:link w:val="4"/>
    <w:qFormat/>
    <w:uiPriority w:val="9"/>
    <w:rPr>
      <w:rFonts w:ascii="Calibri" w:hAnsi="Calibri" w:eastAsia="宋体" w:cs="Times New Roman"/>
      <w:b/>
      <w:bCs/>
      <w:sz w:val="32"/>
      <w:szCs w:val="32"/>
    </w:rPr>
  </w:style>
  <w:style w:type="paragraph" w:styleId="37">
    <w:name w:val="List Paragraph"/>
    <w:basedOn w:val="1"/>
    <w:link w:val="45"/>
    <w:qFormat/>
    <w:uiPriority w:val="99"/>
    <w:pPr>
      <w:ind w:firstLine="420" w:firstLineChars="200"/>
    </w:pPr>
  </w:style>
  <w:style w:type="paragraph" w:customStyle="1" w:styleId="3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字符"/>
    <w:basedOn w:val="28"/>
    <w:link w:val="17"/>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4"/>
    <w:next w:val="14"/>
    <w:qFormat/>
    <w:uiPriority w:val="0"/>
    <w:pPr>
      <w:spacing w:after="373"/>
    </w:pPr>
    <w:rPr>
      <w:color w:val="auto"/>
    </w:rPr>
  </w:style>
  <w:style w:type="paragraph" w:customStyle="1" w:styleId="42">
    <w:name w:val="CM91"/>
    <w:basedOn w:val="14"/>
    <w:next w:val="14"/>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字符"/>
    <w:basedOn w:val="28"/>
    <w:link w:val="7"/>
    <w:semiHidden/>
    <w:qFormat/>
    <w:uiPriority w:val="99"/>
    <w:rPr>
      <w:sz w:val="16"/>
      <w:szCs w:val="16"/>
    </w:rPr>
  </w:style>
  <w:style w:type="character" w:customStyle="1" w:styleId="45">
    <w:name w:val="列表段落 字符"/>
    <w:link w:val="37"/>
    <w:qFormat/>
    <w:uiPriority w:val="99"/>
  </w:style>
  <w:style w:type="paragraph" w:customStyle="1" w:styleId="46">
    <w:name w:val="1"/>
    <w:basedOn w:val="1"/>
    <w:next w:val="13"/>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2">
    <w:name w:val="纯文本 字符"/>
    <w:basedOn w:val="28"/>
    <w:link w:val="13"/>
    <w:qFormat/>
    <w:uiPriority w:val="0"/>
    <w:rPr>
      <w:rFonts w:ascii="宋体" w:hAnsi="Courier New"/>
      <w:kern w:val="2"/>
      <w:sz w:val="21"/>
      <w:szCs w:val="21"/>
    </w:rPr>
  </w:style>
  <w:style w:type="character" w:customStyle="1" w:styleId="53">
    <w:name w:val="正文文本 字符"/>
    <w:basedOn w:val="28"/>
    <w:link w:val="8"/>
    <w:qFormat/>
    <w:uiPriority w:val="99"/>
    <w:rPr>
      <w:kern w:val="2"/>
      <w:sz w:val="21"/>
      <w:szCs w:val="22"/>
    </w:rPr>
  </w:style>
  <w:style w:type="character" w:customStyle="1" w:styleId="54">
    <w:name w:val="正文文本首行缩进 字符"/>
    <w:basedOn w:val="53"/>
    <w:link w:val="24"/>
    <w:semiHidden/>
    <w:qFormat/>
    <w:uiPriority w:val="99"/>
    <w:rPr>
      <w:kern w:val="2"/>
      <w:sz w:val="21"/>
      <w:szCs w:val="22"/>
    </w:rPr>
  </w:style>
  <w:style w:type="character" w:customStyle="1" w:styleId="55">
    <w:name w:val="正文文本缩进 2 字符"/>
    <w:basedOn w:val="28"/>
    <w:link w:val="16"/>
    <w:qFormat/>
    <w:uiPriority w:val="0"/>
    <w:rPr>
      <w:rFonts w:ascii="Calibri" w:hAnsi="Calibri" w:eastAsia="宋体" w:cs="Times New Roman"/>
      <w:kern w:val="2"/>
      <w:sz w:val="21"/>
      <w:szCs w:val="22"/>
    </w:rPr>
  </w:style>
  <w:style w:type="paragraph" w:customStyle="1" w:styleId="56">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7">
    <w:name w:val="批注文字 字符"/>
    <w:basedOn w:val="28"/>
    <w:link w:val="6"/>
    <w:qFormat/>
    <w:uiPriority w:val="99"/>
    <w:rPr>
      <w:kern w:val="2"/>
      <w:sz w:val="21"/>
      <w:szCs w:val="22"/>
    </w:rPr>
  </w:style>
  <w:style w:type="character" w:customStyle="1" w:styleId="58">
    <w:name w:val="批注主题 字符"/>
    <w:basedOn w:val="57"/>
    <w:link w:val="23"/>
    <w:semiHidden/>
    <w:qFormat/>
    <w:uiPriority w:val="99"/>
    <w:rPr>
      <w:b/>
      <w:bCs/>
      <w:kern w:val="2"/>
      <w:sz w:val="21"/>
      <w:szCs w:val="22"/>
    </w:rPr>
  </w:style>
  <w:style w:type="paragraph" w:customStyle="1" w:styleId="59">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0">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1">
    <w:name w:val="修订5"/>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62">
    <w:name w:val="网格型1"/>
    <w:basedOn w:val="2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3">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4">
    <w:name w:val="修订7"/>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5">
    <w:name w:val="正文文本 2 字符"/>
    <w:basedOn w:val="28"/>
    <w:link w:val="9"/>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0678A8-0A44-44E2-AB87-138E45ED611E}">
  <ds:schemaRefs/>
</ds:datastoreItem>
</file>

<file path=docProps/app.xml><?xml version="1.0" encoding="utf-8"?>
<Properties xmlns="http://schemas.openxmlformats.org/officeDocument/2006/extended-properties" xmlns:vt="http://schemas.openxmlformats.org/officeDocument/2006/docPropsVTypes">
  <Template>Normal</Template>
  <Pages>65</Pages>
  <Words>25161</Words>
  <Characters>26020</Characters>
  <Lines>160</Lines>
  <Paragraphs>45</Paragraphs>
  <TotalTime>36</TotalTime>
  <ScaleCrop>false</ScaleCrop>
  <LinksUpToDate>false</LinksUpToDate>
  <CharactersWithSpaces>27917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2024-04-24T09:26:00Z</dcterms:created>
  <dc:creator>陈义春</dc:creator>
  <cp:lastModifiedBy>琳</cp:lastModifiedBy>
  <cp:lastPrinted>2024-05-21T03:45:00Z</cp:lastPrinted>
  <dcterms:modified xsi:type="dcterms:W3CDTF">2024-07-03T08:10:30Z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3FBA2BFDE90D4835B33761DE2766F2E2_13</vt:lpwstr>
  </property>
</Properties>
</file>