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rPr>
          <w:color w:val="auto"/>
          <w:highlight w:val="none"/>
        </w:rPr>
      </w:pPr>
      <w:bookmarkStart w:id="112" w:name="_GoBack"/>
      <w:bookmarkEnd w:id="112"/>
    </w:p>
    <w:p>
      <w:pPr>
        <w:jc w:val="center"/>
        <w:rPr>
          <w:rFonts w:hint="eastAsia" w:ascii="方正小标宋简体" w:eastAsia="方正小标宋简体"/>
          <w:b w:val="0"/>
          <w:bCs w:val="0"/>
          <w:color w:val="auto"/>
          <w:sz w:val="52"/>
          <w:szCs w:val="52"/>
          <w:highlight w:val="none"/>
        </w:rPr>
      </w:pPr>
      <w:r>
        <w:rPr>
          <w:rFonts w:hint="eastAsia" w:ascii="方正小标宋简体" w:eastAsia="方正小标宋简体"/>
          <w:b w:val="0"/>
          <w:bCs w:val="0"/>
          <w:color w:val="auto"/>
          <w:sz w:val="52"/>
          <w:szCs w:val="52"/>
          <w:highlight w:val="none"/>
          <w:lang w:eastAsia="zh-CN"/>
        </w:rPr>
        <w:t>广州市净水有限公司猎德、大坦沙、沥滘、西朗、石井污水处理厂厂内污泥干化减量工程节能验收服务项目</w:t>
      </w:r>
    </w:p>
    <w:p>
      <w:pPr>
        <w:pStyle w:val="2"/>
        <w:rPr>
          <w:rFonts w:hint="eastAsia"/>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pStyle w:val="2"/>
        <w:ind w:firstLine="0"/>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六</w:t>
      </w:r>
      <w:r>
        <w:rPr>
          <w:rFonts w:hint="eastAsia" w:ascii="黑体" w:hAnsi="黑体" w:eastAsia="黑体" w:cs="仿宋_GB2312"/>
          <w:color w:val="auto"/>
          <w:sz w:val="32"/>
          <w:szCs w:val="32"/>
          <w:highlight w:val="none"/>
        </w:rPr>
        <w:t>月</w:t>
      </w:r>
    </w:p>
    <w:p>
      <w:pPr>
        <w:rPr>
          <w:color w:val="auto"/>
          <w:highlight w:val="none"/>
        </w:rPr>
        <w:sectPr>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pPr>
    </w:p>
    <w:p>
      <w:pPr>
        <w:pStyle w:val="2"/>
      </w:pPr>
    </w:p>
    <w:p>
      <w:pPr>
        <w:pStyle w:val="45"/>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8"/>
        <w:numPr>
          <w:ilvl w:val="0"/>
          <w:numId w:val="2"/>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8"/>
        <w:numPr>
          <w:ilvl w:val="0"/>
          <w:numId w:val="2"/>
        </w:numPr>
        <w:tabs>
          <w:tab w:val="right" w:pos="8844"/>
        </w:tabs>
        <w:rPr>
          <w:color w:val="auto"/>
          <w:highlight w:val="none"/>
        </w:rPr>
      </w:pPr>
      <w:r>
        <w:rPr>
          <w:rFonts w:hint="eastAsia"/>
          <w:color w:val="auto"/>
          <w:highlight w:val="none"/>
          <w:lang w:val="en-US" w:eastAsia="zh-CN"/>
        </w:rPr>
        <w:t>供应商须知</w:t>
      </w:r>
    </w:p>
    <w:p>
      <w:pPr>
        <w:pStyle w:val="18"/>
        <w:numPr>
          <w:ilvl w:val="0"/>
          <w:numId w:val="2"/>
        </w:numPr>
        <w:tabs>
          <w:tab w:val="right" w:pos="8844"/>
        </w:tabs>
        <w:rPr>
          <w:color w:val="auto"/>
          <w:highlight w:val="none"/>
        </w:rPr>
      </w:pPr>
      <w:r>
        <w:rPr>
          <w:rFonts w:hint="eastAsia"/>
          <w:color w:val="auto"/>
          <w:highlight w:val="none"/>
          <w:lang w:val="en-US" w:eastAsia="zh-CN"/>
        </w:rPr>
        <w:t>采购方法</w:t>
      </w:r>
    </w:p>
    <w:p>
      <w:pPr>
        <w:pStyle w:val="18"/>
        <w:numPr>
          <w:ilvl w:val="0"/>
          <w:numId w:val="2"/>
        </w:numPr>
        <w:tabs>
          <w:tab w:val="right" w:pos="8844"/>
        </w:tabs>
        <w:rPr>
          <w:color w:val="auto"/>
          <w:highlight w:val="none"/>
        </w:rPr>
      </w:pPr>
      <w:r>
        <w:rPr>
          <w:rFonts w:hint="eastAsia"/>
          <w:color w:val="auto"/>
          <w:highlight w:val="none"/>
          <w:lang w:val="en-US" w:eastAsia="zh-CN"/>
        </w:rPr>
        <w:t>评审方法</w:t>
      </w:r>
    </w:p>
    <w:p>
      <w:pPr>
        <w:pStyle w:val="18"/>
        <w:numPr>
          <w:ilvl w:val="0"/>
          <w:numId w:val="2"/>
        </w:numPr>
        <w:tabs>
          <w:tab w:val="right" w:pos="8844"/>
        </w:tabs>
        <w:rPr>
          <w:color w:val="auto"/>
          <w:highlight w:val="none"/>
        </w:rPr>
      </w:pPr>
      <w:r>
        <w:rPr>
          <w:rFonts w:hint="eastAsia"/>
          <w:color w:val="auto"/>
          <w:highlight w:val="none"/>
          <w:lang w:val="en-US" w:eastAsia="zh-CN"/>
        </w:rPr>
        <w:t>采购需求</w:t>
      </w:r>
    </w:p>
    <w:p>
      <w:pPr>
        <w:pStyle w:val="18"/>
        <w:numPr>
          <w:ilvl w:val="0"/>
          <w:numId w:val="2"/>
        </w:numPr>
        <w:tabs>
          <w:tab w:val="right" w:pos="8844"/>
        </w:tabs>
        <w:rPr>
          <w:color w:val="auto"/>
          <w:highlight w:val="none"/>
        </w:rPr>
      </w:pPr>
      <w:r>
        <w:rPr>
          <w:rFonts w:hint="eastAsia"/>
          <w:color w:val="auto"/>
          <w:highlight w:val="none"/>
        </w:rPr>
        <w:t>合同草案</w:t>
      </w:r>
    </w:p>
    <w:p>
      <w:pPr>
        <w:pStyle w:val="18"/>
        <w:numPr>
          <w:ilvl w:val="0"/>
          <w:numId w:val="2"/>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4"/>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26148"/>
      <w:bookmarkStart w:id="1" w:name="_Toc18145"/>
    </w:p>
    <w:p>
      <w:pPr>
        <w:rPr>
          <w:rFonts w:hint="eastAsia"/>
          <w:color w:val="auto"/>
          <w:highlight w:val="none"/>
        </w:rPr>
      </w:pPr>
    </w:p>
    <w:p>
      <w:pPr>
        <w:pStyle w:val="3"/>
        <w:rPr>
          <w:rFonts w:hint="eastAsia"/>
          <w:color w:val="auto"/>
          <w:highlight w:val="none"/>
        </w:rPr>
      </w:pPr>
      <w:bookmarkStart w:id="2" w:name="_Toc1711"/>
      <w:bookmarkStart w:id="3" w:name="_Toc17696"/>
    </w:p>
    <w:p>
      <w:pPr>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3"/>
        <w:rPr>
          <w:rFonts w:hint="eastAsia"/>
          <w:color w:val="auto"/>
          <w:highlight w:val="none"/>
        </w:rPr>
      </w:pPr>
      <w:bookmarkStart w:id="4" w:name="_Toc7519"/>
      <w:bookmarkStart w:id="5" w:name="_Toc4275"/>
      <w:bookmarkStart w:id="6" w:name="_Toc19609"/>
      <w:bookmarkStart w:id="7" w:name="_Toc31938"/>
      <w:bookmarkStart w:id="8" w:name="_Toc11322"/>
      <w:bookmarkStart w:id="9" w:name="_Toc1669"/>
      <w:bookmarkStart w:id="10" w:name="_Toc17801"/>
    </w:p>
    <w:p>
      <w:pPr>
        <w:pStyle w:val="3"/>
        <w:rPr>
          <w:rFonts w:hint="eastAsia"/>
          <w:color w:val="auto"/>
          <w:highlight w:val="none"/>
        </w:rPr>
      </w:pPr>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60325</wp:posOffset>
                </wp:positionV>
                <wp:extent cx="958850" cy="0"/>
                <wp:effectExtent l="0" t="0" r="0" b="0"/>
                <wp:wrapNone/>
                <wp:docPr id="17"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4.75pt;height:0pt;width:75.5pt;z-index:251670528;mso-width-relative:page;mso-height-relative:page;" filled="f" stroked="t" coordsize="21600,21600" o:gfxdata="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xREm9QAAAAHAQAADwAAAAAAAAABACAAAAAiAAAAZHJzL2Rvd25yZXYueG1sUEsBAhQAFAAA&#10;AAgAh07iQBHsQTjzAQAA5AMAAA4AAAAAAAAAAQAgAAAAIwEAAGRycy9lMm9Eb2MueG1sUEsFBgAA&#10;AAAGAAYAWQEAAIg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2356485</wp:posOffset>
                </wp:positionH>
                <wp:positionV relativeFrom="paragraph">
                  <wp:posOffset>539115</wp:posOffset>
                </wp:positionV>
                <wp:extent cx="958850" cy="0"/>
                <wp:effectExtent l="0" t="0" r="0" b="0"/>
                <wp:wrapNone/>
                <wp:docPr id="18"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5.55pt;margin-top:42.45pt;height:0pt;width:75.5pt;z-index:251671552;mso-width-relative:page;mso-height-relative:page;" filled="f" stroked="t" coordsize="21600,21600" o:gfxdata="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GqkNY1gAAAAkBAAAPAAAAAAAAAAEAIAAAACIAAABkcnMvZG93bnJldi54bWxQSwECFAAU&#10;AAAACACHTuJAGS9/bf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47"/>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广州市净水有限公司猎德、大坦沙、沥滘、西朗、石井污水处理厂厂内污泥干化减量工程节能验收服务项目</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 xml:space="preserve">参加本□施工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货物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服务项目采购活动，采用</w:t>
      </w:r>
      <w:r>
        <w:rPr>
          <w:rFonts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rPr>
        <w:t>邀请</w:t>
      </w:r>
      <w:r>
        <w:rPr>
          <w:rFonts w:hint="eastAsia" w:ascii="仿宋_GB2312" w:eastAsia="仿宋_GB2312"/>
          <w:color w:val="auto"/>
          <w:sz w:val="28"/>
          <w:szCs w:val="28"/>
          <w:highlight w:val="none"/>
          <w:u w:val="single"/>
          <w:lang w:val="en-US" w:eastAsia="zh-CN"/>
        </w:rPr>
        <w:t>询比</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rPr>
        <w:sym w:font="Wingdings 2" w:char="0052"/>
      </w:r>
      <w:r>
        <w:rPr>
          <w:rFonts w:hint="eastAsia" w:ascii="仿宋_GB2312" w:eastAsia="仿宋_GB2312"/>
          <w:color w:val="auto"/>
          <w:sz w:val="28"/>
          <w:szCs w:val="28"/>
          <w:highlight w:val="none"/>
          <w:u w:val="single"/>
        </w:rPr>
        <w:t>公开</w:t>
      </w:r>
      <w:r>
        <w:rPr>
          <w:rFonts w:hint="eastAsia" w:ascii="仿宋_GB2312" w:eastAsia="仿宋_GB2312"/>
          <w:color w:val="auto"/>
          <w:sz w:val="28"/>
          <w:szCs w:val="28"/>
          <w:highlight w:val="none"/>
          <w:u w:val="single"/>
          <w:lang w:val="en-US" w:eastAsia="zh-CN"/>
        </w:rPr>
        <w:t>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广州市净水有限公司猎德、大坦沙、沥滘、西朗、石井污水处理厂厂内污泥干化减量工程节能验收服务项目</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XJ-20240605-1</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宋体" w:hAnsi="宋体" w:eastAsia="宋体" w:cs="宋体"/>
          <w:i w:val="0"/>
          <w:iCs w:val="0"/>
          <w:color w:val="auto"/>
          <w:kern w:val="0"/>
          <w:sz w:val="28"/>
          <w:szCs w:val="28"/>
          <w:highlight w:val="none"/>
          <w:u w:val="single"/>
          <w:lang w:val="en-US" w:eastAsia="zh-CN" w:bidi="ar"/>
        </w:rPr>
        <w:t>274010</w:t>
      </w:r>
      <w:r>
        <w:rPr>
          <w:rFonts w:hint="eastAsia" w:ascii="仿宋_GB2312" w:eastAsia="仿宋_GB2312"/>
          <w:color w:val="auto"/>
          <w:sz w:val="32"/>
          <w:szCs w:val="32"/>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ind w:firstLine="0" w:firstLineChars="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对广州市净水有限公司下辖猎德、大坦沙、沥滘、西朗、石井污水处理厂五个污泥干化减量工程项目进行节能验收工作。</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交货期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自合同签订之日起27个工作日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交货地点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广州市净水有限公司下辖猎德、大坦沙、沥滘、西朗、石井分公司内。  </w:t>
      </w:r>
    </w:p>
    <w:p>
      <w:pPr>
        <w:pStyle w:val="24"/>
        <w:adjustRightInd w:val="0"/>
        <w:snapToGrid w:val="0"/>
        <w:spacing w:line="600" w:lineRule="exact"/>
        <w:ind w:left="420" w:right="-370" w:rightChars="-176" w:hanging="420" w:hangingChars="150"/>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eastAsia="zh-CN"/>
        </w:rPr>
        <w:br w:type="textWrapping"/>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lang w:val="en-US" w:eastAsia="zh-CN"/>
        </w:rPr>
        <w:t>保证猎德等五个污泥干化减量工程项目的节能报告及节能审查意见落实情况顺利通过验收，并报送节能审查主管部门，</w:t>
      </w:r>
      <w:r>
        <w:rPr>
          <w:rFonts w:hint="eastAsia" w:ascii="仿宋_GB2312" w:eastAsia="仿宋_GB2312" w:hAnsiTheme="minorHAnsi" w:cstheme="minorBidi"/>
          <w:color w:val="auto"/>
          <w:sz w:val="28"/>
          <w:szCs w:val="28"/>
          <w:highlight w:val="none"/>
          <w:u w:val="single"/>
          <w:lang w:val="en-US" w:eastAsia="zh-CN"/>
        </w:rPr>
        <w:t>满足《固定资产投资项目节能审查办法》（国家发改委2023年第2号令）、中华人民共和国节约能源法》（2018年10月26日修订）、《节能监察办法》（国家发改委 2016年令第33号）、《广东省固定资产投资项目节能审查实施办法》（征求意见稿）、《固定资产投资项目节能审查系列工作指南》（2018年本）、《固定资产投资项目节能验收工作指南》（2018年本）的要求。</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w:t>
      </w:r>
      <w:r>
        <w:rPr>
          <w:rFonts w:hint="eastAsia" w:ascii="仿宋_GB2312" w:eastAsia="仿宋_GB2312"/>
          <w:color w:val="auto"/>
          <w:sz w:val="28"/>
          <w:szCs w:val="28"/>
          <w:highlight w:val="none"/>
          <w:lang w:val="en-US" w:eastAsia="zh-CN"/>
        </w:rPr>
        <w:t>提供响应期内在国家发展改革委在线平台的截图并加盖单位公章，截图应当包含备案的专业和服务范围，并清晰可见，专业要求为生态建设和环境工程（或其他（节能））</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none"/>
          <w:lang w:val="en-US" w:eastAsia="zh-CN"/>
        </w:rPr>
        <w:t xml:space="preserve">2021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一项工程项目</w:t>
      </w:r>
      <w:r>
        <w:rPr>
          <w:rFonts w:hint="eastAsia" w:ascii="仿宋_GB2312" w:eastAsia="仿宋_GB2312"/>
          <w:color w:val="auto"/>
          <w:sz w:val="28"/>
          <w:szCs w:val="28"/>
          <w:highlight w:val="none"/>
          <w:u w:val="none"/>
          <w:lang w:val="en-US" w:eastAsia="zh-CN"/>
        </w:rPr>
        <w:t>节能评估或节能验收</w:t>
      </w:r>
      <w:r>
        <w:rPr>
          <w:rFonts w:hint="eastAsia" w:ascii="仿宋_GB2312" w:eastAsia="仿宋_GB2312"/>
          <w:color w:val="auto"/>
          <w:sz w:val="28"/>
          <w:szCs w:val="28"/>
          <w:highlight w:val="none"/>
        </w:rPr>
        <w:t>业绩。（提供合同复印件证明，包括但不限于项目名称、金额及实施内容、合同</w:t>
      </w:r>
      <w:r>
        <w:rPr>
          <w:rFonts w:hint="eastAsia" w:ascii="仿宋_GB2312" w:eastAsia="仿宋_GB2312"/>
          <w:color w:val="auto"/>
          <w:sz w:val="28"/>
          <w:szCs w:val="28"/>
          <w:highlight w:val="none"/>
          <w:lang w:val="en-US" w:eastAsia="zh-CN"/>
        </w:rPr>
        <w:t>双方</w:t>
      </w:r>
      <w:r>
        <w:rPr>
          <w:rFonts w:hint="eastAsia" w:ascii="仿宋_GB2312" w:eastAsia="仿宋_GB2312"/>
          <w:color w:val="auto"/>
          <w:sz w:val="28"/>
          <w:szCs w:val="28"/>
          <w:highlight w:val="none"/>
        </w:rPr>
        <w:t>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lang w:val="en-US" w:eastAsia="zh-CN"/>
        </w:rPr>
        <w:t>有效期内生态建设和环境工程（或其他（节能））专业咨询工程师（投资）执业资格证书，同时提供自公告发布当月起在本单位近三个月社保记录，（以加盖社会保险基金管理中心印章的《缴费历史明细表》或《社会保险参保人员证明》为准，加盖单位公章</w:t>
      </w:r>
      <w:r>
        <w:rPr>
          <w:rFonts w:hint="eastAsia" w:ascii="仿宋_GB2312" w:eastAsia="仿宋_GB2312"/>
          <w:color w:val="auto"/>
          <w:sz w:val="28"/>
          <w:szCs w:val="28"/>
          <w:highlight w:val="none"/>
        </w:rPr>
        <w:t>。</w:t>
      </w:r>
    </w:p>
    <w:p>
      <w:pPr>
        <w:pStyle w:val="24"/>
        <w:adjustRightInd w:val="0"/>
        <w:snapToGrid w:val="0"/>
        <w:spacing w:line="600" w:lineRule="exact"/>
        <w:ind w:firstLine="0"/>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lang w:val="en-US" w:eastAsia="zh-CN"/>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3"/>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3"/>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ind w:left="280" w:hanging="280" w:hangingChars="100"/>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6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12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30 </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6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12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10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00 </w:t>
      </w:r>
      <w:r>
        <w:rPr>
          <w:rFonts w:hint="eastAsia" w:ascii="仿宋_GB2312" w:eastAsia="仿宋_GB2312"/>
          <w:color w:val="auto"/>
          <w:sz w:val="28"/>
          <w:szCs w:val="28"/>
          <w:highlight w:val="none"/>
        </w:rPr>
        <w:t>分（北京时间）。递交响应文件截止时间：</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6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12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 xml:space="preserve"> 10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 xml:space="preserve"> 00 </w:t>
      </w:r>
      <w:r>
        <w:rPr>
          <w:rFonts w:hint="eastAsia" w:ascii="仿宋_GB2312" w:eastAsia="仿宋_GB2312"/>
          <w:color w:val="auto"/>
          <w:sz w:val="28"/>
          <w:szCs w:val="28"/>
          <w:highlight w:val="none"/>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.2递交地址：广州市天河区临江大道501号广州市净水有限公司6楼招标部。</w:t>
      </w:r>
    </w:p>
    <w:p>
      <w:pPr>
        <w:pStyle w:val="24"/>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（注：授权委托人须通过“广州净水公司”微信公众号（</w:t>
      </w:r>
      <w:r>
        <w:rPr>
          <w:rFonts w:hint="eastAsia" w:ascii="仿宋_GB2312" w:eastAsia="仿宋_GB2312"/>
          <w:color w:val="auto"/>
          <w:sz w:val="28"/>
          <w:szCs w:val="28"/>
          <w:highlight w:val="none"/>
          <w:lang w:val="en-US" w:eastAsia="zh-CN"/>
        </w:rPr>
        <w:t>当天</w:t>
      </w:r>
      <w:r>
        <w:rPr>
          <w:rFonts w:hint="eastAsia" w:ascii="仿宋_GB2312" w:eastAsia="仿宋_GB2312"/>
          <w:color w:val="auto"/>
          <w:sz w:val="28"/>
          <w:szCs w:val="28"/>
          <w:highlight w:val="none"/>
        </w:rPr>
        <w:t>提前）预约，填写访客预约信息。待被访部室审核员审批通过后，凭访客手机生成的“通行访客码”通行。于门岗处测温并扫码填写调查问卷，手机显示问卷“提交成功”后方可进入。</w:t>
      </w:r>
    </w:p>
    <w:p>
      <w:pPr>
        <w:pStyle w:val="24"/>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响应文件递交预约信息填写：</w:t>
      </w:r>
    </w:p>
    <w:p>
      <w:pPr>
        <w:pStyle w:val="24"/>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（1）通过“广州净水公司”微信公众号或来访时扫码进行访客预约登记。</w:t>
      </w:r>
    </w:p>
    <w:p>
      <w:pPr>
        <w:pStyle w:val="24"/>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（2）“组织”选择“公司本部”，“部门”选择“招投标合同管理部”。</w:t>
      </w:r>
    </w:p>
    <w:p>
      <w:pPr>
        <w:pStyle w:val="24"/>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（3）“被访人员”选择“招标部”，“手机号”：“62315524”。</w:t>
      </w:r>
    </w:p>
    <w:p>
      <w:pPr>
        <w:adjustRightInd w:val="0"/>
        <w:snapToGrid w:val="0"/>
        <w:spacing w:line="600" w:lineRule="exact"/>
        <w:jc w:val="left"/>
        <w:rPr>
          <w:rFonts w:hint="eastAsia" w:asciiTheme="minorEastAsia" w:hAnsiTheme="minorEastAsia"/>
          <w:b/>
          <w:color w:val="auto"/>
          <w:sz w:val="32"/>
          <w:szCs w:val="32"/>
          <w:highlight w:val="none"/>
          <w:lang w:val="en-US" w:eastAsia="zh-CN"/>
        </w:rPr>
      </w:pPr>
      <w:r>
        <w:rPr>
          <w:rFonts w:hint="eastAsia" w:ascii="仿宋_GB2312" w:eastAsia="仿宋_GB2312"/>
          <w:color w:val="auto"/>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val="en-US" w:eastAsia="zh-CN"/>
              </w:rPr>
              <w:t>年</w:t>
            </w:r>
            <w:r>
              <w:rPr>
                <w:rFonts w:hint="eastAsia" w:ascii="仿宋_GB2312" w:eastAsia="仿宋_GB2312"/>
                <w:color w:val="auto"/>
                <w:sz w:val="28"/>
                <w:szCs w:val="28"/>
                <w:highlight w:val="none"/>
                <w:u w:val="single"/>
                <w:lang w:val="en-US" w:eastAsia="zh-CN"/>
              </w:rPr>
              <w:t xml:space="preserve"> 6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4"/>
        <w:rPr>
          <w:rFonts w:hint="eastAsia" w:ascii="仿宋_GB2312" w:eastAsia="仿宋_GB2312" w:hAnsiTheme="majorEastAsia"/>
          <w:color w:val="auto"/>
          <w:sz w:val="28"/>
          <w:szCs w:val="28"/>
          <w:highlight w:val="none"/>
        </w:rPr>
      </w:pPr>
    </w:p>
    <w:p>
      <w:pPr>
        <w:pStyle w:val="24"/>
        <w:rPr>
          <w:rFonts w:hint="eastAsia" w:ascii="仿宋_GB2312" w:eastAsia="仿宋_GB2312" w:hAnsiTheme="majorEastAsia"/>
          <w:color w:val="auto"/>
          <w:sz w:val="28"/>
          <w:szCs w:val="28"/>
          <w:highlight w:val="none"/>
        </w:rPr>
      </w:pPr>
    </w:p>
    <w:p>
      <w:pPr>
        <w:pStyle w:val="24"/>
        <w:rPr>
          <w:rFonts w:hint="eastAsia" w:ascii="仿宋_GB2312" w:eastAsia="仿宋_GB2312" w:hAnsiTheme="majorEastAsia"/>
          <w:color w:val="auto"/>
          <w:sz w:val="28"/>
          <w:szCs w:val="28"/>
          <w:highlight w:val="none"/>
        </w:rPr>
      </w:pPr>
    </w:p>
    <w:p>
      <w:pPr>
        <w:pStyle w:val="24"/>
        <w:rPr>
          <w:rFonts w:hint="eastAsia" w:ascii="仿宋_GB2312" w:eastAsia="仿宋_GB2312" w:hAnsiTheme="majorEastAsia"/>
          <w:color w:val="auto"/>
          <w:sz w:val="28"/>
          <w:szCs w:val="28"/>
          <w:highlight w:val="none"/>
        </w:rPr>
      </w:pPr>
    </w:p>
    <w:p>
      <w:pPr>
        <w:pStyle w:val="24"/>
        <w:rPr>
          <w:rFonts w:hint="eastAsia" w:ascii="仿宋_GB2312" w:eastAsia="仿宋_GB2312" w:hAnsiTheme="majorEastAsia"/>
          <w:color w:val="auto"/>
          <w:sz w:val="28"/>
          <w:szCs w:val="28"/>
          <w:highlight w:val="none"/>
        </w:rPr>
      </w:pPr>
    </w:p>
    <w:p>
      <w:pPr>
        <w:pStyle w:val="24"/>
        <w:rPr>
          <w:rFonts w:hint="eastAsia" w:ascii="仿宋_GB2312" w:eastAsia="仿宋_GB2312" w:hAnsiTheme="majorEastAsia"/>
          <w:color w:val="auto"/>
          <w:sz w:val="28"/>
          <w:szCs w:val="28"/>
          <w:highlight w:val="none"/>
        </w:rPr>
      </w:pPr>
    </w:p>
    <w:p>
      <w:pPr>
        <w:pStyle w:val="24"/>
        <w:rPr>
          <w:rFonts w:hint="eastAsia" w:ascii="仿宋_GB2312" w:eastAsia="仿宋_GB2312" w:hAnsiTheme="majorEastAsia"/>
          <w:color w:val="auto"/>
          <w:sz w:val="28"/>
          <w:szCs w:val="28"/>
          <w:highlight w:val="none"/>
        </w:rPr>
      </w:pPr>
    </w:p>
    <w:p>
      <w:pPr>
        <w:pStyle w:val="24"/>
        <w:rPr>
          <w:rFonts w:hint="eastAsia" w:ascii="仿宋_GB2312" w:eastAsia="仿宋_GB2312" w:hAnsiTheme="majorEastAsia"/>
          <w:color w:val="auto"/>
          <w:sz w:val="28"/>
          <w:szCs w:val="28"/>
          <w:highlight w:val="none"/>
        </w:rPr>
      </w:pPr>
    </w:p>
    <w:p>
      <w:pPr>
        <w:pStyle w:val="24"/>
        <w:rPr>
          <w:rFonts w:hint="eastAsia" w:ascii="仿宋_GB2312" w:eastAsia="仿宋_GB2312" w:hAnsiTheme="majorEastAsia"/>
          <w:color w:val="auto"/>
          <w:sz w:val="28"/>
          <w:szCs w:val="28"/>
          <w:highlight w:val="none"/>
        </w:rPr>
      </w:pPr>
    </w:p>
    <w:p>
      <w:pPr>
        <w:pStyle w:val="24"/>
        <w:rPr>
          <w:rFonts w:hint="eastAsia" w:ascii="仿宋_GB2312" w:eastAsia="仿宋_GB2312" w:hAnsiTheme="majorEastAsia"/>
          <w:color w:val="auto"/>
          <w:sz w:val="28"/>
          <w:szCs w:val="28"/>
          <w:highlight w:val="none"/>
        </w:rPr>
      </w:pPr>
    </w:p>
    <w:p>
      <w:pPr>
        <w:pStyle w:val="24"/>
        <w:rPr>
          <w:rFonts w:hint="eastAsia" w:ascii="仿宋_GB2312" w:eastAsia="仿宋_GB2312" w:hAnsiTheme="majorEastAsia"/>
          <w:color w:val="auto"/>
          <w:sz w:val="28"/>
          <w:szCs w:val="28"/>
          <w:highlight w:val="none"/>
        </w:rPr>
      </w:pPr>
    </w:p>
    <w:p>
      <w:pPr>
        <w:pStyle w:val="24"/>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13" w:name="_Toc10891"/>
    </w:p>
    <w:p>
      <w:pPr>
        <w:pStyle w:val="3"/>
        <w:rPr>
          <w:rFonts w:hint="eastAsia"/>
          <w:color w:val="auto"/>
          <w:highlight w:val="none"/>
        </w:rPr>
      </w:pPr>
      <w:bookmarkStart w:id="14" w:name="_Toc2331"/>
      <w:bookmarkStart w:id="15" w:name="_Toc16557"/>
      <w:bookmarkStart w:id="16" w:name="_Toc25603"/>
      <w:bookmarkStart w:id="17" w:name="_Toc7340"/>
      <w:bookmarkStart w:id="18" w:name="_Toc23749"/>
      <w:bookmarkStart w:id="19" w:name="_Toc16705"/>
      <w:bookmarkStart w:id="20" w:name="_Toc32588"/>
      <w:bookmarkStart w:id="21" w:name="_Toc19295"/>
      <w:bookmarkStart w:id="22" w:name="_Toc2324"/>
      <w:bookmarkStart w:id="23" w:name="_Toc9448"/>
    </w:p>
    <w:p>
      <w:pPr>
        <w:pStyle w:val="3"/>
        <w:rPr>
          <w:rFonts w:hint="eastAsia"/>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2347595</wp:posOffset>
                </wp:positionH>
                <wp:positionV relativeFrom="paragraph">
                  <wp:posOffset>483870</wp:posOffset>
                </wp:positionV>
                <wp:extent cx="958850" cy="0"/>
                <wp:effectExtent l="0" t="0" r="0" b="0"/>
                <wp:wrapNone/>
                <wp:docPr id="20"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85pt;margin-top:38.1pt;height:0pt;width:75.5pt;z-index:251673600;mso-width-relative:page;mso-height-relative:page;" filled="f" stroked="t" coordsize="21600,21600" o:gfxdata="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SRIHlm78&#10;56dvvz5+vvvy4+77VzZbZo2GgDWFbtxNPO0w3MRM+NBGm/9EhR2KrsezruqQmKDDF4vlckHw4t5V&#10;PeSFiOmV8pZlo+GYIuiuTxvvHF2ej7MiK+xfY6LKlHifkIsax4YMP18QONAwtjQEZNpAhNB1JRe9&#10;0fJaG5MzMHa7jYlsD3kgypf5Ee5fYbnIFrAf44prHJVegXzpJEvHQEo5eiE8t2CV5MwoelDZIkCo&#10;E2hzSSSVNo46yBKPomZr5+WxaF3O6fJLj6dBzdP1575kPzzO9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Y0Wo71wAAAAkBAAAPAAAAAAAAAAEAIAAAACIAAABkcnMvZG93bnJldi54bWxQSwECFAAU&#10;AAAACACHTuJAMlnJlfIBAADk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9"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laTW4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color w:val="auto"/>
          <w:highlight w:val="none"/>
        </w:rPr>
      </w:pPr>
      <w:bookmarkStart w:id="24" w:name="_Toc2339"/>
      <w:bookmarkStart w:id="25" w:name="_Toc3416"/>
      <w:r>
        <w:rPr>
          <w:rFonts w:hint="eastAsia"/>
          <w:color w:val="auto"/>
          <w:highlight w:val="none"/>
          <w:lang w:val="en-US" w:eastAsia="zh-CN"/>
        </w:rPr>
        <w:t xml:space="preserve">  </w:t>
      </w:r>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9"/>
        <w:rPr>
          <w:rFonts w:hint="eastAsia" w:asciiTheme="minorEastAsia" w:hAnsiTheme="minorEastAsia"/>
          <w:b/>
          <w:color w:val="auto"/>
          <w:sz w:val="32"/>
          <w:szCs w:val="32"/>
          <w:highlight w:val="none"/>
        </w:rPr>
      </w:pPr>
    </w:p>
    <w:p>
      <w:pPr>
        <w:pStyle w:val="10"/>
        <w:rPr>
          <w:rFonts w:hint="eastAsia" w:asciiTheme="minorEastAsia" w:hAnsiTheme="minorEastAsia"/>
          <w:b/>
          <w:color w:val="auto"/>
          <w:sz w:val="32"/>
          <w:szCs w:val="32"/>
          <w:highlight w:val="none"/>
        </w:rPr>
      </w:pPr>
    </w:p>
    <w:p>
      <w:pPr>
        <w:pStyle w:val="10"/>
        <w:rPr>
          <w:rFonts w:hint="eastAsia" w:asciiTheme="minorEastAsia" w:hAnsiTheme="minorEastAsia"/>
          <w:b/>
          <w:color w:val="auto"/>
          <w:sz w:val="32"/>
          <w:szCs w:val="32"/>
          <w:highlight w:val="none"/>
        </w:rPr>
      </w:pPr>
    </w:p>
    <w:p>
      <w:pPr>
        <w:pStyle w:val="10"/>
        <w:rPr>
          <w:rFonts w:hint="eastAsia" w:asciiTheme="minorEastAsia" w:hAnsiTheme="minorEastAsia"/>
          <w:b/>
          <w:color w:val="auto"/>
          <w:sz w:val="32"/>
          <w:szCs w:val="32"/>
          <w:highlight w:val="none"/>
        </w:rPr>
      </w:pPr>
    </w:p>
    <w:p>
      <w:pPr>
        <w:pStyle w:val="10"/>
        <w:rPr>
          <w:rFonts w:hint="eastAsia" w:asciiTheme="minorEastAsia" w:hAnsiTheme="minorEastAsia"/>
          <w:b/>
          <w:color w:val="auto"/>
          <w:sz w:val="32"/>
          <w:szCs w:val="32"/>
          <w:highlight w:val="none"/>
        </w:rPr>
      </w:pPr>
    </w:p>
    <w:p>
      <w:pPr>
        <w:pStyle w:val="10"/>
        <w:rPr>
          <w:rFonts w:hint="eastAsia" w:asciiTheme="minorEastAsia" w:hAnsiTheme="minorEastAsia"/>
          <w:b/>
          <w:color w:val="auto"/>
          <w:sz w:val="32"/>
          <w:szCs w:val="32"/>
          <w:highlight w:val="none"/>
        </w:rPr>
      </w:pPr>
    </w:p>
    <w:p>
      <w:pPr>
        <w:pStyle w:val="24"/>
        <w:ind w:firstLine="0"/>
        <w:rPr>
          <w:rFonts w:hint="eastAsia"/>
          <w:color w:val="auto"/>
          <w:highlight w:val="none"/>
        </w:rPr>
      </w:pPr>
    </w:p>
    <w:p>
      <w:pPr>
        <w:pStyle w:val="24"/>
        <w:ind w:firstLine="0"/>
        <w:rPr>
          <w:rFonts w:hint="eastAsia"/>
          <w:color w:val="auto"/>
          <w:highlight w:val="none"/>
        </w:rPr>
      </w:pPr>
    </w:p>
    <w:p>
      <w:pPr>
        <w:pStyle w:val="24"/>
        <w:ind w:firstLine="0"/>
        <w:rPr>
          <w:rFonts w:hint="eastAsia"/>
          <w:color w:val="auto"/>
          <w:highlight w:val="none"/>
        </w:rPr>
      </w:pPr>
    </w:p>
    <w:p>
      <w:pPr>
        <w:numPr>
          <w:ilvl w:val="0"/>
          <w:numId w:val="4"/>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4"/>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6"/>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如采购文件内容与响应文件格式工程量清单存在不一致情形，则以响应文件格式工程量清单为准。如采购文件条款与合同存在不一致情形，则以合同为准。</w:t>
            </w: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w:t>
      </w:r>
      <w:r>
        <w:rPr>
          <w:rFonts w:hint="eastAsia" w:ascii="仿宋_GB2312" w:eastAsia="仿宋_GB2312"/>
          <w:color w:val="auto"/>
          <w:sz w:val="28"/>
          <w:szCs w:val="28"/>
          <w:highlight w:val="none"/>
          <w:lang w:val="en-US" w:eastAsia="zh-CN"/>
        </w:rPr>
        <w:t>及</w:t>
      </w:r>
      <w:r>
        <w:rPr>
          <w:rFonts w:hint="eastAsia" w:ascii="仿宋_GB2312" w:eastAsia="仿宋_GB2312"/>
          <w:color w:val="auto"/>
          <w:sz w:val="28"/>
          <w:szCs w:val="28"/>
          <w:highlight w:val="none"/>
        </w:rPr>
        <w:t>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left="559" w:leftChars="266" w:firstLine="176" w:firstLineChars="6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r>
        <w:rPr>
          <w:rFonts w:hint="eastAsia" w:ascii="仿宋_GB2312" w:eastAsia="仿宋_GB2312"/>
          <w:color w:val="auto"/>
          <w:sz w:val="28"/>
          <w:szCs w:val="28"/>
          <w:highlight w:val="none"/>
        </w:rPr>
        <w:br w:type="textWrapping"/>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10</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非法定代表人或授权委托代理人递交响应文件。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hint="default" w:asciiTheme="minorEastAsia" w:hAnsiTheme="minorEastAsia" w:eastAsiaTheme="minorEastAsia"/>
          <w:b/>
          <w:color w:val="auto"/>
          <w:sz w:val="32"/>
          <w:szCs w:val="32"/>
          <w:highlight w:val="none"/>
          <w:lang w:val="en-US" w:eastAsia="zh-CN"/>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.异议</w:t>
      </w:r>
      <w:r>
        <w:rPr>
          <w:rFonts w:hint="eastAsia" w:asciiTheme="minorEastAsia" w:hAnsiTheme="minorEastAsia"/>
          <w:b/>
          <w:color w:val="auto"/>
          <w:sz w:val="32"/>
          <w:szCs w:val="32"/>
          <w:highlight w:val="none"/>
          <w:lang w:val="en-US" w:eastAsia="zh-CN"/>
        </w:rPr>
        <w:t xml:space="preserve">   </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560" w:lineRule="exact"/>
        <w:ind w:firstLine="694" w:firstLineChars="248"/>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附件5：</w:t>
      </w:r>
      <w:r>
        <w:rPr>
          <w:rFonts w:hint="eastAsia" w:ascii="仿宋_GB2312" w:eastAsia="仿宋_GB2312"/>
          <w:color w:val="auto"/>
          <w:sz w:val="28"/>
          <w:szCs w:val="28"/>
          <w:highlight w:val="none"/>
        </w:rPr>
        <w:t>关于**项目异议书</w:t>
      </w:r>
    </w:p>
    <w:p>
      <w:pPr>
        <w:pStyle w:val="9"/>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47"/>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6"/>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4"/>
        <w:rPr>
          <w:rFonts w:ascii="仿宋_GB2312" w:eastAsia="仿宋_GB2312" w:hAnsiTheme="majorEastAsia"/>
          <w:color w:val="auto"/>
          <w:sz w:val="28"/>
          <w:szCs w:val="28"/>
          <w:highlight w:val="none"/>
        </w:rPr>
      </w:pPr>
    </w:p>
    <w:p>
      <w:pPr>
        <w:pStyle w:val="24"/>
        <w:rPr>
          <w:rFonts w:ascii="仿宋_GB2312" w:eastAsia="仿宋_GB2312" w:hAnsiTheme="majorEastAsia"/>
          <w:color w:val="auto"/>
          <w:sz w:val="28"/>
          <w:szCs w:val="28"/>
          <w:highlight w:val="none"/>
        </w:rPr>
      </w:pPr>
    </w:p>
    <w:p>
      <w:pPr>
        <w:pStyle w:val="24"/>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9"/>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4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47"/>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4"/>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47"/>
        <w:rPr>
          <w:color w:val="auto"/>
          <w:highlight w:val="none"/>
        </w:rPr>
      </w:pPr>
    </w:p>
    <w:p>
      <w:pPr>
        <w:pStyle w:val="47"/>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4"/>
        <w:rPr>
          <w:rFonts w:asciiTheme="majorEastAsia" w:hAnsiTheme="majorEastAsia" w:eastAsiaTheme="majorEastAsia"/>
          <w:b/>
          <w:color w:val="auto"/>
          <w:sz w:val="28"/>
          <w:szCs w:val="28"/>
          <w:highlight w:val="none"/>
        </w:rPr>
      </w:pPr>
    </w:p>
    <w:p>
      <w:pPr>
        <w:pStyle w:val="24"/>
        <w:rPr>
          <w:rFonts w:asciiTheme="majorEastAsia" w:hAnsiTheme="majorEastAsia" w:eastAsiaTheme="majorEastAsia"/>
          <w:b/>
          <w:color w:val="auto"/>
          <w:sz w:val="28"/>
          <w:szCs w:val="28"/>
          <w:highlight w:val="none"/>
        </w:rPr>
      </w:pPr>
    </w:p>
    <w:p>
      <w:pPr>
        <w:pStyle w:val="24"/>
        <w:rPr>
          <w:rFonts w:asciiTheme="majorEastAsia" w:hAnsiTheme="majorEastAsia" w:eastAsiaTheme="majorEastAsia"/>
          <w:b/>
          <w:color w:val="auto"/>
          <w:sz w:val="28"/>
          <w:szCs w:val="28"/>
          <w:highlight w:val="none"/>
        </w:rPr>
      </w:pPr>
    </w:p>
    <w:p>
      <w:pPr>
        <w:pStyle w:val="38"/>
        <w:rPr>
          <w:rFonts w:asciiTheme="majorEastAsia" w:hAnsiTheme="majorEastAsia" w:eastAsiaTheme="majorEastAsia"/>
          <w:b/>
          <w:color w:val="auto"/>
          <w:sz w:val="28"/>
          <w:szCs w:val="28"/>
          <w:highlight w:val="none"/>
        </w:rPr>
      </w:pPr>
    </w:p>
    <w:p>
      <w:pPr>
        <w:pStyle w:val="38"/>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color w:val="auto"/>
          <w:sz w:val="44"/>
          <w:szCs w:val="44"/>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关于</w:t>
      </w:r>
      <w:r>
        <w:rPr>
          <w:rFonts w:hint="eastAsia" w:ascii="宋体" w:hAnsi="宋体" w:cs="宋体"/>
          <w:b/>
          <w:bCs/>
          <w:color w:val="auto"/>
          <w:sz w:val="44"/>
          <w:szCs w:val="44"/>
          <w:highlight w:val="none"/>
          <w:lang w:val="en-US" w:eastAsia="zh-CN"/>
        </w:rPr>
        <w:t>**</w:t>
      </w:r>
      <w:r>
        <w:rPr>
          <w:rFonts w:ascii="宋体" w:hAnsi="宋体" w:cs="宋体"/>
          <w:b/>
          <w:bCs/>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rPr>
        <w:t>法定代表人：</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9" w:leftChars="47" w:firstLine="1960" w:firstLineChars="700"/>
        <w:jc w:val="left"/>
        <w:rPr>
          <w:rFonts w:hAnsi="宋体" w:cs="仿宋_GB2312"/>
          <w:color w:val="auto"/>
          <w:kern w:val="0"/>
          <w:sz w:val="28"/>
          <w:szCs w:val="28"/>
          <w:highlight w:val="none"/>
        </w:rPr>
      </w:pPr>
    </w:p>
    <w:p>
      <w:pPr>
        <w:widowControl/>
        <w:ind w:left="99"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法定代表人或授权代表（签字）</w:t>
      </w:r>
    </w:p>
    <w:p>
      <w:pPr>
        <w:widowControl/>
        <w:ind w:left="99"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pStyle w:val="38"/>
        <w:rPr>
          <w:color w:val="auto"/>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8"/>
        <w:rPr>
          <w:rFonts w:ascii="仿宋_GB2312" w:eastAsia="仿宋_GB2312"/>
          <w:color w:val="auto"/>
          <w:sz w:val="28"/>
          <w:szCs w:val="28"/>
          <w:highlight w:val="none"/>
        </w:rPr>
      </w:pPr>
    </w:p>
    <w:p>
      <w:pPr>
        <w:pStyle w:val="38"/>
        <w:rPr>
          <w:rFonts w:ascii="仿宋_GB2312" w:eastAsia="仿宋_GB2312"/>
          <w:color w:val="auto"/>
          <w:sz w:val="28"/>
          <w:szCs w:val="28"/>
          <w:highlight w:val="none"/>
        </w:rPr>
      </w:pPr>
    </w:p>
    <w:p>
      <w:pPr>
        <w:pStyle w:val="38"/>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pStyle w:val="4"/>
        <w:jc w:val="center"/>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2302510</wp:posOffset>
                </wp:positionH>
                <wp:positionV relativeFrom="paragraph">
                  <wp:posOffset>730250</wp:posOffset>
                </wp:positionV>
                <wp:extent cx="958850" cy="0"/>
                <wp:effectExtent l="0" t="0" r="0" b="0"/>
                <wp:wrapNone/>
                <wp:docPr id="5"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1.3pt;margin-top:57.5pt;height:0pt;width:75.5pt;z-index:251663360;mso-width-relative:page;mso-height-relative:page;" filled="f" stroked="t" coordsize="21600,21600" o:gfxdata="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i84c2Dpwn9+&#10;+vbr4+e7Lz/uvn9li6zQELCmwI27iacdhpuY6R7aaPOfiLBDUfV4VlUdEhN0+GKxXC5Ib3Hvqh7y&#10;QsT0SnnLstFwTBF016eNd46uzsdZERX2rzFRZUq8T8hFjWNDhp9T6wJ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j6V29YAAAALAQAADwAAAAAAAAABACAAAAAiAAAAZHJzL2Rvd25yZXYueG1sUEsBAhQAFAAA&#10;AAgAh07iQCWkia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3"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AtD8rWAAAACQEAAA8AAAAAAAAAAQAgAAAAIgAAAGRycy9kb3ducmV2LnhtbFBLAQIUABQA&#10;AAAIAIdO4kDBy3K08gEAAOIDAAAOAAAAAAAAAAEAIAAAACU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47"/>
        <w:rPr>
          <w:color w:val="auto"/>
          <w:highlight w:val="none"/>
        </w:rPr>
      </w:pPr>
    </w:p>
    <w:p>
      <w:pPr>
        <w:pStyle w:val="4"/>
        <w:rPr>
          <w:color w:val="auto"/>
          <w:highlight w:val="none"/>
        </w:rPr>
      </w:pPr>
      <w:bookmarkStart w:id="28" w:name="_Toc7040"/>
      <w:bookmarkStart w:id="29" w:name="_Toc88209934"/>
      <w:bookmarkStart w:id="30" w:name="_Toc7303"/>
      <w:bookmarkStart w:id="31" w:name="_Toc87616371"/>
      <w:r>
        <w:rPr>
          <w:rFonts w:hint="eastAsia"/>
          <w:color w:val="auto"/>
          <w:highlight w:val="none"/>
          <w:lang w:val="en-US" w:eastAsia="zh-CN"/>
        </w:rPr>
        <w:t xml:space="preserve"> </w:t>
      </w:r>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9"/>
        <w:rPr>
          <w:rFonts w:ascii="方正小标宋简体" w:eastAsia="方正小标宋简体"/>
          <w:color w:val="auto"/>
          <w:sz w:val="44"/>
          <w:szCs w:val="44"/>
          <w:highlight w:val="none"/>
        </w:rPr>
      </w:pPr>
    </w:p>
    <w:p>
      <w:pPr>
        <w:pStyle w:val="10"/>
        <w:rPr>
          <w:rFonts w:ascii="方正小标宋简体" w:eastAsia="方正小标宋简体"/>
          <w:color w:val="auto"/>
          <w:sz w:val="44"/>
          <w:szCs w:val="44"/>
          <w:highlight w:val="none"/>
        </w:rPr>
      </w:pPr>
    </w:p>
    <w:p>
      <w:pPr>
        <w:pStyle w:val="10"/>
        <w:rPr>
          <w:rFonts w:ascii="方正小标宋简体" w:eastAsia="方正小标宋简体"/>
          <w:color w:val="auto"/>
          <w:sz w:val="44"/>
          <w:szCs w:val="44"/>
          <w:highlight w:val="none"/>
        </w:rPr>
      </w:pPr>
    </w:p>
    <w:p>
      <w:pPr>
        <w:pStyle w:val="24"/>
        <w:ind w:firstLine="0"/>
        <w:rPr>
          <w:rFonts w:ascii="方正小标宋简体" w:eastAsia="方正小标宋简体"/>
          <w:color w:val="auto"/>
          <w:sz w:val="44"/>
          <w:szCs w:val="44"/>
          <w:highlight w:val="none"/>
        </w:rPr>
      </w:pPr>
    </w:p>
    <w:p>
      <w:pPr>
        <w:pStyle w:val="4"/>
        <w:rPr>
          <w:color w:val="auto"/>
          <w:highlight w:val="none"/>
        </w:rPr>
      </w:pPr>
      <w:bookmarkStart w:id="32" w:name="_Toc3789"/>
      <w:bookmarkStart w:id="33" w:name="_Toc24895"/>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6"/>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eastAsia="zh-CN"/>
              </w:rPr>
              <w:br w:type="textWrapping"/>
            </w:r>
            <w:r>
              <w:rPr>
                <w:rFonts w:hint="eastAsia" w:ascii="仿宋_GB2312" w:eastAsia="仿宋_GB2312" w:hAnsiTheme="minorEastAsia"/>
                <w:color w:val="auto"/>
                <w:sz w:val="24"/>
                <w:szCs w:val="24"/>
                <w:highlight w:val="none"/>
              </w:rPr>
              <w:t>如第一中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候选人被取消</w:t>
            </w:r>
            <w:r>
              <w:rPr>
                <w:rFonts w:hint="eastAsia" w:ascii="仿宋_GB2312" w:eastAsia="仿宋_GB2312" w:hAnsiTheme="minorEastAsia"/>
                <w:color w:val="auto"/>
                <w:sz w:val="24"/>
                <w:szCs w:val="24"/>
                <w:highlight w:val="none"/>
                <w:lang w:val="en-US" w:eastAsia="zh-CN"/>
              </w:rPr>
              <w:t>或放弃</w:t>
            </w:r>
            <w:r>
              <w:rPr>
                <w:rFonts w:hint="eastAsia" w:ascii="仿宋_GB2312" w:eastAsia="仿宋_GB2312" w:hAnsiTheme="minorEastAsia"/>
                <w:color w:val="auto"/>
                <w:sz w:val="24"/>
                <w:szCs w:val="24"/>
                <w:highlight w:val="none"/>
              </w:rPr>
              <w:t>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候选人资格，</w:t>
            </w:r>
            <w:r>
              <w:rPr>
                <w:rFonts w:hint="eastAsia" w:ascii="仿宋_GB2312" w:eastAsia="仿宋_GB2312" w:hAnsiTheme="minorEastAsia"/>
                <w:color w:val="auto"/>
                <w:sz w:val="24"/>
                <w:szCs w:val="24"/>
                <w:highlight w:val="none"/>
                <w:lang w:val="en-US" w:eastAsia="zh-CN"/>
              </w:rPr>
              <w:t>采购</w:t>
            </w:r>
            <w:r>
              <w:rPr>
                <w:rFonts w:hint="eastAsia" w:ascii="仿宋_GB2312" w:eastAsia="仿宋_GB2312" w:hAnsiTheme="minorEastAsia"/>
                <w:color w:val="auto"/>
                <w:sz w:val="24"/>
                <w:szCs w:val="24"/>
                <w:highlight w:val="none"/>
              </w:rPr>
              <w:t>人有权按</w:t>
            </w:r>
            <w:r>
              <w:rPr>
                <w:rFonts w:hint="eastAsia" w:ascii="仿宋_GB2312" w:eastAsia="仿宋_GB2312" w:hAnsiTheme="minorEastAsia"/>
                <w:color w:val="auto"/>
                <w:sz w:val="24"/>
                <w:szCs w:val="24"/>
                <w:highlight w:val="none"/>
                <w:lang w:val="en-US" w:eastAsia="zh-CN"/>
              </w:rPr>
              <w:t>中选</w:t>
            </w:r>
            <w:r>
              <w:rPr>
                <w:rFonts w:hint="eastAsia" w:ascii="仿宋_GB2312" w:eastAsia="仿宋_GB2312" w:hAnsiTheme="minorEastAsia"/>
                <w:color w:val="auto"/>
                <w:sz w:val="24"/>
                <w:szCs w:val="24"/>
                <w:highlight w:val="none"/>
              </w:rPr>
              <w:t>候选人</w:t>
            </w:r>
            <w:r>
              <w:rPr>
                <w:rFonts w:hint="eastAsia" w:ascii="仿宋_GB2312" w:eastAsia="仿宋_GB2312" w:hAnsiTheme="minorEastAsia"/>
                <w:color w:val="auto"/>
                <w:sz w:val="24"/>
                <w:szCs w:val="24"/>
                <w:highlight w:val="none"/>
                <w:lang w:val="en-US" w:eastAsia="zh-CN"/>
              </w:rPr>
              <w:t>的</w:t>
            </w:r>
            <w:r>
              <w:rPr>
                <w:rFonts w:hint="eastAsia" w:ascii="仿宋_GB2312" w:eastAsia="仿宋_GB2312" w:hAnsiTheme="minorEastAsia"/>
                <w:color w:val="auto"/>
                <w:sz w:val="24"/>
                <w:szCs w:val="24"/>
                <w:highlight w:val="none"/>
              </w:rPr>
              <w:t>顺序依次确定其他中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候选人为中</w:t>
            </w:r>
            <w:r>
              <w:rPr>
                <w:rFonts w:hint="eastAsia" w:ascii="仿宋_GB2312" w:eastAsia="仿宋_GB2312" w:hAnsiTheme="minorEastAsia"/>
                <w:color w:val="auto"/>
                <w:sz w:val="24"/>
                <w:szCs w:val="24"/>
                <w:highlight w:val="none"/>
                <w:lang w:val="en-US" w:eastAsia="zh-CN"/>
              </w:rPr>
              <w:t>选</w:t>
            </w:r>
            <w:r>
              <w:rPr>
                <w:rFonts w:hint="eastAsia" w:ascii="仿宋_GB2312" w:eastAsia="仿宋_GB2312" w:hAnsiTheme="minorEastAsia"/>
                <w:color w:val="auto"/>
                <w:sz w:val="24"/>
                <w:szCs w:val="24"/>
                <w:highlight w:val="none"/>
              </w:rPr>
              <w:t>人，或重新</w:t>
            </w:r>
            <w:r>
              <w:rPr>
                <w:rFonts w:hint="eastAsia" w:ascii="仿宋_GB2312" w:eastAsia="仿宋_GB2312" w:hAnsiTheme="minorEastAsia"/>
                <w:color w:val="auto"/>
                <w:sz w:val="24"/>
                <w:szCs w:val="24"/>
                <w:highlight w:val="none"/>
                <w:lang w:val="en-US" w:eastAsia="zh-CN"/>
              </w:rPr>
              <w:t>采购</w:t>
            </w: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pStyle w:val="3"/>
        <w:rPr>
          <w:color w:val="auto"/>
          <w:highlight w:val="none"/>
        </w:rPr>
      </w:pPr>
      <w:bookmarkStart w:id="34" w:name="_Toc14552"/>
      <w:bookmarkStart w:id="35" w:name="_Toc4952"/>
      <w:bookmarkStart w:id="36" w:name="_Toc14870"/>
      <w:bookmarkStart w:id="37" w:name="_Toc10930"/>
      <w:bookmarkStart w:id="38" w:name="_Toc20594"/>
      <w:bookmarkStart w:id="39" w:name="_Toc3156"/>
      <w:bookmarkStart w:id="40" w:name="_Toc7437"/>
      <w:bookmarkStart w:id="41" w:name="_Toc19050"/>
      <w:bookmarkStart w:id="42" w:name="_Toc23581"/>
      <w:bookmarkStart w:id="43" w:name="_Toc19759"/>
      <w:bookmarkStart w:id="44" w:name="_Toc7118"/>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VmwvrXAAAACwEAAA8AAAAAAAAAAQAgAAAAIgAAAGRycy9kb3ducmV2LnhtbFBLAQIUABQA&#10;AAAIAIdO4kCP5dM68QEAAOIDAAAOAAAAAAAAAAEAIAAAACY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POavq/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47"/>
        <w:rPr>
          <w:color w:val="auto"/>
          <w:highlight w:val="none"/>
        </w:rPr>
      </w:pPr>
    </w:p>
    <w:p>
      <w:pPr>
        <w:pStyle w:val="3"/>
        <w:rPr>
          <w:color w:val="auto"/>
          <w:highlight w:val="none"/>
        </w:rPr>
      </w:pPr>
      <w:bookmarkStart w:id="45" w:name="_Toc12177"/>
      <w:bookmarkStart w:id="46" w:name="_Toc6308"/>
      <w:bookmarkStart w:id="47" w:name="_Toc29484"/>
      <w:bookmarkStart w:id="48" w:name="_Toc30530"/>
      <w:bookmarkStart w:id="49" w:name="_Toc22212"/>
      <w:bookmarkStart w:id="50" w:name="_Toc29345"/>
      <w:bookmarkStart w:id="51" w:name="_Toc13898"/>
      <w:bookmarkStart w:id="52" w:name="_Toc21079"/>
      <w:bookmarkStart w:id="53" w:name="_Toc32607"/>
      <w:bookmarkStart w:id="54" w:name="_Toc7831"/>
      <w:bookmarkStart w:id="55" w:name="_Toc21840"/>
      <w:bookmarkStart w:id="56" w:name="_Toc88209941"/>
      <w:bookmarkStart w:id="57" w:name="_Toc87616378"/>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ind w:firstLine="0"/>
        <w:rPr>
          <w:rFonts w:ascii="方正小标宋简体" w:eastAsia="方正小标宋简体"/>
          <w:color w:val="auto"/>
          <w:sz w:val="44"/>
          <w:szCs w:val="44"/>
          <w:highlight w:val="none"/>
        </w:rPr>
      </w:pPr>
    </w:p>
    <w:p>
      <w:pPr>
        <w:pStyle w:val="4"/>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6"/>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3"/>
        <w:rPr>
          <w:color w:val="auto"/>
          <w:highlight w:val="none"/>
        </w:rPr>
      </w:pPr>
      <w:bookmarkStart w:id="60" w:name="_Toc88209947"/>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2361565</wp:posOffset>
                </wp:positionH>
                <wp:positionV relativeFrom="paragraph">
                  <wp:posOffset>201930</wp:posOffset>
                </wp:positionV>
                <wp:extent cx="958850" cy="0"/>
                <wp:effectExtent l="0" t="0" r="0" b="0"/>
                <wp:wrapNone/>
                <wp:docPr id="21"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5.95pt;margin-top:15.9pt;height:0pt;width:75.5pt;z-index:251674624;mso-width-relative:page;mso-height-relative:page;" filled="f" stroked="t" coordsize="21600,21600" o:gfxdata="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9nnDmwdOM/&#10;P3379fHz3Zcfd9+/svkiazQErCl0427iaYfhJmbChzba/Ccq7FB0PZ51VYfEBB2+WCyXC1Jc3Luq&#10;h7wQMb1S3rJsNBxTBN31aeOdo8vzcVZkhf1rTFSZEu8TclHj2JDhqUkmgIaxpSEg0wYihK4rueiN&#10;ltfamJyBsdttTGR7yANRvsyPcP8Ky0W2gP0YV1zjqPQK5EsnWToGUsrRC+G5BaskZ0bRg8oWAUKd&#10;QJtLIqm0cdRBlngUNVs7L49F63JOl196PA1qnq4/9yX74XG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LDS8z1gAAAAkBAAAPAAAAAAAAAAEAIAAAACIAAABkcnMvZG93bnJldi54bWxQSwECFAAU&#10;AAAACACHTuJA+TUpEP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22"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Ixw6v/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rPr>
        <w:t>采购需求</w:t>
      </w:r>
    </w:p>
    <w:p>
      <w:pPr>
        <w:pStyle w:val="4"/>
        <w:rPr>
          <w:rFonts w:hint="eastAsia"/>
          <w:color w:val="auto"/>
          <w:szCs w:val="44"/>
          <w:highlight w:val="none"/>
        </w:rPr>
      </w:pPr>
    </w:p>
    <w:bookmarkEnd w:id="60"/>
    <w:p>
      <w:pPr>
        <w:ind w:firstLine="560" w:firstLineChars="200"/>
        <w:rPr>
          <w:rFonts w:hint="eastAsia" w:ascii="仿宋_GB2312" w:eastAsia="仿宋_GB2312"/>
          <w:color w:val="auto"/>
          <w:sz w:val="28"/>
          <w:szCs w:val="28"/>
          <w:highlight w:val="none"/>
        </w:rPr>
      </w:pPr>
    </w:p>
    <w:p>
      <w:pPr>
        <w:ind w:firstLine="560" w:firstLineChars="200"/>
        <w:rPr>
          <w:rFonts w:hint="eastAsia" w:ascii="仿宋_GB2312" w:eastAsia="仿宋_GB2312"/>
          <w:color w:val="auto"/>
          <w:sz w:val="28"/>
          <w:szCs w:val="28"/>
          <w:highlight w:val="none"/>
        </w:rPr>
      </w:pPr>
    </w:p>
    <w:p>
      <w:pPr>
        <w:ind w:firstLine="560" w:firstLineChars="200"/>
        <w:rPr>
          <w:rFonts w:hint="eastAsia" w:ascii="仿宋_GB2312" w:eastAsia="仿宋_GB2312"/>
          <w:color w:val="auto"/>
          <w:sz w:val="28"/>
          <w:szCs w:val="28"/>
          <w:highlight w:val="none"/>
        </w:rPr>
      </w:pPr>
    </w:p>
    <w:p>
      <w:pPr>
        <w:ind w:firstLine="560" w:firstLineChars="200"/>
        <w:rPr>
          <w:rFonts w:hint="eastAsia" w:ascii="仿宋_GB2312" w:eastAsia="仿宋_GB2312"/>
          <w:color w:val="auto"/>
          <w:sz w:val="28"/>
          <w:szCs w:val="28"/>
          <w:highlight w:val="none"/>
        </w:rPr>
      </w:pPr>
    </w:p>
    <w:p>
      <w:pPr>
        <w:ind w:firstLine="560" w:firstLineChars="200"/>
        <w:rPr>
          <w:rFonts w:hint="eastAsia" w:ascii="仿宋_GB2312" w:eastAsia="仿宋_GB2312"/>
          <w:color w:val="auto"/>
          <w:sz w:val="28"/>
          <w:szCs w:val="28"/>
          <w:highlight w:val="none"/>
        </w:rPr>
      </w:pPr>
    </w:p>
    <w:p>
      <w:pPr>
        <w:ind w:firstLine="560" w:firstLineChars="200"/>
        <w:rPr>
          <w:rFonts w:hint="eastAsia" w:ascii="仿宋_GB2312" w:eastAsia="仿宋_GB2312"/>
          <w:color w:val="auto"/>
          <w:sz w:val="28"/>
          <w:szCs w:val="28"/>
          <w:highlight w:val="none"/>
        </w:rPr>
      </w:pPr>
    </w:p>
    <w:p>
      <w:pPr>
        <w:rPr>
          <w:rFonts w:hint="eastAsia" w:ascii="仿宋_GB2312" w:eastAsia="仿宋_GB2312"/>
          <w:color w:val="auto"/>
          <w:sz w:val="28"/>
          <w:szCs w:val="28"/>
          <w:highlight w:val="none"/>
          <w:lang w:eastAsia="zh-CN"/>
        </w:rPr>
      </w:pPr>
    </w:p>
    <w:p>
      <w:pPr>
        <w:pStyle w:val="20"/>
        <w:rPr>
          <w:rFonts w:hint="eastAsia" w:ascii="仿宋_GB2312" w:eastAsia="仿宋_GB2312"/>
          <w:color w:val="auto"/>
          <w:sz w:val="28"/>
          <w:szCs w:val="28"/>
          <w:highlight w:val="none"/>
          <w:lang w:eastAsia="zh-CN"/>
        </w:rPr>
      </w:pPr>
    </w:p>
    <w:p>
      <w:pPr>
        <w:rPr>
          <w:rFonts w:hint="eastAsia" w:ascii="仿宋_GB2312" w:eastAsia="仿宋_GB2312"/>
          <w:color w:val="auto"/>
          <w:sz w:val="28"/>
          <w:szCs w:val="28"/>
          <w:highlight w:val="none"/>
          <w:lang w:eastAsia="zh-CN"/>
        </w:rPr>
      </w:pPr>
    </w:p>
    <w:p>
      <w:pPr>
        <w:pStyle w:val="20"/>
        <w:rPr>
          <w:rFonts w:hint="eastAsia" w:ascii="仿宋_GB2312" w:eastAsia="仿宋_GB2312"/>
          <w:color w:val="auto"/>
          <w:sz w:val="28"/>
          <w:szCs w:val="28"/>
          <w:highlight w:val="none"/>
          <w:lang w:eastAsia="zh-CN"/>
        </w:rPr>
      </w:pPr>
    </w:p>
    <w:p>
      <w:pPr>
        <w:rPr>
          <w:rFonts w:hint="eastAsia"/>
          <w:color w:val="auto"/>
          <w:highlight w:val="none"/>
          <w:lang w:eastAsia="zh-CN"/>
        </w:rPr>
      </w:pPr>
    </w:p>
    <w:p>
      <w:pPr>
        <w:pStyle w:val="37"/>
        <w:keepNext w:val="0"/>
        <w:keepLines w:val="0"/>
        <w:pageBreakBefore w:val="0"/>
        <w:widowControl w:val="0"/>
        <w:numPr>
          <w:ilvl w:val="0"/>
          <w:numId w:val="5"/>
        </w:numPr>
        <w:kinsoku/>
        <w:wordWrap/>
        <w:overflowPunct/>
        <w:topLinePunct w:val="0"/>
        <w:autoSpaceDE w:val="0"/>
        <w:autoSpaceDN w:val="0"/>
        <w:bidi w:val="0"/>
        <w:adjustRightInd w:val="0"/>
        <w:snapToGrid/>
        <w:spacing w:after="192" w:afterLines="50" w:line="240" w:lineRule="auto"/>
        <w:textAlignment w:val="auto"/>
        <w:rPr>
          <w:rFonts w:hint="eastAsia"/>
          <w:b/>
          <w:bCs/>
          <w:color w:val="auto"/>
          <w:sz w:val="24"/>
          <w:szCs w:val="24"/>
          <w:highlight w:val="none"/>
          <w:lang w:val="en-US" w:eastAsia="zh-CN"/>
        </w:rPr>
      </w:pPr>
      <w:r>
        <w:rPr>
          <w:rFonts w:hint="eastAsia"/>
          <w:b/>
          <w:bCs/>
          <w:color w:val="auto"/>
          <w:sz w:val="24"/>
          <w:szCs w:val="24"/>
          <w:highlight w:val="none"/>
          <w:lang w:val="en-US" w:eastAsia="zh-CN"/>
        </w:rPr>
        <w:t>项目概况</w:t>
      </w:r>
    </w:p>
    <w:p>
      <w:pPr>
        <w:pStyle w:val="37"/>
        <w:numPr>
          <w:ilvl w:val="0"/>
          <w:numId w:val="0"/>
        </w:numPr>
        <w:ind w:firstLine="480" w:firstLineChars="200"/>
        <w:rPr>
          <w:rFonts w:hint="default"/>
          <w:color w:val="auto"/>
          <w:sz w:val="24"/>
          <w:szCs w:val="24"/>
          <w:highlight w:val="none"/>
          <w:u w:val="single"/>
          <w:lang w:val="en-US" w:eastAsia="zh-CN"/>
        </w:rPr>
      </w:pPr>
      <w:r>
        <w:rPr>
          <w:rFonts w:hint="eastAsia"/>
          <w:color w:val="auto"/>
          <w:sz w:val="24"/>
          <w:szCs w:val="24"/>
          <w:highlight w:val="none"/>
          <w:u w:val="none"/>
          <w:lang w:val="en-US" w:eastAsia="zh-CN"/>
        </w:rPr>
        <w:t>我公司拟开展</w:t>
      </w:r>
      <w:r>
        <w:rPr>
          <w:rFonts w:hint="eastAsia"/>
          <w:color w:val="auto"/>
          <w:sz w:val="24"/>
          <w:szCs w:val="24"/>
          <w:highlight w:val="none"/>
          <w:u w:val="single"/>
          <w:lang w:val="en-US" w:eastAsia="zh-CN"/>
        </w:rPr>
        <w:t>猎德、大坦沙、沥滘、西朗、石井污水处理厂厂内污泥干化减量工程项目节能验收服务</w:t>
      </w:r>
      <w:r>
        <w:rPr>
          <w:rFonts w:hint="eastAsia"/>
          <w:color w:val="auto"/>
          <w:sz w:val="24"/>
          <w:szCs w:val="24"/>
          <w:highlight w:val="none"/>
          <w:u w:val="none"/>
          <w:lang w:val="en-US" w:eastAsia="zh-CN"/>
        </w:rPr>
        <w:t>项目，制定验收方案，按照验收方案对项目节能审查意见落实情况实施验收，确定节能验收结果并编制项目节能验收报告。满足</w:t>
      </w:r>
      <w:r>
        <w:rPr>
          <w:rFonts w:hint="eastAsia"/>
          <w:color w:val="auto"/>
          <w:sz w:val="24"/>
          <w:szCs w:val="24"/>
          <w:highlight w:val="none"/>
          <w:u w:val="single"/>
          <w:lang w:val="en-US" w:eastAsia="zh-CN"/>
        </w:rPr>
        <w:t>《固定资产投资项目节能审查办法》（国家发改委2023年第2号令）、中华人民共和国节约能源法》（2018年10月26日修订）、《节能监察办法》（国家发改委 2016年令第33号）、《广东省固定资产投资项目节能审查实施办法》（征求意见稿）、《固定资产投资项目节能审查系列工作指南》（2018年本）、《固定资产投资项目节能验收工作指南》（2018年本）的要求。</w:t>
      </w:r>
    </w:p>
    <w:p>
      <w:pPr>
        <w:pStyle w:val="13"/>
        <w:keepNext w:val="0"/>
        <w:keepLines w:val="0"/>
        <w:pageBreakBefore w:val="0"/>
        <w:widowControl w:val="0"/>
        <w:numPr>
          <w:ilvl w:val="0"/>
          <w:numId w:val="6"/>
        </w:numPr>
        <w:kinsoku/>
        <w:wordWrap/>
        <w:overflowPunct/>
        <w:topLinePunct w:val="0"/>
        <w:autoSpaceDE/>
        <w:autoSpaceDN/>
        <w:bidi w:val="0"/>
        <w:adjustRightInd w:val="0"/>
        <w:snapToGrid w:val="0"/>
        <w:spacing w:before="192" w:beforeLines="50" w:after="192" w:afterLines="50" w:line="240" w:lineRule="auto"/>
        <w:textAlignment w:val="auto"/>
        <w:rPr>
          <w:rFonts w:ascii="仿宋" w:hAnsi="仿宋" w:eastAsia="仿宋" w:cs="仿宋_GB2312"/>
          <w:color w:val="auto"/>
          <w:sz w:val="24"/>
          <w:szCs w:val="24"/>
          <w:highlight w:val="none"/>
          <w:lang w:val="zh-CN"/>
        </w:rPr>
      </w:pPr>
      <w:r>
        <w:rPr>
          <w:rFonts w:hint="eastAsia" w:ascii="仿宋" w:hAnsi="仿宋" w:eastAsia="仿宋" w:cs="仿宋_GB2312"/>
          <w:b/>
          <w:color w:val="auto"/>
          <w:sz w:val="24"/>
          <w:szCs w:val="24"/>
          <w:highlight w:val="none"/>
          <w:lang w:val="en-US" w:eastAsia="zh-CN"/>
        </w:rPr>
        <w:t>项目概况、项目内容、服务期限</w:t>
      </w:r>
    </w:p>
    <w:p>
      <w:pPr>
        <w:pStyle w:val="37"/>
        <w:numPr>
          <w:ilvl w:val="0"/>
          <w:numId w:val="7"/>
        </w:numPr>
        <w:ind w:firstLine="480" w:firstLineChars="200"/>
        <w:rPr>
          <w:rFonts w:hint="eastAsia" w:ascii="宋体" w:hAnsi="Times New Roman" w:cs="宋体"/>
          <w:color w:val="auto"/>
          <w:sz w:val="24"/>
          <w:szCs w:val="24"/>
          <w:highlight w:val="none"/>
          <w:u w:val="single"/>
          <w:lang w:val="en-US" w:eastAsia="zh-CN"/>
        </w:rPr>
      </w:pPr>
      <w:r>
        <w:rPr>
          <w:rFonts w:hint="eastAsia" w:ascii="宋体" w:hAnsi="Times New Roman" w:cs="宋体"/>
          <w:color w:val="auto"/>
          <w:sz w:val="24"/>
          <w:szCs w:val="24"/>
          <w:highlight w:val="none"/>
          <w:u w:val="none"/>
          <w:lang w:val="en-US" w:eastAsia="zh-CN"/>
        </w:rPr>
        <w:t>服务名称：</w:t>
      </w:r>
      <w:r>
        <w:rPr>
          <w:rFonts w:hint="eastAsia" w:ascii="宋体" w:hAnsi="Times New Roman" w:cs="宋体"/>
          <w:color w:val="auto"/>
          <w:sz w:val="24"/>
          <w:szCs w:val="24"/>
          <w:highlight w:val="none"/>
          <w:u w:val="single"/>
          <w:lang w:val="en-US" w:eastAsia="zh-CN"/>
        </w:rPr>
        <w:t>猎德、大坦沙、沥滘、西朗、石井污水处理厂厂内污泥干化减</w:t>
      </w:r>
    </w:p>
    <w:p>
      <w:pPr>
        <w:pStyle w:val="37"/>
        <w:numPr>
          <w:ilvl w:val="0"/>
          <w:numId w:val="0"/>
        </w:numPr>
        <w:rPr>
          <w:rFonts w:hint="eastAsia" w:ascii="宋体" w:hAnsi="Times New Roman" w:cs="宋体"/>
          <w:color w:val="auto"/>
          <w:sz w:val="24"/>
          <w:szCs w:val="24"/>
          <w:highlight w:val="none"/>
          <w:u w:val="single"/>
          <w:lang w:val="en-US" w:eastAsia="zh-CN"/>
        </w:rPr>
      </w:pPr>
      <w:r>
        <w:rPr>
          <w:rFonts w:hint="eastAsia" w:ascii="宋体" w:hAnsi="Times New Roman" w:cs="宋体"/>
          <w:color w:val="auto"/>
          <w:sz w:val="24"/>
          <w:szCs w:val="24"/>
          <w:highlight w:val="none"/>
          <w:u w:val="single"/>
          <w:lang w:val="en-US" w:eastAsia="zh-CN"/>
        </w:rPr>
        <w:t>量工程节能验收服务</w:t>
      </w:r>
    </w:p>
    <w:p>
      <w:pPr>
        <w:pStyle w:val="37"/>
        <w:numPr>
          <w:ilvl w:val="0"/>
          <w:numId w:val="7"/>
        </w:numPr>
        <w:ind w:left="0" w:leftChars="0" w:firstLine="480" w:firstLineChars="200"/>
        <w:rPr>
          <w:rFonts w:hint="eastAsia" w:ascii="宋体" w:hAnsi="Times New Roman" w:cs="宋体"/>
          <w:color w:val="auto"/>
          <w:sz w:val="24"/>
          <w:szCs w:val="24"/>
          <w:highlight w:val="none"/>
          <w:u w:val="single"/>
          <w:lang w:val="en-US" w:eastAsia="zh-CN"/>
        </w:rPr>
      </w:pPr>
      <w:r>
        <w:rPr>
          <w:rFonts w:hint="eastAsia" w:ascii="宋体" w:hAnsi="Times New Roman" w:cs="宋体"/>
          <w:color w:val="auto"/>
          <w:sz w:val="24"/>
          <w:szCs w:val="24"/>
          <w:highlight w:val="none"/>
          <w:u w:val="none"/>
          <w:lang w:val="en-US" w:eastAsia="zh-CN"/>
        </w:rPr>
        <w:t>服务地点：</w:t>
      </w:r>
      <w:r>
        <w:rPr>
          <w:rFonts w:hint="eastAsia" w:ascii="宋体" w:hAnsi="Times New Roman" w:cs="宋体"/>
          <w:color w:val="auto"/>
          <w:sz w:val="24"/>
          <w:szCs w:val="24"/>
          <w:highlight w:val="none"/>
          <w:u w:val="single"/>
          <w:lang w:val="en-US" w:eastAsia="zh-CN"/>
        </w:rPr>
        <w:t>广州市净水有限公司下辖猎德分公司、大坦沙分公司、西朗分公司、石井分公司内</w:t>
      </w:r>
    </w:p>
    <w:p>
      <w:pPr>
        <w:pStyle w:val="37"/>
        <w:numPr>
          <w:ilvl w:val="0"/>
          <w:numId w:val="7"/>
        </w:numPr>
        <w:ind w:left="0" w:leftChars="0" w:firstLine="480" w:firstLineChars="200"/>
        <w:rPr>
          <w:rFonts w:hint="default" w:ascii="宋体" w:hAnsi="Times New Roman" w:cs="宋体"/>
          <w:color w:val="auto"/>
          <w:sz w:val="24"/>
          <w:szCs w:val="24"/>
          <w:highlight w:val="none"/>
          <w:u w:val="none"/>
          <w:lang w:val="en-US" w:eastAsia="zh-CN"/>
        </w:rPr>
      </w:pPr>
      <w:r>
        <w:rPr>
          <w:rFonts w:hint="eastAsia" w:ascii="宋体" w:hAnsi="Times New Roman" w:cs="宋体"/>
          <w:color w:val="auto"/>
          <w:sz w:val="24"/>
          <w:szCs w:val="24"/>
          <w:highlight w:val="none"/>
          <w:u w:val="none"/>
          <w:lang w:val="en-US" w:eastAsia="zh-CN"/>
        </w:rPr>
        <w:t>服务期限：</w:t>
      </w:r>
      <w:r>
        <w:rPr>
          <w:rFonts w:hint="eastAsia" w:cs="宋体"/>
          <w:color w:val="auto"/>
          <w:sz w:val="24"/>
          <w:szCs w:val="24"/>
          <w:highlight w:val="none"/>
          <w:u w:val="none"/>
          <w:lang w:val="en-US" w:eastAsia="zh-CN"/>
        </w:rPr>
        <w:t>27个工作日</w:t>
      </w:r>
    </w:p>
    <w:p>
      <w:pPr>
        <w:pStyle w:val="37"/>
        <w:numPr>
          <w:ilvl w:val="0"/>
          <w:numId w:val="7"/>
        </w:numPr>
        <w:ind w:left="0" w:leftChars="0" w:firstLine="480" w:firstLineChars="200"/>
        <w:rPr>
          <w:rFonts w:hint="default" w:ascii="宋体" w:hAnsi="Times New Roman" w:cs="宋体"/>
          <w:color w:val="auto"/>
          <w:sz w:val="24"/>
          <w:szCs w:val="24"/>
          <w:highlight w:val="none"/>
          <w:u w:val="none"/>
          <w:lang w:val="en-US" w:eastAsia="zh-CN"/>
        </w:rPr>
      </w:pPr>
      <w:r>
        <w:rPr>
          <w:rFonts w:hint="eastAsia" w:ascii="宋体" w:hAnsi="Times New Roman" w:cs="宋体"/>
          <w:color w:val="auto"/>
          <w:sz w:val="24"/>
          <w:szCs w:val="24"/>
          <w:highlight w:val="none"/>
          <w:u w:val="none"/>
          <w:lang w:val="en-US" w:eastAsia="zh-CN"/>
        </w:rPr>
        <w:t>项目概况：</w:t>
      </w:r>
    </w:p>
    <w:p>
      <w:pPr>
        <w:pStyle w:val="3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textAlignment w:val="auto"/>
        <w:rPr>
          <w:rFonts w:hint="default" w:ascii="宋体" w:hAnsi="Times New Roman" w:cs="宋体"/>
          <w:b/>
          <w:bCs/>
          <w:color w:val="auto"/>
          <w:sz w:val="24"/>
          <w:szCs w:val="24"/>
          <w:highlight w:val="none"/>
          <w:u w:val="none"/>
          <w:lang w:val="en-US" w:eastAsia="zh-CN"/>
        </w:rPr>
      </w:pPr>
      <w:r>
        <w:rPr>
          <w:rFonts w:hint="default" w:ascii="宋体" w:hAnsi="Times New Roman" w:cs="宋体"/>
          <w:b/>
          <w:bCs/>
          <w:color w:val="auto"/>
          <w:sz w:val="24"/>
          <w:szCs w:val="24"/>
          <w:highlight w:val="none"/>
          <w:u w:val="none"/>
          <w:lang w:val="en-US" w:eastAsia="zh-CN"/>
        </w:rPr>
        <w:t>猎德污水处理厂厂内污泥干化减量工程</w:t>
      </w:r>
    </w:p>
    <w:p>
      <w:pPr>
        <w:pStyle w:val="37"/>
        <w:numPr>
          <w:ilvl w:val="0"/>
          <w:numId w:val="0"/>
        </w:numPr>
        <w:ind w:leftChars="200"/>
        <w:rPr>
          <w:rFonts w:hint="default" w:ascii="宋体" w:hAnsi="Times New Roman" w:cs="宋体"/>
          <w:color w:val="auto"/>
          <w:sz w:val="24"/>
          <w:szCs w:val="24"/>
          <w:highlight w:val="none"/>
          <w:u w:val="none"/>
          <w:lang w:val="en-US" w:eastAsia="zh-CN"/>
        </w:rPr>
      </w:pPr>
      <w:r>
        <w:rPr>
          <w:rFonts w:hint="default" w:ascii="宋体" w:hAnsi="Times New Roman" w:cs="宋体"/>
          <w:color w:val="auto"/>
          <w:sz w:val="24"/>
          <w:szCs w:val="24"/>
          <w:highlight w:val="none"/>
          <w:u w:val="none"/>
          <w:lang w:val="en-US" w:eastAsia="zh-CN"/>
        </w:rPr>
        <w:t>（1）项目名称：猎德污水处理厂厂内污泥干化减量工程</w:t>
      </w:r>
    </w:p>
    <w:p>
      <w:pPr>
        <w:pStyle w:val="37"/>
        <w:numPr>
          <w:ilvl w:val="0"/>
          <w:numId w:val="0"/>
        </w:numPr>
        <w:ind w:leftChars="200"/>
        <w:rPr>
          <w:rFonts w:hint="default" w:ascii="宋体" w:hAnsi="Times New Roman" w:cs="宋体"/>
          <w:color w:val="auto"/>
          <w:sz w:val="24"/>
          <w:szCs w:val="24"/>
          <w:highlight w:val="none"/>
          <w:u w:val="none"/>
          <w:lang w:val="en-US" w:eastAsia="zh-CN"/>
        </w:rPr>
      </w:pPr>
      <w:r>
        <w:rPr>
          <w:rFonts w:hint="default" w:ascii="宋体" w:hAnsi="Times New Roman" w:cs="宋体"/>
          <w:color w:val="auto"/>
          <w:sz w:val="24"/>
          <w:szCs w:val="24"/>
          <w:highlight w:val="none"/>
          <w:u w:val="none"/>
          <w:lang w:val="en-US" w:eastAsia="zh-CN"/>
        </w:rPr>
        <w:t>（2）项目性质：改建</w:t>
      </w:r>
    </w:p>
    <w:p>
      <w:pPr>
        <w:pStyle w:val="37"/>
        <w:numPr>
          <w:ilvl w:val="0"/>
          <w:numId w:val="0"/>
        </w:numPr>
        <w:ind w:leftChars="200"/>
        <w:rPr>
          <w:rFonts w:hint="default" w:ascii="宋体" w:hAnsi="Times New Roman" w:cs="宋体"/>
          <w:color w:val="auto"/>
          <w:sz w:val="24"/>
          <w:szCs w:val="24"/>
          <w:highlight w:val="none"/>
          <w:u w:val="none"/>
          <w:lang w:val="en-US" w:eastAsia="zh-CN"/>
        </w:rPr>
      </w:pPr>
      <w:r>
        <w:rPr>
          <w:rFonts w:hint="default" w:ascii="宋体" w:hAnsi="Times New Roman" w:cs="宋体"/>
          <w:color w:val="auto"/>
          <w:sz w:val="24"/>
          <w:szCs w:val="24"/>
          <w:highlight w:val="none"/>
          <w:u w:val="none"/>
          <w:lang w:val="en-US" w:eastAsia="zh-CN"/>
        </w:rPr>
        <w:t>（3）建设单位：广州市净水有限公司</w:t>
      </w:r>
    </w:p>
    <w:p>
      <w:pPr>
        <w:pStyle w:val="37"/>
        <w:numPr>
          <w:ilvl w:val="0"/>
          <w:numId w:val="0"/>
        </w:numPr>
        <w:ind w:leftChars="200"/>
        <w:rPr>
          <w:rFonts w:hint="default" w:ascii="宋体" w:hAnsi="Times New Roman" w:cs="宋体"/>
          <w:color w:val="auto"/>
          <w:sz w:val="24"/>
          <w:szCs w:val="24"/>
          <w:highlight w:val="none"/>
          <w:u w:val="none"/>
          <w:lang w:val="en-US" w:eastAsia="zh-CN"/>
        </w:rPr>
      </w:pPr>
      <w:r>
        <w:rPr>
          <w:rFonts w:hint="default" w:ascii="宋体" w:hAnsi="Times New Roman" w:cs="宋体"/>
          <w:color w:val="auto"/>
          <w:sz w:val="24"/>
          <w:szCs w:val="24"/>
          <w:highlight w:val="none"/>
          <w:u w:val="none"/>
          <w:lang w:val="en-US" w:eastAsia="zh-CN"/>
        </w:rPr>
        <w:t>（4）项目建设地点：广州市天河区临江大道与华南快速交界处的猎德污水处理厂内</w:t>
      </w:r>
    </w:p>
    <w:p>
      <w:pPr>
        <w:pStyle w:val="37"/>
        <w:numPr>
          <w:ilvl w:val="0"/>
          <w:numId w:val="0"/>
        </w:numPr>
        <w:ind w:leftChars="200"/>
        <w:rPr>
          <w:rFonts w:hint="default" w:ascii="宋体" w:hAnsi="Times New Roman" w:cs="宋体"/>
          <w:color w:val="auto"/>
          <w:sz w:val="24"/>
          <w:szCs w:val="24"/>
          <w:highlight w:val="none"/>
          <w:u w:val="none"/>
          <w:lang w:val="en-US" w:eastAsia="zh-CN"/>
        </w:rPr>
      </w:pPr>
      <w:r>
        <w:rPr>
          <w:rFonts w:hint="default" w:ascii="宋体" w:hAnsi="Times New Roman" w:cs="宋体"/>
          <w:color w:val="auto"/>
          <w:sz w:val="24"/>
          <w:szCs w:val="24"/>
          <w:highlight w:val="none"/>
          <w:u w:val="none"/>
          <w:lang w:val="en-US" w:eastAsia="zh-CN"/>
        </w:rPr>
        <w:t>（5）项目建设规模和内容：建成规模折合干基污泥约177吨/天的污泥处理系统，主要包括：污泥输送系统、污泥浓缩调理系统、深度脱水处理系统、污泥干化处理系统、车间除臭系统。工程主要新建污泥脱水干化车间1座，储泥池1座，拆除现有一二期脱水机房、一二期的储泥池、一二期的四座污泥浓缩池及四期储泥池，并将三期预处理除臭设备移位。项目总占地面积为10060 m2。</w:t>
      </w:r>
    </w:p>
    <w:p>
      <w:pPr>
        <w:pStyle w:val="37"/>
        <w:numPr>
          <w:ilvl w:val="0"/>
          <w:numId w:val="0"/>
        </w:numPr>
        <w:ind w:leftChars="200"/>
        <w:rPr>
          <w:rFonts w:hint="default" w:ascii="宋体" w:hAnsi="Times New Roman" w:cs="宋体"/>
          <w:color w:val="auto"/>
          <w:sz w:val="24"/>
          <w:szCs w:val="24"/>
          <w:highlight w:val="none"/>
          <w:u w:val="none"/>
          <w:lang w:val="en-US" w:eastAsia="zh-CN"/>
        </w:rPr>
      </w:pPr>
      <w:r>
        <w:rPr>
          <w:rFonts w:hint="default" w:ascii="宋体" w:hAnsi="Times New Roman" w:cs="宋体"/>
          <w:color w:val="auto"/>
          <w:sz w:val="24"/>
          <w:szCs w:val="24"/>
          <w:highlight w:val="none"/>
          <w:u w:val="none"/>
          <w:lang w:val="en-US" w:eastAsia="zh-CN"/>
        </w:rPr>
        <w:t>（6）总投资：项目总投资为336325309.99元。</w:t>
      </w:r>
    </w:p>
    <w:p>
      <w:pPr>
        <w:pStyle w:val="3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textAlignment w:val="auto"/>
        <w:rPr>
          <w:rFonts w:hint="default" w:ascii="宋体" w:hAnsi="Times New Roman" w:cs="宋体"/>
          <w:b/>
          <w:bCs/>
          <w:color w:val="auto"/>
          <w:sz w:val="24"/>
          <w:szCs w:val="24"/>
          <w:highlight w:val="none"/>
          <w:u w:val="none"/>
          <w:lang w:val="en-US" w:eastAsia="zh-CN"/>
        </w:rPr>
      </w:pPr>
      <w:r>
        <w:rPr>
          <w:rFonts w:hint="default" w:ascii="宋体" w:hAnsi="Times New Roman" w:cs="宋体"/>
          <w:b/>
          <w:bCs/>
          <w:color w:val="auto"/>
          <w:sz w:val="24"/>
          <w:szCs w:val="24"/>
          <w:highlight w:val="none"/>
          <w:u w:val="none"/>
          <w:lang w:val="en-US" w:eastAsia="zh-CN"/>
        </w:rPr>
        <w:t>大坦沙污水处理厂厂内污泥干化减量工程</w:t>
      </w:r>
    </w:p>
    <w:p>
      <w:pPr>
        <w:pStyle w:val="37"/>
        <w:numPr>
          <w:ilvl w:val="0"/>
          <w:numId w:val="0"/>
        </w:numPr>
        <w:ind w:leftChars="200"/>
        <w:rPr>
          <w:rFonts w:hint="default" w:ascii="宋体" w:hAnsi="Times New Roman" w:cs="宋体"/>
          <w:color w:val="auto"/>
          <w:sz w:val="24"/>
          <w:szCs w:val="24"/>
          <w:highlight w:val="none"/>
          <w:u w:val="none"/>
          <w:lang w:val="en-US" w:eastAsia="zh-CN"/>
        </w:rPr>
      </w:pPr>
      <w:r>
        <w:rPr>
          <w:rFonts w:hint="default" w:ascii="宋体" w:hAnsi="Times New Roman" w:cs="宋体"/>
          <w:color w:val="auto"/>
          <w:sz w:val="24"/>
          <w:szCs w:val="24"/>
          <w:highlight w:val="none"/>
          <w:u w:val="none"/>
          <w:lang w:val="en-US" w:eastAsia="zh-CN"/>
        </w:rPr>
        <w:t>（1）项目名称：大坦沙污水处理厂厂内污泥干化减量工程</w:t>
      </w:r>
    </w:p>
    <w:p>
      <w:pPr>
        <w:pStyle w:val="37"/>
        <w:numPr>
          <w:ilvl w:val="0"/>
          <w:numId w:val="0"/>
        </w:numPr>
        <w:ind w:leftChars="200"/>
        <w:rPr>
          <w:rFonts w:hint="default" w:ascii="宋体" w:hAnsi="Times New Roman" w:cs="宋体"/>
          <w:color w:val="auto"/>
          <w:sz w:val="24"/>
          <w:szCs w:val="24"/>
          <w:highlight w:val="none"/>
          <w:u w:val="none"/>
          <w:lang w:val="en-US" w:eastAsia="zh-CN"/>
        </w:rPr>
      </w:pPr>
      <w:r>
        <w:rPr>
          <w:rFonts w:hint="default" w:ascii="宋体" w:hAnsi="Times New Roman" w:cs="宋体"/>
          <w:color w:val="auto"/>
          <w:sz w:val="24"/>
          <w:szCs w:val="24"/>
          <w:highlight w:val="none"/>
          <w:u w:val="none"/>
          <w:lang w:val="en-US" w:eastAsia="zh-CN"/>
        </w:rPr>
        <w:t>（2）项目性质：改建</w:t>
      </w:r>
    </w:p>
    <w:p>
      <w:pPr>
        <w:pStyle w:val="37"/>
        <w:numPr>
          <w:ilvl w:val="0"/>
          <w:numId w:val="0"/>
        </w:numPr>
        <w:ind w:leftChars="200"/>
        <w:rPr>
          <w:rFonts w:hint="default" w:ascii="宋体" w:hAnsi="Times New Roman" w:cs="宋体"/>
          <w:color w:val="auto"/>
          <w:sz w:val="24"/>
          <w:szCs w:val="24"/>
          <w:highlight w:val="none"/>
          <w:u w:val="none"/>
          <w:lang w:val="en-US" w:eastAsia="zh-CN"/>
        </w:rPr>
      </w:pPr>
      <w:r>
        <w:rPr>
          <w:rFonts w:hint="default" w:ascii="宋体" w:hAnsi="Times New Roman" w:cs="宋体"/>
          <w:color w:val="auto"/>
          <w:sz w:val="24"/>
          <w:szCs w:val="24"/>
          <w:highlight w:val="none"/>
          <w:u w:val="none"/>
          <w:lang w:val="en-US" w:eastAsia="zh-CN"/>
        </w:rPr>
        <w:t>（3）建设单位：广州市净水有限公司</w:t>
      </w:r>
    </w:p>
    <w:p>
      <w:pPr>
        <w:pStyle w:val="37"/>
        <w:numPr>
          <w:ilvl w:val="0"/>
          <w:numId w:val="0"/>
        </w:numPr>
        <w:ind w:leftChars="200"/>
        <w:rPr>
          <w:rFonts w:hint="default" w:ascii="宋体" w:hAnsi="Times New Roman" w:cs="宋体"/>
          <w:color w:val="auto"/>
          <w:sz w:val="24"/>
          <w:szCs w:val="24"/>
          <w:highlight w:val="none"/>
          <w:u w:val="none"/>
          <w:lang w:val="en-US" w:eastAsia="zh-CN"/>
        </w:rPr>
      </w:pPr>
      <w:r>
        <w:rPr>
          <w:rFonts w:hint="default" w:ascii="宋体" w:hAnsi="Times New Roman" w:cs="宋体"/>
          <w:color w:val="auto"/>
          <w:sz w:val="24"/>
          <w:szCs w:val="24"/>
          <w:highlight w:val="none"/>
          <w:u w:val="none"/>
          <w:lang w:val="en-US" w:eastAsia="zh-CN"/>
        </w:rPr>
        <w:t>（4）项目建设地点：广州市荔湾区桥中南路与河沙路交口南侧的大坦沙污水处理厂内西北角处</w:t>
      </w:r>
    </w:p>
    <w:p>
      <w:pPr>
        <w:pStyle w:val="37"/>
        <w:numPr>
          <w:ilvl w:val="0"/>
          <w:numId w:val="0"/>
        </w:numPr>
        <w:ind w:leftChars="200"/>
        <w:rPr>
          <w:rFonts w:hint="default" w:ascii="宋体" w:hAnsi="Times New Roman" w:cs="宋体"/>
          <w:color w:val="auto"/>
          <w:sz w:val="24"/>
          <w:szCs w:val="24"/>
          <w:highlight w:val="none"/>
          <w:u w:val="none"/>
          <w:lang w:val="en-US" w:eastAsia="zh-CN"/>
        </w:rPr>
      </w:pPr>
      <w:r>
        <w:rPr>
          <w:rFonts w:hint="default" w:ascii="宋体" w:hAnsi="Times New Roman" w:cs="宋体"/>
          <w:color w:val="auto"/>
          <w:sz w:val="24"/>
          <w:szCs w:val="24"/>
          <w:highlight w:val="none"/>
          <w:u w:val="none"/>
          <w:lang w:val="en-US" w:eastAsia="zh-CN"/>
        </w:rPr>
        <w:t>（5）项目建设规模和内容：建成规模折合干基污泥约77吨/天的污泥处理系统，主要包括：污泥输送系统、污泥浓缩调理系统、深度脱水处理系统、污泥干化处理系统、车间除臭系统。工程将拆除现有一二期脱水机房、储泥池、门卫室及 3#、4#污泥浓缩池。在此建设一座储泥池，一座污泥深度脱水干化车间，项目总建设用地面积约5630m2。</w:t>
      </w:r>
    </w:p>
    <w:p>
      <w:pPr>
        <w:pStyle w:val="37"/>
        <w:numPr>
          <w:ilvl w:val="0"/>
          <w:numId w:val="0"/>
        </w:numPr>
        <w:ind w:leftChars="200"/>
        <w:rPr>
          <w:rFonts w:hint="default" w:ascii="宋体" w:hAnsi="Times New Roman" w:cs="宋体"/>
          <w:color w:val="auto"/>
          <w:sz w:val="24"/>
          <w:szCs w:val="24"/>
          <w:highlight w:val="none"/>
          <w:u w:val="none"/>
          <w:lang w:val="en-US" w:eastAsia="zh-CN"/>
        </w:rPr>
      </w:pPr>
      <w:r>
        <w:rPr>
          <w:rFonts w:hint="default" w:ascii="宋体" w:hAnsi="Times New Roman" w:cs="宋体"/>
          <w:color w:val="auto"/>
          <w:sz w:val="24"/>
          <w:szCs w:val="24"/>
          <w:highlight w:val="none"/>
          <w:u w:val="none"/>
          <w:lang w:val="en-US" w:eastAsia="zh-CN"/>
        </w:rPr>
        <w:t>（6）总投资：项目总投资为153091455.26元。</w:t>
      </w:r>
    </w:p>
    <w:p>
      <w:pPr>
        <w:pStyle w:val="3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textAlignment w:val="auto"/>
        <w:rPr>
          <w:rFonts w:hint="default" w:ascii="宋体" w:hAnsi="Times New Roman" w:cs="宋体"/>
          <w:b/>
          <w:bCs/>
          <w:color w:val="auto"/>
          <w:sz w:val="24"/>
          <w:szCs w:val="24"/>
          <w:highlight w:val="none"/>
          <w:u w:val="none"/>
          <w:lang w:val="en-US" w:eastAsia="zh-CN"/>
        </w:rPr>
      </w:pPr>
      <w:bookmarkStart w:id="61" w:name="_Toc433215045"/>
      <w:r>
        <w:rPr>
          <w:rFonts w:hint="default" w:ascii="宋体" w:hAnsi="Times New Roman" w:cs="宋体"/>
          <w:b/>
          <w:bCs/>
          <w:color w:val="auto"/>
          <w:sz w:val="24"/>
          <w:szCs w:val="24"/>
          <w:highlight w:val="none"/>
          <w:u w:val="none"/>
          <w:lang w:val="en-US" w:eastAsia="zh-CN"/>
        </w:rPr>
        <w:t>沥滘污水处理厂厂内污泥干化减量工程</w:t>
      </w:r>
    </w:p>
    <w:bookmarkEnd w:id="61"/>
    <w:p>
      <w:pPr>
        <w:pStyle w:val="37"/>
        <w:numPr>
          <w:ilvl w:val="0"/>
          <w:numId w:val="0"/>
        </w:numPr>
        <w:ind w:leftChars="200"/>
        <w:rPr>
          <w:rFonts w:hint="default" w:ascii="宋体" w:hAnsi="Times New Roman" w:cs="宋体"/>
          <w:color w:val="auto"/>
          <w:sz w:val="24"/>
          <w:szCs w:val="24"/>
          <w:highlight w:val="none"/>
          <w:u w:val="none"/>
          <w:lang w:val="en-US" w:eastAsia="zh-CN"/>
        </w:rPr>
      </w:pPr>
      <w:r>
        <w:rPr>
          <w:rFonts w:hint="default" w:ascii="宋体" w:hAnsi="Times New Roman" w:cs="宋体"/>
          <w:color w:val="auto"/>
          <w:sz w:val="24"/>
          <w:szCs w:val="24"/>
          <w:highlight w:val="none"/>
          <w:u w:val="none"/>
          <w:lang w:val="en-US" w:eastAsia="zh-CN"/>
        </w:rPr>
        <w:t>（1）项目名称：沥滘污水处理厂厂内污泥干化减量工程</w:t>
      </w:r>
    </w:p>
    <w:p>
      <w:pPr>
        <w:pStyle w:val="37"/>
        <w:numPr>
          <w:ilvl w:val="0"/>
          <w:numId w:val="0"/>
        </w:numPr>
        <w:ind w:leftChars="200"/>
        <w:rPr>
          <w:rFonts w:hint="default" w:ascii="宋体" w:hAnsi="Times New Roman" w:cs="宋体"/>
          <w:color w:val="auto"/>
          <w:sz w:val="24"/>
          <w:szCs w:val="24"/>
          <w:highlight w:val="none"/>
          <w:u w:val="none"/>
          <w:lang w:val="en-US" w:eastAsia="zh-CN"/>
        </w:rPr>
      </w:pPr>
      <w:r>
        <w:rPr>
          <w:rFonts w:hint="default" w:ascii="宋体" w:hAnsi="Times New Roman" w:cs="宋体"/>
          <w:color w:val="auto"/>
          <w:sz w:val="24"/>
          <w:szCs w:val="24"/>
          <w:highlight w:val="none"/>
          <w:u w:val="none"/>
          <w:lang w:val="en-US" w:eastAsia="zh-CN"/>
        </w:rPr>
        <w:t>（2）项目性质：改建</w:t>
      </w:r>
    </w:p>
    <w:p>
      <w:pPr>
        <w:pStyle w:val="37"/>
        <w:numPr>
          <w:ilvl w:val="0"/>
          <w:numId w:val="0"/>
        </w:numPr>
        <w:ind w:leftChars="200"/>
        <w:rPr>
          <w:rFonts w:hint="default" w:ascii="宋体" w:hAnsi="Times New Roman" w:cs="宋体"/>
          <w:color w:val="auto"/>
          <w:sz w:val="24"/>
          <w:szCs w:val="24"/>
          <w:highlight w:val="none"/>
          <w:u w:val="none"/>
          <w:lang w:val="en-US" w:eastAsia="zh-CN"/>
        </w:rPr>
      </w:pPr>
      <w:r>
        <w:rPr>
          <w:rFonts w:hint="default" w:ascii="宋体" w:hAnsi="Times New Roman" w:cs="宋体"/>
          <w:color w:val="auto"/>
          <w:sz w:val="24"/>
          <w:szCs w:val="24"/>
          <w:highlight w:val="none"/>
          <w:u w:val="none"/>
          <w:lang w:val="en-US" w:eastAsia="zh-CN"/>
        </w:rPr>
        <w:t>（3）建设单位：广州市净水有限公司</w:t>
      </w:r>
    </w:p>
    <w:p>
      <w:pPr>
        <w:pStyle w:val="37"/>
        <w:numPr>
          <w:ilvl w:val="0"/>
          <w:numId w:val="0"/>
        </w:numPr>
        <w:ind w:leftChars="200"/>
        <w:rPr>
          <w:rFonts w:hint="default" w:ascii="宋体" w:hAnsi="Times New Roman" w:cs="宋体"/>
          <w:color w:val="auto"/>
          <w:sz w:val="24"/>
          <w:szCs w:val="24"/>
          <w:highlight w:val="none"/>
          <w:u w:val="none"/>
          <w:lang w:val="en-US" w:eastAsia="zh-CN"/>
        </w:rPr>
      </w:pPr>
      <w:r>
        <w:rPr>
          <w:rFonts w:hint="default" w:ascii="宋体" w:hAnsi="Times New Roman" w:cs="宋体"/>
          <w:color w:val="auto"/>
          <w:sz w:val="24"/>
          <w:szCs w:val="24"/>
          <w:highlight w:val="none"/>
          <w:u w:val="none"/>
          <w:lang w:val="en-US" w:eastAsia="zh-CN"/>
        </w:rPr>
        <w:t>（4）项目建设地点：广州市海珠区小洲二围、三围地段的沥滘污水处理厂</w:t>
      </w:r>
    </w:p>
    <w:p>
      <w:pPr>
        <w:pStyle w:val="37"/>
        <w:numPr>
          <w:ilvl w:val="0"/>
          <w:numId w:val="0"/>
        </w:numPr>
        <w:ind w:leftChars="200"/>
        <w:rPr>
          <w:rFonts w:hint="default" w:ascii="宋体" w:hAnsi="Times New Roman" w:cs="宋体"/>
          <w:color w:val="auto"/>
          <w:sz w:val="24"/>
          <w:szCs w:val="24"/>
          <w:highlight w:val="none"/>
          <w:u w:val="none"/>
          <w:lang w:val="en-US" w:eastAsia="zh-CN"/>
        </w:rPr>
      </w:pPr>
      <w:r>
        <w:rPr>
          <w:rFonts w:hint="default" w:ascii="宋体" w:hAnsi="Times New Roman" w:cs="宋体"/>
          <w:color w:val="auto"/>
          <w:sz w:val="24"/>
          <w:szCs w:val="24"/>
          <w:highlight w:val="none"/>
          <w:u w:val="none"/>
          <w:lang w:val="en-US" w:eastAsia="zh-CN"/>
        </w:rPr>
        <w:t>（5）项目建设规模和内容：建成规模折合干基污泥约71吨/天的污泥处理系统，主要包括：污泥输送系统、污泥浓缩调理系统、深度脱水处理系统、污泥干化处理系统、车间除臭系统。工程主要新建污泥脱水干化车间1座，储泥池1座，复建仓库1座，迁建地磅1座，拆除现状机修车间及仓库1座。用地面积约4500m2。</w:t>
      </w:r>
    </w:p>
    <w:p>
      <w:pPr>
        <w:pStyle w:val="37"/>
        <w:numPr>
          <w:ilvl w:val="0"/>
          <w:numId w:val="0"/>
        </w:numPr>
        <w:ind w:leftChars="200"/>
        <w:rPr>
          <w:rFonts w:hint="default" w:ascii="宋体" w:hAnsi="Times New Roman" w:cs="宋体"/>
          <w:color w:val="auto"/>
          <w:sz w:val="24"/>
          <w:szCs w:val="24"/>
          <w:highlight w:val="none"/>
          <w:u w:val="none"/>
          <w:lang w:val="en-US" w:eastAsia="zh-CN"/>
        </w:rPr>
      </w:pPr>
      <w:r>
        <w:rPr>
          <w:rFonts w:hint="default" w:ascii="宋体" w:hAnsi="Times New Roman" w:cs="宋体"/>
          <w:color w:val="auto"/>
          <w:sz w:val="24"/>
          <w:szCs w:val="24"/>
          <w:highlight w:val="none"/>
          <w:u w:val="none"/>
          <w:lang w:val="en-US" w:eastAsia="zh-CN"/>
        </w:rPr>
        <w:t>（6）总投资：项目总投资为148601148.97元。</w:t>
      </w:r>
    </w:p>
    <w:p>
      <w:pPr>
        <w:pStyle w:val="3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textAlignment w:val="auto"/>
        <w:rPr>
          <w:rFonts w:hint="default" w:ascii="宋体" w:hAnsi="Times New Roman" w:cs="宋体"/>
          <w:b/>
          <w:bCs/>
          <w:color w:val="auto"/>
          <w:sz w:val="24"/>
          <w:szCs w:val="24"/>
          <w:highlight w:val="none"/>
          <w:u w:val="none"/>
          <w:lang w:val="en-US" w:eastAsia="zh-CN"/>
        </w:rPr>
      </w:pPr>
      <w:r>
        <w:rPr>
          <w:rFonts w:hint="default" w:ascii="宋体" w:hAnsi="Times New Roman" w:cs="宋体"/>
          <w:b/>
          <w:bCs/>
          <w:color w:val="auto"/>
          <w:sz w:val="24"/>
          <w:szCs w:val="24"/>
          <w:highlight w:val="none"/>
          <w:u w:val="none"/>
          <w:lang w:val="en-US" w:eastAsia="zh-CN"/>
        </w:rPr>
        <w:t>西朗污水处理厂厂内污泥干化减量工程</w:t>
      </w:r>
    </w:p>
    <w:p>
      <w:pPr>
        <w:pStyle w:val="37"/>
        <w:numPr>
          <w:ilvl w:val="0"/>
          <w:numId w:val="0"/>
        </w:numPr>
        <w:ind w:leftChars="200"/>
        <w:rPr>
          <w:rFonts w:hint="default" w:ascii="宋体" w:hAnsi="Times New Roman" w:cs="宋体"/>
          <w:color w:val="auto"/>
          <w:sz w:val="24"/>
          <w:szCs w:val="24"/>
          <w:highlight w:val="none"/>
          <w:u w:val="none"/>
          <w:lang w:val="en-US" w:eastAsia="zh-CN"/>
        </w:rPr>
      </w:pPr>
      <w:r>
        <w:rPr>
          <w:rFonts w:hint="default" w:ascii="宋体" w:hAnsi="Times New Roman" w:cs="宋体"/>
          <w:color w:val="auto"/>
          <w:sz w:val="24"/>
          <w:szCs w:val="24"/>
          <w:highlight w:val="none"/>
          <w:u w:val="none"/>
          <w:lang w:val="en-US" w:eastAsia="zh-CN"/>
        </w:rPr>
        <w:t>（1）项目名称：西朗污水处理厂厂内污泥干化减量工程</w:t>
      </w:r>
    </w:p>
    <w:p>
      <w:pPr>
        <w:pStyle w:val="37"/>
        <w:numPr>
          <w:ilvl w:val="0"/>
          <w:numId w:val="0"/>
        </w:numPr>
        <w:ind w:leftChars="200"/>
        <w:rPr>
          <w:rFonts w:hint="default" w:ascii="宋体" w:hAnsi="Times New Roman" w:cs="宋体"/>
          <w:color w:val="auto"/>
          <w:sz w:val="24"/>
          <w:szCs w:val="24"/>
          <w:highlight w:val="none"/>
          <w:u w:val="none"/>
          <w:lang w:val="en-US" w:eastAsia="zh-CN"/>
        </w:rPr>
      </w:pPr>
      <w:r>
        <w:rPr>
          <w:rFonts w:hint="default" w:ascii="宋体" w:hAnsi="Times New Roman" w:cs="宋体"/>
          <w:color w:val="auto"/>
          <w:sz w:val="24"/>
          <w:szCs w:val="24"/>
          <w:highlight w:val="none"/>
          <w:u w:val="none"/>
          <w:lang w:val="en-US" w:eastAsia="zh-CN"/>
        </w:rPr>
        <w:t>（2）项目性质：改建</w:t>
      </w:r>
    </w:p>
    <w:p>
      <w:pPr>
        <w:pStyle w:val="37"/>
        <w:numPr>
          <w:ilvl w:val="0"/>
          <w:numId w:val="0"/>
        </w:numPr>
        <w:ind w:leftChars="200"/>
        <w:rPr>
          <w:rFonts w:hint="default" w:ascii="宋体" w:hAnsi="Times New Roman" w:cs="宋体"/>
          <w:color w:val="auto"/>
          <w:sz w:val="24"/>
          <w:szCs w:val="24"/>
          <w:highlight w:val="none"/>
          <w:u w:val="none"/>
          <w:lang w:val="en-US" w:eastAsia="zh-CN"/>
        </w:rPr>
      </w:pPr>
      <w:r>
        <w:rPr>
          <w:rFonts w:hint="default" w:ascii="宋体" w:hAnsi="Times New Roman" w:cs="宋体"/>
          <w:color w:val="auto"/>
          <w:sz w:val="24"/>
          <w:szCs w:val="24"/>
          <w:highlight w:val="none"/>
          <w:u w:val="none"/>
          <w:lang w:val="en-US" w:eastAsia="zh-CN"/>
        </w:rPr>
        <w:t>（3）建设单位：广州市净水有限公司</w:t>
      </w:r>
    </w:p>
    <w:p>
      <w:pPr>
        <w:pStyle w:val="37"/>
        <w:numPr>
          <w:ilvl w:val="0"/>
          <w:numId w:val="0"/>
        </w:numPr>
        <w:ind w:leftChars="200"/>
        <w:rPr>
          <w:rFonts w:hint="default" w:ascii="宋体" w:hAnsi="Times New Roman" w:cs="宋体"/>
          <w:color w:val="auto"/>
          <w:sz w:val="24"/>
          <w:szCs w:val="24"/>
          <w:highlight w:val="none"/>
          <w:u w:val="none"/>
          <w:lang w:val="en-US" w:eastAsia="zh-CN"/>
        </w:rPr>
      </w:pPr>
      <w:r>
        <w:rPr>
          <w:rFonts w:hint="default" w:ascii="宋体" w:hAnsi="Times New Roman" w:cs="宋体"/>
          <w:color w:val="auto"/>
          <w:sz w:val="24"/>
          <w:szCs w:val="24"/>
          <w:highlight w:val="none"/>
          <w:u w:val="none"/>
          <w:lang w:val="en-US" w:eastAsia="zh-CN"/>
        </w:rPr>
        <w:t>（4）项目建设地点：广州市荔湾区芳村环翠路与南环高速交界处的西朗污水处理厂内北侧</w:t>
      </w:r>
    </w:p>
    <w:p>
      <w:pPr>
        <w:pStyle w:val="37"/>
        <w:numPr>
          <w:ilvl w:val="0"/>
          <w:numId w:val="0"/>
        </w:numPr>
        <w:ind w:leftChars="200"/>
        <w:rPr>
          <w:rFonts w:hint="default" w:ascii="宋体" w:hAnsi="Times New Roman" w:cs="宋体"/>
          <w:color w:val="auto"/>
          <w:sz w:val="24"/>
          <w:szCs w:val="24"/>
          <w:highlight w:val="none"/>
          <w:u w:val="none"/>
          <w:lang w:val="en-US" w:eastAsia="zh-CN"/>
        </w:rPr>
      </w:pPr>
      <w:r>
        <w:rPr>
          <w:rFonts w:hint="default" w:ascii="宋体" w:hAnsi="Times New Roman" w:cs="宋体"/>
          <w:color w:val="auto"/>
          <w:sz w:val="24"/>
          <w:szCs w:val="24"/>
          <w:highlight w:val="none"/>
          <w:u w:val="none"/>
          <w:lang w:val="en-US" w:eastAsia="zh-CN"/>
        </w:rPr>
        <w:t>（5）项目建设规模和内容：建成规模折合干基污泥约30吨/天的污泥处理系统，主要包括：污泥输送系统、污泥浓缩调理系统、深度脱水处理系统、污泥干化处理系统、车间除臭系统。工程将建设一座污泥深度脱水干化车间、一座储泥池以及配套的道路绿化，项目用地面积约4500m2。</w:t>
      </w:r>
    </w:p>
    <w:p>
      <w:pPr>
        <w:pStyle w:val="37"/>
        <w:numPr>
          <w:ilvl w:val="0"/>
          <w:numId w:val="0"/>
        </w:numPr>
        <w:ind w:leftChars="200"/>
        <w:rPr>
          <w:rFonts w:hint="default" w:ascii="宋体" w:hAnsi="Times New Roman" w:cs="宋体"/>
          <w:color w:val="auto"/>
          <w:sz w:val="24"/>
          <w:szCs w:val="24"/>
          <w:highlight w:val="none"/>
          <w:u w:val="none"/>
          <w:lang w:val="en-US" w:eastAsia="zh-CN"/>
        </w:rPr>
      </w:pPr>
      <w:r>
        <w:rPr>
          <w:rFonts w:hint="default" w:ascii="宋体" w:hAnsi="Times New Roman" w:cs="宋体"/>
          <w:color w:val="auto"/>
          <w:sz w:val="24"/>
          <w:szCs w:val="24"/>
          <w:highlight w:val="none"/>
          <w:u w:val="none"/>
          <w:lang w:val="en-US" w:eastAsia="zh-CN"/>
        </w:rPr>
        <w:t>（6）总投资：项目总投资为75646686.42元。</w:t>
      </w:r>
      <w:r>
        <w:rPr>
          <w:rFonts w:hint="eastAsia" w:ascii="宋体" w:hAnsi="Times New Roman" w:cs="宋体"/>
          <w:color w:val="auto"/>
          <w:sz w:val="24"/>
          <w:szCs w:val="24"/>
          <w:highlight w:val="none"/>
          <w:u w:val="none"/>
          <w:lang w:val="en-US" w:eastAsia="zh-CN"/>
        </w:rPr>
        <w:t xml:space="preserve">      </w:t>
      </w:r>
    </w:p>
    <w:p>
      <w:pPr>
        <w:pStyle w:val="3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textAlignment w:val="auto"/>
        <w:rPr>
          <w:rFonts w:hint="default" w:ascii="宋体" w:hAnsi="Times New Roman" w:cs="宋体"/>
          <w:b/>
          <w:bCs/>
          <w:color w:val="auto"/>
          <w:sz w:val="24"/>
          <w:szCs w:val="24"/>
          <w:highlight w:val="none"/>
          <w:u w:val="none"/>
          <w:lang w:val="en-US" w:eastAsia="zh-CN"/>
        </w:rPr>
      </w:pPr>
      <w:r>
        <w:rPr>
          <w:rFonts w:hint="default" w:ascii="宋体" w:hAnsi="Times New Roman" w:cs="宋体"/>
          <w:b/>
          <w:bCs/>
          <w:color w:val="auto"/>
          <w:sz w:val="24"/>
          <w:szCs w:val="24"/>
          <w:highlight w:val="none"/>
          <w:u w:val="none"/>
          <w:lang w:val="en-US" w:eastAsia="zh-CN"/>
        </w:rPr>
        <w:t>石井污水处理厂厂内污泥干化减量技术改造试点工程</w:t>
      </w:r>
    </w:p>
    <w:p>
      <w:pPr>
        <w:pStyle w:val="37"/>
        <w:numPr>
          <w:ilvl w:val="0"/>
          <w:numId w:val="0"/>
        </w:numPr>
        <w:ind w:leftChars="200"/>
        <w:rPr>
          <w:rFonts w:hint="default" w:ascii="宋体" w:hAnsi="Times New Roman" w:cs="宋体"/>
          <w:color w:val="auto"/>
          <w:sz w:val="24"/>
          <w:szCs w:val="24"/>
          <w:highlight w:val="none"/>
          <w:u w:val="none"/>
          <w:lang w:val="en-US" w:eastAsia="zh-CN"/>
        </w:rPr>
      </w:pPr>
      <w:r>
        <w:rPr>
          <w:rFonts w:hint="default" w:ascii="宋体" w:hAnsi="Times New Roman" w:cs="宋体"/>
          <w:color w:val="auto"/>
          <w:sz w:val="24"/>
          <w:szCs w:val="24"/>
          <w:highlight w:val="none"/>
          <w:u w:val="none"/>
          <w:lang w:val="en-US" w:eastAsia="zh-CN"/>
        </w:rPr>
        <w:t>（1）项目名称：石井污水处理厂厂内污泥干化减量技术改造试点工程</w:t>
      </w:r>
    </w:p>
    <w:p>
      <w:pPr>
        <w:pStyle w:val="37"/>
        <w:numPr>
          <w:ilvl w:val="0"/>
          <w:numId w:val="0"/>
        </w:numPr>
        <w:ind w:leftChars="200"/>
        <w:rPr>
          <w:rFonts w:hint="default" w:ascii="宋体" w:hAnsi="Times New Roman" w:cs="宋体"/>
          <w:color w:val="auto"/>
          <w:sz w:val="24"/>
          <w:szCs w:val="24"/>
          <w:highlight w:val="none"/>
          <w:u w:val="none"/>
          <w:lang w:val="en-US" w:eastAsia="zh-CN"/>
        </w:rPr>
      </w:pPr>
      <w:r>
        <w:rPr>
          <w:rFonts w:hint="default" w:ascii="宋体" w:hAnsi="Times New Roman" w:cs="宋体"/>
          <w:color w:val="auto"/>
          <w:sz w:val="24"/>
          <w:szCs w:val="24"/>
          <w:highlight w:val="none"/>
          <w:u w:val="none"/>
          <w:lang w:val="en-US" w:eastAsia="zh-CN"/>
        </w:rPr>
        <w:t>（2）项目性质：改建</w:t>
      </w:r>
    </w:p>
    <w:p>
      <w:pPr>
        <w:pStyle w:val="37"/>
        <w:numPr>
          <w:ilvl w:val="0"/>
          <w:numId w:val="0"/>
        </w:numPr>
        <w:ind w:leftChars="200"/>
        <w:rPr>
          <w:rFonts w:hint="default" w:ascii="宋体" w:hAnsi="Times New Roman" w:cs="宋体"/>
          <w:color w:val="auto"/>
          <w:sz w:val="24"/>
          <w:szCs w:val="24"/>
          <w:highlight w:val="none"/>
          <w:u w:val="none"/>
          <w:lang w:val="en-US" w:eastAsia="zh-CN"/>
        </w:rPr>
      </w:pPr>
      <w:r>
        <w:rPr>
          <w:rFonts w:hint="default" w:ascii="宋体" w:hAnsi="Times New Roman" w:cs="宋体"/>
          <w:color w:val="auto"/>
          <w:sz w:val="24"/>
          <w:szCs w:val="24"/>
          <w:highlight w:val="none"/>
          <w:u w:val="none"/>
          <w:lang w:val="en-US" w:eastAsia="zh-CN"/>
        </w:rPr>
        <w:t>（3）建设单位：广州市净水有限公司</w:t>
      </w:r>
    </w:p>
    <w:p>
      <w:pPr>
        <w:pStyle w:val="37"/>
        <w:numPr>
          <w:ilvl w:val="0"/>
          <w:numId w:val="0"/>
        </w:numPr>
        <w:ind w:leftChars="200"/>
        <w:rPr>
          <w:rFonts w:hint="default" w:ascii="宋体" w:hAnsi="Times New Roman" w:cs="宋体"/>
          <w:color w:val="auto"/>
          <w:sz w:val="24"/>
          <w:szCs w:val="24"/>
          <w:highlight w:val="none"/>
          <w:u w:val="none"/>
          <w:lang w:val="en-US" w:eastAsia="zh-CN"/>
        </w:rPr>
      </w:pPr>
      <w:r>
        <w:rPr>
          <w:rFonts w:hint="default" w:ascii="宋体" w:hAnsi="Times New Roman" w:cs="宋体"/>
          <w:color w:val="auto"/>
          <w:sz w:val="24"/>
          <w:szCs w:val="24"/>
          <w:highlight w:val="none"/>
          <w:u w:val="none"/>
          <w:lang w:val="en-US" w:eastAsia="zh-CN"/>
        </w:rPr>
        <w:t>（4）项目建设地点：广州市白云区夏花一路石井污水处理厂内</w:t>
      </w:r>
    </w:p>
    <w:p>
      <w:pPr>
        <w:pStyle w:val="37"/>
        <w:numPr>
          <w:ilvl w:val="0"/>
          <w:numId w:val="0"/>
        </w:numPr>
        <w:ind w:leftChars="200"/>
        <w:rPr>
          <w:rFonts w:hint="default" w:ascii="宋体" w:hAnsi="Times New Roman" w:cs="宋体"/>
          <w:color w:val="auto"/>
          <w:sz w:val="24"/>
          <w:szCs w:val="24"/>
          <w:highlight w:val="none"/>
          <w:u w:val="none"/>
          <w:lang w:val="en-US" w:eastAsia="zh-CN"/>
        </w:rPr>
      </w:pPr>
      <w:r>
        <w:rPr>
          <w:rFonts w:hint="default" w:ascii="宋体" w:hAnsi="Times New Roman" w:cs="宋体"/>
          <w:color w:val="auto"/>
          <w:sz w:val="24"/>
          <w:szCs w:val="24"/>
          <w:highlight w:val="none"/>
          <w:u w:val="none"/>
          <w:lang w:val="en-US" w:eastAsia="zh-CN"/>
        </w:rPr>
        <w:t>（5）项目建设规模和内容：建成规模折合干基污泥约18吨/天的污泥处理系统，分首期及二期建设，其中土建工程一次建成，设备分期安装，主要包括：污泥浓缩调理系统、板框压滤脱水系统、污泥干化处理系统、车间除臭系统。项目用地面积约1000m2。</w:t>
      </w:r>
    </w:p>
    <w:p>
      <w:pPr>
        <w:pStyle w:val="37"/>
        <w:numPr>
          <w:ilvl w:val="0"/>
          <w:numId w:val="0"/>
        </w:numPr>
        <w:ind w:leftChars="200"/>
        <w:rPr>
          <w:rFonts w:hint="default" w:ascii="宋体" w:hAnsi="Times New Roman" w:cs="宋体"/>
          <w:color w:val="auto"/>
          <w:sz w:val="24"/>
          <w:szCs w:val="24"/>
          <w:highlight w:val="none"/>
          <w:u w:val="none"/>
          <w:lang w:val="en-US" w:eastAsia="zh-CN"/>
        </w:rPr>
      </w:pPr>
      <w:r>
        <w:rPr>
          <w:rFonts w:hint="default" w:ascii="宋体" w:hAnsi="Times New Roman" w:cs="宋体"/>
          <w:color w:val="auto"/>
          <w:sz w:val="24"/>
          <w:szCs w:val="24"/>
          <w:highlight w:val="none"/>
          <w:u w:val="none"/>
          <w:lang w:val="en-US" w:eastAsia="zh-CN"/>
        </w:rPr>
        <w:t>（6）总投资：项目总投资为3973.35万元。</w:t>
      </w:r>
      <w:r>
        <w:rPr>
          <w:rFonts w:hint="eastAsia" w:ascii="宋体" w:hAnsi="Times New Roman" w:cs="宋体"/>
          <w:color w:val="auto"/>
          <w:sz w:val="24"/>
          <w:szCs w:val="24"/>
          <w:highlight w:val="none"/>
          <w:u w:val="none"/>
          <w:lang w:val="en-US" w:eastAsia="zh-CN"/>
        </w:rPr>
        <w:t xml:space="preserve"> </w:t>
      </w:r>
    </w:p>
    <w:p>
      <w:pPr>
        <w:pStyle w:val="13"/>
        <w:keepNext w:val="0"/>
        <w:keepLines w:val="0"/>
        <w:pageBreakBefore w:val="0"/>
        <w:widowControl w:val="0"/>
        <w:numPr>
          <w:ilvl w:val="0"/>
          <w:numId w:val="6"/>
        </w:numPr>
        <w:kinsoku/>
        <w:wordWrap/>
        <w:overflowPunct/>
        <w:topLinePunct w:val="0"/>
        <w:autoSpaceDE/>
        <w:autoSpaceDN/>
        <w:bidi w:val="0"/>
        <w:adjustRightInd w:val="0"/>
        <w:snapToGrid w:val="0"/>
        <w:spacing w:before="192" w:beforeLines="50" w:after="192" w:afterLines="50" w:line="300" w:lineRule="auto"/>
        <w:textAlignment w:val="auto"/>
        <w:rPr>
          <w:rFonts w:hint="default" w:ascii="宋体" w:hAnsi="Times New Roman" w:cs="宋体"/>
          <w:color w:val="auto"/>
          <w:sz w:val="24"/>
          <w:szCs w:val="24"/>
          <w:highlight w:val="none"/>
          <w:u w:val="none"/>
          <w:lang w:val="en-US" w:eastAsia="zh-CN"/>
        </w:rPr>
      </w:pPr>
      <w:r>
        <w:rPr>
          <w:rFonts w:hint="eastAsia" w:ascii="仿宋" w:hAnsi="仿宋" w:eastAsia="仿宋" w:cs="仿宋_GB2312"/>
          <w:b/>
          <w:color w:val="auto"/>
          <w:sz w:val="24"/>
          <w:szCs w:val="24"/>
          <w:highlight w:val="none"/>
          <w:lang w:val="en-US" w:eastAsia="zh-CN"/>
        </w:rPr>
        <w:t>节能验收工作内容及要求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根据《固定资产投资项目节能验收工作指南》（2018年本），节能验收工作内容主要包括</w:t>
      </w:r>
      <w:r>
        <w:rPr>
          <w:rFonts w:hint="eastAsia" w:ascii="仿宋" w:hAnsi="仿宋" w:eastAsia="仿宋" w:cs="仿宋"/>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1、建设方案 以节能审查意见批复时确定的项目建设规模、总平面布置、主要用能工艺（工序）以及辅助和附属生产工序为依据，对照项目施工和竣工资料，进行实地查验，验收项目建设方案是否发生重大变更，是否满足节能审查要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2、用能设备 以节能审查意见批复时确定的主要用能设备等的数量、型式、效率或能效等级等为依据，对照供货合同、设备铭牌、设备一览表等资料，现场查验设备运行情况，验收项目的用能设备是否落实节能审查要求。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3、节能技术和管理措施 以节能审查阶段提出的节能技术措施为依据，对照项目施工和竣工资料，进行实地查验，验收项目的节能技术措施是否落实节能审查要求；以节能审查阶段提出的节能管理措施为依据，对照项目的能源管理机构设置、制度建设、人员配备等情况是否落实节能审查要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4、能源计量器具 以《用能单位能源计量器具配备和管理通则》（GB17167）和行业相关计量标准为依据，对照项目能源计量器具一览表，进行实地查验，验收项目的能源计量器具配备是否满足相关标准要求。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GB"/>
        </w:rPr>
        <w:t>5、能效水平 以节能审查意见批复时确定的项目主要能效指标或主要工序（装置）能效指标，对照项目的性能试验数据或运行数据等，验收项目的主要能效指标是否落实节能审查要求。</w:t>
      </w:r>
      <w:r>
        <w:rPr>
          <w:rFonts w:hint="eastAsia" w:ascii="仿宋" w:hAnsi="仿宋" w:eastAsia="仿宋" w:cs="仿宋"/>
          <w:color w:val="auto"/>
          <w:sz w:val="24"/>
          <w:szCs w:val="24"/>
          <w:highlight w:val="none"/>
          <w:lang w:val="en-US" w:eastAsia="zh-CN"/>
        </w:rPr>
        <w:tab/>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6、能源消费量 依据项目实际建成情况，测算项目年综合能源消费量，验收项目能源消费量情况是否满足节能审查要求。</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lang w:val="en-GB"/>
        </w:rPr>
        <w:t>7、其他相关内容 节能审查要求的其他内容。</w:t>
      </w:r>
    </w:p>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before="192" w:beforeLines="50" w:line="300" w:lineRule="auto"/>
        <w:jc w:val="center"/>
        <w:textAlignment w:val="auto"/>
        <w:rPr>
          <w:rFonts w:hint="eastAsia" w:ascii="宋体" w:hAnsi="宋体" w:eastAsia="宋体" w:cs="宋体"/>
          <w:b/>
          <w:bCs/>
          <w:color w:val="auto"/>
          <w:spacing w:val="-4"/>
          <w:kern w:val="0"/>
          <w:sz w:val="18"/>
          <w:szCs w:val="18"/>
          <w:highlight w:val="none"/>
          <w:lang w:val="en-US" w:eastAsia="zh-CN" w:bidi="ar-SA"/>
        </w:rPr>
      </w:pPr>
      <w:r>
        <w:rPr>
          <w:rFonts w:hint="eastAsia" w:ascii="宋体" w:hAnsi="宋体" w:eastAsia="宋体" w:cs="宋体"/>
          <w:b/>
          <w:bCs/>
          <w:color w:val="auto"/>
          <w:spacing w:val="-4"/>
          <w:kern w:val="0"/>
          <w:sz w:val="18"/>
          <w:szCs w:val="18"/>
          <w:highlight w:val="none"/>
          <w:lang w:val="en-US" w:eastAsia="zh-CN" w:bidi="ar-SA"/>
        </w:rPr>
        <w:t>节能验收工作计划</w:t>
      </w:r>
    </w:p>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before="192" w:beforeLines="50" w:line="300" w:lineRule="auto"/>
        <w:jc w:val="center"/>
        <w:textAlignment w:val="auto"/>
        <w:rPr>
          <w:rFonts w:hint="eastAsia" w:ascii="宋体" w:hAnsi="宋体" w:eastAsia="宋体" w:cs="宋体"/>
          <w:b/>
          <w:bCs/>
          <w:color w:val="auto"/>
          <w:spacing w:val="-4"/>
          <w:kern w:val="0"/>
          <w:sz w:val="18"/>
          <w:szCs w:val="18"/>
          <w:highlight w:val="none"/>
          <w:lang w:val="en-US" w:eastAsia="zh-CN" w:bidi="ar-SA"/>
        </w:rPr>
      </w:pPr>
      <w:r>
        <w:rPr>
          <w:rFonts w:hint="eastAsia" w:ascii="宋体" w:hAnsi="宋体" w:eastAsia="宋体" w:cs="宋体"/>
          <w:color w:val="auto"/>
          <w:spacing w:val="-1"/>
          <w:sz w:val="18"/>
          <w:szCs w:val="18"/>
          <w:highlight w:val="none"/>
          <w:lang w:val="en-US" w:eastAsia="zh-CN"/>
        </w:rPr>
        <w:t>工作周期：</w:t>
      </w:r>
      <w:r>
        <w:rPr>
          <w:rFonts w:hint="eastAsia" w:ascii="宋体" w:hAnsi="宋体" w:eastAsia="宋体" w:cs="宋体"/>
          <w:color w:val="auto"/>
          <w:spacing w:val="-1"/>
          <w:sz w:val="18"/>
          <w:szCs w:val="18"/>
          <w:highlight w:val="none"/>
          <w:lang w:eastAsia="zh-CN"/>
        </w:rPr>
        <w:t>总</w:t>
      </w:r>
      <w:r>
        <w:rPr>
          <w:rFonts w:hint="eastAsia" w:ascii="宋体" w:hAnsi="宋体" w:eastAsia="宋体" w:cs="宋体"/>
          <w:color w:val="auto"/>
          <w:spacing w:val="-3"/>
          <w:sz w:val="18"/>
          <w:szCs w:val="18"/>
          <w:highlight w:val="none"/>
          <w:lang w:eastAsia="zh-CN"/>
        </w:rPr>
        <w:t>计</w:t>
      </w:r>
      <w:r>
        <w:rPr>
          <w:rFonts w:hint="eastAsia" w:ascii="宋体" w:hAnsi="宋体" w:eastAsia="宋体" w:cs="宋体"/>
          <w:color w:val="auto"/>
          <w:spacing w:val="-1"/>
          <w:sz w:val="18"/>
          <w:szCs w:val="18"/>
          <w:highlight w:val="none"/>
          <w:lang w:eastAsia="zh-CN"/>
        </w:rPr>
        <w:t>约</w:t>
      </w:r>
      <w:r>
        <w:rPr>
          <w:rFonts w:hint="eastAsia" w:ascii="宋体" w:hAnsi="宋体" w:eastAsia="宋体" w:cs="宋体"/>
          <w:color w:val="auto"/>
          <w:sz w:val="18"/>
          <w:szCs w:val="18"/>
          <w:highlight w:val="none"/>
          <w:lang w:eastAsia="zh-CN"/>
        </w:rPr>
        <w:t>为</w:t>
      </w:r>
      <w:r>
        <w:rPr>
          <w:rFonts w:hint="eastAsia" w:ascii="宋体" w:hAnsi="宋体" w:eastAsia="宋体" w:cs="宋体"/>
          <w:color w:val="auto"/>
          <w:spacing w:val="-1"/>
          <w:sz w:val="18"/>
          <w:szCs w:val="18"/>
          <w:highlight w:val="none"/>
          <w:lang w:eastAsia="zh-CN"/>
        </w:rPr>
        <w:t xml:space="preserve"> </w:t>
      </w:r>
      <w:r>
        <w:rPr>
          <w:rFonts w:hint="eastAsia" w:hAnsi="宋体" w:eastAsia="宋体" w:cs="宋体"/>
          <w:color w:val="auto"/>
          <w:spacing w:val="-1"/>
          <w:sz w:val="18"/>
          <w:szCs w:val="18"/>
          <w:highlight w:val="none"/>
          <w:lang w:val="en-US" w:eastAsia="zh-CN"/>
        </w:rPr>
        <w:t>27</w:t>
      </w:r>
      <w:r>
        <w:rPr>
          <w:rFonts w:hint="eastAsia" w:ascii="宋体" w:hAnsi="宋体" w:eastAsia="宋体" w:cs="宋体"/>
          <w:color w:val="auto"/>
          <w:spacing w:val="-1"/>
          <w:sz w:val="18"/>
          <w:szCs w:val="18"/>
          <w:highlight w:val="none"/>
          <w:lang w:eastAsia="zh-CN"/>
        </w:rPr>
        <w:t>个</w:t>
      </w:r>
      <w:r>
        <w:rPr>
          <w:rFonts w:hint="eastAsia" w:ascii="宋体" w:hAnsi="宋体" w:eastAsia="宋体" w:cs="宋体"/>
          <w:color w:val="auto"/>
          <w:spacing w:val="-3"/>
          <w:sz w:val="18"/>
          <w:szCs w:val="18"/>
          <w:highlight w:val="none"/>
          <w:lang w:eastAsia="zh-CN"/>
        </w:rPr>
        <w:t>工</w:t>
      </w:r>
      <w:r>
        <w:rPr>
          <w:rFonts w:hint="eastAsia" w:ascii="宋体" w:hAnsi="宋体" w:eastAsia="宋体" w:cs="宋体"/>
          <w:color w:val="auto"/>
          <w:spacing w:val="-1"/>
          <w:sz w:val="18"/>
          <w:szCs w:val="18"/>
          <w:highlight w:val="none"/>
          <w:lang w:eastAsia="zh-CN"/>
        </w:rPr>
        <w:t>作日</w:t>
      </w:r>
      <w:r>
        <w:rPr>
          <w:rFonts w:hint="eastAsia" w:ascii="宋体" w:hAnsi="宋体" w:eastAsia="宋体" w:cs="宋体"/>
          <w:color w:val="auto"/>
          <w:sz w:val="18"/>
          <w:szCs w:val="18"/>
          <w:highlight w:val="none"/>
          <w:lang w:eastAsia="zh-CN"/>
        </w:rPr>
        <w:t>。</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458"/>
        <w:gridCol w:w="3373"/>
        <w:gridCol w:w="2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color w:val="auto"/>
                <w:highlight w:val="none"/>
                <w:vertAlign w:val="baseline"/>
                <w:lang w:val="en-US" w:eastAsia="zh-CN"/>
              </w:rPr>
            </w:pPr>
            <w:r>
              <w:rPr>
                <w:rFonts w:hint="eastAsia"/>
                <w:color w:val="auto"/>
                <w:sz w:val="18"/>
                <w:szCs w:val="18"/>
                <w:highlight w:val="none"/>
                <w:vertAlign w:val="baseline"/>
                <w:lang w:val="en-US" w:eastAsia="zh-CN"/>
              </w:rPr>
              <w:t>序号</w:t>
            </w:r>
          </w:p>
        </w:tc>
        <w:tc>
          <w:tcPr>
            <w:tcW w:w="2458" w:type="dxa"/>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color w:val="auto"/>
                <w:sz w:val="18"/>
                <w:szCs w:val="18"/>
                <w:highlight w:val="none"/>
                <w:vertAlign w:val="baseline"/>
                <w:lang w:val="en-US" w:eastAsia="zh-CN"/>
              </w:rPr>
            </w:pPr>
            <w:r>
              <w:rPr>
                <w:rFonts w:hint="eastAsia"/>
                <w:color w:val="auto"/>
                <w:sz w:val="18"/>
                <w:szCs w:val="18"/>
                <w:highlight w:val="none"/>
                <w:vertAlign w:val="baseline"/>
                <w:lang w:val="en-US" w:eastAsia="zh-CN"/>
              </w:rPr>
              <w:t>工作内容</w:t>
            </w:r>
          </w:p>
        </w:tc>
        <w:tc>
          <w:tcPr>
            <w:tcW w:w="3373" w:type="dxa"/>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color w:val="auto"/>
                <w:sz w:val="18"/>
                <w:szCs w:val="18"/>
                <w:highlight w:val="none"/>
                <w:vertAlign w:val="baseline"/>
                <w:lang w:val="en-US" w:eastAsia="zh-CN"/>
              </w:rPr>
            </w:pPr>
            <w:r>
              <w:rPr>
                <w:rFonts w:hint="eastAsia"/>
                <w:color w:val="auto"/>
                <w:sz w:val="18"/>
                <w:szCs w:val="18"/>
                <w:highlight w:val="none"/>
                <w:vertAlign w:val="baseline"/>
                <w:lang w:val="en-US" w:eastAsia="zh-CN"/>
              </w:rPr>
              <w:t>具体要求</w:t>
            </w:r>
          </w:p>
        </w:tc>
        <w:tc>
          <w:tcPr>
            <w:tcW w:w="2181" w:type="dxa"/>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color w:val="auto"/>
                <w:sz w:val="18"/>
                <w:szCs w:val="18"/>
                <w:highlight w:val="none"/>
                <w:vertAlign w:val="baseline"/>
                <w:lang w:val="en-US" w:eastAsia="zh-CN"/>
              </w:rPr>
            </w:pPr>
            <w:r>
              <w:rPr>
                <w:rFonts w:hint="eastAsia"/>
                <w:color w:val="auto"/>
                <w:sz w:val="18"/>
                <w:szCs w:val="18"/>
                <w:highlight w:val="none"/>
                <w:vertAlign w:val="baseline"/>
                <w:lang w:val="en-US" w:eastAsia="zh-CN"/>
              </w:rPr>
              <w:t>时间安排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09" w:type="dxa"/>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before="763" w:beforeLines="200" w:line="240" w:lineRule="auto"/>
              <w:jc w:val="center"/>
              <w:textAlignment w:val="auto"/>
              <w:rPr>
                <w:rFonts w:hint="default"/>
                <w:color w:val="auto"/>
                <w:highlight w:val="none"/>
                <w:vertAlign w:val="baseline"/>
                <w:lang w:val="en-US" w:eastAsia="zh-CN"/>
              </w:rPr>
            </w:pPr>
            <w:r>
              <w:rPr>
                <w:rFonts w:hint="eastAsia"/>
                <w:color w:val="auto"/>
                <w:highlight w:val="none"/>
                <w:vertAlign w:val="baseline"/>
                <w:lang w:val="en-US" w:eastAsia="zh-CN"/>
              </w:rPr>
              <w:t>1</w:t>
            </w:r>
          </w:p>
        </w:tc>
        <w:tc>
          <w:tcPr>
            <w:tcW w:w="2458" w:type="dxa"/>
          </w:tcPr>
          <w:p>
            <w:pPr>
              <w:keepNext w:val="0"/>
              <w:keepLines w:val="0"/>
              <w:pageBreakBefore w:val="0"/>
              <w:widowControl/>
              <w:suppressLineNumbers w:val="0"/>
              <w:kinsoku/>
              <w:wordWrap/>
              <w:overflowPunct/>
              <w:topLinePunct w:val="0"/>
              <w:autoSpaceDE/>
              <w:autoSpaceDN/>
              <w:bidi w:val="0"/>
              <w:adjustRightInd/>
              <w:snapToGrid/>
              <w:spacing w:before="763" w:beforeLines="20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项目分析与洽谈</w:t>
            </w:r>
          </w:p>
        </w:tc>
        <w:tc>
          <w:tcPr>
            <w:tcW w:w="3373" w:type="dxa"/>
          </w:tcPr>
          <w:p>
            <w:pPr>
              <w:keepNext w:val="0"/>
              <w:keepLines w:val="0"/>
              <w:widowControl/>
              <w:suppressLineNumbers w:val="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接受项目建设单位委托后，</w:t>
            </w:r>
            <w:r>
              <w:rPr>
                <w:rFonts w:hint="eastAsia" w:ascii="宋体" w:hAnsi="宋体" w:eastAsia="宋体" w:cs="宋体"/>
                <w:i w:val="0"/>
                <w:iCs w:val="0"/>
                <w:color w:val="auto"/>
                <w:kern w:val="0"/>
                <w:sz w:val="18"/>
                <w:szCs w:val="18"/>
                <w:highlight w:val="none"/>
                <w:u w:val="none"/>
                <w:lang w:val="en-US" w:eastAsia="zh-CN" w:bidi="ar"/>
              </w:rPr>
              <w:t>受委托方</w:t>
            </w:r>
            <w:r>
              <w:rPr>
                <w:rFonts w:hint="default" w:ascii="宋体" w:hAnsi="宋体" w:eastAsia="宋体" w:cs="宋体"/>
                <w:i w:val="0"/>
                <w:iCs w:val="0"/>
                <w:color w:val="auto"/>
                <w:kern w:val="0"/>
                <w:sz w:val="18"/>
                <w:szCs w:val="18"/>
                <w:highlight w:val="none"/>
                <w:u w:val="none"/>
                <w:lang w:val="en-US" w:eastAsia="zh-CN" w:bidi="ar"/>
              </w:rPr>
              <w:t>相关业务部门对项目进行初步分析，明确需编制的节能验收报告的范围和内容，与建设单位建立联系，了解委托需求，洽谈合作方式及合同等事宜。</w:t>
            </w:r>
          </w:p>
        </w:tc>
        <w:tc>
          <w:tcPr>
            <w:tcW w:w="2181" w:type="dxa"/>
          </w:tcPr>
          <w:p>
            <w:pPr>
              <w:keepNext w:val="0"/>
              <w:keepLines w:val="0"/>
              <w:pageBreakBefore w:val="0"/>
              <w:widowControl/>
              <w:suppressLineNumbers w:val="0"/>
              <w:kinsoku/>
              <w:wordWrap/>
              <w:overflowPunct/>
              <w:topLinePunct w:val="0"/>
              <w:autoSpaceDE/>
              <w:autoSpaceDN/>
              <w:bidi w:val="0"/>
              <w:adjustRightInd/>
              <w:snapToGrid/>
              <w:spacing w:before="763" w:beforeLines="200"/>
              <w:jc w:val="center"/>
              <w:textAlignment w:val="center"/>
              <w:rPr>
                <w:rFonts w:hint="default"/>
                <w:color w:val="auto"/>
                <w:highlight w:val="none"/>
                <w:vertAlign w:val="baseline"/>
                <w:lang w:val="en-US" w:eastAsia="zh-CN"/>
              </w:rPr>
            </w:pPr>
            <w:r>
              <w:rPr>
                <w:rFonts w:hint="default" w:ascii="宋体" w:hAnsi="宋体" w:eastAsia="宋体" w:cs="宋体"/>
                <w:i w:val="0"/>
                <w:iCs w:val="0"/>
                <w:color w:val="auto"/>
                <w:kern w:val="0"/>
                <w:sz w:val="18"/>
                <w:szCs w:val="18"/>
                <w:highlight w:val="none"/>
                <w:u w:val="none"/>
                <w:lang w:val="en-US" w:eastAsia="zh-CN" w:bidi="ar"/>
              </w:rPr>
              <w:t>1个工作日（不计入工作时间）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09" w:type="dxa"/>
          </w:tcPr>
          <w:p>
            <w:pPr>
              <w:keepNext w:val="0"/>
              <w:keepLines w:val="0"/>
              <w:pageBreakBefore w:val="0"/>
              <w:widowControl/>
              <w:suppressLineNumbers w:val="0"/>
              <w:kinsoku/>
              <w:wordWrap/>
              <w:overflowPunct/>
              <w:topLinePunct w:val="0"/>
              <w:autoSpaceDE/>
              <w:autoSpaceDN/>
              <w:bidi w:val="0"/>
              <w:adjustRightInd/>
              <w:snapToGrid/>
              <w:spacing w:before="573" w:beforeLines="15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2</w:t>
            </w:r>
          </w:p>
        </w:tc>
        <w:tc>
          <w:tcPr>
            <w:tcW w:w="2458" w:type="dxa"/>
          </w:tcPr>
          <w:p>
            <w:pPr>
              <w:keepNext w:val="0"/>
              <w:keepLines w:val="0"/>
              <w:pageBreakBefore w:val="0"/>
              <w:widowControl/>
              <w:suppressLineNumbers w:val="0"/>
              <w:kinsoku/>
              <w:wordWrap/>
              <w:overflowPunct/>
              <w:topLinePunct w:val="0"/>
              <w:autoSpaceDE/>
              <w:autoSpaceDN/>
              <w:bidi w:val="0"/>
              <w:adjustRightInd/>
              <w:snapToGrid/>
              <w:spacing w:before="573" w:beforeLines="15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建立验收小组</w:t>
            </w:r>
          </w:p>
        </w:tc>
        <w:tc>
          <w:tcPr>
            <w:tcW w:w="3373" w:type="dxa"/>
          </w:tcPr>
          <w:p>
            <w:pPr>
              <w:keepNext w:val="0"/>
              <w:keepLines w:val="0"/>
              <w:widowControl/>
              <w:suppressLineNumbers w:val="0"/>
              <w:jc w:val="left"/>
              <w:textAlignment w:val="center"/>
              <w:rPr>
                <w:rFonts w:hint="default"/>
                <w:color w:val="auto"/>
                <w:highlight w:val="none"/>
                <w:vertAlign w:val="baseline"/>
                <w:lang w:val="en-US" w:eastAsia="zh-CN"/>
              </w:rPr>
            </w:pPr>
            <w:r>
              <w:rPr>
                <w:rFonts w:hint="default" w:ascii="宋体" w:hAnsi="宋体" w:eastAsia="宋体" w:cs="宋体"/>
                <w:i w:val="0"/>
                <w:iCs w:val="0"/>
                <w:color w:val="auto"/>
                <w:kern w:val="0"/>
                <w:sz w:val="18"/>
                <w:szCs w:val="18"/>
                <w:highlight w:val="none"/>
                <w:u w:val="none"/>
                <w:lang w:val="en-US" w:eastAsia="zh-CN" w:bidi="ar"/>
              </w:rPr>
              <w:t>根据项目行业类型、验收时间等要求，组建验收工作组，筹备验收工作。工作组应由具备节能验收工作能力的专业技术人员、专家等组成。</w:t>
            </w:r>
          </w:p>
        </w:tc>
        <w:tc>
          <w:tcPr>
            <w:tcW w:w="2181" w:type="dxa"/>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default"/>
                <w:color w:val="auto"/>
                <w:highlight w:val="none"/>
                <w:vertAlign w:val="baseline"/>
                <w:lang w:val="en-US" w:eastAsia="zh-CN"/>
              </w:rPr>
            </w:pPr>
            <w:r>
              <w:rPr>
                <w:rFonts w:hint="default"/>
                <w:color w:val="auto"/>
                <w:highlight w:val="none"/>
                <w:vertAlign w:val="baseline"/>
                <w:lang w:val="en-US" w:eastAsia="zh-CN"/>
              </w:rPr>
              <w:t>1个工作日</w:t>
            </w:r>
          </w:p>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default"/>
                <w:color w:val="auto"/>
                <w:highlight w:val="none"/>
                <w:vertAlign w:val="baseline"/>
                <w:lang w:val="en-US" w:eastAsia="zh-CN"/>
              </w:rPr>
            </w:pPr>
            <w:r>
              <w:rPr>
                <w:rFonts w:hint="default"/>
                <w:color w:val="auto"/>
                <w:highlight w:val="none"/>
                <w:vertAlign w:val="baseline"/>
                <w:lang w:val="en-US" w:eastAsia="zh-CN"/>
              </w:rPr>
              <w:t>（不计入工作时间）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keepNext w:val="0"/>
              <w:keepLines w:val="0"/>
              <w:pageBreakBefore w:val="0"/>
              <w:widowControl/>
              <w:suppressLineNumbers w:val="0"/>
              <w:kinsoku/>
              <w:wordWrap/>
              <w:overflowPunct/>
              <w:topLinePunct w:val="0"/>
              <w:autoSpaceDE/>
              <w:autoSpaceDN/>
              <w:bidi w:val="0"/>
              <w:adjustRightInd/>
              <w:snapToGrid/>
              <w:spacing w:before="382" w:beforeLines="100"/>
              <w:jc w:val="center"/>
              <w:textAlignment w:val="center"/>
              <w:rPr>
                <w:rFonts w:hint="default"/>
                <w:color w:val="auto"/>
                <w:highlight w:val="none"/>
                <w:vertAlign w:val="baseline"/>
                <w:lang w:val="en-US" w:eastAsia="zh-CN"/>
              </w:rPr>
            </w:pPr>
            <w:r>
              <w:rPr>
                <w:rFonts w:hint="eastAsia"/>
                <w:color w:val="auto"/>
                <w:highlight w:val="none"/>
                <w:vertAlign w:val="baseline"/>
                <w:lang w:val="en-US" w:eastAsia="zh-CN"/>
              </w:rPr>
              <w:t>3</w:t>
            </w:r>
          </w:p>
        </w:tc>
        <w:tc>
          <w:tcPr>
            <w:tcW w:w="2458" w:type="dxa"/>
            <w:vAlign w:val="top"/>
          </w:tcPr>
          <w:p>
            <w:pPr>
              <w:keepNext w:val="0"/>
              <w:keepLines w:val="0"/>
              <w:pageBreakBefore w:val="0"/>
              <w:widowControl/>
              <w:suppressLineNumbers w:val="0"/>
              <w:kinsoku/>
              <w:wordWrap/>
              <w:overflowPunct/>
              <w:topLinePunct w:val="0"/>
              <w:autoSpaceDE/>
              <w:autoSpaceDN/>
              <w:bidi w:val="0"/>
              <w:adjustRightInd/>
              <w:snapToGrid/>
              <w:spacing w:before="382" w:beforeLines="10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制定验收方案</w:t>
            </w:r>
          </w:p>
        </w:tc>
        <w:tc>
          <w:tcPr>
            <w:tcW w:w="3373" w:type="dxa"/>
          </w:tcPr>
          <w:p>
            <w:pPr>
              <w:keepNext w:val="0"/>
              <w:keepLines w:val="0"/>
              <w:widowControl/>
              <w:suppressLineNumbers w:val="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验收组应制定节能验收工作方案，明确项目节能验收的范围、具体内容、实施时间、工作程序、人员分工及工作要求等。</w:t>
            </w:r>
          </w:p>
        </w:tc>
        <w:tc>
          <w:tcPr>
            <w:tcW w:w="2181" w:type="dxa"/>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default"/>
                <w:color w:val="auto"/>
                <w:highlight w:val="none"/>
                <w:vertAlign w:val="baseline"/>
                <w:lang w:val="en-US" w:eastAsia="zh-CN"/>
              </w:rPr>
            </w:pPr>
            <w:r>
              <w:rPr>
                <w:rFonts w:hint="default" w:ascii="宋体"/>
                <w:color w:val="auto"/>
                <w:highlight w:val="none"/>
                <w:vertAlign w:val="baseline"/>
                <w:lang w:val="en-US" w:eastAsia="zh-CN"/>
              </w:rPr>
              <w:t>2个工作日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3" w:hRule="atLeast"/>
        </w:trPr>
        <w:tc>
          <w:tcPr>
            <w:tcW w:w="709" w:type="dxa"/>
          </w:tcPr>
          <w:p>
            <w:pPr>
              <w:keepNext w:val="0"/>
              <w:keepLines w:val="0"/>
              <w:pageBreakBefore w:val="0"/>
              <w:widowControl/>
              <w:suppressLineNumbers w:val="0"/>
              <w:kinsoku/>
              <w:wordWrap/>
              <w:overflowPunct/>
              <w:topLinePunct w:val="0"/>
              <w:autoSpaceDE/>
              <w:autoSpaceDN/>
              <w:bidi w:val="0"/>
              <w:adjustRightInd/>
              <w:snapToGrid/>
              <w:spacing w:before="954" w:beforeLines="250"/>
              <w:jc w:val="center"/>
              <w:textAlignment w:val="center"/>
              <w:rPr>
                <w:rFonts w:hint="default"/>
                <w:color w:val="auto"/>
                <w:highlight w:val="none"/>
                <w:vertAlign w:val="baseline"/>
                <w:lang w:val="en-US" w:eastAsia="zh-CN"/>
              </w:rPr>
            </w:pPr>
            <w:r>
              <w:rPr>
                <w:rFonts w:hint="eastAsia"/>
                <w:color w:val="auto"/>
                <w:highlight w:val="none"/>
                <w:vertAlign w:val="baseline"/>
                <w:lang w:val="en-US" w:eastAsia="zh-CN"/>
              </w:rPr>
              <w:t>4</w:t>
            </w:r>
          </w:p>
        </w:tc>
        <w:tc>
          <w:tcPr>
            <w:tcW w:w="2458" w:type="dxa"/>
            <w:vAlign w:val="top"/>
          </w:tcPr>
          <w:p>
            <w:pPr>
              <w:keepNext w:val="0"/>
              <w:keepLines w:val="0"/>
              <w:pageBreakBefore w:val="0"/>
              <w:widowControl/>
              <w:suppressLineNumbers w:val="0"/>
              <w:kinsoku/>
              <w:wordWrap/>
              <w:overflowPunct/>
              <w:topLinePunct w:val="0"/>
              <w:autoSpaceDE/>
              <w:autoSpaceDN/>
              <w:bidi w:val="0"/>
              <w:adjustRightInd/>
              <w:snapToGrid/>
              <w:spacing w:before="954" w:beforeLines="25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开展验收工作</w:t>
            </w:r>
          </w:p>
        </w:tc>
        <w:tc>
          <w:tcPr>
            <w:tcW w:w="3373" w:type="dxa"/>
          </w:tcPr>
          <w:p>
            <w:pPr>
              <w:keepNext w:val="0"/>
              <w:keepLines w:val="0"/>
              <w:widowControl/>
              <w:suppressLineNumbers w:val="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验收组按照验收方案，对项目节能审查意见落实情况实施验收。通过实地查验、资料审核等方式，核查项目的建设方案、用能设备、节能措施、计量器具配备及项目能源利用情况等是否落实节能审查要求，是否满足节能标准、规范等的要求。</w:t>
            </w:r>
          </w:p>
        </w:tc>
        <w:tc>
          <w:tcPr>
            <w:tcW w:w="2181" w:type="dxa"/>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default"/>
                <w:color w:val="auto"/>
                <w:highlight w:val="none"/>
                <w:vertAlign w:val="baseline"/>
                <w:lang w:val="en-US" w:eastAsia="zh-CN"/>
              </w:rPr>
            </w:pPr>
            <w:r>
              <w:rPr>
                <w:rFonts w:hint="default" w:ascii="宋体"/>
                <w:color w:val="auto"/>
                <w:highlight w:val="none"/>
                <w:vertAlign w:val="baseline"/>
                <w:lang w:val="en-US" w:eastAsia="zh-CN"/>
              </w:rPr>
              <w:t>10个工作日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keepNext w:val="0"/>
              <w:keepLines w:val="0"/>
              <w:pageBreakBefore w:val="0"/>
              <w:widowControl/>
              <w:suppressLineNumbers w:val="0"/>
              <w:kinsoku/>
              <w:wordWrap/>
              <w:overflowPunct/>
              <w:topLinePunct w:val="0"/>
              <w:autoSpaceDE/>
              <w:autoSpaceDN/>
              <w:bidi w:val="0"/>
              <w:adjustRightInd/>
              <w:snapToGrid/>
              <w:spacing w:before="192" w:beforeLines="50"/>
              <w:jc w:val="center"/>
              <w:textAlignment w:val="center"/>
              <w:rPr>
                <w:rFonts w:hint="default"/>
                <w:color w:val="auto"/>
                <w:highlight w:val="none"/>
                <w:vertAlign w:val="baseline"/>
                <w:lang w:val="en-US" w:eastAsia="zh-CN"/>
              </w:rPr>
            </w:pPr>
            <w:r>
              <w:rPr>
                <w:rFonts w:hint="eastAsia"/>
                <w:color w:val="auto"/>
                <w:highlight w:val="none"/>
                <w:vertAlign w:val="baseline"/>
                <w:lang w:val="en-US" w:eastAsia="zh-CN"/>
              </w:rPr>
              <w:t>5</w:t>
            </w:r>
          </w:p>
        </w:tc>
        <w:tc>
          <w:tcPr>
            <w:tcW w:w="2458" w:type="dxa"/>
          </w:tcPr>
          <w:p>
            <w:pPr>
              <w:keepNext w:val="0"/>
              <w:keepLines w:val="0"/>
              <w:pageBreakBefore w:val="0"/>
              <w:widowControl/>
              <w:suppressLineNumbers w:val="0"/>
              <w:kinsoku/>
              <w:wordWrap/>
              <w:overflowPunct/>
              <w:topLinePunct w:val="0"/>
              <w:autoSpaceDE/>
              <w:autoSpaceDN/>
              <w:bidi w:val="0"/>
              <w:adjustRightInd/>
              <w:snapToGrid/>
              <w:spacing w:before="192" w:beforeLines="5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GB" w:eastAsia="zh-CN" w:bidi="ar"/>
              </w:rPr>
              <w:t>确定验收结果</w:t>
            </w:r>
          </w:p>
        </w:tc>
        <w:tc>
          <w:tcPr>
            <w:tcW w:w="3373" w:type="dxa"/>
          </w:tcPr>
          <w:p>
            <w:pPr>
              <w:keepNext w:val="0"/>
              <w:keepLines w:val="0"/>
              <w:widowControl/>
              <w:suppressLineNumbers w:val="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验收组根据项目节能验收情况，确定节能验收结果并编制项目节能验收报告。</w:t>
            </w:r>
          </w:p>
        </w:tc>
        <w:tc>
          <w:tcPr>
            <w:tcW w:w="2181" w:type="dxa"/>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default"/>
                <w:color w:val="auto"/>
                <w:highlight w:val="none"/>
                <w:vertAlign w:val="baseline"/>
                <w:lang w:val="en-US" w:eastAsia="zh-CN"/>
              </w:rPr>
            </w:pPr>
            <w:r>
              <w:rPr>
                <w:rFonts w:hint="default" w:ascii="宋体"/>
                <w:color w:val="auto"/>
                <w:highlight w:val="none"/>
                <w:vertAlign w:val="baseline"/>
                <w:lang w:val="en-US" w:eastAsia="zh-CN"/>
              </w:rPr>
              <w:t>3个工作日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keepNext w:val="0"/>
              <w:keepLines w:val="0"/>
              <w:pageBreakBefore w:val="0"/>
              <w:widowControl/>
              <w:suppressLineNumbers w:val="0"/>
              <w:kinsoku/>
              <w:wordWrap/>
              <w:overflowPunct/>
              <w:topLinePunct w:val="0"/>
              <w:autoSpaceDE/>
              <w:autoSpaceDN/>
              <w:bidi w:val="0"/>
              <w:adjustRightInd/>
              <w:snapToGrid/>
              <w:spacing w:before="382" w:beforeLines="100"/>
              <w:jc w:val="center"/>
              <w:textAlignment w:val="center"/>
              <w:rPr>
                <w:rFonts w:hint="default"/>
                <w:color w:val="auto"/>
                <w:highlight w:val="none"/>
                <w:vertAlign w:val="baseline"/>
                <w:lang w:val="en-US" w:eastAsia="zh-CN"/>
              </w:rPr>
            </w:pPr>
            <w:r>
              <w:rPr>
                <w:rFonts w:hint="eastAsia"/>
                <w:color w:val="auto"/>
                <w:highlight w:val="none"/>
                <w:vertAlign w:val="baseline"/>
                <w:lang w:val="en-US" w:eastAsia="zh-CN"/>
              </w:rPr>
              <w:t>6</w:t>
            </w:r>
          </w:p>
        </w:tc>
        <w:tc>
          <w:tcPr>
            <w:tcW w:w="2458" w:type="dxa"/>
          </w:tcPr>
          <w:p>
            <w:pPr>
              <w:keepNext w:val="0"/>
              <w:keepLines w:val="0"/>
              <w:pageBreakBefore w:val="0"/>
              <w:widowControl/>
              <w:suppressLineNumbers w:val="0"/>
              <w:kinsoku/>
              <w:wordWrap/>
              <w:overflowPunct/>
              <w:topLinePunct w:val="0"/>
              <w:autoSpaceDE/>
              <w:autoSpaceDN/>
              <w:bidi w:val="0"/>
              <w:adjustRightInd/>
              <w:snapToGrid/>
              <w:spacing w:before="382" w:beforeLines="10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GB" w:eastAsia="zh-CN" w:bidi="ar"/>
              </w:rPr>
              <w:t>组织专家进行现场验收</w:t>
            </w:r>
          </w:p>
        </w:tc>
        <w:tc>
          <w:tcPr>
            <w:tcW w:w="3373" w:type="dxa"/>
          </w:tcPr>
          <w:p>
            <w:pPr>
              <w:keepNext w:val="0"/>
              <w:keepLines w:val="0"/>
              <w:widowControl/>
              <w:suppressLineNumbers w:val="0"/>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GB" w:eastAsia="zh-CN" w:bidi="ar"/>
              </w:rPr>
              <w:t>组织节能领域相关专业资深专家进行现场验收，根据专家意见完善节能验收报告。</w:t>
            </w:r>
          </w:p>
        </w:tc>
        <w:tc>
          <w:tcPr>
            <w:tcW w:w="2181" w:type="dxa"/>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default"/>
                <w:color w:val="auto"/>
                <w:highlight w:val="none"/>
                <w:vertAlign w:val="baseline"/>
                <w:lang w:val="en-US" w:eastAsia="zh-CN"/>
              </w:rPr>
            </w:pPr>
            <w:r>
              <w:rPr>
                <w:rFonts w:hint="default" w:ascii="宋体"/>
                <w:color w:val="auto"/>
                <w:highlight w:val="none"/>
                <w:vertAlign w:val="baseline"/>
                <w:lang w:val="en-US" w:eastAsia="zh-CN"/>
              </w:rPr>
              <w:t>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709" w:type="dxa"/>
          </w:tcPr>
          <w:p>
            <w:pPr>
              <w:keepNext w:val="0"/>
              <w:keepLines w:val="0"/>
              <w:pageBreakBefore w:val="0"/>
              <w:widowControl/>
              <w:suppressLineNumbers w:val="0"/>
              <w:kinsoku/>
              <w:wordWrap/>
              <w:overflowPunct/>
              <w:topLinePunct w:val="0"/>
              <w:autoSpaceDE/>
              <w:autoSpaceDN/>
              <w:bidi w:val="0"/>
              <w:adjustRightInd/>
              <w:snapToGrid/>
              <w:spacing w:before="573" w:beforeLines="150"/>
              <w:jc w:val="center"/>
              <w:textAlignment w:val="center"/>
              <w:rPr>
                <w:rFonts w:hint="default"/>
                <w:color w:val="auto"/>
                <w:highlight w:val="none"/>
                <w:vertAlign w:val="baseline"/>
                <w:lang w:val="en-US" w:eastAsia="zh-CN"/>
              </w:rPr>
            </w:pPr>
            <w:r>
              <w:rPr>
                <w:rFonts w:hint="eastAsia"/>
                <w:color w:val="auto"/>
                <w:highlight w:val="none"/>
                <w:vertAlign w:val="baseline"/>
                <w:lang w:val="en-US" w:eastAsia="zh-CN"/>
              </w:rPr>
              <w:t>7</w:t>
            </w:r>
          </w:p>
        </w:tc>
        <w:tc>
          <w:tcPr>
            <w:tcW w:w="2458" w:type="dxa"/>
          </w:tcPr>
          <w:p>
            <w:pPr>
              <w:keepNext w:val="0"/>
              <w:keepLines w:val="0"/>
              <w:pageBreakBefore w:val="0"/>
              <w:widowControl/>
              <w:suppressLineNumbers w:val="0"/>
              <w:kinsoku/>
              <w:wordWrap/>
              <w:overflowPunct/>
              <w:topLinePunct w:val="0"/>
              <w:autoSpaceDE/>
              <w:autoSpaceDN/>
              <w:bidi w:val="0"/>
              <w:adjustRightInd/>
              <w:snapToGrid/>
              <w:spacing w:before="573" w:beforeLines="15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GB" w:eastAsia="zh-CN" w:bidi="ar"/>
              </w:rPr>
              <w:t>节能管理平台备案</w:t>
            </w:r>
          </w:p>
        </w:tc>
        <w:tc>
          <w:tcPr>
            <w:tcW w:w="3373" w:type="dxa"/>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宋体" w:hAnsi="宋体" w:eastAsia="宋体" w:cs="宋体"/>
                <w:i w:val="0"/>
                <w:iCs w:val="0"/>
                <w:color w:val="auto"/>
                <w:kern w:val="0"/>
                <w:sz w:val="18"/>
                <w:szCs w:val="18"/>
                <w:highlight w:val="none"/>
                <w:u w:val="none"/>
                <w:lang w:val="en-US" w:eastAsia="zh-CN" w:bidi="ar"/>
              </w:rPr>
            </w:pPr>
            <w:r>
              <w:rPr>
                <w:rFonts w:hint="default" w:ascii="宋体" w:hAnsi="宋体" w:eastAsia="宋体" w:cs="宋体"/>
                <w:i w:val="0"/>
                <w:iCs w:val="0"/>
                <w:color w:val="auto"/>
                <w:kern w:val="0"/>
                <w:sz w:val="18"/>
                <w:szCs w:val="18"/>
                <w:highlight w:val="none"/>
                <w:u w:val="none"/>
                <w:lang w:val="en-US" w:eastAsia="zh-CN" w:bidi="ar"/>
              </w:rPr>
              <w:t>协助企业提交节能验收报告及相关资料至广州市能源管理与辅助决策平台节能管理系统（https://www.gzjnw.org.cn/）进行节能验收备案。</w:t>
            </w:r>
          </w:p>
        </w:tc>
        <w:tc>
          <w:tcPr>
            <w:tcW w:w="2181" w:type="dxa"/>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textAlignment w:val="auto"/>
              <w:rPr>
                <w:rFonts w:hint="default"/>
                <w:color w:val="auto"/>
                <w:highlight w:val="none"/>
                <w:vertAlign w:val="baseline"/>
                <w:lang w:val="en-US" w:eastAsia="zh-CN"/>
              </w:rPr>
            </w:pPr>
            <w:r>
              <w:rPr>
                <w:rFonts w:hint="default" w:ascii="宋体"/>
                <w:color w:val="auto"/>
                <w:highlight w:val="none"/>
                <w:vertAlign w:val="baseline"/>
                <w:lang w:val="en-US" w:eastAsia="zh-CN"/>
              </w:rPr>
              <w:t>2-5个工作日</w:t>
            </w:r>
          </w:p>
        </w:tc>
      </w:tr>
    </w:tbl>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before="192" w:beforeLines="50" w:after="192" w:afterLines="50" w:line="300" w:lineRule="auto"/>
        <w:textAlignment w:val="auto"/>
        <w:rPr>
          <w:rFonts w:hint="default"/>
          <w:color w:val="auto"/>
          <w:highlight w:val="none"/>
          <w:lang w:val="en-US" w:eastAsia="zh-CN"/>
        </w:rPr>
      </w:pPr>
    </w:p>
    <w:p>
      <w:pPr>
        <w:pStyle w:val="13"/>
        <w:keepNext w:val="0"/>
        <w:keepLines w:val="0"/>
        <w:pageBreakBefore w:val="0"/>
        <w:widowControl w:val="0"/>
        <w:numPr>
          <w:ilvl w:val="0"/>
          <w:numId w:val="6"/>
        </w:numPr>
        <w:kinsoku/>
        <w:wordWrap/>
        <w:overflowPunct/>
        <w:topLinePunct w:val="0"/>
        <w:autoSpaceDE/>
        <w:autoSpaceDN/>
        <w:bidi w:val="0"/>
        <w:adjustRightInd w:val="0"/>
        <w:snapToGrid w:val="0"/>
        <w:spacing w:before="192" w:beforeLines="50" w:after="192" w:afterLines="50" w:line="300" w:lineRule="auto"/>
        <w:textAlignment w:val="auto"/>
        <w:rPr>
          <w:rFonts w:hint="default" w:ascii="仿宋" w:hAnsi="仿宋" w:eastAsia="仿宋" w:cs="仿宋_GB2312"/>
          <w:b/>
          <w:color w:val="auto"/>
          <w:sz w:val="24"/>
          <w:szCs w:val="24"/>
          <w:highlight w:val="none"/>
          <w:lang w:val="en-US" w:eastAsia="zh-CN"/>
        </w:rPr>
      </w:pPr>
      <w:r>
        <w:rPr>
          <w:rFonts w:hint="eastAsia" w:ascii="仿宋" w:hAnsi="仿宋" w:eastAsia="仿宋" w:cs="仿宋_GB2312"/>
          <w:b/>
          <w:color w:val="auto"/>
          <w:sz w:val="24"/>
          <w:szCs w:val="24"/>
          <w:highlight w:val="none"/>
          <w:lang w:val="en-US" w:eastAsia="zh-CN"/>
        </w:rPr>
        <w:t>节能报告提纲</w:t>
      </w:r>
    </w:p>
    <w:p>
      <w:pPr>
        <w:pStyle w:val="36"/>
        <w:rPr>
          <w:rFonts w:hint="default" w:ascii="仿宋" w:hAnsi="仿宋" w:eastAsia="仿宋" w:cs="仿宋"/>
          <w:color w:val="auto"/>
          <w:sz w:val="24"/>
          <w:szCs w:val="24"/>
          <w:highlight w:val="none"/>
          <w:lang w:val="en-US"/>
        </w:rPr>
      </w:pPr>
      <w:r>
        <w:rPr>
          <w:rFonts w:hint="eastAsia" w:ascii="仿宋" w:hAnsi="仿宋" w:eastAsia="仿宋" w:cs="仿宋_GB2312"/>
          <w:b/>
          <w:color w:val="auto"/>
          <w:sz w:val="24"/>
          <w:szCs w:val="24"/>
          <w:highlight w:val="none"/>
          <w:lang w:val="en-US" w:eastAsia="zh-CN"/>
        </w:rPr>
        <w:t xml:space="preserve">   </w:t>
      </w:r>
    </w:p>
    <w:tbl>
      <w:tblPr>
        <w:tblStyle w:val="58"/>
        <w:tblW w:w="0" w:type="auto"/>
        <w:tblInd w:w="97" w:type="dxa"/>
        <w:tblLayout w:type="fixed"/>
        <w:tblCellMar>
          <w:top w:w="0" w:type="dxa"/>
          <w:left w:w="0" w:type="dxa"/>
          <w:bottom w:w="0" w:type="dxa"/>
          <w:right w:w="0" w:type="dxa"/>
        </w:tblCellMar>
      </w:tblPr>
      <w:tblGrid>
        <w:gridCol w:w="925"/>
        <w:gridCol w:w="3519"/>
        <w:gridCol w:w="3892"/>
      </w:tblGrid>
      <w:tr>
        <w:tblPrEx>
          <w:tblCellMar>
            <w:top w:w="0" w:type="dxa"/>
            <w:left w:w="0" w:type="dxa"/>
            <w:bottom w:w="0" w:type="dxa"/>
            <w:right w:w="0" w:type="dxa"/>
          </w:tblCellMar>
        </w:tblPrEx>
        <w:trPr>
          <w:trHeight w:val="494" w:hRule="exact"/>
        </w:trPr>
        <w:tc>
          <w:tcPr>
            <w:tcW w:w="925"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en-US"/>
              </w:rPr>
            </w:pPr>
            <w:r>
              <w:rPr>
                <w:rFonts w:hint="default" w:ascii="宋体"/>
                <w:color w:val="auto"/>
                <w:sz w:val="18"/>
                <w:szCs w:val="18"/>
                <w:highlight w:val="none"/>
                <w:vertAlign w:val="baseline"/>
                <w:lang w:val="en-GB" w:eastAsia="en-US"/>
              </w:rPr>
              <w:t>序号</w:t>
            </w:r>
          </w:p>
        </w:tc>
        <w:tc>
          <w:tcPr>
            <w:tcW w:w="3519"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en-US"/>
              </w:rPr>
            </w:pPr>
            <w:r>
              <w:rPr>
                <w:rFonts w:hint="default" w:ascii="宋体"/>
                <w:color w:val="auto"/>
                <w:sz w:val="18"/>
                <w:szCs w:val="18"/>
                <w:highlight w:val="none"/>
                <w:vertAlign w:val="baseline"/>
                <w:lang w:val="en-GB" w:eastAsia="en-US"/>
              </w:rPr>
              <w:t>名称</w:t>
            </w:r>
          </w:p>
        </w:tc>
        <w:tc>
          <w:tcPr>
            <w:tcW w:w="3892"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en-US"/>
              </w:rPr>
            </w:pPr>
            <w:r>
              <w:rPr>
                <w:rFonts w:hint="default" w:ascii="宋体"/>
                <w:color w:val="auto"/>
                <w:sz w:val="18"/>
                <w:szCs w:val="18"/>
                <w:highlight w:val="none"/>
                <w:vertAlign w:val="baseline"/>
                <w:lang w:val="en-GB" w:eastAsia="en-US"/>
              </w:rPr>
              <w:t>主要内容</w:t>
            </w:r>
          </w:p>
        </w:tc>
      </w:tr>
      <w:tr>
        <w:tblPrEx>
          <w:tblCellMar>
            <w:top w:w="0" w:type="dxa"/>
            <w:left w:w="0" w:type="dxa"/>
            <w:bottom w:w="0" w:type="dxa"/>
            <w:right w:w="0" w:type="dxa"/>
          </w:tblCellMar>
        </w:tblPrEx>
        <w:trPr>
          <w:trHeight w:val="494" w:hRule="exact"/>
        </w:trPr>
        <w:tc>
          <w:tcPr>
            <w:tcW w:w="925"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en-US"/>
              </w:rPr>
            </w:pPr>
            <w:r>
              <w:rPr>
                <w:rFonts w:hint="default" w:ascii="宋体"/>
                <w:color w:val="auto"/>
                <w:sz w:val="18"/>
                <w:szCs w:val="18"/>
                <w:highlight w:val="none"/>
                <w:vertAlign w:val="baseline"/>
                <w:lang w:val="en-GB" w:eastAsia="en-US"/>
              </w:rPr>
              <w:t>第一章</w:t>
            </w:r>
          </w:p>
        </w:tc>
        <w:tc>
          <w:tcPr>
            <w:tcW w:w="3519"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en-US"/>
              </w:rPr>
            </w:pPr>
            <w:r>
              <w:rPr>
                <w:rFonts w:hint="default" w:ascii="宋体"/>
                <w:color w:val="auto"/>
                <w:sz w:val="18"/>
                <w:szCs w:val="18"/>
                <w:highlight w:val="none"/>
                <w:vertAlign w:val="baseline"/>
                <w:lang w:val="en-GB" w:eastAsia="en-US"/>
              </w:rPr>
              <w:t>基本情况</w:t>
            </w:r>
          </w:p>
        </w:tc>
        <w:tc>
          <w:tcPr>
            <w:tcW w:w="3892"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en-US"/>
              </w:rPr>
            </w:pPr>
          </w:p>
        </w:tc>
      </w:tr>
      <w:tr>
        <w:tblPrEx>
          <w:tblCellMar>
            <w:top w:w="0" w:type="dxa"/>
            <w:left w:w="0" w:type="dxa"/>
            <w:bottom w:w="0" w:type="dxa"/>
            <w:right w:w="0" w:type="dxa"/>
          </w:tblCellMar>
        </w:tblPrEx>
        <w:trPr>
          <w:trHeight w:val="664" w:hRule="exact"/>
        </w:trPr>
        <w:tc>
          <w:tcPr>
            <w:tcW w:w="925"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en-US"/>
              </w:rPr>
            </w:pPr>
            <w:r>
              <w:rPr>
                <w:rFonts w:hint="default" w:ascii="宋体"/>
                <w:color w:val="auto"/>
                <w:sz w:val="18"/>
                <w:szCs w:val="18"/>
                <w:highlight w:val="none"/>
                <w:vertAlign w:val="baseline"/>
                <w:lang w:val="en-GB" w:eastAsia="en-US"/>
              </w:rPr>
              <w:t>1.1</w:t>
            </w:r>
          </w:p>
        </w:tc>
        <w:tc>
          <w:tcPr>
            <w:tcW w:w="3519"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en-US"/>
              </w:rPr>
            </w:pPr>
            <w:r>
              <w:rPr>
                <w:rFonts w:hint="default" w:ascii="宋体"/>
                <w:color w:val="auto"/>
                <w:sz w:val="18"/>
                <w:szCs w:val="18"/>
                <w:highlight w:val="none"/>
                <w:vertAlign w:val="baseline"/>
                <w:lang w:val="en-GB" w:eastAsia="en-US"/>
              </w:rPr>
              <w:t>项目基本情况</w:t>
            </w:r>
          </w:p>
        </w:tc>
        <w:tc>
          <w:tcPr>
            <w:tcW w:w="3892"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zh-CN"/>
              </w:rPr>
            </w:pPr>
            <w:r>
              <w:rPr>
                <w:rFonts w:hint="default" w:ascii="宋体"/>
                <w:color w:val="auto"/>
                <w:sz w:val="18"/>
                <w:szCs w:val="18"/>
                <w:highlight w:val="none"/>
                <w:vertAlign w:val="baseline"/>
                <w:lang w:val="en-GB" w:eastAsia="zh-CN"/>
              </w:rPr>
              <w:t>包括建设单位基本情况、项目节能审查意见批复</w:t>
            </w:r>
          </w:p>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zh-CN"/>
              </w:rPr>
            </w:pPr>
            <w:r>
              <w:rPr>
                <w:rFonts w:hint="default" w:ascii="宋体"/>
                <w:color w:val="auto"/>
                <w:sz w:val="18"/>
                <w:szCs w:val="18"/>
                <w:highlight w:val="none"/>
                <w:vertAlign w:val="baseline"/>
                <w:lang w:val="en-GB" w:eastAsia="zh-CN"/>
              </w:rPr>
              <w:t>情况、项目开工建设及试生产等情况。</w:t>
            </w:r>
          </w:p>
        </w:tc>
      </w:tr>
      <w:tr>
        <w:tblPrEx>
          <w:tblCellMar>
            <w:top w:w="0" w:type="dxa"/>
            <w:left w:w="0" w:type="dxa"/>
            <w:bottom w:w="0" w:type="dxa"/>
            <w:right w:w="0" w:type="dxa"/>
          </w:tblCellMar>
        </w:tblPrEx>
        <w:trPr>
          <w:trHeight w:val="664" w:hRule="exact"/>
        </w:trPr>
        <w:tc>
          <w:tcPr>
            <w:tcW w:w="925"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en-US"/>
              </w:rPr>
            </w:pPr>
            <w:r>
              <w:rPr>
                <w:rFonts w:hint="default" w:ascii="宋体"/>
                <w:color w:val="auto"/>
                <w:sz w:val="18"/>
                <w:szCs w:val="18"/>
                <w:highlight w:val="none"/>
                <w:vertAlign w:val="baseline"/>
                <w:lang w:val="en-GB" w:eastAsia="en-US"/>
              </w:rPr>
              <w:t>1.2</w:t>
            </w:r>
          </w:p>
        </w:tc>
        <w:tc>
          <w:tcPr>
            <w:tcW w:w="3519"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en-US"/>
              </w:rPr>
            </w:pPr>
            <w:r>
              <w:rPr>
                <w:rFonts w:hint="default" w:ascii="宋体"/>
                <w:color w:val="auto"/>
                <w:sz w:val="18"/>
                <w:szCs w:val="18"/>
                <w:highlight w:val="none"/>
                <w:vertAlign w:val="baseline"/>
                <w:lang w:val="en-GB" w:eastAsia="en-US"/>
              </w:rPr>
              <w:t>验收基本情况</w:t>
            </w:r>
          </w:p>
        </w:tc>
        <w:tc>
          <w:tcPr>
            <w:tcW w:w="3892"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zh-CN"/>
              </w:rPr>
            </w:pPr>
            <w:r>
              <w:rPr>
                <w:rFonts w:hint="default" w:ascii="宋体"/>
                <w:color w:val="auto"/>
                <w:sz w:val="18"/>
                <w:szCs w:val="18"/>
                <w:highlight w:val="none"/>
                <w:vertAlign w:val="baseline"/>
                <w:lang w:val="en-GB" w:eastAsia="zh-CN"/>
              </w:rPr>
              <w:t>项目节能验收组成员、分工及职责等；项目节能</w:t>
            </w:r>
          </w:p>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zh-CN"/>
              </w:rPr>
            </w:pPr>
            <w:r>
              <w:rPr>
                <w:rFonts w:hint="default" w:ascii="宋体"/>
                <w:color w:val="auto"/>
                <w:sz w:val="18"/>
                <w:szCs w:val="18"/>
                <w:highlight w:val="none"/>
                <w:vertAlign w:val="baseline"/>
                <w:lang w:val="en-GB" w:eastAsia="zh-CN"/>
              </w:rPr>
              <w:t>验收范围、验收程序、工作过程等。</w:t>
            </w:r>
          </w:p>
        </w:tc>
      </w:tr>
      <w:tr>
        <w:tblPrEx>
          <w:tblCellMar>
            <w:top w:w="0" w:type="dxa"/>
            <w:left w:w="0" w:type="dxa"/>
            <w:bottom w:w="0" w:type="dxa"/>
            <w:right w:w="0" w:type="dxa"/>
          </w:tblCellMar>
        </w:tblPrEx>
        <w:trPr>
          <w:trHeight w:val="494" w:hRule="exact"/>
        </w:trPr>
        <w:tc>
          <w:tcPr>
            <w:tcW w:w="925"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en-US"/>
              </w:rPr>
            </w:pPr>
            <w:r>
              <w:rPr>
                <w:rFonts w:hint="default" w:ascii="宋体"/>
                <w:color w:val="auto"/>
                <w:sz w:val="18"/>
                <w:szCs w:val="18"/>
                <w:highlight w:val="none"/>
                <w:vertAlign w:val="baseline"/>
                <w:lang w:val="en-GB" w:eastAsia="en-US"/>
              </w:rPr>
              <w:t>第二章</w:t>
            </w:r>
          </w:p>
        </w:tc>
        <w:tc>
          <w:tcPr>
            <w:tcW w:w="3519"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en-US"/>
              </w:rPr>
            </w:pPr>
            <w:r>
              <w:rPr>
                <w:rFonts w:hint="default" w:ascii="宋体"/>
                <w:color w:val="auto"/>
                <w:sz w:val="18"/>
                <w:szCs w:val="18"/>
                <w:highlight w:val="none"/>
                <w:vertAlign w:val="baseline"/>
                <w:lang w:val="en-GB" w:eastAsia="en-US"/>
              </w:rPr>
              <w:t>节能验收情况</w:t>
            </w:r>
          </w:p>
        </w:tc>
        <w:tc>
          <w:tcPr>
            <w:tcW w:w="3892"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en-US"/>
              </w:rPr>
            </w:pPr>
          </w:p>
        </w:tc>
      </w:tr>
      <w:tr>
        <w:tblPrEx>
          <w:tblCellMar>
            <w:top w:w="0" w:type="dxa"/>
            <w:left w:w="0" w:type="dxa"/>
            <w:bottom w:w="0" w:type="dxa"/>
            <w:right w:w="0" w:type="dxa"/>
          </w:tblCellMar>
        </w:tblPrEx>
        <w:trPr>
          <w:trHeight w:val="974" w:hRule="exact"/>
        </w:trPr>
        <w:tc>
          <w:tcPr>
            <w:tcW w:w="925"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en-US"/>
              </w:rPr>
            </w:pPr>
            <w:r>
              <w:rPr>
                <w:rFonts w:hint="default" w:ascii="宋体"/>
                <w:color w:val="auto"/>
                <w:sz w:val="18"/>
                <w:szCs w:val="18"/>
                <w:highlight w:val="none"/>
                <w:vertAlign w:val="baseline"/>
                <w:lang w:val="en-GB" w:eastAsia="en-US"/>
              </w:rPr>
              <w:t>2.1</w:t>
            </w:r>
          </w:p>
        </w:tc>
        <w:tc>
          <w:tcPr>
            <w:tcW w:w="3519"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en-US"/>
              </w:rPr>
            </w:pPr>
          </w:p>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en-US"/>
              </w:rPr>
            </w:pPr>
            <w:r>
              <w:rPr>
                <w:rFonts w:hint="default" w:ascii="宋体"/>
                <w:color w:val="auto"/>
                <w:sz w:val="18"/>
                <w:szCs w:val="18"/>
                <w:highlight w:val="none"/>
                <w:vertAlign w:val="baseline"/>
                <w:lang w:val="en-GB" w:eastAsia="en-US"/>
              </w:rPr>
              <w:t>建设方案</w:t>
            </w:r>
          </w:p>
        </w:tc>
        <w:tc>
          <w:tcPr>
            <w:tcW w:w="3892"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zh-CN"/>
              </w:rPr>
            </w:pPr>
            <w:r>
              <w:rPr>
                <w:rFonts w:hint="default" w:ascii="宋体"/>
                <w:color w:val="auto"/>
                <w:sz w:val="18"/>
                <w:szCs w:val="18"/>
                <w:highlight w:val="none"/>
                <w:vertAlign w:val="baseline"/>
                <w:lang w:val="en-GB" w:eastAsia="zh-CN"/>
              </w:rPr>
              <w:t>分析判定项目建设规模、总平面布置、主要用能工艺以及辅助和附属生产工序等方面是否落实节 能审查要求。</w:t>
            </w:r>
          </w:p>
        </w:tc>
      </w:tr>
      <w:tr>
        <w:tblPrEx>
          <w:tblCellMar>
            <w:top w:w="0" w:type="dxa"/>
            <w:left w:w="0" w:type="dxa"/>
            <w:bottom w:w="0" w:type="dxa"/>
            <w:right w:w="0" w:type="dxa"/>
          </w:tblCellMar>
        </w:tblPrEx>
        <w:trPr>
          <w:trHeight w:val="664" w:hRule="exact"/>
        </w:trPr>
        <w:tc>
          <w:tcPr>
            <w:tcW w:w="925"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en-US"/>
              </w:rPr>
            </w:pPr>
            <w:r>
              <w:rPr>
                <w:rFonts w:hint="default" w:ascii="宋体"/>
                <w:color w:val="auto"/>
                <w:sz w:val="18"/>
                <w:szCs w:val="18"/>
                <w:highlight w:val="none"/>
                <w:vertAlign w:val="baseline"/>
                <w:lang w:val="en-GB" w:eastAsia="en-US"/>
              </w:rPr>
              <w:t>2.2</w:t>
            </w:r>
          </w:p>
        </w:tc>
        <w:tc>
          <w:tcPr>
            <w:tcW w:w="3519"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en-US"/>
              </w:rPr>
            </w:pPr>
            <w:r>
              <w:rPr>
                <w:rFonts w:hint="default" w:ascii="宋体"/>
                <w:color w:val="auto"/>
                <w:sz w:val="18"/>
                <w:szCs w:val="18"/>
                <w:highlight w:val="none"/>
                <w:vertAlign w:val="baseline"/>
                <w:lang w:val="en-GB" w:eastAsia="en-US"/>
              </w:rPr>
              <w:t>用能设备</w:t>
            </w:r>
          </w:p>
        </w:tc>
        <w:tc>
          <w:tcPr>
            <w:tcW w:w="3892"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zh-CN"/>
              </w:rPr>
            </w:pPr>
            <w:r>
              <w:rPr>
                <w:rFonts w:hint="default" w:ascii="宋体"/>
                <w:color w:val="auto"/>
                <w:sz w:val="18"/>
                <w:szCs w:val="18"/>
                <w:highlight w:val="none"/>
                <w:vertAlign w:val="baseline"/>
                <w:lang w:val="en-GB" w:eastAsia="zh-CN"/>
              </w:rPr>
              <w:t>分析判定项目主要用能设备的型式、容量、能效</w:t>
            </w:r>
          </w:p>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zh-CN"/>
              </w:rPr>
            </w:pPr>
            <w:r>
              <w:rPr>
                <w:rFonts w:hint="default" w:ascii="宋体"/>
                <w:color w:val="auto"/>
                <w:sz w:val="18"/>
                <w:szCs w:val="18"/>
                <w:highlight w:val="none"/>
                <w:vertAlign w:val="baseline"/>
                <w:lang w:val="en-GB" w:eastAsia="zh-CN"/>
              </w:rPr>
              <w:t>等是否落实节能审查要求</w:t>
            </w:r>
          </w:p>
        </w:tc>
      </w:tr>
      <w:tr>
        <w:tblPrEx>
          <w:tblCellMar>
            <w:top w:w="0" w:type="dxa"/>
            <w:left w:w="0" w:type="dxa"/>
            <w:bottom w:w="0" w:type="dxa"/>
            <w:right w:w="0" w:type="dxa"/>
          </w:tblCellMar>
        </w:tblPrEx>
        <w:trPr>
          <w:trHeight w:val="664" w:hRule="exact"/>
        </w:trPr>
        <w:tc>
          <w:tcPr>
            <w:tcW w:w="925"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en-US"/>
              </w:rPr>
            </w:pPr>
            <w:r>
              <w:rPr>
                <w:rFonts w:hint="default" w:ascii="宋体"/>
                <w:color w:val="auto"/>
                <w:sz w:val="18"/>
                <w:szCs w:val="18"/>
                <w:highlight w:val="none"/>
                <w:vertAlign w:val="baseline"/>
                <w:lang w:val="en-GB" w:eastAsia="en-US"/>
              </w:rPr>
              <w:t>2.3</w:t>
            </w:r>
          </w:p>
        </w:tc>
        <w:tc>
          <w:tcPr>
            <w:tcW w:w="3519"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en-US"/>
              </w:rPr>
            </w:pPr>
            <w:r>
              <w:rPr>
                <w:rFonts w:hint="default" w:ascii="宋体"/>
                <w:color w:val="auto"/>
                <w:sz w:val="18"/>
                <w:szCs w:val="18"/>
                <w:highlight w:val="none"/>
                <w:vertAlign w:val="baseline"/>
                <w:lang w:val="en-GB" w:eastAsia="en-US"/>
              </w:rPr>
              <w:t>节能技术和管理措施</w:t>
            </w:r>
          </w:p>
        </w:tc>
        <w:tc>
          <w:tcPr>
            <w:tcW w:w="3892"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zh-CN"/>
              </w:rPr>
            </w:pPr>
            <w:r>
              <w:rPr>
                <w:rFonts w:hint="default" w:ascii="宋体"/>
                <w:color w:val="auto"/>
                <w:sz w:val="18"/>
                <w:szCs w:val="18"/>
                <w:highlight w:val="none"/>
                <w:vertAlign w:val="baseline"/>
                <w:lang w:val="en-GB" w:eastAsia="zh-CN"/>
              </w:rPr>
              <w:t>分析判定项目节能技术和管理措施是否落实节能</w:t>
            </w:r>
          </w:p>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en-US"/>
              </w:rPr>
            </w:pPr>
            <w:r>
              <w:rPr>
                <w:rFonts w:hint="default" w:ascii="宋体"/>
                <w:color w:val="auto"/>
                <w:sz w:val="18"/>
                <w:szCs w:val="18"/>
                <w:highlight w:val="none"/>
                <w:vertAlign w:val="baseline"/>
                <w:lang w:val="en-GB" w:eastAsia="en-US"/>
              </w:rPr>
              <w:t>审查要求</w:t>
            </w:r>
          </w:p>
        </w:tc>
      </w:tr>
      <w:tr>
        <w:tblPrEx>
          <w:tblCellMar>
            <w:top w:w="0" w:type="dxa"/>
            <w:left w:w="0" w:type="dxa"/>
            <w:bottom w:w="0" w:type="dxa"/>
            <w:right w:w="0" w:type="dxa"/>
          </w:tblCellMar>
        </w:tblPrEx>
        <w:trPr>
          <w:trHeight w:val="664" w:hRule="exact"/>
        </w:trPr>
        <w:tc>
          <w:tcPr>
            <w:tcW w:w="925"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en-US"/>
              </w:rPr>
            </w:pPr>
            <w:r>
              <w:rPr>
                <w:rFonts w:hint="default" w:ascii="宋体"/>
                <w:color w:val="auto"/>
                <w:sz w:val="18"/>
                <w:szCs w:val="18"/>
                <w:highlight w:val="none"/>
                <w:vertAlign w:val="baseline"/>
                <w:lang w:val="en-GB" w:eastAsia="en-US"/>
              </w:rPr>
              <w:t>2.4</w:t>
            </w:r>
          </w:p>
        </w:tc>
        <w:tc>
          <w:tcPr>
            <w:tcW w:w="3519"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en-US"/>
              </w:rPr>
            </w:pPr>
            <w:r>
              <w:rPr>
                <w:rFonts w:hint="default" w:ascii="宋体"/>
                <w:color w:val="auto"/>
                <w:sz w:val="18"/>
                <w:szCs w:val="18"/>
                <w:highlight w:val="none"/>
                <w:vertAlign w:val="baseline"/>
                <w:lang w:val="en-GB" w:eastAsia="en-US"/>
              </w:rPr>
              <w:t>能源计量器具</w:t>
            </w:r>
          </w:p>
        </w:tc>
        <w:tc>
          <w:tcPr>
            <w:tcW w:w="3892"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zh-CN"/>
              </w:rPr>
            </w:pPr>
            <w:r>
              <w:rPr>
                <w:rFonts w:hint="default" w:ascii="宋体"/>
                <w:color w:val="auto"/>
                <w:sz w:val="18"/>
                <w:szCs w:val="18"/>
                <w:highlight w:val="none"/>
                <w:vertAlign w:val="baseline"/>
                <w:lang w:val="en-GB" w:eastAsia="zh-CN"/>
              </w:rPr>
              <w:t>分析判定项目能源计量器具配备是否满足计量相</w:t>
            </w:r>
          </w:p>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en-US"/>
              </w:rPr>
            </w:pPr>
            <w:r>
              <w:rPr>
                <w:rFonts w:hint="default" w:ascii="宋体"/>
                <w:color w:val="auto"/>
                <w:sz w:val="18"/>
                <w:szCs w:val="18"/>
                <w:highlight w:val="none"/>
                <w:vertAlign w:val="baseline"/>
                <w:lang w:val="en-GB" w:eastAsia="en-US"/>
              </w:rPr>
              <w:t>关标准要求</w:t>
            </w:r>
          </w:p>
        </w:tc>
      </w:tr>
      <w:tr>
        <w:tblPrEx>
          <w:tblCellMar>
            <w:top w:w="0" w:type="dxa"/>
            <w:left w:w="0" w:type="dxa"/>
            <w:bottom w:w="0" w:type="dxa"/>
            <w:right w:w="0" w:type="dxa"/>
          </w:tblCellMar>
        </w:tblPrEx>
        <w:trPr>
          <w:trHeight w:val="664" w:hRule="exact"/>
        </w:trPr>
        <w:tc>
          <w:tcPr>
            <w:tcW w:w="925"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en-US"/>
              </w:rPr>
            </w:pPr>
            <w:r>
              <w:rPr>
                <w:rFonts w:hint="default" w:ascii="宋体"/>
                <w:color w:val="auto"/>
                <w:sz w:val="18"/>
                <w:szCs w:val="18"/>
                <w:highlight w:val="none"/>
                <w:vertAlign w:val="baseline"/>
                <w:lang w:val="en-GB" w:eastAsia="en-US"/>
              </w:rPr>
              <w:t>2.5</w:t>
            </w:r>
          </w:p>
        </w:tc>
        <w:tc>
          <w:tcPr>
            <w:tcW w:w="3519"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en-US"/>
              </w:rPr>
            </w:pPr>
            <w:r>
              <w:rPr>
                <w:rFonts w:hint="default" w:ascii="宋体"/>
                <w:color w:val="auto"/>
                <w:sz w:val="18"/>
                <w:szCs w:val="18"/>
                <w:highlight w:val="none"/>
                <w:vertAlign w:val="baseline"/>
                <w:lang w:val="en-GB" w:eastAsia="en-US"/>
              </w:rPr>
              <w:t>能效水平</w:t>
            </w:r>
          </w:p>
        </w:tc>
        <w:tc>
          <w:tcPr>
            <w:tcW w:w="3892"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zh-CN"/>
              </w:rPr>
            </w:pPr>
            <w:r>
              <w:rPr>
                <w:rFonts w:hint="default" w:ascii="宋体"/>
                <w:color w:val="auto"/>
                <w:sz w:val="18"/>
                <w:szCs w:val="18"/>
                <w:highlight w:val="none"/>
                <w:vertAlign w:val="baseline"/>
                <w:lang w:val="en-GB" w:eastAsia="zh-CN"/>
              </w:rPr>
              <w:t>分析判定项目主要能效指标或主要工序（装置）</w:t>
            </w:r>
          </w:p>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zh-CN"/>
              </w:rPr>
            </w:pPr>
            <w:r>
              <w:rPr>
                <w:rFonts w:hint="default" w:ascii="宋体"/>
                <w:color w:val="auto"/>
                <w:sz w:val="18"/>
                <w:szCs w:val="18"/>
                <w:highlight w:val="none"/>
                <w:vertAlign w:val="baseline"/>
                <w:lang w:val="en-GB" w:eastAsia="zh-CN"/>
              </w:rPr>
              <w:t>的能效指标是否满足节能审查要求</w:t>
            </w:r>
          </w:p>
        </w:tc>
      </w:tr>
      <w:tr>
        <w:tblPrEx>
          <w:tblCellMar>
            <w:top w:w="0" w:type="dxa"/>
            <w:left w:w="0" w:type="dxa"/>
            <w:bottom w:w="0" w:type="dxa"/>
            <w:right w:w="0" w:type="dxa"/>
          </w:tblCellMar>
        </w:tblPrEx>
        <w:trPr>
          <w:trHeight w:val="664" w:hRule="exact"/>
        </w:trPr>
        <w:tc>
          <w:tcPr>
            <w:tcW w:w="925"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en-US"/>
              </w:rPr>
            </w:pPr>
            <w:r>
              <w:rPr>
                <w:rFonts w:hint="default" w:ascii="宋体"/>
                <w:color w:val="auto"/>
                <w:sz w:val="18"/>
                <w:szCs w:val="18"/>
                <w:highlight w:val="none"/>
                <w:vertAlign w:val="baseline"/>
                <w:lang w:val="en-GB" w:eastAsia="en-US"/>
              </w:rPr>
              <w:t>2.6</w:t>
            </w:r>
          </w:p>
        </w:tc>
        <w:tc>
          <w:tcPr>
            <w:tcW w:w="3519"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en-US"/>
              </w:rPr>
            </w:pPr>
            <w:r>
              <w:rPr>
                <w:rFonts w:hint="default" w:ascii="宋体"/>
                <w:color w:val="auto"/>
                <w:sz w:val="18"/>
                <w:szCs w:val="18"/>
                <w:highlight w:val="none"/>
                <w:vertAlign w:val="baseline"/>
                <w:lang w:val="en-GB" w:eastAsia="en-US"/>
              </w:rPr>
              <w:t>能源消费量</w:t>
            </w:r>
          </w:p>
        </w:tc>
        <w:tc>
          <w:tcPr>
            <w:tcW w:w="3892"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zh-CN"/>
              </w:rPr>
            </w:pPr>
            <w:r>
              <w:rPr>
                <w:rFonts w:hint="default" w:ascii="宋体"/>
                <w:color w:val="auto"/>
                <w:sz w:val="18"/>
                <w:szCs w:val="18"/>
                <w:highlight w:val="none"/>
                <w:vertAlign w:val="baseline"/>
                <w:lang w:val="en-GB" w:eastAsia="zh-CN"/>
              </w:rPr>
              <w:t>分析判定项目年能源消费情况是否满足节能审查</w:t>
            </w:r>
          </w:p>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en-US"/>
              </w:rPr>
            </w:pPr>
            <w:r>
              <w:rPr>
                <w:rFonts w:hint="default" w:ascii="宋体"/>
                <w:color w:val="auto"/>
                <w:sz w:val="18"/>
                <w:szCs w:val="18"/>
                <w:highlight w:val="none"/>
                <w:vertAlign w:val="baseline"/>
                <w:lang w:val="en-GB" w:eastAsia="en-US"/>
              </w:rPr>
              <w:t>要求</w:t>
            </w:r>
          </w:p>
        </w:tc>
      </w:tr>
      <w:tr>
        <w:tblPrEx>
          <w:tblCellMar>
            <w:top w:w="0" w:type="dxa"/>
            <w:left w:w="0" w:type="dxa"/>
            <w:bottom w:w="0" w:type="dxa"/>
            <w:right w:w="0" w:type="dxa"/>
          </w:tblCellMar>
        </w:tblPrEx>
        <w:trPr>
          <w:trHeight w:val="494" w:hRule="exact"/>
        </w:trPr>
        <w:tc>
          <w:tcPr>
            <w:tcW w:w="925"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en-US"/>
              </w:rPr>
            </w:pPr>
            <w:r>
              <w:rPr>
                <w:rFonts w:hint="default" w:ascii="宋体"/>
                <w:color w:val="auto"/>
                <w:sz w:val="18"/>
                <w:szCs w:val="18"/>
                <w:highlight w:val="none"/>
                <w:vertAlign w:val="baseline"/>
                <w:lang w:val="en-GB" w:eastAsia="en-US"/>
              </w:rPr>
              <w:t>2.7</w:t>
            </w:r>
          </w:p>
        </w:tc>
        <w:tc>
          <w:tcPr>
            <w:tcW w:w="3519"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en-US"/>
              </w:rPr>
            </w:pPr>
            <w:r>
              <w:rPr>
                <w:rFonts w:hint="default" w:ascii="宋体"/>
                <w:color w:val="auto"/>
                <w:sz w:val="18"/>
                <w:szCs w:val="18"/>
                <w:highlight w:val="none"/>
                <w:vertAlign w:val="baseline"/>
                <w:lang w:val="en-GB" w:eastAsia="en-US"/>
              </w:rPr>
              <w:t>其他相关内容</w:t>
            </w:r>
          </w:p>
        </w:tc>
        <w:tc>
          <w:tcPr>
            <w:tcW w:w="3892"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en-US"/>
              </w:rPr>
            </w:pPr>
            <w:r>
              <w:rPr>
                <w:rFonts w:hint="default" w:ascii="宋体"/>
                <w:color w:val="auto"/>
                <w:sz w:val="18"/>
                <w:szCs w:val="18"/>
                <w:highlight w:val="none"/>
                <w:vertAlign w:val="baseline"/>
                <w:lang w:val="en-GB" w:eastAsia="en-US"/>
              </w:rPr>
              <w:t>建设内容是否调整等</w:t>
            </w:r>
          </w:p>
        </w:tc>
      </w:tr>
      <w:tr>
        <w:tblPrEx>
          <w:tblCellMar>
            <w:top w:w="0" w:type="dxa"/>
            <w:left w:w="0" w:type="dxa"/>
            <w:bottom w:w="0" w:type="dxa"/>
            <w:right w:w="0" w:type="dxa"/>
          </w:tblCellMar>
        </w:tblPrEx>
        <w:trPr>
          <w:trHeight w:val="494" w:hRule="exact"/>
        </w:trPr>
        <w:tc>
          <w:tcPr>
            <w:tcW w:w="925"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en-US"/>
              </w:rPr>
            </w:pPr>
            <w:r>
              <w:rPr>
                <w:rFonts w:hint="default" w:ascii="宋体"/>
                <w:color w:val="auto"/>
                <w:sz w:val="18"/>
                <w:szCs w:val="18"/>
                <w:highlight w:val="none"/>
                <w:vertAlign w:val="baseline"/>
                <w:lang w:val="en-GB" w:eastAsia="en-US"/>
              </w:rPr>
              <w:t>第三章</w:t>
            </w:r>
          </w:p>
        </w:tc>
        <w:tc>
          <w:tcPr>
            <w:tcW w:w="3519"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en-US"/>
              </w:rPr>
            </w:pPr>
            <w:r>
              <w:rPr>
                <w:rFonts w:hint="default" w:ascii="宋体"/>
                <w:color w:val="auto"/>
                <w:sz w:val="18"/>
                <w:szCs w:val="18"/>
                <w:highlight w:val="none"/>
                <w:vertAlign w:val="baseline"/>
                <w:lang w:val="en-GB" w:eastAsia="en-US"/>
              </w:rPr>
              <w:t>节能验收意见</w:t>
            </w:r>
          </w:p>
        </w:tc>
        <w:tc>
          <w:tcPr>
            <w:tcW w:w="3892"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en-US"/>
              </w:rPr>
            </w:pPr>
          </w:p>
        </w:tc>
      </w:tr>
      <w:tr>
        <w:tblPrEx>
          <w:tblCellMar>
            <w:top w:w="0" w:type="dxa"/>
            <w:left w:w="0" w:type="dxa"/>
            <w:bottom w:w="0" w:type="dxa"/>
            <w:right w:w="0" w:type="dxa"/>
          </w:tblCellMar>
        </w:tblPrEx>
        <w:trPr>
          <w:trHeight w:val="494" w:hRule="exact"/>
        </w:trPr>
        <w:tc>
          <w:tcPr>
            <w:tcW w:w="925"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en-US"/>
              </w:rPr>
            </w:pPr>
            <w:r>
              <w:rPr>
                <w:rFonts w:hint="default" w:ascii="宋体"/>
                <w:color w:val="auto"/>
                <w:sz w:val="18"/>
                <w:szCs w:val="18"/>
                <w:highlight w:val="none"/>
                <w:vertAlign w:val="baseline"/>
                <w:lang w:val="en-GB" w:eastAsia="en-US"/>
              </w:rPr>
              <w:t>附件</w:t>
            </w:r>
          </w:p>
        </w:tc>
        <w:tc>
          <w:tcPr>
            <w:tcW w:w="3519"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en-US"/>
              </w:rPr>
            </w:pPr>
            <w:r>
              <w:rPr>
                <w:rFonts w:hint="default" w:ascii="宋体"/>
                <w:color w:val="auto"/>
                <w:sz w:val="18"/>
                <w:szCs w:val="18"/>
                <w:highlight w:val="none"/>
                <w:vertAlign w:val="baseline"/>
                <w:lang w:val="en-GB" w:eastAsia="en-US"/>
              </w:rPr>
              <w:t>相关表格</w:t>
            </w:r>
          </w:p>
        </w:tc>
        <w:tc>
          <w:tcPr>
            <w:tcW w:w="3892"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en-US"/>
              </w:rPr>
            </w:pPr>
          </w:p>
        </w:tc>
      </w:tr>
      <w:tr>
        <w:tblPrEx>
          <w:tblCellMar>
            <w:top w:w="0" w:type="dxa"/>
            <w:left w:w="0" w:type="dxa"/>
            <w:bottom w:w="0" w:type="dxa"/>
            <w:right w:w="0" w:type="dxa"/>
          </w:tblCellMar>
        </w:tblPrEx>
        <w:trPr>
          <w:trHeight w:val="500" w:hRule="exact"/>
        </w:trPr>
        <w:tc>
          <w:tcPr>
            <w:tcW w:w="925"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en-US"/>
              </w:rPr>
            </w:pPr>
            <w:r>
              <w:rPr>
                <w:rFonts w:hint="default" w:ascii="宋体"/>
                <w:color w:val="auto"/>
                <w:sz w:val="18"/>
                <w:szCs w:val="18"/>
                <w:highlight w:val="none"/>
                <w:vertAlign w:val="baseline"/>
                <w:lang w:val="en-GB" w:eastAsia="en-US"/>
              </w:rPr>
              <w:t>附件 1</w:t>
            </w:r>
          </w:p>
        </w:tc>
        <w:tc>
          <w:tcPr>
            <w:tcW w:w="3519"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en-US"/>
              </w:rPr>
            </w:pPr>
            <w:r>
              <w:rPr>
                <w:rFonts w:hint="default" w:ascii="宋体"/>
                <w:color w:val="auto"/>
                <w:sz w:val="18"/>
                <w:szCs w:val="18"/>
                <w:highlight w:val="none"/>
                <w:vertAlign w:val="baseline"/>
                <w:lang w:val="en-GB" w:eastAsia="en-US"/>
              </w:rPr>
              <w:t>节能验收意见表</w:t>
            </w:r>
          </w:p>
        </w:tc>
        <w:tc>
          <w:tcPr>
            <w:tcW w:w="3892"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en-US"/>
              </w:rPr>
            </w:pPr>
          </w:p>
        </w:tc>
      </w:tr>
      <w:tr>
        <w:tblPrEx>
          <w:tblCellMar>
            <w:top w:w="0" w:type="dxa"/>
            <w:left w:w="0" w:type="dxa"/>
            <w:bottom w:w="0" w:type="dxa"/>
            <w:right w:w="0" w:type="dxa"/>
          </w:tblCellMar>
        </w:tblPrEx>
        <w:trPr>
          <w:trHeight w:val="500" w:hRule="exact"/>
        </w:trPr>
        <w:tc>
          <w:tcPr>
            <w:tcW w:w="925"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en-US"/>
              </w:rPr>
            </w:pPr>
            <w:r>
              <w:rPr>
                <w:rFonts w:hint="default" w:ascii="宋体"/>
                <w:color w:val="auto"/>
                <w:sz w:val="18"/>
                <w:szCs w:val="18"/>
                <w:highlight w:val="none"/>
                <w:vertAlign w:val="baseline"/>
                <w:lang w:val="en-GB" w:eastAsia="en-US"/>
              </w:rPr>
              <w:t>附件 2</w:t>
            </w:r>
          </w:p>
        </w:tc>
        <w:tc>
          <w:tcPr>
            <w:tcW w:w="3519"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en-US"/>
              </w:rPr>
            </w:pPr>
            <w:r>
              <w:rPr>
                <w:rFonts w:hint="default" w:ascii="宋体"/>
                <w:color w:val="auto"/>
                <w:sz w:val="18"/>
                <w:szCs w:val="18"/>
                <w:highlight w:val="none"/>
                <w:vertAlign w:val="baseline"/>
                <w:lang w:val="en-GB" w:eastAsia="en-US"/>
              </w:rPr>
              <w:t>项目建设方案验收表</w:t>
            </w:r>
          </w:p>
        </w:tc>
        <w:tc>
          <w:tcPr>
            <w:tcW w:w="3892"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en-US"/>
              </w:rPr>
            </w:pPr>
          </w:p>
        </w:tc>
      </w:tr>
      <w:tr>
        <w:tblPrEx>
          <w:tblCellMar>
            <w:top w:w="0" w:type="dxa"/>
            <w:left w:w="0" w:type="dxa"/>
            <w:bottom w:w="0" w:type="dxa"/>
            <w:right w:w="0" w:type="dxa"/>
          </w:tblCellMar>
        </w:tblPrEx>
        <w:trPr>
          <w:trHeight w:val="494" w:hRule="exact"/>
        </w:trPr>
        <w:tc>
          <w:tcPr>
            <w:tcW w:w="925"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en-US"/>
              </w:rPr>
            </w:pPr>
            <w:r>
              <w:rPr>
                <w:rFonts w:hint="default" w:ascii="宋体"/>
                <w:color w:val="auto"/>
                <w:sz w:val="18"/>
                <w:szCs w:val="18"/>
                <w:highlight w:val="none"/>
                <w:vertAlign w:val="baseline"/>
                <w:lang w:val="en-GB" w:eastAsia="en-US"/>
              </w:rPr>
              <w:t>附件 3</w:t>
            </w:r>
          </w:p>
        </w:tc>
        <w:tc>
          <w:tcPr>
            <w:tcW w:w="3519"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en-US"/>
              </w:rPr>
            </w:pPr>
            <w:r>
              <w:rPr>
                <w:rFonts w:hint="default" w:ascii="宋体"/>
                <w:color w:val="auto"/>
                <w:sz w:val="18"/>
                <w:szCs w:val="18"/>
                <w:highlight w:val="none"/>
                <w:vertAlign w:val="baseline"/>
                <w:lang w:val="en-GB" w:eastAsia="en-US"/>
              </w:rPr>
              <w:t>用能设备验收表</w:t>
            </w:r>
          </w:p>
        </w:tc>
        <w:tc>
          <w:tcPr>
            <w:tcW w:w="3892"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en-US"/>
              </w:rPr>
            </w:pPr>
          </w:p>
        </w:tc>
      </w:tr>
      <w:tr>
        <w:tblPrEx>
          <w:tblCellMar>
            <w:top w:w="0" w:type="dxa"/>
            <w:left w:w="0" w:type="dxa"/>
            <w:bottom w:w="0" w:type="dxa"/>
            <w:right w:w="0" w:type="dxa"/>
          </w:tblCellMar>
        </w:tblPrEx>
        <w:trPr>
          <w:trHeight w:val="664" w:hRule="exact"/>
        </w:trPr>
        <w:tc>
          <w:tcPr>
            <w:tcW w:w="925"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en-US"/>
              </w:rPr>
            </w:pPr>
            <w:r>
              <w:rPr>
                <w:rFonts w:hint="default" w:ascii="宋体"/>
                <w:color w:val="auto"/>
                <w:sz w:val="18"/>
                <w:szCs w:val="18"/>
                <w:highlight w:val="none"/>
                <w:vertAlign w:val="baseline"/>
                <w:lang w:val="en-GB" w:eastAsia="en-US"/>
              </w:rPr>
              <w:t>附件 4</w:t>
            </w:r>
          </w:p>
        </w:tc>
        <w:tc>
          <w:tcPr>
            <w:tcW w:w="3519"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zh-CN"/>
              </w:rPr>
            </w:pPr>
            <w:r>
              <w:rPr>
                <w:rFonts w:hint="default" w:ascii="宋体"/>
                <w:color w:val="auto"/>
                <w:sz w:val="18"/>
                <w:szCs w:val="18"/>
                <w:highlight w:val="none"/>
                <w:vertAlign w:val="baseline"/>
                <w:lang w:val="en-GB" w:eastAsia="zh-CN"/>
              </w:rPr>
              <w:t>节能技术措施验收表、节能管理</w:t>
            </w:r>
          </w:p>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en-US"/>
              </w:rPr>
            </w:pPr>
            <w:r>
              <w:rPr>
                <w:rFonts w:hint="default" w:ascii="宋体"/>
                <w:color w:val="auto"/>
                <w:sz w:val="18"/>
                <w:szCs w:val="18"/>
                <w:highlight w:val="none"/>
                <w:vertAlign w:val="baseline"/>
                <w:lang w:val="en-GB" w:eastAsia="en-US"/>
              </w:rPr>
              <w:t>措施验收表</w:t>
            </w:r>
          </w:p>
        </w:tc>
        <w:tc>
          <w:tcPr>
            <w:tcW w:w="3892"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en-US"/>
              </w:rPr>
            </w:pPr>
          </w:p>
        </w:tc>
      </w:tr>
      <w:tr>
        <w:tblPrEx>
          <w:tblCellMar>
            <w:top w:w="0" w:type="dxa"/>
            <w:left w:w="0" w:type="dxa"/>
            <w:bottom w:w="0" w:type="dxa"/>
            <w:right w:w="0" w:type="dxa"/>
          </w:tblCellMar>
        </w:tblPrEx>
        <w:trPr>
          <w:trHeight w:val="494" w:hRule="exact"/>
        </w:trPr>
        <w:tc>
          <w:tcPr>
            <w:tcW w:w="925"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en-US"/>
              </w:rPr>
            </w:pPr>
            <w:r>
              <w:rPr>
                <w:rFonts w:hint="default" w:ascii="宋体"/>
                <w:color w:val="auto"/>
                <w:sz w:val="18"/>
                <w:szCs w:val="18"/>
                <w:highlight w:val="none"/>
                <w:vertAlign w:val="baseline"/>
                <w:lang w:val="en-GB" w:eastAsia="en-US"/>
              </w:rPr>
              <w:t>附件 5</w:t>
            </w:r>
          </w:p>
        </w:tc>
        <w:tc>
          <w:tcPr>
            <w:tcW w:w="3519"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zh-CN"/>
              </w:rPr>
            </w:pPr>
            <w:r>
              <w:rPr>
                <w:rFonts w:hint="default" w:ascii="宋体"/>
                <w:color w:val="auto"/>
                <w:sz w:val="18"/>
                <w:szCs w:val="18"/>
                <w:highlight w:val="none"/>
                <w:vertAlign w:val="baseline"/>
                <w:lang w:val="en-GB" w:eastAsia="zh-CN"/>
              </w:rPr>
              <w:t>能源计量器具配备验收表</w:t>
            </w:r>
          </w:p>
        </w:tc>
        <w:tc>
          <w:tcPr>
            <w:tcW w:w="3892"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zh-CN"/>
              </w:rPr>
            </w:pPr>
          </w:p>
        </w:tc>
      </w:tr>
      <w:tr>
        <w:tblPrEx>
          <w:tblCellMar>
            <w:top w:w="0" w:type="dxa"/>
            <w:left w:w="0" w:type="dxa"/>
            <w:bottom w:w="0" w:type="dxa"/>
            <w:right w:w="0" w:type="dxa"/>
          </w:tblCellMar>
        </w:tblPrEx>
        <w:trPr>
          <w:trHeight w:val="494" w:hRule="exact"/>
        </w:trPr>
        <w:tc>
          <w:tcPr>
            <w:tcW w:w="925"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en-US"/>
              </w:rPr>
            </w:pPr>
            <w:r>
              <w:rPr>
                <w:rFonts w:hint="default" w:ascii="宋体"/>
                <w:color w:val="auto"/>
                <w:sz w:val="18"/>
                <w:szCs w:val="18"/>
                <w:highlight w:val="none"/>
                <w:vertAlign w:val="baseline"/>
                <w:lang w:val="en-GB" w:eastAsia="en-US"/>
              </w:rPr>
              <w:t>附件 6</w:t>
            </w:r>
          </w:p>
        </w:tc>
        <w:tc>
          <w:tcPr>
            <w:tcW w:w="3519"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en-US"/>
              </w:rPr>
            </w:pPr>
            <w:r>
              <w:rPr>
                <w:rFonts w:hint="default" w:ascii="宋体"/>
                <w:color w:val="auto"/>
                <w:sz w:val="18"/>
                <w:szCs w:val="18"/>
                <w:highlight w:val="none"/>
                <w:vertAlign w:val="baseline"/>
                <w:lang w:val="en-GB" w:eastAsia="en-US"/>
              </w:rPr>
              <w:t>能效水平验收表</w:t>
            </w:r>
          </w:p>
        </w:tc>
        <w:tc>
          <w:tcPr>
            <w:tcW w:w="3892"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en-US"/>
              </w:rPr>
            </w:pPr>
          </w:p>
        </w:tc>
      </w:tr>
      <w:tr>
        <w:tblPrEx>
          <w:tblCellMar>
            <w:top w:w="0" w:type="dxa"/>
            <w:left w:w="0" w:type="dxa"/>
            <w:bottom w:w="0" w:type="dxa"/>
            <w:right w:w="0" w:type="dxa"/>
          </w:tblCellMar>
        </w:tblPrEx>
        <w:trPr>
          <w:trHeight w:val="494" w:hRule="exact"/>
        </w:trPr>
        <w:tc>
          <w:tcPr>
            <w:tcW w:w="925"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en-US"/>
              </w:rPr>
            </w:pPr>
            <w:r>
              <w:rPr>
                <w:rFonts w:hint="default" w:ascii="宋体"/>
                <w:color w:val="auto"/>
                <w:sz w:val="18"/>
                <w:szCs w:val="18"/>
                <w:highlight w:val="none"/>
                <w:vertAlign w:val="baseline"/>
                <w:lang w:val="en-GB" w:eastAsia="en-US"/>
              </w:rPr>
              <w:t>附件 7</w:t>
            </w:r>
          </w:p>
        </w:tc>
        <w:tc>
          <w:tcPr>
            <w:tcW w:w="3519"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zh-CN"/>
              </w:rPr>
            </w:pPr>
            <w:r>
              <w:rPr>
                <w:rFonts w:hint="default" w:ascii="宋体"/>
                <w:color w:val="auto"/>
                <w:sz w:val="18"/>
                <w:szCs w:val="18"/>
                <w:highlight w:val="none"/>
                <w:vertAlign w:val="baseline"/>
                <w:lang w:val="en-GB" w:eastAsia="zh-CN"/>
              </w:rPr>
              <w:t>年综合能源消费量验收表</w:t>
            </w:r>
          </w:p>
        </w:tc>
        <w:tc>
          <w:tcPr>
            <w:tcW w:w="3892" w:type="dxa"/>
            <w:tcBorders>
              <w:top w:val="single" w:color="000000" w:sz="4" w:space="0"/>
              <w:left w:val="single" w:color="000000" w:sz="4" w:space="0"/>
              <w:bottom w:val="single" w:color="000000" w:sz="4" w:space="0"/>
              <w:right w:val="single" w:color="000000" w:sz="4" w:space="0"/>
            </w:tcBorders>
            <w:vAlign w:val="center"/>
          </w:tcPr>
          <w:p>
            <w:pPr>
              <w:pStyle w:val="1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宋体"/>
                <w:color w:val="auto"/>
                <w:sz w:val="18"/>
                <w:szCs w:val="18"/>
                <w:highlight w:val="none"/>
                <w:vertAlign w:val="baseline"/>
                <w:lang w:val="en-GB" w:eastAsia="zh-CN"/>
              </w:rPr>
            </w:pPr>
          </w:p>
        </w:tc>
      </w:tr>
    </w:tbl>
    <w:p>
      <w:pPr>
        <w:pStyle w:val="36"/>
        <w:rPr>
          <w:rFonts w:hint="default" w:ascii="仿宋" w:hAnsi="仿宋" w:eastAsia="仿宋" w:cs="仿宋"/>
          <w:color w:val="auto"/>
          <w:sz w:val="24"/>
          <w:szCs w:val="24"/>
          <w:highlight w:val="none"/>
          <w:lang w:val="en-US"/>
        </w:rPr>
      </w:pPr>
    </w:p>
    <w:p>
      <w:pPr>
        <w:pStyle w:val="13"/>
        <w:keepNext w:val="0"/>
        <w:keepLines w:val="0"/>
        <w:pageBreakBefore w:val="0"/>
        <w:widowControl w:val="0"/>
        <w:numPr>
          <w:ilvl w:val="0"/>
          <w:numId w:val="6"/>
        </w:numPr>
        <w:kinsoku/>
        <w:wordWrap/>
        <w:overflowPunct/>
        <w:topLinePunct w:val="0"/>
        <w:autoSpaceDE/>
        <w:autoSpaceDN/>
        <w:bidi w:val="0"/>
        <w:adjustRightInd w:val="0"/>
        <w:snapToGrid w:val="0"/>
        <w:spacing w:before="192" w:beforeLines="50" w:after="192" w:afterLines="50" w:line="300" w:lineRule="auto"/>
        <w:textAlignment w:val="auto"/>
        <w:rPr>
          <w:rFonts w:hint="default" w:ascii="仿宋" w:hAnsi="仿宋" w:eastAsia="仿宋" w:cs="仿宋_GB2312"/>
          <w:b/>
          <w:color w:val="auto"/>
          <w:sz w:val="24"/>
          <w:szCs w:val="24"/>
          <w:highlight w:val="none"/>
          <w:lang w:val="en-US" w:eastAsia="zh-CN"/>
        </w:rPr>
      </w:pPr>
      <w:r>
        <w:rPr>
          <w:rFonts w:hint="eastAsia" w:ascii="仿宋" w:hAnsi="仿宋" w:eastAsia="仿宋" w:cs="仿宋_GB2312"/>
          <w:b/>
          <w:color w:val="auto"/>
          <w:sz w:val="24"/>
          <w:szCs w:val="24"/>
          <w:highlight w:val="none"/>
          <w:lang w:val="en-US" w:eastAsia="zh-CN"/>
        </w:rPr>
        <w:t>技术要求</w:t>
      </w:r>
    </w:p>
    <w:p>
      <w:pPr>
        <w:pStyle w:val="37"/>
        <w:numPr>
          <w:ilvl w:val="0"/>
          <w:numId w:val="0"/>
        </w:numPr>
        <w:ind w:firstLine="480" w:firstLineChars="200"/>
        <w:rPr>
          <w:rFonts w:hint="default"/>
          <w:color w:val="auto"/>
          <w:sz w:val="24"/>
          <w:szCs w:val="24"/>
          <w:highlight w:val="none"/>
          <w:u w:val="single"/>
          <w:lang w:val="en-US" w:eastAsia="zh-CN"/>
        </w:rPr>
      </w:pPr>
      <w:r>
        <w:rPr>
          <w:rFonts w:hint="eastAsia"/>
          <w:color w:val="auto"/>
          <w:highlight w:val="none"/>
          <w:lang w:val="en-US" w:eastAsia="zh-CN"/>
        </w:rPr>
        <w:t>1、服务质量符合</w:t>
      </w:r>
      <w:r>
        <w:rPr>
          <w:rFonts w:hint="eastAsia"/>
          <w:color w:val="auto"/>
          <w:sz w:val="24"/>
          <w:szCs w:val="24"/>
          <w:highlight w:val="none"/>
          <w:u w:val="none"/>
          <w:lang w:val="en-US" w:eastAsia="zh-CN"/>
        </w:rPr>
        <w:t>《固定资产投资项目节能审查办法》（国家发改委2023年第2号令）、中华人民共和国节约能源法》（2018年10月26日修订）、《节能监察办法》（国家发改委 2016年令第33号）、《广东省固定资产投资项目节能审查实施办法》（征求意见稿）、《固定资产投资项目节能审查系列工作指南》（2018年本）、《固定资产投资项目节能验收工作指南》（2018年本）的要求。</w:t>
      </w:r>
    </w:p>
    <w:p>
      <w:pPr>
        <w:pStyle w:val="36"/>
        <w:rPr>
          <w:rFonts w:hint="default"/>
          <w:color w:val="auto"/>
          <w:highlight w:val="none"/>
          <w:lang w:val="en-US" w:eastAsia="zh-CN"/>
        </w:rPr>
      </w:pPr>
      <w:r>
        <w:rPr>
          <w:rFonts w:hint="eastAsia"/>
          <w:color w:val="auto"/>
          <w:highlight w:val="none"/>
          <w:lang w:val="en-US" w:eastAsia="zh-CN"/>
        </w:rPr>
        <w:t xml:space="preserve">    2、服</w:t>
      </w:r>
      <w:r>
        <w:rPr>
          <w:rFonts w:hint="eastAsia" w:ascii="宋体" w:hAnsi="Times New Roman" w:eastAsia="仿宋_GB2312" w:cs="宋体"/>
          <w:color w:val="auto"/>
          <w:kern w:val="0"/>
          <w:sz w:val="24"/>
          <w:szCs w:val="24"/>
          <w:highlight w:val="none"/>
          <w:u w:val="none"/>
          <w:lang w:val="en-US" w:eastAsia="zh-CN" w:bidi="ar-SA"/>
        </w:rPr>
        <w:t>务质量应符合有关机构发布的最新行业标准或国家标准。</w:t>
      </w:r>
    </w:p>
    <w:p>
      <w:pPr>
        <w:pStyle w:val="36"/>
        <w:ind w:firstLine="480" w:firstLineChars="200"/>
        <w:rPr>
          <w:rFonts w:hint="eastAsia" w:ascii="宋体" w:hAnsi="Times New Roman" w:eastAsia="仿宋_GB2312" w:cs="宋体"/>
          <w:color w:val="auto"/>
          <w:kern w:val="0"/>
          <w:sz w:val="24"/>
          <w:szCs w:val="24"/>
          <w:highlight w:val="none"/>
          <w:u w:val="none"/>
          <w:lang w:val="en-US" w:eastAsia="zh-CN" w:bidi="ar-SA"/>
        </w:rPr>
      </w:pPr>
      <w:r>
        <w:rPr>
          <w:rFonts w:hint="eastAsia" w:ascii="宋体" w:hAnsi="Times New Roman" w:eastAsia="仿宋_GB2312" w:cs="宋体"/>
          <w:color w:val="auto"/>
          <w:kern w:val="0"/>
          <w:sz w:val="24"/>
          <w:szCs w:val="24"/>
          <w:highlight w:val="none"/>
          <w:u w:val="none"/>
          <w:lang w:val="en-US" w:eastAsia="zh-CN" w:bidi="ar-SA"/>
        </w:rPr>
        <w:t>3、乙方技术人员进入甲方生产现场服务时，应按照甲方的相关规定办理进入生产现场的手续。</w:t>
      </w:r>
    </w:p>
    <w:p>
      <w:pPr>
        <w:pStyle w:val="36"/>
        <w:ind w:firstLine="480" w:firstLineChars="200"/>
        <w:rPr>
          <w:rFonts w:hint="eastAsia" w:ascii="宋体" w:hAnsi="Times New Roman" w:eastAsia="仿宋_GB2312" w:cs="宋体"/>
          <w:color w:val="auto"/>
          <w:kern w:val="0"/>
          <w:sz w:val="24"/>
          <w:szCs w:val="24"/>
          <w:highlight w:val="none"/>
          <w:u w:val="none"/>
          <w:lang w:val="en-US" w:eastAsia="zh-CN" w:bidi="ar-SA"/>
        </w:rPr>
      </w:pPr>
      <w:r>
        <w:rPr>
          <w:rFonts w:hint="eastAsia" w:ascii="宋体" w:hAnsi="Times New Roman" w:eastAsia="仿宋_GB2312" w:cs="宋体"/>
          <w:color w:val="auto"/>
          <w:kern w:val="0"/>
          <w:sz w:val="24"/>
          <w:szCs w:val="24"/>
          <w:highlight w:val="none"/>
          <w:u w:val="none"/>
          <w:lang w:val="en-US" w:eastAsia="zh-CN" w:bidi="ar-SA"/>
        </w:rPr>
        <w:t>4、在项目进行中，承包单位要注意保护场内的各种管线和设施。若有任何损坏，须立即通知有关部门和发包人，并由损坏单位承担损失和修复费用。</w:t>
      </w:r>
    </w:p>
    <w:p>
      <w:pPr>
        <w:pStyle w:val="36"/>
        <w:ind w:firstLine="480" w:firstLineChars="200"/>
        <w:rPr>
          <w:rFonts w:hint="default" w:ascii="宋体" w:hAnsi="Times New Roman" w:eastAsia="仿宋_GB2312" w:cs="宋体"/>
          <w:color w:val="auto"/>
          <w:kern w:val="0"/>
          <w:sz w:val="24"/>
          <w:szCs w:val="24"/>
          <w:highlight w:val="none"/>
          <w:u w:val="none"/>
          <w:lang w:val="en-US" w:eastAsia="zh-CN" w:bidi="ar-SA"/>
        </w:rPr>
      </w:pPr>
      <w:r>
        <w:rPr>
          <w:rFonts w:hint="eastAsia" w:ascii="宋体" w:hAnsi="Times New Roman" w:eastAsia="仿宋_GB2312" w:cs="宋体"/>
          <w:color w:val="auto"/>
          <w:kern w:val="0"/>
          <w:sz w:val="24"/>
          <w:szCs w:val="24"/>
          <w:highlight w:val="none"/>
          <w:u w:val="none"/>
          <w:lang w:val="en-US" w:eastAsia="zh-CN" w:bidi="ar-SA"/>
        </w:rPr>
        <w:t>5、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pStyle w:val="19"/>
        <w:ind w:firstLine="480" w:firstLineChars="200"/>
        <w:rPr>
          <w:rFonts w:hint="eastAsia" w:ascii="宋体" w:hAnsi="Times New Roman" w:eastAsia="仿宋_GB2312" w:cs="宋体"/>
          <w:color w:val="auto"/>
          <w:kern w:val="0"/>
          <w:sz w:val="24"/>
          <w:szCs w:val="24"/>
          <w:highlight w:val="none"/>
          <w:u w:val="none"/>
          <w:lang w:val="en-US" w:eastAsia="zh-CN" w:bidi="ar-SA"/>
        </w:rPr>
      </w:pPr>
      <w:r>
        <w:rPr>
          <w:rFonts w:hint="eastAsia" w:ascii="宋体" w:hAnsi="Times New Roman" w:eastAsia="仿宋_GB2312" w:cs="宋体"/>
          <w:color w:val="auto"/>
          <w:kern w:val="0"/>
          <w:sz w:val="24"/>
          <w:szCs w:val="24"/>
          <w:highlight w:val="none"/>
          <w:u w:val="none"/>
          <w:lang w:val="en-US" w:eastAsia="zh-CN" w:bidi="ar-SA"/>
        </w:rPr>
        <w:t>6、节能验收报告出具后，乙方应在三个工作日内将纸质报告免费送至甲方指定的地点。</w:t>
      </w:r>
    </w:p>
    <w:p>
      <w:pPr>
        <w:rPr>
          <w:rFonts w:hint="default"/>
          <w:color w:val="auto"/>
          <w:highlight w:val="none"/>
          <w:lang w:val="en-US" w:eastAsia="zh-CN"/>
        </w:rPr>
      </w:pPr>
    </w:p>
    <w:p>
      <w:pPr>
        <w:pStyle w:val="13"/>
        <w:keepNext w:val="0"/>
        <w:keepLines w:val="0"/>
        <w:pageBreakBefore w:val="0"/>
        <w:widowControl w:val="0"/>
        <w:numPr>
          <w:ilvl w:val="0"/>
          <w:numId w:val="6"/>
        </w:numPr>
        <w:kinsoku/>
        <w:wordWrap/>
        <w:overflowPunct/>
        <w:topLinePunct w:val="0"/>
        <w:autoSpaceDE/>
        <w:autoSpaceDN/>
        <w:bidi w:val="0"/>
        <w:adjustRightInd w:val="0"/>
        <w:snapToGrid w:val="0"/>
        <w:spacing w:before="192" w:beforeLines="50" w:after="192" w:afterLines="50" w:line="300" w:lineRule="auto"/>
        <w:textAlignment w:val="auto"/>
        <w:rPr>
          <w:rFonts w:hint="default"/>
          <w:color w:val="auto"/>
          <w:highlight w:val="none"/>
          <w:lang w:val="en-US" w:eastAsia="zh-CN"/>
        </w:rPr>
      </w:pPr>
      <w:r>
        <w:rPr>
          <w:rFonts w:hint="eastAsia" w:ascii="仿宋" w:hAnsi="仿宋" w:eastAsia="仿宋" w:cs="仿宋"/>
          <w:b/>
          <w:bCs/>
          <w:color w:val="auto"/>
          <w:sz w:val="24"/>
          <w:szCs w:val="24"/>
          <w:highlight w:val="none"/>
          <w:lang w:val="en-US" w:eastAsia="zh-CN"/>
        </w:rPr>
        <w:t>总包和分包规定</w:t>
      </w:r>
    </w:p>
    <w:p>
      <w:pPr>
        <w:pStyle w:val="37"/>
        <w:numPr>
          <w:ilvl w:val="0"/>
          <w:numId w:val="0"/>
        </w:numPr>
        <w:ind w:firstLine="480" w:firstLineChars="200"/>
        <w:rPr>
          <w:rFonts w:hint="eastAsia" w:ascii="宋体" w:cs="宋体"/>
          <w:color w:val="auto"/>
          <w:sz w:val="24"/>
          <w:szCs w:val="24"/>
          <w:highlight w:val="none"/>
          <w:u w:val="none"/>
          <w:lang w:val="en-US" w:eastAsia="zh-CN"/>
        </w:rPr>
      </w:pPr>
      <w:r>
        <w:rPr>
          <w:rFonts w:hint="eastAsia" w:ascii="宋体" w:cs="宋体"/>
          <w:color w:val="auto"/>
          <w:sz w:val="24"/>
          <w:szCs w:val="24"/>
          <w:highlight w:val="none"/>
          <w:u w:val="none"/>
          <w:lang w:val="en-US" w:eastAsia="zh-CN"/>
        </w:rPr>
        <w:t>1.承包单位不许转包，不许擅自分包, 否则，发包人有权单方面终止合同，并令其立即退场，由此而造成的经济损失由承包单位负责赔偿。</w:t>
      </w:r>
    </w:p>
    <w:p>
      <w:pPr>
        <w:pStyle w:val="37"/>
        <w:numPr>
          <w:ilvl w:val="0"/>
          <w:numId w:val="0"/>
        </w:numPr>
        <w:ind w:firstLine="480" w:firstLineChars="200"/>
        <w:rPr>
          <w:rFonts w:hint="eastAsia" w:ascii="宋体" w:cs="宋体"/>
          <w:color w:val="auto"/>
          <w:sz w:val="24"/>
          <w:szCs w:val="24"/>
          <w:highlight w:val="none"/>
          <w:u w:val="none"/>
          <w:lang w:val="en-US" w:eastAsia="zh-CN"/>
        </w:rPr>
      </w:pPr>
      <w:r>
        <w:rPr>
          <w:rFonts w:hint="eastAsia" w:ascii="宋体" w:cs="宋体"/>
          <w:color w:val="auto"/>
          <w:sz w:val="24"/>
          <w:szCs w:val="24"/>
          <w:highlight w:val="none"/>
          <w:u w:val="none"/>
          <w:lang w:val="en-US" w:eastAsia="zh-CN"/>
        </w:rPr>
        <w:t>2.付款方式：银行汇票形式。</w:t>
      </w:r>
    </w:p>
    <w:p>
      <w:pPr>
        <w:pStyle w:val="37"/>
        <w:numPr>
          <w:ilvl w:val="0"/>
          <w:numId w:val="0"/>
        </w:numPr>
        <w:ind w:firstLine="480" w:firstLineChars="200"/>
        <w:rPr>
          <w:rFonts w:hint="eastAsia" w:ascii="宋体" w:cs="宋体"/>
          <w:color w:val="auto"/>
          <w:sz w:val="24"/>
          <w:szCs w:val="24"/>
          <w:highlight w:val="none"/>
          <w:u w:val="none"/>
          <w:lang w:val="en-US" w:eastAsia="zh-CN"/>
        </w:rPr>
        <w:sectPr>
          <w:footerReference r:id="rId6" w:type="first"/>
          <w:footerReference r:id="rId5" w:type="default"/>
          <w:pgSz w:w="11906" w:h="16838"/>
          <w:pgMar w:top="2098" w:right="1474" w:bottom="1985" w:left="1588" w:header="851" w:footer="992" w:gutter="0"/>
          <w:pgNumType w:fmt="decimal" w:start="1"/>
          <w:cols w:space="425" w:num="1"/>
          <w:titlePg/>
          <w:docGrid w:type="lines" w:linePitch="312" w:charSpace="0"/>
        </w:sectPr>
      </w:pPr>
      <w:r>
        <w:rPr>
          <w:rFonts w:hint="eastAsia" w:ascii="宋体" w:cs="宋体"/>
          <w:color w:val="auto"/>
          <w:sz w:val="24"/>
          <w:szCs w:val="24"/>
          <w:highlight w:val="none"/>
          <w:u w:val="none"/>
          <w:lang w:val="en-US" w:eastAsia="zh-CN"/>
        </w:rPr>
        <w:t>3.承包方式：</w:t>
      </w:r>
      <w:r>
        <w:rPr>
          <w:rFonts w:hint="eastAsia" w:ascii="宋体" w:cs="宋体"/>
          <w:color w:val="auto"/>
          <w:sz w:val="24"/>
          <w:szCs w:val="24"/>
          <w:highlight w:val="none"/>
          <w:u w:val="none"/>
          <w:lang w:val="zh-CN" w:eastAsia="zh-CN"/>
        </w:rPr>
        <w:t>单价包干。</w:t>
      </w:r>
    </w:p>
    <w:p>
      <w:pPr>
        <w:pStyle w:val="24"/>
        <w:ind w:left="0" w:leftChars="0" w:firstLine="0" w:firstLineChars="0"/>
        <w:rPr>
          <w:rFonts w:hint="eastAsia" w:ascii="仿宋_GB2312" w:hAnsi="仿宋_GB2312" w:eastAsia="仿宋_GB2312" w:cs="仿宋_GB2312"/>
          <w:color w:val="auto"/>
          <w:sz w:val="28"/>
          <w:szCs w:val="28"/>
          <w:highlight w:val="none"/>
        </w:rPr>
      </w:pPr>
    </w:p>
    <w:p>
      <w:pPr>
        <w:rPr>
          <w:color w:val="auto"/>
          <w:highlight w:val="none"/>
        </w:rPr>
      </w:pPr>
    </w:p>
    <w:p>
      <w:pPr>
        <w:pStyle w:val="24"/>
        <w:rPr>
          <w:color w:val="auto"/>
          <w:highlight w:val="none"/>
        </w:rPr>
      </w:pPr>
    </w:p>
    <w:p>
      <w:pPr>
        <w:pStyle w:val="24"/>
        <w:rPr>
          <w:color w:val="auto"/>
          <w:highlight w:val="none"/>
        </w:rPr>
      </w:pPr>
    </w:p>
    <w:p>
      <w:pPr>
        <w:pStyle w:val="24"/>
        <w:rPr>
          <w:color w:val="auto"/>
          <w:highlight w:val="none"/>
        </w:rPr>
      </w:pPr>
    </w:p>
    <w:p>
      <w:pPr>
        <w:pStyle w:val="3"/>
        <w:rPr>
          <w:color w:val="auto"/>
          <w:highlight w:val="none"/>
        </w:rPr>
      </w:pPr>
      <w:bookmarkStart w:id="62" w:name="_Toc25925"/>
      <w:bookmarkStart w:id="63" w:name="_Toc12135"/>
      <w:bookmarkStart w:id="64" w:name="_Toc18538"/>
      <w:bookmarkStart w:id="65" w:name="_Toc4680"/>
      <w:bookmarkStart w:id="66" w:name="_Toc15570"/>
      <w:bookmarkStart w:id="67" w:name="_Toc537"/>
      <w:bookmarkStart w:id="68" w:name="_Toc23330"/>
      <w:bookmarkStart w:id="69" w:name="_Toc23353"/>
      <w:bookmarkStart w:id="70" w:name="_Toc1284"/>
      <w:bookmarkStart w:id="71" w:name="_Toc29835"/>
      <w:bookmarkStart w:id="72" w:name="_Toc1496"/>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11"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H6Jrv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10"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B7vIf8QEAAOM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oEksSBpRv/&#10;+enbr4+f7778uPv+lS2zREPAmiI37iaedhhuYuZ7aKPNf2LCDkXW41lWdUhM0OGLxXK5IHRx76oe&#10;8kLE9Ep5y7LRcEwRdNenjXeO7s7HWVEV9q8xUWVKvE/IRY1jQ4afLwgcaBZbmgEybSA+6LqSi95o&#10;ea2NyRkYu93GRLaHPA/ly/wI96+wXGQL2I9xxTVOSq9AvnSSpWMgoRw9EJ5bsEpyZhS9p2wRINQJ&#10;tLkkkkobRx1kiUdRs7Xz8li0Lud096XH05zm4fpzX7If3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CB7vIf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第六章</w:t>
      </w:r>
      <w:bookmarkEnd w:id="62"/>
      <w:bookmarkEnd w:id="63"/>
      <w:bookmarkEnd w:id="64"/>
      <w:bookmarkEnd w:id="65"/>
      <w:bookmarkEnd w:id="66"/>
      <w:bookmarkEnd w:id="67"/>
      <w:bookmarkEnd w:id="68"/>
      <w:bookmarkEnd w:id="69"/>
      <w:bookmarkEnd w:id="70"/>
      <w:bookmarkEnd w:id="71"/>
      <w:bookmarkEnd w:id="72"/>
    </w:p>
    <w:p>
      <w:pPr>
        <w:pStyle w:val="47"/>
        <w:rPr>
          <w:color w:val="auto"/>
          <w:highlight w:val="none"/>
        </w:rPr>
      </w:pPr>
    </w:p>
    <w:p>
      <w:pPr>
        <w:pStyle w:val="3"/>
        <w:rPr>
          <w:color w:val="auto"/>
          <w:highlight w:val="none"/>
        </w:rPr>
      </w:pPr>
      <w:bookmarkStart w:id="73" w:name="_Toc1375"/>
      <w:bookmarkStart w:id="74" w:name="_Toc13309"/>
      <w:bookmarkStart w:id="75" w:name="_Toc22797"/>
      <w:bookmarkStart w:id="76" w:name="_Toc12968"/>
      <w:bookmarkStart w:id="77" w:name="_Toc22501"/>
      <w:bookmarkStart w:id="78" w:name="_Toc12721"/>
      <w:bookmarkStart w:id="79" w:name="_Toc19088"/>
      <w:bookmarkStart w:id="80" w:name="_Toc87616386"/>
      <w:bookmarkStart w:id="81" w:name="_Toc8183"/>
      <w:bookmarkStart w:id="82" w:name="_Toc19686"/>
      <w:bookmarkStart w:id="83" w:name="_Toc323"/>
      <w:bookmarkStart w:id="84" w:name="_Toc88209949"/>
      <w:bookmarkStart w:id="85" w:name="_Toc12980"/>
      <w:r>
        <w:rPr>
          <w:rFonts w:hint="eastAsia"/>
          <w:color w:val="auto"/>
          <w:highlight w:val="none"/>
        </w:rPr>
        <w:t>合同</w:t>
      </w:r>
      <w:bookmarkEnd w:id="73"/>
      <w:bookmarkEnd w:id="74"/>
      <w:bookmarkEnd w:id="75"/>
      <w:bookmarkEnd w:id="76"/>
      <w:bookmarkEnd w:id="77"/>
      <w:bookmarkEnd w:id="78"/>
      <w:bookmarkEnd w:id="79"/>
      <w:bookmarkEnd w:id="80"/>
      <w:bookmarkEnd w:id="81"/>
      <w:bookmarkEnd w:id="82"/>
      <w:bookmarkEnd w:id="83"/>
      <w:bookmarkEnd w:id="84"/>
      <w:bookmarkEnd w:id="85"/>
    </w:p>
    <w:p>
      <w:pPr>
        <w:jc w:val="center"/>
        <w:rPr>
          <w:rFonts w:hint="eastAsia"/>
          <w:b/>
          <w:color w:val="auto"/>
          <w:sz w:val="48"/>
          <w:szCs w:val="48"/>
          <w:highlight w:val="none"/>
        </w:rPr>
      </w:pPr>
    </w:p>
    <w:p>
      <w:pPr>
        <w:jc w:val="center"/>
        <w:rPr>
          <w:rFonts w:hint="eastAsia"/>
          <w:b/>
          <w:color w:val="auto"/>
          <w:sz w:val="48"/>
          <w:szCs w:val="48"/>
          <w:highlight w:val="none"/>
        </w:rPr>
      </w:pPr>
    </w:p>
    <w:p>
      <w:pPr>
        <w:pStyle w:val="9"/>
        <w:rPr>
          <w:rFonts w:hint="eastAsia"/>
          <w:b/>
          <w:color w:val="auto"/>
          <w:sz w:val="48"/>
          <w:szCs w:val="48"/>
          <w:highlight w:val="none"/>
        </w:rPr>
      </w:pPr>
    </w:p>
    <w:p>
      <w:pPr>
        <w:pStyle w:val="10"/>
        <w:rPr>
          <w:rFonts w:hint="eastAsia"/>
          <w:b/>
          <w:color w:val="auto"/>
          <w:sz w:val="48"/>
          <w:szCs w:val="48"/>
          <w:highlight w:val="none"/>
        </w:rPr>
      </w:pPr>
    </w:p>
    <w:p>
      <w:pPr>
        <w:pStyle w:val="10"/>
        <w:rPr>
          <w:rFonts w:hint="eastAsia"/>
          <w:b/>
          <w:color w:val="auto"/>
          <w:sz w:val="48"/>
          <w:szCs w:val="48"/>
          <w:highlight w:val="none"/>
        </w:rPr>
      </w:pPr>
    </w:p>
    <w:p>
      <w:pPr>
        <w:pStyle w:val="10"/>
        <w:rPr>
          <w:rFonts w:hint="eastAsia"/>
          <w:b/>
          <w:color w:val="auto"/>
          <w:sz w:val="48"/>
          <w:szCs w:val="48"/>
          <w:highlight w:val="none"/>
        </w:rPr>
      </w:pPr>
    </w:p>
    <w:p>
      <w:pPr>
        <w:pStyle w:val="10"/>
        <w:rPr>
          <w:rFonts w:hint="eastAsia"/>
          <w:b/>
          <w:color w:val="auto"/>
          <w:sz w:val="48"/>
          <w:szCs w:val="48"/>
          <w:highlight w:val="none"/>
        </w:rPr>
      </w:pPr>
    </w:p>
    <w:p>
      <w:pPr>
        <w:pStyle w:val="10"/>
        <w:rPr>
          <w:rFonts w:hint="eastAsia"/>
          <w:b/>
          <w:color w:val="auto"/>
          <w:sz w:val="48"/>
          <w:szCs w:val="48"/>
          <w:highlight w:val="none"/>
        </w:rPr>
      </w:pPr>
    </w:p>
    <w:p>
      <w:pPr>
        <w:pStyle w:val="10"/>
        <w:rPr>
          <w:rFonts w:hint="eastAsia"/>
          <w:b/>
          <w:color w:val="auto"/>
          <w:sz w:val="48"/>
          <w:szCs w:val="48"/>
          <w:highlight w:val="none"/>
        </w:rPr>
      </w:pPr>
    </w:p>
    <w:p>
      <w:pPr>
        <w:pStyle w:val="13"/>
        <w:snapToGrid w:val="0"/>
        <w:spacing w:before="624" w:beforeLines="200" w:line="360" w:lineRule="auto"/>
        <w:ind w:right="-198" w:firstLine="0" w:firstLineChars="0"/>
        <w:jc w:val="center"/>
        <w:rPr>
          <w:rFonts w:hint="default" w:ascii="宋体" w:hAnsi="宋体" w:eastAsiaTheme="minorEastAsia"/>
          <w:b/>
          <w:color w:val="auto"/>
          <w:sz w:val="48"/>
          <w:szCs w:val="48"/>
          <w:highlight w:val="none"/>
          <w:lang w:val="en-US" w:eastAsia="zh-CN"/>
        </w:rPr>
      </w:pPr>
      <w:r>
        <w:rPr>
          <w:rFonts w:hint="eastAsia" w:ascii="宋体" w:hAnsi="宋体" w:eastAsiaTheme="minorEastAsia" w:cstheme="minorBidi"/>
          <w:b/>
          <w:color w:val="auto"/>
          <w:kern w:val="2"/>
          <w:sz w:val="48"/>
          <w:szCs w:val="48"/>
          <w:highlight w:val="none"/>
          <w:u w:val="none"/>
          <w:lang w:val="en-US" w:eastAsia="zh-CN" w:bidi="ar-SA"/>
        </w:rPr>
        <w:t>猎德、大坦沙、沥滘、西朗、石井污水处理厂厂内污泥干化减量</w:t>
      </w:r>
      <w:r>
        <w:rPr>
          <w:rFonts w:hint="eastAsia" w:ascii="宋体" w:hAnsi="宋体"/>
          <w:b/>
          <w:color w:val="auto"/>
          <w:sz w:val="48"/>
          <w:szCs w:val="48"/>
          <w:highlight w:val="none"/>
          <w:lang w:val="en-US" w:eastAsia="zh-CN"/>
        </w:rPr>
        <w:t>工程</w:t>
      </w:r>
      <w:r>
        <w:rPr>
          <w:rFonts w:hint="eastAsia" w:ascii="宋体" w:hAnsi="宋体"/>
          <w:b/>
          <w:color w:val="auto"/>
          <w:sz w:val="48"/>
          <w:szCs w:val="48"/>
          <w:highlight w:val="none"/>
          <w:lang w:eastAsia="zh-CN"/>
        </w:rPr>
        <w:t>项目节能验收</w:t>
      </w:r>
      <w:r>
        <w:rPr>
          <w:rFonts w:hint="eastAsia" w:ascii="宋体" w:hAnsi="宋体"/>
          <w:b/>
          <w:color w:val="auto"/>
          <w:sz w:val="48"/>
          <w:szCs w:val="48"/>
          <w:highlight w:val="none"/>
          <w:lang w:val="en-US" w:eastAsia="zh-CN"/>
        </w:rPr>
        <w:t>技术咨询</w:t>
      </w:r>
      <w:r>
        <w:rPr>
          <w:rFonts w:hint="eastAsia" w:ascii="宋体" w:hAnsi="宋体"/>
          <w:b/>
          <w:color w:val="auto"/>
          <w:sz w:val="48"/>
          <w:szCs w:val="48"/>
          <w:highlight w:val="none"/>
        </w:rPr>
        <w:t>服务</w:t>
      </w:r>
      <w:r>
        <w:rPr>
          <w:rFonts w:hint="eastAsia" w:hAnsi="Times New Roman"/>
          <w:b/>
          <w:color w:val="auto"/>
          <w:sz w:val="48"/>
          <w:szCs w:val="48"/>
          <w:highlight w:val="none"/>
        </w:rPr>
        <w:t>合同</w:t>
      </w:r>
      <w:r>
        <w:rPr>
          <w:rFonts w:hint="eastAsia" w:hAnsi="Times New Roman"/>
          <w:b/>
          <w:color w:val="auto"/>
          <w:sz w:val="48"/>
          <w:szCs w:val="48"/>
          <w:highlight w:val="none"/>
          <w:lang w:val="en-US" w:eastAsia="zh-CN"/>
        </w:rPr>
        <w:t xml:space="preserve">          </w:t>
      </w:r>
    </w:p>
    <w:p>
      <w:pPr>
        <w:spacing w:line="480" w:lineRule="auto"/>
        <w:jc w:val="center"/>
        <w:rPr>
          <w:rFonts w:hint="eastAsia" w:ascii="黑体" w:eastAsia="黑体"/>
          <w:b/>
          <w:color w:val="auto"/>
          <w:sz w:val="32"/>
          <w:szCs w:val="44"/>
          <w:highlight w:val="none"/>
        </w:rPr>
      </w:pPr>
    </w:p>
    <w:p>
      <w:pPr>
        <w:rPr>
          <w:rFonts w:hint="eastAsia"/>
          <w:color w:val="auto"/>
          <w:sz w:val="32"/>
          <w:highlight w:val="none"/>
        </w:rPr>
      </w:pPr>
      <w:r>
        <w:rPr>
          <w:rFonts w:hint="eastAsia"/>
          <w:color w:val="auto"/>
          <w:sz w:val="32"/>
          <w:highlight w:val="none"/>
        </w:rPr>
        <w:t xml:space="preserve"> </w:t>
      </w:r>
    </w:p>
    <w:p>
      <w:pPr>
        <w:pStyle w:val="20"/>
        <w:rPr>
          <w:rFonts w:hint="eastAsia"/>
          <w:color w:val="auto"/>
          <w:sz w:val="32"/>
          <w:highlight w:val="none"/>
        </w:rPr>
      </w:pPr>
    </w:p>
    <w:p>
      <w:pPr>
        <w:rPr>
          <w:rFonts w:hint="eastAsia"/>
          <w:color w:val="auto"/>
          <w:sz w:val="32"/>
          <w:highlight w:val="none"/>
        </w:rPr>
      </w:pPr>
    </w:p>
    <w:p>
      <w:pPr>
        <w:pStyle w:val="20"/>
        <w:rPr>
          <w:rFonts w:hint="eastAsia"/>
          <w:color w:val="auto"/>
          <w:sz w:val="32"/>
          <w:highlight w:val="none"/>
        </w:rPr>
      </w:pPr>
    </w:p>
    <w:p>
      <w:pPr>
        <w:rPr>
          <w:rFonts w:hint="eastAsia"/>
          <w:color w:val="auto"/>
          <w:highlight w:val="none"/>
        </w:rPr>
      </w:pPr>
    </w:p>
    <w:p>
      <w:pPr>
        <w:rPr>
          <w:rFonts w:hint="eastAsia"/>
          <w:color w:val="auto"/>
          <w:sz w:val="32"/>
          <w:highlight w:val="none"/>
        </w:rPr>
      </w:pPr>
    </w:p>
    <w:p>
      <w:pPr>
        <w:pStyle w:val="20"/>
        <w:ind w:left="840" w:hanging="420"/>
        <w:rPr>
          <w:rFonts w:hint="eastAsia"/>
          <w:color w:val="auto"/>
          <w:highlight w:val="none"/>
        </w:rPr>
      </w:pPr>
    </w:p>
    <w:p>
      <w:pPr>
        <w:rPr>
          <w:rFonts w:hint="eastAsia"/>
          <w:color w:val="auto"/>
          <w:sz w:val="32"/>
          <w:highlight w:val="none"/>
        </w:rPr>
      </w:pPr>
    </w:p>
    <w:p>
      <w:pPr>
        <w:pStyle w:val="89"/>
        <w:spacing w:before="312"/>
        <w:ind w:firstLine="560" w:firstLineChars="200"/>
        <w:jc w:val="left"/>
        <w:rPr>
          <w:rFonts w:hint="eastAsia" w:ascii="黑体" w:eastAsia="黑体"/>
          <w:color w:val="auto"/>
          <w:sz w:val="28"/>
          <w:szCs w:val="28"/>
          <w:highlight w:val="none"/>
        </w:rPr>
      </w:pPr>
      <w:r>
        <w:rPr>
          <w:rFonts w:hint="eastAsia" w:ascii="黑体" w:eastAsia="黑体"/>
          <w:bCs/>
          <w:color w:val="auto"/>
          <w:sz w:val="28"/>
          <w:szCs w:val="28"/>
          <w:highlight w:val="none"/>
        </w:rPr>
        <w:t>建设单位（甲方）</w:t>
      </w:r>
      <w:r>
        <w:rPr>
          <w:rFonts w:hint="eastAsia" w:ascii="黑体" w:eastAsia="黑体"/>
          <w:color w:val="auto"/>
          <w:sz w:val="28"/>
          <w:szCs w:val="28"/>
          <w:highlight w:val="none"/>
        </w:rPr>
        <w:t>：</w:t>
      </w:r>
      <w:r>
        <w:rPr>
          <w:rFonts w:hint="eastAsia" w:ascii="黑体" w:eastAsia="黑体"/>
          <w:bCs/>
          <w:color w:val="auto"/>
          <w:sz w:val="28"/>
          <w:szCs w:val="28"/>
          <w:highlight w:val="none"/>
          <w:u w:val="single"/>
        </w:rPr>
        <w:t xml:space="preserve"> </w:t>
      </w:r>
      <w:r>
        <w:rPr>
          <w:rFonts w:hint="eastAsia" w:ascii="黑体" w:eastAsia="黑体"/>
          <w:color w:val="auto"/>
          <w:sz w:val="28"/>
          <w:szCs w:val="28"/>
          <w:highlight w:val="none"/>
          <w:u w:val="single"/>
        </w:rPr>
        <w:t xml:space="preserve">   广州市净水有限公司                 </w:t>
      </w:r>
    </w:p>
    <w:p>
      <w:pPr>
        <w:pStyle w:val="89"/>
        <w:spacing w:line="360" w:lineRule="auto"/>
        <w:ind w:firstLine="560" w:firstLineChars="200"/>
        <w:jc w:val="left"/>
        <w:rPr>
          <w:rFonts w:hint="eastAsia" w:ascii="黑体" w:eastAsia="黑体"/>
          <w:color w:val="auto"/>
          <w:sz w:val="28"/>
          <w:szCs w:val="28"/>
          <w:highlight w:val="none"/>
        </w:rPr>
      </w:pPr>
      <w:r>
        <w:rPr>
          <w:rFonts w:hint="eastAsia" w:ascii="黑体" w:eastAsia="黑体"/>
          <w:bCs/>
          <w:color w:val="auto"/>
          <w:sz w:val="28"/>
          <w:szCs w:val="28"/>
          <w:highlight w:val="none"/>
        </w:rPr>
        <w:t xml:space="preserve">建设单位合同编号 </w:t>
      </w:r>
      <w:r>
        <w:rPr>
          <w:rFonts w:hint="eastAsia" w:ascii="黑体" w:eastAsia="黑体"/>
          <w:color w:val="auto"/>
          <w:sz w:val="28"/>
          <w:szCs w:val="28"/>
          <w:highlight w:val="none"/>
        </w:rPr>
        <w:t>：</w:t>
      </w:r>
      <w:r>
        <w:rPr>
          <w:rFonts w:hint="eastAsia" w:ascii="黑体" w:eastAsia="黑体"/>
          <w:color w:val="auto"/>
          <w:sz w:val="28"/>
          <w:szCs w:val="28"/>
          <w:highlight w:val="none"/>
          <w:u w:val="single"/>
        </w:rPr>
        <w:t xml:space="preserve">   穗净水合〔</w:t>
      </w:r>
      <w:r>
        <w:rPr>
          <w:rFonts w:hint="eastAsia" w:ascii="黑体" w:eastAsia="黑体"/>
          <w:color w:val="auto"/>
          <w:sz w:val="28"/>
          <w:szCs w:val="28"/>
          <w:highlight w:val="none"/>
          <w:u w:val="single"/>
          <w:lang w:val="en-US" w:eastAsia="zh-CN"/>
        </w:rPr>
        <w:t>2024</w:t>
      </w:r>
      <w:r>
        <w:rPr>
          <w:rFonts w:hint="eastAsia" w:ascii="黑体" w:eastAsia="黑体"/>
          <w:color w:val="auto"/>
          <w:sz w:val="28"/>
          <w:szCs w:val="28"/>
          <w:highlight w:val="none"/>
          <w:u w:val="single"/>
        </w:rPr>
        <w:t xml:space="preserve">〕     号                                           </w:t>
      </w:r>
    </w:p>
    <w:p>
      <w:pPr>
        <w:pStyle w:val="89"/>
        <w:spacing w:before="312"/>
        <w:ind w:firstLine="560" w:firstLineChars="200"/>
        <w:jc w:val="left"/>
        <w:rPr>
          <w:rFonts w:hint="eastAsia" w:ascii="黑体" w:eastAsia="黑体"/>
          <w:color w:val="auto"/>
          <w:sz w:val="28"/>
          <w:szCs w:val="28"/>
          <w:highlight w:val="none"/>
        </w:rPr>
      </w:pPr>
      <w:r>
        <w:rPr>
          <w:rFonts w:hint="eastAsia" w:ascii="黑体" w:eastAsia="黑体"/>
          <w:bCs/>
          <w:color w:val="auto"/>
          <w:sz w:val="28"/>
          <w:szCs w:val="28"/>
          <w:highlight w:val="none"/>
        </w:rPr>
        <w:t>受托单位（乙方）</w:t>
      </w:r>
      <w:r>
        <w:rPr>
          <w:rFonts w:hint="eastAsia" w:ascii="黑体" w:eastAsia="黑体"/>
          <w:color w:val="auto"/>
          <w:sz w:val="28"/>
          <w:szCs w:val="28"/>
          <w:highlight w:val="none"/>
        </w:rPr>
        <w:t>：</w:t>
      </w:r>
      <w:r>
        <w:rPr>
          <w:rFonts w:hint="eastAsia" w:ascii="黑体" w:eastAsia="黑体"/>
          <w:color w:val="auto"/>
          <w:sz w:val="28"/>
          <w:szCs w:val="28"/>
          <w:highlight w:val="none"/>
          <w:u w:val="single"/>
        </w:rPr>
        <w:t xml:space="preserve">                                               </w:t>
      </w:r>
    </w:p>
    <w:p>
      <w:pPr>
        <w:pStyle w:val="89"/>
        <w:spacing w:line="360" w:lineRule="auto"/>
        <w:ind w:firstLine="560" w:firstLineChars="200"/>
        <w:jc w:val="left"/>
        <w:rPr>
          <w:rFonts w:hint="eastAsia" w:ascii="黑体" w:eastAsia="黑体"/>
          <w:color w:val="auto"/>
          <w:sz w:val="28"/>
          <w:szCs w:val="28"/>
          <w:highlight w:val="none"/>
          <w:u w:val="single"/>
        </w:rPr>
      </w:pPr>
      <w:r>
        <w:rPr>
          <w:rFonts w:hint="eastAsia" w:ascii="黑体" w:eastAsia="黑体"/>
          <w:bCs/>
          <w:color w:val="auto"/>
          <w:sz w:val="28"/>
          <w:szCs w:val="28"/>
          <w:highlight w:val="none"/>
        </w:rPr>
        <w:t>受托单位合同编号</w:t>
      </w:r>
      <w:r>
        <w:rPr>
          <w:rFonts w:hint="eastAsia" w:ascii="黑体" w:eastAsia="黑体"/>
          <w:color w:val="auto"/>
          <w:sz w:val="28"/>
          <w:szCs w:val="28"/>
          <w:highlight w:val="none"/>
        </w:rPr>
        <w:t>：</w:t>
      </w:r>
      <w:r>
        <w:rPr>
          <w:rFonts w:hint="eastAsia" w:ascii="黑体" w:eastAsia="黑体"/>
          <w:color w:val="auto"/>
          <w:sz w:val="28"/>
          <w:szCs w:val="28"/>
          <w:highlight w:val="none"/>
          <w:u w:val="single"/>
        </w:rPr>
        <w:t xml:space="preserve">                                                 </w:t>
      </w:r>
    </w:p>
    <w:p>
      <w:pPr>
        <w:pStyle w:val="89"/>
        <w:spacing w:before="312"/>
        <w:ind w:firstLine="560" w:firstLineChars="200"/>
        <w:jc w:val="left"/>
        <w:rPr>
          <w:rFonts w:hint="eastAsia" w:ascii="黑体" w:eastAsia="黑体"/>
          <w:color w:val="auto"/>
          <w:sz w:val="28"/>
          <w:szCs w:val="28"/>
          <w:highlight w:val="none"/>
        </w:rPr>
      </w:pPr>
      <w:r>
        <w:rPr>
          <w:rFonts w:hint="eastAsia" w:ascii="黑体" w:eastAsia="黑体"/>
          <w:bCs/>
          <w:color w:val="auto"/>
          <w:sz w:val="28"/>
          <w:szCs w:val="28"/>
          <w:highlight w:val="none"/>
        </w:rPr>
        <w:t>签订地点</w:t>
      </w:r>
      <w:r>
        <w:rPr>
          <w:rFonts w:hint="eastAsia" w:ascii="黑体" w:eastAsia="黑体"/>
          <w:color w:val="auto"/>
          <w:sz w:val="28"/>
          <w:szCs w:val="28"/>
          <w:highlight w:val="none"/>
        </w:rPr>
        <w:t>：</w:t>
      </w:r>
      <w:r>
        <w:rPr>
          <w:rFonts w:hint="eastAsia" w:ascii="黑体" w:eastAsia="黑体"/>
          <w:color w:val="auto"/>
          <w:sz w:val="28"/>
          <w:szCs w:val="28"/>
          <w:highlight w:val="none"/>
          <w:u w:val="single"/>
        </w:rPr>
        <w:t xml:space="preserve">            中国广东省广州市                               </w:t>
      </w:r>
    </w:p>
    <w:p>
      <w:pPr>
        <w:ind w:firstLine="560" w:firstLineChars="200"/>
        <w:rPr>
          <w:rFonts w:hint="eastAsia" w:ascii="黑体" w:eastAsia="黑体"/>
          <w:color w:val="auto"/>
          <w:sz w:val="28"/>
          <w:szCs w:val="28"/>
          <w:highlight w:val="none"/>
          <w:u w:val="single"/>
        </w:rPr>
      </w:pPr>
      <w:r>
        <w:rPr>
          <w:rFonts w:hint="eastAsia" w:ascii="黑体" w:eastAsia="黑体"/>
          <w:bCs/>
          <w:color w:val="auto"/>
          <w:sz w:val="28"/>
          <w:szCs w:val="28"/>
          <w:highlight w:val="none"/>
        </w:rPr>
        <w:t>签订日期</w:t>
      </w:r>
      <w:r>
        <w:rPr>
          <w:rFonts w:hint="eastAsia" w:ascii="黑体" w:eastAsia="黑体"/>
          <w:color w:val="auto"/>
          <w:sz w:val="28"/>
          <w:szCs w:val="28"/>
          <w:highlight w:val="none"/>
        </w:rPr>
        <w:t>：</w:t>
      </w:r>
      <w:r>
        <w:rPr>
          <w:rFonts w:hint="eastAsia" w:ascii="黑体" w:eastAsia="黑体"/>
          <w:color w:val="auto"/>
          <w:sz w:val="28"/>
          <w:szCs w:val="28"/>
          <w:highlight w:val="none"/>
          <w:u w:val="single"/>
        </w:rPr>
        <w:t xml:space="preserve">               年      月      日                                 </w:t>
      </w:r>
    </w:p>
    <w:p>
      <w:pPr>
        <w:ind w:firstLine="560" w:firstLineChars="200"/>
        <w:rPr>
          <w:rFonts w:hint="eastAsia" w:ascii="黑体" w:eastAsia="黑体"/>
          <w:color w:val="auto"/>
          <w:sz w:val="28"/>
          <w:szCs w:val="28"/>
          <w:highlight w:val="none"/>
          <w:u w:val="single"/>
        </w:rPr>
      </w:pPr>
    </w:p>
    <w:p>
      <w:pPr>
        <w:spacing w:line="360" w:lineRule="auto"/>
        <w:ind w:firstLine="482" w:firstLineChars="200"/>
        <w:rPr>
          <w:rFonts w:hint="eastAsia" w:ascii="宋体" w:hAnsi="宋体"/>
          <w:b/>
          <w:snapToGrid w:val="0"/>
          <w:color w:val="auto"/>
          <w:kern w:val="13"/>
          <w:sz w:val="24"/>
          <w:highlight w:val="none"/>
          <w:u w:val="single"/>
        </w:rPr>
      </w:pPr>
      <w:r>
        <w:rPr>
          <w:rFonts w:hint="eastAsia" w:ascii="宋体" w:hAnsi="宋体"/>
          <w:b/>
          <w:color w:val="auto"/>
          <w:sz w:val="24"/>
          <w:highlight w:val="none"/>
        </w:rPr>
        <w:t>甲方</w:t>
      </w:r>
      <w:r>
        <w:rPr>
          <w:rFonts w:hint="eastAsia" w:ascii="宋体" w:hAnsi="宋体"/>
          <w:b/>
          <w:snapToGrid w:val="0"/>
          <w:color w:val="auto"/>
          <w:kern w:val="13"/>
          <w:sz w:val="24"/>
          <w:highlight w:val="none"/>
        </w:rPr>
        <w:t>：</w:t>
      </w:r>
      <w:r>
        <w:rPr>
          <w:rFonts w:hint="eastAsia" w:ascii="宋体" w:hAnsi="宋体" w:cs="仿宋_GB2312"/>
          <w:b/>
          <w:color w:val="auto"/>
          <w:sz w:val="24"/>
          <w:highlight w:val="none"/>
          <w:u w:val="single"/>
        </w:rPr>
        <w:t xml:space="preserve">         广州市净水有限公司   </w:t>
      </w:r>
      <w:r>
        <w:rPr>
          <w:rFonts w:hint="eastAsia" w:ascii="宋体" w:hAnsi="宋体"/>
          <w:b/>
          <w:snapToGrid w:val="0"/>
          <w:color w:val="auto"/>
          <w:kern w:val="13"/>
          <w:sz w:val="24"/>
          <w:highlight w:val="none"/>
          <w:u w:val="single"/>
        </w:rPr>
        <w:t xml:space="preserve">                                                </w:t>
      </w:r>
    </w:p>
    <w:p>
      <w:pPr>
        <w:spacing w:line="360" w:lineRule="auto"/>
        <w:ind w:firstLine="482" w:firstLineChars="200"/>
        <w:rPr>
          <w:rFonts w:hint="eastAsia" w:ascii="宋体" w:hAnsi="宋体"/>
          <w:b/>
          <w:snapToGrid w:val="0"/>
          <w:color w:val="auto"/>
          <w:kern w:val="13"/>
          <w:sz w:val="24"/>
          <w:highlight w:val="none"/>
          <w:u w:val="single"/>
        </w:rPr>
      </w:pPr>
      <w:r>
        <w:rPr>
          <w:rFonts w:hint="eastAsia" w:ascii="宋体" w:hAnsi="宋体"/>
          <w:b/>
          <w:snapToGrid w:val="0"/>
          <w:color w:val="auto"/>
          <w:kern w:val="13"/>
          <w:sz w:val="24"/>
          <w:highlight w:val="none"/>
        </w:rPr>
        <w:t>法定代表人：</w:t>
      </w:r>
      <w:r>
        <w:rPr>
          <w:rFonts w:hint="eastAsia" w:ascii="宋体" w:hAnsi="宋体"/>
          <w:b/>
          <w:snapToGrid w:val="0"/>
          <w:color w:val="auto"/>
          <w:kern w:val="13"/>
          <w:sz w:val="24"/>
          <w:highlight w:val="none"/>
          <w:u w:val="single"/>
        </w:rPr>
        <w:t xml:space="preserve">   孙伟                                                              </w:t>
      </w:r>
    </w:p>
    <w:p>
      <w:pPr>
        <w:spacing w:after="156" w:afterLines="50" w:line="360" w:lineRule="auto"/>
        <w:ind w:firstLine="482" w:firstLineChars="200"/>
        <w:rPr>
          <w:rFonts w:hint="eastAsia" w:ascii="宋体" w:hAnsi="宋体"/>
          <w:b/>
          <w:snapToGrid w:val="0"/>
          <w:color w:val="auto"/>
          <w:kern w:val="13"/>
          <w:sz w:val="24"/>
          <w:highlight w:val="none"/>
          <w:u w:val="single"/>
        </w:rPr>
      </w:pPr>
      <w:r>
        <w:rPr>
          <w:rFonts w:hint="eastAsia" w:ascii="宋体" w:hAnsi="宋体"/>
          <w:b/>
          <w:snapToGrid w:val="0"/>
          <w:color w:val="auto"/>
          <w:kern w:val="13"/>
          <w:sz w:val="24"/>
          <w:highlight w:val="none"/>
        </w:rPr>
        <w:t>通信地址：</w:t>
      </w:r>
      <w:r>
        <w:rPr>
          <w:rFonts w:hint="eastAsia" w:ascii="宋体" w:hAnsi="宋体" w:cs="仿宋_GB2312"/>
          <w:b/>
          <w:color w:val="auto"/>
          <w:sz w:val="24"/>
          <w:highlight w:val="none"/>
          <w:u w:val="single"/>
        </w:rPr>
        <w:t xml:space="preserve">     </w:t>
      </w:r>
      <w:r>
        <w:rPr>
          <w:rFonts w:ascii="宋体" w:hAnsi="宋体"/>
          <w:b/>
          <w:snapToGrid w:val="0"/>
          <w:color w:val="auto"/>
          <w:kern w:val="13"/>
          <w:sz w:val="24"/>
          <w:highlight w:val="none"/>
          <w:u w:val="single"/>
        </w:rPr>
        <w:t>广东省广州市天河区临江大道501号</w:t>
      </w:r>
      <w:r>
        <w:rPr>
          <w:rFonts w:hint="eastAsia" w:ascii="宋体" w:hAnsi="宋体"/>
          <w:b/>
          <w:snapToGrid w:val="0"/>
          <w:color w:val="auto"/>
          <w:kern w:val="13"/>
          <w:sz w:val="24"/>
          <w:highlight w:val="none"/>
          <w:u w:val="single"/>
        </w:rPr>
        <w:t xml:space="preserve">   </w:t>
      </w:r>
      <w:r>
        <w:rPr>
          <w:rFonts w:hint="eastAsia" w:ascii="宋体" w:hAnsi="宋体" w:cs="仿宋_GB2312"/>
          <w:b/>
          <w:color w:val="auto"/>
          <w:sz w:val="24"/>
          <w:highlight w:val="none"/>
          <w:u w:val="single"/>
        </w:rPr>
        <w:t xml:space="preserve">       </w:t>
      </w:r>
      <w:r>
        <w:rPr>
          <w:rFonts w:hint="eastAsia" w:ascii="宋体" w:hAnsi="宋体"/>
          <w:b/>
          <w:snapToGrid w:val="0"/>
          <w:color w:val="auto"/>
          <w:kern w:val="13"/>
          <w:sz w:val="24"/>
          <w:highlight w:val="none"/>
          <w:u w:val="single"/>
        </w:rPr>
        <w:t xml:space="preserve">                                                                  </w:t>
      </w:r>
    </w:p>
    <w:p>
      <w:pPr>
        <w:spacing w:line="360" w:lineRule="auto"/>
        <w:ind w:firstLine="482" w:firstLineChars="200"/>
        <w:rPr>
          <w:rFonts w:hint="eastAsia" w:ascii="宋体" w:hAnsi="宋体"/>
          <w:b/>
          <w:snapToGrid w:val="0"/>
          <w:color w:val="auto"/>
          <w:kern w:val="13"/>
          <w:sz w:val="24"/>
          <w:highlight w:val="none"/>
          <w:u w:val="single"/>
        </w:rPr>
      </w:pPr>
      <w:r>
        <w:rPr>
          <w:rFonts w:hint="eastAsia" w:ascii="宋体" w:hAnsi="宋体"/>
          <w:b/>
          <w:color w:val="auto"/>
          <w:sz w:val="24"/>
          <w:highlight w:val="none"/>
        </w:rPr>
        <w:t>乙方</w:t>
      </w:r>
      <w:r>
        <w:rPr>
          <w:rFonts w:hint="eastAsia" w:ascii="宋体" w:hAnsi="宋体"/>
          <w:b/>
          <w:snapToGrid w:val="0"/>
          <w:color w:val="auto"/>
          <w:kern w:val="13"/>
          <w:sz w:val="24"/>
          <w:highlight w:val="none"/>
        </w:rPr>
        <w:t>：</w:t>
      </w:r>
      <w:r>
        <w:rPr>
          <w:rFonts w:hint="eastAsia" w:ascii="宋体" w:hAnsi="宋体"/>
          <w:b/>
          <w:snapToGrid w:val="0"/>
          <w:color w:val="auto"/>
          <w:kern w:val="13"/>
          <w:sz w:val="24"/>
          <w:highlight w:val="none"/>
          <w:u w:val="single"/>
        </w:rPr>
        <w:t xml:space="preserve">                                                                                                 </w:t>
      </w:r>
    </w:p>
    <w:p>
      <w:pPr>
        <w:spacing w:line="360" w:lineRule="auto"/>
        <w:ind w:firstLine="482" w:firstLineChars="200"/>
        <w:rPr>
          <w:rFonts w:hint="eastAsia" w:ascii="宋体" w:hAnsi="宋体"/>
          <w:b/>
          <w:snapToGrid w:val="0"/>
          <w:color w:val="auto"/>
          <w:kern w:val="13"/>
          <w:sz w:val="24"/>
          <w:highlight w:val="none"/>
          <w:u w:val="single"/>
        </w:rPr>
      </w:pPr>
      <w:r>
        <w:rPr>
          <w:rFonts w:hint="eastAsia" w:ascii="宋体" w:hAnsi="宋体"/>
          <w:b/>
          <w:snapToGrid w:val="0"/>
          <w:color w:val="auto"/>
          <w:kern w:val="13"/>
          <w:sz w:val="24"/>
          <w:highlight w:val="none"/>
        </w:rPr>
        <w:t>法定代表人：</w:t>
      </w:r>
      <w:r>
        <w:rPr>
          <w:rFonts w:hint="eastAsia" w:ascii="宋体" w:hAnsi="宋体"/>
          <w:b/>
          <w:snapToGrid w:val="0"/>
          <w:color w:val="auto"/>
          <w:kern w:val="13"/>
          <w:sz w:val="24"/>
          <w:highlight w:val="none"/>
          <w:u w:val="single"/>
        </w:rPr>
        <w:t xml:space="preserve">                                                                                               </w:t>
      </w:r>
    </w:p>
    <w:p>
      <w:pPr>
        <w:spacing w:after="312" w:afterLines="100" w:line="360" w:lineRule="auto"/>
        <w:ind w:firstLine="482" w:firstLineChars="200"/>
        <w:rPr>
          <w:rFonts w:hint="eastAsia" w:ascii="黑体" w:eastAsia="黑体"/>
          <w:b/>
          <w:color w:val="auto"/>
          <w:sz w:val="36"/>
          <w:szCs w:val="36"/>
          <w:highlight w:val="none"/>
        </w:rPr>
      </w:pPr>
      <w:r>
        <w:rPr>
          <w:rFonts w:hint="eastAsia" w:ascii="宋体" w:hAnsi="宋体"/>
          <w:b/>
          <w:snapToGrid w:val="0"/>
          <w:color w:val="auto"/>
          <w:kern w:val="13"/>
          <w:sz w:val="24"/>
          <w:highlight w:val="none"/>
        </w:rPr>
        <w:t>通信地址：</w:t>
      </w:r>
      <w:r>
        <w:rPr>
          <w:rFonts w:hint="eastAsia" w:ascii="宋体" w:hAnsi="宋体"/>
          <w:b/>
          <w:snapToGrid w:val="0"/>
          <w:color w:val="auto"/>
          <w:kern w:val="13"/>
          <w:sz w:val="24"/>
          <w:highlight w:val="none"/>
          <w:u w:val="single"/>
        </w:rPr>
        <w:t xml:space="preserve">                                                                                      </w:t>
      </w:r>
    </w:p>
    <w:p>
      <w:pPr>
        <w:pStyle w:val="47"/>
        <w:spacing w:line="360" w:lineRule="auto"/>
        <w:ind w:firstLine="720" w:firstLineChars="300"/>
        <w:rPr>
          <w:rFonts w:hint="eastAsia"/>
          <w:color w:val="auto"/>
          <w:sz w:val="24"/>
          <w:highlight w:val="none"/>
          <w:u w:val="none"/>
        </w:rPr>
      </w:pPr>
      <w:r>
        <w:rPr>
          <w:rFonts w:hint="eastAsia"/>
          <w:color w:val="auto"/>
          <w:sz w:val="24"/>
          <w:highlight w:val="none"/>
          <w:u w:val="none"/>
        </w:rPr>
        <w:t>为</w:t>
      </w:r>
      <w:r>
        <w:rPr>
          <w:rFonts w:hint="eastAsia" w:hAnsi="宋体" w:cs="宋体"/>
          <w:color w:val="auto"/>
          <w:kern w:val="0"/>
          <w:sz w:val="24"/>
          <w:highlight w:val="none"/>
          <w:u w:val="none"/>
          <w:lang w:val="en-US" w:eastAsia="zh-CN"/>
        </w:rPr>
        <w:t>落实</w:t>
      </w:r>
      <w:r>
        <w:rPr>
          <w:rFonts w:hint="eastAsia"/>
          <w:color w:val="auto"/>
          <w:sz w:val="24"/>
          <w:highlight w:val="none"/>
          <w:u w:val="none"/>
          <w:lang w:val="en-US" w:eastAsia="zh-CN"/>
        </w:rPr>
        <w:t>工程项目</w:t>
      </w:r>
      <w:r>
        <w:rPr>
          <w:rFonts w:hint="eastAsia" w:hAnsi="宋体" w:cs="宋体"/>
          <w:color w:val="auto"/>
          <w:kern w:val="0"/>
          <w:sz w:val="24"/>
          <w:highlight w:val="none"/>
          <w:u w:val="none"/>
          <w:lang w:val="en-US" w:eastAsia="zh-CN"/>
        </w:rPr>
        <w:t>节能审查要求</w:t>
      </w:r>
      <w:r>
        <w:rPr>
          <w:rFonts w:hint="eastAsia"/>
          <w:color w:val="auto"/>
          <w:sz w:val="24"/>
          <w:highlight w:val="none"/>
          <w:u w:val="none"/>
        </w:rPr>
        <w:t>，</w:t>
      </w:r>
      <w:r>
        <w:rPr>
          <w:rFonts w:hint="eastAsia"/>
          <w:color w:val="auto"/>
          <w:sz w:val="24"/>
          <w:highlight w:val="none"/>
          <w:u w:val="none"/>
          <w:lang w:val="en-US" w:eastAsia="zh-CN"/>
        </w:rPr>
        <w:t>做好</w:t>
      </w:r>
      <w:r>
        <w:rPr>
          <w:rFonts w:hint="eastAsia"/>
          <w:color w:val="auto"/>
          <w:sz w:val="24"/>
          <w:highlight w:val="none"/>
          <w:u w:val="single"/>
          <w:lang w:val="en-US" w:eastAsia="zh-CN"/>
        </w:rPr>
        <w:t>猎德、大坦沙、西朗、沥滘、石井污水处理厂厂内污泥干化减量工程</w:t>
      </w:r>
      <w:r>
        <w:rPr>
          <w:rFonts w:hint="eastAsia"/>
          <w:color w:val="auto"/>
          <w:sz w:val="24"/>
          <w:highlight w:val="none"/>
          <w:u w:val="single"/>
        </w:rPr>
        <w:t>项目</w:t>
      </w:r>
      <w:r>
        <w:rPr>
          <w:rFonts w:hint="eastAsia"/>
          <w:color w:val="auto"/>
          <w:sz w:val="24"/>
          <w:highlight w:val="none"/>
          <w:u w:val="none"/>
        </w:rPr>
        <w:t>的节能验收技术咨询服务，签订本合同。</w:t>
      </w:r>
    </w:p>
    <w:p>
      <w:pPr>
        <w:pStyle w:val="47"/>
        <w:spacing w:line="360" w:lineRule="auto"/>
        <w:ind w:firstLine="480" w:firstLineChars="200"/>
        <w:rPr>
          <w:rFonts w:hint="default" w:eastAsiaTheme="minorEastAsia"/>
          <w:color w:val="auto"/>
          <w:sz w:val="24"/>
          <w:highlight w:val="none"/>
          <w:lang w:val="en-US" w:eastAsia="zh-CN"/>
        </w:rPr>
      </w:pPr>
      <w:r>
        <w:rPr>
          <w:rFonts w:hint="eastAsia"/>
          <w:color w:val="auto"/>
          <w:sz w:val="24"/>
          <w:highlight w:val="none"/>
        </w:rPr>
        <w:t>一、服务内容</w:t>
      </w:r>
    </w:p>
    <w:p>
      <w:pPr>
        <w:pStyle w:val="37"/>
        <w:numPr>
          <w:ilvl w:val="0"/>
          <w:numId w:val="7"/>
        </w:numPr>
        <w:ind w:firstLine="480" w:firstLineChars="200"/>
        <w:rPr>
          <w:rFonts w:hint="default"/>
          <w:color w:val="auto"/>
          <w:sz w:val="24"/>
          <w:highlight w:val="none"/>
          <w:lang w:val="en-US"/>
        </w:rPr>
      </w:pPr>
      <w:r>
        <w:rPr>
          <w:rFonts w:hint="eastAsia"/>
          <w:color w:val="auto"/>
          <w:sz w:val="24"/>
          <w:highlight w:val="none"/>
        </w:rPr>
        <w:t>1. 项目名称：</w:t>
      </w:r>
      <w:r>
        <w:rPr>
          <w:rFonts w:hint="eastAsia" w:asciiTheme="minorHAnsi" w:hAnsiTheme="minorHAnsi" w:eastAsiaTheme="minorEastAsia" w:cstheme="minorBidi"/>
          <w:color w:val="auto"/>
          <w:kern w:val="2"/>
          <w:sz w:val="24"/>
          <w:szCs w:val="22"/>
          <w:highlight w:val="none"/>
          <w:u w:val="single"/>
          <w:lang w:val="en-US" w:eastAsia="zh-CN" w:bidi="ar-SA"/>
        </w:rPr>
        <w:t xml:space="preserve">猎德、大坦沙、沥滘、西朗、石井污水处理厂厂内污泥干化减量工程节能验收服务   </w:t>
      </w:r>
      <w:r>
        <w:rPr>
          <w:rFonts w:hint="eastAsia" w:asciiTheme="minorHAnsi" w:hAnsiTheme="minorHAnsi" w:eastAsiaTheme="minorEastAsia" w:cstheme="minorBidi"/>
          <w:color w:val="auto"/>
          <w:kern w:val="2"/>
          <w:sz w:val="24"/>
          <w:szCs w:val="22"/>
          <w:highlight w:val="none"/>
          <w:lang w:val="en-US" w:eastAsia="zh-CN" w:bidi="ar-SA"/>
        </w:rPr>
        <w:t xml:space="preserve">  </w:t>
      </w:r>
      <w:r>
        <w:rPr>
          <w:rFonts w:hint="eastAsia"/>
          <w:color w:val="auto"/>
          <w:sz w:val="24"/>
          <w:highlight w:val="none"/>
          <w:lang w:val="en-US" w:eastAsia="zh-CN"/>
        </w:rPr>
        <w:t xml:space="preserve">     </w:t>
      </w:r>
    </w:p>
    <w:p>
      <w:pPr>
        <w:pStyle w:val="47"/>
        <w:spacing w:line="360" w:lineRule="auto"/>
        <w:ind w:firstLine="480" w:firstLineChars="200"/>
        <w:rPr>
          <w:rFonts w:hint="default" w:eastAsiaTheme="minorEastAsia"/>
          <w:color w:val="auto"/>
          <w:sz w:val="24"/>
          <w:highlight w:val="none"/>
          <w:u w:val="single"/>
          <w:lang w:val="en-US" w:eastAsia="zh-CN"/>
        </w:rPr>
      </w:pPr>
      <w:r>
        <w:rPr>
          <w:rFonts w:hint="eastAsia"/>
          <w:color w:val="auto"/>
          <w:sz w:val="24"/>
          <w:highlight w:val="none"/>
        </w:rPr>
        <w:t>2. 项目概况：</w:t>
      </w:r>
    </w:p>
    <w:p>
      <w:pPr>
        <w:pStyle w:val="47"/>
        <w:spacing w:line="360" w:lineRule="auto"/>
        <w:ind w:firstLine="480" w:firstLineChars="200"/>
        <w:rPr>
          <w:rFonts w:hint="default" w:eastAsiaTheme="minorEastAsia"/>
          <w:color w:val="auto"/>
          <w:sz w:val="24"/>
          <w:highlight w:val="none"/>
          <w:lang w:val="en-US" w:eastAsia="zh-CN"/>
        </w:rPr>
      </w:pPr>
      <w:r>
        <w:rPr>
          <w:rFonts w:hint="eastAsia"/>
          <w:color w:val="auto"/>
          <w:sz w:val="24"/>
          <w:szCs w:val="24"/>
          <w:highlight w:val="none"/>
          <w:u w:val="none"/>
          <w:lang w:val="en-US" w:eastAsia="zh-CN"/>
        </w:rPr>
        <w:t>我公司拟开展</w:t>
      </w:r>
      <w:r>
        <w:rPr>
          <w:rFonts w:hint="eastAsia"/>
          <w:color w:val="auto"/>
          <w:sz w:val="24"/>
          <w:szCs w:val="24"/>
          <w:highlight w:val="none"/>
          <w:u w:val="single"/>
          <w:lang w:val="en-US" w:eastAsia="zh-CN"/>
        </w:rPr>
        <w:t>猎德、大坦沙、沥滘、西朗、石井污水处理厂厂内污泥干化减量工程项目节能验收服务</w:t>
      </w:r>
      <w:r>
        <w:rPr>
          <w:rFonts w:hint="eastAsia"/>
          <w:color w:val="auto"/>
          <w:sz w:val="24"/>
          <w:szCs w:val="24"/>
          <w:highlight w:val="none"/>
          <w:u w:val="none"/>
          <w:lang w:val="en-US" w:eastAsia="zh-CN"/>
        </w:rPr>
        <w:t>项目，制定验收方案，按照验收方案对项目节能审查意见落实情况实施验收，确定节能验收结果并编制项目节能验收报告。</w:t>
      </w:r>
    </w:p>
    <w:p>
      <w:pPr>
        <w:pStyle w:val="47"/>
        <w:numPr>
          <w:ilvl w:val="0"/>
          <w:numId w:val="8"/>
        </w:numPr>
        <w:spacing w:line="360" w:lineRule="auto"/>
        <w:ind w:firstLine="480" w:firstLineChars="200"/>
        <w:rPr>
          <w:rFonts w:hint="eastAsia"/>
          <w:color w:val="auto"/>
          <w:sz w:val="24"/>
          <w:highlight w:val="none"/>
        </w:rPr>
      </w:pPr>
      <w:r>
        <w:rPr>
          <w:rFonts w:hint="eastAsia"/>
          <w:color w:val="auto"/>
          <w:sz w:val="24"/>
          <w:highlight w:val="none"/>
        </w:rPr>
        <w:t>咨询内容及要求：根据国家有关政策、法律、法规，本着科学、公正、可靠的原则，进行节能验收服务工作，出具报告。服务内容主要有：</w:t>
      </w:r>
    </w:p>
    <w:p>
      <w:pPr>
        <w:pStyle w:val="47"/>
        <w:spacing w:line="360" w:lineRule="auto"/>
        <w:ind w:firstLine="480" w:firstLineChars="200"/>
        <w:rPr>
          <w:rFonts w:hint="eastAsia"/>
          <w:color w:val="auto"/>
          <w:sz w:val="24"/>
          <w:highlight w:val="none"/>
        </w:rPr>
      </w:pPr>
      <w:r>
        <w:rPr>
          <w:rFonts w:hint="eastAsia"/>
          <w:color w:val="auto"/>
          <w:sz w:val="24"/>
          <w:highlight w:val="none"/>
        </w:rPr>
        <w:t>（1）按照国家发改委《固定资产投资项目节能审查办法》(中华人民共和国国家发展和改革委员会令第44号)、广东省发改委《广东省固定资产投资项目节能审查实施办法》（粤发改资环〔2018〕268号）、《固定资产投资项目节能审查办法》（2018年版）的要求编制《节能验收报告》。</w:t>
      </w:r>
    </w:p>
    <w:p>
      <w:pPr>
        <w:pStyle w:val="47"/>
        <w:spacing w:line="360" w:lineRule="auto"/>
        <w:ind w:firstLine="480" w:firstLineChars="200"/>
        <w:rPr>
          <w:rFonts w:hint="eastAsia"/>
          <w:color w:val="auto"/>
          <w:sz w:val="24"/>
          <w:highlight w:val="none"/>
        </w:rPr>
      </w:pPr>
      <w:r>
        <w:rPr>
          <w:rFonts w:hint="eastAsia"/>
          <w:color w:val="auto"/>
          <w:sz w:val="24"/>
          <w:highlight w:val="none"/>
        </w:rPr>
        <w:t>（2）按照节能验收的相关要求组织专家验收（含专家评审费），对项目节能审查意见落实情况实施验收。通过实地查验、资料审核等方式，核查项目的建设方案、用能设备、节能措施、计量器具配备以及项目能效水平、能源消费量等是否落实节能审查要求，是否满足节能标准、规范等的要求。</w:t>
      </w:r>
    </w:p>
    <w:p>
      <w:pPr>
        <w:pStyle w:val="47"/>
        <w:spacing w:line="360" w:lineRule="auto"/>
        <w:ind w:firstLine="480" w:firstLineChars="200"/>
        <w:rPr>
          <w:rFonts w:hint="eastAsia"/>
          <w:color w:val="auto"/>
          <w:sz w:val="24"/>
          <w:highlight w:val="none"/>
        </w:rPr>
      </w:pPr>
      <w:r>
        <w:rPr>
          <w:rFonts w:hint="eastAsia"/>
          <w:color w:val="auto"/>
          <w:sz w:val="24"/>
          <w:highlight w:val="none"/>
        </w:rPr>
        <w:t>（3）</w:t>
      </w:r>
      <w:r>
        <w:rPr>
          <w:rFonts w:hint="eastAsia"/>
          <w:color w:val="auto"/>
          <w:sz w:val="24"/>
          <w:highlight w:val="none"/>
          <w:lang w:val="en-US" w:eastAsia="zh-CN"/>
        </w:rPr>
        <w:t>协助甲方提交节能验收报告及相关资料至广州市能源管理与辅助决策平台节能管理系统（https://www.gzjnw.org.cn/）进行节能验收备案，并顺利通过平台备案。</w:t>
      </w:r>
    </w:p>
    <w:p>
      <w:pPr>
        <w:pStyle w:val="47"/>
        <w:spacing w:line="360" w:lineRule="auto"/>
        <w:ind w:firstLine="480" w:firstLineChars="200"/>
        <w:rPr>
          <w:rFonts w:hint="eastAsia"/>
          <w:color w:val="auto"/>
          <w:sz w:val="24"/>
          <w:highlight w:val="none"/>
        </w:rPr>
      </w:pPr>
      <w:r>
        <w:rPr>
          <w:rFonts w:hint="eastAsia"/>
          <w:color w:val="auto"/>
          <w:sz w:val="24"/>
          <w:highlight w:val="none"/>
        </w:rPr>
        <w:t>二、甲方义务</w:t>
      </w:r>
    </w:p>
    <w:p>
      <w:pPr>
        <w:pStyle w:val="47"/>
        <w:spacing w:line="360" w:lineRule="auto"/>
        <w:ind w:firstLine="480" w:firstLineChars="200"/>
        <w:rPr>
          <w:rFonts w:hint="eastAsia" w:ascii="黑体" w:eastAsia="黑体"/>
          <w:color w:val="auto"/>
          <w:sz w:val="28"/>
          <w:szCs w:val="28"/>
          <w:highlight w:val="none"/>
          <w:u w:val="single"/>
        </w:rPr>
      </w:pPr>
      <w:r>
        <w:rPr>
          <w:rFonts w:hint="eastAsia"/>
          <w:color w:val="auto"/>
          <w:sz w:val="24"/>
          <w:highlight w:val="none"/>
        </w:rPr>
        <w:t>1. 应在约定时间内，为乙方提供甲方能获得的与服务有关的一切资料。</w:t>
      </w:r>
    </w:p>
    <w:p>
      <w:pPr>
        <w:pStyle w:val="47"/>
        <w:spacing w:line="360" w:lineRule="auto"/>
        <w:ind w:firstLine="480" w:firstLineChars="200"/>
        <w:rPr>
          <w:rFonts w:hint="eastAsia"/>
          <w:color w:val="auto"/>
          <w:sz w:val="24"/>
          <w:highlight w:val="none"/>
        </w:rPr>
      </w:pPr>
      <w:r>
        <w:rPr>
          <w:rFonts w:hint="eastAsia"/>
          <w:color w:val="auto"/>
          <w:sz w:val="24"/>
          <w:highlight w:val="none"/>
        </w:rPr>
        <w:t>2. 应在商定的合理时间内，就乙方提出的一切有关事宜，作出决定和答复。</w:t>
      </w:r>
    </w:p>
    <w:p>
      <w:pPr>
        <w:pStyle w:val="47"/>
        <w:spacing w:line="360" w:lineRule="auto"/>
        <w:ind w:firstLine="480" w:firstLineChars="200"/>
        <w:rPr>
          <w:rFonts w:hint="eastAsia"/>
          <w:color w:val="auto"/>
          <w:sz w:val="24"/>
          <w:highlight w:val="none"/>
        </w:rPr>
      </w:pPr>
      <w:r>
        <w:rPr>
          <w:rFonts w:hint="eastAsia"/>
          <w:color w:val="auto"/>
          <w:sz w:val="24"/>
          <w:highlight w:val="none"/>
        </w:rPr>
        <w:t>3. 为乙方履行职责提供必要的外部条件与联系渠道，协调所涉及的所有外部关系，以便乙方收集需要的信息。</w:t>
      </w:r>
    </w:p>
    <w:p>
      <w:pPr>
        <w:pStyle w:val="47"/>
        <w:spacing w:line="360" w:lineRule="auto"/>
        <w:ind w:firstLine="480" w:firstLineChars="200"/>
        <w:rPr>
          <w:rFonts w:hint="eastAsia"/>
          <w:color w:val="auto"/>
          <w:sz w:val="24"/>
          <w:highlight w:val="none"/>
        </w:rPr>
      </w:pPr>
      <w:r>
        <w:rPr>
          <w:rFonts w:hint="eastAsia"/>
          <w:color w:val="auto"/>
          <w:sz w:val="24"/>
          <w:highlight w:val="none"/>
        </w:rPr>
        <w:t>4. 乙方请款文件，甲方审批后按本合同约定支付服务费。本合同暂停、终止或撤销且非因乙方过错的，乙方应得到与已完成工作量相当的咨询服务费，甲方应办理支付。</w:t>
      </w:r>
    </w:p>
    <w:p>
      <w:pPr>
        <w:pStyle w:val="47"/>
        <w:spacing w:line="360" w:lineRule="auto"/>
        <w:ind w:firstLine="480" w:firstLineChars="200"/>
        <w:rPr>
          <w:rFonts w:hint="eastAsia"/>
          <w:color w:val="auto"/>
          <w:sz w:val="24"/>
          <w:highlight w:val="none"/>
        </w:rPr>
      </w:pPr>
      <w:r>
        <w:rPr>
          <w:rFonts w:hint="eastAsia"/>
          <w:color w:val="auto"/>
          <w:sz w:val="24"/>
          <w:highlight w:val="none"/>
        </w:rPr>
        <w:t>5. 本合同约定服务内容批复后向乙方提供批复文件复印件。</w:t>
      </w:r>
    </w:p>
    <w:p>
      <w:pPr>
        <w:pStyle w:val="47"/>
        <w:spacing w:line="360" w:lineRule="auto"/>
        <w:ind w:firstLine="480" w:firstLineChars="200"/>
        <w:rPr>
          <w:rFonts w:hint="eastAsia"/>
          <w:color w:val="auto"/>
          <w:sz w:val="24"/>
          <w:highlight w:val="none"/>
        </w:rPr>
      </w:pPr>
      <w:r>
        <w:rPr>
          <w:rFonts w:hint="eastAsia"/>
          <w:color w:val="auto"/>
          <w:sz w:val="24"/>
          <w:highlight w:val="none"/>
        </w:rPr>
        <w:t>三、乙方义务</w:t>
      </w:r>
    </w:p>
    <w:p>
      <w:pPr>
        <w:pStyle w:val="47"/>
        <w:spacing w:line="360" w:lineRule="auto"/>
        <w:ind w:firstLine="480" w:firstLineChars="200"/>
        <w:rPr>
          <w:rFonts w:hint="eastAsia"/>
          <w:color w:val="auto"/>
          <w:sz w:val="24"/>
          <w:highlight w:val="none"/>
        </w:rPr>
      </w:pPr>
      <w:r>
        <w:rPr>
          <w:rFonts w:hint="eastAsia"/>
          <w:color w:val="auto"/>
          <w:sz w:val="24"/>
          <w:highlight w:val="none"/>
        </w:rPr>
        <w:t>1. 乙方应认真贯彻国家有关法律、法规和政策，维护国家利益和甲方的合法利益，应用合理的技能，谨慎而勤奋工作。</w:t>
      </w:r>
    </w:p>
    <w:p>
      <w:pPr>
        <w:pStyle w:val="47"/>
        <w:spacing w:line="360" w:lineRule="auto"/>
        <w:ind w:firstLine="480" w:firstLineChars="200"/>
        <w:rPr>
          <w:color w:val="auto"/>
          <w:sz w:val="24"/>
          <w:highlight w:val="none"/>
        </w:rPr>
      </w:pPr>
      <w:r>
        <w:rPr>
          <w:rFonts w:hint="eastAsia"/>
          <w:color w:val="auto"/>
          <w:sz w:val="24"/>
          <w:highlight w:val="none"/>
          <w:lang w:val="en-US" w:eastAsia="zh-CN"/>
        </w:rPr>
        <w:t>2</w:t>
      </w:r>
      <w:r>
        <w:rPr>
          <w:rFonts w:hint="eastAsia"/>
          <w:color w:val="auto"/>
          <w:sz w:val="24"/>
          <w:highlight w:val="none"/>
        </w:rPr>
        <w:t xml:space="preserve">. </w:t>
      </w:r>
      <w:r>
        <w:rPr>
          <w:rFonts w:hint="eastAsia"/>
          <w:color w:val="auto"/>
          <w:sz w:val="24"/>
          <w:highlight w:val="none"/>
          <w:lang w:val="en-US" w:eastAsia="zh-CN"/>
        </w:rPr>
        <w:t>在合同生效后20个工作日内</w:t>
      </w:r>
      <w:r>
        <w:rPr>
          <w:rFonts w:hint="eastAsia"/>
          <w:color w:val="auto"/>
          <w:sz w:val="24"/>
          <w:highlight w:val="none"/>
        </w:rPr>
        <w:t>应向甲方提交节能验收报告（</w:t>
      </w:r>
      <w:r>
        <w:rPr>
          <w:rFonts w:hint="eastAsia"/>
          <w:color w:val="auto"/>
          <w:sz w:val="24"/>
          <w:highlight w:val="none"/>
          <w:lang w:val="en-US" w:eastAsia="zh-CN"/>
        </w:rPr>
        <w:t>初稿</w:t>
      </w:r>
      <w:r>
        <w:rPr>
          <w:rFonts w:hint="eastAsia"/>
          <w:color w:val="auto"/>
          <w:sz w:val="24"/>
          <w:highlight w:val="none"/>
        </w:rPr>
        <w:t>）</w:t>
      </w:r>
      <w:r>
        <w:rPr>
          <w:rFonts w:hint="eastAsia"/>
          <w:color w:val="auto"/>
          <w:sz w:val="24"/>
          <w:highlight w:val="none"/>
          <w:lang w:val="en-US" w:eastAsia="zh-CN"/>
        </w:rPr>
        <w:t>供甲方审阅，乙方根据</w:t>
      </w:r>
      <w:r>
        <w:rPr>
          <w:rFonts w:hint="eastAsia"/>
          <w:color w:val="auto"/>
          <w:sz w:val="24"/>
          <w:highlight w:val="none"/>
        </w:rPr>
        <w:t>甲方意见实际情况</w:t>
      </w:r>
      <w:r>
        <w:rPr>
          <w:rFonts w:hint="eastAsia"/>
          <w:color w:val="auto"/>
          <w:sz w:val="24"/>
          <w:highlight w:val="none"/>
          <w:lang w:val="en-US" w:eastAsia="zh-CN"/>
        </w:rPr>
        <w:t>在1个工作日内</w:t>
      </w:r>
      <w:r>
        <w:rPr>
          <w:rFonts w:hint="eastAsia"/>
          <w:color w:val="auto"/>
          <w:sz w:val="24"/>
          <w:highlight w:val="none"/>
        </w:rPr>
        <w:t>进行修改补充</w:t>
      </w:r>
      <w:r>
        <w:rPr>
          <w:rFonts w:hint="eastAsia"/>
          <w:color w:val="auto"/>
          <w:sz w:val="24"/>
          <w:highlight w:val="none"/>
          <w:lang w:eastAsia="zh-CN"/>
        </w:rPr>
        <w:t>，</w:t>
      </w:r>
      <w:r>
        <w:rPr>
          <w:rFonts w:hint="eastAsia"/>
          <w:color w:val="auto"/>
          <w:sz w:val="24"/>
          <w:highlight w:val="none"/>
        </w:rPr>
        <w:t>并适时组织专家验收工作。</w:t>
      </w:r>
      <w:r>
        <w:rPr>
          <w:rFonts w:hint="eastAsia"/>
          <w:color w:val="auto"/>
          <w:sz w:val="24"/>
          <w:highlight w:val="none"/>
          <w:lang w:val="en-US" w:eastAsia="zh-CN"/>
        </w:rPr>
        <w:t>终稿需在专家验收后5个工作日内确定，并</w:t>
      </w:r>
      <w:r>
        <w:rPr>
          <w:rFonts w:hint="eastAsia"/>
          <w:color w:val="auto"/>
          <w:sz w:val="24"/>
          <w:highlight w:val="none"/>
        </w:rPr>
        <w:t>协助甲方报送</w:t>
      </w:r>
      <w:r>
        <w:rPr>
          <w:rFonts w:hint="eastAsia"/>
          <w:color w:val="auto"/>
          <w:sz w:val="24"/>
          <w:highlight w:val="none"/>
          <w:lang w:val="en-US" w:eastAsia="zh-CN"/>
        </w:rPr>
        <w:t>节能验收报告（终稿）及相关资料至</w:t>
      </w:r>
      <w:r>
        <w:rPr>
          <w:rFonts w:hint="eastAsia"/>
          <w:color w:val="auto"/>
          <w:sz w:val="24"/>
          <w:highlight w:val="none"/>
        </w:rPr>
        <w:t>相关政府职能部门</w:t>
      </w:r>
      <w:r>
        <w:rPr>
          <w:rFonts w:hint="eastAsia" w:ascii="楷体" w:hAnsi="楷体"/>
          <w:color w:val="auto"/>
          <w:sz w:val="24"/>
          <w:highlight w:val="none"/>
        </w:rPr>
        <w:t>。</w:t>
      </w:r>
    </w:p>
    <w:p>
      <w:pPr>
        <w:pStyle w:val="47"/>
        <w:spacing w:line="360" w:lineRule="auto"/>
        <w:ind w:firstLine="480" w:firstLineChars="200"/>
        <w:rPr>
          <w:rFonts w:hint="eastAsia"/>
          <w:color w:val="auto"/>
          <w:sz w:val="24"/>
          <w:highlight w:val="none"/>
        </w:rPr>
      </w:pPr>
      <w:r>
        <w:rPr>
          <w:rFonts w:hint="eastAsia"/>
          <w:color w:val="auto"/>
          <w:sz w:val="24"/>
          <w:highlight w:val="none"/>
          <w:lang w:val="en-US" w:eastAsia="zh-CN"/>
        </w:rPr>
        <w:t>3</w:t>
      </w:r>
      <w:r>
        <w:rPr>
          <w:rFonts w:hint="eastAsia"/>
          <w:color w:val="auto"/>
          <w:sz w:val="24"/>
          <w:highlight w:val="none"/>
        </w:rPr>
        <w:t>. 使用由甲方提供或支付费用的物品，当服务完成时，应将此类物品移交给甲方有关人员。</w:t>
      </w:r>
    </w:p>
    <w:p>
      <w:pPr>
        <w:pStyle w:val="47"/>
        <w:spacing w:line="360" w:lineRule="auto"/>
        <w:ind w:firstLine="480" w:firstLineChars="200"/>
        <w:rPr>
          <w:rFonts w:hint="eastAsia"/>
          <w:color w:val="auto"/>
          <w:sz w:val="24"/>
          <w:highlight w:val="none"/>
        </w:rPr>
      </w:pPr>
      <w:r>
        <w:rPr>
          <w:rFonts w:hint="eastAsia"/>
          <w:color w:val="auto"/>
          <w:sz w:val="24"/>
          <w:highlight w:val="none"/>
          <w:lang w:val="en-US" w:eastAsia="zh-CN"/>
        </w:rPr>
        <w:t>4</w:t>
      </w:r>
      <w:r>
        <w:rPr>
          <w:rFonts w:hint="eastAsia"/>
          <w:color w:val="auto"/>
          <w:sz w:val="24"/>
          <w:highlight w:val="none"/>
        </w:rPr>
        <w:t>. 由于乙方原因需要对该报告进行修改，乙方应负责修改完善直至符合政府职能部门要求，并承担相应重编费用。</w:t>
      </w:r>
    </w:p>
    <w:p>
      <w:pPr>
        <w:pStyle w:val="47"/>
        <w:spacing w:line="360" w:lineRule="auto"/>
        <w:ind w:firstLine="480" w:firstLineChars="200"/>
        <w:rPr>
          <w:rFonts w:hint="eastAsia"/>
          <w:color w:val="auto"/>
          <w:sz w:val="24"/>
          <w:highlight w:val="none"/>
        </w:rPr>
      </w:pPr>
      <w:r>
        <w:rPr>
          <w:rFonts w:hint="eastAsia"/>
          <w:color w:val="auto"/>
          <w:sz w:val="24"/>
          <w:highlight w:val="none"/>
          <w:lang w:val="en-US" w:eastAsia="zh-CN"/>
        </w:rPr>
        <w:t>5</w:t>
      </w:r>
      <w:r>
        <w:rPr>
          <w:rFonts w:hint="eastAsia"/>
          <w:color w:val="auto"/>
          <w:sz w:val="24"/>
          <w:highlight w:val="none"/>
        </w:rPr>
        <w:t>. 在咨询服务过程中，可能对费用、质量、时间有重大影响的变更或事件的，应于当日书面通知甲方，在得到甲方的书面同意后才能变更合同约定。</w:t>
      </w:r>
    </w:p>
    <w:p>
      <w:pPr>
        <w:pStyle w:val="47"/>
        <w:spacing w:line="360" w:lineRule="auto"/>
        <w:ind w:firstLine="480" w:firstLineChars="200"/>
        <w:rPr>
          <w:rFonts w:hint="eastAsia"/>
          <w:color w:val="auto"/>
          <w:sz w:val="24"/>
          <w:highlight w:val="none"/>
        </w:rPr>
      </w:pPr>
      <w:r>
        <w:rPr>
          <w:rFonts w:hint="eastAsia"/>
          <w:color w:val="auto"/>
          <w:sz w:val="24"/>
          <w:highlight w:val="none"/>
        </w:rPr>
        <w:t>四、服务期限</w:t>
      </w:r>
    </w:p>
    <w:p>
      <w:pPr>
        <w:spacing w:line="440" w:lineRule="exact"/>
        <w:ind w:firstLine="480" w:firstLineChars="200"/>
        <w:jc w:val="left"/>
        <w:rPr>
          <w:rFonts w:hint="default"/>
          <w:color w:val="auto"/>
          <w:sz w:val="24"/>
          <w:highlight w:val="none"/>
          <w:lang w:val="en-US" w:eastAsia="zh-CN"/>
        </w:rPr>
      </w:pPr>
      <w:r>
        <w:rPr>
          <w:rFonts w:hint="eastAsia"/>
          <w:color w:val="auto"/>
          <w:sz w:val="24"/>
          <w:highlight w:val="none"/>
          <w:lang w:val="en-US" w:eastAsia="zh-CN"/>
        </w:rPr>
        <w:t>本服务项目的工作周期为27个工作日，乙方应在接受甲方的委托后在规定的服务期限内完成节能验收报告的编制，并在相关职能部门完成备案。</w:t>
      </w:r>
    </w:p>
    <w:p>
      <w:pPr>
        <w:spacing w:line="440" w:lineRule="exact"/>
        <w:ind w:firstLine="480" w:firstLineChars="200"/>
        <w:jc w:val="left"/>
        <w:rPr>
          <w:rFonts w:hint="eastAsia"/>
          <w:color w:val="auto"/>
          <w:sz w:val="24"/>
          <w:highlight w:val="none"/>
        </w:rPr>
      </w:pPr>
      <w:r>
        <w:rPr>
          <w:rFonts w:hint="eastAsia"/>
          <w:color w:val="auto"/>
          <w:sz w:val="24"/>
          <w:highlight w:val="none"/>
        </w:rPr>
        <w:t>在签订合同并收到甲方提供的编写基础资料以及</w:t>
      </w:r>
      <w:r>
        <w:rPr>
          <w:rFonts w:hint="eastAsia"/>
          <w:color w:val="auto"/>
          <w:sz w:val="24"/>
          <w:highlight w:val="none"/>
          <w:lang w:val="en-US" w:eastAsia="zh-CN"/>
        </w:rPr>
        <w:t>预付款</w:t>
      </w:r>
      <w:r>
        <w:rPr>
          <w:rFonts w:hint="eastAsia"/>
          <w:color w:val="auto"/>
          <w:sz w:val="24"/>
          <w:highlight w:val="none"/>
        </w:rPr>
        <w:t>后</w:t>
      </w:r>
      <w:r>
        <w:rPr>
          <w:rFonts w:hint="eastAsia"/>
          <w:color w:val="auto"/>
          <w:sz w:val="24"/>
          <w:highlight w:val="none"/>
          <w:lang w:val="en-US" w:eastAsia="zh-CN"/>
        </w:rPr>
        <w:t>5</w:t>
      </w:r>
      <w:r>
        <w:rPr>
          <w:rFonts w:hint="eastAsia"/>
          <w:color w:val="auto"/>
          <w:sz w:val="24"/>
          <w:highlight w:val="none"/>
        </w:rPr>
        <w:t>个工作日内组织进行实地验收工作。</w:t>
      </w:r>
    </w:p>
    <w:p>
      <w:pPr>
        <w:spacing w:line="440" w:lineRule="exact"/>
        <w:ind w:firstLine="480" w:firstLineChars="200"/>
        <w:jc w:val="left"/>
        <w:rPr>
          <w:rFonts w:hint="eastAsia"/>
          <w:color w:val="auto"/>
          <w:sz w:val="24"/>
          <w:highlight w:val="none"/>
        </w:rPr>
      </w:pPr>
      <w:r>
        <w:rPr>
          <w:rFonts w:hint="eastAsia"/>
          <w:color w:val="auto"/>
          <w:sz w:val="24"/>
          <w:highlight w:val="none"/>
        </w:rPr>
        <w:t>在实地验收工作后</w:t>
      </w:r>
      <w:r>
        <w:rPr>
          <w:rFonts w:hint="eastAsia"/>
          <w:color w:val="auto"/>
          <w:sz w:val="24"/>
          <w:highlight w:val="none"/>
          <w:lang w:val="en-US" w:eastAsia="zh-CN"/>
        </w:rPr>
        <w:t>10</w:t>
      </w:r>
      <w:r>
        <w:rPr>
          <w:rFonts w:hint="eastAsia"/>
          <w:color w:val="auto"/>
          <w:sz w:val="24"/>
          <w:highlight w:val="none"/>
        </w:rPr>
        <w:t>个工作日内完成《节能验收报告》（一式八份）</w:t>
      </w:r>
      <w:r>
        <w:rPr>
          <w:rFonts w:hint="eastAsia"/>
          <w:color w:val="auto"/>
          <w:sz w:val="24"/>
          <w:highlight w:val="none"/>
          <w:lang w:eastAsia="zh-CN"/>
        </w:rPr>
        <w:t>，</w:t>
      </w:r>
      <w:r>
        <w:rPr>
          <w:rFonts w:hint="eastAsia"/>
          <w:color w:val="auto"/>
          <w:sz w:val="24"/>
          <w:highlight w:val="none"/>
          <w:lang w:val="en-US" w:eastAsia="zh-CN"/>
        </w:rPr>
        <w:t>并组织相关专业专家进行评审</w:t>
      </w:r>
      <w:r>
        <w:rPr>
          <w:rFonts w:hint="eastAsia"/>
          <w:color w:val="auto"/>
          <w:sz w:val="24"/>
          <w:highlight w:val="none"/>
        </w:rPr>
        <w:t>。若乙方</w:t>
      </w:r>
      <w:r>
        <w:rPr>
          <w:rFonts w:hint="eastAsia"/>
          <w:color w:val="auto"/>
          <w:sz w:val="24"/>
          <w:highlight w:val="none"/>
          <w:lang w:val="en-US" w:eastAsia="zh-CN"/>
        </w:rPr>
        <w:t>编制</w:t>
      </w:r>
      <w:r>
        <w:rPr>
          <w:rFonts w:hint="eastAsia"/>
          <w:color w:val="auto"/>
          <w:sz w:val="24"/>
          <w:highlight w:val="none"/>
        </w:rPr>
        <w:t>的节能验收报告相关职能部门或评审专家提出修改意见的，乙方应及时修改至审批通过</w:t>
      </w:r>
      <w:r>
        <w:rPr>
          <w:rFonts w:hint="eastAsia"/>
          <w:color w:val="auto"/>
          <w:sz w:val="24"/>
          <w:highlight w:val="none"/>
          <w:lang w:eastAsia="zh-CN"/>
        </w:rPr>
        <w:t>，</w:t>
      </w:r>
      <w:r>
        <w:rPr>
          <w:rFonts w:hint="eastAsia"/>
          <w:color w:val="auto"/>
          <w:sz w:val="24"/>
          <w:highlight w:val="none"/>
          <w:lang w:val="en-US" w:eastAsia="zh-CN"/>
        </w:rPr>
        <w:t>最后形成报告终稿。</w:t>
      </w:r>
    </w:p>
    <w:p>
      <w:pPr>
        <w:pStyle w:val="47"/>
        <w:spacing w:line="360" w:lineRule="auto"/>
        <w:ind w:firstLine="480" w:firstLineChars="200"/>
        <w:rPr>
          <w:rFonts w:hint="eastAsia"/>
          <w:color w:val="auto"/>
          <w:sz w:val="24"/>
          <w:highlight w:val="none"/>
        </w:rPr>
      </w:pPr>
      <w:r>
        <w:rPr>
          <w:rFonts w:hint="eastAsia"/>
          <w:color w:val="auto"/>
          <w:sz w:val="24"/>
          <w:highlight w:val="none"/>
        </w:rPr>
        <w:t>五、咨询服务费</w:t>
      </w:r>
    </w:p>
    <w:p>
      <w:pPr>
        <w:pStyle w:val="59"/>
        <w:keepNext w:val="0"/>
        <w:keepLines w:val="0"/>
        <w:pageBreakBefore w:val="0"/>
        <w:widowControl w:val="0"/>
        <w:tabs>
          <w:tab w:val="left" w:pos="1146"/>
        </w:tabs>
        <w:kinsoku/>
        <w:wordWrap/>
        <w:overflowPunct/>
        <w:topLinePunct w:val="0"/>
        <w:autoSpaceDE/>
        <w:autoSpaceDN/>
        <w:bidi w:val="0"/>
        <w:adjustRightInd/>
        <w:snapToGrid/>
        <w:spacing w:line="600" w:lineRule="exact"/>
        <w:ind w:firstLine="600"/>
        <w:jc w:val="both"/>
        <w:textAlignment w:val="auto"/>
        <w:rPr>
          <w:rFonts w:hint="eastAsia" w:asciiTheme="minorHAnsi" w:hAnsiTheme="minorHAnsi" w:eastAsiaTheme="minorEastAsia" w:cstheme="minorBidi"/>
          <w:b w:val="0"/>
          <w:bCs w:val="0"/>
          <w:color w:val="auto"/>
          <w:sz w:val="24"/>
          <w:highlight w:val="none"/>
          <w:lang w:val="en-US" w:eastAsia="zh-CN"/>
        </w:rPr>
      </w:pPr>
      <w:r>
        <w:rPr>
          <w:rFonts w:hint="eastAsia"/>
          <w:color w:val="auto"/>
          <w:sz w:val="24"/>
          <w:highlight w:val="none"/>
        </w:rPr>
        <w:t>1. 本项目咨询服务费含税包干总价为￥</w:t>
      </w:r>
      <w:r>
        <w:rPr>
          <w:rFonts w:hint="eastAsia"/>
          <w:color w:val="auto"/>
          <w:sz w:val="24"/>
          <w:highlight w:val="none"/>
          <w:u w:val="single"/>
        </w:rPr>
        <w:t xml:space="preserve"> </w:t>
      </w:r>
      <w:r>
        <w:rPr>
          <w:rFonts w:hint="eastAsia"/>
          <w:color w:val="auto"/>
          <w:sz w:val="24"/>
          <w:highlight w:val="none"/>
          <w:u w:val="single"/>
          <w:lang w:val="en-US" w:eastAsia="zh-CN"/>
        </w:rPr>
        <w:t xml:space="preserve">       </w:t>
      </w:r>
      <w:r>
        <w:rPr>
          <w:rFonts w:hint="eastAsia"/>
          <w:color w:val="auto"/>
          <w:sz w:val="24"/>
          <w:highlight w:val="none"/>
          <w:u w:val="single"/>
        </w:rPr>
        <w:t xml:space="preserve"> 元（大写：人民币</w:t>
      </w:r>
      <w:r>
        <w:rPr>
          <w:rFonts w:hint="eastAsia"/>
          <w:color w:val="auto"/>
          <w:sz w:val="24"/>
          <w:highlight w:val="none"/>
          <w:u w:val="single"/>
          <w:lang w:val="en-US" w:eastAsia="zh-CN"/>
        </w:rPr>
        <w:t xml:space="preserve">      </w:t>
      </w:r>
      <w:r>
        <w:rPr>
          <w:rFonts w:hint="eastAsia"/>
          <w:color w:val="auto"/>
          <w:sz w:val="24"/>
          <w:highlight w:val="none"/>
          <w:u w:val="single"/>
        </w:rPr>
        <w:t>元整）</w:t>
      </w:r>
      <w:r>
        <w:rPr>
          <w:rFonts w:hint="eastAsia"/>
          <w:color w:val="auto"/>
          <w:sz w:val="24"/>
          <w:highlight w:val="none"/>
        </w:rPr>
        <w:t>。</w:t>
      </w:r>
      <w:r>
        <w:rPr>
          <w:rFonts w:hint="eastAsia" w:asciiTheme="minorHAnsi" w:hAnsiTheme="minorHAnsi" w:eastAsiaTheme="minorEastAsia" w:cstheme="minorBidi"/>
          <w:b w:val="0"/>
          <w:bCs w:val="0"/>
          <w:color w:val="auto"/>
          <w:sz w:val="24"/>
          <w:highlight w:val="none"/>
          <w:lang w:val="en-US" w:eastAsia="zh-CN"/>
        </w:rPr>
        <w:t>（含税X%）</w:t>
      </w:r>
    </w:p>
    <w:p>
      <w:pPr>
        <w:pStyle w:val="59"/>
        <w:tabs>
          <w:tab w:val="left" w:pos="1146"/>
        </w:tabs>
        <w:spacing w:line="600" w:lineRule="exact"/>
        <w:ind w:firstLine="480" w:firstLineChars="200"/>
        <w:rPr>
          <w:rFonts w:hint="eastAsia"/>
          <w:color w:val="auto"/>
          <w:sz w:val="24"/>
          <w:highlight w:val="none"/>
          <w:u w:val="single"/>
        </w:rPr>
      </w:pPr>
      <w:r>
        <w:rPr>
          <w:rFonts w:hint="eastAsia" w:ascii="宋体" w:hAnsi="宋体" w:eastAsia="宋体" w:cs="宋体"/>
          <w:snapToGrid/>
          <w:color w:val="auto"/>
          <w:kern w:val="2"/>
          <w:sz w:val="24"/>
          <w:szCs w:val="28"/>
          <w:highlight w:val="none"/>
        </w:rPr>
        <w:t>合同履行期间国家税率调整或乙方开票的实际税率与前述税率不一致的，不含税价不变，价税合计按实际税率相应调整，以开具发票时间为准。</w:t>
      </w:r>
    </w:p>
    <w:p>
      <w:pPr>
        <w:spacing w:line="384" w:lineRule="auto"/>
        <w:ind w:firstLine="480" w:firstLineChars="200"/>
        <w:rPr>
          <w:rFonts w:ascii="宋体" w:hAnsi="宋体" w:cs="宋体"/>
          <w:color w:val="auto"/>
          <w:sz w:val="24"/>
          <w:highlight w:val="none"/>
        </w:rPr>
      </w:pPr>
      <w:r>
        <w:rPr>
          <w:rFonts w:hint="eastAsia"/>
          <w:color w:val="auto"/>
          <w:sz w:val="24"/>
          <w:highlight w:val="none"/>
        </w:rPr>
        <w:t>2. 结算方式：乙方按要求提交结算资料，甲方以总价包干的方式结算</w:t>
      </w:r>
      <w:r>
        <w:rPr>
          <w:rFonts w:hint="eastAsia"/>
          <w:color w:val="auto"/>
          <w:sz w:val="24"/>
          <w:highlight w:val="none"/>
          <w:lang w:eastAsia="zh-CN"/>
        </w:rPr>
        <w:t>，</w:t>
      </w:r>
      <w:r>
        <w:rPr>
          <w:rFonts w:hint="eastAsia" w:ascii="宋体" w:hAnsi="宋体" w:cs="宋体"/>
          <w:color w:val="auto"/>
          <w:sz w:val="24"/>
          <w:highlight w:val="none"/>
        </w:rPr>
        <w:t>经甲方或甲方委托有资质第三方机构审核后，若结算审核价比合同暂定总价低，则以结算审核价作为合同结算价，否则以合同暂定总价为合同结算价。</w:t>
      </w:r>
    </w:p>
    <w:p>
      <w:pPr>
        <w:pStyle w:val="47"/>
        <w:spacing w:line="360" w:lineRule="auto"/>
        <w:ind w:firstLine="480" w:firstLineChars="200"/>
        <w:rPr>
          <w:color w:val="auto"/>
          <w:sz w:val="24"/>
          <w:highlight w:val="none"/>
        </w:rPr>
      </w:pPr>
      <w:r>
        <w:rPr>
          <w:rFonts w:hint="eastAsia"/>
          <w:color w:val="auto"/>
          <w:sz w:val="24"/>
          <w:highlight w:val="none"/>
        </w:rPr>
        <w:t xml:space="preserve">3. </w:t>
      </w:r>
      <w:r>
        <w:rPr>
          <w:color w:val="auto"/>
          <w:sz w:val="24"/>
          <w:highlight w:val="none"/>
        </w:rPr>
        <w:t>支付方式</w:t>
      </w:r>
    </w:p>
    <w:p>
      <w:pPr>
        <w:pStyle w:val="47"/>
        <w:spacing w:line="360" w:lineRule="auto"/>
        <w:ind w:firstLine="480" w:firstLineChars="200"/>
        <w:rPr>
          <w:rFonts w:ascii="宋体" w:hAnsi="宋体"/>
          <w:color w:val="auto"/>
          <w:sz w:val="24"/>
          <w:highlight w:val="none"/>
        </w:rPr>
      </w:pPr>
      <w:r>
        <w:rPr>
          <w:rFonts w:hint="eastAsia" w:ascii="宋体"/>
          <w:color w:val="auto"/>
          <w:sz w:val="24"/>
          <w:highlight w:val="none"/>
        </w:rPr>
        <w:t>支付进度如下：</w:t>
      </w:r>
      <w:r>
        <w:rPr>
          <w:rFonts w:hint="eastAsia" w:ascii="宋体" w:hAnsi="宋体"/>
          <w:color w:val="auto"/>
          <w:sz w:val="24"/>
          <w:highlight w:val="none"/>
        </w:rPr>
        <w:t xml:space="preserve"> </w:t>
      </w:r>
    </w:p>
    <w:p>
      <w:pPr>
        <w:pStyle w:val="47"/>
        <w:spacing w:line="36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ascii="宋体" w:hAnsi="宋体"/>
          <w:color w:val="auto"/>
          <w:sz w:val="24"/>
          <w:highlight w:val="none"/>
        </w:rPr>
        <w:t>合同签订后，乙方向甲方提出支付申请</w:t>
      </w:r>
      <w:r>
        <w:rPr>
          <w:rFonts w:hint="eastAsia" w:ascii="宋体" w:hAnsi="宋体"/>
          <w:color w:val="auto"/>
          <w:sz w:val="24"/>
          <w:highlight w:val="none"/>
          <w:lang w:val="en-US" w:eastAsia="zh-CN"/>
        </w:rPr>
        <w:t>并</w:t>
      </w:r>
      <w:r>
        <w:rPr>
          <w:rFonts w:hint="eastAsia" w:ascii="宋体" w:hAnsi="宋体" w:cs="宋体"/>
          <w:bCs/>
          <w:color w:val="auto"/>
          <w:sz w:val="24"/>
          <w:highlight w:val="none"/>
        </w:rPr>
        <w:t>开具等额的增值税专用发票</w:t>
      </w:r>
      <w:r>
        <w:rPr>
          <w:rFonts w:hint="eastAsia" w:ascii="宋体" w:hAnsi="宋体"/>
          <w:color w:val="auto"/>
          <w:sz w:val="24"/>
          <w:highlight w:val="none"/>
        </w:rPr>
        <w:t>，甲方向乙方支付合同</w:t>
      </w:r>
      <w:r>
        <w:rPr>
          <w:rFonts w:hint="eastAsia" w:ascii="宋体" w:hAnsi="宋体"/>
          <w:color w:val="auto"/>
          <w:sz w:val="24"/>
          <w:highlight w:val="none"/>
          <w:lang w:val="en-US" w:eastAsia="zh-CN"/>
        </w:rPr>
        <w:t>总</w:t>
      </w:r>
      <w:r>
        <w:rPr>
          <w:rFonts w:hint="eastAsia" w:ascii="宋体" w:hAnsi="宋体"/>
          <w:color w:val="auto"/>
          <w:sz w:val="24"/>
          <w:highlight w:val="none"/>
        </w:rPr>
        <w:t>价的30%作为预付款，即为￥</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元</w:t>
      </w:r>
      <w:r>
        <w:rPr>
          <w:rFonts w:hint="eastAsia"/>
          <w:color w:val="auto"/>
          <w:sz w:val="24"/>
          <w:highlight w:val="none"/>
          <w:u w:val="single"/>
        </w:rPr>
        <w:t>（大写：人民币</w:t>
      </w:r>
      <w:r>
        <w:rPr>
          <w:rFonts w:hint="eastAsia"/>
          <w:color w:val="auto"/>
          <w:sz w:val="24"/>
          <w:highlight w:val="none"/>
          <w:u w:val="single"/>
          <w:lang w:val="en-US" w:eastAsia="zh-CN"/>
        </w:rPr>
        <w:t xml:space="preserve">         </w:t>
      </w:r>
      <w:r>
        <w:rPr>
          <w:rFonts w:hint="eastAsia"/>
          <w:color w:val="auto"/>
          <w:sz w:val="24"/>
          <w:highlight w:val="none"/>
          <w:u w:val="single"/>
        </w:rPr>
        <w:t>元整）</w:t>
      </w:r>
      <w:r>
        <w:rPr>
          <w:rFonts w:hint="eastAsia" w:ascii="宋体" w:hAnsi="宋体"/>
          <w:color w:val="auto"/>
          <w:sz w:val="24"/>
          <w:highlight w:val="none"/>
        </w:rPr>
        <w:t>；</w:t>
      </w:r>
    </w:p>
    <w:p>
      <w:pPr>
        <w:pStyle w:val="47"/>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（2）乙方编制报告后，向甲方提交《节能验收报告》并提交至政府职能部门审批，甲方收到政府部门批复文件或备案成功后，向乙方累计支付至结算审核金额的100%；</w:t>
      </w:r>
    </w:p>
    <w:p>
      <w:pPr>
        <w:pStyle w:val="47"/>
        <w:spacing w:line="360" w:lineRule="auto"/>
        <w:ind w:firstLine="480" w:firstLineChars="200"/>
        <w:rPr>
          <w:rFonts w:hint="eastAsia"/>
          <w:color w:val="auto"/>
          <w:sz w:val="24"/>
          <w:highlight w:val="none"/>
        </w:rPr>
      </w:pPr>
      <w:r>
        <w:rPr>
          <w:rFonts w:hint="eastAsia"/>
          <w:color w:val="auto"/>
          <w:sz w:val="24"/>
          <w:highlight w:val="none"/>
        </w:rPr>
        <w:t xml:space="preserve">4. </w:t>
      </w:r>
    </w:p>
    <w:p>
      <w:pPr>
        <w:pStyle w:val="47"/>
        <w:spacing w:line="360" w:lineRule="auto"/>
        <w:ind w:firstLine="480" w:firstLineChars="200"/>
        <w:rPr>
          <w:rFonts w:hint="default" w:eastAsiaTheme="minorEastAsia"/>
          <w:b/>
          <w:color w:val="auto"/>
          <w:sz w:val="24"/>
          <w:highlight w:val="none"/>
          <w:lang w:val="en-US" w:eastAsia="zh-CN"/>
        </w:rPr>
      </w:pPr>
      <w:r>
        <w:rPr>
          <w:rFonts w:hint="eastAsia"/>
          <w:color w:val="auto"/>
          <w:sz w:val="24"/>
          <w:highlight w:val="none"/>
        </w:rPr>
        <w:t>乙</w:t>
      </w:r>
      <w:r>
        <w:rPr>
          <w:rFonts w:hint="eastAsia"/>
          <w:b/>
          <w:color w:val="auto"/>
          <w:sz w:val="24"/>
          <w:highlight w:val="none"/>
        </w:rPr>
        <w:t>方账户名：</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p>
    <w:p>
      <w:pPr>
        <w:pStyle w:val="47"/>
        <w:spacing w:line="360" w:lineRule="auto"/>
        <w:ind w:firstLine="723" w:firstLineChars="300"/>
        <w:rPr>
          <w:rFonts w:hint="default"/>
          <w:color w:val="auto"/>
          <w:sz w:val="24"/>
          <w:highlight w:val="none"/>
          <w:u w:val="single"/>
          <w:lang w:val="en-US" w:eastAsia="zh-CN"/>
        </w:rPr>
      </w:pPr>
      <w:r>
        <w:rPr>
          <w:rFonts w:hint="eastAsia"/>
          <w:b/>
          <w:color w:val="auto"/>
          <w:sz w:val="24"/>
          <w:highlight w:val="none"/>
        </w:rPr>
        <w:t>开户银行：</w:t>
      </w:r>
      <w:r>
        <w:rPr>
          <w:rFonts w:hint="eastAsia"/>
          <w:color w:val="auto"/>
          <w:sz w:val="24"/>
          <w:highlight w:val="none"/>
          <w:u w:val="single"/>
          <w:lang w:val="en-US" w:eastAsia="zh-CN"/>
        </w:rPr>
        <w:t xml:space="preserve">                   </w:t>
      </w:r>
    </w:p>
    <w:p>
      <w:pPr>
        <w:pStyle w:val="47"/>
        <w:spacing w:line="360" w:lineRule="auto"/>
        <w:ind w:firstLine="723" w:firstLineChars="300"/>
        <w:rPr>
          <w:rFonts w:hint="default" w:eastAsiaTheme="minorEastAsia"/>
          <w:b/>
          <w:color w:val="auto"/>
          <w:sz w:val="24"/>
          <w:highlight w:val="none"/>
          <w:lang w:val="en-US" w:eastAsia="zh-CN"/>
        </w:rPr>
      </w:pPr>
      <w:r>
        <w:rPr>
          <w:rFonts w:hint="eastAsia"/>
          <w:b/>
          <w:color w:val="auto"/>
          <w:sz w:val="24"/>
          <w:highlight w:val="none"/>
        </w:rPr>
        <w:t>账   号：</w:t>
      </w:r>
      <w:r>
        <w:rPr>
          <w:rFonts w:hint="eastAsia"/>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w:t>
      </w:r>
    </w:p>
    <w:p>
      <w:pPr>
        <w:pStyle w:val="47"/>
        <w:spacing w:line="360" w:lineRule="auto"/>
        <w:ind w:firstLine="482" w:firstLineChars="200"/>
        <w:rPr>
          <w:rFonts w:hint="eastAsia"/>
          <w:b/>
          <w:color w:val="auto"/>
          <w:sz w:val="24"/>
          <w:highlight w:val="none"/>
        </w:rPr>
      </w:pPr>
    </w:p>
    <w:p>
      <w:pPr>
        <w:pStyle w:val="47"/>
        <w:spacing w:line="360" w:lineRule="auto"/>
        <w:ind w:firstLine="480" w:firstLineChars="200"/>
        <w:rPr>
          <w:color w:val="auto"/>
          <w:highlight w:val="none"/>
        </w:rPr>
      </w:pPr>
      <w:r>
        <w:rPr>
          <w:color w:val="auto"/>
          <w:sz w:val="24"/>
          <w:highlight w:val="none"/>
        </w:rPr>
        <w:t>甲方</w:t>
      </w:r>
      <w:r>
        <w:rPr>
          <w:rFonts w:hint="eastAsia"/>
          <w:color w:val="auto"/>
          <w:sz w:val="24"/>
          <w:highlight w:val="none"/>
        </w:rPr>
        <w:t>凭乙方开具的合法有效等额的增值税专用发票</w:t>
      </w:r>
      <w:r>
        <w:rPr>
          <w:color w:val="auto"/>
          <w:sz w:val="24"/>
          <w:highlight w:val="none"/>
        </w:rPr>
        <w:t>直接汇入</w:t>
      </w:r>
      <w:r>
        <w:rPr>
          <w:rFonts w:hint="eastAsia"/>
          <w:color w:val="auto"/>
          <w:sz w:val="24"/>
          <w:highlight w:val="none"/>
        </w:rPr>
        <w:t>乙方</w:t>
      </w:r>
      <w:r>
        <w:rPr>
          <w:color w:val="auto"/>
          <w:sz w:val="24"/>
          <w:highlight w:val="none"/>
        </w:rPr>
        <w:t>以上</w:t>
      </w:r>
      <w:r>
        <w:rPr>
          <w:rFonts w:hint="eastAsia"/>
          <w:color w:val="auto"/>
          <w:sz w:val="24"/>
          <w:highlight w:val="none"/>
        </w:rPr>
        <w:t>账户</w:t>
      </w:r>
      <w:r>
        <w:rPr>
          <w:color w:val="auto"/>
          <w:sz w:val="24"/>
          <w:highlight w:val="none"/>
        </w:rPr>
        <w:t>。</w:t>
      </w:r>
      <w:r>
        <w:rPr>
          <w:rFonts w:hint="eastAsia" w:ascii="宋体" w:hAnsi="宋体"/>
          <w:color w:val="auto"/>
          <w:sz w:val="24"/>
          <w:highlight w:val="none"/>
        </w:rPr>
        <w:t>甲方向上述账号汇出款项即视为甲方已履行付款义务。在协议履行过程中，因乙方账户的原因（包括但不限于账号被注销、被冻结等）导致乙方无法收取款项的，甲方不承担任何责任。</w:t>
      </w:r>
    </w:p>
    <w:p>
      <w:pPr>
        <w:keepNext w:val="0"/>
        <w:keepLines w:val="0"/>
        <w:pageBreakBefore w:val="0"/>
        <w:widowControl w:val="0"/>
        <w:kinsoku/>
        <w:wordWrap/>
        <w:overflowPunct/>
        <w:topLinePunct w:val="0"/>
        <w:autoSpaceDE/>
        <w:autoSpaceDN/>
        <w:bidi w:val="0"/>
        <w:adjustRightInd/>
        <w:snapToGrid/>
        <w:spacing w:line="520" w:lineRule="exact"/>
        <w:ind w:firstLine="720" w:firstLineChars="300"/>
        <w:textAlignment w:val="auto"/>
        <w:rPr>
          <w:rFonts w:ascii="宋体" w:hAnsi="宋体" w:cs="宋体"/>
          <w:color w:val="auto"/>
          <w:sz w:val="24"/>
          <w:highlight w:val="none"/>
        </w:rPr>
      </w:pPr>
      <w:r>
        <w:rPr>
          <w:rFonts w:hint="eastAsia" w:ascii="宋体" w:hAnsi="宋体" w:cs="宋体"/>
          <w:color w:val="auto"/>
          <w:sz w:val="24"/>
          <w:highlight w:val="none"/>
        </w:rPr>
        <w:t>乙方在收款前需提交等额增值税专用发票给甲方。增值税专用发票信息：</w:t>
      </w:r>
    </w:p>
    <w:p>
      <w:pPr>
        <w:keepNext w:val="0"/>
        <w:keepLines w:val="0"/>
        <w:pageBreakBefore w:val="0"/>
        <w:widowControl w:val="0"/>
        <w:kinsoku/>
        <w:wordWrap/>
        <w:overflowPunct/>
        <w:topLinePunct w:val="0"/>
        <w:autoSpaceDE/>
        <w:autoSpaceDN/>
        <w:bidi w:val="0"/>
        <w:adjustRightInd/>
        <w:snapToGrid/>
        <w:spacing w:line="520" w:lineRule="exact"/>
        <w:ind w:firstLine="960" w:firstLineChars="400"/>
        <w:textAlignment w:val="auto"/>
        <w:rPr>
          <w:rFonts w:ascii="宋体" w:hAnsi="宋体" w:cs="宋体"/>
          <w:color w:val="auto"/>
          <w:sz w:val="24"/>
          <w:highlight w:val="none"/>
        </w:rPr>
      </w:pPr>
      <w:r>
        <w:rPr>
          <w:rFonts w:hint="eastAsia" w:ascii="宋体" w:hAnsi="宋体" w:cs="宋体"/>
          <w:color w:val="auto"/>
          <w:sz w:val="24"/>
          <w:highlight w:val="none"/>
        </w:rPr>
        <w:t>名称：广州市净水有限公司</w:t>
      </w:r>
    </w:p>
    <w:p>
      <w:pPr>
        <w:keepNext w:val="0"/>
        <w:keepLines w:val="0"/>
        <w:pageBreakBefore w:val="0"/>
        <w:widowControl w:val="0"/>
        <w:kinsoku/>
        <w:wordWrap/>
        <w:overflowPunct/>
        <w:topLinePunct w:val="0"/>
        <w:autoSpaceDE/>
        <w:autoSpaceDN/>
        <w:bidi w:val="0"/>
        <w:adjustRightInd/>
        <w:snapToGrid/>
        <w:spacing w:line="520" w:lineRule="exact"/>
        <w:ind w:firstLine="960" w:firstLineChars="400"/>
        <w:textAlignment w:val="auto"/>
        <w:rPr>
          <w:rFonts w:ascii="宋体" w:hAnsi="宋体" w:cs="宋体"/>
          <w:color w:val="auto"/>
          <w:sz w:val="24"/>
          <w:highlight w:val="none"/>
          <w:u w:val="single"/>
        </w:rPr>
      </w:pPr>
      <w:r>
        <w:rPr>
          <w:rFonts w:hint="eastAsia" w:ascii="宋体" w:hAnsi="宋体" w:cs="宋体"/>
          <w:color w:val="auto"/>
          <w:sz w:val="24"/>
          <w:highlight w:val="none"/>
        </w:rPr>
        <w:t>税号：91440101755584729Q</w:t>
      </w:r>
    </w:p>
    <w:p>
      <w:pPr>
        <w:keepNext w:val="0"/>
        <w:keepLines w:val="0"/>
        <w:pageBreakBefore w:val="0"/>
        <w:widowControl w:val="0"/>
        <w:kinsoku/>
        <w:wordWrap/>
        <w:overflowPunct/>
        <w:topLinePunct w:val="0"/>
        <w:autoSpaceDE/>
        <w:autoSpaceDN/>
        <w:bidi w:val="0"/>
        <w:adjustRightInd/>
        <w:snapToGrid/>
        <w:spacing w:line="520" w:lineRule="exact"/>
        <w:ind w:firstLine="960" w:firstLineChars="400"/>
        <w:textAlignment w:val="auto"/>
        <w:rPr>
          <w:rFonts w:hint="eastAsia" w:ascii="宋体" w:hAnsi="宋体" w:cs="宋体"/>
          <w:color w:val="auto"/>
          <w:sz w:val="24"/>
          <w:highlight w:val="none"/>
        </w:rPr>
      </w:pPr>
      <w:r>
        <w:rPr>
          <w:rFonts w:hint="eastAsia" w:ascii="宋体" w:hAnsi="宋体" w:cs="宋体"/>
          <w:color w:val="auto"/>
          <w:sz w:val="24"/>
          <w:highlight w:val="none"/>
        </w:rPr>
        <w:t>地址：广州市天河区临江大道501号。</w:t>
      </w:r>
    </w:p>
    <w:p>
      <w:pPr>
        <w:pStyle w:val="9"/>
        <w:keepNext w:val="0"/>
        <w:keepLines w:val="0"/>
        <w:pageBreakBefore w:val="0"/>
        <w:widowControl w:val="0"/>
        <w:kinsoku/>
        <w:wordWrap/>
        <w:overflowPunct/>
        <w:topLinePunct w:val="0"/>
        <w:autoSpaceDE/>
        <w:autoSpaceDN/>
        <w:bidi w:val="0"/>
        <w:adjustRightInd/>
        <w:snapToGrid/>
        <w:spacing w:line="520" w:lineRule="exact"/>
        <w:ind w:firstLine="960" w:firstLineChars="4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账户名：广州市净水有限公司</w:t>
      </w:r>
    </w:p>
    <w:p>
      <w:pPr>
        <w:pStyle w:val="10"/>
        <w:keepNext w:val="0"/>
        <w:keepLines w:val="0"/>
        <w:pageBreakBefore w:val="0"/>
        <w:widowControl w:val="0"/>
        <w:kinsoku/>
        <w:wordWrap/>
        <w:overflowPunct/>
        <w:topLinePunct w:val="0"/>
        <w:autoSpaceDE/>
        <w:autoSpaceDN/>
        <w:bidi w:val="0"/>
        <w:adjustRightInd/>
        <w:snapToGrid/>
        <w:spacing w:line="520" w:lineRule="exact"/>
        <w:ind w:left="0" w:leftChars="0" w:firstLine="960" w:firstLineChars="400"/>
        <w:textAlignment w:val="auto"/>
        <w:rPr>
          <w:rFonts w:hint="default"/>
          <w:color w:val="auto"/>
          <w:highlight w:val="none"/>
          <w:lang w:val="en-US" w:eastAsia="zh-CN"/>
        </w:rPr>
      </w:pPr>
      <w:r>
        <w:rPr>
          <w:rFonts w:hint="eastAsia" w:ascii="宋体" w:hAnsi="宋体" w:cs="宋体"/>
          <w:color w:val="auto"/>
          <w:sz w:val="24"/>
          <w:highlight w:val="none"/>
          <w:lang w:val="en-US" w:eastAsia="zh-CN"/>
        </w:rPr>
        <w:t>开户行：中国建设银行珠江新城支行</w:t>
      </w:r>
    </w:p>
    <w:p>
      <w:pPr>
        <w:pStyle w:val="9"/>
        <w:spacing w:line="520" w:lineRule="exact"/>
        <w:ind w:firstLine="480" w:firstLineChars="200"/>
        <w:rPr>
          <w:rFonts w:hint="eastAsia"/>
          <w:color w:val="auto"/>
          <w:highlight w:val="none"/>
        </w:rPr>
      </w:pPr>
      <w:r>
        <w:rPr>
          <w:rFonts w:hint="eastAsia" w:ascii="宋体" w:hAnsi="宋体" w:cs="宋体"/>
          <w:color w:val="auto"/>
          <w:sz w:val="24"/>
          <w:highlight w:val="none"/>
          <w:lang w:val="en-US" w:eastAsia="zh-CN"/>
        </w:rPr>
        <w:t xml:space="preserve">        银行账户：44001420314050170338</w:t>
      </w:r>
    </w:p>
    <w:p>
      <w:pPr>
        <w:pStyle w:val="47"/>
        <w:numPr>
          <w:ilvl w:val="0"/>
          <w:numId w:val="9"/>
        </w:numPr>
        <w:spacing w:line="360" w:lineRule="auto"/>
        <w:ind w:firstLine="480" w:firstLineChars="200"/>
        <w:rPr>
          <w:rFonts w:hint="eastAsia"/>
          <w:color w:val="auto"/>
          <w:sz w:val="24"/>
          <w:highlight w:val="none"/>
          <w:lang w:val="en-US" w:eastAsia="zh-CN"/>
        </w:rPr>
      </w:pPr>
      <w:r>
        <w:rPr>
          <w:rFonts w:hint="eastAsia"/>
          <w:color w:val="auto"/>
          <w:sz w:val="24"/>
          <w:highlight w:val="none"/>
          <w:lang w:val="en-US" w:eastAsia="zh-CN"/>
        </w:rPr>
        <w:t>违约责任</w:t>
      </w:r>
    </w:p>
    <w:p>
      <w:pPr>
        <w:pStyle w:val="47"/>
        <w:numPr>
          <w:ilvl w:val="0"/>
          <w:numId w:val="0"/>
        </w:numPr>
        <w:spacing w:line="360" w:lineRule="auto"/>
        <w:ind w:firstLine="480" w:firstLineChars="200"/>
        <w:rPr>
          <w:rFonts w:hint="eastAsia" w:ascii="宋体" w:hAnsi="宋体" w:cs="宋体"/>
          <w:color w:val="auto"/>
          <w:sz w:val="24"/>
          <w:highlight w:val="none"/>
        </w:rPr>
      </w:pPr>
      <w:r>
        <w:rPr>
          <w:rFonts w:hint="eastAsia" w:ascii="宋体" w:hAnsi="宋体" w:cs="宋体" w:eastAsiaTheme="minorEastAsia"/>
          <w:color w:val="auto"/>
          <w:kern w:val="2"/>
          <w:sz w:val="24"/>
          <w:szCs w:val="22"/>
          <w:highlight w:val="none"/>
          <w:lang w:val="en-US" w:eastAsia="zh-CN" w:bidi="ar-SA"/>
        </w:rPr>
        <w:t>1</w:t>
      </w:r>
      <w:r>
        <w:rPr>
          <w:rFonts w:hint="eastAsia" w:ascii="宋体" w:hAnsi="宋体" w:cs="宋体"/>
          <w:color w:val="auto"/>
          <w:kern w:val="2"/>
          <w:sz w:val="24"/>
          <w:szCs w:val="22"/>
          <w:highlight w:val="none"/>
          <w:lang w:val="en-US" w:eastAsia="zh-CN" w:bidi="ar-SA"/>
        </w:rPr>
        <w:t>.</w:t>
      </w:r>
      <w:r>
        <w:rPr>
          <w:rFonts w:hint="eastAsia" w:ascii="宋体" w:hAnsi="宋体" w:cs="宋体"/>
          <w:color w:val="auto"/>
          <w:sz w:val="24"/>
          <w:highlight w:val="none"/>
        </w:rPr>
        <w:t>在合同履行期间，已开始编制工作，非乙方原因甲方要求终止或解除合同的，甲方根据乙方已进行的实际工作量按实进行结算。</w:t>
      </w:r>
    </w:p>
    <w:p>
      <w:pPr>
        <w:pStyle w:val="47"/>
        <w:numPr>
          <w:ilvl w:val="0"/>
          <w:numId w:val="0"/>
        </w:numPr>
        <w:spacing w:line="360" w:lineRule="auto"/>
        <w:ind w:firstLine="480" w:firstLineChars="200"/>
        <w:rPr>
          <w:rFonts w:hint="default" w:ascii="宋体" w:hAnsi="宋体" w:cs="宋体"/>
          <w:color w:val="auto"/>
          <w:sz w:val="24"/>
          <w:highlight w:val="none"/>
          <w:lang w:val="en-US" w:eastAsia="zh-CN"/>
        </w:rPr>
      </w:pPr>
      <w:r>
        <w:rPr>
          <w:rFonts w:hint="default" w:ascii="宋体" w:hAnsi="宋体" w:cs="宋体" w:eastAsiaTheme="minorEastAsia"/>
          <w:color w:val="auto"/>
          <w:kern w:val="2"/>
          <w:sz w:val="24"/>
          <w:szCs w:val="22"/>
          <w:highlight w:val="none"/>
          <w:lang w:val="en-US" w:eastAsia="zh-CN" w:bidi="ar-SA"/>
        </w:rPr>
        <w:t>2</w:t>
      </w:r>
      <w:r>
        <w:rPr>
          <w:rFonts w:hint="eastAsia" w:ascii="宋体" w:hAnsi="宋体" w:cs="宋体"/>
          <w:color w:val="auto"/>
          <w:kern w:val="2"/>
          <w:sz w:val="24"/>
          <w:szCs w:val="22"/>
          <w:highlight w:val="none"/>
          <w:lang w:val="en-US" w:eastAsia="zh-CN" w:bidi="ar-SA"/>
        </w:rPr>
        <w:t>.</w:t>
      </w:r>
      <w:r>
        <w:rPr>
          <w:rFonts w:hint="eastAsia" w:ascii="宋体" w:hAnsi="宋体" w:cs="宋体"/>
          <w:color w:val="auto"/>
          <w:sz w:val="24"/>
          <w:highlight w:val="none"/>
        </w:rPr>
        <w:t>合同生效后，非甲方原因乙方要求解除合同的，</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w:t>
      </w:r>
      <w:r>
        <w:rPr>
          <w:rFonts w:hint="eastAsia" w:ascii="宋体" w:hAnsi="宋体" w:cs="宋体"/>
          <w:color w:val="auto"/>
          <w:sz w:val="24"/>
          <w:highlight w:val="none"/>
          <w:lang w:val="en-US" w:eastAsia="zh-CN"/>
        </w:rPr>
        <w:t>返还甲方已支付的全部费用、支付暂定合同价</w:t>
      </w:r>
      <w:r>
        <w:rPr>
          <w:rFonts w:hint="eastAsia" w:ascii="宋体" w:hAnsi="宋体" w:cs="宋体"/>
          <w:color w:val="auto"/>
          <w:sz w:val="24"/>
          <w:highlight w:val="none"/>
          <w:u w:val="single"/>
          <w:lang w:val="en-US" w:eastAsia="zh-CN"/>
        </w:rPr>
        <w:t>20</w:t>
      </w:r>
      <w:r>
        <w:rPr>
          <w:rFonts w:hint="eastAsia" w:ascii="宋体" w:hAnsi="宋体" w:cs="宋体"/>
          <w:color w:val="auto"/>
          <w:sz w:val="24"/>
          <w:highlight w:val="none"/>
          <w:lang w:val="en-US" w:eastAsia="zh-CN"/>
        </w:rPr>
        <w:t>%的违约金，并</w:t>
      </w:r>
      <w:r>
        <w:rPr>
          <w:rFonts w:hint="eastAsia" w:ascii="宋体" w:hAnsi="宋体" w:cs="宋体"/>
          <w:color w:val="auto"/>
          <w:sz w:val="24"/>
          <w:highlight w:val="none"/>
        </w:rPr>
        <w:t>赔偿</w:t>
      </w:r>
      <w:r>
        <w:rPr>
          <w:rFonts w:hint="eastAsia" w:ascii="宋体" w:hAnsi="宋体" w:cs="宋体"/>
          <w:color w:val="auto"/>
          <w:sz w:val="24"/>
          <w:highlight w:val="none"/>
          <w:lang w:val="en-US" w:eastAsia="zh-CN"/>
        </w:rPr>
        <w:t>由此给</w:t>
      </w:r>
      <w:r>
        <w:rPr>
          <w:rFonts w:hint="eastAsia" w:ascii="宋体" w:hAnsi="宋体" w:cs="宋体"/>
          <w:color w:val="auto"/>
          <w:sz w:val="24"/>
          <w:highlight w:val="none"/>
        </w:rPr>
        <w:t>甲方</w:t>
      </w:r>
      <w:r>
        <w:rPr>
          <w:rFonts w:hint="eastAsia" w:ascii="宋体" w:hAnsi="宋体" w:cs="宋体"/>
          <w:color w:val="auto"/>
          <w:sz w:val="24"/>
          <w:highlight w:val="none"/>
          <w:lang w:val="en-US" w:eastAsia="zh-CN"/>
        </w:rPr>
        <w:t>造成</w:t>
      </w:r>
      <w:r>
        <w:rPr>
          <w:rFonts w:hint="eastAsia" w:ascii="宋体" w:hAnsi="宋体" w:cs="宋体"/>
          <w:color w:val="auto"/>
          <w:sz w:val="24"/>
          <w:highlight w:val="none"/>
        </w:rPr>
        <w:t>的损失。</w:t>
      </w:r>
    </w:p>
    <w:p>
      <w:pPr>
        <w:pStyle w:val="47"/>
        <w:numPr>
          <w:ilvl w:val="0"/>
          <w:numId w:val="0"/>
        </w:numPr>
        <w:spacing w:line="360" w:lineRule="auto"/>
        <w:ind w:firstLine="480" w:firstLineChars="200"/>
        <w:rPr>
          <w:rFonts w:hint="default" w:ascii="宋体" w:hAnsi="宋体" w:cs="宋体"/>
          <w:color w:val="auto"/>
          <w:sz w:val="24"/>
          <w:highlight w:val="none"/>
          <w:lang w:val="en-US" w:eastAsia="zh-CN"/>
        </w:rPr>
      </w:pPr>
      <w:r>
        <w:rPr>
          <w:rFonts w:hint="default" w:ascii="宋体" w:hAnsi="宋体" w:cs="宋体" w:eastAsiaTheme="minorEastAsia"/>
          <w:color w:val="auto"/>
          <w:kern w:val="2"/>
          <w:sz w:val="24"/>
          <w:szCs w:val="22"/>
          <w:highlight w:val="none"/>
          <w:lang w:val="en-US" w:eastAsia="zh-CN" w:bidi="ar-SA"/>
        </w:rPr>
        <w:t>3</w:t>
      </w:r>
      <w:r>
        <w:rPr>
          <w:rFonts w:hint="eastAsia" w:ascii="宋体" w:hAnsi="宋体" w:cs="宋体"/>
          <w:color w:val="auto"/>
          <w:kern w:val="2"/>
          <w:sz w:val="24"/>
          <w:szCs w:val="22"/>
          <w:highlight w:val="none"/>
          <w:lang w:val="en-US" w:eastAsia="zh-CN" w:bidi="ar-SA"/>
        </w:rPr>
        <w:t>.</w:t>
      </w:r>
      <w:r>
        <w:rPr>
          <w:rFonts w:ascii="宋体" w:hAnsi="宋体" w:eastAsia="宋体" w:cs="宋体"/>
          <w:color w:val="auto"/>
          <w:sz w:val="24"/>
          <w:szCs w:val="24"/>
          <w:highlight w:val="none"/>
        </w:rPr>
        <w:t>乙方应按照本合同约定的</w:t>
      </w:r>
      <w:r>
        <w:rPr>
          <w:rFonts w:hint="eastAsia" w:ascii="宋体" w:hAnsi="宋体" w:eastAsia="宋体" w:cs="宋体"/>
          <w:color w:val="auto"/>
          <w:sz w:val="24"/>
          <w:szCs w:val="24"/>
          <w:highlight w:val="none"/>
          <w:lang w:val="en-US" w:eastAsia="zh-CN"/>
        </w:rPr>
        <w:t>工作期限内完成</w:t>
      </w:r>
      <w:r>
        <w:rPr>
          <w:rFonts w:hint="eastAsia"/>
          <w:color w:val="auto"/>
          <w:sz w:val="24"/>
          <w:highlight w:val="none"/>
          <w:lang w:val="en-US" w:eastAsia="zh-CN"/>
        </w:rPr>
        <w:t>节能验收报告的编制，并在相关职能部门完成备案</w:t>
      </w:r>
      <w:r>
        <w:rPr>
          <w:rFonts w:ascii="宋体" w:hAnsi="宋体" w:eastAsia="宋体" w:cs="宋体"/>
          <w:color w:val="auto"/>
          <w:sz w:val="24"/>
          <w:szCs w:val="24"/>
          <w:highlight w:val="none"/>
        </w:rPr>
        <w:t>。如乙方因客观情况导致无法按时</w:t>
      </w:r>
      <w:r>
        <w:rPr>
          <w:rFonts w:hint="eastAsia" w:ascii="宋体" w:hAnsi="宋体" w:eastAsia="宋体" w:cs="宋体"/>
          <w:color w:val="auto"/>
          <w:sz w:val="24"/>
          <w:szCs w:val="24"/>
          <w:highlight w:val="none"/>
          <w:lang w:val="en-US" w:eastAsia="zh-CN"/>
        </w:rPr>
        <w:t>完成</w:t>
      </w:r>
      <w:r>
        <w:rPr>
          <w:rFonts w:ascii="宋体" w:hAnsi="宋体" w:eastAsia="宋体" w:cs="宋体"/>
          <w:color w:val="auto"/>
          <w:sz w:val="24"/>
          <w:szCs w:val="24"/>
          <w:highlight w:val="none"/>
        </w:rPr>
        <w:t>，乙方应在</w:t>
      </w:r>
      <w:r>
        <w:rPr>
          <w:rFonts w:hint="eastAsia" w:ascii="宋体" w:hAnsi="宋体" w:eastAsia="宋体" w:cs="宋体"/>
          <w:color w:val="auto"/>
          <w:sz w:val="24"/>
          <w:szCs w:val="24"/>
          <w:highlight w:val="none"/>
          <w:lang w:val="en-US" w:eastAsia="zh-CN"/>
        </w:rPr>
        <w:t>工作期限届满前10</w:t>
      </w:r>
      <w:r>
        <w:rPr>
          <w:rFonts w:ascii="宋体" w:hAnsi="宋体" w:eastAsia="宋体" w:cs="宋体"/>
          <w:color w:val="auto"/>
          <w:sz w:val="24"/>
          <w:szCs w:val="24"/>
          <w:highlight w:val="none"/>
        </w:rPr>
        <w:t>日，以书面形式将原因及预计拖延的时间通知甲方。经甲方同意后，</w:t>
      </w:r>
      <w:r>
        <w:rPr>
          <w:rFonts w:hint="eastAsia" w:ascii="宋体" w:hAnsi="宋体" w:eastAsia="宋体" w:cs="宋体"/>
          <w:color w:val="auto"/>
          <w:sz w:val="24"/>
          <w:szCs w:val="24"/>
          <w:highlight w:val="none"/>
          <w:lang w:val="en-US" w:eastAsia="zh-CN"/>
        </w:rPr>
        <w:t>工作</w:t>
      </w:r>
      <w:r>
        <w:rPr>
          <w:rFonts w:ascii="宋体" w:hAnsi="宋体" w:eastAsia="宋体" w:cs="宋体"/>
          <w:color w:val="auto"/>
          <w:sz w:val="24"/>
          <w:szCs w:val="24"/>
          <w:highlight w:val="none"/>
        </w:rPr>
        <w:t>期</w:t>
      </w:r>
      <w:r>
        <w:rPr>
          <w:rFonts w:hint="eastAsia" w:ascii="宋体" w:hAnsi="宋体" w:eastAsia="宋体" w:cs="宋体"/>
          <w:color w:val="auto"/>
          <w:sz w:val="24"/>
          <w:szCs w:val="24"/>
          <w:highlight w:val="none"/>
          <w:lang w:val="en-US" w:eastAsia="zh-CN"/>
        </w:rPr>
        <w:t>限</w:t>
      </w:r>
      <w:r>
        <w:rPr>
          <w:rFonts w:ascii="宋体" w:hAnsi="宋体" w:eastAsia="宋体" w:cs="宋体"/>
          <w:color w:val="auto"/>
          <w:sz w:val="24"/>
          <w:szCs w:val="24"/>
          <w:highlight w:val="none"/>
        </w:rPr>
        <w:t>顺延。</w:t>
      </w:r>
    </w:p>
    <w:p>
      <w:pPr>
        <w:pStyle w:val="47"/>
        <w:numPr>
          <w:ilvl w:val="0"/>
          <w:numId w:val="0"/>
        </w:numPr>
        <w:spacing w:line="360" w:lineRule="auto"/>
        <w:ind w:firstLine="480" w:firstLineChars="200"/>
        <w:rPr>
          <w:rFonts w:hint="default" w:ascii="宋体" w:hAnsi="宋体" w:cs="宋体"/>
          <w:color w:val="auto"/>
          <w:sz w:val="24"/>
          <w:highlight w:val="none"/>
          <w:lang w:val="en-US" w:eastAsia="zh-CN"/>
        </w:rPr>
      </w:pPr>
      <w:r>
        <w:rPr>
          <w:rFonts w:hint="default" w:ascii="宋体" w:hAnsi="宋体" w:cs="宋体" w:eastAsiaTheme="minorEastAsia"/>
          <w:color w:val="auto"/>
          <w:kern w:val="2"/>
          <w:sz w:val="24"/>
          <w:szCs w:val="22"/>
          <w:highlight w:val="none"/>
          <w:lang w:val="en-US" w:eastAsia="zh-CN" w:bidi="ar-SA"/>
        </w:rPr>
        <w:t>4</w:t>
      </w:r>
      <w:r>
        <w:rPr>
          <w:rFonts w:hint="eastAsia" w:ascii="宋体" w:hAnsi="宋体" w:cs="宋体"/>
          <w:color w:val="auto"/>
          <w:kern w:val="2"/>
          <w:sz w:val="24"/>
          <w:szCs w:val="22"/>
          <w:highlight w:val="none"/>
          <w:lang w:val="en-US" w:eastAsia="zh-CN" w:bidi="ar-SA"/>
        </w:rPr>
        <w:t>.</w:t>
      </w:r>
      <w:r>
        <w:rPr>
          <w:rFonts w:ascii="宋体" w:hAnsi="宋体" w:eastAsia="宋体" w:cs="宋体"/>
          <w:color w:val="auto"/>
          <w:sz w:val="24"/>
          <w:szCs w:val="24"/>
          <w:highlight w:val="none"/>
        </w:rPr>
        <w:t>乙方未能在合同规定期限内</w:t>
      </w:r>
      <w:r>
        <w:rPr>
          <w:rFonts w:hint="eastAsia" w:ascii="宋体" w:hAnsi="宋体" w:eastAsia="宋体" w:cs="宋体"/>
          <w:color w:val="auto"/>
          <w:sz w:val="24"/>
          <w:szCs w:val="24"/>
          <w:highlight w:val="none"/>
          <w:lang w:val="en-US" w:eastAsia="zh-CN"/>
        </w:rPr>
        <w:t>完成成果交付</w:t>
      </w:r>
      <w:r>
        <w:rPr>
          <w:rFonts w:ascii="宋体" w:hAnsi="宋体" w:eastAsia="宋体" w:cs="宋体"/>
          <w:color w:val="auto"/>
          <w:sz w:val="24"/>
          <w:szCs w:val="24"/>
          <w:highlight w:val="none"/>
        </w:rPr>
        <w:t>，每逾期一天，甲方有权按</w:t>
      </w:r>
      <w:r>
        <w:rPr>
          <w:rFonts w:hint="eastAsia" w:ascii="宋体" w:hAnsi="宋体" w:eastAsia="宋体" w:cs="宋体"/>
          <w:color w:val="auto"/>
          <w:sz w:val="24"/>
          <w:szCs w:val="24"/>
          <w:highlight w:val="none"/>
          <w:lang w:val="en-US" w:eastAsia="zh-CN"/>
        </w:rPr>
        <w:t>合同总价</w:t>
      </w:r>
      <w:r>
        <w:rPr>
          <w:rFonts w:ascii="宋体" w:hAnsi="宋体" w:eastAsia="宋体" w:cs="宋体"/>
          <w:color w:val="auto"/>
          <w:sz w:val="24"/>
          <w:szCs w:val="24"/>
          <w:highlight w:val="none"/>
        </w:rPr>
        <w:t>的1%/天要求乙方支付违约金。逾期超过15天，甲方有权解除合同，要求乙方支付迟延违约金并在3天内退回预付款及利息（如有）</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如由于乙方逾期交</w:t>
      </w:r>
      <w:r>
        <w:rPr>
          <w:rFonts w:hint="eastAsia" w:ascii="宋体" w:hAnsi="宋体" w:eastAsia="宋体" w:cs="宋体"/>
          <w:color w:val="auto"/>
          <w:sz w:val="24"/>
          <w:szCs w:val="24"/>
          <w:highlight w:val="none"/>
          <w:lang w:val="en-US" w:eastAsia="zh-CN"/>
        </w:rPr>
        <w:t>付成果</w:t>
      </w:r>
      <w:r>
        <w:rPr>
          <w:rFonts w:ascii="宋体" w:hAnsi="宋体" w:eastAsia="宋体" w:cs="宋体"/>
          <w:color w:val="auto"/>
          <w:sz w:val="24"/>
          <w:szCs w:val="24"/>
          <w:highlight w:val="none"/>
        </w:rPr>
        <w:t>对甲方生产造成影响，甲方有权要求乙方赔偿损失。</w:t>
      </w:r>
    </w:p>
    <w:p>
      <w:pPr>
        <w:pStyle w:val="47"/>
        <w:spacing w:line="360" w:lineRule="auto"/>
        <w:ind w:firstLine="480" w:firstLineChars="200"/>
        <w:rPr>
          <w:rFonts w:hint="eastAsia"/>
          <w:color w:val="auto"/>
          <w:sz w:val="24"/>
          <w:highlight w:val="none"/>
        </w:rPr>
      </w:pPr>
      <w:r>
        <w:rPr>
          <w:rFonts w:hint="eastAsia"/>
          <w:color w:val="auto"/>
          <w:sz w:val="24"/>
          <w:highlight w:val="none"/>
          <w:lang w:val="en-US" w:eastAsia="zh-CN"/>
        </w:rPr>
        <w:t>七</w:t>
      </w:r>
      <w:r>
        <w:rPr>
          <w:rFonts w:hint="eastAsia"/>
          <w:color w:val="auto"/>
          <w:sz w:val="24"/>
          <w:highlight w:val="none"/>
        </w:rPr>
        <w:t>、其他</w:t>
      </w:r>
    </w:p>
    <w:p>
      <w:pPr>
        <w:pStyle w:val="47"/>
        <w:spacing w:line="360" w:lineRule="auto"/>
        <w:ind w:firstLine="480" w:firstLineChars="200"/>
        <w:rPr>
          <w:rFonts w:hint="eastAsia"/>
          <w:color w:val="auto"/>
          <w:sz w:val="24"/>
          <w:highlight w:val="none"/>
        </w:rPr>
      </w:pPr>
      <w:r>
        <w:rPr>
          <w:rFonts w:hint="eastAsia"/>
          <w:color w:val="auto"/>
          <w:sz w:val="24"/>
          <w:highlight w:val="none"/>
        </w:rPr>
        <w:t>1. 在咨询服务过程中，双方应相互协调，密切配合。</w:t>
      </w:r>
    </w:p>
    <w:p>
      <w:pPr>
        <w:pStyle w:val="47"/>
        <w:spacing w:line="360" w:lineRule="auto"/>
        <w:ind w:firstLine="480" w:firstLineChars="200"/>
        <w:rPr>
          <w:rFonts w:hint="eastAsia"/>
          <w:color w:val="auto"/>
          <w:sz w:val="24"/>
          <w:highlight w:val="none"/>
        </w:rPr>
      </w:pPr>
      <w:r>
        <w:rPr>
          <w:rFonts w:hint="eastAsia"/>
          <w:color w:val="auto"/>
          <w:sz w:val="24"/>
          <w:highlight w:val="none"/>
        </w:rPr>
        <w:t>2. 因国家法律法规变化，引起服务费用和服务持续期的改变，双方应签订补充合同，调整商定的咨询服务费和完成时间。</w:t>
      </w:r>
    </w:p>
    <w:p>
      <w:pPr>
        <w:pStyle w:val="47"/>
        <w:spacing w:line="360" w:lineRule="auto"/>
        <w:ind w:firstLine="480" w:firstLineChars="200"/>
        <w:rPr>
          <w:rFonts w:hint="default" w:eastAsiaTheme="minorEastAsia"/>
          <w:color w:val="auto"/>
          <w:sz w:val="24"/>
          <w:highlight w:val="none"/>
          <w:lang w:val="en-US" w:eastAsia="zh-CN"/>
        </w:rPr>
      </w:pPr>
      <w:r>
        <w:rPr>
          <w:rFonts w:hint="eastAsia"/>
          <w:color w:val="auto"/>
          <w:sz w:val="24"/>
          <w:highlight w:val="none"/>
        </w:rPr>
        <w:t>3. 在咨询服务期间，甲方对原委托内容进行变更时应以书面形式通知乙方，由此造成乙方服务费用、服务期限的增加，甲方应予相应补偿，补偿数额和完成时间协商确定并签订补充合同。</w:t>
      </w:r>
    </w:p>
    <w:p>
      <w:pPr>
        <w:pStyle w:val="47"/>
        <w:spacing w:line="360" w:lineRule="auto"/>
        <w:ind w:firstLine="480" w:firstLineChars="200"/>
        <w:rPr>
          <w:rFonts w:hint="eastAsia"/>
          <w:color w:val="auto"/>
          <w:sz w:val="24"/>
          <w:highlight w:val="none"/>
        </w:rPr>
      </w:pPr>
      <w:r>
        <w:rPr>
          <w:rFonts w:hint="eastAsia"/>
          <w:color w:val="auto"/>
          <w:sz w:val="24"/>
          <w:highlight w:val="none"/>
        </w:rPr>
        <w:t>4. 乙方为本服务项目编制的咨询成果文件双方共同拥有版权。甲方有权为本合同中所指项目的建设使用或复制咨询成果文件。双方互相提供的文件资料应严格保密，未经对方允许，另一方不得向第三方转让、提供版权和所有权。</w:t>
      </w:r>
    </w:p>
    <w:p>
      <w:pPr>
        <w:pStyle w:val="47"/>
        <w:spacing w:line="360" w:lineRule="auto"/>
        <w:ind w:firstLine="480" w:firstLineChars="200"/>
        <w:rPr>
          <w:rFonts w:hint="default" w:eastAsiaTheme="minorEastAsia"/>
          <w:color w:val="auto"/>
          <w:sz w:val="24"/>
          <w:highlight w:val="none"/>
          <w:lang w:val="en-US" w:eastAsia="zh-CN"/>
        </w:rPr>
      </w:pPr>
      <w:r>
        <w:rPr>
          <w:rFonts w:hint="eastAsia"/>
          <w:color w:val="auto"/>
          <w:sz w:val="24"/>
          <w:highlight w:val="none"/>
          <w:lang w:val="en-US" w:eastAsia="zh-CN"/>
        </w:rPr>
        <w:t>5.因本合同引起的或与本合同有关的任何争议，甲乙双方应友好协商解决，如协商不成，任何一方可依法向甲方所在地人民法院提起诉讼。</w:t>
      </w:r>
    </w:p>
    <w:p>
      <w:pPr>
        <w:tabs>
          <w:tab w:val="left" w:pos="3640"/>
          <w:tab w:val="left" w:pos="6040"/>
          <w:tab w:val="left" w:pos="7960"/>
        </w:tabs>
        <w:autoSpaceDE w:val="0"/>
        <w:autoSpaceDN w:val="0"/>
        <w:adjustRightInd w:val="0"/>
        <w:spacing w:line="360" w:lineRule="auto"/>
        <w:ind w:firstLine="480" w:firstLineChars="200"/>
        <w:rPr>
          <w:rFonts w:hint="eastAsia" w:ascii="宋体" w:cs="宋体"/>
          <w:b/>
          <w:color w:val="auto"/>
          <w:kern w:val="0"/>
          <w:sz w:val="24"/>
          <w:highlight w:val="none"/>
        </w:rPr>
      </w:pPr>
      <w:r>
        <w:rPr>
          <w:rFonts w:hint="eastAsia"/>
          <w:color w:val="auto"/>
          <w:sz w:val="24"/>
          <w:highlight w:val="none"/>
          <w:lang w:val="en-US" w:eastAsia="zh-CN"/>
        </w:rPr>
        <w:t>6</w:t>
      </w:r>
      <w:r>
        <w:rPr>
          <w:rFonts w:hint="eastAsia"/>
          <w:color w:val="auto"/>
          <w:sz w:val="24"/>
          <w:highlight w:val="none"/>
        </w:rPr>
        <w:t>.</w:t>
      </w:r>
      <w:r>
        <w:rPr>
          <w:rFonts w:hint="eastAsia" w:ascii="宋体" w:cs="宋体"/>
          <w:color w:val="auto"/>
          <w:kern w:val="0"/>
          <w:sz w:val="24"/>
          <w:highlight w:val="none"/>
        </w:rPr>
        <w:t>合同的份数：</w:t>
      </w:r>
      <w:r>
        <w:rPr>
          <w:rFonts w:hint="eastAsia" w:ascii="宋体" w:cs="宋体"/>
          <w:b/>
          <w:color w:val="auto"/>
          <w:kern w:val="0"/>
          <w:sz w:val="24"/>
          <w:highlight w:val="none"/>
        </w:rPr>
        <w:t>正本</w:t>
      </w:r>
      <w:r>
        <w:rPr>
          <w:rFonts w:hint="eastAsia" w:ascii="宋体" w:cs="宋体"/>
          <w:b/>
          <w:color w:val="auto"/>
          <w:kern w:val="0"/>
          <w:sz w:val="24"/>
          <w:highlight w:val="none"/>
          <w:u w:val="single"/>
        </w:rPr>
        <w:t xml:space="preserve"> </w:t>
      </w:r>
      <w:r>
        <w:rPr>
          <w:rFonts w:hint="eastAsia" w:ascii="宋体" w:cs="宋体"/>
          <w:color w:val="auto"/>
          <w:kern w:val="0"/>
          <w:sz w:val="24"/>
          <w:highlight w:val="none"/>
          <w:u w:val="single"/>
        </w:rPr>
        <w:t>贰</w:t>
      </w:r>
      <w:r>
        <w:rPr>
          <w:rFonts w:hint="eastAsia" w:ascii="宋体" w:cs="宋体"/>
          <w:b/>
          <w:color w:val="auto"/>
          <w:kern w:val="0"/>
          <w:sz w:val="24"/>
          <w:highlight w:val="none"/>
          <w:u w:val="single"/>
        </w:rPr>
        <w:t xml:space="preserve"> </w:t>
      </w:r>
      <w:r>
        <w:rPr>
          <w:rFonts w:hint="eastAsia" w:ascii="宋体" w:cs="宋体"/>
          <w:b/>
          <w:color w:val="auto"/>
          <w:kern w:val="0"/>
          <w:sz w:val="24"/>
          <w:highlight w:val="none"/>
        </w:rPr>
        <w:t>份，副本</w:t>
      </w:r>
      <w:r>
        <w:rPr>
          <w:rFonts w:hint="eastAsia" w:ascii="宋体" w:cs="宋体"/>
          <w:b/>
          <w:color w:val="auto"/>
          <w:kern w:val="0"/>
          <w:sz w:val="24"/>
          <w:highlight w:val="none"/>
          <w:u w:val="single"/>
        </w:rPr>
        <w:t xml:space="preserve"> 陆 </w:t>
      </w:r>
      <w:r>
        <w:rPr>
          <w:rFonts w:hint="eastAsia" w:ascii="宋体" w:cs="宋体"/>
          <w:b/>
          <w:color w:val="auto"/>
          <w:kern w:val="0"/>
          <w:sz w:val="24"/>
          <w:highlight w:val="none"/>
        </w:rPr>
        <w:t>份，</w:t>
      </w:r>
      <w:r>
        <w:rPr>
          <w:rFonts w:hint="eastAsia" w:ascii="楷体_GB2312"/>
          <w:color w:val="auto"/>
          <w:sz w:val="24"/>
          <w:highlight w:val="none"/>
        </w:rPr>
        <w:t>具有同等法律效力</w:t>
      </w:r>
      <w:r>
        <w:rPr>
          <w:rFonts w:hint="eastAsia" w:ascii="宋体" w:cs="宋体"/>
          <w:b/>
          <w:color w:val="auto"/>
          <w:kern w:val="0"/>
          <w:sz w:val="24"/>
          <w:highlight w:val="none"/>
        </w:rPr>
        <w:t>。</w:t>
      </w:r>
    </w:p>
    <w:p>
      <w:pPr>
        <w:tabs>
          <w:tab w:val="left" w:pos="3640"/>
          <w:tab w:val="left" w:pos="6040"/>
          <w:tab w:val="left" w:pos="7960"/>
        </w:tabs>
        <w:autoSpaceDE w:val="0"/>
        <w:autoSpaceDN w:val="0"/>
        <w:adjustRightInd w:val="0"/>
        <w:spacing w:line="360" w:lineRule="auto"/>
        <w:ind w:firstLine="693" w:firstLineChars="289"/>
        <w:rPr>
          <w:rFonts w:hint="eastAsia" w:ascii="宋体" w:cs="宋体"/>
          <w:color w:val="auto"/>
          <w:kern w:val="0"/>
          <w:sz w:val="24"/>
          <w:highlight w:val="none"/>
        </w:rPr>
      </w:pPr>
      <w:r>
        <w:rPr>
          <w:rFonts w:hint="eastAsia" w:ascii="宋体" w:cs="宋体"/>
          <w:color w:val="auto"/>
          <w:kern w:val="0"/>
          <w:sz w:val="24"/>
          <w:highlight w:val="none"/>
        </w:rPr>
        <w:t>其中：甲方正本</w:t>
      </w:r>
      <w:r>
        <w:rPr>
          <w:rFonts w:hint="eastAsia" w:ascii="宋体" w:cs="宋体"/>
          <w:color w:val="auto"/>
          <w:kern w:val="0"/>
          <w:sz w:val="24"/>
          <w:highlight w:val="none"/>
          <w:u w:val="single"/>
        </w:rPr>
        <w:t xml:space="preserve">  壹 </w:t>
      </w:r>
      <w:r>
        <w:rPr>
          <w:rFonts w:hint="eastAsia" w:ascii="宋体" w:cs="宋体"/>
          <w:color w:val="auto"/>
          <w:kern w:val="0"/>
          <w:sz w:val="24"/>
          <w:highlight w:val="none"/>
        </w:rPr>
        <w:t>份，副本</w:t>
      </w:r>
      <w:r>
        <w:rPr>
          <w:rFonts w:hint="eastAsia" w:ascii="宋体" w:cs="宋体"/>
          <w:color w:val="auto"/>
          <w:kern w:val="0"/>
          <w:sz w:val="24"/>
          <w:highlight w:val="none"/>
          <w:u w:val="single"/>
        </w:rPr>
        <w:t xml:space="preserve"> 叁 </w:t>
      </w:r>
      <w:r>
        <w:rPr>
          <w:rFonts w:hint="eastAsia" w:ascii="宋体" w:cs="宋体"/>
          <w:color w:val="auto"/>
          <w:kern w:val="0"/>
          <w:sz w:val="24"/>
          <w:highlight w:val="none"/>
        </w:rPr>
        <w:t>份；</w:t>
      </w:r>
    </w:p>
    <w:p>
      <w:pPr>
        <w:pStyle w:val="2"/>
        <w:spacing w:line="360" w:lineRule="auto"/>
        <w:ind w:firstLine="200" w:firstLineChars="0"/>
        <w:rPr>
          <w:rFonts w:hint="eastAsia" w:ascii="宋体" w:cs="宋体"/>
          <w:color w:val="auto"/>
          <w:kern w:val="0"/>
          <w:sz w:val="24"/>
          <w:highlight w:val="none"/>
        </w:rPr>
      </w:pPr>
      <w:r>
        <w:rPr>
          <w:rFonts w:hint="eastAsia" w:ascii="宋体" w:cs="宋体"/>
          <w:color w:val="auto"/>
          <w:kern w:val="0"/>
          <w:sz w:val="24"/>
          <w:highlight w:val="none"/>
        </w:rPr>
        <w:t>　　　　　乙方正本</w:t>
      </w:r>
      <w:r>
        <w:rPr>
          <w:rFonts w:hint="eastAsia" w:ascii="宋体" w:cs="宋体"/>
          <w:color w:val="auto"/>
          <w:kern w:val="0"/>
          <w:sz w:val="24"/>
          <w:highlight w:val="none"/>
          <w:u w:val="single"/>
        </w:rPr>
        <w:t xml:space="preserve">  壹 </w:t>
      </w:r>
      <w:r>
        <w:rPr>
          <w:rFonts w:hint="eastAsia" w:ascii="宋体" w:cs="宋体"/>
          <w:color w:val="auto"/>
          <w:kern w:val="0"/>
          <w:sz w:val="24"/>
          <w:highlight w:val="none"/>
        </w:rPr>
        <w:t>份，副本</w:t>
      </w:r>
      <w:r>
        <w:rPr>
          <w:rFonts w:hint="eastAsia" w:ascii="宋体" w:cs="宋体"/>
          <w:color w:val="auto"/>
          <w:kern w:val="0"/>
          <w:sz w:val="24"/>
          <w:highlight w:val="none"/>
          <w:u w:val="single"/>
        </w:rPr>
        <w:t xml:space="preserve"> 叁 </w:t>
      </w:r>
      <w:r>
        <w:rPr>
          <w:rFonts w:hint="eastAsia" w:ascii="宋体" w:cs="宋体"/>
          <w:color w:val="auto"/>
          <w:kern w:val="0"/>
          <w:sz w:val="24"/>
          <w:highlight w:val="none"/>
        </w:rPr>
        <w:t>份；</w:t>
      </w:r>
    </w:p>
    <w:p>
      <w:pPr>
        <w:pStyle w:val="47"/>
        <w:spacing w:line="360" w:lineRule="auto"/>
        <w:ind w:firstLine="480" w:firstLineChars="200"/>
        <w:rPr>
          <w:rFonts w:hint="eastAsia"/>
          <w:color w:val="auto"/>
          <w:sz w:val="24"/>
          <w:highlight w:val="none"/>
        </w:rPr>
      </w:pPr>
      <w:r>
        <w:rPr>
          <w:rFonts w:hint="eastAsia"/>
          <w:color w:val="auto"/>
          <w:sz w:val="24"/>
          <w:highlight w:val="none"/>
          <w:lang w:val="en-US" w:eastAsia="zh-CN"/>
        </w:rPr>
        <w:t>7</w:t>
      </w:r>
      <w:r>
        <w:rPr>
          <w:rFonts w:hint="eastAsia"/>
          <w:color w:val="auto"/>
          <w:sz w:val="24"/>
          <w:highlight w:val="none"/>
        </w:rPr>
        <w:t>.本合同经双方授权代表签名并加盖单位公章后生效。</w:t>
      </w:r>
    </w:p>
    <w:p>
      <w:pPr>
        <w:pStyle w:val="47"/>
        <w:spacing w:line="360" w:lineRule="auto"/>
        <w:rPr>
          <w:rFonts w:hint="eastAsia" w:ascii="楷体_GB2312"/>
          <w:color w:val="auto"/>
          <w:sz w:val="24"/>
          <w:highlight w:val="none"/>
        </w:rPr>
      </w:pPr>
      <w:r>
        <w:rPr>
          <w:rFonts w:hint="eastAsia" w:ascii="楷体_GB2312"/>
          <w:color w:val="auto"/>
          <w:sz w:val="24"/>
          <w:highlight w:val="none"/>
        </w:rPr>
        <w:t xml:space="preserve">   </w:t>
      </w:r>
      <w:r>
        <w:rPr>
          <w:rFonts w:hint="eastAsia" w:ascii="楷体_GB2312"/>
          <w:color w:val="auto"/>
          <w:sz w:val="24"/>
          <w:highlight w:val="none"/>
          <w:lang w:val="en-US" w:eastAsia="zh-CN"/>
        </w:rPr>
        <w:t xml:space="preserve"> 8.</w:t>
      </w:r>
      <w:r>
        <w:rPr>
          <w:rFonts w:hint="eastAsia" w:ascii="楷体_GB2312"/>
          <w:color w:val="auto"/>
          <w:sz w:val="24"/>
          <w:highlight w:val="none"/>
        </w:rPr>
        <w:t>本合同附件是合同不可分割的一部分，具有相同的法律效力，具体附件如下：</w:t>
      </w:r>
    </w:p>
    <w:p>
      <w:pPr>
        <w:pStyle w:val="47"/>
        <w:spacing w:line="360" w:lineRule="auto"/>
        <w:rPr>
          <w:rFonts w:hint="eastAsia" w:ascii="楷体_GB2312" w:eastAsiaTheme="minorEastAsia"/>
          <w:color w:val="auto"/>
          <w:sz w:val="24"/>
          <w:highlight w:val="none"/>
          <w:lang w:val="en-US" w:eastAsia="zh-CN"/>
        </w:rPr>
      </w:pPr>
    </w:p>
    <w:p>
      <w:pPr>
        <w:ind w:left="900" w:hanging="480"/>
        <w:rPr>
          <w:rFonts w:hint="eastAsia" w:ascii="楷体_GB2312"/>
          <w:color w:val="auto"/>
          <w:sz w:val="24"/>
          <w:highlight w:val="none"/>
        </w:rPr>
      </w:pPr>
      <w:r>
        <w:rPr>
          <w:rFonts w:hint="eastAsia" w:ascii="楷体_GB2312"/>
          <w:color w:val="auto"/>
          <w:sz w:val="24"/>
          <w:highlight w:val="none"/>
        </w:rPr>
        <w:t>附件1：廉洁协议</w:t>
      </w:r>
    </w:p>
    <w:p>
      <w:pPr>
        <w:pStyle w:val="20"/>
        <w:ind w:left="900" w:hanging="480"/>
        <w:rPr>
          <w:rFonts w:hint="eastAsia"/>
          <w:color w:val="auto"/>
          <w:sz w:val="24"/>
          <w:highlight w:val="none"/>
        </w:rPr>
      </w:pPr>
    </w:p>
    <w:p>
      <w:pPr>
        <w:pStyle w:val="20"/>
        <w:ind w:left="900" w:hanging="480"/>
        <w:rPr>
          <w:rFonts w:ascii="楷体_GB2312"/>
          <w:color w:val="auto"/>
          <w:sz w:val="24"/>
          <w:highlight w:val="none"/>
        </w:rPr>
      </w:pPr>
      <w:r>
        <w:rPr>
          <w:rFonts w:hint="eastAsia" w:ascii="楷体_GB2312"/>
          <w:color w:val="auto"/>
          <w:sz w:val="24"/>
          <w:highlight w:val="none"/>
        </w:rPr>
        <w:t>以下无正文</w:t>
      </w:r>
    </w:p>
    <w:p>
      <w:pPr>
        <w:rPr>
          <w:rFonts w:hint="eastAsia" w:ascii="楷体_GB2312"/>
          <w:color w:val="auto"/>
          <w:sz w:val="24"/>
          <w:highlight w:val="none"/>
        </w:rPr>
      </w:pPr>
    </w:p>
    <w:p>
      <w:pPr>
        <w:rPr>
          <w:rFonts w:hint="eastAsia" w:ascii="楷体_GB2312"/>
          <w:color w:val="auto"/>
          <w:sz w:val="24"/>
          <w:highlight w:val="none"/>
        </w:rPr>
      </w:pPr>
    </w:p>
    <w:p>
      <w:pPr>
        <w:pStyle w:val="20"/>
        <w:ind w:left="0" w:leftChars="0" w:firstLine="0" w:firstLineChars="0"/>
        <w:rPr>
          <w:rFonts w:hint="eastAsia"/>
          <w:color w:val="auto"/>
          <w:highlight w:val="none"/>
        </w:rPr>
      </w:pP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甲方：广州市净水有限公司（盖章）</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通讯地址：  广州市天河区临江大道501号</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法定代表人：                           </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签约代表：                           </w:t>
      </w:r>
    </w:p>
    <w:p>
      <w:pPr>
        <w:spacing w:line="360" w:lineRule="auto"/>
        <w:ind w:firstLine="480" w:firstLineChars="200"/>
        <w:rPr>
          <w:rFonts w:hint="default" w:eastAsia="宋体"/>
          <w:color w:val="auto"/>
          <w:highlight w:val="none"/>
          <w:lang w:val="en-US" w:eastAsia="zh-CN"/>
        </w:rPr>
      </w:pPr>
      <w:r>
        <w:rPr>
          <w:rFonts w:hint="eastAsia" w:ascii="宋体" w:hAnsi="宋体"/>
          <w:color w:val="auto"/>
          <w:sz w:val="24"/>
          <w:highlight w:val="none"/>
        </w:rPr>
        <w:t>电话：</w:t>
      </w:r>
      <w:r>
        <w:rPr>
          <w:rFonts w:hint="eastAsia" w:ascii="宋体" w:hAnsi="宋体"/>
          <w:color w:val="auto"/>
          <w:sz w:val="24"/>
          <w:highlight w:val="none"/>
          <w:lang w:val="en-US" w:eastAsia="zh-CN"/>
        </w:rPr>
        <w:t>81347500</w:t>
      </w:r>
    </w:p>
    <w:p>
      <w:pPr>
        <w:pStyle w:val="2"/>
        <w:spacing w:line="360" w:lineRule="auto"/>
        <w:ind w:firstLine="0" w:firstLineChars="0"/>
        <w:rPr>
          <w:rFonts w:hint="eastAsia"/>
          <w:color w:val="auto"/>
          <w:highlight w:val="none"/>
        </w:rPr>
      </w:pPr>
    </w:p>
    <w:p>
      <w:pPr>
        <w:pStyle w:val="2"/>
        <w:spacing w:line="360" w:lineRule="auto"/>
        <w:ind w:firstLine="0" w:firstLineChars="0"/>
        <w:rPr>
          <w:rFonts w:hint="eastAsia" w:ascii="楷体_GB2312"/>
          <w:color w:val="auto"/>
          <w:sz w:val="24"/>
          <w:highlight w:val="none"/>
        </w:rPr>
      </w:pPr>
      <w:r>
        <w:rPr>
          <w:rFonts w:hint="eastAsia" w:ascii="楷体_GB2312"/>
          <w:color w:val="auto"/>
          <w:sz w:val="24"/>
          <w:highlight w:val="none"/>
        </w:rPr>
        <w:t xml:space="preserve">   签订日期：      年     月     日  </w:t>
      </w:r>
    </w:p>
    <w:p>
      <w:pPr>
        <w:pStyle w:val="2"/>
        <w:spacing w:line="360" w:lineRule="auto"/>
        <w:ind w:firstLine="0" w:firstLineChars="0"/>
        <w:rPr>
          <w:rFonts w:hint="eastAsia"/>
          <w:color w:val="auto"/>
          <w:highlight w:val="none"/>
        </w:rPr>
      </w:pPr>
    </w:p>
    <w:p>
      <w:pPr>
        <w:spacing w:line="360" w:lineRule="auto"/>
        <w:ind w:left="7767" w:leftChars="171" w:hanging="7408" w:hangingChars="3087"/>
        <w:rPr>
          <w:rFonts w:hint="eastAsia"/>
          <w:color w:val="auto"/>
          <w:highlight w:val="none"/>
        </w:rPr>
      </w:pPr>
      <w:r>
        <w:rPr>
          <w:rFonts w:hint="eastAsia" w:ascii="宋体" w:hAnsi="宋体"/>
          <w:color w:val="auto"/>
          <w:sz w:val="24"/>
          <w:highlight w:val="none"/>
        </w:rPr>
        <w:t>乙方：</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（盖章） </w:t>
      </w:r>
    </w:p>
    <w:p>
      <w:pPr>
        <w:spacing w:line="360" w:lineRule="auto"/>
        <w:ind w:left="6599" w:leftChars="171" w:hanging="6240" w:hangingChars="2600"/>
        <w:rPr>
          <w:rFonts w:hint="eastAsia" w:ascii="宋体" w:hAnsi="宋体" w:eastAsiaTheme="minorEastAsia"/>
          <w:color w:val="auto"/>
          <w:sz w:val="24"/>
          <w:highlight w:val="none"/>
          <w:lang w:val="en-US" w:eastAsia="zh-CN"/>
        </w:rPr>
      </w:pPr>
      <w:r>
        <w:rPr>
          <w:rFonts w:hint="eastAsia" w:ascii="宋体" w:hAnsi="宋体"/>
          <w:color w:val="auto"/>
          <w:sz w:val="24"/>
          <w:highlight w:val="none"/>
        </w:rPr>
        <w:t>通讯地址：</w:t>
      </w:r>
      <w:r>
        <w:rPr>
          <w:rFonts w:hint="eastAsia" w:ascii="宋体" w:hAnsi="宋体"/>
          <w:color w:val="auto"/>
          <w:sz w:val="24"/>
          <w:highlight w:val="none"/>
          <w:lang w:val="en-US" w:eastAsia="zh-CN"/>
        </w:rPr>
        <w:t xml:space="preserve"> </w:t>
      </w:r>
    </w:p>
    <w:p>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 xml:space="preserve">法定代表人：　　　　　　　　　　　　   </w:t>
      </w:r>
    </w:p>
    <w:p>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 xml:space="preserve">签约代表： </w:t>
      </w:r>
    </w:p>
    <w:p>
      <w:pPr>
        <w:tabs>
          <w:tab w:val="left" w:pos="525"/>
          <w:tab w:val="left" w:pos="1155"/>
        </w:tabs>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开户银行：</w:t>
      </w:r>
    </w:p>
    <w:p>
      <w:pPr>
        <w:tabs>
          <w:tab w:val="left" w:pos="525"/>
          <w:tab w:val="left" w:pos="1155"/>
        </w:tabs>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开户名称：</w:t>
      </w:r>
    </w:p>
    <w:p>
      <w:pPr>
        <w:tabs>
          <w:tab w:val="left" w:pos="525"/>
          <w:tab w:val="left" w:pos="1155"/>
        </w:tabs>
        <w:spacing w:line="360" w:lineRule="auto"/>
        <w:ind w:firstLine="360" w:firstLineChars="150"/>
        <w:rPr>
          <w:rFonts w:hint="default" w:ascii="宋体" w:hAnsi="宋体" w:eastAsiaTheme="minorEastAsia"/>
          <w:color w:val="auto"/>
          <w:sz w:val="24"/>
          <w:highlight w:val="none"/>
          <w:lang w:val="en-US" w:eastAsia="zh-CN"/>
        </w:rPr>
      </w:pPr>
      <w:r>
        <w:rPr>
          <w:rFonts w:hint="eastAsia" w:ascii="宋体" w:hAnsi="宋体"/>
          <w:color w:val="auto"/>
          <w:sz w:val="24"/>
          <w:highlight w:val="none"/>
        </w:rPr>
        <w:t>账号：</w:t>
      </w:r>
      <w:r>
        <w:rPr>
          <w:rFonts w:hint="eastAsia"/>
          <w:color w:val="auto"/>
          <w:sz w:val="24"/>
          <w:highlight w:val="none"/>
        </w:rPr>
        <w:t xml:space="preserve"> </w:t>
      </w:r>
      <w:r>
        <w:rPr>
          <w:rFonts w:hint="eastAsia"/>
          <w:color w:val="auto"/>
          <w:sz w:val="24"/>
          <w:highlight w:val="none"/>
          <w:lang w:val="en-US" w:eastAsia="zh-CN"/>
        </w:rPr>
        <w:t xml:space="preserve">     </w:t>
      </w:r>
    </w:p>
    <w:p>
      <w:pPr>
        <w:pStyle w:val="20"/>
        <w:ind w:left="900" w:hanging="480"/>
        <w:rPr>
          <w:rFonts w:ascii="宋体" w:hAnsi="宋体"/>
          <w:color w:val="auto"/>
          <w:sz w:val="24"/>
          <w:highlight w:val="none"/>
          <w:u w:val="single"/>
        </w:rPr>
      </w:pPr>
    </w:p>
    <w:p>
      <w:pPr>
        <w:rPr>
          <w:rFonts w:ascii="宋体" w:hAnsi="宋体"/>
          <w:color w:val="auto"/>
          <w:sz w:val="24"/>
          <w:highlight w:val="none"/>
          <w:u w:val="single"/>
        </w:rPr>
      </w:pPr>
    </w:p>
    <w:p>
      <w:pPr>
        <w:pStyle w:val="20"/>
        <w:ind w:left="840" w:hanging="420"/>
        <w:rPr>
          <w:rFonts w:hint="eastAsia"/>
          <w:color w:val="auto"/>
          <w:highlight w:val="none"/>
        </w:rPr>
      </w:pPr>
    </w:p>
    <w:p>
      <w:pPr>
        <w:snapToGrid w:val="0"/>
        <w:spacing w:line="480" w:lineRule="auto"/>
        <w:ind w:firstLine="240" w:firstLineChars="100"/>
        <w:jc w:val="left"/>
        <w:rPr>
          <w:rFonts w:hint="eastAsia" w:ascii="宋体" w:cs="宋体"/>
          <w:color w:val="auto"/>
          <w:kern w:val="0"/>
          <w:sz w:val="24"/>
          <w:highlight w:val="none"/>
        </w:rPr>
      </w:pPr>
      <w:r>
        <w:rPr>
          <w:rFonts w:hint="eastAsia" w:ascii="楷体_GB2312"/>
          <w:vanish/>
          <w:color w:val="auto"/>
          <w:sz w:val="24"/>
          <w:highlight w:val="none"/>
        </w:rPr>
        <w:cr/>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vanish/>
          <w:color w:val="auto"/>
          <w:sz w:val="24"/>
          <w:highlight w:val="none"/>
        </w:rPr>
        <w:fldChar w:fldCharType="begin"/>
      </w:r>
      <w:r>
        <w:rPr>
          <w:rFonts w:hint="eastAsia" w:ascii="楷体_GB2312"/>
          <w:vanish/>
          <w:color w:val="auto"/>
          <w:sz w:val="24"/>
          <w:highlight w:val="none"/>
        </w:rPr>
        <w:instrText xml:space="preserve">PAGE</w:instrText>
      </w:r>
      <w:r>
        <w:rPr>
          <w:rFonts w:hint="eastAsia" w:ascii="楷体_GB2312"/>
          <w:vanish/>
          <w:color w:val="auto"/>
          <w:sz w:val="24"/>
          <w:highlight w:val="none"/>
        </w:rPr>
        <w:fldChar w:fldCharType="separate"/>
      </w:r>
      <w:r>
        <w:rPr>
          <w:rFonts w:hint="eastAsia" w:ascii="楷体_GB2312"/>
          <w:vanish/>
          <w:color w:val="auto"/>
          <w:sz w:val="24"/>
          <w:highlight w:val="none"/>
        </w:rPr>
        <w:t>XXX</w:t>
      </w:r>
      <w:r>
        <w:rPr>
          <w:rFonts w:hint="eastAsia" w:ascii="楷体_GB2312"/>
          <w:vanish/>
          <w:color w:val="auto"/>
          <w:sz w:val="24"/>
          <w:highlight w:val="none"/>
        </w:rPr>
        <w:fldChar w:fldCharType="end"/>
      </w:r>
      <w:r>
        <w:rPr>
          <w:rFonts w:hint="eastAsia" w:ascii="楷体_GB2312"/>
          <w:color w:val="auto"/>
          <w:sz w:val="24"/>
          <w:highlight w:val="none"/>
        </w:rPr>
        <w:t xml:space="preserve">签订日期：      年     月     日 </w:t>
      </w:r>
    </w:p>
    <w:p>
      <w:pPr>
        <w:spacing w:line="360" w:lineRule="auto"/>
        <w:rPr>
          <w:rFonts w:hint="eastAsia" w:ascii="宋体" w:hAnsi="宋体"/>
          <w:b/>
          <w:color w:val="auto"/>
          <w:sz w:val="32"/>
          <w:szCs w:val="32"/>
          <w:highlight w:val="none"/>
        </w:rPr>
      </w:pPr>
    </w:p>
    <w:p>
      <w:pPr>
        <w:spacing w:line="360" w:lineRule="auto"/>
        <w:rPr>
          <w:rFonts w:hint="eastAsia" w:ascii="宋体" w:hAnsi="宋体"/>
          <w:b/>
          <w:color w:val="auto"/>
          <w:sz w:val="32"/>
          <w:szCs w:val="32"/>
          <w:highlight w:val="none"/>
        </w:rPr>
      </w:pPr>
    </w:p>
    <w:p>
      <w:pPr>
        <w:spacing w:line="360" w:lineRule="auto"/>
        <w:rPr>
          <w:rFonts w:hint="eastAsia" w:ascii="宋体" w:hAnsi="宋体"/>
          <w:b/>
          <w:color w:val="auto"/>
          <w:sz w:val="32"/>
          <w:szCs w:val="32"/>
          <w:highlight w:val="none"/>
        </w:rPr>
      </w:pPr>
    </w:p>
    <w:p>
      <w:pPr>
        <w:spacing w:line="360" w:lineRule="auto"/>
        <w:rPr>
          <w:rFonts w:hint="eastAsia" w:ascii="宋体" w:hAnsi="宋体"/>
          <w:b/>
          <w:color w:val="auto"/>
          <w:sz w:val="32"/>
          <w:szCs w:val="32"/>
          <w:highlight w:val="none"/>
        </w:rPr>
      </w:pPr>
    </w:p>
    <w:p>
      <w:pPr>
        <w:spacing w:line="360" w:lineRule="auto"/>
        <w:rPr>
          <w:rFonts w:hint="eastAsia" w:ascii="宋体" w:hAnsi="宋体"/>
          <w:b/>
          <w:color w:val="auto"/>
          <w:sz w:val="32"/>
          <w:szCs w:val="32"/>
          <w:highlight w:val="none"/>
        </w:rPr>
      </w:pPr>
    </w:p>
    <w:p>
      <w:pPr>
        <w:spacing w:line="360" w:lineRule="auto"/>
        <w:rPr>
          <w:rFonts w:hint="eastAsia" w:ascii="宋体" w:hAnsi="宋体"/>
          <w:b/>
          <w:color w:val="auto"/>
          <w:sz w:val="32"/>
          <w:szCs w:val="32"/>
          <w:highlight w:val="none"/>
        </w:rPr>
      </w:pPr>
    </w:p>
    <w:p>
      <w:pPr>
        <w:spacing w:line="360" w:lineRule="auto"/>
        <w:rPr>
          <w:rFonts w:hint="eastAsia" w:ascii="宋体" w:hAnsi="宋体"/>
          <w:b/>
          <w:color w:val="auto"/>
          <w:sz w:val="32"/>
          <w:szCs w:val="32"/>
          <w:highlight w:val="none"/>
        </w:rPr>
      </w:pPr>
    </w:p>
    <w:p>
      <w:pPr>
        <w:spacing w:line="360" w:lineRule="auto"/>
        <w:rPr>
          <w:rFonts w:hint="eastAsia" w:ascii="宋体" w:hAnsi="宋体"/>
          <w:b/>
          <w:color w:val="auto"/>
          <w:sz w:val="32"/>
          <w:szCs w:val="32"/>
          <w:highlight w:val="none"/>
        </w:rPr>
      </w:pPr>
    </w:p>
    <w:p>
      <w:pPr>
        <w:spacing w:line="360" w:lineRule="auto"/>
        <w:rPr>
          <w:rFonts w:hint="eastAsia" w:ascii="宋体" w:hAnsi="宋体"/>
          <w:b/>
          <w:color w:val="auto"/>
          <w:sz w:val="32"/>
          <w:szCs w:val="32"/>
          <w:highlight w:val="none"/>
        </w:rPr>
      </w:pPr>
    </w:p>
    <w:p>
      <w:pPr>
        <w:spacing w:line="360" w:lineRule="auto"/>
        <w:rPr>
          <w:rFonts w:hint="eastAsia" w:ascii="宋体" w:hAnsi="宋体"/>
          <w:b/>
          <w:color w:val="auto"/>
          <w:sz w:val="32"/>
          <w:szCs w:val="32"/>
          <w:highlight w:val="none"/>
        </w:rPr>
      </w:pPr>
    </w:p>
    <w:p>
      <w:pPr>
        <w:spacing w:line="360" w:lineRule="auto"/>
        <w:rPr>
          <w:rFonts w:hint="default" w:ascii="宋体" w:hAnsi="宋体" w:eastAsiaTheme="minorEastAsia"/>
          <w:b/>
          <w:color w:val="auto"/>
          <w:sz w:val="32"/>
          <w:szCs w:val="32"/>
          <w:highlight w:val="none"/>
          <w:lang w:val="en-US" w:eastAsia="zh-CN"/>
        </w:rPr>
      </w:pPr>
      <w:r>
        <w:rPr>
          <w:rFonts w:hint="eastAsia" w:ascii="宋体" w:hAnsi="宋体"/>
          <w:b/>
          <w:color w:val="auto"/>
          <w:sz w:val="32"/>
          <w:szCs w:val="32"/>
          <w:highlight w:val="none"/>
        </w:rPr>
        <w:t>附件1</w:t>
      </w:r>
      <w:r>
        <w:rPr>
          <w:rFonts w:hint="eastAsia" w:ascii="宋体" w:hAnsi="宋体"/>
          <w:b/>
          <w:color w:val="auto"/>
          <w:sz w:val="32"/>
          <w:szCs w:val="32"/>
          <w:highlight w:val="none"/>
          <w:lang w:val="en-US" w:eastAsia="zh-CN"/>
        </w:rPr>
        <w:t xml:space="preserve">    </w:t>
      </w:r>
    </w:p>
    <w:p>
      <w:pPr>
        <w:spacing w:line="360" w:lineRule="auto"/>
        <w:jc w:val="center"/>
        <w:rPr>
          <w:rFonts w:ascii="宋体" w:hAnsi="宋体"/>
          <w:b/>
          <w:color w:val="auto"/>
          <w:sz w:val="32"/>
          <w:szCs w:val="32"/>
          <w:highlight w:val="none"/>
        </w:rPr>
      </w:pPr>
      <w:r>
        <w:rPr>
          <w:rFonts w:hint="eastAsia" w:ascii="宋体" w:hAnsi="宋体"/>
          <w:b/>
          <w:color w:val="auto"/>
          <w:sz w:val="32"/>
          <w:szCs w:val="32"/>
          <w:highlight w:val="none"/>
        </w:rPr>
        <w:t>廉洁协议</w:t>
      </w:r>
    </w:p>
    <w:p>
      <w:pPr>
        <w:spacing w:line="360" w:lineRule="auto"/>
        <w:ind w:firstLine="540" w:firstLineChars="225"/>
        <w:rPr>
          <w:rFonts w:ascii="宋体" w:hAnsi="宋体"/>
          <w:color w:val="auto"/>
          <w:sz w:val="24"/>
          <w:highlight w:val="none"/>
        </w:rPr>
      </w:pPr>
      <w:r>
        <w:rPr>
          <w:rFonts w:hint="eastAsia" w:ascii="宋体" w:hAnsi="宋体"/>
          <w:color w:val="auto"/>
          <w:sz w:val="24"/>
          <w:highlight w:val="none"/>
        </w:rPr>
        <w:t>为促进双方诚信经营、廉洁从业，防范商业贿赂，保护国家、集体和当事人的合法权益，根据国家有关法律法规和广东省、广州市廉政建设的规定，</w:t>
      </w:r>
      <w:r>
        <w:rPr>
          <w:rFonts w:ascii="宋体" w:hAnsi="宋体"/>
          <w:color w:val="auto"/>
          <w:sz w:val="24"/>
          <w:highlight w:val="none"/>
          <w:u w:val="single"/>
        </w:rPr>
        <w:t>广州市净水有限公司</w:t>
      </w:r>
      <w:r>
        <w:rPr>
          <w:rFonts w:ascii="宋体" w:hAnsi="宋体"/>
          <w:color w:val="auto"/>
          <w:sz w:val="24"/>
          <w:highlight w:val="none"/>
        </w:rPr>
        <w:t>(以下称甲方)与</w:t>
      </w:r>
      <w:r>
        <w:rPr>
          <w:rFonts w:hint="eastAsia" w:ascii="宋体" w:hAnsi="宋体"/>
          <w:color w:val="auto"/>
          <w:sz w:val="24"/>
          <w:highlight w:val="none"/>
        </w:rPr>
        <w:t>(以下称乙方</w:t>
      </w:r>
      <w:r>
        <w:rPr>
          <w:rFonts w:ascii="宋体" w:hAnsi="宋体"/>
          <w:color w:val="auto"/>
          <w:sz w:val="24"/>
          <w:highlight w:val="none"/>
        </w:rPr>
        <w:t>)，特此订立本协议共同遵照执行。</w:t>
      </w:r>
    </w:p>
    <w:p>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第一条甲乙双方的权利和义务</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（一）甲乙双方严格遵守国家关于市场准入、项目招标投标、市场经营活动等有关法律、法规相关政策及廉政建设的各项规定。</w:t>
      </w:r>
    </w:p>
    <w:p>
      <w:pPr>
        <w:spacing w:line="360" w:lineRule="auto"/>
        <w:ind w:firstLine="360" w:firstLineChars="150"/>
        <w:rPr>
          <w:rFonts w:hint="default" w:ascii="宋体" w:hAnsi="宋体" w:eastAsiaTheme="minorEastAsia"/>
          <w:color w:val="auto"/>
          <w:sz w:val="24"/>
          <w:highlight w:val="none"/>
          <w:lang w:val="en-US" w:eastAsia="zh-CN"/>
        </w:rPr>
      </w:pPr>
      <w:r>
        <w:rPr>
          <w:rFonts w:hint="eastAsia" w:ascii="宋体" w:hAnsi="宋体"/>
          <w:color w:val="auto"/>
          <w:sz w:val="24"/>
          <w:highlight w:val="none"/>
        </w:rPr>
        <w:t>（二）严格执行</w:t>
      </w:r>
      <w:r>
        <w:rPr>
          <w:rFonts w:hint="eastAsia"/>
          <w:color w:val="auto"/>
          <w:sz w:val="24"/>
          <w:highlight w:val="none"/>
          <w:u w:val="single"/>
          <w:lang w:val="en-US" w:eastAsia="zh-CN"/>
        </w:rPr>
        <w:t>猎德、大坦沙、西朗、沥滘、石井污水处理厂厂内污泥干化减量工程</w:t>
      </w:r>
      <w:r>
        <w:rPr>
          <w:rFonts w:hint="eastAsia"/>
          <w:color w:val="auto"/>
          <w:sz w:val="24"/>
          <w:highlight w:val="none"/>
          <w:u w:val="single"/>
        </w:rPr>
        <w:t>项目</w:t>
      </w:r>
      <w:r>
        <w:rPr>
          <w:rFonts w:hint="eastAsia"/>
          <w:color w:val="auto"/>
          <w:sz w:val="24"/>
          <w:highlight w:val="none"/>
          <w:u w:val="single"/>
          <w:lang w:val="en-US" w:eastAsia="zh-CN"/>
        </w:rPr>
        <w:t>节能验收</w:t>
      </w:r>
      <w:r>
        <w:rPr>
          <w:rFonts w:hint="eastAsia" w:ascii="宋体" w:hAnsi="宋体"/>
          <w:color w:val="auto"/>
          <w:sz w:val="24"/>
          <w:highlight w:val="none"/>
          <w:u w:val="single"/>
        </w:rPr>
        <w:t>技术咨询服务合同</w:t>
      </w:r>
      <w:r>
        <w:rPr>
          <w:rFonts w:hint="eastAsia" w:ascii="宋体" w:hAnsi="宋体"/>
          <w:color w:val="auto"/>
          <w:sz w:val="24"/>
          <w:highlight w:val="none"/>
          <w:u w:val="single"/>
          <w:lang w:eastAsia="zh-CN"/>
        </w:rPr>
        <w:t>（</w:t>
      </w:r>
      <w:r>
        <w:rPr>
          <w:rFonts w:hint="eastAsia" w:ascii="宋体" w:hAnsi="宋体"/>
          <w:color w:val="auto"/>
          <w:sz w:val="24"/>
          <w:highlight w:val="none"/>
          <w:u w:val="single"/>
          <w:lang w:val="en-US" w:eastAsia="zh-CN"/>
        </w:rPr>
        <w:t>合同编号</w:t>
      </w:r>
      <w:r>
        <w:rPr>
          <w:rFonts w:hint="eastAsia" w:ascii="宋体" w:hAnsi="宋体"/>
          <w:color w:val="auto"/>
          <w:sz w:val="24"/>
          <w:highlight w:val="none"/>
          <w:u w:val="single"/>
          <w:lang w:eastAsia="zh-CN"/>
        </w:rPr>
        <w:t>）</w:t>
      </w:r>
      <w:r>
        <w:rPr>
          <w:rFonts w:hint="eastAsia" w:ascii="宋体" w:hAnsi="宋体"/>
          <w:color w:val="auto"/>
          <w:sz w:val="24"/>
          <w:highlight w:val="none"/>
        </w:rPr>
        <w:t>（以下简称：主合同），自觉履行合同约定的相关义务。</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（三）在业务活动中坚持公开、公正、诚信、透明的原则，不得损害国家、集体利益。</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（四）建立健全廉洁从业制度，开展廉洁教育，公布举报电话，监督并认真查处不廉洁及违法违纪行为。</w:t>
      </w:r>
    </w:p>
    <w:p>
      <w:pPr>
        <w:spacing w:line="360" w:lineRule="auto"/>
        <w:ind w:firstLine="360" w:firstLineChars="150"/>
        <w:rPr>
          <w:rFonts w:ascii="宋体" w:hAnsi="宋体"/>
          <w:color w:val="auto"/>
          <w:sz w:val="24"/>
          <w:highlight w:val="none"/>
        </w:rPr>
      </w:pPr>
      <w:r>
        <w:rPr>
          <w:rFonts w:hint="eastAsia" w:ascii="宋体" w:hAnsi="宋体"/>
          <w:color w:val="auto"/>
          <w:sz w:val="24"/>
          <w:highlight w:val="none"/>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第二条甲方的义务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color w:val="auto"/>
          <w:sz w:val="24"/>
          <w:highlight w:val="none"/>
        </w:rPr>
      </w:pPr>
      <w:r>
        <w:rPr>
          <w:rFonts w:hint="eastAsia" w:ascii="宋体" w:hAnsi="宋体"/>
          <w:color w:val="auto"/>
          <w:sz w:val="24"/>
          <w:highlight w:val="none"/>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color w:val="auto"/>
          <w:sz w:val="24"/>
          <w:highlight w:val="none"/>
        </w:rPr>
      </w:pPr>
      <w:r>
        <w:rPr>
          <w:rFonts w:hint="eastAsia" w:ascii="宋体" w:hAnsi="宋体"/>
          <w:color w:val="auto"/>
          <w:sz w:val="24"/>
          <w:highlight w:val="none"/>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color w:val="auto"/>
          <w:sz w:val="24"/>
          <w:highlight w:val="none"/>
        </w:rPr>
      </w:pPr>
      <w:r>
        <w:rPr>
          <w:rFonts w:hint="eastAsia" w:ascii="宋体" w:hAnsi="宋体"/>
          <w:color w:val="auto"/>
          <w:sz w:val="24"/>
          <w:highlight w:val="none"/>
        </w:rPr>
        <w:t>（五）甲方工作人员不得以明显低于市场的价格向乙方购买房屋、汽车等物品；不得</w:t>
      </w:r>
      <w:r>
        <w:rPr>
          <w:rFonts w:ascii="宋体" w:hAnsi="宋体"/>
          <w:color w:val="auto"/>
          <w:sz w:val="24"/>
          <w:highlight w:val="none"/>
        </w:rPr>
        <w:t>以明显高于市场的价格向</w:t>
      </w:r>
      <w:r>
        <w:rPr>
          <w:rFonts w:hint="eastAsia" w:ascii="宋体" w:hAnsi="宋体"/>
          <w:color w:val="auto"/>
          <w:sz w:val="24"/>
          <w:highlight w:val="none"/>
        </w:rPr>
        <w:t>乙方</w:t>
      </w:r>
      <w:r>
        <w:rPr>
          <w:rFonts w:ascii="宋体" w:hAnsi="宋体"/>
          <w:color w:val="auto"/>
          <w:sz w:val="24"/>
          <w:highlight w:val="none"/>
        </w:rPr>
        <w:t>出售房屋、汽车等物品；</w:t>
      </w:r>
      <w:r>
        <w:rPr>
          <w:rFonts w:hint="eastAsia" w:ascii="宋体" w:hAnsi="宋体"/>
          <w:color w:val="auto"/>
          <w:sz w:val="24"/>
          <w:highlight w:val="none"/>
        </w:rPr>
        <w:t>不得使用乙方提供的与工作无关的房屋、汽车等物品；不得以其他交易形式非法收受请托人财物。</w:t>
      </w:r>
    </w:p>
    <w:p>
      <w:pPr>
        <w:spacing w:line="360" w:lineRule="auto"/>
        <w:ind w:left="15" w:leftChars="7" w:firstLine="480" w:firstLineChars="200"/>
        <w:rPr>
          <w:rFonts w:ascii="宋体" w:hAnsi="宋体"/>
          <w:color w:val="auto"/>
          <w:sz w:val="24"/>
          <w:highlight w:val="none"/>
        </w:rPr>
      </w:pPr>
      <w:r>
        <w:rPr>
          <w:rFonts w:hint="eastAsia" w:ascii="宋体" w:hAnsi="宋体"/>
          <w:color w:val="auto"/>
          <w:sz w:val="24"/>
          <w:highlight w:val="none"/>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color w:val="auto"/>
          <w:sz w:val="24"/>
          <w:highlight w:val="none"/>
        </w:rPr>
      </w:pPr>
      <w:r>
        <w:rPr>
          <w:rFonts w:hint="eastAsia" w:ascii="宋体" w:hAnsi="宋体"/>
          <w:color w:val="auto"/>
          <w:sz w:val="24"/>
          <w:highlight w:val="none"/>
        </w:rPr>
        <w:t>（七）甲方工作人员不得接受乙方给予或赠送的干股或红利。</w:t>
      </w:r>
    </w:p>
    <w:p>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第三条乙方的义务</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（一）乙方不得以任何理由向甲方及其工作人员行贿或馈赠礼金、有价证券、贵重礼品。</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w:t>
      </w:r>
      <w:r>
        <w:rPr>
          <w:rFonts w:ascii="宋体" w:hAnsi="宋体"/>
          <w:color w:val="auto"/>
          <w:sz w:val="24"/>
          <w:highlight w:val="none"/>
        </w:rPr>
        <w:t>)乙方不得以任何名义为甲方及其工作人员报销应由甲方单位或个人支付的任何费用。</w:t>
      </w:r>
    </w:p>
    <w:p>
      <w:pPr>
        <w:spacing w:line="360" w:lineRule="auto"/>
        <w:ind w:left="25" w:leftChars="12" w:firstLine="480" w:firstLineChars="200"/>
        <w:rPr>
          <w:rFonts w:ascii="宋体" w:hAnsi="宋体"/>
          <w:color w:val="auto"/>
          <w:sz w:val="24"/>
          <w:highlight w:val="none"/>
        </w:rPr>
      </w:pPr>
      <w:r>
        <w:rPr>
          <w:rFonts w:hint="eastAsia" w:ascii="宋体" w:hAnsi="宋体"/>
          <w:color w:val="auto"/>
          <w:sz w:val="24"/>
          <w:highlight w:val="none"/>
        </w:rPr>
        <w:t>（三）乙方不得以任何理由安排甲方工作人员参加可能影响相关业务公开、公正、公平性的宴请及娱乐活动。</w:t>
      </w:r>
    </w:p>
    <w:p>
      <w:pPr>
        <w:pStyle w:val="14"/>
        <w:rPr>
          <w:sz w:val="24"/>
          <w:highlight w:val="none"/>
        </w:rPr>
      </w:pPr>
      <w:r>
        <w:rPr>
          <w:rFonts w:hint="eastAsia"/>
          <w:sz w:val="24"/>
          <w:highlight w:val="none"/>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（五）乙方不得擅自与甲方工作人员就合同中的质量、数量、价格、工程量、验收等条款进行私下商谈或者达成默契。</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（六）乙方不得以回扣、手续费、加班费、咨询费、劳务费、协调费、辛苦费等各种名义向甲方工作人员给予或赠送钱物。</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（七）乙方不得向甲方工作人员提供干股或红利。</w:t>
      </w:r>
    </w:p>
    <w:p>
      <w:pPr>
        <w:spacing w:line="360" w:lineRule="auto"/>
        <w:ind w:firstLine="482" w:firstLineChars="200"/>
        <w:rPr>
          <w:rFonts w:ascii="宋体" w:hAnsi="宋体"/>
          <w:color w:val="auto"/>
          <w:sz w:val="24"/>
          <w:highlight w:val="none"/>
        </w:rPr>
      </w:pPr>
      <w:r>
        <w:rPr>
          <w:rFonts w:hint="eastAsia" w:ascii="宋体" w:hAnsi="宋体"/>
          <w:b/>
          <w:bCs/>
          <w:color w:val="auto"/>
          <w:sz w:val="24"/>
          <w:highlight w:val="none"/>
        </w:rPr>
        <w:t>第四条违约责任</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甲方举报投诉联系部门：广州市净水有限公司</w:t>
      </w:r>
      <w:r>
        <w:rPr>
          <w:rFonts w:ascii="宋体" w:hAnsi="宋体"/>
          <w:color w:val="auto"/>
          <w:sz w:val="24"/>
          <w:highlight w:val="none"/>
          <w:u w:val="single"/>
        </w:rPr>
        <w:t>纪检</w:t>
      </w:r>
      <w:r>
        <w:rPr>
          <w:rFonts w:hint="eastAsia" w:ascii="宋体" w:hAnsi="宋体"/>
          <w:color w:val="auto"/>
          <w:sz w:val="24"/>
          <w:highlight w:val="none"/>
          <w:u w:val="single"/>
        </w:rPr>
        <w:t>室</w:t>
      </w:r>
      <w:r>
        <w:rPr>
          <w:rFonts w:hint="eastAsia" w:ascii="宋体" w:hAnsi="宋体"/>
          <w:color w:val="auto"/>
          <w:sz w:val="24"/>
          <w:highlight w:val="none"/>
        </w:rPr>
        <w:t>，联系电话：</w:t>
      </w:r>
      <w:r>
        <w:rPr>
          <w:rFonts w:ascii="宋体" w:hAnsi="宋体"/>
          <w:color w:val="auto"/>
          <w:sz w:val="24"/>
          <w:highlight w:val="none"/>
          <w:u w:val="single"/>
        </w:rPr>
        <w:t xml:space="preserve"> 020-38890265 </w:t>
      </w:r>
      <w:r>
        <w:rPr>
          <w:rFonts w:hint="eastAsia"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1、扣除乙方</w:t>
      </w:r>
      <w:r>
        <w:rPr>
          <w:rFonts w:hint="eastAsia" w:ascii="宋体" w:hAnsi="宋体"/>
          <w:color w:val="auto"/>
          <w:sz w:val="24"/>
          <w:highlight w:val="none"/>
        </w:rPr>
        <w:t>全部</w:t>
      </w:r>
      <w:r>
        <w:rPr>
          <w:rFonts w:ascii="宋体" w:hAnsi="宋体"/>
          <w:color w:val="auto"/>
          <w:sz w:val="24"/>
          <w:highlight w:val="none"/>
        </w:rPr>
        <w:t>履约保证金；</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解除主合同</w:t>
      </w:r>
      <w:r>
        <w:rPr>
          <w:rFonts w:ascii="宋体" w:hAnsi="宋体"/>
          <w:color w:val="auto"/>
          <w:sz w:val="24"/>
          <w:highlight w:val="none"/>
        </w:rPr>
        <w:t>；</w:t>
      </w:r>
    </w:p>
    <w:p>
      <w:pPr>
        <w:spacing w:line="360" w:lineRule="auto"/>
        <w:ind w:firstLine="480" w:firstLineChars="200"/>
        <w:rPr>
          <w:rFonts w:ascii="宋体" w:hAnsi="宋体"/>
          <w:color w:val="auto"/>
          <w:sz w:val="24"/>
          <w:highlight w:val="none"/>
        </w:rPr>
      </w:pPr>
      <w:r>
        <w:rPr>
          <w:rFonts w:ascii="宋体" w:hAnsi="宋体"/>
          <w:color w:val="auto"/>
          <w:sz w:val="24"/>
          <w:highlight w:val="none"/>
        </w:rPr>
        <w:t>3、追究乙方合同其他违约责任；</w:t>
      </w:r>
    </w:p>
    <w:p>
      <w:pPr>
        <w:spacing w:line="360" w:lineRule="auto"/>
        <w:ind w:firstLine="480" w:firstLineChars="200"/>
        <w:rPr>
          <w:rFonts w:ascii="宋体" w:hAnsi="宋体"/>
          <w:color w:val="auto"/>
          <w:sz w:val="24"/>
          <w:highlight w:val="none"/>
        </w:rPr>
      </w:pPr>
      <w:r>
        <w:rPr>
          <w:rFonts w:ascii="宋体" w:hAnsi="宋体"/>
          <w:color w:val="auto"/>
          <w:sz w:val="24"/>
          <w:highlight w:val="none"/>
        </w:rPr>
        <w:t>4、</w:t>
      </w:r>
      <w:r>
        <w:rPr>
          <w:rFonts w:hint="eastAsia" w:ascii="宋体" w:hAnsi="宋体"/>
          <w:color w:val="auto"/>
          <w:sz w:val="24"/>
          <w:highlight w:val="none"/>
        </w:rPr>
        <w:t>根据甲方及其上级单位、主管部门的有关规定，对乙方违反廉洁协议的行为限制其参与招投标活动的资格。</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乙方无条件接受甲方处理意见并承担给甲方造成的损失，全额返还用不正当手段获取的非法所得，并承担相应的法律责任。</w:t>
      </w:r>
    </w:p>
    <w:p>
      <w:pPr>
        <w:rPr>
          <w:rFonts w:ascii="宋体" w:hAnsi="宋体" w:cs="宋体"/>
          <w:color w:val="auto"/>
          <w:kern w:val="0"/>
          <w:sz w:val="24"/>
          <w:highlight w:val="none"/>
        </w:rPr>
      </w:pPr>
      <w:r>
        <w:rPr>
          <w:rFonts w:hint="eastAsia" w:ascii="宋体" w:hAnsi="宋体"/>
          <w:b/>
          <w:bCs/>
          <w:color w:val="auto"/>
          <w:sz w:val="24"/>
          <w:highlight w:val="none"/>
        </w:rPr>
        <w:t xml:space="preserve">第五条 </w:t>
      </w:r>
      <w:r>
        <w:rPr>
          <w:rFonts w:ascii="宋体" w:hAnsi="宋体" w:cs="宋体"/>
          <w:color w:val="auto"/>
          <w:kern w:val="0"/>
          <w:sz w:val="24"/>
          <w:highlight w:val="none"/>
        </w:rPr>
        <w:t xml:space="preserve">本协议执行情况，接受有管辖权的纪检、监察部门的监督，双方应予以配合检查调查。 </w:t>
      </w:r>
    </w:p>
    <w:p>
      <w:pPr>
        <w:pStyle w:val="13"/>
        <w:snapToGrid w:val="0"/>
        <w:spacing w:before="624" w:beforeLines="200" w:line="360" w:lineRule="auto"/>
        <w:ind w:right="-198" w:firstLine="0" w:firstLineChars="0"/>
        <w:jc w:val="left"/>
        <w:rPr>
          <w:rFonts w:ascii="宋体" w:hAnsi="宋体" w:eastAsia="宋体"/>
          <w:color w:val="auto"/>
          <w:sz w:val="24"/>
          <w:szCs w:val="24"/>
          <w:highlight w:val="none"/>
          <w:u w:val="single"/>
          <w:lang w:val="en-US" w:eastAsia="zh-CN"/>
        </w:rPr>
      </w:pPr>
      <w:r>
        <w:rPr>
          <w:rFonts w:hint="eastAsia" w:ascii="宋体" w:hAnsi="宋体"/>
          <w:b/>
          <w:color w:val="auto"/>
          <w:sz w:val="24"/>
          <w:highlight w:val="none"/>
        </w:rPr>
        <w:t>第六条</w:t>
      </w:r>
      <w:r>
        <w:rPr>
          <w:rFonts w:ascii="宋体" w:hAnsi="宋体"/>
          <w:color w:val="auto"/>
          <w:sz w:val="24"/>
          <w:highlight w:val="none"/>
        </w:rPr>
        <w:t>本协议作为</w:t>
      </w:r>
      <w:r>
        <w:rPr>
          <w:rFonts w:hint="eastAsia" w:ascii="宋体" w:hAnsi="宋体"/>
          <w:color w:val="auto"/>
          <w:sz w:val="24"/>
          <w:highlight w:val="none"/>
          <w:u w:val="single"/>
        </w:rPr>
        <w:t>（</w:t>
      </w:r>
      <w:r>
        <w:rPr>
          <w:rFonts w:hint="eastAsia"/>
          <w:color w:val="auto"/>
          <w:sz w:val="24"/>
          <w:highlight w:val="none"/>
          <w:u w:val="single"/>
          <w:lang w:val="en-US" w:eastAsia="zh-CN"/>
        </w:rPr>
        <w:t>猎德、大坦沙、西朗、沥滘、石井污水处理厂厂内污泥干化减量工程</w:t>
      </w:r>
      <w:r>
        <w:rPr>
          <w:rFonts w:hint="eastAsia"/>
          <w:color w:val="auto"/>
          <w:sz w:val="24"/>
          <w:highlight w:val="none"/>
          <w:u w:val="single"/>
        </w:rPr>
        <w:t>项目</w:t>
      </w:r>
      <w:r>
        <w:rPr>
          <w:rFonts w:hint="eastAsia"/>
          <w:color w:val="auto"/>
          <w:sz w:val="24"/>
          <w:highlight w:val="none"/>
          <w:u w:val="single"/>
          <w:lang w:val="en-US" w:eastAsia="zh-CN"/>
        </w:rPr>
        <w:t>节能验收</w:t>
      </w:r>
      <w:r>
        <w:rPr>
          <w:rFonts w:hint="eastAsia" w:ascii="宋体" w:hAnsi="宋体"/>
          <w:color w:val="auto"/>
          <w:sz w:val="24"/>
          <w:highlight w:val="none"/>
          <w:u w:val="single"/>
        </w:rPr>
        <w:t>技术咨询服务合同）+（</w:t>
      </w:r>
      <w:r>
        <w:rPr>
          <w:rFonts w:hint="eastAsia" w:ascii="宋体" w:hAnsi="宋体" w:eastAsia="宋体"/>
          <w:color w:val="auto"/>
          <w:sz w:val="24"/>
          <w:szCs w:val="24"/>
          <w:highlight w:val="none"/>
          <w:u w:val="single"/>
          <w:lang w:val="en-US" w:eastAsia="zh-CN"/>
        </w:rPr>
        <w:t>穗净水合[     ]       号）合同的附件，并具有同等的法律效力，本协议自双方签字盖章之日起生效，与主合同同时终止。</w:t>
      </w:r>
    </w:p>
    <w:p>
      <w:pPr>
        <w:spacing w:line="360" w:lineRule="auto"/>
        <w:ind w:firstLine="480" w:firstLineChars="200"/>
        <w:rPr>
          <w:rFonts w:ascii="宋体" w:hAnsi="宋体"/>
          <w:color w:val="auto"/>
          <w:sz w:val="24"/>
          <w:highlight w:val="none"/>
          <w:u w:val="single"/>
        </w:rPr>
      </w:pPr>
    </w:p>
    <w:p>
      <w:pPr>
        <w:spacing w:line="360" w:lineRule="auto"/>
        <w:rPr>
          <w:rFonts w:ascii="宋体" w:hAnsi="宋体"/>
          <w:color w:val="auto"/>
          <w:sz w:val="24"/>
          <w:highlight w:val="none"/>
        </w:rPr>
      </w:pPr>
      <w:r>
        <w:rPr>
          <w:rFonts w:ascii="宋体" w:hAnsi="宋体"/>
          <w:color w:val="auto"/>
          <w:sz w:val="24"/>
          <w:highlight w:val="none"/>
        </w:rPr>
        <w:br w:type="textWrapping"/>
      </w:r>
      <w:r>
        <w:rPr>
          <w:rFonts w:hint="eastAsia" w:ascii="宋体" w:hAnsi="宋体"/>
          <w:color w:val="auto"/>
          <w:sz w:val="24"/>
          <w:highlight w:val="none"/>
        </w:rPr>
        <w:t>甲方（盖章）：                     乙方（盖章）：</w:t>
      </w:r>
    </w:p>
    <w:p>
      <w:pPr>
        <w:pStyle w:val="44"/>
        <w:tabs>
          <w:tab w:val="left" w:pos="5100"/>
        </w:tabs>
        <w:spacing w:line="360" w:lineRule="auto"/>
        <w:ind w:left="7200" w:firstLine="0" w:firstLineChars="0"/>
        <w:jc w:val="left"/>
        <w:rPr>
          <w:rFonts w:ascii="宋体" w:hAnsi="宋体"/>
          <w:color w:val="auto"/>
          <w:sz w:val="24"/>
          <w:highlight w:val="none"/>
        </w:rPr>
      </w:pPr>
    </w:p>
    <w:p>
      <w:pPr>
        <w:tabs>
          <w:tab w:val="left" w:pos="5100"/>
        </w:tabs>
        <w:spacing w:line="360" w:lineRule="auto"/>
        <w:ind w:left="7200" w:hanging="7200" w:hangingChars="3000"/>
        <w:rPr>
          <w:rFonts w:ascii="宋体" w:hAnsi="宋体"/>
          <w:color w:val="auto"/>
          <w:sz w:val="24"/>
          <w:highlight w:val="none"/>
        </w:rPr>
      </w:pPr>
      <w:r>
        <w:rPr>
          <w:rFonts w:hint="eastAsia" w:ascii="宋体" w:hAnsi="宋体"/>
          <w:color w:val="auto"/>
          <w:sz w:val="24"/>
          <w:highlight w:val="none"/>
        </w:rPr>
        <w:t>签约代表：                         签约代表：</w:t>
      </w:r>
    </w:p>
    <w:p>
      <w:pPr>
        <w:tabs>
          <w:tab w:val="left" w:pos="4170"/>
        </w:tabs>
        <w:spacing w:line="360" w:lineRule="auto"/>
        <w:rPr>
          <w:rFonts w:ascii="宋体" w:hAnsi="宋体"/>
          <w:color w:val="auto"/>
          <w:highlight w:val="none"/>
        </w:rPr>
      </w:pPr>
      <w:r>
        <w:rPr>
          <w:rFonts w:hint="eastAsia" w:ascii="宋体" w:hAnsi="宋体"/>
          <w:color w:val="auto"/>
          <w:sz w:val="24"/>
          <w:highlight w:val="none"/>
        </w:rPr>
        <w:t>日期</w:t>
      </w:r>
      <w:r>
        <w:rPr>
          <w:rFonts w:ascii="宋体" w:hAnsi="宋体"/>
          <w:color w:val="auto"/>
          <w:sz w:val="24"/>
          <w:highlight w:val="none"/>
        </w:rPr>
        <w:t>:    年</w:t>
      </w:r>
      <w:r>
        <w:rPr>
          <w:rFonts w:hint="eastAsia" w:ascii="宋体" w:hAnsi="宋体"/>
          <w:color w:val="auto"/>
          <w:sz w:val="24"/>
          <w:highlight w:val="none"/>
        </w:rPr>
        <w:t xml:space="preserve">  </w:t>
      </w:r>
      <w:r>
        <w:rPr>
          <w:rFonts w:ascii="宋体" w:hAnsi="宋体"/>
          <w:color w:val="auto"/>
          <w:sz w:val="24"/>
          <w:highlight w:val="none"/>
        </w:rPr>
        <w:t>月</w:t>
      </w:r>
      <w:r>
        <w:rPr>
          <w:rFonts w:hint="eastAsia" w:ascii="宋体" w:hAnsi="宋体"/>
          <w:color w:val="auto"/>
          <w:sz w:val="24"/>
          <w:highlight w:val="none"/>
        </w:rPr>
        <w:t xml:space="preserve"> </w:t>
      </w:r>
      <w:r>
        <w:rPr>
          <w:rFonts w:ascii="宋体" w:hAnsi="宋体"/>
          <w:color w:val="auto"/>
          <w:sz w:val="24"/>
          <w:highlight w:val="none"/>
        </w:rPr>
        <w:t xml:space="preserve"> 日</w:t>
      </w:r>
      <w:r>
        <w:rPr>
          <w:rFonts w:ascii="宋体" w:hAnsi="宋体"/>
          <w:color w:val="auto"/>
          <w:sz w:val="24"/>
          <w:highlight w:val="none"/>
        </w:rPr>
        <w:tab/>
      </w:r>
      <w:r>
        <w:rPr>
          <w:rFonts w:hint="eastAsia" w:ascii="宋体" w:hAnsi="宋体"/>
          <w:color w:val="auto"/>
          <w:sz w:val="24"/>
          <w:highlight w:val="none"/>
        </w:rPr>
        <w:t xml:space="preserve">日期： </w:t>
      </w:r>
      <w:r>
        <w:rPr>
          <w:rFonts w:ascii="宋体" w:hAnsi="宋体"/>
          <w:color w:val="auto"/>
          <w:sz w:val="24"/>
          <w:highlight w:val="none"/>
        </w:rPr>
        <w:t xml:space="preserve"> </w:t>
      </w:r>
      <w:r>
        <w:rPr>
          <w:rFonts w:hint="eastAsia" w:ascii="宋体" w:hAnsi="宋体"/>
          <w:color w:val="auto"/>
          <w:sz w:val="24"/>
          <w:highlight w:val="none"/>
        </w:rPr>
        <w:t xml:space="preserve">年 </w:t>
      </w:r>
      <w:r>
        <w:rPr>
          <w:rFonts w:ascii="宋体" w:hAnsi="宋体"/>
          <w:color w:val="auto"/>
          <w:sz w:val="24"/>
          <w:highlight w:val="none"/>
        </w:rPr>
        <w:t xml:space="preserve"> </w:t>
      </w:r>
      <w:r>
        <w:rPr>
          <w:rFonts w:hint="eastAsia" w:ascii="宋体" w:hAnsi="宋体"/>
          <w:color w:val="auto"/>
          <w:sz w:val="24"/>
          <w:highlight w:val="none"/>
        </w:rPr>
        <w:t xml:space="preserve">月 </w:t>
      </w:r>
      <w:r>
        <w:rPr>
          <w:rFonts w:ascii="宋体" w:hAnsi="宋体"/>
          <w:color w:val="auto"/>
          <w:sz w:val="24"/>
          <w:highlight w:val="none"/>
        </w:rPr>
        <w:t xml:space="preserve"> </w:t>
      </w:r>
      <w:r>
        <w:rPr>
          <w:rFonts w:hint="eastAsia" w:ascii="宋体" w:hAnsi="宋体"/>
          <w:color w:val="auto"/>
          <w:sz w:val="24"/>
          <w:highlight w:val="none"/>
        </w:rPr>
        <w:t>日</w:t>
      </w:r>
    </w:p>
    <w:p>
      <w:pPr>
        <w:rPr>
          <w:color w:val="auto"/>
          <w:highlight w:val="none"/>
        </w:rPr>
      </w:pPr>
    </w:p>
    <w:p>
      <w:pPr>
        <w:pStyle w:val="24"/>
        <w:rPr>
          <w:rFonts w:hint="eastAsia"/>
          <w:color w:val="auto"/>
          <w:highlight w:val="none"/>
        </w:rPr>
      </w:pPr>
    </w:p>
    <w:p>
      <w:pPr>
        <w:pStyle w:val="20"/>
        <w:ind w:left="900" w:hanging="480"/>
        <w:rPr>
          <w:rFonts w:hint="eastAsia" w:ascii="楷体_GB2312"/>
          <w:color w:val="auto"/>
          <w:sz w:val="24"/>
          <w:highlight w:val="none"/>
        </w:rPr>
      </w:pPr>
    </w:p>
    <w:p>
      <w:pPr>
        <w:pStyle w:val="2"/>
        <w:spacing w:line="360" w:lineRule="auto"/>
        <w:ind w:left="0" w:leftChars="0" w:firstLine="0" w:firstLineChars="0"/>
        <w:rPr>
          <w:rFonts w:hint="eastAsia" w:ascii="宋体" w:cs="宋体"/>
          <w:color w:val="auto"/>
          <w:kern w:val="0"/>
          <w:sz w:val="24"/>
          <w:highlight w:val="none"/>
        </w:rPr>
      </w:pPr>
      <w:r>
        <w:rPr>
          <w:rFonts w:hint="eastAsia" w:hAnsi="宋体"/>
          <w:color w:val="auto"/>
          <w:szCs w:val="21"/>
          <w:highlight w:val="none"/>
        </w:rPr>
        <w:br w:type="page"/>
      </w:r>
    </w:p>
    <w:p>
      <w:pPr>
        <w:pStyle w:val="47"/>
        <w:rPr>
          <w:color w:val="auto"/>
          <w:highlight w:val="none"/>
        </w:rPr>
      </w:pPr>
    </w:p>
    <w:p>
      <w:pPr>
        <w:pStyle w:val="47"/>
        <w:rPr>
          <w:color w:val="auto"/>
          <w:highlight w:val="none"/>
        </w:rPr>
      </w:pPr>
    </w:p>
    <w:p>
      <w:pPr>
        <w:pStyle w:val="47"/>
        <w:rPr>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8720" behindDoc="0" locked="0" layoutInCell="1" allowOverlap="1">
                <wp:simplePos x="0" y="0"/>
                <wp:positionH relativeFrom="column">
                  <wp:posOffset>2306320</wp:posOffset>
                </wp:positionH>
                <wp:positionV relativeFrom="paragraph">
                  <wp:posOffset>720090</wp:posOffset>
                </wp:positionV>
                <wp:extent cx="958850" cy="0"/>
                <wp:effectExtent l="0" t="4445" r="0" b="5080"/>
                <wp:wrapNone/>
                <wp:docPr id="16" name="直接箭头连接符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1.6pt;margin-top:56.7pt;height:0pt;width:75.5pt;z-index:25167872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1ZsL61wAAAAsBAAAPAAAAAAAAAAEAIAAAACIAAABkcnMvZG93bnJldi54&#10;bWxQSwECFAAUAAAACACHTuJAbGrtCvsBAADtAwAADgAAAAAAAAABACAAAAAmAQAAZHJzL2Uyb0Rv&#10;Yy54bWxQSwUGAAAAAAYABgBZAQAAkw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2325370</wp:posOffset>
                </wp:positionH>
                <wp:positionV relativeFrom="paragraph">
                  <wp:posOffset>270510</wp:posOffset>
                </wp:positionV>
                <wp:extent cx="958850" cy="0"/>
                <wp:effectExtent l="0" t="4445" r="0" b="5080"/>
                <wp:wrapNone/>
                <wp:docPr id="25" name="直接箭头连接符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83.1pt;margin-top:21.3pt;height:0pt;width:75.5pt;z-index:25167769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8OuBDXAAAACQEAAA8AAAAAAAAAAQAgAAAAIgAAAGRycy9kb3ducmV2Lnht&#10;bFBLAQIUABQAAAAIAIdO4kDoJUxD+gEAAO0DAAAOAAAAAAAAAAEAIAAAACYBAABkcnMvZTJvRG9j&#10;LnhtbFBLBQYAAAAABgAGAFkBAACSBQAAAAA=&#10;">
                <v:fill on="f" focussize="0,0"/>
                <v:stroke color="#000000" joinstyle="round"/>
                <v:imagedata o:title=""/>
                <o:lock v:ext="edit" aspectratio="f"/>
              </v:shape>
            </w:pict>
          </mc:Fallback>
        </mc:AlternateContent>
      </w:r>
      <w:r>
        <w:rPr>
          <w:rFonts w:hint="eastAsia"/>
          <w:color w:val="auto"/>
          <w:highlight w:val="none"/>
        </w:rPr>
        <w:t>第七章</w:t>
      </w:r>
    </w:p>
    <w:p>
      <w:pPr>
        <w:pStyle w:val="47"/>
        <w:rPr>
          <w:color w:val="auto"/>
          <w:highlight w:val="none"/>
        </w:rPr>
      </w:pPr>
    </w:p>
    <w:p>
      <w:pPr>
        <w:pStyle w:val="3"/>
        <w:rPr>
          <w:color w:val="auto"/>
          <w:highlight w:val="none"/>
        </w:rPr>
      </w:pPr>
      <w:r>
        <w:rPr>
          <w:rFonts w:hint="eastAsia"/>
          <w:color w:val="auto"/>
          <w:highlight w:val="none"/>
        </w:rPr>
        <w:t>响应文件</w:t>
      </w:r>
      <w:r>
        <w:rPr>
          <w:rFonts w:hint="eastAsia"/>
          <w:color w:val="auto"/>
          <w:highlight w:val="none"/>
          <w:lang w:val="en-US" w:eastAsia="zh-CN"/>
        </w:rPr>
        <w:t>格式要求</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86" w:name="_Toc88209952"/>
      <w:bookmarkStart w:id="87" w:name="_Toc87616389"/>
      <w:r>
        <w:rPr>
          <w:rFonts w:hint="eastAsia" w:ascii="仿宋_GB2312" w:eastAsia="仿宋_GB2312"/>
          <w:color w:val="auto"/>
          <w:sz w:val="28"/>
          <w:szCs w:val="28"/>
          <w:highlight w:val="none"/>
        </w:rPr>
        <w:t>1.响应函</w:t>
      </w:r>
      <w:bookmarkEnd w:id="86"/>
      <w:bookmarkEnd w:id="87"/>
    </w:p>
    <w:p>
      <w:pPr>
        <w:spacing w:line="600" w:lineRule="exact"/>
        <w:rPr>
          <w:rFonts w:hint="eastAsia" w:ascii="仿宋_GB2312" w:eastAsia="仿宋_GB2312"/>
          <w:color w:val="auto"/>
          <w:sz w:val="28"/>
          <w:szCs w:val="28"/>
          <w:highlight w:val="none"/>
        </w:rPr>
      </w:pPr>
      <w:bookmarkStart w:id="88" w:name="_Toc88209953"/>
      <w:bookmarkStart w:id="89" w:name="_Toc87616390"/>
      <w:r>
        <w:rPr>
          <w:rFonts w:hint="eastAsia" w:ascii="仿宋_GB2312" w:eastAsia="仿宋_GB2312"/>
          <w:color w:val="auto"/>
          <w:sz w:val="28"/>
          <w:szCs w:val="28"/>
          <w:highlight w:val="none"/>
        </w:rPr>
        <w:t>2.法定代表人证明或授权委托书</w:t>
      </w:r>
      <w:bookmarkEnd w:id="88"/>
      <w:bookmarkEnd w:id="89"/>
      <w:bookmarkStart w:id="90" w:name="_Toc87616393"/>
      <w:bookmarkStart w:id="91"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adjustRightInd w:val="0"/>
        <w:snapToGrid w:val="0"/>
        <w:spacing w:beforeLines="50" w:afterLines="50" w:line="600" w:lineRule="exact"/>
        <w:jc w:val="both"/>
        <w:rPr>
          <w:rFonts w:ascii="方正小标宋简体" w:eastAsia="方正小标宋简体"/>
          <w:color w:val="auto"/>
          <w:sz w:val="44"/>
          <w:szCs w:val="44"/>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90"/>
      <w:bookmarkEnd w:id="91"/>
      <w:r>
        <w:rPr>
          <w:rFonts w:hint="eastAsia" w:ascii="仿宋_GB2312" w:eastAsia="仿宋_GB2312"/>
          <w:color w:val="auto"/>
          <w:sz w:val="28"/>
          <w:szCs w:val="28"/>
          <w:highlight w:val="none"/>
        </w:rPr>
        <w:cr/>
      </w:r>
    </w:p>
    <w:p>
      <w:pPr>
        <w:pStyle w:val="5"/>
        <w:rPr>
          <w:rFonts w:hint="eastAsia" w:asciiTheme="minorEastAsia" w:hAnsiTheme="minorEastAsia" w:eastAsiaTheme="minorEastAsia"/>
          <w:color w:val="auto"/>
          <w:sz w:val="28"/>
          <w:szCs w:val="28"/>
          <w:highlight w:val="none"/>
        </w:rPr>
      </w:pPr>
      <w:bookmarkStart w:id="92" w:name="_Toc87616394"/>
      <w:bookmarkStart w:id="93" w:name="_Toc28619645"/>
      <w:bookmarkStart w:id="94" w:name="_Toc12665"/>
      <w:bookmarkStart w:id="95" w:name="_Toc88209957"/>
      <w:bookmarkStart w:id="96" w:name="_Toc6313"/>
    </w:p>
    <w:p>
      <w:pPr>
        <w:rPr>
          <w:rFonts w:hint="eastAsia" w:asciiTheme="minorEastAsia" w:hAnsiTheme="minorEastAsia" w:eastAsiaTheme="minorEastAsia"/>
          <w:color w:val="auto"/>
          <w:sz w:val="28"/>
          <w:szCs w:val="28"/>
          <w:highlight w:val="none"/>
        </w:rPr>
      </w:pPr>
    </w:p>
    <w:p>
      <w:pPr>
        <w:pStyle w:val="23"/>
        <w:rPr>
          <w:rFonts w:hint="eastAsia" w:asciiTheme="minorEastAsia" w:hAnsiTheme="minorEastAsia" w:eastAsiaTheme="minorEastAsia"/>
          <w:color w:val="auto"/>
          <w:sz w:val="28"/>
          <w:szCs w:val="28"/>
          <w:highlight w:val="none"/>
        </w:rPr>
      </w:pPr>
    </w:p>
    <w:p>
      <w:pPr>
        <w:pStyle w:val="23"/>
        <w:rPr>
          <w:rFonts w:hint="eastAsia" w:asciiTheme="minorEastAsia" w:hAnsiTheme="minorEastAsia" w:eastAsiaTheme="minorEastAsia"/>
          <w:color w:val="auto"/>
          <w:sz w:val="28"/>
          <w:szCs w:val="28"/>
          <w:highlight w:val="none"/>
        </w:rPr>
      </w:pPr>
    </w:p>
    <w:p>
      <w:pPr>
        <w:pStyle w:val="23"/>
        <w:rPr>
          <w:rFonts w:hint="eastAsia" w:asciiTheme="minorEastAsia" w:hAnsiTheme="minorEastAsia" w:eastAsiaTheme="minorEastAsia"/>
          <w:color w:val="auto"/>
          <w:sz w:val="28"/>
          <w:szCs w:val="28"/>
          <w:highlight w:val="none"/>
        </w:rPr>
      </w:pPr>
    </w:p>
    <w:p>
      <w:pPr>
        <w:pStyle w:val="23"/>
        <w:rPr>
          <w:rFonts w:hint="eastAsia" w:asciiTheme="minorEastAsia" w:hAnsiTheme="minorEastAsia" w:eastAsiaTheme="minorEastAsia"/>
          <w:color w:val="auto"/>
          <w:sz w:val="28"/>
          <w:szCs w:val="28"/>
          <w:highlight w:val="none"/>
        </w:rPr>
      </w:pPr>
    </w:p>
    <w:p>
      <w:pPr>
        <w:pStyle w:val="23"/>
        <w:rPr>
          <w:rFonts w:hint="eastAsia" w:asciiTheme="minorEastAsia" w:hAnsiTheme="minorEastAsia" w:eastAsiaTheme="minorEastAsia"/>
          <w:color w:val="auto"/>
          <w:sz w:val="28"/>
          <w:szCs w:val="28"/>
          <w:highlight w:val="none"/>
        </w:rPr>
      </w:pPr>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1.响应函</w:t>
      </w:r>
      <w:bookmarkEnd w:id="92"/>
      <w:bookmarkEnd w:id="93"/>
      <w:bookmarkEnd w:id="94"/>
      <w:bookmarkEnd w:id="95"/>
      <w:bookmarkEnd w:id="96"/>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 xml:space="preserve">1.我方已仔细研究了（项目名称、项目编号、标段/标包号）   采购文件的全部内容，愿意以含税价人民币（大写）     (¥      ）的报价完成/提供本项目□工程 </w:t>
      </w:r>
      <w:r>
        <w:rPr>
          <w:rFonts w:hint="eastAsia" w:ascii="仿宋_GB2312" w:hAnsi="黑体" w:eastAsia="仿宋_GB2312"/>
          <w:color w:val="auto"/>
          <w:sz w:val="28"/>
          <w:szCs w:val="28"/>
          <w:highlight w:val="none"/>
        </w:rPr>
        <w:sym w:font="Wingdings 2" w:char="00A3"/>
      </w:r>
      <w:r>
        <w:rPr>
          <w:rFonts w:hint="eastAsia" w:ascii="仿宋_GB2312" w:hAnsi="黑体" w:eastAsia="仿宋_GB2312"/>
          <w:color w:val="auto"/>
          <w:sz w:val="28"/>
          <w:szCs w:val="28"/>
          <w:highlight w:val="none"/>
        </w:rPr>
        <w:t>货物</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4"/>
        <w:ind w:firstLine="560" w:firstLineChars="200"/>
        <w:rPr>
          <w:rFonts w:hint="eastAsia" w:eastAsia="仿宋_GB2312"/>
          <w:color w:val="auto"/>
          <w:highlight w:val="none"/>
          <w:lang w:eastAsia="zh-CN"/>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w:t>
      </w:r>
      <w:r>
        <w:rPr>
          <w:rFonts w:hint="eastAsia" w:ascii="仿宋_GB2312" w:eastAsia="仿宋_GB2312" w:hAnsiTheme="minorEastAsia"/>
          <w:color w:val="auto"/>
          <w:sz w:val="28"/>
          <w:szCs w:val="28"/>
          <w:highlight w:val="none"/>
          <w:lang w:val="en-US" w:eastAsia="zh-CN"/>
        </w:rPr>
        <w:t>私</w:t>
      </w:r>
      <w:r>
        <w:rPr>
          <w:rFonts w:hint="eastAsia" w:ascii="仿宋_GB2312" w:eastAsia="仿宋_GB2312" w:hAnsiTheme="minorEastAsia"/>
          <w:color w:val="auto"/>
          <w:sz w:val="28"/>
          <w:szCs w:val="28"/>
          <w:highlight w:val="none"/>
        </w:rPr>
        <w:t>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adjustRightInd/>
        <w:snapToGrid/>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bookmarkStart w:id="97" w:name="_Toc87616395"/>
      <w:bookmarkStart w:id="98" w:name="_Toc88209958"/>
      <w:bookmarkStart w:id="99" w:name="_Toc29833"/>
      <w:bookmarkStart w:id="100" w:name="_Toc22527"/>
    </w:p>
    <w:p>
      <w:pPr>
        <w:spacing w:line="600" w:lineRule="exact"/>
        <w:ind w:left="1" w:firstLine="551" w:firstLineChars="197"/>
        <w:jc w:val="right"/>
        <w:rPr>
          <w:rFonts w:hint="eastAsia" w:asciiTheme="minorEastAsia" w:hAnsiTheme="minorEastAsia" w:eastAsiaTheme="minorEastAsia"/>
          <w:color w:val="auto"/>
          <w:sz w:val="28"/>
          <w:szCs w:val="28"/>
          <w:highlight w:val="none"/>
        </w:rPr>
      </w:pPr>
    </w:p>
    <w:p>
      <w:pPr>
        <w:pStyle w:val="5"/>
        <w:keepNext/>
        <w:keepLines/>
        <w:pageBreakBefore w:val="0"/>
        <w:widowControl w:val="0"/>
        <w:kinsoku/>
        <w:wordWrap/>
        <w:overflowPunct/>
        <w:topLinePunct w:val="0"/>
        <w:autoSpaceDE/>
        <w:autoSpaceDN/>
        <w:bidi w:val="0"/>
        <w:adjustRightInd/>
        <w:snapToGrid/>
        <w:spacing w:after="20" w:line="416" w:lineRule="auto"/>
        <w:textAlignment w:val="auto"/>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97"/>
      <w:bookmarkEnd w:id="98"/>
      <w:bookmarkEnd w:id="99"/>
      <w:bookmarkEnd w:id="100"/>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9"/>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36"/>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48"/>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36"/>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36"/>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36"/>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36"/>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36"/>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s="Times New Roman"/>
          <w:color w:val="auto"/>
          <w:sz w:val="32"/>
          <w:szCs w:val="32"/>
          <w:highlight w:val="none"/>
        </w:rPr>
      </w:pPr>
      <w:r>
        <w:rPr>
          <w:rFonts w:hint="eastAsia" w:ascii="仿宋_GB2312" w:hAnsi="宋体" w:eastAsia="仿宋_GB2312"/>
          <w:color w:val="auto"/>
          <w:sz w:val="30"/>
          <w:szCs w:val="30"/>
          <w:highlight w:val="none"/>
        </w:rPr>
        <w:t>附：法定代表人身份证(正反两面)复印件</w:t>
      </w:r>
    </w:p>
    <w:p>
      <w:pPr>
        <w:pStyle w:val="36"/>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4445" r="14605" b="22225"/>
                <wp:wrapSquare wrapText="bothSides"/>
                <wp:docPr id="14"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MvXAr9JAgAAlw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47"/>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2.提供授权委托人自公告发布当月起在本单位近三个月社保记录（以加盖社会保险基金管理中心印章的《缴费历史明细表》或《社会保险参保人员证明》为准），否则为无效代理人，询价响应文件无效。</w:t>
      </w:r>
    </w:p>
    <w:p>
      <w:pPr>
        <w:pStyle w:val="36"/>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36"/>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w:t>
      </w:r>
      <w:r>
        <w:rPr>
          <w:rFonts w:hint="eastAsia" w:ascii="仿宋_GB2312" w:hAnsi="宋体" w:eastAsia="仿宋_GB2312" w:cs="Times New Roman"/>
          <w:color w:val="auto"/>
          <w:sz w:val="30"/>
          <w:szCs w:val="30"/>
          <w:highlight w:val="none"/>
          <w:u w:val="single"/>
          <w:lang w:val="en-US" w:eastAsia="zh-CN"/>
        </w:rPr>
        <w:t>或盖私章</w:t>
      </w:r>
      <w:r>
        <w:rPr>
          <w:rFonts w:hint="eastAsia" w:ascii="仿宋_GB2312" w:hAnsi="宋体" w:eastAsia="仿宋_GB2312" w:cs="Times New Roman"/>
          <w:color w:val="auto"/>
          <w:sz w:val="30"/>
          <w:szCs w:val="30"/>
          <w:highlight w:val="none"/>
          <w:u w:val="single"/>
        </w:rPr>
        <w:t xml:space="preserve">)            </w:t>
      </w:r>
    </w:p>
    <w:p>
      <w:pPr>
        <w:pStyle w:val="36"/>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w:t>
      </w:r>
      <w:r>
        <w:rPr>
          <w:rFonts w:hint="eastAsia" w:ascii="仿宋_GB2312" w:hAnsi="宋体" w:eastAsia="仿宋_GB2312" w:cs="Times New Roman"/>
          <w:color w:val="auto"/>
          <w:sz w:val="30"/>
          <w:szCs w:val="30"/>
          <w:highlight w:val="none"/>
          <w:u w:val="single"/>
          <w:lang w:val="en-US" w:eastAsia="zh-CN"/>
        </w:rPr>
        <w:t>或盖私章</w:t>
      </w:r>
      <w:r>
        <w:rPr>
          <w:rFonts w:hint="eastAsia" w:ascii="仿宋_GB2312" w:hAnsi="宋体" w:eastAsia="仿宋_GB2312" w:cs="Times New Roman"/>
          <w:color w:val="auto"/>
          <w:sz w:val="30"/>
          <w:szCs w:val="30"/>
          <w:highlight w:val="none"/>
          <w:u w:val="single"/>
        </w:rPr>
        <w:t xml:space="preserve">)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4"/>
        <w:rPr>
          <w:rFonts w:hint="eastAsia" w:ascii="仿宋_GB2312" w:hAnsi="宋体" w:eastAsia="仿宋_GB2312"/>
          <w:color w:val="auto"/>
          <w:sz w:val="30"/>
          <w:szCs w:val="30"/>
          <w:highlight w:val="none"/>
        </w:rPr>
      </w:pPr>
    </w:p>
    <w:p>
      <w:pPr>
        <w:pStyle w:val="24"/>
        <w:rPr>
          <w:rFonts w:hint="eastAsia" w:ascii="仿宋_GB2312" w:hAnsi="宋体" w:eastAsia="仿宋_GB2312"/>
          <w:color w:val="auto"/>
          <w:sz w:val="30"/>
          <w:szCs w:val="30"/>
          <w:highlight w:val="none"/>
        </w:rPr>
      </w:pPr>
    </w:p>
    <w:p>
      <w:pPr>
        <w:pStyle w:val="24"/>
        <w:rPr>
          <w:rFonts w:hint="eastAsia" w:ascii="仿宋_GB2312" w:hAnsi="宋体" w:eastAsia="仿宋_GB2312"/>
          <w:color w:val="auto"/>
          <w:sz w:val="30"/>
          <w:szCs w:val="30"/>
          <w:highlight w:val="none"/>
        </w:rPr>
      </w:pPr>
    </w:p>
    <w:p>
      <w:pPr>
        <w:pStyle w:val="24"/>
        <w:rPr>
          <w:rFonts w:hint="eastAsia" w:ascii="仿宋_GB2312" w:hAnsi="宋体" w:eastAsia="仿宋_GB2312"/>
          <w:color w:val="auto"/>
          <w:sz w:val="30"/>
          <w:szCs w:val="30"/>
          <w:highlight w:val="none"/>
        </w:rPr>
      </w:pPr>
    </w:p>
    <w:p>
      <w:pPr>
        <w:pStyle w:val="2"/>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4445" r="14605" b="22225"/>
                <wp:wrapSquare wrapText="bothSides"/>
                <wp:docPr id="1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DbISWl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2"/>
        <w:spacing w:after="0" w:line="600" w:lineRule="exact"/>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pStyle w:val="2"/>
        <w:spacing w:after="0" w:line="600" w:lineRule="exact"/>
        <w:ind w:firstLine="0"/>
        <w:rPr>
          <w:rFonts w:ascii="仿宋_GB2312" w:eastAsia="仿宋_GB2312"/>
          <w:color w:val="auto"/>
          <w:highlight w:val="none"/>
        </w:rPr>
      </w:pPr>
    </w:p>
    <w:p>
      <w:pPr>
        <w:pStyle w:val="2"/>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w:t>
            </w:r>
            <w:r>
              <w:rPr>
                <w:rFonts w:hint="eastAsia" w:ascii="宋体" w:hAnsi="宋体" w:cs="Times New Roman"/>
                <w:color w:val="auto"/>
                <w:sz w:val="24"/>
                <w:szCs w:val="24"/>
                <w:highlight w:val="none"/>
                <w:lang w:val="en-US" w:eastAsia="zh-CN"/>
              </w:rPr>
              <w:t>自公告发布当月起</w:t>
            </w:r>
            <w:r>
              <w:rPr>
                <w:rFonts w:hint="eastAsia" w:ascii="宋体" w:hAnsi="宋体" w:cs="Times New Roman"/>
                <w:color w:val="auto"/>
                <w:sz w:val="24"/>
                <w:szCs w:val="24"/>
                <w:highlight w:val="none"/>
                <w:lang w:eastAsia="zh-CN"/>
              </w:rPr>
              <w:t>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4"/>
        <w:rPr>
          <w:color w:val="auto"/>
          <w:highlight w:val="none"/>
        </w:rPr>
      </w:pPr>
    </w:p>
    <w:p>
      <w:pPr>
        <w:pStyle w:val="24"/>
        <w:ind w:firstLine="0"/>
        <w:rPr>
          <w:color w:val="auto"/>
          <w:highlight w:val="none"/>
        </w:rPr>
      </w:pPr>
    </w:p>
    <w:p>
      <w:pPr>
        <w:pStyle w:val="5"/>
        <w:rPr>
          <w:rFonts w:asciiTheme="minorEastAsia" w:hAnsiTheme="minorEastAsia" w:eastAsiaTheme="minorEastAsia"/>
          <w:color w:val="auto"/>
          <w:sz w:val="28"/>
          <w:szCs w:val="28"/>
          <w:highlight w:val="none"/>
        </w:rPr>
      </w:pPr>
      <w:bookmarkStart w:id="101" w:name="_Toc19830"/>
      <w:bookmarkStart w:id="102" w:name="_Toc88209963"/>
      <w:bookmarkStart w:id="103" w:name="_Toc8086"/>
      <w:bookmarkStart w:id="104" w:name="_Toc8761640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01"/>
      <w:bookmarkEnd w:id="102"/>
      <w:bookmarkEnd w:id="103"/>
      <w:bookmarkEnd w:id="104"/>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6"/>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05"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ascii="宋体" w:hAnsi="宋体" w:eastAsia="宋体" w:cs="宋体"/>
          <w:color w:val="auto"/>
          <w:kern w:val="2"/>
          <w:sz w:val="24"/>
          <w:szCs w:val="24"/>
          <w:highlight w:val="none"/>
          <w:lang w:val="en-GB"/>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bookmarkEnd w:id="105"/>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eastAsia="zh-CN"/>
        </w:rPr>
        <w:t>广州市净水有限公司猎德、大坦沙、沥滘、西朗、石井污水处理厂厂内污泥干化减量工程节能验收服务</w:t>
      </w:r>
      <w:r>
        <w:rPr>
          <w:rFonts w:hint="eastAsia" w:cstheme="minorBidi"/>
          <w:color w:val="auto"/>
          <w:kern w:val="2"/>
          <w:sz w:val="24"/>
          <w:szCs w:val="22"/>
          <w:highlight w:val="none"/>
          <w:u w:val="single"/>
          <w:lang w:val="en-US" w:eastAsia="zh-CN" w:bidi="ar-SA"/>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4"/>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4"/>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left"/>
        <w:rPr>
          <w:rFonts w:hint="eastAsia" w:ascii="宋体" w:hAnsi="宋体" w:eastAsia="宋体" w:cs="宋体"/>
          <w:color w:val="auto"/>
          <w:kern w:val="2"/>
          <w:sz w:val="22"/>
          <w:szCs w:val="22"/>
          <w:highlight w:val="none"/>
          <w:lang w:val="en-GB"/>
        </w:rPr>
      </w:pPr>
      <w:r>
        <w:rPr>
          <w:rFonts w:hint="eastAsia" w:ascii="宋体" w:hAnsi="宋体" w:eastAsia="宋体" w:cs="宋体"/>
          <w:b/>
          <w:color w:val="auto"/>
          <w:sz w:val="21"/>
          <w:szCs w:val="21"/>
          <w:highlight w:val="none"/>
        </w:rPr>
        <w:t xml:space="preserve">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4"/>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5"/>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4"/>
        <w:rPr>
          <w:rFonts w:hint="default" w:ascii="仿宋_GB2312" w:eastAsia="仿宋_GB2312" w:hAnsiTheme="minorEastAsia"/>
          <w:color w:val="auto"/>
          <w:sz w:val="28"/>
          <w:szCs w:val="28"/>
          <w:highlight w:val="none"/>
          <w:lang w:val="en-US" w:eastAsia="zh-CN"/>
        </w:rPr>
      </w:pPr>
    </w:p>
    <w:p>
      <w:pPr>
        <w:pStyle w:val="24"/>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4"/>
        <w:rPr>
          <w:rFonts w:hint="default" w:ascii="仿宋_GB2312" w:eastAsia="仿宋_GB2312" w:hAnsiTheme="minorEastAsia"/>
          <w:color w:val="auto"/>
          <w:sz w:val="28"/>
          <w:szCs w:val="28"/>
          <w:highlight w:val="none"/>
          <w:lang w:val="en-US" w:eastAsia="zh-CN"/>
        </w:rPr>
      </w:pPr>
    </w:p>
    <w:p>
      <w:pPr>
        <w:pStyle w:val="24"/>
        <w:rPr>
          <w:rFonts w:hint="default" w:ascii="仿宋_GB2312" w:eastAsia="仿宋_GB2312" w:hAnsiTheme="minorEastAsia"/>
          <w:color w:val="auto"/>
          <w:sz w:val="28"/>
          <w:szCs w:val="28"/>
          <w:highlight w:val="none"/>
          <w:lang w:val="en-US" w:eastAsia="zh-CN"/>
        </w:rPr>
      </w:pPr>
    </w:p>
    <w:p>
      <w:pPr>
        <w:pStyle w:val="5"/>
        <w:numPr>
          <w:ilvl w:val="0"/>
          <w:numId w:val="10"/>
        </w:numPr>
        <w:rPr>
          <w:rFonts w:hint="eastAsia" w:asciiTheme="minorEastAsia" w:hAnsiTheme="minorEastAsia" w:eastAsiaTheme="minorEastAsia"/>
          <w:color w:val="auto"/>
          <w:sz w:val="28"/>
          <w:szCs w:val="28"/>
          <w:highlight w:val="none"/>
        </w:rPr>
      </w:pPr>
      <w:bookmarkStart w:id="106" w:name="_Toc19423"/>
      <w:bookmarkStart w:id="107" w:name="_Toc32430"/>
      <w:r>
        <w:rPr>
          <w:rFonts w:hint="eastAsia" w:asciiTheme="minorEastAsia" w:hAnsiTheme="minorEastAsia" w:eastAsiaTheme="minorEastAsia"/>
          <w:color w:val="auto"/>
          <w:sz w:val="28"/>
          <w:szCs w:val="28"/>
          <w:highlight w:val="none"/>
        </w:rPr>
        <w:t>报价表</w:t>
      </w:r>
      <w:bookmarkEnd w:id="106"/>
      <w:bookmarkEnd w:id="107"/>
    </w:p>
    <w:p>
      <w:pPr>
        <w:pStyle w:val="13"/>
        <w:snapToGrid w:val="0"/>
        <w:spacing w:before="156" w:beforeLines="50" w:after="156" w:afterLines="50" w:line="360" w:lineRule="auto"/>
        <w:ind w:firstLine="482"/>
        <w:jc w:val="center"/>
        <w:rPr>
          <w:rFonts w:hint="eastAsia" w:ascii="Times New Roman" w:hAnsi="Times New Roman" w:eastAsiaTheme="minorEastAsia"/>
          <w:b/>
          <w:bCs/>
          <w:color w:val="auto"/>
          <w:sz w:val="24"/>
          <w:highlight w:val="none"/>
          <w:lang w:eastAsia="zh-CN"/>
        </w:rPr>
      </w:pPr>
      <w:r>
        <w:rPr>
          <w:rFonts w:hint="eastAsia" w:ascii="Times New Roman" w:hAnsi="Times New Roman"/>
          <w:b/>
          <w:bCs/>
          <w:color w:val="auto"/>
          <w:sz w:val="24"/>
          <w:highlight w:val="none"/>
          <w:lang w:val="en-US" w:eastAsia="zh-CN"/>
        </w:rPr>
        <w:t>广州市净水有限公司猎德、大坦沙、沥滘、西朗、石井污水处理厂厂内污泥干化减量工程节能验收服务项目</w:t>
      </w:r>
      <w:r>
        <w:rPr>
          <w:rFonts w:ascii="Times New Roman" w:hAnsi="Times New Roman"/>
          <w:b/>
          <w:bCs/>
          <w:color w:val="auto"/>
          <w:sz w:val="24"/>
          <w:highlight w:val="none"/>
        </w:rPr>
        <w:t>报价明细表</w:t>
      </w:r>
    </w:p>
    <w:tbl>
      <w:tblPr>
        <w:tblStyle w:val="25"/>
        <w:tblW w:w="9662" w:type="dxa"/>
        <w:jc w:val="center"/>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701"/>
        <w:gridCol w:w="992"/>
        <w:gridCol w:w="1134"/>
        <w:gridCol w:w="1134"/>
        <w:gridCol w:w="3969"/>
      </w:tblGrid>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32" w:type="dxa"/>
            <w:shd w:val="clear" w:color="auto" w:fill="auto"/>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1701" w:type="dxa"/>
            <w:shd w:val="clear" w:color="auto" w:fill="auto"/>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w:t>
            </w:r>
          </w:p>
        </w:tc>
        <w:tc>
          <w:tcPr>
            <w:tcW w:w="992" w:type="dxa"/>
            <w:shd w:val="clear" w:color="auto" w:fill="auto"/>
            <w:vAlign w:val="center"/>
          </w:tcPr>
          <w:p>
            <w:pPr>
              <w:widowControl/>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数量</w:t>
            </w:r>
          </w:p>
        </w:tc>
        <w:tc>
          <w:tcPr>
            <w:tcW w:w="1134" w:type="dxa"/>
            <w:shd w:val="clear" w:color="auto" w:fill="auto"/>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单价</w:t>
            </w:r>
          </w:p>
        </w:tc>
        <w:tc>
          <w:tcPr>
            <w:tcW w:w="1134" w:type="dxa"/>
            <w:shd w:val="clear" w:color="auto" w:fill="auto"/>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合价</w:t>
            </w:r>
          </w:p>
        </w:tc>
        <w:tc>
          <w:tcPr>
            <w:tcW w:w="3969" w:type="dxa"/>
            <w:shd w:val="clear" w:color="auto" w:fill="auto"/>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732" w:type="dxa"/>
            <w:shd w:val="clear" w:color="auto" w:fill="auto"/>
            <w:vAlign w:val="center"/>
          </w:tcPr>
          <w:p>
            <w:pPr>
              <w:widowControl/>
              <w:jc w:val="center"/>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1</w:t>
            </w:r>
          </w:p>
        </w:tc>
        <w:tc>
          <w:tcPr>
            <w:tcW w:w="1701" w:type="dxa"/>
            <w:shd w:val="clear" w:color="auto" w:fill="auto"/>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报告编制费（人工成本）</w:t>
            </w:r>
          </w:p>
        </w:tc>
        <w:tc>
          <w:tcPr>
            <w:tcW w:w="992" w:type="dxa"/>
            <w:shd w:val="clear" w:color="auto" w:fill="auto"/>
            <w:vAlign w:val="center"/>
          </w:tcPr>
          <w:p>
            <w:pPr>
              <w:widowControl/>
              <w:jc w:val="center"/>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300</w:t>
            </w:r>
          </w:p>
        </w:tc>
        <w:tc>
          <w:tcPr>
            <w:tcW w:w="1134" w:type="dxa"/>
            <w:shd w:val="clear" w:color="auto" w:fill="auto"/>
            <w:vAlign w:val="center"/>
          </w:tcPr>
          <w:p>
            <w:pPr>
              <w:widowControl/>
              <w:jc w:val="center"/>
              <w:rPr>
                <w:rFonts w:hint="default" w:ascii="Times New Roman" w:hAnsi="Times New Roman" w:eastAsia="宋体" w:cs="Times New Roman"/>
                <w:color w:val="auto"/>
                <w:kern w:val="0"/>
                <w:sz w:val="24"/>
                <w:szCs w:val="24"/>
                <w:highlight w:val="none"/>
                <w:lang w:val="en-US" w:eastAsia="zh-CN"/>
              </w:rPr>
            </w:pPr>
          </w:p>
        </w:tc>
        <w:tc>
          <w:tcPr>
            <w:tcW w:w="1134" w:type="dxa"/>
            <w:shd w:val="clear" w:color="auto" w:fill="auto"/>
            <w:vAlign w:val="center"/>
          </w:tcPr>
          <w:p>
            <w:pPr>
              <w:widowControl/>
              <w:jc w:val="center"/>
              <w:rPr>
                <w:rFonts w:ascii="Times New Roman" w:hAnsi="Times New Roman" w:eastAsia="宋体" w:cs="Times New Roman"/>
                <w:color w:val="auto"/>
                <w:kern w:val="0"/>
                <w:sz w:val="24"/>
                <w:szCs w:val="24"/>
                <w:highlight w:val="none"/>
              </w:rPr>
            </w:pPr>
          </w:p>
        </w:tc>
        <w:tc>
          <w:tcPr>
            <w:tcW w:w="3969" w:type="dxa"/>
            <w:shd w:val="clear" w:color="auto" w:fill="auto"/>
            <w:vAlign w:val="center"/>
          </w:tcPr>
          <w:p>
            <w:pPr>
              <w:widowControl/>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报告编制共需10人，每人30个工作日，共300</w:t>
            </w:r>
            <w:r>
              <w:rPr>
                <w:rFonts w:hint="eastAsia" w:ascii="宋体" w:hAnsi="宋体" w:eastAsia="宋体" w:cs="宋体"/>
                <w:color w:val="auto"/>
                <w:kern w:val="0"/>
                <w:sz w:val="24"/>
                <w:szCs w:val="24"/>
                <w:highlight w:val="none"/>
              </w:rPr>
              <w:t>人</w:t>
            </w:r>
            <w:r>
              <w:rPr>
                <w:rFonts w:ascii="Times New Roman" w:hAnsi="Times New Roman" w:eastAsia="宋体" w:cs="Times New Roman"/>
                <w:color w:val="auto"/>
                <w:kern w:val="0"/>
                <w:sz w:val="24"/>
                <w:szCs w:val="24"/>
                <w:highlight w:val="none"/>
              </w:rPr>
              <w:t>·</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32" w:type="dxa"/>
            <w:shd w:val="clear" w:color="auto" w:fill="auto"/>
            <w:vAlign w:val="center"/>
          </w:tcPr>
          <w:p>
            <w:pPr>
              <w:widowControl/>
              <w:jc w:val="center"/>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2</w:t>
            </w:r>
          </w:p>
        </w:tc>
        <w:tc>
          <w:tcPr>
            <w:tcW w:w="1701" w:type="dxa"/>
            <w:shd w:val="clear" w:color="auto" w:fill="auto"/>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专家费</w:t>
            </w:r>
          </w:p>
        </w:tc>
        <w:tc>
          <w:tcPr>
            <w:tcW w:w="992" w:type="dxa"/>
            <w:shd w:val="clear" w:color="auto" w:fill="auto"/>
            <w:vAlign w:val="center"/>
          </w:tcPr>
          <w:p>
            <w:pPr>
              <w:widowControl/>
              <w:jc w:val="center"/>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25</w:t>
            </w:r>
          </w:p>
        </w:tc>
        <w:tc>
          <w:tcPr>
            <w:tcW w:w="1134" w:type="dxa"/>
            <w:shd w:val="clear" w:color="auto" w:fill="auto"/>
            <w:vAlign w:val="center"/>
          </w:tcPr>
          <w:p>
            <w:pPr>
              <w:widowControl/>
              <w:jc w:val="center"/>
              <w:rPr>
                <w:rFonts w:ascii="Times New Roman" w:hAnsi="Times New Roman" w:eastAsia="宋体" w:cs="Times New Roman"/>
                <w:color w:val="auto"/>
                <w:kern w:val="0"/>
                <w:sz w:val="24"/>
                <w:szCs w:val="24"/>
                <w:highlight w:val="none"/>
              </w:rPr>
            </w:pPr>
          </w:p>
        </w:tc>
        <w:tc>
          <w:tcPr>
            <w:tcW w:w="1134" w:type="dxa"/>
            <w:shd w:val="clear" w:color="auto" w:fill="auto"/>
            <w:vAlign w:val="center"/>
          </w:tcPr>
          <w:p>
            <w:pPr>
              <w:widowControl/>
              <w:jc w:val="center"/>
              <w:rPr>
                <w:rFonts w:ascii="Times New Roman" w:hAnsi="Times New Roman" w:eastAsia="宋体" w:cs="Times New Roman"/>
                <w:color w:val="auto"/>
                <w:kern w:val="0"/>
                <w:sz w:val="24"/>
                <w:szCs w:val="24"/>
                <w:highlight w:val="none"/>
              </w:rPr>
            </w:pPr>
          </w:p>
        </w:tc>
        <w:tc>
          <w:tcPr>
            <w:tcW w:w="3969" w:type="dxa"/>
            <w:shd w:val="clear" w:color="auto" w:fill="auto"/>
            <w:vAlign w:val="center"/>
          </w:tcPr>
          <w:p>
            <w:pPr>
              <w:widowControl/>
              <w:jc w:val="left"/>
              <w:rPr>
                <w:rFonts w:hint="default" w:ascii="宋体" w:hAnsi="宋体" w:eastAsia="宋体" w:cs="Times New Roman"/>
                <w:color w:val="auto"/>
                <w:kern w:val="0"/>
                <w:sz w:val="24"/>
                <w:szCs w:val="24"/>
                <w:highlight w:val="none"/>
                <w:u w:val="single"/>
                <w:lang w:val="en-US" w:eastAsia="zh-CN"/>
              </w:rPr>
            </w:pPr>
            <w:r>
              <w:rPr>
                <w:rFonts w:hint="default" w:ascii="宋体" w:hAnsi="宋体" w:eastAsia="宋体" w:cs="Times New Roman"/>
                <w:color w:val="auto"/>
                <w:kern w:val="0"/>
                <w:sz w:val="24"/>
                <w:szCs w:val="24"/>
                <w:highlight w:val="none"/>
                <w:u w:val="single"/>
                <w:lang w:val="en-US" w:eastAsia="zh-CN"/>
              </w:rPr>
              <w:t>参照《建设项目前期工作咨询收费暂行规定》，</w:t>
            </w:r>
            <w:r>
              <w:rPr>
                <w:rFonts w:hint="eastAsia" w:ascii="宋体" w:hAnsi="宋体" w:eastAsia="宋体" w:cs="Times New Roman"/>
                <w:color w:val="auto"/>
                <w:kern w:val="0"/>
                <w:sz w:val="24"/>
                <w:szCs w:val="24"/>
                <w:highlight w:val="none"/>
                <w:u w:val="single"/>
                <w:lang w:val="en-US" w:eastAsia="zh-CN"/>
              </w:rPr>
              <w:t>高级专家为</w:t>
            </w:r>
            <w:r>
              <w:rPr>
                <w:rFonts w:hint="default" w:ascii="宋体" w:hAnsi="宋体" w:eastAsia="宋体" w:cs="Times New Roman"/>
                <w:color w:val="auto"/>
                <w:kern w:val="0"/>
                <w:sz w:val="24"/>
                <w:szCs w:val="24"/>
                <w:highlight w:val="none"/>
                <w:u w:val="single"/>
                <w:lang w:val="en-US" w:eastAsia="zh-CN"/>
              </w:rPr>
              <w:t>1000－1200元/人天。</w:t>
            </w:r>
            <w:r>
              <w:rPr>
                <w:rFonts w:hint="eastAsia" w:ascii="宋体" w:hAnsi="宋体" w:eastAsia="宋体" w:cs="Times New Roman"/>
                <w:color w:val="auto"/>
                <w:kern w:val="0"/>
                <w:sz w:val="24"/>
                <w:szCs w:val="24"/>
                <w:highlight w:val="none"/>
                <w:u w:val="single"/>
                <w:lang w:val="en-US" w:eastAsia="zh-CN"/>
              </w:rPr>
              <w:t>需</w:t>
            </w:r>
            <w:r>
              <w:rPr>
                <w:rFonts w:hint="default" w:ascii="宋体" w:hAnsi="宋体" w:eastAsia="宋体" w:cs="Times New Roman"/>
                <w:color w:val="auto"/>
                <w:kern w:val="0"/>
                <w:sz w:val="24"/>
                <w:szCs w:val="24"/>
                <w:highlight w:val="none"/>
                <w:u w:val="single"/>
                <w:lang w:val="en-US" w:eastAsia="zh-CN"/>
              </w:rPr>
              <w:t>5位专家，共5</w:t>
            </w:r>
            <w:r>
              <w:rPr>
                <w:rFonts w:hint="eastAsia" w:ascii="宋体" w:hAnsi="宋体" w:eastAsia="宋体" w:cs="Times New Roman"/>
                <w:color w:val="auto"/>
                <w:kern w:val="0"/>
                <w:sz w:val="24"/>
                <w:szCs w:val="24"/>
                <w:highlight w:val="none"/>
                <w:u w:val="single"/>
                <w:lang w:val="en-US" w:eastAsia="zh-CN"/>
              </w:rPr>
              <w:t>次，需25人次；</w:t>
            </w:r>
            <w:r>
              <w:rPr>
                <w:rFonts w:ascii="宋体" w:hAnsi="宋体" w:eastAsia="宋体" w:cs="宋体"/>
                <w:color w:val="auto"/>
                <w:sz w:val="24"/>
                <w:szCs w:val="24"/>
                <w:highlight w:val="none"/>
              </w:rPr>
              <w:t>专家费单价报价区间为1000-1200元，未在区间报价的按无效响应处理</w:t>
            </w:r>
            <w:r>
              <w:rPr>
                <w:rFonts w:hint="eastAsia" w:ascii="宋体" w:hAnsi="宋体" w:eastAsia="宋体" w:cs="宋体"/>
                <w:color w:val="auto"/>
                <w:sz w:val="24"/>
                <w:szCs w:val="24"/>
                <w:highlight w:val="none"/>
                <w:lang w:eastAsia="zh-CN"/>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32" w:type="dxa"/>
            <w:shd w:val="clear" w:color="auto" w:fill="auto"/>
            <w:vAlign w:val="center"/>
          </w:tcPr>
          <w:p>
            <w:pPr>
              <w:widowControl/>
              <w:jc w:val="center"/>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3</w:t>
            </w:r>
          </w:p>
        </w:tc>
        <w:tc>
          <w:tcPr>
            <w:tcW w:w="1701" w:type="dxa"/>
            <w:shd w:val="clear" w:color="auto" w:fill="auto"/>
            <w:vAlign w:val="center"/>
          </w:tcPr>
          <w:p>
            <w:pPr>
              <w:widowControl/>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会议场地费</w:t>
            </w:r>
          </w:p>
        </w:tc>
        <w:tc>
          <w:tcPr>
            <w:tcW w:w="992" w:type="dxa"/>
            <w:shd w:val="clear" w:color="auto" w:fill="auto"/>
            <w:vAlign w:val="center"/>
          </w:tcPr>
          <w:p>
            <w:pPr>
              <w:widowControl/>
              <w:jc w:val="center"/>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5</w:t>
            </w:r>
          </w:p>
        </w:tc>
        <w:tc>
          <w:tcPr>
            <w:tcW w:w="1134" w:type="dxa"/>
            <w:shd w:val="clear" w:color="auto" w:fill="auto"/>
            <w:vAlign w:val="center"/>
          </w:tcPr>
          <w:p>
            <w:pPr>
              <w:widowControl/>
              <w:jc w:val="center"/>
              <w:rPr>
                <w:rFonts w:hint="eastAsia" w:ascii="Times New Roman" w:hAnsi="Times New Roman" w:eastAsia="宋体" w:cs="Times New Roman"/>
                <w:color w:val="auto"/>
                <w:kern w:val="0"/>
                <w:sz w:val="24"/>
                <w:szCs w:val="24"/>
                <w:highlight w:val="none"/>
                <w:lang w:val="en-US" w:eastAsia="zh-CN"/>
              </w:rPr>
            </w:pPr>
          </w:p>
        </w:tc>
        <w:tc>
          <w:tcPr>
            <w:tcW w:w="1134" w:type="dxa"/>
            <w:shd w:val="clear" w:color="auto" w:fill="auto"/>
            <w:vAlign w:val="center"/>
          </w:tcPr>
          <w:p>
            <w:pPr>
              <w:widowControl/>
              <w:jc w:val="center"/>
              <w:rPr>
                <w:rFonts w:ascii="Times New Roman" w:hAnsi="Times New Roman" w:eastAsia="宋体" w:cs="Times New Roman"/>
                <w:color w:val="auto"/>
                <w:kern w:val="0"/>
                <w:sz w:val="24"/>
                <w:szCs w:val="24"/>
                <w:highlight w:val="none"/>
              </w:rPr>
            </w:pPr>
          </w:p>
        </w:tc>
        <w:tc>
          <w:tcPr>
            <w:tcW w:w="3969" w:type="dxa"/>
            <w:shd w:val="clear" w:color="auto" w:fill="auto"/>
            <w:vAlign w:val="center"/>
          </w:tcPr>
          <w:p>
            <w:pPr>
              <w:widowControl/>
              <w:jc w:val="left"/>
              <w:rPr>
                <w:rFonts w:hint="default" w:ascii="宋体" w:hAnsi="宋体" w:eastAsia="宋体" w:cs="Times New Roman"/>
                <w:color w:val="auto"/>
                <w:kern w:val="0"/>
                <w:sz w:val="24"/>
                <w:szCs w:val="24"/>
                <w:highlight w:val="none"/>
                <w:u w:val="single"/>
                <w:lang w:val="en-US" w:eastAsia="zh-CN"/>
              </w:rPr>
            </w:pPr>
            <w:r>
              <w:rPr>
                <w:rFonts w:hint="eastAsia" w:ascii="宋体" w:hAnsi="宋体" w:eastAsia="宋体" w:cs="Times New Roman"/>
                <w:color w:val="auto"/>
                <w:kern w:val="0"/>
                <w:sz w:val="24"/>
                <w:szCs w:val="24"/>
                <w:highlight w:val="none"/>
                <w:u w:val="single"/>
                <w:lang w:val="en-US" w:eastAsia="zh-CN"/>
              </w:rPr>
              <w:t>场地租赁次数共5次</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32" w:type="dxa"/>
            <w:shd w:val="clear" w:color="auto" w:fill="auto"/>
            <w:vAlign w:val="center"/>
          </w:tcPr>
          <w:p>
            <w:pPr>
              <w:widowControl/>
              <w:jc w:val="center"/>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4</w:t>
            </w:r>
          </w:p>
        </w:tc>
        <w:tc>
          <w:tcPr>
            <w:tcW w:w="1701" w:type="dxa"/>
            <w:shd w:val="clear" w:color="auto" w:fill="auto"/>
            <w:vAlign w:val="center"/>
          </w:tcPr>
          <w:p>
            <w:pPr>
              <w:widowControl/>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差旅费</w:t>
            </w:r>
          </w:p>
        </w:tc>
        <w:tc>
          <w:tcPr>
            <w:tcW w:w="992" w:type="dxa"/>
            <w:shd w:val="clear" w:color="auto" w:fill="auto"/>
            <w:vAlign w:val="center"/>
          </w:tcPr>
          <w:p>
            <w:pPr>
              <w:widowControl/>
              <w:jc w:val="center"/>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50</w:t>
            </w:r>
          </w:p>
        </w:tc>
        <w:tc>
          <w:tcPr>
            <w:tcW w:w="1134" w:type="dxa"/>
            <w:shd w:val="clear" w:color="auto" w:fill="auto"/>
            <w:vAlign w:val="center"/>
          </w:tcPr>
          <w:p>
            <w:pPr>
              <w:widowControl/>
              <w:jc w:val="center"/>
              <w:rPr>
                <w:rFonts w:hint="default" w:ascii="Times New Roman" w:hAnsi="Times New Roman" w:eastAsia="宋体" w:cs="Times New Roman"/>
                <w:color w:val="auto"/>
                <w:kern w:val="0"/>
                <w:sz w:val="24"/>
                <w:szCs w:val="24"/>
                <w:highlight w:val="none"/>
                <w:lang w:val="en-US" w:eastAsia="zh-CN"/>
              </w:rPr>
            </w:pPr>
          </w:p>
        </w:tc>
        <w:tc>
          <w:tcPr>
            <w:tcW w:w="1134" w:type="dxa"/>
            <w:shd w:val="clear" w:color="auto" w:fill="auto"/>
            <w:vAlign w:val="center"/>
          </w:tcPr>
          <w:p>
            <w:pPr>
              <w:widowControl/>
              <w:jc w:val="center"/>
              <w:rPr>
                <w:rFonts w:ascii="Times New Roman" w:hAnsi="Times New Roman" w:eastAsia="宋体" w:cs="Times New Roman"/>
                <w:color w:val="auto"/>
                <w:kern w:val="0"/>
                <w:sz w:val="24"/>
                <w:szCs w:val="24"/>
                <w:highlight w:val="none"/>
              </w:rPr>
            </w:pPr>
          </w:p>
        </w:tc>
        <w:tc>
          <w:tcPr>
            <w:tcW w:w="3969" w:type="dxa"/>
            <w:shd w:val="clear" w:color="auto" w:fill="auto"/>
            <w:vAlign w:val="center"/>
          </w:tcPr>
          <w:p>
            <w:pPr>
              <w:widowControl/>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参照《广州市市直党政机关和事业单位培训费管理办法》，按二类</w:t>
            </w:r>
            <w:r>
              <w:rPr>
                <w:rFonts w:hint="eastAsia" w:ascii="宋体" w:hAnsi="宋体" w:eastAsia="宋体" w:cs="宋体"/>
                <w:color w:val="auto"/>
                <w:kern w:val="0"/>
                <w:sz w:val="24"/>
                <w:szCs w:val="24"/>
                <w:highlight w:val="none"/>
                <w:lang w:val="en-US" w:eastAsia="zh-CN"/>
              </w:rPr>
              <w:t>培训</w:t>
            </w:r>
            <w:r>
              <w:rPr>
                <w:rFonts w:hint="eastAsia" w:ascii="宋体" w:hAnsi="宋体" w:eastAsia="宋体" w:cs="宋体"/>
                <w:color w:val="auto"/>
                <w:kern w:val="0"/>
                <w:sz w:val="24"/>
                <w:szCs w:val="24"/>
                <w:highlight w:val="none"/>
              </w:rPr>
              <w:t>费用计取伙食费、交通费</w:t>
            </w:r>
            <w:r>
              <w:rPr>
                <w:rFonts w:hint="eastAsia" w:ascii="宋体" w:hAnsi="宋体" w:eastAsia="宋体" w:cs="宋体"/>
                <w:color w:val="auto"/>
                <w:kern w:val="0"/>
                <w:sz w:val="24"/>
                <w:szCs w:val="24"/>
                <w:highlight w:val="none"/>
                <w:lang w:val="en-US" w:eastAsia="zh-CN"/>
              </w:rPr>
              <w:t>合计</w:t>
            </w:r>
            <w:r>
              <w:rPr>
                <w:rFonts w:hint="eastAsia" w:ascii="宋体" w:hAnsi="宋体" w:eastAsia="宋体" w:cs="宋体"/>
                <w:color w:val="auto"/>
                <w:kern w:val="0"/>
                <w:sz w:val="24"/>
                <w:szCs w:val="24"/>
                <w:highlight w:val="none"/>
              </w:rPr>
              <w:t>180元/人天</w:t>
            </w:r>
            <w:r>
              <w:rPr>
                <w:rFonts w:hint="eastAsia" w:ascii="宋体" w:hAnsi="宋体" w:eastAsia="宋体" w:cs="宋体"/>
                <w:color w:val="auto"/>
                <w:kern w:val="0"/>
                <w:sz w:val="24"/>
                <w:szCs w:val="24"/>
                <w:highlight w:val="none"/>
                <w:lang w:val="en-US" w:eastAsia="zh-CN"/>
              </w:rPr>
              <w:t>,10人1次，共5次，需50人次；</w:t>
            </w:r>
            <w:r>
              <w:rPr>
                <w:rFonts w:ascii="宋体" w:hAnsi="宋体" w:eastAsia="宋体" w:cs="宋体"/>
                <w:color w:val="auto"/>
                <w:sz w:val="24"/>
                <w:szCs w:val="24"/>
                <w:highlight w:val="none"/>
              </w:rPr>
              <w:t>差旅费单价限价为180元/人天，超出限价报价的按无效响应处理</w:t>
            </w:r>
            <w:r>
              <w:rPr>
                <w:rFonts w:hint="eastAsia" w:ascii="宋体" w:hAnsi="宋体" w:eastAsia="宋体" w:cs="宋体"/>
                <w:color w:val="auto"/>
                <w:sz w:val="24"/>
                <w:szCs w:val="24"/>
                <w:highlight w:val="none"/>
                <w:lang w:eastAsia="zh-CN"/>
              </w:rPr>
              <w:t>。</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32" w:type="dxa"/>
            <w:shd w:val="clear" w:color="auto" w:fill="auto"/>
            <w:vAlign w:val="center"/>
          </w:tcPr>
          <w:p>
            <w:pPr>
              <w:widowControl/>
              <w:jc w:val="center"/>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5</w:t>
            </w:r>
          </w:p>
        </w:tc>
        <w:tc>
          <w:tcPr>
            <w:tcW w:w="1701" w:type="dxa"/>
            <w:shd w:val="clear" w:color="auto" w:fill="auto"/>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印刷费及资料费</w:t>
            </w:r>
          </w:p>
        </w:tc>
        <w:tc>
          <w:tcPr>
            <w:tcW w:w="992" w:type="dxa"/>
            <w:shd w:val="clear" w:color="auto" w:fill="auto"/>
            <w:vAlign w:val="center"/>
          </w:tcPr>
          <w:p>
            <w:pPr>
              <w:widowControl/>
              <w:jc w:val="center"/>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60</w:t>
            </w:r>
          </w:p>
        </w:tc>
        <w:tc>
          <w:tcPr>
            <w:tcW w:w="1134" w:type="dxa"/>
            <w:shd w:val="clear" w:color="auto" w:fill="auto"/>
            <w:vAlign w:val="center"/>
          </w:tcPr>
          <w:p>
            <w:pPr>
              <w:widowControl/>
              <w:jc w:val="center"/>
              <w:rPr>
                <w:rFonts w:ascii="Times New Roman" w:hAnsi="Times New Roman" w:eastAsia="宋体" w:cs="Times New Roman"/>
                <w:color w:val="auto"/>
                <w:kern w:val="0"/>
                <w:sz w:val="24"/>
                <w:szCs w:val="24"/>
                <w:highlight w:val="none"/>
              </w:rPr>
            </w:pPr>
          </w:p>
        </w:tc>
        <w:tc>
          <w:tcPr>
            <w:tcW w:w="1134" w:type="dxa"/>
            <w:shd w:val="clear" w:color="auto" w:fill="auto"/>
            <w:vAlign w:val="center"/>
          </w:tcPr>
          <w:p>
            <w:pPr>
              <w:widowControl/>
              <w:jc w:val="center"/>
              <w:rPr>
                <w:rFonts w:ascii="Times New Roman" w:hAnsi="Times New Roman" w:eastAsia="宋体" w:cs="Times New Roman"/>
                <w:color w:val="auto"/>
                <w:kern w:val="0"/>
                <w:sz w:val="24"/>
                <w:szCs w:val="24"/>
                <w:highlight w:val="none"/>
              </w:rPr>
            </w:pPr>
          </w:p>
        </w:tc>
        <w:tc>
          <w:tcPr>
            <w:tcW w:w="3969" w:type="dxa"/>
            <w:shd w:val="clear" w:color="auto" w:fill="auto"/>
            <w:vAlign w:val="center"/>
          </w:tcPr>
          <w:p>
            <w:pPr>
              <w:widowControl/>
              <w:jc w:val="left"/>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资料及报告初稿、终稿的印刷份数60份</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732" w:type="dxa"/>
            <w:shd w:val="clear" w:color="auto" w:fill="auto"/>
            <w:vAlign w:val="center"/>
          </w:tcPr>
          <w:p>
            <w:pPr>
              <w:widowControl/>
              <w:jc w:val="center"/>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6</w:t>
            </w:r>
          </w:p>
        </w:tc>
        <w:tc>
          <w:tcPr>
            <w:tcW w:w="3827" w:type="dxa"/>
            <w:gridSpan w:val="3"/>
            <w:shd w:val="clear" w:color="auto" w:fill="auto"/>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不含税合计</w:t>
            </w:r>
          </w:p>
        </w:tc>
        <w:tc>
          <w:tcPr>
            <w:tcW w:w="1134" w:type="dxa"/>
            <w:shd w:val="clear" w:color="auto" w:fill="auto"/>
            <w:vAlign w:val="center"/>
          </w:tcPr>
          <w:p>
            <w:pPr>
              <w:widowControl/>
              <w:jc w:val="center"/>
              <w:rPr>
                <w:rFonts w:ascii="Times New Roman" w:hAnsi="Times New Roman" w:eastAsia="宋体" w:cs="Times New Roman"/>
                <w:color w:val="auto"/>
                <w:kern w:val="0"/>
                <w:sz w:val="24"/>
                <w:szCs w:val="24"/>
                <w:highlight w:val="none"/>
              </w:rPr>
            </w:pPr>
          </w:p>
        </w:tc>
        <w:tc>
          <w:tcPr>
            <w:tcW w:w="3969" w:type="dxa"/>
            <w:shd w:val="clear" w:color="auto" w:fill="auto"/>
            <w:vAlign w:val="center"/>
          </w:tcPr>
          <w:p>
            <w:pPr>
              <w:widowControl/>
              <w:jc w:val="center"/>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6</w:t>
            </w:r>
            <w:r>
              <w:rPr>
                <w:rFonts w:ascii="Times New Roman" w:hAnsi="Times New Roman" w:eastAsia="宋体" w:cs="Times New Roman"/>
                <w:color w:val="auto"/>
                <w:kern w:val="0"/>
                <w:sz w:val="24"/>
                <w:szCs w:val="24"/>
                <w:highlight w:val="none"/>
              </w:rPr>
              <w:t>=1+2+3</w:t>
            </w:r>
            <w:r>
              <w:rPr>
                <w:rFonts w:hint="eastAsia" w:ascii="Times New Roman" w:hAnsi="Times New Roman" w:eastAsia="宋体" w:cs="Times New Roman"/>
                <w:color w:val="auto"/>
                <w:kern w:val="0"/>
                <w:sz w:val="24"/>
                <w:szCs w:val="24"/>
                <w:highlight w:val="none"/>
                <w:lang w:val="en-US" w:eastAsia="zh-CN"/>
              </w:rPr>
              <w:t>+4+5</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732" w:type="dxa"/>
            <w:shd w:val="clear" w:color="auto" w:fill="auto"/>
            <w:vAlign w:val="center"/>
          </w:tcPr>
          <w:p>
            <w:pPr>
              <w:widowControl/>
              <w:jc w:val="center"/>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7</w:t>
            </w:r>
          </w:p>
        </w:tc>
        <w:tc>
          <w:tcPr>
            <w:tcW w:w="2693" w:type="dxa"/>
            <w:gridSpan w:val="2"/>
            <w:shd w:val="clear" w:color="auto" w:fill="auto"/>
            <w:vAlign w:val="center"/>
          </w:tcPr>
          <w:p>
            <w:pPr>
              <w:widowControl/>
              <w:jc w:val="center"/>
              <w:rPr>
                <w:rFonts w:ascii="Times New Roman" w:hAnsi="Times New Roman" w:eastAsia="宋体" w:cs="Times New Roman"/>
                <w:color w:val="auto"/>
                <w:kern w:val="0"/>
                <w:sz w:val="24"/>
                <w:szCs w:val="24"/>
                <w:highlight w:val="none"/>
              </w:rPr>
            </w:pPr>
            <w:r>
              <w:rPr>
                <w:rFonts w:hint="eastAsia" w:ascii="宋体" w:hAnsi="宋体" w:eastAsia="宋体" w:cs="宋体"/>
                <w:color w:val="auto"/>
                <w:kern w:val="0"/>
                <w:sz w:val="24"/>
                <w:szCs w:val="24"/>
                <w:highlight w:val="none"/>
              </w:rPr>
              <w:t>税金</w:t>
            </w:r>
          </w:p>
        </w:tc>
        <w:tc>
          <w:tcPr>
            <w:tcW w:w="1134" w:type="dxa"/>
            <w:shd w:val="clear" w:color="auto" w:fill="auto"/>
            <w:vAlign w:val="center"/>
          </w:tcPr>
          <w:p>
            <w:pPr>
              <w:widowControl/>
              <w:jc w:val="center"/>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6%</w:t>
            </w:r>
          </w:p>
        </w:tc>
        <w:tc>
          <w:tcPr>
            <w:tcW w:w="1134" w:type="dxa"/>
            <w:shd w:val="clear" w:color="auto" w:fill="auto"/>
            <w:vAlign w:val="center"/>
          </w:tcPr>
          <w:p>
            <w:pPr>
              <w:widowControl/>
              <w:jc w:val="center"/>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 xml:space="preserve"> </w:t>
            </w:r>
          </w:p>
        </w:tc>
        <w:tc>
          <w:tcPr>
            <w:tcW w:w="3969" w:type="dxa"/>
            <w:shd w:val="clear" w:color="auto" w:fill="auto"/>
            <w:vAlign w:val="center"/>
          </w:tcPr>
          <w:p>
            <w:pPr>
              <w:widowControl/>
              <w:jc w:val="center"/>
              <w:rPr>
                <w:rFonts w:ascii="宋体" w:hAnsi="宋体" w:eastAsia="宋体" w:cs="宋体"/>
                <w:color w:val="auto"/>
                <w:kern w:val="0"/>
                <w:sz w:val="24"/>
                <w:szCs w:val="24"/>
                <w:highlight w:val="none"/>
              </w:rPr>
            </w:pP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2" w:type="dxa"/>
            <w:shd w:val="clear" w:color="auto" w:fill="auto"/>
            <w:vAlign w:val="center"/>
          </w:tcPr>
          <w:p>
            <w:pPr>
              <w:widowControl/>
              <w:jc w:val="center"/>
              <w:rPr>
                <w:rFonts w:hint="eastAsia" w:ascii="Times New Roman" w:hAnsi="Times New Roman" w:eastAsia="宋体" w:cs="Times New Roman"/>
                <w:color w:val="auto"/>
                <w:kern w:val="0"/>
                <w:sz w:val="24"/>
                <w:szCs w:val="24"/>
                <w:highlight w:val="none"/>
                <w:lang w:val="en-US" w:eastAsia="zh-CN"/>
              </w:rPr>
            </w:pPr>
            <w:r>
              <w:rPr>
                <w:rFonts w:hint="eastAsia" w:ascii="Times New Roman" w:hAnsi="Times New Roman" w:eastAsia="宋体" w:cs="Times New Roman"/>
                <w:color w:val="auto"/>
                <w:kern w:val="0"/>
                <w:sz w:val="24"/>
                <w:szCs w:val="24"/>
                <w:highlight w:val="none"/>
                <w:lang w:val="en-US" w:eastAsia="zh-CN"/>
              </w:rPr>
              <w:t>8</w:t>
            </w:r>
          </w:p>
        </w:tc>
        <w:tc>
          <w:tcPr>
            <w:tcW w:w="1701" w:type="dxa"/>
            <w:shd w:val="clear" w:color="auto" w:fill="auto"/>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项目标准收费</w:t>
            </w:r>
          </w:p>
        </w:tc>
        <w:tc>
          <w:tcPr>
            <w:tcW w:w="3260" w:type="dxa"/>
            <w:gridSpan w:val="3"/>
            <w:shd w:val="clear" w:color="auto" w:fill="auto"/>
            <w:vAlign w:val="center"/>
          </w:tcPr>
          <w:p>
            <w:pPr>
              <w:widowControl/>
              <w:jc w:val="center"/>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　</w:t>
            </w:r>
          </w:p>
          <w:p>
            <w:pPr>
              <w:widowControl/>
              <w:jc w:val="center"/>
              <w:rPr>
                <w:rFonts w:ascii="Times New Roman" w:hAnsi="Times New Roman" w:eastAsia="宋体" w:cs="Times New Roman"/>
                <w:color w:val="auto"/>
                <w:kern w:val="0"/>
                <w:sz w:val="24"/>
                <w:szCs w:val="24"/>
                <w:highlight w:val="none"/>
              </w:rPr>
            </w:pPr>
            <w:r>
              <w:rPr>
                <w:rFonts w:ascii="Times New Roman" w:hAnsi="Times New Roman" w:eastAsia="宋体" w:cs="Times New Roman"/>
                <w:color w:val="auto"/>
                <w:kern w:val="0"/>
                <w:sz w:val="24"/>
                <w:szCs w:val="24"/>
                <w:highlight w:val="none"/>
              </w:rPr>
              <w:t>　</w:t>
            </w:r>
          </w:p>
        </w:tc>
        <w:tc>
          <w:tcPr>
            <w:tcW w:w="3969" w:type="dxa"/>
            <w:shd w:val="clear" w:color="auto" w:fill="auto"/>
            <w:vAlign w:val="center"/>
          </w:tcPr>
          <w:p>
            <w:pPr>
              <w:widowControl/>
              <w:jc w:val="center"/>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宋体" w:cs="Times New Roman"/>
                <w:color w:val="auto"/>
                <w:kern w:val="0"/>
                <w:sz w:val="24"/>
                <w:szCs w:val="24"/>
                <w:highlight w:val="none"/>
                <w:lang w:val="en-US" w:eastAsia="zh-CN"/>
              </w:rPr>
              <w:t>8</w:t>
            </w:r>
            <w:r>
              <w:rPr>
                <w:rFonts w:ascii="Times New Roman" w:hAnsi="Times New Roman" w:eastAsia="宋体" w:cs="Times New Roman"/>
                <w:color w:val="auto"/>
                <w:kern w:val="0"/>
                <w:sz w:val="24"/>
                <w:szCs w:val="24"/>
                <w:highlight w:val="none"/>
              </w:rPr>
              <w:t>=</w:t>
            </w:r>
            <w:r>
              <w:rPr>
                <w:rFonts w:hint="eastAsia" w:ascii="Times New Roman" w:hAnsi="Times New Roman" w:eastAsia="宋体" w:cs="Times New Roman"/>
                <w:color w:val="auto"/>
                <w:kern w:val="0"/>
                <w:sz w:val="24"/>
                <w:szCs w:val="24"/>
                <w:highlight w:val="none"/>
                <w:lang w:val="en-US" w:eastAsia="zh-CN"/>
              </w:rPr>
              <w:t>6</w:t>
            </w:r>
            <w:r>
              <w:rPr>
                <w:rFonts w:ascii="Times New Roman" w:hAnsi="Times New Roman" w:eastAsia="宋体" w:cs="Times New Roman"/>
                <w:color w:val="auto"/>
                <w:kern w:val="0"/>
                <w:sz w:val="24"/>
                <w:szCs w:val="24"/>
                <w:highlight w:val="none"/>
              </w:rPr>
              <w:t>+</w:t>
            </w:r>
            <w:r>
              <w:rPr>
                <w:rFonts w:hint="eastAsia" w:ascii="Times New Roman" w:hAnsi="Times New Roman" w:eastAsia="宋体" w:cs="Times New Roman"/>
                <w:color w:val="auto"/>
                <w:kern w:val="0"/>
                <w:sz w:val="24"/>
                <w:szCs w:val="24"/>
                <w:highlight w:val="none"/>
                <w:lang w:val="en-US" w:eastAsia="zh-CN"/>
              </w:rPr>
              <w:t>7</w:t>
            </w:r>
          </w:p>
        </w:tc>
      </w:tr>
      <w:tr>
        <w:tblPrEx>
          <w:tblBorders>
            <w:top w:val="double" w:color="auto" w:sz="6" w:space="0"/>
            <w:left w:val="double" w:color="auto" w:sz="6" w:space="0"/>
            <w:bottom w:val="double" w:color="auto" w:sz="6" w:space="0"/>
            <w:right w:val="double" w:color="auto" w:sz="6"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433" w:type="dxa"/>
            <w:gridSpan w:val="2"/>
            <w:shd w:val="clear" w:color="auto" w:fill="auto"/>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报价总计</w:t>
            </w:r>
          </w:p>
        </w:tc>
        <w:tc>
          <w:tcPr>
            <w:tcW w:w="3260" w:type="dxa"/>
            <w:gridSpan w:val="3"/>
            <w:shd w:val="clear" w:color="auto" w:fill="auto"/>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大写：</w:t>
            </w:r>
          </w:p>
          <w:p>
            <w:pPr>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Times New Roman" w:hAnsi="Times New Roman" w:eastAsia="宋体" w:cs="Times New Roman"/>
                <w:color w:val="auto"/>
                <w:kern w:val="0"/>
                <w:sz w:val="24"/>
                <w:szCs w:val="24"/>
                <w:highlight w:val="none"/>
                <w:u w:val="single"/>
                <w:lang w:val="en-US" w:eastAsia="zh-CN"/>
              </w:rPr>
              <w:t xml:space="preserve">     </w:t>
            </w:r>
            <w:r>
              <w:rPr>
                <w:rFonts w:ascii="Times New Roman" w:hAnsi="Times New Roman" w:eastAsia="宋体" w:cs="Times New Roman"/>
                <w:color w:val="auto"/>
                <w:kern w:val="0"/>
                <w:sz w:val="24"/>
                <w:szCs w:val="24"/>
                <w:highlight w:val="none"/>
              </w:rPr>
              <w:t xml:space="preserve"> </w:t>
            </w:r>
            <w:r>
              <w:rPr>
                <w:rFonts w:hint="eastAsia" w:ascii="宋体" w:hAnsi="宋体" w:eastAsia="宋体" w:cs="宋体"/>
                <w:color w:val="auto"/>
                <w:kern w:val="0"/>
                <w:sz w:val="24"/>
                <w:szCs w:val="24"/>
                <w:highlight w:val="none"/>
              </w:rPr>
              <w:t>）</w:t>
            </w:r>
          </w:p>
        </w:tc>
        <w:tc>
          <w:tcPr>
            <w:tcW w:w="3969" w:type="dxa"/>
            <w:shd w:val="clear" w:color="auto" w:fill="auto"/>
            <w:vAlign w:val="center"/>
          </w:tcPr>
          <w:p>
            <w:pPr>
              <w:widowControl/>
              <w:jc w:val="center"/>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取整</w:t>
            </w:r>
          </w:p>
        </w:tc>
      </w:tr>
    </w:tbl>
    <w:p>
      <w:pPr>
        <w:adjustRightInd w:val="0"/>
        <w:snapToGrid w:val="0"/>
        <w:spacing w:line="360" w:lineRule="auto"/>
        <w:ind w:firstLine="0" w:firstLineChars="0"/>
        <w:jc w:val="both"/>
        <w:rPr>
          <w:rFonts w:hint="eastAsia" w:ascii="宋体" w:hAnsi="宋体" w:eastAsia="宋体" w:cs="宋体"/>
          <w:color w:val="auto"/>
          <w:kern w:val="2"/>
          <w:sz w:val="24"/>
          <w:szCs w:val="24"/>
          <w:highlight w:val="none"/>
          <w:lang w:val="en-GB"/>
        </w:rPr>
      </w:pPr>
      <w:r>
        <w:rPr>
          <w:rFonts w:hint="eastAsia" w:ascii="仿宋_GB2312" w:eastAsia="仿宋_GB2312" w:hAnsiTheme="minorEastAsia"/>
          <w:color w:val="auto"/>
          <w:sz w:val="28"/>
          <w:szCs w:val="28"/>
          <w:highlight w:val="none"/>
          <w:lang w:val="en-US" w:eastAsia="zh-CN"/>
        </w:rPr>
        <w:t xml:space="preserve">                                           </w:t>
      </w: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Theme="minorEastAsia" w:hAnsiTheme="minorEastAsia" w:eastAsiaTheme="minorEastAsia"/>
          <w:color w:val="auto"/>
          <w:sz w:val="28"/>
          <w:szCs w:val="28"/>
          <w:highlight w:val="none"/>
        </w:rPr>
      </w:pPr>
      <w:r>
        <w:rPr>
          <w:rFonts w:hint="eastAsia" w:ascii="宋体" w:hAnsi="宋体" w:eastAsia="宋体" w:cs="宋体"/>
          <w:color w:val="auto"/>
          <w:kern w:val="2"/>
          <w:sz w:val="24"/>
          <w:szCs w:val="24"/>
          <w:highlight w:val="none"/>
          <w:lang w:val="en-GB"/>
        </w:rPr>
        <w:t>年  月  日</w:t>
      </w:r>
    </w:p>
    <w:p>
      <w:pPr>
        <w:pStyle w:val="5"/>
        <w:rPr>
          <w:rFonts w:asciiTheme="majorEastAsia" w:hAnsiTheme="majorEastAsia" w:eastAsiaTheme="majorEastAsia"/>
          <w:color w:val="auto"/>
          <w:sz w:val="28"/>
          <w:szCs w:val="28"/>
          <w:highlight w:val="none"/>
        </w:rPr>
      </w:pPr>
      <w:bookmarkStart w:id="108" w:name="_Toc88209965"/>
      <w:bookmarkStart w:id="109" w:name="_Toc16386"/>
      <w:bookmarkStart w:id="110" w:name="_Toc6058"/>
      <w:bookmarkStart w:id="111" w:name="_Toc87616402"/>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08"/>
      <w:bookmarkEnd w:id="109"/>
      <w:bookmarkEnd w:id="110"/>
      <w:bookmarkEnd w:id="111"/>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7" w:type="first"/>
      <w:footerReference r:id="rId10" w:type="first"/>
      <w:footerReference r:id="rId8" w:type="default"/>
      <w:footerReference r:id="rId9" w:type="even"/>
      <w:pgSz w:w="11906" w:h="16838"/>
      <w:pgMar w:top="2098" w:right="1474" w:bottom="1985" w:left="1588"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hhcf8kBAACZAwAADgAAAGRycy9lMm9Eb2MueG1srVPNjtMwEL4j8Q6W&#10;79TZC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b2mxHGLAz///HH+9ef8+zt5&#10;m+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2GFx/yQEAAJk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qwBckBAACZAwAADgAAAGRycy9lMm9Eb2MueG1srVPNjtMwEL4j8Q6W&#10;79TZC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LeUOG5x4OefP86//px/fye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o6rAFyQEAAJk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4ReMoBAACa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V1eU+K4xYmff/44//pz/v2d&#10;vM369AFqTLsPmJiGd37ArZn9gM5Me1DR5i8SIhhHdU8XdeWQiMiPVsvVqsKQwNh8QXz28DxESO+l&#10;tyQbDY04vqIqP36ENKbOKbma83famDJC4/5xIGb2sNz72GO20rAbJkI7356QT4+Tb6jDRafEfHAo&#10;bF6S2YizsZuNQ4h635UtyvUg3B4SNlF6yxVG2Kkwjqywm9Yr78Tje8l6+KU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24ReMoBAACaAwAADgAAAAAAAAABACAAAAAeAQAAZHJzL2Uyb0Rv&#10;Yy54bWxQSwUGAAAAAAYABgBZAQAAWgU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Rndp8kBAACa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OVrShy3OPHzzx/nX3/Ov7+T&#10;N1mfPkCNabcBE9Pw3g+4NbMf0JlpDyra/EVCBOOo7umirhwSEfnRarlaVRgSGJsviM/un4cI6YP0&#10;lmSjoRHHV1Tlx0+QxtQ5JVdz/kYbU0Zo3H8OxMwelnsfe8xWGnbDRGjn2xPy6XHyDXW46JSYjw6F&#10;zUsyG3E2drNxCFHvu7JFuR6Ed4eETZTecoURdiqMIyvspvXKO/HvvWTd/1K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JGd2nyQEAAJo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6N/F8kBAACa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bo38XyQEAAJoDAAAOAAAAAAAAAAEAIAAAAB4BAABkcnMvZTJvRG9j&#10;LnhtbFBLBQYAAAAABgAGAFkBAABZBQ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DCF89C"/>
    <w:multiLevelType w:val="singleLevel"/>
    <w:tmpl w:val="9ADCF89C"/>
    <w:lvl w:ilvl="0" w:tentative="0">
      <w:start w:val="1"/>
      <w:numFmt w:val="chineseCounting"/>
      <w:suff w:val="nothing"/>
      <w:lvlText w:val="%1、"/>
      <w:lvlJc w:val="left"/>
      <w:rPr>
        <w:rFonts w:hint="eastAsia"/>
      </w:rPr>
    </w:lvl>
  </w:abstractNum>
  <w:abstractNum w:abstractNumId="1">
    <w:nsid w:val="9EB1CEDA"/>
    <w:multiLevelType w:val="singleLevel"/>
    <w:tmpl w:val="9EB1CEDA"/>
    <w:lvl w:ilvl="0" w:tentative="0">
      <w:start w:val="1"/>
      <w:numFmt w:val="decimal"/>
      <w:lvlText w:val="%1."/>
      <w:lvlJc w:val="left"/>
      <w:pPr>
        <w:tabs>
          <w:tab w:val="left" w:pos="312"/>
        </w:tabs>
      </w:pPr>
    </w:lvl>
  </w:abstractNum>
  <w:abstractNum w:abstractNumId="2">
    <w:nsid w:val="C5E21EF5"/>
    <w:multiLevelType w:val="singleLevel"/>
    <w:tmpl w:val="C5E21EF5"/>
    <w:lvl w:ilvl="0" w:tentative="0">
      <w:start w:val="5"/>
      <w:numFmt w:val="decimal"/>
      <w:lvlText w:val="%1."/>
      <w:lvlJc w:val="left"/>
      <w:pPr>
        <w:tabs>
          <w:tab w:val="left" w:pos="312"/>
        </w:tabs>
      </w:pPr>
    </w:lvl>
  </w:abstractNum>
  <w:abstractNum w:abstractNumId="3">
    <w:nsid w:val="CC9CF724"/>
    <w:multiLevelType w:val="singleLevel"/>
    <w:tmpl w:val="CC9CF724"/>
    <w:lvl w:ilvl="0" w:tentative="0">
      <w:start w:val="1"/>
      <w:numFmt w:val="chineseCounting"/>
      <w:suff w:val="space"/>
      <w:lvlText w:val="第%1章"/>
      <w:lvlJc w:val="left"/>
      <w:rPr>
        <w:rFonts w:hint="eastAsia"/>
      </w:rPr>
    </w:lvl>
  </w:abstractNum>
  <w:abstractNum w:abstractNumId="4">
    <w:nsid w:val="D97682DF"/>
    <w:multiLevelType w:val="singleLevel"/>
    <w:tmpl w:val="D97682DF"/>
    <w:lvl w:ilvl="0" w:tentative="0">
      <w:start w:val="3"/>
      <w:numFmt w:val="decimal"/>
      <w:suff w:val="space"/>
      <w:lvlText w:val="%1."/>
      <w:lvlJc w:val="left"/>
    </w:lvl>
  </w:abstractNum>
  <w:abstractNum w:abstractNumId="5">
    <w:nsid w:val="DA80743E"/>
    <w:multiLevelType w:val="singleLevel"/>
    <w:tmpl w:val="DA80743E"/>
    <w:lvl w:ilvl="0" w:tentative="0">
      <w:start w:val="6"/>
      <w:numFmt w:val="chineseCounting"/>
      <w:suff w:val="nothing"/>
      <w:lvlText w:val="%1、"/>
      <w:lvlJc w:val="left"/>
      <w:rPr>
        <w:rFonts w:hint="eastAsia"/>
      </w:rPr>
    </w:lvl>
  </w:abstractNum>
  <w:abstractNum w:abstractNumId="6">
    <w:nsid w:val="2030A4DB"/>
    <w:multiLevelType w:val="multilevel"/>
    <w:tmpl w:val="2030A4DB"/>
    <w:lvl w:ilvl="0" w:tentative="0">
      <w:start w:val="1"/>
      <w:numFmt w:val="decimal"/>
      <w:lvlText w:val="%1."/>
      <w:lvlJc w:val="left"/>
      <w:pPr>
        <w:ind w:left="432" w:hanging="432"/>
      </w:pPr>
      <w:rPr>
        <w:rFonts w:hint="default" w:ascii="宋体" w:hAnsi="宋体" w:eastAsia="宋体" w:cs="宋体"/>
        <w:sz w:val="32"/>
        <w:szCs w:val="32"/>
      </w:rPr>
    </w:lvl>
    <w:lvl w:ilvl="1" w:tentative="0">
      <w:start w:val="1"/>
      <w:numFmt w:val="decimal"/>
      <w:lvlText w:val="%1.%2."/>
      <w:lvlJc w:val="left"/>
      <w:pPr>
        <w:ind w:left="575" w:hanging="575"/>
      </w:pPr>
      <w:rPr>
        <w:rFonts w:hint="default" w:ascii="宋体" w:hAnsi="宋体" w:eastAsia="宋体" w:cs="宋体"/>
        <w:sz w:val="28"/>
        <w:szCs w:val="28"/>
      </w:rPr>
    </w:lvl>
    <w:lvl w:ilvl="2" w:tentative="0">
      <w:start w:val="1"/>
      <w:numFmt w:val="decimal"/>
      <w:lvlText w:val="%1.%2.%3."/>
      <w:lvlJc w:val="left"/>
      <w:pPr>
        <w:ind w:left="720" w:hanging="720"/>
      </w:pPr>
      <w:rPr>
        <w:rFonts w:hint="default" w:ascii="宋体" w:hAnsi="宋体" w:eastAsia="宋体" w:cs="宋体"/>
        <w:sz w:val="24"/>
        <w:szCs w:val="24"/>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pStyle w:val="6"/>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7">
    <w:nsid w:val="4734DCE6"/>
    <w:multiLevelType w:val="singleLevel"/>
    <w:tmpl w:val="4734DCE6"/>
    <w:lvl w:ilvl="0" w:tentative="0">
      <w:start w:val="1"/>
      <w:numFmt w:val="decimal"/>
      <w:lvlText w:val="%1."/>
      <w:lvlJc w:val="left"/>
      <w:pPr>
        <w:tabs>
          <w:tab w:val="left" w:pos="312"/>
        </w:tabs>
      </w:pPr>
    </w:lvl>
  </w:abstractNum>
  <w:abstractNum w:abstractNumId="8">
    <w:nsid w:val="546076B9"/>
    <w:multiLevelType w:val="singleLevel"/>
    <w:tmpl w:val="546076B9"/>
    <w:lvl w:ilvl="0" w:tentative="0">
      <w:start w:val="2"/>
      <w:numFmt w:val="chineseCounting"/>
      <w:suff w:val="nothing"/>
      <w:lvlText w:val="%1、"/>
      <w:lvlJc w:val="left"/>
      <w:rPr>
        <w:rFonts w:hint="eastAsia" w:ascii="仿宋" w:hAnsi="仿宋" w:eastAsia="仿宋" w:cs="仿宋"/>
        <w:b/>
        <w:bCs/>
        <w:sz w:val="24"/>
        <w:szCs w:val="24"/>
      </w:rPr>
    </w:lvl>
  </w:abstractNum>
  <w:abstractNum w:abstractNumId="9">
    <w:nsid w:val="705D32C3"/>
    <w:multiLevelType w:val="singleLevel"/>
    <w:tmpl w:val="705D32C3"/>
    <w:lvl w:ilvl="0" w:tentative="0">
      <w:start w:val="5"/>
      <w:numFmt w:val="decimal"/>
      <w:lvlText w:val="%1."/>
      <w:lvlJc w:val="left"/>
      <w:pPr>
        <w:tabs>
          <w:tab w:val="left" w:pos="312"/>
        </w:tabs>
      </w:pPr>
    </w:lvl>
  </w:abstractNum>
  <w:num w:numId="1">
    <w:abstractNumId w:val="6"/>
  </w:num>
  <w:num w:numId="2">
    <w:abstractNumId w:val="3"/>
  </w:num>
  <w:num w:numId="3">
    <w:abstractNumId w:val="9"/>
  </w:num>
  <w:num w:numId="4">
    <w:abstractNumId w:val="7"/>
  </w:num>
  <w:num w:numId="5">
    <w:abstractNumId w:val="0"/>
  </w:num>
  <w:num w:numId="6">
    <w:abstractNumId w:val="8"/>
  </w:num>
  <w:num w:numId="7">
    <w:abstractNumId w:val="1"/>
  </w:num>
  <w:num w:numId="8">
    <w:abstractNumId w:val="4"/>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 w:name="KSO_WPS_MARK_KEY" w:val="af6c057d-da48-4f15-bf06-e10247e114f2"/>
  </w:docVars>
  <w:rsids>
    <w:rsidRoot w:val="005D618A"/>
    <w:rsid w:val="003D60BA"/>
    <w:rsid w:val="00411689"/>
    <w:rsid w:val="005D618A"/>
    <w:rsid w:val="006124D3"/>
    <w:rsid w:val="00911ECD"/>
    <w:rsid w:val="00A042E0"/>
    <w:rsid w:val="00B26BB1"/>
    <w:rsid w:val="00B26E21"/>
    <w:rsid w:val="00B741D7"/>
    <w:rsid w:val="00D4533C"/>
    <w:rsid w:val="00F83B64"/>
    <w:rsid w:val="013E3461"/>
    <w:rsid w:val="01875EE2"/>
    <w:rsid w:val="01BB0F13"/>
    <w:rsid w:val="01F40F97"/>
    <w:rsid w:val="02090C75"/>
    <w:rsid w:val="020C0F34"/>
    <w:rsid w:val="02A23A3C"/>
    <w:rsid w:val="02AB5D4D"/>
    <w:rsid w:val="02D56C7E"/>
    <w:rsid w:val="02FB196F"/>
    <w:rsid w:val="035D130A"/>
    <w:rsid w:val="039110A9"/>
    <w:rsid w:val="03AC246A"/>
    <w:rsid w:val="03AE6061"/>
    <w:rsid w:val="03B23056"/>
    <w:rsid w:val="03DA023E"/>
    <w:rsid w:val="03DC3EBA"/>
    <w:rsid w:val="03F9794D"/>
    <w:rsid w:val="04354D8F"/>
    <w:rsid w:val="046A2461"/>
    <w:rsid w:val="051C2970"/>
    <w:rsid w:val="058607FF"/>
    <w:rsid w:val="05875E4B"/>
    <w:rsid w:val="058D22A7"/>
    <w:rsid w:val="05B87577"/>
    <w:rsid w:val="05D450D4"/>
    <w:rsid w:val="060C3611"/>
    <w:rsid w:val="06C354AE"/>
    <w:rsid w:val="06C64829"/>
    <w:rsid w:val="070E7B6E"/>
    <w:rsid w:val="071D62B7"/>
    <w:rsid w:val="077D16D2"/>
    <w:rsid w:val="07FB307F"/>
    <w:rsid w:val="0803749B"/>
    <w:rsid w:val="082A69F3"/>
    <w:rsid w:val="08675FC8"/>
    <w:rsid w:val="08C54DAD"/>
    <w:rsid w:val="09012917"/>
    <w:rsid w:val="09112A47"/>
    <w:rsid w:val="09476AAE"/>
    <w:rsid w:val="094D08B2"/>
    <w:rsid w:val="09B713FD"/>
    <w:rsid w:val="09EF6ACC"/>
    <w:rsid w:val="0A2B06B3"/>
    <w:rsid w:val="0A315056"/>
    <w:rsid w:val="0A694621"/>
    <w:rsid w:val="0AA213B4"/>
    <w:rsid w:val="0AA3654A"/>
    <w:rsid w:val="0AF61C7E"/>
    <w:rsid w:val="0AFB45AD"/>
    <w:rsid w:val="0B0646D5"/>
    <w:rsid w:val="0B0A026D"/>
    <w:rsid w:val="0B351E9B"/>
    <w:rsid w:val="0B4C50D3"/>
    <w:rsid w:val="0B806B92"/>
    <w:rsid w:val="0B827E94"/>
    <w:rsid w:val="0B842F76"/>
    <w:rsid w:val="0BD070E1"/>
    <w:rsid w:val="0BD65B6B"/>
    <w:rsid w:val="0C2361E7"/>
    <w:rsid w:val="0C236700"/>
    <w:rsid w:val="0C247926"/>
    <w:rsid w:val="0C3923C8"/>
    <w:rsid w:val="0C460641"/>
    <w:rsid w:val="0C5E1E2E"/>
    <w:rsid w:val="0CF26360"/>
    <w:rsid w:val="0D794204"/>
    <w:rsid w:val="0DAF0E8E"/>
    <w:rsid w:val="0E2125D1"/>
    <w:rsid w:val="0E214211"/>
    <w:rsid w:val="0E5F2769"/>
    <w:rsid w:val="0ED8332F"/>
    <w:rsid w:val="0F1F2069"/>
    <w:rsid w:val="0F4D75A3"/>
    <w:rsid w:val="0F5B2DCA"/>
    <w:rsid w:val="0F6B4CC5"/>
    <w:rsid w:val="0F7F4595"/>
    <w:rsid w:val="0FA20605"/>
    <w:rsid w:val="0FCC3340"/>
    <w:rsid w:val="0FED051E"/>
    <w:rsid w:val="0FEE4C29"/>
    <w:rsid w:val="0FFD33F6"/>
    <w:rsid w:val="10031608"/>
    <w:rsid w:val="10046082"/>
    <w:rsid w:val="103510F8"/>
    <w:rsid w:val="104974DD"/>
    <w:rsid w:val="10583CEC"/>
    <w:rsid w:val="111703D2"/>
    <w:rsid w:val="112B101A"/>
    <w:rsid w:val="119B53FC"/>
    <w:rsid w:val="1215733B"/>
    <w:rsid w:val="121D05B4"/>
    <w:rsid w:val="12424CDC"/>
    <w:rsid w:val="124E2F69"/>
    <w:rsid w:val="129A2738"/>
    <w:rsid w:val="12B56BF1"/>
    <w:rsid w:val="12CB1A89"/>
    <w:rsid w:val="131840FB"/>
    <w:rsid w:val="132132BB"/>
    <w:rsid w:val="13467417"/>
    <w:rsid w:val="136E76CF"/>
    <w:rsid w:val="145F08C6"/>
    <w:rsid w:val="14947567"/>
    <w:rsid w:val="14C30A80"/>
    <w:rsid w:val="14E43F59"/>
    <w:rsid w:val="15043E34"/>
    <w:rsid w:val="156B79B3"/>
    <w:rsid w:val="15776308"/>
    <w:rsid w:val="15B9740B"/>
    <w:rsid w:val="15BC6B3C"/>
    <w:rsid w:val="15C5733F"/>
    <w:rsid w:val="15F54445"/>
    <w:rsid w:val="16154FF1"/>
    <w:rsid w:val="16360A7B"/>
    <w:rsid w:val="164D40B0"/>
    <w:rsid w:val="167F30CD"/>
    <w:rsid w:val="1694429A"/>
    <w:rsid w:val="169C419F"/>
    <w:rsid w:val="17635326"/>
    <w:rsid w:val="17B803EA"/>
    <w:rsid w:val="17E47DA5"/>
    <w:rsid w:val="1815096B"/>
    <w:rsid w:val="18236EFD"/>
    <w:rsid w:val="183121A5"/>
    <w:rsid w:val="18377249"/>
    <w:rsid w:val="189D5B1F"/>
    <w:rsid w:val="18A34CD0"/>
    <w:rsid w:val="19113C6E"/>
    <w:rsid w:val="19456F5D"/>
    <w:rsid w:val="195B5543"/>
    <w:rsid w:val="19A53EA8"/>
    <w:rsid w:val="19B64DBC"/>
    <w:rsid w:val="19EC6A4A"/>
    <w:rsid w:val="1A373ACF"/>
    <w:rsid w:val="1A7B10BA"/>
    <w:rsid w:val="1A895341"/>
    <w:rsid w:val="1B0D071F"/>
    <w:rsid w:val="1B4568CE"/>
    <w:rsid w:val="1B4D72F6"/>
    <w:rsid w:val="1B7161CF"/>
    <w:rsid w:val="1B9015B7"/>
    <w:rsid w:val="1B950DA6"/>
    <w:rsid w:val="1BF54245"/>
    <w:rsid w:val="1C055E22"/>
    <w:rsid w:val="1C28039A"/>
    <w:rsid w:val="1C2815E0"/>
    <w:rsid w:val="1C2972B9"/>
    <w:rsid w:val="1C8F393E"/>
    <w:rsid w:val="1CA72726"/>
    <w:rsid w:val="1D0E6976"/>
    <w:rsid w:val="1D5A79EE"/>
    <w:rsid w:val="1D5D57EA"/>
    <w:rsid w:val="1E0E2CD0"/>
    <w:rsid w:val="1E795C5B"/>
    <w:rsid w:val="1E831280"/>
    <w:rsid w:val="1EBC4704"/>
    <w:rsid w:val="1EE805AC"/>
    <w:rsid w:val="1EF81908"/>
    <w:rsid w:val="1F172EB5"/>
    <w:rsid w:val="1F22070B"/>
    <w:rsid w:val="1F94592D"/>
    <w:rsid w:val="1FB860DE"/>
    <w:rsid w:val="203C5A02"/>
    <w:rsid w:val="209D4C94"/>
    <w:rsid w:val="20B44FCD"/>
    <w:rsid w:val="20E84705"/>
    <w:rsid w:val="2113448C"/>
    <w:rsid w:val="218400BA"/>
    <w:rsid w:val="21AB1E2F"/>
    <w:rsid w:val="21AD76B3"/>
    <w:rsid w:val="21CB7360"/>
    <w:rsid w:val="21D40498"/>
    <w:rsid w:val="22493963"/>
    <w:rsid w:val="224B4D70"/>
    <w:rsid w:val="22767047"/>
    <w:rsid w:val="2369138D"/>
    <w:rsid w:val="23A05588"/>
    <w:rsid w:val="240476A1"/>
    <w:rsid w:val="24B51FC6"/>
    <w:rsid w:val="24C96531"/>
    <w:rsid w:val="250F0880"/>
    <w:rsid w:val="25365778"/>
    <w:rsid w:val="25431AEB"/>
    <w:rsid w:val="25792AF0"/>
    <w:rsid w:val="25BE3BFB"/>
    <w:rsid w:val="25BF43FD"/>
    <w:rsid w:val="25F86BCD"/>
    <w:rsid w:val="2605748B"/>
    <w:rsid w:val="26396D26"/>
    <w:rsid w:val="263D2198"/>
    <w:rsid w:val="264544A6"/>
    <w:rsid w:val="267702FB"/>
    <w:rsid w:val="269E416A"/>
    <w:rsid w:val="26C11C6B"/>
    <w:rsid w:val="272100D3"/>
    <w:rsid w:val="2729330D"/>
    <w:rsid w:val="272C72FC"/>
    <w:rsid w:val="275131CB"/>
    <w:rsid w:val="27680BB0"/>
    <w:rsid w:val="276C6394"/>
    <w:rsid w:val="27895B59"/>
    <w:rsid w:val="278F6521"/>
    <w:rsid w:val="27EB149D"/>
    <w:rsid w:val="27FD3E52"/>
    <w:rsid w:val="28114F69"/>
    <w:rsid w:val="281F0AB3"/>
    <w:rsid w:val="287A1946"/>
    <w:rsid w:val="28920692"/>
    <w:rsid w:val="289C6B61"/>
    <w:rsid w:val="28C21CEC"/>
    <w:rsid w:val="28E11370"/>
    <w:rsid w:val="28F039B6"/>
    <w:rsid w:val="29163E65"/>
    <w:rsid w:val="291C1B6E"/>
    <w:rsid w:val="293715E5"/>
    <w:rsid w:val="294A756A"/>
    <w:rsid w:val="29781BF8"/>
    <w:rsid w:val="297939E2"/>
    <w:rsid w:val="298F59B5"/>
    <w:rsid w:val="29C33ED0"/>
    <w:rsid w:val="29D5322D"/>
    <w:rsid w:val="2A025DD9"/>
    <w:rsid w:val="2A2619CB"/>
    <w:rsid w:val="2A6326BD"/>
    <w:rsid w:val="2A7317D3"/>
    <w:rsid w:val="2A7C2231"/>
    <w:rsid w:val="2A920E4F"/>
    <w:rsid w:val="2ABB753D"/>
    <w:rsid w:val="2AD9097E"/>
    <w:rsid w:val="2AE40C5E"/>
    <w:rsid w:val="2AFE6EC4"/>
    <w:rsid w:val="2B32576E"/>
    <w:rsid w:val="2B474224"/>
    <w:rsid w:val="2B7A49FA"/>
    <w:rsid w:val="2BC52ED8"/>
    <w:rsid w:val="2BC94B37"/>
    <w:rsid w:val="2BCB7300"/>
    <w:rsid w:val="2BFD7524"/>
    <w:rsid w:val="2C3E3F82"/>
    <w:rsid w:val="2C615D26"/>
    <w:rsid w:val="2C75296F"/>
    <w:rsid w:val="2CB679ED"/>
    <w:rsid w:val="2CE83C37"/>
    <w:rsid w:val="2D0C3E6E"/>
    <w:rsid w:val="2D173C07"/>
    <w:rsid w:val="2D2836AB"/>
    <w:rsid w:val="2D424A86"/>
    <w:rsid w:val="2D4B565F"/>
    <w:rsid w:val="2D9214E0"/>
    <w:rsid w:val="2DAA05D8"/>
    <w:rsid w:val="2DDA66B7"/>
    <w:rsid w:val="2E264990"/>
    <w:rsid w:val="2E6F2D11"/>
    <w:rsid w:val="2E7B52DB"/>
    <w:rsid w:val="2E840E29"/>
    <w:rsid w:val="2ED60115"/>
    <w:rsid w:val="2F324CFE"/>
    <w:rsid w:val="2FAD0E10"/>
    <w:rsid w:val="2FBA09F1"/>
    <w:rsid w:val="2FEA7774"/>
    <w:rsid w:val="2FEF2ACF"/>
    <w:rsid w:val="2FF93D20"/>
    <w:rsid w:val="30243F57"/>
    <w:rsid w:val="30540211"/>
    <w:rsid w:val="307D396C"/>
    <w:rsid w:val="30E45100"/>
    <w:rsid w:val="30EB33E1"/>
    <w:rsid w:val="30F027A5"/>
    <w:rsid w:val="31112A0D"/>
    <w:rsid w:val="3118711F"/>
    <w:rsid w:val="311F4B20"/>
    <w:rsid w:val="312D7741"/>
    <w:rsid w:val="31454AB5"/>
    <w:rsid w:val="316F137F"/>
    <w:rsid w:val="319C3A81"/>
    <w:rsid w:val="31DF525F"/>
    <w:rsid w:val="31EC162B"/>
    <w:rsid w:val="32324C2E"/>
    <w:rsid w:val="32380ECC"/>
    <w:rsid w:val="327171DF"/>
    <w:rsid w:val="3275602C"/>
    <w:rsid w:val="3293788C"/>
    <w:rsid w:val="32D12F61"/>
    <w:rsid w:val="335913DD"/>
    <w:rsid w:val="33865643"/>
    <w:rsid w:val="3391569E"/>
    <w:rsid w:val="34096400"/>
    <w:rsid w:val="341E3434"/>
    <w:rsid w:val="34BB4442"/>
    <w:rsid w:val="34C126C9"/>
    <w:rsid w:val="35737443"/>
    <w:rsid w:val="3584136B"/>
    <w:rsid w:val="35AB2660"/>
    <w:rsid w:val="35B178E1"/>
    <w:rsid w:val="35CC4499"/>
    <w:rsid w:val="35FF5AA4"/>
    <w:rsid w:val="360B7EBA"/>
    <w:rsid w:val="36416867"/>
    <w:rsid w:val="364E5B92"/>
    <w:rsid w:val="367D5DD4"/>
    <w:rsid w:val="369C32FD"/>
    <w:rsid w:val="36C83AF0"/>
    <w:rsid w:val="37666E72"/>
    <w:rsid w:val="37E8067A"/>
    <w:rsid w:val="38081EA3"/>
    <w:rsid w:val="38167A04"/>
    <w:rsid w:val="381C3783"/>
    <w:rsid w:val="38F97936"/>
    <w:rsid w:val="394B167A"/>
    <w:rsid w:val="39DA2868"/>
    <w:rsid w:val="3A055F4B"/>
    <w:rsid w:val="3A3D3F2A"/>
    <w:rsid w:val="3A450793"/>
    <w:rsid w:val="3A4E4336"/>
    <w:rsid w:val="3A4F7BC2"/>
    <w:rsid w:val="3A6007FE"/>
    <w:rsid w:val="3A802587"/>
    <w:rsid w:val="3A852164"/>
    <w:rsid w:val="3AC56A51"/>
    <w:rsid w:val="3AE26A56"/>
    <w:rsid w:val="3AF93D6C"/>
    <w:rsid w:val="3AFD06C8"/>
    <w:rsid w:val="3B477B26"/>
    <w:rsid w:val="3B4F1262"/>
    <w:rsid w:val="3B7C2CE4"/>
    <w:rsid w:val="3BAF716B"/>
    <w:rsid w:val="3BC431AC"/>
    <w:rsid w:val="3C0B5355"/>
    <w:rsid w:val="3CA37C09"/>
    <w:rsid w:val="3CAD5450"/>
    <w:rsid w:val="3CD4176B"/>
    <w:rsid w:val="3D1F44D9"/>
    <w:rsid w:val="3D5C38CD"/>
    <w:rsid w:val="3DFF08E6"/>
    <w:rsid w:val="3E0A188A"/>
    <w:rsid w:val="3E23065E"/>
    <w:rsid w:val="3E5070F1"/>
    <w:rsid w:val="3E6932E4"/>
    <w:rsid w:val="3E9D60A9"/>
    <w:rsid w:val="3EA177D5"/>
    <w:rsid w:val="3EC370CB"/>
    <w:rsid w:val="3F6B1805"/>
    <w:rsid w:val="3F6C3589"/>
    <w:rsid w:val="3F785AE2"/>
    <w:rsid w:val="3F850180"/>
    <w:rsid w:val="3F9004D6"/>
    <w:rsid w:val="3FEE7CFA"/>
    <w:rsid w:val="400E4D5E"/>
    <w:rsid w:val="404604EA"/>
    <w:rsid w:val="40DA759B"/>
    <w:rsid w:val="40E1138C"/>
    <w:rsid w:val="40FC27EE"/>
    <w:rsid w:val="413814BA"/>
    <w:rsid w:val="41583745"/>
    <w:rsid w:val="41635BB3"/>
    <w:rsid w:val="41872511"/>
    <w:rsid w:val="419B1A3D"/>
    <w:rsid w:val="41D61543"/>
    <w:rsid w:val="41DF1251"/>
    <w:rsid w:val="42054B0B"/>
    <w:rsid w:val="424236D9"/>
    <w:rsid w:val="42466655"/>
    <w:rsid w:val="42862F6A"/>
    <w:rsid w:val="42C82F57"/>
    <w:rsid w:val="435707E5"/>
    <w:rsid w:val="43C76AF7"/>
    <w:rsid w:val="43E97E4A"/>
    <w:rsid w:val="440D4B90"/>
    <w:rsid w:val="442A4DEB"/>
    <w:rsid w:val="4456696C"/>
    <w:rsid w:val="446828F0"/>
    <w:rsid w:val="45093E85"/>
    <w:rsid w:val="4511585F"/>
    <w:rsid w:val="45C13B4D"/>
    <w:rsid w:val="46054BCA"/>
    <w:rsid w:val="464C6AFC"/>
    <w:rsid w:val="46873754"/>
    <w:rsid w:val="468B0091"/>
    <w:rsid w:val="46A107C3"/>
    <w:rsid w:val="46B15CE2"/>
    <w:rsid w:val="46BE113D"/>
    <w:rsid w:val="46E44B13"/>
    <w:rsid w:val="46EE10DD"/>
    <w:rsid w:val="4703508A"/>
    <w:rsid w:val="475023F8"/>
    <w:rsid w:val="479D361E"/>
    <w:rsid w:val="47B74789"/>
    <w:rsid w:val="48032A55"/>
    <w:rsid w:val="480F2B9D"/>
    <w:rsid w:val="48102176"/>
    <w:rsid w:val="48280326"/>
    <w:rsid w:val="48282920"/>
    <w:rsid w:val="482F1646"/>
    <w:rsid w:val="483E1347"/>
    <w:rsid w:val="485321E0"/>
    <w:rsid w:val="48546AD3"/>
    <w:rsid w:val="48CA4868"/>
    <w:rsid w:val="48F005D3"/>
    <w:rsid w:val="49547ADD"/>
    <w:rsid w:val="49732351"/>
    <w:rsid w:val="498B6A1B"/>
    <w:rsid w:val="498F4AF1"/>
    <w:rsid w:val="49C05787"/>
    <w:rsid w:val="49CF518D"/>
    <w:rsid w:val="49F033BE"/>
    <w:rsid w:val="4A6919BC"/>
    <w:rsid w:val="4A7F3979"/>
    <w:rsid w:val="4AA25A2E"/>
    <w:rsid w:val="4ADA1F63"/>
    <w:rsid w:val="4AE23D89"/>
    <w:rsid w:val="4B2038D0"/>
    <w:rsid w:val="4B237456"/>
    <w:rsid w:val="4B296E7D"/>
    <w:rsid w:val="4B6422B6"/>
    <w:rsid w:val="4B753A52"/>
    <w:rsid w:val="4B79394E"/>
    <w:rsid w:val="4B877F28"/>
    <w:rsid w:val="4C042FDE"/>
    <w:rsid w:val="4C3E6E36"/>
    <w:rsid w:val="4CD200BA"/>
    <w:rsid w:val="4D544128"/>
    <w:rsid w:val="4D8052B3"/>
    <w:rsid w:val="4D916BA6"/>
    <w:rsid w:val="4D970721"/>
    <w:rsid w:val="4DC44169"/>
    <w:rsid w:val="4DCE3372"/>
    <w:rsid w:val="4DE24E21"/>
    <w:rsid w:val="4DF14318"/>
    <w:rsid w:val="4DF71B0F"/>
    <w:rsid w:val="4E1B19A3"/>
    <w:rsid w:val="4E48787F"/>
    <w:rsid w:val="4EF0709E"/>
    <w:rsid w:val="4F0469A4"/>
    <w:rsid w:val="4F506DD9"/>
    <w:rsid w:val="4F510508"/>
    <w:rsid w:val="4F6463E1"/>
    <w:rsid w:val="4F673E69"/>
    <w:rsid w:val="500E56F4"/>
    <w:rsid w:val="50311C06"/>
    <w:rsid w:val="50540C73"/>
    <w:rsid w:val="505465F1"/>
    <w:rsid w:val="50752AF8"/>
    <w:rsid w:val="509E619D"/>
    <w:rsid w:val="50B138A7"/>
    <w:rsid w:val="50FD6AED"/>
    <w:rsid w:val="513C6A7B"/>
    <w:rsid w:val="517300C9"/>
    <w:rsid w:val="51733009"/>
    <w:rsid w:val="51B2126A"/>
    <w:rsid w:val="51D85544"/>
    <w:rsid w:val="52EC6EC2"/>
    <w:rsid w:val="532D486F"/>
    <w:rsid w:val="5333545B"/>
    <w:rsid w:val="53341FAA"/>
    <w:rsid w:val="538D0E89"/>
    <w:rsid w:val="53B316E5"/>
    <w:rsid w:val="53F0286C"/>
    <w:rsid w:val="54246B91"/>
    <w:rsid w:val="5450213C"/>
    <w:rsid w:val="546711F3"/>
    <w:rsid w:val="546C3825"/>
    <w:rsid w:val="54D24048"/>
    <w:rsid w:val="54D64CD5"/>
    <w:rsid w:val="5529158D"/>
    <w:rsid w:val="5532287C"/>
    <w:rsid w:val="554C0043"/>
    <w:rsid w:val="55887D69"/>
    <w:rsid w:val="55EE5D11"/>
    <w:rsid w:val="561A0928"/>
    <w:rsid w:val="563A1406"/>
    <w:rsid w:val="56423872"/>
    <w:rsid w:val="569E06BC"/>
    <w:rsid w:val="56B279F0"/>
    <w:rsid w:val="56F20F86"/>
    <w:rsid w:val="571526B6"/>
    <w:rsid w:val="579C082A"/>
    <w:rsid w:val="579C22C4"/>
    <w:rsid w:val="579D710E"/>
    <w:rsid w:val="57BB21AE"/>
    <w:rsid w:val="581F22F6"/>
    <w:rsid w:val="582233EF"/>
    <w:rsid w:val="58610550"/>
    <w:rsid w:val="586E1E17"/>
    <w:rsid w:val="58862C35"/>
    <w:rsid w:val="58C14957"/>
    <w:rsid w:val="58CC23D2"/>
    <w:rsid w:val="58E66050"/>
    <w:rsid w:val="59837478"/>
    <w:rsid w:val="59FC7994"/>
    <w:rsid w:val="5AAB263A"/>
    <w:rsid w:val="5AE83A50"/>
    <w:rsid w:val="5B353193"/>
    <w:rsid w:val="5BAB2917"/>
    <w:rsid w:val="5BFC33FA"/>
    <w:rsid w:val="5C092A33"/>
    <w:rsid w:val="5C3107A4"/>
    <w:rsid w:val="5C3B1B93"/>
    <w:rsid w:val="5C4C26D6"/>
    <w:rsid w:val="5C6D2B92"/>
    <w:rsid w:val="5C712EAE"/>
    <w:rsid w:val="5C867273"/>
    <w:rsid w:val="5C9220DF"/>
    <w:rsid w:val="5CAD2FE1"/>
    <w:rsid w:val="5CB57866"/>
    <w:rsid w:val="5D4A15F3"/>
    <w:rsid w:val="5D69542A"/>
    <w:rsid w:val="5D783B72"/>
    <w:rsid w:val="5DC6140F"/>
    <w:rsid w:val="5E0930EF"/>
    <w:rsid w:val="5E3D4D53"/>
    <w:rsid w:val="5E4717E6"/>
    <w:rsid w:val="5E55774C"/>
    <w:rsid w:val="5E8A70FF"/>
    <w:rsid w:val="5F5A6ED0"/>
    <w:rsid w:val="5FAE5456"/>
    <w:rsid w:val="5FBC6221"/>
    <w:rsid w:val="60045F96"/>
    <w:rsid w:val="60104DDC"/>
    <w:rsid w:val="605C0804"/>
    <w:rsid w:val="60885CA7"/>
    <w:rsid w:val="608D5E76"/>
    <w:rsid w:val="60913E6F"/>
    <w:rsid w:val="614561F1"/>
    <w:rsid w:val="616315EB"/>
    <w:rsid w:val="61733C3E"/>
    <w:rsid w:val="6189617B"/>
    <w:rsid w:val="61B52BB6"/>
    <w:rsid w:val="61B749C2"/>
    <w:rsid w:val="62280D20"/>
    <w:rsid w:val="628232F6"/>
    <w:rsid w:val="62B4786E"/>
    <w:rsid w:val="62CA2457"/>
    <w:rsid w:val="638240A1"/>
    <w:rsid w:val="63833423"/>
    <w:rsid w:val="63A5257B"/>
    <w:rsid w:val="63BD3DCC"/>
    <w:rsid w:val="63C61741"/>
    <w:rsid w:val="64560967"/>
    <w:rsid w:val="65373884"/>
    <w:rsid w:val="654518E8"/>
    <w:rsid w:val="656B1D10"/>
    <w:rsid w:val="65B841F9"/>
    <w:rsid w:val="66022B28"/>
    <w:rsid w:val="661B642A"/>
    <w:rsid w:val="664A38E2"/>
    <w:rsid w:val="66581E87"/>
    <w:rsid w:val="66766EBB"/>
    <w:rsid w:val="66EA08C0"/>
    <w:rsid w:val="66F61D60"/>
    <w:rsid w:val="66FA11D5"/>
    <w:rsid w:val="674302C7"/>
    <w:rsid w:val="675863D3"/>
    <w:rsid w:val="67996073"/>
    <w:rsid w:val="67CB09D8"/>
    <w:rsid w:val="67EE3B0F"/>
    <w:rsid w:val="680A5986"/>
    <w:rsid w:val="680D5F4B"/>
    <w:rsid w:val="68113F51"/>
    <w:rsid w:val="687F1E31"/>
    <w:rsid w:val="68DC4DE2"/>
    <w:rsid w:val="68E94770"/>
    <w:rsid w:val="68EC1CEF"/>
    <w:rsid w:val="68F949C9"/>
    <w:rsid w:val="695A4290"/>
    <w:rsid w:val="696F3649"/>
    <w:rsid w:val="69D840BA"/>
    <w:rsid w:val="6A334932"/>
    <w:rsid w:val="6A3353FF"/>
    <w:rsid w:val="6A5D63E6"/>
    <w:rsid w:val="6A5F24D1"/>
    <w:rsid w:val="6ACA70C4"/>
    <w:rsid w:val="6AE347EB"/>
    <w:rsid w:val="6B330365"/>
    <w:rsid w:val="6B425EF8"/>
    <w:rsid w:val="6B434AF0"/>
    <w:rsid w:val="6B57675A"/>
    <w:rsid w:val="6B694852"/>
    <w:rsid w:val="6B87098A"/>
    <w:rsid w:val="6BAE1CA9"/>
    <w:rsid w:val="6BDD7B4D"/>
    <w:rsid w:val="6BE0108D"/>
    <w:rsid w:val="6BFA56EA"/>
    <w:rsid w:val="6CA4708D"/>
    <w:rsid w:val="6D187EA7"/>
    <w:rsid w:val="6D282AAC"/>
    <w:rsid w:val="6D8579E2"/>
    <w:rsid w:val="6DA66D59"/>
    <w:rsid w:val="6DB63E53"/>
    <w:rsid w:val="6DBA41A4"/>
    <w:rsid w:val="6DD13CE2"/>
    <w:rsid w:val="6E2D5F9D"/>
    <w:rsid w:val="6E435C58"/>
    <w:rsid w:val="6EBC0B3A"/>
    <w:rsid w:val="6EF51C7D"/>
    <w:rsid w:val="6F5136B1"/>
    <w:rsid w:val="6F8363E5"/>
    <w:rsid w:val="6F841DCF"/>
    <w:rsid w:val="6FA33C6A"/>
    <w:rsid w:val="6FA80CCD"/>
    <w:rsid w:val="6FAC3CC5"/>
    <w:rsid w:val="6FC746F5"/>
    <w:rsid w:val="6FE33EF5"/>
    <w:rsid w:val="70317AC6"/>
    <w:rsid w:val="70343755"/>
    <w:rsid w:val="70390344"/>
    <w:rsid w:val="704B26F7"/>
    <w:rsid w:val="70697B21"/>
    <w:rsid w:val="70863262"/>
    <w:rsid w:val="70A76ED3"/>
    <w:rsid w:val="70AA54D6"/>
    <w:rsid w:val="70B24803"/>
    <w:rsid w:val="71860B17"/>
    <w:rsid w:val="71E835C4"/>
    <w:rsid w:val="723B27CC"/>
    <w:rsid w:val="72687227"/>
    <w:rsid w:val="72A03FD9"/>
    <w:rsid w:val="73406CFF"/>
    <w:rsid w:val="7383028C"/>
    <w:rsid w:val="73A25E44"/>
    <w:rsid w:val="74035919"/>
    <w:rsid w:val="741F68CF"/>
    <w:rsid w:val="743E17B3"/>
    <w:rsid w:val="74780E44"/>
    <w:rsid w:val="748A06C6"/>
    <w:rsid w:val="75096B71"/>
    <w:rsid w:val="75252DF3"/>
    <w:rsid w:val="75621536"/>
    <w:rsid w:val="759E70F5"/>
    <w:rsid w:val="75B77766"/>
    <w:rsid w:val="75BF3154"/>
    <w:rsid w:val="764A07CF"/>
    <w:rsid w:val="764F6B3D"/>
    <w:rsid w:val="76CD2B7B"/>
    <w:rsid w:val="76D80645"/>
    <w:rsid w:val="76E03371"/>
    <w:rsid w:val="76E248D5"/>
    <w:rsid w:val="771211AA"/>
    <w:rsid w:val="776E1AAE"/>
    <w:rsid w:val="77736C04"/>
    <w:rsid w:val="778A557C"/>
    <w:rsid w:val="780E5898"/>
    <w:rsid w:val="782642CC"/>
    <w:rsid w:val="78324A1E"/>
    <w:rsid w:val="786B6BB5"/>
    <w:rsid w:val="7894095E"/>
    <w:rsid w:val="78964555"/>
    <w:rsid w:val="78CF4963"/>
    <w:rsid w:val="79000679"/>
    <w:rsid w:val="7916258F"/>
    <w:rsid w:val="791C0FE5"/>
    <w:rsid w:val="79925BB5"/>
    <w:rsid w:val="79A416F0"/>
    <w:rsid w:val="79B03EB6"/>
    <w:rsid w:val="79B61437"/>
    <w:rsid w:val="79C01080"/>
    <w:rsid w:val="7AE15A5C"/>
    <w:rsid w:val="7AF37579"/>
    <w:rsid w:val="7AF87F64"/>
    <w:rsid w:val="7B1C0C84"/>
    <w:rsid w:val="7B5A62DF"/>
    <w:rsid w:val="7B7A04A8"/>
    <w:rsid w:val="7B7D32A4"/>
    <w:rsid w:val="7C0C3F6D"/>
    <w:rsid w:val="7C22163C"/>
    <w:rsid w:val="7C2F36DF"/>
    <w:rsid w:val="7C457B4B"/>
    <w:rsid w:val="7C57007D"/>
    <w:rsid w:val="7C595075"/>
    <w:rsid w:val="7C6B07B2"/>
    <w:rsid w:val="7D133243"/>
    <w:rsid w:val="7D945420"/>
    <w:rsid w:val="7D984DC5"/>
    <w:rsid w:val="7D997857"/>
    <w:rsid w:val="7DF60165"/>
    <w:rsid w:val="7E326141"/>
    <w:rsid w:val="7E394207"/>
    <w:rsid w:val="7E4007A2"/>
    <w:rsid w:val="7E791CAD"/>
    <w:rsid w:val="7E8D5A75"/>
    <w:rsid w:val="7EA50DFB"/>
    <w:rsid w:val="7EC86878"/>
    <w:rsid w:val="7EE12CFA"/>
    <w:rsid w:val="7F16390D"/>
    <w:rsid w:val="7F2E45E0"/>
    <w:rsid w:val="7F752917"/>
    <w:rsid w:val="7F7F67CC"/>
    <w:rsid w:val="7FD6327C"/>
    <w:rsid w:val="7FDD2689"/>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1"/>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42"/>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43"/>
    <w:unhideWhenUsed/>
    <w:qFormat/>
    <w:uiPriority w:val="9"/>
    <w:pPr>
      <w:keepNext/>
      <w:keepLines/>
      <w:spacing w:before="260" w:after="260" w:line="416" w:lineRule="auto"/>
      <w:outlineLvl w:val="2"/>
    </w:pPr>
    <w:rPr>
      <w:rFonts w:ascii="Calibri" w:hAnsi="Calibri" w:eastAsia="宋体" w:cs="Times New Roman"/>
      <w:b/>
      <w:bCs/>
      <w:sz w:val="32"/>
      <w:szCs w:val="32"/>
    </w:rPr>
  </w:style>
  <w:style w:type="paragraph" w:styleId="6">
    <w:name w:val="heading 6"/>
    <w:basedOn w:val="1"/>
    <w:next w:val="1"/>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character" w:default="1" w:styleId="27">
    <w:name w:val="Default Paragraph Font"/>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annotation text"/>
    <w:basedOn w:val="1"/>
    <w:qFormat/>
    <w:uiPriority w:val="0"/>
    <w:pPr>
      <w:jc w:val="left"/>
    </w:pPr>
  </w:style>
  <w:style w:type="paragraph" w:styleId="8">
    <w:name w:val="Body Text 3"/>
    <w:basedOn w:val="1"/>
    <w:link w:val="51"/>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qFormat/>
    <w:uiPriority w:val="0"/>
    <w:rPr>
      <w:rFonts w:ascii="宋体" w:hAnsi="Courier New"/>
      <w:szCs w:val="21"/>
    </w:rPr>
  </w:style>
  <w:style w:type="paragraph" w:styleId="14">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5">
    <w:name w:val="Balloon Text"/>
    <w:basedOn w:val="1"/>
    <w:link w:val="46"/>
    <w:semiHidden/>
    <w:unhideWhenUsed/>
    <w:qFormat/>
    <w:uiPriority w:val="99"/>
    <w:rPr>
      <w:sz w:val="18"/>
      <w:szCs w:val="18"/>
    </w:rPr>
  </w:style>
  <w:style w:type="paragraph" w:styleId="16">
    <w:name w:val="footer"/>
    <w:basedOn w:val="1"/>
    <w:link w:val="40"/>
    <w:unhideWhenUsed/>
    <w:qFormat/>
    <w:uiPriority w:val="99"/>
    <w:pPr>
      <w:tabs>
        <w:tab w:val="center" w:pos="4153"/>
        <w:tab w:val="right" w:pos="8306"/>
      </w:tabs>
      <w:snapToGrid w:val="0"/>
      <w:jc w:val="left"/>
    </w:pPr>
    <w:rPr>
      <w:sz w:val="18"/>
      <w:szCs w:val="18"/>
    </w:rPr>
  </w:style>
  <w:style w:type="paragraph" w:styleId="17">
    <w:name w:val="header"/>
    <w:basedOn w:val="1"/>
    <w:link w:val="3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List"/>
    <w:basedOn w:val="1"/>
    <w:next w:val="1"/>
    <w:qFormat/>
    <w:uiPriority w:val="0"/>
    <w:pPr>
      <w:snapToGrid w:val="0"/>
    </w:pPr>
    <w:rPr>
      <w:szCs w:val="24"/>
    </w:rPr>
  </w:style>
  <w:style w:type="paragraph" w:styleId="20">
    <w:name w:val="table of figures"/>
    <w:basedOn w:val="1"/>
    <w:next w:val="1"/>
    <w:qFormat/>
    <w:uiPriority w:val="0"/>
    <w:pPr>
      <w:ind w:left="200" w:leftChars="200" w:hanging="200" w:hangingChars="200"/>
    </w:p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99"/>
    <w:pPr>
      <w:spacing w:before="100" w:beforeAutospacing="1" w:after="100" w:afterAutospacing="1" w:line="240" w:lineRule="auto"/>
    </w:pPr>
    <w:rPr>
      <w:rFonts w:ascii="宋体" w:hAnsi="宋体" w:cs="Times New Roman"/>
      <w:color w:val="auto"/>
      <w:kern w:val="0"/>
      <w:sz w:val="24"/>
      <w:szCs w:val="24"/>
    </w:rPr>
  </w:style>
  <w:style w:type="paragraph" w:styleId="23">
    <w:name w:val="Body Text First Indent"/>
    <w:basedOn w:val="9"/>
    <w:unhideWhenUsed/>
    <w:qFormat/>
    <w:uiPriority w:val="99"/>
    <w:pPr>
      <w:widowControl w:val="0"/>
      <w:spacing w:after="120" w:line="240" w:lineRule="auto"/>
      <w:ind w:firstLine="420"/>
    </w:pPr>
    <w:rPr>
      <w:kern w:val="2"/>
      <w:sz w:val="21"/>
    </w:rPr>
  </w:style>
  <w:style w:type="paragraph" w:styleId="24">
    <w:name w:val="Body Text First Indent 2"/>
    <w:basedOn w:val="11"/>
    <w:qFormat/>
    <w:uiPriority w:val="0"/>
    <w:pPr>
      <w:adjustRightInd w:val="0"/>
      <w:spacing w:line="360" w:lineRule="auto"/>
      <w:ind w:left="0" w:leftChars="0" w:firstLine="420"/>
      <w:textAlignment w:val="baseline"/>
    </w:pPr>
    <w:rPr>
      <w:rFonts w:eastAsia="等线" w:cs="Times New Roman"/>
      <w:color w:val="000000"/>
      <w:szCs w:val="24"/>
    </w:rPr>
  </w:style>
  <w:style w:type="table" w:styleId="26">
    <w:name w:val="Table Grid"/>
    <w:basedOn w:val="2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8">
    <w:name w:val="Strong"/>
    <w:basedOn w:val="27"/>
    <w:qFormat/>
    <w:uiPriority w:val="22"/>
    <w:rPr>
      <w:b/>
      <w:bCs/>
    </w:rPr>
  </w:style>
  <w:style w:type="character" w:styleId="29">
    <w:name w:val="page number"/>
    <w:basedOn w:val="27"/>
    <w:qFormat/>
    <w:uiPriority w:val="0"/>
  </w:style>
  <w:style w:type="character" w:styleId="30">
    <w:name w:val="FollowedHyperlink"/>
    <w:basedOn w:val="27"/>
    <w:semiHidden/>
    <w:unhideWhenUsed/>
    <w:qFormat/>
    <w:uiPriority w:val="99"/>
    <w:rPr>
      <w:color w:val="2490F8"/>
      <w:u w:val="none"/>
    </w:rPr>
  </w:style>
  <w:style w:type="character" w:styleId="31">
    <w:name w:val="HTML Definition"/>
    <w:basedOn w:val="27"/>
    <w:semiHidden/>
    <w:unhideWhenUsed/>
    <w:qFormat/>
    <w:uiPriority w:val="99"/>
  </w:style>
  <w:style w:type="character" w:styleId="32">
    <w:name w:val="HTML Variable"/>
    <w:basedOn w:val="27"/>
    <w:semiHidden/>
    <w:unhideWhenUsed/>
    <w:qFormat/>
    <w:uiPriority w:val="99"/>
  </w:style>
  <w:style w:type="character" w:styleId="33">
    <w:name w:val="Hyperlink"/>
    <w:basedOn w:val="27"/>
    <w:unhideWhenUsed/>
    <w:qFormat/>
    <w:uiPriority w:val="99"/>
    <w:rPr>
      <w:color w:val="0000FF" w:themeColor="hyperlink"/>
      <w:u w:val="single"/>
      <w14:textFill>
        <w14:solidFill>
          <w14:schemeClr w14:val="hlink"/>
        </w14:solidFill>
      </w14:textFill>
    </w:rPr>
  </w:style>
  <w:style w:type="character" w:styleId="34">
    <w:name w:val="HTML Code"/>
    <w:basedOn w:val="27"/>
    <w:semiHidden/>
    <w:unhideWhenUsed/>
    <w:qFormat/>
    <w:uiPriority w:val="99"/>
    <w:rPr>
      <w:rFonts w:ascii="Courier New" w:hAnsi="Courier New"/>
      <w:sz w:val="20"/>
    </w:rPr>
  </w:style>
  <w:style w:type="character" w:styleId="35">
    <w:name w:val="HTML Cite"/>
    <w:basedOn w:val="27"/>
    <w:semiHidden/>
    <w:unhideWhenUsed/>
    <w:qFormat/>
    <w:uiPriority w:val="99"/>
  </w:style>
  <w:style w:type="paragraph" w:customStyle="1" w:styleId="36">
    <w:name w:val="Default"/>
    <w:next w:val="19"/>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customStyle="1" w:styleId="3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38">
    <w:name w:val="样式 正文文字 + 首行缩进:  2 字符2"/>
    <w:basedOn w:val="1"/>
    <w:qFormat/>
    <w:uiPriority w:val="0"/>
    <w:pPr>
      <w:spacing w:line="480" w:lineRule="atLeast"/>
      <w:ind w:firstLine="560" w:firstLineChars="200"/>
    </w:pPr>
    <w:rPr>
      <w:rFonts w:cs="宋体"/>
      <w:szCs w:val="20"/>
    </w:rPr>
  </w:style>
  <w:style w:type="character" w:customStyle="1" w:styleId="39">
    <w:name w:val="页眉 Char"/>
    <w:basedOn w:val="27"/>
    <w:link w:val="17"/>
    <w:semiHidden/>
    <w:qFormat/>
    <w:uiPriority w:val="99"/>
    <w:rPr>
      <w:sz w:val="18"/>
      <w:szCs w:val="18"/>
    </w:rPr>
  </w:style>
  <w:style w:type="character" w:customStyle="1" w:styleId="40">
    <w:name w:val="页脚 Char"/>
    <w:basedOn w:val="27"/>
    <w:link w:val="16"/>
    <w:qFormat/>
    <w:uiPriority w:val="99"/>
    <w:rPr>
      <w:sz w:val="18"/>
      <w:szCs w:val="18"/>
    </w:rPr>
  </w:style>
  <w:style w:type="character" w:customStyle="1" w:styleId="41">
    <w:name w:val="标题 1 Char"/>
    <w:basedOn w:val="27"/>
    <w:link w:val="3"/>
    <w:qFormat/>
    <w:uiPriority w:val="9"/>
    <w:rPr>
      <w:rFonts w:eastAsia="方正小标宋简体"/>
      <w:bCs/>
      <w:kern w:val="44"/>
      <w:sz w:val="44"/>
      <w:szCs w:val="44"/>
    </w:rPr>
  </w:style>
  <w:style w:type="character" w:customStyle="1" w:styleId="42">
    <w:name w:val="标题 2 Char"/>
    <w:basedOn w:val="27"/>
    <w:link w:val="4"/>
    <w:qFormat/>
    <w:uiPriority w:val="9"/>
    <w:rPr>
      <w:rFonts w:eastAsia="方正小标宋简体" w:asciiTheme="majorHAnsi" w:hAnsiTheme="majorHAnsi" w:cstheme="majorBidi"/>
      <w:bCs/>
      <w:sz w:val="36"/>
      <w:szCs w:val="32"/>
    </w:rPr>
  </w:style>
  <w:style w:type="character" w:customStyle="1" w:styleId="43">
    <w:name w:val="标题 3 Char"/>
    <w:basedOn w:val="27"/>
    <w:link w:val="5"/>
    <w:qFormat/>
    <w:uiPriority w:val="9"/>
    <w:rPr>
      <w:rFonts w:ascii="Calibri" w:hAnsi="Calibri" w:eastAsia="宋体" w:cs="Times New Roman"/>
      <w:b/>
      <w:bCs/>
      <w:sz w:val="32"/>
      <w:szCs w:val="32"/>
    </w:rPr>
  </w:style>
  <w:style w:type="paragraph" w:styleId="44">
    <w:name w:val="List Paragraph"/>
    <w:basedOn w:val="1"/>
    <w:link w:val="52"/>
    <w:qFormat/>
    <w:uiPriority w:val="34"/>
    <w:pPr>
      <w:ind w:firstLine="420" w:firstLineChars="200"/>
    </w:pPr>
  </w:style>
  <w:style w:type="paragraph" w:customStyle="1" w:styleId="45">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6">
    <w:name w:val="批注框文本 Char"/>
    <w:basedOn w:val="27"/>
    <w:link w:val="15"/>
    <w:semiHidden/>
    <w:qFormat/>
    <w:uiPriority w:val="99"/>
    <w:rPr>
      <w:sz w:val="18"/>
      <w:szCs w:val="18"/>
    </w:rPr>
  </w:style>
  <w:style w:type="paragraph" w:styleId="4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8">
    <w:name w:val="CM97"/>
    <w:basedOn w:val="36"/>
    <w:next w:val="36"/>
    <w:qFormat/>
    <w:uiPriority w:val="0"/>
    <w:pPr>
      <w:spacing w:after="373"/>
    </w:pPr>
    <w:rPr>
      <w:color w:val="auto"/>
    </w:rPr>
  </w:style>
  <w:style w:type="paragraph" w:customStyle="1" w:styleId="49">
    <w:name w:val="CM91"/>
    <w:basedOn w:val="36"/>
    <w:next w:val="36"/>
    <w:qFormat/>
    <w:uiPriority w:val="0"/>
    <w:pPr>
      <w:spacing w:after="160"/>
    </w:pPr>
    <w:rPr>
      <w:color w:val="auto"/>
    </w:rPr>
  </w:style>
  <w:style w:type="character" w:customStyle="1" w:styleId="50">
    <w:name w:val="正文文本 3 Char"/>
    <w:link w:val="8"/>
    <w:qFormat/>
    <w:uiPriority w:val="99"/>
    <w:rPr>
      <w:sz w:val="16"/>
      <w:szCs w:val="16"/>
    </w:rPr>
  </w:style>
  <w:style w:type="character" w:customStyle="1" w:styleId="51">
    <w:name w:val="正文文本 3 Char1"/>
    <w:basedOn w:val="27"/>
    <w:link w:val="8"/>
    <w:semiHidden/>
    <w:qFormat/>
    <w:uiPriority w:val="99"/>
    <w:rPr>
      <w:sz w:val="16"/>
      <w:szCs w:val="16"/>
    </w:rPr>
  </w:style>
  <w:style w:type="character" w:customStyle="1" w:styleId="52">
    <w:name w:val="列出段落 Char"/>
    <w:link w:val="44"/>
    <w:qFormat/>
    <w:uiPriority w:val="34"/>
  </w:style>
  <w:style w:type="paragraph" w:customStyle="1" w:styleId="53">
    <w:name w:val="1"/>
    <w:basedOn w:val="1"/>
    <w:next w:val="13"/>
    <w:qFormat/>
    <w:uiPriority w:val="99"/>
    <w:pPr>
      <w:widowControl w:val="0"/>
      <w:jc w:val="both"/>
    </w:pPr>
    <w:rPr>
      <w:rFonts w:ascii="宋体" w:hAnsi="Courier New"/>
      <w:kern w:val="2"/>
    </w:rPr>
  </w:style>
  <w:style w:type="paragraph" w:customStyle="1" w:styleId="54">
    <w:name w:val="WPSOffice手动目录 1"/>
    <w:qFormat/>
    <w:uiPriority w:val="0"/>
    <w:pPr>
      <w:ind w:leftChars="0"/>
    </w:pPr>
    <w:rPr>
      <w:rFonts w:asciiTheme="minorHAnsi" w:hAnsiTheme="minorHAnsi" w:eastAsiaTheme="minorEastAsia" w:cstheme="minorBidi"/>
      <w:sz w:val="20"/>
      <w:szCs w:val="20"/>
    </w:rPr>
  </w:style>
  <w:style w:type="paragraph" w:customStyle="1" w:styleId="55">
    <w:name w:val="WPSOffice手动目录 2"/>
    <w:qFormat/>
    <w:uiPriority w:val="0"/>
    <w:pPr>
      <w:ind w:leftChars="200"/>
    </w:pPr>
    <w:rPr>
      <w:rFonts w:asciiTheme="minorHAnsi" w:hAnsiTheme="minorHAnsi" w:eastAsiaTheme="minorEastAsia" w:cstheme="minorBidi"/>
      <w:sz w:val="20"/>
      <w:szCs w:val="20"/>
    </w:rPr>
  </w:style>
  <w:style w:type="paragraph" w:customStyle="1" w:styleId="56">
    <w:name w:val="WPSOffice手动目录 3"/>
    <w:qFormat/>
    <w:uiPriority w:val="0"/>
    <w:pPr>
      <w:ind w:leftChars="400"/>
    </w:pPr>
    <w:rPr>
      <w:rFonts w:asciiTheme="minorHAnsi" w:hAnsiTheme="minorHAnsi" w:eastAsiaTheme="minorEastAsia" w:cstheme="minorBidi"/>
      <w:sz w:val="20"/>
      <w:szCs w:val="20"/>
    </w:rPr>
  </w:style>
  <w:style w:type="paragraph" w:customStyle="1" w:styleId="57">
    <w:name w:val="+正文"/>
    <w:basedOn w:val="1"/>
    <w:qFormat/>
    <w:uiPriority w:val="0"/>
    <w:pPr>
      <w:widowControl w:val="0"/>
      <w:spacing w:after="0" w:line="360" w:lineRule="auto"/>
      <w:ind w:firstLine="200" w:firstLineChars="200"/>
      <w:jc w:val="both"/>
    </w:pPr>
    <w:rPr>
      <w:rFonts w:ascii="Times New Roman" w:hAnsi="Times New Roman" w:eastAsia="宋体" w:cs="Times New Roman"/>
      <w:kern w:val="2"/>
      <w:sz w:val="24"/>
      <w:szCs w:val="28"/>
      <w:lang w:val="zh-CN" w:eastAsia="zh-CN"/>
    </w:rPr>
  </w:style>
  <w:style w:type="table" w:customStyle="1" w:styleId="58">
    <w:name w:val="Table Normal"/>
    <w:unhideWhenUsed/>
    <w:qFormat/>
    <w:uiPriority w:val="0"/>
    <w:tblPr>
      <w:tblCellMar>
        <w:top w:w="0" w:type="dxa"/>
        <w:left w:w="0" w:type="dxa"/>
        <w:bottom w:w="0" w:type="dxa"/>
        <w:right w:w="0" w:type="dxa"/>
      </w:tblCellMar>
    </w:tblPr>
  </w:style>
  <w:style w:type="paragraph" w:customStyle="1" w:styleId="59">
    <w:name w:val="Body text|1"/>
    <w:basedOn w:val="1"/>
    <w:qFormat/>
    <w:uiPriority w:val="0"/>
    <w:pPr>
      <w:widowControl w:val="0"/>
      <w:shd w:val="clear" w:color="auto" w:fill="auto"/>
      <w:spacing w:line="336" w:lineRule="auto"/>
    </w:pPr>
    <w:rPr>
      <w:rFonts w:ascii="宋体" w:hAnsi="宋体" w:eastAsia="宋体" w:cs="宋体"/>
      <w:sz w:val="18"/>
      <w:szCs w:val="18"/>
      <w:u w:val="none"/>
      <w:shd w:val="clear" w:color="auto" w:fill="auto"/>
      <w:lang w:val="zh-TW" w:eastAsia="zh-TW" w:bidi="zh-TW"/>
    </w:rPr>
  </w:style>
  <w:style w:type="character" w:customStyle="1" w:styleId="60">
    <w:name w:val="font21"/>
    <w:basedOn w:val="27"/>
    <w:qFormat/>
    <w:uiPriority w:val="0"/>
    <w:rPr>
      <w:rFonts w:hint="eastAsia" w:ascii="宋体" w:hAnsi="宋体" w:eastAsia="宋体" w:cs="宋体"/>
      <w:b/>
      <w:bCs/>
      <w:color w:val="000000"/>
      <w:sz w:val="22"/>
      <w:szCs w:val="22"/>
      <w:u w:val="none"/>
    </w:rPr>
  </w:style>
  <w:style w:type="character" w:customStyle="1" w:styleId="61">
    <w:name w:val="font31"/>
    <w:basedOn w:val="27"/>
    <w:qFormat/>
    <w:uiPriority w:val="0"/>
    <w:rPr>
      <w:rFonts w:hint="eastAsia" w:ascii="宋体" w:hAnsi="宋体" w:eastAsia="宋体" w:cs="宋体"/>
      <w:b/>
      <w:color w:val="000000"/>
      <w:sz w:val="22"/>
      <w:szCs w:val="22"/>
      <w:u w:val="none"/>
    </w:rPr>
  </w:style>
  <w:style w:type="character" w:customStyle="1" w:styleId="62">
    <w:name w:val="font11"/>
    <w:basedOn w:val="27"/>
    <w:qFormat/>
    <w:uiPriority w:val="0"/>
    <w:rPr>
      <w:rFonts w:hint="default" w:ascii="Wingdings 2" w:hAnsi="Wingdings 2" w:eastAsia="Wingdings 2" w:cs="Wingdings 2"/>
      <w:color w:val="000000"/>
      <w:sz w:val="24"/>
      <w:szCs w:val="24"/>
      <w:u w:val="none"/>
    </w:rPr>
  </w:style>
  <w:style w:type="character" w:customStyle="1" w:styleId="63">
    <w:name w:val="pagechatarealistclose_box"/>
    <w:basedOn w:val="27"/>
    <w:qFormat/>
    <w:uiPriority w:val="0"/>
  </w:style>
  <w:style w:type="character" w:customStyle="1" w:styleId="64">
    <w:name w:val="pagechatarealistclose_box1"/>
    <w:basedOn w:val="27"/>
    <w:qFormat/>
    <w:uiPriority w:val="0"/>
  </w:style>
  <w:style w:type="character" w:customStyle="1" w:styleId="65">
    <w:name w:val="cdropright"/>
    <w:basedOn w:val="27"/>
    <w:qFormat/>
    <w:uiPriority w:val="0"/>
  </w:style>
  <w:style w:type="character" w:customStyle="1" w:styleId="66">
    <w:name w:val="button4"/>
    <w:basedOn w:val="27"/>
    <w:qFormat/>
    <w:uiPriority w:val="0"/>
  </w:style>
  <w:style w:type="character" w:customStyle="1" w:styleId="67">
    <w:name w:val="associateddata"/>
    <w:basedOn w:val="27"/>
    <w:qFormat/>
    <w:uiPriority w:val="0"/>
    <w:rPr>
      <w:shd w:val="clear" w:fill="50A6F9"/>
    </w:rPr>
  </w:style>
  <w:style w:type="character" w:customStyle="1" w:styleId="68">
    <w:name w:val="choosename"/>
    <w:basedOn w:val="27"/>
    <w:qFormat/>
    <w:uiPriority w:val="0"/>
  </w:style>
  <w:style w:type="character" w:customStyle="1" w:styleId="69">
    <w:name w:val="drapbtn"/>
    <w:basedOn w:val="27"/>
    <w:qFormat/>
    <w:uiPriority w:val="0"/>
  </w:style>
  <w:style w:type="character" w:customStyle="1" w:styleId="70">
    <w:name w:val="ico1654"/>
    <w:basedOn w:val="27"/>
    <w:qFormat/>
    <w:uiPriority w:val="0"/>
  </w:style>
  <w:style w:type="character" w:customStyle="1" w:styleId="71">
    <w:name w:val="ico1655"/>
    <w:basedOn w:val="27"/>
    <w:qFormat/>
    <w:uiPriority w:val="0"/>
  </w:style>
  <w:style w:type="character" w:customStyle="1" w:styleId="72">
    <w:name w:val="active"/>
    <w:basedOn w:val="27"/>
    <w:qFormat/>
    <w:uiPriority w:val="0"/>
    <w:rPr>
      <w:color w:val="00FF00"/>
      <w:shd w:val="clear" w:fill="111111"/>
    </w:rPr>
  </w:style>
  <w:style w:type="character" w:customStyle="1" w:styleId="73">
    <w:name w:val="iconline2"/>
    <w:basedOn w:val="27"/>
    <w:qFormat/>
    <w:uiPriority w:val="0"/>
  </w:style>
  <w:style w:type="character" w:customStyle="1" w:styleId="74">
    <w:name w:val="w32"/>
    <w:basedOn w:val="27"/>
    <w:qFormat/>
    <w:uiPriority w:val="0"/>
  </w:style>
  <w:style w:type="character" w:customStyle="1" w:styleId="75">
    <w:name w:val="icontext1"/>
    <w:basedOn w:val="27"/>
    <w:qFormat/>
    <w:uiPriority w:val="0"/>
  </w:style>
  <w:style w:type="character" w:customStyle="1" w:styleId="76">
    <w:name w:val="icontext11"/>
    <w:basedOn w:val="27"/>
    <w:qFormat/>
    <w:uiPriority w:val="0"/>
  </w:style>
  <w:style w:type="character" w:customStyle="1" w:styleId="77">
    <w:name w:val="icontext12"/>
    <w:basedOn w:val="27"/>
    <w:qFormat/>
    <w:uiPriority w:val="0"/>
  </w:style>
  <w:style w:type="character" w:customStyle="1" w:styleId="78">
    <w:name w:val="icontext2"/>
    <w:basedOn w:val="27"/>
    <w:qFormat/>
    <w:uiPriority w:val="0"/>
  </w:style>
  <w:style w:type="character" w:customStyle="1" w:styleId="79">
    <w:name w:val="icontext3"/>
    <w:basedOn w:val="27"/>
    <w:qFormat/>
    <w:uiPriority w:val="0"/>
  </w:style>
  <w:style w:type="character" w:customStyle="1" w:styleId="80">
    <w:name w:val="hilite6"/>
    <w:basedOn w:val="27"/>
    <w:qFormat/>
    <w:uiPriority w:val="0"/>
    <w:rPr>
      <w:color w:val="FFFFFF"/>
      <w:shd w:val="clear" w:fill="666666"/>
    </w:rPr>
  </w:style>
  <w:style w:type="character" w:customStyle="1" w:styleId="81">
    <w:name w:val="time4"/>
    <w:basedOn w:val="27"/>
    <w:qFormat/>
    <w:uiPriority w:val="0"/>
    <w:rPr>
      <w:color w:val="999999"/>
      <w:sz w:val="18"/>
      <w:szCs w:val="18"/>
    </w:rPr>
  </w:style>
  <w:style w:type="character" w:customStyle="1" w:styleId="82">
    <w:name w:val="layui-layer-tabnow"/>
    <w:basedOn w:val="27"/>
    <w:qFormat/>
    <w:uiPriority w:val="0"/>
    <w:rPr>
      <w:bdr w:val="single" w:color="CCCCCC" w:sz="6" w:space="0"/>
      <w:shd w:val="clear" w:fill="FFFFFF"/>
    </w:rPr>
  </w:style>
  <w:style w:type="character" w:customStyle="1" w:styleId="83">
    <w:name w:val="after"/>
    <w:basedOn w:val="27"/>
    <w:qFormat/>
    <w:uiPriority w:val="0"/>
    <w:rPr>
      <w:sz w:val="0"/>
      <w:szCs w:val="0"/>
    </w:rPr>
  </w:style>
  <w:style w:type="character" w:customStyle="1" w:styleId="84">
    <w:name w:val="cy"/>
    <w:basedOn w:val="27"/>
    <w:qFormat/>
    <w:uiPriority w:val="0"/>
  </w:style>
  <w:style w:type="character" w:customStyle="1" w:styleId="85">
    <w:name w:val="first-child"/>
    <w:basedOn w:val="27"/>
    <w:qFormat/>
    <w:uiPriority w:val="0"/>
  </w:style>
  <w:style w:type="character" w:customStyle="1" w:styleId="86">
    <w:name w:val="tmpztreemove_arrow"/>
    <w:basedOn w:val="27"/>
    <w:qFormat/>
    <w:uiPriority w:val="0"/>
  </w:style>
  <w:style w:type="character" w:customStyle="1" w:styleId="87">
    <w:name w:val="cdropleft"/>
    <w:basedOn w:val="27"/>
    <w:qFormat/>
    <w:uiPriority w:val="0"/>
  </w:style>
  <w:style w:type="paragraph" w:customStyle="1" w:styleId="88">
    <w:name w:val="Table Paragraph"/>
    <w:basedOn w:val="1"/>
    <w:qFormat/>
    <w:uiPriority w:val="0"/>
    <w:pPr>
      <w:widowControl w:val="0"/>
      <w:autoSpaceDE w:val="0"/>
      <w:autoSpaceDN w:val="0"/>
      <w:adjustRightInd w:val="0"/>
      <w:spacing w:after="0" w:line="240" w:lineRule="auto"/>
    </w:pPr>
    <w:rPr>
      <w:rFonts w:ascii="Times New Roman" w:hAnsi="Times New Roman" w:cs="Times New Roman"/>
      <w:color w:val="auto"/>
      <w:kern w:val="0"/>
      <w:sz w:val="24"/>
      <w:szCs w:val="24"/>
    </w:rPr>
  </w:style>
  <w:style w:type="paragraph" w:customStyle="1" w:styleId="89">
    <w:name w:val="p15"/>
    <w:basedOn w:val="1"/>
    <w:qFormat/>
    <w:uiPriority w:val="0"/>
    <w:pPr>
      <w:widowControl/>
    </w:pPr>
    <w:rPr>
      <w:rFonts w:ascii="宋体" w:hAnsi="宋体"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27918</Words>
  <Characters>31942</Characters>
  <Lines>300</Lines>
  <Paragraphs>84</Paragraphs>
  <TotalTime>5</TotalTime>
  <ScaleCrop>false</ScaleCrop>
  <LinksUpToDate>false</LinksUpToDate>
  <CharactersWithSpaces>35204</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2023-10-13T01:30:00Z</cp:lastPrinted>
  <dcterms:modified xsi:type="dcterms:W3CDTF">2024-06-05T07:51:27Z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7CDDC2B1C03D460D80A333943A803CCC_13</vt:lpwstr>
  </property>
</Properties>
</file>