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广州市净水有限公司关于珠江西航道治理工程（一期）黄沙水产市场至荔湾泵站污水管道工程六二三路第三方桥梁及隧道监测项目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52"/>
          <w:szCs w:val="5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footerReference r:id="rId3" w:type="default"/>
          <w:pgSz w:w="11906" w:h="16838"/>
          <w:pgMar w:top="1440" w:right="1646" w:bottom="1440" w:left="1474" w:header="851" w:footer="992" w:gutter="0"/>
          <w:pgNumType w:fmt="numberInDash"/>
          <w:cols w:space="720" w:num="1"/>
          <w:docGrid w:type="lines" w:linePitch="312" w:charSpace="0"/>
        </w:sectPr>
      </w:pPr>
    </w:p>
    <w:p>
      <w:pPr>
        <w:pStyle w:val="2"/>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7519"/>
      <w:bookmarkStart w:id="5" w:name="_Toc19609"/>
      <w:bookmarkStart w:id="6" w:name="_Toc1669"/>
      <w:bookmarkStart w:id="7" w:name="_Toc17801"/>
      <w:bookmarkStart w:id="8" w:name="_Toc31938"/>
      <w:bookmarkStart w:id="9" w:name="_Toc11322"/>
      <w:bookmarkStart w:id="10" w:name="_Toc4275"/>
    </w:p>
    <w:p>
      <w:pPr>
        <w:pStyle w:val="3"/>
        <w:rPr>
          <w:rFonts w:hint="eastAsia"/>
          <w:color w:val="auto"/>
          <w:highlight w:val="none"/>
        </w:rPr>
      </w:pPr>
    </w:p>
    <w:p>
      <w:pPr>
        <w:pStyle w:val="3"/>
        <w:rPr>
          <w:rFonts w:hint="eastAsia"/>
          <w:color w:val="auto"/>
          <w:highlight w:val="none"/>
        </w:rPr>
      </w:pPr>
    </w:p>
    <w:p>
      <w:pPr>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848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745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KvUo0vzAQAA4w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1Zw4sXfjP&#10;T99+ffx8/+XH/fevbHKVJeoDLihy7bbxtMOwjZnvoYk2/4kJOxRZj2dZ1SExQYfXs/l8RoKLB1f1&#10;mBciplfKW5aNmmOKoNsurb1zdHc+ToqqsH+NiSpT4kNCLmoc6zP8dEbgQLPY0AyQaQPxQdeWXPRG&#10;y1ttTM7A2O7WJrI95HkoX+ZHuH+F5SIbwG6IK65hUjoF8qWTLB0DKeXogfDcglWSM6PoPWWLAGGR&#10;QJtLIqm0cdRBlngQNVs7L49F63JOd196PM1pHq4/9yX78W2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9SjS/MBAADj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广州市净水有限公司关于珠江西航道治理工程（一期）黄沙水产市场至荔湾泵站污水管道工程六二三路第三方桥梁及隧道监测项目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广州市净水有限公司关于珠江西航道治理工程（一期）黄沙水产市场至荔湾泵站污水管道工程六二三路第三方桥梁及隧道监测项目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XJ-20240531-1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255809.6元</w:t>
      </w:r>
      <w:bookmarkStart w:id="135" w:name="_GoBack"/>
      <w:bookmarkEnd w:id="135"/>
    </w:p>
    <w:p>
      <w:pPr>
        <w:spacing w:line="600" w:lineRule="exact"/>
        <w:jc w:val="left"/>
        <w:rPr>
          <w:rFonts w:hint="eastAsia" w:eastAsia="等线"/>
          <w:color w:val="auto"/>
          <w:highlight w:val="non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对</w:t>
      </w:r>
      <w:r>
        <w:rPr>
          <w:rFonts w:hint="eastAsia" w:ascii="仿宋_GB2312" w:eastAsia="仿宋_GB2312" w:hAnsiTheme="minorHAnsi" w:cstheme="minorBidi"/>
          <w:b w:val="0"/>
          <w:bCs w:val="0"/>
          <w:color w:val="auto"/>
          <w:sz w:val="28"/>
          <w:szCs w:val="28"/>
          <w:highlight w:val="none"/>
          <w:u w:val="single"/>
          <w:lang w:val="en-US" w:eastAsia="zh-CN"/>
        </w:rPr>
        <w:t>黄沙水产市场至荔湾泵站污水管道工程子项AW1～AW9 管段污水管施工影响</w:t>
      </w:r>
      <w:r>
        <w:rPr>
          <w:rFonts w:hint="eastAsia" w:ascii="仿宋_GB2312" w:eastAsia="仿宋_GB2312" w:cstheme="minorBidi"/>
          <w:b w:val="0"/>
          <w:bCs w:val="0"/>
          <w:color w:val="auto"/>
          <w:sz w:val="28"/>
          <w:szCs w:val="28"/>
          <w:highlight w:val="none"/>
          <w:u w:val="single"/>
          <w:lang w:val="en-US" w:eastAsia="zh-CN"/>
        </w:rPr>
        <w:t>的</w:t>
      </w:r>
      <w:r>
        <w:rPr>
          <w:rFonts w:hint="eastAsia" w:ascii="仿宋_GB2312" w:eastAsia="仿宋_GB2312" w:hAnsiTheme="minorHAnsi" w:cstheme="minorBidi"/>
          <w:b w:val="0"/>
          <w:bCs w:val="0"/>
          <w:color w:val="auto"/>
          <w:sz w:val="28"/>
          <w:szCs w:val="28"/>
          <w:highlight w:val="none"/>
          <w:u w:val="single"/>
          <w:lang w:val="en-US" w:eastAsia="zh-CN"/>
        </w:rPr>
        <w:t>过街隧道、人行天桥和内环路高架桥</w:t>
      </w:r>
      <w:r>
        <w:rPr>
          <w:rFonts w:hint="eastAsia" w:ascii="仿宋_GB2312" w:eastAsia="仿宋_GB2312" w:cstheme="minorBidi"/>
          <w:b w:val="0"/>
          <w:bCs w:val="0"/>
          <w:color w:val="auto"/>
          <w:sz w:val="28"/>
          <w:szCs w:val="28"/>
          <w:highlight w:val="none"/>
          <w:u w:val="single"/>
          <w:lang w:val="en-US" w:eastAsia="zh-CN"/>
        </w:rPr>
        <w:t>等周边建（构）筑物</w:t>
      </w:r>
      <w:r>
        <w:rPr>
          <w:rFonts w:hint="eastAsia" w:ascii="仿宋_GB2312" w:eastAsia="仿宋_GB2312"/>
          <w:color w:val="auto"/>
          <w:sz w:val="28"/>
          <w:szCs w:val="28"/>
          <w:highlight w:val="none"/>
          <w:u w:val="single"/>
          <w:lang w:val="en-US" w:eastAsia="zh-CN"/>
        </w:rPr>
        <w:t>开展</w:t>
      </w:r>
      <w:r>
        <w:rPr>
          <w:rFonts w:hint="eastAsia" w:ascii="仿宋_GB2312" w:eastAsia="仿宋_GB2312" w:cstheme="minorBidi"/>
          <w:b w:val="0"/>
          <w:bCs w:val="0"/>
          <w:color w:val="auto"/>
          <w:sz w:val="28"/>
          <w:szCs w:val="28"/>
          <w:highlight w:val="none"/>
          <w:u w:val="single"/>
          <w:lang w:val="en-US" w:eastAsia="zh-CN"/>
        </w:rPr>
        <w:t>第三方安全监测</w:t>
      </w:r>
      <w:r>
        <w:rPr>
          <w:rFonts w:hint="eastAsia" w:ascii="仿宋_GB2312" w:eastAsia="仿宋_GB2312"/>
          <w:color w:val="auto"/>
          <w:sz w:val="28"/>
          <w:szCs w:val="28"/>
          <w:highlight w:val="none"/>
          <w:u w:val="single"/>
          <w:lang w:val="en-US" w:eastAsia="zh-CN"/>
        </w:rPr>
        <w:t xml:space="preserve">服务。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自合同签订之日起4个月，暂定2024年6月1日至2024年9月30日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280" w:hanging="280" w:hangingChars="1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荔湾区六二三路</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对</w:t>
      </w:r>
      <w:r>
        <w:rPr>
          <w:rFonts w:hint="eastAsia" w:ascii="仿宋_GB2312" w:eastAsia="仿宋_GB2312" w:hAnsiTheme="minorHAnsi" w:cstheme="minorBidi"/>
          <w:b w:val="0"/>
          <w:bCs w:val="0"/>
          <w:color w:val="auto"/>
          <w:sz w:val="28"/>
          <w:szCs w:val="28"/>
          <w:highlight w:val="none"/>
          <w:u w:val="single"/>
          <w:lang w:val="en-US" w:eastAsia="zh-CN"/>
        </w:rPr>
        <w:t>黄沙水产市场至荔湾泵站污水管道工程子项AW1～AW9 管段污水管施工影响</w:t>
      </w:r>
      <w:r>
        <w:rPr>
          <w:rFonts w:hint="eastAsia" w:ascii="仿宋_GB2312" w:eastAsia="仿宋_GB2312" w:cstheme="minorBidi"/>
          <w:b w:val="0"/>
          <w:bCs w:val="0"/>
          <w:color w:val="auto"/>
          <w:sz w:val="28"/>
          <w:szCs w:val="28"/>
          <w:highlight w:val="none"/>
          <w:u w:val="single"/>
          <w:lang w:val="en-US" w:eastAsia="zh-CN"/>
        </w:rPr>
        <w:t>的</w:t>
      </w:r>
      <w:r>
        <w:rPr>
          <w:rFonts w:hint="eastAsia" w:ascii="仿宋_GB2312" w:eastAsia="仿宋_GB2312" w:hAnsiTheme="minorHAnsi" w:cstheme="minorBidi"/>
          <w:b w:val="0"/>
          <w:bCs w:val="0"/>
          <w:color w:val="auto"/>
          <w:sz w:val="28"/>
          <w:szCs w:val="28"/>
          <w:highlight w:val="none"/>
          <w:u w:val="single"/>
          <w:lang w:val="en-US" w:eastAsia="zh-CN"/>
        </w:rPr>
        <w:t>过街隧道、人行天桥和内环路高架桥</w:t>
      </w:r>
      <w:r>
        <w:rPr>
          <w:rFonts w:hint="eastAsia" w:ascii="仿宋_GB2312" w:eastAsia="仿宋_GB2312" w:cstheme="minorBidi"/>
          <w:b w:val="0"/>
          <w:bCs w:val="0"/>
          <w:color w:val="auto"/>
          <w:sz w:val="28"/>
          <w:szCs w:val="28"/>
          <w:highlight w:val="none"/>
          <w:u w:val="single"/>
          <w:lang w:val="en-US" w:eastAsia="zh-CN"/>
        </w:rPr>
        <w:t>等周边建（构）筑物进行第三方安全监测，并出具相关监测报告。</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hint="default" w:ascii="仿宋_GB2312" w:eastAsia="仿宋_GB2312" w:hAnsiTheme="minorHAnsi"/>
          <w:b w:val="0"/>
          <w:color w:val="auto"/>
          <w:sz w:val="28"/>
          <w:szCs w:val="28"/>
          <w:highlight w:val="none"/>
          <w:lang w:val="en-US" w:eastAsia="zh-CN"/>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行政主管部门颁发的工程勘察专业类（岩土工程勘察或工程测量）乙级（或以上级别）资质，同时持有在有效期内质量技术监督管理部门颁发的CMA计量认证合格证书（或CMA检验检测机构资质认定证书），加盖单位公章。</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工程监测 </w:t>
      </w:r>
      <w:r>
        <w:rPr>
          <w:rFonts w:hint="eastAsia" w:ascii="仿宋_GB2312" w:eastAsia="仿宋_GB2312"/>
          <w:color w:val="auto"/>
          <w:sz w:val="28"/>
          <w:szCs w:val="28"/>
          <w:highlight w:val="none"/>
        </w:rPr>
        <w:t>项目</w:t>
      </w:r>
      <w:r>
        <w:rPr>
          <w:rFonts w:hint="eastAsia" w:ascii="仿宋_GB2312" w:eastAsia="仿宋_GB2312"/>
          <w:color w:val="auto"/>
          <w:sz w:val="28"/>
          <w:szCs w:val="28"/>
          <w:highlight w:val="none"/>
          <w:lang w:val="en-US" w:eastAsia="zh-CN"/>
        </w:rPr>
        <w:t>实施</w:t>
      </w:r>
      <w:r>
        <w:rPr>
          <w:rFonts w:hint="eastAsia" w:ascii="仿宋_GB2312" w:eastAsia="仿宋_GB2312"/>
          <w:color w:val="auto"/>
          <w:sz w:val="28"/>
          <w:szCs w:val="28"/>
          <w:highlight w:val="none"/>
        </w:rPr>
        <w:t>业绩</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（提供合同复印件证明，包括但不限于项目名称、金额及实施内容、合同</w:t>
      </w:r>
      <w:r>
        <w:rPr>
          <w:rFonts w:hint="eastAsia" w:ascii="仿宋_GB2312" w:eastAsia="仿宋_GB2312"/>
          <w:color w:val="auto"/>
          <w:sz w:val="28"/>
          <w:szCs w:val="28"/>
          <w:highlight w:val="none"/>
          <w:lang w:val="en-US" w:eastAsia="zh-CN"/>
        </w:rPr>
        <w:t>双方</w:t>
      </w:r>
      <w:r>
        <w:rPr>
          <w:rFonts w:hint="eastAsia" w:ascii="仿宋_GB2312" w:eastAsia="仿宋_GB2312"/>
          <w:color w:val="auto"/>
          <w:sz w:val="28"/>
          <w:szCs w:val="28"/>
          <w:highlight w:val="none"/>
        </w:rPr>
        <w:t>盖章、签订日期，加盖单位公章）</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6.2递交地址：广州市天河区临江大道501号广州市净水有限公司6楼招标部。</w:t>
      </w:r>
    </w:p>
    <w:p>
      <w:pPr>
        <w:pStyle w:val="2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color w:val="auto"/>
          <w:sz w:val="28"/>
          <w:szCs w:val="28"/>
          <w:highlight w:val="none"/>
        </w:rPr>
        <w:t>（4）“详细描述”：找XX，递交XX项目响应文件。</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keepNext w:val="0"/>
        <w:keepLines w:val="0"/>
        <w:pageBreakBefore w:val="0"/>
        <w:kinsoku/>
        <w:wordWrap/>
        <w:overflowPunct/>
        <w:topLinePunct w:val="0"/>
        <w:autoSpaceDE/>
        <w:autoSpaceDN/>
        <w:bidi w:val="0"/>
        <w:adjustRightInd w:val="0"/>
        <w:snapToGrid w:val="0"/>
        <w:spacing w:line="560" w:lineRule="exact"/>
        <w:ind w:firstLine="555"/>
        <w:textAlignment w:val="auto"/>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48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48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keepNext w:val="0"/>
        <w:keepLines w:val="0"/>
        <w:pageBreakBefore w:val="0"/>
        <w:kinsoku/>
        <w:wordWrap/>
        <w:overflowPunct/>
        <w:topLinePunct w:val="0"/>
        <w:autoSpaceDE/>
        <w:autoSpaceDN/>
        <w:bidi w:val="0"/>
        <w:adjustRightInd w:val="0"/>
        <w:snapToGrid w:val="0"/>
        <w:spacing w:beforeLines="50" w:afterLines="50" w:line="560" w:lineRule="exact"/>
        <w:jc w:val="lef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9448"/>
      <w:bookmarkStart w:id="15" w:name="_Toc2331"/>
      <w:bookmarkStart w:id="16" w:name="_Toc23749"/>
      <w:bookmarkStart w:id="17" w:name="_Toc19295"/>
      <w:bookmarkStart w:id="18" w:name="_Toc16557"/>
      <w:bookmarkStart w:id="19" w:name="_Toc16705"/>
      <w:bookmarkStart w:id="20" w:name="_Toc25603"/>
      <w:bookmarkStart w:id="21" w:name="_Toc32588"/>
      <w:bookmarkStart w:id="22" w:name="_Toc2324"/>
      <w:bookmarkStart w:id="23" w:name="_Toc7340"/>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2354580</wp:posOffset>
                </wp:positionH>
                <wp:positionV relativeFrom="paragraph">
                  <wp:posOffset>19685</wp:posOffset>
                </wp:positionV>
                <wp:extent cx="958850" cy="0"/>
                <wp:effectExtent l="0" t="0" r="0" b="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5.4pt;margin-top:1.55pt;height:0pt;width:75.5pt;z-index:251669504;mso-width-relative:page;mso-height-relative:page;" filled="f" stroked="t" coordsize="21600,21600" o:gfxdata="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5woetQAAAAHAQAADwAAAAAAAAABACAAAAAiAAAAZHJzL2Rvd25yZXYueG1sUEsBAhQAFAAA&#10;AAgAh07iQPyiUIX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2381885</wp:posOffset>
                </wp:positionH>
                <wp:positionV relativeFrom="paragraph">
                  <wp:posOffset>541655</wp:posOffset>
                </wp:positionV>
                <wp:extent cx="958850" cy="0"/>
                <wp:effectExtent l="0" t="0" r="0" b="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7.55pt;margin-top:42.65pt;height:0pt;width:75.5pt;z-index:251670528;mso-width-relative:page;mso-height-relative:page;" filled="f" stroked="t" coordsize="21600,21600" o:gfxdata="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dztpNcAAAAJ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ind w:firstLine="0"/>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560" w:lineRule="exact"/>
        <w:ind w:firstLine="694" w:firstLineChars="248"/>
        <w:jc w:val="left"/>
        <w:rPr>
          <w:rFonts w:ascii="仿宋_GB2312" w:eastAsia="仿宋_GB2312"/>
          <w:color w:val="auto"/>
          <w:sz w:val="28"/>
          <w:szCs w:val="28"/>
          <w:highlight w:val="none"/>
        </w:rPr>
      </w:pP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color w:val="auto"/>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ind w:left="0" w:leftChars="0" w:firstLine="0" w:firstLineChars="0"/>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both"/>
        <w:rPr>
          <w:rFonts w:hint="eastAsia" w:ascii="宋体" w:hAnsi="宋体" w:cs="宋体"/>
          <w:b/>
          <w:bCs/>
          <w:color w:val="auto"/>
          <w:sz w:val="44"/>
          <w:szCs w:val="44"/>
          <w:highlight w:val="none"/>
        </w:rPr>
      </w:pPr>
      <w:bookmarkStart w:id="26" w:name="_Toc2867"/>
      <w:bookmarkStart w:id="27" w:name="_Toc21455"/>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pStyle w:val="22"/>
        <w:rPr>
          <w:rFonts w:hAnsi="宋体" w:cs="仿宋_GB2312"/>
          <w:color w:val="auto"/>
          <w:kern w:val="0"/>
          <w:sz w:val="28"/>
          <w:szCs w:val="28"/>
          <w:highlight w:val="none"/>
        </w:rPr>
      </w:pPr>
    </w:p>
    <w:p>
      <w:pPr>
        <w:pStyle w:val="22"/>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22"/>
        <w:rPr>
          <w:color w:val="auto"/>
          <w:highlight w:val="none"/>
        </w:rPr>
      </w:pPr>
    </w:p>
    <w:p>
      <w:pPr>
        <w:pStyle w:val="4"/>
        <w:rPr>
          <w:rFonts w:hint="eastAsia" w:asciiTheme="minorHAnsi" w:hAnsiTheme="minorHAnsi" w:cstheme="minorBidi"/>
          <w:color w:val="auto"/>
          <w:kern w:val="44"/>
          <w:sz w:val="44"/>
          <w:szCs w:val="44"/>
          <w:highlight w:val="none"/>
        </w:rPr>
      </w:pPr>
    </w:p>
    <w:p>
      <w:pPr>
        <w:rPr>
          <w:rFonts w:hint="eastAsia"/>
          <w:color w:val="auto"/>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2291080</wp:posOffset>
                </wp:positionH>
                <wp:positionV relativeFrom="paragraph">
                  <wp:posOffset>689610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0.4pt;margin-top:54.3pt;height:0pt;width:75.5pt;z-index:251660288;mso-width-relative:page;mso-height-relative:page;" filled="f" stroked="t" coordsize="21600,21600" o:gfxdata="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fJUe9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2298700</wp:posOffset>
                </wp:positionH>
                <wp:positionV relativeFrom="paragraph">
                  <wp:posOffset>172085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1pt;margin-top:13.55pt;height:0pt;width:75.5pt;z-index:251659264;mso-width-relative:page;mso-height-relative:page;" filled="f" stroked="t" coordsize="21600,21600" o:gfxdata="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srpsL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leftChars="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eastAsia="zh-CN"/>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w:t>
            </w:r>
            <w:r>
              <w:rPr>
                <w:rFonts w:hint="eastAsia" w:ascii="仿宋_GB2312" w:eastAsia="仿宋_GB2312" w:hAnsiTheme="minorEastAsia"/>
                <w:color w:val="auto"/>
                <w:sz w:val="24"/>
                <w:szCs w:val="24"/>
                <w:highlight w:val="none"/>
                <w:lang w:val="en-US" w:eastAsia="zh-CN"/>
              </w:rPr>
              <w:t>或放弃</w:t>
            </w:r>
            <w:r>
              <w:rPr>
                <w:rFonts w:hint="eastAsia" w:ascii="仿宋_GB2312" w:eastAsia="仿宋_GB2312" w:hAnsiTheme="minorEastAsia"/>
                <w:color w:val="auto"/>
                <w:sz w:val="24"/>
                <w:szCs w:val="24"/>
                <w:highlight w:val="none"/>
              </w:rPr>
              <w:t>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w:t>
            </w:r>
            <w:r>
              <w:rPr>
                <w:rFonts w:hint="eastAsia" w:ascii="仿宋_GB2312" w:eastAsia="仿宋_GB2312" w:hAnsiTheme="minorEastAsia"/>
                <w:color w:val="auto"/>
                <w:sz w:val="24"/>
                <w:szCs w:val="24"/>
                <w:highlight w:val="none"/>
                <w:lang w:val="en-US" w:eastAsia="zh-CN"/>
              </w:rPr>
              <w:t>的</w:t>
            </w: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color w:val="auto"/>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4952"/>
      <w:bookmarkStart w:id="35" w:name="_Toc23581"/>
      <w:bookmarkStart w:id="36" w:name="_Toc7437"/>
      <w:bookmarkStart w:id="37" w:name="_Toc14870"/>
      <w:bookmarkStart w:id="38" w:name="_Toc10930"/>
      <w:bookmarkStart w:id="39" w:name="_Toc19050"/>
      <w:bookmarkStart w:id="40" w:name="_Toc14552"/>
      <w:bookmarkStart w:id="41" w:name="_Toc19759"/>
      <w:bookmarkStart w:id="42" w:name="_Toc3156"/>
      <w:bookmarkStart w:id="43" w:name="_Toc20594"/>
      <w:bookmarkStart w:id="44" w:name="_Toc7118"/>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1079"/>
      <w:bookmarkStart w:id="46" w:name="_Toc32607"/>
      <w:bookmarkStart w:id="47" w:name="_Toc21840"/>
      <w:bookmarkStart w:id="48" w:name="_Toc7831"/>
      <w:bookmarkStart w:id="49" w:name="_Toc6308"/>
      <w:bookmarkStart w:id="50" w:name="_Toc22212"/>
      <w:bookmarkStart w:id="51" w:name="_Toc13898"/>
      <w:bookmarkStart w:id="52" w:name="_Toc29484"/>
      <w:bookmarkStart w:id="53" w:name="_Toc12177"/>
      <w:bookmarkStart w:id="54" w:name="_Toc88209941"/>
      <w:bookmarkStart w:id="55" w:name="_Toc87616378"/>
      <w:bookmarkStart w:id="56" w:name="_Toc29345"/>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2125"/>
        <w:gridCol w:w="552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rPr>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hint="eastAsia" w:ascii="仿宋_GB2312" w:eastAsia="仿宋_GB2312" w:hAnsiTheme="minorEastAsia"/>
          <w:color w:val="auto"/>
          <w:sz w:val="28"/>
          <w:szCs w:val="28"/>
          <w:highlight w:val="none"/>
        </w:rPr>
      </w:pPr>
    </w:p>
    <w:p>
      <w:pPr>
        <w:pStyle w:val="22"/>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3"/>
        <w:rPr>
          <w:rFonts w:hint="eastAsia"/>
          <w:color w:val="auto"/>
          <w:highlight w:val="none"/>
        </w:rPr>
      </w:pPr>
      <w:bookmarkStart w:id="60" w:name="_Toc88209947"/>
    </w:p>
    <w:p>
      <w:pPr>
        <w:pStyle w:val="3"/>
        <w:jc w:val="both"/>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bookmarkEnd w:id="60"/>
    <w:p>
      <w:pPr>
        <w:pStyle w:val="22"/>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pStyle w:val="22"/>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为保证</w:t>
      </w:r>
      <w:r>
        <w:rPr>
          <w:rFonts w:hint="eastAsia" w:ascii="仿宋_GB2312" w:eastAsia="仿宋_GB2312"/>
          <w:color w:val="auto"/>
          <w:sz w:val="28"/>
          <w:szCs w:val="28"/>
          <w:highlight w:val="none"/>
          <w:u w:val="single"/>
          <w:lang w:val="en-US" w:eastAsia="zh-CN"/>
        </w:rPr>
        <w:t>珠江西航道治理工程（一期）黄沙水产市场至荔湾泵站污水管道工程六二三路第三方桥梁及隧道监测</w:t>
      </w:r>
      <w:r>
        <w:rPr>
          <w:rFonts w:hint="eastAsia" w:ascii="仿宋_GB2312" w:hAnsi="宋体" w:eastAsia="仿宋_GB2312" w:cs="Times New Roman"/>
          <w:color w:val="auto"/>
          <w:sz w:val="28"/>
          <w:szCs w:val="28"/>
          <w:highlight w:val="none"/>
          <w:lang w:val="en-US" w:eastAsia="zh-CN"/>
        </w:rPr>
        <w:t>工作顺利开展，现通过</w:t>
      </w:r>
      <w:r>
        <w:rPr>
          <w:rFonts w:hint="eastAsia" w:ascii="仿宋_GB2312" w:hAnsi="宋体" w:eastAsia="仿宋_GB2312" w:cs="Times New Roman"/>
          <w:color w:val="auto"/>
          <w:sz w:val="28"/>
          <w:szCs w:val="28"/>
          <w:highlight w:val="none"/>
          <w:shd w:val="clear" w:color="auto" w:fill="auto"/>
          <w:lang w:val="en-US" w:eastAsia="zh-CN"/>
        </w:rPr>
        <w:t>公开</w:t>
      </w:r>
      <w:r>
        <w:rPr>
          <w:rFonts w:hint="eastAsia" w:ascii="仿宋_GB2312" w:eastAsia="仿宋_GB2312" w:cs="Times New Roman"/>
          <w:color w:val="auto"/>
          <w:sz w:val="28"/>
          <w:szCs w:val="28"/>
          <w:highlight w:val="none"/>
          <w:shd w:val="clear" w:color="auto" w:fill="auto"/>
          <w:lang w:val="en-US" w:eastAsia="zh-CN"/>
        </w:rPr>
        <w:t>询价</w:t>
      </w:r>
      <w:r>
        <w:rPr>
          <w:rFonts w:hint="eastAsia" w:ascii="仿宋_GB2312" w:hAnsi="宋体" w:eastAsia="仿宋_GB2312" w:cs="Times New Roman"/>
          <w:color w:val="auto"/>
          <w:sz w:val="28"/>
          <w:szCs w:val="28"/>
          <w:highlight w:val="none"/>
          <w:lang w:val="en-US" w:eastAsia="zh-CN"/>
        </w:rPr>
        <w:t>选取</w:t>
      </w:r>
      <w:r>
        <w:rPr>
          <w:rFonts w:hint="eastAsia" w:ascii="仿宋_GB2312" w:eastAsia="仿宋_GB2312" w:hAnsiTheme="minorHAnsi"/>
          <w:b w:val="0"/>
          <w:color w:val="auto"/>
          <w:sz w:val="28"/>
          <w:szCs w:val="28"/>
          <w:highlight w:val="none"/>
          <w:lang w:val="en-US" w:eastAsia="zh-CN"/>
        </w:rPr>
        <w:t>第三方</w:t>
      </w:r>
      <w:r>
        <w:rPr>
          <w:rFonts w:hint="eastAsia" w:ascii="仿宋_GB2312" w:eastAsia="仿宋_GB2312" w:cs="Times New Roman"/>
          <w:color w:val="auto"/>
          <w:sz w:val="28"/>
          <w:szCs w:val="28"/>
          <w:highlight w:val="none"/>
          <w:lang w:val="en-US" w:eastAsia="zh-CN"/>
        </w:rPr>
        <w:t>监测</w:t>
      </w:r>
      <w:r>
        <w:rPr>
          <w:rFonts w:hint="eastAsia" w:ascii="仿宋_GB2312" w:hAnsi="宋体" w:eastAsia="仿宋_GB2312" w:cs="Times New Roman"/>
          <w:color w:val="auto"/>
          <w:sz w:val="28"/>
          <w:szCs w:val="28"/>
          <w:highlight w:val="none"/>
          <w:lang w:val="en-US" w:eastAsia="zh-CN"/>
        </w:rPr>
        <w:t>单位，</w:t>
      </w:r>
      <w:r>
        <w:rPr>
          <w:rFonts w:hint="eastAsia" w:ascii="仿宋_GB2312" w:eastAsia="仿宋_GB2312" w:hAnsiTheme="minorHAnsi"/>
          <w:b w:val="0"/>
          <w:color w:val="auto"/>
          <w:sz w:val="28"/>
          <w:szCs w:val="28"/>
          <w:highlight w:val="none"/>
          <w:lang w:val="en-US" w:eastAsia="zh-CN"/>
        </w:rPr>
        <w:t>对该项目报价，</w:t>
      </w:r>
      <w:r>
        <w:rPr>
          <w:rFonts w:hint="eastAsia" w:ascii="仿宋_GB2312" w:hAnsi="宋体" w:eastAsia="仿宋_GB2312" w:cs="Times New Roman"/>
          <w:color w:val="auto"/>
          <w:sz w:val="28"/>
          <w:szCs w:val="28"/>
          <w:highlight w:val="none"/>
          <w:lang w:val="en-US" w:eastAsia="zh-CN"/>
        </w:rPr>
        <w:t>在协议服务期限内，为广州市净水有限公司</w:t>
      </w:r>
      <w:r>
        <w:rPr>
          <w:rFonts w:hint="eastAsia" w:ascii="仿宋_GB2312" w:eastAsia="仿宋_GB2312"/>
          <w:color w:val="auto"/>
          <w:sz w:val="28"/>
          <w:szCs w:val="28"/>
          <w:highlight w:val="none"/>
          <w:u w:val="single"/>
          <w:lang w:val="en-US" w:eastAsia="zh-CN"/>
        </w:rPr>
        <w:t>珠江西航道治理工程（一期）黄沙水产市场至荔湾泵站污水管道工程</w:t>
      </w:r>
      <w:r>
        <w:rPr>
          <w:rFonts w:hint="eastAsia" w:ascii="仿宋_GB2312" w:hAnsi="宋体" w:eastAsia="仿宋_GB2312" w:cs="Times New Roman"/>
          <w:color w:val="auto"/>
          <w:sz w:val="28"/>
          <w:szCs w:val="28"/>
          <w:highlight w:val="none"/>
          <w:lang w:val="en-US" w:eastAsia="zh-CN"/>
        </w:rPr>
        <w:t>提供</w:t>
      </w:r>
      <w:r>
        <w:rPr>
          <w:rFonts w:hint="eastAsia" w:ascii="仿宋_GB2312" w:eastAsia="仿宋_GB2312" w:hAnsiTheme="minorHAnsi"/>
          <w:b w:val="0"/>
          <w:color w:val="auto"/>
          <w:sz w:val="28"/>
          <w:szCs w:val="28"/>
          <w:highlight w:val="none"/>
          <w:lang w:val="en-US" w:eastAsia="zh-CN"/>
        </w:rPr>
        <w:t>第三方</w:t>
      </w:r>
      <w:r>
        <w:rPr>
          <w:rFonts w:hint="eastAsia" w:ascii="仿宋_GB2312" w:eastAsia="仿宋_GB2312" w:cs="Times New Roman"/>
          <w:color w:val="auto"/>
          <w:sz w:val="28"/>
          <w:szCs w:val="28"/>
          <w:highlight w:val="none"/>
          <w:lang w:val="en-US" w:eastAsia="zh-CN"/>
        </w:rPr>
        <w:t>监测</w:t>
      </w:r>
      <w:r>
        <w:rPr>
          <w:rFonts w:hint="eastAsia" w:ascii="仿宋_GB2312" w:hAnsi="宋体" w:eastAsia="仿宋_GB2312" w:cs="Times New Roman"/>
          <w:color w:val="auto"/>
          <w:sz w:val="28"/>
          <w:szCs w:val="28"/>
          <w:highlight w:val="none"/>
          <w:lang w:val="en-US" w:eastAsia="zh-CN"/>
        </w:rPr>
        <w:t>服务。</w:t>
      </w:r>
    </w:p>
    <w:p>
      <w:pPr>
        <w:pStyle w:val="22"/>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主要负责采购人委托的</w:t>
      </w:r>
      <w:r>
        <w:rPr>
          <w:rFonts w:hint="eastAsia" w:ascii="仿宋_GB2312" w:eastAsia="仿宋_GB2312"/>
          <w:color w:val="auto"/>
          <w:sz w:val="28"/>
          <w:szCs w:val="28"/>
          <w:highlight w:val="none"/>
          <w:u w:val="single"/>
          <w:lang w:val="en-US" w:eastAsia="zh-CN"/>
        </w:rPr>
        <w:t>珠江西航道治理工程（一期）黄沙水产市场至荔湾泵站污水管道工程</w:t>
      </w:r>
      <w:r>
        <w:rPr>
          <w:rFonts w:hint="eastAsia" w:ascii="仿宋_GB2312" w:hAnsi="宋体" w:eastAsia="仿宋_GB2312" w:cs="Times New Roman"/>
          <w:color w:val="auto"/>
          <w:sz w:val="28"/>
          <w:szCs w:val="28"/>
          <w:highlight w:val="none"/>
          <w:lang w:val="en-US" w:eastAsia="zh-CN"/>
        </w:rPr>
        <w:t>在实施过程中进行</w:t>
      </w:r>
      <w:r>
        <w:rPr>
          <w:rFonts w:hint="eastAsia" w:ascii="仿宋_GB2312" w:eastAsia="仿宋_GB2312" w:cs="Times New Roman"/>
          <w:color w:val="auto"/>
          <w:sz w:val="28"/>
          <w:szCs w:val="28"/>
          <w:highlight w:val="none"/>
          <w:lang w:val="en-US" w:eastAsia="zh-CN"/>
        </w:rPr>
        <w:t>第三方监测</w:t>
      </w:r>
      <w:r>
        <w:rPr>
          <w:rFonts w:hint="eastAsia" w:ascii="仿宋_GB2312" w:hAnsi="宋体" w:eastAsia="仿宋_GB2312" w:cs="Times New Roman"/>
          <w:color w:val="auto"/>
          <w:sz w:val="28"/>
          <w:szCs w:val="28"/>
          <w:highlight w:val="none"/>
          <w:lang w:val="en-US" w:eastAsia="zh-CN"/>
        </w:rPr>
        <w:t>，具体内容包括但不限于：协助项目设计单位提供</w:t>
      </w:r>
      <w:r>
        <w:rPr>
          <w:rFonts w:hint="eastAsia" w:ascii="仿宋_GB2312" w:eastAsia="仿宋_GB2312" w:cs="Times New Roman"/>
          <w:color w:val="auto"/>
          <w:sz w:val="28"/>
          <w:szCs w:val="28"/>
          <w:highlight w:val="none"/>
          <w:lang w:val="en-US" w:eastAsia="zh-CN"/>
        </w:rPr>
        <w:t>监测</w:t>
      </w:r>
      <w:r>
        <w:rPr>
          <w:rFonts w:hint="eastAsia" w:ascii="仿宋_GB2312" w:hAnsi="宋体" w:eastAsia="仿宋_GB2312" w:cs="Times New Roman"/>
          <w:color w:val="auto"/>
          <w:sz w:val="28"/>
          <w:szCs w:val="28"/>
          <w:highlight w:val="none"/>
          <w:lang w:val="en-US" w:eastAsia="zh-CN"/>
        </w:rPr>
        <w:t>清单及频次、项目现场采样、材料</w:t>
      </w:r>
      <w:r>
        <w:rPr>
          <w:rFonts w:hint="eastAsia" w:ascii="仿宋_GB2312" w:eastAsia="仿宋_GB2312" w:cs="Times New Roman"/>
          <w:color w:val="auto"/>
          <w:sz w:val="28"/>
          <w:szCs w:val="28"/>
          <w:highlight w:val="none"/>
          <w:lang w:val="en-US" w:eastAsia="zh-CN"/>
        </w:rPr>
        <w:t>监测</w:t>
      </w:r>
      <w:r>
        <w:rPr>
          <w:rFonts w:hint="eastAsia" w:ascii="仿宋_GB2312" w:hAnsi="宋体" w:eastAsia="仿宋_GB2312" w:cs="Times New Roman"/>
          <w:color w:val="auto"/>
          <w:sz w:val="28"/>
          <w:szCs w:val="28"/>
          <w:highlight w:val="none"/>
          <w:lang w:val="en-US" w:eastAsia="zh-CN"/>
        </w:rPr>
        <w:t>、软基处理</w:t>
      </w:r>
      <w:r>
        <w:rPr>
          <w:rFonts w:hint="eastAsia" w:ascii="仿宋_GB2312" w:eastAsia="仿宋_GB2312" w:cs="Times New Roman"/>
          <w:color w:val="auto"/>
          <w:sz w:val="28"/>
          <w:szCs w:val="28"/>
          <w:highlight w:val="none"/>
          <w:lang w:val="en-US" w:eastAsia="zh-CN"/>
        </w:rPr>
        <w:t>监测</w:t>
      </w:r>
      <w:r>
        <w:rPr>
          <w:rFonts w:hint="eastAsia" w:ascii="仿宋_GB2312" w:hAnsi="宋体" w:eastAsia="仿宋_GB2312" w:cs="Times New Roman"/>
          <w:color w:val="auto"/>
          <w:sz w:val="28"/>
          <w:szCs w:val="28"/>
          <w:highlight w:val="none"/>
          <w:lang w:val="en-US" w:eastAsia="zh-CN"/>
        </w:rPr>
        <w:t>等。</w:t>
      </w:r>
    </w:p>
    <w:p>
      <w:pPr>
        <w:pStyle w:val="22"/>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二、项目技术要求</w:t>
      </w:r>
    </w:p>
    <w:p>
      <w:pPr>
        <w:pStyle w:val="22"/>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1、服务地点：</w:t>
      </w:r>
      <w:r>
        <w:rPr>
          <w:rFonts w:hint="eastAsia" w:ascii="仿宋_GB2312" w:eastAsia="仿宋_GB2312" w:cs="Times New Roman"/>
          <w:color w:val="auto"/>
          <w:sz w:val="28"/>
          <w:szCs w:val="28"/>
          <w:highlight w:val="none"/>
          <w:lang w:val="en-US" w:eastAsia="zh-CN"/>
        </w:rPr>
        <w:t>荔湾区六二三路</w:t>
      </w:r>
      <w:r>
        <w:rPr>
          <w:rFonts w:hint="eastAsia" w:ascii="仿宋_GB2312" w:hAnsi="宋体" w:eastAsia="仿宋_GB2312" w:cs="Times New Roman"/>
          <w:color w:val="auto"/>
          <w:sz w:val="28"/>
          <w:szCs w:val="28"/>
          <w:highlight w:val="none"/>
          <w:lang w:val="en-US" w:eastAsia="zh-CN"/>
        </w:rPr>
        <w:t>。</w:t>
      </w:r>
    </w:p>
    <w:p>
      <w:pPr>
        <w:pStyle w:val="22"/>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2、服务期限：</w:t>
      </w:r>
      <w:r>
        <w:rPr>
          <w:rFonts w:hint="eastAsia" w:ascii="仿宋_GB2312" w:eastAsia="仿宋_GB2312" w:cs="Times New Roman"/>
          <w:color w:val="auto"/>
          <w:sz w:val="28"/>
          <w:szCs w:val="28"/>
          <w:highlight w:val="none"/>
          <w:lang w:val="en-US" w:eastAsia="zh-CN"/>
        </w:rPr>
        <w:t>暂定</w:t>
      </w:r>
      <w:r>
        <w:rPr>
          <w:rFonts w:hint="eastAsia" w:ascii="仿宋_GB2312" w:hAnsi="宋体" w:eastAsia="仿宋_GB2312" w:cs="Times New Roman"/>
          <w:color w:val="auto"/>
          <w:sz w:val="28"/>
          <w:szCs w:val="28"/>
          <w:highlight w:val="none"/>
          <w:lang w:val="en-US" w:eastAsia="zh-CN"/>
        </w:rPr>
        <w:t>202</w:t>
      </w:r>
      <w:r>
        <w:rPr>
          <w:rFonts w:hint="eastAsia" w:ascii="仿宋_GB2312" w:eastAsia="仿宋_GB2312" w:cs="Times New Roman"/>
          <w:color w:val="auto"/>
          <w:sz w:val="28"/>
          <w:szCs w:val="28"/>
          <w:highlight w:val="none"/>
          <w:lang w:val="en-US" w:eastAsia="zh-CN"/>
        </w:rPr>
        <w:t>4</w:t>
      </w:r>
      <w:r>
        <w:rPr>
          <w:rFonts w:hint="eastAsia" w:ascii="仿宋_GB2312" w:hAnsi="宋体" w:eastAsia="仿宋_GB2312" w:cs="Times New Roman"/>
          <w:color w:val="auto"/>
          <w:sz w:val="28"/>
          <w:szCs w:val="28"/>
          <w:highlight w:val="none"/>
          <w:lang w:val="en-US" w:eastAsia="zh-CN"/>
        </w:rPr>
        <w:t>年</w:t>
      </w:r>
      <w:r>
        <w:rPr>
          <w:rFonts w:hint="eastAsia" w:ascii="仿宋_GB2312" w:eastAsia="仿宋_GB2312" w:cs="Times New Roman"/>
          <w:color w:val="auto"/>
          <w:sz w:val="28"/>
          <w:szCs w:val="28"/>
          <w:highlight w:val="none"/>
          <w:lang w:val="en-US" w:eastAsia="zh-CN"/>
        </w:rPr>
        <w:t>6</w:t>
      </w:r>
      <w:r>
        <w:rPr>
          <w:rFonts w:hint="eastAsia" w:ascii="仿宋_GB2312" w:hAnsi="宋体" w:eastAsia="仿宋_GB2312" w:cs="Times New Roman"/>
          <w:color w:val="auto"/>
          <w:sz w:val="28"/>
          <w:szCs w:val="28"/>
          <w:highlight w:val="none"/>
          <w:lang w:val="en-US" w:eastAsia="zh-CN"/>
        </w:rPr>
        <w:t>月1日至2024年</w:t>
      </w:r>
      <w:r>
        <w:rPr>
          <w:rFonts w:hint="eastAsia" w:ascii="仿宋_GB2312" w:eastAsia="仿宋_GB2312" w:cs="Times New Roman"/>
          <w:color w:val="auto"/>
          <w:sz w:val="28"/>
          <w:szCs w:val="28"/>
          <w:highlight w:val="none"/>
          <w:lang w:val="en-US" w:eastAsia="zh-CN"/>
        </w:rPr>
        <w:t>9</w:t>
      </w:r>
      <w:r>
        <w:rPr>
          <w:rFonts w:hint="eastAsia" w:ascii="仿宋_GB2312" w:hAnsi="宋体" w:eastAsia="仿宋_GB2312" w:cs="Times New Roman"/>
          <w:color w:val="auto"/>
          <w:sz w:val="28"/>
          <w:szCs w:val="28"/>
          <w:highlight w:val="none"/>
          <w:lang w:val="en-US" w:eastAsia="zh-CN"/>
        </w:rPr>
        <w:t>月3</w:t>
      </w:r>
      <w:r>
        <w:rPr>
          <w:rFonts w:hint="eastAsia" w:ascii="仿宋_GB2312" w:eastAsia="仿宋_GB2312" w:cs="Times New Roman"/>
          <w:color w:val="auto"/>
          <w:sz w:val="28"/>
          <w:szCs w:val="28"/>
          <w:highlight w:val="none"/>
          <w:lang w:val="en-US" w:eastAsia="zh-CN"/>
        </w:rPr>
        <w:t>0</w:t>
      </w:r>
      <w:r>
        <w:rPr>
          <w:rFonts w:hint="eastAsia" w:ascii="仿宋_GB2312" w:hAnsi="宋体" w:eastAsia="仿宋_GB2312" w:cs="Times New Roman"/>
          <w:color w:val="auto"/>
          <w:sz w:val="28"/>
          <w:szCs w:val="28"/>
          <w:highlight w:val="none"/>
          <w:lang w:val="en-US" w:eastAsia="zh-CN"/>
        </w:rPr>
        <w:t>日。</w:t>
      </w:r>
    </w:p>
    <w:p>
      <w:pPr>
        <w:pStyle w:val="22"/>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3、服务资质：</w:t>
      </w:r>
    </w:p>
    <w:p>
      <w:pPr>
        <w:pStyle w:val="22"/>
        <w:tabs>
          <w:tab w:val="left" w:pos="4410"/>
        </w:tabs>
        <w:rPr>
          <w:rFonts w:hint="default" w:ascii="仿宋_GB2312" w:eastAsia="仿宋_GB2312" w:cs="Times New Roman"/>
          <w:color w:val="auto"/>
          <w:sz w:val="28"/>
          <w:szCs w:val="28"/>
          <w:highlight w:val="none"/>
          <w:lang w:val="en-US" w:eastAsia="zh-CN"/>
        </w:rPr>
      </w:pPr>
      <w:r>
        <w:rPr>
          <w:rFonts w:hint="eastAsia" w:ascii="仿宋_GB2312" w:eastAsia="仿宋_GB2312"/>
          <w:color w:val="auto"/>
          <w:sz w:val="28"/>
          <w:szCs w:val="28"/>
          <w:highlight w:val="none"/>
          <w:u w:val="single"/>
          <w:lang w:val="en-US" w:eastAsia="zh-CN"/>
        </w:rPr>
        <w:t>具备行政主管部门颁发的工程勘察专业类（岩土工程勘察或工程测量）乙级（或以上级别）资质，同时持有在有效期内质量技术监督管理部门颁发的CMA计量认证合格证书（或CMA检验检测机构资质认定证书）</w:t>
      </w:r>
      <w:r>
        <w:rPr>
          <w:rFonts w:hint="eastAsia" w:ascii="仿宋_GB2312" w:eastAsia="仿宋_GB2312" w:cs="Times New Roman"/>
          <w:color w:val="auto"/>
          <w:sz w:val="28"/>
          <w:szCs w:val="28"/>
          <w:highlight w:val="none"/>
          <w:lang w:val="en-US" w:eastAsia="zh-CN"/>
        </w:rPr>
        <w:t>。</w:t>
      </w:r>
    </w:p>
    <w:p>
      <w:pPr>
        <w:pStyle w:val="22"/>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4、服务的项目数量：以采购方实际委托项目数量为准</w:t>
      </w:r>
    </w:p>
    <w:p>
      <w:pPr>
        <w:pStyle w:val="22"/>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5、服务方式：提交项目</w:t>
      </w:r>
      <w:r>
        <w:rPr>
          <w:rFonts w:hint="eastAsia" w:ascii="仿宋_GB2312" w:eastAsia="仿宋_GB2312" w:cs="Times New Roman"/>
          <w:color w:val="auto"/>
          <w:sz w:val="28"/>
          <w:szCs w:val="28"/>
          <w:highlight w:val="none"/>
          <w:lang w:val="en-US" w:eastAsia="zh-CN"/>
        </w:rPr>
        <w:t>监测</w:t>
      </w:r>
      <w:r>
        <w:rPr>
          <w:rFonts w:hint="eastAsia" w:ascii="仿宋_GB2312" w:hAnsi="宋体" w:eastAsia="仿宋_GB2312" w:cs="Times New Roman"/>
          <w:color w:val="auto"/>
          <w:sz w:val="28"/>
          <w:szCs w:val="28"/>
          <w:highlight w:val="none"/>
          <w:lang w:val="en-US" w:eastAsia="zh-CN"/>
        </w:rPr>
        <w:t>方案及实施</w:t>
      </w:r>
      <w:r>
        <w:rPr>
          <w:rFonts w:hint="eastAsia" w:ascii="仿宋_GB2312" w:eastAsia="仿宋_GB2312" w:cs="Times New Roman"/>
          <w:color w:val="auto"/>
          <w:sz w:val="28"/>
          <w:szCs w:val="28"/>
          <w:highlight w:val="none"/>
          <w:lang w:val="en-US" w:eastAsia="zh-CN"/>
        </w:rPr>
        <w:t>监测</w:t>
      </w:r>
      <w:r>
        <w:rPr>
          <w:rFonts w:hint="eastAsia" w:ascii="仿宋_GB2312" w:hAnsi="宋体" w:eastAsia="仿宋_GB2312" w:cs="Times New Roman"/>
          <w:color w:val="auto"/>
          <w:sz w:val="28"/>
          <w:szCs w:val="28"/>
          <w:highlight w:val="none"/>
          <w:lang w:val="en-US" w:eastAsia="zh-CN"/>
        </w:rPr>
        <w:t>，并出具书面</w:t>
      </w:r>
      <w:r>
        <w:rPr>
          <w:rFonts w:hint="eastAsia" w:ascii="仿宋_GB2312" w:eastAsia="仿宋_GB2312" w:cs="Times New Roman"/>
          <w:color w:val="auto"/>
          <w:sz w:val="28"/>
          <w:szCs w:val="28"/>
          <w:highlight w:val="none"/>
          <w:lang w:val="en-US" w:eastAsia="zh-CN"/>
        </w:rPr>
        <w:t>监测</w:t>
      </w:r>
      <w:r>
        <w:rPr>
          <w:rFonts w:hint="eastAsia" w:ascii="仿宋_GB2312" w:hAnsi="宋体" w:eastAsia="仿宋_GB2312" w:cs="Times New Roman"/>
          <w:color w:val="auto"/>
          <w:sz w:val="28"/>
          <w:szCs w:val="28"/>
          <w:highlight w:val="none"/>
          <w:lang w:val="en-US" w:eastAsia="zh-CN"/>
        </w:rPr>
        <w:t>报告。</w:t>
      </w:r>
    </w:p>
    <w:p>
      <w:pPr>
        <w:pStyle w:val="22"/>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6、服务工作成果的验收标准：按照现行的国家、省、市并且在乙方计量认证认定范畴内的有关规程、标准和规定执行。</w:t>
      </w:r>
    </w:p>
    <w:p>
      <w:pPr>
        <w:pStyle w:val="22"/>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7、服务工作成果的验收方法：提交</w:t>
      </w:r>
      <w:r>
        <w:rPr>
          <w:rFonts w:hint="eastAsia" w:ascii="仿宋_GB2312" w:eastAsia="仿宋_GB2312" w:cs="Times New Roman"/>
          <w:color w:val="auto"/>
          <w:sz w:val="28"/>
          <w:szCs w:val="28"/>
          <w:highlight w:val="none"/>
          <w:lang w:val="en-US" w:eastAsia="zh-CN"/>
        </w:rPr>
        <w:t>监测</w:t>
      </w:r>
      <w:r>
        <w:rPr>
          <w:rFonts w:hint="eastAsia" w:ascii="仿宋_GB2312" w:hAnsi="宋体" w:eastAsia="仿宋_GB2312" w:cs="Times New Roman"/>
          <w:color w:val="auto"/>
          <w:sz w:val="28"/>
          <w:szCs w:val="28"/>
          <w:highlight w:val="none"/>
          <w:lang w:val="en-US" w:eastAsia="zh-CN"/>
        </w:rPr>
        <w:t>报告</w:t>
      </w:r>
      <w:r>
        <w:rPr>
          <w:rFonts w:hint="eastAsia" w:ascii="仿宋_GB2312" w:eastAsia="仿宋_GB2312" w:cs="Times New Roman"/>
          <w:color w:val="auto"/>
          <w:sz w:val="28"/>
          <w:szCs w:val="28"/>
          <w:highlight w:val="none"/>
          <w:lang w:val="en-US" w:eastAsia="zh-CN"/>
        </w:rPr>
        <w:t>1</w:t>
      </w:r>
      <w:r>
        <w:rPr>
          <w:rFonts w:hint="eastAsia" w:ascii="仿宋_GB2312" w:hAnsi="宋体" w:eastAsia="仿宋_GB2312" w:cs="Times New Roman"/>
          <w:color w:val="auto"/>
          <w:sz w:val="28"/>
          <w:szCs w:val="28"/>
          <w:highlight w:val="none"/>
          <w:lang w:val="en-US" w:eastAsia="zh-CN"/>
        </w:rPr>
        <w:t>式</w:t>
      </w:r>
      <w:r>
        <w:rPr>
          <w:rFonts w:hint="eastAsia" w:ascii="仿宋_GB2312" w:eastAsia="仿宋_GB2312" w:cs="Times New Roman"/>
          <w:color w:val="auto"/>
          <w:sz w:val="28"/>
          <w:szCs w:val="28"/>
          <w:highlight w:val="none"/>
          <w:lang w:val="en-US" w:eastAsia="zh-CN"/>
        </w:rPr>
        <w:t>3</w:t>
      </w:r>
      <w:r>
        <w:rPr>
          <w:rFonts w:hint="eastAsia" w:ascii="仿宋_GB2312" w:hAnsi="宋体" w:eastAsia="仿宋_GB2312" w:cs="Times New Roman"/>
          <w:color w:val="auto"/>
          <w:sz w:val="28"/>
          <w:szCs w:val="28"/>
          <w:highlight w:val="none"/>
          <w:lang w:val="en-US" w:eastAsia="zh-CN"/>
        </w:rPr>
        <w:t>份，提交时间为工程完工的7天个工作日内。</w:t>
      </w:r>
    </w:p>
    <w:p>
      <w:pPr>
        <w:pStyle w:val="22"/>
        <w:rPr>
          <w:rFonts w:hint="eastAsia" w:ascii="仿宋_GB2312" w:hAnsi="宋体" w:eastAsia="仿宋_GB2312" w:cs="Times New Roman"/>
          <w:color w:val="auto"/>
          <w:sz w:val="28"/>
          <w:szCs w:val="28"/>
          <w:highlight w:val="none"/>
          <w:lang w:val="en-US" w:eastAsia="zh-CN"/>
        </w:rPr>
      </w:pPr>
    </w:p>
    <w:p>
      <w:pPr>
        <w:pStyle w:val="22"/>
        <w:rPr>
          <w:rFonts w:hint="default" w:ascii="仿宋_GB2312" w:hAnsi="宋体" w:eastAsia="仿宋_GB2312" w:cs="Times New Roman"/>
          <w:color w:val="auto"/>
          <w:sz w:val="28"/>
          <w:szCs w:val="28"/>
          <w:highlight w:val="none"/>
          <w:lang w:val="en-US" w:eastAsia="zh-CN"/>
        </w:rPr>
      </w:pPr>
    </w:p>
    <w:p>
      <w:pPr>
        <w:pStyle w:val="22"/>
        <w:rPr>
          <w:rFonts w:hint="default" w:ascii="仿宋_GB2312" w:hAnsi="宋体" w:eastAsia="仿宋_GB2312" w:cs="Times New Roman"/>
          <w:color w:val="auto"/>
          <w:sz w:val="28"/>
          <w:szCs w:val="28"/>
          <w:highlight w:val="none"/>
          <w:lang w:val="en-US" w:eastAsia="zh-CN"/>
        </w:rPr>
      </w:pPr>
    </w:p>
    <w:p>
      <w:pPr>
        <w:pStyle w:val="22"/>
        <w:rPr>
          <w:rFonts w:hint="default" w:ascii="仿宋_GB2312" w:hAnsi="宋体" w:eastAsia="仿宋_GB2312" w:cs="Times New Roman"/>
          <w:color w:val="auto"/>
          <w:sz w:val="28"/>
          <w:szCs w:val="28"/>
          <w:highlight w:val="none"/>
          <w:lang w:val="en-US" w:eastAsia="zh-CN"/>
        </w:rPr>
      </w:pPr>
    </w:p>
    <w:p>
      <w:pPr>
        <w:pStyle w:val="22"/>
        <w:rPr>
          <w:rFonts w:hint="default" w:ascii="仿宋_GB2312" w:hAnsi="宋体" w:eastAsia="仿宋_GB2312" w:cs="Times New Roman"/>
          <w:color w:val="auto"/>
          <w:sz w:val="28"/>
          <w:szCs w:val="28"/>
          <w:highlight w:val="none"/>
          <w:lang w:val="en-US" w:eastAsia="zh-CN"/>
        </w:rPr>
      </w:pPr>
    </w:p>
    <w:p>
      <w:pPr>
        <w:pStyle w:val="22"/>
        <w:rPr>
          <w:color w:val="auto"/>
          <w:highlight w:val="none"/>
        </w:rPr>
      </w:pPr>
      <w:bookmarkStart w:id="61" w:name="_Toc23330"/>
      <w:bookmarkStart w:id="62" w:name="_Toc25925"/>
      <w:bookmarkStart w:id="63" w:name="_Toc4680"/>
      <w:bookmarkStart w:id="64" w:name="_Toc1284"/>
      <w:bookmarkStart w:id="65" w:name="_Toc1496"/>
      <w:bookmarkStart w:id="66" w:name="_Toc15570"/>
      <w:bookmarkStart w:id="67" w:name="_Toc29835"/>
      <w:bookmarkStart w:id="68" w:name="_Toc23353"/>
      <w:bookmarkStart w:id="69" w:name="_Toc537"/>
      <w:bookmarkStart w:id="70" w:name="_Toc18538"/>
      <w:bookmarkStart w:id="71" w:name="_Toc12135"/>
    </w:p>
    <w:p>
      <w:pPr>
        <w:pStyle w:val="22"/>
        <w:rPr>
          <w:color w:val="auto"/>
          <w:highlight w:val="none"/>
        </w:rPr>
      </w:pPr>
    </w:p>
    <w:p>
      <w:pPr>
        <w:pStyle w:val="22"/>
        <w:rPr>
          <w:color w:val="auto"/>
          <w:highlight w:val="none"/>
        </w:rPr>
      </w:pPr>
    </w:p>
    <w:p>
      <w:pPr>
        <w:pStyle w:val="22"/>
        <w:rPr>
          <w:color w:val="auto"/>
          <w:highlight w:val="none"/>
        </w:rPr>
      </w:pPr>
    </w:p>
    <w:p>
      <w:pPr>
        <w:rPr>
          <w:color w:val="auto"/>
          <w:highlight w:val="none"/>
        </w:rPr>
      </w:pPr>
      <w:r>
        <w:rPr>
          <w:color w:val="auto"/>
          <w:highlight w:val="none"/>
        </w:rPr>
        <w:br w:type="page"/>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strike w:val="0"/>
          <w:dstrike w:val="0"/>
          <w:color w:val="auto"/>
          <w:highlight w:val="none"/>
          <w:u w:val="none"/>
        </w:rPr>
      </w:pPr>
      <w:r>
        <w:rPr>
          <w:strike w:val="0"/>
          <w:dstrike w:val="0"/>
          <w:color w:val="auto"/>
          <w:highlight w:val="none"/>
          <w:u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strike w:val="0"/>
          <w:dstrike w:val="0"/>
          <w:color w:val="auto"/>
          <w:highlight w:val="none"/>
          <w:u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strike w:val="0"/>
          <w:dstrike w:val="0"/>
          <w:color w:val="auto"/>
          <w:highlight w:val="none"/>
          <w:u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8183"/>
      <w:bookmarkStart w:id="73" w:name="_Toc12980"/>
      <w:bookmarkStart w:id="74" w:name="_Toc323"/>
      <w:bookmarkStart w:id="75" w:name="_Toc12721"/>
      <w:bookmarkStart w:id="76" w:name="_Toc1375"/>
      <w:bookmarkStart w:id="77" w:name="_Toc22797"/>
      <w:bookmarkStart w:id="78" w:name="_Toc13309"/>
      <w:bookmarkStart w:id="79" w:name="_Toc19088"/>
      <w:bookmarkStart w:id="80" w:name="_Toc88209949"/>
      <w:bookmarkStart w:id="81" w:name="_Toc22501"/>
      <w:bookmarkStart w:id="82" w:name="_Toc87616386"/>
      <w:bookmarkStart w:id="83" w:name="_Toc19686"/>
      <w:bookmarkStart w:id="84" w:name="_Toc1296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rPr>
          <w:rFonts w:hint="eastAsia" w:ascii="长城大标宋体" w:hAnsi="宋体" w:eastAsia="长城大标宋体"/>
          <w:color w:val="auto"/>
          <w:sz w:val="28"/>
          <w:highlight w:val="none"/>
        </w:rPr>
      </w:pPr>
      <w:r>
        <w:rPr>
          <w:rFonts w:hint="eastAsia" w:ascii="长城大标宋体" w:hAnsi="宋体" w:eastAsia="长城大标宋体"/>
          <w:color w:val="auto"/>
          <w:sz w:val="28"/>
          <w:highlight w:val="none"/>
        </w:rPr>
        <w:t>甲方合同编号： 穗净水合</w:t>
      </w:r>
      <w:r>
        <w:rPr>
          <w:rFonts w:hint="eastAsia" w:ascii="仿宋_GB2312" w:hAnsi="仿宋_GB2312" w:eastAsia="仿宋_GB2312" w:cs="仿宋_GB2312"/>
          <w:color w:val="auto"/>
          <w:sz w:val="28"/>
          <w:highlight w:val="none"/>
          <w:shd w:val="clear" w:color="auto" w:fill="auto"/>
        </w:rPr>
        <w:t>〔202</w:t>
      </w:r>
      <w:r>
        <w:rPr>
          <w:rFonts w:hint="eastAsia" w:ascii="仿宋_GB2312" w:hAnsi="仿宋_GB2312" w:eastAsia="仿宋_GB2312" w:cs="仿宋_GB2312"/>
          <w:color w:val="auto"/>
          <w:sz w:val="28"/>
          <w:highlight w:val="none"/>
          <w:shd w:val="clear" w:color="auto" w:fill="auto"/>
          <w:lang w:val="en-US" w:eastAsia="zh-CN"/>
        </w:rPr>
        <w:t>4</w:t>
      </w:r>
      <w:r>
        <w:rPr>
          <w:rFonts w:hint="eastAsia" w:ascii="仿宋_GB2312" w:hAnsi="仿宋_GB2312" w:eastAsia="仿宋_GB2312" w:cs="仿宋_GB2312"/>
          <w:color w:val="auto"/>
          <w:sz w:val="28"/>
          <w:highlight w:val="none"/>
          <w:shd w:val="clear" w:color="auto" w:fill="auto"/>
        </w:rPr>
        <w:t>〕</w:t>
      </w:r>
      <w:r>
        <w:rPr>
          <w:rFonts w:hint="eastAsia" w:ascii="长城大标宋体" w:hAnsi="宋体" w:eastAsia="长城大标宋体"/>
          <w:color w:val="auto"/>
          <w:sz w:val="28"/>
          <w:highlight w:val="none"/>
        </w:rPr>
        <w:t xml:space="preserve">       号</w:t>
      </w:r>
    </w:p>
    <w:p>
      <w:pPr>
        <w:rPr>
          <w:rFonts w:hint="eastAsia" w:ascii="长城大标宋体" w:hAnsi="宋体" w:eastAsia="长城大标宋体" w:cs="宋体"/>
          <w:color w:val="auto"/>
          <w:sz w:val="28"/>
          <w:highlight w:val="none"/>
        </w:rPr>
      </w:pPr>
      <w:r>
        <w:rPr>
          <w:rFonts w:hint="eastAsia" w:ascii="长城大标宋体" w:hAnsi="宋体" w:eastAsia="长城大标宋体"/>
          <w:color w:val="auto"/>
          <w:sz w:val="28"/>
          <w:highlight w:val="none"/>
        </w:rPr>
        <w:t>乙方合同编号：</w:t>
      </w:r>
    </w:p>
    <w:p>
      <w:pPr>
        <w:jc w:val="center"/>
        <w:rPr>
          <w:rFonts w:hint="eastAsia" w:ascii="宋体" w:hAnsi="宋体"/>
          <w:color w:val="auto"/>
          <w:sz w:val="52"/>
          <w:highlight w:val="none"/>
        </w:rPr>
      </w:pPr>
    </w:p>
    <w:p>
      <w:pPr>
        <w:jc w:val="center"/>
        <w:rPr>
          <w:rFonts w:hint="eastAsia" w:ascii="长城大标宋体" w:hAnsi="宋体" w:eastAsia="长城大标宋体"/>
          <w:color w:val="auto"/>
          <w:spacing w:val="40"/>
          <w:sz w:val="52"/>
          <w:highlight w:val="none"/>
        </w:rPr>
      </w:pPr>
      <w:r>
        <w:rPr>
          <w:rFonts w:hint="eastAsia" w:ascii="长城大标宋体" w:hAnsi="宋体" w:eastAsia="长城大标宋体"/>
          <w:color w:val="auto"/>
          <w:spacing w:val="40"/>
          <w:sz w:val="52"/>
          <w:highlight w:val="none"/>
        </w:rPr>
        <w:t>技术服务合同</w:t>
      </w:r>
    </w:p>
    <w:p>
      <w:pPr>
        <w:jc w:val="center"/>
        <w:rPr>
          <w:rFonts w:ascii="宋体" w:hAnsi="宋体"/>
          <w:color w:val="auto"/>
          <w:sz w:val="36"/>
          <w:highlight w:val="none"/>
        </w:rPr>
      </w:pPr>
    </w:p>
    <w:p>
      <w:pPr>
        <w:jc w:val="center"/>
        <w:rPr>
          <w:rFonts w:ascii="宋体" w:hAnsi="宋体"/>
          <w:color w:val="auto"/>
          <w:sz w:val="36"/>
          <w:highlight w:val="none"/>
        </w:rPr>
      </w:pPr>
    </w:p>
    <w:p>
      <w:pPr>
        <w:tabs>
          <w:tab w:val="left" w:pos="284"/>
          <w:tab w:val="left" w:pos="567"/>
        </w:tabs>
        <w:ind w:left="2400" w:hanging="2400" w:hangingChars="800"/>
        <w:jc w:val="left"/>
        <w:rPr>
          <w:rFonts w:hint="eastAsia" w:ascii="长城大标宋体" w:hAnsi="宋体" w:eastAsia="长城大标宋体"/>
          <w:color w:val="auto"/>
          <w:sz w:val="30"/>
          <w:highlight w:val="none"/>
        </w:rPr>
      </w:pPr>
      <w:r>
        <w:rPr>
          <w:rFonts w:hint="eastAsia" w:ascii="长城大标宋体" w:hAnsi="宋体" w:eastAsia="长城大标宋体"/>
          <w:color w:val="auto"/>
          <w:sz w:val="30"/>
          <w:highlight w:val="none"/>
        </w:rPr>
        <w:t xml:space="preserve">   项目计划名称：</w:t>
      </w:r>
      <w:r>
        <w:rPr>
          <w:rFonts w:hint="eastAsia" w:ascii="长城大标宋体" w:hAnsi="宋体" w:eastAsia="长城大标宋体" w:cs="Times New Roman"/>
          <w:color w:val="auto"/>
          <w:sz w:val="30"/>
          <w:highlight w:val="none"/>
          <w:u w:val="single"/>
          <w:lang w:val="en-US" w:eastAsia="zh-CN"/>
        </w:rPr>
        <w:t>珠江西航道治理工程（一期）黄沙水产市场至荔湾泵站污水管道工程六二三路</w:t>
      </w:r>
    </w:p>
    <w:p>
      <w:pPr>
        <w:ind w:left="1962" w:leftChars="220" w:hanging="1500" w:hangingChars="500"/>
        <w:jc w:val="left"/>
        <w:rPr>
          <w:rFonts w:hint="eastAsia" w:ascii="长城大标宋体" w:hAnsi="宋体" w:eastAsia="长城大标宋体"/>
          <w:color w:val="auto"/>
          <w:sz w:val="30"/>
          <w:highlight w:val="none"/>
          <w:u w:val="single"/>
        </w:rPr>
      </w:pPr>
      <w:r>
        <w:rPr>
          <w:rFonts w:hint="eastAsia" w:ascii="长城大标宋体" w:hAnsi="宋体" w:eastAsia="长城大标宋体"/>
          <w:color w:val="auto"/>
          <w:sz w:val="30"/>
          <w:highlight w:val="none"/>
        </w:rPr>
        <w:t>工程名称：</w:t>
      </w:r>
      <w:r>
        <w:rPr>
          <w:rFonts w:hint="eastAsia" w:ascii="长城大标宋体" w:hAnsi="宋体" w:eastAsia="长城大标宋体" w:cs="Times New Roman"/>
          <w:color w:val="auto"/>
          <w:sz w:val="30"/>
          <w:highlight w:val="none"/>
          <w:u w:val="single"/>
          <w:lang w:val="en-US" w:eastAsia="zh-CN"/>
        </w:rPr>
        <w:t>珠江西航道治理工程（一期）黄沙水产市场至荔湾泵站污水管道工程六二三路第三方桥梁及隧道监测</w:t>
      </w:r>
      <w:r>
        <w:rPr>
          <w:rFonts w:hint="eastAsia" w:ascii="长城大标宋体" w:hAnsi="宋体" w:eastAsia="长城大标宋体"/>
          <w:color w:val="auto"/>
          <w:sz w:val="30"/>
          <w:highlight w:val="none"/>
          <w:u w:val="single"/>
        </w:rPr>
        <w:t>服务</w:t>
      </w:r>
    </w:p>
    <w:p>
      <w:pPr>
        <w:ind w:left="1800" w:firstLine="540" w:firstLineChars="180"/>
        <w:rPr>
          <w:rFonts w:hint="eastAsia" w:ascii="长城大标宋体" w:hAnsi="宋体" w:eastAsia="长城大标宋体"/>
          <w:color w:val="auto"/>
          <w:sz w:val="30"/>
          <w:highlight w:val="none"/>
          <w:u w:val="single"/>
        </w:rPr>
      </w:pPr>
    </w:p>
    <w:p>
      <w:pPr>
        <w:ind w:left="540"/>
        <w:rPr>
          <w:rFonts w:hint="eastAsia" w:ascii="长城大标宋体" w:hAnsi="宋体" w:eastAsia="长城大标宋体"/>
          <w:color w:val="auto"/>
          <w:sz w:val="36"/>
          <w:highlight w:val="none"/>
          <w:u w:val="single"/>
        </w:rPr>
      </w:pPr>
      <w:r>
        <w:rPr>
          <w:rFonts w:hint="eastAsia" w:ascii="长城大标宋体" w:hAnsi="宋体" w:eastAsia="长城大标宋体"/>
          <w:color w:val="auto"/>
          <w:sz w:val="30"/>
          <w:highlight w:val="none"/>
        </w:rPr>
        <w:t>委 托 方（甲方）：</w:t>
      </w:r>
      <w:r>
        <w:rPr>
          <w:rFonts w:hint="eastAsia" w:ascii="长城大标宋体" w:hAnsi="宋体" w:eastAsia="长城大标宋体"/>
          <w:color w:val="auto"/>
          <w:sz w:val="30"/>
          <w:highlight w:val="none"/>
          <w:u w:val="single"/>
        </w:rPr>
        <w:t>广州市净水有限公司</w:t>
      </w:r>
    </w:p>
    <w:p>
      <w:pPr>
        <w:ind w:firstLine="648" w:firstLineChars="180"/>
        <w:rPr>
          <w:rFonts w:hint="eastAsia" w:ascii="长城大标宋体" w:hAnsi="宋体" w:eastAsia="长城大标宋体"/>
          <w:color w:val="auto"/>
          <w:sz w:val="36"/>
          <w:highlight w:val="none"/>
          <w:u w:val="single"/>
        </w:rPr>
      </w:pPr>
    </w:p>
    <w:p>
      <w:pPr>
        <w:ind w:left="3350" w:leftChars="284" w:hanging="2754" w:hangingChars="918"/>
        <w:rPr>
          <w:rFonts w:hint="default" w:ascii="长城大标宋体" w:hAnsi="宋体" w:eastAsia="长城大标宋体"/>
          <w:color w:val="auto"/>
          <w:sz w:val="30"/>
          <w:highlight w:val="none"/>
          <w:lang w:val="en-US" w:eastAsia="zh-CN"/>
        </w:rPr>
      </w:pPr>
      <w:r>
        <w:rPr>
          <w:rFonts w:hint="eastAsia" w:ascii="长城大标宋体" w:hAnsi="宋体" w:eastAsia="长城大标宋体"/>
          <w:color w:val="auto"/>
          <w:sz w:val="30"/>
          <w:highlight w:val="none"/>
        </w:rPr>
        <w:t>受 托 方（乙方）：</w:t>
      </w:r>
    </w:p>
    <w:p>
      <w:pPr>
        <w:ind w:firstLine="540" w:firstLineChars="180"/>
        <w:rPr>
          <w:rFonts w:hint="eastAsia" w:ascii="长城大标宋体" w:hAnsi="宋体" w:eastAsia="长城大标宋体"/>
          <w:color w:val="auto"/>
          <w:sz w:val="30"/>
          <w:highlight w:val="none"/>
          <w:u w:val="single"/>
        </w:rPr>
      </w:pPr>
    </w:p>
    <w:p>
      <w:pPr>
        <w:ind w:firstLine="540" w:firstLineChars="180"/>
        <w:rPr>
          <w:rFonts w:hint="eastAsia" w:ascii="长城大标宋体" w:hAnsi="宋体" w:eastAsia="长城大标宋体"/>
          <w:color w:val="auto"/>
          <w:sz w:val="30"/>
          <w:highlight w:val="none"/>
          <w:u w:val="single"/>
        </w:rPr>
      </w:pPr>
      <w:r>
        <w:rPr>
          <w:rFonts w:hint="eastAsia" w:ascii="长城大标宋体" w:hAnsi="宋体" w:eastAsia="长城大标宋体"/>
          <w:color w:val="auto"/>
          <w:sz w:val="30"/>
          <w:highlight w:val="none"/>
        </w:rPr>
        <w:t>签订时间：</w:t>
      </w:r>
      <w:r>
        <w:rPr>
          <w:rFonts w:ascii="长城大标宋体" w:hAnsi="宋体" w:eastAsia="长城大标宋体"/>
          <w:color w:val="auto"/>
          <w:sz w:val="30"/>
          <w:highlight w:val="none"/>
          <w:u w:val="single"/>
        </w:rPr>
        <w:t>20</w:t>
      </w:r>
      <w:r>
        <w:rPr>
          <w:rFonts w:hint="eastAsia" w:ascii="长城大标宋体" w:hAnsi="宋体" w:eastAsia="长城大标宋体"/>
          <w:color w:val="auto"/>
          <w:sz w:val="30"/>
          <w:highlight w:val="none"/>
          <w:u w:val="single"/>
          <w:lang w:val="en-US" w:eastAsia="zh-CN"/>
        </w:rPr>
        <w:t>24</w:t>
      </w:r>
      <w:r>
        <w:rPr>
          <w:rFonts w:hint="eastAsia" w:ascii="长城大标宋体" w:hAnsi="宋体" w:eastAsia="长城大标宋体"/>
          <w:color w:val="auto"/>
          <w:sz w:val="30"/>
          <w:highlight w:val="none"/>
          <w:u w:val="single"/>
        </w:rPr>
        <w:t>年</w:t>
      </w:r>
      <w:r>
        <w:rPr>
          <w:rFonts w:ascii="长城大标宋体" w:hAnsi="宋体" w:eastAsia="长城大标宋体"/>
          <w:color w:val="auto"/>
          <w:sz w:val="30"/>
          <w:highlight w:val="none"/>
          <w:u w:val="single"/>
        </w:rPr>
        <w:t xml:space="preserve"> </w:t>
      </w:r>
      <w:r>
        <w:rPr>
          <w:rFonts w:hint="eastAsia" w:ascii="长城大标宋体" w:hAnsi="宋体" w:eastAsia="长城大标宋体"/>
          <w:color w:val="auto"/>
          <w:sz w:val="30"/>
          <w:highlight w:val="none"/>
          <w:u w:val="single"/>
          <w:lang w:val="en-US" w:eastAsia="zh-CN"/>
        </w:rPr>
        <w:t xml:space="preserve"> </w:t>
      </w:r>
      <w:r>
        <w:rPr>
          <w:rFonts w:ascii="长城大标宋体" w:hAnsi="宋体" w:eastAsia="长城大标宋体"/>
          <w:color w:val="auto"/>
          <w:sz w:val="30"/>
          <w:highlight w:val="none"/>
          <w:u w:val="single"/>
        </w:rPr>
        <w:t xml:space="preserve"> </w:t>
      </w:r>
      <w:r>
        <w:rPr>
          <w:rFonts w:hint="eastAsia" w:ascii="长城大标宋体" w:hAnsi="宋体" w:eastAsia="长城大标宋体"/>
          <w:color w:val="auto"/>
          <w:sz w:val="30"/>
          <w:highlight w:val="none"/>
          <w:u w:val="single"/>
        </w:rPr>
        <w:t>月</w:t>
      </w:r>
      <w:r>
        <w:rPr>
          <w:rFonts w:ascii="长城大标宋体" w:hAnsi="宋体" w:eastAsia="长城大标宋体"/>
          <w:color w:val="auto"/>
          <w:sz w:val="30"/>
          <w:highlight w:val="none"/>
          <w:u w:val="single"/>
        </w:rPr>
        <w:t xml:space="preserve">   </w:t>
      </w:r>
      <w:r>
        <w:rPr>
          <w:rFonts w:hint="eastAsia" w:ascii="长城大标宋体" w:hAnsi="宋体" w:eastAsia="长城大标宋体"/>
          <w:color w:val="auto"/>
          <w:sz w:val="30"/>
          <w:highlight w:val="none"/>
          <w:u w:val="single"/>
        </w:rPr>
        <w:t>日</w:t>
      </w:r>
    </w:p>
    <w:p>
      <w:pPr>
        <w:ind w:firstLine="540" w:firstLineChars="180"/>
        <w:rPr>
          <w:rFonts w:hint="eastAsia" w:ascii="长城大标宋体" w:hAnsi="宋体" w:eastAsia="长城大标宋体"/>
          <w:color w:val="auto"/>
          <w:sz w:val="30"/>
          <w:highlight w:val="none"/>
          <w:u w:val="single"/>
        </w:rPr>
      </w:pPr>
    </w:p>
    <w:p>
      <w:pPr>
        <w:ind w:firstLine="540" w:firstLineChars="180"/>
        <w:rPr>
          <w:rFonts w:hint="eastAsia" w:ascii="长城大标宋体" w:hAnsi="宋体" w:eastAsia="长城大标宋体"/>
          <w:color w:val="auto"/>
          <w:sz w:val="30"/>
          <w:highlight w:val="none"/>
        </w:rPr>
      </w:pPr>
      <w:r>
        <w:rPr>
          <w:rFonts w:hint="eastAsia" w:ascii="长城大标宋体" w:hAnsi="宋体" w:eastAsia="长城大标宋体"/>
          <w:color w:val="auto"/>
          <w:sz w:val="30"/>
          <w:highlight w:val="none"/>
        </w:rPr>
        <w:t>签订地点：</w:t>
      </w:r>
      <w:r>
        <w:rPr>
          <w:rFonts w:hint="eastAsia" w:ascii="长城大标宋体" w:hAnsi="宋体" w:eastAsia="长城大标宋体"/>
          <w:color w:val="auto"/>
          <w:sz w:val="30"/>
          <w:highlight w:val="none"/>
          <w:u w:val="single"/>
        </w:rPr>
        <w:t>广州市</w:t>
      </w:r>
    </w:p>
    <w:p>
      <w:pPr>
        <w:rPr>
          <w:rFonts w:hint="eastAsia" w:ascii="宋体" w:hAnsi="宋体"/>
          <w:color w:val="auto"/>
          <w:sz w:val="30"/>
          <w:highlight w:val="none"/>
        </w:rPr>
      </w:pPr>
    </w:p>
    <w:p>
      <w:pPr>
        <w:rPr>
          <w:rFonts w:hint="eastAsia" w:ascii="宋体" w:hAnsi="宋体"/>
          <w:color w:val="auto"/>
          <w:sz w:val="36"/>
          <w:highlight w:val="none"/>
        </w:rPr>
      </w:pPr>
    </w:p>
    <w:p>
      <w:pPr>
        <w:jc w:val="center"/>
        <w:rPr>
          <w:rFonts w:hint="eastAsia" w:ascii="宋体" w:hAnsi="宋体"/>
          <w:b/>
          <w:color w:val="auto"/>
          <w:spacing w:val="20"/>
          <w:sz w:val="44"/>
          <w:highlight w:val="none"/>
        </w:rPr>
      </w:pPr>
      <w:r>
        <w:rPr>
          <w:rFonts w:hint="eastAsia" w:ascii="宋体" w:hAnsi="宋体"/>
          <w:b/>
          <w:color w:val="auto"/>
          <w:spacing w:val="20"/>
          <w:sz w:val="44"/>
          <w:highlight w:val="none"/>
        </w:rPr>
        <w:t>技术服务合同</w:t>
      </w:r>
    </w:p>
    <w:p>
      <w:pPr>
        <w:spacing w:line="360" w:lineRule="auto"/>
        <w:jc w:val="center"/>
        <w:rPr>
          <w:rFonts w:hint="eastAsia" w:ascii="宋体" w:hAnsi="宋体"/>
          <w:color w:val="auto"/>
          <w:sz w:val="28"/>
          <w:szCs w:val="28"/>
          <w:highlight w:val="none"/>
        </w:rPr>
      </w:pPr>
    </w:p>
    <w:p>
      <w:pPr>
        <w:spacing w:line="360" w:lineRule="auto"/>
        <w:rPr>
          <w:rFonts w:ascii="宋体" w:hAnsi="宋体"/>
          <w:color w:val="auto"/>
          <w:sz w:val="28"/>
          <w:szCs w:val="28"/>
          <w:highlight w:val="none"/>
          <w:u w:val="single"/>
        </w:rPr>
      </w:pPr>
      <w:r>
        <w:rPr>
          <w:rFonts w:hint="eastAsia" w:ascii="宋体" w:hAnsi="宋体"/>
          <w:color w:val="auto"/>
          <w:sz w:val="28"/>
          <w:szCs w:val="28"/>
          <w:highlight w:val="none"/>
        </w:rPr>
        <w:t>委托方（甲方）：</w:t>
      </w:r>
      <w:r>
        <w:rPr>
          <w:rFonts w:hint="eastAsia" w:ascii="长城大标宋体" w:hAnsi="宋体" w:eastAsia="长城大标宋体"/>
          <w:color w:val="auto"/>
          <w:sz w:val="30"/>
          <w:highlight w:val="none"/>
          <w:u w:val="single"/>
        </w:rPr>
        <w:t>广州市净水有限公司</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spacing w:line="360" w:lineRule="auto"/>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住</w:t>
      </w:r>
      <w:r>
        <w:rPr>
          <w:rFonts w:ascii="宋体" w:hAnsi="宋体"/>
          <w:color w:val="auto"/>
          <w:sz w:val="28"/>
          <w:szCs w:val="28"/>
          <w:highlight w:val="none"/>
        </w:rPr>
        <w:t xml:space="preserve">  </w:t>
      </w:r>
      <w:r>
        <w:rPr>
          <w:rFonts w:hint="eastAsia" w:ascii="宋体" w:hAnsi="宋体"/>
          <w:color w:val="auto"/>
          <w:sz w:val="28"/>
          <w:szCs w:val="28"/>
          <w:highlight w:val="none"/>
        </w:rPr>
        <w:t>所</w:t>
      </w:r>
      <w:r>
        <w:rPr>
          <w:rFonts w:ascii="宋体" w:hAnsi="宋体"/>
          <w:color w:val="auto"/>
          <w:sz w:val="28"/>
          <w:szCs w:val="28"/>
          <w:highlight w:val="none"/>
        </w:rPr>
        <w:t xml:space="preserve">  </w:t>
      </w:r>
      <w:r>
        <w:rPr>
          <w:rFonts w:hint="eastAsia" w:ascii="宋体" w:hAnsi="宋体"/>
          <w:color w:val="auto"/>
          <w:sz w:val="28"/>
          <w:szCs w:val="28"/>
          <w:highlight w:val="none"/>
        </w:rPr>
        <w:t>地：</w:t>
      </w:r>
      <w:r>
        <w:rPr>
          <w:rFonts w:hint="eastAsia" w:ascii="宋体" w:hAnsi="宋体"/>
          <w:color w:val="auto"/>
          <w:sz w:val="28"/>
          <w:szCs w:val="28"/>
          <w:highlight w:val="none"/>
          <w:u w:val="single"/>
        </w:rPr>
        <w:t xml:space="preserve">广州市天河区临江大道501号                                       </w:t>
      </w:r>
    </w:p>
    <w:p>
      <w:pPr>
        <w:spacing w:line="360" w:lineRule="auto"/>
        <w:rPr>
          <w:rFonts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孙伟                                     </w:t>
      </w:r>
      <w:r>
        <w:rPr>
          <w:rFonts w:ascii="宋体" w:hAnsi="宋体"/>
          <w:color w:val="auto"/>
          <w:sz w:val="28"/>
          <w:szCs w:val="28"/>
          <w:highlight w:val="none"/>
          <w:u w:val="single"/>
        </w:rPr>
        <w:t xml:space="preserve">  </w:t>
      </w:r>
    </w:p>
    <w:p>
      <w:pPr>
        <w:spacing w:line="360" w:lineRule="auto"/>
        <w:rPr>
          <w:rFonts w:hint="eastAsia" w:ascii="宋体" w:hAnsi="宋体" w:eastAsia="宋体" w:cs="Times New Roman"/>
          <w:color w:val="auto"/>
          <w:sz w:val="28"/>
          <w:szCs w:val="28"/>
          <w:highlight w:val="none"/>
        </w:rPr>
      </w:pPr>
      <w:r>
        <w:rPr>
          <w:rFonts w:ascii="宋体" w:hAnsi="宋体"/>
          <w:color w:val="auto"/>
          <w:sz w:val="28"/>
          <w:szCs w:val="28"/>
          <w:highlight w:val="none"/>
        </w:rPr>
        <w:t xml:space="preserve">  </w:t>
      </w:r>
      <w:r>
        <w:rPr>
          <w:rFonts w:hint="eastAsia" w:ascii="宋体" w:hAnsi="宋体" w:eastAsia="宋体" w:cs="Times New Roman"/>
          <w:color w:val="auto"/>
          <w:sz w:val="28"/>
          <w:szCs w:val="28"/>
          <w:highlight w:val="none"/>
        </w:rPr>
        <w:t xml:space="preserve">     项目联系人：</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陈宗佑</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 xml:space="preserve">    </w:t>
      </w:r>
    </w:p>
    <w:p>
      <w:pPr>
        <w:tabs>
          <w:tab w:val="left" w:pos="8100"/>
        </w:tabs>
        <w:spacing w:line="360" w:lineRule="auto"/>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通讯地址：</w:t>
      </w:r>
      <w:r>
        <w:rPr>
          <w:rFonts w:hint="eastAsia" w:ascii="宋体" w:hAnsi="宋体"/>
          <w:color w:val="auto"/>
          <w:sz w:val="28"/>
          <w:szCs w:val="28"/>
          <w:highlight w:val="none"/>
          <w:u w:val="single"/>
        </w:rPr>
        <w:t xml:space="preserve">  广州市天河区临江大道501号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rPr>
          <w:rFonts w:hint="eastAsia" w:ascii="宋体" w:hAns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8"/>
          <w:szCs w:val="28"/>
          <w:highlight w:val="none"/>
        </w:rPr>
        <w:t>电</w:t>
      </w:r>
      <w:r>
        <w:rPr>
          <w:rFonts w:ascii="宋体" w:hAnsi="宋体"/>
          <w:color w:val="auto"/>
          <w:sz w:val="28"/>
          <w:szCs w:val="28"/>
          <w:highlight w:val="none"/>
        </w:rPr>
        <w:t xml:space="preserve">    </w:t>
      </w:r>
      <w:r>
        <w:rPr>
          <w:rFonts w:hint="eastAsia" w:ascii="宋体" w:hAnsi="宋体"/>
          <w:color w:val="auto"/>
          <w:sz w:val="28"/>
          <w:szCs w:val="28"/>
          <w:highlight w:val="none"/>
        </w:rPr>
        <w:t>话：</w:t>
      </w:r>
      <w:r>
        <w:rPr>
          <w:rFonts w:hint="eastAsia" w:ascii="宋体" w:hAnsi="宋体"/>
          <w:color w:val="auto"/>
          <w:sz w:val="28"/>
          <w:szCs w:val="28"/>
          <w:highlight w:val="none"/>
          <w:u w:val="single"/>
        </w:rPr>
        <w:t xml:space="preserve"> 81797281            </w:t>
      </w:r>
      <w:r>
        <w:rPr>
          <w:rFonts w:ascii="宋体" w:hAnsi="宋体"/>
          <w:color w:val="auto"/>
          <w:sz w:val="28"/>
          <w:szCs w:val="28"/>
          <w:highlight w:val="none"/>
        </w:rPr>
        <w:t xml:space="preserve"> </w:t>
      </w:r>
      <w:r>
        <w:rPr>
          <w:rFonts w:hint="eastAsia" w:ascii="宋体" w:hAnsi="宋体"/>
          <w:color w:val="auto"/>
          <w:sz w:val="28"/>
          <w:szCs w:val="28"/>
          <w:highlight w:val="none"/>
        </w:rPr>
        <w:t>传</w:t>
      </w:r>
      <w:r>
        <w:rPr>
          <w:rFonts w:ascii="宋体" w:hAnsi="宋体"/>
          <w:color w:val="auto"/>
          <w:sz w:val="28"/>
          <w:szCs w:val="28"/>
          <w:highlight w:val="none"/>
        </w:rPr>
        <w:t xml:space="preserve">    </w:t>
      </w:r>
      <w:r>
        <w:rPr>
          <w:rFonts w:hint="eastAsia" w:ascii="宋体" w:hAnsi="宋体"/>
          <w:color w:val="auto"/>
          <w:sz w:val="28"/>
          <w:szCs w:val="28"/>
          <w:highlight w:val="none"/>
        </w:rPr>
        <w:t>真：</w:t>
      </w:r>
      <w:r>
        <w:rPr>
          <w:rFonts w:hint="eastAsia" w:ascii="宋体" w:hAnsi="宋体"/>
          <w:color w:val="auto"/>
          <w:sz w:val="28"/>
          <w:szCs w:val="28"/>
          <w:highlight w:val="none"/>
          <w:u w:val="single"/>
        </w:rPr>
        <w:t xml:space="preserve">       /           </w:t>
      </w:r>
    </w:p>
    <w:p>
      <w:pPr>
        <w:tabs>
          <w:tab w:val="left" w:pos="900"/>
        </w:tabs>
        <w:spacing w:line="360" w:lineRule="auto"/>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电子信箱：</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rPr>
          <w:rFonts w:hint="default" w:ascii="宋体" w:hAnsi="宋体" w:eastAsia="长城大标宋体"/>
          <w:color w:val="auto"/>
          <w:sz w:val="28"/>
          <w:szCs w:val="28"/>
          <w:highlight w:val="none"/>
          <w:u w:val="single"/>
          <w:lang w:val="en-US" w:eastAsia="zh-CN"/>
        </w:rPr>
      </w:pPr>
      <w:r>
        <w:rPr>
          <w:rFonts w:hint="eastAsia" w:ascii="宋体" w:hAnsi="宋体"/>
          <w:color w:val="auto"/>
          <w:sz w:val="28"/>
          <w:szCs w:val="28"/>
          <w:highlight w:val="none"/>
        </w:rPr>
        <w:t>受托方（乙方）：</w:t>
      </w:r>
      <w:r>
        <w:rPr>
          <w:rFonts w:hint="eastAsia" w:ascii="宋体" w:hAnsi="宋体"/>
          <w:color w:val="auto"/>
          <w:sz w:val="28"/>
          <w:szCs w:val="28"/>
          <w:highlight w:val="none"/>
          <w:u w:val="single"/>
        </w:rPr>
        <w:t xml:space="preserve"> </w:t>
      </w:r>
      <w:r>
        <w:rPr>
          <w:rFonts w:hint="eastAsia" w:ascii="长城大标宋体" w:hAnsi="宋体" w:eastAsia="长城大标宋体" w:cs="Times New Roman"/>
          <w:color w:val="auto"/>
          <w:sz w:val="30"/>
          <w:highlight w:val="none"/>
          <w:u w:val="single"/>
          <w:lang w:val="en-US" w:eastAsia="zh-CN"/>
        </w:rPr>
        <w:t xml:space="preserve">                                      </w:t>
      </w:r>
      <w:r>
        <w:rPr>
          <w:rFonts w:hint="eastAsia" w:ascii="长城大标宋体" w:hAnsi="宋体" w:eastAsia="长城大标宋体" w:cs="Times New Roman"/>
          <w:color w:val="auto"/>
          <w:sz w:val="30"/>
          <w:highlight w:val="none"/>
          <w:u w:val="single"/>
        </w:rPr>
        <w:t xml:space="preserve"> </w:t>
      </w:r>
      <w:r>
        <w:rPr>
          <w:rFonts w:hint="eastAsia" w:ascii="长城大标宋体" w:hAnsi="宋体" w:eastAsia="长城大标宋体" w:cs="Times New Roman"/>
          <w:color w:val="auto"/>
          <w:sz w:val="30"/>
          <w:highlight w:val="none"/>
          <w:u w:val="single"/>
          <w:lang w:val="en-US" w:eastAsia="zh-CN"/>
        </w:rPr>
        <w:t xml:space="preserve">    </w:t>
      </w:r>
    </w:p>
    <w:p>
      <w:pPr>
        <w:spacing w:line="360" w:lineRule="auto"/>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住</w:t>
      </w:r>
      <w:r>
        <w:rPr>
          <w:rFonts w:ascii="宋体" w:hAnsi="宋体"/>
          <w:color w:val="auto"/>
          <w:sz w:val="28"/>
          <w:szCs w:val="28"/>
          <w:highlight w:val="none"/>
        </w:rPr>
        <w:t xml:space="preserve">  </w:t>
      </w:r>
      <w:r>
        <w:rPr>
          <w:rFonts w:hint="eastAsia" w:ascii="宋体" w:hAnsi="宋体"/>
          <w:color w:val="auto"/>
          <w:sz w:val="28"/>
          <w:szCs w:val="28"/>
          <w:highlight w:val="none"/>
        </w:rPr>
        <w:t>所</w:t>
      </w:r>
      <w:r>
        <w:rPr>
          <w:rFonts w:ascii="宋体" w:hAnsi="宋体"/>
          <w:color w:val="auto"/>
          <w:sz w:val="28"/>
          <w:szCs w:val="28"/>
          <w:highlight w:val="none"/>
        </w:rPr>
        <w:t xml:space="preserve">  </w:t>
      </w:r>
      <w:r>
        <w:rPr>
          <w:rFonts w:hint="eastAsia" w:ascii="宋体" w:hAnsi="宋体"/>
          <w:color w:val="auto"/>
          <w:sz w:val="28"/>
          <w:szCs w:val="28"/>
          <w:highlight w:val="none"/>
        </w:rPr>
        <w:t>地：</w:t>
      </w:r>
      <w:r>
        <w:rPr>
          <w:rFonts w:hint="eastAsia" w:ascii="宋体" w:hAnsi="宋体"/>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spacing w:line="360" w:lineRule="auto"/>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项目负责人：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tabs>
          <w:tab w:val="left" w:pos="8100"/>
        </w:tabs>
        <w:spacing w:line="360" w:lineRule="auto"/>
        <w:rPr>
          <w:rFonts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通讯地址：</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rPr>
          <w:rFonts w:hint="eastAsia" w:ascii="宋体" w:hAnsi="宋体" w:eastAsia="宋体"/>
          <w:color w:val="auto"/>
          <w:sz w:val="28"/>
          <w:szCs w:val="28"/>
          <w:highlight w:val="none"/>
          <w:lang w:val="en-US" w:eastAsia="zh-CN"/>
        </w:rPr>
      </w:pPr>
      <w:r>
        <w:rPr>
          <w:rFonts w:ascii="宋体" w:hAnsi="宋体"/>
          <w:color w:val="auto"/>
          <w:sz w:val="28"/>
          <w:szCs w:val="28"/>
          <w:highlight w:val="none"/>
        </w:rPr>
        <w:t xml:space="preserve">       </w:t>
      </w:r>
      <w:r>
        <w:rPr>
          <w:rFonts w:hint="eastAsia" w:ascii="宋体" w:hAnsi="宋体"/>
          <w:color w:val="auto"/>
          <w:sz w:val="28"/>
          <w:szCs w:val="28"/>
          <w:highlight w:val="none"/>
        </w:rPr>
        <w:t>电</w:t>
      </w:r>
      <w:r>
        <w:rPr>
          <w:rFonts w:ascii="宋体" w:hAnsi="宋体"/>
          <w:color w:val="auto"/>
          <w:sz w:val="28"/>
          <w:szCs w:val="28"/>
          <w:highlight w:val="none"/>
        </w:rPr>
        <w:t xml:space="preserve">    </w:t>
      </w:r>
      <w:r>
        <w:rPr>
          <w:rFonts w:hint="eastAsia" w:ascii="宋体" w:hAnsi="宋体"/>
          <w:color w:val="auto"/>
          <w:sz w:val="28"/>
          <w:szCs w:val="28"/>
          <w:highlight w:val="none"/>
        </w:rPr>
        <w:t>话：</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lang w:val="en-US" w:eastAsia="zh-CN"/>
        </w:rPr>
        <w:t xml:space="preserve">     </w:t>
      </w:r>
      <w:r>
        <w:rPr>
          <w:rFonts w:ascii="宋体" w:hAnsi="宋体"/>
          <w:color w:val="auto"/>
          <w:sz w:val="28"/>
          <w:szCs w:val="28"/>
          <w:highlight w:val="none"/>
          <w:u w:val="none"/>
        </w:rPr>
        <w:t xml:space="preserve"> </w:t>
      </w:r>
      <w:r>
        <w:rPr>
          <w:rFonts w:hint="eastAsia" w:ascii="宋体" w:hAnsi="宋体"/>
          <w:color w:val="auto"/>
          <w:sz w:val="28"/>
          <w:szCs w:val="28"/>
          <w:highlight w:val="none"/>
        </w:rPr>
        <w:t>传</w:t>
      </w:r>
      <w:r>
        <w:rPr>
          <w:rFonts w:ascii="宋体" w:hAnsi="宋体"/>
          <w:color w:val="auto"/>
          <w:sz w:val="28"/>
          <w:szCs w:val="28"/>
          <w:highlight w:val="none"/>
        </w:rPr>
        <w:t xml:space="preserve">    </w:t>
      </w:r>
      <w:r>
        <w:rPr>
          <w:rFonts w:hint="eastAsia" w:ascii="宋体" w:hAnsi="宋体"/>
          <w:color w:val="auto"/>
          <w:sz w:val="28"/>
          <w:szCs w:val="28"/>
          <w:highlight w:val="none"/>
        </w:rPr>
        <w:t>真：</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p>
    <w:p>
      <w:pPr>
        <w:spacing w:line="360" w:lineRule="auto"/>
        <w:ind w:left="-260"/>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 xml:space="preserve">  电子信箱：</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p>
    <w:p>
      <w:pPr>
        <w:spacing w:line="360" w:lineRule="auto"/>
        <w:ind w:left="-260"/>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pStyle w:val="2"/>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2"/>
        <w:rPr>
          <w:rFonts w:hint="eastAsia" w:ascii="宋体" w:hAnsi="宋体"/>
          <w:color w:val="auto"/>
          <w:sz w:val="28"/>
          <w:szCs w:val="28"/>
          <w:highlight w:val="none"/>
        </w:rPr>
      </w:pPr>
    </w:p>
    <w:p>
      <w:pPr>
        <w:pStyle w:val="2"/>
        <w:ind w:firstLine="0"/>
        <w:rPr>
          <w:rFonts w:hint="eastAsia" w:ascii="宋体" w:hAnsi="宋体"/>
          <w:color w:val="auto"/>
          <w:sz w:val="28"/>
          <w:szCs w:val="28"/>
          <w:highlight w:val="none"/>
        </w:rPr>
      </w:pPr>
    </w:p>
    <w:p>
      <w:pPr>
        <w:spacing w:line="360" w:lineRule="auto"/>
        <w:ind w:firstLine="579" w:firstLineChars="207"/>
        <w:rPr>
          <w:rFonts w:hint="eastAsia" w:ascii="宋体" w:hAnsi="宋体"/>
          <w:color w:val="auto"/>
          <w:sz w:val="28"/>
          <w:szCs w:val="28"/>
          <w:highlight w:val="none"/>
        </w:rPr>
      </w:pPr>
      <w:r>
        <w:rPr>
          <w:rFonts w:hint="eastAsia" w:ascii="宋体" w:hAnsi="宋体"/>
          <w:color w:val="auto"/>
          <w:sz w:val="28"/>
          <w:szCs w:val="28"/>
          <w:highlight w:val="none"/>
        </w:rPr>
        <w:t>本合同甲方委托乙方就</w:t>
      </w:r>
      <w:r>
        <w:rPr>
          <w:rFonts w:hint="eastAsia" w:ascii="宋体" w:hAnsi="宋体" w:eastAsia="宋体" w:cs="Times New Roman"/>
          <w:color w:val="auto"/>
          <w:sz w:val="28"/>
          <w:szCs w:val="28"/>
          <w:highlight w:val="none"/>
          <w:u w:val="single"/>
          <w:lang w:val="en-US" w:eastAsia="zh-CN"/>
        </w:rPr>
        <w:t>珠江西航道治理工程（一期）黄沙水产市场至荔湾泵站污水管道工程子项</w:t>
      </w:r>
      <w:r>
        <w:rPr>
          <w:rFonts w:hint="eastAsia" w:ascii="宋体" w:hAnsi="宋体"/>
          <w:color w:val="auto"/>
          <w:sz w:val="28"/>
          <w:szCs w:val="28"/>
          <w:highlight w:val="none"/>
        </w:rPr>
        <w:t>进行</w:t>
      </w:r>
      <w:r>
        <w:rPr>
          <w:rFonts w:hint="eastAsia" w:ascii="宋体" w:hAnsi="宋体" w:eastAsia="宋体" w:cs="Times New Roman"/>
          <w:color w:val="auto"/>
          <w:sz w:val="28"/>
          <w:szCs w:val="28"/>
          <w:highlight w:val="none"/>
          <w:u w:val="single"/>
          <w:lang w:val="en-US" w:eastAsia="zh-CN"/>
        </w:rPr>
        <w:t>六二三路AW1～AW9 管段污水管施工影响的过街隧道、人行天桥和内环路高架桥等周边建（构）筑物第三方桥梁及隧道监测服务</w:t>
      </w:r>
      <w:r>
        <w:rPr>
          <w:rFonts w:hint="eastAsia" w:ascii="宋体" w:hAnsi="宋体"/>
          <w:color w:val="auto"/>
          <w:sz w:val="28"/>
          <w:szCs w:val="28"/>
          <w:highlight w:val="none"/>
        </w:rPr>
        <w:t>，并支付相应的技术服务报酬。双方经过平等协商，在真实、充分地表达各自意愿的基础上，根据《</w:t>
      </w:r>
      <w:r>
        <w:rPr>
          <w:rFonts w:hint="eastAsia" w:ascii="宋体" w:hAnsi="宋体"/>
          <w:color w:val="auto"/>
          <w:sz w:val="28"/>
          <w:szCs w:val="28"/>
          <w:highlight w:val="none"/>
          <w:lang w:val="en-US" w:eastAsia="zh-CN"/>
        </w:rPr>
        <w:t>民法典</w:t>
      </w:r>
      <w:r>
        <w:rPr>
          <w:rFonts w:hint="eastAsia" w:ascii="宋体" w:hAnsi="宋体"/>
          <w:color w:val="auto"/>
          <w:sz w:val="28"/>
          <w:szCs w:val="28"/>
          <w:highlight w:val="none"/>
        </w:rPr>
        <w:t>》的规定，达成如下协议，并由双方共同恪守。</w:t>
      </w:r>
    </w:p>
    <w:p>
      <w:pPr>
        <w:spacing w:line="360" w:lineRule="auto"/>
        <w:ind w:firstLine="840" w:firstLineChars="300"/>
        <w:rPr>
          <w:rFonts w:hint="eastAsia" w:ascii="宋体" w:hAnsi="宋体"/>
          <w:color w:val="auto"/>
          <w:sz w:val="28"/>
          <w:szCs w:val="28"/>
          <w:highlight w:val="none"/>
        </w:rPr>
      </w:pPr>
      <w:r>
        <w:rPr>
          <w:rFonts w:hint="eastAsia" w:ascii="宋体" w:hAnsi="宋体"/>
          <w:color w:val="auto"/>
          <w:sz w:val="28"/>
          <w:szCs w:val="28"/>
          <w:highlight w:val="none"/>
        </w:rPr>
        <w:t>第一条：甲方委托乙方进行技术服务的内容如下：</w:t>
      </w:r>
    </w:p>
    <w:p>
      <w:pPr>
        <w:numPr>
          <w:ilvl w:val="0"/>
          <w:numId w:val="4"/>
        </w:numPr>
        <w:spacing w:line="360" w:lineRule="auto"/>
        <w:rPr>
          <w:rFonts w:hint="eastAsia" w:ascii="宋体" w:hAnsi="宋体"/>
          <w:color w:val="auto"/>
          <w:sz w:val="28"/>
          <w:szCs w:val="28"/>
          <w:highlight w:val="none"/>
          <w:u w:val="single"/>
        </w:rPr>
      </w:pPr>
      <w:r>
        <w:rPr>
          <w:rFonts w:hint="eastAsia" w:ascii="宋体" w:hAnsi="宋体"/>
          <w:color w:val="auto"/>
          <w:sz w:val="28"/>
          <w:szCs w:val="28"/>
          <w:highlight w:val="none"/>
        </w:rPr>
        <w:t>技术服务的内容：</w:t>
      </w:r>
    </w:p>
    <w:p>
      <w:pPr>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eastAsia="宋体" w:cs="Times New Roman"/>
          <w:color w:val="auto"/>
          <w:sz w:val="28"/>
          <w:szCs w:val="28"/>
          <w:highlight w:val="none"/>
          <w:u w:val="single"/>
          <w:lang w:val="en-US" w:eastAsia="zh-CN"/>
        </w:rPr>
        <w:t>六二三路AW1～AW9 管段污水管施工影响的过街隧道、人行天桥和内环路高架桥等周边建（构）筑物第三方桥梁及隧道监测</w:t>
      </w:r>
      <w:r>
        <w:rPr>
          <w:rFonts w:hint="eastAsia" w:ascii="宋体" w:hAnsi="宋体"/>
          <w:color w:val="auto"/>
          <w:sz w:val="28"/>
          <w:szCs w:val="28"/>
          <w:highlight w:val="none"/>
        </w:rPr>
        <w:t>：包括但不限</w:t>
      </w:r>
      <w:r>
        <w:rPr>
          <w:rFonts w:hint="eastAsia" w:ascii="宋体" w:hAnsi="宋体" w:eastAsia="宋体" w:cs="Times New Roman"/>
          <w:color w:val="auto"/>
          <w:sz w:val="28"/>
          <w:szCs w:val="28"/>
          <w:highlight w:val="none"/>
          <w:u w:val="single"/>
          <w:lang w:val="en-US" w:eastAsia="zh-CN"/>
        </w:rPr>
        <w:t>于桥墩及隧道的沉降、位移、水平位移、桥面挠度等监测工作；（</w:t>
      </w:r>
      <w:r>
        <w:rPr>
          <w:rFonts w:hint="eastAsia" w:ascii="宋体" w:hAnsi="宋体"/>
          <w:color w:val="auto"/>
          <w:sz w:val="28"/>
          <w:szCs w:val="28"/>
          <w:highlight w:val="none"/>
        </w:rPr>
        <w:t>详见附件四“具体工作内容”列）</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2.技术服务的数量：</w:t>
      </w:r>
      <w:r>
        <w:rPr>
          <w:rFonts w:hint="eastAsia" w:ascii="宋体" w:hAnsi="宋体"/>
          <w:color w:val="auto"/>
          <w:sz w:val="28"/>
          <w:szCs w:val="28"/>
          <w:highlight w:val="none"/>
          <w:u w:val="single"/>
        </w:rPr>
        <w:t xml:space="preserve"> 以甲方实际委托数量（如专项监测应写明具体数量）。</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3.技术服务的方式：</w:t>
      </w:r>
      <w:r>
        <w:rPr>
          <w:rFonts w:hint="eastAsia" w:ascii="宋体" w:hAnsi="宋体"/>
          <w:color w:val="auto"/>
          <w:sz w:val="28"/>
          <w:szCs w:val="28"/>
          <w:highlight w:val="none"/>
          <w:u w:val="single"/>
        </w:rPr>
        <w:t>提交本项目工程监测方案及实施监测并出具书面监测报告。</w:t>
      </w:r>
    </w:p>
    <w:p>
      <w:pPr>
        <w:spacing w:line="360" w:lineRule="auto"/>
        <w:ind w:firstLine="840" w:firstLineChars="300"/>
        <w:rPr>
          <w:rFonts w:hint="eastAsia" w:ascii="宋体" w:hAnsi="宋体"/>
          <w:color w:val="auto"/>
          <w:sz w:val="28"/>
          <w:szCs w:val="28"/>
          <w:highlight w:val="none"/>
        </w:rPr>
      </w:pPr>
      <w:r>
        <w:rPr>
          <w:rFonts w:hint="eastAsia" w:ascii="宋体" w:hAnsi="宋体"/>
          <w:color w:val="auto"/>
          <w:sz w:val="28"/>
          <w:szCs w:val="28"/>
          <w:highlight w:val="none"/>
        </w:rPr>
        <w:t>第二条：乙方应按下列要求完成技术服务工作：</w:t>
      </w:r>
    </w:p>
    <w:p>
      <w:pPr>
        <w:spacing w:line="360" w:lineRule="auto"/>
        <w:outlineLvl w:val="0"/>
        <w:rPr>
          <w:rFonts w:hint="eastAsia" w:ascii="宋体" w:hAnsi="宋体"/>
          <w:color w:val="auto"/>
          <w:sz w:val="28"/>
          <w:szCs w:val="28"/>
          <w:highlight w:val="none"/>
          <w:u w:val="single"/>
        </w:rPr>
      </w:pPr>
      <w:r>
        <w:rPr>
          <w:rFonts w:hint="eastAsia" w:ascii="宋体" w:hAnsi="宋体"/>
          <w:color w:val="auto"/>
          <w:sz w:val="28"/>
          <w:szCs w:val="28"/>
          <w:highlight w:val="none"/>
        </w:rPr>
        <w:t xml:space="preserve">      1.技术服务地点：</w:t>
      </w:r>
      <w:r>
        <w:rPr>
          <w:rFonts w:hint="eastAsia" w:ascii="宋体" w:hAnsi="宋体"/>
          <w:color w:val="auto"/>
          <w:sz w:val="28"/>
          <w:szCs w:val="28"/>
          <w:highlight w:val="none"/>
          <w:u w:val="single"/>
        </w:rPr>
        <w:t>广州市或工程所在地。</w:t>
      </w:r>
    </w:p>
    <w:p>
      <w:pPr>
        <w:spacing w:line="360" w:lineRule="auto"/>
        <w:rPr>
          <w:rFonts w:hint="eastAsia" w:ascii="宋体" w:hAnsi="宋体"/>
          <w:color w:val="auto"/>
          <w:sz w:val="28"/>
          <w:szCs w:val="28"/>
          <w:highlight w:val="none"/>
          <w:u w:val="single"/>
        </w:rPr>
      </w:pPr>
      <w:r>
        <w:rPr>
          <w:rFonts w:hint="eastAsia" w:ascii="宋体" w:hAnsi="宋体"/>
          <w:color w:val="auto"/>
          <w:sz w:val="28"/>
          <w:szCs w:val="28"/>
          <w:highlight w:val="none"/>
        </w:rPr>
        <w:t xml:space="preserve">      2.技术服务期限：</w:t>
      </w:r>
      <w:r>
        <w:rPr>
          <w:rFonts w:hint="eastAsia" w:ascii="宋体" w:hAnsi="宋体"/>
          <w:color w:val="auto"/>
          <w:sz w:val="28"/>
          <w:szCs w:val="28"/>
          <w:highlight w:val="none"/>
          <w:u w:val="single"/>
        </w:rPr>
        <w:t>从签订本服务协议之日起至完成项目全部监测之日止。</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3.技术服务质量要求：</w:t>
      </w:r>
      <w:r>
        <w:rPr>
          <w:rFonts w:hint="eastAsia" w:ascii="宋体" w:hAnsi="宋体"/>
          <w:color w:val="auto"/>
          <w:sz w:val="28"/>
          <w:szCs w:val="28"/>
          <w:highlight w:val="none"/>
          <w:u w:val="single"/>
        </w:rPr>
        <w:t>按照现行的国家、省、市并且在乙方计量认证认定范畴内的有关规程、标准和规定执行。</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4.乙方按甲方委托的监测项目开展监测工作，</w:t>
      </w:r>
      <w:r>
        <w:rPr>
          <w:rFonts w:hint="eastAsia" w:ascii="宋体" w:hAnsi="宋体"/>
          <w:color w:val="auto"/>
          <w:sz w:val="28"/>
          <w:szCs w:val="28"/>
          <w:highlight w:val="none"/>
          <w:lang w:val="en-US" w:eastAsia="zh-CN"/>
        </w:rPr>
        <w:t>在收到甲方委托</w:t>
      </w:r>
      <w:r>
        <w:rPr>
          <w:rFonts w:hint="eastAsia" w:ascii="宋体" w:hAnsi="宋体"/>
          <w:color w:val="auto"/>
          <w:sz w:val="28"/>
          <w:szCs w:val="28"/>
          <w:highlight w:val="none"/>
          <w:u w:val="single"/>
        </w:rPr>
        <w:t>30个日历天内</w:t>
      </w:r>
      <w:r>
        <w:rPr>
          <w:rFonts w:hint="eastAsia" w:ascii="宋体" w:hAnsi="宋体"/>
          <w:color w:val="auto"/>
          <w:sz w:val="28"/>
          <w:szCs w:val="28"/>
          <w:highlight w:val="none"/>
          <w:u w:val="single"/>
          <w:lang w:val="en-US" w:eastAsia="zh-CN"/>
        </w:rPr>
        <w:t>编制监测方案，</w:t>
      </w:r>
      <w:r>
        <w:rPr>
          <w:rFonts w:hint="eastAsia" w:ascii="宋体" w:hAnsi="宋体"/>
          <w:color w:val="auto"/>
          <w:sz w:val="28"/>
          <w:szCs w:val="28"/>
          <w:highlight w:val="none"/>
        </w:rPr>
        <w:t>并及时、准确地为所需监测项目提供公平、公正的监测与监测报告。如因甲方原因造成监测工作不能正常开展，则日期顺延。</w:t>
      </w:r>
    </w:p>
    <w:p>
      <w:pPr>
        <w:spacing w:line="360" w:lineRule="auto"/>
        <w:ind w:firstLine="855"/>
        <w:rPr>
          <w:rFonts w:hint="eastAsia" w:ascii="宋体" w:hAnsi="宋体"/>
          <w:color w:val="auto"/>
          <w:sz w:val="28"/>
          <w:szCs w:val="28"/>
          <w:highlight w:val="none"/>
        </w:rPr>
      </w:pPr>
      <w:r>
        <w:rPr>
          <w:rFonts w:hint="eastAsia" w:ascii="宋体" w:hAnsi="宋体"/>
          <w:color w:val="auto"/>
          <w:sz w:val="28"/>
          <w:szCs w:val="28"/>
          <w:highlight w:val="none"/>
        </w:rPr>
        <w:t>5.按照甲方所委托的监测项目，对现场监测人员要加强安全管理，并承担安全责任。</w:t>
      </w:r>
    </w:p>
    <w:p>
      <w:pPr>
        <w:spacing w:line="360" w:lineRule="auto"/>
        <w:ind w:firstLine="840" w:firstLineChars="300"/>
        <w:rPr>
          <w:rFonts w:hint="eastAsia" w:ascii="宋体" w:hAnsi="宋体"/>
          <w:color w:val="auto"/>
          <w:sz w:val="28"/>
          <w:szCs w:val="28"/>
          <w:highlight w:val="none"/>
        </w:rPr>
      </w:pPr>
      <w:r>
        <w:rPr>
          <w:rFonts w:hint="eastAsia" w:ascii="宋体" w:hAnsi="宋体"/>
          <w:color w:val="auto"/>
          <w:sz w:val="28"/>
          <w:szCs w:val="28"/>
          <w:highlight w:val="none"/>
        </w:rPr>
        <w:t>第三条：为保证乙方有效按时进行技术服务工作，甲方应当向乙方提供下列工作条件和协作事项：</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1.提供技术资料：</w:t>
      </w:r>
    </w:p>
    <w:p>
      <w:pPr>
        <w:spacing w:line="360" w:lineRule="auto"/>
        <w:rPr>
          <w:rFonts w:hint="eastAsia" w:ascii="宋体" w:hAnsi="宋体"/>
          <w:color w:val="auto"/>
          <w:sz w:val="28"/>
          <w:szCs w:val="28"/>
          <w:highlight w:val="none"/>
          <w:u w:val="singl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负责及时提供完成本项目监测所需的技术资料、见证资料等及场地给乙方。</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2.提供工作条件：</w:t>
      </w:r>
    </w:p>
    <w:p>
      <w:pPr>
        <w:numPr>
          <w:ilvl w:val="0"/>
          <w:numId w:val="5"/>
        </w:numPr>
        <w:tabs>
          <w:tab w:val="left" w:pos="0"/>
          <w:tab w:val="clear" w:pos="1695"/>
        </w:tabs>
        <w:spacing w:line="360" w:lineRule="auto"/>
        <w:ind w:left="0" w:firstLine="855"/>
        <w:rPr>
          <w:rFonts w:hint="eastAsia" w:ascii="宋体" w:hAnsi="宋体"/>
          <w:color w:val="auto"/>
          <w:sz w:val="28"/>
          <w:szCs w:val="28"/>
          <w:highlight w:val="none"/>
          <w:u w:val="single"/>
        </w:rPr>
      </w:pPr>
      <w:r>
        <w:rPr>
          <w:rFonts w:hint="eastAsia" w:ascii="宋体" w:hAnsi="宋体"/>
          <w:color w:val="auto"/>
          <w:sz w:val="28"/>
          <w:szCs w:val="28"/>
          <w:highlight w:val="none"/>
          <w:u w:val="single"/>
        </w:rPr>
        <w:t>负责提供监测的工作环境。（包括：水、电；照明；试验区域场地平整、无积水、堆载物等）</w:t>
      </w:r>
    </w:p>
    <w:p>
      <w:pPr>
        <w:numPr>
          <w:ilvl w:val="0"/>
          <w:numId w:val="5"/>
        </w:numPr>
        <w:spacing w:line="360" w:lineRule="auto"/>
        <w:rPr>
          <w:rFonts w:hint="eastAsia" w:ascii="宋体" w:hAnsi="宋体"/>
          <w:color w:val="auto"/>
          <w:sz w:val="28"/>
          <w:szCs w:val="28"/>
          <w:highlight w:val="none"/>
        </w:rPr>
      </w:pPr>
      <w:r>
        <w:rPr>
          <w:rFonts w:hint="eastAsia" w:ascii="宋体" w:hAnsi="宋体"/>
          <w:color w:val="auto"/>
          <w:sz w:val="28"/>
          <w:szCs w:val="28"/>
          <w:highlight w:val="none"/>
          <w:u w:val="single"/>
        </w:rPr>
        <w:t>做好各方协调工作，保证监测工作顺利进行。</w:t>
      </w:r>
    </w:p>
    <w:p>
      <w:pPr>
        <w:spacing w:line="360" w:lineRule="auto"/>
        <w:ind w:firstLine="840" w:firstLineChars="300"/>
        <w:rPr>
          <w:rFonts w:hint="eastAsia" w:ascii="宋体" w:hAnsi="宋体"/>
          <w:color w:val="auto"/>
          <w:sz w:val="28"/>
          <w:szCs w:val="28"/>
          <w:highlight w:val="none"/>
        </w:rPr>
      </w:pPr>
      <w:r>
        <w:rPr>
          <w:rFonts w:hint="eastAsia" w:ascii="宋体" w:hAnsi="宋体"/>
          <w:color w:val="auto"/>
          <w:sz w:val="28"/>
          <w:szCs w:val="28"/>
          <w:highlight w:val="none"/>
        </w:rPr>
        <w:t>第四条：甲方向乙方支付技术服务报酬及支付方式为：</w:t>
      </w:r>
    </w:p>
    <w:p>
      <w:pPr>
        <w:ind w:firstLine="837" w:firstLineChars="299"/>
        <w:rPr>
          <w:rFonts w:hint="eastAsia" w:ascii="宋体" w:hAnsi="宋体"/>
          <w:color w:val="auto"/>
          <w:spacing w:val="-6"/>
          <w:sz w:val="28"/>
          <w:szCs w:val="28"/>
          <w:highlight w:val="none"/>
          <w:u w:val="single"/>
        </w:rPr>
      </w:pPr>
      <w:r>
        <w:rPr>
          <w:rFonts w:hint="eastAsia" w:ascii="宋体" w:hAnsi="宋体"/>
          <w:color w:val="auto"/>
          <w:sz w:val="28"/>
          <w:szCs w:val="28"/>
          <w:highlight w:val="none"/>
        </w:rPr>
        <w:t>1.技术服务单价：</w:t>
      </w:r>
      <w:r>
        <w:rPr>
          <w:rFonts w:hint="eastAsia" w:ascii="宋体" w:hAnsi="宋体"/>
          <w:color w:val="auto"/>
          <w:sz w:val="28"/>
          <w:szCs w:val="28"/>
          <w:highlight w:val="none"/>
          <w:u w:val="single"/>
        </w:rPr>
        <w:t>具体监测项目及单价详见附件</w:t>
      </w:r>
      <w:r>
        <w:rPr>
          <w:rFonts w:hint="eastAsia" w:ascii="宋体" w:hAnsi="宋体"/>
          <w:color w:val="auto"/>
          <w:spacing w:val="-6"/>
          <w:sz w:val="28"/>
          <w:szCs w:val="28"/>
          <w:highlight w:val="none"/>
          <w:u w:val="single"/>
        </w:rPr>
        <w:t>。</w:t>
      </w:r>
    </w:p>
    <w:p>
      <w:pPr>
        <w:ind w:left="2" w:firstLine="836" w:firstLineChars="312"/>
        <w:rPr>
          <w:rFonts w:hint="eastAsia" w:ascii="宋体" w:hAnsi="宋体"/>
          <w:color w:val="auto"/>
          <w:spacing w:val="-6"/>
          <w:sz w:val="28"/>
          <w:szCs w:val="28"/>
          <w:highlight w:val="none"/>
          <w:u w:val="single"/>
        </w:rPr>
      </w:pPr>
      <w:r>
        <w:rPr>
          <w:rFonts w:hint="eastAsia" w:ascii="宋体" w:hAnsi="宋体"/>
          <w:color w:val="auto"/>
          <w:spacing w:val="-6"/>
          <w:sz w:val="28"/>
          <w:szCs w:val="28"/>
          <w:highlight w:val="none"/>
        </w:rPr>
        <w:t>2、技术服务暂定总价：</w:t>
      </w:r>
      <w:r>
        <w:rPr>
          <w:rFonts w:hint="eastAsia" w:ascii="宋体" w:hAnsi="宋体" w:eastAsia="宋体" w:cs="Times New Roman"/>
          <w:color w:val="auto"/>
          <w:spacing w:val="-6"/>
          <w:sz w:val="28"/>
          <w:szCs w:val="28"/>
          <w:highlight w:val="none"/>
          <w:u w:val="single"/>
        </w:rPr>
        <w:t>￥</w:t>
      </w:r>
      <w:r>
        <w:rPr>
          <w:rFonts w:hint="eastAsia" w:ascii="宋体" w:hAnsi="宋体" w:eastAsia="宋体" w:cs="Times New Roman"/>
          <w:color w:val="auto"/>
          <w:spacing w:val="-6"/>
          <w:sz w:val="28"/>
          <w:szCs w:val="28"/>
          <w:highlight w:val="none"/>
          <w:u w:val="single"/>
          <w:lang w:val="en-US" w:eastAsia="zh-CN"/>
        </w:rPr>
        <w:t>****元</w:t>
      </w:r>
      <w:r>
        <w:rPr>
          <w:rFonts w:hint="eastAsia" w:ascii="宋体" w:hAnsi="宋体" w:eastAsia="宋体" w:cs="Times New Roman"/>
          <w:color w:val="auto"/>
          <w:spacing w:val="-6"/>
          <w:sz w:val="28"/>
          <w:szCs w:val="28"/>
          <w:highlight w:val="none"/>
          <w:u w:val="single"/>
        </w:rPr>
        <w:t>，甲</w:t>
      </w:r>
      <w:r>
        <w:rPr>
          <w:rFonts w:hint="eastAsia" w:ascii="宋体" w:hAnsi="宋体"/>
          <w:color w:val="auto"/>
          <w:spacing w:val="-6"/>
          <w:sz w:val="28"/>
          <w:szCs w:val="28"/>
          <w:highlight w:val="none"/>
          <w:u w:val="single"/>
        </w:rPr>
        <w:t>方按乙方实际完成工作量乘以清单收费标准单价进行结算。</w:t>
      </w:r>
    </w:p>
    <w:p>
      <w:pPr>
        <w:pStyle w:val="2"/>
        <w:ind w:firstLine="804" w:firstLineChars="300"/>
        <w:rPr>
          <w:rFonts w:hint="default" w:ascii="宋体" w:hAnsi="宋体" w:eastAsia="宋体" w:cs="Times New Roman"/>
          <w:color w:val="auto"/>
          <w:spacing w:val="-6"/>
          <w:kern w:val="2"/>
          <w:sz w:val="28"/>
          <w:szCs w:val="28"/>
          <w:highlight w:val="none"/>
          <w:lang w:val="en-US" w:eastAsia="zh-CN" w:bidi="ar-SA"/>
        </w:rPr>
      </w:pPr>
      <w:r>
        <w:rPr>
          <w:rFonts w:hint="eastAsia" w:ascii="宋体" w:hAnsi="宋体" w:eastAsia="宋体" w:cs="Times New Roman"/>
          <w:color w:val="auto"/>
          <w:spacing w:val="-6"/>
          <w:kern w:val="2"/>
          <w:sz w:val="28"/>
          <w:szCs w:val="28"/>
          <w:highlight w:val="none"/>
          <w:lang w:val="en-US" w:eastAsia="zh-CN" w:bidi="ar-SA"/>
        </w:rPr>
        <w:t>3、结算原则：</w:t>
      </w:r>
      <w:r>
        <w:rPr>
          <w:rFonts w:hint="eastAsia" w:ascii="宋体" w:hAnsi="宋体" w:eastAsia="宋体" w:cs="Times New Roman"/>
          <w:color w:val="auto"/>
          <w:spacing w:val="-6"/>
          <w:kern w:val="2"/>
          <w:sz w:val="28"/>
          <w:szCs w:val="28"/>
          <w:highlight w:val="none"/>
          <w:u w:val="none"/>
          <w:lang w:val="en-US" w:eastAsia="zh-CN" w:bidi="ar-SA"/>
        </w:rPr>
        <w:t>工</w:t>
      </w:r>
      <w:r>
        <w:rPr>
          <w:rFonts w:hint="eastAsia" w:ascii="宋体" w:hAnsi="宋体" w:eastAsia="宋体" w:cs="Times New Roman"/>
          <w:color w:val="auto"/>
          <w:spacing w:val="-6"/>
          <w:kern w:val="2"/>
          <w:sz w:val="28"/>
          <w:szCs w:val="28"/>
          <w:highlight w:val="none"/>
          <w:u w:val="single"/>
          <w:lang w:val="en-US" w:eastAsia="zh-CN" w:bidi="ar-SA"/>
        </w:rPr>
        <w:t>程量按实结算，超出合同工作量部分按工程量确认单确认后结算，综合单价按《监测费用报价单》填入的综合单价包干计价。</w:t>
      </w:r>
    </w:p>
    <w:p>
      <w:pPr>
        <w:tabs>
          <w:tab w:val="left" w:pos="0"/>
        </w:tabs>
        <w:spacing w:line="360" w:lineRule="auto"/>
        <w:ind w:left="855"/>
        <w:rPr>
          <w:rFonts w:hint="eastAsia" w:ascii="宋体" w:hAnsi="宋体"/>
          <w:color w:val="auto"/>
          <w:sz w:val="28"/>
          <w:szCs w:val="28"/>
          <w:highlight w:val="none"/>
          <w:u w:val="single"/>
        </w:rPr>
      </w:pPr>
      <w:r>
        <w:rPr>
          <w:rFonts w:hint="eastAsia" w:ascii="宋体" w:hAnsi="宋体"/>
          <w:color w:val="auto"/>
          <w:sz w:val="28"/>
          <w:szCs w:val="28"/>
          <w:highlight w:val="none"/>
          <w:u w:val="single"/>
        </w:rPr>
        <w:t>3.支付方式：</w:t>
      </w:r>
    </w:p>
    <w:p>
      <w:pPr>
        <w:tabs>
          <w:tab w:val="left" w:pos="0"/>
        </w:tabs>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（1）</w:t>
      </w:r>
      <w:r>
        <w:rPr>
          <w:rFonts w:hint="eastAsia" w:ascii="宋体" w:hAnsi="宋体"/>
          <w:color w:val="auto"/>
          <w:sz w:val="28"/>
          <w:szCs w:val="28"/>
          <w:highlight w:val="none"/>
          <w:u w:val="single"/>
        </w:rPr>
        <w:t>本合同签订生效后，甲方按市财政资金集中支付管理方法程序，按合同暂定价的20%支付预付款；</w:t>
      </w:r>
    </w:p>
    <w:p>
      <w:pPr>
        <w:tabs>
          <w:tab w:val="left" w:pos="0"/>
        </w:tabs>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（2）</w:t>
      </w:r>
      <w:r>
        <w:rPr>
          <w:rFonts w:hint="eastAsia" w:ascii="宋体" w:hAnsi="宋体"/>
          <w:color w:val="auto"/>
          <w:sz w:val="28"/>
          <w:szCs w:val="28"/>
          <w:highlight w:val="none"/>
          <w:u w:val="single"/>
        </w:rPr>
        <w:t>乙方完成分项监测工作并提交监测成果报告经甲方审核通过后，甲方按市财政资金集中支付管理方法程序按乙方实际完成监测工作量的80%支付合同费用（含预付款）；</w:t>
      </w:r>
    </w:p>
    <w:p>
      <w:pPr>
        <w:tabs>
          <w:tab w:val="left" w:pos="0"/>
        </w:tabs>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（3）</w:t>
      </w:r>
      <w:r>
        <w:rPr>
          <w:rFonts w:hint="eastAsia" w:ascii="宋体" w:hAnsi="宋体"/>
          <w:color w:val="auto"/>
          <w:sz w:val="28"/>
          <w:szCs w:val="28"/>
          <w:highlight w:val="none"/>
          <w:u w:val="single"/>
        </w:rPr>
        <w:t>合同监测工作完成并提交监测报告后，由甲方委托第三方造价咨询单位对本合同进行结算审核工作，双方同意按结算审核价支付合同尾款。</w:t>
      </w:r>
    </w:p>
    <w:p>
      <w:pPr>
        <w:numPr>
          <w:ilvl w:val="0"/>
          <w:numId w:val="6"/>
        </w:numPr>
        <w:tabs>
          <w:tab w:val="left" w:pos="0"/>
        </w:tabs>
        <w:spacing w:line="360" w:lineRule="auto"/>
        <w:rPr>
          <w:rFonts w:hint="eastAsia" w:ascii="宋体" w:hAnsi="宋体"/>
          <w:color w:val="auto"/>
          <w:sz w:val="28"/>
          <w:szCs w:val="28"/>
          <w:highlight w:val="none"/>
          <w:u w:val="single"/>
        </w:rPr>
      </w:pPr>
      <w:r>
        <w:rPr>
          <w:rFonts w:hint="eastAsia" w:ascii="宋体" w:hAnsi="宋体"/>
          <w:color w:val="auto"/>
          <w:sz w:val="28"/>
          <w:szCs w:val="28"/>
          <w:highlight w:val="none"/>
          <w:u w:val="single"/>
        </w:rPr>
        <w:t>以转账形式支付。</w:t>
      </w:r>
    </w:p>
    <w:p>
      <w:pPr>
        <w:tabs>
          <w:tab w:val="left" w:pos="0"/>
        </w:tabs>
        <w:spacing w:line="360" w:lineRule="auto"/>
        <w:ind w:left="280"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（5）</w:t>
      </w:r>
      <w:r>
        <w:rPr>
          <w:rFonts w:hint="eastAsia" w:ascii="宋体" w:hAnsi="宋体"/>
          <w:color w:val="auto"/>
          <w:sz w:val="28"/>
          <w:szCs w:val="28"/>
          <w:highlight w:val="none"/>
          <w:u w:val="single"/>
        </w:rPr>
        <w:t>乙方在收取每一笔合同费用前需向甲方提供等额有效增值税普通发票。</w:t>
      </w:r>
    </w:p>
    <w:p>
      <w:pPr>
        <w:tabs>
          <w:tab w:val="left" w:pos="0"/>
        </w:tabs>
        <w:spacing w:line="360" w:lineRule="auto"/>
        <w:ind w:left="855"/>
        <w:rPr>
          <w:rFonts w:hint="eastAsia" w:ascii="宋体" w:hAnsi="宋体"/>
          <w:color w:val="auto"/>
          <w:sz w:val="28"/>
          <w:szCs w:val="28"/>
          <w:highlight w:val="none"/>
          <w:u w:val="single"/>
        </w:rPr>
      </w:pPr>
      <w:r>
        <w:rPr>
          <w:rFonts w:hint="eastAsia" w:ascii="宋体" w:hAnsi="宋体"/>
          <w:color w:val="auto"/>
          <w:sz w:val="28"/>
          <w:szCs w:val="28"/>
          <w:highlight w:val="none"/>
          <w:u w:val="single"/>
        </w:rPr>
        <w:t>4. 乙方开户银行名称、开户名和帐号为：</w:t>
      </w:r>
    </w:p>
    <w:p>
      <w:pPr>
        <w:tabs>
          <w:tab w:val="left" w:pos="0"/>
        </w:tabs>
        <w:spacing w:line="360" w:lineRule="auto"/>
        <w:ind w:left="855"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开户银行：</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tabs>
          <w:tab w:val="left" w:pos="0"/>
        </w:tabs>
        <w:spacing w:line="360" w:lineRule="auto"/>
        <w:ind w:left="855"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开户名：</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tabs>
          <w:tab w:val="left" w:pos="0"/>
        </w:tabs>
        <w:spacing w:line="360" w:lineRule="auto"/>
        <w:ind w:left="855"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帐号：</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tabs>
          <w:tab w:val="left" w:pos="0"/>
        </w:tabs>
        <w:spacing w:line="360" w:lineRule="auto"/>
        <w:ind w:left="855"/>
        <w:rPr>
          <w:rFonts w:hint="eastAsia" w:ascii="宋体" w:hAnsi="宋体"/>
          <w:color w:val="auto"/>
          <w:sz w:val="28"/>
          <w:szCs w:val="28"/>
          <w:highlight w:val="none"/>
          <w:u w:val="single"/>
        </w:rPr>
      </w:pPr>
      <w:r>
        <w:rPr>
          <w:rFonts w:hint="eastAsia" w:ascii="宋体" w:hAnsi="宋体"/>
          <w:color w:val="auto"/>
          <w:sz w:val="28"/>
          <w:szCs w:val="28"/>
          <w:highlight w:val="none"/>
        </w:rPr>
        <w:t>第五条：</w:t>
      </w:r>
      <w:r>
        <w:rPr>
          <w:rFonts w:hint="eastAsia" w:ascii="宋体" w:hAnsi="宋体"/>
          <w:color w:val="auto"/>
          <w:sz w:val="28"/>
          <w:szCs w:val="28"/>
          <w:highlight w:val="none"/>
          <w:u w:val="single"/>
        </w:rPr>
        <w:t>双方确定因履行本合同应遵守的保密义务如下：</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甲方：</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1.保密内容（包括技术信息和经营信息）:</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2.涉密人员范围: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spacing w:line="360" w:lineRule="auto"/>
        <w:rPr>
          <w:rFonts w:hint="eastAsia" w:ascii="宋体" w:hAnsi="宋体"/>
          <w:color w:val="auto"/>
          <w:sz w:val="28"/>
          <w:szCs w:val="28"/>
          <w:highlight w:val="none"/>
          <w:u w:val="single"/>
        </w:rPr>
      </w:pPr>
      <w:r>
        <w:rPr>
          <w:rFonts w:hint="eastAsia" w:ascii="宋体" w:hAnsi="宋体"/>
          <w:color w:val="auto"/>
          <w:sz w:val="28"/>
          <w:szCs w:val="28"/>
          <w:highlight w:val="none"/>
        </w:rPr>
        <w:t xml:space="preserve">      3.保密期限：</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乙方：</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1.保密内容（包括技术信息和经营信息）:</w:t>
      </w:r>
      <w:r>
        <w:rPr>
          <w:rFonts w:hint="eastAsia" w:ascii="宋体" w:hAnsi="宋体"/>
          <w:color w:val="auto"/>
          <w:sz w:val="28"/>
          <w:szCs w:val="28"/>
          <w:highlight w:val="none"/>
          <w:u w:val="single"/>
        </w:rPr>
        <w:t>未经甲方同意，禁止将本项目相关资料交第三方</w:t>
      </w:r>
      <w:r>
        <w:rPr>
          <w:rFonts w:hint="eastAsia" w:ascii="宋体" w:hAnsi="宋体"/>
          <w:color w:val="auto"/>
          <w:sz w:val="28"/>
          <w:szCs w:val="28"/>
          <w:highlight w:val="none"/>
        </w:rPr>
        <w:t>。政府监管要求披露的不受此约束。</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2.涉密人员范围:</w:t>
      </w:r>
      <w:r>
        <w:rPr>
          <w:rFonts w:hint="eastAsia" w:ascii="宋体" w:hAnsi="宋体"/>
          <w:color w:val="auto"/>
          <w:sz w:val="28"/>
          <w:szCs w:val="28"/>
          <w:highlight w:val="none"/>
          <w:u w:val="single"/>
        </w:rPr>
        <w:t xml:space="preserve"> 参与本项目所有人员 </w:t>
      </w:r>
      <w:r>
        <w:rPr>
          <w:rFonts w:hint="eastAsia" w:ascii="宋体" w:hAnsi="宋体"/>
          <w:color w:val="auto"/>
          <w:sz w:val="28"/>
          <w:szCs w:val="28"/>
          <w:highlight w:val="none"/>
        </w:rPr>
        <w:t>。</w:t>
      </w:r>
    </w:p>
    <w:p>
      <w:pPr>
        <w:spacing w:line="360" w:lineRule="auto"/>
        <w:rPr>
          <w:rFonts w:hint="eastAsia" w:ascii="宋体" w:hAnsi="宋体"/>
          <w:color w:val="auto"/>
          <w:sz w:val="28"/>
          <w:szCs w:val="28"/>
          <w:highlight w:val="none"/>
          <w:u w:val="single"/>
        </w:rPr>
      </w:pPr>
      <w:r>
        <w:rPr>
          <w:rFonts w:hint="eastAsia" w:ascii="宋体" w:hAnsi="宋体"/>
          <w:color w:val="auto"/>
          <w:sz w:val="28"/>
          <w:szCs w:val="28"/>
          <w:highlight w:val="none"/>
        </w:rPr>
        <w:t xml:space="preserve">      3.保密期限：</w:t>
      </w:r>
      <w:r>
        <w:rPr>
          <w:rFonts w:hint="eastAsia" w:ascii="宋体" w:hAnsi="宋体"/>
          <w:color w:val="auto"/>
          <w:sz w:val="28"/>
          <w:szCs w:val="28"/>
          <w:highlight w:val="none"/>
          <w:u w:val="single"/>
        </w:rPr>
        <w:t xml:space="preserve"> 永久 </w:t>
      </w:r>
      <w:r>
        <w:rPr>
          <w:rFonts w:hint="eastAsia" w:ascii="宋体" w:hAnsi="宋体"/>
          <w:color w:val="auto"/>
          <w:sz w:val="28"/>
          <w:szCs w:val="28"/>
          <w:highlight w:val="none"/>
        </w:rPr>
        <w:t>。</w:t>
      </w:r>
    </w:p>
    <w:p>
      <w:pPr>
        <w:spacing w:line="360" w:lineRule="auto"/>
        <w:ind w:firstLine="840" w:firstLineChars="300"/>
        <w:rPr>
          <w:rFonts w:hint="eastAsia" w:ascii="宋体" w:hAnsi="宋体"/>
          <w:color w:val="auto"/>
          <w:sz w:val="28"/>
          <w:szCs w:val="28"/>
          <w:highlight w:val="none"/>
        </w:rPr>
      </w:pPr>
      <w:r>
        <w:rPr>
          <w:rFonts w:hint="eastAsia" w:ascii="宋体" w:hAnsi="宋体"/>
          <w:color w:val="auto"/>
          <w:sz w:val="28"/>
          <w:szCs w:val="28"/>
          <w:highlight w:val="none"/>
        </w:rPr>
        <w:t>第六条：本合同的变更必须由双方协商一致，并以书面形式确定。一方可以向另一方提出变更合同权利与义务的请求，另一方应当在</w:t>
      </w:r>
      <w:r>
        <w:rPr>
          <w:rFonts w:hint="eastAsia" w:ascii="宋体" w:hAnsi="宋体"/>
          <w:color w:val="auto"/>
          <w:sz w:val="28"/>
          <w:szCs w:val="28"/>
          <w:highlight w:val="none"/>
          <w:u w:val="single"/>
        </w:rPr>
        <w:t xml:space="preserve"> 3  </w:t>
      </w:r>
      <w:r>
        <w:rPr>
          <w:rFonts w:hint="eastAsia" w:ascii="宋体" w:hAnsi="宋体"/>
          <w:color w:val="auto"/>
          <w:sz w:val="28"/>
          <w:szCs w:val="28"/>
          <w:highlight w:val="none"/>
        </w:rPr>
        <w:t>日内予以答复；逾期未予答复的，视为同意。</w:t>
      </w:r>
    </w:p>
    <w:p>
      <w:pPr>
        <w:spacing w:line="360" w:lineRule="auto"/>
        <w:ind w:firstLine="840" w:firstLineChars="300"/>
        <w:rPr>
          <w:rFonts w:hint="eastAsia" w:ascii="宋体" w:hAnsi="宋体"/>
          <w:color w:val="auto"/>
          <w:sz w:val="28"/>
          <w:szCs w:val="28"/>
          <w:highlight w:val="none"/>
        </w:rPr>
      </w:pPr>
      <w:r>
        <w:rPr>
          <w:rFonts w:hint="eastAsia" w:ascii="宋体" w:hAnsi="宋体"/>
          <w:color w:val="auto"/>
          <w:sz w:val="28"/>
          <w:szCs w:val="28"/>
          <w:highlight w:val="none"/>
        </w:rPr>
        <w:t>第七条：双方确定以下列标准和方式对乙方的技术服务工作成果进行验收：</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1.乙方完成技术服务工作的形式：</w:t>
      </w:r>
      <w:r>
        <w:rPr>
          <w:rFonts w:hint="eastAsia" w:ascii="宋体" w:hAnsi="宋体"/>
          <w:color w:val="auto"/>
          <w:sz w:val="28"/>
          <w:szCs w:val="28"/>
          <w:highlight w:val="none"/>
          <w:u w:val="single"/>
        </w:rPr>
        <w:t xml:space="preserve"> 以监测报告形式提供。</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2.技术服务工作成果的验收标准：</w:t>
      </w:r>
      <w:r>
        <w:rPr>
          <w:rFonts w:hint="eastAsia" w:ascii="宋体" w:hAnsi="宋体"/>
          <w:color w:val="auto"/>
          <w:sz w:val="28"/>
          <w:szCs w:val="28"/>
          <w:highlight w:val="none"/>
          <w:u w:val="single"/>
        </w:rPr>
        <w:t>按照现行的国家、省、市并且在乙方计量认证认定范畴内的有关规程、标准和规定执行。</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3.技术服务工作成果的验收方法：</w:t>
      </w:r>
      <w:r>
        <w:rPr>
          <w:rFonts w:hint="eastAsia" w:ascii="宋体" w:hAnsi="宋体"/>
          <w:color w:val="auto"/>
          <w:sz w:val="28"/>
          <w:szCs w:val="28"/>
          <w:highlight w:val="none"/>
          <w:u w:val="single"/>
        </w:rPr>
        <w:t xml:space="preserve"> 提交监测报告壹式</w:t>
      </w:r>
      <w:r>
        <w:rPr>
          <w:rFonts w:hint="eastAsia" w:ascii="宋体" w:hAnsi="宋体"/>
          <w:color w:val="auto"/>
          <w:sz w:val="28"/>
          <w:szCs w:val="28"/>
          <w:highlight w:val="none"/>
          <w:u w:val="single"/>
          <w:lang w:val="en-US" w:eastAsia="zh-CN"/>
        </w:rPr>
        <w:t>陆</w:t>
      </w:r>
      <w:r>
        <w:rPr>
          <w:rFonts w:hint="eastAsia" w:ascii="宋体" w:hAnsi="宋体"/>
          <w:color w:val="auto"/>
          <w:sz w:val="28"/>
          <w:szCs w:val="28"/>
          <w:highlight w:val="none"/>
          <w:u w:val="single"/>
        </w:rPr>
        <w:t xml:space="preserve">份 </w:t>
      </w:r>
      <w:r>
        <w:rPr>
          <w:rFonts w:hint="eastAsia" w:ascii="宋体" w:hAnsi="宋体"/>
          <w:color w:val="auto"/>
          <w:sz w:val="28"/>
          <w:szCs w:val="28"/>
          <w:highlight w:val="none"/>
        </w:rPr>
        <w:t>。</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4.验收的时间和地点：</w:t>
      </w:r>
      <w:r>
        <w:rPr>
          <w:rFonts w:hint="eastAsia" w:ascii="宋体" w:hAnsi="宋体"/>
          <w:color w:val="auto"/>
          <w:sz w:val="28"/>
          <w:szCs w:val="28"/>
          <w:highlight w:val="none"/>
          <w:u w:val="single"/>
        </w:rPr>
        <w:t xml:space="preserve"> 广州市 </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第八条：双方确定：</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1.在本合同有效期内，甲方利用乙方提交的技术服务工作成果所完成的新的技术成果，归</w:t>
      </w:r>
      <w:r>
        <w:rPr>
          <w:rFonts w:hint="eastAsia" w:ascii="宋体" w:hAnsi="宋体"/>
          <w:color w:val="auto"/>
          <w:sz w:val="28"/>
          <w:szCs w:val="28"/>
          <w:highlight w:val="none"/>
          <w:u w:val="single"/>
        </w:rPr>
        <w:t>甲乙双</w:t>
      </w:r>
      <w:r>
        <w:rPr>
          <w:rFonts w:hint="eastAsia" w:ascii="宋体" w:hAnsi="宋体"/>
          <w:color w:val="auto"/>
          <w:sz w:val="28"/>
          <w:szCs w:val="28"/>
          <w:highlight w:val="none"/>
        </w:rPr>
        <w:t>方共有。</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2.在本合同有效期内，乙方利用甲方提供的技术资料和工作条件所完成的新的技术成果，归</w:t>
      </w:r>
      <w:r>
        <w:rPr>
          <w:rFonts w:hint="eastAsia" w:ascii="宋体" w:hAnsi="宋体"/>
          <w:color w:val="auto"/>
          <w:sz w:val="28"/>
          <w:szCs w:val="28"/>
          <w:highlight w:val="none"/>
          <w:u w:val="single"/>
        </w:rPr>
        <w:t>甲乙双</w:t>
      </w:r>
      <w:r>
        <w:rPr>
          <w:rFonts w:hint="eastAsia" w:ascii="宋体" w:hAnsi="宋体"/>
          <w:color w:val="auto"/>
          <w:sz w:val="28"/>
          <w:szCs w:val="28"/>
          <w:highlight w:val="none"/>
        </w:rPr>
        <w:t>方共有。</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第九条：双方确定，按以下约定承担各自的违约责任：</w:t>
      </w:r>
    </w:p>
    <w:p>
      <w:pPr>
        <w:spacing w:line="360" w:lineRule="auto"/>
        <w:rPr>
          <w:rFonts w:hint="eastAsia" w:ascii="宋体" w:hAnsi="宋体"/>
          <w:color w:val="auto"/>
          <w:spacing w:val="-4"/>
          <w:sz w:val="28"/>
          <w:szCs w:val="28"/>
          <w:highlight w:val="none"/>
        </w:rPr>
      </w:pPr>
      <w:r>
        <w:rPr>
          <w:rFonts w:hint="eastAsia" w:ascii="宋体" w:hAnsi="宋体"/>
          <w:color w:val="auto"/>
          <w:sz w:val="28"/>
          <w:szCs w:val="28"/>
          <w:highlight w:val="none"/>
        </w:rPr>
        <w:t xml:space="preserve">      </w:t>
      </w:r>
      <w:r>
        <w:rPr>
          <w:rFonts w:hint="eastAsia" w:ascii="宋体" w:hAnsi="宋体"/>
          <w:color w:val="auto"/>
          <w:spacing w:val="-4"/>
          <w:sz w:val="28"/>
          <w:szCs w:val="28"/>
          <w:highlight w:val="none"/>
        </w:rPr>
        <w:t>1.</w:t>
      </w:r>
      <w:r>
        <w:rPr>
          <w:rFonts w:hint="eastAsia" w:ascii="宋体" w:hAnsi="宋体"/>
          <w:color w:val="auto"/>
          <w:spacing w:val="-4"/>
          <w:sz w:val="28"/>
          <w:szCs w:val="28"/>
          <w:highlight w:val="none"/>
          <w:u w:val="single"/>
        </w:rPr>
        <w:t>甲</w:t>
      </w:r>
      <w:r>
        <w:rPr>
          <w:rFonts w:hint="eastAsia" w:ascii="宋体" w:hAnsi="宋体"/>
          <w:color w:val="auto"/>
          <w:spacing w:val="-4"/>
          <w:sz w:val="28"/>
          <w:szCs w:val="28"/>
          <w:highlight w:val="none"/>
        </w:rPr>
        <w:t>方违反本合同第</w:t>
      </w:r>
      <w:r>
        <w:rPr>
          <w:rFonts w:hint="eastAsia" w:ascii="宋体" w:hAnsi="宋体"/>
          <w:color w:val="auto"/>
          <w:spacing w:val="-4"/>
          <w:sz w:val="28"/>
          <w:szCs w:val="28"/>
          <w:highlight w:val="none"/>
          <w:u w:val="single"/>
        </w:rPr>
        <w:t>三、四</w:t>
      </w:r>
      <w:r>
        <w:rPr>
          <w:rFonts w:hint="eastAsia" w:ascii="宋体" w:hAnsi="宋体"/>
          <w:color w:val="auto"/>
          <w:spacing w:val="-4"/>
          <w:sz w:val="28"/>
          <w:szCs w:val="28"/>
          <w:highlight w:val="none"/>
        </w:rPr>
        <w:t>条约定，</w:t>
      </w:r>
      <w:r>
        <w:rPr>
          <w:rFonts w:hint="eastAsia" w:ascii="宋体" w:hAnsi="宋体"/>
          <w:color w:val="auto"/>
          <w:spacing w:val="-4"/>
          <w:sz w:val="28"/>
          <w:szCs w:val="28"/>
          <w:highlight w:val="none"/>
          <w:u w:val="single"/>
        </w:rPr>
        <w:t>按本合同第十五条的相关约定处理。</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w:t>
      </w:r>
      <w:r>
        <w:rPr>
          <w:rFonts w:hint="eastAsia" w:ascii="宋体" w:hAnsi="宋体"/>
          <w:color w:val="auto"/>
          <w:sz w:val="28"/>
          <w:szCs w:val="28"/>
          <w:highlight w:val="none"/>
          <w:u w:val="single"/>
        </w:rPr>
        <w:t>乙</w:t>
      </w:r>
      <w:r>
        <w:rPr>
          <w:rFonts w:hint="eastAsia" w:ascii="宋体" w:hAnsi="宋体"/>
          <w:color w:val="auto"/>
          <w:sz w:val="28"/>
          <w:szCs w:val="28"/>
          <w:highlight w:val="none"/>
        </w:rPr>
        <w:t>方违反本合同第</w:t>
      </w:r>
      <w:r>
        <w:rPr>
          <w:rFonts w:hint="eastAsia" w:ascii="宋体" w:hAnsi="宋体"/>
          <w:color w:val="auto"/>
          <w:sz w:val="28"/>
          <w:szCs w:val="28"/>
          <w:highlight w:val="none"/>
          <w:u w:val="single"/>
        </w:rPr>
        <w:t xml:space="preserve"> 二 </w:t>
      </w:r>
      <w:r>
        <w:rPr>
          <w:rFonts w:hint="eastAsia" w:ascii="宋体" w:hAnsi="宋体"/>
          <w:color w:val="auto"/>
          <w:sz w:val="28"/>
          <w:szCs w:val="28"/>
          <w:highlight w:val="none"/>
        </w:rPr>
        <w:t>条约定，</w:t>
      </w:r>
      <w:r>
        <w:rPr>
          <w:rFonts w:hint="eastAsia" w:ascii="宋体" w:hAnsi="宋体"/>
          <w:color w:val="auto"/>
          <w:sz w:val="28"/>
          <w:szCs w:val="28"/>
          <w:highlight w:val="none"/>
          <w:u w:val="single"/>
        </w:rPr>
        <w:t>按本合同第十五条的相关约定处理。</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第十条：双方确定，在本合同有效期内，甲方指定</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陈宗佑</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为甲方项目联系人，乙方指定</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为乙方项目联系人。项目联系人承担以下责任：</w:t>
      </w:r>
      <w:r>
        <w:rPr>
          <w:rFonts w:hint="eastAsia" w:ascii="宋体" w:hAnsi="宋体"/>
          <w:color w:val="auto"/>
          <w:sz w:val="28"/>
          <w:szCs w:val="28"/>
          <w:highlight w:val="none"/>
          <w:u w:val="single"/>
        </w:rPr>
        <w:t>负责项目有关事宜的联络与沟通。</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一方变更项目联系人的，应当及时以书面形式通知另一方，未及时通知并影响本合同履行或造成损失的，应承担相应的责任。</w:t>
      </w:r>
    </w:p>
    <w:p>
      <w:pPr>
        <w:tabs>
          <w:tab w:val="left" w:pos="900"/>
        </w:tabs>
        <w:spacing w:line="360" w:lineRule="auto"/>
        <w:ind w:firstLine="840" w:firstLineChars="300"/>
        <w:rPr>
          <w:rFonts w:hint="eastAsia" w:ascii="宋体" w:hAnsi="宋体"/>
          <w:color w:val="auto"/>
          <w:sz w:val="28"/>
          <w:szCs w:val="28"/>
          <w:highlight w:val="none"/>
          <w:u w:val="single"/>
        </w:rPr>
      </w:pPr>
      <w:r>
        <w:rPr>
          <w:rFonts w:hint="eastAsia" w:ascii="宋体" w:hAnsi="宋体"/>
          <w:color w:val="auto"/>
          <w:sz w:val="28"/>
          <w:szCs w:val="28"/>
          <w:highlight w:val="none"/>
        </w:rPr>
        <w:t>第十一条：双方确定，出现下列情形，致使本合同的履行成为不必要或不可能的，可以解除本合同：</w:t>
      </w:r>
      <w:r>
        <w:rPr>
          <w:rFonts w:hint="eastAsia" w:ascii="宋体" w:hAnsi="宋体"/>
          <w:color w:val="auto"/>
          <w:sz w:val="28"/>
          <w:szCs w:val="28"/>
          <w:highlight w:val="none"/>
          <w:u w:val="single"/>
        </w:rPr>
        <w:t>发生不可抗力。</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第十二条：双方因履行本合同而发生的争议，应协商、调解解决。协商、调解不成的，确定按以下第</w:t>
      </w:r>
      <w:r>
        <w:rPr>
          <w:rFonts w:hint="eastAsia" w:ascii="宋体" w:hAnsi="宋体"/>
          <w:color w:val="auto"/>
          <w:sz w:val="28"/>
          <w:szCs w:val="28"/>
          <w:highlight w:val="none"/>
          <w:u w:val="single"/>
        </w:rPr>
        <w:t xml:space="preserve"> 2 </w:t>
      </w:r>
      <w:r>
        <w:rPr>
          <w:rFonts w:hint="eastAsia" w:ascii="宋体" w:hAnsi="宋体"/>
          <w:color w:val="auto"/>
          <w:sz w:val="28"/>
          <w:szCs w:val="28"/>
          <w:highlight w:val="none"/>
        </w:rPr>
        <w:t>种方式处理：</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1.提交</w:t>
      </w:r>
      <w:r>
        <w:rPr>
          <w:rFonts w:hint="eastAsia" w:ascii="宋体" w:hAnsi="宋体"/>
          <w:color w:val="auto"/>
          <w:sz w:val="28"/>
          <w:szCs w:val="28"/>
          <w:highlight w:val="none"/>
          <w:u w:val="single"/>
        </w:rPr>
        <w:t xml:space="preserve"> 广州 </w:t>
      </w:r>
      <w:r>
        <w:rPr>
          <w:rFonts w:hint="eastAsia" w:ascii="宋体" w:hAnsi="宋体"/>
          <w:color w:val="auto"/>
          <w:sz w:val="28"/>
          <w:szCs w:val="28"/>
          <w:highlight w:val="none"/>
        </w:rPr>
        <w:t>仲裁委员会仲裁；</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2.依法向</w:t>
      </w:r>
      <w:r>
        <w:rPr>
          <w:rFonts w:hint="eastAsia" w:ascii="宋体" w:hAnsi="宋体"/>
          <w:color w:val="auto"/>
          <w:sz w:val="28"/>
          <w:szCs w:val="28"/>
          <w:highlight w:val="none"/>
          <w:lang w:val="en-US" w:eastAsia="zh-CN"/>
        </w:rPr>
        <w:t>甲方所在地</w:t>
      </w:r>
      <w:r>
        <w:rPr>
          <w:rFonts w:hint="eastAsia" w:ascii="宋体" w:hAnsi="宋体"/>
          <w:color w:val="auto"/>
          <w:sz w:val="28"/>
          <w:szCs w:val="28"/>
          <w:highlight w:val="none"/>
          <w:u w:val="single"/>
        </w:rPr>
        <w:t>人民法院</w:t>
      </w:r>
      <w:r>
        <w:rPr>
          <w:rFonts w:hint="eastAsia" w:ascii="宋体" w:hAnsi="宋体"/>
          <w:color w:val="auto"/>
          <w:sz w:val="28"/>
          <w:szCs w:val="28"/>
          <w:highlight w:val="none"/>
        </w:rPr>
        <w:t>起诉。</w:t>
      </w:r>
    </w:p>
    <w:p>
      <w:pPr>
        <w:spacing w:line="360" w:lineRule="auto"/>
        <w:rPr>
          <w:rFonts w:hint="eastAsia" w:ascii="宋体" w:hAnsi="宋体"/>
          <w:color w:val="auto"/>
          <w:sz w:val="28"/>
          <w:szCs w:val="28"/>
          <w:highlight w:val="none"/>
          <w:u w:val="single"/>
        </w:rPr>
      </w:pPr>
      <w:r>
        <w:rPr>
          <w:rFonts w:hint="eastAsia" w:ascii="宋体" w:hAnsi="宋体"/>
          <w:color w:val="auto"/>
          <w:sz w:val="28"/>
          <w:szCs w:val="28"/>
          <w:highlight w:val="none"/>
        </w:rPr>
        <w:t xml:space="preserve">     第十三条：双方确定：本合同及相关附件中所涉及的有关名词和技术术语，其定义和解释如下：</w:t>
      </w:r>
      <w:r>
        <w:rPr>
          <w:rFonts w:hint="eastAsia" w:ascii="宋体" w:hAnsi="宋体"/>
          <w:color w:val="auto"/>
          <w:sz w:val="28"/>
          <w:szCs w:val="28"/>
          <w:highlight w:val="none"/>
          <w:u w:val="single"/>
        </w:rPr>
        <w:t xml:space="preserve"> / 。</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第十四条：与履行本合同有关的下列技术文件，经双方确认后，</w:t>
      </w:r>
      <w:r>
        <w:rPr>
          <w:rFonts w:hint="eastAsia" w:ascii="宋体" w:hAnsi="宋体"/>
          <w:color w:val="auto"/>
          <w:sz w:val="28"/>
          <w:szCs w:val="28"/>
          <w:highlight w:val="none"/>
          <w:u w:val="single"/>
        </w:rPr>
        <w:t>以下文件</w:t>
      </w:r>
      <w:r>
        <w:rPr>
          <w:rFonts w:hint="eastAsia" w:ascii="宋体" w:hAnsi="宋体"/>
          <w:color w:val="auto"/>
          <w:sz w:val="28"/>
          <w:szCs w:val="28"/>
          <w:highlight w:val="none"/>
        </w:rPr>
        <w:t>为本合同的组成部分：</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1.技术背景资料：</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2.技术标准和规范：</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spacing w:line="360" w:lineRule="auto"/>
        <w:ind w:left="841" w:leftChars="334" w:hanging="140" w:hangingChars="50"/>
        <w:rPr>
          <w:rFonts w:hint="eastAsia" w:ascii="宋体" w:hAnsi="宋体"/>
          <w:color w:val="auto"/>
          <w:sz w:val="28"/>
          <w:szCs w:val="28"/>
          <w:highlight w:val="none"/>
          <w:u w:val="single"/>
        </w:rPr>
      </w:pPr>
      <w:r>
        <w:rPr>
          <w:rFonts w:hint="eastAsia" w:ascii="宋体" w:hAnsi="宋体"/>
          <w:color w:val="auto"/>
          <w:sz w:val="28"/>
          <w:szCs w:val="28"/>
          <w:highlight w:val="none"/>
        </w:rPr>
        <w:t>第十五条：双方约定本合同其他相关事项为（如有以下情况发生按以下约定执行）：</w:t>
      </w:r>
    </w:p>
    <w:p>
      <w:pPr>
        <w:spacing w:line="360" w:lineRule="auto"/>
        <w:ind w:firstLine="697" w:firstLineChars="249"/>
        <w:rPr>
          <w:rFonts w:hint="eastAsia" w:ascii="宋体" w:hAnsi="宋体"/>
          <w:color w:val="auto"/>
          <w:sz w:val="28"/>
          <w:szCs w:val="28"/>
          <w:highlight w:val="none"/>
          <w:u w:val="single"/>
        </w:rPr>
      </w:pPr>
      <w:r>
        <w:rPr>
          <w:rFonts w:ascii="宋体" w:hAnsi="宋体"/>
          <w:color w:val="auto"/>
          <w:sz w:val="28"/>
          <w:szCs w:val="28"/>
          <w:highlight w:val="none"/>
          <w:u w:val="single"/>
        </w:rPr>
        <w:t>1</w:t>
      </w:r>
      <w:r>
        <w:rPr>
          <w:rFonts w:hint="eastAsia" w:ascii="宋体" w:hAnsi="宋体"/>
          <w:color w:val="auto"/>
          <w:sz w:val="28"/>
          <w:szCs w:val="28"/>
          <w:highlight w:val="none"/>
          <w:u w:val="single"/>
        </w:rPr>
        <w:t>、</w:t>
      </w:r>
      <w:r>
        <w:rPr>
          <w:rFonts w:ascii="宋体" w:hAnsi="宋体"/>
          <w:color w:val="auto"/>
          <w:sz w:val="28"/>
          <w:szCs w:val="28"/>
          <w:highlight w:val="none"/>
          <w:u w:val="single"/>
        </w:rPr>
        <w:t>未经双方协商同意，任何一方不得终止本合同</w:t>
      </w:r>
      <w:r>
        <w:rPr>
          <w:rFonts w:hint="eastAsia" w:ascii="宋体" w:hAnsi="宋体"/>
          <w:color w:val="auto"/>
          <w:sz w:val="28"/>
          <w:szCs w:val="28"/>
          <w:highlight w:val="none"/>
          <w:u w:val="single"/>
        </w:rPr>
        <w:t xml:space="preserve">； </w:t>
      </w:r>
    </w:p>
    <w:p>
      <w:pPr>
        <w:spacing w:line="360" w:lineRule="auto"/>
        <w:ind w:firstLine="697" w:firstLineChars="249"/>
        <w:rPr>
          <w:rFonts w:hint="eastAsia" w:ascii="宋体" w:hAnsi="宋体"/>
          <w:color w:val="auto"/>
          <w:sz w:val="28"/>
          <w:szCs w:val="28"/>
          <w:highlight w:val="none"/>
          <w:u w:val="single"/>
        </w:rPr>
      </w:pPr>
      <w:r>
        <w:rPr>
          <w:rFonts w:hint="eastAsia" w:ascii="宋体" w:hAnsi="宋体"/>
          <w:color w:val="auto"/>
          <w:sz w:val="28"/>
          <w:szCs w:val="28"/>
          <w:highlight w:val="none"/>
          <w:u w:val="single"/>
        </w:rPr>
        <w:t>2、如乙方违约，甲方可拒付剩余监测费</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并要求乙方按合同价款1%支付违约金</w:t>
      </w:r>
      <w:r>
        <w:rPr>
          <w:rFonts w:hint="eastAsia" w:ascii="宋体" w:hAnsi="宋体"/>
          <w:color w:val="auto"/>
          <w:sz w:val="28"/>
          <w:szCs w:val="28"/>
          <w:highlight w:val="none"/>
          <w:u w:val="single"/>
        </w:rPr>
        <w:t xml:space="preserve">； </w:t>
      </w:r>
    </w:p>
    <w:p>
      <w:pPr>
        <w:spacing w:line="360" w:lineRule="auto"/>
        <w:ind w:firstLine="697" w:firstLineChars="249"/>
        <w:rPr>
          <w:rFonts w:hint="eastAsia" w:ascii="宋体" w:hAnsi="宋体"/>
          <w:color w:val="auto"/>
          <w:sz w:val="28"/>
          <w:szCs w:val="28"/>
          <w:highlight w:val="none"/>
          <w:u w:val="single"/>
        </w:rPr>
      </w:pPr>
      <w:r>
        <w:rPr>
          <w:rFonts w:hint="eastAsia" w:ascii="宋体" w:hAnsi="宋体"/>
          <w:color w:val="auto"/>
          <w:sz w:val="28"/>
          <w:szCs w:val="28"/>
          <w:highlight w:val="none"/>
          <w:u w:val="single"/>
        </w:rPr>
        <w:t xml:space="preserve">3、如甲方违约，则乙方可留置甲方的监测报告，并且要求甲方支付相关费用并赔偿乙方相关的一切经济损失； </w:t>
      </w:r>
    </w:p>
    <w:p>
      <w:pPr>
        <w:spacing w:line="360" w:lineRule="auto"/>
        <w:ind w:firstLine="700" w:firstLineChars="250"/>
        <w:rPr>
          <w:rFonts w:hint="eastAsia" w:ascii="宋体" w:hAnsi="宋体"/>
          <w:color w:val="auto"/>
          <w:sz w:val="28"/>
          <w:szCs w:val="28"/>
          <w:highlight w:val="none"/>
          <w:u w:val="single"/>
        </w:rPr>
      </w:pPr>
      <w:r>
        <w:rPr>
          <w:rFonts w:hint="eastAsia" w:ascii="宋体" w:hAnsi="宋体"/>
          <w:color w:val="auto"/>
          <w:sz w:val="28"/>
          <w:szCs w:val="28"/>
          <w:highlight w:val="none"/>
          <w:u w:val="single"/>
        </w:rPr>
        <w:t xml:space="preserve">4、由于甲方原因造成填写委托单错误而需要改动报告的，视具体情况费用另议，取报告时交款。涉及部位改动及工程质量安全问题的还需要提供监理证明；  </w:t>
      </w:r>
    </w:p>
    <w:p>
      <w:pPr>
        <w:spacing w:line="360" w:lineRule="auto"/>
        <w:ind w:firstLine="700" w:firstLineChars="250"/>
        <w:rPr>
          <w:rFonts w:hint="eastAsia" w:ascii="宋体" w:hAnsi="宋体"/>
          <w:color w:val="auto"/>
          <w:sz w:val="28"/>
          <w:szCs w:val="28"/>
          <w:highlight w:val="none"/>
          <w:u w:val="single"/>
        </w:rPr>
      </w:pPr>
      <w:r>
        <w:rPr>
          <w:rFonts w:hint="eastAsia" w:ascii="宋体" w:hAnsi="宋体"/>
          <w:color w:val="auto"/>
          <w:sz w:val="28"/>
          <w:szCs w:val="28"/>
          <w:highlight w:val="none"/>
          <w:u w:val="single"/>
        </w:rPr>
        <w:t xml:space="preserve">5、乙方有义务指导甲方正确监测频率、监测数量以及现场监测项目所需环境条件，甲方监测的具体数量由自身根据国家有关规范规定而定； </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lang w:val="en-US" w:eastAsia="zh-CN"/>
        </w:rPr>
        <w:t>6</w:t>
      </w:r>
      <w:r>
        <w:rPr>
          <w:rFonts w:hint="eastAsia" w:ascii="宋体" w:hAnsi="宋体"/>
          <w:color w:val="auto"/>
          <w:sz w:val="28"/>
          <w:szCs w:val="28"/>
          <w:highlight w:val="none"/>
          <w:u w:val="single"/>
        </w:rPr>
        <w:t>、当遇到不可抗力而导致本合同被迫终止时，双方在本合同终止日起</w:t>
      </w:r>
      <w:r>
        <w:rPr>
          <w:rFonts w:hint="eastAsia" w:ascii="宋体" w:hAnsi="宋体"/>
          <w:color w:val="auto"/>
          <w:sz w:val="28"/>
          <w:szCs w:val="28"/>
          <w:highlight w:val="none"/>
          <w:u w:val="single"/>
          <w:lang w:eastAsia="zh-CN"/>
        </w:rPr>
        <w:t>1</w:t>
      </w:r>
      <w:r>
        <w:rPr>
          <w:rFonts w:hint="eastAsia" w:ascii="宋体" w:hAnsi="宋体"/>
          <w:color w:val="auto"/>
          <w:sz w:val="28"/>
          <w:szCs w:val="28"/>
          <w:highlight w:val="none"/>
          <w:u w:val="single"/>
          <w:lang w:val="en-US" w:eastAsia="zh-CN"/>
        </w:rPr>
        <w:t>80</w:t>
      </w:r>
      <w:r>
        <w:rPr>
          <w:rFonts w:hint="eastAsia" w:ascii="宋体" w:hAnsi="宋体"/>
          <w:color w:val="auto"/>
          <w:sz w:val="28"/>
          <w:szCs w:val="28"/>
          <w:highlight w:val="none"/>
          <w:u w:val="single"/>
        </w:rPr>
        <w:t>个日历天内</w:t>
      </w:r>
      <w:r>
        <w:rPr>
          <w:rFonts w:hint="eastAsia" w:ascii="宋体" w:hAnsi="宋体"/>
          <w:color w:val="auto"/>
          <w:sz w:val="28"/>
          <w:szCs w:val="28"/>
          <w:highlight w:val="none"/>
          <w:u w:val="single"/>
          <w:lang w:val="en-US" w:eastAsia="zh-CN"/>
        </w:rPr>
        <w:t>完成</w:t>
      </w:r>
      <w:r>
        <w:rPr>
          <w:rFonts w:hint="eastAsia" w:ascii="宋体" w:hAnsi="宋体"/>
          <w:color w:val="auto"/>
          <w:sz w:val="28"/>
          <w:szCs w:val="28"/>
          <w:highlight w:val="none"/>
          <w:u w:val="single"/>
        </w:rPr>
        <w:t>结算支付</w:t>
      </w:r>
      <w:r>
        <w:rPr>
          <w:rFonts w:hint="eastAsia" w:ascii="宋体" w:hAnsi="宋体"/>
          <w:color w:val="auto"/>
          <w:sz w:val="28"/>
          <w:szCs w:val="28"/>
          <w:highlight w:val="none"/>
          <w:u w:val="single"/>
          <w:lang w:val="en-US" w:eastAsia="zh-CN"/>
        </w:rPr>
        <w:t>工作，逾期未完成的，违约方按应付款项的1%向守约方支付违约金</w:t>
      </w:r>
      <w:r>
        <w:rPr>
          <w:rFonts w:hint="eastAsia" w:ascii="宋体" w:hAnsi="宋体"/>
          <w:color w:val="auto"/>
          <w:sz w:val="28"/>
          <w:szCs w:val="28"/>
          <w:highlight w:val="none"/>
          <w:u w:val="single"/>
        </w:rPr>
        <w:t>；</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lang w:val="en-US" w:eastAsia="zh-CN"/>
        </w:rPr>
        <w:t>7</w:t>
      </w:r>
      <w:r>
        <w:rPr>
          <w:rFonts w:hint="eastAsia" w:ascii="宋体" w:hAnsi="宋体"/>
          <w:color w:val="auto"/>
          <w:sz w:val="28"/>
          <w:szCs w:val="28"/>
          <w:highlight w:val="none"/>
          <w:u w:val="single"/>
        </w:rPr>
        <w:t>、乙方提供监测报告壹式</w:t>
      </w:r>
      <w:r>
        <w:rPr>
          <w:rFonts w:hint="eastAsia" w:ascii="宋体" w:hAnsi="宋体"/>
          <w:color w:val="auto"/>
          <w:sz w:val="28"/>
          <w:szCs w:val="28"/>
          <w:highlight w:val="none"/>
          <w:u w:val="single"/>
          <w:lang w:eastAsia="zh-CN"/>
        </w:rPr>
        <w:t>陆</w:t>
      </w:r>
      <w:r>
        <w:rPr>
          <w:rFonts w:hint="eastAsia" w:ascii="宋体" w:hAnsi="宋体"/>
          <w:color w:val="auto"/>
          <w:sz w:val="28"/>
          <w:szCs w:val="28"/>
          <w:highlight w:val="none"/>
          <w:u w:val="single"/>
        </w:rPr>
        <w:t>份；若甲方要求增加报告份数的，按3元/页计费；</w:t>
      </w:r>
    </w:p>
    <w:p>
      <w:pPr>
        <w:spacing w:line="360" w:lineRule="auto"/>
        <w:ind w:firstLine="716" w:firstLineChars="256"/>
        <w:rPr>
          <w:rFonts w:hint="eastAsia" w:ascii="宋体" w:hAnsi="宋体"/>
          <w:color w:val="auto"/>
          <w:sz w:val="28"/>
          <w:szCs w:val="28"/>
          <w:highlight w:val="none"/>
          <w:u w:val="single"/>
        </w:rPr>
      </w:pPr>
      <w:r>
        <w:rPr>
          <w:rFonts w:hint="eastAsia" w:ascii="宋体" w:hAnsi="宋体"/>
          <w:color w:val="auto"/>
          <w:sz w:val="28"/>
          <w:szCs w:val="28"/>
          <w:highlight w:val="none"/>
          <w:u w:val="single"/>
          <w:lang w:val="en-US" w:eastAsia="zh-CN"/>
        </w:rPr>
        <w:t>8</w:t>
      </w:r>
      <w:r>
        <w:rPr>
          <w:rFonts w:hint="eastAsia" w:ascii="宋体" w:hAnsi="宋体"/>
          <w:color w:val="auto"/>
          <w:sz w:val="28"/>
          <w:szCs w:val="28"/>
          <w:highlight w:val="none"/>
          <w:u w:val="single"/>
        </w:rPr>
        <w:t>、按甲方要求，本合同工程项目的监测报告在“委托单位”一栏填写：        。</w:t>
      </w:r>
    </w:p>
    <w:p>
      <w:pPr>
        <w:spacing w:line="360" w:lineRule="auto"/>
        <w:ind w:firstLine="0" w:firstLineChars="0"/>
        <w:rPr>
          <w:rFonts w:hint="eastAsia" w:ascii="宋体" w:hAnsi="宋体"/>
          <w:color w:val="auto"/>
          <w:sz w:val="28"/>
          <w:szCs w:val="28"/>
          <w:highlight w:val="none"/>
        </w:rPr>
      </w:pPr>
      <w:r>
        <w:rPr>
          <w:rFonts w:hint="eastAsia" w:ascii="宋体" w:hAnsi="宋体"/>
          <w:color w:val="auto"/>
          <w:sz w:val="28"/>
          <w:szCs w:val="28"/>
          <w:highlight w:val="none"/>
        </w:rPr>
        <w:t>第十六条：本合同附件：</w:t>
      </w:r>
      <w:r>
        <w:rPr>
          <w:rFonts w:hint="eastAsia" w:ascii="宋体" w:hAnsi="宋体" w:eastAsia="宋体" w:cs="Times New Roman"/>
          <w:b w:val="0"/>
          <w:color w:val="auto"/>
          <w:sz w:val="28"/>
          <w:szCs w:val="28"/>
          <w:highlight w:val="none"/>
          <w:u w:val="single"/>
        </w:rPr>
        <w:t>附件一：</w:t>
      </w:r>
      <w:r>
        <w:rPr>
          <w:rFonts w:hint="eastAsia" w:ascii="宋体" w:hAnsi="宋体" w:eastAsia="宋体" w:cs="Times New Roman"/>
          <w:b w:val="0"/>
          <w:color w:val="auto"/>
          <w:sz w:val="28"/>
          <w:szCs w:val="28"/>
          <w:highlight w:val="none"/>
          <w:u w:val="single"/>
          <w:lang w:val="en-US" w:eastAsia="zh-CN"/>
        </w:rPr>
        <w:t>发包通知书、</w:t>
      </w:r>
      <w:r>
        <w:rPr>
          <w:rFonts w:hint="eastAsia" w:ascii="宋体" w:hAnsi="宋体" w:eastAsia="宋体" w:cs="Times New Roman"/>
          <w:b w:val="0"/>
          <w:color w:val="auto"/>
          <w:sz w:val="28"/>
          <w:szCs w:val="28"/>
          <w:highlight w:val="none"/>
          <w:u w:val="single"/>
        </w:rPr>
        <w:t>附件二：法定代表人证明书</w:t>
      </w:r>
      <w:r>
        <w:rPr>
          <w:rFonts w:hint="eastAsia" w:ascii="宋体" w:hAnsi="宋体" w:eastAsia="宋体" w:cs="Times New Roman"/>
          <w:b w:val="0"/>
          <w:color w:val="auto"/>
          <w:sz w:val="28"/>
          <w:szCs w:val="28"/>
          <w:highlight w:val="none"/>
          <w:u w:val="single"/>
          <w:lang w:eastAsia="zh-CN"/>
        </w:rPr>
        <w:t>、</w:t>
      </w:r>
      <w:r>
        <w:rPr>
          <w:rFonts w:hint="eastAsia" w:ascii="宋体" w:hAnsi="宋体" w:eastAsia="宋体" w:cs="Times New Roman"/>
          <w:b w:val="0"/>
          <w:color w:val="auto"/>
          <w:sz w:val="28"/>
          <w:szCs w:val="28"/>
          <w:highlight w:val="none"/>
          <w:u w:val="single"/>
        </w:rPr>
        <w:t>附件三：企业营业执照副本及资质证书</w:t>
      </w:r>
      <w:r>
        <w:rPr>
          <w:rFonts w:hint="eastAsia" w:ascii="宋体" w:hAnsi="宋体" w:eastAsia="宋体" w:cs="Times New Roman"/>
          <w:b w:val="0"/>
          <w:color w:val="auto"/>
          <w:sz w:val="28"/>
          <w:szCs w:val="28"/>
          <w:highlight w:val="none"/>
          <w:u w:val="single"/>
          <w:lang w:eastAsia="zh-CN"/>
        </w:rPr>
        <w:t>、</w:t>
      </w:r>
      <w:r>
        <w:rPr>
          <w:rFonts w:hint="eastAsia" w:ascii="宋体" w:hAnsi="宋体" w:eastAsia="宋体" w:cs="Times New Roman"/>
          <w:b w:val="0"/>
          <w:color w:val="auto"/>
          <w:sz w:val="28"/>
          <w:szCs w:val="28"/>
          <w:highlight w:val="none"/>
          <w:u w:val="single"/>
        </w:rPr>
        <w:t>附件三：企业营业执照副本及资质证书</w:t>
      </w:r>
      <w:r>
        <w:rPr>
          <w:rFonts w:hint="eastAsia" w:ascii="宋体" w:hAnsi="宋体" w:eastAsia="宋体" w:cs="Times New Roman"/>
          <w:b w:val="0"/>
          <w:color w:val="auto"/>
          <w:sz w:val="28"/>
          <w:szCs w:val="28"/>
          <w:highlight w:val="none"/>
          <w:u w:val="single"/>
          <w:lang w:eastAsia="zh-CN"/>
        </w:rPr>
        <w:t>、</w:t>
      </w:r>
      <w:r>
        <w:rPr>
          <w:rFonts w:hint="eastAsia" w:ascii="宋体" w:hAnsi="宋体" w:eastAsia="宋体" w:cs="Times New Roman"/>
          <w:b w:val="0"/>
          <w:color w:val="auto"/>
          <w:sz w:val="28"/>
          <w:szCs w:val="28"/>
          <w:highlight w:val="none"/>
          <w:u w:val="single"/>
        </w:rPr>
        <w:t>附件四：监测费用报价清单</w:t>
      </w:r>
      <w:r>
        <w:rPr>
          <w:rFonts w:hint="eastAsia" w:ascii="宋体" w:hAnsi="宋体"/>
          <w:color w:val="auto"/>
          <w:sz w:val="28"/>
          <w:szCs w:val="28"/>
          <w:highlight w:val="none"/>
          <w:u w:val="single"/>
        </w:rPr>
        <w:t>。</w:t>
      </w:r>
    </w:p>
    <w:p>
      <w:pPr>
        <w:spacing w:line="360" w:lineRule="auto"/>
        <w:ind w:firstLine="700" w:firstLineChars="250"/>
        <w:rPr>
          <w:rFonts w:hint="eastAsia" w:ascii="宋体" w:hAnsi="宋体"/>
          <w:color w:val="auto"/>
          <w:sz w:val="28"/>
          <w:szCs w:val="28"/>
          <w:highlight w:val="none"/>
        </w:rPr>
      </w:pPr>
      <w:r>
        <w:rPr>
          <w:rFonts w:hint="eastAsia" w:ascii="宋体" w:hAnsi="宋体"/>
          <w:color w:val="auto"/>
          <w:sz w:val="28"/>
          <w:szCs w:val="28"/>
          <w:highlight w:val="none"/>
        </w:rPr>
        <w:t>第十七条：本合同一式</w:t>
      </w:r>
      <w:r>
        <w:rPr>
          <w:rFonts w:hint="eastAsia" w:ascii="宋体" w:hAnsi="宋体"/>
          <w:color w:val="auto"/>
          <w:sz w:val="28"/>
          <w:szCs w:val="28"/>
          <w:highlight w:val="none"/>
          <w:u w:val="single"/>
        </w:rPr>
        <w:t>十二</w:t>
      </w:r>
      <w:r>
        <w:rPr>
          <w:rFonts w:hint="eastAsia" w:ascii="宋体" w:hAnsi="宋体"/>
          <w:color w:val="auto"/>
          <w:sz w:val="28"/>
          <w:szCs w:val="28"/>
          <w:highlight w:val="none"/>
        </w:rPr>
        <w:t>份，甲方执</w:t>
      </w:r>
      <w:r>
        <w:rPr>
          <w:rFonts w:hint="eastAsia" w:ascii="宋体" w:hAnsi="宋体"/>
          <w:color w:val="auto"/>
          <w:sz w:val="28"/>
          <w:szCs w:val="28"/>
          <w:highlight w:val="none"/>
          <w:u w:val="single"/>
        </w:rPr>
        <w:t xml:space="preserve"> 七 </w:t>
      </w:r>
      <w:r>
        <w:rPr>
          <w:rFonts w:hint="eastAsia" w:ascii="宋体" w:hAnsi="宋体"/>
          <w:color w:val="auto"/>
          <w:sz w:val="28"/>
          <w:szCs w:val="28"/>
          <w:highlight w:val="none"/>
        </w:rPr>
        <w:t>份，乙方执</w:t>
      </w:r>
      <w:r>
        <w:rPr>
          <w:rFonts w:hint="eastAsia" w:ascii="宋体" w:hAnsi="宋体"/>
          <w:color w:val="auto"/>
          <w:sz w:val="28"/>
          <w:szCs w:val="28"/>
          <w:highlight w:val="none"/>
          <w:u w:val="single"/>
        </w:rPr>
        <w:t xml:space="preserve"> 五 </w:t>
      </w:r>
      <w:r>
        <w:rPr>
          <w:rFonts w:hint="eastAsia" w:ascii="宋体" w:hAnsi="宋体"/>
          <w:color w:val="auto"/>
          <w:sz w:val="28"/>
          <w:szCs w:val="28"/>
          <w:highlight w:val="none"/>
        </w:rPr>
        <w:t>份具有同等法律效力。</w:t>
      </w:r>
    </w:p>
    <w:p>
      <w:pPr>
        <w:spacing w:line="360" w:lineRule="auto"/>
        <w:ind w:firstLine="700" w:firstLineChars="250"/>
        <w:rPr>
          <w:rFonts w:hint="eastAsia" w:ascii="宋体" w:hAnsi="宋体"/>
          <w:color w:val="auto"/>
          <w:sz w:val="28"/>
          <w:szCs w:val="28"/>
          <w:highlight w:val="none"/>
        </w:rPr>
      </w:pPr>
      <w:r>
        <w:rPr>
          <w:rFonts w:hint="eastAsia" w:ascii="宋体" w:hAnsi="宋体"/>
          <w:color w:val="auto"/>
          <w:sz w:val="28"/>
          <w:szCs w:val="28"/>
          <w:highlight w:val="none"/>
        </w:rPr>
        <w:t>第十八条：本合同经双方签字盖章之日起生效。</w:t>
      </w:r>
    </w:p>
    <w:p>
      <w:pPr>
        <w:spacing w:line="360" w:lineRule="auto"/>
        <w:ind w:firstLine="420" w:firstLineChars="150"/>
        <w:rPr>
          <w:rFonts w:hint="eastAsia" w:ascii="宋体" w:hAnsi="宋体"/>
          <w:color w:val="auto"/>
          <w:sz w:val="28"/>
          <w:szCs w:val="28"/>
          <w:highlight w:val="none"/>
        </w:rPr>
      </w:pPr>
      <w:r>
        <w:rPr>
          <w:rFonts w:hint="eastAsia" w:ascii="宋体" w:hAnsi="宋体"/>
          <w:color w:val="auto"/>
          <w:sz w:val="28"/>
          <w:szCs w:val="28"/>
          <w:highlight w:val="none"/>
        </w:rPr>
        <w:t xml:space="preserve">甲方（盖章）：                  乙方（盖章）：      </w:t>
      </w:r>
    </w:p>
    <w:p>
      <w:pPr>
        <w:spacing w:line="360" w:lineRule="auto"/>
        <w:ind w:firstLine="480"/>
        <w:rPr>
          <w:rFonts w:hint="eastAsia" w:ascii="宋体" w:hAnsi="宋体"/>
          <w:color w:val="auto"/>
          <w:sz w:val="28"/>
          <w:szCs w:val="28"/>
          <w:highlight w:val="none"/>
        </w:rPr>
      </w:pPr>
      <w:r>
        <w:rPr>
          <w:rFonts w:hint="eastAsia" w:ascii="宋体" w:hAnsi="宋体"/>
          <w:color w:val="auto"/>
          <w:sz w:val="28"/>
          <w:szCs w:val="28"/>
          <w:highlight w:val="none"/>
        </w:rPr>
        <w:t>法定代表人                     法定代表人</w:t>
      </w:r>
    </w:p>
    <w:p>
      <w:pPr>
        <w:spacing w:line="360" w:lineRule="auto"/>
        <w:ind w:firstLine="480"/>
        <w:rPr>
          <w:rFonts w:hint="eastAsia" w:ascii="宋体" w:hAnsi="宋体"/>
          <w:color w:val="auto"/>
          <w:sz w:val="28"/>
          <w:szCs w:val="28"/>
          <w:highlight w:val="none"/>
        </w:rPr>
      </w:pPr>
      <w:r>
        <w:rPr>
          <w:rFonts w:hint="eastAsia" w:ascii="宋体" w:hAnsi="宋体"/>
          <w:color w:val="auto"/>
          <w:sz w:val="28"/>
          <w:szCs w:val="28"/>
          <w:highlight w:val="none"/>
        </w:rPr>
        <w:t>或委托代理人（签名）：         或委托代理人（签名）：</w:t>
      </w:r>
    </w:p>
    <w:p>
      <w:pPr>
        <w:spacing w:line="360" w:lineRule="auto"/>
        <w:ind w:firstLine="480"/>
        <w:rPr>
          <w:rFonts w:hint="eastAsia" w:ascii="宋体" w:hAnsi="宋体"/>
          <w:color w:val="auto"/>
          <w:sz w:val="28"/>
          <w:szCs w:val="28"/>
          <w:highlight w:val="none"/>
        </w:rPr>
      </w:pPr>
      <w:r>
        <w:rPr>
          <w:rFonts w:hint="eastAsia" w:ascii="宋体" w:hAnsi="宋体"/>
          <w:color w:val="auto"/>
          <w:sz w:val="28"/>
          <w:szCs w:val="28"/>
          <w:highlight w:val="none"/>
        </w:rPr>
        <w:t>经办人：</w:t>
      </w:r>
      <w:r>
        <w:rPr>
          <w:rFonts w:hint="eastAsia" w:ascii="宋体" w:hAnsi="宋体"/>
          <w:color w:val="auto"/>
          <w:sz w:val="28"/>
          <w:szCs w:val="28"/>
          <w:highlight w:val="none"/>
          <w:lang w:val="en-US" w:eastAsia="zh-CN"/>
        </w:rPr>
        <w:t xml:space="preserve">陈宗佑        </w:t>
      </w:r>
      <w:r>
        <w:rPr>
          <w:rFonts w:hint="eastAsia" w:ascii="宋体" w:hAnsi="宋体"/>
          <w:color w:val="auto"/>
          <w:sz w:val="28"/>
          <w:szCs w:val="28"/>
          <w:highlight w:val="none"/>
        </w:rPr>
        <w:t xml:space="preserve">         经办人：</w:t>
      </w:r>
    </w:p>
    <w:p>
      <w:pPr>
        <w:spacing w:line="360" w:lineRule="auto"/>
        <w:ind w:left="5880" w:hanging="5880" w:hangingChars="2100"/>
        <w:rPr>
          <w:rFonts w:hint="eastAsia" w:ascii="宋体" w:hAnsi="宋体"/>
          <w:color w:val="auto"/>
          <w:sz w:val="28"/>
          <w:szCs w:val="28"/>
          <w:highlight w:val="none"/>
        </w:rPr>
      </w:pPr>
      <w:r>
        <w:rPr>
          <w:rFonts w:hint="eastAsia" w:ascii="宋体" w:hAnsi="宋体"/>
          <w:color w:val="auto"/>
          <w:sz w:val="28"/>
          <w:szCs w:val="28"/>
          <w:highlight w:val="none"/>
        </w:rPr>
        <w:t xml:space="preserve">银行账户：建行广州珠江新城支行  银行账户：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                        年     月     日</w:t>
      </w:r>
    </w:p>
    <w:p>
      <w:pPr>
        <w:rPr>
          <w:rFonts w:hint="eastAsia" w:ascii="宋体" w:hAnsi="宋体"/>
          <w:b/>
          <w:color w:val="auto"/>
          <w:sz w:val="28"/>
          <w:szCs w:val="28"/>
          <w:highlight w:val="none"/>
          <w:lang w:val="en-US" w:eastAsia="zh-CN"/>
        </w:rPr>
      </w:pPr>
      <w:r>
        <w:rPr>
          <w:rFonts w:hint="eastAsia" w:ascii="宋体" w:hAnsi="宋体"/>
          <w:b/>
          <w:color w:val="auto"/>
          <w:sz w:val="28"/>
          <w:szCs w:val="28"/>
          <w:highlight w:val="none"/>
        </w:rPr>
        <w:t>附件一：</w:t>
      </w:r>
      <w:r>
        <w:rPr>
          <w:rFonts w:hint="eastAsia" w:ascii="宋体" w:hAnsi="宋体"/>
          <w:b/>
          <w:color w:val="auto"/>
          <w:sz w:val="28"/>
          <w:szCs w:val="28"/>
          <w:highlight w:val="none"/>
          <w:lang w:val="en-US" w:eastAsia="zh-CN"/>
        </w:rPr>
        <w:t>发包通知书</w:t>
      </w:r>
    </w:p>
    <w:p>
      <w:pPr>
        <w:pStyle w:val="2"/>
        <w:rPr>
          <w:rFonts w:hint="eastAsia"/>
          <w:color w:val="auto"/>
          <w:highlight w:val="none"/>
          <w:lang w:eastAsia="zh-CN"/>
        </w:rPr>
      </w:pPr>
    </w:p>
    <w:p>
      <w:pPr>
        <w:pStyle w:val="2"/>
        <w:rPr>
          <w:rFonts w:hint="eastAsia"/>
          <w:color w:val="auto"/>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pStyle w:val="22"/>
        <w:rPr>
          <w:rFonts w:hint="eastAsia" w:ascii="宋体" w:hAnsi="宋体"/>
          <w:b/>
          <w:color w:val="auto"/>
          <w:sz w:val="28"/>
          <w:szCs w:val="28"/>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t>附件二：法定代表人证明书</w:t>
      </w:r>
    </w:p>
    <w:p>
      <w:pPr>
        <w:spacing w:line="560" w:lineRule="exact"/>
        <w:jc w:val="center"/>
        <w:rPr>
          <w:rFonts w:ascii="华文中宋" w:hAnsi="华文中宋" w:eastAsia="华文中宋"/>
          <w:b/>
          <w:color w:val="auto"/>
          <w:spacing w:val="40"/>
          <w:sz w:val="44"/>
          <w:szCs w:val="44"/>
          <w:highlight w:val="none"/>
          <w:u w:val="single"/>
        </w:rPr>
      </w:pPr>
      <w:r>
        <w:rPr>
          <w:rFonts w:hint="eastAsia" w:ascii="华文中宋" w:hAnsi="华文中宋" w:eastAsia="华文中宋"/>
          <w:b/>
          <w:color w:val="auto"/>
          <w:spacing w:val="40"/>
          <w:sz w:val="44"/>
          <w:szCs w:val="44"/>
          <w:highlight w:val="none"/>
          <w:u w:val="single"/>
        </w:rPr>
        <w:t>法定代表人证明书</w:t>
      </w:r>
    </w:p>
    <w:p>
      <w:pPr>
        <w:spacing w:line="460" w:lineRule="exact"/>
        <w:rPr>
          <w:color w:val="auto"/>
          <w:highlight w:val="none"/>
        </w:rPr>
      </w:pPr>
    </w:p>
    <w:p>
      <w:pPr>
        <w:wordWrap w:val="0"/>
        <w:spacing w:line="440" w:lineRule="exact"/>
        <w:jc w:val="right"/>
        <w:rPr>
          <w:rFonts w:ascii="楷体_GB2312" w:eastAsia="楷体_GB2312"/>
          <w:color w:val="auto"/>
          <w:sz w:val="30"/>
          <w:szCs w:val="30"/>
          <w:highlight w:val="none"/>
        </w:rPr>
      </w:pPr>
      <w:r>
        <w:rPr>
          <w:rFonts w:hint="eastAsia" w:ascii="楷体_GB2312" w:eastAsia="楷体_GB2312"/>
          <w:color w:val="auto"/>
          <w:sz w:val="30"/>
          <w:szCs w:val="30"/>
          <w:highlight w:val="none"/>
        </w:rPr>
        <w:t>（202</w:t>
      </w:r>
      <w:r>
        <w:rPr>
          <w:rFonts w:hint="eastAsia" w:ascii="楷体_GB2312" w:eastAsia="楷体_GB2312"/>
          <w:color w:val="auto"/>
          <w:sz w:val="30"/>
          <w:szCs w:val="30"/>
          <w:highlight w:val="none"/>
          <w:lang w:val="en-US" w:eastAsia="zh-CN"/>
        </w:rPr>
        <w:t>4</w:t>
      </w:r>
      <w:r>
        <w:rPr>
          <w:rFonts w:hint="eastAsia" w:ascii="楷体_GB2312" w:eastAsia="楷体_GB2312"/>
          <w:color w:val="auto"/>
          <w:sz w:val="30"/>
          <w:szCs w:val="30"/>
          <w:highlight w:val="none"/>
        </w:rPr>
        <w:t>）第   号</w:t>
      </w:r>
    </w:p>
    <w:p>
      <w:pPr>
        <w:spacing w:line="440" w:lineRule="exact"/>
        <w:rPr>
          <w:rFonts w:ascii="楷体_GB2312" w:eastAsia="楷体_GB2312"/>
          <w:color w:val="auto"/>
          <w:sz w:val="28"/>
          <w:szCs w:val="28"/>
          <w:highlight w:val="none"/>
        </w:rPr>
      </w:pPr>
      <w:r>
        <w:rPr>
          <w:rFonts w:hint="eastAsia" w:ascii="楷体_GB2312" w:eastAsia="楷体_GB2312"/>
          <w:color w:val="auto"/>
          <w:sz w:val="28"/>
          <w:szCs w:val="28"/>
          <w:highlight w:val="none"/>
        </w:rPr>
        <w:t xml:space="preserve">    </w:t>
      </w:r>
      <w:r>
        <w:rPr>
          <w:rFonts w:hint="eastAsia" w:ascii="楷体_GB2312" w:eastAsia="楷体_GB2312"/>
          <w:color w:val="auto"/>
          <w:sz w:val="28"/>
          <w:szCs w:val="28"/>
          <w:highlight w:val="none"/>
          <w:lang w:val="en-US" w:eastAsia="zh-CN"/>
        </w:rPr>
        <w:t xml:space="preserve">      </w:t>
      </w:r>
      <w:r>
        <w:rPr>
          <w:rFonts w:hint="eastAsia" w:ascii="楷体_GB2312" w:eastAsia="楷体_GB2312"/>
          <w:color w:val="auto"/>
          <w:sz w:val="28"/>
          <w:szCs w:val="28"/>
          <w:highlight w:val="none"/>
        </w:rPr>
        <w:t>同志现任我单位职务，为法定代表人，特此证明。</w:t>
      </w:r>
    </w:p>
    <w:p>
      <w:pPr>
        <w:spacing w:line="440" w:lineRule="exact"/>
        <w:rPr>
          <w:rFonts w:ascii="楷体_GB2312" w:eastAsia="楷体_GB2312"/>
          <w:color w:val="auto"/>
          <w:sz w:val="28"/>
          <w:szCs w:val="28"/>
          <w:highlight w:val="none"/>
        </w:rPr>
      </w:pPr>
    </w:p>
    <w:p>
      <w:pPr>
        <w:spacing w:line="440" w:lineRule="exact"/>
        <w:rPr>
          <w:rFonts w:hint="default" w:ascii="楷体_GB2312" w:eastAsia="楷体_GB2312"/>
          <w:color w:val="auto"/>
          <w:szCs w:val="28"/>
          <w:highlight w:val="none"/>
          <w:lang w:val="en-US" w:eastAsia="zh-CN"/>
        </w:rPr>
      </w:pPr>
      <w:r>
        <w:rPr>
          <w:rFonts w:hint="eastAsia" w:ascii="楷体_GB2312" w:eastAsia="楷体_GB2312"/>
          <w:color w:val="auto"/>
          <w:sz w:val="28"/>
          <w:szCs w:val="28"/>
          <w:highlight w:val="none"/>
        </w:rPr>
        <w:t>附：法定代表人性别：</w:t>
      </w:r>
      <w:r>
        <w:rPr>
          <w:rFonts w:hint="eastAsia" w:ascii="楷体_GB2312" w:eastAsia="楷体_GB2312"/>
          <w:color w:val="auto"/>
          <w:sz w:val="28"/>
          <w:szCs w:val="28"/>
          <w:highlight w:val="none"/>
          <w:lang w:val="en-US" w:eastAsia="zh-CN"/>
        </w:rPr>
        <w:t xml:space="preserve">  </w:t>
      </w:r>
      <w:r>
        <w:rPr>
          <w:rFonts w:hint="eastAsia" w:ascii="楷体_GB2312" w:eastAsia="楷体_GB2312"/>
          <w:color w:val="auto"/>
          <w:sz w:val="28"/>
          <w:szCs w:val="28"/>
          <w:highlight w:val="none"/>
        </w:rPr>
        <w:t xml:space="preserve">  年龄：</w:t>
      </w:r>
      <w:r>
        <w:rPr>
          <w:rFonts w:hint="eastAsia" w:ascii="楷体_GB2312" w:eastAsia="楷体_GB2312"/>
          <w:color w:val="auto"/>
          <w:sz w:val="28"/>
          <w:szCs w:val="28"/>
          <w:highlight w:val="none"/>
          <w:lang w:val="en-US" w:eastAsia="zh-CN"/>
        </w:rPr>
        <w:t xml:space="preserve">  </w:t>
      </w:r>
      <w:r>
        <w:rPr>
          <w:rFonts w:hint="eastAsia" w:ascii="楷体_GB2312" w:eastAsia="楷体_GB2312"/>
          <w:color w:val="auto"/>
          <w:sz w:val="28"/>
          <w:szCs w:val="28"/>
          <w:highlight w:val="none"/>
        </w:rPr>
        <w:t xml:space="preserve"> 身份证号码：</w:t>
      </w:r>
      <w:r>
        <w:rPr>
          <w:rFonts w:hint="eastAsia" w:ascii="楷体_GB2312" w:eastAsia="楷体_GB2312"/>
          <w:color w:val="auto"/>
          <w:sz w:val="28"/>
          <w:szCs w:val="28"/>
          <w:highlight w:val="none"/>
          <w:lang w:val="en-US" w:eastAsia="zh-CN"/>
        </w:rPr>
        <w:t xml:space="preserve">  </w:t>
      </w:r>
    </w:p>
    <w:p>
      <w:pPr>
        <w:spacing w:line="440" w:lineRule="exact"/>
        <w:ind w:firstLine="560" w:firstLineChars="200"/>
        <w:rPr>
          <w:rFonts w:ascii="楷体_GB2312" w:eastAsia="楷体_GB2312"/>
          <w:color w:val="auto"/>
          <w:sz w:val="28"/>
          <w:szCs w:val="28"/>
          <w:highlight w:val="none"/>
        </w:rPr>
      </w:pPr>
      <w:r>
        <w:rPr>
          <w:rFonts w:hint="eastAsia" w:ascii="楷体_GB2312" w:eastAsia="楷体_GB2312"/>
          <w:color w:val="auto"/>
          <w:sz w:val="28"/>
          <w:szCs w:val="28"/>
          <w:highlight w:val="none"/>
        </w:rPr>
        <w:t>营业执照号码：</w:t>
      </w:r>
    </w:p>
    <w:p>
      <w:pPr>
        <w:spacing w:line="440" w:lineRule="exact"/>
        <w:ind w:firstLine="560" w:firstLineChars="200"/>
        <w:rPr>
          <w:rFonts w:ascii="楷体_GB2312" w:eastAsia="楷体_GB2312"/>
          <w:color w:val="auto"/>
          <w:sz w:val="28"/>
          <w:szCs w:val="28"/>
          <w:highlight w:val="none"/>
        </w:rPr>
      </w:pPr>
      <w:r>
        <w:rPr>
          <w:rFonts w:hint="eastAsia" w:ascii="楷体_GB2312" w:eastAsia="楷体_GB2312"/>
          <w:color w:val="auto"/>
          <w:sz w:val="28"/>
          <w:szCs w:val="28"/>
          <w:highlight w:val="none"/>
        </w:rPr>
        <w:t>经营范围：</w:t>
      </w:r>
    </w:p>
    <w:p>
      <w:pPr>
        <w:spacing w:line="440" w:lineRule="exact"/>
        <w:rPr>
          <w:rFonts w:ascii="楷体_GB2312" w:eastAsia="楷体_GB2312"/>
          <w:color w:val="auto"/>
          <w:sz w:val="28"/>
          <w:szCs w:val="28"/>
          <w:highlight w:val="none"/>
        </w:rPr>
      </w:pPr>
      <w:r>
        <w:rPr>
          <w:rFonts w:hint="eastAsia" w:ascii="楷体_GB2312" w:eastAsia="楷体_GB2312"/>
          <w:color w:val="auto"/>
          <w:sz w:val="28"/>
          <w:szCs w:val="28"/>
          <w:highlight w:val="none"/>
        </w:rPr>
        <w:t xml:space="preserve">  </w:t>
      </w:r>
    </w:p>
    <w:p>
      <w:pPr>
        <w:spacing w:line="440" w:lineRule="exact"/>
        <w:rPr>
          <w:rFonts w:ascii="楷体_GB2312" w:eastAsia="楷体_GB2312"/>
          <w:color w:val="auto"/>
          <w:sz w:val="28"/>
          <w:szCs w:val="28"/>
          <w:highlight w:val="none"/>
        </w:rPr>
      </w:pPr>
    </w:p>
    <w:p>
      <w:pPr>
        <w:spacing w:line="440" w:lineRule="exact"/>
        <w:ind w:firstLine="280" w:firstLineChars="100"/>
        <w:rPr>
          <w:rFonts w:ascii="楷体_GB2312" w:eastAsia="楷体_GB2312"/>
          <w:color w:val="auto"/>
          <w:sz w:val="28"/>
          <w:szCs w:val="28"/>
          <w:highlight w:val="none"/>
        </w:rPr>
      </w:pPr>
      <w:r>
        <w:rPr>
          <w:rFonts w:hint="eastAsia" w:ascii="楷体_GB2312" w:eastAsia="楷体_GB2312"/>
          <w:color w:val="auto"/>
          <w:sz w:val="28"/>
          <w:szCs w:val="28"/>
          <w:highlight w:val="none"/>
        </w:rPr>
        <w:t>有效日期：</w:t>
      </w:r>
      <w:r>
        <w:rPr>
          <w:rFonts w:hint="eastAsia" w:ascii="楷体_GB2312" w:eastAsia="楷体_GB2312"/>
          <w:color w:val="auto"/>
          <w:sz w:val="28"/>
          <w:szCs w:val="28"/>
          <w:highlight w:val="none"/>
          <w:lang w:val="en-US" w:eastAsia="zh-CN"/>
        </w:rPr>
        <w:t>***</w:t>
      </w:r>
      <w:r>
        <w:rPr>
          <w:rFonts w:hint="eastAsia" w:ascii="楷体_GB2312" w:eastAsia="楷体_GB2312"/>
          <w:color w:val="auto"/>
          <w:sz w:val="28"/>
          <w:szCs w:val="28"/>
          <w:highlight w:val="none"/>
        </w:rPr>
        <w:t>天 签发日期：</w:t>
      </w:r>
      <w:r>
        <w:rPr>
          <w:rFonts w:hint="eastAsia" w:ascii="楷体_GB2312" w:eastAsia="楷体_GB2312"/>
          <w:color w:val="auto"/>
          <w:sz w:val="28"/>
          <w:szCs w:val="28"/>
          <w:highlight w:val="none"/>
          <w:lang w:val="en-US" w:eastAsia="zh-CN"/>
        </w:rPr>
        <w:t xml:space="preserve">             </w:t>
      </w:r>
      <w:r>
        <w:rPr>
          <w:rFonts w:hint="eastAsia" w:ascii="楷体_GB2312" w:eastAsia="楷体_GB2312"/>
          <w:color w:val="auto"/>
          <w:sz w:val="28"/>
          <w:szCs w:val="28"/>
          <w:highlight w:val="none"/>
        </w:rPr>
        <w:t xml:space="preserve"> 单位：  （盖章）</w:t>
      </w:r>
    </w:p>
    <w:p>
      <w:pPr>
        <w:spacing w:line="440" w:lineRule="exact"/>
        <w:rPr>
          <w:rFonts w:ascii="楷体_GB2312" w:eastAsia="楷体_GB2312"/>
          <w:color w:val="auto"/>
          <w:sz w:val="28"/>
          <w:szCs w:val="28"/>
          <w:highlight w:val="none"/>
        </w:rPr>
      </w:pPr>
    </w:p>
    <w:p>
      <w:pPr>
        <w:spacing w:line="360" w:lineRule="exact"/>
        <w:rPr>
          <w:color w:val="auto"/>
          <w:highlight w:val="none"/>
        </w:rPr>
      </w:pPr>
      <w:r>
        <w:rPr>
          <w:rFonts w:hint="eastAsia"/>
          <w:color w:val="auto"/>
          <w:highlight w:val="none"/>
        </w:rPr>
        <w:t>说明：</w:t>
      </w:r>
      <w:r>
        <w:rPr>
          <w:color w:val="auto"/>
          <w:highlight w:val="none"/>
        </w:rPr>
        <w:t>1</w:t>
      </w:r>
      <w:r>
        <w:rPr>
          <w:rFonts w:hint="eastAsia"/>
          <w:color w:val="auto"/>
          <w:highlight w:val="none"/>
        </w:rPr>
        <w:t>、法定代表人为企业事业单位、国家机关、社会团体的主要行政负责人。</w:t>
      </w:r>
    </w:p>
    <w:p>
      <w:pPr>
        <w:spacing w:line="360" w:lineRule="exact"/>
        <w:ind w:firstLine="630" w:firstLineChars="300"/>
        <w:rPr>
          <w:color w:val="auto"/>
          <w:highlight w:val="none"/>
        </w:rPr>
      </w:pPr>
      <w:r>
        <w:rPr>
          <w:color w:val="auto"/>
          <w:highlight w:val="none"/>
        </w:rPr>
        <w:t>2</w:t>
      </w:r>
      <w:r>
        <w:rPr>
          <w:rFonts w:hint="eastAsia"/>
          <w:color w:val="auto"/>
          <w:highlight w:val="none"/>
        </w:rPr>
        <w:t>、内容必须填写真实、清楚、涂改无效，不得转让、买卖。</w:t>
      </w:r>
    </w:p>
    <w:p>
      <w:pPr>
        <w:spacing w:line="360" w:lineRule="exact"/>
        <w:ind w:firstLine="630" w:firstLineChars="300"/>
        <w:rPr>
          <w:color w:val="auto"/>
          <w:highlight w:val="none"/>
        </w:rPr>
      </w:pPr>
      <w:r>
        <w:rPr>
          <w:color w:val="auto"/>
          <w:highlight w:val="none"/>
        </w:rPr>
        <w:t>3</w:t>
      </w:r>
      <w:r>
        <w:rPr>
          <w:rFonts w:hint="eastAsia"/>
          <w:color w:val="auto"/>
          <w:highlight w:val="none"/>
        </w:rPr>
        <w:t>、将此证明书提交对方作为合同附件或凭证。</w:t>
      </w:r>
    </w:p>
    <w:p>
      <w:pPr>
        <w:spacing w:line="460" w:lineRule="exact"/>
        <w:jc w:val="right"/>
        <w:rPr>
          <w:rFonts w:ascii="黑体" w:eastAsia="黑体"/>
          <w:b/>
          <w:color w:val="auto"/>
          <w:sz w:val="28"/>
          <w:szCs w:val="28"/>
          <w:highlight w:val="none"/>
        </w:rPr>
      </w:pPr>
      <w:r>
        <w:rPr>
          <w:rFonts w:hint="eastAsia" w:ascii="黑体" w:eastAsia="黑体"/>
          <w:b/>
          <w:color w:val="auto"/>
          <w:sz w:val="28"/>
          <w:szCs w:val="28"/>
          <w:highlight w:val="none"/>
        </w:rPr>
        <w:t>广东省工商行政管理局监制</w:t>
      </w:r>
    </w:p>
    <w:p>
      <w:pPr>
        <w:spacing w:line="360" w:lineRule="auto"/>
        <w:rPr>
          <w:rFonts w:hint="eastAsia" w:ascii="宋体" w:hAnsi="宋体"/>
          <w:b/>
          <w:color w:val="auto"/>
          <w:sz w:val="28"/>
          <w:szCs w:val="28"/>
          <w:highlight w:val="none"/>
        </w:rPr>
      </w:pPr>
    </w:p>
    <w:p>
      <w:pPr>
        <w:spacing w:line="360" w:lineRule="auto"/>
        <w:rPr>
          <w:rFonts w:hint="eastAsia" w:ascii="宋体" w:hAnsi="宋体"/>
          <w:b/>
          <w:color w:val="auto"/>
          <w:sz w:val="28"/>
          <w:szCs w:val="28"/>
          <w:highlight w:val="none"/>
        </w:rPr>
      </w:pPr>
    </w:p>
    <w:p>
      <w:pPr>
        <w:spacing w:line="360" w:lineRule="auto"/>
        <w:rPr>
          <w:rFonts w:hint="eastAsia" w:ascii="宋体" w:hAnsi="宋体"/>
          <w:b/>
          <w:color w:val="auto"/>
          <w:sz w:val="28"/>
          <w:szCs w:val="28"/>
          <w:highlight w:val="none"/>
        </w:rPr>
      </w:pPr>
    </w:p>
    <w:p>
      <w:pPr>
        <w:spacing w:line="360" w:lineRule="auto"/>
        <w:rPr>
          <w:rFonts w:hint="eastAsia" w:ascii="宋体" w:hAnsi="宋体"/>
          <w:b/>
          <w:color w:val="auto"/>
          <w:sz w:val="28"/>
          <w:szCs w:val="28"/>
          <w:highlight w:val="none"/>
        </w:rPr>
      </w:pPr>
    </w:p>
    <w:p>
      <w:pPr>
        <w:spacing w:line="360" w:lineRule="auto"/>
        <w:rPr>
          <w:rFonts w:hint="eastAsia" w:ascii="宋体" w:hAnsi="宋体"/>
          <w:b/>
          <w:color w:val="auto"/>
          <w:sz w:val="28"/>
          <w:szCs w:val="28"/>
          <w:highlight w:val="none"/>
        </w:rPr>
      </w:pPr>
    </w:p>
    <w:p>
      <w:pPr>
        <w:spacing w:line="360" w:lineRule="auto"/>
        <w:rPr>
          <w:rFonts w:hint="eastAsia" w:ascii="宋体" w:hAnsi="宋体"/>
          <w:b/>
          <w:color w:val="auto"/>
          <w:sz w:val="28"/>
          <w:szCs w:val="28"/>
          <w:highlight w:val="none"/>
        </w:rPr>
      </w:pPr>
    </w:p>
    <w:p>
      <w:pPr>
        <w:pStyle w:val="2"/>
        <w:rPr>
          <w:rFonts w:hint="eastAsia" w:ascii="宋体" w:hAnsi="宋体"/>
          <w:b/>
          <w:color w:val="auto"/>
          <w:sz w:val="28"/>
          <w:szCs w:val="28"/>
          <w:highlight w:val="none"/>
        </w:rPr>
      </w:pPr>
    </w:p>
    <w:p>
      <w:pPr>
        <w:pStyle w:val="2"/>
        <w:rPr>
          <w:rFonts w:hint="eastAsia" w:ascii="宋体" w:hAnsi="宋体"/>
          <w:b/>
          <w:color w:val="auto"/>
          <w:sz w:val="28"/>
          <w:szCs w:val="28"/>
          <w:highlight w:val="none"/>
        </w:rPr>
      </w:pPr>
    </w:p>
    <w:p>
      <w:pPr>
        <w:spacing w:line="360" w:lineRule="auto"/>
        <w:rPr>
          <w:rFonts w:hint="eastAsia" w:ascii="宋体" w:hAnsi="宋体"/>
          <w:b/>
          <w:color w:val="auto"/>
          <w:sz w:val="28"/>
          <w:szCs w:val="28"/>
          <w:highlight w:val="none"/>
        </w:rPr>
      </w:pPr>
    </w:p>
    <w:p>
      <w:pPr>
        <w:spacing w:line="360" w:lineRule="auto"/>
        <w:rPr>
          <w:rFonts w:hint="eastAsia" w:ascii="宋体" w:hAnsi="宋体"/>
          <w:b/>
          <w:color w:val="auto"/>
          <w:sz w:val="28"/>
          <w:szCs w:val="28"/>
          <w:highlight w:val="none"/>
        </w:rPr>
      </w:pPr>
    </w:p>
    <w:p>
      <w:pPr>
        <w:spacing w:line="360" w:lineRule="auto"/>
        <w:rPr>
          <w:rFonts w:hint="eastAsia" w:ascii="宋体" w:hAnsi="宋体"/>
          <w:b/>
          <w:color w:val="auto"/>
          <w:sz w:val="28"/>
          <w:szCs w:val="28"/>
          <w:highlight w:val="none"/>
        </w:rPr>
      </w:pPr>
      <w:r>
        <w:rPr>
          <w:rFonts w:hint="eastAsia" w:ascii="宋体" w:hAnsi="宋体"/>
          <w:b/>
          <w:color w:val="auto"/>
          <w:sz w:val="28"/>
          <w:szCs w:val="28"/>
          <w:highlight w:val="none"/>
        </w:rPr>
        <w:t>附件三：企业营业执照副本及资质证书</w:t>
      </w:r>
    </w:p>
    <w:p>
      <w:pPr>
        <w:spacing w:line="360" w:lineRule="auto"/>
        <w:rPr>
          <w:rFonts w:hint="eastAsia" w:ascii="宋体" w:hAnsi="宋体"/>
          <w:b/>
          <w:color w:val="auto"/>
          <w:sz w:val="28"/>
          <w:szCs w:val="28"/>
          <w:highlight w:val="none"/>
        </w:rPr>
      </w:pPr>
      <w:r>
        <w:rPr>
          <w:rFonts w:hint="eastAsia" w:ascii="宋体" w:hAnsi="宋体"/>
          <w:b/>
          <w:color w:val="auto"/>
          <w:sz w:val="28"/>
          <w:szCs w:val="28"/>
          <w:highlight w:val="none"/>
        </w:rPr>
        <w:t>1.企业营业执照副本</w:t>
      </w:r>
    </w:p>
    <w:p>
      <w:pPr>
        <w:spacing w:line="360" w:lineRule="auto"/>
        <w:rPr>
          <w:rFonts w:ascii="宋体" w:hAnsi="宋体"/>
          <w:b/>
          <w:color w:val="auto"/>
          <w:sz w:val="28"/>
          <w:szCs w:val="28"/>
          <w:highlight w:val="none"/>
        </w:rPr>
      </w:pPr>
    </w:p>
    <w:p>
      <w:pPr>
        <w:pStyle w:val="2"/>
        <w:rPr>
          <w:rFonts w:hint="eastAsia" w:eastAsia="宋体"/>
          <w:color w:val="auto"/>
          <w:highlight w:val="none"/>
          <w:lang w:eastAsia="zh-CN"/>
        </w:rPr>
        <w:sectPr>
          <w:footerReference r:id="rId4" w:type="default"/>
          <w:pgSz w:w="11906" w:h="16838"/>
          <w:pgMar w:top="1440" w:right="1646" w:bottom="1440" w:left="1474" w:header="851" w:footer="992" w:gutter="0"/>
          <w:pgNumType w:fmt="numberInDash" w:start="1"/>
          <w:cols w:space="720" w:num="1"/>
          <w:docGrid w:type="lines" w:linePitch="312" w:charSpace="0"/>
        </w:sectPr>
      </w:pPr>
    </w:p>
    <w:p>
      <w:pPr>
        <w:numPr>
          <w:ilvl w:val="0"/>
          <w:numId w:val="0"/>
        </w:numPr>
        <w:spacing w:line="360" w:lineRule="auto"/>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 xml:space="preserve">2. </w:t>
      </w:r>
      <w:r>
        <w:rPr>
          <w:rFonts w:hint="eastAsia" w:ascii="宋体" w:hAnsi="宋体"/>
          <w:b/>
          <w:color w:val="auto"/>
          <w:sz w:val="28"/>
          <w:szCs w:val="28"/>
          <w:highlight w:val="none"/>
        </w:rPr>
        <w:t>资质证书</w:t>
      </w:r>
    </w:p>
    <w:p>
      <w:pPr>
        <w:numPr>
          <w:ilvl w:val="0"/>
          <w:numId w:val="0"/>
        </w:numPr>
        <w:spacing w:line="360" w:lineRule="auto"/>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4"/>
          <w:szCs w:val="24"/>
          <w:highlight w:val="none"/>
        </w:rPr>
        <w:t>1、省级CMA计量认证证书</w:t>
      </w:r>
    </w:p>
    <w:p>
      <w:pPr>
        <w:spacing w:line="360" w:lineRule="auto"/>
        <w:jc w:val="both"/>
        <w:rPr>
          <w:rFonts w:hint="eastAsia" w:ascii="宋体" w:hAnsi="宋体" w:eastAsia="宋体"/>
          <w:color w:val="auto"/>
          <w:kern w:val="0"/>
          <w:sz w:val="24"/>
          <w:szCs w:val="24"/>
          <w:highlight w:val="none"/>
          <w:lang w:eastAsia="zh-CN"/>
        </w:rPr>
      </w:pPr>
    </w:p>
    <w:p>
      <w:pPr>
        <w:spacing w:line="360" w:lineRule="auto"/>
        <w:jc w:val="center"/>
        <w:rPr>
          <w:rFonts w:hint="eastAsia" w:ascii="宋体" w:hAnsi="宋体"/>
          <w:color w:val="auto"/>
          <w:kern w:val="0"/>
          <w:sz w:val="24"/>
          <w:szCs w:val="24"/>
          <w:highlight w:val="none"/>
        </w:rPr>
      </w:pPr>
    </w:p>
    <w:p>
      <w:pPr>
        <w:pStyle w:val="4"/>
        <w:rPr>
          <w:rFonts w:hint="eastAsia" w:ascii="宋体" w:hAnsi="宋体" w:eastAsia="宋体" w:cs="Times New Roman"/>
          <w:b/>
          <w:bCs w:val="0"/>
          <w:color w:val="auto"/>
          <w:kern w:val="2"/>
          <w:sz w:val="24"/>
          <w:szCs w:val="24"/>
          <w:highlight w:val="none"/>
          <w:lang w:val="en-US" w:eastAsia="zh-CN" w:bidi="ar-SA"/>
        </w:rPr>
      </w:pPr>
    </w:p>
    <w:p>
      <w:pPr>
        <w:pStyle w:val="4"/>
        <w:rPr>
          <w:rFonts w:hint="eastAsia" w:ascii="宋体" w:hAnsi="宋体" w:eastAsia="宋体" w:cs="Times New Roman"/>
          <w:b/>
          <w:bCs w:val="0"/>
          <w:color w:val="auto"/>
          <w:kern w:val="2"/>
          <w:sz w:val="24"/>
          <w:szCs w:val="24"/>
          <w:highlight w:val="none"/>
          <w:lang w:val="en-US" w:eastAsia="zh-CN" w:bidi="ar-SA"/>
        </w:rPr>
      </w:pPr>
    </w:p>
    <w:p>
      <w:pPr>
        <w:pStyle w:val="4"/>
        <w:rPr>
          <w:rFonts w:hint="eastAsia" w:ascii="宋体" w:hAnsi="宋体" w:eastAsia="宋体" w:cs="Times New Roman"/>
          <w:b/>
          <w:bCs w:val="0"/>
          <w:color w:val="auto"/>
          <w:kern w:val="2"/>
          <w:sz w:val="24"/>
          <w:szCs w:val="24"/>
          <w:highlight w:val="none"/>
          <w:lang w:val="en-US" w:eastAsia="zh-CN" w:bidi="ar-SA"/>
        </w:rPr>
      </w:pPr>
    </w:p>
    <w:p>
      <w:pPr>
        <w:pStyle w:val="4"/>
        <w:rPr>
          <w:rFonts w:hint="eastAsia" w:ascii="宋体" w:hAnsi="宋体" w:eastAsia="宋体" w:cs="Times New Roman"/>
          <w:b/>
          <w:bCs w:val="0"/>
          <w:color w:val="auto"/>
          <w:kern w:val="2"/>
          <w:sz w:val="24"/>
          <w:szCs w:val="24"/>
          <w:highlight w:val="none"/>
          <w:lang w:val="en-US" w:eastAsia="zh-CN" w:bidi="ar-SA"/>
        </w:rPr>
      </w:pPr>
    </w:p>
    <w:p>
      <w:pPr>
        <w:rPr>
          <w:rFonts w:hint="eastAsia" w:ascii="宋体" w:hAnsi="宋体" w:eastAsia="宋体" w:cs="Times New Roman"/>
          <w:b/>
          <w:bCs w:val="0"/>
          <w:color w:val="auto"/>
          <w:kern w:val="2"/>
          <w:sz w:val="24"/>
          <w:szCs w:val="24"/>
          <w:highlight w:val="none"/>
          <w:lang w:val="en-US" w:eastAsia="zh-CN" w:bidi="ar-SA"/>
        </w:rPr>
      </w:pPr>
    </w:p>
    <w:p>
      <w:pPr>
        <w:pStyle w:val="2"/>
        <w:rPr>
          <w:rFonts w:hint="eastAsia" w:ascii="宋体" w:hAnsi="宋体" w:eastAsia="宋体" w:cs="Times New Roman"/>
          <w:b/>
          <w:bCs w:val="0"/>
          <w:color w:val="auto"/>
          <w:kern w:val="2"/>
          <w:sz w:val="24"/>
          <w:szCs w:val="24"/>
          <w:highlight w:val="none"/>
          <w:lang w:val="en-US" w:eastAsia="zh-CN" w:bidi="ar-SA"/>
        </w:rPr>
      </w:pPr>
    </w:p>
    <w:p>
      <w:pPr>
        <w:pStyle w:val="2"/>
        <w:rPr>
          <w:rFonts w:hint="eastAsia" w:ascii="宋体" w:hAnsi="宋体" w:eastAsia="宋体" w:cs="Times New Roman"/>
          <w:b/>
          <w:bCs w:val="0"/>
          <w:color w:val="auto"/>
          <w:kern w:val="2"/>
          <w:sz w:val="24"/>
          <w:szCs w:val="24"/>
          <w:highlight w:val="none"/>
          <w:lang w:val="en-US" w:eastAsia="zh-CN" w:bidi="ar-SA"/>
        </w:rPr>
      </w:pPr>
    </w:p>
    <w:p>
      <w:pPr>
        <w:pStyle w:val="4"/>
        <w:rPr>
          <w:rFonts w:hint="eastAsia" w:ascii="宋体" w:hAnsi="宋体" w:eastAsia="宋体" w:cs="Times New Roman"/>
          <w:b/>
          <w:bCs w:val="0"/>
          <w:color w:val="auto"/>
          <w:kern w:val="2"/>
          <w:sz w:val="24"/>
          <w:szCs w:val="24"/>
          <w:highlight w:val="none"/>
          <w:lang w:val="en-US" w:eastAsia="zh-CN" w:bidi="ar-SA"/>
        </w:rPr>
      </w:pPr>
    </w:p>
    <w:p>
      <w:pPr>
        <w:pStyle w:val="4"/>
        <w:rPr>
          <w:rFonts w:hint="eastAsia" w:ascii="宋体" w:hAnsi="宋体" w:eastAsia="宋体" w:cs="Times New Roman"/>
          <w:b/>
          <w:bCs w:val="0"/>
          <w:color w:val="auto"/>
          <w:kern w:val="2"/>
          <w:sz w:val="24"/>
          <w:szCs w:val="24"/>
          <w:highlight w:val="none"/>
          <w:lang w:val="en-US" w:eastAsia="zh-CN" w:bidi="ar-SA"/>
        </w:rPr>
      </w:pPr>
    </w:p>
    <w:p>
      <w:pPr>
        <w:pStyle w:val="4"/>
        <w:rPr>
          <w:color w:val="auto"/>
          <w:highlight w:val="none"/>
        </w:rPr>
      </w:pPr>
      <w:r>
        <w:rPr>
          <w:rFonts w:hint="eastAsia" w:ascii="宋体" w:hAnsi="宋体" w:eastAsia="宋体" w:cs="Times New Roman"/>
          <w:b/>
          <w:bCs w:val="0"/>
          <w:color w:val="auto"/>
          <w:kern w:val="2"/>
          <w:sz w:val="24"/>
          <w:szCs w:val="24"/>
          <w:highlight w:val="none"/>
          <w:lang w:val="en-US" w:eastAsia="zh-CN" w:bidi="ar-SA"/>
        </w:rPr>
        <w:t>2、建设工程质量检测机构资质证书扫描件</w:t>
      </w:r>
    </w:p>
    <w:p>
      <w:pPr>
        <w:spacing w:line="360" w:lineRule="auto"/>
        <w:jc w:val="center"/>
        <w:rPr>
          <w:rFonts w:hint="eastAsia" w:eastAsia="宋体"/>
          <w:color w:val="auto"/>
          <w:highlight w:val="none"/>
          <w:lang w:eastAsia="zh-CN"/>
        </w:rPr>
      </w:pPr>
    </w:p>
    <w:p>
      <w:pPr>
        <w:pStyle w:val="2"/>
        <w:rPr>
          <w:color w:val="auto"/>
          <w:highlight w:val="none"/>
        </w:rPr>
      </w:pPr>
    </w:p>
    <w:p>
      <w:pPr>
        <w:pStyle w:val="4"/>
        <w:numPr>
          <w:ilvl w:val="0"/>
          <w:numId w:val="7"/>
        </w:numPr>
        <w:jc w:val="both"/>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工程勘察资质证书扫描件</w:t>
      </w:r>
    </w:p>
    <w:p>
      <w:pPr>
        <w:pStyle w:val="4"/>
        <w:numPr>
          <w:ilvl w:val="0"/>
          <w:numId w:val="0"/>
        </w:numPr>
        <w:jc w:val="center"/>
        <w:rPr>
          <w:rFonts w:hint="eastAsia"/>
          <w:color w:val="auto"/>
          <w:highlight w:val="none"/>
        </w:rPr>
      </w:pPr>
    </w:p>
    <w:p>
      <w:pPr>
        <w:rPr>
          <w:rFonts w:hint="eastAsia" w:eastAsia="宋体"/>
          <w:color w:val="auto"/>
          <w:highlight w:val="none"/>
          <w:lang w:eastAsia="zh-CN"/>
        </w:rPr>
        <w:sectPr>
          <w:pgSz w:w="11906" w:h="16838"/>
          <w:pgMar w:top="1440" w:right="1646" w:bottom="1440" w:left="1474" w:header="851" w:footer="992" w:gutter="0"/>
          <w:cols w:space="720" w:num="1"/>
          <w:docGrid w:type="lines" w:linePitch="312" w:charSpace="0"/>
        </w:sectPr>
      </w:pPr>
    </w:p>
    <w:p>
      <w:pPr>
        <w:spacing w:line="360" w:lineRule="auto"/>
        <w:rPr>
          <w:rFonts w:hint="eastAsia" w:ascii="宋体" w:hAnsi="宋体"/>
          <w:b/>
          <w:color w:val="auto"/>
          <w:sz w:val="28"/>
          <w:szCs w:val="28"/>
          <w:highlight w:val="none"/>
        </w:rPr>
      </w:pPr>
      <w:r>
        <w:rPr>
          <w:rFonts w:hint="eastAsia" w:ascii="宋体" w:hAnsi="宋体"/>
          <w:b/>
          <w:color w:val="auto"/>
          <w:sz w:val="28"/>
          <w:szCs w:val="28"/>
          <w:highlight w:val="none"/>
        </w:rPr>
        <w:t>附件四：监测费用报价清单</w:t>
      </w:r>
    </w:p>
    <w:tbl>
      <w:tblPr>
        <w:tblStyle w:val="23"/>
        <w:tblW w:w="88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9"/>
        <w:gridCol w:w="1220"/>
        <w:gridCol w:w="621"/>
        <w:gridCol w:w="1048"/>
        <w:gridCol w:w="621"/>
        <w:gridCol w:w="621"/>
        <w:gridCol w:w="621"/>
        <w:gridCol w:w="819"/>
        <w:gridCol w:w="819"/>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blHead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工作内容</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监测次数</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小计（元）</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基准点</w:t>
            </w:r>
            <w:r>
              <w:rPr>
                <w:rFonts w:ascii="Calibri" w:hAnsi="Calibri" w:eastAsia="宋体" w:cs="Calibri"/>
                <w:i w:val="0"/>
                <w:iCs w:val="0"/>
                <w:color w:val="auto"/>
                <w:kern w:val="0"/>
                <w:sz w:val="20"/>
                <w:szCs w:val="20"/>
                <w:highlight w:val="none"/>
                <w:u w:val="none"/>
                <w:lang w:val="en-US" w:eastAsia="zh-CN" w:bidi="ar"/>
              </w:rPr>
              <w:t xml:space="preserve">    </w:t>
            </w:r>
            <w:r>
              <w:rPr>
                <w:rStyle w:val="47"/>
                <w:color w:val="auto"/>
                <w:highlight w:val="none"/>
                <w:lang w:val="en-US" w:eastAsia="zh-CN" w:bidi="ar"/>
              </w:rPr>
              <w:t>埋设费用</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基准点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监测点埋设费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过街隧道顶部地表沉降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过街隧道顶部沉降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按10米间距布置监测断面，共4个断面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过街隧道底部沉降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过街隧道位移</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内环路高架桥WA8#~WA10#墩各布设1个沉降点和人行天桥1#-3#墩各布设1个监测点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桥墩位移</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内环路高架桥WA8#墩、WA9#墩和人行天桥1#-2#墩各布设一个监测点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桥墩倾斜</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内环路高架桥WA9#墩和人行天桥2#墩各布设一个监测点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桥墩差异沉降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WA8#墩-WA9#墩、WA9#墩-WA10#墩和人行天桥1#-2#墩、2#-3#墩桥墩各布设一个监测点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桥面沉降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WA8#墩-WA10#墩和人行天桥盖梁各布设5个监测断面，每个断面3个监测点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桥面水平位移</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WA8#墩-WA10#墩和人行天桥盖梁各布设3个监测断面，每个断面2个监测点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桥面挠度</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WA8#</w:t>
            </w:r>
            <w:r>
              <w:rPr>
                <w:rStyle w:val="48"/>
                <w:color w:val="auto"/>
                <w:highlight w:val="none"/>
                <w:lang w:val="en-US" w:eastAsia="zh-CN" w:bidi="ar"/>
              </w:rPr>
              <w:t>墩</w:t>
            </w:r>
            <w:r>
              <w:rPr>
                <w:rStyle w:val="49"/>
                <w:rFonts w:eastAsia="宋体"/>
                <w:color w:val="auto"/>
                <w:highlight w:val="none"/>
                <w:lang w:val="en-US" w:eastAsia="zh-CN" w:bidi="ar"/>
              </w:rPr>
              <w:t>-WA9#</w:t>
            </w:r>
            <w:r>
              <w:rPr>
                <w:rStyle w:val="48"/>
                <w:color w:val="auto"/>
                <w:highlight w:val="none"/>
                <w:lang w:val="en-US" w:eastAsia="zh-CN" w:bidi="ar"/>
              </w:rPr>
              <w:t>墩、</w:t>
            </w:r>
            <w:r>
              <w:rPr>
                <w:rStyle w:val="49"/>
                <w:rFonts w:eastAsia="宋体"/>
                <w:color w:val="auto"/>
                <w:highlight w:val="none"/>
                <w:lang w:val="en-US" w:eastAsia="zh-CN" w:bidi="ar"/>
              </w:rPr>
              <w:t>WA9#</w:t>
            </w:r>
            <w:r>
              <w:rPr>
                <w:rStyle w:val="48"/>
                <w:color w:val="auto"/>
                <w:highlight w:val="none"/>
                <w:lang w:val="en-US" w:eastAsia="zh-CN" w:bidi="ar"/>
              </w:rPr>
              <w:t>墩</w:t>
            </w:r>
            <w:r>
              <w:rPr>
                <w:rStyle w:val="49"/>
                <w:rFonts w:eastAsia="宋体"/>
                <w:color w:val="auto"/>
                <w:highlight w:val="none"/>
                <w:lang w:val="en-US" w:eastAsia="zh-CN" w:bidi="ar"/>
              </w:rPr>
              <w:t>-WA10#</w:t>
            </w:r>
            <w:r>
              <w:rPr>
                <w:rStyle w:val="48"/>
                <w:color w:val="auto"/>
                <w:highlight w:val="none"/>
                <w:lang w:val="en-US" w:eastAsia="zh-CN" w:bidi="ar"/>
              </w:rPr>
              <w:t>墩各布设一个挠度监测点，人行天桥盖梁布设</w:t>
            </w:r>
            <w:r>
              <w:rPr>
                <w:rStyle w:val="49"/>
                <w:rFonts w:eastAsia="宋体"/>
                <w:color w:val="auto"/>
                <w:highlight w:val="none"/>
                <w:lang w:val="en-US" w:eastAsia="zh-CN" w:bidi="ar"/>
              </w:rPr>
              <w:t>2</w:t>
            </w:r>
            <w:r>
              <w:rPr>
                <w:rStyle w:val="48"/>
                <w:color w:val="auto"/>
                <w:highlight w:val="none"/>
                <w:lang w:val="en-US" w:eastAsia="zh-CN" w:bidi="ar"/>
              </w:rPr>
              <w:t>个挠度监测点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小计</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auto"/>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监测费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过街隧道顶部地表沉降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按10米间距布置监测断面，共4个断面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过街隧道顶部沉降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过街隧道底部沉降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过街隧道位移</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内环路高架桥WA8#~WA10#墩各布设1个沉降点和人行天桥1#-3#墩各布设1个监测点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桥墩位移</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内环路高架桥WA8#墩、WA9#墩和人行天桥1#-2#墩各布设一个监测点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桥墩倾斜</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内环路高架桥WA9#墩和人行天桥2#墩各布设一个监测点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桥墩差异沉降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WA8#墩-WA9#墩、WA9#墩-WA10#墩和人行天桥1#-2#墩、2#-3#墩桥墩各布设一个监测点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桥面沉降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WA8#墩-WA10#墩和人行天桥盖梁各布设5个监测断面，每个断面3个监测点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桥面水平位移</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WA8#墩-WA10#墩和人行天桥盖梁各布设3个监测断面，每个断面2个监测点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桥面挠度</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WA8#</w:t>
            </w:r>
            <w:r>
              <w:rPr>
                <w:rStyle w:val="48"/>
                <w:color w:val="auto"/>
                <w:highlight w:val="none"/>
                <w:lang w:val="en-US" w:eastAsia="zh-CN" w:bidi="ar"/>
              </w:rPr>
              <w:t>墩</w:t>
            </w:r>
            <w:r>
              <w:rPr>
                <w:rStyle w:val="49"/>
                <w:rFonts w:eastAsia="宋体"/>
                <w:color w:val="auto"/>
                <w:highlight w:val="none"/>
                <w:lang w:val="en-US" w:eastAsia="zh-CN" w:bidi="ar"/>
              </w:rPr>
              <w:t>-WA9#</w:t>
            </w:r>
            <w:r>
              <w:rPr>
                <w:rStyle w:val="48"/>
                <w:color w:val="auto"/>
                <w:highlight w:val="none"/>
                <w:lang w:val="en-US" w:eastAsia="zh-CN" w:bidi="ar"/>
              </w:rPr>
              <w:t>墩、</w:t>
            </w:r>
            <w:r>
              <w:rPr>
                <w:rStyle w:val="49"/>
                <w:rFonts w:eastAsia="宋体"/>
                <w:color w:val="auto"/>
                <w:highlight w:val="none"/>
                <w:lang w:val="en-US" w:eastAsia="zh-CN" w:bidi="ar"/>
              </w:rPr>
              <w:t>WA9#</w:t>
            </w:r>
            <w:r>
              <w:rPr>
                <w:rStyle w:val="48"/>
                <w:color w:val="auto"/>
                <w:highlight w:val="none"/>
                <w:lang w:val="en-US" w:eastAsia="zh-CN" w:bidi="ar"/>
              </w:rPr>
              <w:t>墩</w:t>
            </w:r>
            <w:r>
              <w:rPr>
                <w:rStyle w:val="49"/>
                <w:rFonts w:eastAsia="宋体"/>
                <w:color w:val="auto"/>
                <w:highlight w:val="none"/>
                <w:lang w:val="en-US" w:eastAsia="zh-CN" w:bidi="ar"/>
              </w:rPr>
              <w:t>-WA10#</w:t>
            </w:r>
            <w:r>
              <w:rPr>
                <w:rStyle w:val="48"/>
                <w:color w:val="auto"/>
                <w:highlight w:val="none"/>
                <w:lang w:val="en-US" w:eastAsia="zh-CN" w:bidi="ar"/>
              </w:rPr>
              <w:t>墩各布设一个挠度监测点，人行天桥盖梁布设</w:t>
            </w:r>
            <w:r>
              <w:rPr>
                <w:rStyle w:val="49"/>
                <w:rFonts w:eastAsia="宋体"/>
                <w:color w:val="auto"/>
                <w:highlight w:val="none"/>
                <w:lang w:val="en-US" w:eastAsia="zh-CN" w:bidi="ar"/>
              </w:rPr>
              <w:t>2</w:t>
            </w:r>
            <w:r>
              <w:rPr>
                <w:rStyle w:val="48"/>
                <w:color w:val="auto"/>
                <w:highlight w:val="none"/>
                <w:lang w:val="en-US" w:eastAsia="zh-CN" w:bidi="ar"/>
              </w:rPr>
              <w:t>个挠度监测点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小计</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auto"/>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w:t>
            </w:r>
          </w:p>
        </w:tc>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技术服务费</w:t>
            </w:r>
          </w:p>
        </w:tc>
        <w:tc>
          <w:tcPr>
            <w:tcW w:w="0" w:type="auto"/>
            <w:gridSpan w:val="6"/>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（（一）+（二））*22%</w:t>
            </w:r>
          </w:p>
        </w:tc>
        <w:tc>
          <w:tcPr>
            <w:tcW w:w="81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p>
        </w:tc>
        <w:tc>
          <w:tcPr>
            <w:tcW w:w="166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0" w:type="auto"/>
            <w:gridSpan w:val="8"/>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c>
          <w:tcPr>
            <w:tcW w:w="81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p>
        </w:tc>
        <w:tc>
          <w:tcPr>
            <w:tcW w:w="166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auto"/>
                <w:sz w:val="20"/>
                <w:szCs w:val="20"/>
                <w:highlight w:val="none"/>
                <w:u w:val="none"/>
              </w:rPr>
            </w:pPr>
          </w:p>
        </w:tc>
      </w:tr>
    </w:tbl>
    <w:p>
      <w:pPr>
        <w:spacing w:line="360" w:lineRule="auto"/>
        <w:jc w:val="center"/>
        <w:rPr>
          <w:rFonts w:hint="eastAsia" w:ascii="宋体" w:hAnsi="宋体" w:eastAsia="宋体"/>
          <w:b/>
          <w:color w:val="auto"/>
          <w:sz w:val="28"/>
          <w:szCs w:val="28"/>
          <w:highlight w:val="none"/>
          <w:lang w:eastAsia="zh-CN"/>
        </w:rPr>
      </w:pPr>
    </w:p>
    <w:p>
      <w:pPr>
        <w:pStyle w:val="22"/>
        <w:rPr>
          <w:rFonts w:ascii="仿宋_GB2312" w:eastAsia="仿宋_GB2312"/>
          <w:color w:val="auto"/>
          <w:sz w:val="28"/>
          <w:szCs w:val="28"/>
          <w:highlight w:val="none"/>
        </w:rPr>
      </w:pPr>
      <w:r>
        <w:rPr>
          <w:rFonts w:hint="eastAsia" w:ascii="宋体" w:hAnsi="宋体"/>
          <w:b/>
          <w:color w:val="auto"/>
          <w:sz w:val="28"/>
          <w:szCs w:val="28"/>
          <w:highlight w:val="none"/>
        </w:rPr>
        <w:br w:type="page"/>
      </w:r>
    </w:p>
    <w:p>
      <w:pPr>
        <w:pStyle w:val="3"/>
        <w:rPr>
          <w:rFonts w:hint="eastAsia"/>
          <w:color w:val="auto"/>
          <w:highlight w:val="none"/>
        </w:rPr>
      </w:pPr>
      <w:bookmarkStart w:id="85" w:name="_Toc3723"/>
      <w:bookmarkStart w:id="86" w:name="_Toc23515"/>
      <w:bookmarkStart w:id="87" w:name="_Toc1563"/>
      <w:bookmarkStart w:id="88" w:name="_Toc21847"/>
      <w:bookmarkStart w:id="89" w:name="_Toc6230"/>
      <w:bookmarkStart w:id="90" w:name="_Toc5129"/>
      <w:bookmarkStart w:id="91" w:name="_Toc8147"/>
      <w:bookmarkStart w:id="92" w:name="_Toc12169"/>
      <w:bookmarkStart w:id="93" w:name="_Toc16552"/>
      <w:bookmarkStart w:id="94" w:name="_Toc30824"/>
      <w:bookmarkStart w:id="95" w:name="_Toc28358"/>
    </w:p>
    <w:p>
      <w:pPr>
        <w:pStyle w:val="3"/>
        <w:rPr>
          <w:rFonts w:hint="eastAsia"/>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2352675</wp:posOffset>
                </wp:positionH>
                <wp:positionV relativeFrom="paragraph">
                  <wp:posOffset>691515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5.25pt;margin-top:54.45pt;height:0pt;width:75.5pt;z-index:251665408;mso-width-relative:page;mso-height-relative:page;" filled="f" stroked="t" coordsize="21600,21600" o:gfxdata="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rsrDXAAAACw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2346960</wp:posOffset>
                </wp:positionH>
                <wp:positionV relativeFrom="paragraph">
                  <wp:posOffset>556260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8pt;margin-top:43.8pt;height:0pt;width:75.5pt;z-index:251666432;mso-width-relative:page;mso-height-relative:page;" filled="f" stroked="t" coordsize="21600,21600" o:gfxdata="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MDTab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6"/>
        <w:rPr>
          <w:color w:val="auto"/>
          <w:highlight w:val="none"/>
        </w:rPr>
      </w:pPr>
    </w:p>
    <w:p>
      <w:pPr>
        <w:pStyle w:val="3"/>
        <w:rPr>
          <w:color w:val="auto"/>
          <w:highlight w:val="none"/>
        </w:rPr>
      </w:pPr>
      <w:bookmarkStart w:id="96" w:name="_Toc17119"/>
      <w:bookmarkStart w:id="97" w:name="_Toc88209951"/>
      <w:bookmarkStart w:id="98" w:name="_Toc5342"/>
      <w:bookmarkStart w:id="99" w:name="_Toc12769"/>
      <w:bookmarkStart w:id="100" w:name="_Toc22764"/>
      <w:bookmarkStart w:id="101" w:name="_Toc87616388"/>
      <w:bookmarkStart w:id="102" w:name="_Toc31564"/>
      <w:bookmarkStart w:id="103" w:name="_Toc24815"/>
      <w:bookmarkStart w:id="104" w:name="_Toc30157"/>
      <w:bookmarkStart w:id="105" w:name="_Toc21675"/>
      <w:bookmarkStart w:id="106" w:name="_Toc24490"/>
      <w:bookmarkStart w:id="107" w:name="_Toc12610"/>
      <w:bookmarkStart w:id="108" w:name="_Toc10840"/>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88209957"/>
      <w:bookmarkStart w:id="116" w:name="_Toc28619645"/>
      <w:bookmarkStart w:id="117" w:name="_Toc6313"/>
      <w:bookmarkStart w:id="118" w:name="_Toc12665"/>
      <w:bookmarkStart w:id="119" w:name="_Toc87616394"/>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7616395"/>
      <w:bookmarkStart w:id="121" w:name="_Toc22527"/>
      <w:bookmarkStart w:id="122" w:name="_Toc88209958"/>
      <w:bookmarkStart w:id="123"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w:t>
      </w:r>
      <w:r>
        <w:rPr>
          <w:rFonts w:hint="eastAsia" w:ascii="仿宋_GB2312" w:hAnsi="宋体" w:eastAsia="仿宋_GB2312" w:cs="Times New Roman"/>
          <w:color w:val="auto"/>
          <w:sz w:val="30"/>
          <w:szCs w:val="30"/>
          <w:highlight w:val="none"/>
          <w:u w:val="single"/>
          <w:lang w:val="en-US" w:eastAsia="zh-CN"/>
        </w:rPr>
        <w:t>公</w:t>
      </w:r>
      <w:r>
        <w:rPr>
          <w:rFonts w:hint="eastAsia" w:ascii="仿宋_GB2312" w:hAnsi="宋体" w:eastAsia="仿宋_GB2312" w:cs="Times New Roman"/>
          <w:color w:val="auto"/>
          <w:sz w:val="30"/>
          <w:szCs w:val="30"/>
          <w:highlight w:val="none"/>
          <w:u w:val="single"/>
        </w:rPr>
        <w:t xml:space="preserve">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360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360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yElpUkCAACX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shJaV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36"/>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462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rO02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bookmarkStart w:id="124" w:name="_Toc8086"/>
      <w:bookmarkStart w:id="125" w:name="_Toc87616400"/>
      <w:bookmarkStart w:id="126" w:name="_Toc88209963"/>
      <w:bookmarkStart w:id="127"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sectPr>
          <w:footerReference r:id="rId6" w:type="first"/>
          <w:footerReference r:id="rId5" w:type="default"/>
          <w:pgSz w:w="11906" w:h="16838"/>
          <w:pgMar w:top="2098" w:right="1474" w:bottom="1985" w:left="1588" w:header="851" w:footer="992" w:gutter="0"/>
          <w:cols w:space="425" w:num="1"/>
          <w:titlePg/>
          <w:docGrid w:type="lines" w:linePitch="312" w:charSpace="0"/>
        </w:sectPr>
      </w:pPr>
      <w:bookmarkStart w:id="129" w:name="_Toc19423"/>
      <w:bookmarkStart w:id="130" w:name="_Toc32430"/>
    </w:p>
    <w:p>
      <w:pPr>
        <w:pStyle w:val="5"/>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tbl>
      <w:tblPr>
        <w:tblStyle w:val="23"/>
        <w:tblW w:w="88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9"/>
        <w:gridCol w:w="1220"/>
        <w:gridCol w:w="621"/>
        <w:gridCol w:w="1048"/>
        <w:gridCol w:w="621"/>
        <w:gridCol w:w="621"/>
        <w:gridCol w:w="621"/>
        <w:gridCol w:w="819"/>
        <w:gridCol w:w="819"/>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blHead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工作内容</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监测次数</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小计（元）</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基准点</w:t>
            </w:r>
            <w:r>
              <w:rPr>
                <w:rFonts w:ascii="Calibri" w:hAnsi="Calibri" w:eastAsia="宋体" w:cs="Calibri"/>
                <w:i w:val="0"/>
                <w:iCs w:val="0"/>
                <w:color w:val="auto"/>
                <w:kern w:val="0"/>
                <w:sz w:val="20"/>
                <w:szCs w:val="20"/>
                <w:highlight w:val="none"/>
                <w:u w:val="none"/>
                <w:lang w:val="en-US" w:eastAsia="zh-CN" w:bidi="ar"/>
              </w:rPr>
              <w:t xml:space="preserve">    </w:t>
            </w:r>
            <w:r>
              <w:rPr>
                <w:rStyle w:val="47"/>
                <w:color w:val="auto"/>
                <w:highlight w:val="none"/>
                <w:lang w:val="en-US" w:eastAsia="zh-CN" w:bidi="ar"/>
              </w:rPr>
              <w:t>埋设费用</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基准点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监测点埋设费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过街隧道顶部地表沉降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过街隧道顶部沉降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按10米间距布置监测断面，共4个断面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过街隧道底部沉降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过街隧道位移</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7"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内环路高架桥WA8#~WA10#墩各布设1个沉降点和人行天桥1#-3#墩各布设1个监测点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桥墩位移</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内环路高架桥WA8#墩、WA9#墩和人行天桥1#-2#墩各布设一个监测点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桥墩倾斜</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内环路高架桥WA9#墩和人行天桥2#墩各布设一个监测点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桥墩差异沉降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WA8#墩-WA9#墩、WA9#墩-WA10#墩和人行天桥1#-2#墩、2#-3#墩桥墩各布设一个监测点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桥面沉降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WA8#墩-WA10#墩和人行天桥盖梁各布设5个监测断面，每个断面3个监测点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桥面水平位移</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WA8#墩-WA10#墩和人行天桥盖梁各布设3个监测断面，每个断面2个监测点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桥面挠度</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WA8#</w:t>
            </w:r>
            <w:r>
              <w:rPr>
                <w:rStyle w:val="48"/>
                <w:color w:val="auto"/>
                <w:highlight w:val="none"/>
                <w:lang w:val="en-US" w:eastAsia="zh-CN" w:bidi="ar"/>
              </w:rPr>
              <w:t>墩</w:t>
            </w:r>
            <w:r>
              <w:rPr>
                <w:rStyle w:val="49"/>
                <w:rFonts w:eastAsia="宋体"/>
                <w:color w:val="auto"/>
                <w:highlight w:val="none"/>
                <w:lang w:val="en-US" w:eastAsia="zh-CN" w:bidi="ar"/>
              </w:rPr>
              <w:t>-WA9#</w:t>
            </w:r>
            <w:r>
              <w:rPr>
                <w:rStyle w:val="48"/>
                <w:color w:val="auto"/>
                <w:highlight w:val="none"/>
                <w:lang w:val="en-US" w:eastAsia="zh-CN" w:bidi="ar"/>
              </w:rPr>
              <w:t>墩、</w:t>
            </w:r>
            <w:r>
              <w:rPr>
                <w:rStyle w:val="49"/>
                <w:rFonts w:eastAsia="宋体"/>
                <w:color w:val="auto"/>
                <w:highlight w:val="none"/>
                <w:lang w:val="en-US" w:eastAsia="zh-CN" w:bidi="ar"/>
              </w:rPr>
              <w:t>WA9#</w:t>
            </w:r>
            <w:r>
              <w:rPr>
                <w:rStyle w:val="48"/>
                <w:color w:val="auto"/>
                <w:highlight w:val="none"/>
                <w:lang w:val="en-US" w:eastAsia="zh-CN" w:bidi="ar"/>
              </w:rPr>
              <w:t>墩</w:t>
            </w:r>
            <w:r>
              <w:rPr>
                <w:rStyle w:val="49"/>
                <w:rFonts w:eastAsia="宋体"/>
                <w:color w:val="auto"/>
                <w:highlight w:val="none"/>
                <w:lang w:val="en-US" w:eastAsia="zh-CN" w:bidi="ar"/>
              </w:rPr>
              <w:t>-WA10#</w:t>
            </w:r>
            <w:r>
              <w:rPr>
                <w:rStyle w:val="48"/>
                <w:color w:val="auto"/>
                <w:highlight w:val="none"/>
                <w:lang w:val="en-US" w:eastAsia="zh-CN" w:bidi="ar"/>
              </w:rPr>
              <w:t>墩各布设一个挠度监测点，人行天桥盖梁布设</w:t>
            </w:r>
            <w:r>
              <w:rPr>
                <w:rStyle w:val="49"/>
                <w:rFonts w:eastAsia="宋体"/>
                <w:color w:val="auto"/>
                <w:highlight w:val="none"/>
                <w:lang w:val="en-US" w:eastAsia="zh-CN" w:bidi="ar"/>
              </w:rPr>
              <w:t>2</w:t>
            </w:r>
            <w:r>
              <w:rPr>
                <w:rStyle w:val="48"/>
                <w:color w:val="auto"/>
                <w:highlight w:val="none"/>
                <w:lang w:val="en-US" w:eastAsia="zh-CN" w:bidi="ar"/>
              </w:rPr>
              <w:t>个挠度监测点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小计</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auto"/>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监测费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过街隧道顶部地表沉降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按10米间距布置监测断面，共4个断面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过街隧道顶部沉降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过街隧道底部沉降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过街隧道位移</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内环路高架桥WA8#~WA10#墩各布设1个沉降点和人行天桥1#-3#墩各布设1个监测点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桥墩位移</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内环路高架桥WA8#墩、WA9#墩和人行天桥1#-2#墩各布设一个监测点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桥墩倾斜</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内环路高架桥WA9#墩和人行天桥2#墩各布设一个监测点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桥墩差异沉降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WA8#墩-WA9#墩、WA9#墩-WA10#墩和人行天桥1#-2#墩、2#-3#墩桥墩各布设一个监测点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桥面沉降</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WA8#墩-WA10#墩和人行天桥盖梁各布设5个监测断面，每个断面3个监测点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桥面水平位移</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WA8#墩-WA10#墩和人行天桥盖梁各布设3个监测断面，每个断面2个监测点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桥面挠度</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WA8#</w:t>
            </w:r>
            <w:r>
              <w:rPr>
                <w:rStyle w:val="48"/>
                <w:color w:val="auto"/>
                <w:highlight w:val="none"/>
                <w:lang w:val="en-US" w:eastAsia="zh-CN" w:bidi="ar"/>
              </w:rPr>
              <w:t>墩</w:t>
            </w:r>
            <w:r>
              <w:rPr>
                <w:rStyle w:val="49"/>
                <w:rFonts w:eastAsia="宋体"/>
                <w:color w:val="auto"/>
                <w:highlight w:val="none"/>
                <w:lang w:val="en-US" w:eastAsia="zh-CN" w:bidi="ar"/>
              </w:rPr>
              <w:t>-WA9#</w:t>
            </w:r>
            <w:r>
              <w:rPr>
                <w:rStyle w:val="48"/>
                <w:color w:val="auto"/>
                <w:highlight w:val="none"/>
                <w:lang w:val="en-US" w:eastAsia="zh-CN" w:bidi="ar"/>
              </w:rPr>
              <w:t>墩、</w:t>
            </w:r>
            <w:r>
              <w:rPr>
                <w:rStyle w:val="49"/>
                <w:rFonts w:eastAsia="宋体"/>
                <w:color w:val="auto"/>
                <w:highlight w:val="none"/>
                <w:lang w:val="en-US" w:eastAsia="zh-CN" w:bidi="ar"/>
              </w:rPr>
              <w:t>WA9#</w:t>
            </w:r>
            <w:r>
              <w:rPr>
                <w:rStyle w:val="48"/>
                <w:color w:val="auto"/>
                <w:highlight w:val="none"/>
                <w:lang w:val="en-US" w:eastAsia="zh-CN" w:bidi="ar"/>
              </w:rPr>
              <w:t>墩</w:t>
            </w:r>
            <w:r>
              <w:rPr>
                <w:rStyle w:val="49"/>
                <w:rFonts w:eastAsia="宋体"/>
                <w:color w:val="auto"/>
                <w:highlight w:val="none"/>
                <w:lang w:val="en-US" w:eastAsia="zh-CN" w:bidi="ar"/>
              </w:rPr>
              <w:t>-WA10#</w:t>
            </w:r>
            <w:r>
              <w:rPr>
                <w:rStyle w:val="48"/>
                <w:color w:val="auto"/>
                <w:highlight w:val="none"/>
                <w:lang w:val="en-US" w:eastAsia="zh-CN" w:bidi="ar"/>
              </w:rPr>
              <w:t>墩各布设一个挠度监测点，人行天桥盖梁布设</w:t>
            </w:r>
            <w:r>
              <w:rPr>
                <w:rStyle w:val="49"/>
                <w:rFonts w:eastAsia="宋体"/>
                <w:color w:val="auto"/>
                <w:highlight w:val="none"/>
                <w:lang w:val="en-US" w:eastAsia="zh-CN" w:bidi="ar"/>
              </w:rPr>
              <w:t>2</w:t>
            </w:r>
            <w:r>
              <w:rPr>
                <w:rStyle w:val="48"/>
                <w:color w:val="auto"/>
                <w:highlight w:val="none"/>
                <w:lang w:val="en-US" w:eastAsia="zh-CN" w:bidi="ar"/>
              </w:rPr>
              <w:t>个挠度监测点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小计</w:t>
            </w: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auto"/>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auto"/>
                <w:sz w:val="20"/>
                <w:szCs w:val="20"/>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w:t>
            </w:r>
          </w:p>
        </w:tc>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技术服务费</w:t>
            </w:r>
          </w:p>
        </w:tc>
        <w:tc>
          <w:tcPr>
            <w:tcW w:w="0" w:type="auto"/>
            <w:gridSpan w:val="6"/>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（（一）+（二））*22%</w:t>
            </w:r>
          </w:p>
        </w:tc>
        <w:tc>
          <w:tcPr>
            <w:tcW w:w="81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p>
        </w:tc>
        <w:tc>
          <w:tcPr>
            <w:tcW w:w="166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0" w:type="auto"/>
            <w:gridSpan w:val="8"/>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c>
          <w:tcPr>
            <w:tcW w:w="81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p>
        </w:tc>
        <w:tc>
          <w:tcPr>
            <w:tcW w:w="166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auto"/>
                <w:sz w:val="20"/>
                <w:szCs w:val="20"/>
                <w:highlight w:val="none"/>
                <w:u w:val="none"/>
              </w:rPr>
            </w:pPr>
          </w:p>
        </w:tc>
      </w:tr>
    </w:tbl>
    <w:p>
      <w:pPr>
        <w:adjustRightInd w:val="0"/>
        <w:snapToGrid w:val="0"/>
        <w:spacing w:line="600" w:lineRule="exact"/>
        <w:ind w:firstLine="570"/>
        <w:jc w:val="center"/>
        <w:rPr>
          <w:rFonts w:hint="eastAsia" w:ascii="仿宋_GB2312" w:eastAsia="仿宋_GB2312" w:hAnsiTheme="minorEastAsia"/>
          <w:color w:val="auto"/>
          <w:sz w:val="28"/>
          <w:szCs w:val="28"/>
          <w:highlight w:val="none"/>
        </w:rPr>
      </w:pPr>
    </w:p>
    <w:p>
      <w:pPr>
        <w:pStyle w:val="5"/>
        <w:rPr>
          <w:rFonts w:asciiTheme="majorEastAsia" w:hAnsiTheme="majorEastAsia" w:eastAsiaTheme="majorEastAsia"/>
          <w:color w:val="auto"/>
          <w:sz w:val="28"/>
          <w:szCs w:val="28"/>
          <w:highlight w:val="none"/>
        </w:rPr>
      </w:pPr>
      <w:bookmarkStart w:id="131" w:name="_Toc87616402"/>
      <w:bookmarkStart w:id="132" w:name="_Toc6058"/>
      <w:bookmarkStart w:id="133" w:name="_Toc16386"/>
      <w:bookmarkStart w:id="134"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sectPr>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长城大标宋体">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w:t>
    </w:r>
    <w:r>
      <w:t xml:space="preserve"> 8 -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W9Xc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uDcHbc48cuP75efvy+/vpE6&#10;6zMEaDDtPmBiGt/6EXMXP6Az0x5VtPmLhAjGUd3zVV05JiLyo3pd1xWGBMaWC+Kzh+chQnonvSXZ&#10;aGnE8RVV+ekDpCl1ScnVnL/TxpQRGveXAzGzh+Xepx6zlcb9OBPa++6MfAacfEsdLjol5r1DYfOS&#10;LEZcjP1iHEPUh75sUa4H4c0xYROlt1xhgp0L48gKu3m98k48vpesh19q+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TW9XccBAACa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EgpskBAACa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EtbsJbShy3OPHzzx/nX3/Ov7+T&#10;66xPH6DGtPuAiWl45wfMnf2Azkx7UNHmLxIiGEd1Txd15ZCIyI9Wy9WqwpDA2HxBfPbwPERI76W3&#10;JBsNjTi+oio/foQ0ps4puZrzd9qYMkLj/nEgZvaw3PvYY7bSsBsmQjvfnpBPj5NvqMNFp8R8cChs&#10;XpLZiLOxm41DiHrflS3K9SDcHhI2UXrLFUbYqTCOrLCb1ivvxON7yXr4pT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cSCm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90</w:t>
                          </w:r>
                          <w:r>
                            <w:rPr>
                              <w:rFonts w:hint="eastAsia"/>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MKaskBAACa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Jb3IRrShy3OPHzzx/nX3/Ov7+T&#10;66xPH6DGtPuAiWl45wfMnf2Azkx7UNHmLxIiGEd1Txd15ZCIyI9Wy9WqwpDA2HxBfPbwPERI76W3&#10;JBsNjTi+oio/foQ0ps4puZrzd9qYMkLj/nEgZvaw3PvYY7bSsBsmQjvfnpBPj5NvqMNFp8R8cChs&#10;XpLZiLOxm41DiHrflS3K9SDcHhI2UXrLFUbYqTCOrLCb1ivvxON7yXr4pT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VUwpq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1147BFF"/>
    <w:multiLevelType w:val="multilevel"/>
    <w:tmpl w:val="01147BFF"/>
    <w:lvl w:ilvl="0" w:tentative="0">
      <w:start w:val="1"/>
      <w:numFmt w:val="decimal"/>
      <w:lvlText w:val="（%1）"/>
      <w:lvlJc w:val="left"/>
      <w:pPr>
        <w:tabs>
          <w:tab w:val="left" w:pos="1695"/>
        </w:tabs>
        <w:ind w:left="1695" w:hanging="840"/>
      </w:pPr>
      <w:rPr>
        <w:rFonts w:hint="eastAsia"/>
        <w:u w:val="none"/>
        <w:lang w:val="en-US"/>
      </w:rPr>
    </w:lvl>
    <w:lvl w:ilvl="1" w:tentative="0">
      <w:start w:val="1"/>
      <w:numFmt w:val="lowerLetter"/>
      <w:lvlText w:val="%2)"/>
      <w:lvlJc w:val="left"/>
      <w:pPr>
        <w:tabs>
          <w:tab w:val="left" w:pos="1695"/>
        </w:tabs>
        <w:ind w:left="1695" w:hanging="420"/>
      </w:pPr>
    </w:lvl>
    <w:lvl w:ilvl="2" w:tentative="0">
      <w:start w:val="1"/>
      <w:numFmt w:val="lowerRoman"/>
      <w:lvlText w:val="%3."/>
      <w:lvlJc w:val="right"/>
      <w:pPr>
        <w:tabs>
          <w:tab w:val="left" w:pos="2115"/>
        </w:tabs>
        <w:ind w:left="2115" w:hanging="420"/>
      </w:pPr>
    </w:lvl>
    <w:lvl w:ilvl="3" w:tentative="0">
      <w:start w:val="1"/>
      <w:numFmt w:val="decimal"/>
      <w:lvlText w:val="%4."/>
      <w:lvlJc w:val="left"/>
      <w:pPr>
        <w:tabs>
          <w:tab w:val="left" w:pos="2535"/>
        </w:tabs>
        <w:ind w:left="2535" w:hanging="420"/>
      </w:pPr>
    </w:lvl>
    <w:lvl w:ilvl="4" w:tentative="0">
      <w:start w:val="1"/>
      <w:numFmt w:val="lowerLetter"/>
      <w:lvlText w:val="%5)"/>
      <w:lvlJc w:val="left"/>
      <w:pPr>
        <w:tabs>
          <w:tab w:val="left" w:pos="2955"/>
        </w:tabs>
        <w:ind w:left="2955" w:hanging="420"/>
      </w:pPr>
    </w:lvl>
    <w:lvl w:ilvl="5" w:tentative="0">
      <w:start w:val="1"/>
      <w:numFmt w:val="lowerRoman"/>
      <w:lvlText w:val="%6."/>
      <w:lvlJc w:val="right"/>
      <w:pPr>
        <w:tabs>
          <w:tab w:val="left" w:pos="3375"/>
        </w:tabs>
        <w:ind w:left="3375" w:hanging="420"/>
      </w:pPr>
    </w:lvl>
    <w:lvl w:ilvl="6" w:tentative="0">
      <w:start w:val="1"/>
      <w:numFmt w:val="decimal"/>
      <w:lvlText w:val="%7."/>
      <w:lvlJc w:val="left"/>
      <w:pPr>
        <w:tabs>
          <w:tab w:val="left" w:pos="3795"/>
        </w:tabs>
        <w:ind w:left="3795" w:hanging="420"/>
      </w:pPr>
    </w:lvl>
    <w:lvl w:ilvl="7" w:tentative="0">
      <w:start w:val="1"/>
      <w:numFmt w:val="lowerLetter"/>
      <w:lvlText w:val="%8)"/>
      <w:lvlJc w:val="left"/>
      <w:pPr>
        <w:tabs>
          <w:tab w:val="left" w:pos="4215"/>
        </w:tabs>
        <w:ind w:left="4215" w:hanging="420"/>
      </w:pPr>
    </w:lvl>
    <w:lvl w:ilvl="8" w:tentative="0">
      <w:start w:val="1"/>
      <w:numFmt w:val="lowerRoman"/>
      <w:lvlText w:val="%9."/>
      <w:lvlJc w:val="right"/>
      <w:pPr>
        <w:tabs>
          <w:tab w:val="left" w:pos="4635"/>
        </w:tabs>
        <w:ind w:left="4635" w:hanging="420"/>
      </w:pPr>
    </w:lvl>
  </w:abstractNum>
  <w:abstractNum w:abstractNumId="2">
    <w:nsid w:val="2119DA56"/>
    <w:multiLevelType w:val="singleLevel"/>
    <w:tmpl w:val="2119DA56"/>
    <w:lvl w:ilvl="0" w:tentative="0">
      <w:start w:val="3"/>
      <w:numFmt w:val="decimal"/>
      <w:suff w:val="nothing"/>
      <w:lvlText w:val="%1、"/>
      <w:lvlJc w:val="left"/>
    </w:lvl>
  </w:abstractNum>
  <w:abstractNum w:abstractNumId="3">
    <w:nsid w:val="36342BC8"/>
    <w:multiLevelType w:val="multilevel"/>
    <w:tmpl w:val="36342BC8"/>
    <w:lvl w:ilvl="0" w:tentative="0">
      <w:start w:val="1"/>
      <w:numFmt w:val="decimal"/>
      <w:lvlText w:val="%1."/>
      <w:lvlJc w:val="left"/>
      <w:pPr>
        <w:ind w:left="1050" w:hanging="360"/>
      </w:pPr>
      <w:rPr>
        <w:rFonts w:hint="default"/>
        <w:u w:val="none"/>
      </w:rPr>
    </w:lvl>
    <w:lvl w:ilvl="1" w:tentative="0">
      <w:start w:val="1"/>
      <w:numFmt w:val="lowerLetter"/>
      <w:lvlText w:val="%2)"/>
      <w:lvlJc w:val="left"/>
      <w:pPr>
        <w:ind w:left="1530" w:hanging="420"/>
      </w:pPr>
    </w:lvl>
    <w:lvl w:ilvl="2" w:tentative="0">
      <w:start w:val="1"/>
      <w:numFmt w:val="lowerRoman"/>
      <w:lvlText w:val="%3."/>
      <w:lvlJc w:val="right"/>
      <w:pPr>
        <w:ind w:left="1950" w:hanging="420"/>
      </w:pPr>
    </w:lvl>
    <w:lvl w:ilvl="3" w:tentative="0">
      <w:start w:val="1"/>
      <w:numFmt w:val="decimal"/>
      <w:lvlText w:val="%4."/>
      <w:lvlJc w:val="left"/>
      <w:pPr>
        <w:ind w:left="2370" w:hanging="420"/>
      </w:pPr>
    </w:lvl>
    <w:lvl w:ilvl="4" w:tentative="0">
      <w:start w:val="1"/>
      <w:numFmt w:val="lowerLetter"/>
      <w:lvlText w:val="%5)"/>
      <w:lvlJc w:val="left"/>
      <w:pPr>
        <w:ind w:left="2790" w:hanging="420"/>
      </w:pPr>
    </w:lvl>
    <w:lvl w:ilvl="5" w:tentative="0">
      <w:start w:val="1"/>
      <w:numFmt w:val="lowerRoman"/>
      <w:lvlText w:val="%6."/>
      <w:lvlJc w:val="right"/>
      <w:pPr>
        <w:ind w:left="3210" w:hanging="420"/>
      </w:pPr>
    </w:lvl>
    <w:lvl w:ilvl="6" w:tentative="0">
      <w:start w:val="1"/>
      <w:numFmt w:val="decimal"/>
      <w:lvlText w:val="%7."/>
      <w:lvlJc w:val="left"/>
      <w:pPr>
        <w:ind w:left="3630" w:hanging="420"/>
      </w:pPr>
    </w:lvl>
    <w:lvl w:ilvl="7" w:tentative="0">
      <w:start w:val="1"/>
      <w:numFmt w:val="lowerLetter"/>
      <w:lvlText w:val="%8)"/>
      <w:lvlJc w:val="left"/>
      <w:pPr>
        <w:ind w:left="4050" w:hanging="420"/>
      </w:pPr>
    </w:lvl>
    <w:lvl w:ilvl="8" w:tentative="0">
      <w:start w:val="1"/>
      <w:numFmt w:val="lowerRoman"/>
      <w:lvlText w:val="%9."/>
      <w:lvlJc w:val="right"/>
      <w:pPr>
        <w:ind w:left="447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627A38C6"/>
    <w:multiLevelType w:val="multilevel"/>
    <w:tmpl w:val="627A38C6"/>
    <w:lvl w:ilvl="0" w:tentative="0">
      <w:start w:val="4"/>
      <w:numFmt w:val="decimal"/>
      <w:lvlText w:val="（%1）"/>
      <w:lvlJc w:val="left"/>
      <w:pPr>
        <w:ind w:left="1575" w:hanging="720"/>
      </w:pPr>
      <w:rPr>
        <w:rFonts w:hint="default"/>
      </w:rPr>
    </w:lvl>
    <w:lvl w:ilvl="1" w:tentative="0">
      <w:start w:val="1"/>
      <w:numFmt w:val="lowerLetter"/>
      <w:lvlText w:val="%2)"/>
      <w:lvlJc w:val="left"/>
      <w:pPr>
        <w:ind w:left="1695" w:hanging="420"/>
      </w:pPr>
    </w:lvl>
    <w:lvl w:ilvl="2" w:tentative="0">
      <w:start w:val="1"/>
      <w:numFmt w:val="lowerRoman"/>
      <w:lvlText w:val="%3."/>
      <w:lvlJc w:val="right"/>
      <w:pPr>
        <w:ind w:left="2115" w:hanging="420"/>
      </w:pPr>
    </w:lvl>
    <w:lvl w:ilvl="3" w:tentative="0">
      <w:start w:val="1"/>
      <w:numFmt w:val="decimal"/>
      <w:lvlText w:val="%4."/>
      <w:lvlJc w:val="left"/>
      <w:pPr>
        <w:ind w:left="2535" w:hanging="420"/>
      </w:pPr>
    </w:lvl>
    <w:lvl w:ilvl="4" w:tentative="0">
      <w:start w:val="1"/>
      <w:numFmt w:val="lowerLetter"/>
      <w:lvlText w:val="%5)"/>
      <w:lvlJc w:val="left"/>
      <w:pPr>
        <w:ind w:left="2955" w:hanging="420"/>
      </w:pPr>
    </w:lvl>
    <w:lvl w:ilvl="5" w:tentative="0">
      <w:start w:val="1"/>
      <w:numFmt w:val="lowerRoman"/>
      <w:lvlText w:val="%6."/>
      <w:lvlJc w:val="right"/>
      <w:pPr>
        <w:ind w:left="3375" w:hanging="420"/>
      </w:pPr>
    </w:lvl>
    <w:lvl w:ilvl="6" w:tentative="0">
      <w:start w:val="1"/>
      <w:numFmt w:val="decimal"/>
      <w:lvlText w:val="%7."/>
      <w:lvlJc w:val="left"/>
      <w:pPr>
        <w:ind w:left="3795" w:hanging="420"/>
      </w:pPr>
    </w:lvl>
    <w:lvl w:ilvl="7" w:tentative="0">
      <w:start w:val="1"/>
      <w:numFmt w:val="lowerLetter"/>
      <w:lvlText w:val="%8)"/>
      <w:lvlJc w:val="left"/>
      <w:pPr>
        <w:ind w:left="4215" w:hanging="420"/>
      </w:pPr>
    </w:lvl>
    <w:lvl w:ilvl="8" w:tentative="0">
      <w:start w:val="1"/>
      <w:numFmt w:val="lowerRoman"/>
      <w:lvlText w:val="%9."/>
      <w:lvlJc w:val="right"/>
      <w:pPr>
        <w:ind w:left="4635" w:hanging="42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ZjFlZjA1OThlYjRlMTJjNmUxM2FlODY5ODYzZTAifQ=="/>
  </w:docVars>
  <w:rsids>
    <w:rsidRoot w:val="005D618A"/>
    <w:rsid w:val="003D60BA"/>
    <w:rsid w:val="00411689"/>
    <w:rsid w:val="005D618A"/>
    <w:rsid w:val="007069DF"/>
    <w:rsid w:val="00911ECD"/>
    <w:rsid w:val="00932381"/>
    <w:rsid w:val="00A042E0"/>
    <w:rsid w:val="00B26BB1"/>
    <w:rsid w:val="00B26E21"/>
    <w:rsid w:val="00F83B64"/>
    <w:rsid w:val="0127399C"/>
    <w:rsid w:val="013E3461"/>
    <w:rsid w:val="02090C75"/>
    <w:rsid w:val="02A23A3C"/>
    <w:rsid w:val="035D130A"/>
    <w:rsid w:val="039110A9"/>
    <w:rsid w:val="03AC246A"/>
    <w:rsid w:val="03B23056"/>
    <w:rsid w:val="03DC3EBA"/>
    <w:rsid w:val="03F9794D"/>
    <w:rsid w:val="046A2461"/>
    <w:rsid w:val="050E6FF4"/>
    <w:rsid w:val="051C2970"/>
    <w:rsid w:val="060C3611"/>
    <w:rsid w:val="067B33B1"/>
    <w:rsid w:val="06C64829"/>
    <w:rsid w:val="070E7B6E"/>
    <w:rsid w:val="071F5C61"/>
    <w:rsid w:val="077D16D2"/>
    <w:rsid w:val="082A69F3"/>
    <w:rsid w:val="08675FC8"/>
    <w:rsid w:val="08C47CA3"/>
    <w:rsid w:val="08F30E4F"/>
    <w:rsid w:val="09B713FD"/>
    <w:rsid w:val="09EF6ACC"/>
    <w:rsid w:val="0A315056"/>
    <w:rsid w:val="0AA213B4"/>
    <w:rsid w:val="0ADB5CDD"/>
    <w:rsid w:val="0AF61C7E"/>
    <w:rsid w:val="0AFB45AD"/>
    <w:rsid w:val="0B351E9B"/>
    <w:rsid w:val="0B4C50D3"/>
    <w:rsid w:val="0B806B92"/>
    <w:rsid w:val="0B827E94"/>
    <w:rsid w:val="0B83205A"/>
    <w:rsid w:val="0B842F76"/>
    <w:rsid w:val="0BB35EA0"/>
    <w:rsid w:val="0BD070E1"/>
    <w:rsid w:val="0C247926"/>
    <w:rsid w:val="0D105F0E"/>
    <w:rsid w:val="0D794204"/>
    <w:rsid w:val="0E2125D1"/>
    <w:rsid w:val="0E214211"/>
    <w:rsid w:val="0E5F2769"/>
    <w:rsid w:val="0EAB5B38"/>
    <w:rsid w:val="0F4D75A3"/>
    <w:rsid w:val="0F5B2DCA"/>
    <w:rsid w:val="0FED051E"/>
    <w:rsid w:val="0FEE4C29"/>
    <w:rsid w:val="10031608"/>
    <w:rsid w:val="10046082"/>
    <w:rsid w:val="104974DD"/>
    <w:rsid w:val="111703D2"/>
    <w:rsid w:val="112B101A"/>
    <w:rsid w:val="119B53FC"/>
    <w:rsid w:val="1215733B"/>
    <w:rsid w:val="12424CDC"/>
    <w:rsid w:val="125A3A1D"/>
    <w:rsid w:val="129A2738"/>
    <w:rsid w:val="12B56BF1"/>
    <w:rsid w:val="12CB1A89"/>
    <w:rsid w:val="12F35B3F"/>
    <w:rsid w:val="131840FB"/>
    <w:rsid w:val="13467417"/>
    <w:rsid w:val="136E76CF"/>
    <w:rsid w:val="145F08C6"/>
    <w:rsid w:val="14BF21DB"/>
    <w:rsid w:val="15776308"/>
    <w:rsid w:val="15BC6B3C"/>
    <w:rsid w:val="15D42A7A"/>
    <w:rsid w:val="16360A7B"/>
    <w:rsid w:val="164D40B0"/>
    <w:rsid w:val="1694429A"/>
    <w:rsid w:val="174B5FC7"/>
    <w:rsid w:val="17635326"/>
    <w:rsid w:val="17AD3740"/>
    <w:rsid w:val="17B803EA"/>
    <w:rsid w:val="1815096B"/>
    <w:rsid w:val="18236EFD"/>
    <w:rsid w:val="183923CC"/>
    <w:rsid w:val="189D5B1F"/>
    <w:rsid w:val="18A34CD0"/>
    <w:rsid w:val="194539FA"/>
    <w:rsid w:val="19A53EA8"/>
    <w:rsid w:val="19B64DBC"/>
    <w:rsid w:val="19EC6A4A"/>
    <w:rsid w:val="1A157503"/>
    <w:rsid w:val="1A373ACF"/>
    <w:rsid w:val="1A5E0922"/>
    <w:rsid w:val="1A895341"/>
    <w:rsid w:val="1B0D071F"/>
    <w:rsid w:val="1B4568CE"/>
    <w:rsid w:val="1B9015B7"/>
    <w:rsid w:val="1B950DA6"/>
    <w:rsid w:val="1BEB16A5"/>
    <w:rsid w:val="1BF54245"/>
    <w:rsid w:val="1D0E6976"/>
    <w:rsid w:val="1D5A79EE"/>
    <w:rsid w:val="1E045A35"/>
    <w:rsid w:val="1E0E2CD0"/>
    <w:rsid w:val="1E831280"/>
    <w:rsid w:val="1E9F1C60"/>
    <w:rsid w:val="1EBC4704"/>
    <w:rsid w:val="1F172EB5"/>
    <w:rsid w:val="1F94592D"/>
    <w:rsid w:val="1FB860DE"/>
    <w:rsid w:val="203C5A02"/>
    <w:rsid w:val="2044599B"/>
    <w:rsid w:val="209D4C94"/>
    <w:rsid w:val="20DC71F9"/>
    <w:rsid w:val="20E84705"/>
    <w:rsid w:val="21081C79"/>
    <w:rsid w:val="218400BA"/>
    <w:rsid w:val="21956611"/>
    <w:rsid w:val="21AB1E2F"/>
    <w:rsid w:val="21AE076E"/>
    <w:rsid w:val="21D40498"/>
    <w:rsid w:val="222444B0"/>
    <w:rsid w:val="22760743"/>
    <w:rsid w:val="22767047"/>
    <w:rsid w:val="23641165"/>
    <w:rsid w:val="23A05588"/>
    <w:rsid w:val="240476A1"/>
    <w:rsid w:val="247A64DD"/>
    <w:rsid w:val="25431AEB"/>
    <w:rsid w:val="25BE3BFB"/>
    <w:rsid w:val="25BF43FD"/>
    <w:rsid w:val="25F86BCD"/>
    <w:rsid w:val="2605748B"/>
    <w:rsid w:val="264544A6"/>
    <w:rsid w:val="26551294"/>
    <w:rsid w:val="26744856"/>
    <w:rsid w:val="269E416A"/>
    <w:rsid w:val="26C11C6B"/>
    <w:rsid w:val="272100D3"/>
    <w:rsid w:val="272C72FC"/>
    <w:rsid w:val="275131CB"/>
    <w:rsid w:val="27EB149D"/>
    <w:rsid w:val="27FD3E52"/>
    <w:rsid w:val="284F4845"/>
    <w:rsid w:val="28E11370"/>
    <w:rsid w:val="294A756A"/>
    <w:rsid w:val="2962577D"/>
    <w:rsid w:val="29781BF8"/>
    <w:rsid w:val="29C33ED0"/>
    <w:rsid w:val="29D5322D"/>
    <w:rsid w:val="2A025DD9"/>
    <w:rsid w:val="2A2619CB"/>
    <w:rsid w:val="2A3166B5"/>
    <w:rsid w:val="2A787687"/>
    <w:rsid w:val="2A7C2231"/>
    <w:rsid w:val="2ABB753D"/>
    <w:rsid w:val="2AFE6EC4"/>
    <w:rsid w:val="2B7A49FA"/>
    <w:rsid w:val="2B962CD7"/>
    <w:rsid w:val="2C615D26"/>
    <w:rsid w:val="2CB679ED"/>
    <w:rsid w:val="2D173C07"/>
    <w:rsid w:val="2D424A86"/>
    <w:rsid w:val="2DDA66B7"/>
    <w:rsid w:val="2E35623D"/>
    <w:rsid w:val="2E4D0225"/>
    <w:rsid w:val="2E7B52DB"/>
    <w:rsid w:val="2ED60115"/>
    <w:rsid w:val="2F0F5433"/>
    <w:rsid w:val="2F324CFE"/>
    <w:rsid w:val="2F9E66F4"/>
    <w:rsid w:val="2FBA09F1"/>
    <w:rsid w:val="2FEF2ACF"/>
    <w:rsid w:val="30540211"/>
    <w:rsid w:val="31112A0D"/>
    <w:rsid w:val="311E1E25"/>
    <w:rsid w:val="311F4B20"/>
    <w:rsid w:val="312D7741"/>
    <w:rsid w:val="316F137F"/>
    <w:rsid w:val="317F0BD6"/>
    <w:rsid w:val="31DF525F"/>
    <w:rsid w:val="31EC162B"/>
    <w:rsid w:val="32324C2E"/>
    <w:rsid w:val="323279E3"/>
    <w:rsid w:val="327171DF"/>
    <w:rsid w:val="334259D5"/>
    <w:rsid w:val="338F22D2"/>
    <w:rsid w:val="34057E16"/>
    <w:rsid w:val="341E3434"/>
    <w:rsid w:val="3451373F"/>
    <w:rsid w:val="345E483D"/>
    <w:rsid w:val="34BB4442"/>
    <w:rsid w:val="360B7EBA"/>
    <w:rsid w:val="36416867"/>
    <w:rsid w:val="369C32FD"/>
    <w:rsid w:val="37332452"/>
    <w:rsid w:val="37666E72"/>
    <w:rsid w:val="37D13823"/>
    <w:rsid w:val="38081EA3"/>
    <w:rsid w:val="38167A04"/>
    <w:rsid w:val="381C3783"/>
    <w:rsid w:val="389D3EBF"/>
    <w:rsid w:val="392F7BF6"/>
    <w:rsid w:val="394B167A"/>
    <w:rsid w:val="39DA2868"/>
    <w:rsid w:val="3A055F4B"/>
    <w:rsid w:val="3A4E4336"/>
    <w:rsid w:val="3A6007FE"/>
    <w:rsid w:val="3AA05098"/>
    <w:rsid w:val="3AF93D6C"/>
    <w:rsid w:val="3B7C2CE4"/>
    <w:rsid w:val="3BAF716B"/>
    <w:rsid w:val="3C0B5355"/>
    <w:rsid w:val="3CD4176B"/>
    <w:rsid w:val="3CE708E0"/>
    <w:rsid w:val="3D1F44D9"/>
    <w:rsid w:val="3D5C38CD"/>
    <w:rsid w:val="3D6C3871"/>
    <w:rsid w:val="3E5070F1"/>
    <w:rsid w:val="3EC370CB"/>
    <w:rsid w:val="3EFE2D31"/>
    <w:rsid w:val="3F6C3589"/>
    <w:rsid w:val="3F850180"/>
    <w:rsid w:val="3F9004D6"/>
    <w:rsid w:val="400E4D5E"/>
    <w:rsid w:val="40E1138C"/>
    <w:rsid w:val="411B33B4"/>
    <w:rsid w:val="413814BA"/>
    <w:rsid w:val="41872511"/>
    <w:rsid w:val="41DF1251"/>
    <w:rsid w:val="424236D9"/>
    <w:rsid w:val="42466655"/>
    <w:rsid w:val="42C82F57"/>
    <w:rsid w:val="42E07193"/>
    <w:rsid w:val="435707E5"/>
    <w:rsid w:val="43C76AF7"/>
    <w:rsid w:val="43E97E4A"/>
    <w:rsid w:val="446828F0"/>
    <w:rsid w:val="45093E85"/>
    <w:rsid w:val="458D58C7"/>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D916BA6"/>
    <w:rsid w:val="4DC44169"/>
    <w:rsid w:val="4DE24E21"/>
    <w:rsid w:val="4E1B19A3"/>
    <w:rsid w:val="4E3C5BBF"/>
    <w:rsid w:val="4E48787F"/>
    <w:rsid w:val="4EDE657D"/>
    <w:rsid w:val="4EF0709E"/>
    <w:rsid w:val="4F0469A4"/>
    <w:rsid w:val="50540C73"/>
    <w:rsid w:val="513C6A7B"/>
    <w:rsid w:val="52075FCA"/>
    <w:rsid w:val="532D486F"/>
    <w:rsid w:val="5333545B"/>
    <w:rsid w:val="538D0E89"/>
    <w:rsid w:val="539A1245"/>
    <w:rsid w:val="5450213C"/>
    <w:rsid w:val="54D24048"/>
    <w:rsid w:val="54D64CD5"/>
    <w:rsid w:val="552F396C"/>
    <w:rsid w:val="55887D69"/>
    <w:rsid w:val="561A0928"/>
    <w:rsid w:val="56423872"/>
    <w:rsid w:val="565705A8"/>
    <w:rsid w:val="569E06BC"/>
    <w:rsid w:val="56B279F0"/>
    <w:rsid w:val="56CB797A"/>
    <w:rsid w:val="56F20F86"/>
    <w:rsid w:val="578A4DB6"/>
    <w:rsid w:val="579D710E"/>
    <w:rsid w:val="581F22F6"/>
    <w:rsid w:val="586E1E17"/>
    <w:rsid w:val="58862C35"/>
    <w:rsid w:val="58C14957"/>
    <w:rsid w:val="58CC23D2"/>
    <w:rsid w:val="58E66050"/>
    <w:rsid w:val="5A82610B"/>
    <w:rsid w:val="5AE83A50"/>
    <w:rsid w:val="5B353193"/>
    <w:rsid w:val="5B3A2A88"/>
    <w:rsid w:val="5BAB2917"/>
    <w:rsid w:val="5BFC33FA"/>
    <w:rsid w:val="5C3107A4"/>
    <w:rsid w:val="5C3B1B93"/>
    <w:rsid w:val="5C9220DF"/>
    <w:rsid w:val="5D4A15F3"/>
    <w:rsid w:val="5D69542A"/>
    <w:rsid w:val="5D783B72"/>
    <w:rsid w:val="5E0930EF"/>
    <w:rsid w:val="5E1E2237"/>
    <w:rsid w:val="5E3D4D53"/>
    <w:rsid w:val="5E4717E6"/>
    <w:rsid w:val="5E55774C"/>
    <w:rsid w:val="5E567EEF"/>
    <w:rsid w:val="5E8A70FF"/>
    <w:rsid w:val="5EC95F17"/>
    <w:rsid w:val="60045F96"/>
    <w:rsid w:val="60104DDC"/>
    <w:rsid w:val="605C0804"/>
    <w:rsid w:val="606014AF"/>
    <w:rsid w:val="6189617B"/>
    <w:rsid w:val="61B52BB6"/>
    <w:rsid w:val="61B749C2"/>
    <w:rsid w:val="61F80D30"/>
    <w:rsid w:val="62280D20"/>
    <w:rsid w:val="62CA2457"/>
    <w:rsid w:val="638240A1"/>
    <w:rsid w:val="63833423"/>
    <w:rsid w:val="63A5257B"/>
    <w:rsid w:val="63BD3DCC"/>
    <w:rsid w:val="63C61741"/>
    <w:rsid w:val="64560967"/>
    <w:rsid w:val="645A5B10"/>
    <w:rsid w:val="656B1D10"/>
    <w:rsid w:val="65B841F9"/>
    <w:rsid w:val="66022B28"/>
    <w:rsid w:val="664A38E2"/>
    <w:rsid w:val="66581E87"/>
    <w:rsid w:val="66FA11D5"/>
    <w:rsid w:val="67007627"/>
    <w:rsid w:val="67021D14"/>
    <w:rsid w:val="674302C7"/>
    <w:rsid w:val="67AA3F20"/>
    <w:rsid w:val="680A5986"/>
    <w:rsid w:val="680D5F4B"/>
    <w:rsid w:val="68113F51"/>
    <w:rsid w:val="68E94770"/>
    <w:rsid w:val="68F949C9"/>
    <w:rsid w:val="695A4290"/>
    <w:rsid w:val="6A334932"/>
    <w:rsid w:val="6A3353FF"/>
    <w:rsid w:val="6A5D63E6"/>
    <w:rsid w:val="6A5F24D1"/>
    <w:rsid w:val="6A990E14"/>
    <w:rsid w:val="6ACA70C4"/>
    <w:rsid w:val="6AE347EB"/>
    <w:rsid w:val="6B330365"/>
    <w:rsid w:val="6B434AF0"/>
    <w:rsid w:val="6B57675A"/>
    <w:rsid w:val="6B87098A"/>
    <w:rsid w:val="6BD14696"/>
    <w:rsid w:val="6BDD7B4D"/>
    <w:rsid w:val="6C027B24"/>
    <w:rsid w:val="6CDE7432"/>
    <w:rsid w:val="6D841137"/>
    <w:rsid w:val="6DAD2EFB"/>
    <w:rsid w:val="6EBC0B3A"/>
    <w:rsid w:val="6EF51C7D"/>
    <w:rsid w:val="6F8363E5"/>
    <w:rsid w:val="6FA80CCD"/>
    <w:rsid w:val="6FAC3CC5"/>
    <w:rsid w:val="6FB0152C"/>
    <w:rsid w:val="6FC746F5"/>
    <w:rsid w:val="70317AC6"/>
    <w:rsid w:val="704B26F7"/>
    <w:rsid w:val="70697B21"/>
    <w:rsid w:val="70863262"/>
    <w:rsid w:val="70A76ED3"/>
    <w:rsid w:val="70C16F3A"/>
    <w:rsid w:val="71860B17"/>
    <w:rsid w:val="723B27CC"/>
    <w:rsid w:val="72687227"/>
    <w:rsid w:val="728F3D2D"/>
    <w:rsid w:val="72A03FD9"/>
    <w:rsid w:val="732032ED"/>
    <w:rsid w:val="73406CFF"/>
    <w:rsid w:val="7383028C"/>
    <w:rsid w:val="7393582A"/>
    <w:rsid w:val="73A25E44"/>
    <w:rsid w:val="741F68CF"/>
    <w:rsid w:val="7448557A"/>
    <w:rsid w:val="74CE071E"/>
    <w:rsid w:val="75252DF3"/>
    <w:rsid w:val="75621536"/>
    <w:rsid w:val="75BF3154"/>
    <w:rsid w:val="764A07CF"/>
    <w:rsid w:val="764F6B3D"/>
    <w:rsid w:val="76CD2B7B"/>
    <w:rsid w:val="76D80645"/>
    <w:rsid w:val="76E03371"/>
    <w:rsid w:val="780E5898"/>
    <w:rsid w:val="782642CC"/>
    <w:rsid w:val="7894095E"/>
    <w:rsid w:val="78964555"/>
    <w:rsid w:val="78CF4963"/>
    <w:rsid w:val="79000679"/>
    <w:rsid w:val="791C0FE5"/>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DFB3136"/>
    <w:rsid w:val="7E394207"/>
    <w:rsid w:val="7E4007A2"/>
    <w:rsid w:val="7E791CAD"/>
    <w:rsid w:val="7E7B1FFF"/>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qFormat/>
    <w:uiPriority w:val="0"/>
    <w:pPr>
      <w:jc w:val="left"/>
    </w:p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widowControl/>
      <w:spacing w:before="60" w:after="60" w:line="330" w:lineRule="atLeast"/>
      <w:ind w:left="60" w:right="60" w:firstLine="420"/>
      <w:jc w:val="left"/>
    </w:pPr>
    <w:rPr>
      <w:rFonts w:ascii="宋体" w:hAnsi="宋体" w:cs="宋体"/>
      <w:kern w:val="0"/>
      <w:szCs w:val="21"/>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21"/>
    <w:basedOn w:val="25"/>
    <w:qFormat/>
    <w:uiPriority w:val="0"/>
    <w:rPr>
      <w:rFonts w:hint="eastAsia" w:ascii="宋体" w:hAnsi="宋体" w:eastAsia="宋体" w:cs="宋体"/>
      <w:color w:val="000000"/>
      <w:sz w:val="20"/>
      <w:szCs w:val="20"/>
      <w:u w:val="none"/>
    </w:rPr>
  </w:style>
  <w:style w:type="character" w:customStyle="1" w:styleId="48">
    <w:name w:val="font61"/>
    <w:basedOn w:val="25"/>
    <w:qFormat/>
    <w:uiPriority w:val="0"/>
    <w:rPr>
      <w:rFonts w:hint="eastAsia" w:ascii="宋体" w:hAnsi="宋体" w:eastAsia="宋体" w:cs="宋体"/>
      <w:color w:val="000000"/>
      <w:sz w:val="20"/>
      <w:szCs w:val="20"/>
      <w:u w:val="none"/>
    </w:rPr>
  </w:style>
  <w:style w:type="character" w:customStyle="1" w:styleId="49">
    <w:name w:val="font31"/>
    <w:basedOn w:val="2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24094</Words>
  <Characters>25295</Characters>
  <Lines>300</Lines>
  <Paragraphs>84</Paragraphs>
  <TotalTime>4</TotalTime>
  <ScaleCrop>false</ScaleCrop>
  <LinksUpToDate>false</LinksUpToDate>
  <CharactersWithSpaces>30198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2023-05-22T01:36:00Z</cp:lastPrinted>
  <dcterms:modified xsi:type="dcterms:W3CDTF">2024-05-31T03:58:35Z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3E6937E5112E4062AAFDC5F621553D35_13</vt:lpwstr>
  </property>
</Properties>
</file>