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pStyle w:val="2"/>
      </w:pPr>
      <w:bookmarkStart w:id="139" w:name="_GoBack"/>
      <w:bookmarkEnd w:id="139"/>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eastAsia="zh-CN"/>
        </w:rPr>
        <w:t>广州市净水有限公司</w:t>
      </w:r>
      <w:r>
        <w:rPr>
          <w:rFonts w:hint="eastAsia" w:ascii="方正小标宋简体" w:eastAsia="方正小标宋简体"/>
          <w:color w:val="auto"/>
          <w:sz w:val="52"/>
          <w:szCs w:val="52"/>
          <w:highlight w:val="none"/>
          <w:lang w:val="en-US" w:eastAsia="zh-CN"/>
        </w:rPr>
        <w:t>健康城分公司建设</w:t>
      </w: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val="en-US" w:eastAsia="zh-CN"/>
        </w:rPr>
        <w:t>储能设施</w:t>
      </w:r>
      <w:r>
        <w:rPr>
          <w:rFonts w:hint="eastAsia" w:ascii="方正小标宋简体" w:eastAsia="方正小标宋简体"/>
          <w:color w:val="auto"/>
          <w:sz w:val="52"/>
          <w:szCs w:val="52"/>
          <w:highlight w:val="none"/>
          <w:lang w:eastAsia="zh-CN"/>
        </w:rPr>
        <w:t>可行性研究报告咨询服务项目</w:t>
      </w: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eastAsia="zh-CN"/>
        </w:rPr>
        <w:t>（第二次）</w:t>
      </w:r>
    </w:p>
    <w:p>
      <w:pPr>
        <w:pStyle w:val="2"/>
        <w:rPr>
          <w:rFonts w:hint="eastAsia"/>
          <w:lang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月</w:t>
      </w:r>
    </w:p>
    <w:p>
      <w:pPr>
        <w:rPr>
          <w:color w:val="auto"/>
          <w:highlight w:val="none"/>
        </w:rPr>
        <w:sectPr>
          <w:footerReference r:id="rId3" w:type="default"/>
          <w:pgSz w:w="11906" w:h="16838"/>
          <w:pgMar w:top="1089" w:right="1469" w:bottom="1089" w:left="1077" w:header="851" w:footer="992" w:gutter="0"/>
          <w:cols w:space="720" w:num="1"/>
          <w:docGrid w:linePitch="312" w:charSpace="0"/>
        </w:sectPr>
      </w:pPr>
    </w:p>
    <w:p>
      <w:pPr>
        <w:pStyle w:val="2"/>
      </w:pPr>
    </w:p>
    <w:p>
      <w:pPr>
        <w:pStyle w:val="34"/>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20"/>
        <w:numPr>
          <w:ilvl w:val="0"/>
          <w:numId w:val="1"/>
        </w:numPr>
        <w:tabs>
          <w:tab w:val="right" w:pos="8844"/>
        </w:tabs>
        <w:rPr>
          <w:color w:val="auto"/>
          <w:highlight w:val="none"/>
        </w:rPr>
      </w:pPr>
      <w:r>
        <w:rPr>
          <w:rFonts w:hint="eastAsia"/>
          <w:color w:val="auto"/>
          <w:highlight w:val="none"/>
        </w:rPr>
        <w:t>采购公告</w:t>
      </w:r>
    </w:p>
    <w:p>
      <w:pPr>
        <w:pStyle w:val="20"/>
        <w:numPr>
          <w:ilvl w:val="0"/>
          <w:numId w:val="1"/>
        </w:numPr>
        <w:tabs>
          <w:tab w:val="right" w:pos="8844"/>
        </w:tabs>
        <w:rPr>
          <w:color w:val="auto"/>
          <w:highlight w:val="none"/>
        </w:rPr>
      </w:pPr>
      <w:r>
        <w:rPr>
          <w:rFonts w:hint="eastAsia"/>
          <w:color w:val="auto"/>
          <w:highlight w:val="none"/>
        </w:rPr>
        <w:t>供应商须知</w:t>
      </w:r>
    </w:p>
    <w:p>
      <w:pPr>
        <w:pStyle w:val="20"/>
        <w:numPr>
          <w:ilvl w:val="0"/>
          <w:numId w:val="1"/>
        </w:numPr>
        <w:tabs>
          <w:tab w:val="right" w:pos="8844"/>
        </w:tabs>
        <w:rPr>
          <w:color w:val="auto"/>
          <w:highlight w:val="none"/>
        </w:rPr>
      </w:pPr>
      <w:r>
        <w:rPr>
          <w:rFonts w:hint="eastAsia"/>
          <w:color w:val="auto"/>
          <w:highlight w:val="none"/>
        </w:rPr>
        <w:t>采购方法</w:t>
      </w:r>
    </w:p>
    <w:p>
      <w:pPr>
        <w:pStyle w:val="20"/>
        <w:numPr>
          <w:ilvl w:val="0"/>
          <w:numId w:val="1"/>
        </w:numPr>
        <w:tabs>
          <w:tab w:val="right" w:pos="8844"/>
        </w:tabs>
        <w:rPr>
          <w:color w:val="auto"/>
          <w:highlight w:val="none"/>
        </w:rPr>
      </w:pPr>
      <w:r>
        <w:rPr>
          <w:rFonts w:hint="eastAsia"/>
          <w:color w:val="auto"/>
          <w:highlight w:val="none"/>
        </w:rPr>
        <w:t>评审方法</w:t>
      </w:r>
    </w:p>
    <w:p>
      <w:pPr>
        <w:pStyle w:val="20"/>
        <w:numPr>
          <w:ilvl w:val="0"/>
          <w:numId w:val="1"/>
        </w:numPr>
        <w:tabs>
          <w:tab w:val="right" w:pos="8844"/>
        </w:tabs>
        <w:rPr>
          <w:color w:val="auto"/>
          <w:highlight w:val="none"/>
        </w:rPr>
      </w:pPr>
      <w:r>
        <w:rPr>
          <w:rFonts w:hint="eastAsia"/>
          <w:color w:val="auto"/>
          <w:highlight w:val="none"/>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color w:val="auto"/>
          <w:highlight w:val="none"/>
        </w:rPr>
      </w:pPr>
      <w:bookmarkStart w:id="0" w:name="_Toc17696"/>
      <w:bookmarkStart w:id="1" w:name="_Toc26148"/>
      <w:bookmarkStart w:id="2" w:name="_Toc18145"/>
      <w:bookmarkStart w:id="3" w:name="_Toc1711"/>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0"/>
        <w:rPr>
          <w:color w:val="auto"/>
          <w:highlight w:val="none"/>
        </w:rPr>
      </w:pPr>
    </w:p>
    <w:p>
      <w:pPr>
        <w:pStyle w:val="4"/>
        <w:jc w:val="center"/>
        <w:rPr>
          <w:color w:val="auto"/>
          <w:highlight w:val="none"/>
        </w:rPr>
      </w:pPr>
      <w:bookmarkStart w:id="4" w:name="_Toc1669"/>
      <w:bookmarkStart w:id="5" w:name="_Toc31938"/>
      <w:bookmarkStart w:id="6" w:name="_Toc17801"/>
      <w:bookmarkStart w:id="7" w:name="_Toc4275"/>
      <w:bookmarkStart w:id="8" w:name="_Toc7519"/>
      <w:bookmarkStart w:id="9" w:name="_Toc19609"/>
      <w:bookmarkStart w:id="10" w:name="_Toc11322"/>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2493645</wp:posOffset>
                </wp:positionH>
                <wp:positionV relativeFrom="paragraph">
                  <wp:posOffset>641985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96.35pt;margin-top:50.55pt;height:0pt;width:75.5pt;z-index:251671552;mso-width-relative:page;mso-height-relative:page;" filled="f" stroked="t" coordsize="21600,21600" o:gfxdata="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9j9f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2510790</wp:posOffset>
                </wp:positionH>
                <wp:positionV relativeFrom="paragraph">
                  <wp:posOffset>168275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97.7pt;margin-top:13.25pt;height:0pt;width:75.5pt;z-index:251670528;mso-width-relative:page;mso-height-relative:page;" filled="f" stroked="t" coordsize="21600,21600" o:gfxdata="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qtAPNcAAAAJAQAADwAAAAAAAAABACAAAAAiAAAAZHJzL2Rvd25yZXYueG1sUEsBAhQA&#10;FAAAAAgAh07iQA+sh4j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color w:val="auto"/>
          <w:highlight w:val="none"/>
        </w:rPr>
      </w:pPr>
      <w:bookmarkStart w:id="11" w:name="_Toc999"/>
      <w:bookmarkStart w:id="12" w:name="_Toc15709"/>
      <w:bookmarkStart w:id="13" w:name="_Toc30989"/>
      <w:bookmarkStart w:id="14" w:name="_Toc14238"/>
      <w:bookmarkStart w:id="15" w:name="_Toc88209924"/>
      <w:bookmarkStart w:id="16" w:name="_Toc30131"/>
      <w:bookmarkStart w:id="17" w:name="_Toc10122"/>
      <w:bookmarkStart w:id="18" w:name="_Toc2659"/>
      <w:bookmarkStart w:id="19" w:name="_Toc8201"/>
      <w:bookmarkStart w:id="20" w:name="_Toc26363"/>
      <w:bookmarkStart w:id="21" w:name="_Toc5230"/>
      <w:bookmarkStart w:id="22" w:name="_Toc28995"/>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jc w:val="center"/>
        <w:rPr>
          <w:rFonts w:hint="eastAsia" w:eastAsia="方正小标宋简体" w:asciiTheme="majorHAnsi" w:hAnsiTheme="majorHAnsi" w:cstheme="majorBidi"/>
          <w:bCs/>
          <w:color w:val="auto"/>
          <w:sz w:val="36"/>
          <w:szCs w:val="32"/>
          <w:highlight w:val="none"/>
          <w:lang w:eastAsia="zh-CN"/>
        </w:rPr>
      </w:pPr>
      <w:bookmarkStart w:id="23" w:name="_Toc21373"/>
      <w:bookmarkStart w:id="24" w:name="_Toc9680"/>
      <w:r>
        <w:rPr>
          <w:rFonts w:hint="eastAsia" w:eastAsia="方正小标宋简体" w:asciiTheme="majorHAnsi" w:hAnsiTheme="majorHAnsi" w:cstheme="majorBidi"/>
          <w:bCs/>
          <w:color w:val="auto"/>
          <w:sz w:val="36"/>
          <w:szCs w:val="32"/>
          <w:highlight w:val="none"/>
          <w:lang w:eastAsia="zh-CN"/>
        </w:rPr>
        <w:t>广州市净水有限公司健康城分公司建设储能设施</w:t>
      </w:r>
    </w:p>
    <w:p>
      <w:pPr>
        <w:jc w:val="center"/>
        <w:rPr>
          <w:rFonts w:hint="eastAsia" w:eastAsia="方正小标宋简体" w:asciiTheme="majorHAnsi" w:hAnsiTheme="majorHAnsi" w:cstheme="majorBidi"/>
          <w:bCs/>
          <w:color w:val="auto"/>
          <w:sz w:val="36"/>
          <w:szCs w:val="32"/>
          <w:highlight w:val="none"/>
          <w:lang w:eastAsia="zh-CN"/>
        </w:rPr>
      </w:pPr>
      <w:r>
        <w:rPr>
          <w:rFonts w:hint="eastAsia" w:eastAsia="方正小标宋简体" w:asciiTheme="majorHAnsi" w:hAnsiTheme="majorHAnsi" w:cstheme="majorBidi"/>
          <w:bCs/>
          <w:color w:val="auto"/>
          <w:sz w:val="36"/>
          <w:szCs w:val="32"/>
          <w:highlight w:val="none"/>
          <w:lang w:eastAsia="zh-CN"/>
        </w:rPr>
        <w:t>可行性研究报告咨询服务项目（第二次）</w:t>
      </w:r>
    </w:p>
    <w:p>
      <w:pPr>
        <w:pStyle w:val="5"/>
        <w:spacing w:line="600" w:lineRule="exact"/>
        <w:rPr>
          <w:color w:val="auto"/>
          <w:highlight w:val="none"/>
        </w:rPr>
      </w:pP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广州市净水有限公司健康城分公司建设储能设施可行性研究报告咨询服务项目（第二次）</w:t>
      </w:r>
      <w:r>
        <w:rPr>
          <w:rFonts w:hint="eastAsia" w:ascii="仿宋_GB2312" w:eastAsia="仿宋_GB2312"/>
          <w:color w:val="auto"/>
          <w:sz w:val="28"/>
          <w:szCs w:val="28"/>
          <w:highlight w:val="none"/>
        </w:rPr>
        <w:t xml:space="preserve">已具备采购条件，现对该□施工  □货物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服务项目实施公开采购活动，采用</w:t>
      </w:r>
      <w:r>
        <w:rPr>
          <w:rFonts w:hint="eastAsia" w:ascii="仿宋_GB2312" w:eastAsia="仿宋_GB2312"/>
          <w:color w:val="auto"/>
          <w:sz w:val="28"/>
          <w:szCs w:val="28"/>
          <w:highlight w:val="none"/>
          <w:u w:val="single"/>
        </w:rPr>
        <w:t>询</w:t>
      </w:r>
      <w:r>
        <w:rPr>
          <w:rFonts w:hint="eastAsia" w:ascii="仿宋_GB2312" w:eastAsia="仿宋_GB2312"/>
          <w:color w:val="auto"/>
          <w:sz w:val="28"/>
          <w:szCs w:val="28"/>
          <w:highlight w:val="none"/>
          <w:u w:val="single"/>
          <w:lang w:val="en-US" w:eastAsia="zh-CN"/>
        </w:rPr>
        <w:t>价</w:t>
      </w:r>
      <w:r>
        <w:rPr>
          <w:rFonts w:hint="eastAsia" w:ascii="仿宋_GB2312" w:eastAsia="仿宋_GB2312"/>
          <w:color w:val="auto"/>
          <w:sz w:val="28"/>
          <w:szCs w:val="28"/>
          <w:highlight w:val="none"/>
          <w:u w:val="single"/>
        </w:rPr>
        <w:t>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广州市净水有限公司健康城分公司建设储能设施可行性研究报告咨询服务项目（第二次）</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shd w:val="clear" w:color="auto" w:fill="auto"/>
          <w:lang w:val="en-US" w:eastAsia="zh-CN"/>
        </w:rPr>
        <w:t xml:space="preserve"> XJ-20240529-1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自有资金</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,000.00元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收集、整理与本项目相关的法律法规、政策及同行案例等;梳理健康城分公司电气设备及用电情况；对建设储能设施可行性、必要性、储能设备技术路线、设备容量和接入方案等综合分析、评估;撰写《广州市净水有限公司建设储能设施可行性研究报告》，提出可行性研究的结论及建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自合同签订之日起10天</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广州净水公司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形成《广州市净水有限公司健康城分公司建设储能设施可行性研究报告》，提出可行性研究的结论及建议。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（2）供应商应当提供响应期内在国家发展改革委在线平台的截图并加盖公章，截图应当包含备案的专业和服务</w:t>
      </w:r>
      <w:r>
        <w:rPr>
          <w:rFonts w:hint="eastAsia" w:ascii="仿宋_GB2312" w:eastAsia="仿宋_GB2312"/>
          <w:color w:val="auto"/>
          <w:sz w:val="28"/>
          <w:szCs w:val="28"/>
          <w:highlight w:val="none"/>
          <w:lang w:val="en-US" w:eastAsia="zh-CN"/>
        </w:rPr>
        <w:t>范围</w:t>
      </w:r>
      <w:r>
        <w:rPr>
          <w:rFonts w:hint="eastAsia" w:ascii="仿宋_GB2312" w:eastAsia="仿宋_GB2312"/>
          <w:color w:val="auto"/>
          <w:sz w:val="28"/>
          <w:szCs w:val="28"/>
          <w:highlight w:val="none"/>
        </w:rPr>
        <w:t>，并清晰可见</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专业要求为电力</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u w:val="single"/>
        </w:rPr>
        <w:t xml:space="preserve"> 20</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rPr>
        <w:t>年1月1日至今，供应商最少具有一项</w:t>
      </w:r>
      <w:r>
        <w:rPr>
          <w:rFonts w:hint="eastAsia" w:ascii="仿宋_GB2312" w:eastAsia="仿宋_GB2312"/>
          <w:color w:val="auto"/>
          <w:sz w:val="28"/>
          <w:szCs w:val="28"/>
          <w:highlight w:val="none"/>
          <w:u w:val="single"/>
          <w:lang w:val="en-US" w:eastAsia="zh-CN"/>
        </w:rPr>
        <w:t>类似建设储能设施可行性研究报告</w:t>
      </w:r>
      <w:r>
        <w:rPr>
          <w:rFonts w:hint="eastAsia" w:ascii="仿宋_GB2312" w:eastAsia="仿宋_GB2312"/>
          <w:color w:val="auto"/>
          <w:sz w:val="28"/>
          <w:szCs w:val="28"/>
          <w:highlight w:val="none"/>
          <w:u w:val="single"/>
        </w:rPr>
        <w:t xml:space="preserve">咨询服务 </w:t>
      </w:r>
      <w:r>
        <w:rPr>
          <w:rFonts w:hint="eastAsia" w:ascii="仿宋_GB2312" w:eastAsia="仿宋_GB2312"/>
          <w:color w:val="auto"/>
          <w:sz w:val="28"/>
          <w:szCs w:val="28"/>
          <w:highlight w:val="none"/>
        </w:rPr>
        <w:t>项目的业绩。（提供合同复印件证明，包括但不限于项目名称、金额及实施内容、合同盖章、</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□（4）项目负责人应当具备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spacing w:line="600" w:lineRule="exact"/>
        <w:ind w:firstLine="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）其他要求：拟投入本项目的项目负责人应当</w:t>
      </w:r>
      <w:r>
        <w:rPr>
          <w:rFonts w:hint="eastAsia" w:ascii="仿宋_GB2312" w:eastAsia="仿宋_GB2312"/>
          <w:color w:val="auto"/>
          <w:sz w:val="28"/>
          <w:szCs w:val="28"/>
          <w:highlight w:val="none"/>
          <w:lang w:val="en-US" w:eastAsia="zh-CN"/>
        </w:rPr>
        <w:t>具备有效期内电力专业</w:t>
      </w:r>
      <w:r>
        <w:rPr>
          <w:rFonts w:hint="eastAsia" w:ascii="仿宋_GB2312" w:eastAsia="仿宋_GB2312"/>
          <w:color w:val="auto"/>
          <w:sz w:val="28"/>
          <w:szCs w:val="28"/>
          <w:highlight w:val="none"/>
        </w:rPr>
        <w:t>咨询工程师（投资）职业资格证书</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提供在本单位近三个月社保记录（以加盖社会保险基金管理中心印章的《缴费历史明细表》或《社会保险参保人员证明》为准，加盖单位公章。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 xml:space="preserve"> 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4"/>
        <w:rPr>
          <w:color w:val="auto"/>
          <w:highlight w:val="none"/>
        </w:rPr>
      </w:pPr>
      <w:bookmarkStart w:id="25" w:name="_Toc25603"/>
      <w:bookmarkStart w:id="26" w:name="_Toc16705"/>
      <w:bookmarkStart w:id="27" w:name="_Toc9448"/>
      <w:bookmarkStart w:id="28" w:name="_Toc2324"/>
      <w:bookmarkStart w:id="29" w:name="_Toc2331"/>
      <w:bookmarkStart w:id="30" w:name="_Toc7340"/>
      <w:bookmarkStart w:id="31" w:name="_Toc32588"/>
      <w:bookmarkStart w:id="32" w:name="_Toc16557"/>
      <w:bookmarkStart w:id="33" w:name="_Toc23749"/>
      <w:bookmarkStart w:id="34" w:name="_Toc10891"/>
      <w:bookmarkStart w:id="35" w:name="_Toc19295"/>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2475230</wp:posOffset>
                </wp:positionH>
                <wp:positionV relativeFrom="paragraph">
                  <wp:posOffset>675005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94.9pt;margin-top:53.15pt;height:0pt;width:75.5pt;z-index:251673600;mso-width-relative:page;mso-height-relative:page;" filled="f" stroked="t" coordsize="21600,21600" o:gfxdata="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m/ZH9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2494915</wp:posOffset>
                </wp:positionH>
                <wp:positionV relativeFrom="paragraph">
                  <wp:posOffset>108585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96.45pt;margin-top:8.55pt;height:0pt;width:75.5pt;z-index:251672576;mso-width-relative:page;mso-height-relative:page;" filled="f" stroked="t" coordsize="21600,21600" o:gfxdata="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gNowg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第二章</w:t>
      </w:r>
      <w:bookmarkEnd w:id="25"/>
      <w:bookmarkEnd w:id="26"/>
      <w:bookmarkEnd w:id="27"/>
      <w:bookmarkEnd w:id="28"/>
      <w:bookmarkEnd w:id="29"/>
      <w:bookmarkEnd w:id="30"/>
      <w:bookmarkEnd w:id="31"/>
      <w:bookmarkEnd w:id="32"/>
      <w:bookmarkEnd w:id="33"/>
      <w:bookmarkEnd w:id="34"/>
      <w:bookmarkEnd w:id="35"/>
    </w:p>
    <w:p>
      <w:pPr>
        <w:pStyle w:val="5"/>
        <w:rPr>
          <w:color w:val="auto"/>
          <w:highlight w:val="none"/>
        </w:rPr>
      </w:pPr>
      <w:bookmarkStart w:id="36" w:name="_Toc3416"/>
      <w:bookmarkStart w:id="37" w:name="_Toc2339"/>
      <w:r>
        <w:rPr>
          <w:rFonts w:hint="eastAsia"/>
          <w:color w:val="auto"/>
          <w:highlight w:val="none"/>
        </w:rPr>
        <w:t>供应商须知</w:t>
      </w:r>
      <w:bookmarkEnd w:id="36"/>
      <w:bookmarkEnd w:id="37"/>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ind w:firstLine="0"/>
        <w:rPr>
          <w:rFonts w:asciiTheme="minorEastAsia" w:hAnsiTheme="minorEastAsia"/>
          <w:b/>
          <w:color w:val="auto"/>
          <w:sz w:val="32"/>
          <w:szCs w:val="32"/>
          <w:highlight w:val="none"/>
        </w:rPr>
      </w:pPr>
    </w:p>
    <w:p>
      <w:pPr>
        <w:pStyle w:val="2"/>
        <w:ind w:firstLine="0"/>
        <w:rPr>
          <w:rFonts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63" w:type="dxa"/>
            <w:vAlign w:val="center"/>
          </w:tcPr>
          <w:p>
            <w:pPr>
              <w:adjustRightInd w:val="0"/>
              <w:snapToGrid w:val="0"/>
              <w:jc w:val="center"/>
              <w:rPr>
                <w:rFonts w:hint="eastAsia" w:ascii="仿宋_GB2312" w:eastAsia="仿宋_GB2312"/>
                <w:color w:val="auto"/>
                <w:sz w:val="24"/>
                <w:szCs w:val="24"/>
                <w:highlight w:val="none"/>
              </w:rPr>
            </w:pP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0" w:firstLineChars="0"/>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pStyle w:val="2"/>
      </w:pPr>
    </w:p>
    <w:p>
      <w:pPr>
        <w:pStyle w:val="2"/>
      </w:pPr>
    </w:p>
    <w:p>
      <w:pPr>
        <w:pStyle w:val="2"/>
      </w:pPr>
    </w:p>
    <w:p>
      <w:pPr>
        <w:pStyle w:val="2"/>
      </w:pPr>
    </w:p>
    <w:p>
      <w:pPr>
        <w:pStyle w:val="5"/>
        <w:ind w:left="3950" w:leftChars="1881" w:firstLine="0" w:firstLineChars="0"/>
        <w:jc w:val="both"/>
        <w:rPr>
          <w:rFonts w:hint="default" w:eastAsia="方正小标宋简体" w:asciiTheme="minorHAnsi" w:hAnsiTheme="minorHAnsi" w:cstheme="minorBidi"/>
          <w:color w:val="auto"/>
          <w:kern w:val="44"/>
          <w:sz w:val="44"/>
          <w:szCs w:val="44"/>
          <w:highlight w:val="none"/>
          <w:lang w:val="en-US" w:eastAsia="zh-CN"/>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76672" behindDoc="0" locked="0" layoutInCell="1" allowOverlap="1">
                <wp:simplePos x="0" y="0"/>
                <wp:positionH relativeFrom="column">
                  <wp:posOffset>2479675</wp:posOffset>
                </wp:positionH>
                <wp:positionV relativeFrom="paragraph">
                  <wp:posOffset>168275</wp:posOffset>
                </wp:positionV>
                <wp:extent cx="958850" cy="0"/>
                <wp:effectExtent l="0" t="0" r="0" b="0"/>
                <wp:wrapNone/>
                <wp:docPr id="22"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95.25pt;margin-top:13.25pt;height:0pt;width:75.5pt;z-index:251676672;mso-width-relative:page;mso-height-relative:page;" filled="f" stroked="t" coordsize="21600,21600" o:gfxdata="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9+LA81gAAAAkBAAAPAAAAAAAAAAEAIAAAACIAAABkcnMvZG93bnJldi54bWxQSwECFAAU&#10;AAAACACHTuJAgLTj9PMBAADjAwAADgAAAAAAAAABACAAAAAlAQAAZHJzL2Uyb0RvYy54bWxQSwUG&#10;AAAAAAYABgBZAQAAig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77696" behindDoc="0" locked="0" layoutInCell="1" allowOverlap="1">
                <wp:simplePos x="0" y="0"/>
                <wp:positionH relativeFrom="column">
                  <wp:posOffset>2501265</wp:posOffset>
                </wp:positionH>
                <wp:positionV relativeFrom="paragraph">
                  <wp:posOffset>556260</wp:posOffset>
                </wp:positionV>
                <wp:extent cx="958850" cy="0"/>
                <wp:effectExtent l="0" t="0" r="0" b="0"/>
                <wp:wrapNone/>
                <wp:docPr id="21"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96.95pt;margin-top:43.8pt;height:0pt;width:75.5pt;z-index:251677696;mso-width-relative:page;mso-height-relative:page;" filled="f" stroked="t" coordsize="21600,21600" o:gfxdata="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Z5w5sHTj&#10;Pz99+/Xx892XH3ffv7JFlmgIWFPkxt3E0w7DTcx8D220+U9M2KHIejzLqg6JCTp8sVguFyS4uHdV&#10;D3khYnqlvGXZaDimCLrr08Y7R3fn46yoCvvXmKgyJd4n5KLGsSHDzxcEDjSLLc0AmTYQH3RdyUVv&#10;tLzWxuQMjN1uYyLbQ56H8mV+hPtXWC6yBezHuOIaJ6VXIF86ydIxkFCOHgjPLVglOTOK3lO2CBDq&#10;BNpcEkmljaMOssSjqNnaeXksWpdzuvvS42lO83D9uS/ZD2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ByFwR1wAAAAkBAAAPAAAAAAAAAAEAIAAAACIAAABkcnMvZG93bnJldi54bWxQSwECFAAU&#10;AAAACACHTuJAI/ms+PIBAADjAwAADgAAAAAAAAABACAAAAAmAQAAZHJzL2Uyb0RvYy54bWxQSwUG&#10;AAAAAAYABgBZAQAAig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r>
        <w:rPr>
          <w:rFonts w:hint="eastAsia" w:asciiTheme="minorHAnsi" w:hAnsiTheme="minorHAnsi" w:cstheme="minorBidi"/>
          <w:color w:val="auto"/>
          <w:kern w:val="44"/>
          <w:sz w:val="44"/>
          <w:szCs w:val="44"/>
          <w:highlight w:val="none"/>
        </w:rPr>
        <w:br w:type="textWrapping"/>
      </w:r>
      <w:r>
        <w:rPr>
          <w:rFonts w:hint="eastAsia" w:asciiTheme="minorHAnsi" w:hAnsiTheme="minorHAnsi" w:cstheme="minorBidi"/>
          <w:color w:val="auto"/>
          <w:kern w:val="44"/>
          <w:sz w:val="44"/>
          <w:szCs w:val="44"/>
          <w:highlight w:val="none"/>
          <w:lang w:val="en-US" w:eastAsia="zh-CN"/>
        </w:rPr>
        <w:t>采购方法</w:t>
      </w:r>
    </w:p>
    <w:p>
      <w:pPr>
        <w:pStyle w:val="5"/>
        <w:jc w:val="both"/>
        <w:rPr>
          <w:rFonts w:hint="eastAsia"/>
          <w:color w:val="auto"/>
          <w:highlight w:val="none"/>
        </w:rPr>
      </w:pPr>
      <w:bookmarkStart w:id="38" w:name="_Toc3789"/>
      <w:bookmarkStart w:id="39" w:name="_Toc24895"/>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rPr>
          <w:color w:val="auto"/>
          <w:highlight w:val="none"/>
        </w:rPr>
      </w:pPr>
      <w:r>
        <w:rPr>
          <w:rFonts w:hint="eastAsia"/>
          <w:color w:val="auto"/>
          <w:highlight w:val="none"/>
        </w:rPr>
        <w:t>询比采购</w:t>
      </w:r>
      <w:bookmarkEnd w:id="38"/>
      <w:bookmarkEnd w:id="3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r>
              <w:rPr>
                <w:rFonts w:hint="eastAsia" w:ascii="仿宋_GB2312" w:eastAsia="仿宋_GB2312" w:hAnsiTheme="minorEastAsia"/>
                <w:color w:val="auto"/>
                <w:sz w:val="24"/>
                <w:szCs w:val="24"/>
                <w:highlight w:val="none"/>
                <w:lang w:eastAsia="zh-CN"/>
              </w:rPr>
              <w:t>。</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pStyle w:val="4"/>
        <w:jc w:val="both"/>
        <w:rPr>
          <w:rFonts w:hint="eastAsia"/>
          <w:color w:val="auto"/>
          <w:highlight w:val="none"/>
        </w:rPr>
      </w:pPr>
      <w:bookmarkStart w:id="40" w:name="_Toc14552"/>
      <w:bookmarkStart w:id="41" w:name="_Toc3156"/>
      <w:bookmarkStart w:id="42" w:name="_Toc4952"/>
      <w:bookmarkStart w:id="43" w:name="_Toc14870"/>
      <w:bookmarkStart w:id="44" w:name="_Toc19759"/>
      <w:bookmarkStart w:id="45" w:name="_Toc20594"/>
      <w:bookmarkStart w:id="46" w:name="_Toc7437"/>
      <w:bookmarkStart w:id="47" w:name="_Toc23581"/>
      <w:bookmarkStart w:id="48" w:name="_Toc7118"/>
      <w:bookmarkStart w:id="49" w:name="_Toc19050"/>
      <w:bookmarkStart w:id="50" w:name="_Toc10930"/>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2477135</wp:posOffset>
                </wp:positionH>
                <wp:positionV relativeFrom="paragraph">
                  <wp:posOffset>625475</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95.05pt;margin-top:49.25pt;height:0pt;width:75.5pt;z-index:251663360;mso-width-relative:page;mso-height-relative:page;" filled="f" stroked="t" coordsize="21600,21600" o:gfxdata="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2bqCDWAAAACQEAAA8AAAAAAAAAAQAgAAAAIgAAAGRycy9kb3ducmV2LnhtbFBLAQIUABQA&#10;AAAIAIdO4kB7nWMX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2471420</wp:posOffset>
                </wp:positionH>
                <wp:positionV relativeFrom="paragraph">
                  <wp:posOffset>172720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94.6pt;margin-top:13.6pt;height:0pt;width:75.5pt;z-index:251662336;mso-width-relative:page;mso-height-relative:page;" filled="f" stroked="t" coordsize="21600,21600" o:gfxdata="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jKgK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第四章</w:t>
      </w:r>
      <w:bookmarkEnd w:id="40"/>
      <w:bookmarkEnd w:id="41"/>
      <w:bookmarkEnd w:id="42"/>
      <w:bookmarkEnd w:id="43"/>
      <w:bookmarkEnd w:id="44"/>
      <w:bookmarkEnd w:id="45"/>
      <w:bookmarkEnd w:id="46"/>
      <w:bookmarkEnd w:id="47"/>
      <w:bookmarkEnd w:id="48"/>
      <w:bookmarkEnd w:id="49"/>
      <w:bookmarkEnd w:id="50"/>
    </w:p>
    <w:p>
      <w:pPr>
        <w:pStyle w:val="4"/>
        <w:rPr>
          <w:rFonts w:ascii="方正小标宋简体" w:eastAsia="方正小标宋简体"/>
          <w:color w:val="auto"/>
          <w:sz w:val="44"/>
          <w:szCs w:val="44"/>
          <w:highlight w:val="none"/>
        </w:rPr>
      </w:pPr>
      <w:bookmarkStart w:id="51" w:name="_Toc32607"/>
      <w:bookmarkStart w:id="52" w:name="_Toc29345"/>
      <w:bookmarkStart w:id="53" w:name="_Toc22212"/>
      <w:bookmarkStart w:id="54" w:name="_Toc29484"/>
      <w:bookmarkStart w:id="55" w:name="_Toc88209941"/>
      <w:bookmarkStart w:id="56" w:name="_Toc12177"/>
      <w:bookmarkStart w:id="57" w:name="_Toc13898"/>
      <w:bookmarkStart w:id="58" w:name="_Toc87616378"/>
      <w:bookmarkStart w:id="59" w:name="_Toc21840"/>
      <w:bookmarkStart w:id="60" w:name="_Toc21079"/>
      <w:bookmarkStart w:id="61" w:name="_Toc30530"/>
      <w:bookmarkStart w:id="62" w:name="_Toc6308"/>
      <w:bookmarkStart w:id="63" w:name="_Toc7831"/>
      <w:r>
        <w:rPr>
          <w:rFonts w:hint="eastAsia"/>
          <w:color w:val="auto"/>
          <w:highlight w:val="none"/>
        </w:rPr>
        <w:t>评审办法</w:t>
      </w:r>
      <w:bookmarkEnd w:id="51"/>
      <w:bookmarkEnd w:id="52"/>
      <w:bookmarkEnd w:id="53"/>
      <w:bookmarkEnd w:id="54"/>
      <w:bookmarkEnd w:id="55"/>
      <w:bookmarkEnd w:id="56"/>
      <w:bookmarkEnd w:id="57"/>
      <w:bookmarkEnd w:id="58"/>
      <w:bookmarkEnd w:id="59"/>
      <w:bookmarkEnd w:id="60"/>
      <w:bookmarkEnd w:id="61"/>
      <w:bookmarkEnd w:id="62"/>
      <w:bookmarkEnd w:id="63"/>
    </w:p>
    <w:p>
      <w:pPr>
        <w:pStyle w:val="5"/>
        <w:rPr>
          <w:rFonts w:hint="eastAsia"/>
          <w:color w:val="auto"/>
          <w:highlight w:val="none"/>
        </w:rPr>
      </w:pPr>
      <w:bookmarkStart w:id="64" w:name="_Toc23033"/>
      <w:bookmarkStart w:id="65" w:name="_Toc2682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rPr>
          <w:rFonts w:hint="eastAsia"/>
          <w:color w:val="auto"/>
          <w:highlight w:val="none"/>
        </w:rPr>
      </w:pPr>
    </w:p>
    <w:p>
      <w:pPr>
        <w:rPr>
          <w:rFonts w:hint="eastAsia"/>
          <w:color w:val="auto"/>
          <w:sz w:val="15"/>
          <w:szCs w:val="15"/>
          <w:highlight w:val="none"/>
        </w:rPr>
      </w:pPr>
    </w:p>
    <w:p>
      <w:pPr>
        <w:pStyle w:val="2"/>
        <w:rPr>
          <w:rFonts w:hint="default"/>
          <w:color w:val="auto"/>
          <w:highlight w:val="none"/>
        </w:rPr>
      </w:pPr>
    </w:p>
    <w:p>
      <w:pPr>
        <w:pStyle w:val="5"/>
        <w:jc w:val="both"/>
        <w:rPr>
          <w:rFonts w:hint="eastAsia"/>
          <w:color w:val="auto"/>
          <w:highlight w:val="none"/>
        </w:rPr>
      </w:pPr>
    </w:p>
    <w:p>
      <w:pPr>
        <w:rPr>
          <w:rFonts w:hint="eastAsia"/>
        </w:rPr>
      </w:pPr>
    </w:p>
    <w:p>
      <w:pPr>
        <w:pStyle w:val="5"/>
        <w:rPr>
          <w:color w:val="auto"/>
          <w:highlight w:val="none"/>
        </w:rPr>
      </w:pPr>
      <w:r>
        <w:rPr>
          <w:rFonts w:hint="eastAsia"/>
          <w:color w:val="auto"/>
          <w:highlight w:val="none"/>
        </w:rPr>
        <w:t>经评审的最低价法</w:t>
      </w:r>
      <w:bookmarkEnd w:id="64"/>
      <w:bookmarkEnd w:id="6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6"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2463165</wp:posOffset>
                </wp:positionH>
                <wp:positionV relativeFrom="paragraph">
                  <wp:posOffset>643890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93.95pt;margin-top:50.7pt;height:0pt;width:75.5pt;z-index:251675648;mso-width-relative:page;mso-height-relative:page;" filled="f" stroked="t" coordsize="21600,21600" o:gfxdata="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S2BqLYAAAACwEAAA8AAAAAAAAAAQAgAAAAIgAAAGRycy9kb3ducmV2LnhtbFBLAQIU&#10;ABQAAAAIAIdO4kApjnaw8wEAAOQDAAAOAAAAAAAAAAEAIAAAACcBAABkcnMvZTJvRG9jLnhtbFBL&#10;BQYAAAAABgAGAFkBAACM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2475865</wp:posOffset>
                </wp:positionH>
                <wp:positionV relativeFrom="paragraph">
                  <wp:posOffset>173355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94.95pt;margin-top:13.65pt;height:0pt;width:75.5pt;z-index:251674624;mso-width-relative:page;mso-height-relative:page;" filled="f" stroked="t" coordsize="21600,21600" o:gfxdata="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4rmTN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第五章</w:t>
      </w:r>
    </w:p>
    <w:p>
      <w:pPr>
        <w:pStyle w:val="5"/>
        <w:rPr>
          <w:rFonts w:hint="eastAsia"/>
          <w:color w:val="auto"/>
          <w:szCs w:val="44"/>
          <w:highlight w:val="none"/>
        </w:rPr>
      </w:pPr>
      <w:r>
        <w:rPr>
          <w:rFonts w:hint="eastAsia"/>
          <w:color w:val="auto"/>
          <w:szCs w:val="44"/>
          <w:highlight w:val="none"/>
        </w:rPr>
        <w:t>采购需求</w:t>
      </w: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一、</w:t>
      </w:r>
      <w:r>
        <w:rPr>
          <w:rFonts w:hint="eastAsia" w:ascii="仿宋_GB2312" w:eastAsia="仿宋_GB2312"/>
          <w:color w:val="auto"/>
          <w:sz w:val="32"/>
          <w:szCs w:val="32"/>
          <w:highlight w:val="none"/>
        </w:rPr>
        <w:t>研究方向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结合公司现况开展新型</w:t>
      </w:r>
      <w:r>
        <w:rPr>
          <w:rFonts w:hint="eastAsia" w:ascii="仿宋_GB2312" w:eastAsia="仿宋_GB2312"/>
          <w:color w:val="auto"/>
          <w:sz w:val="32"/>
          <w:szCs w:val="32"/>
          <w:highlight w:val="none"/>
        </w:rPr>
        <w:t>储能</w:t>
      </w:r>
      <w:r>
        <w:rPr>
          <w:rFonts w:hint="eastAsia" w:ascii="仿宋_GB2312" w:eastAsia="仿宋_GB2312"/>
          <w:color w:val="auto"/>
          <w:sz w:val="32"/>
          <w:szCs w:val="32"/>
          <w:highlight w:val="none"/>
          <w:lang w:val="en-US" w:eastAsia="zh-CN"/>
        </w:rPr>
        <w:t>项目研究</w:t>
      </w:r>
      <w:r>
        <w:rPr>
          <w:rFonts w:hint="eastAsia" w:ascii="仿宋_GB2312" w:eastAsia="仿宋_GB2312"/>
          <w:color w:val="auto"/>
          <w:sz w:val="32"/>
          <w:szCs w:val="32"/>
          <w:highlight w:val="none"/>
        </w:rPr>
        <w:t>，响应国家</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省</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市关于新型储能产业高质量发展的政策，努力构建清洁低碳、安全高效</w:t>
      </w:r>
      <w:r>
        <w:rPr>
          <w:rFonts w:hint="eastAsia" w:ascii="仿宋_GB2312" w:eastAsia="仿宋_GB2312"/>
          <w:color w:val="auto"/>
          <w:sz w:val="32"/>
          <w:szCs w:val="32"/>
          <w:highlight w:val="none"/>
          <w:lang w:val="en-US" w:eastAsia="zh-CN"/>
        </w:rPr>
        <w:t>的</w:t>
      </w:r>
      <w:r>
        <w:rPr>
          <w:rFonts w:hint="eastAsia" w:ascii="仿宋_GB2312" w:eastAsia="仿宋_GB2312"/>
          <w:color w:val="auto"/>
          <w:sz w:val="32"/>
          <w:szCs w:val="32"/>
          <w:highlight w:val="none"/>
        </w:rPr>
        <w:t>能源体系</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研究新型储能设施对于净水厂用电成本和应急供电保障等方面的影响，在保障净水厂稳定运行的同时实现降本增效</w:t>
      </w:r>
      <w:r>
        <w:rPr>
          <w:rFonts w:hint="eastAsia" w:ascii="仿宋_GB2312" w:eastAsia="仿宋_GB2312"/>
          <w:color w:val="auto"/>
          <w:sz w:val="32"/>
          <w:szCs w:val="32"/>
          <w:highlight w:val="none"/>
        </w:rPr>
        <w:t>。</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具体服务内容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（一）收集、整理与本项目相关的法律法规、政策及同行案例等;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（二）梳理健康城分公司电气设备及用电情况，对建设储能设施可行性、必要性、储能设备技术路线、设备容量和接入方案等综合分析、评估;</w:t>
      </w:r>
    </w:p>
    <w:p>
      <w:pPr>
        <w:spacing w:line="560" w:lineRule="exact"/>
        <w:ind w:firstLine="640" w:firstLineChars="200"/>
        <w:textAlignment w:val="auto"/>
        <w:rPr>
          <w:color w:val="auto"/>
          <w:szCs w:val="44"/>
          <w:highlight w:val="none"/>
        </w:rPr>
      </w:pPr>
      <w:r>
        <w:rPr>
          <w:rFonts w:hint="eastAsia" w:ascii="仿宋_GB2312" w:eastAsia="仿宋_GB2312"/>
          <w:color w:val="auto"/>
          <w:sz w:val="32"/>
          <w:szCs w:val="32"/>
          <w:highlight w:val="none"/>
          <w:lang w:val="en-US" w:eastAsia="zh-CN"/>
        </w:rPr>
        <w:t>（三）撰写《广州市净水有限公司健康城分公司建设储能设施可行性研究报告》，提出可行性研究的结论及建议。</w:t>
      </w:r>
    </w:p>
    <w:bookmarkEnd w:id="66"/>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ind w:firstLine="0"/>
        <w:rPr>
          <w:color w:val="auto"/>
          <w:highlight w:val="none"/>
        </w:rPr>
      </w:pPr>
    </w:p>
    <w:p>
      <w:pPr>
        <w:pStyle w:val="2"/>
        <w:ind w:firstLine="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ind w:firstLine="3960" w:firstLineChars="900"/>
        <w:jc w:val="both"/>
        <w:rPr>
          <w:rFonts w:hint="eastAsia"/>
          <w:color w:val="auto"/>
          <w:highlight w:val="none"/>
        </w:rPr>
      </w:pPr>
      <w:bookmarkStart w:id="67" w:name="_Toc12135"/>
      <w:bookmarkStart w:id="68" w:name="_Toc15570"/>
      <w:bookmarkStart w:id="69" w:name="_Toc1284"/>
      <w:bookmarkStart w:id="70" w:name="_Toc18538"/>
      <w:bookmarkStart w:id="71" w:name="_Toc25925"/>
      <w:bookmarkStart w:id="72" w:name="_Toc4680"/>
      <w:bookmarkStart w:id="73" w:name="_Toc1496"/>
      <w:bookmarkStart w:id="74" w:name="_Toc537"/>
      <w:bookmarkStart w:id="75" w:name="_Toc23353"/>
      <w:bookmarkStart w:id="76" w:name="_Toc23330"/>
      <w:bookmarkStart w:id="77" w:name="_Toc29835"/>
    </w:p>
    <w:p>
      <w:pPr>
        <w:pStyle w:val="4"/>
        <w:ind w:firstLine="3960" w:firstLineChars="900"/>
        <w:jc w:val="both"/>
        <w:rPr>
          <w:rFonts w:hint="eastAsia"/>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2440305</wp:posOffset>
                </wp:positionH>
                <wp:positionV relativeFrom="paragraph">
                  <wp:posOffset>1001395</wp:posOffset>
                </wp:positionV>
                <wp:extent cx="93599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3599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92.15pt;margin-top:78.85pt;height:0pt;width:73.7pt;z-index:251664384;mso-width-relative:page;mso-height-relative:page;" filled="f" stroked="t" coordsize="21600,21600" o:gfxdata="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DZDr9gAAAALAQAADwAAAAAAAAABACAAAAAiAAAAZHJzL2Rvd25yZXYueG1sUEsBAhQA&#10;FAAAAAgAh07iQPaurFLyAQAA4gMAAA4AAAAAAAAAAQAgAAAAJwEAAGRycy9lMm9Eb2MueG1sUEsF&#10;BgAAAAAGAAYAWQEAAIsFAAAAAA==&#10;">
                <v:fill on="f" focussize="0,0"/>
                <v:stroke color="#000000" joinstyle="round"/>
                <v:imagedata o:title=""/>
                <o:lock v:ext="edit" aspectratio="f"/>
              </v:shape>
            </w:pict>
          </mc:Fallback>
        </mc:AlternateContent>
      </w:r>
    </w:p>
    <w:p>
      <w:pPr>
        <w:pStyle w:val="4"/>
        <w:ind w:firstLine="3960" w:firstLineChars="900"/>
        <w:jc w:val="both"/>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2410460</wp:posOffset>
                </wp:positionH>
                <wp:positionV relativeFrom="paragraph">
                  <wp:posOffset>457835</wp:posOffset>
                </wp:positionV>
                <wp:extent cx="1002030" cy="0"/>
                <wp:effectExtent l="0" t="0" r="0" b="0"/>
                <wp:wrapNone/>
                <wp:docPr id="6" name="自选图形 9"/>
                <wp:cNvGraphicFramePr/>
                <a:graphic xmlns:a="http://schemas.openxmlformats.org/drawingml/2006/main">
                  <a:graphicData uri="http://schemas.microsoft.com/office/word/2010/wordprocessingShape">
                    <wps:wsp>
                      <wps:cNvCnPr/>
                      <wps:spPr>
                        <a:xfrm>
                          <a:off x="0" y="0"/>
                          <a:ext cx="10020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9.8pt;margin-top:36.05pt;height:0pt;width:78.9pt;z-index:251665408;mso-width-relative:page;mso-height-relative:page;" filled="f" stroked="t" coordsize="21600,21600" o:gfxdata="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sNRld2AAAAAkBAAAPAAAAAAAAAAEAIAAAACIAAABkcnMvZG93bnJldi54bWxQSwEC&#10;FAAUAAAACACHTuJAYLuTe/QBAADjAwAADgAAAAAAAAABACAAAAAnAQAAZHJzL2Uyb0RvYy54bWxQ&#10;SwUGAAAAAAYABgBZAQAAjQUAAAAA&#10;">
                <v:fill on="f" focussize="0,0"/>
                <v:stroke color="#000000" joinstyle="round"/>
                <v:imagedata o:title=""/>
                <o:lock v:ext="edit" aspectratio="f"/>
              </v:shape>
            </w:pict>
          </mc:Fallback>
        </mc:AlternateContent>
      </w:r>
      <w:r>
        <w:rPr>
          <w:rFonts w:hint="eastAsia"/>
          <w:color w:val="auto"/>
          <w:highlight w:val="none"/>
        </w:rPr>
        <w:t>第六章</w:t>
      </w:r>
      <w:bookmarkEnd w:id="67"/>
      <w:bookmarkEnd w:id="68"/>
      <w:bookmarkEnd w:id="69"/>
      <w:bookmarkEnd w:id="70"/>
      <w:bookmarkEnd w:id="71"/>
      <w:bookmarkEnd w:id="72"/>
      <w:bookmarkEnd w:id="73"/>
      <w:bookmarkEnd w:id="74"/>
      <w:bookmarkEnd w:id="75"/>
      <w:bookmarkEnd w:id="76"/>
      <w:bookmarkEnd w:id="77"/>
    </w:p>
    <w:p>
      <w:pPr>
        <w:pStyle w:val="4"/>
        <w:rPr>
          <w:rFonts w:hint="eastAsia"/>
          <w:color w:val="auto"/>
          <w:highlight w:val="none"/>
        </w:rPr>
      </w:pPr>
      <w:bookmarkStart w:id="78" w:name="_Toc22501"/>
      <w:bookmarkStart w:id="79" w:name="_Toc8183"/>
      <w:bookmarkStart w:id="80" w:name="_Toc12721"/>
      <w:bookmarkStart w:id="81" w:name="_Toc12980"/>
      <w:bookmarkStart w:id="82" w:name="_Toc13309"/>
      <w:bookmarkStart w:id="83" w:name="_Toc1375"/>
      <w:bookmarkStart w:id="84" w:name="_Toc323"/>
      <w:bookmarkStart w:id="85" w:name="_Toc12968"/>
      <w:bookmarkStart w:id="86" w:name="_Toc19088"/>
      <w:bookmarkStart w:id="87" w:name="_Toc19686"/>
      <w:bookmarkStart w:id="88" w:name="_Toc88209949"/>
      <w:bookmarkStart w:id="89" w:name="_Toc22797"/>
      <w:bookmarkStart w:id="90" w:name="_Toc87616386"/>
      <w:r>
        <w:rPr>
          <w:rFonts w:hint="eastAsia"/>
          <w:color w:val="auto"/>
          <w:highlight w:val="none"/>
        </w:rPr>
        <w:t>合同</w:t>
      </w:r>
      <w:bookmarkEnd w:id="78"/>
      <w:bookmarkEnd w:id="79"/>
      <w:bookmarkEnd w:id="80"/>
      <w:bookmarkEnd w:id="81"/>
      <w:bookmarkEnd w:id="82"/>
      <w:bookmarkEnd w:id="83"/>
      <w:bookmarkEnd w:id="84"/>
      <w:bookmarkEnd w:id="85"/>
      <w:bookmarkEnd w:id="86"/>
      <w:bookmarkEnd w:id="87"/>
      <w:bookmarkEnd w:id="88"/>
      <w:bookmarkEnd w:id="89"/>
      <w:bookmarkEnd w:id="90"/>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jc w:val="center"/>
        <w:rPr>
          <w:rFonts w:hint="eastAsia" w:eastAsia="黑体"/>
          <w:b/>
          <w:bCs/>
          <w:color w:val="auto"/>
          <w:sz w:val="72"/>
          <w:highlight w:val="none"/>
        </w:rPr>
      </w:pPr>
      <w:r>
        <w:rPr>
          <w:rFonts w:hint="eastAsia" w:eastAsia="黑体"/>
          <w:b/>
          <w:bCs/>
          <w:color w:val="auto"/>
          <w:sz w:val="72"/>
          <w:highlight w:val="none"/>
        </w:rPr>
        <w:t>可行性研究报告编制合同</w:t>
      </w:r>
    </w:p>
    <w:p>
      <w:pPr>
        <w:jc w:val="center"/>
        <w:rPr>
          <w:rFonts w:hint="eastAsia" w:ascii="宋体" w:hAnsi="宋体"/>
          <w:color w:val="auto"/>
          <w:sz w:val="44"/>
          <w:szCs w:val="44"/>
          <w:highlight w:val="none"/>
        </w:rPr>
      </w:pPr>
    </w:p>
    <w:p>
      <w:pPr>
        <w:jc w:val="center"/>
        <w:rPr>
          <w:rFonts w:hint="eastAsia"/>
          <w:color w:val="auto"/>
          <w:sz w:val="44"/>
          <w:szCs w:val="44"/>
          <w:highlight w:val="none"/>
        </w:rPr>
      </w:pPr>
    </w:p>
    <w:p>
      <w:pPr>
        <w:jc w:val="center"/>
        <w:rPr>
          <w:rFonts w:hint="eastAsia"/>
          <w:color w:val="auto"/>
          <w:sz w:val="44"/>
          <w:szCs w:val="44"/>
          <w:highlight w:val="none"/>
        </w:rPr>
      </w:pPr>
    </w:p>
    <w:p>
      <w:pPr>
        <w:spacing w:line="600" w:lineRule="auto"/>
        <w:ind w:left="1500" w:hanging="2326" w:hangingChars="500"/>
        <w:rPr>
          <w:rFonts w:hint="eastAsia" w:ascii="宋体" w:hAnsi="宋体"/>
          <w:color w:val="auto"/>
          <w:sz w:val="30"/>
          <w:szCs w:val="30"/>
          <w:highlight w:val="none"/>
          <w:u w:val="single"/>
        </w:rPr>
      </w:pPr>
      <w:r>
        <w:rPr>
          <w:rFonts w:hint="eastAsia"/>
          <w:b/>
          <w:bCs/>
          <w:color w:val="auto"/>
          <w:spacing w:val="82"/>
          <w:sz w:val="30"/>
          <w:highlight w:val="none"/>
        </w:rPr>
        <w:t>合同名称：</w:t>
      </w:r>
      <w:r>
        <w:rPr>
          <w:rFonts w:hint="eastAsia" w:ascii="宋体" w:hAnsi="宋体"/>
          <w:color w:val="auto"/>
          <w:sz w:val="30"/>
          <w:szCs w:val="30"/>
          <w:highlight w:val="none"/>
          <w:u w:val="single"/>
          <w:lang w:val="en-US" w:eastAsia="zh-CN"/>
        </w:rPr>
        <w:t xml:space="preserve"> 广州市净水有限公司健康城分公司建设储能设施</w:t>
      </w:r>
      <w:r>
        <w:rPr>
          <w:rFonts w:hint="eastAsia" w:ascii="宋体" w:hAnsi="宋体"/>
          <w:color w:val="auto"/>
          <w:sz w:val="30"/>
          <w:szCs w:val="30"/>
          <w:highlight w:val="none"/>
          <w:u w:val="single"/>
        </w:rPr>
        <w:t>可行性</w:t>
      </w:r>
      <w:r>
        <w:rPr>
          <w:rFonts w:hint="eastAsia"/>
          <w:bCs/>
          <w:color w:val="auto"/>
          <w:sz w:val="30"/>
          <w:szCs w:val="30"/>
          <w:highlight w:val="none"/>
          <w:u w:val="single"/>
        </w:rPr>
        <w:t>研究报告编制</w:t>
      </w:r>
      <w:r>
        <w:rPr>
          <w:rFonts w:hint="eastAsia"/>
          <w:bCs/>
          <w:color w:val="auto"/>
          <w:sz w:val="30"/>
          <w:szCs w:val="30"/>
          <w:highlight w:val="none"/>
          <w:u w:val="single"/>
          <w:lang w:val="en-US" w:eastAsia="zh-CN"/>
        </w:rPr>
        <w:t>合同</w:t>
      </w:r>
    </w:p>
    <w:p>
      <w:pPr>
        <w:spacing w:line="600" w:lineRule="auto"/>
        <w:rPr>
          <w:rFonts w:hint="eastAsia"/>
          <w:b/>
          <w:bCs/>
          <w:color w:val="auto"/>
          <w:sz w:val="30"/>
          <w:highlight w:val="none"/>
          <w:u w:val="single"/>
        </w:rPr>
      </w:pPr>
      <w:r>
        <w:rPr>
          <w:rFonts w:hint="eastAsia"/>
          <w:b/>
          <w:bCs/>
          <w:color w:val="auto"/>
          <w:spacing w:val="82"/>
          <w:sz w:val="30"/>
          <w:highlight w:val="none"/>
        </w:rPr>
        <w:t>工程地点：</w:t>
      </w:r>
      <w:r>
        <w:rPr>
          <w:rFonts w:hint="eastAsia" w:ascii="宋体" w:hAnsi="宋体"/>
          <w:color w:val="auto"/>
          <w:sz w:val="30"/>
          <w:szCs w:val="30"/>
          <w:highlight w:val="none"/>
          <w:u w:val="single"/>
        </w:rPr>
        <w:t>广州市</w:t>
      </w:r>
    </w:p>
    <w:p>
      <w:pPr>
        <w:spacing w:line="600" w:lineRule="auto"/>
        <w:rPr>
          <w:b/>
          <w:bCs/>
          <w:color w:val="auto"/>
          <w:spacing w:val="-14"/>
          <w:sz w:val="28"/>
          <w:highlight w:val="none"/>
          <w:u w:val="single"/>
        </w:rPr>
      </w:pPr>
      <w:r>
        <w:rPr>
          <w:rFonts w:hint="eastAsia"/>
          <w:b/>
          <w:bCs/>
          <w:color w:val="auto"/>
          <w:spacing w:val="82"/>
          <w:sz w:val="30"/>
          <w:highlight w:val="none"/>
        </w:rPr>
        <w:t>合同编号：</w:t>
      </w:r>
      <w:r>
        <w:rPr>
          <w:rFonts w:hint="eastAsia" w:ascii="宋体" w:hAnsi="宋体" w:cs="宋体"/>
          <w:bCs/>
          <w:color w:val="auto"/>
          <w:sz w:val="30"/>
          <w:szCs w:val="30"/>
          <w:highlight w:val="none"/>
          <w:u w:val="single"/>
        </w:rPr>
        <w:t>穗净水合[202</w:t>
      </w:r>
      <w:r>
        <w:rPr>
          <w:rFonts w:hint="eastAsia" w:ascii="宋体" w:hAnsi="宋体" w:cs="宋体"/>
          <w:bCs/>
          <w:color w:val="auto"/>
          <w:sz w:val="30"/>
          <w:szCs w:val="30"/>
          <w:highlight w:val="none"/>
          <w:u w:val="single"/>
          <w:lang w:val="en-US" w:eastAsia="zh-CN"/>
        </w:rPr>
        <w:t>4</w:t>
      </w:r>
      <w:r>
        <w:rPr>
          <w:rFonts w:hint="eastAsia" w:ascii="宋体" w:hAnsi="宋体" w:cs="宋体"/>
          <w:bCs/>
          <w:color w:val="auto"/>
          <w:sz w:val="30"/>
          <w:szCs w:val="30"/>
          <w:highlight w:val="none"/>
          <w:u w:val="single"/>
        </w:rPr>
        <w:t>]    号</w:t>
      </w:r>
    </w:p>
    <w:p>
      <w:pPr>
        <w:spacing w:line="600" w:lineRule="auto"/>
        <w:rPr>
          <w:rFonts w:hint="eastAsia"/>
          <w:b/>
          <w:bCs/>
          <w:color w:val="auto"/>
          <w:sz w:val="30"/>
          <w:highlight w:val="none"/>
        </w:rPr>
      </w:pPr>
      <w:r>
        <w:rPr>
          <w:b/>
          <w:bCs/>
          <w:color w:val="auto"/>
          <w:spacing w:val="-14"/>
          <w:sz w:val="28"/>
          <w:highlight w:val="none"/>
        </w:rPr>
        <w:t xml:space="preserve">                   </w:t>
      </w:r>
    </w:p>
    <w:p>
      <w:pPr>
        <w:spacing w:line="600" w:lineRule="auto"/>
        <w:rPr>
          <w:rFonts w:hint="eastAsia"/>
          <w:b/>
          <w:bCs/>
          <w:color w:val="auto"/>
          <w:sz w:val="30"/>
          <w:highlight w:val="none"/>
        </w:rPr>
      </w:pPr>
      <w:r>
        <w:rPr>
          <w:rFonts w:hint="eastAsia"/>
          <w:b/>
          <w:bCs/>
          <w:color w:val="auto"/>
          <w:sz w:val="30"/>
          <w:highlight w:val="none"/>
        </w:rPr>
        <w:t>发   包    人</w:t>
      </w:r>
      <w:r>
        <w:rPr>
          <w:rFonts w:hint="eastAsia"/>
          <w:b/>
          <w:bCs/>
          <w:color w:val="auto"/>
          <w:spacing w:val="82"/>
          <w:sz w:val="30"/>
          <w:highlight w:val="none"/>
        </w:rPr>
        <w:t>：</w:t>
      </w:r>
      <w:r>
        <w:rPr>
          <w:rFonts w:hint="eastAsia" w:ascii="宋体" w:hAnsi="宋体" w:cs="宋体"/>
          <w:bCs/>
          <w:color w:val="auto"/>
          <w:sz w:val="30"/>
          <w:szCs w:val="30"/>
          <w:highlight w:val="none"/>
          <w:u w:val="single"/>
        </w:rPr>
        <w:t>广州市净水有限公司</w:t>
      </w:r>
    </w:p>
    <w:p>
      <w:pPr>
        <w:spacing w:line="600" w:lineRule="auto"/>
        <w:rPr>
          <w:rFonts w:hint="default" w:eastAsia="宋体"/>
          <w:b/>
          <w:bCs/>
          <w:color w:val="auto"/>
          <w:sz w:val="30"/>
          <w:highlight w:val="none"/>
          <w:u w:val="single"/>
          <w:lang w:val="en-US" w:eastAsia="zh-CN"/>
        </w:rPr>
      </w:pPr>
      <w:r>
        <w:rPr>
          <w:rFonts w:hint="eastAsia"/>
          <w:b/>
          <w:bCs/>
          <w:color w:val="auto"/>
          <w:sz w:val="30"/>
          <w:highlight w:val="none"/>
        </w:rPr>
        <w:t>承   包    人</w:t>
      </w:r>
      <w:r>
        <w:rPr>
          <w:rFonts w:hint="eastAsia"/>
          <w:b/>
          <w:bCs/>
          <w:color w:val="auto"/>
          <w:spacing w:val="82"/>
          <w:sz w:val="30"/>
          <w:highlight w:val="none"/>
        </w:rPr>
        <w:t>：</w:t>
      </w:r>
      <w:r>
        <w:rPr>
          <w:rFonts w:hint="eastAsia" w:ascii="宋体" w:hAnsi="宋体" w:cs="宋体"/>
          <w:bCs/>
          <w:color w:val="auto"/>
          <w:sz w:val="30"/>
          <w:szCs w:val="30"/>
          <w:highlight w:val="none"/>
          <w:u w:val="single"/>
          <w:lang w:val="en-US" w:eastAsia="zh-CN"/>
        </w:rPr>
        <w:t xml:space="preserve">                           </w:t>
      </w:r>
    </w:p>
    <w:p>
      <w:pPr>
        <w:rPr>
          <w:rFonts w:hint="eastAsia" w:ascii="宋体" w:hAnsi="宋体" w:cs="宋体"/>
          <w:bCs/>
          <w:color w:val="auto"/>
          <w:sz w:val="30"/>
          <w:szCs w:val="30"/>
          <w:highlight w:val="none"/>
          <w:u w:val="single"/>
        </w:rPr>
      </w:pPr>
      <w:r>
        <w:rPr>
          <w:rFonts w:hint="eastAsia"/>
          <w:b/>
          <w:bCs/>
          <w:color w:val="auto"/>
          <w:spacing w:val="82"/>
          <w:sz w:val="30"/>
          <w:highlight w:val="none"/>
        </w:rPr>
        <w:t>签订日期：</w:t>
      </w:r>
      <w:r>
        <w:rPr>
          <w:rFonts w:hint="eastAsia" w:ascii="宋体" w:hAnsi="宋体" w:cs="宋体"/>
          <w:bCs/>
          <w:color w:val="auto"/>
          <w:sz w:val="30"/>
          <w:szCs w:val="30"/>
          <w:highlight w:val="none"/>
          <w:u w:val="single"/>
        </w:rPr>
        <w:t>202</w:t>
      </w:r>
      <w:r>
        <w:rPr>
          <w:rFonts w:hint="eastAsia" w:ascii="宋体" w:hAnsi="宋体" w:cs="宋体"/>
          <w:bCs/>
          <w:color w:val="auto"/>
          <w:sz w:val="30"/>
          <w:szCs w:val="30"/>
          <w:highlight w:val="none"/>
          <w:u w:val="single"/>
          <w:lang w:val="en-US" w:eastAsia="zh-CN"/>
        </w:rPr>
        <w:t>4</w:t>
      </w:r>
      <w:r>
        <w:rPr>
          <w:rFonts w:hint="eastAsia" w:ascii="宋体" w:hAnsi="宋体" w:cs="宋体"/>
          <w:bCs/>
          <w:color w:val="auto"/>
          <w:sz w:val="30"/>
          <w:szCs w:val="30"/>
          <w:highlight w:val="none"/>
          <w:u w:val="single"/>
        </w:rPr>
        <w:t>年  月  日</w:t>
      </w:r>
    </w:p>
    <w:p>
      <w:pPr>
        <w:pStyle w:val="2"/>
        <w:rPr>
          <w:rFonts w:hint="eastAsia"/>
          <w:color w:val="auto"/>
          <w:highlight w:val="none"/>
        </w:rPr>
      </w:pPr>
    </w:p>
    <w:p>
      <w:pPr>
        <w:jc w:val="center"/>
        <w:rPr>
          <w:rFonts w:hint="eastAsia" w:ascii="宋体" w:hAnsi="宋体"/>
          <w:color w:val="auto"/>
          <w:sz w:val="44"/>
          <w:szCs w:val="44"/>
          <w:highlight w:val="none"/>
        </w:rPr>
      </w:pPr>
    </w:p>
    <w:p>
      <w:pPr>
        <w:pStyle w:val="2"/>
        <w:rPr>
          <w:rFonts w:hint="eastAsia" w:ascii="宋体" w:hAnsi="宋体"/>
          <w:color w:val="auto"/>
          <w:sz w:val="44"/>
          <w:szCs w:val="44"/>
          <w:highlight w:val="none"/>
        </w:rPr>
      </w:pPr>
    </w:p>
    <w:p>
      <w:pPr>
        <w:pStyle w:val="2"/>
        <w:rPr>
          <w:rFonts w:hint="eastAsia" w:ascii="宋体" w:hAnsi="宋体"/>
          <w:color w:val="auto"/>
          <w:sz w:val="44"/>
          <w:szCs w:val="44"/>
          <w:highlight w:val="none"/>
        </w:rPr>
      </w:pPr>
    </w:p>
    <w:p>
      <w:pPr>
        <w:pStyle w:val="2"/>
        <w:rPr>
          <w:rFonts w:hint="eastAsia" w:ascii="宋体" w:hAnsi="宋体"/>
          <w:color w:val="auto"/>
          <w:sz w:val="44"/>
          <w:szCs w:val="44"/>
          <w:highlight w:val="none"/>
        </w:rPr>
      </w:pPr>
    </w:p>
    <w:p>
      <w:pPr>
        <w:pStyle w:val="2"/>
        <w:ind w:firstLine="0"/>
        <w:rPr>
          <w:rFonts w:hint="eastAsia" w:ascii="宋体" w:hAnsi="宋体"/>
          <w:color w:val="auto"/>
          <w:sz w:val="44"/>
          <w:szCs w:val="44"/>
          <w:highlight w:val="none"/>
        </w:rPr>
      </w:pPr>
    </w:p>
    <w:p>
      <w:pPr>
        <w:jc w:val="center"/>
        <w:rPr>
          <w:rFonts w:hint="eastAsia" w:ascii="宋体" w:hAnsi="宋体"/>
          <w:color w:val="auto"/>
          <w:sz w:val="44"/>
          <w:szCs w:val="44"/>
          <w:highlight w:val="none"/>
        </w:rPr>
      </w:pPr>
      <w:r>
        <w:rPr>
          <w:rFonts w:hint="eastAsia" w:ascii="宋体" w:hAnsi="宋体"/>
          <w:color w:val="auto"/>
          <w:sz w:val="44"/>
          <w:szCs w:val="44"/>
          <w:highlight w:val="none"/>
        </w:rPr>
        <w:t>合同文件</w:t>
      </w:r>
    </w:p>
    <w:p>
      <w:pPr>
        <w:rPr>
          <w:rFonts w:hint="eastAsia" w:ascii="宋体" w:hAnsi="宋体"/>
          <w:color w:val="auto"/>
          <w:sz w:val="24"/>
          <w:highlight w:val="none"/>
        </w:rPr>
      </w:pPr>
    </w:p>
    <w:p>
      <w:pPr>
        <w:adjustRightInd w:val="0"/>
        <w:spacing w:line="360" w:lineRule="auto"/>
        <w:ind w:firstLine="480" w:firstLineChars="200"/>
        <w:jc w:val="left"/>
        <w:textAlignment w:val="baseline"/>
        <w:rPr>
          <w:rFonts w:ascii="宋体" w:hAnsi="宋体" w:cs="宋体"/>
          <w:color w:val="auto"/>
          <w:sz w:val="24"/>
          <w:highlight w:val="none"/>
          <w:u w:val="single"/>
        </w:rPr>
      </w:pPr>
      <w:r>
        <w:rPr>
          <w:rFonts w:hint="eastAsia" w:ascii="宋体" w:hAnsi="宋体" w:cs="宋体"/>
          <w:color w:val="auto"/>
          <w:sz w:val="24"/>
          <w:highlight w:val="none"/>
        </w:rPr>
        <w:t>甲方 ：</w:t>
      </w:r>
      <w:r>
        <w:rPr>
          <w:rFonts w:hint="eastAsia" w:ascii="宋体" w:hAnsi="宋体" w:cs="宋体"/>
          <w:color w:val="auto"/>
          <w:sz w:val="24"/>
          <w:highlight w:val="none"/>
          <w:u w:val="single"/>
        </w:rPr>
        <w:t>广州市</w:t>
      </w:r>
      <w:r>
        <w:rPr>
          <w:rFonts w:hint="eastAsia" w:ascii="宋体" w:hAnsi="宋体" w:cs="宋体"/>
          <w:bCs/>
          <w:color w:val="auto"/>
          <w:sz w:val="24"/>
          <w:highlight w:val="none"/>
          <w:u w:val="single"/>
        </w:rPr>
        <w:t>净水有限公司</w:t>
      </w:r>
    </w:p>
    <w:p>
      <w:pPr>
        <w:adjustRightInd w:val="0"/>
        <w:spacing w:line="360" w:lineRule="auto"/>
        <w:ind w:firstLine="480" w:firstLineChars="200"/>
        <w:jc w:val="left"/>
        <w:textAlignment w:val="baseline"/>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乙方 ：</w:t>
      </w:r>
      <w:r>
        <w:rPr>
          <w:rFonts w:hint="eastAsia" w:hAnsi="宋体" w:cs="宋体"/>
          <w:color w:val="auto"/>
          <w:sz w:val="24"/>
          <w:highlight w:val="none"/>
          <w:u w:val="single"/>
          <w:lang w:val="en-US" w:eastAsia="zh-CN"/>
        </w:rPr>
        <w:t xml:space="preserve">                     </w:t>
      </w:r>
    </w:p>
    <w:p>
      <w:pPr>
        <w:adjustRightInd w:val="0"/>
        <w:spacing w:line="360" w:lineRule="auto"/>
        <w:ind w:firstLine="228" w:firstLineChars="95"/>
        <w:jc w:val="left"/>
        <w:textAlignment w:val="baseline"/>
        <w:rPr>
          <w:rFonts w:ascii="宋体" w:hAnsi="宋体" w:cs="宋体"/>
          <w:color w:val="auto"/>
          <w:sz w:val="24"/>
          <w:highlight w:val="none"/>
          <w:u w:val="single"/>
        </w:rPr>
      </w:pPr>
    </w:p>
    <w:p>
      <w:pPr>
        <w:adjustRightInd w:val="0"/>
        <w:spacing w:line="360" w:lineRule="auto"/>
        <w:ind w:firstLine="480" w:firstLineChars="200"/>
        <w:jc w:val="left"/>
        <w:textAlignment w:val="baseline"/>
        <w:rPr>
          <w:rFonts w:ascii="宋体" w:hAnsi="宋体" w:cs="宋体"/>
          <w:color w:val="auto"/>
          <w:sz w:val="24"/>
          <w:highlight w:val="none"/>
          <w:u w:val="single"/>
        </w:rPr>
      </w:pPr>
      <w:r>
        <w:rPr>
          <w:rFonts w:hint="eastAsia" w:ascii="宋体" w:hAnsi="宋体" w:cs="宋体"/>
          <w:color w:val="auto"/>
          <w:sz w:val="24"/>
          <w:highlight w:val="none"/>
        </w:rPr>
        <w:t>广州市净水有限公司（委托方，以下称“甲方”）就</w:t>
      </w:r>
      <w:r>
        <w:rPr>
          <w:rFonts w:hint="eastAsia" w:hAnsi="宋体" w:cs="宋体"/>
          <w:color w:val="auto"/>
          <w:sz w:val="24"/>
          <w:highlight w:val="none"/>
          <w:u w:val="single"/>
          <w:lang w:val="en-US" w:eastAsia="zh-CN"/>
        </w:rPr>
        <w:t xml:space="preserve"> 健康城分公司建设储能设施</w:t>
      </w:r>
      <w:r>
        <w:rPr>
          <w:rFonts w:hint="eastAsia" w:hAnsi="宋体" w:cs="宋体"/>
          <w:color w:val="auto"/>
          <w:sz w:val="24"/>
          <w:highlight w:val="none"/>
          <w:u w:val="single"/>
        </w:rPr>
        <w:t>可行性研究报告编制</w:t>
      </w:r>
      <w:r>
        <w:rPr>
          <w:rFonts w:hint="eastAsia" w:hAnsi="宋体" w:cs="宋体"/>
          <w:color w:val="auto"/>
          <w:sz w:val="24"/>
          <w:highlight w:val="none"/>
          <w:u w:val="single"/>
          <w:lang w:val="en-US" w:eastAsia="zh-CN"/>
        </w:rPr>
        <w:t xml:space="preserve"> </w:t>
      </w:r>
      <w:r>
        <w:rPr>
          <w:rFonts w:hint="eastAsia" w:ascii="宋体" w:hAnsi="宋体" w:cs="宋体"/>
          <w:color w:val="auto"/>
          <w:sz w:val="24"/>
          <w:highlight w:val="none"/>
        </w:rPr>
        <w:t>项目</w:t>
      </w:r>
      <w:r>
        <w:rPr>
          <w:rFonts w:hint="eastAsia" w:hAnsi="宋体" w:cs="宋体"/>
          <w:color w:val="auto"/>
          <w:sz w:val="24"/>
          <w:highlight w:val="none"/>
          <w:u w:val="single"/>
        </w:rPr>
        <w:t>（下称可研）委</w:t>
      </w:r>
      <w:r>
        <w:rPr>
          <w:rFonts w:hint="eastAsia" w:ascii="宋体" w:hAnsi="宋体" w:cs="宋体"/>
          <w:color w:val="auto"/>
          <w:sz w:val="24"/>
          <w:highlight w:val="none"/>
        </w:rPr>
        <w:t>托</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single"/>
        </w:rPr>
        <w:t>（受托方，</w:t>
      </w:r>
      <w:r>
        <w:rPr>
          <w:rFonts w:hint="eastAsia" w:ascii="宋体" w:hAnsi="宋体" w:cs="宋体"/>
          <w:color w:val="auto"/>
          <w:sz w:val="24"/>
          <w:highlight w:val="none"/>
        </w:rPr>
        <w:t>以下称“乙方”）提供相应</w:t>
      </w:r>
      <w:r>
        <w:rPr>
          <w:rFonts w:hint="eastAsia" w:hAnsi="宋体" w:cs="宋体"/>
          <w:color w:val="auto"/>
          <w:sz w:val="24"/>
          <w:highlight w:val="none"/>
        </w:rPr>
        <w:t>咨询服务</w:t>
      </w:r>
      <w:r>
        <w:rPr>
          <w:rFonts w:hint="eastAsia" w:ascii="宋体" w:hAnsi="宋体" w:cs="宋体"/>
          <w:color w:val="auto"/>
          <w:sz w:val="24"/>
          <w:highlight w:val="none"/>
        </w:rPr>
        <w:t>。</w:t>
      </w:r>
      <w:r>
        <w:rPr>
          <w:rFonts w:hint="eastAsia" w:hAnsi="宋体" w:cs="宋体"/>
          <w:color w:val="auto"/>
          <w:sz w:val="24"/>
          <w:highlight w:val="none"/>
        </w:rPr>
        <w:t>经</w:t>
      </w:r>
      <w:r>
        <w:rPr>
          <w:rFonts w:hint="eastAsia" w:ascii="宋体" w:hAnsi="宋体" w:cs="宋体"/>
          <w:color w:val="auto"/>
          <w:sz w:val="24"/>
          <w:highlight w:val="none"/>
        </w:rPr>
        <w:t>双方经协商一致，签订本合同。</w:t>
      </w:r>
    </w:p>
    <w:p>
      <w:pPr>
        <w:pStyle w:val="13"/>
        <w:spacing w:line="360" w:lineRule="auto"/>
        <w:rPr>
          <w:rFonts w:hint="eastAsia" w:hAnsi="宋体" w:cs="宋体"/>
          <w:color w:val="auto"/>
          <w:sz w:val="24"/>
          <w:szCs w:val="24"/>
          <w:highlight w:val="none"/>
        </w:rPr>
      </w:pPr>
    </w:p>
    <w:p>
      <w:pPr>
        <w:adjustRightInd w:val="0"/>
        <w:spacing w:line="360" w:lineRule="auto"/>
        <w:jc w:val="left"/>
        <w:textAlignment w:val="baseline"/>
        <w:rPr>
          <w:rFonts w:ascii="宋体" w:hAnsi="宋体" w:cs="宋体"/>
          <w:b/>
          <w:color w:val="auto"/>
          <w:sz w:val="24"/>
          <w:highlight w:val="none"/>
        </w:rPr>
      </w:pPr>
      <w:r>
        <w:rPr>
          <w:rFonts w:hint="eastAsia" w:ascii="宋体" w:hAnsi="宋体" w:cs="宋体"/>
          <w:b/>
          <w:bCs/>
          <w:color w:val="auto"/>
          <w:sz w:val="24"/>
          <w:highlight w:val="none"/>
        </w:rPr>
        <w:t>第一条</w:t>
      </w:r>
      <w:r>
        <w:rPr>
          <w:rFonts w:hint="eastAsia" w:ascii="宋体" w:hAnsi="宋体" w:cs="宋体"/>
          <w:b/>
          <w:color w:val="auto"/>
          <w:sz w:val="24"/>
          <w:highlight w:val="none"/>
        </w:rPr>
        <w:t xml:space="preserve">  签订依据 </w:t>
      </w:r>
    </w:p>
    <w:p>
      <w:pPr>
        <w:overflowPunct w:val="0"/>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《中华人民共和国民法典》、《中华人民共和国</w:t>
      </w:r>
      <w:r>
        <w:rPr>
          <w:rFonts w:hint="eastAsia" w:ascii="宋体" w:hAnsi="宋体" w:cs="宋体"/>
          <w:color w:val="auto"/>
          <w:sz w:val="24"/>
          <w:highlight w:val="none"/>
          <w:lang w:val="en-US" w:eastAsia="zh-CN"/>
        </w:rPr>
        <w:t>公司</w:t>
      </w:r>
      <w:r>
        <w:rPr>
          <w:rFonts w:hint="eastAsia" w:ascii="宋体" w:hAnsi="宋体" w:cs="宋体"/>
          <w:color w:val="auto"/>
          <w:sz w:val="24"/>
          <w:highlight w:val="none"/>
        </w:rPr>
        <w:t>法》。</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第二条  编制依据</w:t>
      </w:r>
    </w:p>
    <w:p>
      <w:pPr>
        <w:overflowPunct w:val="0"/>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2.1甲方给乙方的发包通知书</w:t>
      </w:r>
    </w:p>
    <w:p>
      <w:pPr>
        <w:overflowPunct w:val="0"/>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2.2甲方提交的基础资料</w:t>
      </w:r>
    </w:p>
    <w:p>
      <w:pPr>
        <w:overflowPunct w:val="0"/>
        <w:spacing w:line="360" w:lineRule="auto"/>
        <w:ind w:firstLine="480" w:firstLineChars="200"/>
        <w:rPr>
          <w:rFonts w:ascii="宋体" w:hAnsi="宋体"/>
          <w:color w:val="auto"/>
          <w:sz w:val="24"/>
          <w:highlight w:val="none"/>
        </w:rPr>
      </w:pPr>
      <w:r>
        <w:rPr>
          <w:rFonts w:hint="eastAsia" w:ascii="宋体"/>
          <w:color w:val="auto"/>
          <w:sz w:val="24"/>
          <w:highlight w:val="none"/>
        </w:rPr>
        <w:t>2.3</w:t>
      </w:r>
      <w:r>
        <w:rPr>
          <w:rFonts w:hint="eastAsia" w:ascii="宋体" w:hAnsi="宋体"/>
          <w:color w:val="auto"/>
          <w:sz w:val="24"/>
          <w:highlight w:val="none"/>
        </w:rPr>
        <w:t xml:space="preserve"> 乙方采用的主要技术标准包括但不限于：（1）按国家计委、建设部2006年颁布《建设项目经济评价办法与参数》(第三版)中的要求执行；(2)按国家计委办公厅2002年批准试用的《投资项目可行性研究指南(试用版)》中的有关要求执行；（3）《建设项目安全设施“三同时”监督管理办法》；（4）《关于印发申请审批项目建议书和可行性研究报告文件格式文本（试用）的通知》（穗发改投资〔2012〕50号）；（5）《检验检测机构资质认定能力评价检验检测机构通用要求》（RB/T 214—2017）；（6）《检验检测机构监督管理办法》（国家市场监督管理总局39号令）</w:t>
      </w:r>
      <w:r>
        <w:rPr>
          <w:rFonts w:hint="eastAsia" w:ascii="宋体" w:hAnsi="宋体"/>
          <w:color w:val="auto"/>
          <w:sz w:val="24"/>
          <w:highlight w:val="none"/>
          <w:lang w:eastAsia="zh-CN"/>
        </w:rPr>
        <w:t>。</w:t>
      </w:r>
    </w:p>
    <w:p>
      <w:pPr>
        <w:overflowPunct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上述规范如有更新的，以最新版本为准。</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第三条  合同文件的优先次序</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构成本合同的文件可视为是能互相说明的，如果合同文件存在歧义或不一致，则根据如下优先次序来判断其效力：</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3.1合同书</w:t>
      </w:r>
    </w:p>
    <w:p>
      <w:pPr>
        <w:adjustRightInd w:val="0"/>
        <w:spacing w:line="360" w:lineRule="auto"/>
        <w:ind w:firstLine="480" w:firstLineChars="200"/>
        <w:jc w:val="left"/>
        <w:textAlignment w:val="baseline"/>
        <w:rPr>
          <w:rFonts w:ascii="宋体" w:hAnsi="宋体" w:cs="宋体"/>
          <w:color w:val="auto"/>
          <w:sz w:val="24"/>
          <w:highlight w:val="none"/>
          <w:shd w:val="pct10" w:color="auto" w:fill="FFFFFF"/>
        </w:rPr>
      </w:pPr>
      <w:r>
        <w:rPr>
          <w:rFonts w:hint="eastAsia" w:ascii="宋体" w:hAnsi="宋体" w:cs="宋体"/>
          <w:color w:val="auto"/>
          <w:sz w:val="24"/>
          <w:highlight w:val="none"/>
        </w:rPr>
        <w:t>3.2发包通知书</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 xml:space="preserve">3.3 甲方的要求 </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3.4技术规范</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第四条  项目概况</w:t>
      </w:r>
    </w:p>
    <w:p>
      <w:pPr>
        <w:spacing w:line="360" w:lineRule="auto"/>
        <w:ind w:left="1" w:firstLine="480" w:firstLineChars="200"/>
        <w:rPr>
          <w:rFonts w:ascii="宋体" w:hAnsi="宋体"/>
          <w:color w:val="auto"/>
          <w:sz w:val="24"/>
          <w:highlight w:val="none"/>
        </w:rPr>
      </w:pPr>
      <w:r>
        <w:rPr>
          <w:rFonts w:hint="eastAsia" w:ascii="宋体" w:hAnsi="宋体"/>
          <w:color w:val="auto"/>
          <w:sz w:val="24"/>
          <w:highlight w:val="none"/>
        </w:rPr>
        <w:t>4.1</w:t>
      </w:r>
      <w:r>
        <w:rPr>
          <w:rFonts w:hint="eastAsia" w:hAnsi="宋体"/>
          <w:color w:val="auto"/>
          <w:sz w:val="24"/>
          <w:highlight w:val="none"/>
        </w:rPr>
        <w:t xml:space="preserve"> 甲方委托乙方承担</w:t>
      </w:r>
      <w:r>
        <w:rPr>
          <w:rFonts w:hint="eastAsia" w:ascii="宋体" w:hAnsi="宋体"/>
          <w:color w:val="auto"/>
          <w:sz w:val="24"/>
          <w:highlight w:val="none"/>
          <w:u w:val="single"/>
          <w:lang w:val="en-US" w:eastAsia="zh-CN"/>
        </w:rPr>
        <w:t xml:space="preserve"> 健康城分公司建设储能设施 </w:t>
      </w:r>
      <w:r>
        <w:rPr>
          <w:rFonts w:hint="eastAsia" w:hAnsi="宋体"/>
          <w:color w:val="auto"/>
          <w:sz w:val="24"/>
          <w:highlight w:val="none"/>
        </w:rPr>
        <w:t>的可行性研究报告编制工作。</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4.2</w:t>
      </w:r>
      <w:r>
        <w:rPr>
          <w:rFonts w:hint="eastAsia" w:ascii="宋体"/>
          <w:color w:val="auto"/>
          <w:sz w:val="24"/>
          <w:highlight w:val="none"/>
        </w:rPr>
        <w:t xml:space="preserve"> 可行性研究报告要对</w:t>
      </w:r>
      <w:r>
        <w:rPr>
          <w:rFonts w:hint="eastAsia" w:ascii="宋体"/>
          <w:color w:val="auto"/>
          <w:sz w:val="24"/>
          <w:highlight w:val="none"/>
          <w:lang w:val="en-US" w:eastAsia="zh-CN"/>
        </w:rPr>
        <w:t>建设储能设施</w:t>
      </w:r>
      <w:r>
        <w:rPr>
          <w:rFonts w:hint="eastAsia" w:ascii="宋体"/>
          <w:color w:val="auto"/>
          <w:sz w:val="24"/>
          <w:highlight w:val="none"/>
        </w:rPr>
        <w:t>的可行性</w:t>
      </w:r>
      <w:r>
        <w:rPr>
          <w:rFonts w:hint="eastAsia" w:ascii="宋体"/>
          <w:color w:val="auto"/>
          <w:sz w:val="24"/>
          <w:highlight w:val="none"/>
          <w:lang w:eastAsia="zh-CN"/>
        </w:rPr>
        <w:t>、</w:t>
      </w:r>
      <w:r>
        <w:rPr>
          <w:rFonts w:hint="eastAsia" w:ascii="宋体"/>
          <w:color w:val="auto"/>
          <w:sz w:val="24"/>
          <w:highlight w:val="none"/>
        </w:rPr>
        <w:t>必要性进行分析，并对储能设备技术路线、设备容量和接入方案等进行初步规划</w:t>
      </w:r>
      <w:r>
        <w:rPr>
          <w:rFonts w:ascii="宋体"/>
          <w:color w:val="auto"/>
          <w:sz w:val="24"/>
          <w:highlight w:val="none"/>
        </w:rPr>
        <w:t>，供领导决策和为下阶段工作提供依据。</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第五条 乙方向甲方交付资料及文件</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5.1本合同签订</w:t>
      </w:r>
      <w:r>
        <w:rPr>
          <w:rFonts w:hint="eastAsia" w:ascii="宋体" w:hAnsi="宋体" w:cs="宋体"/>
          <w:color w:val="auto"/>
          <w:sz w:val="24"/>
          <w:highlight w:val="none"/>
          <w:lang w:val="en-US" w:eastAsia="zh-CN"/>
        </w:rPr>
        <w:t>生效</w:t>
      </w:r>
      <w:r>
        <w:rPr>
          <w:rFonts w:hint="eastAsia" w:ascii="宋体" w:hAnsi="宋体" w:cs="宋体"/>
          <w:color w:val="auto"/>
          <w:sz w:val="24"/>
          <w:highlight w:val="none"/>
        </w:rPr>
        <w:t>后，乙方应在</w:t>
      </w:r>
      <w:r>
        <w:rPr>
          <w:rFonts w:hint="eastAsia" w:ascii="宋体" w:hAnsi="宋体" w:cs="宋体"/>
          <w:color w:val="auto"/>
          <w:sz w:val="24"/>
          <w:highlight w:val="none"/>
          <w:lang w:val="en-US" w:eastAsia="zh-CN"/>
        </w:rPr>
        <w:t>2个工作</w:t>
      </w:r>
      <w:r>
        <w:rPr>
          <w:rFonts w:hint="eastAsia" w:ascii="宋体" w:hAnsi="宋体" w:cs="宋体"/>
          <w:color w:val="auto"/>
          <w:sz w:val="24"/>
          <w:highlight w:val="none"/>
        </w:rPr>
        <w:t>日内提交编制计划及参编人员名单</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在5个工作日内出具</w:t>
      </w:r>
      <w:r>
        <w:rPr>
          <w:rFonts w:hint="eastAsia" w:ascii="宋体" w:hAnsi="宋体" w:cs="宋体"/>
          <w:color w:val="auto"/>
          <w:sz w:val="24"/>
          <w:highlight w:val="none"/>
        </w:rPr>
        <w:t>可行性研究报告(第一次成果)</w:t>
      </w:r>
      <w:r>
        <w:rPr>
          <w:rFonts w:hint="eastAsia" w:ascii="宋体" w:hAnsi="宋体" w:cs="宋体"/>
          <w:color w:val="auto"/>
          <w:sz w:val="24"/>
          <w:highlight w:val="none"/>
          <w:lang w:eastAsia="zh-CN"/>
        </w:rPr>
        <w:t>，</w:t>
      </w:r>
      <w:r>
        <w:rPr>
          <w:rFonts w:hint="eastAsia" w:ascii="宋体" w:hAnsi="宋体" w:cs="宋体"/>
          <w:color w:val="auto"/>
          <w:sz w:val="24"/>
          <w:highlight w:val="none"/>
        </w:rPr>
        <w:t>用于与甲方</w:t>
      </w:r>
      <w:r>
        <w:rPr>
          <w:rFonts w:hint="eastAsia" w:ascii="宋体" w:hAnsi="宋体" w:cs="宋体"/>
          <w:color w:val="auto"/>
          <w:sz w:val="24"/>
          <w:highlight w:val="none"/>
          <w:lang w:val="en-US" w:eastAsia="zh-CN"/>
        </w:rPr>
        <w:t>中段</w:t>
      </w:r>
      <w:r>
        <w:rPr>
          <w:rFonts w:hint="eastAsia" w:ascii="宋体" w:hAnsi="宋体" w:cs="宋体"/>
          <w:color w:val="auto"/>
          <w:sz w:val="24"/>
          <w:highlight w:val="none"/>
        </w:rPr>
        <w:t>沟通</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在10个工作日内完成可行性研究报告（最终成果）。</w:t>
      </w:r>
      <w:r>
        <w:rPr>
          <w:rFonts w:hint="eastAsia" w:ascii="宋体" w:hAnsi="宋体" w:cs="宋体"/>
          <w:color w:val="auto"/>
          <w:sz w:val="24"/>
          <w:highlight w:val="none"/>
        </w:rPr>
        <w:t>合同执行中，乙方如需更换工作人员的，需征得甲方书面同意。</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5.2</w:t>
      </w:r>
      <w:r>
        <w:rPr>
          <w:rFonts w:hint="eastAsia" w:ascii="宋体" w:hAnsi="宋体" w:cs="宋体"/>
          <w:sz w:val="24"/>
          <w:highlight w:val="none"/>
        </w:rPr>
        <w:t>通过</w:t>
      </w:r>
      <w:r>
        <w:rPr>
          <w:rFonts w:hint="eastAsia" w:ascii="宋体" w:hAnsi="宋体" w:cs="宋体"/>
          <w:sz w:val="24"/>
          <w:highlight w:val="none"/>
          <w:lang w:val="en-US" w:eastAsia="zh-CN"/>
        </w:rPr>
        <w:t>甲方组织的</w:t>
      </w:r>
      <w:r>
        <w:rPr>
          <w:rFonts w:hint="eastAsia" w:ascii="宋体" w:hAnsi="宋体" w:cs="宋体"/>
          <w:sz w:val="24"/>
          <w:highlight w:val="none"/>
        </w:rPr>
        <w:t>专家评审后</w:t>
      </w:r>
      <w:r>
        <w:rPr>
          <w:rFonts w:hint="eastAsia" w:ascii="宋体" w:hAnsi="宋体" w:cs="宋体"/>
          <w:sz w:val="24"/>
          <w:highlight w:val="none"/>
          <w:lang w:eastAsia="zh-CN"/>
        </w:rPr>
        <w:t>（</w:t>
      </w:r>
      <w:r>
        <w:rPr>
          <w:rFonts w:hint="eastAsia" w:ascii="宋体" w:hAnsi="宋体" w:cs="宋体"/>
          <w:sz w:val="24"/>
          <w:highlight w:val="none"/>
          <w:lang w:val="en-US" w:eastAsia="zh-CN"/>
        </w:rPr>
        <w:t>专家费用由甲方负责</w:t>
      </w:r>
      <w:r>
        <w:rPr>
          <w:rFonts w:hint="eastAsia" w:ascii="宋体" w:hAnsi="宋体" w:cs="宋体"/>
          <w:sz w:val="24"/>
          <w:highlight w:val="none"/>
          <w:lang w:eastAsia="zh-CN"/>
        </w:rPr>
        <w:t>）</w:t>
      </w:r>
      <w:r>
        <w:rPr>
          <w:rFonts w:hint="eastAsia" w:ascii="宋体" w:hAnsi="宋体" w:cs="宋体"/>
          <w:sz w:val="24"/>
          <w:highlight w:val="none"/>
        </w:rPr>
        <w:t>，乙方应在10个工作日内提交可行性研究报告(最终成果)纸质打印一式拾贰份，电子档一份（未加密且可编辑格式），具体以甲方通知为准。</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3</w:t>
      </w:r>
      <w:r>
        <w:rPr>
          <w:rFonts w:hint="eastAsia" w:ascii="宋体"/>
          <w:color w:val="auto"/>
          <w:sz w:val="24"/>
          <w:highlight w:val="none"/>
        </w:rPr>
        <w:t>乙方须将可研报告及投资估算汇总成一册出版。</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 xml:space="preserve">第六条 费用 </w:t>
      </w:r>
    </w:p>
    <w:p>
      <w:pPr>
        <w:pStyle w:val="2"/>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ascii="宋体" w:hAnsi="宋体" w:eastAsia="宋体" w:cs="宋体"/>
          <w:color w:val="auto"/>
          <w:sz w:val="24"/>
          <w:highlight w:val="none"/>
        </w:rPr>
        <w:t>.1</w:t>
      </w:r>
      <w:r>
        <w:rPr>
          <w:rFonts w:hint="eastAsia" w:ascii="宋体" w:hAnsi="宋体" w:eastAsia="宋体" w:cs="宋体"/>
          <w:color w:val="auto"/>
          <w:sz w:val="24"/>
          <w:highlight w:val="none"/>
        </w:rPr>
        <w:t>本合同总价包干，合同暂定总价为人民币</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rPr>
        <w:t>万元，（大写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w:t>
      </w:r>
      <w:r>
        <w:rPr>
          <w:rFonts w:hint="eastAsia" w:ascii="宋体" w:hAnsi="宋体" w:eastAsia="宋体" w:cs="宋体"/>
          <w:color w:val="auto"/>
          <w:sz w:val="24"/>
          <w:highlight w:val="none"/>
        </w:rPr>
        <w:t>；经甲方或甲方委托有资质第三方机构审核后，若结算审核价比合同暂定总价低，则以结算审核价作为合同结算价，否则以合同暂定总价为合同结算价。</w:t>
      </w:r>
    </w:p>
    <w:p>
      <w:pPr>
        <w:pStyle w:val="2"/>
        <w:rPr>
          <w:rFonts w:hint="eastAsia" w:ascii="宋体" w:hAnsi="宋体" w:eastAsia="宋体" w:cs="宋体"/>
          <w:color w:val="auto"/>
          <w:sz w:val="24"/>
          <w:highlight w:val="none"/>
        </w:rPr>
      </w:pPr>
      <w:r>
        <w:rPr>
          <w:rFonts w:hint="eastAsia" w:ascii="宋体" w:hAnsi="宋体" w:eastAsia="宋体" w:cs="宋体"/>
          <w:color w:val="auto"/>
          <w:sz w:val="24"/>
          <w:highlight w:val="none"/>
        </w:rPr>
        <w:t>此费用在项目实施期间费用均不得调整（如项目实施内容变更，需调整合同暂定价，双方另行协商签订补充协议）。</w:t>
      </w:r>
    </w:p>
    <w:p>
      <w:pPr>
        <w:pStyle w:val="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.2本合同约定的价格为含税价价格（税率 …%），合同履行期间国家税率调整或乙方开票的实际税率与前述税率不一致的，不含税价不变，价税合计按实际税率相应调整，以开具发票时间为准。</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第七条 支付方式</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 xml:space="preserve"> 待</w:t>
      </w:r>
      <w:r>
        <w:rPr>
          <w:rFonts w:hint="eastAsia" w:ascii="宋体" w:hAnsi="宋体" w:cs="宋体"/>
          <w:color w:val="auto"/>
          <w:sz w:val="24"/>
          <w:highlight w:val="none"/>
          <w:lang w:val="en-US" w:eastAsia="zh-CN"/>
        </w:rPr>
        <w:t>乙方将</w:t>
      </w:r>
      <w:r>
        <w:rPr>
          <w:rFonts w:hint="eastAsia" w:ascii="宋体" w:hAnsi="宋体" w:cs="宋体"/>
          <w:color w:val="auto"/>
          <w:sz w:val="24"/>
          <w:highlight w:val="none"/>
        </w:rPr>
        <w:t>可行性研究报告(最终成果)纸质打印一式拾贰份</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电子档一份（未加密且可编辑格式）</w:t>
      </w:r>
      <w:r>
        <w:rPr>
          <w:rFonts w:hint="eastAsia" w:ascii="宋体" w:hAnsi="宋体" w:cs="宋体"/>
          <w:color w:val="auto"/>
          <w:sz w:val="24"/>
          <w:highlight w:val="none"/>
          <w:lang w:val="en-US" w:eastAsia="zh-CN"/>
        </w:rPr>
        <w:t>交甲方后，</w:t>
      </w:r>
      <w:r>
        <w:rPr>
          <w:rFonts w:hint="eastAsia" w:ascii="宋体" w:hAnsi="宋体" w:cs="宋体"/>
          <w:sz w:val="24"/>
          <w:highlight w:val="none"/>
        </w:rPr>
        <w:t>乙方向甲方提出支付申请，</w:t>
      </w:r>
      <w:r>
        <w:rPr>
          <w:rFonts w:hint="eastAsia" w:ascii="宋体" w:hAnsi="宋体" w:cs="宋体"/>
          <w:sz w:val="24"/>
          <w:highlight w:val="none"/>
          <w:lang w:val="en-US" w:eastAsia="zh-CN"/>
        </w:rPr>
        <w:t>经甲方或甲方委托有资质第三方机构审核后，</w:t>
      </w:r>
      <w:r>
        <w:rPr>
          <w:rFonts w:hint="eastAsia" w:ascii="宋体" w:hAnsi="宋体" w:cs="宋体"/>
          <w:sz w:val="24"/>
          <w:highlight w:val="none"/>
        </w:rPr>
        <w:t>甲方支付至</w:t>
      </w:r>
      <w:r>
        <w:rPr>
          <w:rFonts w:hint="eastAsia" w:ascii="宋体" w:hAnsi="宋体" w:cs="宋体"/>
          <w:sz w:val="24"/>
          <w:highlight w:val="none"/>
          <w:lang w:val="en-US" w:eastAsia="zh-CN"/>
        </w:rPr>
        <w:t>对应</w:t>
      </w:r>
      <w:r>
        <w:rPr>
          <w:rFonts w:ascii="宋体" w:hAnsi="宋体" w:cs="宋体"/>
          <w:sz w:val="24"/>
          <w:highlight w:val="none"/>
        </w:rPr>
        <w:t>项目</w:t>
      </w:r>
      <w:r>
        <w:rPr>
          <w:rFonts w:hint="eastAsia" w:ascii="宋体" w:hAnsi="宋体" w:cs="宋体"/>
          <w:sz w:val="24"/>
          <w:highlight w:val="none"/>
        </w:rPr>
        <w:t>合同</w:t>
      </w:r>
      <w:r>
        <w:rPr>
          <w:rFonts w:hint="eastAsia" w:ascii="宋体" w:hAnsi="宋体" w:cs="宋体"/>
          <w:sz w:val="24"/>
          <w:highlight w:val="none"/>
          <w:lang w:val="en-US" w:eastAsia="zh-CN"/>
        </w:rPr>
        <w:t>结算审定</w:t>
      </w:r>
      <w:r>
        <w:rPr>
          <w:rFonts w:hint="eastAsia" w:ascii="宋体" w:hAnsi="宋体" w:cs="宋体"/>
          <w:sz w:val="24"/>
          <w:highlight w:val="none"/>
        </w:rPr>
        <w:t>价的100%</w:t>
      </w:r>
      <w:r>
        <w:rPr>
          <w:rFonts w:hint="eastAsia" w:ascii="宋体" w:hAnsi="宋体" w:cs="宋体"/>
          <w:color w:val="auto"/>
          <w:sz w:val="24"/>
          <w:highlight w:val="none"/>
        </w:rPr>
        <w:t>。</w:t>
      </w:r>
    </w:p>
    <w:p>
      <w:pPr>
        <w:pStyle w:val="46"/>
        <w:ind w:firstLine="480" w:firstLineChars="200"/>
        <w:rPr>
          <w:rFonts w:hAnsi="宋体" w:eastAsia="宋体"/>
          <w:color w:val="auto"/>
          <w:highlight w:val="none"/>
        </w:rPr>
      </w:pPr>
      <w:r>
        <w:rPr>
          <w:rFonts w:hint="eastAsia" w:hAnsi="宋体"/>
          <w:color w:val="auto"/>
          <w:highlight w:val="none"/>
        </w:rPr>
        <w:t>7.</w:t>
      </w:r>
      <w:r>
        <w:rPr>
          <w:rFonts w:hint="eastAsia" w:hAnsi="宋体"/>
          <w:color w:val="auto"/>
          <w:highlight w:val="none"/>
          <w:lang w:val="en-US" w:eastAsia="zh-CN"/>
        </w:rPr>
        <w:t>3</w:t>
      </w:r>
      <w:r>
        <w:rPr>
          <w:rFonts w:hint="eastAsia" w:hAnsi="宋体"/>
          <w:color w:val="auto"/>
          <w:highlight w:val="none"/>
        </w:rPr>
        <w:t xml:space="preserve"> </w:t>
      </w:r>
      <w:r>
        <w:rPr>
          <w:rFonts w:hint="eastAsia" w:hAnsi="宋体" w:eastAsia="宋体"/>
          <w:color w:val="auto"/>
          <w:highlight w:val="none"/>
        </w:rPr>
        <w:t>乙方收款账号资料</w:t>
      </w:r>
    </w:p>
    <w:p>
      <w:pPr>
        <w:spacing w:line="384" w:lineRule="auto"/>
        <w:ind w:firstLine="720" w:firstLineChars="300"/>
        <w:rPr>
          <w:rFonts w:ascii="宋体" w:hAnsi="宋体" w:cs="宋体"/>
          <w:color w:val="auto"/>
          <w:sz w:val="24"/>
          <w:highlight w:val="none"/>
        </w:rPr>
      </w:pP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840" w:firstLineChars="350"/>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384" w:lineRule="auto"/>
        <w:ind w:firstLine="840" w:firstLineChars="350"/>
        <w:rPr>
          <w:rFonts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384" w:lineRule="auto"/>
        <w:ind w:firstLine="720" w:firstLineChars="300"/>
        <w:rPr>
          <w:rFonts w:ascii="宋体" w:hAnsi="宋体" w:cs="宋体"/>
          <w:color w:val="auto"/>
          <w:sz w:val="24"/>
          <w:highlight w:val="none"/>
        </w:rPr>
      </w:pPr>
      <w:r>
        <w:rPr>
          <w:rFonts w:hint="eastAsia" w:ascii="宋体" w:hAnsi="宋体" w:cs="宋体"/>
          <w:color w:val="auto"/>
          <w:sz w:val="24"/>
          <w:highlight w:val="none"/>
        </w:rPr>
        <w:t>乙方在收款前需提交等额增值税专用发票给甲方。增值税专用发票信息：</w:t>
      </w:r>
    </w:p>
    <w:p>
      <w:pPr>
        <w:spacing w:line="384" w:lineRule="auto"/>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384" w:lineRule="auto"/>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税号：91440101755584729Q</w:t>
      </w:r>
    </w:p>
    <w:p>
      <w:pPr>
        <w:spacing w:line="384"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地址：广州市天河区临江大道501号。</w:t>
      </w:r>
    </w:p>
    <w:p>
      <w:pPr>
        <w:spacing w:line="360" w:lineRule="auto"/>
        <w:ind w:firstLine="480" w:firstLineChars="200"/>
        <w:rPr>
          <w:color w:val="auto"/>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付款方式：</w:t>
      </w:r>
      <w:r>
        <w:rPr>
          <w:rFonts w:ascii="Wingdings" w:hAnsi="Wingdings" w:cs="宋体"/>
          <w:color w:val="auto"/>
          <w:sz w:val="24"/>
          <w:highlight w:val="none"/>
        </w:rPr>
        <w:sym w:font="Wingdings" w:char="F0FE"/>
      </w:r>
      <w:r>
        <w:rPr>
          <w:rFonts w:hint="eastAsia" w:ascii="宋体" w:hAnsi="宋体" w:cs="宋体"/>
          <w:color w:val="auto"/>
          <w:sz w:val="24"/>
          <w:highlight w:val="none"/>
        </w:rPr>
        <w:t>网银支付；</w:t>
      </w:r>
      <w:r>
        <w:rPr>
          <w:rFonts w:ascii="Wingdings" w:hAnsi="Wingdings" w:cs="宋体"/>
          <w:color w:val="auto"/>
          <w:sz w:val="24"/>
          <w:highlight w:val="none"/>
        </w:rPr>
        <w:sym w:font="Wingdings" w:char="F0A8"/>
      </w:r>
      <w:r>
        <w:rPr>
          <w:rFonts w:hint="eastAsia" w:ascii="宋体" w:hAnsi="宋体" w:cs="宋体"/>
          <w:color w:val="auto"/>
          <w:sz w:val="24"/>
          <w:highlight w:val="none"/>
        </w:rPr>
        <w:t>支票；</w:t>
      </w:r>
      <w:r>
        <w:rPr>
          <w:rFonts w:ascii="Wingdings" w:hAnsi="Wingdings" w:cs="宋体"/>
          <w:color w:val="auto"/>
          <w:sz w:val="24"/>
          <w:highlight w:val="none"/>
        </w:rPr>
        <w:sym w:font="Wingdings" w:char="F0A8"/>
      </w:r>
      <w:r>
        <w:rPr>
          <w:rFonts w:hint="eastAsia" w:ascii="宋体" w:hAnsi="宋体" w:cs="宋体"/>
          <w:color w:val="auto"/>
          <w:sz w:val="24"/>
          <w:highlight w:val="none"/>
        </w:rPr>
        <w:t>其他：/</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第八条 双方责任</w:t>
      </w:r>
    </w:p>
    <w:p>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8.1甲方责任</w:t>
      </w:r>
      <w:r>
        <w:rPr>
          <w:rFonts w:hint="eastAsia" w:ascii="宋体" w:hAnsi="宋体" w:cs="宋体"/>
          <w:color w:val="auto"/>
          <w:sz w:val="24"/>
          <w:highlight w:val="none"/>
        </w:rPr>
        <w:t xml:space="preserve"> </w:t>
      </w:r>
    </w:p>
    <w:p>
      <w:pPr>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8.1.1甲方有权对乙方履行合同进行督导，对于乙方不履行合同、不正确履行合同、不完全履行合同等行为，甲方有权要求乙方立即更正，并采取其他补救措施。</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8.1.2有权根据需要调整工作内容和工作计划。</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8.1.3对乙方的服务进行监督检查，对乙方不符合要求的</w:t>
      </w:r>
      <w:r>
        <w:rPr>
          <w:rFonts w:hint="eastAsia" w:ascii="宋体" w:hAnsi="宋体"/>
          <w:color w:val="auto"/>
          <w:sz w:val="24"/>
          <w:highlight w:val="none"/>
          <w:lang w:val="en-US" w:eastAsia="zh-CN"/>
        </w:rPr>
        <w:t>内容</w:t>
      </w:r>
      <w:r>
        <w:rPr>
          <w:rFonts w:hint="eastAsia" w:ascii="宋体" w:hAnsi="宋体"/>
          <w:color w:val="auto"/>
          <w:sz w:val="24"/>
          <w:highlight w:val="none"/>
        </w:rPr>
        <w:t>，甲方有权要求乙方进行返工，乙方承担返工费用。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8.1.4如乙方团队人员不符合合同工作，甲方有权要求更换，乙方在收到更换通知的3日内完成人员更换。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8.1.5合同生效后，由于不可抗力或客观原因导致合同提前终止的，甲方按实际完成工作量支付相关费用，不承担任何责任。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8.1.6 甲方配合乙方开展项目前期调研工作，并根据项目需求向乙方提供相应的工作协助。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8.1.7甲方向乙方提供本项目工作所必需的资料及文件等。</w:t>
      </w:r>
    </w:p>
    <w:p>
      <w:pPr>
        <w:pStyle w:val="6"/>
        <w:keepNext w:val="0"/>
        <w:keepLines w:val="0"/>
        <w:spacing w:before="0" w:after="0" w:line="360" w:lineRule="auto"/>
        <w:ind w:firstLine="482" w:firstLineChars="200"/>
        <w:rPr>
          <w:rFonts w:ascii="宋体" w:hAnsi="宋体" w:cs="宋体"/>
          <w:bCs w:val="0"/>
          <w:color w:val="auto"/>
          <w:sz w:val="24"/>
          <w:szCs w:val="24"/>
          <w:highlight w:val="none"/>
        </w:rPr>
      </w:pPr>
      <w:r>
        <w:rPr>
          <w:rFonts w:hint="eastAsia" w:ascii="宋体" w:hAnsi="宋体" w:cs="宋体"/>
          <w:bCs w:val="0"/>
          <w:color w:val="auto"/>
          <w:sz w:val="24"/>
          <w:szCs w:val="24"/>
          <w:highlight w:val="none"/>
        </w:rPr>
        <w:t>8.2乙方责任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8.2.1有权要求甲方提供项目所必需的前期资料。</w:t>
      </w:r>
    </w:p>
    <w:p>
      <w:pPr>
        <w:adjustRightInd w:val="0"/>
        <w:spacing w:line="360" w:lineRule="auto"/>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　　8.2.2发现甲方提供的上述资料或工作条件不符合合同约定时，须在接到上述资料或开始工作的3日内，</w:t>
      </w:r>
      <w:r>
        <w:rPr>
          <w:rFonts w:hint="eastAsia" w:ascii="宋体" w:hAnsi="宋体" w:cs="宋体"/>
          <w:color w:val="auto"/>
          <w:sz w:val="24"/>
          <w:highlight w:val="none"/>
          <w:lang w:val="en-US" w:eastAsia="zh-CN"/>
        </w:rPr>
        <w:t>书面</w:t>
      </w:r>
      <w:r>
        <w:rPr>
          <w:rFonts w:hint="eastAsia" w:ascii="宋体" w:hAnsi="宋体" w:cs="宋体"/>
          <w:color w:val="auto"/>
          <w:sz w:val="24"/>
          <w:highlight w:val="none"/>
        </w:rPr>
        <w:t>通知甲方改进或者更换。超过上述期限不提出改进或更换要求的，视为甲方提供的资料和工作条件已符合合同约定。</w:t>
      </w:r>
    </w:p>
    <w:p>
      <w:pPr>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8.2.3乙方在合同签订后</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日内书面向甲方提交项目计划书、组织人员架构表，负责合同实施期间的联络人员名单及联系方式。项目计划书（计划书需包含以下方案：</w:t>
      </w:r>
      <w:r>
        <w:rPr>
          <w:rFonts w:hint="eastAsia" w:ascii="宋体" w:hAnsi="宋体" w:cs="宋体"/>
          <w:color w:val="auto"/>
          <w:sz w:val="24"/>
          <w:highlight w:val="none"/>
          <w:lang w:val="en-US" w:eastAsia="zh-CN"/>
        </w:rPr>
        <w:t>前期调研工作时间，出具可行性研究报告时间</w:t>
      </w:r>
      <w:r>
        <w:rPr>
          <w:rFonts w:hint="eastAsia" w:ascii="宋体" w:hAnsi="宋体" w:cs="宋体"/>
          <w:color w:val="auto"/>
          <w:sz w:val="24"/>
          <w:highlight w:val="none"/>
        </w:rPr>
        <w:t>）经甲方同意后实施。</w:t>
      </w:r>
    </w:p>
    <w:p>
      <w:pPr>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8.2.4乙方应按甲方确认的项目计划书开展服务，按合同规定的进度要求</w:t>
      </w:r>
      <w:r>
        <w:rPr>
          <w:rFonts w:hint="eastAsia" w:ascii="宋体" w:hAnsi="宋体" w:cs="宋体"/>
          <w:color w:val="auto"/>
          <w:sz w:val="24"/>
          <w:highlight w:val="none"/>
          <w:lang w:val="en-US" w:eastAsia="zh-CN"/>
        </w:rPr>
        <w:t>提供</w:t>
      </w:r>
      <w:r>
        <w:rPr>
          <w:rFonts w:hint="eastAsia" w:ascii="宋体" w:hAnsi="宋体" w:cs="宋体"/>
          <w:color w:val="auto"/>
          <w:sz w:val="24"/>
          <w:highlight w:val="none"/>
        </w:rPr>
        <w:t>质量合格的服务，确保项目符合</w:t>
      </w:r>
      <w:r>
        <w:rPr>
          <w:rFonts w:hint="eastAsia" w:ascii="宋体" w:hAnsi="宋体" w:cs="宋体"/>
          <w:color w:val="auto"/>
          <w:sz w:val="24"/>
          <w:highlight w:val="none"/>
          <w:lang w:val="en-US" w:eastAsia="zh-CN"/>
        </w:rPr>
        <w:t>相关</w:t>
      </w:r>
      <w:r>
        <w:rPr>
          <w:rFonts w:hint="eastAsia" w:ascii="宋体" w:hAnsi="宋体" w:cs="宋体"/>
          <w:color w:val="auto"/>
          <w:sz w:val="24"/>
          <w:highlight w:val="none"/>
        </w:rPr>
        <w:t>要求。</w:t>
      </w:r>
    </w:p>
    <w:p>
      <w:pPr>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eastAsia="zh-CN"/>
        </w:rPr>
        <w:t>.</w:t>
      </w:r>
      <w:r>
        <w:rPr>
          <w:rFonts w:hint="eastAsia" w:ascii="宋体" w:hAnsi="宋体" w:cs="宋体"/>
          <w:color w:val="auto"/>
          <w:sz w:val="24"/>
          <w:highlight w:val="none"/>
        </w:rPr>
        <w:t>2.5乙方应保证团队成员的稳定，不得更换团队成员或更换团队成员的工作职责。如须更换成员时，应书面报甲方同意且更换成员需与原成员有同等或以上资质或经验。如未经甲方同意，每人次扣合同暂定总价5%作为违约金。</w:t>
      </w:r>
    </w:p>
    <w:p>
      <w:pPr>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8.2.6乙方为完成</w:t>
      </w:r>
      <w:r>
        <w:rPr>
          <w:rFonts w:hint="eastAsia" w:ascii="宋体" w:hAnsi="宋体" w:cs="宋体"/>
          <w:color w:val="auto"/>
          <w:sz w:val="24"/>
          <w:highlight w:val="none"/>
          <w:lang w:val="en-US" w:eastAsia="zh-CN"/>
        </w:rPr>
        <w:t>可行性研究报告项目</w:t>
      </w:r>
      <w:r>
        <w:rPr>
          <w:rFonts w:hint="eastAsia" w:ascii="宋体" w:hAnsi="宋体" w:cs="宋体"/>
          <w:color w:val="auto"/>
          <w:sz w:val="24"/>
          <w:highlight w:val="none"/>
        </w:rPr>
        <w:t>而向甲方收取的重要证件、文件、资料时，应向甲方开具规范的收件清单，并妥善保管；项目验收合格后，乙方应在</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 xml:space="preserve">日内将上述证件、文件、资料退还甲方。 </w:t>
      </w:r>
    </w:p>
    <w:p>
      <w:pPr>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8.2.7乙方对项目中涉及的甲方商业秘密应予以保护，禁止向任何第三方公开，否则应向甲方承担相应赔偿责任。</w:t>
      </w:r>
    </w:p>
    <w:p>
      <w:pPr>
        <w:adjustRightInd w:val="0"/>
        <w:spacing w:line="360" w:lineRule="auto"/>
        <w:ind w:firstLine="482" w:firstLineChars="200"/>
        <w:jc w:val="left"/>
        <w:textAlignment w:val="baseline"/>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 xml:space="preserve">第九条 </w:t>
      </w:r>
      <w:r>
        <w:rPr>
          <w:rFonts w:hint="eastAsia" w:ascii="宋体" w:hAnsi="宋体" w:eastAsia="宋体" w:cs="宋体"/>
          <w:b/>
          <w:bCs/>
          <w:color w:val="auto"/>
          <w:sz w:val="24"/>
          <w:highlight w:val="none"/>
          <w:lang w:val="en-US" w:eastAsia="zh-CN"/>
        </w:rPr>
        <w:t>违约责任</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9.1乙方不履行合同义务、或履行合同义务不符合合同约定、或违反国家、省、市行业标准的，甲方有权要求乙方限期整改。乙方逾期未完成整改的，每项每超过1日支付违约金人民币1万元，超过</w:t>
      </w:r>
      <w:r>
        <w:rPr>
          <w:rFonts w:hint="eastAsia" w:eastAsia="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日，甲方有权解除合同并要求乙方支付合同暂定总价的20%作为违约金，由此造成的责任及损失由乙方承担。（如合同另行约定违约责任，从其约定）。</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9.2乙方无法按合同进度要求完成工作，逾期交付工作成果，每超过1日支付违约金合同暂定总价的1%，超过</w:t>
      </w:r>
      <w:r>
        <w:rPr>
          <w:rFonts w:hint="eastAsia" w:eastAsia="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日，甲方有权解除合同并要求乙方支付合同暂定总价的20%作为违约金。</w:t>
      </w:r>
    </w:p>
    <w:p>
      <w:pPr>
        <w:pStyle w:val="2"/>
        <w:rPr>
          <w:rFonts w:hint="eastAsia" w:ascii="宋体" w:hAnsi="宋体" w:eastAsia="宋体" w:cs="宋体"/>
          <w:color w:val="auto"/>
          <w:kern w:val="2"/>
          <w:sz w:val="24"/>
          <w:szCs w:val="24"/>
          <w:highlight w:val="none"/>
          <w:lang w:val="en-US" w:eastAsia="zh-CN" w:bidi="ar-SA"/>
        </w:rPr>
      </w:pPr>
      <w:r>
        <w:rPr>
          <w:rFonts w:hint="eastAsia" w:eastAsia="宋体" w:cs="宋体"/>
          <w:color w:val="auto"/>
          <w:kern w:val="2"/>
          <w:sz w:val="24"/>
          <w:szCs w:val="24"/>
          <w:highlight w:val="none"/>
          <w:lang w:val="en-US" w:eastAsia="zh-CN" w:bidi="ar-SA"/>
        </w:rPr>
        <w:t>9.3</w:t>
      </w:r>
      <w:r>
        <w:rPr>
          <w:rFonts w:hint="eastAsia" w:ascii="宋体" w:hAnsi="宋体" w:eastAsia="宋体" w:cs="宋体"/>
          <w:color w:val="auto"/>
          <w:kern w:val="2"/>
          <w:sz w:val="24"/>
          <w:highlight w:val="none"/>
        </w:rPr>
        <w:t>乙方有责任对甲方提供的资料保密，未经许可，不得提供给与本项目无关的单位和人员使用。乙方未尽保密义务，给甲方造成损失的，应承担赔偿责任，并向甲方一次性支付合同</w:t>
      </w:r>
      <w:r>
        <w:rPr>
          <w:rFonts w:hint="eastAsia" w:eastAsia="宋体" w:cs="宋体"/>
          <w:color w:val="auto"/>
          <w:kern w:val="2"/>
          <w:sz w:val="24"/>
          <w:highlight w:val="none"/>
          <w:lang w:val="en-US" w:eastAsia="zh-CN"/>
        </w:rPr>
        <w:t>暂定总价20</w:t>
      </w: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kern w:val="2"/>
          <w:sz w:val="24"/>
          <w:highlight w:val="none"/>
        </w:rPr>
        <w:t>的违约金。不论何种情况下保密内容泄密的，乙方应当及时采取救济措施。若乙方怠于救济导致甲方损失扩大的，乙方对扩大部分承担赔偿责任</w:t>
      </w:r>
      <w:r>
        <w:rPr>
          <w:rFonts w:hint="eastAsia" w:ascii="宋体" w:hAnsi="宋体" w:eastAsia="宋体" w:cs="宋体"/>
          <w:color w:val="auto"/>
          <w:kern w:val="2"/>
          <w:sz w:val="24"/>
          <w:highlight w:val="none"/>
          <w:lang w:eastAsia="zh-CN"/>
        </w:rPr>
        <w:t>。</w:t>
      </w:r>
    </w:p>
    <w:p>
      <w:pPr>
        <w:adjustRightInd w:val="0"/>
        <w:spacing w:line="360" w:lineRule="auto"/>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十</w:t>
      </w:r>
      <w:r>
        <w:rPr>
          <w:rFonts w:hint="eastAsia" w:ascii="宋体" w:hAnsi="宋体" w:cs="宋体"/>
          <w:b/>
          <w:bCs/>
          <w:color w:val="auto"/>
          <w:sz w:val="24"/>
          <w:highlight w:val="none"/>
        </w:rPr>
        <w:t>条  知识产权</w:t>
      </w:r>
    </w:p>
    <w:p>
      <w:pPr>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双方均应保护对方的知识产权，未经对方同意，任何一方均不得对对方的资料及文件擅自修改、复制或向第三人转让。如发生以上情况，违约方承担一切由此引起的后果并承担赔偿责任。</w:t>
      </w:r>
    </w:p>
    <w:p>
      <w:pPr>
        <w:adjustRightInd w:val="0"/>
        <w:spacing w:line="360" w:lineRule="auto"/>
        <w:ind w:firstLine="482" w:firstLineChars="200"/>
        <w:jc w:val="left"/>
        <w:textAlignment w:val="baseline"/>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 xml:space="preserve">条  </w:t>
      </w:r>
      <w:r>
        <w:rPr>
          <w:rFonts w:hint="eastAsia" w:ascii="宋体" w:hAnsi="宋体" w:cs="宋体"/>
          <w:b/>
          <w:bCs/>
          <w:color w:val="auto"/>
          <w:sz w:val="24"/>
          <w:highlight w:val="none"/>
          <w:lang w:val="en-US" w:eastAsia="zh-CN"/>
        </w:rPr>
        <w:t>不可抗力</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⑴ 地震、火山爆发、滑坡、暴雨（橙色预警及以上）、台风（黄色预警及以上）、海啸、龙卷风、大面积流行病或瘟疫；</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⑵ 战争行为、入侵、武装冲突或外敌行为、封锁、暴乱、恐怖行为或军事演习；</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rPr>
        <w:t>条  争议解决</w:t>
      </w:r>
    </w:p>
    <w:p>
      <w:pPr>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.1甲乙双方应通过友好协商，解决在执行本合同所发生的或与本合同有关的一切争议。如协商不能解决争议，任何一方均可依法向甲方所在地人民法院提起诉讼。</w:t>
      </w:r>
    </w:p>
    <w:p>
      <w:pPr>
        <w:adjustRightInd w:val="0"/>
        <w:spacing w:line="360" w:lineRule="auto"/>
        <w:ind w:firstLine="480" w:firstLineChars="200"/>
        <w:jc w:val="left"/>
        <w:textAlignment w:val="baseline"/>
        <w:rPr>
          <w:rFonts w:ascii="宋体" w:hAnsi="宋体" w:cs="宋体"/>
          <w:b/>
          <w:bCs/>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.2在甲方同意的情况下，除有争端之外的合同其它部分在争端解决前应继续执行。</w:t>
      </w: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条  合同生效及其他</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.1</w:t>
      </w:r>
      <w:r>
        <w:rPr>
          <w:rFonts w:hint="eastAsia" w:ascii="宋体" w:hAnsi="宋体" w:cs="宋体"/>
          <w:color w:val="auto"/>
          <w:sz w:val="24"/>
          <w:szCs w:val="24"/>
          <w:highlight w:val="none"/>
        </w:rPr>
        <w:t>本合同经双方法定代表人或授权代表签字并加盖双方公章后生效</w:t>
      </w:r>
      <w:r>
        <w:rPr>
          <w:rFonts w:hint="eastAsia" w:ascii="宋体" w:hAnsi="宋体" w:cs="宋体"/>
          <w:color w:val="auto"/>
          <w:sz w:val="24"/>
          <w:highlight w:val="none"/>
        </w:rPr>
        <w:t>。</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本合同正本一式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壹</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份，双方所执合同具同等法律效力。</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双方认可的来往传真、会议纪要等，均为合同的组成部分，与本合同具有同等法律效力。</w:t>
      </w:r>
    </w:p>
    <w:p>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未尽事宜，双方协商一致，可签订补充协议，补充协议与本合同具有同等效力。</w:t>
      </w:r>
    </w:p>
    <w:p>
      <w:pPr>
        <w:pStyle w:val="16"/>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本合同附件是合同不可分割的一部分，具有相同的法律效力，具体附件如下：</w:t>
      </w:r>
    </w:p>
    <w:p>
      <w:pPr>
        <w:pStyle w:val="16"/>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附件：廉洁协议</w:t>
      </w:r>
    </w:p>
    <w:p>
      <w:pPr>
        <w:pStyle w:val="16"/>
        <w:spacing w:line="360" w:lineRule="auto"/>
        <w:ind w:left="464" w:leftChars="164" w:hanging="120" w:hangingChars="50"/>
        <w:rPr>
          <w:rFonts w:hint="eastAsia" w:ascii="宋体" w:hAnsi="宋体" w:cs="宋体"/>
          <w:color w:val="auto"/>
          <w:sz w:val="24"/>
          <w:highlight w:val="none"/>
        </w:rPr>
      </w:pPr>
      <w:r>
        <w:rPr>
          <w:rFonts w:hint="eastAsia" w:ascii="宋体" w:hAnsi="宋体" w:cs="宋体"/>
          <w:color w:val="auto"/>
          <w:sz w:val="24"/>
          <w:highlight w:val="none"/>
        </w:rPr>
        <w:t>（以下无正文）</w:t>
      </w:r>
    </w:p>
    <w:p>
      <w:pPr>
        <w:pStyle w:val="16"/>
        <w:spacing w:line="360" w:lineRule="auto"/>
        <w:ind w:left="465" w:leftChars="50" w:hanging="360" w:hangingChars="150"/>
        <w:rPr>
          <w:rFonts w:hint="eastAsia" w:ascii="宋体" w:hAnsi="宋体" w:cs="宋体"/>
          <w:color w:val="auto"/>
          <w:sz w:val="24"/>
          <w:highlight w:val="none"/>
        </w:rPr>
      </w:pPr>
    </w:p>
    <w:p>
      <w:pPr>
        <w:pStyle w:val="16"/>
        <w:spacing w:line="360" w:lineRule="auto"/>
        <w:ind w:left="465" w:leftChars="50" w:hanging="360" w:hangingChars="150"/>
        <w:rPr>
          <w:rFonts w:hint="eastAsia" w:ascii="宋体" w:hAnsi="宋体" w:cs="宋体"/>
          <w:color w:val="auto"/>
          <w:sz w:val="24"/>
          <w:highlight w:val="none"/>
        </w:rPr>
      </w:pPr>
    </w:p>
    <w:p>
      <w:pPr>
        <w:pStyle w:val="16"/>
        <w:spacing w:line="360" w:lineRule="auto"/>
        <w:ind w:left="465" w:leftChars="50" w:hanging="360" w:hangingChars="150"/>
        <w:rPr>
          <w:rFonts w:hint="eastAsia" w:ascii="宋体" w:hAnsi="宋体" w:cs="宋体"/>
          <w:color w:val="auto"/>
          <w:sz w:val="24"/>
          <w:highlight w:val="none"/>
        </w:rPr>
      </w:pPr>
    </w:p>
    <w:p>
      <w:pPr>
        <w:pStyle w:val="16"/>
        <w:spacing w:line="360" w:lineRule="auto"/>
        <w:ind w:left="465" w:leftChars="50" w:hanging="360" w:hangingChars="150"/>
        <w:rPr>
          <w:rFonts w:hint="eastAsia" w:ascii="宋体" w:hAnsi="宋体" w:cs="宋体"/>
          <w:color w:val="auto"/>
          <w:sz w:val="24"/>
          <w:highlight w:val="none"/>
        </w:rPr>
      </w:pPr>
    </w:p>
    <w:p>
      <w:pPr>
        <w:pStyle w:val="16"/>
        <w:spacing w:line="360" w:lineRule="auto"/>
        <w:ind w:left="465" w:leftChars="50" w:hanging="360" w:hangingChars="150"/>
        <w:rPr>
          <w:rFonts w:hint="eastAsia" w:ascii="宋体" w:hAnsi="宋体" w:cs="宋体"/>
          <w:color w:val="auto"/>
          <w:sz w:val="24"/>
          <w:highlight w:val="none"/>
        </w:rPr>
      </w:pPr>
    </w:p>
    <w:tbl>
      <w:tblPr>
        <w:tblStyle w:val="23"/>
        <w:tblpPr w:leftFromText="180" w:rightFromText="180" w:vertAnchor="text" w:horzAnchor="page" w:tblpX="1492" w:tblpY="578"/>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noWrap w:val="0"/>
            <w:vAlign w:val="center"/>
          </w:tcPr>
          <w:p>
            <w:pPr>
              <w:rPr>
                <w:rFonts w:ascii="宋体" w:hAnsi="宋体" w:cs="宋体"/>
                <w:color w:val="auto"/>
                <w:sz w:val="24"/>
                <w:highlight w:val="none"/>
              </w:rPr>
            </w:pPr>
            <w:r>
              <w:rPr>
                <w:rFonts w:hint="eastAsia" w:ascii="宋体" w:hAnsi="宋体" w:cs="宋体"/>
                <w:color w:val="auto"/>
                <w:sz w:val="24"/>
                <w:highlight w:val="none"/>
              </w:rPr>
              <w:t>甲方：广州市净水有限公司</w:t>
            </w: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乙方： </w:t>
            </w:r>
            <w:r>
              <w:rPr>
                <w:rFonts w:hint="eastAsia" w:ascii="宋体" w:hAnsi="宋体" w:cs="宋体"/>
                <w:color w:val="auto"/>
                <w:sz w:val="24"/>
                <w:highlight w:val="none"/>
                <w:lang w:val="en-US" w:eastAsia="zh-CN"/>
              </w:rPr>
              <w:t xml:space="preserve">         </w:t>
            </w:r>
          </w:p>
        </w:tc>
      </w:tr>
      <w:tr>
        <w:tblPrEx>
          <w:tblCellMar>
            <w:top w:w="0" w:type="dxa"/>
            <w:left w:w="28" w:type="dxa"/>
            <w:bottom w:w="0" w:type="dxa"/>
            <w:right w:w="28" w:type="dxa"/>
          </w:tblCellMar>
        </w:tblPrEx>
        <w:trPr>
          <w:jc w:val="center"/>
        </w:trPr>
        <w:tc>
          <w:tcPr>
            <w:tcW w:w="3857" w:type="dxa"/>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(盖章)</w:t>
            </w:r>
          </w:p>
          <w:p>
            <w:pPr>
              <w:spacing w:line="360" w:lineRule="auto"/>
              <w:rPr>
                <w:rFonts w:ascii="宋体" w:hAnsi="宋体" w:cs="宋体"/>
                <w:color w:val="auto"/>
                <w:sz w:val="24"/>
                <w:highlight w:val="none"/>
              </w:rPr>
            </w:pPr>
          </w:p>
        </w:tc>
        <w:tc>
          <w:tcPr>
            <w:tcW w:w="562" w:type="dxa"/>
            <w:noWrap w:val="0"/>
            <w:vAlign w:val="top"/>
          </w:tcPr>
          <w:p>
            <w:pPr>
              <w:spacing w:line="360" w:lineRule="auto"/>
              <w:rPr>
                <w:rFonts w:ascii="宋体" w:hAnsi="宋体" w:cs="宋体"/>
                <w:color w:val="auto"/>
                <w:sz w:val="24"/>
                <w:highlight w:val="none"/>
              </w:rPr>
            </w:pPr>
          </w:p>
        </w:tc>
        <w:tc>
          <w:tcPr>
            <w:tcW w:w="4007" w:type="dxa"/>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(盖章)</w:t>
            </w:r>
          </w:p>
        </w:tc>
      </w:tr>
      <w:tr>
        <w:tblPrEx>
          <w:tblCellMar>
            <w:top w:w="0" w:type="dxa"/>
            <w:left w:w="28" w:type="dxa"/>
            <w:bottom w:w="0" w:type="dxa"/>
            <w:right w:w="28" w:type="dxa"/>
          </w:tblCellMar>
        </w:tblPrEx>
        <w:trPr>
          <w:jc w:val="center"/>
        </w:trPr>
        <w:tc>
          <w:tcPr>
            <w:tcW w:w="3857" w:type="dxa"/>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法定代表人/授权代理人：</w:t>
            </w:r>
          </w:p>
          <w:p>
            <w:pPr>
              <w:spacing w:line="360" w:lineRule="auto"/>
              <w:rPr>
                <w:rFonts w:ascii="宋体" w:hAnsi="宋体" w:cs="宋体"/>
                <w:color w:val="auto"/>
                <w:sz w:val="24"/>
                <w:highlight w:val="none"/>
              </w:rPr>
            </w:pPr>
          </w:p>
        </w:tc>
        <w:tc>
          <w:tcPr>
            <w:tcW w:w="562" w:type="dxa"/>
            <w:noWrap w:val="0"/>
            <w:vAlign w:val="top"/>
          </w:tcPr>
          <w:p>
            <w:pPr>
              <w:spacing w:line="360" w:lineRule="auto"/>
              <w:rPr>
                <w:rFonts w:ascii="宋体" w:hAnsi="宋体" w:cs="宋体"/>
                <w:color w:val="auto"/>
                <w:sz w:val="24"/>
                <w:highlight w:val="none"/>
              </w:rPr>
            </w:pPr>
          </w:p>
        </w:tc>
        <w:tc>
          <w:tcPr>
            <w:tcW w:w="4007" w:type="dxa"/>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法定代表人/授权代理人：</w:t>
            </w:r>
          </w:p>
        </w:tc>
      </w:tr>
      <w:tr>
        <w:tblPrEx>
          <w:tblCellMar>
            <w:top w:w="0" w:type="dxa"/>
            <w:left w:w="28" w:type="dxa"/>
            <w:bottom w:w="0" w:type="dxa"/>
            <w:right w:w="28" w:type="dxa"/>
          </w:tblCellMar>
        </w:tblPrEx>
        <w:trPr>
          <w:jc w:val="center"/>
        </w:trPr>
        <w:tc>
          <w:tcPr>
            <w:tcW w:w="3857"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ind w:right="-19" w:rightChars="-9"/>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 xml:space="preserve"> </w:t>
            </w:r>
          </w:p>
        </w:tc>
      </w:tr>
      <w:tr>
        <w:tblPrEx>
          <w:tblCellMar>
            <w:top w:w="0" w:type="dxa"/>
            <w:left w:w="28" w:type="dxa"/>
            <w:bottom w:w="0" w:type="dxa"/>
            <w:right w:w="28" w:type="dxa"/>
          </w:tblCellMar>
        </w:tblPrEx>
        <w:trPr>
          <w:jc w:val="center"/>
        </w:trPr>
        <w:tc>
          <w:tcPr>
            <w:tcW w:w="3857" w:type="dxa"/>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地址：广州市天河区临江大道501号</w:t>
            </w:r>
          </w:p>
        </w:tc>
        <w:tc>
          <w:tcPr>
            <w:tcW w:w="562" w:type="dxa"/>
            <w:noWrap w:val="0"/>
            <w:vAlign w:val="top"/>
          </w:tcPr>
          <w:p>
            <w:pPr>
              <w:spacing w:line="360" w:lineRule="auto"/>
              <w:rPr>
                <w:rFonts w:ascii="宋体" w:hAnsi="宋体" w:cs="宋体"/>
                <w:color w:val="auto"/>
                <w:sz w:val="24"/>
                <w:highlight w:val="none"/>
              </w:rPr>
            </w:pPr>
          </w:p>
        </w:tc>
        <w:tc>
          <w:tcPr>
            <w:tcW w:w="4007" w:type="dxa"/>
            <w:noWrap w:val="0"/>
            <w:vAlign w:val="top"/>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p>
        </w:tc>
      </w:tr>
      <w:tr>
        <w:tblPrEx>
          <w:tblCellMar>
            <w:top w:w="0" w:type="dxa"/>
            <w:left w:w="28" w:type="dxa"/>
            <w:bottom w:w="0" w:type="dxa"/>
            <w:right w:w="28" w:type="dxa"/>
          </w:tblCellMar>
        </w:tblPrEx>
        <w:trPr>
          <w:jc w:val="center"/>
        </w:trPr>
        <w:tc>
          <w:tcPr>
            <w:tcW w:w="3857" w:type="dxa"/>
            <w:noWrap w:val="0"/>
            <w:vAlign w:val="center"/>
          </w:tcPr>
          <w:p>
            <w:pPr>
              <w:tabs>
                <w:tab w:val="right" w:pos="4098"/>
              </w:tabs>
              <w:spacing w:line="360" w:lineRule="auto"/>
              <w:rPr>
                <w:rFonts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rPr>
              <w:tab/>
            </w: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邮政编码：</w:t>
            </w:r>
            <w:r>
              <w:rPr>
                <w:rFonts w:hint="eastAsia" w:ascii="宋体" w:hAnsi="宋体" w:cs="宋体"/>
                <w:color w:val="auto"/>
                <w:sz w:val="24"/>
                <w:highlight w:val="none"/>
                <w:lang w:val="en-US" w:eastAsia="zh-CN"/>
              </w:rPr>
              <w:t xml:space="preserve"> </w:t>
            </w:r>
          </w:p>
        </w:tc>
      </w:tr>
      <w:tr>
        <w:tblPrEx>
          <w:tblCellMar>
            <w:top w:w="0" w:type="dxa"/>
            <w:left w:w="28" w:type="dxa"/>
            <w:bottom w:w="0" w:type="dxa"/>
            <w:right w:w="28" w:type="dxa"/>
          </w:tblCellMar>
        </w:tblPrEx>
        <w:trPr>
          <w:trHeight w:val="453" w:hRule="atLeast"/>
          <w:jc w:val="center"/>
        </w:trPr>
        <w:tc>
          <w:tcPr>
            <w:tcW w:w="3857" w:type="dxa"/>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电话：</w:t>
            </w: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电话：</w:t>
            </w:r>
            <w:r>
              <w:rPr>
                <w:rFonts w:hint="eastAsia" w:ascii="宋体" w:hAnsi="宋体" w:cs="宋体"/>
                <w:color w:val="auto"/>
                <w:sz w:val="24"/>
                <w:highlight w:val="none"/>
                <w:lang w:val="en-US" w:eastAsia="zh-CN"/>
              </w:rPr>
              <w:t xml:space="preserve"> </w:t>
            </w:r>
          </w:p>
        </w:tc>
      </w:tr>
      <w:tr>
        <w:tblPrEx>
          <w:tblCellMar>
            <w:top w:w="0" w:type="dxa"/>
            <w:left w:w="28" w:type="dxa"/>
            <w:bottom w:w="0" w:type="dxa"/>
            <w:right w:w="28" w:type="dxa"/>
          </w:tblCellMar>
        </w:tblPrEx>
        <w:trPr>
          <w:jc w:val="center"/>
        </w:trPr>
        <w:tc>
          <w:tcPr>
            <w:tcW w:w="3857" w:type="dxa"/>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传真：</w:t>
            </w: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传真：</w:t>
            </w:r>
            <w:r>
              <w:rPr>
                <w:rFonts w:hint="eastAsia" w:ascii="宋体" w:hAnsi="宋体" w:cs="宋体"/>
                <w:color w:val="auto"/>
                <w:sz w:val="24"/>
                <w:highlight w:val="none"/>
                <w:lang w:val="en-US" w:eastAsia="zh-CN"/>
              </w:rPr>
              <w:t xml:space="preserve"> </w:t>
            </w:r>
          </w:p>
        </w:tc>
      </w:tr>
      <w:tr>
        <w:tblPrEx>
          <w:tblCellMar>
            <w:top w:w="0" w:type="dxa"/>
            <w:left w:w="28" w:type="dxa"/>
            <w:bottom w:w="0" w:type="dxa"/>
            <w:right w:w="28" w:type="dxa"/>
          </w:tblCellMar>
        </w:tblPrEx>
        <w:trPr>
          <w:jc w:val="center"/>
        </w:trPr>
        <w:tc>
          <w:tcPr>
            <w:tcW w:w="3857" w:type="dxa"/>
            <w:noWrap w:val="0"/>
            <w:vAlign w:val="center"/>
          </w:tcPr>
          <w:p>
            <w:pPr>
              <w:spacing w:line="360" w:lineRule="auto"/>
              <w:rPr>
                <w:rFonts w:ascii="宋体" w:hAnsi="宋体" w:cs="宋体"/>
                <w:color w:val="auto"/>
                <w:sz w:val="24"/>
                <w:highlight w:val="none"/>
              </w:rPr>
            </w:pP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银行帐户：</w:t>
            </w:r>
            <w:r>
              <w:rPr>
                <w:rFonts w:hint="eastAsia" w:ascii="宋体" w:hAnsi="宋体" w:cs="宋体"/>
                <w:color w:val="auto"/>
                <w:sz w:val="24"/>
                <w:highlight w:val="none"/>
                <w:lang w:val="en-US" w:eastAsia="zh-CN"/>
              </w:rPr>
              <w:t xml:space="preserve"> </w:t>
            </w:r>
          </w:p>
        </w:tc>
      </w:tr>
      <w:tr>
        <w:tblPrEx>
          <w:tblCellMar>
            <w:top w:w="0" w:type="dxa"/>
            <w:left w:w="28" w:type="dxa"/>
            <w:bottom w:w="0" w:type="dxa"/>
            <w:right w:w="28" w:type="dxa"/>
          </w:tblCellMar>
        </w:tblPrEx>
        <w:trPr>
          <w:jc w:val="center"/>
        </w:trPr>
        <w:tc>
          <w:tcPr>
            <w:tcW w:w="3857" w:type="dxa"/>
            <w:noWrap w:val="0"/>
            <w:vAlign w:val="center"/>
          </w:tcPr>
          <w:p>
            <w:pPr>
              <w:spacing w:line="360" w:lineRule="auto"/>
              <w:rPr>
                <w:rFonts w:ascii="宋体" w:hAnsi="宋体" w:cs="宋体"/>
                <w:color w:val="auto"/>
                <w:sz w:val="24"/>
                <w:highlight w:val="none"/>
              </w:rPr>
            </w:pP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银行帐号：</w:t>
            </w:r>
            <w:r>
              <w:rPr>
                <w:rFonts w:hint="eastAsia" w:ascii="宋体" w:hAnsi="宋体" w:cs="宋体"/>
                <w:color w:val="auto"/>
                <w:sz w:val="24"/>
                <w:highlight w:val="none"/>
                <w:lang w:val="en-US" w:eastAsia="zh-CN"/>
              </w:rPr>
              <w:t xml:space="preserve"> </w:t>
            </w:r>
          </w:p>
        </w:tc>
      </w:tr>
      <w:tr>
        <w:tblPrEx>
          <w:tblCellMar>
            <w:top w:w="0" w:type="dxa"/>
            <w:left w:w="28" w:type="dxa"/>
            <w:bottom w:w="0" w:type="dxa"/>
            <w:right w:w="28" w:type="dxa"/>
          </w:tblCellMar>
        </w:tblPrEx>
        <w:trPr>
          <w:trHeight w:val="416" w:hRule="atLeast"/>
          <w:jc w:val="center"/>
        </w:trPr>
        <w:tc>
          <w:tcPr>
            <w:tcW w:w="3857" w:type="dxa"/>
            <w:noWrap w:val="0"/>
            <w:vAlign w:val="center"/>
          </w:tcPr>
          <w:p>
            <w:pPr>
              <w:rPr>
                <w:rFonts w:ascii="宋体" w:hAnsi="宋体" w:cs="宋体"/>
                <w:color w:val="auto"/>
                <w:sz w:val="24"/>
                <w:highlight w:val="none"/>
              </w:rPr>
            </w:pPr>
            <w:r>
              <w:rPr>
                <w:rFonts w:hint="eastAsia" w:ascii="宋体" w:hAnsi="宋体" w:cs="宋体"/>
                <w:color w:val="auto"/>
                <w:sz w:val="24"/>
                <w:highlight w:val="none"/>
              </w:rPr>
              <w:t>签约日期：202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  月  日</w:t>
            </w:r>
          </w:p>
        </w:tc>
        <w:tc>
          <w:tcPr>
            <w:tcW w:w="562" w:type="dxa"/>
            <w:noWrap w:val="0"/>
            <w:vAlign w:val="center"/>
          </w:tcPr>
          <w:p>
            <w:pPr>
              <w:rPr>
                <w:rFonts w:ascii="宋体" w:hAnsi="宋体" w:cs="宋体"/>
                <w:color w:val="auto"/>
                <w:sz w:val="24"/>
                <w:highlight w:val="none"/>
              </w:rPr>
            </w:pPr>
          </w:p>
        </w:tc>
        <w:tc>
          <w:tcPr>
            <w:tcW w:w="4007" w:type="dxa"/>
            <w:noWrap w:val="0"/>
            <w:vAlign w:val="center"/>
          </w:tcPr>
          <w:p>
            <w:pPr>
              <w:rPr>
                <w:rFonts w:ascii="宋体" w:hAnsi="宋体" w:cs="宋体"/>
                <w:color w:val="auto"/>
                <w:sz w:val="24"/>
                <w:highlight w:val="none"/>
              </w:rPr>
            </w:pPr>
            <w:r>
              <w:rPr>
                <w:rFonts w:hint="eastAsia" w:ascii="宋体" w:hAnsi="宋体" w:cs="宋体"/>
                <w:color w:val="auto"/>
                <w:sz w:val="24"/>
                <w:highlight w:val="none"/>
              </w:rPr>
              <w:t>签约日期：202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  月  日</w:t>
            </w:r>
          </w:p>
        </w:tc>
      </w:tr>
    </w:tbl>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pStyle w:val="46"/>
        <w:rPr>
          <w:rFonts w:hint="eastAsia" w:hAnsi="宋体"/>
          <w:b/>
          <w:bCs/>
          <w:color w:val="auto"/>
          <w:szCs w:val="21"/>
          <w:highlight w:val="none"/>
        </w:rPr>
        <w:sectPr>
          <w:footerReference r:id="rId4" w:type="default"/>
          <w:pgSz w:w="11906" w:h="16838"/>
          <w:pgMar w:top="1089" w:right="1469" w:bottom="1089" w:left="1077" w:header="851" w:footer="992" w:gutter="0"/>
          <w:pgNumType w:fmt="decimal" w:start="1"/>
          <w:cols w:space="720" w:num="1"/>
          <w:docGrid w:linePitch="312" w:charSpace="0"/>
        </w:sectPr>
      </w:pPr>
    </w:p>
    <w:p>
      <w:pPr>
        <w:spacing w:line="360" w:lineRule="auto"/>
        <w:jc w:val="left"/>
        <w:rPr>
          <w:rFonts w:hint="eastAsia" w:ascii="仿宋_GB2312" w:hAnsi="仿宋_GB2312" w:eastAsia="仿宋_GB2312" w:cs="仿宋_GB2312"/>
          <w:bCs/>
          <w:color w:val="auto"/>
          <w:sz w:val="30"/>
          <w:szCs w:val="30"/>
          <w:highlight w:val="none"/>
        </w:rPr>
      </w:pPr>
      <w:r>
        <w:rPr>
          <w:rFonts w:hint="eastAsia" w:ascii="宋体" w:hAnsi="宋体" w:cs="宋体"/>
          <w:b/>
          <w:bCs/>
          <w:color w:val="auto"/>
          <w:szCs w:val="21"/>
          <w:highlight w:val="none"/>
        </w:rPr>
        <w:t>附件1  廉洁协议</w:t>
      </w:r>
      <w:r>
        <w:rPr>
          <w:rFonts w:hint="eastAsia" w:ascii="仿宋_GB2312" w:hAnsi="仿宋_GB2312" w:eastAsia="仿宋_GB2312" w:cs="仿宋_GB2312"/>
          <w:bCs/>
          <w:color w:val="auto"/>
          <w:sz w:val="30"/>
          <w:szCs w:val="30"/>
          <w:highlight w:val="none"/>
        </w:rPr>
        <w:t xml:space="preserve">             </w:t>
      </w:r>
    </w:p>
    <w:p>
      <w:pPr>
        <w:spacing w:line="52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廉洁协议</w:t>
      </w:r>
    </w:p>
    <w:p>
      <w:pPr>
        <w:spacing w:line="520" w:lineRule="exact"/>
        <w:ind w:firstLine="630" w:firstLineChars="225"/>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Cs/>
          <w:color w:val="auto"/>
          <w:sz w:val="28"/>
          <w:szCs w:val="28"/>
          <w:highlight w:val="none"/>
          <w:u w:val="single"/>
        </w:rPr>
        <w:t>广州市净水有限公司</w:t>
      </w:r>
      <w:r>
        <w:rPr>
          <w:rFonts w:hint="eastAsia" w:ascii="仿宋" w:hAnsi="仿宋" w:eastAsia="仿宋" w:cs="仿宋"/>
          <w:bCs/>
          <w:color w:val="auto"/>
          <w:sz w:val="28"/>
          <w:szCs w:val="28"/>
          <w:highlight w:val="none"/>
        </w:rPr>
        <w:t>(以下称甲方)与</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rPr>
        <w:t>(以下称乙方)，特此订立本协议共同遵照执行。</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第一条 甲乙双方的权利和义务</w:t>
      </w:r>
    </w:p>
    <w:p>
      <w:pPr>
        <w:spacing w:line="520" w:lineRule="exact"/>
        <w:ind w:firstLine="420" w:firstLineChars="15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（二）严格执行</w:t>
      </w:r>
      <w:r>
        <w:rPr>
          <w:rFonts w:hint="eastAsia" w:ascii="仿宋" w:hAnsi="仿宋" w:eastAsia="仿宋" w:cs="仿宋"/>
          <w:bCs/>
          <w:color w:val="auto"/>
          <w:sz w:val="28"/>
          <w:szCs w:val="28"/>
          <w:highlight w:val="none"/>
          <w:u w:val="single"/>
          <w:lang w:val="en-US" w:eastAsia="zh-CN"/>
        </w:rPr>
        <w:t xml:space="preserve"> 健康城分公司建设储能设施</w:t>
      </w:r>
      <w:r>
        <w:rPr>
          <w:rFonts w:hint="eastAsia" w:ascii="仿宋" w:hAnsi="仿宋" w:eastAsia="仿宋" w:cs="仿宋"/>
          <w:bCs/>
          <w:color w:val="auto"/>
          <w:sz w:val="28"/>
          <w:szCs w:val="28"/>
          <w:highlight w:val="none"/>
          <w:u w:val="single"/>
        </w:rPr>
        <w:t>可行性研究报告编制</w:t>
      </w:r>
      <w:r>
        <w:rPr>
          <w:rFonts w:hint="eastAsia" w:ascii="仿宋" w:hAnsi="仿宋" w:eastAsia="仿宋" w:cs="仿宋"/>
          <w:bCs/>
          <w:color w:val="auto"/>
          <w:sz w:val="28"/>
          <w:szCs w:val="28"/>
          <w:highlight w:val="none"/>
        </w:rPr>
        <w:t>合同（以下简称：主合同），自觉履行合同约定的相关义务。</w:t>
      </w:r>
    </w:p>
    <w:p>
      <w:pPr>
        <w:spacing w:line="520" w:lineRule="exact"/>
        <w:ind w:firstLine="420" w:firstLineChars="15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（三）在业务活动中坚持公开、公正、诚信、透明的原则，不得损害国家、集体利益。</w:t>
      </w:r>
    </w:p>
    <w:p>
      <w:pPr>
        <w:spacing w:line="520" w:lineRule="exact"/>
        <w:ind w:firstLine="420" w:firstLineChars="15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（四）建立健全廉洁从业制度，开展廉洁教育，公布举报电话，监督并认真查处不廉洁及违法违纪行为。</w:t>
      </w:r>
    </w:p>
    <w:p>
      <w:pPr>
        <w:spacing w:line="520" w:lineRule="exact"/>
        <w:ind w:firstLine="420" w:firstLineChars="15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第二条甲方的义务</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（七）甲方工作人员不得接受乙方给予或赠送的干股或红利。</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(八）不得存在其他违反廉洁规定的行为。</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第三条乙方的义务</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（一）乙方不得以任何理由向甲方及其工作人员行贿或馈赠礼金、有价证券、贵重礼品。</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（三）乙方不得以任何理由安排甲方工作人员参加可能影响相关业务公开、公正、公平性的宴请及娱乐活动。</w:t>
      </w:r>
    </w:p>
    <w:p>
      <w:pPr>
        <w:pStyle w:val="16"/>
        <w:spacing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（七）乙方不得向甲方工作人员提供干股或红利。</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(八）不得存在其他违反廉洁规定的行为。</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第四条违约责任</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甲方举报投诉联系部门：广州市净水有限公司</w:t>
      </w:r>
      <w:r>
        <w:rPr>
          <w:rFonts w:hint="eastAsia" w:ascii="仿宋" w:hAnsi="仿宋" w:eastAsia="仿宋" w:cs="仿宋"/>
          <w:bCs/>
          <w:color w:val="auto"/>
          <w:sz w:val="28"/>
          <w:szCs w:val="28"/>
          <w:highlight w:val="none"/>
          <w:u w:val="single"/>
        </w:rPr>
        <w:t>纪检室</w:t>
      </w:r>
      <w:r>
        <w:rPr>
          <w:rFonts w:hint="eastAsia" w:ascii="仿宋" w:hAnsi="仿宋" w:eastAsia="仿宋" w:cs="仿宋"/>
          <w:bCs/>
          <w:color w:val="auto"/>
          <w:sz w:val="28"/>
          <w:szCs w:val="28"/>
          <w:highlight w:val="none"/>
        </w:rPr>
        <w:t>，联系电话：</w:t>
      </w:r>
      <w:r>
        <w:rPr>
          <w:rFonts w:hint="eastAsia" w:ascii="仿宋" w:hAnsi="仿宋" w:eastAsia="仿宋" w:cs="仿宋"/>
          <w:bCs/>
          <w:color w:val="auto"/>
          <w:sz w:val="28"/>
          <w:szCs w:val="28"/>
          <w:highlight w:val="none"/>
          <w:u w:val="single"/>
        </w:rPr>
        <w:t xml:space="preserve"> 020-38890265 </w:t>
      </w:r>
      <w:r>
        <w:rPr>
          <w:rFonts w:hint="eastAsia" w:ascii="仿宋" w:hAnsi="仿宋" w:eastAsia="仿宋" w:cs="仿宋"/>
          <w:bCs/>
          <w:color w:val="auto"/>
          <w:sz w:val="28"/>
          <w:szCs w:val="28"/>
          <w:highlight w:val="none"/>
        </w:rPr>
        <w:t>。</w:t>
      </w:r>
    </w:p>
    <w:p>
      <w:pPr>
        <w:pStyle w:val="22"/>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2"/>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1、扣除主合同的全部履约保证金；</w:t>
      </w:r>
    </w:p>
    <w:p>
      <w:pPr>
        <w:pStyle w:val="22"/>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2、解除主合同；</w:t>
      </w:r>
    </w:p>
    <w:p>
      <w:pPr>
        <w:pStyle w:val="22"/>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3、追究乙方其他违约责任；</w:t>
      </w:r>
    </w:p>
    <w:p>
      <w:pPr>
        <w:pStyle w:val="22"/>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4、根据甲方的有关规章制度，在一定时间内暂停乙方参与甲方及下属单位所有项目的交易资格；</w:t>
      </w:r>
    </w:p>
    <w:p>
      <w:pPr>
        <w:pStyle w:val="22"/>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5、根据甲方的有关规章制度，将乙方清退出甲方相关企业库；</w:t>
      </w:r>
    </w:p>
    <w:p>
      <w:pPr>
        <w:pStyle w:val="22"/>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6、根据甲方上级单位、行政主管部门的意见、决定执行；</w:t>
      </w:r>
    </w:p>
    <w:p>
      <w:pPr>
        <w:pStyle w:val="22"/>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7、按规定向有关行政监督部门、乙方业务管理部门进行投诉、报告。</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hint="eastAsia" w:ascii="仿宋" w:hAnsi="仿宋" w:eastAsia="仿宋" w:cs="仿宋"/>
          <w:bCs/>
          <w:color w:val="auto"/>
          <w:kern w:val="0"/>
          <w:sz w:val="28"/>
          <w:szCs w:val="28"/>
          <w:highlight w:val="none"/>
        </w:rPr>
      </w:pPr>
      <w:r>
        <w:rPr>
          <w:rFonts w:hint="eastAsia" w:ascii="仿宋" w:hAnsi="仿宋" w:eastAsia="仿宋" w:cs="仿宋"/>
          <w:bCs/>
          <w:color w:val="auto"/>
          <w:sz w:val="28"/>
          <w:szCs w:val="28"/>
          <w:highlight w:val="none"/>
        </w:rPr>
        <w:t xml:space="preserve">第五条 </w:t>
      </w:r>
      <w:r>
        <w:rPr>
          <w:rFonts w:hint="eastAsia" w:ascii="仿宋" w:hAnsi="仿宋" w:eastAsia="仿宋" w:cs="仿宋"/>
          <w:bCs/>
          <w:color w:val="auto"/>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第六条本协议作为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健康城分公司建设储能设施</w:t>
      </w:r>
      <w:r>
        <w:rPr>
          <w:rFonts w:hint="eastAsia" w:ascii="仿宋" w:hAnsi="仿宋" w:eastAsia="仿宋" w:cs="仿宋"/>
          <w:bCs/>
          <w:color w:val="auto"/>
          <w:sz w:val="28"/>
          <w:szCs w:val="28"/>
          <w:highlight w:val="none"/>
          <w:u w:val="single"/>
        </w:rPr>
        <w:t>可行性研究报告编制合同（穗净水合[202</w:t>
      </w:r>
      <w:r>
        <w:rPr>
          <w:rFonts w:hint="eastAsia" w:ascii="仿宋" w:hAnsi="仿宋" w:eastAsia="仿宋" w:cs="仿宋"/>
          <w:bCs/>
          <w:color w:val="auto"/>
          <w:sz w:val="28"/>
          <w:szCs w:val="28"/>
          <w:highlight w:val="none"/>
          <w:u w:val="single"/>
          <w:lang w:val="en-US" w:eastAsia="zh-CN"/>
        </w:rPr>
        <w:t>4</w:t>
      </w:r>
      <w:r>
        <w:rPr>
          <w:rFonts w:hint="eastAsia" w:ascii="仿宋" w:hAnsi="仿宋" w:eastAsia="仿宋" w:cs="仿宋"/>
          <w:bCs/>
          <w:color w:val="auto"/>
          <w:sz w:val="28"/>
          <w:szCs w:val="28"/>
          <w:highlight w:val="none"/>
          <w:u w:val="single"/>
        </w:rPr>
        <w:t>]   号）</w:t>
      </w:r>
      <w:r>
        <w:rPr>
          <w:rFonts w:hint="eastAsia" w:ascii="仿宋" w:hAnsi="仿宋" w:eastAsia="仿宋" w:cs="仿宋"/>
          <w:bCs/>
          <w:color w:val="auto"/>
          <w:sz w:val="28"/>
          <w:szCs w:val="28"/>
          <w:highlight w:val="none"/>
        </w:rPr>
        <w:t>的附件，并具有同等的法律效力，本协议自双方签字盖章之日起生效，与主合同同时终止。</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第七条本协议一式 </w:t>
      </w:r>
      <w:r>
        <w:rPr>
          <w:rFonts w:hint="eastAsia" w:ascii="仿宋" w:hAnsi="仿宋" w:eastAsia="仿宋" w:cs="仿宋"/>
          <w:bCs/>
          <w:color w:val="auto"/>
          <w:sz w:val="28"/>
          <w:szCs w:val="28"/>
          <w:highlight w:val="none"/>
          <w:lang w:val="en-US" w:eastAsia="zh-CN"/>
        </w:rPr>
        <w:t>伍</w:t>
      </w:r>
      <w:r>
        <w:rPr>
          <w:rFonts w:hint="eastAsia" w:ascii="仿宋" w:hAnsi="仿宋" w:eastAsia="仿宋" w:cs="仿宋"/>
          <w:bCs/>
          <w:color w:val="auto"/>
          <w:sz w:val="28"/>
          <w:szCs w:val="28"/>
          <w:highlight w:val="none"/>
        </w:rPr>
        <w:t xml:space="preserve"> 份，甲方执 </w:t>
      </w:r>
      <w:r>
        <w:rPr>
          <w:rFonts w:hint="eastAsia" w:ascii="仿宋" w:hAnsi="仿宋" w:eastAsia="仿宋" w:cs="仿宋"/>
          <w:bCs/>
          <w:color w:val="auto"/>
          <w:sz w:val="28"/>
          <w:szCs w:val="28"/>
          <w:highlight w:val="none"/>
          <w:lang w:val="en-US" w:eastAsia="zh-CN"/>
        </w:rPr>
        <w:t>肆</w:t>
      </w:r>
      <w:r>
        <w:rPr>
          <w:rFonts w:hint="eastAsia" w:ascii="仿宋" w:hAnsi="仿宋" w:eastAsia="仿宋" w:cs="仿宋"/>
          <w:bCs/>
          <w:color w:val="auto"/>
          <w:sz w:val="28"/>
          <w:szCs w:val="28"/>
          <w:highlight w:val="none"/>
        </w:rPr>
        <w:t xml:space="preserve"> 份，乙方执 壹</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份。</w:t>
      </w:r>
    </w:p>
    <w:p>
      <w:pPr>
        <w:spacing w:line="520" w:lineRule="exact"/>
        <w:ind w:firstLine="560" w:firstLineChars="200"/>
        <w:rPr>
          <w:rFonts w:hint="eastAsia" w:ascii="仿宋" w:hAnsi="仿宋" w:eastAsia="仿宋" w:cs="仿宋"/>
          <w:bCs/>
          <w:color w:val="auto"/>
          <w:sz w:val="28"/>
          <w:szCs w:val="28"/>
          <w:highlight w:val="none"/>
        </w:rPr>
      </w:pPr>
    </w:p>
    <w:p>
      <w:pPr>
        <w:spacing w:line="520" w:lineRule="exact"/>
        <w:rPr>
          <w:rFonts w:hint="eastAsia" w:ascii="仿宋" w:hAnsi="仿宋" w:eastAsia="仿宋" w:cs="仿宋"/>
          <w:bCs/>
          <w:color w:val="auto"/>
          <w:sz w:val="28"/>
          <w:szCs w:val="28"/>
          <w:highlight w:val="none"/>
        </w:rPr>
      </w:pPr>
    </w:p>
    <w:p>
      <w:pPr>
        <w:pStyle w:val="2"/>
        <w:rPr>
          <w:rFonts w:hint="eastAsia"/>
          <w:color w:val="auto"/>
          <w:highlight w:val="none"/>
        </w:rPr>
      </w:pPr>
    </w:p>
    <w:p>
      <w:pPr>
        <w:spacing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甲方（盖章）：                     乙方（盖章）：</w:t>
      </w:r>
    </w:p>
    <w:p>
      <w:pPr>
        <w:pStyle w:val="33"/>
        <w:tabs>
          <w:tab w:val="left" w:pos="5100"/>
        </w:tabs>
        <w:spacing w:line="520" w:lineRule="exact"/>
        <w:ind w:left="7200" w:firstLine="0" w:firstLineChars="0"/>
        <w:jc w:val="left"/>
        <w:rPr>
          <w:rFonts w:hint="eastAsia" w:ascii="仿宋" w:hAnsi="仿宋" w:eastAsia="仿宋" w:cs="仿宋"/>
          <w:bCs/>
          <w:color w:val="auto"/>
          <w:sz w:val="28"/>
          <w:szCs w:val="28"/>
          <w:highlight w:val="none"/>
        </w:rPr>
      </w:pPr>
    </w:p>
    <w:p>
      <w:pPr>
        <w:tabs>
          <w:tab w:val="left" w:pos="5100"/>
        </w:tabs>
        <w:spacing w:line="520" w:lineRule="exact"/>
        <w:ind w:left="8400" w:hanging="8400" w:hangingChars="30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签约代表：                         签约代表：</w:t>
      </w:r>
    </w:p>
    <w:p>
      <w:pPr>
        <w:tabs>
          <w:tab w:val="left" w:pos="4170"/>
        </w:tabs>
        <w:spacing w:line="520" w:lineRule="exact"/>
        <w:rPr>
          <w:rFonts w:hint="eastAsia" w:ascii="仿宋_GB2312" w:hAnsi="仿宋_GB2312" w:eastAsia="仿宋_GB2312" w:cs="仿宋_GB2312"/>
          <w:bCs/>
          <w:color w:val="auto"/>
          <w:sz w:val="28"/>
          <w:szCs w:val="28"/>
          <w:highlight w:val="none"/>
        </w:rPr>
      </w:pPr>
      <w:r>
        <w:rPr>
          <w:rFonts w:hint="eastAsia" w:ascii="仿宋" w:hAnsi="仿宋" w:eastAsia="仿宋" w:cs="仿宋"/>
          <w:bCs/>
          <w:color w:val="auto"/>
          <w:sz w:val="28"/>
          <w:szCs w:val="28"/>
          <w:highlight w:val="none"/>
        </w:rPr>
        <w:t>日期:202</w:t>
      </w: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年  月  日</w:t>
      </w:r>
      <w:r>
        <w:rPr>
          <w:rFonts w:hint="eastAsia" w:ascii="仿宋" w:hAnsi="仿宋" w:eastAsia="仿宋" w:cs="仿宋"/>
          <w:bCs/>
          <w:color w:val="auto"/>
          <w:sz w:val="28"/>
          <w:szCs w:val="28"/>
          <w:highlight w:val="none"/>
        </w:rPr>
        <w:tab/>
      </w:r>
      <w:r>
        <w:rPr>
          <w:rFonts w:hint="eastAsia" w:ascii="仿宋" w:hAnsi="仿宋" w:eastAsia="仿宋" w:cs="仿宋"/>
          <w:bCs/>
          <w:color w:val="auto"/>
          <w:sz w:val="28"/>
          <w:szCs w:val="28"/>
          <w:highlight w:val="none"/>
        </w:rPr>
        <w:t xml:space="preserve">     日期：202</w:t>
      </w: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年  月  日</w:t>
      </w:r>
    </w:p>
    <w:p>
      <w:pPr>
        <w:spacing w:line="560" w:lineRule="exact"/>
        <w:jc w:val="both"/>
        <w:rPr>
          <w:rFonts w:ascii="黑体" w:hAnsi="Batang" w:eastAsia="黑体" w:cs="Batang"/>
          <w:bCs/>
          <w:color w:val="auto"/>
          <w:kern w:val="0"/>
          <w:sz w:val="44"/>
          <w:szCs w:val="44"/>
          <w:highlight w:val="none"/>
        </w:rPr>
        <w:sectPr>
          <w:pgSz w:w="11906" w:h="16838"/>
          <w:pgMar w:top="1089" w:right="1469" w:bottom="1089" w:left="1077" w:header="851" w:footer="992" w:gutter="0"/>
          <w:pgNumType w:fmt="decimal"/>
          <w:cols w:space="720" w:num="1"/>
          <w:docGrid w:linePitch="312" w:charSpace="0"/>
        </w:sect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4"/>
        <w:rPr>
          <w:color w:val="auto"/>
          <w:highlight w:val="none"/>
        </w:rPr>
      </w:pPr>
      <w:bookmarkStart w:id="91" w:name="_Toc3723"/>
      <w:bookmarkStart w:id="92" w:name="_Toc5129"/>
      <w:bookmarkStart w:id="93" w:name="_Toc23515"/>
      <w:bookmarkStart w:id="94" w:name="_Toc8147"/>
      <w:bookmarkStart w:id="95" w:name="_Toc21847"/>
      <w:bookmarkStart w:id="96" w:name="_Toc1563"/>
      <w:bookmarkStart w:id="97" w:name="_Toc16552"/>
      <w:bookmarkStart w:id="98" w:name="_Toc6230"/>
      <w:bookmarkStart w:id="99" w:name="_Toc12169"/>
      <w:bookmarkStart w:id="100" w:name="_Toc28358"/>
      <w:bookmarkStart w:id="101" w:name="_Toc30824"/>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91"/>
      <w:bookmarkEnd w:id="92"/>
      <w:bookmarkEnd w:id="93"/>
      <w:bookmarkEnd w:id="94"/>
      <w:bookmarkEnd w:id="95"/>
      <w:bookmarkEnd w:id="96"/>
      <w:bookmarkEnd w:id="97"/>
      <w:bookmarkEnd w:id="98"/>
      <w:bookmarkEnd w:id="99"/>
      <w:bookmarkEnd w:id="100"/>
      <w:bookmarkEnd w:id="101"/>
    </w:p>
    <w:p>
      <w:pPr>
        <w:pStyle w:val="36"/>
        <w:rPr>
          <w:color w:val="auto"/>
          <w:highlight w:val="none"/>
        </w:rPr>
      </w:pPr>
    </w:p>
    <w:p>
      <w:pPr>
        <w:pStyle w:val="4"/>
        <w:rPr>
          <w:color w:val="auto"/>
          <w:highlight w:val="none"/>
        </w:rPr>
      </w:pPr>
      <w:bookmarkStart w:id="102" w:name="_Toc30157"/>
      <w:bookmarkStart w:id="103" w:name="_Toc22764"/>
      <w:bookmarkStart w:id="104" w:name="_Toc5342"/>
      <w:bookmarkStart w:id="105" w:name="_Toc31564"/>
      <w:bookmarkStart w:id="106" w:name="_Toc10840"/>
      <w:bookmarkStart w:id="107" w:name="_Toc24815"/>
      <w:bookmarkStart w:id="108" w:name="_Toc12769"/>
      <w:bookmarkStart w:id="109" w:name="_Toc17119"/>
      <w:bookmarkStart w:id="110" w:name="_Toc88209951"/>
      <w:bookmarkStart w:id="111" w:name="_Toc24490"/>
      <w:bookmarkStart w:id="112" w:name="_Toc12610"/>
      <w:bookmarkStart w:id="113" w:name="_Toc87616388"/>
      <w:bookmarkStart w:id="114" w:name="_Toc21675"/>
      <w:r>
        <w:rPr>
          <w:rFonts w:hint="eastAsia"/>
          <w:color w:val="auto"/>
          <w:highlight w:val="none"/>
        </w:rPr>
        <w:t>响应文件格式要求</w:t>
      </w:r>
      <w:bookmarkEnd w:id="102"/>
      <w:bookmarkEnd w:id="103"/>
      <w:bookmarkEnd w:id="104"/>
      <w:bookmarkEnd w:id="105"/>
      <w:bookmarkEnd w:id="106"/>
      <w:bookmarkEnd w:id="107"/>
      <w:bookmarkEnd w:id="108"/>
      <w:bookmarkEnd w:id="109"/>
      <w:bookmarkEnd w:id="110"/>
      <w:bookmarkEnd w:id="111"/>
      <w:bookmarkEnd w:id="112"/>
      <w:bookmarkEnd w:id="113"/>
      <w:bookmarkEnd w:id="114"/>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5" w:name="_Toc88209952"/>
      <w:bookmarkStart w:id="116" w:name="_Toc87616389"/>
      <w:r>
        <w:rPr>
          <w:rFonts w:hint="eastAsia" w:ascii="仿宋_GB2312" w:eastAsia="仿宋_GB2312"/>
          <w:color w:val="auto"/>
          <w:sz w:val="28"/>
          <w:szCs w:val="28"/>
          <w:highlight w:val="none"/>
        </w:rPr>
        <w:t>1.响应函</w:t>
      </w:r>
      <w:bookmarkEnd w:id="115"/>
      <w:bookmarkEnd w:id="116"/>
    </w:p>
    <w:p>
      <w:pPr>
        <w:spacing w:line="600" w:lineRule="exact"/>
        <w:rPr>
          <w:rFonts w:ascii="仿宋_GB2312" w:eastAsia="仿宋_GB2312"/>
          <w:color w:val="auto"/>
          <w:sz w:val="28"/>
          <w:szCs w:val="28"/>
          <w:highlight w:val="none"/>
        </w:rPr>
      </w:pPr>
      <w:bookmarkStart w:id="117" w:name="_Toc87616390"/>
      <w:bookmarkStart w:id="118" w:name="_Toc88209953"/>
      <w:r>
        <w:rPr>
          <w:rFonts w:hint="eastAsia" w:ascii="仿宋_GB2312" w:eastAsia="仿宋_GB2312"/>
          <w:color w:val="auto"/>
          <w:sz w:val="28"/>
          <w:szCs w:val="28"/>
          <w:highlight w:val="none"/>
        </w:rPr>
        <w:t>2.法定代表人证明或授权委托书</w:t>
      </w:r>
      <w:bookmarkEnd w:id="117"/>
      <w:bookmarkEnd w:id="118"/>
      <w:bookmarkStart w:id="119" w:name="_Toc87616393"/>
      <w:bookmarkStart w:id="120"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19"/>
      <w:bookmarkEnd w:id="120"/>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bookmarkStart w:id="121" w:name="_Toc6313"/>
      <w:bookmarkStart w:id="122" w:name="_Toc88209957"/>
      <w:bookmarkStart w:id="123" w:name="_Toc12665"/>
      <w:bookmarkStart w:id="124" w:name="_Toc87616394"/>
      <w:bookmarkStart w:id="125" w:name="_Toc28619645"/>
      <w:r>
        <w:rPr>
          <w:rFonts w:hint="eastAsia" w:asciiTheme="minorEastAsia" w:hAnsiTheme="minorEastAsia" w:eastAsiaTheme="minorEastAsia"/>
          <w:color w:val="auto"/>
          <w:sz w:val="28"/>
          <w:szCs w:val="28"/>
          <w:highlight w:val="none"/>
        </w:rPr>
        <w:t>1.响应函</w:t>
      </w:r>
      <w:bookmarkEnd w:id="121"/>
      <w:bookmarkEnd w:id="122"/>
      <w:bookmarkEnd w:id="123"/>
      <w:bookmarkEnd w:id="124"/>
      <w:bookmarkEnd w:id="12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26" w:name="_Toc22527"/>
      <w:bookmarkStart w:id="127" w:name="_Toc88209958"/>
      <w:bookmarkStart w:id="128" w:name="_Toc87616395"/>
      <w:bookmarkStart w:id="129"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6"/>
      <w:bookmarkEnd w:id="127"/>
      <w:bookmarkEnd w:id="128"/>
      <w:bookmarkEnd w:id="12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6"/>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0" w:name="_Toc19830"/>
      <w:bookmarkStart w:id="131" w:name="_Toc8086"/>
      <w:bookmarkStart w:id="132" w:name="_Toc87616400"/>
      <w:bookmarkStart w:id="133" w:name="_Toc88209963"/>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30"/>
      <w:bookmarkEnd w:id="131"/>
      <w:bookmarkEnd w:id="132"/>
      <w:bookmarkEnd w:id="13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34"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34"/>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u w:val="single"/>
          <w:lang w:val="en-GB" w:eastAsia="zh-CN"/>
        </w:rPr>
        <w:t>广州市净水有限公司健康城分公司建设储能设施可行性研究报告咨询服务项目（第二次）</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ind w:firstLine="0"/>
        <w:rPr>
          <w:color w:val="auto"/>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adjustRightInd w:val="0"/>
        <w:snapToGrid w:val="0"/>
        <w:spacing w:line="360" w:lineRule="auto"/>
        <w:jc w:val="both"/>
        <w:rPr>
          <w:rFonts w:hint="eastAsia" w:ascii="宋体" w:hAnsi="宋体" w:eastAsia="宋体" w:cs="宋体"/>
          <w:color w:val="auto"/>
          <w:sz w:val="24"/>
          <w:szCs w:val="24"/>
          <w:highlight w:val="none"/>
          <w:lang w:val="en-GB"/>
        </w:rPr>
      </w:pPr>
    </w:p>
    <w:p>
      <w:pPr>
        <w:adjustRightInd w:val="0"/>
        <w:snapToGrid w:val="0"/>
        <w:spacing w:line="360" w:lineRule="auto"/>
        <w:jc w:val="both"/>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2"/>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lang w:val="en-GB"/>
        </w:rPr>
        <w:t>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color w:val="auto"/>
          <w:highlight w:val="none"/>
        </w:rPr>
      </w:pPr>
    </w:p>
    <w:p>
      <w:pPr>
        <w:pStyle w:val="6"/>
        <w:rPr>
          <w:rFonts w:asciiTheme="majorEastAsia" w:hAnsiTheme="majorEastAsia" w:eastAsiaTheme="majorEastAsia"/>
          <w:color w:val="auto"/>
          <w:sz w:val="28"/>
          <w:szCs w:val="28"/>
          <w:highlight w:val="none"/>
        </w:rPr>
      </w:pPr>
      <w:bookmarkStart w:id="135" w:name="_Toc88209965"/>
      <w:bookmarkStart w:id="136" w:name="_Toc87616402"/>
      <w:bookmarkStart w:id="137" w:name="_Toc6058"/>
      <w:bookmarkStart w:id="138" w:name="_Toc16386"/>
      <w:r>
        <w:rPr>
          <w:rFonts w:hint="eastAsia" w:eastAsiaTheme="majorEastAsia"/>
          <w:color w:val="auto"/>
          <w:highlight w:val="none"/>
          <w:lang w:val="en-US" w:eastAsia="zh-CN"/>
        </w:rPr>
        <w:t>5</w:t>
      </w:r>
      <w:r>
        <w:rPr>
          <w:rFonts w:hint="eastAsia" w:asciiTheme="majorEastAsia" w:hAnsiTheme="majorEastAsia" w:eastAsiaTheme="majorEastAsia"/>
          <w:color w:val="auto"/>
          <w:sz w:val="28"/>
          <w:szCs w:val="28"/>
          <w:highlight w:val="none"/>
        </w:rPr>
        <w:t>.其他资料</w:t>
      </w:r>
      <w:bookmarkEnd w:id="135"/>
      <w:bookmarkEnd w:id="136"/>
      <w:bookmarkEnd w:id="137"/>
      <w:bookmarkEnd w:id="138"/>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8" w:type="first"/>
      <w:headerReference r:id="rId5" w:type="default"/>
      <w:footerReference r:id="rId6" w:type="default"/>
      <w:footerReference r:id="rId7" w:type="even"/>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y/ZY8IBAACO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Mv2WPCAQAAjgMAAA4AAAAAAAAAAQAgAAAAHgEAAGRycy9lMm9Eb2MueG1sUEsF&#10;BgAAAAAGAAYAWQEAAFI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odEcE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FwDwu0xYeHST0YdoaZiOKbCaFqpvAeP7yXr4Tfa/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n4odEcEBAACOAwAADgAAAAAAAAABACAAAAAeAQAAZHJzL2Uyb0RvYy54bWxQSwUG&#10;AAAAAAYABgBZAQAAUQ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CFEF0804"/>
    <w:multiLevelType w:val="singleLevel"/>
    <w:tmpl w:val="CFEF0804"/>
    <w:lvl w:ilvl="0" w:tentative="0">
      <w:start w:val="2"/>
      <w:numFmt w:val="chineseCounting"/>
      <w:suff w:val="nothing"/>
      <w:lvlText w:val="%1、"/>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1216EB"/>
    <w:rsid w:val="00227C6D"/>
    <w:rsid w:val="003D60BA"/>
    <w:rsid w:val="00411689"/>
    <w:rsid w:val="005D618A"/>
    <w:rsid w:val="008C66C5"/>
    <w:rsid w:val="00911ECD"/>
    <w:rsid w:val="00A042E0"/>
    <w:rsid w:val="00A81047"/>
    <w:rsid w:val="00B26BB1"/>
    <w:rsid w:val="00B26E21"/>
    <w:rsid w:val="00F4436A"/>
    <w:rsid w:val="00F83B64"/>
    <w:rsid w:val="018062C1"/>
    <w:rsid w:val="02090C75"/>
    <w:rsid w:val="02A23A3C"/>
    <w:rsid w:val="030F6088"/>
    <w:rsid w:val="03AC246A"/>
    <w:rsid w:val="03B23056"/>
    <w:rsid w:val="03DC3EBA"/>
    <w:rsid w:val="03F9794D"/>
    <w:rsid w:val="04552A83"/>
    <w:rsid w:val="046A2461"/>
    <w:rsid w:val="046B70EF"/>
    <w:rsid w:val="04C0205D"/>
    <w:rsid w:val="05687CD1"/>
    <w:rsid w:val="05D67331"/>
    <w:rsid w:val="06C64829"/>
    <w:rsid w:val="06E775BD"/>
    <w:rsid w:val="077D16D2"/>
    <w:rsid w:val="07E24856"/>
    <w:rsid w:val="08675FC8"/>
    <w:rsid w:val="09B713FD"/>
    <w:rsid w:val="09EF6ACC"/>
    <w:rsid w:val="0A315056"/>
    <w:rsid w:val="0AFB45AD"/>
    <w:rsid w:val="0B351E9B"/>
    <w:rsid w:val="0B4C50D3"/>
    <w:rsid w:val="0B802C50"/>
    <w:rsid w:val="0B806B92"/>
    <w:rsid w:val="0B827E94"/>
    <w:rsid w:val="0BC168DE"/>
    <w:rsid w:val="0BD070E1"/>
    <w:rsid w:val="0C247926"/>
    <w:rsid w:val="0C540FAF"/>
    <w:rsid w:val="0C5C70EA"/>
    <w:rsid w:val="0D216DDA"/>
    <w:rsid w:val="0D794204"/>
    <w:rsid w:val="0DC66338"/>
    <w:rsid w:val="0E2125D1"/>
    <w:rsid w:val="0E214211"/>
    <w:rsid w:val="0E5F2769"/>
    <w:rsid w:val="0F31382A"/>
    <w:rsid w:val="0F4D75A3"/>
    <w:rsid w:val="0F5B2DCA"/>
    <w:rsid w:val="0FED051E"/>
    <w:rsid w:val="0FEE4C29"/>
    <w:rsid w:val="10046082"/>
    <w:rsid w:val="112B101A"/>
    <w:rsid w:val="119B53FC"/>
    <w:rsid w:val="12424CDC"/>
    <w:rsid w:val="12492C39"/>
    <w:rsid w:val="129A2738"/>
    <w:rsid w:val="12B56BF1"/>
    <w:rsid w:val="12CB1A89"/>
    <w:rsid w:val="131840FB"/>
    <w:rsid w:val="13370CE3"/>
    <w:rsid w:val="13467417"/>
    <w:rsid w:val="136E76CF"/>
    <w:rsid w:val="143D07D7"/>
    <w:rsid w:val="14BC2F95"/>
    <w:rsid w:val="15BC6B3C"/>
    <w:rsid w:val="16582B45"/>
    <w:rsid w:val="1694429A"/>
    <w:rsid w:val="17635326"/>
    <w:rsid w:val="18236EFD"/>
    <w:rsid w:val="183103F7"/>
    <w:rsid w:val="189D5B1F"/>
    <w:rsid w:val="18A34CD0"/>
    <w:rsid w:val="192A4C16"/>
    <w:rsid w:val="19B64DBC"/>
    <w:rsid w:val="1A226249"/>
    <w:rsid w:val="1A373ACF"/>
    <w:rsid w:val="1A895341"/>
    <w:rsid w:val="1B0D071F"/>
    <w:rsid w:val="1B4568CE"/>
    <w:rsid w:val="1B5E7A79"/>
    <w:rsid w:val="1B9015B7"/>
    <w:rsid w:val="1BB25D8C"/>
    <w:rsid w:val="1C874A89"/>
    <w:rsid w:val="1C890801"/>
    <w:rsid w:val="1D5A79EE"/>
    <w:rsid w:val="1DDF7521"/>
    <w:rsid w:val="1E0E2CD0"/>
    <w:rsid w:val="1E831280"/>
    <w:rsid w:val="1EBC4704"/>
    <w:rsid w:val="1F172EB5"/>
    <w:rsid w:val="1F94592D"/>
    <w:rsid w:val="1FA42DE2"/>
    <w:rsid w:val="1FB860DE"/>
    <w:rsid w:val="20124FB2"/>
    <w:rsid w:val="203978D9"/>
    <w:rsid w:val="203C5A02"/>
    <w:rsid w:val="20855784"/>
    <w:rsid w:val="209D4C94"/>
    <w:rsid w:val="20E84705"/>
    <w:rsid w:val="21721A15"/>
    <w:rsid w:val="218400BA"/>
    <w:rsid w:val="21AB1E2F"/>
    <w:rsid w:val="21D40498"/>
    <w:rsid w:val="22767047"/>
    <w:rsid w:val="236377EC"/>
    <w:rsid w:val="23A05588"/>
    <w:rsid w:val="24671676"/>
    <w:rsid w:val="249553AC"/>
    <w:rsid w:val="25431AEB"/>
    <w:rsid w:val="25BF43FD"/>
    <w:rsid w:val="25F86BCD"/>
    <w:rsid w:val="2605748B"/>
    <w:rsid w:val="26973157"/>
    <w:rsid w:val="269E416A"/>
    <w:rsid w:val="272100D3"/>
    <w:rsid w:val="272C72FC"/>
    <w:rsid w:val="272F01F7"/>
    <w:rsid w:val="27B30B26"/>
    <w:rsid w:val="27EB149D"/>
    <w:rsid w:val="27FD3E52"/>
    <w:rsid w:val="28193161"/>
    <w:rsid w:val="284B2E0F"/>
    <w:rsid w:val="28E11370"/>
    <w:rsid w:val="294A756A"/>
    <w:rsid w:val="29B76EF6"/>
    <w:rsid w:val="29D5322D"/>
    <w:rsid w:val="2A025DD9"/>
    <w:rsid w:val="2A7C2231"/>
    <w:rsid w:val="2ABB753D"/>
    <w:rsid w:val="2B7A49FA"/>
    <w:rsid w:val="2BB86A0D"/>
    <w:rsid w:val="2BBA743B"/>
    <w:rsid w:val="2C1B54BD"/>
    <w:rsid w:val="2C615D26"/>
    <w:rsid w:val="2CB679ED"/>
    <w:rsid w:val="2CBA782B"/>
    <w:rsid w:val="2D173C07"/>
    <w:rsid w:val="2D424A86"/>
    <w:rsid w:val="2D784F1D"/>
    <w:rsid w:val="2E7B52DB"/>
    <w:rsid w:val="2F324CFE"/>
    <w:rsid w:val="2F961124"/>
    <w:rsid w:val="2FBA09F1"/>
    <w:rsid w:val="2FEF2ACF"/>
    <w:rsid w:val="30540211"/>
    <w:rsid w:val="312D7741"/>
    <w:rsid w:val="316F137F"/>
    <w:rsid w:val="31DF525F"/>
    <w:rsid w:val="32094BCD"/>
    <w:rsid w:val="32324C2E"/>
    <w:rsid w:val="327171DF"/>
    <w:rsid w:val="32775C43"/>
    <w:rsid w:val="33E52369"/>
    <w:rsid w:val="341452E5"/>
    <w:rsid w:val="341E3434"/>
    <w:rsid w:val="34E21963"/>
    <w:rsid w:val="35386B71"/>
    <w:rsid w:val="360B7EBA"/>
    <w:rsid w:val="369C32FD"/>
    <w:rsid w:val="37666E72"/>
    <w:rsid w:val="37A95E9D"/>
    <w:rsid w:val="38167A04"/>
    <w:rsid w:val="38CA6556"/>
    <w:rsid w:val="391D07F7"/>
    <w:rsid w:val="394B167A"/>
    <w:rsid w:val="3A305C0D"/>
    <w:rsid w:val="3A4E4336"/>
    <w:rsid w:val="3A6007FE"/>
    <w:rsid w:val="3AE410F0"/>
    <w:rsid w:val="3B7C2CE4"/>
    <w:rsid w:val="3B8C621F"/>
    <w:rsid w:val="3C0B5355"/>
    <w:rsid w:val="3CAB7EC8"/>
    <w:rsid w:val="3CD4176B"/>
    <w:rsid w:val="3D1F44D9"/>
    <w:rsid w:val="3D490A70"/>
    <w:rsid w:val="3D5C38CD"/>
    <w:rsid w:val="3D6469F5"/>
    <w:rsid w:val="3D934BE4"/>
    <w:rsid w:val="3E06185A"/>
    <w:rsid w:val="3E5070F1"/>
    <w:rsid w:val="3F302B2D"/>
    <w:rsid w:val="3F6C3589"/>
    <w:rsid w:val="3F850180"/>
    <w:rsid w:val="3F9004D6"/>
    <w:rsid w:val="3FBA4016"/>
    <w:rsid w:val="400E4D5E"/>
    <w:rsid w:val="405B7755"/>
    <w:rsid w:val="40E1138C"/>
    <w:rsid w:val="413814BA"/>
    <w:rsid w:val="41872511"/>
    <w:rsid w:val="42466655"/>
    <w:rsid w:val="42A05C7C"/>
    <w:rsid w:val="42C82F57"/>
    <w:rsid w:val="42E42D7E"/>
    <w:rsid w:val="4383394D"/>
    <w:rsid w:val="43C76AF7"/>
    <w:rsid w:val="446828F0"/>
    <w:rsid w:val="453B44DF"/>
    <w:rsid w:val="45C13B4D"/>
    <w:rsid w:val="45F96148"/>
    <w:rsid w:val="46054BCA"/>
    <w:rsid w:val="464C6AFC"/>
    <w:rsid w:val="468B0091"/>
    <w:rsid w:val="46A107C3"/>
    <w:rsid w:val="46B15CE2"/>
    <w:rsid w:val="46BE113D"/>
    <w:rsid w:val="46E44B13"/>
    <w:rsid w:val="46E71F62"/>
    <w:rsid w:val="4703508A"/>
    <w:rsid w:val="475023F8"/>
    <w:rsid w:val="476B4E24"/>
    <w:rsid w:val="479D361E"/>
    <w:rsid w:val="47B74789"/>
    <w:rsid w:val="48036E0A"/>
    <w:rsid w:val="480F2B9D"/>
    <w:rsid w:val="48282920"/>
    <w:rsid w:val="485321E0"/>
    <w:rsid w:val="48546AD3"/>
    <w:rsid w:val="48727F86"/>
    <w:rsid w:val="48CA4868"/>
    <w:rsid w:val="48F005D3"/>
    <w:rsid w:val="498F4AF1"/>
    <w:rsid w:val="49C05787"/>
    <w:rsid w:val="49CF518D"/>
    <w:rsid w:val="49D20AFA"/>
    <w:rsid w:val="4ADA1F63"/>
    <w:rsid w:val="4AE23D89"/>
    <w:rsid w:val="4AEE74D1"/>
    <w:rsid w:val="4B2038D0"/>
    <w:rsid w:val="4B296E7D"/>
    <w:rsid w:val="4B49547C"/>
    <w:rsid w:val="4B7122DD"/>
    <w:rsid w:val="4B877F28"/>
    <w:rsid w:val="4C043151"/>
    <w:rsid w:val="4D6327E6"/>
    <w:rsid w:val="4D916BA6"/>
    <w:rsid w:val="4DC44169"/>
    <w:rsid w:val="4EF0709E"/>
    <w:rsid w:val="4F6C5EFF"/>
    <w:rsid w:val="4F882125"/>
    <w:rsid w:val="5094058F"/>
    <w:rsid w:val="513C6A7B"/>
    <w:rsid w:val="5333545B"/>
    <w:rsid w:val="5450213C"/>
    <w:rsid w:val="54D24048"/>
    <w:rsid w:val="54D64CD5"/>
    <w:rsid w:val="55887D69"/>
    <w:rsid w:val="55CD6EFA"/>
    <w:rsid w:val="561A0928"/>
    <w:rsid w:val="562B40FC"/>
    <w:rsid w:val="56423872"/>
    <w:rsid w:val="56B279F0"/>
    <w:rsid w:val="56EE3CD8"/>
    <w:rsid w:val="56FA587C"/>
    <w:rsid w:val="5728779F"/>
    <w:rsid w:val="579D710E"/>
    <w:rsid w:val="57B961F9"/>
    <w:rsid w:val="57F66044"/>
    <w:rsid w:val="5800262E"/>
    <w:rsid w:val="581F22F6"/>
    <w:rsid w:val="586E1E17"/>
    <w:rsid w:val="58862C35"/>
    <w:rsid w:val="589A7288"/>
    <w:rsid w:val="58C14957"/>
    <w:rsid w:val="5AE83A50"/>
    <w:rsid w:val="5B294982"/>
    <w:rsid w:val="5BAB2917"/>
    <w:rsid w:val="5BF2642D"/>
    <w:rsid w:val="5BFC33FA"/>
    <w:rsid w:val="5C3107A4"/>
    <w:rsid w:val="5C3B1B93"/>
    <w:rsid w:val="5C9220DF"/>
    <w:rsid w:val="5D4A15F3"/>
    <w:rsid w:val="5D69542A"/>
    <w:rsid w:val="5D72616D"/>
    <w:rsid w:val="5DE34AFB"/>
    <w:rsid w:val="5E0930EF"/>
    <w:rsid w:val="5E3D4D53"/>
    <w:rsid w:val="5E4717E6"/>
    <w:rsid w:val="5E55774C"/>
    <w:rsid w:val="5EB629D1"/>
    <w:rsid w:val="5F3062DF"/>
    <w:rsid w:val="60104DDC"/>
    <w:rsid w:val="60275934"/>
    <w:rsid w:val="605C0804"/>
    <w:rsid w:val="6071095D"/>
    <w:rsid w:val="607C7302"/>
    <w:rsid w:val="6189617B"/>
    <w:rsid w:val="61B52BB6"/>
    <w:rsid w:val="61B749C2"/>
    <w:rsid w:val="621E42C2"/>
    <w:rsid w:val="62280D20"/>
    <w:rsid w:val="62481C53"/>
    <w:rsid w:val="62CA2457"/>
    <w:rsid w:val="638240A1"/>
    <w:rsid w:val="63A5257B"/>
    <w:rsid w:val="63B3128D"/>
    <w:rsid w:val="63BD3DCC"/>
    <w:rsid w:val="63C61741"/>
    <w:rsid w:val="64560967"/>
    <w:rsid w:val="648570CD"/>
    <w:rsid w:val="64EC4A56"/>
    <w:rsid w:val="65465D66"/>
    <w:rsid w:val="656B1D10"/>
    <w:rsid w:val="66022B28"/>
    <w:rsid w:val="66581E87"/>
    <w:rsid w:val="66F423F8"/>
    <w:rsid w:val="66FA11D5"/>
    <w:rsid w:val="674302C7"/>
    <w:rsid w:val="67ED7463"/>
    <w:rsid w:val="680A5986"/>
    <w:rsid w:val="680D5F4B"/>
    <w:rsid w:val="68113F51"/>
    <w:rsid w:val="684D128B"/>
    <w:rsid w:val="68E94770"/>
    <w:rsid w:val="68F949C9"/>
    <w:rsid w:val="69137B85"/>
    <w:rsid w:val="695A0B28"/>
    <w:rsid w:val="695A4290"/>
    <w:rsid w:val="695F74E2"/>
    <w:rsid w:val="69D106BF"/>
    <w:rsid w:val="6A334932"/>
    <w:rsid w:val="6A3353FF"/>
    <w:rsid w:val="6A5D63E6"/>
    <w:rsid w:val="6A5F24D1"/>
    <w:rsid w:val="6AC43B6C"/>
    <w:rsid w:val="6AE347EB"/>
    <w:rsid w:val="6B434AF0"/>
    <w:rsid w:val="6B57675A"/>
    <w:rsid w:val="6BDD7B4D"/>
    <w:rsid w:val="6E2041CB"/>
    <w:rsid w:val="6EBC0B3A"/>
    <w:rsid w:val="6EC6586E"/>
    <w:rsid w:val="6EF51C7D"/>
    <w:rsid w:val="6F245F0A"/>
    <w:rsid w:val="6F8363E5"/>
    <w:rsid w:val="6FBC60C6"/>
    <w:rsid w:val="6FC746F5"/>
    <w:rsid w:val="70317AC6"/>
    <w:rsid w:val="70863262"/>
    <w:rsid w:val="70A76ED3"/>
    <w:rsid w:val="7157594D"/>
    <w:rsid w:val="71860B17"/>
    <w:rsid w:val="723B27CC"/>
    <w:rsid w:val="72687227"/>
    <w:rsid w:val="72A03FD9"/>
    <w:rsid w:val="72CF7EB2"/>
    <w:rsid w:val="730A6664"/>
    <w:rsid w:val="73406CFF"/>
    <w:rsid w:val="7383028C"/>
    <w:rsid w:val="739934C7"/>
    <w:rsid w:val="73A25E44"/>
    <w:rsid w:val="741F68CF"/>
    <w:rsid w:val="75252DF3"/>
    <w:rsid w:val="75621536"/>
    <w:rsid w:val="75BF3154"/>
    <w:rsid w:val="764A07CF"/>
    <w:rsid w:val="764F6B3D"/>
    <w:rsid w:val="76CD2B7B"/>
    <w:rsid w:val="76D80645"/>
    <w:rsid w:val="76E03371"/>
    <w:rsid w:val="773A4F6F"/>
    <w:rsid w:val="7764569E"/>
    <w:rsid w:val="779F437F"/>
    <w:rsid w:val="780E5898"/>
    <w:rsid w:val="782642CC"/>
    <w:rsid w:val="7894095E"/>
    <w:rsid w:val="79000679"/>
    <w:rsid w:val="79A416F0"/>
    <w:rsid w:val="79B03EB6"/>
    <w:rsid w:val="79FF6C6E"/>
    <w:rsid w:val="7AF37579"/>
    <w:rsid w:val="7AF87F64"/>
    <w:rsid w:val="7B1C0C84"/>
    <w:rsid w:val="7B5A49B8"/>
    <w:rsid w:val="7B5A62DF"/>
    <w:rsid w:val="7B7A04A8"/>
    <w:rsid w:val="7C0C3F6D"/>
    <w:rsid w:val="7C22163C"/>
    <w:rsid w:val="7C595075"/>
    <w:rsid w:val="7C6B07B2"/>
    <w:rsid w:val="7D074EF8"/>
    <w:rsid w:val="7D133243"/>
    <w:rsid w:val="7DC25CB8"/>
    <w:rsid w:val="7E105802"/>
    <w:rsid w:val="7E382D5E"/>
    <w:rsid w:val="7E394207"/>
    <w:rsid w:val="7E4007A2"/>
    <w:rsid w:val="7E791CAD"/>
    <w:rsid w:val="7E9C40D4"/>
    <w:rsid w:val="7EA50DFB"/>
    <w:rsid w:val="7EC86878"/>
    <w:rsid w:val="7ED476E5"/>
    <w:rsid w:val="7F16390D"/>
    <w:rsid w:val="7F752917"/>
    <w:rsid w:val="7FC7759B"/>
    <w:rsid w:val="7FD34F94"/>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0"/>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35"/>
    <w:semiHidden/>
    <w:unhideWhenUsed/>
    <w:qFormat/>
    <w:uiPriority w:val="99"/>
    <w:rPr>
      <w:sz w:val="18"/>
      <w:szCs w:val="18"/>
    </w:rPr>
  </w:style>
  <w:style w:type="paragraph" w:styleId="18">
    <w:name w:val="footer"/>
    <w:basedOn w:val="1"/>
    <w:link w:val="29"/>
    <w:unhideWhenUsed/>
    <w:qFormat/>
    <w:uiPriority w:val="99"/>
    <w:pPr>
      <w:tabs>
        <w:tab w:val="center" w:pos="4153"/>
        <w:tab w:val="right" w:pos="8306"/>
      </w:tabs>
      <w:snapToGrid w:val="0"/>
      <w:jc w:val="left"/>
    </w:pPr>
    <w:rPr>
      <w:sz w:val="18"/>
      <w:szCs w:val="18"/>
    </w:rPr>
  </w:style>
  <w:style w:type="paragraph" w:styleId="19">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qFormat/>
    <w:uiPriority w:val="22"/>
    <w:rPr>
      <w:rFonts w:eastAsia="宋体"/>
      <w:b/>
      <w:bCs/>
      <w:kern w:val="2"/>
      <w:sz w:val="24"/>
      <w:szCs w:val="24"/>
      <w:lang w:val="en-US" w:eastAsia="zh-CN" w:bidi="ar-SA"/>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字符"/>
    <w:basedOn w:val="25"/>
    <w:link w:val="19"/>
    <w:qFormat/>
    <w:uiPriority w:val="99"/>
    <w:rPr>
      <w:sz w:val="18"/>
      <w:szCs w:val="18"/>
    </w:rPr>
  </w:style>
  <w:style w:type="character" w:customStyle="1" w:styleId="29">
    <w:name w:val="页脚 字符"/>
    <w:basedOn w:val="25"/>
    <w:link w:val="18"/>
    <w:qFormat/>
    <w:uiPriority w:val="99"/>
    <w:rPr>
      <w:sz w:val="18"/>
      <w:szCs w:val="18"/>
    </w:rPr>
  </w:style>
  <w:style w:type="character" w:customStyle="1" w:styleId="30">
    <w:name w:val="标题 1 字符"/>
    <w:basedOn w:val="25"/>
    <w:link w:val="4"/>
    <w:qFormat/>
    <w:uiPriority w:val="9"/>
    <w:rPr>
      <w:rFonts w:eastAsia="方正小标宋简体"/>
      <w:bCs/>
      <w:kern w:val="44"/>
      <w:sz w:val="44"/>
      <w:szCs w:val="44"/>
    </w:rPr>
  </w:style>
  <w:style w:type="character" w:customStyle="1" w:styleId="31">
    <w:name w:val="标题 2 字符"/>
    <w:basedOn w:val="25"/>
    <w:link w:val="5"/>
    <w:qFormat/>
    <w:uiPriority w:val="9"/>
    <w:rPr>
      <w:rFonts w:eastAsia="方正小标宋简体" w:asciiTheme="majorHAnsi" w:hAnsiTheme="majorHAnsi" w:cstheme="majorBidi"/>
      <w:bCs/>
      <w:sz w:val="36"/>
      <w:szCs w:val="32"/>
    </w:rPr>
  </w:style>
  <w:style w:type="character" w:customStyle="1" w:styleId="32">
    <w:name w:val="标题 3 字符"/>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5"/>
    <w:link w:val="17"/>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4"/>
    <w:next w:val="14"/>
    <w:qFormat/>
    <w:uiPriority w:val="0"/>
    <w:pPr>
      <w:spacing w:after="373"/>
    </w:pPr>
    <w:rPr>
      <w:color w:val="auto"/>
    </w:rPr>
  </w:style>
  <w:style w:type="paragraph" w:customStyle="1" w:styleId="38">
    <w:name w:val="CM91"/>
    <w:basedOn w:val="14"/>
    <w:next w:val="14"/>
    <w:qFormat/>
    <w:uiPriority w:val="0"/>
    <w:pPr>
      <w:spacing w:after="160"/>
    </w:pPr>
    <w:rPr>
      <w:color w:val="auto"/>
    </w:rPr>
  </w:style>
  <w:style w:type="character" w:customStyle="1" w:styleId="39">
    <w:name w:val="正文文本 3 Char"/>
    <w:qFormat/>
    <w:uiPriority w:val="99"/>
    <w:rPr>
      <w:sz w:val="16"/>
      <w:szCs w:val="16"/>
    </w:rPr>
  </w:style>
  <w:style w:type="character" w:customStyle="1" w:styleId="40">
    <w:name w:val="正文文本 3 字符"/>
    <w:basedOn w:val="25"/>
    <w:link w:val="9"/>
    <w:semiHidden/>
    <w:qFormat/>
    <w:uiPriority w:val="99"/>
    <w:rPr>
      <w:sz w:val="16"/>
      <w:szCs w:val="16"/>
    </w:rPr>
  </w:style>
  <w:style w:type="character" w:customStyle="1" w:styleId="41">
    <w:name w:val="列表段落 字符"/>
    <w:link w:val="33"/>
    <w:qFormat/>
    <w:uiPriority w:val="34"/>
  </w:style>
  <w:style w:type="paragraph" w:customStyle="1" w:styleId="42">
    <w:name w:val="1"/>
    <w:basedOn w:val="1"/>
    <w:next w:val="13"/>
    <w:qFormat/>
    <w:uiPriority w:val="99"/>
    <w:rPr>
      <w:rFonts w:ascii="宋体" w:hAnsi="Courier New"/>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paragraph" w:customStyle="1" w:styleId="4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5">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6">
    <w:name w:val="Default1"/>
    <w:qFormat/>
    <w:uiPriority w:val="0"/>
    <w:pPr>
      <w:widowControl w:val="0"/>
      <w:autoSpaceDE w:val="0"/>
      <w:autoSpaceDN w:val="0"/>
      <w:adjustRightInd w:val="0"/>
    </w:pPr>
    <w:rPr>
      <w:rFonts w:ascii="宋体" w:hAnsi="Calibri"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16374</Words>
  <Characters>17019</Characters>
  <Lines>84</Lines>
  <Paragraphs>23</Paragraphs>
  <TotalTime>39</TotalTime>
  <ScaleCrop>false</ScaleCrop>
  <LinksUpToDate>false</LinksUpToDate>
  <CharactersWithSpaces>18960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2024-05-29T08:13:14Z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F11C3DEC0FC64399B6150B798BD2A567</vt:lpwstr>
  </property>
</Properties>
</file>