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5" w:name="_GoBack"/>
      <w:bookmarkEnd w:id="135"/>
    </w:p>
    <w:p>
      <w:pPr>
        <w:rPr>
          <w:color w:val="auto"/>
          <w:highlight w:val="none"/>
        </w:rPr>
      </w:pPr>
    </w:p>
    <w:p>
      <w:pPr>
        <w:pStyle w:val="49"/>
        <w:keepNext/>
        <w:keepLines/>
        <w:shd w:val="clear" w:color="auto" w:fill="auto"/>
        <w:spacing w:after="0" w:line="240" w:lineRule="auto"/>
        <w:jc w:val="center"/>
        <w:outlineLvl w:val="9"/>
        <w:rPr>
          <w:rFonts w:hint="eastAsia" w:ascii="方正小标宋简体" w:hAnsi="方正小标宋简体" w:eastAsia="方正小标宋简体" w:cs="方正小标宋简体"/>
          <w:b w:val="0"/>
          <w:bCs w:val="0"/>
          <w:color w:val="auto"/>
          <w:spacing w:val="0"/>
          <w:w w:val="100"/>
          <w:position w:val="0"/>
          <w:sz w:val="52"/>
          <w:szCs w:val="52"/>
          <w:highlight w:val="none"/>
        </w:rPr>
      </w:pPr>
      <w:r>
        <w:rPr>
          <w:rFonts w:hint="eastAsia" w:ascii="方正小标宋简体" w:hAnsi="方正小标宋简体" w:eastAsia="方正小标宋简体" w:cs="方正小标宋简体"/>
          <w:color w:val="auto"/>
          <w:sz w:val="52"/>
          <w:szCs w:val="52"/>
          <w:highlight w:val="none"/>
        </w:rPr>
        <w:t>广州市净水有限公司</w:t>
      </w:r>
      <w:r>
        <w:rPr>
          <w:rFonts w:hint="eastAsia" w:ascii="方正小标宋简体" w:hAnsi="方正小标宋简体" w:eastAsia="方正小标宋简体" w:cs="方正小标宋简体"/>
          <w:b w:val="0"/>
          <w:bCs w:val="0"/>
          <w:color w:val="auto"/>
          <w:spacing w:val="0"/>
          <w:w w:val="100"/>
          <w:position w:val="0"/>
          <w:sz w:val="52"/>
          <w:szCs w:val="52"/>
          <w:highlight w:val="none"/>
        </w:rPr>
        <w:t>健康城分公司2024年提升泵房、事故池、排水</w:t>
      </w:r>
    </w:p>
    <w:p>
      <w:pPr>
        <w:pStyle w:val="49"/>
        <w:keepNext/>
        <w:keepLines/>
        <w:shd w:val="clear" w:color="auto" w:fill="auto"/>
        <w:spacing w:after="0" w:line="240" w:lineRule="auto"/>
        <w:jc w:val="center"/>
        <w:outlineLvl w:val="9"/>
        <w:rPr>
          <w:rFonts w:hint="eastAsia" w:ascii="方正小标宋简体" w:hAnsi="方正小标宋简体" w:eastAsia="方正小标宋简体" w:cs="方正小标宋简体"/>
          <w:b w:val="0"/>
          <w:bCs w:val="0"/>
          <w:color w:val="auto"/>
          <w:spacing w:val="0"/>
          <w:w w:val="100"/>
          <w:position w:val="0"/>
          <w:sz w:val="52"/>
          <w:szCs w:val="52"/>
          <w:highlight w:val="none"/>
        </w:rPr>
      </w:pPr>
      <w:r>
        <w:rPr>
          <w:rFonts w:hint="eastAsia" w:ascii="方正小标宋简体" w:hAnsi="方正小标宋简体" w:eastAsia="方正小标宋简体" w:cs="方正小标宋简体"/>
          <w:b w:val="0"/>
          <w:bCs w:val="0"/>
          <w:color w:val="auto"/>
          <w:spacing w:val="0"/>
          <w:w w:val="100"/>
          <w:position w:val="0"/>
          <w:sz w:val="52"/>
          <w:szCs w:val="52"/>
          <w:highlight w:val="none"/>
        </w:rPr>
        <w:t>泵井清淤项目</w:t>
      </w:r>
    </w:p>
    <w:p>
      <w:pPr>
        <w:pStyle w:val="49"/>
        <w:keepNext/>
        <w:keepLines/>
        <w:shd w:val="clear" w:color="auto" w:fill="auto"/>
        <w:spacing w:after="0" w:line="240" w:lineRule="auto"/>
        <w:jc w:val="center"/>
        <w:outlineLvl w:val="9"/>
        <w:rPr>
          <w:rFonts w:hint="eastAsia" w:ascii="方正小标宋简体" w:hAnsi="方正小标宋简体" w:eastAsia="方正小标宋简体" w:cs="方正小标宋简体"/>
          <w:b w:val="0"/>
          <w:bCs w:val="0"/>
          <w:color w:val="auto"/>
          <w:spacing w:val="0"/>
          <w:w w:val="100"/>
          <w:position w:val="0"/>
          <w:sz w:val="52"/>
          <w:szCs w:val="52"/>
          <w:highlight w:val="none"/>
        </w:rPr>
      </w:pPr>
    </w:p>
    <w:p>
      <w:pPr>
        <w:pStyle w:val="49"/>
        <w:keepNext/>
        <w:keepLines/>
        <w:shd w:val="clear" w:color="auto" w:fill="auto"/>
        <w:spacing w:after="0" w:line="240" w:lineRule="auto"/>
        <w:jc w:val="center"/>
        <w:outlineLvl w:val="9"/>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采购文件</w:t>
      </w:r>
    </w:p>
    <w:p>
      <w:pPr>
        <w:jc w:val="center"/>
        <w:rPr>
          <w:rFonts w:hint="eastAsia" w:asciiTheme="majorEastAsia" w:hAnsiTheme="majorEastAsia" w:eastAsiaTheme="majorEastAsia" w:cstheme="majorEastAsia"/>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五</w:t>
      </w:r>
      <w:r>
        <w:rPr>
          <w:rFonts w:hint="eastAsia" w:ascii="黑体" w:hAnsi="黑体" w:eastAsia="黑体" w:cs="仿宋_GB2312"/>
          <w:color w:val="auto"/>
          <w:sz w:val="32"/>
          <w:szCs w:val="32"/>
          <w:highlight w:val="none"/>
        </w:rPr>
        <w:t>月</w:t>
      </w:r>
    </w:p>
    <w:p>
      <w:pPr>
        <w:rPr>
          <w:color w:val="auto"/>
          <w:highlight w:val="none"/>
        </w:rPr>
        <w:sectPr>
          <w:footerReference r:id="rId5" w:type="first"/>
          <w:footerReference r:id="rId3" w:type="default"/>
          <w:footerReference r:id="rId4" w:type="even"/>
          <w:pgSz w:w="11906" w:h="16838"/>
          <w:pgMar w:top="2098" w:right="1474" w:bottom="1984" w:left="1588" w:header="851" w:footer="992" w:gutter="0"/>
          <w:pgNumType w:start="0"/>
          <w:cols w:space="0" w:num="1"/>
          <w:titlePg/>
          <w:rtlGutter w:val="0"/>
          <w:docGrid w:type="lines" w:linePitch="312" w:charSpace="0"/>
        </w:sectPr>
      </w:pPr>
    </w:p>
    <w:p>
      <w:pPr>
        <w:pStyle w:val="2"/>
        <w:rPr>
          <w:color w:val="auto"/>
          <w:highlight w:val="none"/>
        </w:rPr>
      </w:pPr>
    </w:p>
    <w:p>
      <w:pPr>
        <w:pStyle w:val="35"/>
        <w:adjustRightInd w:val="0"/>
        <w:snapToGrid w:val="0"/>
        <w:spacing w:before="0" w:line="600" w:lineRule="exact"/>
        <w:jc w:val="center"/>
        <w:rPr>
          <w:rFonts w:hint="eastAsia" w:asciiTheme="majorEastAsia" w:hAnsiTheme="majorEastAsia" w:eastAsiaTheme="majorEastAsia" w:cstheme="majorEastAsia"/>
          <w:b/>
          <w:color w:val="auto"/>
          <w:sz w:val="44"/>
          <w:szCs w:val="44"/>
          <w:highlight w:val="none"/>
        </w:rPr>
      </w:pPr>
      <w:r>
        <w:rPr>
          <w:rFonts w:hint="eastAsia" w:asciiTheme="majorEastAsia" w:hAnsiTheme="majorEastAsia" w:eastAsiaTheme="majorEastAsia" w:cstheme="majorEastAsia"/>
          <w:b/>
          <w:color w:val="auto"/>
          <w:sz w:val="44"/>
          <w:szCs w:val="44"/>
          <w:highlight w:val="none"/>
        </w:rPr>
        <w:t>目录</w:t>
      </w:r>
    </w:p>
    <w:p>
      <w:pPr>
        <w:rPr>
          <w:rFonts w:hint="eastAsia" w:asciiTheme="majorEastAsia" w:hAnsiTheme="majorEastAsia" w:eastAsiaTheme="majorEastAsia" w:cstheme="majorEastAsia"/>
          <w:color w:val="auto"/>
          <w:sz w:val="24"/>
          <w:szCs w:val="24"/>
          <w:highlight w:val="none"/>
        </w:rPr>
      </w:pPr>
    </w:p>
    <w:p>
      <w:pPr>
        <w:pStyle w:val="18"/>
        <w:numPr>
          <w:ilvl w:val="0"/>
          <w:numId w:val="1"/>
        </w:numPr>
        <w:tabs>
          <w:tab w:val="right" w:pos="8844"/>
        </w:tabs>
        <w:rPr>
          <w:color w:val="auto"/>
          <w:highlight w:val="none"/>
        </w:rPr>
      </w:pPr>
      <w:r>
        <w:rPr>
          <w:rFonts w:hint="eastAsia"/>
          <w:color w:val="auto"/>
          <w:highlight w:val="none"/>
        </w:rPr>
        <w:t>采购公告（采购邀请书）</w:t>
      </w:r>
    </w:p>
    <w:p>
      <w:pPr>
        <w:pStyle w:val="18"/>
        <w:numPr>
          <w:ilvl w:val="0"/>
          <w:numId w:val="1"/>
        </w:numPr>
        <w:tabs>
          <w:tab w:val="right" w:pos="8844"/>
        </w:tabs>
        <w:rPr>
          <w:color w:val="auto"/>
          <w:highlight w:val="none"/>
        </w:rPr>
      </w:pPr>
      <w:r>
        <w:rPr>
          <w:rFonts w:hint="eastAsia"/>
          <w:color w:val="auto"/>
          <w:highlight w:val="none"/>
        </w:rPr>
        <w:t>供应商须知</w:t>
      </w:r>
    </w:p>
    <w:p>
      <w:pPr>
        <w:pStyle w:val="18"/>
        <w:numPr>
          <w:ilvl w:val="0"/>
          <w:numId w:val="1"/>
        </w:numPr>
        <w:tabs>
          <w:tab w:val="right" w:pos="8844"/>
        </w:tabs>
        <w:rPr>
          <w:color w:val="auto"/>
          <w:highlight w:val="none"/>
        </w:rPr>
      </w:pPr>
      <w:r>
        <w:rPr>
          <w:rFonts w:hint="eastAsia"/>
          <w:color w:val="auto"/>
          <w:highlight w:val="none"/>
        </w:rPr>
        <w:t>采购方法</w:t>
      </w:r>
    </w:p>
    <w:p>
      <w:pPr>
        <w:pStyle w:val="18"/>
        <w:numPr>
          <w:ilvl w:val="0"/>
          <w:numId w:val="1"/>
        </w:numPr>
        <w:tabs>
          <w:tab w:val="right" w:pos="8844"/>
        </w:tabs>
        <w:rPr>
          <w:color w:val="auto"/>
          <w:highlight w:val="none"/>
        </w:rPr>
      </w:pPr>
      <w:r>
        <w:rPr>
          <w:rFonts w:hint="eastAsia"/>
          <w:color w:val="auto"/>
          <w:highlight w:val="none"/>
        </w:rPr>
        <w:t>评审方法</w:t>
      </w:r>
    </w:p>
    <w:p>
      <w:pPr>
        <w:pStyle w:val="18"/>
        <w:numPr>
          <w:ilvl w:val="0"/>
          <w:numId w:val="1"/>
        </w:numPr>
        <w:tabs>
          <w:tab w:val="right" w:pos="8844"/>
        </w:tabs>
        <w:rPr>
          <w:color w:val="auto"/>
          <w:highlight w:val="none"/>
        </w:rPr>
      </w:pPr>
      <w:r>
        <w:rPr>
          <w:rFonts w:hint="eastAsia"/>
          <w:color w:val="auto"/>
          <w:highlight w:val="none"/>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0" w:name="_Toc18145"/>
      <w:bookmarkStart w:id="1" w:name="_Toc26148"/>
    </w:p>
    <w:p>
      <w:pPr>
        <w:rPr>
          <w:color w:val="auto"/>
          <w:highlight w:val="none"/>
        </w:rPr>
      </w:pPr>
    </w:p>
    <w:p>
      <w:pPr>
        <w:pStyle w:val="3"/>
        <w:rPr>
          <w:color w:val="auto"/>
          <w:highlight w:val="none"/>
        </w:rPr>
      </w:pPr>
      <w:bookmarkStart w:id="2" w:name="_Toc1711"/>
      <w:bookmarkStart w:id="3" w:name="_Toc17696"/>
    </w:p>
    <w:p>
      <w:pPr>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rPr>
          <w:color w:val="auto"/>
          <w:highlight w:val="none"/>
        </w:rPr>
      </w:pPr>
      <w:bookmarkStart w:id="4" w:name="_Toc19609"/>
      <w:bookmarkStart w:id="5" w:name="_Toc31938"/>
      <w:bookmarkStart w:id="6" w:name="_Toc1669"/>
      <w:bookmarkStart w:id="7" w:name="_Toc11322"/>
      <w:bookmarkStart w:id="8" w:name="_Toc17801"/>
      <w:bookmarkStart w:id="9" w:name="_Toc4275"/>
      <w:bookmarkStart w:id="10" w:name="_Toc7519"/>
    </w:p>
    <w:p>
      <w:pPr>
        <w:pStyle w:val="3"/>
        <w:rPr>
          <w:color w:val="auto"/>
          <w:highlight w:val="none"/>
        </w:rPr>
      </w:pPr>
    </w:p>
    <w:p>
      <w:pPr>
        <w:pStyle w:val="3"/>
        <w:rPr>
          <w:rFonts w:hint="eastAsia" w:asciiTheme="majorEastAsia" w:hAnsiTheme="majorEastAsia" w:eastAsiaTheme="majorEastAsia" w:cstheme="majorEastAsia"/>
          <w:color w:val="auto"/>
          <w:highlight w:val="none"/>
        </w:rPr>
      </w:pPr>
    </w:p>
    <w:p>
      <w:pPr>
        <w:pStyle w:val="3"/>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pict>
          <v:shape id="_x0000_s2064" o:spid="_x0000_s2064" o:spt="32" type="#_x0000_t32" style="position:absolute;left:0pt;margin-left:184.9pt;margin-top:5.3pt;height:0pt;width:75.5pt;z-index:251670528;mso-width-relative:page;mso-height-relative:page;" o:connectortype="straight" filled="f" coordsize="21600,21600">
            <v:path arrowok="t"/>
            <v:fill on="f" focussize="0,0"/>
            <v:stroke/>
            <v:imagedata o:title=""/>
            <o:lock v:ext="edit"/>
          </v:shape>
        </w:pict>
      </w:r>
      <w:r>
        <w:rPr>
          <w:rFonts w:hint="eastAsia" w:asciiTheme="majorEastAsia" w:hAnsiTheme="majorEastAsia" w:eastAsiaTheme="majorEastAsia" w:cstheme="majorEastAsia"/>
          <w:color w:val="auto"/>
          <w:highlight w:val="none"/>
        </w:rPr>
        <w:pict>
          <v:shape id="_x0000_s2065" o:spid="_x0000_s2065" o:spt="32" type="#_x0000_t32" style="position:absolute;left:0pt;margin-left:185.9pt;margin-top:34.05pt;height:0pt;width:75.5pt;z-index:251671552;mso-width-relative:page;mso-height-relative:page;" o:connectortype="straight" filled="f" coordsize="21600,21600">
            <v:path arrowok="t"/>
            <v:fill on="f" focussize="0,0"/>
            <v:stroke/>
            <v:imagedata o:title=""/>
            <o:lock v:ext="edit"/>
          </v:shape>
        </w:pict>
      </w:r>
      <w:r>
        <w:rPr>
          <w:rFonts w:hint="eastAsia" w:asciiTheme="majorEastAsia" w:hAnsiTheme="majorEastAsia" w:eastAsiaTheme="majorEastAsia" w:cstheme="major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rFonts w:hint="eastAsia" w:asciiTheme="majorEastAsia" w:hAnsiTheme="majorEastAsia" w:eastAsiaTheme="majorEastAsia" w:cstheme="majorEastAsia"/>
          <w:color w:val="auto"/>
          <w:highlight w:val="none"/>
        </w:rPr>
      </w:pPr>
    </w:p>
    <w:p>
      <w:pPr>
        <w:pStyle w:val="3"/>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采购公告（采购邀请书）</w:t>
      </w:r>
    </w:p>
    <w:p>
      <w:pPr>
        <w:adjustRightInd w:val="0"/>
        <w:snapToGrid w:val="0"/>
        <w:spacing w:before="156" w:beforeLines="50" w:after="156" w:afterLines="50" w:line="600" w:lineRule="exact"/>
        <w:jc w:val="center"/>
        <w:rPr>
          <w:rFonts w:hint="eastAsia" w:asciiTheme="majorEastAsia" w:hAnsiTheme="majorEastAsia" w:eastAsiaTheme="majorEastAsia" w:cstheme="majorEastAsia"/>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asciiTheme="majorEastAsia" w:hAnsiTheme="majorEastAsia" w:eastAsiaTheme="majorEastAsia" w:cstheme="majorEastAsia"/>
          <w:color w:val="auto"/>
          <w:highlight w:val="none"/>
        </w:rPr>
      </w:pPr>
      <w:bookmarkStart w:id="11" w:name="_Toc21373"/>
      <w:bookmarkStart w:id="12" w:name="_Toc9680"/>
      <w:r>
        <w:rPr>
          <w:rFonts w:hint="eastAsia" w:asciiTheme="majorEastAsia" w:hAnsiTheme="majorEastAsia" w:eastAsiaTheme="majorEastAsia" w:cstheme="majorEastAsia"/>
          <w:color w:val="auto"/>
          <w:highlight w:val="none"/>
        </w:rPr>
        <w:t>采购公告（采购邀请书）</w:t>
      </w:r>
    </w:p>
    <w:bookmarkEnd w:id="11"/>
    <w:bookmarkEnd w:id="12"/>
    <w:p>
      <w:pPr>
        <w:pStyle w:val="49"/>
        <w:keepNext/>
        <w:keepLines/>
        <w:shd w:val="clear" w:color="auto" w:fill="auto"/>
        <w:adjustRightInd/>
        <w:snapToGrid/>
        <w:spacing w:line="240" w:lineRule="auto"/>
        <w:jc w:val="left"/>
        <w:outlineLvl w:val="9"/>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hAnsiTheme="minorHAnsi" w:cstheme="minorBidi"/>
          <w:color w:val="auto"/>
          <w:sz w:val="28"/>
          <w:szCs w:val="28"/>
          <w:highlight w:val="none"/>
          <w:u w:val="none"/>
          <w:shd w:val="clear"/>
          <w:lang w:val="en-US" w:eastAsia="zh-CN" w:bidi="ar-SA"/>
        </w:rPr>
        <w:t xml:space="preserve"> </w:t>
      </w:r>
      <w:r>
        <w:rPr>
          <w:rFonts w:hint="eastAsia" w:ascii="仿宋_GB2312" w:eastAsia="仿宋_GB2312" w:hAnsiTheme="minorHAnsi" w:cstheme="minorBidi"/>
          <w:color w:val="auto"/>
          <w:sz w:val="28"/>
          <w:szCs w:val="28"/>
          <w:highlight w:val="none"/>
          <w:u w:val="single"/>
          <w:shd w:val="clear"/>
          <w:lang w:val="en-US" w:eastAsia="zh-CN" w:bidi="ar-SA"/>
        </w:rPr>
        <w:t>广州市净水有限公司</w:t>
      </w:r>
      <w:r>
        <w:rPr>
          <w:rFonts w:hint="eastAsia" w:ascii="仿宋_GB2312" w:eastAsia="仿宋_GB2312" w:hAnsiTheme="minorHAnsi" w:cstheme="minorBidi"/>
          <w:b w:val="0"/>
          <w:bCs w:val="0"/>
          <w:color w:val="auto"/>
          <w:spacing w:val="0"/>
          <w:w w:val="100"/>
          <w:position w:val="0"/>
          <w:sz w:val="28"/>
          <w:szCs w:val="28"/>
          <w:highlight w:val="none"/>
          <w:u w:val="single"/>
          <w:shd w:val="clear"/>
          <w:lang w:val="en-US" w:eastAsia="zh-CN" w:bidi="ar-SA"/>
        </w:rPr>
        <w:t>健康城分公司2024年提升泵房、事故池、排水泵井清淤项目</w:t>
      </w:r>
      <w:r>
        <w:rPr>
          <w:rFonts w:hint="eastAsia" w:ascii="仿宋_GB2312" w:eastAsia="仿宋_GB2312"/>
          <w:color w:val="auto"/>
          <w:sz w:val="28"/>
          <w:szCs w:val="28"/>
          <w:highlight w:val="none"/>
        </w:rPr>
        <w:t>已具备采购条件，现邀请合格单位参加本</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rPr>
        <w:t xml:space="preserve">邀请询比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hAnsiTheme="minorHAnsi" w:cstheme="minorBidi"/>
          <w:color w:val="auto"/>
          <w:sz w:val="28"/>
          <w:szCs w:val="28"/>
          <w:highlight w:val="none"/>
          <w:u w:val="none"/>
          <w:shd w:val="clear"/>
          <w:lang w:val="en-US" w:eastAsia="zh-CN" w:bidi="ar-SA"/>
        </w:rPr>
        <w:t xml:space="preserve"> </w:t>
      </w:r>
      <w:r>
        <w:rPr>
          <w:rFonts w:hint="eastAsia" w:ascii="仿宋_GB2312" w:eastAsia="仿宋_GB2312" w:cstheme="minorBidi"/>
          <w:color w:val="auto"/>
          <w:sz w:val="28"/>
          <w:szCs w:val="28"/>
          <w:highlight w:val="none"/>
          <w:u w:val="single"/>
          <w:shd w:val="clear"/>
          <w:lang w:val="en-US" w:eastAsia="zh-CN" w:bidi="ar-SA"/>
        </w:rPr>
        <w:t>广州市净水有限公司</w:t>
      </w:r>
      <w:r>
        <w:rPr>
          <w:rFonts w:hint="eastAsia" w:ascii="仿宋_GB2312" w:eastAsia="仿宋_GB2312" w:hAnsiTheme="minorHAnsi" w:cstheme="minorBidi"/>
          <w:b w:val="0"/>
          <w:bCs w:val="0"/>
          <w:color w:val="auto"/>
          <w:spacing w:val="0"/>
          <w:w w:val="100"/>
          <w:position w:val="0"/>
          <w:sz w:val="28"/>
          <w:szCs w:val="28"/>
          <w:highlight w:val="none"/>
          <w:u w:val="single"/>
          <w:shd w:val="clear"/>
          <w:lang w:val="en-US" w:eastAsia="zh-CN" w:bidi="ar-SA"/>
        </w:rPr>
        <w:t>健康城分公司2024年提升泵房、事故池、排水泵井清淤项目</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XJ-20240523-3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 xml:space="preserve">自有资金 </w:t>
      </w:r>
    </w:p>
    <w:p>
      <w:pPr>
        <w:widowControl/>
        <w:adjustRightInd/>
        <w:snapToGrid/>
        <w:spacing w:line="240" w:lineRule="auto"/>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lang w:eastAsia="zh-CN"/>
        </w:rPr>
        <w:t>9</w:t>
      </w:r>
      <w:r>
        <w:rPr>
          <w:rFonts w:hint="eastAsia" w:ascii="仿宋_GB2312" w:eastAsia="仿宋_GB2312"/>
          <w:color w:val="auto"/>
          <w:sz w:val="28"/>
          <w:szCs w:val="28"/>
          <w:highlight w:val="none"/>
          <w:u w:val="single"/>
          <w:lang w:val="en-US" w:eastAsia="zh-CN"/>
        </w:rPr>
        <w:t>11347.11元（其中不含税为836098.27元，税率为9%，绿色施工安全防护措施费为101122.09元，暂列金为63614.9元，</w:t>
      </w:r>
      <w:r>
        <w:rPr>
          <w:rFonts w:hint="eastAsia" w:ascii="仿宋_GB2312" w:eastAsia="仿宋_GB2312" w:hAnsiTheme="minorHAnsi" w:cstheme="minorBidi"/>
          <w:color w:val="auto"/>
          <w:kern w:val="2"/>
          <w:sz w:val="28"/>
          <w:szCs w:val="28"/>
          <w:highlight w:val="none"/>
          <w:u w:val="single"/>
          <w:lang w:val="en-US" w:eastAsia="zh-CN" w:bidi="ar"/>
        </w:rPr>
        <w:t>消纳费用为7837.5元</w:t>
      </w:r>
      <w:r>
        <w:rPr>
          <w:rFonts w:hint="eastAsia" w:ascii="仿宋_GB2312" w:eastAsia="仿宋_GB2312" w:cstheme="minorBidi"/>
          <w:color w:val="auto"/>
          <w:kern w:val="2"/>
          <w:sz w:val="28"/>
          <w:szCs w:val="28"/>
          <w:highlight w:val="none"/>
          <w:u w:val="single"/>
          <w:lang w:val="en-US" w:eastAsia="zh-CN" w:bidi="ar"/>
        </w:rPr>
        <w:t>，</w:t>
      </w:r>
      <w:r>
        <w:rPr>
          <w:rFonts w:hint="eastAsia" w:ascii="仿宋_GB2312" w:eastAsia="仿宋_GB2312"/>
          <w:color w:val="auto"/>
          <w:sz w:val="28"/>
          <w:szCs w:val="28"/>
          <w:highlight w:val="none"/>
          <w:u w:val="single"/>
          <w:lang w:val="en-US" w:eastAsia="zh-CN"/>
        </w:rPr>
        <w:t>绿色施工安全防护措施费和暂列金、消纳费为非竞争性费用，报价时须按采购文件规定的金额填写，不得参与竞争，否则按无效报价处理。）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numPr>
          <w:ilvl w:val="0"/>
          <w:numId w:val="0"/>
        </w:numPr>
        <w:spacing w:line="360" w:lineRule="auto"/>
        <w:ind w:left="-53" w:leftChars="-25"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numPr>
          <w:ilvl w:val="0"/>
          <w:numId w:val="0"/>
        </w:numPr>
        <w:spacing w:line="360" w:lineRule="auto"/>
        <w:ind w:left="-53" w:leftChars="-25" w:firstLine="560" w:firstLineChars="200"/>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方正仿宋_GB2312" w:hAnsi="方正仿宋_GB2312" w:eastAsia="方正仿宋_GB2312" w:cs="方正仿宋_GB2312"/>
          <w:b w:val="0"/>
          <w:bCs w:val="0"/>
          <w:color w:val="auto"/>
          <w:sz w:val="28"/>
          <w:szCs w:val="28"/>
          <w:highlight w:val="none"/>
          <w:lang w:val="en-US" w:eastAsia="zh-CN"/>
        </w:rPr>
        <w:t>本项目需要采用机器人清淤技术对健康城分公司提升泵房、事故池、排水泵井清淤，清淤期间必须达到不停产要求，预计清理淤泥约550m³。</w:t>
      </w:r>
    </w:p>
    <w:p>
      <w:pPr>
        <w:pStyle w:val="22"/>
        <w:rPr>
          <w:rFonts w:hint="eastAsia" w:ascii="方正仿宋_GB2312" w:hAnsi="方正仿宋_GB2312" w:eastAsia="方正仿宋_GB2312" w:cs="方正仿宋_GB2312"/>
          <w:color w:val="auto"/>
          <w:kern w:val="2"/>
          <w:sz w:val="28"/>
          <w:szCs w:val="28"/>
          <w:highlight w:val="none"/>
          <w:lang w:val="en-US" w:eastAsia="zh-CN"/>
        </w:rPr>
      </w:pPr>
      <w:r>
        <w:rPr>
          <w:rFonts w:hint="eastAsia" w:ascii="方正仿宋_GB2312" w:hAnsi="方正仿宋_GB2312" w:eastAsia="方正仿宋_GB2312" w:cs="方正仿宋_GB2312"/>
          <w:color w:val="auto"/>
          <w:kern w:val="2"/>
          <w:sz w:val="28"/>
          <w:szCs w:val="28"/>
          <w:highlight w:val="none"/>
          <w:lang w:val="en-US" w:eastAsia="zh-CN"/>
        </w:rPr>
        <w:t>（2）清淤工程所产生的一切淤砂及施工垃圾，按国家或地方政府相关的法律法规进行妥善处理和运输。</w:t>
      </w:r>
    </w:p>
    <w:p>
      <w:pPr>
        <w:pStyle w:val="22"/>
        <w:rPr>
          <w:rFonts w:hint="eastAsia" w:ascii="方正仿宋_GB2312" w:hAnsi="方正仿宋_GB2312" w:eastAsia="方正仿宋_GB2312" w:cs="方正仿宋_GB2312"/>
          <w:color w:val="auto"/>
          <w:kern w:val="2"/>
          <w:sz w:val="28"/>
          <w:szCs w:val="28"/>
          <w:highlight w:val="none"/>
          <w:lang w:val="en-US" w:eastAsia="zh-CN"/>
        </w:rPr>
      </w:pPr>
      <w:r>
        <w:rPr>
          <w:rFonts w:hint="eastAsia" w:ascii="方正仿宋_GB2312" w:hAnsi="方正仿宋_GB2312" w:eastAsia="方正仿宋_GB2312" w:cs="方正仿宋_GB2312"/>
          <w:color w:val="auto"/>
          <w:kern w:val="2"/>
          <w:sz w:val="28"/>
          <w:szCs w:val="28"/>
          <w:highlight w:val="none"/>
          <w:lang w:val="en-US" w:eastAsia="zh-CN"/>
        </w:rPr>
        <w:t>（3）对清淤所产生的的淤泥砂等混合物委托具备质量技术监督管理部门颁发的计量认证资质（CMA）的检测机构进行检测，指标包括：</w:t>
      </w:r>
      <w:r>
        <w:rPr>
          <w:rFonts w:hint="eastAsia" w:ascii="方正仿宋_GB2312" w:hAnsi="方正仿宋_GB2312" w:eastAsia="方正仿宋_GB2312" w:cs="方正仿宋_GB2312"/>
          <w:i w:val="0"/>
          <w:iCs w:val="0"/>
          <w:color w:val="auto"/>
          <w:kern w:val="2"/>
          <w:sz w:val="28"/>
          <w:szCs w:val="28"/>
          <w:highlight w:val="none"/>
          <w:u w:val="none"/>
          <w:lang w:val="en-US" w:eastAsia="zh-CN" w:bidi="ar-SA"/>
        </w:rPr>
        <w:t>含水率、PH值、有机质、总磷、总氮、重金属、镉、汞、铬、铅 、砷、铜、镍、锌</w:t>
      </w:r>
      <w:r>
        <w:rPr>
          <w:rFonts w:hint="eastAsia" w:ascii="方正仿宋_GB2312" w:hAnsi="方正仿宋_GB2312" w:eastAsia="方正仿宋_GB2312" w:cs="方正仿宋_GB2312"/>
          <w:color w:val="auto"/>
          <w:kern w:val="2"/>
          <w:sz w:val="28"/>
          <w:szCs w:val="28"/>
          <w:highlight w:val="none"/>
          <w:lang w:val="en-US" w:eastAsia="zh-CN"/>
        </w:rPr>
        <w:t>检测频次：3次；需出具具有中国计量认证（CMA)认可章检测报告。</w:t>
      </w:r>
    </w:p>
    <w:p>
      <w:pPr>
        <w:pStyle w:val="22"/>
        <w:rPr>
          <w:rFonts w:hint="eastAsia" w:ascii="方正仿宋_GB2312" w:hAnsi="方正仿宋_GB2312" w:eastAsia="方正仿宋_GB2312" w:cs="方正仿宋_GB2312"/>
          <w:color w:val="auto"/>
          <w:kern w:val="2"/>
          <w:sz w:val="28"/>
          <w:szCs w:val="28"/>
          <w:highlight w:val="none"/>
          <w:lang w:val="en-US" w:eastAsia="zh-CN"/>
        </w:rPr>
      </w:pPr>
      <w:r>
        <w:rPr>
          <w:rFonts w:hint="eastAsia" w:ascii="方正仿宋_GB2312" w:hAnsi="方正仿宋_GB2312" w:eastAsia="方正仿宋_GB2312" w:cs="方正仿宋_GB2312"/>
          <w:color w:val="auto"/>
          <w:kern w:val="2"/>
          <w:sz w:val="28"/>
          <w:szCs w:val="28"/>
          <w:highlight w:val="none"/>
          <w:lang w:val="en-US" w:eastAsia="zh-CN"/>
        </w:rPr>
        <w:t>（4）施工过程不破坏周围环境。如施工中造成绿化、墙壁、瓷砖损害等，无偿复原。施工过程不影响厂内运行生产。</w:t>
      </w:r>
    </w:p>
    <w:p>
      <w:pPr>
        <w:pStyle w:val="22"/>
        <w:rPr>
          <w:rFonts w:hint="eastAsia" w:ascii="方正仿宋_GB2312" w:hAnsi="方正仿宋_GB2312" w:eastAsia="方正仿宋_GB2312" w:cs="方正仿宋_GB2312"/>
          <w:b w:val="0"/>
          <w:bCs w:val="0"/>
          <w:color w:val="auto"/>
          <w:kern w:val="2"/>
          <w:sz w:val="28"/>
          <w:szCs w:val="28"/>
          <w:highlight w:val="none"/>
        </w:rPr>
      </w:pPr>
      <w:r>
        <w:rPr>
          <w:rFonts w:hint="eastAsia" w:ascii="方正仿宋_GB2312" w:hAnsi="方正仿宋_GB2312" w:eastAsia="方正仿宋_GB2312" w:cs="方正仿宋_GB2312"/>
          <w:color w:val="auto"/>
          <w:kern w:val="2"/>
          <w:sz w:val="28"/>
          <w:szCs w:val="28"/>
          <w:highlight w:val="none"/>
          <w:lang w:val="en-US" w:eastAsia="zh-CN"/>
        </w:rPr>
        <w:t>本合同的承包范围应包括且不限于：提供所有需要的机械及其他设施、人工、清理处置工程产生的垃圾及淤泥、完成合同约定的工作内容。</w:t>
      </w:r>
    </w:p>
    <w:p>
      <w:pPr>
        <w:ind w:firstLine="0" w:firstLineChars="0"/>
        <w:rPr>
          <w:rFonts w:hint="eastAsia" w:ascii="仿宋_GB2312" w:eastAsia="仿宋_GB2312" w:hAnsiTheme="minorHAnsi" w:cstheme="minorBidi"/>
          <w:color w:val="auto"/>
          <w:sz w:val="28"/>
          <w:szCs w:val="28"/>
          <w:highlight w:val="none"/>
          <w:u w:val="singl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lang w:eastAsia="zh-CN"/>
        </w:rPr>
        <w:t>）工程量清单。</w:t>
      </w:r>
    </w:p>
    <w:tbl>
      <w:tblPr>
        <w:tblStyle w:val="23"/>
        <w:tblW w:w="71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4"/>
        <w:gridCol w:w="1307"/>
        <w:gridCol w:w="2753"/>
        <w:gridCol w:w="1042"/>
        <w:gridCol w:w="1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6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101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23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6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6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机器人清淤</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1.名称：水下清淤（提升泵房）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2.规格：水下清淤机器人1800×1400×1500mm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3.机器人抽吸淤泥，沉淀淤泥，泥渣装车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4.钢制沉淀池组装（组装按3次摊销计算），10号槽钢+3mm钢板，长6m宽2.5m深1.4m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5.详见施工方案及立项报告</w:t>
            </w:r>
          </w:p>
        </w:tc>
        <w:tc>
          <w:tcPr>
            <w:tcW w:w="1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机器人清淤</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1.名称：水下清淤（事故池）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2.规格：水下清淤机器人1400×1000×1300mm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3.机器人抽吸淤泥，沉淀淤泥，泥渣装车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4.钢制沉淀池组装（组装按3次摊销计算），10号槽钢+3mm钢板，长6m宽2.5m深1.4m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5.详见施工方案及立项报告</w:t>
            </w:r>
          </w:p>
        </w:tc>
        <w:tc>
          <w:tcPr>
            <w:tcW w:w="1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机器人清淤</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1.名称：水下清淤（排水泵井）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2.规格：水下清淤机器人1400×1000×1300mm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3.机器人抽吸淤泥，沉淀淤泥，泥渣装车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4.钢制沉淀池组装（组装按3次摊销计算），10号槽钢+3mm钢板，长6m宽2.5m深1.4m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5.详见施工方案及立项报告</w:t>
            </w:r>
          </w:p>
        </w:tc>
        <w:tc>
          <w:tcPr>
            <w:tcW w:w="1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余方弃置</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1.废弃料品种:淤泥清淤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2.运距:20km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3.弃置费:排放费</w:t>
            </w:r>
          </w:p>
        </w:tc>
        <w:tc>
          <w:tcPr>
            <w:tcW w:w="1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施工围栏</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1.施工围蔽铁马:100m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2.总围蔽天数:43日</w:t>
            </w:r>
          </w:p>
        </w:tc>
        <w:tc>
          <w:tcPr>
            <w:tcW w:w="1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100m·天</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1.检测项目:含水率、PH值</w:t>
            </w:r>
          </w:p>
        </w:tc>
        <w:tc>
          <w:tcPr>
            <w:tcW w:w="1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1.检测项目:重金属：镉、汞、铬、铅 、砷、铜、镍、锌</w:t>
            </w:r>
          </w:p>
        </w:tc>
        <w:tc>
          <w:tcPr>
            <w:tcW w:w="1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1.检测项目:有机质、总磷、总氮</w:t>
            </w:r>
          </w:p>
        </w:tc>
        <w:tc>
          <w:tcPr>
            <w:tcW w:w="1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bl>
    <w:p>
      <w:pPr>
        <w:ind w:firstLine="560" w:firstLineChars="200"/>
        <w:jc w:val="left"/>
        <w:rPr>
          <w:rFonts w:ascii="仿宋_GB2312" w:eastAsia="仿宋_GB2312"/>
          <w:color w:val="auto"/>
          <w:sz w:val="28"/>
          <w:szCs w:val="28"/>
          <w:highlight w:val="none"/>
          <w:u w:val="singl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2.2项目工期：☑计划工期   □交货期  □服务期为</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自合同签订之日起40</w:t>
      </w:r>
      <w:r>
        <w:rPr>
          <w:rFonts w:hint="eastAsia" w:ascii="仿宋_GB2312" w:eastAsia="仿宋_GB2312"/>
          <w:color w:val="auto"/>
          <w:sz w:val="28"/>
          <w:szCs w:val="28"/>
          <w:highlight w:val="none"/>
          <w:u w:val="single"/>
        </w:rPr>
        <w:t>天</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lang w:val="en-US" w:eastAsia="zh-CN"/>
        </w:rPr>
        <w:t>具体日期以甲方发出的开工报告/通知为准。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广州市白云区钟落潭镇</w:t>
      </w:r>
      <w:r>
        <w:rPr>
          <w:rFonts w:hint="eastAsia" w:ascii="仿宋_GB2312" w:eastAsia="仿宋_GB2312"/>
          <w:color w:val="auto"/>
          <w:sz w:val="28"/>
          <w:szCs w:val="28"/>
          <w:highlight w:val="none"/>
          <w:u w:val="single"/>
          <w:lang w:val="en-US" w:eastAsia="zh-CN"/>
        </w:rPr>
        <w:t>广陈路568</w:t>
      </w:r>
      <w:r>
        <w:rPr>
          <w:rFonts w:hint="eastAsia" w:ascii="仿宋_GB2312" w:eastAsia="仿宋_GB2312"/>
          <w:color w:val="auto"/>
          <w:sz w:val="28"/>
          <w:szCs w:val="28"/>
          <w:highlight w:val="none"/>
          <w:u w:val="single"/>
        </w:rPr>
        <w:t>号</w:t>
      </w: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施工质量要求</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□货物质量标准或主要技术性能指标</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方正仿宋_GB2312" w:hAnsi="方正仿宋_GB2312" w:eastAsia="方正仿宋_GB2312" w:cs="方正仿宋_GB2312"/>
          <w:b w:val="0"/>
          <w:bCs w:val="0"/>
          <w:color w:val="auto"/>
          <w:sz w:val="28"/>
          <w:szCs w:val="28"/>
          <w:highlight w:val="none"/>
          <w:u w:val="single"/>
        </w:rPr>
        <w:t>按合同条款和有关技术标准规范进行验收。使用的各种材料必须符合设计和</w:t>
      </w:r>
      <w:r>
        <w:rPr>
          <w:rFonts w:hint="eastAsia" w:ascii="方正仿宋_GB2312" w:hAnsi="方正仿宋_GB2312" w:eastAsia="方正仿宋_GB2312" w:cs="方正仿宋_GB2312"/>
          <w:b w:val="0"/>
          <w:bCs w:val="0"/>
          <w:color w:val="auto"/>
          <w:sz w:val="28"/>
          <w:szCs w:val="28"/>
          <w:highlight w:val="none"/>
          <w:u w:val="single"/>
          <w:lang w:val="en-US" w:eastAsia="zh-CN"/>
        </w:rPr>
        <w:t>有关技术标准</w:t>
      </w:r>
      <w:r>
        <w:rPr>
          <w:rFonts w:hint="eastAsia" w:ascii="方正仿宋_GB2312" w:hAnsi="方正仿宋_GB2312" w:eastAsia="方正仿宋_GB2312" w:cs="方正仿宋_GB2312"/>
          <w:b w:val="0"/>
          <w:bCs w:val="0"/>
          <w:color w:val="auto"/>
          <w:sz w:val="28"/>
          <w:szCs w:val="28"/>
          <w:highlight w:val="none"/>
          <w:u w:val="single"/>
        </w:rPr>
        <w:t>规范要求。</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服从</w:t>
      </w:r>
      <w:r>
        <w:rPr>
          <w:rFonts w:hint="eastAsia" w:ascii="仿宋_GB2312" w:eastAsia="仿宋_GB2312"/>
          <w:color w:val="auto"/>
          <w:sz w:val="28"/>
          <w:szCs w:val="28"/>
          <w:highlight w:val="none"/>
          <w:u w:val="single"/>
          <w:lang w:val="en-US" w:eastAsia="zh-CN"/>
        </w:rPr>
        <w:t>健康城</w:t>
      </w:r>
      <w:r>
        <w:rPr>
          <w:rFonts w:hint="eastAsia" w:ascii="仿宋_GB2312" w:eastAsia="仿宋_GB2312"/>
          <w:color w:val="auto"/>
          <w:sz w:val="28"/>
          <w:szCs w:val="28"/>
          <w:highlight w:val="none"/>
          <w:u w:val="single"/>
        </w:rPr>
        <w:t xml:space="preserve">分公司各项安全管理要求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rPr>
        <w:t>（须提供复印件并加盖单位公章）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ascii="仿宋_GB2312" w:eastAsia="仿宋_GB2312"/>
          <w:color w:val="auto"/>
          <w:sz w:val="28"/>
          <w:szCs w:val="28"/>
          <w:highlight w:val="none"/>
        </w:rPr>
        <w:t>1</w:t>
      </w:r>
      <w:r>
        <w:rPr>
          <w:rFonts w:hint="eastAsia" w:ascii="仿宋_GB2312" w:eastAsia="仿宋_GB2312"/>
          <w:color w:val="auto"/>
          <w:sz w:val="28"/>
          <w:szCs w:val="28"/>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w:t>
      </w:r>
      <w:r>
        <w:rPr>
          <w:rFonts w:hint="eastAsia" w:ascii="仿宋_GB2312" w:eastAsia="仿宋_GB2312" w:hAnsiTheme="minorHAnsi" w:cstheme="minorBidi"/>
          <w:b w:val="0"/>
          <w:bCs w:val="0"/>
          <w:color w:val="auto"/>
          <w:sz w:val="28"/>
          <w:szCs w:val="28"/>
          <w:highlight w:val="none"/>
          <w:lang w:eastAsia="zh-CN"/>
        </w:rPr>
        <w:t>20</w:t>
      </w:r>
      <w:r>
        <w:rPr>
          <w:rFonts w:hint="eastAsia" w:ascii="仿宋_GB2312" w:eastAsia="仿宋_GB2312" w:cstheme="minorBidi"/>
          <w:b w:val="0"/>
          <w:bCs w:val="0"/>
          <w:color w:val="auto"/>
          <w:sz w:val="28"/>
          <w:szCs w:val="28"/>
          <w:highlight w:val="none"/>
          <w:lang w:val="en-US" w:eastAsia="zh-CN"/>
        </w:rPr>
        <w:t>21</w:t>
      </w:r>
      <w:r>
        <w:rPr>
          <w:rFonts w:hint="eastAsia" w:ascii="仿宋_GB2312" w:eastAsia="仿宋_GB2312" w:hAnsiTheme="minorHAnsi" w:cstheme="minorBidi"/>
          <w:b w:val="0"/>
          <w:bCs w:val="0"/>
          <w:color w:val="auto"/>
          <w:sz w:val="28"/>
          <w:szCs w:val="28"/>
          <w:highlight w:val="none"/>
          <w:lang w:eastAsia="zh-CN"/>
        </w:rPr>
        <w:t>年1月1日至今，最少具有一项机器人水下清淤施工业绩</w:t>
      </w:r>
      <w:r>
        <w:rPr>
          <w:rFonts w:hint="eastAsia" w:ascii="仿宋_GB2312" w:eastAsia="仿宋_GB2312"/>
          <w:color w:val="auto"/>
          <w:sz w:val="28"/>
          <w:szCs w:val="28"/>
          <w:highlight w:val="none"/>
        </w:rPr>
        <w:t>（提供合同复印件证明，包括但不限于项目名称、金额及实施内容、合同</w:t>
      </w:r>
      <w:r>
        <w:rPr>
          <w:rFonts w:hint="eastAsia" w:ascii="仿宋_GB2312" w:eastAsia="仿宋_GB2312"/>
          <w:color w:val="auto"/>
          <w:sz w:val="28"/>
          <w:szCs w:val="28"/>
          <w:highlight w:val="none"/>
          <w:lang w:val="en-US" w:eastAsia="zh-CN"/>
        </w:rPr>
        <w:t>双方</w:t>
      </w:r>
      <w:r>
        <w:rPr>
          <w:rFonts w:hint="eastAsia" w:ascii="仿宋_GB2312" w:eastAsia="仿宋_GB2312"/>
          <w:color w:val="auto"/>
          <w:sz w:val="28"/>
          <w:szCs w:val="28"/>
          <w:highlight w:val="none"/>
        </w:rPr>
        <w:t>盖章、签订日期，加盖单位公章）</w:t>
      </w:r>
    </w:p>
    <w:p>
      <w:pPr>
        <w:pStyle w:val="22"/>
        <w:ind w:firstLine="0"/>
        <w:rPr>
          <w:rFonts w:hint="eastAsia"/>
          <w:color w:val="auto"/>
          <w:highlight w:val="none"/>
        </w:rPr>
      </w:pPr>
      <w:r>
        <w:rPr>
          <w:rFonts w:hint="eastAsia" w:ascii="仿宋_GB2312" w:eastAsia="仿宋_GB2312"/>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）项目负责人应当具</w:t>
      </w:r>
      <w:r>
        <w:rPr>
          <w:rFonts w:hint="eastAsia" w:ascii="仿宋" w:hAnsi="仿宋" w:eastAsia="仿宋" w:cs="仿宋"/>
          <w:color w:val="auto"/>
          <w:sz w:val="28"/>
          <w:szCs w:val="28"/>
          <w:highlight w:val="none"/>
          <w:u w:val="none"/>
        </w:rPr>
        <w:t>备</w:t>
      </w:r>
      <w:r>
        <w:rPr>
          <w:rFonts w:hint="eastAsia" w:ascii="仿宋" w:hAnsi="仿宋" w:eastAsia="仿宋" w:cs="仿宋"/>
          <w:color w:val="auto"/>
          <w:sz w:val="28"/>
          <w:szCs w:val="28"/>
          <w:highlight w:val="none"/>
          <w:u w:val="none"/>
          <w:lang w:val="en-US" w:eastAsia="zh-CN"/>
        </w:rPr>
        <w:t>潜水作业项目经理证</w:t>
      </w:r>
      <w:r>
        <w:rPr>
          <w:rFonts w:hint="eastAsia" w:ascii="仿宋" w:hAnsi="仿宋" w:eastAsia="仿宋" w:cs="仿宋"/>
          <w:color w:val="auto"/>
          <w:sz w:val="28"/>
          <w:szCs w:val="28"/>
          <w:highlight w:val="none"/>
          <w:u w:val="none"/>
        </w:rPr>
        <w:t>资格条件。</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专职安全人员要求</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须具有</w:t>
      </w:r>
      <w:r>
        <w:rPr>
          <w:rFonts w:hint="eastAsia" w:ascii="仿宋_GB2312" w:eastAsia="仿宋_GB2312"/>
          <w:color w:val="auto"/>
          <w:sz w:val="28"/>
          <w:szCs w:val="28"/>
          <w:highlight w:val="none"/>
          <w:u w:val="single"/>
          <w:lang w:val="en-US" w:eastAsia="zh-CN"/>
        </w:rPr>
        <w:t>潜水作业安全员</w:t>
      </w:r>
      <w:r>
        <w:rPr>
          <w:rFonts w:hint="eastAsia" w:ascii="仿宋_GB2312" w:eastAsia="仿宋_GB2312"/>
          <w:color w:val="auto"/>
          <w:sz w:val="28"/>
          <w:szCs w:val="28"/>
          <w:highlight w:val="none"/>
          <w:u w:val="single"/>
        </w:rPr>
        <w:t>证</w:t>
      </w:r>
      <w:r>
        <w:rPr>
          <w:rFonts w:hint="eastAsia" w:ascii="仿宋_GB2312" w:eastAsia="仿宋_GB2312"/>
          <w:color w:val="auto"/>
          <w:sz w:val="28"/>
          <w:szCs w:val="28"/>
          <w:highlight w:val="none"/>
          <w:u w:val="single"/>
          <w:lang w:eastAsia="zh-CN"/>
        </w:rPr>
        <w:t>。</w:t>
      </w:r>
    </w:p>
    <w:p>
      <w:pPr>
        <w:numPr>
          <w:ilvl w:val="0"/>
          <w:numId w:val="0"/>
        </w:numPr>
        <w:spacing w:line="480" w:lineRule="exact"/>
        <w:rPr>
          <w:color w:val="auto"/>
          <w:highlight w:val="none"/>
          <w:u w:val="singl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w:t>
      </w:r>
      <w:r>
        <w:rPr>
          <w:rFonts w:hint="eastAsia" w:ascii="仿宋_GB2312" w:eastAsia="仿宋_GB2312"/>
          <w:color w:val="auto"/>
          <w:sz w:val="28"/>
          <w:szCs w:val="28"/>
          <w:highlight w:val="none"/>
          <w:lang w:val="en-US" w:eastAsia="zh-CN"/>
        </w:rPr>
        <w:t>不得存在情形</w:t>
      </w:r>
      <w:r>
        <w:rPr>
          <w:rFonts w:hint="eastAsia" w:ascii="仿宋_GB2312" w:eastAsia="仿宋_GB2312"/>
          <w:color w:val="auto"/>
          <w:sz w:val="28"/>
          <w:szCs w:val="28"/>
          <w:highlight w:val="none"/>
        </w:rPr>
        <w:t>承诺函）：</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组织</w:t>
      </w:r>
    </w:p>
    <w:p>
      <w:pPr>
        <w:adjustRightInd w:val="0"/>
        <w:snapToGrid w:val="0"/>
        <w:spacing w:line="360" w:lineRule="auto"/>
        <w:ind w:firstLine="560" w:firstLineChars="200"/>
        <w:jc w:val="left"/>
        <w:rPr>
          <w:rFonts w:asciiTheme="minorEastAsia" w:hAnsiTheme="minorEastAsia"/>
          <w:b/>
          <w:color w:val="auto"/>
          <w:sz w:val="32"/>
          <w:szCs w:val="32"/>
          <w:highlight w:val="none"/>
        </w:rPr>
      </w:pP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6.1递交响应文件集合时间：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6.2递交响应文件截止时间：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6.3递交地址：广州市天河区临江大道501号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pStyle w:val="2"/>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2"/>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w:t>
      </w:r>
      <w:r>
        <w:rPr>
          <w:rFonts w:ascii="仿宋_GB2312" w:eastAsia="仿宋_GB2312" w:hAnsiTheme="minorHAnsi" w:cstheme="minorBidi"/>
          <w:color w:val="auto"/>
          <w:kern w:val="2"/>
          <w:sz w:val="28"/>
          <w:szCs w:val="28"/>
          <w:highlight w:val="none"/>
        </w:rPr>
        <w:t>1</w:t>
      </w:r>
      <w:r>
        <w:rPr>
          <w:rFonts w:hint="eastAsia" w:ascii="仿宋_GB2312" w:eastAsia="仿宋_GB2312" w:hAnsiTheme="minorHAnsi" w:cstheme="minorBidi"/>
          <w:color w:val="auto"/>
          <w:kern w:val="2"/>
          <w:sz w:val="28"/>
          <w:szCs w:val="28"/>
          <w:highlight w:val="none"/>
        </w:rPr>
        <w:t>）通过“广州净水公司”微信公众号或来访时扫码进行访客预约登记。</w:t>
      </w:r>
    </w:p>
    <w:p>
      <w:pPr>
        <w:pStyle w:val="2"/>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w:t>
      </w:r>
      <w:r>
        <w:rPr>
          <w:rFonts w:ascii="仿宋_GB2312" w:eastAsia="仿宋_GB2312" w:hAnsiTheme="minorHAnsi" w:cstheme="minorBidi"/>
          <w:color w:val="auto"/>
          <w:kern w:val="2"/>
          <w:sz w:val="28"/>
          <w:szCs w:val="28"/>
          <w:highlight w:val="none"/>
        </w:rPr>
        <w:t>2</w:t>
      </w:r>
      <w:r>
        <w:rPr>
          <w:rFonts w:hint="eastAsia" w:ascii="仿宋_GB2312" w:eastAsia="仿宋_GB2312" w:hAnsiTheme="minorHAnsi" w:cstheme="minorBidi"/>
          <w:color w:val="auto"/>
          <w:kern w:val="2"/>
          <w:sz w:val="28"/>
          <w:szCs w:val="28"/>
          <w:highlight w:val="none"/>
        </w:rPr>
        <w:t>）“组织”选择“公司本部”，“部门”选择“招投标合同管理部”。</w:t>
      </w:r>
    </w:p>
    <w:p>
      <w:pPr>
        <w:pStyle w:val="2"/>
        <w:rPr>
          <w:rFonts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w:t>
      </w:r>
      <w:r>
        <w:rPr>
          <w:rFonts w:ascii="仿宋_GB2312" w:eastAsia="仿宋_GB2312" w:hAnsiTheme="minorHAnsi" w:cstheme="minorBidi"/>
          <w:color w:val="auto"/>
          <w:kern w:val="2"/>
          <w:sz w:val="28"/>
          <w:szCs w:val="28"/>
          <w:highlight w:val="none"/>
        </w:rPr>
        <w:t>3</w:t>
      </w:r>
      <w:r>
        <w:rPr>
          <w:rFonts w:hint="eastAsia" w:ascii="仿宋_GB2312" w:eastAsia="仿宋_GB2312" w:hAnsiTheme="minorHAnsi" w:cstheme="minorBidi"/>
          <w:color w:val="auto"/>
          <w:kern w:val="2"/>
          <w:sz w:val="28"/>
          <w:szCs w:val="28"/>
          <w:highlight w:val="none"/>
        </w:rPr>
        <w:t>）“被访人员”选择“招标部”，“手机号”：“</w:t>
      </w:r>
      <w:r>
        <w:rPr>
          <w:rFonts w:ascii="仿宋_GB2312" w:eastAsia="仿宋_GB2312" w:hAnsiTheme="minorHAnsi" w:cstheme="minorBidi"/>
          <w:color w:val="auto"/>
          <w:kern w:val="2"/>
          <w:sz w:val="28"/>
          <w:szCs w:val="28"/>
          <w:highlight w:val="none"/>
        </w:rPr>
        <w:t>62315524</w:t>
      </w:r>
      <w:r>
        <w:rPr>
          <w:rFonts w:hint="eastAsia" w:ascii="仿宋_GB2312" w:eastAsia="仿宋_GB2312" w:hAnsiTheme="minorHAnsi" w:cstheme="minorBidi"/>
          <w:color w:val="auto"/>
          <w:kern w:val="2"/>
          <w:sz w:val="28"/>
          <w:szCs w:val="28"/>
          <w:highlight w:val="none"/>
        </w:rPr>
        <w:t>”。</w:t>
      </w:r>
    </w:p>
    <w:p>
      <w:pPr>
        <w:pStyle w:val="21"/>
        <w:ind w:firstLine="560" w:firstLineChars="200"/>
        <w:rPr>
          <w:rFonts w:eastAsia="仿宋_GB2312"/>
          <w:color w:val="auto"/>
          <w:highlight w:val="none"/>
        </w:rPr>
      </w:pPr>
      <w:r>
        <w:rPr>
          <w:rFonts w:hint="eastAsia" w:ascii="仿宋_GB2312" w:eastAsia="仿宋_GB2312" w:hAnsiTheme="minorHAnsi" w:cstheme="minorBidi"/>
          <w:color w:val="auto"/>
          <w:kern w:val="2"/>
          <w:sz w:val="28"/>
          <w:szCs w:val="28"/>
          <w:highlight w:val="none"/>
        </w:rPr>
        <w:t>（</w:t>
      </w:r>
      <w:r>
        <w:rPr>
          <w:rFonts w:ascii="仿宋_GB2312" w:eastAsia="仿宋_GB2312" w:hAnsiTheme="minorHAnsi" w:cstheme="minorBidi"/>
          <w:color w:val="auto"/>
          <w:kern w:val="2"/>
          <w:sz w:val="28"/>
          <w:szCs w:val="28"/>
          <w:highlight w:val="none"/>
        </w:rPr>
        <w:t>4</w:t>
      </w:r>
      <w:r>
        <w:rPr>
          <w:rFonts w:hint="eastAsia" w:ascii="仿宋_GB2312" w:eastAsia="仿宋_GB2312" w:hAnsiTheme="minorHAnsi" w:cstheme="minorBidi"/>
          <w:color w:val="auto"/>
          <w:kern w:val="2"/>
          <w:sz w:val="28"/>
          <w:szCs w:val="28"/>
          <w:highlight w:val="none"/>
        </w:rPr>
        <w:t>）“详细描述”：找</w:t>
      </w:r>
      <w:r>
        <w:rPr>
          <w:rFonts w:ascii="仿宋_GB2312" w:eastAsia="仿宋_GB2312" w:hAnsiTheme="minorHAnsi" w:cstheme="minorBidi"/>
          <w:color w:val="auto"/>
          <w:kern w:val="2"/>
          <w:sz w:val="28"/>
          <w:szCs w:val="28"/>
          <w:highlight w:val="none"/>
        </w:rPr>
        <w:t>XX</w:t>
      </w:r>
      <w:r>
        <w:rPr>
          <w:rFonts w:hint="eastAsia" w:ascii="仿宋_GB2312" w:eastAsia="仿宋_GB2312" w:hAnsiTheme="minorHAnsi" w:cstheme="minorBidi"/>
          <w:color w:val="auto"/>
          <w:kern w:val="2"/>
          <w:sz w:val="28"/>
          <w:szCs w:val="28"/>
          <w:highlight w:val="none"/>
        </w:rPr>
        <w:t>，递交</w:t>
      </w:r>
      <w:r>
        <w:rPr>
          <w:rFonts w:ascii="仿宋_GB2312" w:eastAsia="仿宋_GB2312" w:hAnsiTheme="minorHAnsi" w:cstheme="minorBidi"/>
          <w:color w:val="auto"/>
          <w:kern w:val="2"/>
          <w:sz w:val="28"/>
          <w:szCs w:val="28"/>
          <w:highlight w:val="none"/>
        </w:rPr>
        <w:t>XX</w:t>
      </w:r>
      <w:r>
        <w:rPr>
          <w:rFonts w:hint="eastAsia" w:ascii="仿宋_GB2312" w:eastAsia="仿宋_GB2312" w:hAnsiTheme="minorHAnsi" w:cstheme="minorBidi"/>
          <w:color w:val="auto"/>
          <w:kern w:val="2"/>
          <w:sz w:val="28"/>
          <w:szCs w:val="28"/>
          <w:highlight w:val="none"/>
        </w:rPr>
        <w:t>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 w:hAnsi="仿宋" w:eastAsia="仿宋" w:cs="仿宋"/>
                <w:color w:val="auto"/>
                <w:kern w:val="0"/>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w:t>
            </w:r>
            <w:r>
              <w:rPr>
                <w:rFonts w:hint="eastAsia" w:ascii="仿宋_GB2312" w:eastAsia="仿宋_GB2312"/>
                <w:color w:val="auto"/>
                <w:sz w:val="28"/>
                <w:szCs w:val="28"/>
                <w:highlight w:val="none"/>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hAnsiTheme="minorHAnsi" w:cstheme="minorBidi"/>
                <w:color w:val="auto"/>
                <w:kern w:val="2"/>
                <w:sz w:val="28"/>
                <w:szCs w:val="28"/>
                <w:highlight w:val="none"/>
                <w:lang w:val="en-US" w:eastAsia="zh-CN"/>
              </w:rPr>
              <w:t>020</w:t>
            </w:r>
            <w:r>
              <w:rPr>
                <w:rFonts w:hint="eastAsia" w:ascii="仿宋_GB2312" w:eastAsia="仿宋_GB2312" w:hAnsiTheme="minorHAnsi" w:cstheme="minorBidi"/>
                <w:color w:val="auto"/>
                <w:kern w:val="2"/>
                <w:sz w:val="28"/>
                <w:szCs w:val="28"/>
                <w:highlight w:val="none"/>
              </w:rPr>
              <w:t>-</w:t>
            </w:r>
            <w:r>
              <w:rPr>
                <w:rFonts w:hint="eastAsia" w:ascii="仿宋_GB2312" w:eastAsia="仿宋_GB2312" w:hAnsiTheme="minorHAnsi"/>
                <w:color w:val="auto"/>
                <w:sz w:val="28"/>
                <w:szCs w:val="28"/>
                <w:highlight w:val="none"/>
                <w:u w:val="none"/>
              </w:rPr>
              <w:t>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2"/>
        <w:ind w:left="0" w:leftChars="0" w:firstLine="0" w:firstLineChars="0"/>
        <w:rPr>
          <w:rFonts w:ascii="仿宋_GB2312" w:eastAsia="仿宋_GB2312" w:hAnsiTheme="majorEastAsia"/>
          <w:color w:val="auto"/>
          <w:sz w:val="28"/>
          <w:szCs w:val="28"/>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color w:val="auto"/>
          <w:highlight w:val="none"/>
        </w:rPr>
      </w:pPr>
      <w:bookmarkStart w:id="13" w:name="_Toc10891"/>
    </w:p>
    <w:p>
      <w:pPr>
        <w:pStyle w:val="3"/>
        <w:rPr>
          <w:rFonts w:hint="eastAsia" w:asciiTheme="minorEastAsia" w:hAnsiTheme="minorEastAsia" w:eastAsiaTheme="minorEastAsia" w:cstheme="minorEastAsia"/>
          <w:color w:val="auto"/>
          <w:highlight w:val="none"/>
        </w:rPr>
      </w:pPr>
      <w:bookmarkStart w:id="14" w:name="_Toc2331"/>
      <w:bookmarkStart w:id="15" w:name="_Toc9448"/>
      <w:bookmarkStart w:id="16" w:name="_Toc2324"/>
      <w:bookmarkStart w:id="17" w:name="_Toc25603"/>
      <w:bookmarkStart w:id="18" w:name="_Toc16705"/>
      <w:bookmarkStart w:id="19" w:name="_Toc7340"/>
      <w:bookmarkStart w:id="20" w:name="_Toc19295"/>
      <w:bookmarkStart w:id="21" w:name="_Toc16557"/>
      <w:bookmarkStart w:id="22" w:name="_Toc32588"/>
      <w:bookmarkStart w:id="23" w:name="_Toc23749"/>
    </w:p>
    <w:p>
      <w:pPr>
        <w:pStyle w:val="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pict>
          <v:shape id="_x0000_s2067" o:spid="_x0000_s2067" o:spt="32" type="#_x0000_t32" style="position:absolute;left:0pt;margin-left:183.85pt;margin-top:2.1pt;height:0pt;width:75.5pt;z-index:251672576;mso-width-relative:page;mso-height-relative:page;" o:connectortype="straight" filled="f" coordsize="21600,21600">
            <v:path arrowok="t"/>
            <v:fill on="f" focussize="0,0"/>
            <v:stroke/>
            <v:imagedata o:title=""/>
            <o:lock v:ext="edit"/>
          </v:shape>
        </w:pict>
      </w:r>
      <w:r>
        <w:rPr>
          <w:rFonts w:hint="eastAsia" w:asciiTheme="minorEastAsia" w:hAnsiTheme="minorEastAsia" w:eastAsiaTheme="minorEastAsia" w:cstheme="minorEastAsia"/>
          <w:color w:val="auto"/>
          <w:highlight w:val="none"/>
        </w:rPr>
        <w:pict>
          <v:shape id="_x0000_s2066" o:spid="_x0000_s2066" o:spt="32" type="#_x0000_t32" style="position:absolute;left:0pt;margin-left:185.35pt;margin-top:38.9pt;height:0pt;width:75.5pt;z-index:251673600;mso-width-relative:page;mso-height-relative:page;" o:connectortype="straight" filled="f" coordsize="21600,21600">
            <v:path arrowok="t"/>
            <v:fill on="f" focussize="0,0"/>
            <v:stroke/>
            <v:imagedata o:title=""/>
            <o:lock v:ext="edit"/>
          </v:shape>
        </w:pict>
      </w:r>
      <w:r>
        <w:rPr>
          <w:rFonts w:hint="eastAsia" w:asciiTheme="minorEastAsia" w:hAnsiTheme="minorEastAsia" w:eastAsiaTheme="minorEastAsia" w:cstheme="minor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Pr>
        <w:pStyle w:val="4"/>
        <w:rPr>
          <w:rFonts w:hint="eastAsia" w:asciiTheme="minorEastAsia" w:hAnsiTheme="minorEastAsia" w:eastAsiaTheme="minorEastAsia" w:cstheme="minorEastAsia"/>
          <w:color w:val="auto"/>
          <w:highlight w:val="none"/>
        </w:rPr>
      </w:pPr>
    </w:p>
    <w:p>
      <w:pPr>
        <w:pStyle w:val="4"/>
        <w:rPr>
          <w:rFonts w:hint="eastAsia" w:asciiTheme="minorEastAsia" w:hAnsiTheme="minorEastAsia" w:eastAsiaTheme="minorEastAsia" w:cstheme="minorEastAsia"/>
          <w:color w:val="auto"/>
          <w:highlight w:val="none"/>
        </w:rPr>
      </w:pPr>
      <w:bookmarkStart w:id="24" w:name="_Toc3416"/>
      <w:bookmarkStart w:id="25" w:name="_Toc2339"/>
      <w:r>
        <w:rPr>
          <w:rFonts w:hint="eastAsia" w:asciiTheme="minorEastAsia" w:hAnsiTheme="minorEastAsia" w:eastAsiaTheme="minorEastAsia" w:cstheme="minorEastAsia"/>
          <w:color w:val="auto"/>
          <w:highlight w:val="none"/>
        </w:rPr>
        <w:t>供应商须知</w:t>
      </w:r>
      <w:bookmarkEnd w:id="24"/>
      <w:bookmarkEnd w:id="25"/>
    </w:p>
    <w:p>
      <w:pPr>
        <w:adjustRightInd w:val="0"/>
        <w:snapToGrid w:val="0"/>
        <w:spacing w:before="156" w:beforeLines="50" w:after="156" w:afterLines="50" w:line="600" w:lineRule="exact"/>
        <w:ind w:left="643" w:hanging="643" w:hangingChars="200"/>
        <w:jc w:val="left"/>
        <w:rPr>
          <w:rFonts w:hint="eastAsia" w:asciiTheme="minorEastAsia" w:hAnsiTheme="minorEastAsia" w:cs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ind w:left="0" w:leftChars="0" w:firstLine="0" w:firstLineChars="0"/>
        <w:rPr>
          <w:color w:val="auto"/>
          <w:highlight w:val="none"/>
        </w:rPr>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如采购文件内容与响应文件格式工程量清单存在不一致情形，则以响应文件格式工程量清单为准。如采购文件条款与合同存在不一致情形，则以合同为准。</w:t>
            </w:r>
          </w:p>
        </w:tc>
      </w:tr>
    </w:tbl>
    <w:p>
      <w:pPr>
        <w:adjustRightInd w:val="0"/>
        <w:snapToGrid w:val="0"/>
        <w:spacing w:before="156" w:beforeLines="50" w:after="156"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w:t>
      </w:r>
      <w:r>
        <w:rPr>
          <w:rFonts w:hint="eastAsia" w:ascii="仿宋_GB2312" w:eastAsia="仿宋_GB2312"/>
          <w:color w:val="auto"/>
          <w:sz w:val="28"/>
          <w:szCs w:val="28"/>
          <w:highlight w:val="none"/>
          <w:lang w:val="en-US" w:eastAsia="zh-CN"/>
        </w:rPr>
        <w:t>及</w:t>
      </w:r>
      <w:r>
        <w:rPr>
          <w:rFonts w:hint="eastAsia" w:ascii="仿宋_GB2312" w:eastAsia="仿宋_GB2312"/>
          <w:color w:val="auto"/>
          <w:sz w:val="28"/>
          <w:szCs w:val="28"/>
          <w:highlight w:val="none"/>
        </w:rPr>
        <w:t>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left="559" w:leftChars="266" w:firstLine="176" w:firstLineChars="63"/>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（9）其他不符合采购文件要求的情形。</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非法定代表人或授权委托代理人递交响应文件。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left="559" w:leftChars="266" w:firstLine="134" w:firstLineChars="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rPr>
        <w:t>附件5：关于**项目异议书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textWrapping"/>
      </w:r>
    </w:p>
    <w:p>
      <w:pPr>
        <w:pStyle w:val="22"/>
        <w:ind w:firstLine="0"/>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Theme="minorEastAsia" w:hAnsiTheme="minorEastAsia" w:eastAsiaTheme="minorEastAsia" w:cstheme="min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附件5 </w:t>
      </w:r>
    </w:p>
    <w:p>
      <w:pPr>
        <w:jc w:val="both"/>
        <w:rPr>
          <w:rFonts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 xml:space="preserve">住所地：   </w:t>
      </w:r>
      <w:r>
        <w:rPr>
          <w:rFonts w:hAnsi="宋体" w:cs="仿宋_GB2312"/>
          <w:color w:val="auto"/>
          <w:kern w:val="0"/>
          <w:sz w:val="28"/>
          <w:szCs w:val="28"/>
          <w:highlight w:val="none"/>
        </w:rPr>
        <w:t xml:space="preserve"> 邮编：</w:t>
      </w:r>
    </w:p>
    <w:p>
      <w:pPr>
        <w:widowControl/>
        <w:jc w:val="left"/>
        <w:rPr>
          <w:rFonts w:hAnsi="宋体" w:eastAsia="宋体" w:cs="宋体"/>
          <w:color w:val="auto"/>
          <w:kern w:val="0"/>
          <w:sz w:val="28"/>
          <w:szCs w:val="28"/>
          <w:highlight w:val="none"/>
        </w:rPr>
      </w:pPr>
      <w:r>
        <w:rPr>
          <w:rFonts w:hint="eastAsia" w:hAnsi="宋体" w:cs="仿宋_GB2312"/>
          <w:color w:val="auto"/>
          <w:kern w:val="0"/>
          <w:sz w:val="28"/>
          <w:szCs w:val="28"/>
          <w:highlight w:val="none"/>
        </w:rPr>
        <w:t>法定代表人：      联系电话：</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 xml:space="preserve">异议人授权代表：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             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pStyle w:val="2"/>
        <w:rPr>
          <w:color w:val="auto"/>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EastAsia" w:hAnsiTheme="minorEastAsia" w:eastAsiaTheme="minorEastAsia" w:cstheme="minorEastAsia"/>
          <w:color w:val="auto"/>
          <w:kern w:val="44"/>
          <w:sz w:val="44"/>
          <w:szCs w:val="44"/>
          <w:highlight w:val="none"/>
        </w:rPr>
      </w:pPr>
      <w:bookmarkStart w:id="26" w:name="_Toc21455"/>
      <w:bookmarkStart w:id="27" w:name="_Toc2867"/>
      <w:r>
        <w:rPr>
          <w:rFonts w:hint="eastAsia" w:asciiTheme="minorEastAsia" w:hAnsiTheme="minorEastAsia" w:eastAsiaTheme="minorEastAsia" w:cstheme="minorEastAsia"/>
          <w:color w:val="auto"/>
          <w:kern w:val="44"/>
          <w:sz w:val="44"/>
          <w:szCs w:val="44"/>
          <w:highlight w:val="none"/>
        </w:rPr>
        <w:pict>
          <v:shape id="_x0000_s2053" o:spid="_x0000_s2053" o:spt="32" type="#_x0000_t32" style="position:absolute;left:0pt;margin-left:182.55pt;margin-top:46.25pt;height:0pt;width:75.5pt;z-index:251661312;mso-width-relative:page;mso-height-relative:page;" o:connectortype="straight" filled="f" coordsize="21600,21600">
            <v:path arrowok="t"/>
            <v:fill on="f" focussize="0,0"/>
            <v:stroke/>
            <v:imagedata o:title=""/>
            <o:lock v:ext="edit"/>
          </v:shape>
        </w:pict>
      </w:r>
      <w:r>
        <w:rPr>
          <w:rFonts w:hint="eastAsia" w:asciiTheme="minorEastAsia" w:hAnsiTheme="minorEastAsia" w:eastAsiaTheme="minorEastAsia" w:cstheme="minorEastAsia"/>
          <w:color w:val="auto"/>
          <w:kern w:val="44"/>
          <w:sz w:val="44"/>
          <w:szCs w:val="44"/>
          <w:highlight w:val="none"/>
        </w:rPr>
        <w:pict>
          <v:shape id="_x0000_s2051" o:spid="_x0000_s2051" o:spt="32" type="#_x0000_t32" style="position:absolute;left:0pt;margin-left:183.1pt;margin-top:10.85pt;height:0pt;width:75.5pt;z-index:251660288;mso-width-relative:page;mso-height-relative:page;" o:connectortype="straight" filled="f" coordsize="21600,21600">
            <v:path arrowok="t"/>
            <v:fill on="f" focussize="0,0"/>
            <v:stroke/>
            <v:imagedata o:title=""/>
            <o:lock v:ext="edit"/>
          </v:shape>
        </w:pict>
      </w:r>
      <w:r>
        <w:rPr>
          <w:rFonts w:hint="eastAsia" w:asciiTheme="minorEastAsia" w:hAnsiTheme="minorEastAsia" w:eastAsiaTheme="minorEastAsia" w:cstheme="minorEastAsia"/>
          <w:color w:val="auto"/>
          <w:kern w:val="44"/>
          <w:sz w:val="44"/>
          <w:szCs w:val="44"/>
          <w:highlight w:val="none"/>
        </w:rPr>
        <w:t>第三章</w:t>
      </w:r>
      <w:bookmarkEnd w:id="26"/>
      <w:bookmarkEnd w:id="27"/>
    </w:p>
    <w:p>
      <w:pPr>
        <w:pStyle w:val="37"/>
        <w:rPr>
          <w:rFonts w:hint="eastAsia" w:asciiTheme="minorEastAsia" w:hAnsiTheme="minorEastAsia" w:cstheme="minorEastAsia"/>
          <w:color w:val="auto"/>
          <w:highlight w:val="none"/>
        </w:rPr>
      </w:pPr>
    </w:p>
    <w:p>
      <w:pPr>
        <w:pStyle w:val="4"/>
        <w:rPr>
          <w:color w:val="auto"/>
          <w:highlight w:val="none"/>
        </w:rPr>
      </w:pPr>
      <w:bookmarkStart w:id="28" w:name="_Toc7040"/>
      <w:bookmarkStart w:id="29" w:name="_Toc7303"/>
      <w:bookmarkStart w:id="30" w:name="_Toc88209934"/>
      <w:bookmarkStart w:id="31" w:name="_Toc87616371"/>
      <w:r>
        <w:rPr>
          <w:rFonts w:hint="eastAsia" w:asciiTheme="minorEastAsia" w:hAnsiTheme="minorEastAsia" w:eastAsiaTheme="minorEastAsia" w:cstheme="minorEastAsia"/>
          <w:color w:val="auto"/>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rFonts w:hint="eastAsia" w:asciiTheme="minorEastAsia" w:hAnsiTheme="minorEastAsia" w:eastAsiaTheme="minorEastAsia" w:cstheme="minorEastAsia"/>
          <w:color w:val="auto"/>
          <w:highlight w:val="none"/>
        </w:rPr>
      </w:pPr>
      <w:bookmarkStart w:id="32" w:name="_Toc24895"/>
      <w:bookmarkStart w:id="33" w:name="_Toc3789"/>
      <w:r>
        <w:rPr>
          <w:rFonts w:hint="eastAsia" w:asciiTheme="minorEastAsia" w:hAnsiTheme="minorEastAsia" w:eastAsiaTheme="minorEastAsia" w:cstheme="minor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ascii="仿宋_GB2312" w:eastAsia="仿宋_GB2312"/>
                <w:color w:val="auto"/>
                <w:sz w:val="24"/>
                <w:szCs w:val="24"/>
                <w:highlight w:val="none"/>
                <w:u w:val="single"/>
              </w:rPr>
              <w:t>广州市白云区钟落潭镇竹二</w:t>
            </w:r>
            <w:r>
              <w:rPr>
                <w:rFonts w:hint="eastAsia" w:ascii="仿宋_GB2312" w:eastAsia="仿宋_GB2312"/>
                <w:color w:val="auto"/>
                <w:sz w:val="24"/>
                <w:szCs w:val="24"/>
                <w:highlight w:val="none"/>
                <w:u w:val="single"/>
              </w:rPr>
              <w:t>路</w:t>
            </w:r>
            <w:r>
              <w:rPr>
                <w:rFonts w:ascii="仿宋_GB2312" w:eastAsia="仿宋_GB2312"/>
                <w:color w:val="auto"/>
                <w:sz w:val="24"/>
                <w:szCs w:val="24"/>
                <w:highlight w:val="none"/>
                <w:u w:val="single"/>
              </w:rPr>
              <w:t>兰桂街100号广州市净水有限公司竹料分公司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420" w:hangingChars="150"/>
              <w:rPr>
                <w:rFonts w:ascii="仿宋_GB2312" w:eastAsia="仿宋_GB2312" w:hAnsiTheme="minorEastAsia"/>
                <w:color w:val="auto"/>
                <w:sz w:val="24"/>
                <w:szCs w:val="24"/>
                <w:highlight w:val="none"/>
              </w:rPr>
            </w:pPr>
            <w:r>
              <w:rPr>
                <w:rFonts w:hint="eastAsia" w:ascii="仿宋_GB2312" w:eastAsia="仿宋_GB2312"/>
                <w:color w:val="auto"/>
                <w:sz w:val="28"/>
                <w:szCs w:val="28"/>
                <w:highlight w:val="none"/>
                <w:lang w:eastAsia="zh-CN"/>
              </w:rPr>
              <w:sym w:font="Wingdings 2" w:char="0052"/>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420" w:hangingChars="150"/>
              <w:rPr>
                <w:rFonts w:ascii="仿宋_GB2312" w:eastAsia="仿宋_GB2312" w:hAnsiTheme="minorEastAsia"/>
                <w:color w:val="auto"/>
                <w:sz w:val="24"/>
                <w:szCs w:val="24"/>
                <w:highlight w:val="none"/>
              </w:rPr>
            </w:pPr>
            <w:r>
              <w:rPr>
                <w:rFonts w:hint="eastAsia" w:ascii="仿宋_GB2312" w:eastAsia="仿宋_GB2312"/>
                <w:color w:val="auto"/>
                <w:sz w:val="28"/>
                <w:szCs w:val="28"/>
                <w:highlight w:val="none"/>
                <w:lang w:eastAsia="zh-CN"/>
              </w:rPr>
              <w:t>□</w:t>
            </w:r>
            <w:r>
              <w:rPr>
                <w:rFonts w:hint="eastAsia" w:ascii="仿宋_GB2312" w:eastAsia="仿宋_GB2312" w:hAnsiTheme="minorEastAsia"/>
                <w:color w:val="auto"/>
                <w:sz w:val="24"/>
                <w:szCs w:val="24"/>
                <w:highlight w:val="none"/>
              </w:rPr>
              <w:t xml:space="preserve">评审小组按照采购文件确定的标准排序，采购人确定排名第一的供应商为成交供应商。 </w:t>
            </w:r>
            <w:r>
              <w:rPr>
                <w:rFonts w:hint="eastAsia" w:ascii="仿宋_GB2312" w:eastAsia="仿宋_GB2312" w:hAnsiTheme="minorEastAsia"/>
                <w:color w:val="auto"/>
                <w:sz w:val="24"/>
                <w:szCs w:val="24"/>
                <w:highlight w:val="none"/>
              </w:rPr>
              <w:br w:type="textWrapping"/>
            </w:r>
            <w:r>
              <w:rPr>
                <w:rFonts w:hint="eastAsia" w:ascii="仿宋_GB2312" w:eastAsia="仿宋_GB2312" w:hAnsiTheme="minorEastAsia"/>
                <w:color w:val="auto"/>
                <w:sz w:val="24"/>
                <w:szCs w:val="24"/>
                <w:highlight w:val="none"/>
              </w:rPr>
              <w:t>如第一中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候选人被取消</w:t>
            </w:r>
            <w:r>
              <w:rPr>
                <w:rFonts w:hint="eastAsia" w:ascii="仿宋_GB2312" w:eastAsia="仿宋_GB2312" w:hAnsiTheme="minorEastAsia"/>
                <w:color w:val="auto"/>
                <w:sz w:val="24"/>
                <w:szCs w:val="24"/>
                <w:highlight w:val="none"/>
                <w:lang w:val="en-US" w:eastAsia="zh-CN"/>
              </w:rPr>
              <w:t>或放弃</w:t>
            </w:r>
            <w:r>
              <w:rPr>
                <w:rFonts w:hint="eastAsia" w:ascii="仿宋_GB2312" w:eastAsia="仿宋_GB2312" w:hAnsiTheme="minorEastAsia"/>
                <w:color w:val="auto"/>
                <w:sz w:val="24"/>
                <w:szCs w:val="24"/>
                <w:highlight w:val="none"/>
              </w:rPr>
              <w:t>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候选人资格，</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人有权按</w:t>
            </w:r>
            <w:r>
              <w:rPr>
                <w:rFonts w:hint="eastAsia" w:ascii="仿宋_GB2312" w:eastAsia="仿宋_GB2312" w:hAnsiTheme="minorEastAsia"/>
                <w:color w:val="auto"/>
                <w:sz w:val="24"/>
                <w:szCs w:val="24"/>
                <w:highlight w:val="none"/>
                <w:lang w:val="en-US" w:eastAsia="zh-CN"/>
              </w:rPr>
              <w:t>中选</w:t>
            </w:r>
            <w:r>
              <w:rPr>
                <w:rFonts w:hint="eastAsia" w:ascii="仿宋_GB2312" w:eastAsia="仿宋_GB2312" w:hAnsiTheme="minorEastAsia"/>
                <w:color w:val="auto"/>
                <w:sz w:val="24"/>
                <w:szCs w:val="24"/>
                <w:highlight w:val="none"/>
              </w:rPr>
              <w:t>候选人</w:t>
            </w:r>
            <w:r>
              <w:rPr>
                <w:rFonts w:hint="eastAsia" w:ascii="仿宋_GB2312" w:eastAsia="仿宋_GB2312" w:hAnsiTheme="minorEastAsia"/>
                <w:color w:val="auto"/>
                <w:sz w:val="24"/>
                <w:szCs w:val="24"/>
                <w:highlight w:val="none"/>
                <w:lang w:val="en-US" w:eastAsia="zh-CN"/>
              </w:rPr>
              <w:t>的</w:t>
            </w:r>
            <w:r>
              <w:rPr>
                <w:rFonts w:hint="eastAsia" w:ascii="仿宋_GB2312" w:eastAsia="仿宋_GB2312" w:hAnsiTheme="minorEastAsia"/>
                <w:color w:val="auto"/>
                <w:sz w:val="24"/>
                <w:szCs w:val="24"/>
                <w:highlight w:val="none"/>
              </w:rPr>
              <w:t>顺序依次确定其他中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候选人为中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人，或重新</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asciiTheme="minorEastAsia" w:hAnsiTheme="minorEastAsia" w:eastAsiaTheme="minorEastAsia" w:cstheme="minorEastAsia"/>
          <w:color w:val="auto"/>
          <w:highlight w:val="none"/>
        </w:rPr>
      </w:pPr>
      <w:bookmarkStart w:id="34" w:name="_Toc14552"/>
      <w:bookmarkStart w:id="35" w:name="_Toc10930"/>
      <w:bookmarkStart w:id="36" w:name="_Toc23581"/>
      <w:bookmarkStart w:id="37" w:name="_Toc7118"/>
      <w:bookmarkStart w:id="38" w:name="_Toc4952"/>
      <w:bookmarkStart w:id="39" w:name="_Toc20594"/>
      <w:bookmarkStart w:id="40" w:name="_Toc14870"/>
      <w:bookmarkStart w:id="41" w:name="_Toc19759"/>
      <w:bookmarkStart w:id="42" w:name="_Toc3156"/>
      <w:bookmarkStart w:id="43" w:name="_Toc7437"/>
      <w:bookmarkStart w:id="44" w:name="_Toc19050"/>
      <w:r>
        <w:rPr>
          <w:rFonts w:hint="eastAsia" w:asciiTheme="minorEastAsia" w:hAnsiTheme="minorEastAsia" w:eastAsiaTheme="minorEastAsia" w:cstheme="minorEastAsia"/>
          <w:color w:val="auto"/>
          <w:highlight w:val="none"/>
        </w:rPr>
        <w:pict>
          <v:shape id="_x0000_s2055" o:spid="_x0000_s2055" o:spt="32" type="#_x0000_t32" style="position:absolute;left:0pt;margin-left:181.6pt;margin-top:56.7pt;height:0pt;width:75.5pt;z-index:251663360;mso-width-relative:page;mso-height-relative:page;" o:connectortype="straight" filled="f" coordsize="21600,21600">
            <v:path arrowok="t"/>
            <v:fill on="f" focussize="0,0"/>
            <v:stroke/>
            <v:imagedata o:title=""/>
            <o:lock v:ext="edit"/>
          </v:shape>
        </w:pict>
      </w:r>
      <w:r>
        <w:rPr>
          <w:rFonts w:hint="eastAsia" w:asciiTheme="minorEastAsia" w:hAnsiTheme="minorEastAsia" w:eastAsiaTheme="minorEastAsia" w:cstheme="minorEastAsia"/>
          <w:color w:val="auto"/>
          <w:highlight w:val="none"/>
        </w:rPr>
        <w:pict>
          <v:shape id="_x0000_s2054" o:spid="_x0000_s2054" o:spt="32" type="#_x0000_t32" style="position:absolute;left:0pt;margin-left:183.1pt;margin-top:21.3pt;height:0pt;width:75.5pt;z-index:251662336;mso-width-relative:page;mso-height-relative:page;" o:connectortype="straight" filled="f" coordsize="21600,21600">
            <v:path arrowok="t"/>
            <v:fill on="f" focussize="0,0"/>
            <v:stroke/>
            <v:imagedata o:title=""/>
            <o:lock v:ext="edit"/>
          </v:shape>
        </w:pict>
      </w:r>
      <w:r>
        <w:rPr>
          <w:rFonts w:hint="eastAsia" w:asciiTheme="minorEastAsia" w:hAnsiTheme="minorEastAsia" w:eastAsiaTheme="minorEastAsia" w:cstheme="minorEastAsia"/>
          <w:color w:val="auto"/>
          <w:highlight w:val="none"/>
        </w:rPr>
        <w:t>第四章</w:t>
      </w:r>
      <w:bookmarkEnd w:id="34"/>
      <w:bookmarkEnd w:id="35"/>
      <w:bookmarkEnd w:id="36"/>
      <w:bookmarkEnd w:id="37"/>
      <w:bookmarkEnd w:id="38"/>
      <w:bookmarkEnd w:id="39"/>
      <w:bookmarkEnd w:id="40"/>
      <w:bookmarkEnd w:id="41"/>
      <w:bookmarkEnd w:id="42"/>
      <w:bookmarkEnd w:id="43"/>
      <w:bookmarkEnd w:id="44"/>
    </w:p>
    <w:p>
      <w:pPr>
        <w:pStyle w:val="37"/>
        <w:rPr>
          <w:rFonts w:hint="eastAsia" w:asciiTheme="minorEastAsia" w:hAnsiTheme="minorEastAsia" w:cstheme="minorEastAsia"/>
          <w:color w:val="auto"/>
          <w:highlight w:val="none"/>
        </w:rPr>
      </w:pPr>
    </w:p>
    <w:p>
      <w:pPr>
        <w:pStyle w:val="3"/>
        <w:rPr>
          <w:rFonts w:hint="eastAsia" w:asciiTheme="minorEastAsia" w:hAnsiTheme="minorEastAsia" w:eastAsiaTheme="minorEastAsia" w:cstheme="minorEastAsia"/>
          <w:color w:val="auto"/>
          <w:highlight w:val="none"/>
        </w:rPr>
      </w:pPr>
      <w:bookmarkStart w:id="45" w:name="_Toc29345"/>
      <w:bookmarkStart w:id="46" w:name="_Toc12177"/>
      <w:bookmarkStart w:id="47" w:name="_Toc88209941"/>
      <w:bookmarkStart w:id="48" w:name="_Toc13898"/>
      <w:bookmarkStart w:id="49" w:name="_Toc32607"/>
      <w:bookmarkStart w:id="50" w:name="_Toc6308"/>
      <w:bookmarkStart w:id="51" w:name="_Toc87616378"/>
      <w:bookmarkStart w:id="52" w:name="_Toc21079"/>
      <w:bookmarkStart w:id="53" w:name="_Toc30530"/>
      <w:bookmarkStart w:id="54" w:name="_Toc7831"/>
      <w:bookmarkStart w:id="55" w:name="_Toc21840"/>
      <w:bookmarkStart w:id="56" w:name="_Toc22212"/>
      <w:bookmarkStart w:id="57" w:name="_Toc29484"/>
      <w:r>
        <w:rPr>
          <w:rFonts w:hint="eastAsia" w:asciiTheme="minorEastAsia" w:hAnsiTheme="minorEastAsia" w:eastAsiaTheme="minorEastAsia" w:cstheme="minor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rFonts w:hint="eastAsia" w:asciiTheme="majorEastAsia" w:hAnsiTheme="majorEastAsia" w:eastAsiaTheme="majorEastAsia" w:cstheme="majorEastAsia"/>
          <w:color w:val="auto"/>
          <w:highlight w:val="none"/>
        </w:rPr>
      </w:pPr>
      <w:bookmarkStart w:id="58" w:name="_Toc23033"/>
      <w:bookmarkStart w:id="59" w:name="_Toc26826"/>
      <w:r>
        <w:rPr>
          <w:rFonts w:hint="eastAsia" w:asciiTheme="majorEastAsia" w:hAnsiTheme="majorEastAsia" w:eastAsiaTheme="majorEastAsia" w:cstheme="majorEastAsia"/>
          <w:color w:val="auto"/>
          <w:sz w:val="28"/>
          <w:szCs w:val="28"/>
          <w:highlight w:val="none"/>
          <w:lang w:eastAsia="zh-CN"/>
        </w:rPr>
        <w:sym w:font="Wingdings 2" w:char="0052"/>
      </w:r>
      <w:r>
        <w:rPr>
          <w:rFonts w:hint="eastAsia" w:asciiTheme="majorEastAsia" w:hAnsiTheme="majorEastAsia" w:eastAsiaTheme="majorEastAsia" w:cstheme="major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4"/>
        <w:rPr>
          <w:rFonts w:hint="eastAsia"/>
          <w:color w:val="auto"/>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rFonts w:hint="eastAsia" w:asciiTheme="minorEastAsia" w:hAnsiTheme="minorEastAsia" w:eastAsiaTheme="minorEastAsia" w:cstheme="minorEastAsia"/>
          <w:color w:val="auto"/>
          <w:highlight w:val="none"/>
        </w:rPr>
      </w:pPr>
      <w:bookmarkStart w:id="60" w:name="_Toc88209947"/>
      <w:r>
        <w:rPr>
          <w:rFonts w:hint="eastAsia" w:asciiTheme="minorEastAsia" w:hAnsiTheme="minorEastAsia" w:eastAsiaTheme="minorEastAsia" w:cstheme="minorEastAsia"/>
          <w:color w:val="auto"/>
          <w:highlight w:val="none"/>
        </w:rPr>
        <w:pict>
          <v:shape id="_x0000_s2072" o:spid="_x0000_s2072"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rFonts w:hint="eastAsia" w:asciiTheme="minorEastAsia" w:hAnsiTheme="minorEastAsia" w:eastAsiaTheme="minorEastAsia" w:cstheme="minorEastAsia"/>
          <w:color w:val="auto"/>
          <w:highlight w:val="none"/>
        </w:rPr>
        <w:pict>
          <v:shape id="_x0000_s2073" o:spid="_x0000_s2073"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asciiTheme="minorEastAsia" w:hAnsiTheme="minorEastAsia" w:eastAsiaTheme="minorEastAsia" w:cstheme="minorEastAsia"/>
          <w:color w:val="auto"/>
          <w:highlight w:val="none"/>
        </w:rPr>
        <w:t>第五章</w:t>
      </w:r>
    </w:p>
    <w:p>
      <w:pPr>
        <w:pStyle w:val="4"/>
        <w:rPr>
          <w:rFonts w:hint="eastAsia" w:asciiTheme="minorEastAsia" w:hAnsiTheme="minorEastAsia" w:eastAsiaTheme="minorEastAsia" w:cstheme="minorEastAsia"/>
          <w:color w:val="auto"/>
          <w:highlight w:val="none"/>
        </w:rPr>
      </w:pPr>
    </w:p>
    <w:p>
      <w:pPr>
        <w:pStyle w:val="4"/>
        <w:rPr>
          <w:rFonts w:hint="eastAsia" w:asciiTheme="minorEastAsia" w:hAnsiTheme="minorEastAsia" w:eastAsiaTheme="minorEastAsia" w:cstheme="minorEastAsia"/>
          <w:color w:val="auto"/>
          <w:szCs w:val="44"/>
          <w:highlight w:val="none"/>
        </w:rPr>
      </w:pPr>
      <w:r>
        <w:rPr>
          <w:rFonts w:hint="eastAsia" w:asciiTheme="minorEastAsia" w:hAnsiTheme="minorEastAsia" w:eastAsiaTheme="minorEastAsia" w:cstheme="minorEastAsia"/>
          <w:color w:val="auto"/>
          <w:szCs w:val="44"/>
          <w:highlight w:val="none"/>
        </w:rPr>
        <w:t>采购需求</w:t>
      </w:r>
    </w:p>
    <w:bookmarkEnd w:id="60"/>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numPr>
          <w:ilvl w:val="0"/>
          <w:numId w:val="4"/>
        </w:numPr>
        <w:ind w:firstLine="560" w:firstLineChars="200"/>
        <w:jc w:val="left"/>
        <w:rPr>
          <w:rFonts w:hint="eastAsia" w:hAnsi="仿宋_GB2312" w:cs="仿宋_GB2312"/>
          <w:color w:val="auto"/>
          <w:sz w:val="32"/>
          <w:szCs w:val="32"/>
          <w:highlight w:val="none"/>
          <w:u w:val="single"/>
        </w:rPr>
      </w:pPr>
      <w:r>
        <w:rPr>
          <w:rFonts w:hint="eastAsia" w:ascii="仿宋_GB2312" w:eastAsia="仿宋_GB2312"/>
          <w:color w:val="auto"/>
          <w:sz w:val="28"/>
          <w:szCs w:val="28"/>
          <w:highlight w:val="none"/>
        </w:rPr>
        <w:t>采购内容和范围</w:t>
      </w:r>
    </w:p>
    <w:p>
      <w:pPr>
        <w:numPr>
          <w:ilvl w:val="0"/>
          <w:numId w:val="0"/>
        </w:numPr>
        <w:spacing w:line="360" w:lineRule="auto"/>
        <w:ind w:left="-53" w:leftChars="-25" w:firstLine="560" w:firstLineChars="200"/>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val="en-US" w:eastAsia="zh-CN"/>
        </w:rPr>
        <w:t>本项目需要采用机器人清淤技术对健康城分公司提升泵房、事故池、排水泵井清淤，清淤期间必须达到不停产要求，预计清理淤泥约550m³。</w:t>
      </w:r>
    </w:p>
    <w:p>
      <w:pPr>
        <w:numPr>
          <w:ilvl w:val="0"/>
          <w:numId w:val="4"/>
        </w:numPr>
        <w:ind w:firstLine="560" w:firstLineChars="200"/>
        <w:jc w:val="left"/>
        <w:rPr>
          <w:rFonts w:hint="eastAsia"/>
          <w:color w:val="auto"/>
          <w:highlight w:val="none"/>
        </w:rPr>
      </w:pPr>
      <w:r>
        <w:rPr>
          <w:rFonts w:hint="eastAsia" w:ascii="仿宋_GB2312" w:eastAsia="仿宋_GB2312"/>
          <w:color w:val="auto"/>
          <w:sz w:val="28"/>
          <w:szCs w:val="28"/>
          <w:highlight w:val="none"/>
          <w:lang w:val="en-US" w:eastAsia="zh-CN"/>
        </w:rPr>
        <w:t>定额工程量</w:t>
      </w:r>
    </w:p>
    <w:tbl>
      <w:tblPr>
        <w:tblStyle w:val="23"/>
        <w:tblW w:w="100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7"/>
        <w:gridCol w:w="2958"/>
        <w:gridCol w:w="676"/>
        <w:gridCol w:w="1361"/>
        <w:gridCol w:w="580"/>
        <w:gridCol w:w="1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1459" w:type="dxa"/>
          <w:trHeight w:val="795" w:hRule="atLeast"/>
          <w:jc w:val="center"/>
        </w:trPr>
        <w:tc>
          <w:tcPr>
            <w:tcW w:w="8473"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单位工程预算价汇总表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1459" w:type="dxa"/>
          <w:trHeight w:val="570" w:hRule="atLeast"/>
          <w:jc w:val="center"/>
        </w:trPr>
        <w:tc>
          <w:tcPr>
            <w:tcW w:w="4981"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工程名称：健康城分公司2024年提升泵房、事故池、排水泵井清淤项目</w:t>
            </w:r>
          </w:p>
        </w:tc>
        <w:tc>
          <w:tcPr>
            <w:tcW w:w="1941"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1551"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1459" w:type="dxa"/>
          <w:trHeight w:val="375" w:hRule="atLeast"/>
          <w:jc w:val="center"/>
        </w:trPr>
        <w:tc>
          <w:tcPr>
            <w:tcW w:w="134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95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汇总内容</w:t>
            </w:r>
          </w:p>
        </w:tc>
        <w:tc>
          <w:tcPr>
            <w:tcW w:w="20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2131"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1459" w:type="dxa"/>
          <w:trHeight w:val="360" w:hRule="atLeast"/>
          <w:jc w:val="center"/>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1459" w:type="dxa"/>
          <w:trHeight w:val="360" w:hRule="atLeast"/>
          <w:jc w:val="center"/>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措施合计</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1459" w:type="dxa"/>
          <w:trHeight w:val="360" w:hRule="atLeast"/>
          <w:jc w:val="center"/>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101122.09</w:t>
            </w: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1459" w:type="dxa"/>
          <w:trHeight w:val="360" w:hRule="atLeast"/>
          <w:jc w:val="center"/>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其他措施费</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1459" w:type="dxa"/>
          <w:trHeight w:val="360" w:hRule="atLeast"/>
          <w:jc w:val="center"/>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其他项目</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1459" w:type="dxa"/>
          <w:trHeight w:val="360" w:hRule="atLeast"/>
          <w:jc w:val="center"/>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63614.90</w:t>
            </w: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1459" w:type="dxa"/>
          <w:trHeight w:val="360" w:hRule="atLeast"/>
          <w:jc w:val="center"/>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1459" w:type="dxa"/>
          <w:trHeight w:val="360" w:hRule="atLeast"/>
          <w:jc w:val="center"/>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1459" w:type="dxa"/>
          <w:trHeight w:val="360" w:hRule="atLeast"/>
          <w:jc w:val="center"/>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1459" w:type="dxa"/>
          <w:trHeight w:val="360" w:hRule="atLeast"/>
          <w:jc w:val="center"/>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1459" w:type="dxa"/>
          <w:trHeight w:val="360" w:hRule="atLeast"/>
          <w:jc w:val="center"/>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1459" w:type="dxa"/>
          <w:trHeight w:val="360" w:hRule="atLeast"/>
          <w:jc w:val="center"/>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1459" w:type="dxa"/>
          <w:trHeight w:val="360" w:hRule="atLeast"/>
          <w:jc w:val="center"/>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1459" w:type="dxa"/>
          <w:trHeight w:val="360" w:hRule="atLeast"/>
          <w:jc w:val="center"/>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1459" w:type="dxa"/>
          <w:trHeight w:val="360" w:hRule="atLeast"/>
          <w:jc w:val="center"/>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其他费用（消纳费）</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7837.50</w:t>
            </w: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1459" w:type="dxa"/>
          <w:trHeight w:val="360" w:hRule="atLeast"/>
          <w:jc w:val="center"/>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税前工程造价</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1459" w:type="dxa"/>
          <w:trHeight w:val="360" w:hRule="atLeast"/>
          <w:jc w:val="center"/>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1459" w:type="dxa"/>
          <w:trHeight w:val="360" w:hRule="atLeast"/>
          <w:jc w:val="center"/>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总造价</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1459" w:type="dxa"/>
          <w:trHeight w:val="360" w:hRule="atLeast"/>
          <w:jc w:val="center"/>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人工费</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93" w:type="dxa"/>
          <w:wAfter w:w="1459" w:type="dxa"/>
          <w:trHeight w:val="360" w:hRule="atLeast"/>
          <w:jc w:val="center"/>
        </w:trPr>
        <w:tc>
          <w:tcPr>
            <w:tcW w:w="4305"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预算价合计=1+2+3+5</w:t>
            </w:r>
          </w:p>
        </w:tc>
        <w:tc>
          <w:tcPr>
            <w:tcW w:w="203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1459" w:type="dxa"/>
          <w:trHeight w:val="360" w:hRule="atLeast"/>
          <w:jc w:val="center"/>
        </w:trPr>
        <w:tc>
          <w:tcPr>
            <w:tcW w:w="8473"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93" w:type="dxa"/>
          <w:wAfter w:w="1459" w:type="dxa"/>
          <w:trHeight w:val="360" w:hRule="atLeast"/>
          <w:jc w:val="center"/>
        </w:trPr>
        <w:tc>
          <w:tcPr>
            <w:tcW w:w="4981"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1941" w:type="dxa"/>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auto"/>
                <w:sz w:val="18"/>
                <w:szCs w:val="18"/>
                <w:highlight w:val="none"/>
                <w:u w:val="none"/>
              </w:rPr>
            </w:pPr>
          </w:p>
        </w:tc>
        <w:tc>
          <w:tcPr>
            <w:tcW w:w="1551"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表—04</w:t>
            </w:r>
          </w:p>
        </w:tc>
      </w:tr>
    </w:tbl>
    <w:tbl>
      <w:tblPr>
        <w:tblStyle w:val="23"/>
        <w:tblpPr w:leftFromText="180" w:rightFromText="180" w:vertAnchor="text" w:horzAnchor="page" w:tblpX="1088" w:tblpY="-39"/>
        <w:tblOverlap w:val="never"/>
        <w:tblW w:w="102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1200"/>
        <w:gridCol w:w="1200"/>
        <w:gridCol w:w="2887"/>
        <w:gridCol w:w="277"/>
        <w:gridCol w:w="805"/>
        <w:gridCol w:w="917"/>
        <w:gridCol w:w="294"/>
        <w:gridCol w:w="406"/>
        <w:gridCol w:w="750"/>
        <w:gridCol w:w="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217"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24"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工程名称：健康城分公司2024年提升泵房、事故池、排水泵井清淤项目</w:t>
            </w:r>
          </w:p>
        </w:tc>
        <w:tc>
          <w:tcPr>
            <w:tcW w:w="2293"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1900"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2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2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316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80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91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194"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16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0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1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16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0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1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040101005001</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机器人清淤</w:t>
            </w:r>
          </w:p>
        </w:tc>
        <w:tc>
          <w:tcPr>
            <w:tcW w:w="31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1.名称：水下清淤（提升泵房）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2.规格：水下清淤机器人1800×1400×1500mm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3.机器人抽吸淤泥，沉淀淤泥，泥渣装车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4.钢制沉淀池组装（组装按3次摊销计算），10号槽钢+3mm钢板，长6m宽2.5m深1.4m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5.详见施工方案及立项报告</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040101005002</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机器人清淤</w:t>
            </w:r>
          </w:p>
        </w:tc>
        <w:tc>
          <w:tcPr>
            <w:tcW w:w="31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1.名称：水下清淤（事故池）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2.规格：水下清淤机器人1400×1000×1300mm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3.机器人抽吸淤泥，沉淀淤泥，泥渣装车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4.钢制沉淀池组装（组装按3次摊销计算），10号槽钢+3mm钢板，长6m宽2.5m深1.4m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5.详见施工方案及立项报告</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040101005003</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机器人清淤</w:t>
            </w:r>
          </w:p>
        </w:tc>
        <w:tc>
          <w:tcPr>
            <w:tcW w:w="31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1.名称：水下清淤（排水泵井）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2.规格：水下清淤机器人1400×1000×1300mm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3.机器人抽吸淤泥，沉淀淤泥，泥渣装车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4.钢制沉淀池组装（组装按3次摊销计算），10号槽钢+3mm钢板，长6m宽2.5m深1.4m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5.详见施工方案及立项报告</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040103002001</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余方弃置</w:t>
            </w:r>
          </w:p>
        </w:tc>
        <w:tc>
          <w:tcPr>
            <w:tcW w:w="31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1.废弃料品种:淤泥清淤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2.运距:20km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3.弃置费:排放费</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550</w:t>
            </w:r>
          </w:p>
        </w:tc>
        <w:tc>
          <w:tcPr>
            <w:tcW w:w="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粤050401008002</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施工围栏</w:t>
            </w:r>
          </w:p>
        </w:tc>
        <w:tc>
          <w:tcPr>
            <w:tcW w:w="31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1.施工围蔽铁马:100m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2.总围蔽天数:43日</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100m·天</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04B089</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1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1.检测项目:含水率、PH值</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04B090</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1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1.检测项目:重金属：镉、汞、铬、铅 、砷、铜、镍、锌</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04B091</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1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1.检测项目:有机质、总磷、总氮</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723"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723"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7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217"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024"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none"/>
              </w:rPr>
            </w:pPr>
          </w:p>
        </w:tc>
        <w:tc>
          <w:tcPr>
            <w:tcW w:w="2293"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single"/>
              </w:rPr>
            </w:pPr>
          </w:p>
        </w:tc>
        <w:tc>
          <w:tcPr>
            <w:tcW w:w="1900"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表—08</w:t>
            </w:r>
          </w:p>
        </w:tc>
      </w:tr>
    </w:tbl>
    <w:p>
      <w:pPr>
        <w:pStyle w:val="22"/>
        <w:ind w:firstLine="0"/>
        <w:rPr>
          <w:color w:val="auto"/>
          <w:highlight w:val="none"/>
        </w:rPr>
      </w:pPr>
    </w:p>
    <w:tbl>
      <w:tblPr>
        <w:tblStyle w:val="23"/>
        <w:tblW w:w="9195" w:type="dxa"/>
        <w:tblInd w:w="-2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0"/>
        <w:gridCol w:w="1416"/>
        <w:gridCol w:w="1069"/>
        <w:gridCol w:w="971"/>
        <w:gridCol w:w="641"/>
        <w:gridCol w:w="1116"/>
        <w:gridCol w:w="750"/>
        <w:gridCol w:w="765"/>
        <w:gridCol w:w="1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60" w:hRule="atLeast"/>
        </w:trPr>
        <w:tc>
          <w:tcPr>
            <w:tcW w:w="10050"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24" w:hRule="atLeast"/>
        </w:trPr>
        <w:tc>
          <w:tcPr>
            <w:tcW w:w="5200"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工程名称：健康城分公司2024年提升泵房、事故池、排水泵井清淤项目</w:t>
            </w:r>
          </w:p>
        </w:tc>
        <w:tc>
          <w:tcPr>
            <w:tcW w:w="1933"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917"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70" w:hRule="atLeast"/>
        </w:trPr>
        <w:tc>
          <w:tcPr>
            <w:tcW w:w="73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3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16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6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1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83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费率(%)</w:t>
            </w:r>
          </w:p>
        </w:tc>
        <w:tc>
          <w:tcPr>
            <w:tcW w:w="81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金额(元)</w:t>
            </w:r>
          </w:p>
        </w:tc>
        <w:tc>
          <w:tcPr>
            <w:tcW w:w="21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60" w:hRule="atLeast"/>
        </w:trPr>
        <w:tc>
          <w:tcPr>
            <w:tcW w:w="7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有限空间</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324" w:hRule="atLeast"/>
        </w:trPr>
        <w:tc>
          <w:tcPr>
            <w:tcW w:w="7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LSSGCSF00001</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19.8</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101122.09</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以分部分项的人工费与施工机具费之和为计算基础；以专业工程类型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区分不同费率计算；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单独场地平整工程费率为4.35%；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道路、管网工程费率为16.50%；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桥涵、隧道、水处理构筑物工程费率为14.50%；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分部分项工程总费用在300 万元以内（含300 万元）的项目按基本费率乘以1.20；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807" w:hRule="atLeast"/>
        </w:trPr>
        <w:tc>
          <w:tcPr>
            <w:tcW w:w="7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粤041109009001</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文明工地增加费</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825" w:hRule="atLeast"/>
        </w:trPr>
        <w:tc>
          <w:tcPr>
            <w:tcW w:w="7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041109002001</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夜间施工增加费</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200" w:hRule="atLeast"/>
        </w:trPr>
        <w:tc>
          <w:tcPr>
            <w:tcW w:w="733"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041109005001</w:t>
            </w:r>
          </w:p>
        </w:tc>
        <w:tc>
          <w:tcPr>
            <w:tcW w:w="130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交通疏解员增加费</w:t>
            </w:r>
          </w:p>
        </w:tc>
        <w:tc>
          <w:tcPr>
            <w:tcW w:w="11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10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按照项目分部分项人工费的15%计算（有方案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140" w:hRule="atLeast"/>
        </w:trPr>
        <w:tc>
          <w:tcPr>
            <w:tcW w:w="7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的按照方案计算），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020" w:hRule="atLeast"/>
        </w:trPr>
        <w:tc>
          <w:tcPr>
            <w:tcW w:w="7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041108001001</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地下管线交叉降效费</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760" w:hRule="atLeast"/>
        </w:trPr>
        <w:tc>
          <w:tcPr>
            <w:tcW w:w="7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粤041109008001</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080" w:hRule="atLeast"/>
        </w:trPr>
        <w:tc>
          <w:tcPr>
            <w:tcW w:w="7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QTFY00000001</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60" w:hRule="atLeast"/>
        </w:trPr>
        <w:tc>
          <w:tcPr>
            <w:tcW w:w="5200"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10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60" w:hRule="atLeast"/>
        </w:trPr>
        <w:tc>
          <w:tcPr>
            <w:tcW w:w="5200"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编制人（造价人员）：</w:t>
            </w:r>
          </w:p>
        </w:tc>
        <w:tc>
          <w:tcPr>
            <w:tcW w:w="485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360" w:hRule="atLeast"/>
        </w:trPr>
        <w:tc>
          <w:tcPr>
            <w:tcW w:w="5200" w:type="dxa"/>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highlight w:val="none"/>
                <w:u w:val="none"/>
              </w:rPr>
            </w:pPr>
          </w:p>
        </w:tc>
        <w:tc>
          <w:tcPr>
            <w:tcW w:w="1933"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highlight w:val="none"/>
                <w:u w:val="none"/>
              </w:rPr>
            </w:pPr>
          </w:p>
        </w:tc>
        <w:tc>
          <w:tcPr>
            <w:tcW w:w="2917" w:type="dxa"/>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表-11</w:t>
            </w:r>
          </w:p>
        </w:tc>
      </w:tr>
    </w:tbl>
    <w:p>
      <w:pPr>
        <w:pStyle w:val="22"/>
        <w:ind w:firstLine="0"/>
        <w:rPr>
          <w:color w:val="auto"/>
          <w:highlight w:val="none"/>
        </w:rPr>
      </w:pPr>
    </w:p>
    <w:p>
      <w:pPr>
        <w:pStyle w:val="22"/>
        <w:ind w:firstLine="0"/>
        <w:rPr>
          <w:color w:val="auto"/>
          <w:highlight w:val="none"/>
        </w:rPr>
      </w:pPr>
    </w:p>
    <w:p>
      <w:pPr>
        <w:pStyle w:val="22"/>
        <w:ind w:firstLine="0"/>
        <w:rPr>
          <w:color w:val="auto"/>
          <w:highlight w:val="none"/>
        </w:rPr>
      </w:pPr>
    </w:p>
    <w:p>
      <w:pPr>
        <w:pStyle w:val="22"/>
        <w:ind w:firstLine="0"/>
        <w:rPr>
          <w:color w:val="auto"/>
          <w:highlight w:val="none"/>
        </w:rPr>
      </w:pPr>
    </w:p>
    <w:p>
      <w:pPr>
        <w:pStyle w:val="22"/>
        <w:numPr>
          <w:ilvl w:val="0"/>
          <w:numId w:val="4"/>
        </w:numPr>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工期：自合同签订之日起40天。具体日期以甲方发出的开工报告/通知为准。</w:t>
      </w:r>
    </w:p>
    <w:p>
      <w:pPr>
        <w:pStyle w:val="22"/>
        <w:numPr>
          <w:ilvl w:val="-1"/>
          <w:numId w:val="0"/>
        </w:numPr>
        <w:ind w:firstLine="0" w:firstLineChars="0"/>
        <w:rPr>
          <w:rFonts w:hint="eastAsia" w:ascii="仿宋_GB2312" w:eastAsia="仿宋_GB2312"/>
          <w:color w:val="auto"/>
          <w:sz w:val="28"/>
          <w:szCs w:val="28"/>
          <w:highlight w:val="none"/>
          <w:lang w:val="en-US" w:eastAsia="zh-CN"/>
        </w:rPr>
      </w:pPr>
    </w:p>
    <w:p>
      <w:pPr>
        <w:pStyle w:val="3"/>
        <w:ind w:firstLine="3960" w:firstLineChars="900"/>
        <w:jc w:val="both"/>
        <w:rPr>
          <w:rFonts w:hint="eastAsia"/>
          <w:color w:val="auto"/>
          <w:highlight w:val="none"/>
        </w:rPr>
      </w:pPr>
    </w:p>
    <w:p>
      <w:pPr>
        <w:pStyle w:val="3"/>
        <w:ind w:firstLine="3960" w:firstLineChars="900"/>
        <w:jc w:val="both"/>
        <w:rPr>
          <w:rFonts w:hint="eastAsia"/>
          <w:color w:val="auto"/>
          <w:highlight w:val="none"/>
        </w:rPr>
      </w:pPr>
    </w:p>
    <w:p>
      <w:pPr>
        <w:pStyle w:val="3"/>
        <w:ind w:firstLine="3960" w:firstLineChars="900"/>
        <w:jc w:val="both"/>
        <w:rPr>
          <w:rFonts w:hint="eastAsia"/>
          <w:color w:val="auto"/>
          <w:highlight w:val="none"/>
        </w:rPr>
      </w:pPr>
      <w:r>
        <w:rPr>
          <w:color w:val="auto"/>
          <w:highlight w:val="none"/>
        </w:rPr>
        <w:pict>
          <v:shape id="_x0000_s2056" o:spid="_x0000_s2056" o:spt="32" type="#_x0000_t32" style="position:absolute;left:0pt;margin-left:184.7pt;margin-top:53.95pt;height:0pt;width:75.5pt;z-index:251664384;mso-width-relative:page;mso-height-relative:page;" o:connectortype="straight" filled="f" coordsize="21600,21600">
            <v:path arrowok="t"/>
            <v:fill on="f" focussize="0,0"/>
            <v:stroke/>
            <v:imagedata o:title=""/>
            <o:lock v:ext="edit"/>
          </v:shape>
        </w:pict>
      </w:r>
    </w:p>
    <w:p>
      <w:pPr>
        <w:pStyle w:val="3"/>
        <w:rPr>
          <w:rFonts w:hint="eastAsia" w:asciiTheme="majorEastAsia" w:hAnsiTheme="majorEastAsia" w:eastAsiaTheme="majorEastAsia" w:cstheme="majorEastAsia"/>
          <w:color w:val="auto"/>
          <w:highlight w:val="none"/>
        </w:rPr>
      </w:pPr>
      <w:r>
        <w:rPr>
          <w:color w:val="auto"/>
          <w:highlight w:val="none"/>
        </w:rPr>
        <w:pict>
          <v:shape id="_x0000_s2057" o:spid="_x0000_s2057" o:spt="32" type="#_x0000_t32" style="position:absolute;left:0pt;margin-left:185.75pt;margin-top:40.5pt;height:0pt;width:75.5pt;z-index:251665408;mso-width-relative:page;mso-height-relative:page;" o:connectortype="straight" filled="f" coordsize="21600,21600">
            <v:path arrowok="t"/>
            <v:fill on="f" focussize="0,0"/>
            <v:stroke/>
            <v:imagedata o:title=""/>
            <o:lock v:ext="edit"/>
          </v:shape>
        </w:pict>
      </w:r>
      <w:bookmarkStart w:id="61" w:name="_Toc23353"/>
      <w:bookmarkStart w:id="62" w:name="_Toc15570"/>
      <w:bookmarkStart w:id="63" w:name="_Toc18538"/>
      <w:bookmarkStart w:id="64" w:name="_Toc4680"/>
      <w:bookmarkStart w:id="65" w:name="_Toc29835"/>
      <w:bookmarkStart w:id="66" w:name="_Toc1284"/>
      <w:bookmarkStart w:id="67" w:name="_Toc1496"/>
      <w:bookmarkStart w:id="68" w:name="_Toc12135"/>
      <w:bookmarkStart w:id="69" w:name="_Toc537"/>
      <w:bookmarkStart w:id="70" w:name="_Toc23330"/>
      <w:bookmarkStart w:id="71" w:name="_Toc25925"/>
      <w:r>
        <w:rPr>
          <w:rFonts w:hint="eastAsia" w:asciiTheme="majorEastAsia" w:hAnsiTheme="majorEastAsia" w:eastAsiaTheme="majorEastAsia" w:cstheme="major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rFonts w:hint="eastAsia" w:asciiTheme="majorEastAsia" w:hAnsiTheme="majorEastAsia" w:eastAsiaTheme="majorEastAsia" w:cstheme="majorEastAsia"/>
          <w:color w:val="auto"/>
          <w:highlight w:val="none"/>
        </w:rPr>
      </w:pPr>
    </w:p>
    <w:p>
      <w:pPr>
        <w:pStyle w:val="3"/>
        <w:rPr>
          <w:rFonts w:hint="eastAsia" w:asciiTheme="majorEastAsia" w:hAnsiTheme="majorEastAsia" w:eastAsiaTheme="majorEastAsia" w:cstheme="majorEastAsia"/>
          <w:color w:val="auto"/>
          <w:highlight w:val="none"/>
        </w:rPr>
      </w:pPr>
      <w:bookmarkStart w:id="72" w:name="_Toc19088"/>
      <w:bookmarkStart w:id="73" w:name="_Toc22797"/>
      <w:bookmarkStart w:id="74" w:name="_Toc1375"/>
      <w:bookmarkStart w:id="75" w:name="_Toc22501"/>
      <w:bookmarkStart w:id="76" w:name="_Toc13309"/>
      <w:bookmarkStart w:id="77" w:name="_Toc12980"/>
      <w:bookmarkStart w:id="78" w:name="_Toc19686"/>
      <w:bookmarkStart w:id="79" w:name="_Toc12721"/>
      <w:bookmarkStart w:id="80" w:name="_Toc8183"/>
      <w:bookmarkStart w:id="81" w:name="_Toc87616386"/>
      <w:bookmarkStart w:id="82" w:name="_Toc323"/>
      <w:bookmarkStart w:id="83" w:name="_Toc12968"/>
      <w:bookmarkStart w:id="84" w:name="_Toc88209949"/>
      <w:r>
        <w:rPr>
          <w:rFonts w:hint="eastAsia" w:asciiTheme="majorEastAsia" w:hAnsiTheme="majorEastAsia" w:eastAsiaTheme="majorEastAsia" w:cstheme="major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spacing w:line="400" w:lineRule="atLeast"/>
        <w:jc w:val="center"/>
        <w:rPr>
          <w:rFonts w:ascii="宋体" w:hAnsi="宋体"/>
          <w:b/>
          <w:color w:val="auto"/>
          <w:sz w:val="48"/>
          <w:szCs w:val="48"/>
          <w:highlight w:val="none"/>
          <w:u w:val="single"/>
        </w:rPr>
      </w:pPr>
    </w:p>
    <w:p>
      <w:pPr>
        <w:spacing w:line="400" w:lineRule="atLeast"/>
        <w:jc w:val="center"/>
        <w:rPr>
          <w:rFonts w:ascii="宋体" w:hAnsi="宋体"/>
          <w:b/>
          <w:color w:val="auto"/>
          <w:sz w:val="48"/>
          <w:szCs w:val="48"/>
          <w:highlight w:val="none"/>
          <w:u w:val="single"/>
        </w:rPr>
      </w:pPr>
      <w:r>
        <w:rPr>
          <w:rFonts w:hint="eastAsia" w:ascii="宋体" w:hAnsi="宋体"/>
          <w:b/>
          <w:color w:val="auto"/>
          <w:sz w:val="48"/>
          <w:szCs w:val="48"/>
          <w:highlight w:val="none"/>
        </w:rPr>
        <w:t>广州市净水有限公司</w:t>
      </w:r>
    </w:p>
    <w:p>
      <w:pPr>
        <w:spacing w:line="400" w:lineRule="atLeast"/>
        <w:jc w:val="center"/>
        <w:rPr>
          <w:rFonts w:ascii="宋体" w:hAnsi="宋体"/>
          <w:b/>
          <w:color w:val="auto"/>
          <w:sz w:val="48"/>
          <w:szCs w:val="48"/>
          <w:highlight w:val="none"/>
        </w:rPr>
      </w:pPr>
      <w:r>
        <w:rPr>
          <w:rFonts w:hint="eastAsia" w:ascii="宋体" w:hAnsi="宋体"/>
          <w:b/>
          <w:color w:val="auto"/>
          <w:sz w:val="48"/>
          <w:szCs w:val="48"/>
          <w:highlight w:val="none"/>
        </w:rPr>
        <w:t>清淤工程合同</w:t>
      </w:r>
    </w:p>
    <w:p>
      <w:pPr>
        <w:spacing w:line="400" w:lineRule="atLeast"/>
        <w:jc w:val="center"/>
        <w:rPr>
          <w:rFonts w:ascii="宋体" w:hAnsi="宋体"/>
          <w:b/>
          <w:color w:val="auto"/>
          <w:sz w:val="28"/>
          <w:highlight w:val="none"/>
        </w:rPr>
      </w:pPr>
    </w:p>
    <w:p>
      <w:pPr>
        <w:pStyle w:val="22"/>
        <w:rPr>
          <w:color w:val="auto"/>
          <w:highlight w:val="none"/>
        </w:rPr>
      </w:pPr>
    </w:p>
    <w:p>
      <w:pPr>
        <w:spacing w:line="0" w:lineRule="atLeast"/>
        <w:rPr>
          <w:rFonts w:ascii="宋体" w:hAnsi="宋体"/>
          <w:b/>
          <w:color w:val="auto"/>
          <w:sz w:val="30"/>
          <w:highlight w:val="none"/>
        </w:rPr>
      </w:pPr>
    </w:p>
    <w:p>
      <w:pPr>
        <w:spacing w:line="0" w:lineRule="atLeast"/>
        <w:ind w:left="1506" w:hanging="1506" w:hangingChars="500"/>
        <w:rPr>
          <w:rFonts w:ascii="宋体" w:hAnsi="宋体"/>
          <w:b/>
          <w:color w:val="auto"/>
          <w:sz w:val="30"/>
          <w:szCs w:val="30"/>
          <w:highlight w:val="none"/>
        </w:rPr>
      </w:pPr>
    </w:p>
    <w:p>
      <w:pPr>
        <w:spacing w:line="0" w:lineRule="atLeast"/>
        <w:ind w:left="1506" w:hanging="1506" w:hangingChars="500"/>
        <w:rPr>
          <w:rFonts w:ascii="宋体" w:hAnsi="宋体"/>
          <w:b/>
          <w:color w:val="auto"/>
          <w:sz w:val="30"/>
          <w:szCs w:val="30"/>
          <w:highlight w:val="none"/>
        </w:rPr>
      </w:pPr>
      <w:r>
        <w:rPr>
          <w:rFonts w:hint="eastAsia" w:ascii="宋体" w:hAnsi="宋体"/>
          <w:b/>
          <w:color w:val="auto"/>
          <w:sz w:val="30"/>
          <w:szCs w:val="30"/>
          <w:highlight w:val="none"/>
        </w:rPr>
        <w:t>项目名称</w:t>
      </w:r>
      <w:r>
        <w:rPr>
          <w:rFonts w:ascii="宋体" w:hAnsi="宋体"/>
          <w:b/>
          <w:color w:val="auto"/>
          <w:sz w:val="30"/>
          <w:szCs w:val="30"/>
          <w:highlight w:val="none"/>
        </w:rPr>
        <w:t xml:space="preserve">: </w:t>
      </w:r>
      <w:r>
        <w:rPr>
          <w:rFonts w:hint="eastAsia" w:ascii="宋体" w:hAnsi="宋体" w:eastAsiaTheme="minorEastAsia" w:cstheme="minorBidi"/>
          <w:b/>
          <w:bCs w:val="0"/>
          <w:color w:val="auto"/>
          <w:spacing w:val="0"/>
          <w:w w:val="100"/>
          <w:position w:val="0"/>
          <w:sz w:val="30"/>
          <w:szCs w:val="22"/>
          <w:highlight w:val="none"/>
          <w:u w:val="none"/>
          <w:shd w:val="clear"/>
          <w:lang w:val="en-US" w:eastAsia="zh-CN" w:bidi="ar-SA"/>
        </w:rPr>
        <w:t>健康城分公司2024年提升泵房、事故池、排水泵井清淤项目</w:t>
      </w:r>
    </w:p>
    <w:p>
      <w:pPr>
        <w:spacing w:line="400" w:lineRule="atLeast"/>
        <w:ind w:left="0" w:firstLine="0" w:firstLineChars="0"/>
        <w:rPr>
          <w:rFonts w:hint="eastAsia" w:ascii="宋体" w:hAnsi="宋体" w:eastAsiaTheme="minorEastAsia"/>
          <w:b/>
          <w:color w:val="auto"/>
          <w:sz w:val="30"/>
          <w:szCs w:val="22"/>
          <w:highlight w:val="none"/>
          <w:lang w:val="en-US" w:eastAsia="zh-CN"/>
        </w:rPr>
      </w:pPr>
      <w:r>
        <w:rPr>
          <w:rFonts w:hint="eastAsia" w:ascii="宋体" w:hAnsi="宋体"/>
          <w:b/>
          <w:color w:val="auto"/>
          <w:sz w:val="30"/>
          <w:szCs w:val="30"/>
          <w:highlight w:val="none"/>
          <w:lang w:val="en-US" w:eastAsia="zh-CN"/>
        </w:rPr>
        <w:t>项目编号：12112024000002</w:t>
      </w:r>
    </w:p>
    <w:p>
      <w:pPr>
        <w:spacing w:line="400" w:lineRule="atLeast"/>
        <w:ind w:left="0" w:firstLine="0" w:firstLineChars="0"/>
        <w:rPr>
          <w:rFonts w:hint="eastAsia" w:ascii="宋体" w:hAnsi="宋体"/>
          <w:b/>
          <w:color w:val="auto"/>
          <w:sz w:val="30"/>
          <w:szCs w:val="22"/>
          <w:highlight w:val="none"/>
        </w:rPr>
      </w:pPr>
    </w:p>
    <w:p>
      <w:pPr>
        <w:spacing w:line="0" w:lineRule="atLeast"/>
        <w:ind w:left="1506" w:hanging="1506" w:hangingChars="500"/>
        <w:rPr>
          <w:rFonts w:ascii="宋体" w:hAnsi="宋体"/>
          <w:b/>
          <w:color w:val="auto"/>
          <w:sz w:val="30"/>
          <w:szCs w:val="30"/>
          <w:highlight w:val="none"/>
        </w:rPr>
      </w:pPr>
    </w:p>
    <w:p>
      <w:pPr>
        <w:spacing w:line="0" w:lineRule="atLeast"/>
        <w:ind w:left="1506" w:hanging="1506" w:hangingChars="500"/>
        <w:rPr>
          <w:rFonts w:ascii="宋体" w:hAnsi="宋体"/>
          <w:b/>
          <w:color w:val="auto"/>
          <w:sz w:val="30"/>
          <w:szCs w:val="30"/>
          <w:highlight w:val="none"/>
        </w:rPr>
      </w:pPr>
    </w:p>
    <w:p>
      <w:pPr>
        <w:spacing w:line="400" w:lineRule="atLeast"/>
        <w:rPr>
          <w:rFonts w:ascii="宋体" w:hAnsi="宋体"/>
          <w:b/>
          <w:color w:val="auto"/>
          <w:sz w:val="24"/>
          <w:highlight w:val="none"/>
        </w:rPr>
      </w:pPr>
      <w:r>
        <w:rPr>
          <w:rFonts w:hint="eastAsia" w:ascii="宋体" w:hAnsi="宋体"/>
          <w:b/>
          <w:color w:val="auto"/>
          <w:sz w:val="30"/>
          <w:highlight w:val="none"/>
        </w:rPr>
        <w:t>合同编号</w:t>
      </w:r>
      <w:r>
        <w:rPr>
          <w:rFonts w:hint="eastAsia" w:ascii="宋体" w:hAnsi="宋体"/>
          <w:b/>
          <w:color w:val="auto"/>
          <w:sz w:val="36"/>
          <w:highlight w:val="none"/>
        </w:rPr>
        <w:t>：</w:t>
      </w:r>
      <w:r>
        <w:rPr>
          <w:rFonts w:hint="eastAsia"/>
          <w:b/>
          <w:color w:val="auto"/>
          <w:sz w:val="30"/>
          <w:szCs w:val="30"/>
          <w:highlight w:val="none"/>
        </w:rPr>
        <w:t>穗净水合</w:t>
      </w:r>
      <w:r>
        <w:rPr>
          <w:b/>
          <w:color w:val="auto"/>
          <w:sz w:val="30"/>
          <w:szCs w:val="30"/>
          <w:highlight w:val="none"/>
        </w:rPr>
        <w:t xml:space="preserve">[     ]    </w:t>
      </w:r>
      <w:r>
        <w:rPr>
          <w:rFonts w:hint="eastAsia"/>
          <w:b/>
          <w:color w:val="auto"/>
          <w:sz w:val="30"/>
          <w:szCs w:val="30"/>
          <w:highlight w:val="none"/>
        </w:rPr>
        <w:t>号</w:t>
      </w:r>
    </w:p>
    <w:p>
      <w:pPr>
        <w:spacing w:line="400" w:lineRule="atLeast"/>
        <w:ind w:firstLine="602" w:firstLineChars="200"/>
        <w:rPr>
          <w:rFonts w:ascii="宋体" w:hAnsi="宋体"/>
          <w:b/>
          <w:color w:val="auto"/>
          <w:sz w:val="30"/>
          <w:highlight w:val="none"/>
        </w:rPr>
      </w:pPr>
    </w:p>
    <w:p>
      <w:pPr>
        <w:spacing w:line="400" w:lineRule="atLeast"/>
        <w:rPr>
          <w:rFonts w:ascii="宋体" w:hAnsi="宋体"/>
          <w:b/>
          <w:color w:val="auto"/>
          <w:sz w:val="30"/>
          <w:highlight w:val="none"/>
        </w:rPr>
      </w:pPr>
    </w:p>
    <w:p>
      <w:pPr>
        <w:spacing w:line="400" w:lineRule="atLeast"/>
        <w:rPr>
          <w:rFonts w:ascii="宋体" w:hAnsi="宋体"/>
          <w:b/>
          <w:color w:val="auto"/>
          <w:sz w:val="30"/>
          <w:highlight w:val="none"/>
        </w:rPr>
      </w:pPr>
      <w:r>
        <w:rPr>
          <w:rFonts w:hint="eastAsia" w:ascii="宋体" w:hAnsi="宋体"/>
          <w:b/>
          <w:color w:val="auto"/>
          <w:sz w:val="30"/>
          <w:highlight w:val="none"/>
        </w:rPr>
        <w:t>甲方：广州市净水有限公司</w:t>
      </w:r>
    </w:p>
    <w:p>
      <w:pPr>
        <w:spacing w:line="400" w:lineRule="atLeast"/>
        <w:rPr>
          <w:rFonts w:ascii="宋体" w:hAnsi="宋体"/>
          <w:b/>
          <w:color w:val="auto"/>
          <w:sz w:val="30"/>
          <w:highlight w:val="none"/>
        </w:rPr>
      </w:pPr>
      <w:r>
        <w:rPr>
          <w:rFonts w:hint="eastAsia" w:ascii="宋体" w:hAnsi="宋体"/>
          <w:b/>
          <w:color w:val="auto"/>
          <w:sz w:val="30"/>
          <w:highlight w:val="none"/>
        </w:rPr>
        <w:t>乙方</w:t>
      </w:r>
      <w:r>
        <w:rPr>
          <w:rFonts w:hint="eastAsia" w:ascii="宋体" w:hAnsi="宋体"/>
          <w:color w:val="auto"/>
          <w:sz w:val="30"/>
          <w:highlight w:val="none"/>
        </w:rPr>
        <w:t>：</w:t>
      </w:r>
    </w:p>
    <w:p>
      <w:pPr>
        <w:spacing w:line="400" w:lineRule="atLeast"/>
        <w:jc w:val="left"/>
        <w:rPr>
          <w:rFonts w:ascii="宋体" w:hAnsi="宋体"/>
          <w:b/>
          <w:color w:val="auto"/>
          <w:sz w:val="30"/>
          <w:highlight w:val="none"/>
        </w:rPr>
      </w:pPr>
    </w:p>
    <w:p>
      <w:pPr>
        <w:spacing w:line="400" w:lineRule="atLeast"/>
        <w:jc w:val="left"/>
        <w:rPr>
          <w:rFonts w:ascii="宋体" w:hAnsi="宋体"/>
          <w:b/>
          <w:color w:val="auto"/>
          <w:sz w:val="30"/>
          <w:highlight w:val="none"/>
        </w:rPr>
      </w:pPr>
      <w:r>
        <w:rPr>
          <w:rFonts w:hint="eastAsia" w:ascii="宋体" w:hAnsi="宋体"/>
          <w:b/>
          <w:color w:val="auto"/>
          <w:sz w:val="30"/>
          <w:highlight w:val="none"/>
        </w:rPr>
        <w:t>签订日期：</w:t>
      </w:r>
      <w:r>
        <w:rPr>
          <w:rFonts w:hint="eastAsia" w:ascii="宋体" w:hAnsi="宋体"/>
          <w:b/>
          <w:color w:val="auto"/>
          <w:sz w:val="30"/>
          <w:highlight w:val="none"/>
          <w:lang w:val="en-US" w:eastAsia="zh-CN"/>
        </w:rPr>
        <w:t xml:space="preserve">    </w:t>
      </w:r>
      <w:r>
        <w:rPr>
          <w:rFonts w:hint="eastAsia" w:ascii="宋体" w:hAnsi="宋体"/>
          <w:b/>
          <w:color w:val="auto"/>
          <w:sz w:val="30"/>
          <w:highlight w:val="none"/>
        </w:rPr>
        <w:t>年</w:t>
      </w:r>
      <w:r>
        <w:rPr>
          <w:rFonts w:hint="eastAsia" w:ascii="宋体" w:hAnsi="宋体"/>
          <w:b/>
          <w:color w:val="auto"/>
          <w:sz w:val="30"/>
          <w:highlight w:val="none"/>
          <w:lang w:val="en-US" w:eastAsia="zh-CN"/>
        </w:rPr>
        <w:t xml:space="preserve">   </w:t>
      </w:r>
      <w:r>
        <w:rPr>
          <w:rFonts w:hint="eastAsia" w:ascii="宋体" w:hAnsi="宋体"/>
          <w:b/>
          <w:color w:val="auto"/>
          <w:sz w:val="30"/>
          <w:highlight w:val="none"/>
        </w:rPr>
        <w:t>月</w:t>
      </w:r>
      <w:r>
        <w:rPr>
          <w:rFonts w:hint="eastAsia" w:ascii="宋体" w:hAnsi="宋体"/>
          <w:b/>
          <w:color w:val="auto"/>
          <w:sz w:val="30"/>
          <w:highlight w:val="none"/>
          <w:lang w:val="en-US" w:eastAsia="zh-CN"/>
        </w:rPr>
        <w:t xml:space="preserve">   </w:t>
      </w:r>
      <w:r>
        <w:rPr>
          <w:rFonts w:hint="eastAsia" w:ascii="宋体" w:hAnsi="宋体"/>
          <w:b/>
          <w:color w:val="auto"/>
          <w:sz w:val="30"/>
          <w:highlight w:val="none"/>
        </w:rPr>
        <w:t>日</w:t>
      </w:r>
    </w:p>
    <w:p>
      <w:pPr>
        <w:spacing w:line="400" w:lineRule="atLeast"/>
        <w:jc w:val="left"/>
        <w:rPr>
          <w:rFonts w:asciiTheme="minorEastAsia" w:hAnsiTheme="minorEastAsia" w:eastAsiaTheme="minorEastAsia"/>
          <w:color w:val="auto"/>
          <w:sz w:val="24"/>
          <w:highlight w:val="none"/>
        </w:rPr>
      </w:pPr>
      <w:r>
        <w:rPr>
          <w:rFonts w:hint="eastAsia" w:ascii="宋体" w:hAnsi="宋体"/>
          <w:b/>
          <w:color w:val="auto"/>
          <w:sz w:val="30"/>
          <w:highlight w:val="none"/>
        </w:rPr>
        <w:t>签约地点：广州市</w:t>
      </w:r>
    </w:p>
    <w:p>
      <w:pPr>
        <w:spacing w:line="360" w:lineRule="auto"/>
        <w:ind w:firstLine="480" w:firstLineChars="200"/>
        <w:rPr>
          <w:rFonts w:hint="eastAsia" w:asciiTheme="minorEastAsia" w:hAnsiTheme="minorEastAsia" w:eastAsiaTheme="minorEastAsia"/>
          <w:color w:val="auto"/>
          <w:sz w:val="24"/>
          <w:highlight w:val="none"/>
        </w:rPr>
      </w:pPr>
    </w:p>
    <w:p>
      <w:pPr>
        <w:spacing w:line="360" w:lineRule="auto"/>
        <w:ind w:firstLine="480" w:firstLineChars="200"/>
        <w:rPr>
          <w:rFonts w:hint="eastAsia" w:asciiTheme="minorEastAsia" w:hAnsiTheme="minorEastAsia" w:eastAsiaTheme="minorEastAsia"/>
          <w:color w:val="auto"/>
          <w:sz w:val="24"/>
          <w:highlight w:val="none"/>
        </w:rPr>
      </w:pP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w:t>
      </w:r>
      <w:r>
        <w:rPr>
          <w:rFonts w:hint="eastAsia" w:asciiTheme="minorEastAsia" w:hAnsiTheme="minorEastAsia" w:eastAsiaTheme="minorEastAsia"/>
          <w:color w:val="auto"/>
          <w:sz w:val="24"/>
          <w:highlight w:val="none"/>
          <w:lang w:val="en-US" w:eastAsia="zh-CN"/>
        </w:rPr>
        <w:t>民法典</w:t>
      </w:r>
      <w:r>
        <w:rPr>
          <w:rFonts w:hint="eastAsia" w:asciiTheme="minorEastAsia" w:hAnsiTheme="minorEastAsia" w:eastAsiaTheme="minorEastAsia"/>
          <w:color w:val="auto"/>
          <w:sz w:val="24"/>
          <w:highlight w:val="none"/>
        </w:rPr>
        <w:t>》及其他有关法律、行政法规，</w:t>
      </w:r>
      <w:r>
        <w:rPr>
          <w:rFonts w:hint="eastAsia" w:asciiTheme="minorEastAsia" w:hAnsiTheme="minorEastAsia" w:eastAsiaTheme="minorEastAsia" w:cstheme="minorEastAsia"/>
          <w:bCs/>
          <w:color w:val="auto"/>
          <w:sz w:val="24"/>
          <w:highlight w:val="none"/>
          <w:u w:val="single"/>
        </w:rPr>
        <w:t>广州市净水有限公司</w:t>
      </w:r>
      <w:r>
        <w:rPr>
          <w:rFonts w:hint="eastAsia" w:asciiTheme="minorEastAsia" w:hAnsiTheme="minorEastAsia" w:eastAsiaTheme="minorEastAsia" w:cstheme="minorEastAsia"/>
          <w:color w:val="auto"/>
          <w:sz w:val="24"/>
          <w:highlight w:val="none"/>
        </w:rPr>
        <w:t>（以下简称“甲方”）于</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日在甲方</w:t>
      </w:r>
      <w:r>
        <w:rPr>
          <w:rFonts w:hint="eastAsia" w:asciiTheme="minorEastAsia" w:hAnsiTheme="minorEastAsia" w:cstheme="minorEastAsia"/>
          <w:color w:val="auto"/>
          <w:sz w:val="24"/>
          <w:highlight w:val="none"/>
          <w:lang w:val="en-US" w:eastAsia="zh-CN"/>
        </w:rPr>
        <w:t>门户网站</w:t>
      </w:r>
      <w:r>
        <w:rPr>
          <w:rFonts w:hint="eastAsia" w:asciiTheme="minorEastAsia" w:hAnsiTheme="minorEastAsia" w:eastAsiaTheme="minorEastAsia" w:cstheme="minorEastAsia"/>
          <w:color w:val="auto"/>
          <w:sz w:val="24"/>
          <w:highlight w:val="none"/>
        </w:rPr>
        <w:t>通过</w:t>
      </w:r>
      <w:r>
        <w:rPr>
          <w:rFonts w:hint="eastAsia" w:asciiTheme="minorEastAsia" w:hAnsiTheme="minorEastAsia" w:cstheme="minorEastAsia"/>
          <w:color w:val="auto"/>
          <w:sz w:val="24"/>
          <w:highlight w:val="none"/>
          <w:lang w:val="en-US" w:eastAsia="zh-CN"/>
        </w:rPr>
        <w:t>公开询价</w:t>
      </w:r>
      <w:r>
        <w:rPr>
          <w:rFonts w:hint="eastAsia" w:asciiTheme="minorEastAsia" w:hAnsiTheme="minorEastAsia" w:eastAsiaTheme="minorEastAsia" w:cstheme="minorEastAsia"/>
          <w:color w:val="auto"/>
          <w:sz w:val="24"/>
          <w:highlight w:val="none"/>
        </w:rPr>
        <w:t>方式选定</w:t>
      </w:r>
      <w:r>
        <w:rPr>
          <w:rFonts w:hint="eastAsia" w:asciiTheme="minorEastAsia" w:hAnsiTheme="minorEastAsia" w:eastAsiaTheme="minorEastAsia" w:cstheme="minorEastAsia"/>
          <w:color w:val="auto"/>
          <w:sz w:val="24"/>
          <w:highlight w:val="none"/>
          <w:u w:val="single"/>
        </w:rPr>
        <w:t>（以下简称“乙方”）</w:t>
      </w:r>
      <w:r>
        <w:rPr>
          <w:rFonts w:hint="eastAsia" w:asciiTheme="minorEastAsia" w:hAnsiTheme="minorEastAsia" w:eastAsiaTheme="minorEastAsia" w:cstheme="minorEastAsia"/>
          <w:color w:val="auto"/>
          <w:sz w:val="24"/>
          <w:highlight w:val="none"/>
        </w:rPr>
        <w:t>为工程施工方。现</w:t>
      </w:r>
      <w:r>
        <w:rPr>
          <w:rFonts w:hint="eastAsia" w:asciiTheme="minorEastAsia" w:hAnsiTheme="minorEastAsia" w:eastAsiaTheme="minorEastAsia"/>
          <w:color w:val="auto"/>
          <w:sz w:val="24"/>
          <w:highlight w:val="none"/>
        </w:rPr>
        <w:t>遵循平等、自愿、公平和诚实信用的原则，双方协商一致，订立本合同。</w:t>
      </w:r>
    </w:p>
    <w:p>
      <w:pPr>
        <w:spacing w:line="360" w:lineRule="auto"/>
        <w:ind w:firstLine="482" w:firstLineChars="200"/>
        <w:rPr>
          <w:rFonts w:asciiTheme="minorEastAsia" w:hAnsiTheme="minorEastAsia" w:eastAsiaTheme="minorEastAsia" w:cstheme="minorEastAsia"/>
          <w:color w:val="auto"/>
          <w:sz w:val="24"/>
          <w:highlight w:val="none"/>
        </w:rPr>
      </w:pPr>
      <w:r>
        <w:rPr>
          <w:rFonts w:hint="eastAsia" w:ascii="宋体" w:hAnsi="宋体" w:cs="宋体"/>
          <w:b/>
          <w:bCs/>
          <w:color w:val="auto"/>
          <w:sz w:val="24"/>
          <w:highlight w:val="none"/>
        </w:rPr>
        <w:t>第一条组成合同的文件及优先顺序</w:t>
      </w:r>
    </w:p>
    <w:p>
      <w:pPr>
        <w:tabs>
          <w:tab w:val="left" w:pos="720"/>
        </w:tabs>
        <w:spacing w:line="360" w:lineRule="auto"/>
        <w:ind w:firstLine="480" w:firstLineChars="20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下列文件</w:t>
      </w:r>
      <w:r>
        <w:rPr>
          <w:rFonts w:hint="eastAsia" w:asciiTheme="minorEastAsia" w:hAnsiTheme="minorEastAsia" w:eastAsiaTheme="minorEastAsia"/>
          <w:color w:val="auto"/>
          <w:sz w:val="24"/>
          <w:highlight w:val="none"/>
        </w:rPr>
        <w:t>（如有）</w:t>
      </w:r>
      <w:r>
        <w:rPr>
          <w:rFonts w:hint="eastAsia" w:cs="宋体" w:asciiTheme="minorEastAsia" w:hAnsiTheme="minorEastAsia" w:eastAsiaTheme="minorEastAsia"/>
          <w:bCs/>
          <w:color w:val="auto"/>
          <w:sz w:val="24"/>
          <w:highlight w:val="none"/>
        </w:rPr>
        <w:t>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540"/>
        <w:rPr>
          <w:rFonts w:asciiTheme="minorEastAsia" w:hAnsiTheme="minorEastAsia" w:eastAsiaTheme="minorEastAsia" w:cstheme="minorEastAsia"/>
          <w:color w:val="auto"/>
          <w:sz w:val="24"/>
          <w:highlight w:val="none"/>
        </w:rPr>
      </w:pPr>
      <w:r>
        <w:rPr>
          <w:rFonts w:hint="eastAsia" w:ascii="宋体" w:hAnsi="宋体" w:cs="宋体"/>
          <w:bCs/>
          <w:color w:val="auto"/>
          <w:sz w:val="24"/>
          <w:highlight w:val="none"/>
        </w:rPr>
        <w:t>⑼本合同其他附件；</w:t>
      </w:r>
    </w:p>
    <w:p>
      <w:pPr>
        <w:numPr>
          <w:ilvl w:val="255"/>
          <w:numId w:val="0"/>
        </w:num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highlight w:val="none"/>
        </w:rPr>
        <w:t>第二条</w:t>
      </w:r>
      <w:r>
        <w:rPr>
          <w:rFonts w:hint="eastAsia" w:asciiTheme="minorEastAsia" w:hAnsiTheme="minorEastAsia" w:eastAsiaTheme="minorEastAsia" w:cstheme="minorEastAsia"/>
          <w:b/>
          <w:color w:val="auto"/>
          <w:sz w:val="24"/>
          <w:highlight w:val="none"/>
        </w:rPr>
        <w:t>工程概况</w:t>
      </w:r>
    </w:p>
    <w:p>
      <w:pPr>
        <w:spacing w:line="360" w:lineRule="auto"/>
        <w:ind w:firstLine="480" w:firstLineChars="200"/>
        <w:rPr>
          <w:rFonts w:hint="eastAsia" w:ascii="宋体" w:hAnsi="宋体" w:cs="宋体"/>
          <w:color w:val="auto"/>
          <w:sz w:val="24"/>
          <w:highlight w:val="none"/>
          <w:u w:val="single"/>
        </w:rPr>
      </w:pPr>
      <w:r>
        <w:rPr>
          <w:rFonts w:hint="eastAsia" w:asciiTheme="minorEastAsia" w:hAnsiTheme="minorEastAsia" w:eastAsiaTheme="minorEastAsia" w:cstheme="minorEastAsia"/>
          <w:color w:val="auto"/>
          <w:sz w:val="24"/>
          <w:highlight w:val="none"/>
        </w:rPr>
        <w:t>工程地点：</w:t>
      </w:r>
      <w:r>
        <w:rPr>
          <w:rFonts w:hint="eastAsia" w:ascii="宋体" w:hAnsi="宋体" w:cs="宋体"/>
          <w:color w:val="auto"/>
          <w:sz w:val="24"/>
          <w:highlight w:val="none"/>
          <w:u w:val="single"/>
        </w:rPr>
        <w:t>广州市白云区钟落潭镇</w:t>
      </w:r>
      <w:r>
        <w:rPr>
          <w:rFonts w:hint="eastAsia" w:ascii="宋体" w:hAnsi="宋体" w:cs="宋体"/>
          <w:color w:val="auto"/>
          <w:sz w:val="24"/>
          <w:highlight w:val="none"/>
          <w:u w:val="single"/>
          <w:lang w:val="en-US" w:eastAsia="zh-CN"/>
        </w:rPr>
        <w:t>广陈路568号</w:t>
      </w:r>
      <w:r>
        <w:rPr>
          <w:rFonts w:hint="eastAsia" w:ascii="宋体" w:hAnsi="宋体" w:cs="宋体"/>
          <w:color w:val="auto"/>
          <w:sz w:val="24"/>
          <w:highlight w:val="none"/>
          <w:u w:val="single"/>
        </w:rPr>
        <w:t xml:space="preserve"> </w:t>
      </w:r>
    </w:p>
    <w:p>
      <w:pPr>
        <w:numPr>
          <w:ilvl w:val="0"/>
          <w:numId w:val="0"/>
        </w:numPr>
        <w:spacing w:line="360" w:lineRule="auto"/>
        <w:ind w:left="-53" w:leftChars="-25" w:firstLine="480" w:firstLineChars="200"/>
        <w:rPr>
          <w:rFonts w:hint="eastAsia" w:ascii="宋体" w:hAnsi="宋体" w:cs="宋体" w:eastAsiaTheme="minorEastAsia"/>
          <w:b w:val="0"/>
          <w:bCs w:val="0"/>
          <w:color w:val="auto"/>
          <w:sz w:val="24"/>
          <w:szCs w:val="22"/>
          <w:highlight w:val="none"/>
          <w:u w:val="single"/>
          <w:lang w:val="en-US" w:eastAsia="zh-CN"/>
        </w:rPr>
      </w:pPr>
      <w:r>
        <w:rPr>
          <w:rFonts w:hint="eastAsia" w:asciiTheme="minorEastAsia" w:hAnsiTheme="minorEastAsia" w:eastAsiaTheme="minorEastAsia" w:cstheme="minorEastAsia"/>
          <w:color w:val="auto"/>
          <w:sz w:val="24"/>
          <w:highlight w:val="none"/>
        </w:rPr>
        <w:t>工程内容：</w:t>
      </w:r>
      <w:r>
        <w:rPr>
          <w:rFonts w:hint="eastAsia" w:ascii="宋体" w:hAnsi="宋体" w:cs="宋体" w:eastAsiaTheme="minorEastAsia"/>
          <w:b w:val="0"/>
          <w:bCs w:val="0"/>
          <w:color w:val="auto"/>
          <w:sz w:val="24"/>
          <w:szCs w:val="22"/>
          <w:highlight w:val="none"/>
          <w:u w:val="single"/>
          <w:lang w:val="en-US" w:eastAsia="zh-CN"/>
        </w:rPr>
        <w:t>本项目需要采用机器人清淤技术对</w:t>
      </w:r>
      <w:r>
        <w:rPr>
          <w:rFonts w:hint="eastAsia" w:ascii="宋体" w:hAnsi="宋体" w:cs="宋体" w:eastAsiaTheme="minorEastAsia"/>
          <w:b w:val="0"/>
          <w:bCs w:val="0"/>
          <w:color w:val="auto"/>
          <w:spacing w:val="0"/>
          <w:w w:val="100"/>
          <w:position w:val="0"/>
          <w:sz w:val="24"/>
          <w:szCs w:val="22"/>
          <w:highlight w:val="none"/>
          <w:u w:val="single"/>
          <w:shd w:val="clear"/>
          <w:lang w:val="en-US" w:eastAsia="zh-CN" w:bidi="ar-SA"/>
        </w:rPr>
        <w:t>健康城分公司2024年提升泵房、事故池、排水泵井</w:t>
      </w:r>
      <w:r>
        <w:rPr>
          <w:rFonts w:hint="eastAsia" w:ascii="宋体" w:hAnsi="宋体" w:cs="宋体" w:eastAsiaTheme="minorEastAsia"/>
          <w:b w:val="0"/>
          <w:bCs w:val="0"/>
          <w:color w:val="auto"/>
          <w:sz w:val="24"/>
          <w:szCs w:val="22"/>
          <w:highlight w:val="none"/>
          <w:u w:val="single"/>
          <w:lang w:val="en-US" w:eastAsia="zh-CN"/>
        </w:rPr>
        <w:t>进行清淤，清淤期间必须达到不停产要求，预计清理淤泥约</w:t>
      </w:r>
      <w:r>
        <w:rPr>
          <w:rFonts w:hint="eastAsia" w:ascii="宋体" w:hAnsi="宋体" w:cs="宋体"/>
          <w:b w:val="0"/>
          <w:bCs w:val="0"/>
          <w:color w:val="auto"/>
          <w:sz w:val="24"/>
          <w:szCs w:val="22"/>
          <w:highlight w:val="none"/>
          <w:u w:val="single"/>
          <w:lang w:val="en-US" w:eastAsia="zh-CN"/>
        </w:rPr>
        <w:t>550</w:t>
      </w:r>
      <w:r>
        <w:rPr>
          <w:rFonts w:hint="eastAsia" w:ascii="宋体" w:hAnsi="宋体" w:cs="宋体" w:eastAsiaTheme="minorEastAsia"/>
          <w:b w:val="0"/>
          <w:bCs w:val="0"/>
          <w:color w:val="auto"/>
          <w:sz w:val="24"/>
          <w:szCs w:val="22"/>
          <w:highlight w:val="none"/>
          <w:u w:val="single"/>
          <w:lang w:val="en-US" w:eastAsia="zh-CN"/>
        </w:rPr>
        <w:t>m³。</w:t>
      </w:r>
    </w:p>
    <w:p>
      <w:pPr>
        <w:spacing w:line="360" w:lineRule="auto"/>
        <w:ind w:firstLine="480" w:firstLineChars="200"/>
        <w:rPr>
          <w:rFonts w:hint="default" w:asciiTheme="minorEastAsia" w:hAnsiTheme="minorEastAsia" w:eastAsiaTheme="minorEastAsia" w:cstheme="minorEastAsia"/>
          <w:color w:val="auto"/>
          <w:sz w:val="24"/>
          <w:highlight w:val="none"/>
          <w:lang w:val="en-US" w:eastAsia="zh-CN"/>
        </w:rPr>
      </w:pP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本合同的承包范围应包括且不限于：提供所有需要的机械及其他设施、人工、清理处置工程产生的垃圾及淤泥、完成合同约定的工作内容。</w:t>
      </w:r>
    </w:p>
    <w:p>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第三条</w:t>
      </w:r>
      <w:r>
        <w:rPr>
          <w:rFonts w:hint="eastAsia" w:asciiTheme="minorEastAsia" w:hAnsiTheme="minorEastAsia" w:eastAsiaTheme="minorEastAsia" w:cstheme="minorEastAsia"/>
          <w:b/>
          <w:color w:val="auto"/>
          <w:sz w:val="24"/>
          <w:highlight w:val="none"/>
        </w:rPr>
        <w:t>工程承包和结算方式</w:t>
      </w:r>
    </w:p>
    <w:p>
      <w:pPr>
        <w:pStyle w:val="50"/>
        <w:snapToGrid w:val="0"/>
        <w:spacing w:before="0" w:after="0" w:line="360" w:lineRule="auto"/>
        <w:ind w:left="0" w:right="0" w:firstLine="480"/>
        <w:rPr>
          <w:rFonts w:asciiTheme="minorEastAsia" w:hAnsiTheme="minorEastAsia" w:eastAsiaTheme="minorEastAsia"/>
          <w:color w:val="auto"/>
          <w:kern w:val="2"/>
          <w:szCs w:val="24"/>
          <w:highlight w:val="none"/>
          <w:shd w:val="clear" w:color="auto" w:fill="FFFFFF"/>
        </w:rPr>
      </w:pPr>
      <w:r>
        <w:rPr>
          <w:rFonts w:asciiTheme="minorEastAsia" w:hAnsiTheme="minorEastAsia" w:eastAsiaTheme="minorEastAsia" w:cstheme="minorEastAsia"/>
          <w:color w:val="auto"/>
          <w:szCs w:val="24"/>
          <w:highlight w:val="none"/>
        </w:rPr>
        <w:t xml:space="preserve">3.1 </w:t>
      </w:r>
      <w:r>
        <w:rPr>
          <w:rFonts w:hint="eastAsia" w:asciiTheme="minorEastAsia" w:hAnsiTheme="minorEastAsia" w:eastAsiaTheme="minorEastAsia" w:cstheme="minorEastAsia"/>
          <w:color w:val="auto"/>
          <w:szCs w:val="24"/>
          <w:highlight w:val="none"/>
        </w:rPr>
        <w:t>本合同综合包干单价为</w:t>
      </w:r>
      <w:r>
        <w:rPr>
          <w:rFonts w:hint="eastAsia" w:asciiTheme="minorEastAsia" w:hAnsiTheme="minorEastAsia" w:eastAsiaTheme="minorEastAsia" w:cstheme="minorEastAsia"/>
          <w:color w:val="auto"/>
          <w:szCs w:val="24"/>
          <w:highlight w:val="none"/>
          <w:u w:val="single"/>
          <w:lang w:val="en-US" w:eastAsia="zh-CN"/>
        </w:rPr>
        <w:t xml:space="preserve">  …  </w:t>
      </w:r>
      <w:r>
        <w:rPr>
          <w:rFonts w:hint="eastAsia" w:asciiTheme="minorEastAsia" w:hAnsiTheme="minorEastAsia" w:eastAsiaTheme="minorEastAsia" w:cstheme="minorEastAsia"/>
          <w:b/>
          <w:color w:val="auto"/>
          <w:szCs w:val="24"/>
          <w:highlight w:val="none"/>
        </w:rPr>
        <w:t>元</w:t>
      </w:r>
      <w:r>
        <w:rPr>
          <w:rFonts w:asciiTheme="minorEastAsia" w:hAnsiTheme="minorEastAsia" w:eastAsiaTheme="minorEastAsia" w:cstheme="minorEastAsia"/>
          <w:b/>
          <w:color w:val="auto"/>
          <w:szCs w:val="24"/>
          <w:highlight w:val="none"/>
        </w:rPr>
        <w:t>/m</w:t>
      </w:r>
      <w:r>
        <w:rPr>
          <w:rFonts w:asciiTheme="minorEastAsia" w:hAnsiTheme="minorEastAsia" w:eastAsiaTheme="minorEastAsia" w:cstheme="minorEastAsia"/>
          <w:b/>
          <w:color w:val="auto"/>
          <w:szCs w:val="24"/>
          <w:highlight w:val="none"/>
          <w:vertAlign w:val="superscript"/>
        </w:rPr>
        <w:t>3</w:t>
      </w:r>
      <w:r>
        <w:rPr>
          <w:rFonts w:hint="eastAsia" w:asciiTheme="minorEastAsia" w:hAnsiTheme="minorEastAsia" w:eastAsiaTheme="minorEastAsia" w:cstheme="minorEastAsia"/>
          <w:b/>
          <w:color w:val="auto"/>
          <w:szCs w:val="24"/>
          <w:highlight w:val="none"/>
        </w:rPr>
        <w:t>，</w:t>
      </w:r>
      <w:r>
        <w:rPr>
          <w:rFonts w:hint="eastAsia" w:asciiTheme="minorEastAsia" w:hAnsiTheme="minorEastAsia" w:eastAsiaTheme="minorEastAsia" w:cstheme="minorEastAsia"/>
          <w:color w:val="auto"/>
          <w:szCs w:val="24"/>
          <w:highlight w:val="none"/>
        </w:rPr>
        <w:t>包工、包质量、包工期、包安全、包文明施工、包验收，项目措施费</w:t>
      </w:r>
      <w:r>
        <w:rPr>
          <w:rFonts w:hint="eastAsia" w:asciiTheme="minorEastAsia" w:hAnsiTheme="minorEastAsia" w:cstheme="minorEastAsia"/>
          <w:color w:val="auto"/>
          <w:szCs w:val="24"/>
          <w:highlight w:val="none"/>
          <w:lang w:val="en-US" w:eastAsia="zh-CN"/>
        </w:rPr>
        <w:t>按实结算</w:t>
      </w:r>
      <w:r>
        <w:rPr>
          <w:rFonts w:hint="eastAsia" w:asciiTheme="minorEastAsia" w:hAnsiTheme="minorEastAsia" w:eastAsiaTheme="minorEastAsia" w:cstheme="minorEastAsia"/>
          <w:color w:val="auto"/>
          <w:szCs w:val="24"/>
          <w:highlight w:val="none"/>
        </w:rPr>
        <w:t>。因清运淤泥垃圾所需办理的相关手续及费用由乙方负责。</w:t>
      </w:r>
      <w:r>
        <w:rPr>
          <w:rFonts w:hint="eastAsia" w:ascii="宋体" w:hAnsi="宋体" w:cs="宋体"/>
          <w:color w:val="auto"/>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3.2</w:t>
      </w:r>
      <w:r>
        <w:rPr>
          <w:rFonts w:hint="eastAsia" w:asciiTheme="minorEastAsia" w:hAnsiTheme="minorEastAsia" w:eastAsiaTheme="minorEastAsia" w:cstheme="minorEastAsia"/>
          <w:color w:val="auto"/>
          <w:sz w:val="24"/>
          <w:highlight w:val="none"/>
        </w:rPr>
        <w:t>本合同根据清淤工程量按实结算。合同结算价以甲方或甲方委托的第三方审核为准。若结算审核价超合同暂定总价，双方另行签订补充协议。</w:t>
      </w:r>
    </w:p>
    <w:p>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highlight w:val="none"/>
        </w:rPr>
        <w:t>第四条</w:t>
      </w:r>
      <w:r>
        <w:rPr>
          <w:rFonts w:hint="eastAsia" w:asciiTheme="minorEastAsia" w:hAnsiTheme="minorEastAsia" w:eastAsiaTheme="minorEastAsia" w:cstheme="minorEastAsia"/>
          <w:b/>
          <w:color w:val="auto"/>
          <w:sz w:val="24"/>
          <w:highlight w:val="none"/>
        </w:rPr>
        <w:t>合同价及支付方式</w:t>
      </w:r>
    </w:p>
    <w:p>
      <w:pPr>
        <w:tabs>
          <w:tab w:val="left" w:pos="851"/>
        </w:tabs>
        <w:adjustRightInd w:val="0"/>
        <w:snapToGrid w:val="0"/>
        <w:spacing w:line="384"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4.1</w:t>
      </w:r>
      <w:r>
        <w:rPr>
          <w:rFonts w:hint="eastAsia" w:asciiTheme="minorEastAsia" w:hAnsiTheme="minorEastAsia" w:eastAsiaTheme="minorEastAsia" w:cstheme="minorEastAsia"/>
          <w:color w:val="auto"/>
          <w:sz w:val="24"/>
          <w:highlight w:val="none"/>
        </w:rPr>
        <w:t>合同暂定总价为</w:t>
      </w:r>
      <w:r>
        <w:rPr>
          <w:rFonts w:hint="eastAsia" w:asciiTheme="minorEastAsia" w:hAnsiTheme="minorEastAsia" w:eastAsiaTheme="minorEastAsia" w:cstheme="minorEastAsia"/>
          <w:color w:val="auto"/>
          <w:sz w:val="24"/>
          <w:highlight w:val="none"/>
          <w:u w:val="single"/>
          <w:lang w:val="en-US" w:eastAsia="zh-CN"/>
        </w:rPr>
        <w:t xml:space="preserve">   …  </w:t>
      </w:r>
      <w:r>
        <w:rPr>
          <w:rFonts w:hint="eastAsia" w:asciiTheme="minorEastAsia" w:hAnsiTheme="minorEastAsia" w:eastAsiaTheme="minorEastAsia" w:cstheme="minorEastAsia"/>
          <w:b/>
          <w:color w:val="auto"/>
          <w:sz w:val="24"/>
          <w:highlight w:val="none"/>
          <w:u w:val="single"/>
        </w:rPr>
        <w:t>人民币元</w:t>
      </w:r>
      <w:r>
        <w:rPr>
          <w:rFonts w:hint="eastAsia" w:asciiTheme="minorEastAsia" w:hAnsiTheme="minorEastAsia" w:eastAsiaTheme="minorEastAsia" w:cstheme="minorEastAsia"/>
          <w:color w:val="auto"/>
          <w:sz w:val="24"/>
          <w:highlight w:val="none"/>
        </w:rPr>
        <w:t>（大写：</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w:t>
      </w:r>
    </w:p>
    <w:p>
      <w:pPr>
        <w:tabs>
          <w:tab w:val="left" w:pos="851"/>
        </w:tabs>
        <w:adjustRightInd w:val="0"/>
        <w:snapToGrid w:val="0"/>
        <w:spacing w:line="384" w:lineRule="auto"/>
        <w:ind w:firstLine="480" w:firstLineChars="200"/>
        <w:rPr>
          <w:rFonts w:asciiTheme="minorEastAsia" w:hAnsiTheme="minorEastAsia" w:eastAsiaTheme="minorEastAsia" w:cstheme="minorEastAsia"/>
          <w:color w:val="auto"/>
          <w:sz w:val="24"/>
          <w:highlight w:val="none"/>
        </w:rPr>
      </w:pP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9</w:t>
      </w:r>
      <w:r>
        <w:rPr>
          <w:rFonts w:ascii="宋体" w:hAnsi="宋体" w:cs="宋体"/>
          <w:color w:val="auto"/>
          <w:sz w:val="24"/>
          <w:highlight w:val="none"/>
          <w:u w:val="single"/>
        </w:rPr>
        <w:t xml:space="preserve"> %</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4.2</w:t>
      </w:r>
      <w:r>
        <w:rPr>
          <w:rFonts w:hint="eastAsia" w:asciiTheme="minorEastAsia" w:hAnsiTheme="minorEastAsia" w:eastAsiaTheme="minorEastAsia" w:cstheme="minorEastAsia"/>
          <w:color w:val="auto"/>
          <w:sz w:val="24"/>
          <w:highlight w:val="none"/>
        </w:rPr>
        <w:t>合同按</w:t>
      </w:r>
      <w:r>
        <w:rPr>
          <w:rFonts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财政资金集中支付</w:t>
      </w:r>
      <w:r>
        <w:rPr>
          <w:rFonts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sym w:font="Wingdings" w:char="00FE"/>
      </w:r>
      <w:r>
        <w:rPr>
          <w:rFonts w:hint="eastAsia" w:asciiTheme="minorEastAsia" w:hAnsiTheme="minorEastAsia" w:eastAsiaTheme="minorEastAsia" w:cstheme="minorEastAsia"/>
          <w:color w:val="auto"/>
          <w:sz w:val="24"/>
          <w:highlight w:val="none"/>
        </w:rPr>
        <w:t>财务支付程序办理支付。</w:t>
      </w:r>
    </w:p>
    <w:p>
      <w:pPr>
        <w:spacing w:line="360" w:lineRule="auto"/>
        <w:ind w:firstLine="480" w:firstLineChars="200"/>
        <w:rPr>
          <w:rFonts w:asciiTheme="minorEastAsia" w:hAnsiTheme="minorEastAsia" w:eastAsiaTheme="minorEastAsia" w:cstheme="minorEastAsia"/>
          <w:color w:val="auto"/>
          <w:sz w:val="24"/>
          <w:highlight w:val="none"/>
          <w:u w:val="single"/>
        </w:rPr>
      </w:pPr>
      <w:r>
        <w:rPr>
          <w:rFonts w:asciiTheme="minorEastAsia" w:hAnsiTheme="minorEastAsia" w:eastAsiaTheme="minorEastAsia" w:cstheme="minorEastAsia"/>
          <w:bCs/>
          <w:color w:val="auto"/>
          <w:sz w:val="24"/>
          <w:highlight w:val="none"/>
        </w:rPr>
        <w:t>4.</w:t>
      </w:r>
      <w:r>
        <w:rPr>
          <w:rFonts w:hint="eastAsia" w:asciiTheme="minorEastAsia" w:hAnsiTheme="minorEastAsia" w:eastAsiaTheme="minorEastAsia" w:cstheme="minorEastAsia"/>
          <w:bCs/>
          <w:color w:val="auto"/>
          <w:sz w:val="24"/>
          <w:highlight w:val="none"/>
          <w:lang w:val="en-US" w:eastAsia="zh-CN"/>
        </w:rPr>
        <w:t>3</w:t>
      </w:r>
      <w:r>
        <w:rPr>
          <w:rFonts w:hint="eastAsia" w:asciiTheme="minorEastAsia" w:hAnsiTheme="minorEastAsia" w:eastAsiaTheme="minorEastAsia" w:cstheme="minorEastAsia"/>
          <w:bCs/>
          <w:color w:val="auto"/>
          <w:sz w:val="24"/>
          <w:highlight w:val="none"/>
        </w:rPr>
        <w:t>预付款的支付：</w:t>
      </w:r>
      <w:r>
        <w:rPr>
          <w:rFonts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bCs/>
          <w:color w:val="auto"/>
          <w:sz w:val="24"/>
          <w:highlight w:val="none"/>
        </w:rPr>
        <w:t>无；</w:t>
      </w:r>
      <w:r>
        <w:rPr>
          <w:rFonts w:asciiTheme="minorEastAsia" w:hAnsiTheme="minorEastAsia" w:eastAsiaTheme="minorEastAsia" w:cstheme="minorEastAsia"/>
          <w:color w:val="auto"/>
          <w:sz w:val="24"/>
          <w:highlight w:val="none"/>
        </w:rPr>
        <w:sym w:font="Wingdings" w:char="00FE"/>
      </w:r>
      <w:r>
        <w:rPr>
          <w:rFonts w:hint="eastAsia" w:asciiTheme="minorEastAsia" w:hAnsiTheme="minorEastAsia" w:eastAsiaTheme="minorEastAsia" w:cstheme="minorEastAsia"/>
          <w:color w:val="auto"/>
          <w:sz w:val="24"/>
          <w:highlight w:val="none"/>
        </w:rPr>
        <w:t>有,</w:t>
      </w:r>
      <w:r>
        <w:rPr>
          <w:rFonts w:hint="eastAsia" w:ascii="宋体" w:hAnsi="宋体"/>
          <w:bCs/>
          <w:color w:val="auto"/>
          <w:sz w:val="24"/>
          <w:highlight w:val="none"/>
        </w:rPr>
        <w:t>合同签订后，乙方开具等额的增值税专用发票</w:t>
      </w:r>
      <w:r>
        <w:rPr>
          <w:rFonts w:hint="eastAsia" w:ascii="宋体" w:hAnsi="宋体"/>
          <w:bCs/>
          <w:color w:val="auto"/>
          <w:sz w:val="24"/>
          <w:highlight w:val="none"/>
          <w:lang w:eastAsia="zh-CN"/>
        </w:rPr>
        <w:t>，</w:t>
      </w:r>
      <w:r>
        <w:rPr>
          <w:rFonts w:hint="eastAsia" w:ascii="宋体" w:hAnsi="宋体" w:cs="宋体"/>
          <w:bCs/>
          <w:color w:val="auto"/>
          <w:sz w:val="24"/>
          <w:highlight w:val="none"/>
        </w:rPr>
        <w:t>履约担保</w:t>
      </w:r>
      <w:r>
        <w:rPr>
          <w:rFonts w:hint="eastAsia" w:ascii="宋体" w:hAnsi="宋体" w:cs="宋体"/>
          <w:bCs/>
          <w:color w:val="auto"/>
          <w:sz w:val="24"/>
          <w:highlight w:val="none"/>
          <w:lang w:val="en-US" w:eastAsia="zh-CN"/>
        </w:rPr>
        <w:t>及对应预付款金额的预付款担保</w:t>
      </w:r>
      <w:r>
        <w:rPr>
          <w:rFonts w:hint="eastAsia" w:ascii="宋体" w:hAnsi="宋体"/>
          <w:bCs/>
          <w:color w:val="auto"/>
          <w:sz w:val="24"/>
          <w:highlight w:val="none"/>
        </w:rPr>
        <w:t>后</w:t>
      </w:r>
      <w:r>
        <w:rPr>
          <w:rFonts w:ascii="宋体" w:hAnsi="宋体"/>
          <w:bCs/>
          <w:color w:val="auto"/>
          <w:sz w:val="24"/>
          <w:highlight w:val="none"/>
          <w:u w:val="single"/>
        </w:rPr>
        <w:t>10</w:t>
      </w:r>
      <w:r>
        <w:rPr>
          <w:rFonts w:hint="eastAsia" w:ascii="宋体" w:hAnsi="宋体"/>
          <w:bCs/>
          <w:color w:val="auto"/>
          <w:sz w:val="24"/>
          <w:highlight w:val="none"/>
        </w:rPr>
        <w:t>个工作日内，</w:t>
      </w:r>
      <w:r>
        <w:rPr>
          <w:rFonts w:hint="eastAsia" w:asciiTheme="minorEastAsia" w:hAnsiTheme="minorEastAsia" w:eastAsiaTheme="minorEastAsia" w:cstheme="minorEastAsia"/>
          <w:bCs/>
          <w:color w:val="auto"/>
          <w:sz w:val="24"/>
          <w:highlight w:val="none"/>
        </w:rPr>
        <w:t>甲方支付合同暂定总价的</w:t>
      </w:r>
      <w:r>
        <w:rPr>
          <w:rFonts w:asciiTheme="minorEastAsia" w:hAnsiTheme="minorEastAsia" w:eastAsiaTheme="minorEastAsia" w:cstheme="minorEastAsia"/>
          <w:bCs/>
          <w:color w:val="auto"/>
          <w:sz w:val="24"/>
          <w:highlight w:val="none"/>
          <w:u w:val="single"/>
        </w:rPr>
        <w:t xml:space="preserve"> 30%  </w:t>
      </w:r>
      <w:r>
        <w:rPr>
          <w:rFonts w:hint="eastAsia" w:asciiTheme="minorEastAsia" w:hAnsiTheme="minorEastAsia" w:eastAsiaTheme="minorEastAsia" w:cstheme="minorEastAsia"/>
          <w:color w:val="auto"/>
          <w:sz w:val="24"/>
          <w:highlight w:val="none"/>
        </w:rPr>
        <w:t>即</w:t>
      </w:r>
      <w:r>
        <w:rPr>
          <w:rFonts w:hint="eastAsia" w:asciiTheme="minorEastAsia" w:hAnsiTheme="minorEastAsia" w:eastAsiaTheme="minorEastAsia" w:cstheme="minorEastAsia"/>
          <w:color w:val="auto"/>
          <w:sz w:val="24"/>
          <w:highlight w:val="none"/>
          <w:u w:val="single"/>
        </w:rPr>
        <w:t>元，（大写：）</w:t>
      </w:r>
      <w:r>
        <w:rPr>
          <w:rFonts w:hint="eastAsia" w:asciiTheme="minorEastAsia" w:hAnsiTheme="minorEastAsia" w:eastAsiaTheme="minorEastAsia" w:cstheme="minorEastAsia"/>
          <w:bCs/>
          <w:color w:val="auto"/>
          <w:sz w:val="24"/>
          <w:highlight w:val="none"/>
        </w:rPr>
        <w:t>作为预付款。</w:t>
      </w:r>
      <w:r>
        <w:rPr>
          <w:rFonts w:hint="eastAsia" w:cs="仿宋" w:asciiTheme="minorEastAsia" w:hAnsiTheme="minorEastAsia" w:eastAsiaTheme="minorEastAsia"/>
          <w:color w:val="auto"/>
          <w:sz w:val="24"/>
          <w:highlight w:val="none"/>
        </w:rPr>
        <w:t>若合同解除或终止，乙方在</w:t>
      </w:r>
      <w:r>
        <w:rPr>
          <w:rFonts w:cs="仿宋" w:asciiTheme="minorEastAsia" w:hAnsiTheme="minorEastAsia" w:eastAsiaTheme="minorEastAsia"/>
          <w:color w:val="auto"/>
          <w:sz w:val="24"/>
          <w:highlight w:val="none"/>
          <w:u w:val="single"/>
        </w:rPr>
        <w:t xml:space="preserve"> 5 </w:t>
      </w:r>
      <w:r>
        <w:rPr>
          <w:rFonts w:hint="eastAsia" w:cs="仿宋" w:asciiTheme="minorEastAsia" w:hAnsiTheme="minorEastAsia" w:eastAsiaTheme="minorEastAsia"/>
          <w:color w:val="auto"/>
          <w:sz w:val="24"/>
          <w:highlight w:val="none"/>
        </w:rPr>
        <w:t>个工作日内返还预付款（无息）。</w:t>
      </w:r>
      <w:r>
        <w:rPr>
          <w:rFonts w:hint="eastAsia" w:asciiTheme="minorEastAsia" w:hAnsiTheme="minorEastAsia" w:eastAsiaTheme="minorEastAsia" w:cstheme="minorEastAsia"/>
          <w:bCs/>
          <w:color w:val="auto"/>
          <w:kern w:val="0"/>
          <w:sz w:val="24"/>
          <w:highlight w:val="none"/>
        </w:rPr>
        <w:t>逾期未返还，乙方应按合同暂定总价的</w:t>
      </w:r>
      <w:r>
        <w:rPr>
          <w:rFonts w:hint="eastAsia" w:asciiTheme="minorEastAsia" w:hAnsiTheme="minorEastAsia" w:eastAsiaTheme="minorEastAsia" w:cstheme="minorEastAsia"/>
          <w:bCs/>
          <w:color w:val="auto"/>
          <w:kern w:val="0"/>
          <w:sz w:val="24"/>
          <w:highlight w:val="none"/>
          <w:u w:val="single"/>
        </w:rPr>
        <w:t>万分之五</w:t>
      </w:r>
      <w:r>
        <w:rPr>
          <w:rFonts w:asciiTheme="minorEastAsia" w:hAnsiTheme="minorEastAsia" w:eastAsiaTheme="minorEastAsia" w:cstheme="minorEastAsia"/>
          <w:bCs/>
          <w:color w:val="auto"/>
          <w:kern w:val="0"/>
          <w:sz w:val="24"/>
          <w:highlight w:val="none"/>
          <w:u w:val="single"/>
        </w:rPr>
        <w:t>/</w:t>
      </w:r>
      <w:r>
        <w:rPr>
          <w:rFonts w:hint="eastAsia" w:asciiTheme="minorEastAsia" w:hAnsiTheme="minorEastAsia" w:eastAsiaTheme="minorEastAsia" w:cstheme="minorEastAsia"/>
          <w:bCs/>
          <w:color w:val="auto"/>
          <w:kern w:val="0"/>
          <w:sz w:val="24"/>
          <w:highlight w:val="none"/>
          <w:u w:val="single"/>
        </w:rPr>
        <w:t>天</w:t>
      </w:r>
      <w:r>
        <w:rPr>
          <w:rFonts w:hint="eastAsia" w:asciiTheme="minorEastAsia" w:hAnsiTheme="minorEastAsia" w:eastAsiaTheme="minorEastAsia" w:cstheme="minorEastAsia"/>
          <w:bCs/>
          <w:color w:val="auto"/>
          <w:kern w:val="0"/>
          <w:sz w:val="24"/>
          <w:highlight w:val="none"/>
        </w:rPr>
        <w:t>支付违约金</w:t>
      </w:r>
      <w:r>
        <w:rPr>
          <w:rFonts w:hint="eastAsia" w:cs="仿宋" w:asciiTheme="minorEastAsia" w:hAnsiTheme="minorEastAsia" w:eastAsiaTheme="minorEastAsia"/>
          <w:color w:val="auto"/>
          <w:sz w:val="24"/>
          <w:highlight w:val="none"/>
        </w:rPr>
        <w:t>。</w:t>
      </w:r>
    </w:p>
    <w:p>
      <w:pPr>
        <w:pStyle w:val="11"/>
        <w:spacing w:line="384" w:lineRule="auto"/>
        <w:ind w:firstLine="480" w:firstLineChars="200"/>
        <w:outlineLvl w:val="1"/>
        <w:rPr>
          <w:rFonts w:asciiTheme="minorEastAsia" w:hAnsiTheme="minorEastAsia" w:eastAsiaTheme="minorEastAsia" w:cstheme="minorEastAsia"/>
          <w:color w:val="auto"/>
          <w:sz w:val="24"/>
          <w:highlight w:val="none"/>
          <w:u w:val="single"/>
        </w:rPr>
      </w:pPr>
      <w:r>
        <w:rPr>
          <w:rFonts w:hint="eastAsia" w:hAnsi="宋体" w:cs="宋体"/>
          <w:color w:val="auto"/>
          <w:sz w:val="24"/>
          <w:szCs w:val="24"/>
          <w:highlight w:val="none"/>
          <w:u w:val="single"/>
          <w:lang w:val="en-US" w:eastAsia="zh-CN"/>
        </w:rPr>
        <w:t>4.4</w:t>
      </w:r>
      <w:r>
        <w:rPr>
          <w:rFonts w:hint="eastAsia" w:hAnsi="宋体" w:cs="宋体"/>
          <w:color w:val="auto"/>
          <w:sz w:val="24"/>
          <w:szCs w:val="24"/>
          <w:highlight w:val="none"/>
          <w:u w:val="single"/>
        </w:rPr>
        <w:t>项目验收合格后，由乙方提交申请支付资料</w:t>
      </w:r>
      <w:r>
        <w:rPr>
          <w:rFonts w:hint="eastAsia" w:hAnsi="宋体" w:cs="宋体"/>
          <w:color w:val="auto"/>
          <w:sz w:val="24"/>
          <w:szCs w:val="24"/>
          <w:highlight w:val="none"/>
          <w:u w:val="single"/>
          <w:lang w:val="en-US" w:eastAsia="zh-CN"/>
        </w:rPr>
        <w:t>及等额的增值税专用发票</w:t>
      </w:r>
      <w:r>
        <w:rPr>
          <w:rFonts w:hAnsi="宋体" w:cs="宋体"/>
          <w:color w:val="auto"/>
          <w:sz w:val="24"/>
          <w:szCs w:val="24"/>
          <w:highlight w:val="none"/>
          <w:u w:val="single"/>
        </w:rPr>
        <w:t xml:space="preserve">15 </w:t>
      </w:r>
      <w:r>
        <w:rPr>
          <w:rFonts w:hint="eastAsia" w:hAnsi="宋体" w:cs="宋体"/>
          <w:color w:val="auto"/>
          <w:sz w:val="24"/>
          <w:szCs w:val="24"/>
          <w:highlight w:val="none"/>
          <w:u w:val="single"/>
        </w:rPr>
        <w:t>个工作日内，甲方支付</w:t>
      </w:r>
      <w:r>
        <w:rPr>
          <w:rFonts w:hint="eastAsia" w:hAnsi="宋体" w:cs="宋体"/>
          <w:color w:val="auto"/>
          <w:sz w:val="24"/>
          <w:szCs w:val="24"/>
          <w:highlight w:val="none"/>
          <w:u w:val="single"/>
          <w:lang w:eastAsia="zh-CN"/>
        </w:rPr>
        <w:t>至</w:t>
      </w:r>
      <w:r>
        <w:rPr>
          <w:rFonts w:hint="eastAsia" w:hAnsi="宋体" w:cs="宋体"/>
          <w:color w:val="auto"/>
          <w:sz w:val="24"/>
          <w:szCs w:val="24"/>
          <w:highlight w:val="none"/>
          <w:u w:val="single"/>
        </w:rPr>
        <w:t>合同暂定总价的</w:t>
      </w:r>
      <w:r>
        <w:rPr>
          <w:rFonts w:hint="eastAsia" w:hAnsi="宋体" w:cs="宋体"/>
          <w:color w:val="auto"/>
          <w:sz w:val="24"/>
          <w:szCs w:val="24"/>
          <w:highlight w:val="none"/>
          <w:u w:val="single"/>
          <w:lang w:val="en-US" w:eastAsia="zh-CN"/>
        </w:rPr>
        <w:t>80</w:t>
      </w:r>
      <w:r>
        <w:rPr>
          <w:rFonts w:hint="eastAsia" w:hAnsi="宋体" w:cs="宋体"/>
          <w:color w:val="auto"/>
          <w:sz w:val="24"/>
          <w:szCs w:val="24"/>
          <w:highlight w:val="none"/>
          <w:u w:val="single"/>
        </w:rPr>
        <w:t>％即</w:t>
      </w:r>
      <w:r>
        <w:rPr>
          <w:rFonts w:hint="eastAsia" w:asciiTheme="minorEastAsia" w:hAnsiTheme="minorEastAsia" w:eastAsiaTheme="minorEastAsia" w:cstheme="minorEastAsia"/>
          <w:color w:val="auto"/>
          <w:sz w:val="24"/>
          <w:highlight w:val="none"/>
          <w:u w:val="single"/>
          <w:lang w:val="en-US" w:eastAsia="zh-CN"/>
        </w:rPr>
        <w:t>…</w:t>
      </w:r>
      <w:r>
        <w:rPr>
          <w:rFonts w:hint="eastAsia" w:hAnsi="宋体" w:cs="宋体"/>
          <w:color w:val="auto"/>
          <w:sz w:val="24"/>
          <w:szCs w:val="24"/>
          <w:highlight w:val="none"/>
          <w:u w:val="single"/>
        </w:rPr>
        <w:t>万元给乙方。</w:t>
      </w:r>
    </w:p>
    <w:p>
      <w:pPr>
        <w:pStyle w:val="11"/>
        <w:spacing w:line="360" w:lineRule="auto"/>
        <w:ind w:left="1" w:firstLine="480" w:firstLineChars="200"/>
        <w:outlineLvl w:val="1"/>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4.</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工程完工验收合格，经甲方或甲方委托的第三方审核后，乙方提交请款资料及等额增值税发票，甲方收到后在</w:t>
      </w:r>
      <w:r>
        <w:rPr>
          <w:rFonts w:asciiTheme="minorEastAsia" w:hAnsiTheme="minorEastAsia" w:eastAsiaTheme="minorEastAsia" w:cstheme="minorEastAsia"/>
          <w:color w:val="auto"/>
          <w:sz w:val="24"/>
          <w:szCs w:val="24"/>
          <w:highlight w:val="none"/>
          <w:u w:val="single"/>
        </w:rPr>
        <w:t xml:space="preserve"> 15 </w:t>
      </w:r>
      <w:r>
        <w:rPr>
          <w:rFonts w:hint="eastAsia" w:asciiTheme="minorEastAsia" w:hAnsiTheme="minorEastAsia" w:eastAsiaTheme="minorEastAsia" w:cstheme="minorEastAsia"/>
          <w:color w:val="auto"/>
          <w:sz w:val="24"/>
          <w:szCs w:val="24"/>
          <w:highlight w:val="none"/>
        </w:rPr>
        <w:t>个工作日内支付至合同结算价的</w:t>
      </w:r>
      <w:r>
        <w:rPr>
          <w:rFonts w:asciiTheme="minorEastAsia" w:hAnsiTheme="minorEastAsia" w:eastAsiaTheme="minorEastAsia" w:cstheme="minorEastAsia"/>
          <w:color w:val="auto"/>
          <w:sz w:val="24"/>
          <w:szCs w:val="24"/>
          <w:highlight w:val="none"/>
          <w:u w:val="single"/>
        </w:rPr>
        <w:t xml:space="preserve">100 </w:t>
      </w:r>
      <w:r>
        <w:rPr>
          <w:rFonts w:hint="eastAsia" w:asciiTheme="minorEastAsia" w:hAnsiTheme="minorEastAsia" w:eastAsiaTheme="minorEastAsia" w:cstheme="minorEastAsia"/>
          <w:color w:val="auto"/>
          <w:sz w:val="24"/>
          <w:szCs w:val="24"/>
          <w:highlight w:val="none"/>
        </w:rPr>
        <w:t>％。</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color w:val="auto"/>
          <w:sz w:val="24"/>
          <w:highlight w:val="none"/>
          <w:bdr w:val="single" w:color="auto" w:sz="4" w:space="0"/>
        </w:rPr>
      </w:pPr>
      <w:r>
        <w:rPr>
          <w:rFonts w:asciiTheme="minorEastAsia" w:hAnsiTheme="minorEastAsia" w:eastAsiaTheme="minorEastAsia" w:cstheme="minorEastAsia"/>
          <w:color w:val="auto"/>
          <w:sz w:val="24"/>
          <w:highlight w:val="none"/>
        </w:rPr>
        <w:t>4.</w:t>
      </w:r>
      <w:r>
        <w:rPr>
          <w:rFonts w:hint="eastAsia" w:asciiTheme="minorEastAsia" w:hAnsi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付款方式：</w:t>
      </w:r>
      <w:r>
        <w:rPr>
          <w:rFonts w:asciiTheme="minorEastAsia" w:hAnsiTheme="minorEastAsia" w:eastAsiaTheme="minorEastAsia" w:cstheme="minorEastAsia"/>
          <w:color w:val="auto"/>
          <w:sz w:val="24"/>
          <w:highlight w:val="none"/>
        </w:rPr>
        <w:sym w:font="Wingdings" w:char="00FE"/>
      </w:r>
      <w:r>
        <w:rPr>
          <w:rFonts w:hint="eastAsia" w:asciiTheme="minorEastAsia" w:hAnsiTheme="minorEastAsia" w:eastAsiaTheme="minorEastAsia" w:cstheme="minorEastAsia"/>
          <w:color w:val="auto"/>
          <w:sz w:val="24"/>
          <w:highlight w:val="none"/>
        </w:rPr>
        <w:t>网银支付；</w:t>
      </w:r>
      <w:r>
        <w:rPr>
          <w:rFonts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支票；</w:t>
      </w:r>
      <w:r>
        <w:rPr>
          <w:rFonts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p>
    <w:p>
      <w:pPr>
        <w:pStyle w:val="11"/>
        <w:spacing w:line="360" w:lineRule="auto"/>
        <w:ind w:firstLine="480" w:firstLineChars="200"/>
        <w:outlineLvl w:val="1"/>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4.</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乙方收款账户：</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rPr>
        <w:t>；</w:t>
      </w:r>
    </w:p>
    <w:p>
      <w:pPr>
        <w:spacing w:line="360" w:lineRule="auto"/>
        <w:ind w:firstLine="1080" w:firstLineChars="4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收款账号：</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rPr>
        <w:t>；</w:t>
      </w:r>
    </w:p>
    <w:p>
      <w:pPr>
        <w:spacing w:line="360" w:lineRule="auto"/>
        <w:ind w:firstLine="1080" w:firstLineChars="4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开户行：</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rPr>
        <w:t>；</w:t>
      </w:r>
    </w:p>
    <w:p>
      <w:pPr>
        <w:spacing w:line="360" w:lineRule="auto"/>
        <w:ind w:firstLine="840" w:firstLineChars="350"/>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rPr>
        <w:t>乙方在收款前需向甲方提交等额增值税专用发票，增值税专用发票信息：</w:t>
      </w:r>
    </w:p>
    <w:p>
      <w:pPr>
        <w:spacing w:line="360" w:lineRule="auto"/>
        <w:ind w:firstLine="960" w:firstLineChars="400"/>
        <w:rPr>
          <w:rFonts w:hint="eastAsia" w:asciiTheme="minorEastAsia" w:hAnsiTheme="minorEastAsia" w:eastAsiaTheme="minorEastAsia" w:cstheme="minorEastAsia"/>
          <w:color w:val="auto"/>
          <w:sz w:val="24"/>
          <w:highlight w:val="none"/>
          <w:u w:val="single"/>
          <w:lang w:eastAsia="zh-CN"/>
        </w:rPr>
      </w:pPr>
      <w:r>
        <w:rPr>
          <w:rFonts w:hint="eastAsia" w:asciiTheme="minorEastAsia" w:hAnsiTheme="minorEastAsia" w:eastAsiaTheme="minorEastAsia" w:cstheme="minorEastAsia"/>
          <w:color w:val="auto"/>
          <w:sz w:val="24"/>
          <w:highlight w:val="none"/>
          <w:u w:val="single"/>
          <w:lang w:eastAsia="zh-CN"/>
        </w:rPr>
        <w:t>名称：广州市净水有限公司</w:t>
      </w:r>
    </w:p>
    <w:p>
      <w:pPr>
        <w:spacing w:line="360" w:lineRule="auto"/>
        <w:ind w:firstLine="960" w:firstLineChars="400"/>
        <w:rPr>
          <w:rFonts w:hint="eastAsia" w:asciiTheme="minorEastAsia" w:hAnsiTheme="minorEastAsia" w:eastAsiaTheme="minorEastAsia" w:cstheme="minorEastAsia"/>
          <w:color w:val="auto"/>
          <w:sz w:val="24"/>
          <w:highlight w:val="none"/>
          <w:u w:val="single"/>
          <w:lang w:eastAsia="zh-CN"/>
        </w:rPr>
      </w:pPr>
      <w:r>
        <w:rPr>
          <w:rFonts w:hint="eastAsia" w:asciiTheme="minorEastAsia" w:hAnsiTheme="minorEastAsia" w:eastAsiaTheme="minorEastAsia" w:cstheme="minorEastAsia"/>
          <w:color w:val="auto"/>
          <w:sz w:val="24"/>
          <w:highlight w:val="none"/>
          <w:u w:val="single"/>
          <w:lang w:eastAsia="zh-CN"/>
        </w:rPr>
        <w:t xml:space="preserve">税号：91440101755584729Q  </w:t>
      </w:r>
    </w:p>
    <w:p>
      <w:pPr>
        <w:spacing w:line="360" w:lineRule="auto"/>
        <w:ind w:firstLine="960" w:firstLineChars="400"/>
        <w:rPr>
          <w:rFonts w:hint="eastAsia" w:asciiTheme="minorEastAsia" w:hAnsiTheme="minorEastAsia" w:eastAsiaTheme="minorEastAsia" w:cstheme="minorEastAsia"/>
          <w:color w:val="auto"/>
          <w:sz w:val="24"/>
          <w:highlight w:val="none"/>
          <w:u w:val="single"/>
          <w:lang w:eastAsia="zh-CN"/>
        </w:rPr>
      </w:pPr>
      <w:r>
        <w:rPr>
          <w:rFonts w:hint="eastAsia" w:asciiTheme="minorEastAsia" w:hAnsiTheme="minorEastAsia" w:eastAsiaTheme="minorEastAsia" w:cstheme="minorEastAsia"/>
          <w:color w:val="auto"/>
          <w:sz w:val="24"/>
          <w:highlight w:val="none"/>
          <w:u w:val="single"/>
          <w:lang w:eastAsia="zh-CN"/>
        </w:rPr>
        <w:t>地址：广州市天河区临江大道501号 020-38890283</w:t>
      </w:r>
    </w:p>
    <w:p>
      <w:pPr>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lang w:eastAsia="zh-CN"/>
        </w:rPr>
        <w:t>开户行：民生银行广州分行 0301014140006932</w:t>
      </w:r>
      <w:r>
        <w:rPr>
          <w:rFonts w:hint="eastAsia" w:asciiTheme="minorEastAsia" w:hAnsiTheme="minorEastAsia" w:eastAsiaTheme="minorEastAsia" w:cstheme="minorEastAsia"/>
          <w:color w:val="auto"/>
          <w:sz w:val="24"/>
          <w:highlight w:val="none"/>
        </w:rPr>
        <w:t>；</w:t>
      </w:r>
    </w:p>
    <w:p>
      <w:pPr>
        <w:widowControl/>
        <w:spacing w:line="360" w:lineRule="auto"/>
        <w:ind w:firstLine="482" w:firstLineChars="200"/>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第五条施工工期及要求</w:t>
      </w:r>
    </w:p>
    <w:p>
      <w:pPr>
        <w:pStyle w:val="11"/>
        <w:tabs>
          <w:tab w:val="left" w:pos="618"/>
        </w:tabs>
        <w:spacing w:line="360" w:lineRule="auto"/>
        <w:ind w:firstLine="480" w:firstLineChars="200"/>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5.1</w:t>
      </w:r>
      <w:r>
        <w:rPr>
          <w:rFonts w:hint="eastAsia" w:asciiTheme="minorEastAsia" w:hAnsiTheme="minorEastAsia" w:eastAsiaTheme="minorEastAsia" w:cstheme="minorEastAsia"/>
          <w:color w:val="auto"/>
          <w:sz w:val="24"/>
          <w:szCs w:val="24"/>
          <w:highlight w:val="none"/>
        </w:rPr>
        <w:t>开工日期暂定为：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rPr>
        <w:t>日</w:t>
      </w:r>
      <w:r>
        <w:rPr>
          <w:rFonts w:hint="eastAsia" w:asciiTheme="minorEastAsia" w:hAnsiTheme="minorEastAsia" w:eastAsiaTheme="minorEastAsia" w:cstheme="minorEastAsia"/>
          <w:color w:val="auto"/>
          <w:sz w:val="24"/>
          <w:szCs w:val="24"/>
          <w:highlight w:val="none"/>
        </w:rPr>
        <w:t>，具体日期以甲方发出的开工报告为准。合同工期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总日历天数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u w:val="single"/>
          <w:lang w:eastAsia="zh-CN"/>
        </w:rPr>
        <w:t>4</w:t>
      </w:r>
      <w:r>
        <w:rPr>
          <w:rFonts w:hint="eastAsia" w:asciiTheme="minorEastAsia" w:hAnsiTheme="minorEastAsia" w:cstheme="minorEastAsia"/>
          <w:color w:val="auto"/>
          <w:sz w:val="24"/>
          <w:szCs w:val="24"/>
          <w:highlight w:val="none"/>
          <w:u w:val="single"/>
          <w:lang w:val="en-US" w:eastAsia="zh-CN"/>
        </w:rPr>
        <w:t>0</w:t>
      </w:r>
      <w:r>
        <w:rPr>
          <w:rFonts w:hint="eastAsia" w:asciiTheme="minorEastAsia" w:hAnsiTheme="minorEastAsia" w:eastAsiaTheme="minorEastAsia" w:cstheme="minorEastAsia"/>
          <w:color w:val="auto"/>
          <w:sz w:val="24"/>
          <w:szCs w:val="24"/>
          <w:highlight w:val="none"/>
        </w:rPr>
        <w:t>天。</w:t>
      </w:r>
    </w:p>
    <w:p>
      <w:pPr>
        <w:pStyle w:val="11"/>
        <w:widowControl/>
        <w:tabs>
          <w:tab w:val="left" w:pos="618"/>
        </w:tabs>
        <w:spacing w:line="360" w:lineRule="auto"/>
        <w:ind w:left="1" w:firstLine="480" w:firstLineChars="200"/>
        <w:jc w:val="left"/>
        <w:rPr>
          <w:rFonts w:asciiTheme="minorEastAsia" w:hAnsiTheme="minorEastAsia" w:eastAsiaTheme="minorEastAsia" w:cstheme="minorEastAsia"/>
          <w:bCs/>
          <w:color w:val="auto"/>
          <w:sz w:val="24"/>
          <w:szCs w:val="24"/>
          <w:highlight w:val="none"/>
        </w:rPr>
      </w:pPr>
      <w:r>
        <w:rPr>
          <w:rFonts w:asciiTheme="minorEastAsia" w:hAnsiTheme="minorEastAsia" w:eastAsiaTheme="minorEastAsia" w:cstheme="minorEastAsia"/>
          <w:bCs/>
          <w:color w:val="auto"/>
          <w:kern w:val="0"/>
          <w:sz w:val="24"/>
          <w:szCs w:val="24"/>
          <w:highlight w:val="none"/>
        </w:rPr>
        <w:t xml:space="preserve"> 5.2</w:t>
      </w:r>
      <w:r>
        <w:rPr>
          <w:rFonts w:hint="eastAsia" w:asciiTheme="minorEastAsia" w:hAnsiTheme="minorEastAsia" w:eastAsiaTheme="minorEastAsia" w:cstheme="minorEastAsia"/>
          <w:bCs/>
          <w:color w:val="auto"/>
          <w:sz w:val="24"/>
          <w:szCs w:val="24"/>
          <w:highlight w:val="none"/>
        </w:rPr>
        <w:t>合同约定的工程项目，乙方不得转包、分包。否则，甲方有权单方面终止合同，并令其立即退场，由此而造成的经济损失由乙方负责赔偿。</w:t>
      </w:r>
    </w:p>
    <w:p>
      <w:pPr>
        <w:spacing w:line="360" w:lineRule="auto"/>
        <w:ind w:left="1" w:firstLine="480" w:firstLineChars="200"/>
        <w:rPr>
          <w:rFonts w:asciiTheme="minorEastAsia" w:hAnsiTheme="minorEastAsia" w:eastAsiaTheme="minorEastAsia" w:cstheme="minorEastAsia"/>
          <w:b/>
          <w:color w:val="auto"/>
          <w:sz w:val="24"/>
          <w:highlight w:val="none"/>
        </w:rPr>
      </w:pPr>
      <w:r>
        <w:rPr>
          <w:rFonts w:asciiTheme="minorEastAsia" w:hAnsiTheme="minorEastAsia" w:eastAsiaTheme="minorEastAsia" w:cstheme="minorEastAsia"/>
          <w:color w:val="auto"/>
          <w:sz w:val="24"/>
          <w:highlight w:val="none"/>
        </w:rPr>
        <w:t>5.3</w:t>
      </w:r>
      <w:r>
        <w:rPr>
          <w:rFonts w:hint="eastAsia" w:asciiTheme="minorEastAsia" w:hAnsiTheme="minorEastAsia" w:eastAsiaTheme="minorEastAsia" w:cstheme="minorEastAsia"/>
          <w:color w:val="auto"/>
          <w:sz w:val="24"/>
          <w:highlight w:val="none"/>
        </w:rPr>
        <w:t>清淤工程完工后应满足（标准）；否则，甲方有权要求乙方重新返工，且相关费用由乙方自行承担。</w:t>
      </w:r>
    </w:p>
    <w:p>
      <w:pPr>
        <w:pStyle w:val="11"/>
        <w:spacing w:line="360" w:lineRule="auto"/>
        <w:ind w:firstLine="448" w:firstLineChars="200"/>
        <w:outlineLvl w:val="1"/>
        <w:rPr>
          <w:rFonts w:asciiTheme="minorEastAsia" w:hAnsiTheme="minorEastAsia" w:eastAsiaTheme="minorEastAsia" w:cstheme="minorEastAsia"/>
          <w:color w:val="auto"/>
          <w:spacing w:val="-8"/>
          <w:sz w:val="24"/>
          <w:szCs w:val="24"/>
          <w:highlight w:val="none"/>
        </w:rPr>
      </w:pPr>
      <w:r>
        <w:rPr>
          <w:rFonts w:asciiTheme="minorEastAsia" w:hAnsiTheme="minorEastAsia" w:eastAsiaTheme="minorEastAsia" w:cstheme="minorEastAsia"/>
          <w:color w:val="auto"/>
          <w:spacing w:val="-8"/>
          <w:sz w:val="24"/>
          <w:szCs w:val="24"/>
          <w:highlight w:val="none"/>
        </w:rPr>
        <w:t>5.4</w:t>
      </w:r>
      <w:r>
        <w:rPr>
          <w:rFonts w:hint="eastAsia" w:asciiTheme="minorEastAsia" w:hAnsiTheme="minorEastAsia" w:eastAsiaTheme="minorEastAsia" w:cstheme="minorEastAsia"/>
          <w:color w:val="auto"/>
          <w:spacing w:val="-8"/>
          <w:sz w:val="24"/>
          <w:szCs w:val="24"/>
          <w:highlight w:val="none"/>
        </w:rPr>
        <w:t>乙方不得随意更换项目负责人及</w:t>
      </w:r>
      <w:r>
        <w:rPr>
          <w:rFonts w:hint="eastAsia" w:asciiTheme="minorEastAsia" w:hAnsiTheme="minorEastAsia" w:eastAsiaTheme="minorEastAsia" w:cstheme="minorEastAsia"/>
          <w:color w:val="auto"/>
          <w:spacing w:val="-8"/>
          <w:sz w:val="24"/>
          <w:szCs w:val="24"/>
          <w:highlight w:val="none"/>
          <w:lang w:val="en-US" w:eastAsia="zh-CN"/>
        </w:rPr>
        <w:t>附件</w:t>
      </w:r>
      <w:r>
        <w:rPr>
          <w:rFonts w:hint="eastAsia" w:asciiTheme="minorEastAsia" w:hAnsi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lang w:val="en-US" w:eastAsia="zh-CN"/>
        </w:rPr>
        <w:t>中的</w:t>
      </w:r>
      <w:r>
        <w:rPr>
          <w:rFonts w:hint="eastAsia" w:asciiTheme="minorEastAsia" w:hAnsiTheme="minorEastAsia" w:eastAsiaTheme="minorEastAsia" w:cstheme="minorEastAsia"/>
          <w:color w:val="auto"/>
          <w:spacing w:val="-8"/>
          <w:sz w:val="24"/>
          <w:szCs w:val="24"/>
          <w:highlight w:val="none"/>
        </w:rPr>
        <w:t>相关人员</w:t>
      </w:r>
      <w:r>
        <w:rPr>
          <w:rFonts w:hint="eastAsia" w:asciiTheme="minorEastAsia" w:hAnsiTheme="minorEastAsia" w:cstheme="minorEastAsia"/>
          <w:color w:val="auto"/>
          <w:spacing w:val="-8"/>
          <w:sz w:val="24"/>
          <w:szCs w:val="24"/>
          <w:highlight w:val="none"/>
          <w:lang w:val="en-US" w:eastAsia="zh-CN"/>
        </w:rPr>
        <w:t>(人员名单应与</w:t>
      </w:r>
      <w:r>
        <w:rPr>
          <w:rFonts w:hint="eastAsia" w:asciiTheme="minorEastAsia" w:hAnsiTheme="minorEastAsia" w:eastAsiaTheme="minorEastAsia" w:cstheme="minorEastAsia"/>
          <w:bCs/>
          <w:color w:val="auto"/>
          <w:sz w:val="24"/>
          <w:szCs w:val="24"/>
          <w:highlight w:val="none"/>
        </w:rPr>
        <w:t>乙</w:t>
      </w:r>
      <w:r>
        <w:rPr>
          <w:rFonts w:hint="eastAsia" w:asciiTheme="minorEastAsia" w:hAnsiTheme="minorEastAsia" w:cstheme="minorEastAsia"/>
          <w:bCs/>
          <w:color w:val="auto"/>
          <w:sz w:val="24"/>
          <w:szCs w:val="24"/>
          <w:highlight w:val="none"/>
          <w:lang w:val="en-US" w:eastAsia="zh-CN"/>
        </w:rPr>
        <w:t>方在响应文件中所载明的人员一致</w:t>
      </w:r>
      <w:r>
        <w:rPr>
          <w:rFonts w:hint="eastAsia" w:asciiTheme="minorEastAsia" w:hAnsiTheme="minorEastAsia" w:cstheme="minorEastAsia"/>
          <w:color w:val="auto"/>
          <w:spacing w:val="-8"/>
          <w:sz w:val="24"/>
          <w:szCs w:val="24"/>
          <w:highlight w:val="none"/>
          <w:lang w:val="en-US" w:eastAsia="zh-CN"/>
        </w:rPr>
        <w:t>)</w:t>
      </w:r>
      <w:r>
        <w:rPr>
          <w:rFonts w:hint="eastAsia" w:asciiTheme="minorEastAsia" w:hAnsiTheme="minorEastAsia" w:eastAsiaTheme="minorEastAsia" w:cstheme="minorEastAsia"/>
          <w:color w:val="auto"/>
          <w:spacing w:val="-8"/>
          <w:sz w:val="24"/>
          <w:szCs w:val="24"/>
          <w:highlight w:val="none"/>
        </w:rPr>
        <w:t>，如确须更换，应提前征得甲方同意。如有违反，甲方有权解除合同并要求乙方支付</w:t>
      </w:r>
      <w:r>
        <w:rPr>
          <w:rFonts w:hint="eastAsia" w:asciiTheme="minorEastAsia" w:hAnsiTheme="minorEastAsia" w:eastAsiaTheme="minorEastAsia" w:cstheme="minorEastAsia"/>
          <w:color w:val="auto"/>
          <w:spacing w:val="-8"/>
          <w:sz w:val="24"/>
          <w:szCs w:val="24"/>
          <w:highlight w:val="none"/>
          <w:u w:val="single"/>
          <w:lang w:val="en-US" w:eastAsia="zh-CN"/>
        </w:rPr>
        <w:t>5000</w:t>
      </w:r>
      <w:r>
        <w:rPr>
          <w:rFonts w:hint="eastAsia" w:asciiTheme="minorEastAsia" w:hAnsiTheme="minorEastAsia" w:eastAsiaTheme="minorEastAsia" w:cstheme="minorEastAsia"/>
          <w:color w:val="auto"/>
          <w:spacing w:val="-8"/>
          <w:sz w:val="24"/>
          <w:szCs w:val="24"/>
          <w:highlight w:val="none"/>
        </w:rPr>
        <w:t>元</w:t>
      </w:r>
      <w:r>
        <w:rPr>
          <w:rFonts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rPr>
        <w:t>人次作为违约金，以及赔偿由此造成的一切损失</w:t>
      </w:r>
      <w:r>
        <w:rPr>
          <w:rFonts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rPr>
        <w:t>包含质量安全事故、工期延误、增加投资等</w:t>
      </w:r>
      <w:r>
        <w:rPr>
          <w:rFonts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rPr>
        <w:t>。</w:t>
      </w:r>
    </w:p>
    <w:p>
      <w:pPr>
        <w:pStyle w:val="11"/>
        <w:spacing w:line="360" w:lineRule="auto"/>
        <w:ind w:firstLine="448" w:firstLineChars="200"/>
        <w:outlineLvl w:val="1"/>
        <w:rPr>
          <w:rFonts w:asciiTheme="minorEastAsia" w:hAnsiTheme="minorEastAsia" w:eastAsiaTheme="minorEastAsia" w:cstheme="minorEastAsia"/>
          <w:b w:val="0"/>
          <w:bCs/>
          <w:color w:val="auto"/>
          <w:spacing w:val="-8"/>
          <w:sz w:val="24"/>
          <w:szCs w:val="24"/>
          <w:highlight w:val="none"/>
        </w:rPr>
      </w:pPr>
      <w:r>
        <w:rPr>
          <w:rFonts w:asciiTheme="minorEastAsia" w:hAnsiTheme="minorEastAsia" w:eastAsiaTheme="minorEastAsia" w:cstheme="minorEastAsia"/>
          <w:b w:val="0"/>
          <w:bCs/>
          <w:color w:val="auto"/>
          <w:spacing w:val="-8"/>
          <w:sz w:val="24"/>
          <w:szCs w:val="24"/>
          <w:highlight w:val="none"/>
        </w:rPr>
        <w:t>5.5</w:t>
      </w:r>
      <w:r>
        <w:rPr>
          <w:rFonts w:hint="eastAsia" w:asciiTheme="minorEastAsia" w:hAnsiTheme="minorEastAsia" w:eastAsiaTheme="minorEastAsia" w:cstheme="minorEastAsia"/>
          <w:b w:val="0"/>
          <w:bCs/>
          <w:color w:val="auto"/>
          <w:spacing w:val="-8"/>
          <w:sz w:val="24"/>
          <w:szCs w:val="24"/>
          <w:highlight w:val="none"/>
        </w:rPr>
        <w:t>施工过程中，项目负责人</w:t>
      </w:r>
      <w:r>
        <w:rPr>
          <w:rFonts w:hint="eastAsia" w:asciiTheme="minorEastAsia" w:hAnsiTheme="minorEastAsia" w:eastAsiaTheme="minorEastAsia" w:cstheme="minorEastAsia"/>
          <w:b w:val="0"/>
          <w:bCs/>
          <w:color w:val="auto"/>
          <w:spacing w:val="-8"/>
          <w:sz w:val="24"/>
          <w:szCs w:val="24"/>
          <w:highlight w:val="none"/>
          <w:lang w:val="en-US" w:eastAsia="zh-CN"/>
        </w:rPr>
        <w:t>应驻场管理</w:t>
      </w:r>
      <w:r>
        <w:rPr>
          <w:rFonts w:hint="eastAsia" w:asciiTheme="minorEastAsia" w:hAnsiTheme="minorEastAsia" w:eastAsiaTheme="minorEastAsia" w:cstheme="minorEastAsia"/>
          <w:b w:val="0"/>
          <w:bCs/>
          <w:color w:val="auto"/>
          <w:spacing w:val="-8"/>
          <w:sz w:val="24"/>
          <w:szCs w:val="24"/>
          <w:highlight w:val="none"/>
        </w:rPr>
        <w:t>，否则甲方有权要求乙方支付违约金</w:t>
      </w:r>
      <w:r>
        <w:rPr>
          <w:rFonts w:asciiTheme="minorEastAsia" w:hAnsiTheme="minorEastAsia" w:eastAsiaTheme="minorEastAsia" w:cstheme="minorEastAsia"/>
          <w:b w:val="0"/>
          <w:bCs/>
          <w:color w:val="auto"/>
          <w:spacing w:val="-8"/>
          <w:sz w:val="24"/>
          <w:szCs w:val="24"/>
          <w:highlight w:val="none"/>
          <w:u w:val="single"/>
        </w:rPr>
        <w:t xml:space="preserve"> 1000</w:t>
      </w:r>
      <w:r>
        <w:rPr>
          <w:rFonts w:hint="eastAsia" w:asciiTheme="minorEastAsia" w:hAnsiTheme="minorEastAsia" w:eastAsiaTheme="minorEastAsia" w:cstheme="minorEastAsia"/>
          <w:b w:val="0"/>
          <w:bCs/>
          <w:color w:val="auto"/>
          <w:spacing w:val="-8"/>
          <w:sz w:val="24"/>
          <w:szCs w:val="24"/>
          <w:highlight w:val="none"/>
          <w:u w:val="single"/>
        </w:rPr>
        <w:t>元</w:t>
      </w:r>
      <w:r>
        <w:rPr>
          <w:rFonts w:asciiTheme="minorEastAsia" w:hAnsiTheme="minorEastAsia" w:eastAsiaTheme="minorEastAsia" w:cstheme="minorEastAsia"/>
          <w:b w:val="0"/>
          <w:bCs/>
          <w:color w:val="auto"/>
          <w:spacing w:val="-8"/>
          <w:sz w:val="24"/>
          <w:szCs w:val="24"/>
          <w:highlight w:val="none"/>
        </w:rPr>
        <w:t>/</w:t>
      </w:r>
      <w:r>
        <w:rPr>
          <w:rFonts w:hint="eastAsia" w:asciiTheme="minorEastAsia" w:hAnsiTheme="minorEastAsia" w:eastAsiaTheme="minorEastAsia" w:cstheme="minorEastAsia"/>
          <w:b w:val="0"/>
          <w:bCs/>
          <w:color w:val="auto"/>
          <w:spacing w:val="-8"/>
          <w:sz w:val="24"/>
          <w:szCs w:val="24"/>
          <w:highlight w:val="none"/>
        </w:rPr>
        <w:t>天，因此造成损失的，按实际发生额赔偿。</w:t>
      </w:r>
    </w:p>
    <w:p>
      <w:pPr>
        <w:pStyle w:val="11"/>
        <w:tabs>
          <w:tab w:val="left" w:pos="618"/>
        </w:tabs>
        <w:spacing w:line="360" w:lineRule="auto"/>
        <w:ind w:firstLine="482"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第六条</w:t>
      </w:r>
      <w:r>
        <w:rPr>
          <w:rFonts w:hint="eastAsia" w:asciiTheme="minorEastAsia" w:hAnsiTheme="minorEastAsia" w:eastAsiaTheme="minorEastAsia" w:cstheme="minorEastAsia"/>
          <w:b/>
          <w:bCs/>
          <w:color w:val="auto"/>
          <w:kern w:val="0"/>
          <w:sz w:val="24"/>
          <w:szCs w:val="24"/>
          <w:highlight w:val="none"/>
        </w:rPr>
        <w:t>安全、文明施工要求</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6.1</w:t>
      </w:r>
      <w:r>
        <w:rPr>
          <w:rFonts w:hint="eastAsia" w:asciiTheme="minorEastAsia" w:hAnsiTheme="minorEastAsia" w:eastAsiaTheme="minorEastAsia"/>
          <w:color w:val="auto"/>
          <w:sz w:val="24"/>
          <w:highlight w:val="none"/>
        </w:rPr>
        <w:t>乙方应做到安全文明施工，并签订《</w:t>
      </w:r>
      <w:r>
        <w:rPr>
          <w:rFonts w:hint="eastAsia" w:asciiTheme="minorEastAsia" w:hAnsiTheme="minorEastAsia" w:eastAsiaTheme="minorEastAsia" w:cstheme="minorEastAsia"/>
          <w:color w:val="auto"/>
          <w:sz w:val="24"/>
          <w:highlight w:val="none"/>
        </w:rPr>
        <w:t>安全协议书</w:t>
      </w:r>
      <w:r>
        <w:rPr>
          <w:rFonts w:hint="eastAsia" w:asciiTheme="minorEastAsia" w:hAnsiTheme="minorEastAsia" w:eastAsiaTheme="minorEastAsia"/>
          <w:color w:val="auto"/>
          <w:sz w:val="24"/>
          <w:highlight w:val="none"/>
        </w:rPr>
        <w:t>》（见附件）。</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6.2</w:t>
      </w:r>
      <w:r>
        <w:rPr>
          <w:rFonts w:hint="eastAsia" w:asciiTheme="minorEastAsia" w:hAnsiTheme="minorEastAsia" w:eastAsiaTheme="minorEastAsia"/>
          <w:color w:val="auto"/>
          <w:sz w:val="24"/>
          <w:highlight w:val="none"/>
        </w:rPr>
        <w:t>乙方应严格遵守规定的施工时间，降低施工噪音。</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6.3</w:t>
      </w:r>
      <w:r>
        <w:rPr>
          <w:rFonts w:hint="eastAsia" w:asciiTheme="minorEastAsia" w:hAnsiTheme="minorEastAsia" w:eastAsiaTheme="minorEastAsia"/>
          <w:color w:val="auto"/>
          <w:sz w:val="24"/>
          <w:highlight w:val="none"/>
        </w:rPr>
        <w:t>乙方负责做好现场文明施工、安全围蔽及</w:t>
      </w:r>
      <w:r>
        <w:rPr>
          <w:rFonts w:hint="eastAsia" w:asciiTheme="minorEastAsia" w:hAnsiTheme="minorEastAsia" w:eastAsiaTheme="minorEastAsia" w:cstheme="minorEastAsia"/>
          <w:bCs/>
          <w:color w:val="auto"/>
          <w:sz w:val="24"/>
          <w:highlight w:val="none"/>
        </w:rPr>
        <w:t>防护措施</w:t>
      </w:r>
      <w:r>
        <w:rPr>
          <w:rFonts w:hint="eastAsia" w:asciiTheme="minorEastAsia" w:hAnsiTheme="minorEastAsia" w:eastAsiaTheme="minorEastAsia"/>
          <w:color w:val="auto"/>
          <w:sz w:val="24"/>
          <w:highlight w:val="none"/>
        </w:rPr>
        <w:t>等工作，涉及下井作业的，必须做好气体检测、井内通风、照明等安全措施。</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6.4</w:t>
      </w:r>
      <w:r>
        <w:rPr>
          <w:rFonts w:hint="eastAsia" w:asciiTheme="minorEastAsia" w:hAnsiTheme="minorEastAsia" w:eastAsiaTheme="minorEastAsia"/>
          <w:color w:val="auto"/>
          <w:sz w:val="24"/>
          <w:highlight w:val="none"/>
        </w:rPr>
        <w:t>未经甲方同意及有关部门批准，乙方在施工中不得随意拆改原建筑物结构及各种设备管线。</w:t>
      </w:r>
      <w:r>
        <w:rPr>
          <w:rFonts w:hint="eastAsia" w:asciiTheme="minorEastAsia" w:hAnsiTheme="minorEastAsia" w:eastAsiaTheme="minorEastAsia" w:cstheme="minorEastAsia"/>
          <w:color w:val="auto"/>
          <w:sz w:val="24"/>
          <w:highlight w:val="none"/>
        </w:rPr>
        <w:t>若有任何损坏，须立即通知有关部门和甲方，并承担损失和修复费用。</w:t>
      </w:r>
    </w:p>
    <w:p>
      <w:pPr>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6.5</w:t>
      </w:r>
      <w:r>
        <w:rPr>
          <w:rFonts w:hint="eastAsia" w:asciiTheme="minorEastAsia" w:hAnsiTheme="minorEastAsia" w:eastAsiaTheme="minorEastAsia" w:cstheme="minorEastAsia"/>
          <w:color w:val="auto"/>
          <w:sz w:val="24"/>
          <w:highlight w:val="none"/>
        </w:rPr>
        <w:t>现场施工人员必须严格遵守甲方一切规章制度。进入施工现场人员必须佩戴出入证，并自觉接受门岗检查。</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6.6</w:t>
      </w:r>
      <w:r>
        <w:rPr>
          <w:rFonts w:hint="eastAsia" w:asciiTheme="minorEastAsia" w:hAnsiTheme="minorEastAsia" w:eastAsiaTheme="minorEastAsia"/>
          <w:color w:val="auto"/>
          <w:sz w:val="24"/>
          <w:highlight w:val="none"/>
        </w:rPr>
        <w:t>施工用水用电采用以下（</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）方式执行。</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hint="eastAsia" w:ascii="宋体" w:hAnsi="宋体" w:cs="宋体"/>
          <w:color w:val="auto"/>
          <w:sz w:val="24"/>
          <w:highlight w:val="none"/>
          <w:lang w:val="en-US" w:eastAsia="zh-CN"/>
        </w:rPr>
        <w:t>由甲方提供施工用水用电接口，水电费按合同综合单价水电含量计算，从甲方支付的工程款中直接扣回。</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）由甲方提供施工用水用电接口，费用按（月</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项目）结算，由乙方向甲方或甲方下辖分公司</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子公司支付。水电费用按所属供电局、自来水公司收费标准，按实计算。</w:t>
      </w:r>
    </w:p>
    <w:p>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6.7</w:t>
      </w:r>
      <w:r>
        <w:rPr>
          <w:rFonts w:hint="eastAsia" w:asciiTheme="minorEastAsia" w:hAnsiTheme="minorEastAsia" w:eastAsiaTheme="minorEastAsia" w:cstheme="minorEastAsia"/>
          <w:color w:val="auto"/>
          <w:sz w:val="24"/>
          <w:highlight w:val="none"/>
        </w:rPr>
        <w:t>环境保护要求：</w:t>
      </w:r>
    </w:p>
    <w:p>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）做好施工噪声、废气、废水等控制；</w:t>
      </w:r>
    </w:p>
    <w:p>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rPr>
        <w:t>）按照国家及广州市相关规定做好建筑垃圾的处理。</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6.8 </w:t>
      </w:r>
      <w:r>
        <w:rPr>
          <w:rFonts w:hint="eastAsia" w:asciiTheme="minorEastAsia" w:hAnsiTheme="minorEastAsia" w:eastAsiaTheme="minorEastAsia"/>
          <w:color w:val="auto"/>
          <w:sz w:val="24"/>
          <w:highlight w:val="none"/>
        </w:rPr>
        <w:t>乙方应保证施工现场整齐，在完工验收合格后</w:t>
      </w:r>
      <w:r>
        <w:rPr>
          <w:rFonts w:hint="eastAsia" w:asciiTheme="minorEastAsia" w:hAnsiTheme="minorEastAsia"/>
          <w:color w:val="auto"/>
          <w:sz w:val="24"/>
          <w:highlight w:val="none"/>
          <w:lang w:val="en-US" w:eastAsia="zh-CN"/>
        </w:rPr>
        <w:t>15</w:t>
      </w:r>
      <w:r>
        <w:rPr>
          <w:rFonts w:hint="eastAsia" w:asciiTheme="minorEastAsia" w:hAnsiTheme="minorEastAsia" w:eastAsiaTheme="minorEastAsia"/>
          <w:color w:val="auto"/>
          <w:sz w:val="24"/>
          <w:highlight w:val="none"/>
        </w:rPr>
        <w:t>日内</w:t>
      </w:r>
      <w:r>
        <w:rPr>
          <w:rFonts w:hint="eastAsia" w:asciiTheme="minorEastAsia" w:hAnsiTheme="minorEastAsia" w:eastAsiaTheme="minorEastAsia" w:cstheme="minorEastAsia"/>
          <w:color w:val="auto"/>
          <w:sz w:val="24"/>
          <w:highlight w:val="none"/>
        </w:rPr>
        <w:t>将产生的垃圾、淤泥清离现场并进行合法处置。</w:t>
      </w:r>
    </w:p>
    <w:p>
      <w:pPr>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6.9 </w:t>
      </w:r>
      <w:r>
        <w:rPr>
          <w:rFonts w:hint="eastAsia" w:asciiTheme="minorEastAsia" w:hAnsiTheme="minorEastAsia" w:eastAsiaTheme="minorEastAsia"/>
          <w:color w:val="auto"/>
          <w:sz w:val="24"/>
          <w:highlight w:val="none"/>
        </w:rPr>
        <w:t>乙方应做好施工人员的安全培训教育，乙方人员安全责任由乙方承担。</w:t>
      </w:r>
    </w:p>
    <w:p>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 xml:space="preserve">6.10 </w:t>
      </w:r>
      <w:r>
        <w:rPr>
          <w:rFonts w:hint="eastAsia" w:asciiTheme="minorEastAsia" w:hAnsiTheme="minorEastAsia" w:eastAsiaTheme="minorEastAsia" w:cstheme="minorEastAsia"/>
          <w:color w:val="auto"/>
          <w:sz w:val="24"/>
          <w:highlight w:val="none"/>
        </w:rPr>
        <w:t>乙方应执行相关法律法规及甲方相关作业施工管理要求。</w:t>
      </w:r>
    </w:p>
    <w:p>
      <w:pPr>
        <w:spacing w:line="360" w:lineRule="auto"/>
        <w:ind w:firstLine="482"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第七条</w:t>
      </w:r>
      <w:r>
        <w:rPr>
          <w:rFonts w:hint="eastAsia" w:asciiTheme="minorEastAsia" w:hAnsiTheme="minorEastAsia" w:eastAsiaTheme="minorEastAsia" w:cstheme="minorEastAsia"/>
          <w:b/>
          <w:color w:val="auto"/>
          <w:sz w:val="24"/>
          <w:highlight w:val="none"/>
        </w:rPr>
        <w:t>工程验收：</w:t>
      </w:r>
    </w:p>
    <w:p>
      <w:pPr>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7.1</w:t>
      </w:r>
      <w:r>
        <w:rPr>
          <w:rFonts w:hint="eastAsia" w:asciiTheme="minorEastAsia" w:hAnsiTheme="minorEastAsia" w:eastAsiaTheme="minorEastAsia" w:cstheme="minorEastAsia"/>
          <w:color w:val="auto"/>
          <w:sz w:val="24"/>
          <w:highlight w:val="none"/>
        </w:rPr>
        <w:t>乙方应在工程完工后</w:t>
      </w:r>
      <w:r>
        <w:rPr>
          <w:rFonts w:hint="eastAsia" w:asciiTheme="minorEastAsia" w:hAnsiTheme="minorEastAsia" w:cstheme="minorEastAsia"/>
          <w:color w:val="auto"/>
          <w:sz w:val="24"/>
          <w:highlight w:val="none"/>
          <w:lang w:val="en-US" w:eastAsia="zh-CN"/>
        </w:rPr>
        <w:t>15</w:t>
      </w:r>
      <w:r>
        <w:rPr>
          <w:rFonts w:hint="eastAsia" w:asciiTheme="minorEastAsia" w:hAnsiTheme="minorEastAsia" w:eastAsiaTheme="minorEastAsia" w:cstheme="minorEastAsia"/>
          <w:color w:val="auto"/>
          <w:sz w:val="24"/>
          <w:highlight w:val="none"/>
        </w:rPr>
        <w:t>天内向甲方提交完整的竣工验收资料（</w:t>
      </w:r>
      <w:r>
        <w:rPr>
          <w:rFonts w:hint="eastAsia" w:asciiTheme="minorEastAsia" w:hAnsiTheme="minorEastAsia" w:eastAsiaTheme="minorEastAsia" w:cstheme="minorEastAsia"/>
          <w:color w:val="auto"/>
          <w:sz w:val="24"/>
          <w:highlight w:val="none"/>
          <w:u w:val="single"/>
        </w:rPr>
        <w:t>具体包括：</w:t>
      </w:r>
      <w:r>
        <w:rPr>
          <w:rFonts w:hint="eastAsia" w:asciiTheme="minorEastAsia" w:hAnsiTheme="minorEastAsia" w:cstheme="minorEastAsia"/>
          <w:color w:val="auto"/>
          <w:sz w:val="24"/>
          <w:highlight w:val="none"/>
          <w:u w:val="single"/>
          <w:lang w:val="en-US" w:eastAsia="zh-CN"/>
        </w:rPr>
        <w:t>开工报告等</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和竣工验收报告各一式</w:t>
      </w:r>
      <w:r>
        <w:rPr>
          <w:rFonts w:hint="eastAsia" w:asciiTheme="minorEastAsia" w:hAnsiTheme="minorEastAsia" w:cstheme="minorEastAsia"/>
          <w:i w:val="0"/>
          <w:iCs w:val="0"/>
          <w:caps w:val="0"/>
          <w:color w:val="auto"/>
          <w:spacing w:val="0"/>
          <w:sz w:val="24"/>
          <w:szCs w:val="22"/>
          <w:highlight w:val="none"/>
          <w:shd w:val="clear" w:fill="auto"/>
          <w:lang w:val="en-US" w:eastAsia="zh-CN"/>
        </w:rPr>
        <w:t>四</w:t>
      </w:r>
      <w:r>
        <w:rPr>
          <w:rFonts w:hint="eastAsia" w:asciiTheme="minorEastAsia" w:hAnsiTheme="minorEastAsia" w:eastAsiaTheme="minorEastAsia" w:cstheme="minorEastAsia"/>
          <w:color w:val="auto"/>
          <w:sz w:val="24"/>
          <w:highlight w:val="none"/>
        </w:rPr>
        <w:t>份，不按时报送工程竣工资料的，每逾期一天，乙方支付</w:t>
      </w:r>
      <w:r>
        <w:rPr>
          <w:rFonts w:hint="eastAsia" w:asciiTheme="minorEastAsia" w:hAnsiTheme="minorEastAsia" w:eastAsiaTheme="minorEastAsia" w:cstheme="minorEastAsia"/>
          <w:color w:val="auto"/>
          <w:sz w:val="24"/>
          <w:highlight w:val="none"/>
          <w:u w:val="single"/>
        </w:rPr>
        <w:t>合同暂定总价万分之五</w:t>
      </w:r>
      <w:r>
        <w:rPr>
          <w:rFonts w:asciiTheme="minorEastAsia" w:hAnsiTheme="minorEastAsia" w:eastAsiaTheme="minorEastAsia" w:cstheme="minorEastAsia"/>
          <w:color w:val="auto"/>
          <w:sz w:val="24"/>
          <w:highlight w:val="none"/>
          <w:u w:val="single"/>
        </w:rPr>
        <w:t>/天</w:t>
      </w:r>
      <w:r>
        <w:rPr>
          <w:rFonts w:hint="eastAsia" w:asciiTheme="minorEastAsia" w:hAnsiTheme="minorEastAsia" w:eastAsiaTheme="minorEastAsia" w:cstheme="minorEastAsia"/>
          <w:color w:val="auto"/>
          <w:sz w:val="24"/>
          <w:highlight w:val="none"/>
        </w:rPr>
        <w:t>作为违约金，并在支付合同结算款时抵扣。</w:t>
      </w:r>
    </w:p>
    <w:p>
      <w:pPr>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7.2</w:t>
      </w:r>
      <w:r>
        <w:rPr>
          <w:rFonts w:hint="eastAsia" w:asciiTheme="minorEastAsia" w:hAnsiTheme="minorEastAsia" w:eastAsiaTheme="minorEastAsia" w:cstheme="minorEastAsia"/>
          <w:color w:val="auto"/>
          <w:sz w:val="24"/>
          <w:highlight w:val="none"/>
        </w:rPr>
        <w:t>甲方在收到完整的竣工验收资料后</w:t>
      </w:r>
      <w:r>
        <w:rPr>
          <w:rFonts w:hint="eastAsia" w:asciiTheme="minorEastAsia" w:hAnsi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天内，根据国家、省、广州市的工程验收标准有关规定，组织人员进行竣工验收，经竣工验收合格后签发竣工验收报告。如未能通过竣工验收，乙方应按甲方要求在</w:t>
      </w:r>
      <w:r>
        <w:rPr>
          <w:rFonts w:hint="eastAsia" w:asciiTheme="minorEastAsia" w:hAnsi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天内无偿返工，并重新申请验收。工期不予顺延。</w:t>
      </w:r>
    </w:p>
    <w:p>
      <w:pPr>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7.3</w:t>
      </w:r>
      <w:r>
        <w:rPr>
          <w:rFonts w:hint="eastAsia" w:asciiTheme="minorEastAsia" w:hAnsiTheme="minorEastAsia" w:eastAsiaTheme="minorEastAsia" w:cstheme="minorEastAsia"/>
          <w:color w:val="auto"/>
          <w:sz w:val="24"/>
          <w:highlight w:val="none"/>
        </w:rPr>
        <w:t>工程竣工验收合格的，乙方送交完整的竣工验收资料和竣工验收报告的日期为实际竣工日期。工程按甲方要求整改后通过竣工验收的，实际竣工日期为乙方重新提请甲方验收的日期。</w:t>
      </w:r>
    </w:p>
    <w:p>
      <w:pPr>
        <w:tabs>
          <w:tab w:val="left" w:pos="210"/>
          <w:tab w:val="left" w:pos="851"/>
        </w:tabs>
        <w:adjustRightInd w:val="0"/>
        <w:snapToGrid w:val="0"/>
        <w:spacing w:line="360" w:lineRule="auto"/>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第八条双方的权利义务：</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8.1</w:t>
      </w:r>
      <w:r>
        <w:rPr>
          <w:rFonts w:hint="eastAsia" w:asciiTheme="minorEastAsia" w:hAnsiTheme="minorEastAsia" w:eastAsiaTheme="minorEastAsia"/>
          <w:color w:val="auto"/>
          <w:sz w:val="24"/>
          <w:highlight w:val="none"/>
        </w:rPr>
        <w:t>甲方应按本合同约定的付款方式支付合同价款。</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8.2 </w:t>
      </w:r>
      <w:r>
        <w:rPr>
          <w:rFonts w:hint="eastAsia" w:asciiTheme="minorEastAsia" w:hAnsiTheme="minorEastAsia" w:eastAsiaTheme="minorEastAsia"/>
          <w:color w:val="auto"/>
          <w:sz w:val="24"/>
          <w:highlight w:val="none"/>
        </w:rPr>
        <w:t>乙方禁止将所承包的工程转包和分包给第三人。</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8.3 </w:t>
      </w:r>
      <w:r>
        <w:rPr>
          <w:rFonts w:hint="eastAsia" w:asciiTheme="minorEastAsia" w:hAnsiTheme="minorEastAsia" w:eastAsiaTheme="minorEastAsia"/>
          <w:color w:val="auto"/>
          <w:sz w:val="24"/>
          <w:highlight w:val="none"/>
        </w:rPr>
        <w:t>乙方必须按照合同要求实施工程。完工后及时通知甲方对工程进行完工验收。</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8.4 </w:t>
      </w:r>
      <w:r>
        <w:rPr>
          <w:rFonts w:hint="eastAsia" w:asciiTheme="minorEastAsia" w:hAnsiTheme="minorEastAsia" w:eastAsiaTheme="minorEastAsia"/>
          <w:color w:val="auto"/>
          <w:sz w:val="24"/>
          <w:highlight w:val="none"/>
        </w:rPr>
        <w:t>乙方在施工过程中应管理好施工人员，妥善保管好材料、设备和工具，负责施工现场的清理工作。</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宋体" w:hAnsi="宋体" w:cs="宋体"/>
          <w:color w:val="auto"/>
          <w:szCs w:val="21"/>
          <w:highlight w:val="none"/>
          <w:lang w:eastAsia="zh-CN"/>
        </w:rPr>
        <w:t>□</w:t>
      </w:r>
      <w:r>
        <w:rPr>
          <w:rFonts w:hint="eastAsia" w:ascii="宋体" w:hAnsi="宋体" w:cs="宋体"/>
          <w:bCs/>
          <w:color w:val="auto"/>
          <w:sz w:val="24"/>
          <w:highlight w:val="none"/>
        </w:rPr>
        <w:t>无；</w:t>
      </w:r>
      <w:r>
        <w:rPr>
          <w:rFonts w:hint="eastAsia" w:ascii="仿宋_GB2312" w:eastAsia="仿宋_GB2312"/>
          <w:color w:val="auto"/>
          <w:sz w:val="28"/>
          <w:szCs w:val="28"/>
          <w:highlight w:val="none"/>
          <w:lang w:eastAsia="zh-CN"/>
        </w:rPr>
        <w:t>☑</w:t>
      </w:r>
      <w:r>
        <w:rPr>
          <w:rFonts w:hint="eastAsia" w:ascii="宋体" w:hAnsi="宋体" w:cs="宋体"/>
          <w:color w:val="auto"/>
          <w:szCs w:val="21"/>
          <w:highlight w:val="none"/>
        </w:rPr>
        <w:t>有,</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hint="eastAsia" w:ascii="宋体" w:hAnsi="宋体" w:cs="宋体"/>
          <w:color w:val="auto"/>
          <w:sz w:val="24"/>
          <w:highlight w:val="none"/>
          <w:u w:val="single"/>
        </w:rPr>
        <w:t>（大写人民币：…），</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0"/>
        <w:spacing w:before="0" w:beforeAutospacing="0" w:after="0" w:afterAutospacing="0" w:line="384" w:lineRule="auto"/>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0"/>
        <w:spacing w:before="0" w:beforeAutospacing="0" w:after="0" w:afterAutospacing="0" w:line="360" w:lineRule="auto"/>
        <w:ind w:firstLine="480"/>
        <w:rPr>
          <w:color w:val="auto"/>
          <w:highlight w:val="none"/>
        </w:rPr>
      </w:pPr>
      <w:r>
        <w:rPr>
          <w:rFonts w:hint="eastAsia"/>
          <w:color w:val="auto"/>
          <w:highlight w:val="none"/>
        </w:rPr>
        <w:t>（1）符合甲方要求（详见附件</w:t>
      </w:r>
      <w:r>
        <w:rPr>
          <w:rFonts w:hint="eastAsia"/>
          <w:color w:val="auto"/>
          <w:highlight w:val="none"/>
          <w:lang w:val="en-US" w:eastAsia="zh-CN"/>
        </w:rPr>
        <w:t>9</w:t>
      </w:r>
      <w:r>
        <w:rPr>
          <w:rFonts w:hint="eastAsia"/>
          <w:color w:val="auto"/>
          <w:highlight w:val="none"/>
        </w:rPr>
        <w:t>保函格式）的银行独立保函，</w:t>
      </w:r>
    </w:p>
    <w:p>
      <w:pPr>
        <w:pStyle w:val="20"/>
        <w:spacing w:before="0" w:beforeAutospacing="0" w:after="0" w:afterAutospacing="0" w:line="360" w:lineRule="auto"/>
        <w:ind w:firstLine="480"/>
        <w:rPr>
          <w:color w:val="auto"/>
          <w:highlight w:val="none"/>
        </w:rPr>
      </w:pPr>
      <w:r>
        <w:rPr>
          <w:rFonts w:hint="eastAsia"/>
          <w:color w:val="auto"/>
          <w:highlight w:val="none"/>
        </w:rPr>
        <w:t>（2）现金转账至甲方以下指定账户：</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384" w:lineRule="auto"/>
        <w:ind w:firstLine="480"/>
        <w:outlineLvl w:val="0"/>
        <w:rPr>
          <w:rFonts w:ascii="宋体" w:hAnsi="宋体" w:cs="宋体"/>
          <w:color w:val="auto"/>
          <w:sz w:val="24"/>
          <w:highlight w:val="none"/>
        </w:rPr>
      </w:pPr>
      <w:r>
        <w:rPr>
          <w:rFonts w:hint="eastAsia" w:ascii="宋体" w:hAnsi="宋体" w:cs="宋体"/>
          <w:color w:val="auto"/>
          <w:sz w:val="24"/>
          <w:highlight w:val="none"/>
        </w:rPr>
        <w:t>⑴履约银行保函（或现金履约保证金）的担保期限：从提供履约担保（或转账成功）之日起至合同履行完成。</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cs="宋体"/>
          <w:color w:val="auto"/>
          <w:sz w:val="24"/>
          <w:highlight w:val="none"/>
        </w:rPr>
      </w:pPr>
      <w:r>
        <w:rPr>
          <w:rFonts w:hint="eastAsia" w:ascii="宋体" w:hAnsi="宋体" w:cs="宋体"/>
          <w:color w:val="auto"/>
          <w:sz w:val="24"/>
          <w:highlight w:val="none"/>
        </w:rPr>
        <w:t>⑶延长担保期限。乙方以履约银行保函形式提交履约保证金的，在银行保函到期前，乙方应提前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0"/>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p>
    <w:p>
      <w:pPr>
        <w:spacing w:line="384" w:lineRule="auto"/>
        <w:rPr>
          <w:rFonts w:ascii="宋体" w:hAnsi="宋体" w:cs="宋体"/>
          <w:color w:val="auto"/>
          <w:sz w:val="24"/>
          <w:highlight w:val="none"/>
        </w:rPr>
      </w:pPr>
      <w:r>
        <w:rPr>
          <w:rFonts w:ascii="宋体" w:hAnsi="宋体" w:cs="宋体"/>
          <w:color w:val="auto"/>
          <w:sz w:val="24"/>
          <w:highlight w:val="none"/>
          <w:u w:val="single"/>
        </w:rPr>
        <w:t xml:space="preserve">  7  </w:t>
      </w:r>
      <w:r>
        <w:rPr>
          <w:rFonts w:hint="eastAsia" w:ascii="宋体" w:hAnsi="宋体" w:cs="宋体"/>
          <w:color w:val="auto"/>
          <w:sz w:val="24"/>
          <w:highlight w:val="none"/>
        </w:rPr>
        <w:t>日内补足数额，逾期未补足的，则甲方有权提取履约担保的全部余额并解除合同。</w:t>
      </w:r>
    </w:p>
    <w:p>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第九条违约责任</w:t>
      </w:r>
      <w:r>
        <w:rPr>
          <w:rFonts w:asciiTheme="minorEastAsia" w:hAnsiTheme="minorEastAsia" w:eastAsiaTheme="minorEastAsia"/>
          <w:b/>
          <w:color w:val="auto"/>
          <w:sz w:val="24"/>
          <w:highlight w:val="none"/>
        </w:rPr>
        <w:t>:</w:t>
      </w:r>
    </w:p>
    <w:p>
      <w:pPr>
        <w:pStyle w:val="11"/>
        <w:tabs>
          <w:tab w:val="left" w:pos="618"/>
        </w:tabs>
        <w:spacing w:line="360" w:lineRule="auto"/>
        <w:ind w:firstLine="480" w:firstLineChars="200"/>
        <w:rPr>
          <w:rFonts w:asciiTheme="minorEastAsia" w:hAnsiTheme="minorEastAsia" w:eastAsiaTheme="minorEastAsia" w:cstheme="minorEastAsia"/>
          <w:bCs/>
          <w:color w:val="auto"/>
          <w:kern w:val="0"/>
          <w:sz w:val="24"/>
          <w:szCs w:val="24"/>
          <w:highlight w:val="none"/>
        </w:rPr>
      </w:pPr>
      <w:r>
        <w:rPr>
          <w:rFonts w:asciiTheme="minorEastAsia" w:hAnsiTheme="minorEastAsia" w:eastAsiaTheme="minorEastAsia"/>
          <w:color w:val="auto"/>
          <w:sz w:val="24"/>
          <w:szCs w:val="24"/>
          <w:highlight w:val="none"/>
        </w:rPr>
        <w:t xml:space="preserve">9.1 </w:t>
      </w:r>
      <w:r>
        <w:rPr>
          <w:rFonts w:hint="eastAsia" w:asciiTheme="minorEastAsia" w:hAnsiTheme="minorEastAsia" w:eastAsiaTheme="minorEastAsia" w:cstheme="minorEastAsia"/>
          <w:bCs/>
          <w:color w:val="auto"/>
          <w:kern w:val="0"/>
          <w:sz w:val="24"/>
          <w:szCs w:val="24"/>
          <w:highlight w:val="none"/>
        </w:rPr>
        <w:t>乙方未能按合同工期竣工验收的，每逾期一天，甲方有权要求乙方按</w:t>
      </w:r>
      <w:r>
        <w:rPr>
          <w:rFonts w:hint="eastAsia" w:asciiTheme="minorEastAsia" w:hAnsiTheme="minorEastAsia" w:eastAsiaTheme="minorEastAsia" w:cstheme="minorEastAsia"/>
          <w:bCs/>
          <w:color w:val="auto"/>
          <w:kern w:val="0"/>
          <w:sz w:val="24"/>
          <w:szCs w:val="24"/>
          <w:highlight w:val="none"/>
          <w:u w:val="single"/>
        </w:rPr>
        <w:t>合同暂定总价的</w:t>
      </w:r>
      <w:r>
        <w:rPr>
          <w:rFonts w:asciiTheme="minorEastAsia" w:hAnsiTheme="minorEastAsia" w:eastAsiaTheme="minorEastAsia" w:cstheme="minorEastAsia"/>
          <w:bCs/>
          <w:color w:val="auto"/>
          <w:kern w:val="0"/>
          <w:sz w:val="24"/>
          <w:szCs w:val="24"/>
          <w:highlight w:val="none"/>
          <w:u w:val="single"/>
        </w:rPr>
        <w:t xml:space="preserve"> 1% </w:t>
      </w:r>
      <w:r>
        <w:rPr>
          <w:rFonts w:hint="eastAsia" w:asciiTheme="minorEastAsia" w:hAnsiTheme="minorEastAsia" w:eastAsiaTheme="minorEastAsia" w:cstheme="minorEastAsia"/>
          <w:bCs/>
          <w:color w:val="auto"/>
          <w:kern w:val="0"/>
          <w:sz w:val="24"/>
          <w:szCs w:val="24"/>
          <w:highlight w:val="none"/>
        </w:rPr>
        <w:t>支付违约金，逾期达到</w:t>
      </w:r>
      <w:r>
        <w:rPr>
          <w:rFonts w:asciiTheme="minorEastAsia" w:hAnsiTheme="minorEastAsia" w:eastAsiaTheme="minorEastAsia" w:cstheme="minorEastAsia"/>
          <w:bCs/>
          <w:color w:val="auto"/>
          <w:kern w:val="0"/>
          <w:sz w:val="24"/>
          <w:szCs w:val="24"/>
          <w:highlight w:val="none"/>
          <w:u w:val="single"/>
        </w:rPr>
        <w:t xml:space="preserve"> 10 </w:t>
      </w:r>
      <w:r>
        <w:rPr>
          <w:rFonts w:hint="eastAsia" w:asciiTheme="minorEastAsia" w:hAnsiTheme="minorEastAsia" w:eastAsiaTheme="minorEastAsia" w:cstheme="minorEastAsia"/>
          <w:bCs/>
          <w:color w:val="auto"/>
          <w:kern w:val="0"/>
          <w:sz w:val="24"/>
          <w:szCs w:val="24"/>
          <w:highlight w:val="none"/>
        </w:rPr>
        <w:t>天及以上的，甲方有权解除合同。</w:t>
      </w:r>
    </w:p>
    <w:p>
      <w:pPr>
        <w:widowControl/>
        <w:spacing w:line="360" w:lineRule="auto"/>
        <w:ind w:firstLine="480" w:firstLineChars="200"/>
        <w:jc w:val="left"/>
        <w:rPr>
          <w:rFonts w:ascii="宋体" w:hAnsi="宋体" w:cs="宋体"/>
          <w:bCs/>
          <w:color w:val="auto"/>
          <w:sz w:val="24"/>
          <w:highlight w:val="none"/>
        </w:rPr>
      </w:pPr>
      <w:r>
        <w:rPr>
          <w:rFonts w:asciiTheme="minorEastAsia" w:hAnsiTheme="minorEastAsia" w:eastAsiaTheme="minorEastAsia" w:cstheme="minorEastAsia"/>
          <w:bCs/>
          <w:color w:val="auto"/>
          <w:kern w:val="0"/>
          <w:sz w:val="24"/>
          <w:highlight w:val="none"/>
        </w:rPr>
        <w:t xml:space="preserve">9.2 </w:t>
      </w:r>
      <w:r>
        <w:rPr>
          <w:rFonts w:hint="eastAsia" w:asciiTheme="minorEastAsia" w:hAnsiTheme="minorEastAsia" w:eastAsiaTheme="minorEastAsia"/>
          <w:bCs/>
          <w:color w:val="auto"/>
          <w:sz w:val="24"/>
          <w:highlight w:val="none"/>
        </w:rPr>
        <w:t>如甲方或相关部门在施工过程中发现安全问题或者发出整改通知书，乙方应立即整改。如果逾期不整改或者整改不符合合同约定，</w:t>
      </w:r>
      <w:r>
        <w:rPr>
          <w:rFonts w:hint="eastAsia" w:ascii="宋体" w:hAnsi="宋体" w:cs="宋体"/>
          <w:bCs/>
          <w:color w:val="auto"/>
          <w:sz w:val="24"/>
          <w:highlight w:val="none"/>
        </w:rPr>
        <w:t>甲方有权要求乙方支付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5%/</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作为违约金，超过三次（含三次）的，甲方有权解除合同，要求乙方支付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作为违约金。由此造成的经济和法律责任，均由乙方负责。</w:t>
      </w:r>
    </w:p>
    <w:p>
      <w:pPr>
        <w:topLinePunct/>
        <w:spacing w:line="500" w:lineRule="exact"/>
        <w:ind w:firstLine="480" w:firstLineChars="200"/>
        <w:rPr>
          <w:rFonts w:hint="eastAsia" w:asciiTheme="minorEastAsia" w:hAnsiTheme="minorEastAsia" w:eastAsiaTheme="minorEastAsia"/>
          <w:bCs/>
          <w:color w:val="auto"/>
          <w:sz w:val="24"/>
          <w:highlight w:val="none"/>
          <w:lang w:val="en-US" w:eastAsia="zh-CN"/>
        </w:rPr>
      </w:pPr>
      <w:r>
        <w:rPr>
          <w:rFonts w:asciiTheme="minorEastAsia" w:hAnsiTheme="minorEastAsia" w:eastAsiaTheme="minorEastAsia"/>
          <w:bCs/>
          <w:color w:val="auto"/>
          <w:sz w:val="24"/>
          <w:highlight w:val="none"/>
        </w:rPr>
        <w:t>9.3乙方不履行合同义务、或履行合同义务不符合合同约定、或违反国家、省、市行业标准的，甲方有权要求乙方限期整改。乙方逾期未完成整改的，每项每超过1日支付违约金人民币1万元，超过</w:t>
      </w:r>
      <w:r>
        <w:rPr>
          <w:rFonts w:hint="eastAsia" w:asciiTheme="minorEastAsia" w:hAnsiTheme="minorEastAsia"/>
          <w:bCs/>
          <w:color w:val="auto"/>
          <w:sz w:val="24"/>
          <w:highlight w:val="none"/>
          <w:u w:val="single"/>
          <w:lang w:val="en-US" w:eastAsia="zh-CN"/>
        </w:rPr>
        <w:t>10</w:t>
      </w:r>
      <w:r>
        <w:rPr>
          <w:rFonts w:asciiTheme="minorEastAsia" w:hAnsiTheme="minorEastAsia" w:eastAsiaTheme="minorEastAsia"/>
          <w:bCs/>
          <w:color w:val="auto"/>
          <w:sz w:val="24"/>
          <w:highlight w:val="none"/>
        </w:rPr>
        <w:t>日，甲方有权解除合同并要求乙方支付</w:t>
      </w:r>
      <w:r>
        <w:rPr>
          <w:rFonts w:asciiTheme="minorEastAsia" w:hAnsiTheme="minorEastAsia" w:eastAsiaTheme="minorEastAsia"/>
          <w:bCs/>
          <w:color w:val="auto"/>
          <w:sz w:val="24"/>
          <w:highlight w:val="none"/>
          <w:u w:val="single"/>
        </w:rPr>
        <w:t>合同暂定总价的20%</w:t>
      </w:r>
      <w:r>
        <w:rPr>
          <w:rFonts w:asciiTheme="minorEastAsia" w:hAnsiTheme="minorEastAsia" w:eastAsiaTheme="minorEastAsia"/>
          <w:bCs/>
          <w:color w:val="auto"/>
          <w:sz w:val="24"/>
          <w:highlight w:val="none"/>
        </w:rPr>
        <w:t>作为违约金</w:t>
      </w:r>
      <w:r>
        <w:rPr>
          <w:rFonts w:hint="eastAsia" w:asciiTheme="minorEastAsia" w:hAnsiTheme="minorEastAsia" w:eastAsia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lang w:val="en-US" w:eastAsia="zh-CN"/>
        </w:rPr>
        <w:t xml:space="preserve">   </w:t>
      </w:r>
    </w:p>
    <w:p>
      <w:pPr>
        <w:widowControl/>
        <w:spacing w:line="360" w:lineRule="auto"/>
        <w:ind w:firstLine="480" w:firstLineChars="200"/>
        <w:jc w:val="left"/>
        <w:rPr>
          <w:rFonts w:asciiTheme="minorEastAsia" w:hAnsiTheme="minorEastAsia" w:eastAsiaTheme="minorEastAsia"/>
          <w:bCs/>
          <w:color w:val="auto"/>
          <w:sz w:val="24"/>
          <w:highlight w:val="none"/>
        </w:rPr>
      </w:pP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第十条不可抗力</w:t>
      </w:r>
    </w:p>
    <w:p>
      <w:pPr>
        <w:pStyle w:val="11"/>
        <w:tabs>
          <w:tab w:val="left" w:pos="618"/>
        </w:tabs>
        <w:spacing w:line="360" w:lineRule="auto"/>
        <w:ind w:firstLine="480" w:firstLineChars="200"/>
        <w:rPr>
          <w:rFonts w:asciiTheme="minorEastAsia" w:hAnsiTheme="minorEastAsia" w:eastAsiaTheme="minorEastAsia" w:cstheme="minorEastAsia"/>
          <w:bCs/>
          <w:color w:val="auto"/>
          <w:kern w:val="0"/>
          <w:sz w:val="24"/>
          <w:szCs w:val="24"/>
          <w:highlight w:val="none"/>
        </w:rPr>
      </w:pPr>
      <w:r>
        <w:rPr>
          <w:rFonts w:asciiTheme="minorEastAsia" w:hAnsiTheme="minorEastAsia" w:eastAsiaTheme="minorEastAsia" w:cstheme="minorEastAsia"/>
          <w:bCs/>
          <w:color w:val="auto"/>
          <w:kern w:val="0"/>
          <w:sz w:val="24"/>
          <w:szCs w:val="24"/>
          <w:highlight w:val="none"/>
        </w:rPr>
        <w:t xml:space="preserve">10.1 </w:t>
      </w:r>
      <w:r>
        <w:rPr>
          <w:rFonts w:hint="eastAsia" w:asciiTheme="minorEastAsia" w:hAnsiTheme="minorEastAsia" w:eastAsiaTheme="minorEastAsia" w:cstheme="minorEastAsia"/>
          <w:bCs/>
          <w:color w:val="auto"/>
          <w:kern w:val="0"/>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pStyle w:val="11"/>
        <w:tabs>
          <w:tab w:val="left" w:pos="618"/>
        </w:tabs>
        <w:spacing w:line="360" w:lineRule="auto"/>
        <w:ind w:firstLine="480" w:firstLineChars="200"/>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w:t>
      </w:r>
      <w:r>
        <w:rPr>
          <w:rFonts w:asciiTheme="minorEastAsia" w:hAnsiTheme="minorEastAsia" w:eastAsiaTheme="minorEastAsia" w:cstheme="minorEastAsia"/>
          <w:bCs/>
          <w:color w:val="auto"/>
          <w:kern w:val="0"/>
          <w:sz w:val="24"/>
          <w:szCs w:val="24"/>
          <w:highlight w:val="none"/>
        </w:rPr>
        <w:t>1）地震、火山爆发、滑坡、暴雨（橙色预警及以上）、台风（黄色预警及以上）、海啸、龙卷风、大面积流行病(如：非典型性肺炎等)或瘟疫；</w:t>
      </w:r>
    </w:p>
    <w:p>
      <w:pPr>
        <w:pStyle w:val="11"/>
        <w:tabs>
          <w:tab w:val="left" w:pos="618"/>
        </w:tabs>
        <w:spacing w:line="360" w:lineRule="auto"/>
        <w:ind w:firstLine="480" w:firstLineChars="200"/>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w:t>
      </w:r>
      <w:r>
        <w:rPr>
          <w:rFonts w:asciiTheme="minorEastAsia" w:hAnsiTheme="minorEastAsia" w:eastAsiaTheme="minorEastAsia" w:cstheme="minorEastAsia"/>
          <w:bCs/>
          <w:color w:val="auto"/>
          <w:kern w:val="0"/>
          <w:sz w:val="24"/>
          <w:szCs w:val="24"/>
          <w:highlight w:val="none"/>
        </w:rPr>
        <w:t>2）战争行为、入侵、武装冲突或外敌行为、封锁、暴乱、恐怖行为或军事演习；</w:t>
      </w:r>
    </w:p>
    <w:p>
      <w:pPr>
        <w:pStyle w:val="11"/>
        <w:tabs>
          <w:tab w:val="left" w:pos="618"/>
        </w:tabs>
        <w:spacing w:line="360" w:lineRule="auto"/>
        <w:ind w:firstLine="480" w:firstLineChars="200"/>
        <w:rPr>
          <w:rFonts w:asciiTheme="minorEastAsia" w:hAnsiTheme="minorEastAsia" w:eastAsiaTheme="minorEastAsia" w:cstheme="minorEastAsia"/>
          <w:bCs/>
          <w:color w:val="auto"/>
          <w:kern w:val="0"/>
          <w:sz w:val="24"/>
          <w:szCs w:val="24"/>
          <w:highlight w:val="none"/>
        </w:rPr>
      </w:pPr>
      <w:r>
        <w:rPr>
          <w:rFonts w:asciiTheme="minorEastAsia" w:hAnsiTheme="minorEastAsia" w:eastAsiaTheme="minorEastAsia" w:cstheme="minorEastAsia"/>
          <w:bCs/>
          <w:color w:val="auto"/>
          <w:kern w:val="0"/>
          <w:sz w:val="24"/>
          <w:szCs w:val="24"/>
          <w:highlight w:val="none"/>
        </w:rPr>
        <w:t xml:space="preserve">10.2 </w:t>
      </w:r>
      <w:r>
        <w:rPr>
          <w:rFonts w:hint="eastAsia" w:asciiTheme="minorEastAsia" w:hAnsiTheme="minorEastAsia" w:eastAsiaTheme="minorEastAsia" w:cstheme="minorEastAsia"/>
          <w:bCs/>
          <w:color w:val="auto"/>
          <w:kern w:val="0"/>
          <w:sz w:val="24"/>
          <w:szCs w:val="24"/>
          <w:highlight w:val="none"/>
        </w:rPr>
        <w:t>声称受到不可抗力影响的一方，应在发生不可抗力或知道发生不可抗力之后</w:t>
      </w:r>
      <w:r>
        <w:rPr>
          <w:rFonts w:asciiTheme="minorEastAsia" w:hAnsiTheme="minorEastAsia" w:eastAsiaTheme="minorEastAsia" w:cstheme="minorEastAsia"/>
          <w:bCs/>
          <w:color w:val="auto"/>
          <w:kern w:val="0"/>
          <w:sz w:val="24"/>
          <w:szCs w:val="24"/>
          <w:highlight w:val="none"/>
        </w:rPr>
        <w:t>5日内书面通知另一方，详细描述不可抗力的发生情况和对该方履行在本合同项下义务的影响，同时附上此种不可抗力事件及其持续时间的有效证明文件。</w:t>
      </w:r>
    </w:p>
    <w:p>
      <w:pPr>
        <w:pStyle w:val="11"/>
        <w:tabs>
          <w:tab w:val="left" w:pos="618"/>
        </w:tabs>
        <w:spacing w:line="360" w:lineRule="auto"/>
        <w:ind w:firstLine="480" w:firstLineChars="200"/>
        <w:rPr>
          <w:rFonts w:asciiTheme="minorEastAsia" w:hAnsiTheme="minorEastAsia" w:eastAsiaTheme="minorEastAsia" w:cstheme="minorEastAsia"/>
          <w:bCs/>
          <w:color w:val="auto"/>
          <w:kern w:val="0"/>
          <w:sz w:val="24"/>
          <w:highlight w:val="none"/>
        </w:rPr>
      </w:pPr>
      <w:r>
        <w:rPr>
          <w:rFonts w:asciiTheme="minorEastAsia" w:hAnsiTheme="minorEastAsia" w:eastAsiaTheme="minorEastAsia" w:cstheme="minorEastAsia"/>
          <w:bCs/>
          <w:color w:val="auto"/>
          <w:kern w:val="0"/>
          <w:sz w:val="24"/>
          <w:szCs w:val="24"/>
          <w:highlight w:val="none"/>
        </w:rPr>
        <w:t xml:space="preserve">10.3 </w:t>
      </w:r>
      <w:r>
        <w:rPr>
          <w:rFonts w:hint="eastAsia" w:asciiTheme="minorEastAsia" w:hAnsiTheme="minorEastAsia" w:eastAsiaTheme="minorEastAsia" w:cstheme="minorEastAsia"/>
          <w:bCs/>
          <w:color w:val="auto"/>
          <w:kern w:val="0"/>
          <w:sz w:val="24"/>
          <w:szCs w:val="24"/>
          <w:highlight w:val="none"/>
        </w:rPr>
        <w:t>因不可抗力导致合同无法履行的时间自该不可抗力发生日起连续超过玖拾</w:t>
      </w:r>
      <w:r>
        <w:rPr>
          <w:rFonts w:asciiTheme="minorEastAsia" w:hAnsiTheme="minorEastAsia" w:eastAsiaTheme="minorEastAsia" w:cstheme="minorEastAsia"/>
          <w:bCs/>
          <w:color w:val="auto"/>
          <w:kern w:val="0"/>
          <w:sz w:val="24"/>
          <w:szCs w:val="24"/>
          <w:highlight w:val="none"/>
        </w:rPr>
        <w:t>(90)天，双方应协商决定继续履行本合同的条件或者变更本合同。如果自不可抗力发生后壹佰捌拾(180)天之内双方不能达成一致意见，任何一方有权解除本合同。</w:t>
      </w:r>
    </w:p>
    <w:p>
      <w:pPr>
        <w:pStyle w:val="11"/>
        <w:tabs>
          <w:tab w:val="left" w:pos="618"/>
        </w:tabs>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stheme="minorEastAsia"/>
          <w:bCs/>
          <w:color w:val="auto"/>
          <w:kern w:val="0"/>
          <w:sz w:val="24"/>
          <w:highlight w:val="none"/>
        </w:rPr>
        <w:t xml:space="preserve">10.4 </w:t>
      </w:r>
      <w:r>
        <w:rPr>
          <w:rFonts w:hint="eastAsia" w:asciiTheme="minorEastAsia" w:hAnsiTheme="minorEastAsia" w:eastAsiaTheme="minorEastAsia" w:cstheme="minorEastAsia"/>
          <w:bCs/>
          <w:color w:val="auto"/>
          <w:kern w:val="0"/>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r>
        <w:rPr>
          <w:rFonts w:hint="eastAsia" w:asciiTheme="minorEastAsia" w:hAnsiTheme="minorEastAsia" w:eastAsiaTheme="minorEastAsia" w:cstheme="minorEastAsia"/>
          <w:bCs/>
          <w:color w:val="auto"/>
          <w:kern w:val="0"/>
          <w:sz w:val="24"/>
          <w:szCs w:val="24"/>
          <w:highlight w:val="none"/>
        </w:rPr>
        <w:t> </w:t>
      </w:r>
    </w:p>
    <w:p>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highlight w:val="none"/>
        </w:rPr>
        <w:t>第十一条</w:t>
      </w:r>
      <w:r>
        <w:rPr>
          <w:rFonts w:hint="eastAsia" w:asciiTheme="minorEastAsia" w:hAnsiTheme="minorEastAsia" w:eastAsiaTheme="minorEastAsia"/>
          <w:b/>
          <w:color w:val="auto"/>
          <w:sz w:val="24"/>
          <w:highlight w:val="none"/>
        </w:rPr>
        <w:t>争议解决方式：</w:t>
      </w:r>
    </w:p>
    <w:p>
      <w:pPr>
        <w:spacing w:line="360" w:lineRule="auto"/>
        <w:ind w:firstLine="600" w:firstLine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11.1 </w:t>
      </w:r>
      <w:r>
        <w:rPr>
          <w:rFonts w:hint="eastAsia" w:asciiTheme="minorEastAsia" w:hAnsiTheme="minorEastAsia" w:eastAsiaTheme="minorEastAsia"/>
          <w:color w:val="auto"/>
          <w:sz w:val="24"/>
          <w:highlight w:val="none"/>
        </w:rPr>
        <w:t>因本合同引起的或与本合同有关的任何争议，甲乙双方应友好协商解决，如协商不成，任何一方可依法向</w:t>
      </w:r>
      <w:r>
        <w:rPr>
          <w:rFonts w:hint="eastAsia" w:asciiTheme="minorEastAsia" w:hAnsiTheme="minorEastAsia" w:eastAsiaTheme="minorEastAsia"/>
          <w:color w:val="auto"/>
          <w:sz w:val="24"/>
          <w:highlight w:val="none"/>
          <w:u w:val="single"/>
        </w:rPr>
        <w:t>甲方所在地人民法院</w:t>
      </w:r>
      <w:r>
        <w:rPr>
          <w:rFonts w:hint="eastAsia" w:asciiTheme="minorEastAsia" w:hAnsiTheme="minorEastAsia" w:eastAsiaTheme="minorEastAsia"/>
          <w:color w:val="auto"/>
          <w:sz w:val="24"/>
          <w:highlight w:val="none"/>
        </w:rPr>
        <w:t>提起诉讼。</w:t>
      </w:r>
    </w:p>
    <w:p>
      <w:pPr>
        <w:spacing w:line="360" w:lineRule="auto"/>
        <w:ind w:firstLine="600" w:firstLine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11.2 </w:t>
      </w:r>
      <w:r>
        <w:rPr>
          <w:rFonts w:hint="eastAsia" w:ascii="宋体" w:hAnsi="宋体" w:cs="宋体"/>
          <w:color w:val="auto"/>
          <w:sz w:val="24"/>
          <w:highlight w:val="none"/>
        </w:rPr>
        <w:t>在甲方同意的情况下，除有争端之外的合同其它部分在争端解决前应继续执行。</w:t>
      </w:r>
    </w:p>
    <w:p>
      <w:pPr>
        <w:spacing w:line="360" w:lineRule="auto"/>
        <w:ind w:firstLine="598" w:firstLineChars="248"/>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第十二条其他：</w:t>
      </w:r>
    </w:p>
    <w:p>
      <w:pPr>
        <w:spacing w:line="360" w:lineRule="auto"/>
        <w:ind w:firstLine="595" w:firstLineChars="248"/>
        <w:rPr>
          <w:rFonts w:asciiTheme="minorEastAsia" w:hAnsiTheme="minorEastAsia" w:eastAsiaTheme="minorEastAsia"/>
          <w:b/>
          <w:color w:val="auto"/>
          <w:sz w:val="24"/>
          <w:highlight w:val="none"/>
        </w:rPr>
      </w:pPr>
      <w:r>
        <w:rPr>
          <w:rFonts w:asciiTheme="minorEastAsia" w:hAnsiTheme="minorEastAsia" w:eastAsiaTheme="minorEastAsia"/>
          <w:bCs/>
          <w:color w:val="auto"/>
          <w:sz w:val="24"/>
          <w:highlight w:val="none"/>
        </w:rPr>
        <w:t xml:space="preserve">12.1 </w:t>
      </w:r>
      <w:r>
        <w:rPr>
          <w:rFonts w:hint="eastAsia" w:asciiTheme="minorEastAsia" w:hAnsiTheme="minorEastAsia" w:eastAsiaTheme="minorEastAsia"/>
          <w:color w:val="auto"/>
          <w:sz w:val="24"/>
          <w:highlight w:val="none"/>
        </w:rPr>
        <w:t>本合同未尽事宜，可由甲乙双方另行签订补充协议。补充协议与本合同具有同等法律效力。</w:t>
      </w:r>
    </w:p>
    <w:p>
      <w:pPr>
        <w:spacing w:line="360" w:lineRule="auto"/>
        <w:ind w:firstLine="600" w:firstLine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12.2 </w:t>
      </w:r>
      <w:r>
        <w:rPr>
          <w:rFonts w:hint="eastAsia" w:asciiTheme="minorEastAsia" w:hAnsiTheme="minorEastAsia" w:eastAsiaTheme="minorEastAsia"/>
          <w:color w:val="auto"/>
          <w:sz w:val="24"/>
          <w:highlight w:val="none"/>
        </w:rPr>
        <w:t>本合同自甲乙双方法定代表人或授权代理人签字并加盖公章之日起生效。</w:t>
      </w:r>
    </w:p>
    <w:p>
      <w:pPr>
        <w:spacing w:line="360" w:lineRule="auto"/>
        <w:ind w:firstLine="638" w:firstLineChars="266"/>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12.3 </w:t>
      </w:r>
      <w:r>
        <w:rPr>
          <w:rFonts w:hint="eastAsia" w:asciiTheme="minorEastAsia" w:hAnsiTheme="minorEastAsia" w:eastAsiaTheme="minorEastAsia"/>
          <w:color w:val="auto"/>
          <w:sz w:val="24"/>
          <w:highlight w:val="none"/>
        </w:rPr>
        <w:t>本合同一式份，甲方执份，乙方执份。均具有同等法律效力。</w:t>
      </w:r>
    </w:p>
    <w:p>
      <w:pPr>
        <w:spacing w:line="360" w:lineRule="auto"/>
        <w:ind w:firstLine="638" w:firstLineChars="266"/>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12.4</w:t>
      </w:r>
      <w:r>
        <w:rPr>
          <w:rFonts w:hint="eastAsia" w:asciiTheme="minorEastAsia" w:hAnsiTheme="minorEastAsia" w:eastAsiaTheme="minorEastAsia"/>
          <w:color w:val="auto"/>
          <w:sz w:val="24"/>
          <w:highlight w:val="none"/>
        </w:rPr>
        <w:t>补充条款：</w:t>
      </w:r>
      <w:r>
        <w:rPr>
          <w:rFonts w:hint="eastAsia" w:asciiTheme="minorEastAsia" w:hAnsiTheme="minorEastAsia"/>
          <w:color w:val="auto"/>
          <w:sz w:val="24"/>
          <w:highlight w:val="none"/>
          <w:u w:val="single"/>
          <w:lang w:val="en-US" w:eastAsia="zh-CN"/>
        </w:rPr>
        <w:t>/</w:t>
      </w:r>
      <w:r>
        <w:rPr>
          <w:rFonts w:hint="eastAsia" w:asciiTheme="minorEastAsia" w:hAnsiTheme="minorEastAsia" w:eastAsiaTheme="minorEastAsia"/>
          <w:color w:val="auto"/>
          <w:sz w:val="24"/>
          <w:highlight w:val="none"/>
          <w:u w:val="single"/>
        </w:rPr>
        <w:t>。</w:t>
      </w:r>
    </w:p>
    <w:p>
      <w:pPr>
        <w:spacing w:line="360" w:lineRule="auto"/>
        <w:ind w:left="420"/>
        <w:rPr>
          <w:rFonts w:asciiTheme="minorEastAsia" w:hAnsiTheme="minorEastAsia" w:eastAsiaTheme="minorEastAsia" w:cstheme="minorEastAsia"/>
          <w:color w:val="auto"/>
          <w:sz w:val="24"/>
          <w:highlight w:val="none"/>
        </w:rPr>
      </w:pPr>
    </w:p>
    <w:p>
      <w:pPr>
        <w:numPr>
          <w:ilvl w:val="0"/>
          <w:numId w:val="0"/>
        </w:numPr>
        <w:ind w:leftChars="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附件：</w:t>
      </w:r>
      <w:r>
        <w:rPr>
          <w:rFonts w:hint="eastAsia" w:asciiTheme="minorEastAsia" w:hAnsiTheme="minorEastAsia" w:eastAsiaTheme="minorEastAsia" w:cstheme="minorEastAsia"/>
          <w:color w:val="auto"/>
          <w:sz w:val="24"/>
          <w:highlight w:val="none"/>
          <w:lang w:val="en-US" w:eastAsia="zh-CN"/>
        </w:rPr>
        <w:t xml:space="preserve"> </w:t>
      </w:r>
    </w:p>
    <w:p>
      <w:pPr>
        <w:numPr>
          <w:ilvl w:val="0"/>
          <w:numId w:val="0"/>
        </w:num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营运场所清淤类施工</w:t>
      </w:r>
      <w:r>
        <w:rPr>
          <w:rFonts w:hint="eastAsia" w:asciiTheme="minorEastAsia" w:hAnsiTheme="minorEastAsia" w:eastAsiaTheme="minorEastAsia" w:cstheme="minorEastAsia"/>
          <w:color w:val="auto"/>
          <w:sz w:val="24"/>
          <w:highlight w:val="none"/>
        </w:rPr>
        <w:t>安全协议书</w:t>
      </w:r>
    </w:p>
    <w:p>
      <w:pPr>
        <w:numPr>
          <w:ilvl w:val="0"/>
          <w:numId w:val="0"/>
        </w:num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2.廉洁协议</w:t>
      </w:r>
    </w:p>
    <w:p>
      <w:pPr>
        <w:spacing w:line="440" w:lineRule="exact"/>
        <w:jc w:val="both"/>
        <w:rPr>
          <w:rFonts w:hint="default" w:ascii="仿宋_GB2312" w:eastAsia="仿宋_GB2312"/>
          <w:b/>
          <w:bCs/>
          <w:color w:val="auto"/>
          <w:sz w:val="28"/>
          <w:szCs w:val="28"/>
          <w:highlight w:val="none"/>
          <w:lang w:val="en-US"/>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cstheme="minorEastAsia"/>
          <w:color w:val="auto"/>
          <w:sz w:val="24"/>
          <w:highlight w:val="none"/>
          <w:lang w:val="en-US" w:eastAsia="zh-CN"/>
        </w:rPr>
        <w:t>成交通知书</w:t>
      </w:r>
    </w:p>
    <w:p>
      <w:pPr>
        <w:pStyle w:val="22"/>
        <w:numPr>
          <w:ilvl w:val="0"/>
          <w:numId w:val="0"/>
        </w:numPr>
        <w:ind w:left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.拟投入工程人员配备响应表</w:t>
      </w:r>
    </w:p>
    <w:p>
      <w:pPr>
        <w:numPr>
          <w:ilvl w:val="0"/>
          <w:numId w:val="0"/>
        </w:numPr>
        <w:spacing w:line="360" w:lineRule="auto"/>
        <w:ind w:left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.工程量报价单</w:t>
      </w:r>
    </w:p>
    <w:p>
      <w:pPr>
        <w:numPr>
          <w:ilvl w:val="0"/>
          <w:numId w:val="0"/>
        </w:numPr>
        <w:spacing w:line="360" w:lineRule="auto"/>
        <w:ind w:left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6</w:t>
      </w:r>
      <w:r>
        <w:rPr>
          <w:rFonts w:hint="eastAsia" w:asciiTheme="minorEastAsia" w:hAnsiTheme="minorEastAsia" w:eastAsiaTheme="minorEastAsia" w:cstheme="minorEastAsia"/>
          <w:b w:val="0"/>
          <w:bCs w:val="0"/>
          <w:color w:val="auto"/>
          <w:sz w:val="24"/>
          <w:highlight w:val="none"/>
        </w:rPr>
        <w:t>.</w:t>
      </w:r>
      <w:r>
        <w:rPr>
          <w:rFonts w:hint="eastAsia" w:asciiTheme="minorEastAsia" w:hAnsiTheme="minorEastAsia" w:eastAsiaTheme="minorEastAsia" w:cstheme="minorEastAsia"/>
          <w:color w:val="auto"/>
          <w:sz w:val="24"/>
          <w:highlight w:val="none"/>
        </w:rPr>
        <w:t>授权委托证明（如需）</w:t>
      </w:r>
      <w:r>
        <w:rPr>
          <w:rFonts w:hint="eastAsia" w:asciiTheme="minorEastAsia" w:hAnsiTheme="minorEastAsia" w:eastAsiaTheme="minorEastAsia" w:cstheme="minorEastAsia"/>
          <w:color w:val="auto"/>
          <w:sz w:val="24"/>
          <w:highlight w:val="none"/>
        </w:rPr>
        <w:br w:type="textWrapping"/>
      </w:r>
      <w:r>
        <w:rPr>
          <w:rFonts w:hint="eastAsia" w:asciiTheme="minorEastAsia" w:hAnsiTheme="minorEastAsia" w:cstheme="minorEastAsia"/>
          <w:color w:val="auto"/>
          <w:sz w:val="24"/>
          <w:highlight w:val="none"/>
          <w:lang w:val="en-US" w:eastAsia="zh-CN"/>
        </w:rPr>
        <w:t>7.</w:t>
      </w:r>
      <w:r>
        <w:rPr>
          <w:rFonts w:hint="eastAsia" w:ascii="宋体" w:hAnsi="宋体" w:cs="宋体"/>
          <w:color w:val="auto"/>
          <w:sz w:val="24"/>
          <w:szCs w:val="24"/>
          <w:highlight w:val="none"/>
        </w:rPr>
        <w:t>营运项目承包单位日常履约考评参照表（安全）</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营运项目承包单位综合履约考评表（安全）</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9.履约保函（模板）</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10.预付款保函（模板）</w:t>
      </w:r>
    </w:p>
    <w:p>
      <w:pPr>
        <w:spacing w:line="360" w:lineRule="auto"/>
        <w:jc w:val="center"/>
        <w:rPr>
          <w:rFonts w:asciiTheme="minorEastAsia" w:hAnsiTheme="minorEastAsia" w:eastAsiaTheme="minorEastAsia"/>
          <w:color w:val="auto"/>
          <w:sz w:val="24"/>
          <w:highlight w:val="none"/>
        </w:rPr>
      </w:pPr>
    </w:p>
    <w:p>
      <w:pPr>
        <w:spacing w:line="360" w:lineRule="auto"/>
        <w:rPr>
          <w:rFonts w:asciiTheme="minorEastAsia" w:hAnsiTheme="minorEastAsia" w:eastAsiaTheme="minorEastAsia"/>
          <w:color w:val="auto"/>
          <w:sz w:val="24"/>
          <w:highlight w:val="none"/>
        </w:rPr>
      </w:pP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甲方：广州市净水有限公司</w:t>
      </w:r>
      <w:r>
        <w:rPr>
          <w:rFonts w:asciiTheme="minorEastAsia" w:hAnsiTheme="minorEastAsia" w:eastAsiaTheme="minorEastAsia"/>
          <w:color w:val="auto"/>
          <w:sz w:val="24"/>
          <w:highlight w:val="none"/>
        </w:rPr>
        <w:t xml:space="preserve">（盖章）         </w:t>
      </w:r>
      <w:r>
        <w:rPr>
          <w:rFonts w:hint="eastAsia" w:asciiTheme="minorEastAsia" w:hAnsiTheme="minorEastAsia" w:eastAsiaTheme="minorEastAsia"/>
          <w:color w:val="auto"/>
          <w:sz w:val="24"/>
          <w:highlight w:val="none"/>
        </w:rPr>
        <w:t>乙方：（盖章）</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法人代表或</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法人代表或</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委托代理人：</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委托代理人：</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地址：</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地址：</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经办人：</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经办人：</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联系电话：</w:t>
      </w:r>
    </w:p>
    <w:p>
      <w:pPr>
        <w:spacing w:line="360" w:lineRule="auto"/>
        <w:ind w:left="6360" w:hanging="6360" w:hangingChars="26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传真：</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传真：</w:t>
      </w:r>
    </w:p>
    <w:p>
      <w:pPr>
        <w:spacing w:line="360" w:lineRule="auto"/>
        <w:ind w:left="6360" w:hanging="6360" w:hangingChars="26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签订日期：年月日</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签订日期：年月日</w:t>
      </w:r>
    </w:p>
    <w:p>
      <w:pPr>
        <w:spacing w:line="360" w:lineRule="auto"/>
        <w:jc w:val="left"/>
        <w:rPr>
          <w:rFonts w:ascii="宋体" w:hAnsi="宋体" w:cs="宋体"/>
          <w:b/>
          <w:bCs/>
          <w:color w:val="auto"/>
          <w:szCs w:val="21"/>
          <w:highlight w:val="none"/>
        </w:rPr>
      </w:pPr>
    </w:p>
    <w:p>
      <w:pPr>
        <w:spacing w:line="360" w:lineRule="auto"/>
        <w:jc w:val="left"/>
        <w:rPr>
          <w:rFonts w:ascii="宋体" w:hAnsi="宋体" w:cs="宋体"/>
          <w:b/>
          <w:bCs/>
          <w:color w:val="auto"/>
          <w:szCs w:val="21"/>
          <w:highlight w:val="none"/>
        </w:rPr>
      </w:pPr>
    </w:p>
    <w:p>
      <w:pPr>
        <w:spacing w:line="360" w:lineRule="auto"/>
        <w:jc w:val="left"/>
        <w:rPr>
          <w:rFonts w:ascii="宋体" w:hAnsi="宋体" w:cs="宋体"/>
          <w:b/>
          <w:bCs/>
          <w:color w:val="auto"/>
          <w:szCs w:val="21"/>
          <w:highlight w:val="none"/>
        </w:rPr>
      </w:pPr>
    </w:p>
    <w:p>
      <w:pPr>
        <w:spacing w:line="360" w:lineRule="auto"/>
        <w:jc w:val="left"/>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附件1：</w:t>
      </w:r>
    </w:p>
    <w:p>
      <w:pPr>
        <w:spacing w:line="560" w:lineRule="exact"/>
        <w:jc w:val="center"/>
        <w:rPr>
          <w:rFonts w:ascii="仿宋_GB2312" w:hAnsi="宋体" w:eastAsia="仿宋_GB2312"/>
          <w:color w:val="auto"/>
          <w:sz w:val="24"/>
          <w:highlight w:val="none"/>
        </w:rPr>
      </w:pPr>
      <w:r>
        <w:rPr>
          <w:rFonts w:hint="eastAsia" w:ascii="黑体" w:hAnsi="Batang" w:eastAsia="黑体" w:cs="Batang"/>
          <w:bCs/>
          <w:color w:val="auto"/>
          <w:kern w:val="0"/>
          <w:sz w:val="44"/>
          <w:szCs w:val="44"/>
          <w:highlight w:val="none"/>
        </w:rPr>
        <w:t>营运场所清淤类施工安全协议书</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Style w:val="26"/>
          <w:rFonts w:asciiTheme="minorEastAsia" w:hAnsiTheme="minorEastAsia" w:eastAsiaTheme="minorEastAsia"/>
          <w:b w:val="0"/>
          <w:color w:val="auto"/>
          <w:highlight w:val="none"/>
          <w:u w:val="single"/>
        </w:rPr>
      </w:pPr>
      <w:r>
        <w:rPr>
          <w:rFonts w:hint="eastAsia" w:ascii="宋体" w:hAnsi="宋体" w:cs="Arial"/>
          <w:color w:val="auto"/>
          <w:kern w:val="0"/>
          <w:sz w:val="24"/>
          <w:highlight w:val="none"/>
        </w:rPr>
        <w:t xml:space="preserve">乙方： </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《中华人民共和国建筑法》</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《建设工程安全生产管理条例》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《生产安全事故报告和调查处理条例》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《中华人民共和国职业病防治法》</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《工作场所职业卫生监督管理规定》</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《用人单位职业健康监护监督管理办法》</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stheme="minorBidi"/>
          <w:b w:val="0"/>
          <w:bCs w:val="0"/>
          <w:color w:val="auto"/>
          <w:spacing w:val="0"/>
          <w:w w:val="100"/>
          <w:position w:val="0"/>
          <w:sz w:val="24"/>
          <w:szCs w:val="22"/>
          <w:highlight w:val="none"/>
          <w:u w:val="single"/>
          <w:shd w:val="clear"/>
          <w:lang w:val="en-US" w:eastAsia="zh-CN" w:bidi="ar-SA"/>
        </w:rPr>
        <w:t>健康城分公司2024年提升泵房、事故池、排水泵井清淤项目</w:t>
      </w:r>
      <w:r>
        <w:rPr>
          <w:rFonts w:hint="eastAsia" w:asciiTheme="minorEastAsia" w:hAnsiTheme="minorEastAsia"/>
          <w:color w:val="auto"/>
          <w:sz w:val="24"/>
          <w:highlight w:val="none"/>
          <w:u w:val="single"/>
          <w:lang w:val="en-US" w:eastAsia="zh-CN"/>
        </w:rPr>
        <w:t>合同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清淤作业主要风险包括但不限于以下风险：有限空间作业（中毒窒息）、临时用电（触电）、高处作业（坠落）、吊装（物体打击）等，要求乙方在作业前应根据现场情况和实际施工情况重新辨识安全风险并采取有效管控措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作业前应根据现场情况和实际施工情况重新辨识安全风险并采取有效管控措施，编制专项清淤施工方案，并经乙方技术负责人审核。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color w:val="auto"/>
          <w:sz w:val="24"/>
          <w:highlight w:val="none"/>
          <w:u w:val="single"/>
          <w:lang w:val="en-US" w:eastAsia="zh-CN"/>
        </w:rPr>
        <w:t>10</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（四）严格按照甲方制定的《广州市净水有限公司工程项目安全管理规范》要求，落实各项安全管理工作。清淤作业必须遵循“先通风、再检测、后作业”，通风必须经过核算确保通风效果满足要求。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清淤作业人员必须符合年龄要求（男的不超过5</w:t>
      </w:r>
      <w:r>
        <w:rPr>
          <w:rFonts w:asciiTheme="minorEastAsia" w:hAnsiTheme="minorEastAsia" w:eastAsiaTheme="minorEastAsia"/>
          <w:color w:val="auto"/>
          <w:sz w:val="24"/>
          <w:highlight w:val="none"/>
        </w:rPr>
        <w:t>5周岁，女的不超过</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0周岁</w:t>
      </w:r>
      <w:r>
        <w:rPr>
          <w:rFonts w:hint="eastAsia" w:asciiTheme="minorEastAsia" w:hAnsiTheme="minorEastAsia" w:eastAsiaTheme="minorEastAsia"/>
          <w:color w:val="auto"/>
          <w:sz w:val="24"/>
          <w:highlight w:val="none"/>
        </w:rPr>
        <w:t>）。</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color w:val="auto"/>
          <w:sz w:val="24"/>
          <w:highlight w:val="none"/>
          <w:u w:val="single"/>
          <w:lang w:val="en-US" w:eastAsia="zh-CN"/>
        </w:rPr>
        <w:t>/</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tbl>
      <w:tblPr>
        <w:tblStyle w:val="24"/>
        <w:tblpPr w:leftFromText="180" w:rightFromText="180" w:vertAnchor="text" w:horzAnchor="page" w:tblpX="1819" w:tblpY="14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261"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ind w:right="-80"/>
        <w:rPr>
          <w:rFonts w:ascii="宋体" w:hAnsi="宋体"/>
          <w:b/>
          <w:color w:val="auto"/>
          <w:szCs w:val="21"/>
          <w:highlight w:val="none"/>
        </w:rPr>
      </w:pPr>
    </w:p>
    <w:p>
      <w:pPr>
        <w:spacing w:line="360" w:lineRule="auto"/>
        <w:jc w:val="both"/>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pacing w:val="0"/>
          <w:w w:val="100"/>
          <w:position w:val="0"/>
          <w:sz w:val="28"/>
          <w:szCs w:val="28"/>
          <w:highlight w:val="none"/>
          <w:u w:val="single"/>
          <w:shd w:val="clear"/>
          <w:lang w:val="en-US" w:eastAsia="zh-CN" w:bidi="ar-SA"/>
        </w:rPr>
        <w:t>健康城分公司2024年提升泵房、事故池、排水泵井清淤项目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left="279" w:leftChars="133" w:firstLine="280" w:firstLineChars="1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pacing w:val="0"/>
          <w:w w:val="100"/>
          <w:position w:val="0"/>
          <w:sz w:val="28"/>
          <w:szCs w:val="28"/>
          <w:highlight w:val="none"/>
          <w:u w:val="single"/>
          <w:shd w:val="clear"/>
          <w:lang w:val="en-US" w:eastAsia="zh-CN" w:bidi="ar-SA"/>
        </w:rPr>
        <w:t>健康城分公司2024年提升泵房、事故池、排水泵井清淤项目</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u w:val="single"/>
          <w:lang w:val="en-US" w:eastAsia="zh-CN"/>
        </w:rPr>
        <w:t>穗净水合[      ]     号</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olor w:val="auto"/>
          <w:highlight w:val="none"/>
        </w:rPr>
      </w:pPr>
    </w:p>
    <w:p>
      <w:pPr>
        <w:spacing w:line="360" w:lineRule="auto"/>
        <w:rPr>
          <w:rFonts w:ascii="仿宋_GB2312" w:eastAsia="仿宋_GB2312"/>
          <w:color w:val="auto"/>
          <w:sz w:val="24"/>
          <w:szCs w:val="24"/>
          <w:highlight w:val="none"/>
        </w:rPr>
      </w:pPr>
    </w:p>
    <w:p>
      <w:pPr>
        <w:pStyle w:val="22"/>
        <w:ind w:firstLine="0"/>
        <w:rPr>
          <w:rFonts w:ascii="仿宋_GB2312" w:eastAsia="仿宋_GB2312"/>
          <w:color w:val="auto"/>
          <w:sz w:val="24"/>
          <w:szCs w:val="24"/>
          <w:highlight w:val="none"/>
        </w:rPr>
      </w:pPr>
    </w:p>
    <w:p>
      <w:pPr>
        <w:pStyle w:val="22"/>
        <w:ind w:firstLine="0"/>
        <w:rPr>
          <w:rFonts w:ascii="仿宋_GB2312" w:eastAsia="仿宋_GB2312"/>
          <w:color w:val="auto"/>
          <w:sz w:val="24"/>
          <w:szCs w:val="24"/>
          <w:highlight w:val="none"/>
        </w:rPr>
      </w:pPr>
    </w:p>
    <w:p>
      <w:pPr>
        <w:pStyle w:val="22"/>
        <w:ind w:firstLine="0"/>
        <w:rPr>
          <w:rFonts w:ascii="仿宋_GB2312" w:eastAsia="仿宋_GB2312"/>
          <w:color w:val="auto"/>
          <w:sz w:val="24"/>
          <w:szCs w:val="24"/>
          <w:highlight w:val="none"/>
        </w:rPr>
      </w:pPr>
    </w:p>
    <w:p>
      <w:pPr>
        <w:spacing w:line="360" w:lineRule="auto"/>
        <w:jc w:val="left"/>
        <w:rPr>
          <w:rFonts w:hint="eastAsia" w:ascii="宋体" w:hAnsi="宋体"/>
          <w:b/>
          <w:color w:val="auto"/>
          <w:szCs w:val="21"/>
          <w:highlight w:val="none"/>
        </w:rPr>
      </w:pPr>
    </w:p>
    <w:p>
      <w:pPr>
        <w:spacing w:line="360" w:lineRule="auto"/>
        <w:jc w:val="left"/>
        <w:rPr>
          <w:rFonts w:hint="eastAsia" w:ascii="宋体" w:hAnsi="宋体"/>
          <w:b/>
          <w:color w:val="auto"/>
          <w:szCs w:val="21"/>
          <w:highlight w:val="none"/>
        </w:rPr>
      </w:pPr>
    </w:p>
    <w:p>
      <w:pPr>
        <w:spacing w:line="360" w:lineRule="auto"/>
        <w:jc w:val="left"/>
        <w:rPr>
          <w:rFonts w:hint="eastAsia" w:ascii="宋体" w:hAnsi="宋体"/>
          <w:b/>
          <w:color w:val="auto"/>
          <w:szCs w:val="21"/>
          <w:highlight w:val="none"/>
        </w:rPr>
      </w:pPr>
    </w:p>
    <w:p>
      <w:pPr>
        <w:spacing w:line="360" w:lineRule="auto"/>
        <w:jc w:val="left"/>
        <w:rPr>
          <w:rFonts w:hint="eastAsia" w:ascii="宋体" w:hAnsi="宋体"/>
          <w:b/>
          <w:color w:val="auto"/>
          <w:szCs w:val="21"/>
          <w:highlight w:val="none"/>
        </w:rPr>
      </w:pPr>
    </w:p>
    <w:p>
      <w:pPr>
        <w:spacing w:line="360" w:lineRule="auto"/>
        <w:jc w:val="left"/>
        <w:rPr>
          <w:rFonts w:hint="default" w:ascii="仿宋_GB2312" w:eastAsia="仿宋_GB2312"/>
          <w:b w:val="0"/>
          <w:bCs w:val="0"/>
          <w:color w:val="auto"/>
          <w:sz w:val="28"/>
          <w:szCs w:val="28"/>
          <w:highlight w:val="none"/>
          <w:lang w:val="en-US" w:eastAsia="zh-CN"/>
        </w:rPr>
      </w:pPr>
      <w:r>
        <w:rPr>
          <w:rFonts w:hint="eastAsia" w:ascii="宋体" w:hAnsi="宋体"/>
          <w:b/>
          <w:color w:val="auto"/>
          <w:szCs w:val="21"/>
          <w:highlight w:val="none"/>
        </w:rPr>
        <w:t>附件</w:t>
      </w:r>
      <w:r>
        <w:rPr>
          <w:rFonts w:hint="eastAsia" w:ascii="宋体" w:hAnsi="宋体"/>
          <w:b/>
          <w:color w:val="auto"/>
          <w:szCs w:val="21"/>
          <w:highlight w:val="none"/>
          <w:lang w:val="en-US" w:eastAsia="zh-CN"/>
        </w:rPr>
        <w:t>3</w:t>
      </w:r>
      <w:r>
        <w:rPr>
          <w:rFonts w:hint="eastAsia" w:ascii="仿宋_GB2312" w:eastAsia="仿宋_GB2312"/>
          <w:b w:val="0"/>
          <w:bCs w:val="0"/>
          <w:color w:val="auto"/>
          <w:sz w:val="28"/>
          <w:szCs w:val="28"/>
          <w:highlight w:val="none"/>
          <w:lang w:val="en-US" w:eastAsia="zh-CN"/>
        </w:rPr>
        <w:t>成交通知书</w:t>
      </w:r>
    </w:p>
    <w:p>
      <w:pPr>
        <w:pStyle w:val="2"/>
        <w:rPr>
          <w:rFonts w:hint="eastAsia"/>
          <w:color w:val="auto"/>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eastAsia="宋体"/>
          <w:b/>
          <w:color w:val="auto"/>
          <w:szCs w:val="21"/>
          <w:highlight w:val="none"/>
          <w:lang w:val="en-US" w:eastAsia="zh-CN"/>
        </w:rPr>
      </w:pPr>
      <w:r>
        <w:rPr>
          <w:rFonts w:hint="eastAsia" w:ascii="宋体" w:hAnsi="宋体"/>
          <w:b/>
          <w:color w:val="auto"/>
          <w:szCs w:val="21"/>
          <w:highlight w:val="none"/>
        </w:rPr>
        <w:t>附件</w:t>
      </w:r>
      <w:r>
        <w:rPr>
          <w:rFonts w:hint="eastAsia" w:ascii="宋体" w:hAnsi="宋体"/>
          <w:b/>
          <w:color w:val="auto"/>
          <w:szCs w:val="21"/>
          <w:highlight w:val="none"/>
          <w:lang w:val="en-US" w:eastAsia="zh-CN"/>
        </w:rPr>
        <w:t>4</w:t>
      </w:r>
    </w:p>
    <w:p>
      <w:pPr>
        <w:spacing w:line="360" w:lineRule="auto"/>
        <w:jc w:val="center"/>
        <w:outlineLvl w:val="3"/>
        <w:rPr>
          <w:rFonts w:ascii="宋体" w:hAnsi="宋体" w:cs="宋体"/>
          <w:b/>
          <w:bCs/>
          <w:color w:val="auto"/>
          <w:sz w:val="24"/>
          <w:highlight w:val="none"/>
        </w:rPr>
      </w:pPr>
      <w:r>
        <w:rPr>
          <w:rFonts w:hint="eastAsia" w:ascii="宋体" w:hAnsi="宋体" w:cs="宋体"/>
          <w:b/>
          <w:color w:val="auto"/>
          <w:sz w:val="24"/>
          <w:highlight w:val="none"/>
        </w:rPr>
        <w:t>拟投入工程人员配备响应表</w:t>
      </w:r>
    </w:p>
    <w:p>
      <w:pPr>
        <w:spacing w:line="360" w:lineRule="auto"/>
        <w:jc w:val="center"/>
        <w:outlineLvl w:val="3"/>
        <w:rPr>
          <w:rFonts w:ascii="宋体" w:hAnsi="宋体"/>
          <w:b/>
          <w:bCs/>
          <w:color w:val="auto"/>
          <w:sz w:val="24"/>
          <w:highlight w:val="none"/>
        </w:rPr>
      </w:pPr>
    </w:p>
    <w:tbl>
      <w:tblPr>
        <w:tblStyle w:val="23"/>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656"/>
        <w:gridCol w:w="798"/>
        <w:gridCol w:w="813"/>
        <w:gridCol w:w="4438"/>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岗位</w:t>
            </w: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姓名</w:t>
            </w: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性别</w:t>
            </w: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身份证号</w:t>
            </w: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执业或职业资格证明</w:t>
            </w: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bl>
    <w:p>
      <w:pPr>
        <w:spacing w:line="360" w:lineRule="auto"/>
        <w:rPr>
          <w:rFonts w:ascii="宋体" w:hAnsi="宋体"/>
          <w:color w:val="auto"/>
          <w:szCs w:val="21"/>
          <w:highlight w:val="none"/>
        </w:rPr>
      </w:pPr>
      <w:r>
        <w:rPr>
          <w:rFonts w:hint="eastAsia" w:ascii="宋体" w:hAnsi="宋体" w:cs="宋体"/>
          <w:b/>
          <w:bCs/>
          <w:color w:val="auto"/>
          <w:szCs w:val="21"/>
          <w:highlight w:val="none"/>
        </w:rPr>
        <w:t>注：本表作为合同附件，其内容必须是真实有效。</w:t>
      </w:r>
    </w:p>
    <w:p>
      <w:pPr>
        <w:spacing w:line="360" w:lineRule="auto"/>
        <w:rPr>
          <w:rFonts w:ascii="宋体" w:hAnsi="宋体"/>
          <w:b/>
          <w:color w:val="auto"/>
          <w:sz w:val="24"/>
          <w:highlight w:val="none"/>
        </w:rPr>
      </w:pPr>
    </w:p>
    <w:p>
      <w:pPr>
        <w:spacing w:line="400" w:lineRule="atLeast"/>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numPr>
          <w:ilvl w:val="0"/>
          <w:numId w:val="0"/>
        </w:numPr>
        <w:spacing w:line="360" w:lineRule="auto"/>
        <w:ind w:firstLine="0" w:firstLineChars="0"/>
        <w:jc w:val="left"/>
        <w:rPr>
          <w:rFonts w:hint="eastAsia"/>
          <w:color w:val="auto"/>
          <w:highlight w:val="none"/>
        </w:rPr>
      </w:pPr>
      <w:r>
        <w:rPr>
          <w:rFonts w:hint="eastAsia" w:asciiTheme="minorEastAsia" w:hAnsiTheme="minorEastAsia" w:eastAsiaTheme="minorEastAsia" w:cstheme="minorEastAsia"/>
          <w:color w:val="auto"/>
          <w:sz w:val="24"/>
          <w:highlight w:val="none"/>
          <w:lang w:val="en-US" w:eastAsia="zh-CN"/>
        </w:rPr>
        <w:t>附件5</w:t>
      </w:r>
      <w:r>
        <w:rPr>
          <w:rFonts w:hint="eastAsia" w:asciiTheme="minorEastAsia" w:hAnsiTheme="minorEastAsia" w:eastAsiaTheme="minorEastAsia" w:cstheme="minorEastAsia"/>
          <w:color w:val="auto"/>
          <w:sz w:val="24"/>
          <w:highlight w:val="none"/>
        </w:rPr>
        <w:t>.工程量报价单</w:t>
      </w:r>
    </w:p>
    <w:tbl>
      <w:tblPr>
        <w:tblStyle w:val="23"/>
        <w:tblW w:w="97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7"/>
        <w:gridCol w:w="2958"/>
        <w:gridCol w:w="676"/>
        <w:gridCol w:w="1361"/>
        <w:gridCol w:w="580"/>
        <w:gridCol w:w="1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795" w:hRule="atLeast"/>
        </w:trPr>
        <w:tc>
          <w:tcPr>
            <w:tcW w:w="8473"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单位工程预算价汇总表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570" w:hRule="atLeast"/>
        </w:trPr>
        <w:tc>
          <w:tcPr>
            <w:tcW w:w="4981"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工程名称：健康城分公司2024年提升泵房、事故池、排水泵井清淤项目</w:t>
            </w:r>
          </w:p>
        </w:tc>
        <w:tc>
          <w:tcPr>
            <w:tcW w:w="1941"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1551"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75" w:hRule="atLeast"/>
        </w:trPr>
        <w:tc>
          <w:tcPr>
            <w:tcW w:w="134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95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汇总内容</w:t>
            </w:r>
          </w:p>
        </w:tc>
        <w:tc>
          <w:tcPr>
            <w:tcW w:w="20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2131"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措施合计</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101122.09</w:t>
            </w: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其他措施费</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其他项目</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63614.90</w:t>
            </w: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其他费用（消纳费）</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7837.50</w:t>
            </w: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税前工程造价</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总造价</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人工费</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180" w:type="dxa"/>
          <w:wAfter w:w="1112" w:type="dxa"/>
          <w:trHeight w:val="360" w:hRule="atLeast"/>
        </w:trPr>
        <w:tc>
          <w:tcPr>
            <w:tcW w:w="4305"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预算价合计=1+2+3+5</w:t>
            </w:r>
          </w:p>
        </w:tc>
        <w:tc>
          <w:tcPr>
            <w:tcW w:w="203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8473"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4981"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1941" w:type="dxa"/>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auto"/>
                <w:sz w:val="18"/>
                <w:szCs w:val="18"/>
                <w:highlight w:val="none"/>
                <w:u w:val="none"/>
              </w:rPr>
            </w:pPr>
          </w:p>
        </w:tc>
        <w:tc>
          <w:tcPr>
            <w:tcW w:w="1551"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表—04</w:t>
            </w:r>
          </w:p>
        </w:tc>
      </w:tr>
    </w:tbl>
    <w:p>
      <w:pPr>
        <w:rPr>
          <w:color w:val="auto"/>
          <w:highlight w:val="none"/>
        </w:rPr>
      </w:pPr>
    </w:p>
    <w:p>
      <w:pPr>
        <w:rPr>
          <w:color w:val="auto"/>
          <w:highlight w:val="none"/>
        </w:rPr>
      </w:pPr>
    </w:p>
    <w:p>
      <w:pPr>
        <w:rPr>
          <w:color w:val="auto"/>
          <w:highlight w:val="none"/>
        </w:rPr>
      </w:pPr>
    </w:p>
    <w:p>
      <w:pPr>
        <w:rPr>
          <w:color w:val="auto"/>
          <w:highlight w:val="none"/>
        </w:rPr>
      </w:pPr>
    </w:p>
    <w:tbl>
      <w:tblPr>
        <w:tblStyle w:val="23"/>
        <w:tblpPr w:leftFromText="180" w:rightFromText="180" w:vertAnchor="text" w:horzAnchor="page" w:tblpX="1088" w:tblpY="-39"/>
        <w:tblOverlap w:val="never"/>
        <w:tblW w:w="102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1200"/>
        <w:gridCol w:w="1200"/>
        <w:gridCol w:w="2887"/>
        <w:gridCol w:w="277"/>
        <w:gridCol w:w="805"/>
        <w:gridCol w:w="917"/>
        <w:gridCol w:w="294"/>
        <w:gridCol w:w="406"/>
        <w:gridCol w:w="750"/>
        <w:gridCol w:w="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217"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24"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工程名称：健康城分公司2024年提升泵房、事故池、排水泵井清淤项目</w:t>
            </w:r>
          </w:p>
        </w:tc>
        <w:tc>
          <w:tcPr>
            <w:tcW w:w="2293"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1900"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2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2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316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80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91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194"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16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0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1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16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0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1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040101005001</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机器人清淤</w:t>
            </w:r>
          </w:p>
        </w:tc>
        <w:tc>
          <w:tcPr>
            <w:tcW w:w="31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1.名称：水下清淤（提升泵房）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2.规格：水下清淤机器人1800×1400×1500mm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3.机器人抽吸淤泥，沉淀淤泥，泥渣装车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4.钢制沉淀池组装（组装按3次摊销计算），10号槽钢+3mm钢板，长6m宽2.5m深1.4m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5.详见施工方案及立项报告</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040101005002</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机器人清淤</w:t>
            </w:r>
          </w:p>
        </w:tc>
        <w:tc>
          <w:tcPr>
            <w:tcW w:w="31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1.名称：水下清淤（事故池）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2.规格：水下清淤机器人1400×1000×1300mm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3.机器人抽吸淤泥，沉淀淤泥，泥渣装车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4.钢制沉淀池组装（组装按3次摊销计算），10号槽钢+3mm钢板，长6m宽2.5m深1.4m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5.详见施工方案及立项报告</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040101005003</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机器人清淤</w:t>
            </w:r>
          </w:p>
        </w:tc>
        <w:tc>
          <w:tcPr>
            <w:tcW w:w="31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1.名称：水下清淤（排水泵井）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2.规格：水下清淤机器人1400×1000×1300mm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3.机器人抽吸淤泥，沉淀淤泥，泥渣装车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4.钢制沉淀池组装（组装按3次摊销计算），10号槽钢+3mm钢板，长6m宽2.5m深1.4m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5.详见施工方案及立项报告</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040103002001</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余方弃置</w:t>
            </w:r>
          </w:p>
        </w:tc>
        <w:tc>
          <w:tcPr>
            <w:tcW w:w="31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1.废弃料品种:淤泥清淤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2.运距:20km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3.弃置费:排放费</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550</w:t>
            </w:r>
          </w:p>
        </w:tc>
        <w:tc>
          <w:tcPr>
            <w:tcW w:w="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粤050401008002</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施工围栏</w:t>
            </w:r>
          </w:p>
        </w:tc>
        <w:tc>
          <w:tcPr>
            <w:tcW w:w="31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1.施工围蔽铁马:100m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2.总围蔽天数:43日</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100m·天</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04B089</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1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1.检测项目:含水率、PH值</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04B090</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1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1.检测项目:重金属：镉、汞、铬、铅 、砷、铜、镍、锌</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04B091</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1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1.检测项目:有机质、总磷、总氮</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723"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723"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7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217"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024"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none"/>
              </w:rPr>
            </w:pPr>
          </w:p>
        </w:tc>
        <w:tc>
          <w:tcPr>
            <w:tcW w:w="2293"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single"/>
              </w:rPr>
            </w:pPr>
          </w:p>
        </w:tc>
        <w:tc>
          <w:tcPr>
            <w:tcW w:w="1900"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表—08</w:t>
            </w:r>
          </w:p>
        </w:tc>
      </w:tr>
    </w:tbl>
    <w:p>
      <w:pPr>
        <w:pStyle w:val="22"/>
        <w:ind w:firstLine="0"/>
        <w:rPr>
          <w:color w:val="auto"/>
          <w:highlight w:val="none"/>
        </w:rPr>
      </w:pPr>
    </w:p>
    <w:tbl>
      <w:tblPr>
        <w:tblStyle w:val="23"/>
        <w:tblW w:w="10050" w:type="dxa"/>
        <w:tblInd w:w="-2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3"/>
        <w:gridCol w:w="1350"/>
        <w:gridCol w:w="1300"/>
        <w:gridCol w:w="1167"/>
        <w:gridCol w:w="650"/>
        <w:gridCol w:w="1100"/>
        <w:gridCol w:w="833"/>
        <w:gridCol w:w="817"/>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050"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5200"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工程名称：健康城分公司2024年提升泵房、事故池、排水泵井清淤项目</w:t>
            </w:r>
          </w:p>
        </w:tc>
        <w:tc>
          <w:tcPr>
            <w:tcW w:w="1933"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917"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3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16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6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1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83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费率(%)</w:t>
            </w:r>
          </w:p>
        </w:tc>
        <w:tc>
          <w:tcPr>
            <w:tcW w:w="81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金额(元)</w:t>
            </w:r>
          </w:p>
        </w:tc>
        <w:tc>
          <w:tcPr>
            <w:tcW w:w="21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有限空间</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4" w:hRule="atLeast"/>
        </w:trPr>
        <w:tc>
          <w:tcPr>
            <w:tcW w:w="7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LSSGCSF00001</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19.8</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101122.09</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以分部分项的人工费与施工机具费之和为计算基础；以专业工程类型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区分不同费率计算；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单独场地平整工程费率为4.35%；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道路、管网工程费率为16.50%；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桥涵、隧道、水处理构筑物工程费率为14.50%；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分部分项工程总费用在300 万元以内（含300 万元）的项目按基本费率乘以1.20；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7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粤041109009001</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文明工地增加费</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041109002001</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夜间施工增加费</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33"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041109005001</w:t>
            </w:r>
          </w:p>
        </w:tc>
        <w:tc>
          <w:tcPr>
            <w:tcW w:w="130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交通疏解员增加费</w:t>
            </w:r>
          </w:p>
        </w:tc>
        <w:tc>
          <w:tcPr>
            <w:tcW w:w="11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10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按照项目分部分项人工费的15%计算（有方案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的按照方案计算），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041108001001</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地下管线交叉降效费</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7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粤041109008001</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QTFY00000001</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00"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10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00"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编制人（造价人员）：</w:t>
            </w:r>
          </w:p>
        </w:tc>
        <w:tc>
          <w:tcPr>
            <w:tcW w:w="485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00" w:type="dxa"/>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highlight w:val="none"/>
                <w:u w:val="none"/>
              </w:rPr>
            </w:pPr>
          </w:p>
        </w:tc>
        <w:tc>
          <w:tcPr>
            <w:tcW w:w="1933"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highlight w:val="none"/>
                <w:u w:val="none"/>
              </w:rPr>
            </w:pPr>
          </w:p>
        </w:tc>
        <w:tc>
          <w:tcPr>
            <w:tcW w:w="2917" w:type="dxa"/>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表-11</w:t>
            </w:r>
          </w:p>
        </w:tc>
      </w:tr>
    </w:tbl>
    <w:p>
      <w:pPr>
        <w:pStyle w:val="22"/>
        <w:ind w:firstLine="0"/>
        <w:rPr>
          <w:color w:val="auto"/>
          <w:highlight w:val="none"/>
        </w:rPr>
      </w:pPr>
    </w:p>
    <w:p>
      <w:pPr>
        <w:rPr>
          <w:color w:val="auto"/>
          <w:highlight w:val="none"/>
        </w:rPr>
      </w:pPr>
    </w:p>
    <w:p>
      <w:pPr>
        <w:rPr>
          <w:color w:val="auto"/>
          <w:highlight w:val="none"/>
        </w:rPr>
      </w:pPr>
    </w:p>
    <w:p>
      <w:pPr>
        <w:pStyle w:val="22"/>
        <w:ind w:firstLine="0"/>
        <w:rPr>
          <w:color w:val="auto"/>
          <w:highlight w:val="none"/>
        </w:rPr>
      </w:pPr>
    </w:p>
    <w:p>
      <w:pPr>
        <w:pStyle w:val="22"/>
        <w:ind w:firstLine="0"/>
        <w:rPr>
          <w:color w:val="auto"/>
          <w:highlight w:val="none"/>
        </w:rPr>
      </w:pPr>
    </w:p>
    <w:tbl>
      <w:tblPr>
        <w:tblStyle w:val="23"/>
        <w:tblpPr w:leftFromText="180" w:rightFromText="180" w:vertAnchor="text" w:horzAnchor="page" w:tblpX="1811" w:tblpY="1450"/>
        <w:tblOverlap w:val="never"/>
        <w:tblW w:w="0" w:type="auto"/>
        <w:jc w:val="center"/>
        <w:tblLayout w:type="autofit"/>
        <w:tblCellMar>
          <w:top w:w="0" w:type="dxa"/>
          <w:left w:w="0" w:type="dxa"/>
          <w:bottom w:w="0" w:type="dxa"/>
          <w:right w:w="0" w:type="dxa"/>
        </w:tblCellMar>
      </w:tblPr>
      <w:tblGrid>
        <w:gridCol w:w="255"/>
        <w:gridCol w:w="821"/>
        <w:gridCol w:w="708"/>
        <w:gridCol w:w="2377"/>
        <w:gridCol w:w="1163"/>
        <w:gridCol w:w="1174"/>
        <w:gridCol w:w="1174"/>
        <w:gridCol w:w="1196"/>
        <w:tblGridChange w:id="0">
          <w:tblGrid>
            <w:gridCol w:w="255"/>
            <w:gridCol w:w="89"/>
            <w:gridCol w:w="732"/>
            <w:gridCol w:w="708"/>
            <w:gridCol w:w="2377"/>
            <w:gridCol w:w="1163"/>
            <w:gridCol w:w="1174"/>
            <w:gridCol w:w="1174"/>
            <w:gridCol w:w="1196"/>
          </w:tblGrid>
        </w:tblGridChange>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等线" w:hAnsi="等线" w:eastAsia="等线" w:cs="等线"/>
                <w:color w:val="auto"/>
                <w:sz w:val="16"/>
                <w:szCs w:val="16"/>
                <w:highlight w:val="none"/>
                <w:lang w:val="en-US" w:eastAsia="zh-CN"/>
              </w:rPr>
            </w:pPr>
            <w:r>
              <w:rPr>
                <w:rFonts w:hint="eastAsia" w:ascii="等线" w:hAnsi="等线" w:eastAsia="等线" w:cs="等线"/>
                <w:color w:val="auto"/>
                <w:kern w:val="0"/>
                <w:sz w:val="16"/>
                <w:szCs w:val="16"/>
                <w:highlight w:val="none"/>
                <w:lang w:bidi="ar"/>
              </w:rPr>
              <w:t>附件</w:t>
            </w:r>
            <w:r>
              <w:rPr>
                <w:rFonts w:hint="eastAsia" w:ascii="等线" w:hAnsi="等线" w:eastAsia="等线" w:cs="等线"/>
                <w:color w:val="auto"/>
                <w:kern w:val="0"/>
                <w:sz w:val="16"/>
                <w:szCs w:val="16"/>
                <w:highlight w:val="none"/>
                <w:lang w:val="en-US" w:eastAsia="zh-CN" w:bidi="ar"/>
              </w:rPr>
              <w:t>7</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255"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等线" w:hAnsi="等线" w:eastAsia="等线" w:cs="等线"/>
                <w:color w:val="auto"/>
                <w:kern w:val="0"/>
                <w:sz w:val="16"/>
                <w:szCs w:val="16"/>
                <w:highlight w:val="none"/>
                <w:lang w:bidi="ar"/>
              </w:rPr>
            </w:pPr>
            <w:r>
              <w:rPr>
                <w:rFonts w:hint="eastAsia" w:ascii="等线" w:hAnsi="等线" w:eastAsia="等线" w:cs="等线"/>
                <w:color w:val="auto"/>
                <w:kern w:val="0"/>
                <w:sz w:val="16"/>
                <w:szCs w:val="16"/>
                <w:highlight w:val="none"/>
                <w:lang w:bidi="ar"/>
              </w:rPr>
              <w:t>序</w:t>
            </w:r>
          </w:p>
          <w:p>
            <w:pPr>
              <w:widowControl/>
              <w:jc w:val="center"/>
              <w:textAlignment w:val="center"/>
              <w:rPr>
                <w:rFonts w:hint="eastAsia" w:ascii="等线" w:hAnsi="等线" w:eastAsia="等线" w:cs="等线"/>
                <w:color w:val="auto"/>
                <w:kern w:val="0"/>
                <w:sz w:val="16"/>
                <w:szCs w:val="16"/>
                <w:highlight w:val="none"/>
                <w:lang w:bidi="ar"/>
              </w:rPr>
            </w:pPr>
          </w:p>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号</w:t>
            </w:r>
          </w:p>
        </w:tc>
        <w:tc>
          <w:tcPr>
            <w:tcW w:w="821"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25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82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821"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82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82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82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82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82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82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82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25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82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rPr>
                <w:color w:val="auto"/>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2"/>
              <w:ind w:firstLine="0"/>
              <w:rPr>
                <w:rFonts w:hint="default" w:eastAsia="仿宋_GB2312"/>
                <w:color w:val="auto"/>
                <w:highlight w:val="none"/>
                <w:lang w:val="en-US" w:eastAsia="zh-CN"/>
              </w:rPr>
            </w:pPr>
          </w:p>
        </w:tc>
      </w:tr>
    </w:tbl>
    <w:p>
      <w:pPr>
        <w:pStyle w:val="2"/>
        <w:ind w:firstLine="0"/>
        <w:rPr>
          <w:rFonts w:hint="eastAsia" w:eastAsia="微软雅黑"/>
          <w:color w:val="auto"/>
          <w:highlight w:val="none"/>
          <w:lang w:eastAsia="zh-CN"/>
        </w:rPr>
      </w:pPr>
    </w:p>
    <w:p>
      <w:pPr>
        <w:pStyle w:val="22"/>
        <w:rPr>
          <w:rFonts w:hint="eastAsia" w:ascii="仿宋_GB2312" w:eastAsia="仿宋_GB2312"/>
          <w:color w:val="auto"/>
          <w:sz w:val="28"/>
          <w:szCs w:val="28"/>
          <w:highlight w:val="none"/>
          <w:lang w:eastAsia="zh-CN"/>
        </w:rPr>
      </w:pPr>
    </w:p>
    <w:p>
      <w:pPr>
        <w:pStyle w:val="22"/>
        <w:ind w:left="0" w:leftChars="0" w:firstLine="0" w:firstLineChars="0"/>
        <w:rPr>
          <w:rFonts w:ascii="宋体" w:hAnsi="宋体" w:cs="宋体"/>
          <w:b/>
          <w:bCs/>
          <w:color w:val="auto"/>
          <w:sz w:val="24"/>
          <w:szCs w:val="24"/>
          <w:highlight w:val="none"/>
        </w:rPr>
      </w:pPr>
    </w:p>
    <w:p>
      <w:pPr>
        <w:pStyle w:val="22"/>
        <w:ind w:left="0" w:leftChars="0" w:firstLine="0" w:firstLineChars="0"/>
        <w:rPr>
          <w:rFonts w:ascii="宋体" w:hAnsi="宋体" w:cs="宋体"/>
          <w:b/>
          <w:bCs/>
          <w:color w:val="auto"/>
          <w:sz w:val="24"/>
          <w:szCs w:val="24"/>
          <w:highlight w:val="none"/>
        </w:rPr>
      </w:pPr>
    </w:p>
    <w:p>
      <w:pPr>
        <w:pStyle w:val="22"/>
        <w:ind w:left="0" w:leftChars="0" w:firstLine="0" w:firstLineChars="0"/>
        <w:rPr>
          <w:rFonts w:ascii="宋体" w:hAnsi="宋体" w:cs="宋体"/>
          <w:b/>
          <w:bCs/>
          <w:color w:val="auto"/>
          <w:sz w:val="24"/>
          <w:szCs w:val="24"/>
          <w:highlight w:val="none"/>
        </w:rPr>
      </w:pPr>
    </w:p>
    <w:p>
      <w:pPr>
        <w:pStyle w:val="22"/>
        <w:ind w:left="0" w:leftChars="0" w:firstLine="0" w:firstLineChars="0"/>
        <w:rPr>
          <w:rFonts w:ascii="宋体" w:hAnsi="宋体" w:cs="宋体"/>
          <w:b/>
          <w:bCs/>
          <w:color w:val="auto"/>
          <w:sz w:val="24"/>
          <w:szCs w:val="24"/>
          <w:highlight w:val="none"/>
        </w:rPr>
      </w:pPr>
    </w:p>
    <w:p>
      <w:pPr>
        <w:pStyle w:val="22"/>
        <w:ind w:left="0" w:leftChars="0" w:firstLine="0" w:firstLineChars="0"/>
        <w:rPr>
          <w:rFonts w:ascii="宋体" w:hAnsi="宋体" w:cs="宋体"/>
          <w:b/>
          <w:bCs/>
          <w:color w:val="auto"/>
          <w:sz w:val="24"/>
          <w:szCs w:val="24"/>
          <w:highlight w:val="none"/>
        </w:rPr>
      </w:pPr>
    </w:p>
    <w:p>
      <w:pPr>
        <w:pStyle w:val="22"/>
        <w:ind w:left="0" w:leftChars="0" w:firstLine="0" w:firstLineChars="0"/>
        <w:rPr>
          <w:rFonts w:ascii="宋体" w:hAnsi="宋体" w:cs="宋体"/>
          <w:b/>
          <w:bCs/>
          <w:color w:val="auto"/>
          <w:sz w:val="24"/>
          <w:szCs w:val="24"/>
          <w:highlight w:val="none"/>
        </w:rPr>
      </w:pPr>
    </w:p>
    <w:p>
      <w:pPr>
        <w:pStyle w:val="22"/>
        <w:ind w:left="0" w:leftChars="0" w:firstLine="0" w:firstLineChars="0"/>
        <w:rPr>
          <w:rFonts w:ascii="宋体" w:hAnsi="宋体" w:cs="宋体"/>
          <w:b/>
          <w:bCs/>
          <w:color w:val="auto"/>
          <w:sz w:val="24"/>
          <w:szCs w:val="24"/>
          <w:highlight w:val="none"/>
        </w:rPr>
      </w:pPr>
    </w:p>
    <w:p>
      <w:pPr>
        <w:pStyle w:val="22"/>
        <w:ind w:left="0" w:leftChars="0" w:firstLine="0" w:firstLineChars="0"/>
        <w:rPr>
          <w:rFonts w:ascii="宋体" w:hAnsi="宋体" w:cs="宋体"/>
          <w:b/>
          <w:bCs/>
          <w:color w:val="auto"/>
          <w:sz w:val="24"/>
          <w:szCs w:val="24"/>
          <w:highlight w:val="none"/>
        </w:rPr>
      </w:pPr>
    </w:p>
    <w:p>
      <w:pPr>
        <w:pStyle w:val="22"/>
        <w:ind w:left="0" w:leftChars="0" w:firstLine="0" w:firstLineChars="0"/>
        <w:rPr>
          <w:rFonts w:ascii="宋体" w:hAnsi="宋体" w:cs="宋体"/>
          <w:b/>
          <w:bCs/>
          <w:color w:val="auto"/>
          <w:sz w:val="24"/>
          <w:szCs w:val="24"/>
          <w:highlight w:val="none"/>
        </w:rPr>
      </w:pPr>
    </w:p>
    <w:tbl>
      <w:tblPr>
        <w:tblStyle w:val="23"/>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等线" w:hAnsi="等线" w:eastAsia="等线" w:cs="等线"/>
                <w:color w:val="auto"/>
                <w:sz w:val="16"/>
                <w:szCs w:val="16"/>
                <w:highlight w:val="none"/>
                <w:lang w:val="en-US" w:eastAsia="zh-CN"/>
              </w:rPr>
            </w:pPr>
            <w:r>
              <w:rPr>
                <w:rFonts w:hint="eastAsia" w:ascii="等线" w:hAnsi="等线" w:eastAsia="等线" w:cs="等线"/>
                <w:color w:val="auto"/>
                <w:kern w:val="0"/>
                <w:sz w:val="16"/>
                <w:szCs w:val="16"/>
                <w:highlight w:val="none"/>
                <w:lang w:bidi="ar"/>
              </w:rPr>
              <w:t>附件</w:t>
            </w:r>
            <w:r>
              <w:rPr>
                <w:rFonts w:hint="eastAsia" w:ascii="等线" w:hAnsi="等线" w:eastAsia="等线" w:cs="等线"/>
                <w:color w:val="auto"/>
                <w:kern w:val="0"/>
                <w:sz w:val="16"/>
                <w:szCs w:val="16"/>
                <w:highlight w:val="none"/>
                <w:lang w:val="en-US" w:eastAsia="zh-CN" w:bidi="ar"/>
              </w:rPr>
              <w:t>8</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2"/>
              <w:ind w:firstLine="1126"/>
              <w:rPr>
                <w:color w:val="auto"/>
                <w:highlight w:val="none"/>
              </w:rPr>
            </w:pPr>
          </w:p>
        </w:tc>
      </w:tr>
    </w:tbl>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：履约保函（模板）</w:t>
      </w:r>
    </w:p>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履约保函模板</w:t>
      </w: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rPr>
        <w:t xml:space="preserve">               （受益人）</w:t>
      </w:r>
      <w:r>
        <w:rPr>
          <w:rFonts w:asciiTheme="minorEastAsia" w:hAnsiTheme="minorEastAsia" w:eastAsiaTheme="minorEastAsia"/>
          <w:color w:val="auto"/>
          <w:sz w:val="24"/>
          <w:highlight w:val="none"/>
        </w:rPr>
        <w:br w:type="textWrapping"/>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鉴于（以下简称“委托人”）与贵方于</w:t>
      </w:r>
      <w:r>
        <w:rPr>
          <w:rFonts w:hint="eastAsia" w:asciiTheme="minorEastAsia" w:hAnsiTheme="minorEastAsia" w:eastAsiaTheme="minorEastAsia"/>
          <w:color w:val="auto"/>
          <w:sz w:val="24"/>
          <w:highlight w:val="none"/>
          <w:u w:val="single"/>
        </w:rPr>
        <w:t xml:space="preserve">   年  月  日</w:t>
      </w:r>
      <w:r>
        <w:rPr>
          <w:rFonts w:hint="eastAsia" w:asciiTheme="minorEastAsia" w:hAnsiTheme="minorEastAsia" w:eastAsiaTheme="minorEastAsia"/>
          <w:color w:val="auto"/>
          <w:sz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二、贵单位的索赔申请应符合下述条件：</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（一）贵单位法定代表人或其授权代表签字并加盖单位公章；</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（二）在保函有效期内送达我行；</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（三）明确的索赔金额（不得超过本保函第一条所列之限额）。</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三、本保函自签发之日起生效，有效期至</w:t>
      </w:r>
      <w:r>
        <w:rPr>
          <w:rFonts w:hint="eastAsia" w:asciiTheme="minorEastAsia" w:hAnsiTheme="minorEastAsia" w:eastAsiaTheme="minorEastAsia"/>
          <w:color w:val="auto"/>
          <w:sz w:val="24"/>
          <w:highlight w:val="none"/>
          <w:u w:val="single"/>
        </w:rPr>
        <w:t xml:space="preserve">  年  月  日</w:t>
      </w:r>
      <w:r>
        <w:rPr>
          <w:rFonts w:hint="eastAsia" w:asciiTheme="minorEastAsia" w:hAnsiTheme="minorEastAsia" w:eastAsiaTheme="minorEastAsia"/>
          <w:color w:val="auto"/>
          <w:sz w:val="24"/>
          <w:highlight w:val="none"/>
        </w:rPr>
        <w:t>。本保函于下述任一事项发生之时立即失效，我行在本保函项下的保证义务即刻解除：</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（一）本保函有效期限届满；</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（二）我行保证的义务履行完毕。</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五、我行向你方支付索赔金额后，本保函担保金额即按贵方通知的索赔金额予以递减。</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六、保函失效后请将保函退回我行注销，无论正本最终退回与否，不影响本保函依上述约定自动失效。</w:t>
      </w:r>
    </w:p>
    <w:p>
      <w:pPr>
        <w:ind w:firstLine="420"/>
        <w:rPr>
          <w:rFonts w:asciiTheme="minorEastAsia" w:hAnsiTheme="minorEastAsia" w:eastAsiaTheme="minorEastAsia"/>
          <w:color w:val="auto"/>
          <w:sz w:val="24"/>
          <w:highlight w:val="none"/>
        </w:rPr>
      </w:pPr>
    </w:p>
    <w:p>
      <w:pPr>
        <w:ind w:firstLine="420"/>
        <w:rPr>
          <w:rFonts w:asciiTheme="minorEastAsia" w:hAnsiTheme="minorEastAsia" w:eastAsiaTheme="minorEastAsia"/>
          <w:color w:val="auto"/>
          <w:sz w:val="24"/>
          <w:highlight w:val="none"/>
        </w:rPr>
      </w:pP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落款</w:t>
      </w:r>
    </w:p>
    <w:p>
      <w:pPr>
        <w:ind w:firstLine="420"/>
        <w:rPr>
          <w:rFonts w:asciiTheme="minorEastAsia" w:hAnsiTheme="minorEastAsia" w:eastAsiaTheme="minorEastAsia"/>
          <w:color w:val="auto"/>
          <w:sz w:val="24"/>
          <w:highlight w:val="none"/>
        </w:rPr>
      </w:pPr>
    </w:p>
    <w:p>
      <w:pPr>
        <w:ind w:firstLine="64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保函说明：</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保函不得有下列或类似含义的表述：</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1.银行承担的为连带责任保证、一般保证。</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2.未经银行书面同意，受益人与申请人修改合同或其项下附件时，银行的保证义务解除。</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3.合同撤销或无效的，保函失效。</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4.申请人对受益人的抗辩，银行有权向受益人主张。</w:t>
      </w:r>
    </w:p>
    <w:p>
      <w:pPr>
        <w:ind w:firstLine="64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5.受益人请求付款的请款单据包含法院裁判文书、仲裁裁决、第三方单位出具的鉴定书等申请人违约的证明材料。</w:t>
      </w:r>
    </w:p>
    <w:p>
      <w:pPr>
        <w:rPr>
          <w:rFonts w:cs="仿宋_GB2312" w:asciiTheme="minorEastAsia" w:hAnsiTheme="minorEastAsia" w:eastAsiaTheme="minorEastAsia"/>
          <w:color w:val="auto"/>
          <w:sz w:val="24"/>
          <w:highlight w:val="none"/>
        </w:rPr>
      </w:pPr>
    </w:p>
    <w:p>
      <w:pPr>
        <w:jc w:val="left"/>
        <w:rPr>
          <w:rFonts w:hint="default" w:asciiTheme="majorEastAsia" w:hAnsiTheme="majorEastAsia" w:eastAsiaTheme="majorEastAsia" w:cstheme="majorEastAsia"/>
          <w:color w:val="auto"/>
          <w:sz w:val="32"/>
          <w:szCs w:val="32"/>
          <w:highlight w:val="none"/>
          <w:lang w:val="en-US" w:eastAsia="zh-CN"/>
        </w:rPr>
      </w:pPr>
      <w:r>
        <w:rPr>
          <w:rFonts w:hint="eastAsia" w:asciiTheme="majorEastAsia" w:hAnsiTheme="majorEastAsia" w:eastAsiaTheme="majorEastAsia" w:cstheme="majorEastAsia"/>
          <w:color w:val="auto"/>
          <w:sz w:val="32"/>
          <w:szCs w:val="32"/>
          <w:highlight w:val="none"/>
          <w:lang w:val="en-US" w:eastAsia="zh-CN"/>
        </w:rPr>
        <w:t>10附件：预付款保函（模板）</w:t>
      </w:r>
    </w:p>
    <w:p>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预付款保函</w:t>
      </w:r>
    </w:p>
    <w:p>
      <w:pPr>
        <w:rPr>
          <w:color w:val="auto"/>
          <w:highlight w:val="none"/>
        </w:rPr>
      </w:pPr>
    </w:p>
    <w:p>
      <w:pP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（受益人）</w:t>
      </w:r>
    </w:p>
    <w:p>
      <w:pPr>
        <w:rPr>
          <w:rFonts w:ascii="仿宋" w:hAnsi="仿宋" w:eastAsia="仿宋"/>
          <w:color w:val="auto"/>
          <w:sz w:val="28"/>
          <w:szCs w:val="28"/>
          <w:highlight w:val="none"/>
        </w:rPr>
      </w:pPr>
    </w:p>
    <w:p>
      <w:pPr>
        <w:ind w:firstLine="280" w:firstLineChars="1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鉴于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（以下简称“委托人”）与你方于</w:t>
      </w:r>
      <w:r>
        <w:rPr>
          <w:rFonts w:hint="eastAsia" w:ascii="仿宋" w:hAnsi="仿宋" w:eastAsia="仿宋"/>
          <w:color w:val="auto"/>
          <w:sz w:val="28"/>
          <w:szCs w:val="28"/>
          <w:highlight w:val="none"/>
          <w:u w:val="single"/>
        </w:rPr>
        <w:t xml:space="preserve">   年  月  日</w:t>
      </w:r>
      <w:r>
        <w:rPr>
          <w:rFonts w:hint="eastAsia" w:ascii="仿宋" w:hAnsi="仿宋" w:eastAsia="仿宋"/>
          <w:color w:val="auto"/>
          <w:sz w:val="28"/>
          <w:szCs w:val="28"/>
          <w:highlight w:val="none"/>
        </w:rPr>
        <w:t>签订了</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（以下简称“合同”），你方将按上述基础交易合同约定向委托人支付预付款人民币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元（大写：</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）。我行接受委托人的申请，特此开立以你方为受益人的最高金额为人民币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（大写：</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）（以下称“保函金额”）的保函。</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一、本保函为不可撤销、见索即付的独立保函。</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二、在本保函的有效期内，如委托人违反上述基础交易合同约定的义务而未向你方退还预付款，我行将在收到你方提交的符合下述要求的索赔通知书后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日内，以上述保函金额为限向你方支付相应款项。</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（一）索赔通知书须写明请求付款的金额，并声明该款项并未由委托人或其代理人直接或间接地支付给你方；</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（二）索赔通知书应由你方法定代表人签字并加盖公章；</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（三）索赔通知书必须于本保函有效期截止日前送达我行。</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三、合同的任何修改、变更、解释或不可执行都不能削弱或免除我行按本保函应承担的义务。</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本保函金额将随我行已向你方支付的金额而自动作相应递减。</w:t>
      </w:r>
    </w:p>
    <w:p>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四、本保函未经我行书面同意不得转让。</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五、本保函自签发之日起生效，有效期至</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止。在上述期限内若累计赔偿额达到前述保函金额，本保函提前失效。本保函到期后，无论保函原件是否退回我行，皆告失效。</w:t>
      </w:r>
    </w:p>
    <w:p>
      <w:pPr>
        <w:pStyle w:val="2"/>
        <w:ind w:firstLine="0"/>
        <w:rPr>
          <w:color w:val="auto"/>
          <w:highlight w:val="none"/>
        </w:rPr>
      </w:pPr>
    </w:p>
    <w:p>
      <w:pPr>
        <w:pStyle w:val="3"/>
        <w:rPr>
          <w:rFonts w:hint="eastAsia" w:asciiTheme="majorEastAsia" w:hAnsiTheme="majorEastAsia" w:eastAsiaTheme="majorEastAsia" w:cstheme="majorEastAsia"/>
          <w:color w:val="auto"/>
          <w:highlight w:val="none"/>
        </w:rPr>
      </w:pPr>
      <w:bookmarkStart w:id="85" w:name="_Toc5129"/>
      <w:bookmarkStart w:id="86" w:name="_Toc16552"/>
      <w:bookmarkStart w:id="87" w:name="_Toc30824"/>
      <w:bookmarkStart w:id="88" w:name="_Toc8147"/>
      <w:bookmarkStart w:id="89" w:name="_Toc1563"/>
      <w:bookmarkStart w:id="90" w:name="_Toc6230"/>
      <w:bookmarkStart w:id="91" w:name="_Toc21847"/>
      <w:bookmarkStart w:id="92" w:name="_Toc3723"/>
      <w:bookmarkStart w:id="93" w:name="_Toc12169"/>
      <w:bookmarkStart w:id="94" w:name="_Toc28358"/>
      <w:bookmarkStart w:id="95" w:name="_Toc23515"/>
    </w:p>
    <w:p>
      <w:pPr>
        <w:rPr>
          <w:rFonts w:hint="eastAsia" w:asciiTheme="majorEastAsia" w:hAnsiTheme="majorEastAsia" w:eastAsiaTheme="majorEastAsia" w:cstheme="majorEastAsia"/>
          <w:color w:val="auto"/>
          <w:highlight w:val="none"/>
        </w:rPr>
      </w:pPr>
    </w:p>
    <w:p>
      <w:pPr>
        <w:pStyle w:val="2"/>
        <w:rPr>
          <w:rFonts w:hint="eastAsia" w:asciiTheme="majorEastAsia" w:hAnsiTheme="majorEastAsia" w:eastAsiaTheme="majorEastAsia" w:cstheme="majorEastAsia"/>
          <w:color w:val="auto"/>
          <w:highlight w:val="none"/>
        </w:rPr>
      </w:pPr>
    </w:p>
    <w:p>
      <w:pPr>
        <w:pStyle w:val="2"/>
        <w:rPr>
          <w:rFonts w:hint="eastAsia" w:asciiTheme="majorEastAsia" w:hAnsiTheme="majorEastAsia" w:eastAsiaTheme="majorEastAsia" w:cstheme="majorEastAsia"/>
          <w:color w:val="auto"/>
          <w:highlight w:val="none"/>
        </w:rPr>
      </w:pPr>
    </w:p>
    <w:p>
      <w:pPr>
        <w:pStyle w:val="2"/>
        <w:rPr>
          <w:rFonts w:hint="eastAsia" w:asciiTheme="majorEastAsia" w:hAnsiTheme="majorEastAsia" w:eastAsiaTheme="majorEastAsia" w:cstheme="majorEastAsia"/>
          <w:color w:val="auto"/>
          <w:highlight w:val="none"/>
        </w:rPr>
      </w:pPr>
    </w:p>
    <w:p>
      <w:pPr>
        <w:pStyle w:val="2"/>
        <w:rPr>
          <w:rFonts w:hint="eastAsia" w:asciiTheme="majorEastAsia" w:hAnsiTheme="majorEastAsia" w:eastAsiaTheme="majorEastAsia" w:cstheme="majorEastAsia"/>
          <w:color w:val="auto"/>
          <w:highlight w:val="none"/>
        </w:rPr>
      </w:pPr>
    </w:p>
    <w:p>
      <w:pPr>
        <w:pStyle w:val="2"/>
        <w:rPr>
          <w:rFonts w:hint="eastAsia" w:asciiTheme="majorEastAsia" w:hAnsiTheme="majorEastAsia" w:eastAsiaTheme="majorEastAsia" w:cstheme="majorEastAsia"/>
          <w:color w:val="auto"/>
          <w:highlight w:val="none"/>
        </w:rPr>
      </w:pPr>
    </w:p>
    <w:p>
      <w:pPr>
        <w:pStyle w:val="2"/>
        <w:rPr>
          <w:rFonts w:hint="eastAsia" w:asciiTheme="majorEastAsia" w:hAnsiTheme="majorEastAsia" w:eastAsiaTheme="majorEastAsia" w:cstheme="majorEastAsia"/>
          <w:color w:val="auto"/>
          <w:highlight w:val="none"/>
        </w:rPr>
      </w:pPr>
    </w:p>
    <w:p>
      <w:pPr>
        <w:pStyle w:val="2"/>
        <w:rPr>
          <w:rFonts w:hint="eastAsia" w:asciiTheme="majorEastAsia" w:hAnsiTheme="majorEastAsia" w:eastAsiaTheme="majorEastAsia" w:cstheme="majorEastAsia"/>
          <w:color w:val="auto"/>
          <w:highlight w:val="none"/>
        </w:rPr>
      </w:pPr>
    </w:p>
    <w:p>
      <w:pPr>
        <w:pStyle w:val="2"/>
        <w:rPr>
          <w:rFonts w:hint="eastAsia" w:asciiTheme="majorEastAsia" w:hAnsiTheme="majorEastAsia" w:eastAsiaTheme="majorEastAsia" w:cstheme="majorEastAsia"/>
          <w:color w:val="auto"/>
          <w:highlight w:val="none"/>
        </w:rPr>
      </w:pPr>
    </w:p>
    <w:p>
      <w:pPr>
        <w:pStyle w:val="2"/>
        <w:rPr>
          <w:rFonts w:hint="eastAsia" w:asciiTheme="majorEastAsia" w:hAnsiTheme="majorEastAsia" w:eastAsiaTheme="majorEastAsia" w:cstheme="majorEastAsia"/>
          <w:color w:val="auto"/>
          <w:highlight w:val="none"/>
        </w:rPr>
      </w:pPr>
    </w:p>
    <w:p>
      <w:pPr>
        <w:pStyle w:val="2"/>
        <w:rPr>
          <w:rFonts w:hint="eastAsia" w:asciiTheme="majorEastAsia" w:hAnsiTheme="majorEastAsia" w:eastAsiaTheme="majorEastAsia" w:cstheme="majorEastAsia"/>
          <w:color w:val="auto"/>
          <w:highlight w:val="none"/>
        </w:rPr>
      </w:pPr>
    </w:p>
    <w:p>
      <w:pPr>
        <w:pStyle w:val="2"/>
        <w:rPr>
          <w:rFonts w:hint="eastAsia" w:asciiTheme="majorEastAsia" w:hAnsiTheme="majorEastAsia" w:eastAsiaTheme="majorEastAsia" w:cstheme="majorEastAsia"/>
          <w:color w:val="auto"/>
          <w:highlight w:val="none"/>
        </w:rPr>
      </w:pPr>
    </w:p>
    <w:p>
      <w:pPr>
        <w:pStyle w:val="2"/>
        <w:rPr>
          <w:rFonts w:hint="eastAsia" w:asciiTheme="majorEastAsia" w:hAnsiTheme="majorEastAsia" w:eastAsiaTheme="majorEastAsia" w:cstheme="majorEastAsia"/>
          <w:color w:val="auto"/>
          <w:highlight w:val="none"/>
        </w:rPr>
      </w:pPr>
    </w:p>
    <w:p>
      <w:pPr>
        <w:pStyle w:val="2"/>
        <w:rPr>
          <w:rFonts w:hint="eastAsia" w:asciiTheme="majorEastAsia" w:hAnsiTheme="majorEastAsia" w:eastAsiaTheme="majorEastAsia" w:cstheme="majorEastAsia"/>
          <w:color w:val="auto"/>
          <w:highlight w:val="none"/>
        </w:rPr>
      </w:pPr>
    </w:p>
    <w:p>
      <w:pPr>
        <w:pStyle w:val="2"/>
        <w:rPr>
          <w:rFonts w:hint="eastAsia" w:asciiTheme="majorEastAsia" w:hAnsiTheme="majorEastAsia" w:eastAsiaTheme="majorEastAsia" w:cstheme="majorEastAsia"/>
          <w:color w:val="auto"/>
          <w:highlight w:val="none"/>
        </w:rPr>
      </w:pPr>
    </w:p>
    <w:p>
      <w:pPr>
        <w:pStyle w:val="2"/>
        <w:rPr>
          <w:rFonts w:hint="default" w:asciiTheme="majorEastAsia" w:hAnsiTheme="majorEastAsia" w:eastAsiaTheme="majorEastAsia" w:cstheme="majorEastAsia"/>
          <w:color w:val="auto"/>
          <w:highlight w:val="none"/>
        </w:rPr>
      </w:pPr>
    </w:p>
    <w:p>
      <w:pPr>
        <w:pStyle w:val="3"/>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pict>
          <v:shape id="_x0000_s2059" o:spid="_x0000_s2059" o:spt="32" type="#_x0000_t32" style="position:absolute;left:0pt;margin-left:183.85pt;margin-top:40.2pt;height:0pt;width:75.5pt;z-index:251667456;mso-width-relative:page;mso-height-relative:page;" o:connectortype="straight" filled="f" coordsize="21600,21600">
            <v:path arrowok="t"/>
            <v:fill on="f" focussize="0,0"/>
            <v:stroke/>
            <v:imagedata o:title=""/>
            <o:lock v:ext="edit"/>
          </v:shape>
        </w:pict>
      </w:r>
      <w:r>
        <w:rPr>
          <w:rFonts w:hint="eastAsia" w:asciiTheme="majorEastAsia" w:hAnsiTheme="majorEastAsia" w:eastAsiaTheme="majorEastAsia" w:cstheme="majorEastAsia"/>
          <w:color w:val="auto"/>
          <w:highlight w:val="none"/>
        </w:rPr>
        <w:pict>
          <v:shape id="_x0000_s2058" o:spid="_x0000_s2058" o:spt="32" type="#_x0000_t32" style="position:absolute;left:0pt;margin-left:183.1pt;margin-top:1.05pt;height:0pt;width:75.5pt;z-index:251666432;mso-width-relative:page;mso-height-relative:page;" o:connectortype="straight" filled="f" coordsize="21600,21600">
            <v:path arrowok="t"/>
            <v:fill on="f" focussize="0,0"/>
            <v:stroke/>
            <v:imagedata o:title=""/>
            <o:lock v:ext="edit"/>
          </v:shape>
        </w:pict>
      </w:r>
      <w:r>
        <w:rPr>
          <w:rFonts w:hint="eastAsia" w:asciiTheme="majorEastAsia" w:hAnsiTheme="majorEastAsia" w:eastAsiaTheme="majorEastAsia" w:cstheme="major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7"/>
        <w:rPr>
          <w:rFonts w:hint="eastAsia" w:asciiTheme="majorEastAsia" w:hAnsiTheme="majorEastAsia" w:eastAsiaTheme="majorEastAsia" w:cstheme="majorEastAsia"/>
          <w:color w:val="auto"/>
          <w:highlight w:val="none"/>
        </w:rPr>
      </w:pPr>
    </w:p>
    <w:p>
      <w:pPr>
        <w:pStyle w:val="3"/>
        <w:rPr>
          <w:rFonts w:hint="eastAsia" w:asciiTheme="majorEastAsia" w:hAnsiTheme="majorEastAsia" w:eastAsiaTheme="majorEastAsia" w:cstheme="majorEastAsia"/>
          <w:color w:val="auto"/>
          <w:highlight w:val="none"/>
        </w:rPr>
      </w:pPr>
      <w:bookmarkStart w:id="96" w:name="_Toc88209951"/>
      <w:bookmarkStart w:id="97" w:name="_Toc24815"/>
      <w:bookmarkStart w:id="98" w:name="_Toc24490"/>
      <w:bookmarkStart w:id="99" w:name="_Toc17119"/>
      <w:bookmarkStart w:id="100" w:name="_Toc21675"/>
      <w:bookmarkStart w:id="101" w:name="_Toc22764"/>
      <w:bookmarkStart w:id="102" w:name="_Toc31564"/>
      <w:bookmarkStart w:id="103" w:name="_Toc12769"/>
      <w:b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ajorEastAsia" w:cstheme="majorEastAsia"/>
          <w:color w:val="auto"/>
          <w:highlight w:val="none"/>
        </w:rPr>
        <w:t>响应文件格式要求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156" w:beforeLines="50" w:after="156" w:afterLines="50" w:line="600" w:lineRule="exact"/>
        <w:jc w:val="center"/>
        <w:rPr>
          <w:rFonts w:hint="eastAsia" w:asciiTheme="majorEastAsia" w:hAnsiTheme="majorEastAsia" w:eastAsiaTheme="majorEastAsia" w:cstheme="majorEastAsia"/>
          <w:color w:val="auto"/>
          <w:sz w:val="44"/>
          <w:szCs w:val="44"/>
          <w:highlight w:val="none"/>
        </w:rPr>
      </w:pPr>
    </w:p>
    <w:p>
      <w:pPr>
        <w:pStyle w:val="2"/>
        <w:rPr>
          <w:rFonts w:hint="eastAsia" w:asciiTheme="majorEastAsia" w:hAnsiTheme="majorEastAsia" w:eastAsiaTheme="majorEastAsia" w:cstheme="majorEastAsia"/>
          <w:color w:val="auto"/>
          <w:sz w:val="44"/>
          <w:szCs w:val="44"/>
          <w:highlight w:val="none"/>
        </w:rPr>
      </w:pPr>
    </w:p>
    <w:p>
      <w:pPr>
        <w:pStyle w:val="2"/>
        <w:rPr>
          <w:rFonts w:hint="eastAsia" w:asciiTheme="majorEastAsia" w:hAnsiTheme="majorEastAsia" w:eastAsiaTheme="majorEastAsia" w:cstheme="majorEastAsia"/>
          <w:color w:val="auto"/>
          <w:sz w:val="44"/>
          <w:szCs w:val="44"/>
          <w:highlight w:val="none"/>
        </w:rPr>
      </w:pPr>
    </w:p>
    <w:p>
      <w:pPr>
        <w:pStyle w:val="2"/>
        <w:rPr>
          <w:rFonts w:hint="eastAsia" w:asciiTheme="majorEastAsia" w:hAnsiTheme="majorEastAsia" w:eastAsiaTheme="majorEastAsia" w:cstheme="majorEastAsia"/>
          <w:color w:val="auto"/>
          <w:sz w:val="44"/>
          <w:szCs w:val="44"/>
          <w:highlight w:val="none"/>
        </w:rPr>
      </w:pPr>
    </w:p>
    <w:p>
      <w:pPr>
        <w:pStyle w:val="2"/>
        <w:rPr>
          <w:rFonts w:hint="eastAsia" w:asciiTheme="majorEastAsia" w:hAnsiTheme="majorEastAsia" w:eastAsiaTheme="majorEastAsia" w:cstheme="majorEastAsia"/>
          <w:color w:val="auto"/>
          <w:sz w:val="44"/>
          <w:szCs w:val="44"/>
          <w:highlight w:val="none"/>
        </w:rPr>
      </w:pPr>
    </w:p>
    <w:p>
      <w:pPr>
        <w:pStyle w:val="2"/>
        <w:rPr>
          <w:rFonts w:hint="eastAsia" w:asciiTheme="majorEastAsia" w:hAnsiTheme="majorEastAsia" w:eastAsiaTheme="majorEastAsia" w:cstheme="majorEastAsia"/>
          <w:color w:val="auto"/>
          <w:sz w:val="44"/>
          <w:szCs w:val="44"/>
          <w:highlight w:val="none"/>
        </w:rPr>
      </w:pPr>
    </w:p>
    <w:p>
      <w:pPr>
        <w:pStyle w:val="2"/>
        <w:rPr>
          <w:rFonts w:hint="eastAsia" w:asciiTheme="majorEastAsia" w:hAnsiTheme="majorEastAsia" w:eastAsiaTheme="majorEastAsia" w:cstheme="majorEastAsia"/>
          <w:color w:val="auto"/>
          <w:sz w:val="44"/>
          <w:szCs w:val="44"/>
          <w:highlight w:val="none"/>
        </w:rPr>
      </w:pPr>
    </w:p>
    <w:p>
      <w:pPr>
        <w:pStyle w:val="2"/>
        <w:rPr>
          <w:rFonts w:hint="eastAsia" w:asciiTheme="majorEastAsia" w:hAnsiTheme="majorEastAsia" w:eastAsiaTheme="majorEastAsia" w:cstheme="majorEastAsia"/>
          <w:color w:val="auto"/>
          <w:sz w:val="44"/>
          <w:szCs w:val="44"/>
          <w:highlight w:val="none"/>
        </w:rPr>
      </w:pPr>
    </w:p>
    <w:p>
      <w:pPr>
        <w:pStyle w:val="2"/>
        <w:rPr>
          <w:rFonts w:hint="eastAsia" w:asciiTheme="majorEastAsia" w:hAnsiTheme="majorEastAsia" w:eastAsiaTheme="majorEastAsia" w:cstheme="majorEastAsia"/>
          <w:color w:val="auto"/>
          <w:sz w:val="44"/>
          <w:szCs w:val="44"/>
          <w:highlight w:val="none"/>
        </w:rPr>
      </w:pPr>
    </w:p>
    <w:p>
      <w:pPr>
        <w:pStyle w:val="2"/>
        <w:rPr>
          <w:rFonts w:hint="eastAsia" w:asciiTheme="majorEastAsia" w:hAnsiTheme="majorEastAsia" w:eastAsiaTheme="majorEastAsia" w:cstheme="majorEastAsia"/>
          <w:color w:val="auto"/>
          <w:sz w:val="44"/>
          <w:szCs w:val="44"/>
          <w:highlight w:val="none"/>
        </w:rPr>
      </w:pPr>
    </w:p>
    <w:p>
      <w:pPr>
        <w:pStyle w:val="2"/>
        <w:rPr>
          <w:rFonts w:hint="eastAsia" w:asciiTheme="majorEastAsia" w:hAnsiTheme="majorEastAsia" w:eastAsiaTheme="majorEastAsia" w:cstheme="majorEastAsia"/>
          <w:color w:val="auto"/>
          <w:sz w:val="44"/>
          <w:szCs w:val="44"/>
          <w:highlight w:val="none"/>
        </w:rPr>
      </w:pPr>
    </w:p>
    <w:p>
      <w:pPr>
        <w:pStyle w:val="2"/>
        <w:rPr>
          <w:rFonts w:hint="default" w:asciiTheme="majorEastAsia" w:hAnsiTheme="majorEastAsia" w:eastAsiaTheme="majorEastAsia" w:cstheme="majorEastAsia"/>
          <w:color w:val="auto"/>
          <w:sz w:val="44"/>
          <w:szCs w:val="44"/>
          <w:highlight w:val="none"/>
        </w:rPr>
      </w:pPr>
    </w:p>
    <w:p>
      <w:pPr>
        <w:adjustRightInd w:val="0"/>
        <w:snapToGrid w:val="0"/>
        <w:spacing w:before="156" w:beforeLines="50" w:after="156" w:afterLines="50" w:line="600" w:lineRule="exact"/>
        <w:jc w:val="center"/>
        <w:rPr>
          <w:rFonts w:hint="eastAsia" w:asciiTheme="majorEastAsia" w:hAnsiTheme="majorEastAsia" w:eastAsiaTheme="majorEastAsia" w:cstheme="majorEastAsia"/>
          <w:color w:val="auto"/>
          <w:sz w:val="44"/>
          <w:szCs w:val="44"/>
          <w:highlight w:val="none"/>
        </w:rPr>
      </w:pPr>
    </w:p>
    <w:p>
      <w:pPr>
        <w:adjustRightInd w:val="0"/>
        <w:snapToGrid w:val="0"/>
        <w:spacing w:before="156" w:beforeLines="50" w:after="156" w:afterLines="50" w:line="600" w:lineRule="exact"/>
        <w:jc w:val="center"/>
        <w:rPr>
          <w:rFonts w:hint="eastAsia" w:asciiTheme="majorEastAsia" w:hAnsiTheme="majorEastAsia" w:eastAsiaTheme="majorEastAsia" w:cstheme="majorEastAsia"/>
          <w:color w:val="auto"/>
          <w:sz w:val="44"/>
          <w:szCs w:val="44"/>
          <w:highlight w:val="none"/>
        </w:rPr>
      </w:pPr>
    </w:p>
    <w:p>
      <w:pPr>
        <w:adjustRightInd w:val="0"/>
        <w:snapToGrid w:val="0"/>
        <w:spacing w:before="156" w:beforeLines="50" w:after="156" w:afterLines="50" w:line="600" w:lineRule="exact"/>
        <w:jc w:val="center"/>
        <w:rPr>
          <w:rFonts w:hint="eastAsia" w:asciiTheme="majorEastAsia" w:hAnsiTheme="majorEastAsia" w:eastAsiaTheme="majorEastAsia" w:cstheme="majorEastAsia"/>
          <w:color w:val="auto"/>
          <w:sz w:val="30"/>
          <w:szCs w:val="30"/>
          <w:highlight w:val="none"/>
        </w:rPr>
      </w:pPr>
      <w:r>
        <w:rPr>
          <w:rFonts w:hint="eastAsia" w:asciiTheme="majorEastAsia" w:hAnsiTheme="majorEastAsia" w:eastAsiaTheme="majorEastAsia" w:cstheme="majorEastAsia"/>
          <w:color w:val="auto"/>
          <w:sz w:val="44"/>
          <w:szCs w:val="44"/>
          <w:highlight w:val="none"/>
          <w:u w:val="single"/>
          <w:lang w:val="en-US" w:eastAsia="zh-CN"/>
        </w:rPr>
        <w:t>项目名称：</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hint="eastAsia" w:asciiTheme="majorEastAsia" w:hAnsiTheme="majorEastAsia" w:eastAsiaTheme="majorEastAsia" w:cstheme="majorEastAsia"/>
          <w:color w:val="auto"/>
          <w:sz w:val="30"/>
          <w:szCs w:val="30"/>
          <w:highlight w:val="none"/>
        </w:rPr>
      </w:pPr>
    </w:p>
    <w:p>
      <w:pPr>
        <w:pStyle w:val="2"/>
        <w:rPr>
          <w:rFonts w:hint="eastAsia" w:asciiTheme="majorEastAsia" w:hAnsiTheme="majorEastAsia" w:eastAsiaTheme="majorEastAsia" w:cstheme="majorEastAsia"/>
          <w:color w:val="auto"/>
          <w:sz w:val="30"/>
          <w:szCs w:val="30"/>
          <w:highlight w:val="none"/>
        </w:rPr>
      </w:pPr>
    </w:p>
    <w:p>
      <w:pPr>
        <w:pStyle w:val="2"/>
        <w:rPr>
          <w:rFonts w:hint="eastAsia" w:asciiTheme="majorEastAsia" w:hAnsiTheme="majorEastAsia" w:eastAsiaTheme="majorEastAsia" w:cstheme="majorEastAsia"/>
          <w:color w:val="auto"/>
          <w:sz w:val="30"/>
          <w:szCs w:val="30"/>
          <w:highlight w:val="none"/>
        </w:rPr>
      </w:pPr>
    </w:p>
    <w:p>
      <w:pPr>
        <w:adjustRightInd w:val="0"/>
        <w:snapToGrid w:val="0"/>
        <w:spacing w:before="156" w:beforeLines="50" w:after="156" w:afterLines="50" w:line="600" w:lineRule="exact"/>
        <w:jc w:val="center"/>
        <w:rPr>
          <w:rFonts w:hint="eastAsia" w:asciiTheme="majorEastAsia" w:hAnsiTheme="majorEastAsia" w:eastAsiaTheme="majorEastAsia" w:cstheme="majorEastAsia"/>
          <w:color w:val="auto"/>
          <w:sz w:val="44"/>
          <w:szCs w:val="44"/>
          <w:highlight w:val="none"/>
        </w:rPr>
      </w:pPr>
      <w:r>
        <w:rPr>
          <w:rFonts w:hint="eastAsia" w:asciiTheme="majorEastAsia" w:hAnsiTheme="majorEastAsia" w:eastAsiaTheme="majorEastAsia" w:cstheme="majorEastAsia"/>
          <w:color w:val="auto"/>
          <w:sz w:val="44"/>
          <w:szCs w:val="44"/>
          <w:highlight w:val="none"/>
        </w:rPr>
        <w:t>目  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7616389"/>
      <w:bookmarkStart w:id="110" w:name="_Toc88209952"/>
      <w:r>
        <w:rPr>
          <w:rFonts w:hint="eastAsia" w:ascii="仿宋_GB2312" w:eastAsia="仿宋_GB2312"/>
          <w:color w:val="auto"/>
          <w:sz w:val="28"/>
          <w:szCs w:val="28"/>
          <w:highlight w:val="none"/>
        </w:rPr>
        <w:t>1.响应函</w:t>
      </w:r>
      <w:bookmarkEnd w:id="109"/>
      <w:bookmarkEnd w:id="110"/>
    </w:p>
    <w:p>
      <w:pPr>
        <w:spacing w:line="600" w:lineRule="exact"/>
        <w:rPr>
          <w:rFonts w:ascii="仿宋_GB2312" w:eastAsia="仿宋_GB2312"/>
          <w:color w:val="auto"/>
          <w:sz w:val="28"/>
          <w:szCs w:val="28"/>
          <w:highlight w:val="none"/>
        </w:rPr>
      </w:pPr>
      <w:bookmarkStart w:id="111" w:name="_Toc88209953"/>
      <w:bookmarkStart w:id="112" w:name="_Toc87616390"/>
      <w:r>
        <w:rPr>
          <w:rFonts w:hint="eastAsia" w:ascii="仿宋_GB2312" w:eastAsia="仿宋_GB2312"/>
          <w:color w:val="auto"/>
          <w:sz w:val="28"/>
          <w:szCs w:val="28"/>
          <w:highlight w:val="none"/>
        </w:rPr>
        <w:t>2.法定代表人证明或授权委托书</w:t>
      </w:r>
      <w:bookmarkEnd w:id="111"/>
      <w:bookmarkEnd w:id="112"/>
      <w:bookmarkStart w:id="113" w:name="_Toc88209956"/>
      <w:bookmarkStart w:id="114"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13"/>
      <w:bookmarkEnd w:id="114"/>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15" w:name="_Toc88209957"/>
      <w:bookmarkStart w:id="116" w:name="_Toc87616394"/>
      <w:bookmarkStart w:id="117" w:name="_Toc12665"/>
      <w:bookmarkStart w:id="118" w:name="_Toc28619645"/>
      <w:bookmarkStart w:id="119" w:name="_Toc6313"/>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sym w:font="Wingdings 2" w:char="00A3"/>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sym w:font="Wingdings 2" w:char="00A3"/>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left="559" w:leftChars="266" w:firstLine="0" w:firstLineChars="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r>
        <w:rPr>
          <w:rFonts w:ascii="仿宋_GB2312" w:hAnsi="黑体" w:eastAsia="仿宋_GB2312"/>
          <w:color w:val="auto"/>
          <w:sz w:val="28"/>
          <w:szCs w:val="28"/>
          <w:highlight w:val="none"/>
        </w:rPr>
        <w:br w:type="textWrapping"/>
      </w:r>
      <w:r>
        <w:rPr>
          <w:rFonts w:hint="eastAsia" w:ascii="仿宋_GB2312" w:hAnsi="黑体" w:eastAsia="仿宋_GB2312" w:cstheme="minorBidi"/>
          <w:color w:val="auto"/>
          <w:kern w:val="2"/>
          <w:sz w:val="28"/>
          <w:szCs w:val="28"/>
          <w:highlight w:val="none"/>
        </w:rPr>
        <w:t>（</w:t>
      </w:r>
      <w:r>
        <w:rPr>
          <w:rFonts w:ascii="仿宋_GB2312" w:hAnsi="黑体" w:eastAsia="仿宋_GB2312" w:cstheme="minorBidi"/>
          <w:color w:val="auto"/>
          <w:kern w:val="2"/>
          <w:sz w:val="28"/>
          <w:szCs w:val="28"/>
          <w:highlight w:val="none"/>
        </w:rPr>
        <w:t>5</w:t>
      </w:r>
      <w:r>
        <w:rPr>
          <w:rFonts w:hint="eastAsia" w:ascii="仿宋_GB2312" w:hAnsi="黑体" w:eastAsia="仿宋_GB2312" w:cstheme="minorBidi"/>
          <w:color w:val="auto"/>
          <w:kern w:val="2"/>
          <w:sz w:val="28"/>
          <w:szCs w:val="28"/>
          <w:highlight w:val="none"/>
        </w:rPr>
        <w:t>）如放弃成交，我方依法</w:t>
      </w:r>
      <w:r>
        <w:rPr>
          <w:rFonts w:hint="eastAsia" w:ascii="仿宋_GB2312" w:hAnsi="黑体" w:eastAsia="仿宋_GB2312"/>
          <w:color w:val="auto"/>
          <w:sz w:val="28"/>
          <w:szCs w:val="28"/>
          <w:highlight w:val="none"/>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w:t>
      </w:r>
      <w:r>
        <w:rPr>
          <w:rFonts w:hint="eastAsia" w:ascii="仿宋_GB2312" w:eastAsia="仿宋_GB2312" w:hAnsiTheme="minorEastAsia"/>
          <w:color w:val="auto"/>
          <w:sz w:val="28"/>
          <w:szCs w:val="28"/>
          <w:highlight w:val="none"/>
          <w:lang w:val="en-US" w:eastAsia="zh-CN"/>
        </w:rPr>
        <w:t>私</w:t>
      </w:r>
      <w:r>
        <w:rPr>
          <w:rFonts w:hint="eastAsia" w:ascii="仿宋_GB2312" w:eastAsia="仿宋_GB2312" w:hAnsiTheme="minorEastAsia"/>
          <w:color w:val="auto"/>
          <w:sz w:val="28"/>
          <w:szCs w:val="28"/>
          <w:highlight w:val="none"/>
        </w:rPr>
        <w:t>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20" w:name="_Toc88209958"/>
      <w:bookmarkStart w:id="121" w:name="_Toc29833"/>
      <w:bookmarkStart w:id="122" w:name="_Toc87616395"/>
      <w:bookmarkStart w:id="123" w:name="_Toc22527"/>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hint="eastAsia" w:asciiTheme="majorEastAsia" w:hAnsiTheme="majorEastAsia" w:eastAsiaTheme="majorEastAsia" w:cstheme="majorEastAsia"/>
          <w:color w:val="auto"/>
          <w:kern w:val="0"/>
          <w:sz w:val="44"/>
          <w:szCs w:val="44"/>
          <w:highlight w:val="none"/>
        </w:rPr>
      </w:pPr>
      <w:r>
        <w:rPr>
          <w:rFonts w:hint="eastAsia" w:asciiTheme="majorEastAsia" w:hAnsiTheme="majorEastAsia" w:eastAsiaTheme="majorEastAsia" w:cstheme="majorEastAsi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snapToGrid w:val="0"/>
        <w:spacing w:line="600" w:lineRule="exact"/>
        <w:ind w:firstLine="702" w:firstLineChars="234"/>
        <w:rPr>
          <w:rFonts w:ascii="仿宋_GB2312" w:hAnsi="宋体" w:eastAsia="仿宋_GB2312" w:cs="Times New Roman"/>
          <w:color w:val="auto"/>
          <w:sz w:val="32"/>
          <w:szCs w:val="32"/>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68480;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Theme="majorEastAsia" w:hAnsiTheme="majorEastAsia" w:eastAsiaTheme="majorEastAsia" w:cstheme="majorEastAsi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7"/>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w:t>
      </w:r>
      <w:r>
        <w:rPr>
          <w:rFonts w:hint="eastAsia" w:ascii="仿宋_GB2312" w:hAnsi="宋体" w:eastAsia="仿宋_GB2312"/>
          <w:color w:val="auto"/>
          <w:sz w:val="30"/>
          <w:szCs w:val="30"/>
          <w:highlight w:val="none"/>
          <w:lang w:val="en-US" w:eastAsia="zh-CN"/>
        </w:rPr>
        <w:t>自公告发布当月起</w:t>
      </w:r>
      <w:r>
        <w:rPr>
          <w:rFonts w:hint="eastAsia" w:ascii="仿宋_GB2312" w:hAnsi="宋体" w:eastAsia="仿宋_GB2312"/>
          <w:color w:val="auto"/>
          <w:sz w:val="30"/>
          <w:szCs w:val="30"/>
          <w:highlight w:val="none"/>
        </w:rPr>
        <w:t>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69504;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rPr>
              <w:t>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bookmarkStart w:id="124" w:name="_Toc19830"/>
      <w:bookmarkStart w:id="125" w:name="_Toc87616400"/>
      <w:bookmarkStart w:id="126" w:name="_Toc88209963"/>
      <w:bookmarkStart w:id="127" w:name="_Toc8086"/>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1"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right"/>
        <w:rPr>
          <w:rFonts w:ascii="宋体" w:hAnsi="宋体" w:eastAsia="宋体" w:cs="宋体"/>
          <w:color w:val="auto"/>
          <w:sz w:val="24"/>
          <w:szCs w:val="24"/>
          <w:highlight w:val="none"/>
          <w:lang w:val="en-GB"/>
        </w:rPr>
      </w:pPr>
      <w:bookmarkStart w:id="128" w:name="_Hlk59025866"/>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ind w:firstLine="7200" w:firstLineChars="3000"/>
        <w:jc w:val="left"/>
        <w:rPr>
          <w:rFonts w:cs="Times New Roman" w:asciiTheme="minorEastAsia" w:hAnsiTheme="minorEastAsia"/>
          <w:b/>
          <w:bCs/>
          <w:color w:val="auto"/>
          <w:sz w:val="28"/>
          <w:szCs w:val="28"/>
          <w:highlight w:val="none"/>
        </w:rPr>
      </w:pPr>
      <w:r>
        <w:rPr>
          <w:rFonts w:hint="eastAsia" w:ascii="宋体" w:hAnsi="宋体" w:eastAsia="宋体" w:cs="宋体"/>
          <w:color w:val="auto"/>
          <w:sz w:val="24"/>
          <w:szCs w:val="24"/>
          <w:highlight w:val="none"/>
          <w:lang w:val="en-GB"/>
        </w:rPr>
        <w:t>年  月  日</w:t>
      </w:r>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28"/>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u w:val="single"/>
          <w:lang w:val="en-GB" w:eastAsia="zh-CN"/>
        </w:rPr>
        <w:t>广州市净水有限公司健康城分公司2024年提升泵房、事故池、排水泵井清淤项目</w:t>
      </w:r>
      <w:r>
        <w:rPr>
          <w:rFonts w:hint="eastAsia" w:ascii="宋体" w:hAnsi="宋体" w:eastAsia="宋体" w:cs="宋体"/>
          <w:color w:val="auto"/>
          <w:sz w:val="24"/>
          <w:szCs w:val="24"/>
          <w:highlight w:val="none"/>
          <w:u w:val="single"/>
          <w:lang w:val="en-GB"/>
        </w:rPr>
        <w:t>（项目编号：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GB"/>
        </w:rPr>
        <w:t>）</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（2）与本项目其他供应商存在控股或管理关系。</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（3）被本项目所在地省级以上行业主管部门依法暂停、取消投标或禁止参加采购活动且处于有效期内的。</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（4）处于被责令停产停业、暂扣或者吊销执照、暂扣或者吊销许可证、吊销资质证书状态。</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（5）进入清算程序，或被宣告破产，或其他丧失履约能力情形的。</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（6）近三年内因发生质量或安全生产事故等受到行政处罚且在处罚期内的。</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（7）被最高人民法院在“信用中国”网站（www.creditchina.gov.cn）或各级信用信息共享平台中列入失信被执行人名单。</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（8）被“全国企业信用信息公示系统”（网址：http://www.gsxt.gov.cn/）</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列入经营异常名录和严重违法企业名单。</w:t>
      </w:r>
    </w:p>
    <w:p>
      <w:pPr>
        <w:adjustRightInd w:val="0"/>
        <w:snapToGrid w:val="0"/>
        <w:spacing w:line="360" w:lineRule="auto"/>
        <w:ind w:firstLine="480" w:firstLineChars="200"/>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w:t>
      </w:r>
      <w:r>
        <w:rPr>
          <w:rFonts w:hint="eastAsia" w:ascii="宋体" w:hAnsi="宋体" w:cs="宋体"/>
          <w:color w:val="auto"/>
          <w:sz w:val="24"/>
          <w:szCs w:val="24"/>
          <w:highlight w:val="none"/>
          <w:lang w:val="en-GB" w:eastAsia="zh-CN"/>
        </w:rPr>
        <w:t>0</w:t>
      </w:r>
      <w:r>
        <w:rPr>
          <w:rFonts w:hint="eastAsia" w:ascii="宋体" w:hAnsi="宋体" w:cs="宋体"/>
          <w:color w:val="auto"/>
          <w:sz w:val="24"/>
          <w:szCs w:val="24"/>
          <w:highlight w:val="none"/>
          <w:lang w:val="en-GB"/>
        </w:rPr>
        <w:t>）其他违法违纪行为，经审查认为不宜被邀请参加采购活动的。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w:t>
      </w:r>
      <w:r>
        <w:rPr>
          <w:rFonts w:hint="eastAsia" w:ascii="宋体" w:hAnsi="宋体" w:cs="宋体"/>
          <w:color w:val="auto"/>
          <w:sz w:val="24"/>
          <w:szCs w:val="24"/>
          <w:highlight w:val="none"/>
          <w:lang w:val="en-GB" w:eastAsia="zh-CN"/>
        </w:rPr>
        <w:t>1</w:t>
      </w:r>
      <w:r>
        <w:rPr>
          <w:rFonts w:hint="eastAsia" w:ascii="宋体" w:hAnsi="宋体" w:cs="宋体"/>
          <w:color w:val="auto"/>
          <w:sz w:val="24"/>
          <w:szCs w:val="24"/>
          <w:highlight w:val="none"/>
          <w:lang w:val="en-GB"/>
        </w:rPr>
        <w:t>）其他禁止情形：</w:t>
      </w:r>
    </w:p>
    <w:p>
      <w:pPr>
        <w:adjustRightInd w:val="0"/>
        <w:snapToGrid w:val="0"/>
        <w:spacing w:line="360" w:lineRule="auto"/>
        <w:jc w:val="right"/>
        <w:rPr>
          <w:rFonts w:ascii="宋体" w:hAnsi="宋体" w:eastAsia="宋体" w:cs="宋体"/>
          <w:color w:val="auto"/>
          <w:sz w:val="24"/>
          <w:szCs w:val="24"/>
          <w:highlight w:val="none"/>
          <w:lang w:val="en-GB"/>
        </w:rPr>
      </w:pPr>
      <w:r>
        <w:rPr>
          <w:rFonts w:ascii="宋体" w:hAnsi="宋体" w:eastAsia="宋体" w:cs="宋体"/>
          <w:color w:val="auto"/>
          <w:sz w:val="24"/>
          <w:szCs w:val="24"/>
          <w:highlight w:val="none"/>
          <w:lang w:val="en-GB"/>
        </w:rPr>
        <w:br w:type="textWrapping"/>
      </w:r>
    </w:p>
    <w:p>
      <w:pPr>
        <w:pStyle w:val="22"/>
        <w:rPr>
          <w:rFonts w:ascii="宋体" w:hAnsi="宋体" w:eastAsia="宋体" w:cs="宋体"/>
          <w:color w:val="auto"/>
          <w:sz w:val="24"/>
          <w:szCs w:val="24"/>
          <w:highlight w:val="none"/>
          <w:lang w:val="en-GB"/>
        </w:rPr>
      </w:pPr>
    </w:p>
    <w:p>
      <w:pPr>
        <w:pStyle w:val="22"/>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color w:val="auto"/>
          <w:highlight w:val="none"/>
        </w:rPr>
      </w:pPr>
      <w:r>
        <w:rPr>
          <w:rFonts w:hint="eastAsia" w:ascii="宋体" w:hAnsi="宋体" w:eastAsia="宋体" w:cs="宋体"/>
          <w:color w:val="auto"/>
          <w:sz w:val="24"/>
          <w:szCs w:val="24"/>
          <w:highlight w:val="none"/>
          <w:lang w:val="en-GB"/>
        </w:rPr>
        <w:t>年  月  日</w:t>
      </w: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2"/>
        <w:rPr>
          <w:rFonts w:ascii="仿宋_GB2312" w:eastAsia="仿宋_GB2312" w:hAnsiTheme="minorEastAsia"/>
          <w:color w:val="auto"/>
          <w:sz w:val="28"/>
          <w:szCs w:val="28"/>
          <w:highlight w:val="none"/>
        </w:rPr>
      </w:pPr>
    </w:p>
    <w:p>
      <w:pPr>
        <w:pStyle w:val="22"/>
        <w:rPr>
          <w:rFonts w:ascii="宋体" w:hAnsi="宋体" w:eastAsia="宋体" w:cs="宋体"/>
          <w:color w:val="auto"/>
          <w:sz w:val="24"/>
          <w:szCs w:val="24"/>
          <w:highlight w:val="none"/>
          <w:lang w:val="en-GB"/>
        </w:rPr>
      </w:pPr>
    </w:p>
    <w:p>
      <w:pPr>
        <w:adjustRightInd w:val="0"/>
        <w:snapToGrid w:val="0"/>
        <w:spacing w:line="360" w:lineRule="auto"/>
        <w:jc w:val="both"/>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22"/>
        <w:rPr>
          <w:rFonts w:ascii="仿宋_GB2312" w:eastAsia="仿宋_GB2312" w:hAnsiTheme="minorEastAsia"/>
          <w:color w:val="auto"/>
          <w:sz w:val="28"/>
          <w:szCs w:val="28"/>
          <w:highlight w:val="none"/>
        </w:rPr>
      </w:pPr>
      <w:r>
        <w:rPr>
          <w:rFonts w:hint="eastAsia" w:ascii="宋体" w:hAnsi="宋体" w:eastAsia="宋体" w:cs="宋体"/>
          <w:color w:val="auto"/>
          <w:sz w:val="24"/>
          <w:szCs w:val="24"/>
          <w:highlight w:val="none"/>
          <w:lang w:val="en-GB"/>
        </w:rPr>
        <w:t>年  月  日</w:t>
      </w:r>
    </w:p>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pStyle w:val="22"/>
        <w:ind w:firstLine="0"/>
        <w:rPr>
          <w:rFonts w:ascii="仿宋_GB2312" w:eastAsia="仿宋_GB2312" w:hAnsiTheme="minorEastAsia"/>
          <w:color w:val="auto"/>
          <w:sz w:val="28"/>
          <w:szCs w:val="28"/>
          <w:highlight w:val="none"/>
        </w:rPr>
      </w:pPr>
    </w:p>
    <w:p>
      <w:pPr>
        <w:pStyle w:val="5"/>
        <w:numPr>
          <w:ilvl w:val="0"/>
          <w:numId w:val="5"/>
        </w:numPr>
        <w:ind w:left="210" w:firstLine="562" w:firstLineChars="200"/>
        <w:jc w:val="left"/>
        <w:rPr>
          <w:rFonts w:hint="eastAsia"/>
          <w:color w:val="auto"/>
          <w:highlight w:val="none"/>
        </w:rPr>
      </w:pPr>
      <w:bookmarkStart w:id="129" w:name="_Toc19423"/>
      <w:bookmarkStart w:id="130" w:name="_Toc32430"/>
      <w:r>
        <w:rPr>
          <w:rFonts w:hint="eastAsia" w:asciiTheme="minorEastAsia" w:hAnsiTheme="minorEastAsia" w:eastAsiaTheme="minorEastAsia"/>
          <w:color w:val="auto"/>
          <w:sz w:val="28"/>
          <w:szCs w:val="28"/>
          <w:highlight w:val="none"/>
          <w:lang w:val="en-US" w:eastAsia="zh-CN"/>
        </w:rPr>
        <w:t>工程量</w:t>
      </w:r>
      <w:r>
        <w:rPr>
          <w:rFonts w:hint="eastAsia" w:asciiTheme="minorEastAsia" w:hAnsiTheme="minorEastAsia" w:eastAsiaTheme="minorEastAsia"/>
          <w:color w:val="auto"/>
          <w:sz w:val="28"/>
          <w:szCs w:val="28"/>
          <w:highlight w:val="none"/>
        </w:rPr>
        <w:t>报价表</w:t>
      </w:r>
      <w:bookmarkEnd w:id="129"/>
      <w:bookmarkEnd w:id="130"/>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详见响应文件报价清单</w:t>
      </w:r>
      <w:r>
        <w:rPr>
          <w:rFonts w:hint="eastAsia" w:asciiTheme="minorEastAsia" w:hAnsiTheme="minorEastAsia" w:eastAsiaTheme="minorEastAsia"/>
          <w:color w:val="auto"/>
          <w:sz w:val="28"/>
          <w:szCs w:val="28"/>
          <w:highlight w:val="none"/>
          <w:lang w:eastAsia="zh-CN"/>
        </w:rPr>
        <w:t>）</w:t>
      </w:r>
    </w:p>
    <w:tbl>
      <w:tblPr>
        <w:tblStyle w:val="23"/>
        <w:tblW w:w="97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7"/>
        <w:gridCol w:w="2958"/>
        <w:gridCol w:w="676"/>
        <w:gridCol w:w="1361"/>
        <w:gridCol w:w="580"/>
        <w:gridCol w:w="1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795" w:hRule="atLeast"/>
        </w:trPr>
        <w:tc>
          <w:tcPr>
            <w:tcW w:w="8473"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单位工程预算价汇总表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570" w:hRule="atLeast"/>
        </w:trPr>
        <w:tc>
          <w:tcPr>
            <w:tcW w:w="4981"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工程名称：健康城分公司2024年提升泵房、事故池、排水泵井清淤项目</w:t>
            </w:r>
          </w:p>
        </w:tc>
        <w:tc>
          <w:tcPr>
            <w:tcW w:w="1941"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1551"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75" w:hRule="atLeast"/>
        </w:trPr>
        <w:tc>
          <w:tcPr>
            <w:tcW w:w="134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95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汇总内容</w:t>
            </w:r>
          </w:p>
        </w:tc>
        <w:tc>
          <w:tcPr>
            <w:tcW w:w="20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2131"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措施合计</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101122.09</w:t>
            </w: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其他措施费</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其他项目</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63614.90</w:t>
            </w: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其他费用（消纳费）</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7837.50</w:t>
            </w: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税前工程造价</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总造价</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180" w:type="dxa"/>
          <w:wAfter w:w="1112" w:type="dxa"/>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2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人工费</w:t>
            </w:r>
          </w:p>
        </w:tc>
        <w:tc>
          <w:tcPr>
            <w:tcW w:w="20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180" w:type="dxa"/>
          <w:wAfter w:w="1112" w:type="dxa"/>
          <w:trHeight w:val="360" w:hRule="atLeast"/>
        </w:trPr>
        <w:tc>
          <w:tcPr>
            <w:tcW w:w="4305"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预算价合计=1+2+3+5</w:t>
            </w:r>
          </w:p>
        </w:tc>
        <w:tc>
          <w:tcPr>
            <w:tcW w:w="203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2131"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180" w:type="dxa"/>
          <w:wAfter w:w="1112" w:type="dxa"/>
          <w:trHeight w:val="360" w:hRule="atLeast"/>
        </w:trPr>
        <w:tc>
          <w:tcPr>
            <w:tcW w:w="8473"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Before w:w="180" w:type="dxa"/>
          <w:wAfter w:w="1112" w:type="dxa"/>
          <w:trHeight w:val="360" w:hRule="atLeast"/>
        </w:trPr>
        <w:tc>
          <w:tcPr>
            <w:tcW w:w="4981"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1941" w:type="dxa"/>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auto"/>
                <w:sz w:val="18"/>
                <w:szCs w:val="18"/>
                <w:highlight w:val="none"/>
                <w:u w:val="none"/>
              </w:rPr>
            </w:pPr>
          </w:p>
        </w:tc>
        <w:tc>
          <w:tcPr>
            <w:tcW w:w="1551"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表—04</w:t>
            </w:r>
          </w:p>
        </w:tc>
      </w:tr>
    </w:tbl>
    <w:p>
      <w:pPr>
        <w:rPr>
          <w:color w:val="auto"/>
          <w:highlight w:val="none"/>
        </w:rPr>
      </w:pPr>
    </w:p>
    <w:p>
      <w:pPr>
        <w:rPr>
          <w:color w:val="auto"/>
          <w:highlight w:val="none"/>
        </w:rPr>
      </w:pPr>
    </w:p>
    <w:p>
      <w:pPr>
        <w:rPr>
          <w:color w:val="auto"/>
          <w:highlight w:val="none"/>
        </w:rPr>
      </w:pPr>
    </w:p>
    <w:p>
      <w:pPr>
        <w:rPr>
          <w:color w:val="auto"/>
          <w:highlight w:val="none"/>
        </w:rPr>
      </w:pPr>
    </w:p>
    <w:tbl>
      <w:tblPr>
        <w:tblStyle w:val="23"/>
        <w:tblpPr w:leftFromText="180" w:rightFromText="180" w:vertAnchor="text" w:horzAnchor="page" w:tblpX="1088" w:tblpY="-39"/>
        <w:tblOverlap w:val="never"/>
        <w:tblW w:w="102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1200"/>
        <w:gridCol w:w="1200"/>
        <w:gridCol w:w="2887"/>
        <w:gridCol w:w="277"/>
        <w:gridCol w:w="805"/>
        <w:gridCol w:w="917"/>
        <w:gridCol w:w="294"/>
        <w:gridCol w:w="406"/>
        <w:gridCol w:w="750"/>
        <w:gridCol w:w="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217"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24"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工程名称：健康城分公司2024年提升泵房、事故池、排水泵井清淤项目</w:t>
            </w:r>
          </w:p>
        </w:tc>
        <w:tc>
          <w:tcPr>
            <w:tcW w:w="2293"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1900"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2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2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316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80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91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194"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16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0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1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0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16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0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1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0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040101005001</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机器人清淤</w:t>
            </w:r>
          </w:p>
        </w:tc>
        <w:tc>
          <w:tcPr>
            <w:tcW w:w="31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1.名称：水下清淤（提升泵房）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2.规格：水下清淤机器人1800×1400×1500mm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3.机器人抽吸淤泥，沉淀淤泥，泥渣装车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4.钢制沉淀池组装（组装按3次摊销计算），10号槽钢+3mm钢板，长6m宽2.5m深1.4m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5.详见施工方案及立项报告</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040101005002</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机器人清淤</w:t>
            </w:r>
          </w:p>
        </w:tc>
        <w:tc>
          <w:tcPr>
            <w:tcW w:w="31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1.名称：水下清淤（事故池）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2.规格：水下清淤机器人1400×1000×1300mm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3.机器人抽吸淤泥，沉淀淤泥，泥渣装车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4.钢制沉淀池组装（组装按3次摊销计算），10号槽钢+3mm钢板，长6m宽2.5m深1.4m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5.详见施工方案及立项报告</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040101005003</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机器人清淤</w:t>
            </w:r>
          </w:p>
        </w:tc>
        <w:tc>
          <w:tcPr>
            <w:tcW w:w="31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1.名称：水下清淤（排水泵井）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2.规格：水下清淤机器人1400×1000×1300mm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3.机器人抽吸淤泥，沉淀淤泥，泥渣装车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4.钢制沉淀池组装（组装按3次摊销计算），10号槽钢+3mm钢板，长6m宽2.5m深1.4m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5.详见施工方案及立项报告</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040103002001</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余方弃置</w:t>
            </w:r>
          </w:p>
        </w:tc>
        <w:tc>
          <w:tcPr>
            <w:tcW w:w="31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1.废弃料品种:淤泥清淤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2.运距:20km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3.弃置费:排放费</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550</w:t>
            </w:r>
          </w:p>
        </w:tc>
        <w:tc>
          <w:tcPr>
            <w:tcW w:w="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粤050401008002</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施工围栏</w:t>
            </w:r>
          </w:p>
        </w:tc>
        <w:tc>
          <w:tcPr>
            <w:tcW w:w="31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1.施工围蔽铁马:100m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2.总围蔽天数:43日</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100m·天</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04B089</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1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1.检测项目:含水率、PH值</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04B090</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1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1.检测项目:重金属：镉、汞、铬、铅 、砷、铜、镍、锌</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04B091</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31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1.检测项目:有机质、总磷、总氮</w:t>
            </w:r>
          </w:p>
        </w:tc>
        <w:tc>
          <w:tcPr>
            <w:tcW w:w="8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723"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7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723"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7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0217"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024"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none"/>
              </w:rPr>
            </w:pPr>
          </w:p>
        </w:tc>
        <w:tc>
          <w:tcPr>
            <w:tcW w:w="2293"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single"/>
              </w:rPr>
            </w:pPr>
          </w:p>
        </w:tc>
        <w:tc>
          <w:tcPr>
            <w:tcW w:w="1900"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表—08</w:t>
            </w:r>
          </w:p>
        </w:tc>
      </w:tr>
    </w:tbl>
    <w:p>
      <w:pPr>
        <w:pStyle w:val="22"/>
        <w:ind w:firstLine="0"/>
        <w:rPr>
          <w:color w:val="auto"/>
          <w:highlight w:val="none"/>
        </w:rPr>
      </w:pPr>
    </w:p>
    <w:tbl>
      <w:tblPr>
        <w:tblStyle w:val="23"/>
        <w:tblW w:w="10050" w:type="dxa"/>
        <w:tblInd w:w="-2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3"/>
        <w:gridCol w:w="1350"/>
        <w:gridCol w:w="1300"/>
        <w:gridCol w:w="1167"/>
        <w:gridCol w:w="650"/>
        <w:gridCol w:w="1100"/>
        <w:gridCol w:w="833"/>
        <w:gridCol w:w="817"/>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0050"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5200"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工程名称：健康城分公司2024年提升泵房、事故池、排水泵井清淤项目</w:t>
            </w:r>
          </w:p>
        </w:tc>
        <w:tc>
          <w:tcPr>
            <w:tcW w:w="1933"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917"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3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16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计算基础</w:t>
            </w:r>
          </w:p>
        </w:tc>
        <w:tc>
          <w:tcPr>
            <w:tcW w:w="6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1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w:t>
            </w:r>
          </w:p>
        </w:tc>
        <w:tc>
          <w:tcPr>
            <w:tcW w:w="83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费率(%)</w:t>
            </w:r>
          </w:p>
        </w:tc>
        <w:tc>
          <w:tcPr>
            <w:tcW w:w="81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调整后</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金额(元)</w:t>
            </w:r>
          </w:p>
        </w:tc>
        <w:tc>
          <w:tcPr>
            <w:tcW w:w="210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有限空间</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4" w:hRule="atLeast"/>
        </w:trPr>
        <w:tc>
          <w:tcPr>
            <w:tcW w:w="7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LSSGCSF00001</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19.8</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101122.09</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以分部分项的人工费与施工机具费之和为计算基础；以专业工程类型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区分不同费率计算；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单独场地平整工程费率为4.35%；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道路、管网工程费率为16.50%；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桥涵、隧道、水处理构筑物工程费率为14.50%；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分部分项工程总费用在300 万元以内（含300 万元）的项目按基本费率乘以1.20；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7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粤041109009001</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文明工地增加费</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041109002001</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夜间施工增加费</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33"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041109005001</w:t>
            </w:r>
          </w:p>
        </w:tc>
        <w:tc>
          <w:tcPr>
            <w:tcW w:w="130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交通疏解员增加费</w:t>
            </w:r>
          </w:p>
        </w:tc>
        <w:tc>
          <w:tcPr>
            <w:tcW w:w="116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10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按照项目分部分项人工费的15%计算（有方案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7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的按照方案计算），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7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041108001001</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地下管线交叉降效费</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7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粤041109008001</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分部分项人工费+分部分项机具费</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w:t>
            </w:r>
          </w:p>
        </w:tc>
        <w:tc>
          <w:tcPr>
            <w:tcW w:w="1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QTFY00000001</w:t>
            </w:r>
          </w:p>
        </w:tc>
        <w:tc>
          <w:tcPr>
            <w:tcW w:w="1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116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00"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10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3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1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00"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编制人（造价人员）：</w:t>
            </w:r>
          </w:p>
        </w:tc>
        <w:tc>
          <w:tcPr>
            <w:tcW w:w="485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00" w:type="dxa"/>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highlight w:val="none"/>
                <w:u w:val="none"/>
              </w:rPr>
            </w:pPr>
          </w:p>
        </w:tc>
        <w:tc>
          <w:tcPr>
            <w:tcW w:w="1933"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highlight w:val="none"/>
                <w:u w:val="none"/>
              </w:rPr>
            </w:pPr>
          </w:p>
        </w:tc>
        <w:tc>
          <w:tcPr>
            <w:tcW w:w="2917" w:type="dxa"/>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表-11</w:t>
            </w:r>
          </w:p>
        </w:tc>
      </w:tr>
    </w:tbl>
    <w:p>
      <w:pPr>
        <w:pStyle w:val="22"/>
        <w:ind w:firstLine="0"/>
        <w:rPr>
          <w:color w:val="auto"/>
          <w:highlight w:val="none"/>
        </w:rPr>
      </w:pPr>
    </w:p>
    <w:p>
      <w:pPr>
        <w:pStyle w:val="22"/>
        <w:ind w:firstLine="0"/>
        <w:rPr>
          <w:color w:val="auto"/>
          <w:highlight w:val="none"/>
        </w:rPr>
      </w:pPr>
    </w:p>
    <w:p>
      <w:pPr>
        <w:numPr>
          <w:ilvl w:val="-1"/>
          <w:numId w:val="0"/>
        </w:numPr>
        <w:ind w:firstLine="0" w:firstLineChars="0"/>
        <w:jc w:val="left"/>
        <w:rPr>
          <w:rFonts w:hint="eastAsia"/>
          <w:color w:val="auto"/>
          <w:highlight w:val="none"/>
        </w:rPr>
      </w:pPr>
    </w:p>
    <w:p>
      <w:pPr>
        <w:adjustRightInd w:val="0"/>
        <w:snapToGrid w:val="0"/>
        <w:spacing w:line="360" w:lineRule="auto"/>
        <w:ind w:firstLine="5520" w:firstLineChars="2300"/>
        <w:jc w:val="both"/>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600" w:lineRule="exact"/>
        <w:ind w:firstLine="6480" w:firstLineChars="2700"/>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2"/>
        <w:ind w:firstLine="0"/>
        <w:rPr>
          <w:color w:val="auto"/>
          <w:highlight w:val="none"/>
        </w:rPr>
      </w:pPr>
    </w:p>
    <w:p>
      <w:pPr>
        <w:pStyle w:val="2"/>
        <w:ind w:firstLine="0"/>
        <w:rPr>
          <w:rFonts w:hint="eastAsia" w:ascii="宋体" w:hAnsi="宋体" w:eastAsia="宋体" w:cs="宋体"/>
          <w:color w:val="auto"/>
          <w:sz w:val="24"/>
          <w:szCs w:val="24"/>
          <w:highlight w:val="none"/>
          <w:lang w:val="en-GB"/>
        </w:rPr>
      </w:pPr>
    </w:p>
    <w:p>
      <w:pPr>
        <w:pStyle w:val="5"/>
        <w:numPr>
          <w:ilvl w:val="0"/>
          <w:numId w:val="5"/>
        </w:numPr>
        <w:rPr>
          <w:rFonts w:hint="eastAsia" w:asciiTheme="majorEastAsia" w:hAnsiTheme="majorEastAsia" w:eastAsiaTheme="majorEastAsia"/>
          <w:color w:val="auto"/>
          <w:sz w:val="28"/>
          <w:szCs w:val="28"/>
          <w:highlight w:val="none"/>
        </w:rPr>
      </w:pPr>
      <w:bookmarkStart w:id="131" w:name="_Toc16386"/>
      <w:bookmarkStart w:id="132" w:name="_Toc6058"/>
      <w:bookmarkStart w:id="133" w:name="_Toc87616402"/>
      <w:bookmarkStart w:id="134" w:name="_Toc88209965"/>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spacing w:line="360" w:lineRule="auto"/>
        <w:jc w:val="center"/>
        <w:outlineLvl w:val="3"/>
        <w:rPr>
          <w:rFonts w:ascii="宋体" w:hAnsi="宋体" w:cs="宋体"/>
          <w:b/>
          <w:bCs/>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adjustRightInd w:val="0"/>
        <w:snapToGrid w:val="0"/>
        <w:spacing w:line="360" w:lineRule="auto"/>
        <w:jc w:val="both"/>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8"/>
        <w:rPr>
          <w:color w:val="auto"/>
          <w:highlight w:val="none"/>
        </w:rPr>
      </w:pPr>
      <w:r>
        <w:rPr>
          <w:rFonts w:hint="eastAsia" w:ascii="宋体" w:hAnsi="宋体" w:eastAsia="宋体" w:cs="宋体"/>
          <w:color w:val="auto"/>
          <w:sz w:val="24"/>
          <w:szCs w:val="24"/>
          <w:highlight w:val="none"/>
          <w:lang w:val="en-GB"/>
        </w:rPr>
        <w:t>年  月  日</w:t>
      </w:r>
    </w:p>
    <w:p>
      <w:pPr>
        <w:pStyle w:val="5"/>
        <w:rPr>
          <w:rFonts w:hint="eastAsia" w:ascii="宋体" w:hAnsi="宋体" w:eastAsia="宋体"/>
          <w:color w:val="auto"/>
          <w:sz w:val="28"/>
          <w:szCs w:val="28"/>
          <w:highlight w:val="none"/>
          <w:lang w:val="en-US" w:eastAsia="zh-CN"/>
        </w:rPr>
      </w:pPr>
    </w:p>
    <w:p>
      <w:pPr>
        <w:rPr>
          <w:rFonts w:hint="eastAsia"/>
          <w:color w:val="auto"/>
          <w:highlight w:val="none"/>
          <w:lang w:val="en-US" w:eastAsia="zh-CN"/>
        </w:rPr>
      </w:pPr>
    </w:p>
    <w:p>
      <w:pPr>
        <w:numPr>
          <w:ilvl w:val="-1"/>
          <w:numId w:val="0"/>
        </w:numPr>
        <w:rPr>
          <w:color w:val="auto"/>
          <w:highlight w:val="none"/>
        </w:rPr>
      </w:pPr>
    </w:p>
    <w:p>
      <w:pPr>
        <w:adjustRightInd w:val="0"/>
        <w:snapToGrid w:val="0"/>
        <w:spacing w:line="600" w:lineRule="exact"/>
        <w:rPr>
          <w:color w:val="auto"/>
          <w:highlight w:val="none"/>
        </w:rPr>
      </w:pPr>
      <w:r>
        <w:rPr>
          <w:rFonts w:hint="eastAsia" w:ascii="仿宋_GB2312" w:eastAsia="仿宋_GB2312" w:hAnsiTheme="minorEastAsia"/>
          <w:color w:val="auto"/>
          <w:sz w:val="28"/>
          <w:szCs w:val="28"/>
          <w:highlight w:val="none"/>
          <w:lang w:val="en-US" w:eastAsia="zh-CN"/>
        </w:rPr>
        <w:t>7.</w:t>
      </w: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7" w:type="first"/>
      <w:footerReference r:id="rId6" w:type="default"/>
      <w:pgSz w:w="11906" w:h="16838"/>
      <w:pgMar w:top="2098" w:right="1474" w:bottom="1984" w:left="1588"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6"/>
                </w:pPr>
              </w:p>
              <w:p/>
            </w:txbxContent>
          </v:textbox>
        </v:shape>
      </w:pic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3076" o:spid="_x0000_s307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6"/>
                </w:pPr>
              </w:p>
              <w:p/>
            </w:txbxContent>
          </v:textbox>
        </v:shape>
      </w:pic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3078" o:spid="_x0000_s3078"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E1F3C"/>
    <w:multiLevelType w:val="singleLevel"/>
    <w:tmpl w:val="A15E1F3C"/>
    <w:lvl w:ilvl="0" w:tentative="0">
      <w:start w:val="1"/>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5B1A38F"/>
    <w:multiLevelType w:val="singleLevel"/>
    <w:tmpl w:val="E5B1A38F"/>
    <w:lvl w:ilvl="0" w:tentative="0">
      <w:start w:val="5"/>
      <w:numFmt w:val="decimal"/>
      <w:lvlText w:val="%1."/>
      <w:lvlJc w:val="left"/>
      <w:pPr>
        <w:tabs>
          <w:tab w:val="left" w:pos="312"/>
        </w:tabs>
        <w:ind w:left="210"/>
      </w:p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EzOGE4ZGY2YzFjNTA2MzA4YTBlZjllNzZjYjM3ZDYifQ=="/>
  </w:docVars>
  <w:rsids>
    <w:rsidRoot w:val="005D618A"/>
    <w:rsid w:val="00175176"/>
    <w:rsid w:val="003D60BA"/>
    <w:rsid w:val="00411689"/>
    <w:rsid w:val="00424BCB"/>
    <w:rsid w:val="00575ADC"/>
    <w:rsid w:val="005D618A"/>
    <w:rsid w:val="00662D90"/>
    <w:rsid w:val="00911ECD"/>
    <w:rsid w:val="00A042E0"/>
    <w:rsid w:val="00A72ED5"/>
    <w:rsid w:val="00B26BB1"/>
    <w:rsid w:val="00B26E21"/>
    <w:rsid w:val="00B6381A"/>
    <w:rsid w:val="00BC4C34"/>
    <w:rsid w:val="00F83B64"/>
    <w:rsid w:val="00FC77BD"/>
    <w:rsid w:val="013E3461"/>
    <w:rsid w:val="01F32FB7"/>
    <w:rsid w:val="02090C75"/>
    <w:rsid w:val="02A23A3C"/>
    <w:rsid w:val="035D130A"/>
    <w:rsid w:val="039110A9"/>
    <w:rsid w:val="03AC246A"/>
    <w:rsid w:val="03B23056"/>
    <w:rsid w:val="03DC3EBA"/>
    <w:rsid w:val="03F9794D"/>
    <w:rsid w:val="041101A6"/>
    <w:rsid w:val="046A2461"/>
    <w:rsid w:val="047B7FAD"/>
    <w:rsid w:val="051C2970"/>
    <w:rsid w:val="060C3611"/>
    <w:rsid w:val="06C64829"/>
    <w:rsid w:val="06D02AD9"/>
    <w:rsid w:val="077D16D2"/>
    <w:rsid w:val="082A69F3"/>
    <w:rsid w:val="08675FC8"/>
    <w:rsid w:val="08A852B4"/>
    <w:rsid w:val="09B713FD"/>
    <w:rsid w:val="09EF6ACC"/>
    <w:rsid w:val="0A315056"/>
    <w:rsid w:val="0AA213B4"/>
    <w:rsid w:val="0AF61C7E"/>
    <w:rsid w:val="0AFB45AD"/>
    <w:rsid w:val="0B351E9B"/>
    <w:rsid w:val="0B4C50D3"/>
    <w:rsid w:val="0B806B92"/>
    <w:rsid w:val="0B827E94"/>
    <w:rsid w:val="0B842F76"/>
    <w:rsid w:val="0BD070E1"/>
    <w:rsid w:val="0C247926"/>
    <w:rsid w:val="0D546ADA"/>
    <w:rsid w:val="0D794204"/>
    <w:rsid w:val="0E2125D1"/>
    <w:rsid w:val="0E214211"/>
    <w:rsid w:val="0E457B78"/>
    <w:rsid w:val="0E5F2769"/>
    <w:rsid w:val="0E89579C"/>
    <w:rsid w:val="0F4D75A3"/>
    <w:rsid w:val="0F5B2DCA"/>
    <w:rsid w:val="0FED051E"/>
    <w:rsid w:val="0FEE4C29"/>
    <w:rsid w:val="10031608"/>
    <w:rsid w:val="10046082"/>
    <w:rsid w:val="10170E31"/>
    <w:rsid w:val="111703D2"/>
    <w:rsid w:val="112B101A"/>
    <w:rsid w:val="119B53FC"/>
    <w:rsid w:val="12424CDC"/>
    <w:rsid w:val="129A2738"/>
    <w:rsid w:val="12B56BF1"/>
    <w:rsid w:val="12CB1A89"/>
    <w:rsid w:val="131840FB"/>
    <w:rsid w:val="13467417"/>
    <w:rsid w:val="134B3745"/>
    <w:rsid w:val="136E76CF"/>
    <w:rsid w:val="145F08C6"/>
    <w:rsid w:val="15776308"/>
    <w:rsid w:val="15BC6B3C"/>
    <w:rsid w:val="164D40B0"/>
    <w:rsid w:val="1694429A"/>
    <w:rsid w:val="17635326"/>
    <w:rsid w:val="18236EFD"/>
    <w:rsid w:val="188B37E6"/>
    <w:rsid w:val="189D5B1F"/>
    <w:rsid w:val="18A34CD0"/>
    <w:rsid w:val="198814E2"/>
    <w:rsid w:val="19A53EA8"/>
    <w:rsid w:val="19B64DBC"/>
    <w:rsid w:val="1A373ACF"/>
    <w:rsid w:val="1A895341"/>
    <w:rsid w:val="1B0768D8"/>
    <w:rsid w:val="1B0D071F"/>
    <w:rsid w:val="1B4568CE"/>
    <w:rsid w:val="1B4A29C5"/>
    <w:rsid w:val="1B7F6FA8"/>
    <w:rsid w:val="1B9015B7"/>
    <w:rsid w:val="1BF54245"/>
    <w:rsid w:val="1C4C7701"/>
    <w:rsid w:val="1D0E6976"/>
    <w:rsid w:val="1D5A79EE"/>
    <w:rsid w:val="1DBE0784"/>
    <w:rsid w:val="1E0E2CD0"/>
    <w:rsid w:val="1E831280"/>
    <w:rsid w:val="1EBC4704"/>
    <w:rsid w:val="1F172EB5"/>
    <w:rsid w:val="1F94592D"/>
    <w:rsid w:val="1F9473F4"/>
    <w:rsid w:val="1FB860DE"/>
    <w:rsid w:val="20101E43"/>
    <w:rsid w:val="203C5A02"/>
    <w:rsid w:val="209D4C94"/>
    <w:rsid w:val="20E84705"/>
    <w:rsid w:val="218400BA"/>
    <w:rsid w:val="21AB1E2F"/>
    <w:rsid w:val="21D40498"/>
    <w:rsid w:val="225E5936"/>
    <w:rsid w:val="22767047"/>
    <w:rsid w:val="231F3588"/>
    <w:rsid w:val="23A05588"/>
    <w:rsid w:val="240476A1"/>
    <w:rsid w:val="25431AEB"/>
    <w:rsid w:val="25BF43FD"/>
    <w:rsid w:val="25C87CB6"/>
    <w:rsid w:val="25F86BCD"/>
    <w:rsid w:val="2605748B"/>
    <w:rsid w:val="269E416A"/>
    <w:rsid w:val="272100D3"/>
    <w:rsid w:val="272C72FC"/>
    <w:rsid w:val="275131CB"/>
    <w:rsid w:val="27EB149D"/>
    <w:rsid w:val="27FD3E52"/>
    <w:rsid w:val="28E11370"/>
    <w:rsid w:val="294A756A"/>
    <w:rsid w:val="29765660"/>
    <w:rsid w:val="29781BF8"/>
    <w:rsid w:val="29835634"/>
    <w:rsid w:val="29C33ED0"/>
    <w:rsid w:val="29D5322D"/>
    <w:rsid w:val="29F22B71"/>
    <w:rsid w:val="2A025DD9"/>
    <w:rsid w:val="2A2619CB"/>
    <w:rsid w:val="2A514F3C"/>
    <w:rsid w:val="2A667374"/>
    <w:rsid w:val="2A7C2231"/>
    <w:rsid w:val="2A8C00E7"/>
    <w:rsid w:val="2ABB753D"/>
    <w:rsid w:val="2B7A49FA"/>
    <w:rsid w:val="2C1C3598"/>
    <w:rsid w:val="2C615D26"/>
    <w:rsid w:val="2CB679ED"/>
    <w:rsid w:val="2D173C07"/>
    <w:rsid w:val="2D424A86"/>
    <w:rsid w:val="2E7B52DB"/>
    <w:rsid w:val="2EFD7D96"/>
    <w:rsid w:val="2F324CFE"/>
    <w:rsid w:val="2FBA09F1"/>
    <w:rsid w:val="2FEF2ACF"/>
    <w:rsid w:val="30540211"/>
    <w:rsid w:val="31112A0D"/>
    <w:rsid w:val="311F4B20"/>
    <w:rsid w:val="312D7741"/>
    <w:rsid w:val="31652C10"/>
    <w:rsid w:val="316F137F"/>
    <w:rsid w:val="31760356"/>
    <w:rsid w:val="31DF525F"/>
    <w:rsid w:val="31EC162B"/>
    <w:rsid w:val="32324C2E"/>
    <w:rsid w:val="327171DF"/>
    <w:rsid w:val="32E06C88"/>
    <w:rsid w:val="339A640A"/>
    <w:rsid w:val="341E3434"/>
    <w:rsid w:val="34BB4442"/>
    <w:rsid w:val="351E2FED"/>
    <w:rsid w:val="360B7EBA"/>
    <w:rsid w:val="369C32FD"/>
    <w:rsid w:val="37666E72"/>
    <w:rsid w:val="37E20196"/>
    <w:rsid w:val="38081EA3"/>
    <w:rsid w:val="38167A04"/>
    <w:rsid w:val="394B167A"/>
    <w:rsid w:val="396D04FE"/>
    <w:rsid w:val="39DA2868"/>
    <w:rsid w:val="3A055E8C"/>
    <w:rsid w:val="3A4E4336"/>
    <w:rsid w:val="3A6007FE"/>
    <w:rsid w:val="3AF93D6C"/>
    <w:rsid w:val="3B7C2CE4"/>
    <w:rsid w:val="3BAF716B"/>
    <w:rsid w:val="3C0B5355"/>
    <w:rsid w:val="3C2B5276"/>
    <w:rsid w:val="3C787E6C"/>
    <w:rsid w:val="3C8533BC"/>
    <w:rsid w:val="3CD4176B"/>
    <w:rsid w:val="3D1F44D9"/>
    <w:rsid w:val="3D5C38CD"/>
    <w:rsid w:val="3D954DA8"/>
    <w:rsid w:val="3DCA2703"/>
    <w:rsid w:val="3E2441E9"/>
    <w:rsid w:val="3E5070F1"/>
    <w:rsid w:val="3F320A13"/>
    <w:rsid w:val="3F6C3589"/>
    <w:rsid w:val="3F850180"/>
    <w:rsid w:val="3F9004D6"/>
    <w:rsid w:val="400E4D5E"/>
    <w:rsid w:val="40E1138C"/>
    <w:rsid w:val="413814BA"/>
    <w:rsid w:val="41872511"/>
    <w:rsid w:val="41B96743"/>
    <w:rsid w:val="41CA1233"/>
    <w:rsid w:val="424236D9"/>
    <w:rsid w:val="424616F0"/>
    <w:rsid w:val="42466655"/>
    <w:rsid w:val="42C82F57"/>
    <w:rsid w:val="435707E5"/>
    <w:rsid w:val="43C76AF7"/>
    <w:rsid w:val="446828F0"/>
    <w:rsid w:val="45093E85"/>
    <w:rsid w:val="452054F2"/>
    <w:rsid w:val="45C13B4D"/>
    <w:rsid w:val="46054BCA"/>
    <w:rsid w:val="464C6AFC"/>
    <w:rsid w:val="468B0091"/>
    <w:rsid w:val="46A107C3"/>
    <w:rsid w:val="46B15CE2"/>
    <w:rsid w:val="46BE113D"/>
    <w:rsid w:val="46E44B13"/>
    <w:rsid w:val="4703508A"/>
    <w:rsid w:val="471769EF"/>
    <w:rsid w:val="475023F8"/>
    <w:rsid w:val="479D361E"/>
    <w:rsid w:val="47B74789"/>
    <w:rsid w:val="47D6760F"/>
    <w:rsid w:val="47E71A41"/>
    <w:rsid w:val="480F2B9D"/>
    <w:rsid w:val="48282920"/>
    <w:rsid w:val="485321E0"/>
    <w:rsid w:val="48546AD3"/>
    <w:rsid w:val="48CA4868"/>
    <w:rsid w:val="48F005D3"/>
    <w:rsid w:val="4920036D"/>
    <w:rsid w:val="49547ADD"/>
    <w:rsid w:val="49732351"/>
    <w:rsid w:val="497D7953"/>
    <w:rsid w:val="498F4AF1"/>
    <w:rsid w:val="49BC5F32"/>
    <w:rsid w:val="49C05787"/>
    <w:rsid w:val="49CF518D"/>
    <w:rsid w:val="4A071456"/>
    <w:rsid w:val="4A9A79A9"/>
    <w:rsid w:val="4AAA5BB1"/>
    <w:rsid w:val="4ADA1F63"/>
    <w:rsid w:val="4AE23D89"/>
    <w:rsid w:val="4B2038D0"/>
    <w:rsid w:val="4B296E7D"/>
    <w:rsid w:val="4B79394E"/>
    <w:rsid w:val="4B877F28"/>
    <w:rsid w:val="4C941131"/>
    <w:rsid w:val="4D916BA6"/>
    <w:rsid w:val="4DC44169"/>
    <w:rsid w:val="4DE24E21"/>
    <w:rsid w:val="4E1B19A3"/>
    <w:rsid w:val="4EF0709E"/>
    <w:rsid w:val="4F0469A4"/>
    <w:rsid w:val="502C5BF7"/>
    <w:rsid w:val="513C6A7B"/>
    <w:rsid w:val="532D486F"/>
    <w:rsid w:val="5333545B"/>
    <w:rsid w:val="538D0E89"/>
    <w:rsid w:val="5450213C"/>
    <w:rsid w:val="54D24048"/>
    <w:rsid w:val="54D64CD5"/>
    <w:rsid w:val="55887D69"/>
    <w:rsid w:val="55E818DC"/>
    <w:rsid w:val="561A0928"/>
    <w:rsid w:val="56423872"/>
    <w:rsid w:val="5663066F"/>
    <w:rsid w:val="56B279F0"/>
    <w:rsid w:val="579D710E"/>
    <w:rsid w:val="57F07F6E"/>
    <w:rsid w:val="57F23043"/>
    <w:rsid w:val="581F22F6"/>
    <w:rsid w:val="586E1E17"/>
    <w:rsid w:val="58862C35"/>
    <w:rsid w:val="58C14957"/>
    <w:rsid w:val="58CC23D2"/>
    <w:rsid w:val="58FD50C2"/>
    <w:rsid w:val="595559A4"/>
    <w:rsid w:val="59D950F4"/>
    <w:rsid w:val="59E474D1"/>
    <w:rsid w:val="5A743BD9"/>
    <w:rsid w:val="5AD76894"/>
    <w:rsid w:val="5AE83A50"/>
    <w:rsid w:val="5B353193"/>
    <w:rsid w:val="5BAB2917"/>
    <w:rsid w:val="5BFC33FA"/>
    <w:rsid w:val="5C3107A4"/>
    <w:rsid w:val="5C3B1B93"/>
    <w:rsid w:val="5C9220DF"/>
    <w:rsid w:val="5D4A15F3"/>
    <w:rsid w:val="5D69542A"/>
    <w:rsid w:val="5D783B72"/>
    <w:rsid w:val="5E0930EF"/>
    <w:rsid w:val="5E3A1722"/>
    <w:rsid w:val="5E3D4D53"/>
    <w:rsid w:val="5E4717E6"/>
    <w:rsid w:val="5E55774C"/>
    <w:rsid w:val="5F5D4999"/>
    <w:rsid w:val="5FB82490"/>
    <w:rsid w:val="60045F96"/>
    <w:rsid w:val="60104DDC"/>
    <w:rsid w:val="605C0804"/>
    <w:rsid w:val="6189617B"/>
    <w:rsid w:val="61B52BB6"/>
    <w:rsid w:val="61B749C2"/>
    <w:rsid w:val="62280D20"/>
    <w:rsid w:val="627F3573"/>
    <w:rsid w:val="6286483A"/>
    <w:rsid w:val="62CA2457"/>
    <w:rsid w:val="638240A1"/>
    <w:rsid w:val="63833423"/>
    <w:rsid w:val="63A5257B"/>
    <w:rsid w:val="63B10EBA"/>
    <w:rsid w:val="63BD3DCC"/>
    <w:rsid w:val="63C61741"/>
    <w:rsid w:val="63ED7F50"/>
    <w:rsid w:val="64560967"/>
    <w:rsid w:val="64C2370A"/>
    <w:rsid w:val="65003789"/>
    <w:rsid w:val="65406D56"/>
    <w:rsid w:val="656B1D10"/>
    <w:rsid w:val="65B841F9"/>
    <w:rsid w:val="65C06F7B"/>
    <w:rsid w:val="66022B28"/>
    <w:rsid w:val="664A38E2"/>
    <w:rsid w:val="66581E87"/>
    <w:rsid w:val="66FA11D5"/>
    <w:rsid w:val="674302C7"/>
    <w:rsid w:val="680A5986"/>
    <w:rsid w:val="680D5F4B"/>
    <w:rsid w:val="68113F51"/>
    <w:rsid w:val="68E94770"/>
    <w:rsid w:val="68F949C9"/>
    <w:rsid w:val="695A4290"/>
    <w:rsid w:val="6A334932"/>
    <w:rsid w:val="6A3353FF"/>
    <w:rsid w:val="6A5D63E6"/>
    <w:rsid w:val="6A5F24D1"/>
    <w:rsid w:val="6AE347EB"/>
    <w:rsid w:val="6B434AF0"/>
    <w:rsid w:val="6B57675A"/>
    <w:rsid w:val="6BDD7B4D"/>
    <w:rsid w:val="6EBC0B3A"/>
    <w:rsid w:val="6EF51C7D"/>
    <w:rsid w:val="6F8363E5"/>
    <w:rsid w:val="6FAC3CC5"/>
    <w:rsid w:val="6FC746F5"/>
    <w:rsid w:val="70317AC6"/>
    <w:rsid w:val="704B26F7"/>
    <w:rsid w:val="70863262"/>
    <w:rsid w:val="70A76ED3"/>
    <w:rsid w:val="71860B17"/>
    <w:rsid w:val="723B27CC"/>
    <w:rsid w:val="72687227"/>
    <w:rsid w:val="72A03FD9"/>
    <w:rsid w:val="72CB1A36"/>
    <w:rsid w:val="73406CFF"/>
    <w:rsid w:val="7383028C"/>
    <w:rsid w:val="73A25E44"/>
    <w:rsid w:val="741F68CF"/>
    <w:rsid w:val="74383ED3"/>
    <w:rsid w:val="75197FBE"/>
    <w:rsid w:val="75252DF3"/>
    <w:rsid w:val="75621536"/>
    <w:rsid w:val="75BF3154"/>
    <w:rsid w:val="764A07CF"/>
    <w:rsid w:val="764F6B3D"/>
    <w:rsid w:val="76CD2B7B"/>
    <w:rsid w:val="76D80645"/>
    <w:rsid w:val="76E03371"/>
    <w:rsid w:val="780E5898"/>
    <w:rsid w:val="782642CC"/>
    <w:rsid w:val="7894095E"/>
    <w:rsid w:val="78964555"/>
    <w:rsid w:val="78CF4963"/>
    <w:rsid w:val="79000679"/>
    <w:rsid w:val="79A416F0"/>
    <w:rsid w:val="79B03EB6"/>
    <w:rsid w:val="79D5456A"/>
    <w:rsid w:val="7A780178"/>
    <w:rsid w:val="7AE15A5C"/>
    <w:rsid w:val="7AF37579"/>
    <w:rsid w:val="7AF87F64"/>
    <w:rsid w:val="7B1C0C84"/>
    <w:rsid w:val="7B5A62DF"/>
    <w:rsid w:val="7B7A04A8"/>
    <w:rsid w:val="7C0C3F6D"/>
    <w:rsid w:val="7C22163C"/>
    <w:rsid w:val="7C457B4B"/>
    <w:rsid w:val="7C595075"/>
    <w:rsid w:val="7C6B07B2"/>
    <w:rsid w:val="7CC75659"/>
    <w:rsid w:val="7D133243"/>
    <w:rsid w:val="7D945420"/>
    <w:rsid w:val="7E394207"/>
    <w:rsid w:val="7E4007A2"/>
    <w:rsid w:val="7E791CAD"/>
    <w:rsid w:val="7EA50DFB"/>
    <w:rsid w:val="7EC86878"/>
    <w:rsid w:val="7F16390D"/>
    <w:rsid w:val="7F52574F"/>
    <w:rsid w:val="7F752917"/>
    <w:rsid w:val="7F831AE7"/>
    <w:rsid w:val="7F9C25A5"/>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1"/>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unhideWhenUsed/>
    <w:qFormat/>
    <w:uiPriority w:val="99"/>
    <w:pPr>
      <w:spacing w:before="100" w:beforeAutospacing="1" w:after="100" w:afterAutospacing="1"/>
    </w:pPr>
    <w:rPr>
      <w:rFonts w:ascii="宋体" w:hAnsi="宋体" w:cs="Times New Roman"/>
      <w:kern w:val="0"/>
      <w:sz w:val="24"/>
      <w:szCs w:val="24"/>
    </w:rPr>
  </w:style>
  <w:style w:type="paragraph" w:styleId="21">
    <w:name w:val="Body Text First Indent"/>
    <w:basedOn w:val="7"/>
    <w:unhideWhenUsed/>
    <w:qFormat/>
    <w:uiPriority w:val="99"/>
    <w:pPr>
      <w:widowControl w:val="0"/>
      <w:spacing w:after="120" w:line="240" w:lineRule="auto"/>
      <w:ind w:firstLine="420"/>
    </w:pPr>
    <w:rPr>
      <w:kern w:val="2"/>
      <w:sz w:val="21"/>
    </w:rPr>
  </w:style>
  <w:style w:type="paragraph" w:styleId="22">
    <w:name w:val="Body Text First Indent 2"/>
    <w:basedOn w:val="9"/>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basedOn w:val="25"/>
    <w:qFormat/>
    <w:uiPriority w:val="22"/>
    <w:rPr>
      <w:rFonts w:eastAsia="宋体"/>
      <w:b/>
      <w:bCs/>
      <w:kern w:val="2"/>
      <w:sz w:val="24"/>
      <w:szCs w:val="24"/>
      <w:lang w:val="en-US" w:eastAsia="zh-CN" w:bidi="ar-SA"/>
    </w:rPr>
  </w:style>
  <w:style w:type="character" w:styleId="27">
    <w:name w:val="Hyperlink"/>
    <w:basedOn w:val="25"/>
    <w:unhideWhenUsed/>
    <w:qFormat/>
    <w:uiPriority w:val="99"/>
    <w:rPr>
      <w:color w:val="0000FF" w:themeColor="hyperlink"/>
      <w:u w:val="single"/>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字符"/>
    <w:basedOn w:val="25"/>
    <w:link w:val="17"/>
    <w:qFormat/>
    <w:uiPriority w:val="99"/>
    <w:rPr>
      <w:sz w:val="18"/>
      <w:szCs w:val="18"/>
    </w:rPr>
  </w:style>
  <w:style w:type="character" w:customStyle="1" w:styleId="30">
    <w:name w:val="页脚 字符"/>
    <w:basedOn w:val="25"/>
    <w:link w:val="16"/>
    <w:qFormat/>
    <w:uiPriority w:val="99"/>
    <w:rPr>
      <w:sz w:val="18"/>
      <w:szCs w:val="18"/>
    </w:rPr>
  </w:style>
  <w:style w:type="character" w:customStyle="1" w:styleId="31">
    <w:name w:val="标题 1 字符"/>
    <w:basedOn w:val="25"/>
    <w:link w:val="3"/>
    <w:qFormat/>
    <w:uiPriority w:val="9"/>
    <w:rPr>
      <w:rFonts w:eastAsia="方正小标宋简体"/>
      <w:bCs/>
      <w:kern w:val="44"/>
      <w:sz w:val="44"/>
      <w:szCs w:val="44"/>
    </w:rPr>
  </w:style>
  <w:style w:type="character" w:customStyle="1" w:styleId="32">
    <w:name w:val="标题 2 字符"/>
    <w:basedOn w:val="25"/>
    <w:link w:val="4"/>
    <w:qFormat/>
    <w:uiPriority w:val="9"/>
    <w:rPr>
      <w:rFonts w:eastAsia="方正小标宋简体" w:asciiTheme="majorHAnsi" w:hAnsiTheme="majorHAnsi" w:cstheme="majorBidi"/>
      <w:bCs/>
      <w:sz w:val="36"/>
      <w:szCs w:val="32"/>
    </w:rPr>
  </w:style>
  <w:style w:type="character" w:customStyle="1" w:styleId="33">
    <w:name w:val="标题 3 字符"/>
    <w:basedOn w:val="25"/>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批注框文本 字符"/>
    <w:basedOn w:val="25"/>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2"/>
    <w:next w:val="12"/>
    <w:qFormat/>
    <w:uiPriority w:val="0"/>
    <w:pPr>
      <w:spacing w:after="373"/>
    </w:pPr>
    <w:rPr>
      <w:color w:val="auto"/>
    </w:rPr>
  </w:style>
  <w:style w:type="paragraph" w:customStyle="1" w:styleId="39">
    <w:name w:val="CM91"/>
    <w:basedOn w:val="12"/>
    <w:next w:val="12"/>
    <w:qFormat/>
    <w:uiPriority w:val="0"/>
    <w:pPr>
      <w:spacing w:after="160"/>
    </w:pPr>
    <w:rPr>
      <w:color w:val="auto"/>
    </w:rPr>
  </w:style>
  <w:style w:type="character" w:customStyle="1" w:styleId="40">
    <w:name w:val="正文文本 3 Char"/>
    <w:qFormat/>
    <w:uiPriority w:val="99"/>
    <w:rPr>
      <w:sz w:val="16"/>
      <w:szCs w:val="16"/>
    </w:rPr>
  </w:style>
  <w:style w:type="character" w:customStyle="1" w:styleId="41">
    <w:name w:val="正文文本 3 字符"/>
    <w:basedOn w:val="25"/>
    <w:link w:val="6"/>
    <w:semiHidden/>
    <w:qFormat/>
    <w:uiPriority w:val="99"/>
    <w:rPr>
      <w:sz w:val="16"/>
      <w:szCs w:val="16"/>
    </w:rPr>
  </w:style>
  <w:style w:type="character" w:customStyle="1" w:styleId="42">
    <w:name w:val="列表段落 字符"/>
    <w:link w:val="34"/>
    <w:qFormat/>
    <w:uiPriority w:val="34"/>
  </w:style>
  <w:style w:type="paragraph" w:customStyle="1" w:styleId="43">
    <w:name w:val="1"/>
    <w:basedOn w:val="1"/>
    <w:next w:val="11"/>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7">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8">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9">
    <w:name w:val="Heading #1|1"/>
    <w:basedOn w:val="1"/>
    <w:qFormat/>
    <w:uiPriority w:val="0"/>
    <w:pPr>
      <w:widowControl w:val="0"/>
      <w:shd w:val="clear" w:color="auto" w:fill="auto"/>
      <w:spacing w:after="620" w:line="634" w:lineRule="exact"/>
      <w:jc w:val="center"/>
      <w:outlineLvl w:val="0"/>
    </w:pPr>
    <w:rPr>
      <w:rFonts w:ascii="宋体" w:hAnsi="宋体" w:eastAsia="宋体" w:cs="宋体"/>
      <w:sz w:val="34"/>
      <w:szCs w:val="34"/>
      <w:u w:val="none"/>
      <w:shd w:val="clear" w:color="auto" w:fill="auto"/>
      <w:lang w:val="zh-TW" w:eastAsia="zh-TW" w:bidi="zh-TW"/>
    </w:rPr>
  </w:style>
  <w:style w:type="paragraph" w:customStyle="1" w:styleId="50">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5"/>
    <customShpInfo spid="_x0000_s3076"/>
    <customShpInfo spid="_x0000_s3077"/>
    <customShpInfo spid="_x0000_s3078"/>
    <customShpInfo spid="_x0000_s2064"/>
    <customShpInfo spid="_x0000_s2065"/>
    <customShpInfo spid="_x0000_s2067"/>
    <customShpInfo spid="_x0000_s2066"/>
    <customShpInfo spid="_x0000_s2053"/>
    <customShpInfo spid="_x0000_s2051"/>
    <customShpInfo spid="_x0000_s2055"/>
    <customShpInfo spid="_x0000_s2054"/>
    <customShpInfo spid="_x0000_s2072"/>
    <customShpInfo spid="_x0000_s2073"/>
    <customShpInfo spid="_x0000_s2056"/>
    <customShpInfo spid="_x0000_s2057"/>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59114</Words>
  <Characters>66107</Characters>
  <Lines>203</Lines>
  <Paragraphs>57</Paragraphs>
  <TotalTime>0</TotalTime>
  <ScaleCrop>false</ScaleCrop>
  <LinksUpToDate>false</LinksUpToDate>
  <CharactersWithSpaces>69590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2024-01-23T07:24:00Z</cp:lastPrinted>
  <dcterms:modified xsi:type="dcterms:W3CDTF">2024-05-23T08:20:25Z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FAC9AE7310CC4A33B1646990F5E6A4AA</vt:lpwstr>
  </property>
</Properties>
</file>