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color w:val="auto"/>
          <w:sz w:val="52"/>
          <w:szCs w:val="52"/>
          <w:highlight w:val="none"/>
          <w:u w:val="none"/>
          <w:lang w:val="en-US" w:eastAsia="zh-CN"/>
        </w:rPr>
      </w:pPr>
      <w:bookmarkStart w:id="136" w:name="_GoBack"/>
      <w:bookmarkEnd w:id="136"/>
    </w:p>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广州市净水有限公司</w:t>
      </w:r>
      <w:r>
        <w:rPr>
          <w:rFonts w:hint="default" w:ascii="方正小标宋简体" w:eastAsia="方正小标宋简体"/>
          <w:color w:val="auto"/>
          <w:sz w:val="52"/>
          <w:szCs w:val="52"/>
          <w:highlight w:val="none"/>
          <w:u w:val="none"/>
          <w:lang w:val="en-US" w:eastAsia="zh-CN"/>
        </w:rPr>
        <w:t>大观分公司</w:t>
      </w:r>
    </w:p>
    <w:p>
      <w:pPr>
        <w:jc w:val="center"/>
        <w:rPr>
          <w:rFonts w:hint="default" w:ascii="方正小标宋简体" w:eastAsia="方正小标宋简体"/>
          <w:color w:val="auto"/>
          <w:sz w:val="52"/>
          <w:szCs w:val="52"/>
          <w:highlight w:val="none"/>
          <w:u w:val="none"/>
          <w:lang w:val="en-US" w:eastAsia="zh-CN"/>
        </w:rPr>
      </w:pPr>
      <w:r>
        <w:rPr>
          <w:rFonts w:hint="default" w:ascii="方正小标宋简体" w:eastAsia="方正小标宋简体"/>
          <w:color w:val="auto"/>
          <w:sz w:val="52"/>
          <w:szCs w:val="52"/>
          <w:highlight w:val="none"/>
          <w:u w:val="none"/>
          <w:lang w:val="en-US" w:eastAsia="zh-CN"/>
        </w:rPr>
        <w:t>2024年次氯酸钠加药池改造项目</w:t>
      </w:r>
    </w:p>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（第二次）</w:t>
      </w:r>
    </w:p>
    <w:p>
      <w:pPr>
        <w:jc w:val="center"/>
        <w:rPr>
          <w:rFonts w:hint="default" w:ascii="方正小标宋简体" w:eastAsia="方正小标宋简体"/>
          <w:color w:val="auto"/>
          <w:sz w:val="52"/>
          <w:szCs w:val="52"/>
          <w:highlight w:val="none"/>
          <w:u w:val="none"/>
          <w:lang w:val="en-US" w:eastAsia="zh-CN"/>
        </w:rPr>
      </w:pPr>
    </w:p>
    <w:p>
      <w:pPr>
        <w:jc w:val="center"/>
        <w:rPr>
          <w:rFonts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pStyle w:val="28"/>
        <w:ind w:firstLine="0" w:firstLineChars="0"/>
        <w:rPr>
          <w:rFonts w:hint="eastAsia"/>
          <w:color w:val="auto"/>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五</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8"/>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3"/>
        <w:rPr>
          <w:rFonts w:hint="eastAsia"/>
          <w:color w:val="auto"/>
          <w:highlight w:val="none"/>
        </w:rPr>
      </w:pPr>
      <w:bookmarkStart w:id="4" w:name="_Toc17801"/>
      <w:bookmarkStart w:id="5" w:name="_Toc31938"/>
      <w:bookmarkStart w:id="6" w:name="_Toc4275"/>
      <w:bookmarkStart w:id="7" w:name="_Toc11322"/>
      <w:bookmarkStart w:id="8" w:name="_Toc19609"/>
      <w:bookmarkStart w:id="9" w:name="_Toc7519"/>
      <w:bookmarkStart w:id="10" w:name="_Toc1669"/>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626110</wp:posOffset>
                </wp:positionV>
                <wp:extent cx="958850" cy="0"/>
                <wp:effectExtent l="0" t="0" r="0" b="0"/>
                <wp:wrapNone/>
                <wp:docPr id="3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49.3pt;height:0pt;width:75.5pt;z-index:251675648;mso-width-relative:page;mso-height-relative:page;" filled="f" stroked="t" coordsize="21600,21600" o:gfxdata="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n5Aq1gAAAAkBAAAPAAAAAAAAAAEAIAAAACIAAABkcnMvZG93bnJldi54bWxQSwECFAAU&#10;AAAACACHTuJApL3+h/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2336165</wp:posOffset>
                </wp:positionH>
                <wp:positionV relativeFrom="paragraph">
                  <wp:posOffset>6985</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3.95pt;margin-top:0.55pt;height:0pt;width:75.5pt;z-index:251674624;mso-width-relative:page;mso-height-relative:page;" filled="f" stroked="t" coordsize="21600,21600" o:gfxdata="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NToI3UAAAABwEAAA8AAAAAAAAAAQAgAAAAIgAAAGRycy9kb3ducmV2LnhtbFBLAQIUABQA&#10;AAAIAIdO4kDR+D1o9AEAAOQDAAAOAAAAAAAAAAEAIAAAACM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广州市净水有限公司大观分公司2024年次氯酸钠加药池改造项目（第二次）</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广州市净水有限公司大观分公司2024年次氯酸钠加药池改造项目（第二次）</w:t>
      </w:r>
    </w:p>
    <w:p>
      <w:pPr>
        <w:adjustRightInd w:val="0"/>
        <w:snapToGrid w:val="0"/>
        <w:spacing w:line="600" w:lineRule="exact"/>
        <w:jc w:val="left"/>
        <w:rPr>
          <w:rFonts w:hint="default" w:ascii="仿宋_GB2312" w:eastAsia="仿宋_GB2312"/>
          <w:color w:val="auto"/>
          <w:sz w:val="28"/>
          <w:szCs w:val="28"/>
          <w:highlight w:val="non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XJ-20240523-2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311890.04</w:t>
      </w:r>
      <w:r>
        <w:rPr>
          <w:rFonts w:hint="eastAsia" w:ascii="仿宋_GB2312" w:hAnsi="仿宋_GB2312" w:eastAsia="仿宋_GB2312" w:cs="仿宋_GB2312"/>
          <w:color w:val="auto"/>
          <w:sz w:val="28"/>
          <w:szCs w:val="28"/>
          <w:highlight w:val="none"/>
          <w:u w:val="single"/>
          <w:lang w:val="en-US" w:eastAsia="zh-CN"/>
        </w:rPr>
        <w:t xml:space="preserve"> </w:t>
      </w:r>
    </w:p>
    <w:tbl>
      <w:tblPr>
        <w:tblStyle w:val="23"/>
        <w:tblW w:w="114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color w:val="auto"/>
                <w:kern w:val="0"/>
                <w:sz w:val="22"/>
                <w:highlight w:val="none"/>
                <w:u w:val="none"/>
                <w:lang w:eastAsia="zh-CN" w:bidi="ar"/>
              </w:rPr>
              <w:t>广州市净水有限公司大观分公司2024年次氯酸钠加药池改造项目（第二次）</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 xml:space="preserve">311890.04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 xml:space="preserve">286137.65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 xml:space="preserve"> 9745.69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2"/>
                <w:szCs w:val="22"/>
                <w:highlight w:val="none"/>
                <w:u w:val="none"/>
                <w:lang w:val="en-US" w:eastAsia="zh-CN" w:bidi="ar"/>
              </w:rPr>
              <w:t>24813.00</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和暂列金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pStyle w:val="2"/>
        <w:rPr>
          <w:rFonts w:hint="eastAsia"/>
        </w:rPr>
      </w:pP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color w:val="auto"/>
                <w:kern w:val="0"/>
                <w:sz w:val="22"/>
                <w:highlight w:val="none"/>
                <w:u w:val="none"/>
                <w:lang w:eastAsia="zh-CN" w:bidi="ar"/>
              </w:rPr>
              <w:t>广州市净水有限公司大观分公司2024年次氯酸钠加药池改造项目（第二次）</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color w:val="auto"/>
                <w:kern w:val="0"/>
                <w:sz w:val="22"/>
                <w:szCs w:val="22"/>
                <w:highlight w:val="none"/>
                <w:u w:val="none"/>
                <w:lang w:val="en-US" w:eastAsia="zh-CN" w:bidi="ar"/>
              </w:rPr>
              <w:t>由于次氯酸钠和硫酸铝存储池均为钢筋混泥土结构，混凝土长期受化学物质浸泡，可能出现渗漏。由于只有一墙之隔，当出现渗漏现象，两者物质融合产生化学作用。为提高安全性，充分隔离两种药剂，达到完全物理隔离，现计划改造次氯酸钠加药池，安装2个玻璃钢复合罐及完善相关配套设施。</w:t>
            </w: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广州市净水有限公司大观分公司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规范要求。</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根据相关安全规范要求实施</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市政工程施工总承包三级（或以上级别资质）资质；同时具有建设主管部门颁发且在有效期内的《安全生产许可证》资质</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eastAsia="zh-CN"/>
        </w:rPr>
        <w:sym w:font="Wingdings 2" w:char="0052"/>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2021年1月1日至今，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一项玻璃钢复合罐（安装、维修或改造）</w:t>
      </w:r>
      <w:r>
        <w:rPr>
          <w:rFonts w:hint="eastAsia" w:ascii="仿宋_GB2312" w:eastAsia="仿宋_GB2312"/>
          <w:color w:val="auto"/>
          <w:sz w:val="28"/>
          <w:szCs w:val="28"/>
          <w:highlight w:val="none"/>
          <w:u w:val="none"/>
        </w:rPr>
        <w:t>项目的业绩（提供合同复印件证明，包括但不限于项目名称、金额及实施内容、合同</w:t>
      </w:r>
      <w:r>
        <w:rPr>
          <w:rFonts w:hint="eastAsia" w:ascii="仿宋_GB2312" w:eastAsia="仿宋_GB2312"/>
          <w:color w:val="auto"/>
          <w:sz w:val="28"/>
          <w:szCs w:val="28"/>
          <w:highlight w:val="none"/>
          <w:u w:val="none"/>
          <w:lang w:val="en-US" w:eastAsia="zh-CN"/>
        </w:rPr>
        <w:t>双方</w:t>
      </w:r>
      <w:r>
        <w:rPr>
          <w:rFonts w:hint="eastAsia" w:ascii="仿宋_GB2312" w:eastAsia="仿宋_GB2312"/>
          <w:color w:val="auto"/>
          <w:sz w:val="28"/>
          <w:szCs w:val="28"/>
          <w:highlight w:val="none"/>
          <w:u w:val="none"/>
        </w:rPr>
        <w:t>盖章、签订日期，加盖单位公章）</w:t>
      </w:r>
    </w:p>
    <w:p>
      <w:pPr>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）项目负责人应当具备</w:t>
      </w:r>
      <w:r>
        <w:rPr>
          <w:rFonts w:hint="eastAsia" w:ascii="仿宋_GB2312" w:eastAsia="仿宋_GB2312"/>
          <w:color w:val="auto"/>
          <w:sz w:val="28"/>
          <w:szCs w:val="28"/>
          <w:highlight w:val="none"/>
          <w:u w:val="none"/>
          <w:lang w:val="en-US" w:eastAsia="zh-CN"/>
        </w:rPr>
        <w:t>市政</w:t>
      </w:r>
      <w:r>
        <w:rPr>
          <w:rFonts w:hint="eastAsia" w:ascii="仿宋_GB2312" w:eastAsia="仿宋_GB2312"/>
          <w:color w:val="auto"/>
          <w:sz w:val="28"/>
          <w:szCs w:val="28"/>
          <w:highlight w:val="none"/>
          <w:u w:val="none"/>
        </w:rPr>
        <w:t>工程专业二级（或以上级别）的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br w:type="textWrapping"/>
      </w: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5</w:t>
      </w:r>
      <w:r>
        <w:rPr>
          <w:rFonts w:hint="eastAsia" w:ascii="仿宋_GB2312" w:eastAsia="仿宋_GB2312"/>
          <w:color w:val="auto"/>
          <w:sz w:val="28"/>
          <w:szCs w:val="28"/>
          <w:highlight w:val="none"/>
          <w:u w:val="none"/>
        </w:rPr>
        <w:t>）其他要求：专职安全人员要求：须具有安全生产考核合格证（C类）（或能够提供广东省建筑施工企业管理人员安全生产考核信息系统安全生产管理人员证书信息的网页截图）；</w:t>
      </w:r>
      <w:r>
        <w:rPr>
          <w:rFonts w:hint="eastAsia" w:ascii="仿宋" w:hAnsi="仿宋" w:eastAsia="仿宋" w:cs="仿宋"/>
          <w:color w:val="auto"/>
          <w:sz w:val="28"/>
          <w:szCs w:val="28"/>
          <w:highlight w:val="none"/>
          <w:u w:val="none"/>
          <w:lang w:val="en-US" w:eastAsia="zh-CN"/>
        </w:rPr>
        <w:t>项目负责人与专职安全员不得为同一人。</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240" w:lineRule="auto"/>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（11）其他禁止情形：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2024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default" w:ascii="仿宋_GB2312" w:hAnsi="仿宋" w:eastAsia="仿宋_GB2312" w:cs="仿宋_GB2312"/>
          <w:color w:val="auto"/>
          <w:sz w:val="28"/>
          <w:szCs w:val="28"/>
          <w:highlight w:val="none"/>
          <w:lang w:val="en-US"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w:t>
      </w:r>
      <w:r>
        <w:rPr>
          <w:rFonts w:hint="default" w:ascii="仿宋_GB2312" w:hAnsi="仿宋" w:eastAsia="仿宋_GB2312" w:cs="仿宋_GB2312"/>
          <w:color w:val="auto"/>
          <w:sz w:val="28"/>
          <w:szCs w:val="28"/>
          <w:highlight w:val="none"/>
          <w:lang w:val="en-US" w:eastAsia="zh-CN"/>
        </w:rPr>
        <w:t>可</w:t>
      </w:r>
      <w:r>
        <w:rPr>
          <w:rFonts w:hint="default" w:ascii="仿宋_GB2312" w:hAnsi="仿宋" w:eastAsia="仿宋_GB2312" w:cs="仿宋_GB2312"/>
          <w:color w:val="auto"/>
          <w:sz w:val="28"/>
          <w:szCs w:val="28"/>
          <w:highlight w:val="none"/>
          <w:lang w:val="en-US"/>
        </w:rPr>
        <w:t>自行</w:t>
      </w:r>
      <w:r>
        <w:rPr>
          <w:rFonts w:hint="default" w:ascii="仿宋_GB2312" w:hAnsi="仿宋" w:eastAsia="仿宋_GB2312" w:cs="仿宋_GB2312"/>
          <w:color w:val="auto"/>
          <w:sz w:val="28"/>
          <w:szCs w:val="28"/>
          <w:highlight w:val="none"/>
          <w:lang w:val="en-US" w:eastAsia="zh-CN"/>
        </w:rPr>
        <w:t>选择是否</w:t>
      </w:r>
      <w:r>
        <w:rPr>
          <w:rFonts w:hint="eastAsia" w:ascii="仿宋_GB2312" w:hAnsi="仿宋" w:eastAsia="仿宋_GB2312" w:cs="仿宋_GB2312"/>
          <w:color w:val="auto"/>
          <w:sz w:val="28"/>
          <w:szCs w:val="28"/>
          <w:highlight w:val="none"/>
          <w:lang w:val="en-US" w:eastAsia="zh-CN"/>
        </w:rPr>
        <w:t>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踏勘人员须为供应商职工，提供人社局3个月社保证明。</w:t>
      </w:r>
    </w:p>
    <w:p>
      <w:pPr>
        <w:pStyle w:val="22"/>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踏勘现场联系人：阮工</w:t>
      </w:r>
    </w:p>
    <w:p>
      <w:pPr>
        <w:pStyle w:val="22"/>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踏勘现场联系人联系方式：13726881936</w:t>
      </w:r>
    </w:p>
    <w:p>
      <w:pPr>
        <w:pStyle w:val="22"/>
        <w:adjustRightInd w:val="0"/>
        <w:snapToGrid w:val="0"/>
        <w:spacing w:line="360" w:lineRule="auto"/>
        <w:ind w:firstLine="0"/>
        <w:jc w:val="left"/>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踏勘（答疑会）</w:t>
      </w:r>
      <w:r>
        <w:rPr>
          <w:rFonts w:hint="eastAsia" w:ascii="仿宋_GB2312" w:eastAsia="仿宋_GB2312" w:hAnsiTheme="minorHAnsi" w:cstheme="minorBidi"/>
          <w:color w:val="auto"/>
          <w:kern w:val="2"/>
          <w:sz w:val="28"/>
          <w:szCs w:val="28"/>
          <w:highlight w:val="none"/>
          <w:lang w:val="en-US" w:eastAsia="zh-CN"/>
        </w:rPr>
        <w:t>集合</w:t>
      </w:r>
      <w:r>
        <w:rPr>
          <w:rFonts w:hint="eastAsia" w:ascii="仿宋_GB2312" w:eastAsia="仿宋_GB2312" w:hAnsiTheme="minorHAnsi" w:cstheme="minorBidi"/>
          <w:color w:val="auto"/>
          <w:kern w:val="2"/>
          <w:sz w:val="28"/>
          <w:szCs w:val="28"/>
          <w:highlight w:val="none"/>
        </w:rPr>
        <w:t>时间：</w:t>
      </w:r>
      <w:r>
        <w:rPr>
          <w:rFonts w:hint="eastAsia" w:ascii="仿宋_GB2312" w:eastAsia="仿宋_GB2312" w:hAnsiTheme="minorHAnsi" w:cstheme="minorBidi"/>
          <w:color w:val="auto"/>
          <w:kern w:val="2"/>
          <w:sz w:val="28"/>
          <w:szCs w:val="28"/>
          <w:highlight w:val="none"/>
          <w:u w:val="single"/>
          <w:lang w:val="en-US" w:eastAsia="zh-CN"/>
        </w:rPr>
        <w:t>2024</w:t>
      </w:r>
      <w:r>
        <w:rPr>
          <w:rFonts w:hint="eastAsia" w:ascii="仿宋_GB2312" w:eastAsia="仿宋_GB2312" w:hAnsiTheme="minorHAnsi" w:cstheme="minorBidi"/>
          <w:color w:val="auto"/>
          <w:kern w:val="2"/>
          <w:sz w:val="28"/>
          <w:szCs w:val="28"/>
          <w:highlight w:val="none"/>
          <w:lang w:val="en-US" w:eastAsia="zh-CN"/>
        </w:rPr>
        <w:t>年</w:t>
      </w:r>
      <w:r>
        <w:rPr>
          <w:rFonts w:hint="eastAsia" w:ascii="仿宋_GB2312" w:eastAsia="仿宋_GB2312" w:hAnsiTheme="minorHAnsi" w:cstheme="minorBidi"/>
          <w:color w:val="auto"/>
          <w:kern w:val="2"/>
          <w:sz w:val="28"/>
          <w:szCs w:val="28"/>
          <w:highlight w:val="none"/>
          <w:u w:val="single"/>
          <w:lang w:val="en-US" w:eastAsia="zh-CN"/>
        </w:rPr>
        <w:t>5</w:t>
      </w:r>
      <w:r>
        <w:rPr>
          <w:rFonts w:hint="eastAsia" w:ascii="仿宋_GB2312" w:eastAsia="仿宋_GB2312" w:hAnsiTheme="minorHAnsi" w:cstheme="minorBidi"/>
          <w:color w:val="auto"/>
          <w:kern w:val="2"/>
          <w:sz w:val="28"/>
          <w:szCs w:val="28"/>
          <w:highlight w:val="none"/>
          <w:lang w:val="en-US" w:eastAsia="zh-CN"/>
        </w:rPr>
        <w:t>月</w:t>
      </w:r>
      <w:r>
        <w:rPr>
          <w:rFonts w:hint="eastAsia" w:ascii="仿宋_GB2312" w:eastAsia="仿宋_GB2312" w:hAnsiTheme="minorHAnsi" w:cstheme="minorBidi"/>
          <w:color w:val="auto"/>
          <w:kern w:val="2"/>
          <w:sz w:val="28"/>
          <w:szCs w:val="28"/>
          <w:highlight w:val="none"/>
          <w:u w:val="single"/>
          <w:lang w:val="en-US" w:eastAsia="zh-CN"/>
        </w:rPr>
        <w:t>27</w:t>
      </w:r>
      <w:r>
        <w:rPr>
          <w:rFonts w:hint="eastAsia" w:ascii="仿宋_GB2312" w:eastAsia="仿宋_GB2312" w:hAnsiTheme="minorHAnsi" w:cstheme="minorBidi"/>
          <w:color w:val="auto"/>
          <w:kern w:val="2"/>
          <w:sz w:val="28"/>
          <w:szCs w:val="28"/>
          <w:highlight w:val="none"/>
          <w:lang w:val="en-US" w:eastAsia="zh-CN"/>
        </w:rPr>
        <w:t>日</w:t>
      </w:r>
      <w:r>
        <w:rPr>
          <w:rFonts w:hint="eastAsia" w:ascii="仿宋_GB2312" w:eastAsia="仿宋_GB2312" w:hAnsiTheme="minorHAnsi" w:cstheme="minorBidi"/>
          <w:color w:val="auto"/>
          <w:kern w:val="2"/>
          <w:sz w:val="28"/>
          <w:szCs w:val="28"/>
          <w:highlight w:val="none"/>
          <w:u w:val="single"/>
          <w:lang w:val="en-US" w:eastAsia="zh-CN"/>
        </w:rPr>
        <w:t>14</w:t>
      </w:r>
      <w:r>
        <w:rPr>
          <w:rFonts w:hint="eastAsia" w:ascii="仿宋_GB2312" w:eastAsia="仿宋_GB2312" w:hAnsiTheme="minorHAnsi" w:cstheme="minorBidi"/>
          <w:color w:val="auto"/>
          <w:kern w:val="2"/>
          <w:sz w:val="28"/>
          <w:szCs w:val="28"/>
          <w:highlight w:val="none"/>
          <w:u w:val="none"/>
          <w:lang w:val="en-US" w:eastAsia="zh-CN"/>
        </w:rPr>
        <w:t>时</w:t>
      </w:r>
      <w:r>
        <w:rPr>
          <w:rFonts w:hint="eastAsia" w:ascii="仿宋_GB2312" w:eastAsia="仿宋_GB2312" w:hAnsiTheme="minorHAnsi" w:cstheme="minorBidi"/>
          <w:color w:val="auto"/>
          <w:kern w:val="2"/>
          <w:sz w:val="28"/>
          <w:szCs w:val="28"/>
          <w:highlight w:val="none"/>
          <w:u w:val="single"/>
          <w:lang w:val="en-US" w:eastAsia="zh-CN"/>
        </w:rPr>
        <w:t>30</w:t>
      </w:r>
      <w:r>
        <w:rPr>
          <w:rFonts w:hint="eastAsia" w:ascii="仿宋_GB2312" w:eastAsia="仿宋_GB2312" w:hAnsiTheme="minorHAnsi" w:cstheme="minorBidi"/>
          <w:color w:val="auto"/>
          <w:kern w:val="2"/>
          <w:sz w:val="28"/>
          <w:szCs w:val="28"/>
          <w:highlight w:val="none"/>
          <w:u w:val="none"/>
          <w:lang w:val="en-US" w:eastAsia="zh-CN"/>
        </w:rPr>
        <w:t>分至</w:t>
      </w:r>
      <w:r>
        <w:rPr>
          <w:rFonts w:hint="eastAsia" w:ascii="仿宋_GB2312" w:eastAsia="仿宋_GB2312" w:hAnsiTheme="minorHAnsi" w:cstheme="minorBidi"/>
          <w:color w:val="auto"/>
          <w:kern w:val="2"/>
          <w:sz w:val="28"/>
          <w:szCs w:val="28"/>
          <w:highlight w:val="none"/>
          <w:u w:val="single"/>
          <w:lang w:val="en-US" w:eastAsia="zh-CN"/>
        </w:rPr>
        <w:t>15</w:t>
      </w:r>
      <w:r>
        <w:rPr>
          <w:rFonts w:hint="eastAsia" w:ascii="仿宋_GB2312" w:eastAsia="仿宋_GB2312" w:hAnsiTheme="minorHAnsi" w:cstheme="minorBidi"/>
          <w:color w:val="auto"/>
          <w:kern w:val="2"/>
          <w:sz w:val="28"/>
          <w:szCs w:val="28"/>
          <w:highlight w:val="none"/>
          <w:u w:val="none"/>
          <w:lang w:val="en-US" w:eastAsia="zh-CN"/>
        </w:rPr>
        <w:t>时</w:t>
      </w:r>
      <w:r>
        <w:rPr>
          <w:rFonts w:hint="eastAsia" w:ascii="仿宋_GB2312" w:eastAsia="仿宋_GB2312" w:hAnsiTheme="minorHAnsi" w:cstheme="minorBidi"/>
          <w:color w:val="auto"/>
          <w:kern w:val="2"/>
          <w:sz w:val="28"/>
          <w:szCs w:val="28"/>
          <w:highlight w:val="none"/>
          <w:u w:val="single"/>
          <w:lang w:val="en-US" w:eastAsia="zh-CN"/>
        </w:rPr>
        <w:t>00</w:t>
      </w:r>
      <w:r>
        <w:rPr>
          <w:rFonts w:hint="eastAsia" w:ascii="仿宋_GB2312" w:eastAsia="仿宋_GB2312" w:hAnsiTheme="minorHAnsi" w:cstheme="minorBidi"/>
          <w:color w:val="auto"/>
          <w:kern w:val="2"/>
          <w:sz w:val="28"/>
          <w:szCs w:val="28"/>
          <w:highlight w:val="none"/>
          <w:u w:val="none"/>
          <w:lang w:val="en-US" w:eastAsia="zh-CN"/>
        </w:rPr>
        <w:t>分</w:t>
      </w:r>
      <w:r>
        <w:rPr>
          <w:rFonts w:hint="eastAsia" w:ascii="仿宋_GB2312" w:eastAsia="仿宋_GB2312" w:hAnsiTheme="minorHAnsi" w:cstheme="minorBidi"/>
          <w:color w:val="auto"/>
          <w:kern w:val="2"/>
          <w:sz w:val="28"/>
          <w:szCs w:val="28"/>
          <w:highlight w:val="none"/>
          <w:u w:val="none"/>
        </w:rPr>
        <w:t xml:space="preserve">                </w:t>
      </w:r>
      <w:r>
        <w:rPr>
          <w:rFonts w:hint="eastAsia" w:ascii="仿宋_GB2312" w:eastAsia="仿宋_GB2312" w:hAnsiTheme="minorHAnsi" w:cstheme="minorBidi"/>
          <w:color w:val="auto"/>
          <w:kern w:val="2"/>
          <w:sz w:val="28"/>
          <w:szCs w:val="28"/>
          <w:highlight w:val="none"/>
        </w:rPr>
        <w:t xml:space="preserve">   </w:t>
      </w:r>
    </w:p>
    <w:p>
      <w:pPr>
        <w:pStyle w:val="22"/>
        <w:spacing w:line="360" w:lineRule="auto"/>
        <w:ind w:firstLine="0"/>
        <w:jc w:val="left"/>
        <w:rPr>
          <w:rFonts w:hint="eastAsia" w:ascii="仿宋_GB2312" w:eastAsia="仿宋_GB2312" w:hAnsiTheme="minorHAnsi" w:cstheme="minorBidi"/>
          <w:color w:val="auto"/>
          <w:kern w:val="2"/>
          <w:sz w:val="28"/>
          <w:szCs w:val="28"/>
          <w:highlight w:val="none"/>
          <w:u w:val="none"/>
        </w:rPr>
      </w:pPr>
      <w:r>
        <w:rPr>
          <w:rFonts w:hint="eastAsia" w:ascii="仿宋_GB2312" w:eastAsia="仿宋_GB2312" w:hAnsiTheme="minorHAnsi" w:cstheme="minorBidi"/>
          <w:color w:val="auto"/>
          <w:kern w:val="2"/>
          <w:sz w:val="28"/>
          <w:szCs w:val="28"/>
          <w:highlight w:val="none"/>
        </w:rPr>
        <w:t>踏勘集中地点：</w:t>
      </w:r>
      <w:r>
        <w:rPr>
          <w:rFonts w:hint="eastAsia" w:ascii="仿宋_GB2312" w:eastAsia="仿宋_GB2312" w:hAnsiTheme="minorHAnsi" w:cstheme="minorBidi"/>
          <w:color w:val="auto"/>
          <w:kern w:val="2"/>
          <w:sz w:val="28"/>
          <w:szCs w:val="28"/>
          <w:highlight w:val="none"/>
          <w:lang w:val="en-US" w:eastAsia="zh-CN"/>
        </w:rPr>
        <w:t>广州市净水有限公司</w:t>
      </w:r>
      <w:r>
        <w:rPr>
          <w:rFonts w:hint="eastAsia" w:ascii="仿宋_GB2312" w:eastAsia="仿宋_GB2312" w:hAnsiTheme="minorHAnsi" w:cstheme="minorBidi"/>
          <w:color w:val="auto"/>
          <w:kern w:val="2"/>
          <w:sz w:val="28"/>
          <w:szCs w:val="28"/>
          <w:highlight w:val="none"/>
          <w:u w:val="none"/>
          <w:lang w:val="en-US" w:eastAsia="zh-CN"/>
        </w:rPr>
        <w:t>大观分公司</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5 </w:t>
      </w:r>
      <w:r>
        <w:rPr>
          <w:rFonts w:hint="eastAsia" w:ascii="仿宋_GB2312" w:eastAsia="仿宋_GB2312"/>
          <w:color w:val="auto"/>
          <w:sz w:val="28"/>
          <w:szCs w:val="28"/>
          <w:highlight w:val="none"/>
        </w:rPr>
        <w:t> 月</w:t>
      </w:r>
      <w:r>
        <w:rPr>
          <w:rFonts w:hint="eastAsia" w:ascii="仿宋_GB2312" w:eastAsia="仿宋_GB2312"/>
          <w:color w:val="auto"/>
          <w:sz w:val="28"/>
          <w:szCs w:val="28"/>
          <w:highlight w:val="none"/>
          <w:u w:val="single"/>
          <w:lang w:val="en-US" w:eastAsia="zh-CN"/>
        </w:rPr>
        <w:t xml:space="preserve"> 29</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29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29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w:t>
      </w:r>
      <w:r>
        <w:rPr>
          <w:rFonts w:hint="eastAsia" w:ascii="仿宋_GB2312" w:eastAsia="仿宋_GB2312"/>
          <w:color w:val="auto"/>
          <w:sz w:val="28"/>
          <w:szCs w:val="28"/>
          <w:highlight w:val="none"/>
          <w:lang w:val="en-US" w:eastAsia="zh-CN"/>
        </w:rPr>
        <w:t>当天</w:t>
      </w:r>
      <w:r>
        <w:rPr>
          <w:rFonts w:hint="eastAsia" w:ascii="仿宋_GB2312" w:eastAsia="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360" w:lineRule="auto"/>
        <w:jc w:val="left"/>
        <w:rPr>
          <w:rFonts w:hint="eastAsia" w:ascii="仿宋_GB2312" w:eastAsia="仿宋_GB2312"/>
          <w:color w:val="auto"/>
          <w:sz w:val="28"/>
          <w:szCs w:val="28"/>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 xml:space="preserve">林工 </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400" w:firstLineChars="5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3"/>
        <w:rPr>
          <w:rFonts w:hint="eastAsia"/>
          <w:color w:val="auto"/>
          <w:highlight w:val="none"/>
        </w:rPr>
      </w:pPr>
      <w:bookmarkStart w:id="13" w:name="_Toc10891"/>
    </w:p>
    <w:p>
      <w:pPr>
        <w:pStyle w:val="3"/>
        <w:rPr>
          <w:rFonts w:hint="eastAsia"/>
          <w:color w:val="auto"/>
          <w:highlight w:val="none"/>
        </w:rPr>
      </w:pPr>
      <w:bookmarkStart w:id="14" w:name="_Toc16557"/>
      <w:bookmarkStart w:id="15" w:name="_Toc25603"/>
      <w:bookmarkStart w:id="16" w:name="_Toc2331"/>
      <w:bookmarkStart w:id="17" w:name="_Toc7340"/>
      <w:bookmarkStart w:id="18" w:name="_Toc19295"/>
      <w:bookmarkStart w:id="19" w:name="_Toc32588"/>
      <w:bookmarkStart w:id="20" w:name="_Toc9448"/>
      <w:bookmarkStart w:id="21" w:name="_Toc16705"/>
      <w:bookmarkStart w:id="22" w:name="_Toc23749"/>
      <w:bookmarkStart w:id="23" w:name="_Toc2324"/>
    </w:p>
    <w:p>
      <w:pPr>
        <w:rPr>
          <w:rFonts w:hint="eastAsia"/>
          <w:color w:val="auto"/>
          <w:highlight w:val="none"/>
        </w:rPr>
      </w:pPr>
    </w:p>
    <w:p>
      <w:pPr>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rPr>
          <w:rFonts w:hint="eastAsia"/>
          <w:color w:val="auto"/>
          <w:highlight w:val="none"/>
        </w:rPr>
      </w:pPr>
    </w:p>
    <w:p>
      <w:pPr>
        <w:pStyle w:val="3"/>
        <w:rPr>
          <w:rFonts w:hint="eastAsia"/>
          <w:color w:val="auto"/>
          <w:highlight w:val="none"/>
        </w:rPr>
      </w:pPr>
    </w:p>
    <w:p>
      <w:pPr>
        <w:pStyle w:val="3"/>
        <w:rPr>
          <w:rFonts w:hint="eastAsia"/>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2341245</wp:posOffset>
                </wp:positionH>
                <wp:positionV relativeFrom="paragraph">
                  <wp:posOffset>60325</wp:posOffset>
                </wp:positionV>
                <wp:extent cx="958850" cy="0"/>
                <wp:effectExtent l="0" t="0" r="0" b="0"/>
                <wp:wrapNone/>
                <wp:docPr id="3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35pt;margin-top:4.75pt;height:0pt;width:75.5pt;z-index:251669504;mso-width-relative:page;mso-height-relative:page;" filled="f" stroked="t" coordsize="21600,21600" o:gfxdata="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2Lgn1AAAAAcBAAAPAAAAAAAAAAEAIAAAACIAAABkcnMvZG93bnJldi54bWxQSwECFAAU&#10;AAAACACHTuJAKDZXCvUBAADkAwAADgAAAAAAAAABACAAAAAj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2353945</wp:posOffset>
                </wp:positionH>
                <wp:positionV relativeFrom="paragraph">
                  <wp:posOffset>554990</wp:posOffset>
                </wp:positionV>
                <wp:extent cx="958850" cy="0"/>
                <wp:effectExtent l="0" t="0" r="0" b="0"/>
                <wp:wrapNone/>
                <wp:docPr id="35"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5.35pt;margin-top:43.7pt;height:0pt;width:75.5pt;z-index:251670528;mso-width-relative:page;mso-height-relative:page;" filled="f" stroked="t" coordsize="21600,21600" o:gfxdata="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1/PuPMgaUb&#10;v/v8/denL7dff97++MYm86xRH7Cm0JXbxNMOwyZmwoc22vwnKuxQdD2edVWHxAQdvpzN5zNSXNy7&#10;qoe8EDG9Vt6ybDQcUwS969LKO0eX5+OkyAr7N5ioMiXeJ+SixrE+w0+pdwE0jC0NAZk2ECF0u5KL&#10;3mh5rY3JGRh325WJbA95IMqX+RHuX2G5yBqwG+KKaxiVToF85SRLx0BKOXohPLdgleTMKHpQ2SJA&#10;qBNoc0kklTaOOsgSD6Jma+vlsWhdzunyS4+nQc3T9ee+ZD8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5bBptcAAAAJAQAADwAAAAAAAAABACAAAAAiAAAAZHJzL2Rvd25yZXYueG1sUEsBAhQA&#10;FAAAAAgAh07iQEwTMQ3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3"/>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br w:type="page"/>
      </w: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sz w:val="24"/>
                <w:szCs w:val="24"/>
              </w:rPr>
              <w:t>如采购文件内容与响应文件格式工程量清单存在不一致情形，则以响应文件格式工程量清单为准。如采购文件条款与合同存在不一致情形，则以合同为准。</w:t>
            </w: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w:t>
      </w:r>
      <w:r>
        <w:rPr>
          <w:rFonts w:hint="eastAsia" w:ascii="仿宋_GB2312" w:eastAsia="仿宋_GB2312"/>
          <w:color w:val="auto"/>
          <w:sz w:val="28"/>
          <w:szCs w:val="28"/>
          <w:highlight w:val="none"/>
          <w:lang w:val="en-US" w:eastAsia="zh-CN"/>
        </w:rPr>
        <w:t>及</w:t>
      </w:r>
      <w:r>
        <w:rPr>
          <w:rFonts w:hint="eastAsia" w:ascii="仿宋_GB2312" w:eastAsia="仿宋_GB2312"/>
          <w:color w:val="auto"/>
          <w:sz w:val="28"/>
          <w:szCs w:val="28"/>
          <w:highlight w:val="none"/>
        </w:rPr>
        <w:t>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pStyle w:val="28"/>
        <w:rPr>
          <w:color w:val="auto"/>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pStyle w:val="2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723"/>
        <w:gridCol w:w="1201"/>
        <w:gridCol w:w="1955"/>
        <w:gridCol w:w="1648"/>
        <w:gridCol w:w="6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67"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72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201"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55"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4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8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8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6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8"/>
        <w:rPr>
          <w:color w:val="auto"/>
          <w:highlight w:val="none"/>
        </w:rPr>
      </w:pPr>
    </w:p>
    <w:p>
      <w:pPr>
        <w:adjustRightInd w:val="0"/>
        <w:snapToGrid w:val="0"/>
        <w:spacing w:line="600" w:lineRule="exact"/>
        <w:jc w:val="left"/>
        <w:rPr>
          <w:rFonts w:ascii="方正小标宋简体" w:eastAsia="方正小标宋简体" w:hAnsiTheme="majorEastAsia"/>
          <w:color w:val="auto"/>
          <w:sz w:val="32"/>
          <w:szCs w:val="32"/>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8"/>
        <w:rPr>
          <w:rFonts w:asciiTheme="majorEastAsia" w:hAnsiTheme="majorEastAsia" w:eastAsiaTheme="majorEastAsia"/>
          <w:b/>
          <w:color w:val="auto"/>
          <w:sz w:val="28"/>
          <w:szCs w:val="28"/>
          <w:highlight w:val="none"/>
        </w:rPr>
      </w:pPr>
    </w:p>
    <w:p>
      <w:pPr>
        <w:pStyle w:val="28"/>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color w:val="auto"/>
          <w:sz w:val="44"/>
          <w:szCs w:val="44"/>
          <w:highlight w:val="none"/>
        </w:r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项目名称：</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住所地：</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邮编：</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法定代表人：</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异议人授权代表：</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性别：</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住址：</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提起异议事项的基本事实：</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相关请求及主张：</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有效线索和相关证明材料：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异议提起人与项目有利害关系的证明材料（见说明）：</w:t>
      </w: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说明：</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3.为证明与异议项目有利害关系，投标人以外的其他异议提起人应当提供相应证明材料：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（1）属潜在投标人的，提交符合法定有关资格要求的证明文件；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（2）属特定分包人或者供应商的，提交证明其与该项目投标人绑定投标的附条件生效协议以及能证明其能履行该协议项下的合同义务的能力的证明文件。</w:t>
      </w:r>
      <w:r>
        <w:rPr>
          <w:rFonts w:hint="eastAsia" w:ascii="仿宋_GB2312" w:eastAsia="仿宋_GB2312" w:hAnsiTheme="majorEastAsia"/>
          <w:color w:val="auto"/>
          <w:sz w:val="28"/>
          <w:szCs w:val="28"/>
          <w:highlight w:val="none"/>
        </w:rPr>
        <w:tab/>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（3）可证明与异议项目有利害关系的其他证明文件。</w:t>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8"/>
        <w:rPr>
          <w:color w:val="auto"/>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p>
    <w:p>
      <w:pPr>
        <w:pStyle w:val="4"/>
        <w:rPr>
          <w:rFonts w:hint="eastAsia" w:asciiTheme="minorHAnsi" w:hAnsiTheme="minorHAnsi" w:cstheme="minorBidi"/>
          <w:color w:val="auto"/>
          <w:kern w:val="44"/>
          <w:sz w:val="44"/>
          <w:szCs w:val="44"/>
          <w:highlight w:val="none"/>
        </w:rPr>
      </w:pPr>
    </w:p>
    <w:p>
      <w:pPr>
        <w:pStyle w:val="4"/>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2332990</wp:posOffset>
                </wp:positionH>
                <wp:positionV relativeFrom="paragraph">
                  <wp:posOffset>42545</wp:posOffset>
                </wp:positionV>
                <wp:extent cx="958850" cy="0"/>
                <wp:effectExtent l="0" t="0" r="0" b="0"/>
                <wp:wrapNone/>
                <wp:docPr id="1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7pt;margin-top:3.35pt;height:0pt;width:75.5pt;z-index:251659264;mso-width-relative:page;mso-height-relative:page;" filled="f" stroked="t" coordsize="21600,21600" o:gfxdata="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hMouNUAAAAHAQAADwAAAAAAAAABACAAAAAiAAAAZHJzL2Rvd25yZXYueG1sUEsBAhQAFAAA&#10;AAgAh07iQB5dg7zyAQAA4wMAAA4AAAAAAAAAAQAgAAAAJA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1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028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0QzLDyAQAA4w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44syBpRv/&#10;9fn7/acvd19/3v34xmZZoj7ggiLXbhtPOwzbmPkemmjzn5iwQ5H1eJZVHRITdPhyNp/PSHDx4Koe&#10;80LE9Fp5y7JRc0wRdNultXeO7s7HSVEV9m8wUWVKfEjIRY1jfYafzggcaBYbmgEybSA+6NqSi95o&#10;eaONyRkY293aRLaHPA/ly/wI96+wXGQD2A1xxTVMSqdAvnKSpWMgoRw9EJ5bsEpyZhS9p2wRICwS&#10;aHNJJJU2jjrIEg+iZmvn5bFoXc7p7kuPpznNw/XnvmQ/vs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C9EMyw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4"/>
        <w:rPr>
          <w:color w:val="auto"/>
          <w:highlight w:val="none"/>
        </w:rPr>
      </w:pPr>
      <w:bookmarkStart w:id="28" w:name="_Toc7303"/>
      <w:bookmarkStart w:id="29" w:name="_Toc7040"/>
      <w:bookmarkStart w:id="30" w:name="_Toc87616371"/>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4"/>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eastAsia="zh-CN"/>
              </w:rPr>
              <w:br w:type="textWrapping"/>
            </w:r>
            <w:r>
              <w:rPr>
                <w:rFonts w:hint="eastAsia" w:ascii="仿宋_GB2312" w:eastAsia="仿宋_GB2312" w:hAnsiTheme="minorEastAsia"/>
                <w:color w:val="auto"/>
                <w:sz w:val="24"/>
                <w:szCs w:val="24"/>
                <w:highlight w:val="none"/>
              </w:rPr>
              <w:t>如第一中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候选人被取消</w:t>
            </w:r>
            <w:r>
              <w:rPr>
                <w:rFonts w:hint="eastAsia" w:ascii="仿宋_GB2312" w:eastAsia="仿宋_GB2312" w:hAnsiTheme="minorEastAsia"/>
                <w:color w:val="auto"/>
                <w:sz w:val="24"/>
                <w:szCs w:val="24"/>
                <w:highlight w:val="none"/>
                <w:lang w:val="en-US" w:eastAsia="zh-CN"/>
              </w:rPr>
              <w:t>或放弃</w:t>
            </w:r>
            <w:r>
              <w:rPr>
                <w:rFonts w:hint="eastAsia" w:ascii="仿宋_GB2312" w:eastAsia="仿宋_GB2312" w:hAnsiTheme="minorEastAsia"/>
                <w:color w:val="auto"/>
                <w:sz w:val="24"/>
                <w:szCs w:val="24"/>
                <w:highlight w:val="none"/>
              </w:rPr>
              <w:t>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候选人资格，</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人有权按</w:t>
            </w:r>
            <w:r>
              <w:rPr>
                <w:rFonts w:hint="eastAsia" w:ascii="仿宋_GB2312" w:eastAsia="仿宋_GB2312" w:hAnsiTheme="minorEastAsia"/>
                <w:color w:val="auto"/>
                <w:sz w:val="24"/>
                <w:szCs w:val="24"/>
                <w:highlight w:val="none"/>
                <w:lang w:val="en-US" w:eastAsia="zh-CN"/>
              </w:rPr>
              <w:t>中选</w:t>
            </w:r>
            <w:r>
              <w:rPr>
                <w:rFonts w:hint="eastAsia" w:ascii="仿宋_GB2312" w:eastAsia="仿宋_GB2312" w:hAnsiTheme="minorEastAsia"/>
                <w:color w:val="auto"/>
                <w:sz w:val="24"/>
                <w:szCs w:val="24"/>
                <w:highlight w:val="none"/>
              </w:rPr>
              <w:t>候</w:t>
            </w:r>
            <w:r>
              <w:rPr>
                <w:rFonts w:hint="eastAsia" w:ascii="仿宋_GB2312" w:eastAsia="仿宋_GB2312" w:hAnsiTheme="minorEastAsia"/>
                <w:color w:val="auto"/>
                <w:sz w:val="24"/>
                <w:szCs w:val="24"/>
                <w:highlight w:val="none"/>
              </w:rPr>
              <w:br w:type="textWrapping"/>
            </w:r>
            <w:r>
              <w:rPr>
                <w:rFonts w:hint="eastAsia" w:ascii="仿宋_GB2312" w:eastAsia="仿宋_GB2312" w:hAnsiTheme="minorEastAsia"/>
                <w:color w:val="auto"/>
                <w:sz w:val="24"/>
                <w:szCs w:val="24"/>
                <w:highlight w:val="none"/>
              </w:rPr>
              <w:t>选人</w:t>
            </w:r>
            <w:r>
              <w:rPr>
                <w:rFonts w:hint="eastAsia" w:ascii="仿宋_GB2312" w:eastAsia="仿宋_GB2312" w:hAnsiTheme="minorEastAsia"/>
                <w:color w:val="auto"/>
                <w:sz w:val="24"/>
                <w:szCs w:val="24"/>
                <w:highlight w:val="none"/>
                <w:lang w:val="en-US" w:eastAsia="zh-CN"/>
              </w:rPr>
              <w:t>的</w:t>
            </w:r>
            <w:r>
              <w:rPr>
                <w:rFonts w:hint="eastAsia" w:ascii="仿宋_GB2312" w:eastAsia="仿宋_GB2312" w:hAnsiTheme="minorEastAsia"/>
                <w:color w:val="auto"/>
                <w:sz w:val="24"/>
                <w:szCs w:val="24"/>
                <w:highlight w:val="none"/>
              </w:rPr>
              <w:t>顺序依次确定其他中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候选人为中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人，或重新</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0" w:firstLineChars="0"/>
        <w:jc w:val="left"/>
        <w:rPr>
          <w:rFonts w:hint="default" w:ascii="仿宋_GB2312" w:eastAsia="仿宋_GB2312"/>
          <w:color w:val="auto"/>
          <w:sz w:val="28"/>
          <w:szCs w:val="28"/>
          <w:highlight w:val="none"/>
          <w:lang w:val="en-US" w:eastAsia="zh-CN"/>
        </w:rPr>
      </w:pPr>
    </w:p>
    <w:p>
      <w:pPr>
        <w:adjustRightInd w:val="0"/>
        <w:snapToGrid w:val="0"/>
        <w:spacing w:line="600" w:lineRule="exact"/>
        <w:ind w:firstLine="0" w:firstLineChars="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4952"/>
      <w:bookmarkStart w:id="35" w:name="_Toc23581"/>
      <w:bookmarkStart w:id="36" w:name="_Toc19759"/>
      <w:bookmarkStart w:id="37" w:name="_Toc7118"/>
      <w:bookmarkStart w:id="38" w:name="_Toc7437"/>
      <w:bookmarkStart w:id="39" w:name="_Toc19050"/>
      <w:bookmarkStart w:id="40" w:name="_Toc14552"/>
      <w:bookmarkStart w:id="41" w:name="_Toc14870"/>
      <w:bookmarkStart w:id="42" w:name="_Toc20594"/>
      <w:bookmarkStart w:id="43" w:name="_Toc10930"/>
      <w:bookmarkStart w:id="44" w:name="_Toc3156"/>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T/ok8gEAAOM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YiS9QHrMlz5TbxtMOwiZnvoY02/4kJOxRZj2dZ1SExQYcvZ/P5jAQX91fV&#10;Q1yImF4rb1k2Go4pgt51aeWdo975OCmqwv4NJspMgfcBOalxrM/w0xmBA81iSzNApg3EB92uxKI3&#10;Wl5rY3IExt12ZSLbQ56H8mV+hPuXW06yBuwGv3I1TEqnQL5ykqVjIKEcPRCeS7BKcmYUvadsESDU&#10;CbS5xJNSG0cVZIkHUbO19fJYtC7n1PtS42lO83D9uS/R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k/6J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ZTIa18gEAAOM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KrLFEfsKbIldvE0w7DJma+hzba/Ccm7FBkPZ5lVYfEBB2+mM3nMxJc3Luq&#10;h7wQMb1S3rJsNBxTBL3r0so7R3fn46SoCvvXmKgyJd4n5KLGsT7DT2cEDjSLLc0AmTYQH3S7kove&#10;aHmjjckZGHfblYlsD3keypf5Ee5fYbnIGrAb4oprmJROgXzpJEvHQEI5eiA8t2CV5Mwoek/ZIkCo&#10;E2hzSSSVNo46yBIPomZr6+WxaF3O6e5Lj6c5zcP1575kP7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UyGt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3"/>
        <w:rPr>
          <w:color w:val="auto"/>
          <w:highlight w:val="none"/>
        </w:rPr>
      </w:pPr>
      <w:bookmarkStart w:id="45" w:name="_Toc30530"/>
      <w:bookmarkStart w:id="46" w:name="_Toc21079"/>
      <w:bookmarkStart w:id="47" w:name="_Toc87616378"/>
      <w:bookmarkStart w:id="48" w:name="_Toc29345"/>
      <w:bookmarkStart w:id="49" w:name="_Toc22212"/>
      <w:bookmarkStart w:id="50" w:name="_Toc12177"/>
      <w:bookmarkStart w:id="51" w:name="_Toc13898"/>
      <w:bookmarkStart w:id="52" w:name="_Toc21840"/>
      <w:bookmarkStart w:id="53" w:name="_Toc7831"/>
      <w:bookmarkStart w:id="54" w:name="_Toc88209941"/>
      <w:bookmarkStart w:id="55" w:name="_Toc32607"/>
      <w:bookmarkStart w:id="56" w:name="_Toc6308"/>
      <w:bookmarkStart w:id="57" w:name="_Toc29484"/>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2355850</wp:posOffset>
                </wp:positionH>
                <wp:positionV relativeFrom="paragraph">
                  <wp:posOffset>34290</wp:posOffset>
                </wp:positionV>
                <wp:extent cx="958850" cy="0"/>
                <wp:effectExtent l="0" t="4445" r="0" b="5080"/>
                <wp:wrapNone/>
                <wp:docPr id="5" name="直接箭头连接符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5.5pt;margin-top:2.7pt;height:0pt;width:75.5pt;z-index:251671552;mso-width-relative:page;mso-height-relative:page;" filled="f" stroked="t" coordsize="21600,21600" o:gfxdata="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Dm1QAAAAcBAAAPAAAAAAAAAAEAIAAAACIAAABkcnMvZG93bnJldi54bWxQ&#10;SwECFAAUAAAACACHTuJA94okpPoBAADrAwAADgAAAAAAAAABACAAAAAkAQAAZHJzL2Uyb0RvYy54&#10;bWxQSwUGAAAAAAYABgBZAQAAk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540385</wp:posOffset>
                </wp:positionV>
                <wp:extent cx="958850"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4.9pt;margin-top:42.55pt;height:0pt;width:75.5pt;z-index:251672576;mso-width-relative:page;mso-height-relative:page;" filled="f" stroked="t" coordsize="21600,21600" o:gfxdata="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Iqh6jWAAAACQEAAA8AAAAAAAAAAQAgAAAAIgAAAGRycy9kb3ducmV2Lnht&#10;bFBLAQIUABQAAAAIAIdO4kA3XvFj+wEAAOsDAAAOAAAAAAAAAAEAIAAAACUBAABkcnMvZTJvRG9j&#10;LnhtbFBLBQYAAAAABgAGAFkBAACS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rPr>
          <w:rFonts w:hint="eastAsia"/>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rPr>
          <w:rFonts w:hint="eastAsia"/>
          <w:color w:val="auto"/>
          <w:szCs w:val="44"/>
          <w:highlight w:val="none"/>
        </w:rPr>
      </w:pPr>
      <w:bookmarkStart w:id="60" w:name="_Toc88209947"/>
    </w:p>
    <w:p>
      <w:pPr>
        <w:spacing w:line="360" w:lineRule="auto"/>
        <w:ind w:firstLine="472" w:firstLineChars="196"/>
        <w:rPr>
          <w:rFonts w:ascii="宋体" w:hAnsi="宋体" w:eastAsia="宋体" w:cs="宋体"/>
          <w:b/>
          <w:color w:val="auto"/>
          <w:sz w:val="24"/>
          <w:szCs w:val="24"/>
          <w:highlight w:val="none"/>
        </w:rPr>
      </w:pPr>
      <w:r>
        <w:rPr>
          <w:rFonts w:ascii="宋体" w:hAnsi="宋体" w:eastAsia="宋体" w:cs="宋体"/>
          <w:b/>
          <w:color w:val="auto"/>
          <w:sz w:val="24"/>
          <w:szCs w:val="24"/>
          <w:highlight w:val="none"/>
        </w:rPr>
        <w:t xml:space="preserve">1、供应商须对本项目为单位的服务进行整体响应，任何只对其中一部分内容进行的响应都被视为无效响应。 </w:t>
      </w:r>
    </w:p>
    <w:p>
      <w:pPr>
        <w:pStyle w:val="13"/>
        <w:numPr>
          <w:ilvl w:val="-1"/>
          <w:numId w:val="0"/>
        </w:numPr>
        <w:adjustRightInd w:val="0"/>
        <w:snapToGrid w:val="0"/>
        <w:spacing w:line="360" w:lineRule="auto"/>
        <w:ind w:firstLine="482" w:firstLineChars="200"/>
        <w:jc w:val="left"/>
        <w:rPr>
          <w:rFonts w:hint="eastAsia" w:ascii="仿宋_GB2312" w:hAnsi="仿宋_GB2312" w:eastAsia="仿宋_GB2312" w:cs="仿宋_GB2312"/>
          <w:b/>
          <w:bCs w:val="0"/>
          <w:color w:val="auto"/>
          <w:kern w:val="2"/>
          <w:sz w:val="28"/>
          <w:szCs w:val="28"/>
          <w:highlight w:val="none"/>
          <w:lang w:val="zh-CN" w:eastAsia="zh-CN"/>
        </w:rPr>
      </w:pPr>
      <w:r>
        <w:rPr>
          <w:rFonts w:ascii="宋体" w:hAnsi="宋体" w:eastAsia="宋体" w:cs="宋体"/>
          <w:b/>
          <w:color w:val="auto"/>
          <w:sz w:val="24"/>
          <w:szCs w:val="24"/>
          <w:highlight w:val="none"/>
        </w:rPr>
        <w:t>2、全文所有要求均为实质性响应条款，供应商如有任何一条负偏离则导致</w:t>
      </w:r>
      <w:r>
        <w:rPr>
          <w:rFonts w:hint="eastAsia" w:ascii="宋体" w:hAnsi="宋体" w:cs="宋体"/>
          <w:b/>
          <w:color w:val="auto"/>
          <w:sz w:val="24"/>
          <w:szCs w:val="24"/>
          <w:highlight w:val="none"/>
        </w:rPr>
        <w:t>响应</w:t>
      </w:r>
      <w:r>
        <w:rPr>
          <w:rFonts w:hint="eastAsia" w:ascii="宋体" w:hAnsi="宋体" w:eastAsia="宋体" w:cs="宋体"/>
          <w:b/>
          <w:color w:val="auto"/>
          <w:sz w:val="24"/>
          <w:szCs w:val="24"/>
          <w:highlight w:val="none"/>
        </w:rPr>
        <w:t>（报价）文件无效。</w:t>
      </w:r>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r>
        <w:rPr>
          <w:rFonts w:hint="eastAsia" w:ascii="仿宋_GB2312" w:hAnsi="仿宋_GB2312" w:eastAsia="仿宋_GB2312" w:cs="仿宋_GB2312"/>
          <w:b/>
          <w:bCs w:val="0"/>
          <w:color w:val="auto"/>
          <w:kern w:val="2"/>
          <w:sz w:val="28"/>
          <w:szCs w:val="28"/>
          <w:highlight w:val="none"/>
          <w:lang w:val="zh-CN" w:eastAsia="zh-CN"/>
        </w:rPr>
        <w:t>一、项目内容及需求</w:t>
      </w:r>
    </w:p>
    <w:p>
      <w:pPr>
        <w:pStyle w:val="22"/>
        <w:numPr>
          <w:ilvl w:val="-1"/>
          <w:numId w:val="0"/>
        </w:numPr>
        <w:ind w:firstLine="562" w:firstLineChars="200"/>
        <w:rPr>
          <w:rFonts w:hint="eastAsia" w:ascii="仿宋" w:hAnsi="仿宋" w:eastAsia="仿宋" w:cs="仿宋_GB2312"/>
          <w:b/>
          <w:bCs/>
          <w:color w:val="auto"/>
          <w:kern w:val="0"/>
          <w:sz w:val="28"/>
          <w:szCs w:val="28"/>
          <w:highlight w:val="none"/>
          <w:lang w:val="en-US" w:eastAsia="zh-CN"/>
        </w:rPr>
      </w:pPr>
      <w:bookmarkStart w:id="61" w:name="采购需求"/>
      <w:bookmarkEnd w:id="61"/>
      <w:r>
        <w:rPr>
          <w:rFonts w:hint="eastAsia" w:ascii="仿宋" w:hAnsi="仿宋" w:eastAsia="仿宋" w:cs="仿宋_GB2312"/>
          <w:b/>
          <w:bCs/>
          <w:color w:val="auto"/>
          <w:kern w:val="0"/>
          <w:sz w:val="28"/>
          <w:szCs w:val="28"/>
          <w:highlight w:val="none"/>
          <w:lang w:val="en-US" w:eastAsia="zh-CN"/>
        </w:rPr>
        <w:t>大观分公司2024年次氯酸钠加药池改造项目</w:t>
      </w:r>
    </w:p>
    <w:p>
      <w:pPr>
        <w:pStyle w:val="22"/>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b w:val="0"/>
          <w:color w:val="auto"/>
          <w:kern w:val="2"/>
          <w:sz w:val="28"/>
          <w:szCs w:val="28"/>
          <w:highlight w:val="none"/>
          <w:lang w:val="en-US" w:eastAsia="zh-CN"/>
        </w:rPr>
        <w:t>由于次氯酸钠和硫酸铝存储池均为钢筋混泥土结构，混凝土长期受化学物质浸泡，可能出现渗漏。由于只有一墙之隔，当出现渗漏现象，两者物质融合产生化学作用。为提高安全性，充分隔离两种药剂，达到完全物理隔离，现计划改造次氯酸钠加药池，安装2个玻璃钢复合罐及完善相关配套设施。</w:t>
      </w:r>
      <w:r>
        <w:rPr>
          <w:rFonts w:hint="eastAsia" w:ascii="仿宋" w:hAnsi="仿宋" w:eastAsia="仿宋" w:cs="仿宋"/>
          <w:color w:val="auto"/>
          <w:kern w:val="2"/>
          <w:sz w:val="28"/>
          <w:szCs w:val="28"/>
          <w:highlight w:val="none"/>
          <w:lang w:val="en-US" w:eastAsia="zh-CN"/>
        </w:rPr>
        <w:t>本项目主要实施内容为（详见图纸）：</w:t>
      </w:r>
    </w:p>
    <w:p>
      <w:pPr>
        <w:pStyle w:val="22"/>
        <w:numPr>
          <w:ilvl w:val="-1"/>
          <w:numId w:val="0"/>
        </w:numPr>
        <w:rPr>
          <w:rFonts w:hint="eastAsia" w:ascii="仿宋_GB2312" w:hAnsi="仿宋_GB2312" w:eastAsia="仿宋_GB2312" w:cs="仿宋_GB2312"/>
          <w:b/>
          <w:color w:val="auto"/>
          <w:sz w:val="28"/>
          <w:szCs w:val="28"/>
          <w:highlight w:val="none"/>
        </w:rPr>
      </w:pPr>
      <w:r>
        <w:rPr>
          <w:rFonts w:hint="eastAsia" w:ascii="仿宋" w:hAnsi="仿宋" w:eastAsia="等线" w:cs="仿宋"/>
          <w:color w:val="auto"/>
          <w:kern w:val="2"/>
          <w:sz w:val="28"/>
          <w:szCs w:val="28"/>
          <w:highlight w:val="none"/>
          <w:lang w:val="en-US" w:eastAsia="zh-CN"/>
        </w:rPr>
        <w:drawing>
          <wp:inline distT="0" distB="0" distL="114300" distR="114300">
            <wp:extent cx="5610860" cy="2719705"/>
            <wp:effectExtent l="0" t="0" r="8890" b="4445"/>
            <wp:docPr id="6" name="图片 6" descr="171231576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2315765323"/>
                    <pic:cNvPicPr>
                      <a:picLocks noChangeAspect="1"/>
                    </pic:cNvPicPr>
                  </pic:nvPicPr>
                  <pic:blipFill>
                    <a:blip r:embed="rId10"/>
                    <a:stretch>
                      <a:fillRect/>
                    </a:stretch>
                  </pic:blipFill>
                  <pic:spPr>
                    <a:xfrm>
                      <a:off x="0" y="0"/>
                      <a:ext cx="5610860" cy="2719705"/>
                    </a:xfrm>
                    <a:prstGeom prst="rect">
                      <a:avLst/>
                    </a:prstGeom>
                  </pic:spPr>
                </pic:pic>
              </a:graphicData>
            </a:graphic>
          </wp:inline>
        </w:drawing>
      </w:r>
      <w:r>
        <w:rPr>
          <w:rFonts w:hint="eastAsia" w:ascii="仿宋" w:hAnsi="仿宋" w:eastAsia="等线" w:cs="仿宋"/>
          <w:color w:val="auto"/>
          <w:kern w:val="2"/>
          <w:sz w:val="28"/>
          <w:szCs w:val="28"/>
          <w:highlight w:val="none"/>
          <w:lang w:val="en-US" w:eastAsia="zh-CN"/>
        </w:rPr>
        <w:drawing>
          <wp:inline distT="0" distB="0" distL="114300" distR="114300">
            <wp:extent cx="5610860" cy="2847975"/>
            <wp:effectExtent l="0" t="0" r="8890" b="9525"/>
            <wp:docPr id="7" name="图片 7" descr="171231578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2315782886"/>
                    <pic:cNvPicPr>
                      <a:picLocks noChangeAspect="1"/>
                    </pic:cNvPicPr>
                  </pic:nvPicPr>
                  <pic:blipFill>
                    <a:blip r:embed="rId11"/>
                    <a:stretch>
                      <a:fillRect/>
                    </a:stretch>
                  </pic:blipFill>
                  <pic:spPr>
                    <a:xfrm>
                      <a:off x="0" y="0"/>
                      <a:ext cx="5610860" cy="2847975"/>
                    </a:xfrm>
                    <a:prstGeom prst="rect">
                      <a:avLst/>
                    </a:prstGeom>
                  </pic:spPr>
                </pic:pic>
              </a:graphicData>
            </a:graphic>
          </wp:inline>
        </w:drawing>
      </w:r>
    </w:p>
    <w:p>
      <w:pPr>
        <w:adjustRightInd w:val="0"/>
        <w:snapToGrid w:val="0"/>
        <w:spacing w:line="360" w:lineRule="auto"/>
        <w:jc w:val="left"/>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lang w:eastAsia="zh-CN"/>
        </w:rPr>
        <w:drawing>
          <wp:inline distT="0" distB="0" distL="114300" distR="114300">
            <wp:extent cx="5610860" cy="2552065"/>
            <wp:effectExtent l="0" t="0" r="8890" b="635"/>
            <wp:docPr id="8" name="图片 8" descr="171231580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2315809474"/>
                    <pic:cNvPicPr>
                      <a:picLocks noChangeAspect="1"/>
                    </pic:cNvPicPr>
                  </pic:nvPicPr>
                  <pic:blipFill>
                    <a:blip r:embed="rId12"/>
                    <a:stretch>
                      <a:fillRect/>
                    </a:stretch>
                  </pic:blipFill>
                  <pic:spPr>
                    <a:xfrm>
                      <a:off x="0" y="0"/>
                      <a:ext cx="5610860" cy="255206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593975"/>
            <wp:effectExtent l="0" t="0" r="8890" b="15875"/>
            <wp:docPr id="9" name="图片 9" descr="17123158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2315834093"/>
                    <pic:cNvPicPr>
                      <a:picLocks noChangeAspect="1"/>
                    </pic:cNvPicPr>
                  </pic:nvPicPr>
                  <pic:blipFill>
                    <a:blip r:embed="rId13"/>
                    <a:stretch>
                      <a:fillRect/>
                    </a:stretch>
                  </pic:blipFill>
                  <pic:spPr>
                    <a:xfrm>
                      <a:off x="0" y="0"/>
                      <a:ext cx="5610860" cy="2593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847975"/>
            <wp:effectExtent l="0" t="0" r="8890" b="9525"/>
            <wp:docPr id="10" name="图片 10" descr="171231584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2315846604"/>
                    <pic:cNvPicPr>
                      <a:picLocks noChangeAspect="1"/>
                    </pic:cNvPicPr>
                  </pic:nvPicPr>
                  <pic:blipFill>
                    <a:blip r:embed="rId14"/>
                    <a:stretch>
                      <a:fillRect/>
                    </a:stretch>
                  </pic:blipFill>
                  <pic:spPr>
                    <a:xfrm>
                      <a:off x="0" y="0"/>
                      <a:ext cx="5610860" cy="2847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31770"/>
            <wp:effectExtent l="0" t="0" r="8890" b="11430"/>
            <wp:docPr id="12" name="图片 12" descr="171231587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2315872130"/>
                    <pic:cNvPicPr>
                      <a:picLocks noChangeAspect="1"/>
                    </pic:cNvPicPr>
                  </pic:nvPicPr>
                  <pic:blipFill>
                    <a:blip r:embed="rId15"/>
                    <a:stretch>
                      <a:fillRect/>
                    </a:stretch>
                  </pic:blipFill>
                  <pic:spPr>
                    <a:xfrm>
                      <a:off x="0" y="0"/>
                      <a:ext cx="5610860" cy="273177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20975"/>
            <wp:effectExtent l="0" t="0" r="8890" b="3175"/>
            <wp:docPr id="11" name="图片 11" descr="171231585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2315859260"/>
                    <pic:cNvPicPr>
                      <a:picLocks noChangeAspect="1"/>
                    </pic:cNvPicPr>
                  </pic:nvPicPr>
                  <pic:blipFill>
                    <a:blip r:embed="rId16"/>
                    <a:stretch>
                      <a:fillRect/>
                    </a:stretch>
                  </pic:blipFill>
                  <pic:spPr>
                    <a:xfrm>
                      <a:off x="0" y="0"/>
                      <a:ext cx="5610860" cy="2720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15565"/>
            <wp:effectExtent l="0" t="0" r="8890" b="13335"/>
            <wp:docPr id="13" name="图片 13" descr="171231588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2315883533"/>
                    <pic:cNvPicPr>
                      <a:picLocks noChangeAspect="1"/>
                    </pic:cNvPicPr>
                  </pic:nvPicPr>
                  <pic:blipFill>
                    <a:blip r:embed="rId17"/>
                    <a:stretch>
                      <a:fillRect/>
                    </a:stretch>
                  </pic:blipFill>
                  <pic:spPr>
                    <a:xfrm>
                      <a:off x="0" y="0"/>
                      <a:ext cx="5610860" cy="261556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79700"/>
            <wp:effectExtent l="0" t="0" r="8890" b="6350"/>
            <wp:docPr id="14" name="图片 14" descr="171231589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2315897615"/>
                    <pic:cNvPicPr>
                      <a:picLocks noChangeAspect="1"/>
                    </pic:cNvPicPr>
                  </pic:nvPicPr>
                  <pic:blipFill>
                    <a:blip r:embed="rId18"/>
                    <a:stretch>
                      <a:fillRect/>
                    </a:stretch>
                  </pic:blipFill>
                  <pic:spPr>
                    <a:xfrm>
                      <a:off x="0" y="0"/>
                      <a:ext cx="5610860" cy="267970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69540"/>
            <wp:effectExtent l="0" t="0" r="8890" b="16510"/>
            <wp:docPr id="20" name="图片 20" descr="171231590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2315908362"/>
                    <pic:cNvPicPr>
                      <a:picLocks noChangeAspect="1"/>
                    </pic:cNvPicPr>
                  </pic:nvPicPr>
                  <pic:blipFill>
                    <a:blip r:embed="rId19"/>
                    <a:stretch>
                      <a:fillRect/>
                    </a:stretch>
                  </pic:blipFill>
                  <pic:spPr>
                    <a:xfrm>
                      <a:off x="0" y="0"/>
                      <a:ext cx="5610860" cy="266954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20975"/>
            <wp:effectExtent l="0" t="0" r="8890" b="3175"/>
            <wp:docPr id="21" name="图片 21" descr="171231591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2315919049"/>
                    <pic:cNvPicPr>
                      <a:picLocks noChangeAspect="1"/>
                    </pic:cNvPicPr>
                  </pic:nvPicPr>
                  <pic:blipFill>
                    <a:blip r:embed="rId20"/>
                    <a:stretch>
                      <a:fillRect/>
                    </a:stretch>
                  </pic:blipFill>
                  <pic:spPr>
                    <a:xfrm>
                      <a:off x="0" y="0"/>
                      <a:ext cx="5610860" cy="2720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47950"/>
            <wp:effectExtent l="0" t="0" r="8890" b="0"/>
            <wp:docPr id="22" name="图片 22" descr="17123159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2315930749"/>
                    <pic:cNvPicPr>
                      <a:picLocks noChangeAspect="1"/>
                    </pic:cNvPicPr>
                  </pic:nvPicPr>
                  <pic:blipFill>
                    <a:blip r:embed="rId21"/>
                    <a:stretch>
                      <a:fillRect/>
                    </a:stretch>
                  </pic:blipFill>
                  <pic:spPr>
                    <a:xfrm>
                      <a:off x="0" y="0"/>
                      <a:ext cx="5610860" cy="264795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020"/>
            <wp:effectExtent l="0" t="0" r="8890" b="5080"/>
            <wp:docPr id="23" name="图片 23" descr="171231594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2315941572"/>
                    <pic:cNvPicPr>
                      <a:picLocks noChangeAspect="1"/>
                    </pic:cNvPicPr>
                  </pic:nvPicPr>
                  <pic:blipFill>
                    <a:blip r:embed="rId22"/>
                    <a:stretch>
                      <a:fillRect/>
                    </a:stretch>
                  </pic:blipFill>
                  <pic:spPr>
                    <a:xfrm>
                      <a:off x="0" y="0"/>
                      <a:ext cx="5610860" cy="2700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14930"/>
            <wp:effectExtent l="0" t="0" r="8890" b="13970"/>
            <wp:docPr id="24" name="图片 24" descr="171231595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2315955688"/>
                    <pic:cNvPicPr>
                      <a:picLocks noChangeAspect="1"/>
                    </pic:cNvPicPr>
                  </pic:nvPicPr>
                  <pic:blipFill>
                    <a:blip r:embed="rId23"/>
                    <a:stretch>
                      <a:fillRect/>
                    </a:stretch>
                  </pic:blipFill>
                  <pic:spPr>
                    <a:xfrm>
                      <a:off x="0" y="0"/>
                      <a:ext cx="5610860" cy="26149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655"/>
            <wp:effectExtent l="0" t="0" r="8890" b="4445"/>
            <wp:docPr id="25" name="图片 25" descr="171231597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2315970235"/>
                    <pic:cNvPicPr>
                      <a:picLocks noChangeAspect="1"/>
                    </pic:cNvPicPr>
                  </pic:nvPicPr>
                  <pic:blipFill>
                    <a:blip r:embed="rId24"/>
                    <a:stretch>
                      <a:fillRect/>
                    </a:stretch>
                  </pic:blipFill>
                  <pic:spPr>
                    <a:xfrm>
                      <a:off x="0" y="0"/>
                      <a:ext cx="5610860" cy="270065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58110"/>
            <wp:effectExtent l="0" t="0" r="8890" b="8890"/>
            <wp:docPr id="34" name="图片 34" descr="171231598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2315982555"/>
                    <pic:cNvPicPr>
                      <a:picLocks noChangeAspect="1"/>
                    </pic:cNvPicPr>
                  </pic:nvPicPr>
                  <pic:blipFill>
                    <a:blip r:embed="rId25"/>
                    <a:stretch>
                      <a:fillRect/>
                    </a:stretch>
                  </pic:blipFill>
                  <pic:spPr>
                    <a:xfrm>
                      <a:off x="0" y="0"/>
                      <a:ext cx="5610860" cy="265811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58110"/>
            <wp:effectExtent l="0" t="0" r="8890" b="8890"/>
            <wp:docPr id="36" name="图片 36" descr="17123159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12315994156"/>
                    <pic:cNvPicPr>
                      <a:picLocks noChangeAspect="1"/>
                    </pic:cNvPicPr>
                  </pic:nvPicPr>
                  <pic:blipFill>
                    <a:blip r:embed="rId26"/>
                    <a:stretch>
                      <a:fillRect/>
                    </a:stretch>
                  </pic:blipFill>
                  <pic:spPr>
                    <a:xfrm>
                      <a:off x="0" y="0"/>
                      <a:ext cx="5610860" cy="265811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78430"/>
            <wp:effectExtent l="0" t="0" r="8890" b="7620"/>
            <wp:docPr id="37" name="图片 37" descr="171231600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12316003209"/>
                    <pic:cNvPicPr>
                      <a:picLocks noChangeAspect="1"/>
                    </pic:cNvPicPr>
                  </pic:nvPicPr>
                  <pic:blipFill>
                    <a:blip r:embed="rId27"/>
                    <a:stretch>
                      <a:fillRect/>
                    </a:stretch>
                  </pic:blipFill>
                  <pic:spPr>
                    <a:xfrm>
                      <a:off x="0" y="0"/>
                      <a:ext cx="5610860" cy="26784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78430"/>
            <wp:effectExtent l="0" t="0" r="8890" b="7620"/>
            <wp:docPr id="38" name="图片 38" descr="171231601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12316013909"/>
                    <pic:cNvPicPr>
                      <a:picLocks noChangeAspect="1"/>
                    </pic:cNvPicPr>
                  </pic:nvPicPr>
                  <pic:blipFill>
                    <a:blip r:embed="rId28"/>
                    <a:stretch>
                      <a:fillRect/>
                    </a:stretch>
                  </pic:blipFill>
                  <pic:spPr>
                    <a:xfrm>
                      <a:off x="0" y="0"/>
                      <a:ext cx="5610860" cy="26784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67635"/>
            <wp:effectExtent l="0" t="0" r="8890" b="18415"/>
            <wp:docPr id="39" name="图片 39" descr="171231602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12316027227"/>
                    <pic:cNvPicPr>
                      <a:picLocks noChangeAspect="1"/>
                    </pic:cNvPicPr>
                  </pic:nvPicPr>
                  <pic:blipFill>
                    <a:blip r:embed="rId29"/>
                    <a:stretch>
                      <a:fillRect/>
                    </a:stretch>
                  </pic:blipFill>
                  <pic:spPr>
                    <a:xfrm>
                      <a:off x="0" y="0"/>
                      <a:ext cx="5610860" cy="266763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89860"/>
            <wp:effectExtent l="0" t="0" r="8890" b="15240"/>
            <wp:docPr id="40" name="图片 40" descr="171231604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2316040241"/>
                    <pic:cNvPicPr>
                      <a:picLocks noChangeAspect="1"/>
                    </pic:cNvPicPr>
                  </pic:nvPicPr>
                  <pic:blipFill>
                    <a:blip r:embed="rId30"/>
                    <a:stretch>
                      <a:fillRect/>
                    </a:stretch>
                  </pic:blipFill>
                  <pic:spPr>
                    <a:xfrm>
                      <a:off x="0" y="0"/>
                      <a:ext cx="5610860" cy="268986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89860"/>
            <wp:effectExtent l="0" t="0" r="8890" b="15240"/>
            <wp:docPr id="41" name="图片 41" descr="171231604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12316048890"/>
                    <pic:cNvPicPr>
                      <a:picLocks noChangeAspect="1"/>
                    </pic:cNvPicPr>
                  </pic:nvPicPr>
                  <pic:blipFill>
                    <a:blip r:embed="rId31"/>
                    <a:stretch>
                      <a:fillRect/>
                    </a:stretch>
                  </pic:blipFill>
                  <pic:spPr>
                    <a:xfrm>
                      <a:off x="0" y="0"/>
                      <a:ext cx="5610860" cy="268986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47315"/>
            <wp:effectExtent l="0" t="0" r="8890" b="635"/>
            <wp:docPr id="42" name="图片 42" descr="171231605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12316058676"/>
                    <pic:cNvPicPr>
                      <a:picLocks noChangeAspect="1"/>
                    </pic:cNvPicPr>
                  </pic:nvPicPr>
                  <pic:blipFill>
                    <a:blip r:embed="rId32"/>
                    <a:stretch>
                      <a:fillRect/>
                    </a:stretch>
                  </pic:blipFill>
                  <pic:spPr>
                    <a:xfrm>
                      <a:off x="0" y="0"/>
                      <a:ext cx="5610860" cy="264731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26360"/>
            <wp:effectExtent l="0" t="0" r="8890" b="2540"/>
            <wp:docPr id="43" name="图片 43" descr="171231606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12316067706"/>
                    <pic:cNvPicPr>
                      <a:picLocks noChangeAspect="1"/>
                    </pic:cNvPicPr>
                  </pic:nvPicPr>
                  <pic:blipFill>
                    <a:blip r:embed="rId33"/>
                    <a:stretch>
                      <a:fillRect/>
                    </a:stretch>
                  </pic:blipFill>
                  <pic:spPr>
                    <a:xfrm>
                      <a:off x="0" y="0"/>
                      <a:ext cx="5610860" cy="262636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020"/>
            <wp:effectExtent l="0" t="0" r="8890" b="5080"/>
            <wp:docPr id="44" name="图片 44" descr="171231607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12316076639"/>
                    <pic:cNvPicPr>
                      <a:picLocks noChangeAspect="1"/>
                    </pic:cNvPicPr>
                  </pic:nvPicPr>
                  <pic:blipFill>
                    <a:blip r:embed="rId34"/>
                    <a:stretch>
                      <a:fillRect/>
                    </a:stretch>
                  </pic:blipFill>
                  <pic:spPr>
                    <a:xfrm>
                      <a:off x="0" y="0"/>
                      <a:ext cx="5610860" cy="2700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020"/>
            <wp:effectExtent l="0" t="0" r="8890" b="5080"/>
            <wp:docPr id="45" name="图片 45" descr="171231608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2316086494"/>
                    <pic:cNvPicPr>
                      <a:picLocks noChangeAspect="1"/>
                    </pic:cNvPicPr>
                  </pic:nvPicPr>
                  <pic:blipFill>
                    <a:blip r:embed="rId35"/>
                    <a:stretch>
                      <a:fillRect/>
                    </a:stretch>
                  </pic:blipFill>
                  <pic:spPr>
                    <a:xfrm>
                      <a:off x="0" y="0"/>
                      <a:ext cx="5610860" cy="2700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573020"/>
            <wp:effectExtent l="0" t="0" r="8890" b="17780"/>
            <wp:docPr id="46" name="图片 46" descr="171231609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2316094841"/>
                    <pic:cNvPicPr>
                      <a:picLocks noChangeAspect="1"/>
                    </pic:cNvPicPr>
                  </pic:nvPicPr>
                  <pic:blipFill>
                    <a:blip r:embed="rId36"/>
                    <a:stretch>
                      <a:fillRect/>
                    </a:stretch>
                  </pic:blipFill>
                  <pic:spPr>
                    <a:xfrm>
                      <a:off x="0" y="0"/>
                      <a:ext cx="5610860" cy="2573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10815"/>
            <wp:effectExtent l="0" t="0" r="8890" b="13335"/>
            <wp:docPr id="47" name="图片 47" descr="17123161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12316104038"/>
                    <pic:cNvPicPr>
                      <a:picLocks noChangeAspect="1"/>
                    </pic:cNvPicPr>
                  </pic:nvPicPr>
                  <pic:blipFill>
                    <a:blip r:embed="rId37"/>
                    <a:stretch>
                      <a:fillRect/>
                    </a:stretch>
                  </pic:blipFill>
                  <pic:spPr>
                    <a:xfrm>
                      <a:off x="0" y="0"/>
                      <a:ext cx="5610860" cy="271081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63520"/>
            <wp:effectExtent l="0" t="0" r="8890" b="17780"/>
            <wp:docPr id="48" name="图片 48" descr="17123161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12316113653"/>
                    <pic:cNvPicPr>
                      <a:picLocks noChangeAspect="1"/>
                    </pic:cNvPicPr>
                  </pic:nvPicPr>
                  <pic:blipFill>
                    <a:blip r:embed="rId38"/>
                    <a:stretch>
                      <a:fillRect/>
                    </a:stretch>
                  </pic:blipFill>
                  <pic:spPr>
                    <a:xfrm>
                      <a:off x="0" y="0"/>
                      <a:ext cx="5610860" cy="27635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595245"/>
            <wp:effectExtent l="0" t="0" r="8890" b="14605"/>
            <wp:docPr id="49" name="图片 49" descr="171231612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2316123997"/>
                    <pic:cNvPicPr>
                      <a:picLocks noChangeAspect="1"/>
                    </pic:cNvPicPr>
                  </pic:nvPicPr>
                  <pic:blipFill>
                    <a:blip r:embed="rId39"/>
                    <a:stretch>
                      <a:fillRect/>
                    </a:stretch>
                  </pic:blipFill>
                  <pic:spPr>
                    <a:xfrm>
                      <a:off x="0" y="0"/>
                      <a:ext cx="5610860" cy="259524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41930"/>
            <wp:effectExtent l="0" t="0" r="8890" b="1270"/>
            <wp:docPr id="50" name="图片 50" descr="171231613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12316134812"/>
                    <pic:cNvPicPr>
                      <a:picLocks noChangeAspect="1"/>
                    </pic:cNvPicPr>
                  </pic:nvPicPr>
                  <pic:blipFill>
                    <a:blip r:embed="rId40"/>
                    <a:stretch>
                      <a:fillRect/>
                    </a:stretch>
                  </pic:blipFill>
                  <pic:spPr>
                    <a:xfrm>
                      <a:off x="0" y="0"/>
                      <a:ext cx="5610860" cy="27419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68270"/>
            <wp:effectExtent l="0" t="0" r="8890" b="17780"/>
            <wp:docPr id="51" name="图片 51" descr="17123161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12316144733"/>
                    <pic:cNvPicPr>
                      <a:picLocks noChangeAspect="1"/>
                    </pic:cNvPicPr>
                  </pic:nvPicPr>
                  <pic:blipFill>
                    <a:blip r:embed="rId41"/>
                    <a:stretch>
                      <a:fillRect/>
                    </a:stretch>
                  </pic:blipFill>
                  <pic:spPr>
                    <a:xfrm>
                      <a:off x="0" y="0"/>
                      <a:ext cx="5610860" cy="2668270"/>
                    </a:xfrm>
                    <a:prstGeom prst="rect">
                      <a:avLst/>
                    </a:prstGeom>
                  </pic:spPr>
                </pic:pic>
              </a:graphicData>
            </a:graphic>
          </wp:inline>
        </w:drawing>
      </w:r>
    </w:p>
    <w:p>
      <w:pPr>
        <w:adjustRightInd w:val="0"/>
        <w:snapToGrid w:val="0"/>
        <w:spacing w:line="360" w:lineRule="auto"/>
        <w:jc w:val="left"/>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1.采购需求：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default"/>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根据项目内容、需求及主要技术参数，出具次氯酸钠玻璃钢复合罐的安装尺寸外形图（有资质供货商盖章），标准不低于主要技术参数。图纸应在作为响应文件附件提交。</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（6）合同签订后对玻璃钢复合罐进行二次深化设计。</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（7）主要技术参数：</w:t>
      </w:r>
    </w:p>
    <w:p>
      <w:pPr>
        <w:pStyle w:val="28"/>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玻璃钢储罐技术说明：</w:t>
      </w:r>
    </w:p>
    <w:p>
      <w:pPr>
        <w:pStyle w:val="22"/>
        <w:numPr>
          <w:ilvl w:val="0"/>
          <w:numId w:val="4"/>
        </w:numP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产品质保及验收均执行JC/T587-2012;产品的安装及使用按照《玻璃钢贮罐的存放、安装及使用指南》进行；</w:t>
      </w:r>
    </w:p>
    <w:p>
      <w:pPr>
        <w:pStyle w:val="22"/>
        <w:numPr>
          <w:ilvl w:val="0"/>
          <w:numId w:val="4"/>
        </w:numP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人孔伸出长度150mm，其余管口伸出长度100mm；</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主视图标识管口及其他附件的高度，俯视图表示管口及其他附件的方位；</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设备在物料进出过程中要注意与大气连通，避免负压产生；</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存储物质：浓度10%次氯酸钠，压力：常压，温度：常温，容量：有效存储容积20m³，材质：PVC/FRP（厚度8mm+8mm）;</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尺寸(参考）：DN2600*3800，立式罐体；</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罐体内衬防腐蚀层采用双覆膜针对性设计，玻璃缠绕纱采用“巨石”2400#无碱玻纤；</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制作工艺：采用整体缠绕制作，罐体壁厚呈梯形由上至下逐渐增厚。罐体外涂抗紫外线吸收剂。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lang w:val="en-US" w:eastAsia="zh-CN"/>
        </w:rPr>
        <w:t>2.项目其它要求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1.主要材料使用要求</w:t>
      </w:r>
    </w:p>
    <w:p>
      <w:pPr>
        <w:pStyle w:val="22"/>
        <w:rPr>
          <w:rFonts w:hint="default"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rPr>
        <w:t>采购货物必须是全新、质量合格的产品。</w:t>
      </w:r>
      <w:r>
        <w:rPr>
          <w:rFonts w:hint="eastAsia" w:ascii="仿宋_GB2312" w:eastAsia="仿宋_GB2312" w:cs="宋体"/>
          <w:bCs/>
          <w:color w:val="auto"/>
          <w:kern w:val="0"/>
          <w:sz w:val="28"/>
          <w:szCs w:val="28"/>
          <w:highlight w:val="none"/>
          <w:lang w:val="en-US" w:eastAsia="zh-CN"/>
        </w:rPr>
        <w:t>仪表等设备要与厂区现用设备相匹配且能上传至中控系统。</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2.项目特殊要求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（1）为方便厂区设备管理，本项目所有主材需与目前厂区现有的设备设施匹配。</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w:t>
      </w:r>
      <w:r>
        <w:rPr>
          <w:rFonts w:hint="eastAsia" w:ascii="仿宋_GB2312" w:eastAsia="仿宋_GB2312" w:cs="宋体"/>
          <w:bCs/>
          <w:color w:val="auto"/>
          <w:kern w:val="0"/>
          <w:sz w:val="28"/>
          <w:szCs w:val="28"/>
          <w:highlight w:val="none"/>
          <w:lang w:val="en-US" w:eastAsia="zh-CN"/>
        </w:rPr>
        <w:t>2</w:t>
      </w:r>
      <w:r>
        <w:rPr>
          <w:rFonts w:hint="eastAsia" w:ascii="仿宋_GB2312" w:hAnsi="宋体" w:eastAsia="仿宋_GB2312" w:cs="宋体"/>
          <w:bCs/>
          <w:color w:val="auto"/>
          <w:kern w:val="0"/>
          <w:sz w:val="28"/>
          <w:szCs w:val="28"/>
          <w:highlight w:val="none"/>
        </w:rPr>
        <w:t>）施工期间遇到任何问题，承包单位应积极、及时反映反馈至承办单位。双方协商解决。承包单位禁止盲目施工，禁止擅自触碰甚至改动厂区内设备设施。一经发现，承包单位必须按原样恢复，产生任何费用全部由承包单位承担，若因此影响对厂区正常运营，本公司保留追究承包单位的赔偿及法律责任。</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3.技术资料要求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本项目开展期间，承包方必须整理好本项目的所有的技术资料，不限于项目施工图、竣工图、设备技术说明书等。项目竣工后，承包方将所有关于本项目的技术资料整理好并交至项目承办单位。</w:t>
      </w:r>
    </w:p>
    <w:p>
      <w:pPr>
        <w:pStyle w:val="9"/>
        <w:adjustRightInd w:val="0"/>
        <w:snapToGrid w:val="0"/>
        <w:spacing w:line="520" w:lineRule="exact"/>
        <w:ind w:firstLine="0" w:firstLineChars="0"/>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1"/>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0"/>
        <w:rPr>
          <w:rFonts w:hint="eastAsia"/>
          <w:color w:val="auto"/>
          <w:szCs w:val="44"/>
          <w:highlight w:val="none"/>
        </w:rPr>
      </w:pPr>
    </w:p>
    <w:p>
      <w:pPr>
        <w:pStyle w:val="4"/>
        <w:rPr>
          <w:rFonts w:hint="eastAsia"/>
          <w:color w:val="auto"/>
          <w:szCs w:val="44"/>
          <w:highlight w:val="none"/>
        </w:rPr>
      </w:pPr>
    </w:p>
    <w:p>
      <w:pPr>
        <w:rPr>
          <w:rFonts w:hint="eastAsia"/>
          <w:color w:val="auto"/>
          <w:szCs w:val="44"/>
          <w:highlight w:val="none"/>
        </w:rPr>
      </w:pPr>
    </w:p>
    <w:p>
      <w:pPr>
        <w:pStyle w:val="22"/>
        <w:rPr>
          <w:rFonts w:hint="eastAsia"/>
          <w:color w:val="auto"/>
          <w:highlight w:val="none"/>
        </w:rPr>
      </w:pPr>
    </w:p>
    <w:bookmarkEnd w:id="60"/>
    <w:p>
      <w:pPr>
        <w:pStyle w:val="3"/>
        <w:jc w:val="both"/>
        <w:rPr>
          <w:rFonts w:hint="eastAsia"/>
          <w:color w:val="auto"/>
          <w:highlight w:val="none"/>
        </w:rPr>
      </w:pPr>
      <w:bookmarkStart w:id="62" w:name="_Toc18538"/>
      <w:bookmarkStart w:id="63" w:name="_Toc1284"/>
      <w:bookmarkStart w:id="64" w:name="_Toc12135"/>
      <w:bookmarkStart w:id="65" w:name="_Toc29835"/>
      <w:bookmarkStart w:id="66" w:name="_Toc1496"/>
      <w:bookmarkStart w:id="67" w:name="_Toc23330"/>
      <w:bookmarkStart w:id="68" w:name="_Toc4680"/>
      <w:bookmarkStart w:id="69" w:name="_Toc23353"/>
      <w:bookmarkStart w:id="70" w:name="_Toc25925"/>
      <w:bookmarkStart w:id="71" w:name="_Toc537"/>
      <w:bookmarkStart w:id="72" w:name="_Toc15570"/>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2352675</wp:posOffset>
                </wp:positionH>
                <wp:positionV relativeFrom="paragraph">
                  <wp:posOffset>506095</wp:posOffset>
                </wp:positionV>
                <wp:extent cx="958850" cy="0"/>
                <wp:effectExtent l="0" t="0" r="0" b="0"/>
                <wp:wrapNone/>
                <wp:docPr id="2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5.25pt;margin-top:39.85pt;height:0pt;width:75.5pt;z-index:251664384;mso-width-relative:page;mso-height-relative:page;" filled="f" stroked="t" coordsize="21600,21600" o:gfxdata="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PY901gAAAAkBAAAPAAAAAAAAAAEAIAAAACIAAABkcnMvZG93bnJldi54bWxQSwECFAAU&#10;AAAACACHTuJAjpfp5vMBAADj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60960</wp:posOffset>
                </wp:positionV>
                <wp:extent cx="958850" cy="0"/>
                <wp:effectExtent l="0" t="0" r="0" b="0"/>
                <wp:wrapNone/>
                <wp:docPr id="1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85pt;margin-top:4.8pt;height:0pt;width:75.5pt;z-index:251663360;mso-width-relative:page;mso-height-relative:page;" filled="f" stroked="t" coordsize="21600,21600" o:gfxdata="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wC3OtUAAAAHAQAADwAAAAAAAAABACAAAAAiAAAAZHJzL2Rvd25yZXYueG1sUEsBAhQAFAAA&#10;AAgAh07iQDK09i/yAQAA4wMAAA4AAAAAAAAAAQAgAAAAJA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7"/>
        <w:rPr>
          <w:color w:val="auto"/>
          <w:highlight w:val="none"/>
        </w:rPr>
      </w:pPr>
    </w:p>
    <w:p>
      <w:pPr>
        <w:pStyle w:val="3"/>
        <w:rPr>
          <w:color w:val="auto"/>
          <w:highlight w:val="none"/>
        </w:rPr>
      </w:pPr>
      <w:bookmarkStart w:id="73" w:name="_Toc19686"/>
      <w:bookmarkStart w:id="74" w:name="_Toc323"/>
      <w:bookmarkStart w:id="75" w:name="_Toc8183"/>
      <w:bookmarkStart w:id="76" w:name="_Toc87616386"/>
      <w:bookmarkStart w:id="77" w:name="_Toc13309"/>
      <w:bookmarkStart w:id="78" w:name="_Toc19088"/>
      <w:bookmarkStart w:id="79" w:name="_Toc1375"/>
      <w:bookmarkStart w:id="80" w:name="_Toc88209949"/>
      <w:bookmarkStart w:id="81" w:name="_Toc22797"/>
      <w:bookmarkStart w:id="82" w:name="_Toc12980"/>
      <w:bookmarkStart w:id="83" w:name="_Toc12968"/>
      <w:bookmarkStart w:id="84" w:name="_Toc12721"/>
      <w:bookmarkStart w:id="85" w:name="_Toc22501"/>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snapToGrid/>
        <w:spacing w:beforeLines="-2147483648" w:afterLines="-2147483648" w:line="240" w:lineRule="auto"/>
        <w:jc w:val="left"/>
        <w:rPr>
          <w:rFonts w:hint="eastAsia" w:ascii="方正小标宋简体" w:eastAsia="方正小标宋简体"/>
          <w:color w:val="auto"/>
          <w:sz w:val="28"/>
          <w:szCs w:val="28"/>
          <w:highlight w:val="none"/>
        </w:rPr>
      </w:pPr>
      <w:r>
        <w:rPr>
          <w:rFonts w:hint="eastAsia" w:ascii="方正小标宋简体" w:eastAsia="方正小标宋简体"/>
          <w:color w:val="auto"/>
          <w:sz w:val="28"/>
          <w:szCs w:val="28"/>
          <w:highlight w:val="none"/>
        </w:rPr>
        <w:br w:type="page"/>
      </w: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广州市净水有限公司大观分公司2024年次氯酸钠加药池改造项目（第二次）</w:t>
      </w:r>
    </w:p>
    <w:p>
      <w:pPr>
        <w:pStyle w:val="48"/>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项目编号：02122024000001</w:t>
      </w:r>
    </w:p>
    <w:p>
      <w:pPr>
        <w:pStyle w:val="22"/>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6"/>
        <w:rPr>
          <w:rFonts w:hint="eastAsia" w:ascii="宋体" w:hAnsi="宋体" w:cs="宋体"/>
          <w:b/>
          <w:color w:val="auto"/>
          <w:sz w:val="30"/>
          <w:highlight w:val="none"/>
        </w:rPr>
      </w:pPr>
    </w:p>
    <w:p>
      <w:pPr>
        <w:pStyle w:val="6"/>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hint="eastAsia" w:ascii="宋体" w:hAnsi="宋体" w:cs="宋体"/>
          <w:color w:val="auto"/>
          <w:sz w:val="24"/>
          <w:highlight w:val="non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广州市净水有限公司大观分公司2024年次氯酸钠加药池改造项目（第二次）</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s="宋体"/>
          <w:color w:val="auto"/>
          <w:sz w:val="24"/>
          <w:highlight w:val="none"/>
          <w:u w:val="single"/>
          <w:lang w:eastAsia="zh-CN"/>
        </w:rPr>
        <w:t>广州市净水有限公司大观分公司2024年次氯酸钠加药池改造项目（第二次）</w:t>
      </w:r>
    </w:p>
    <w:p>
      <w:pPr>
        <w:spacing w:line="500" w:lineRule="exact"/>
        <w:ind w:firstLine="480" w:firstLineChars="200"/>
        <w:outlineLvl w:val="1"/>
        <w:rPr>
          <w:rFonts w:hint="default" w:hAnsi="宋体" w:cs="宋体"/>
          <w:color w:val="auto"/>
          <w:sz w:val="24"/>
          <w:szCs w:val="20"/>
          <w:highlight w:val="none"/>
          <w:lang w:val="en-US" w:eastAsia="zh-CN"/>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大观分公司</w:t>
      </w:r>
      <w:r>
        <w:rPr>
          <w:rFonts w:hint="eastAsia" w:ascii="宋体" w:hAnsi="宋体" w:cs="宋体"/>
          <w:color w:val="auto"/>
          <w:sz w:val="24"/>
          <w:highlight w:val="none"/>
          <w:u w:val="single"/>
        </w:rPr>
        <w:t xml:space="preserve"> 。</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2.3项目承包范围：包括提供所有需要的材料、机械、人工、设施、完成合同约定的工作和服务。按照甲方审核同意的方案、图纸所包括的实施范围和内容进行施工并在质量保修期内承担项目质量保修责任。</w:t>
      </w: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spacing w:line="500" w:lineRule="exact"/>
        <w:ind w:firstLine="480" w:firstLineChars="2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2.4项目内容</w:t>
      </w:r>
      <w:r>
        <w:rPr>
          <w:rFonts w:hint="eastAsia" w:ascii="宋体" w:hAnsi="宋体" w:cs="宋体"/>
          <w:color w:val="auto"/>
          <w:sz w:val="24"/>
          <w:highlight w:val="none"/>
          <w:lang w:eastAsia="zh-CN"/>
        </w:rPr>
        <w:t>：由于次氯酸钠和硫酸铝存储池均为钢筋混泥土结构，混凝土长期受化学物质浸泡，可能出现渗漏。由于只有一墙之隔，当出现渗漏现象，两者物质融合产生化学作用。为提高安全性，充分隔离两种药剂，达到完全物理隔离，现计划改造次氯酸钠加药池，安装2个玻璃钢复合罐及完善相关配套设施。</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w:t>
      </w:r>
      <w:r>
        <w:rPr>
          <w:rFonts w:hint="eastAsia" w:ascii="宋体" w:hAnsi="宋体" w:cs="宋体"/>
          <w:color w:val="auto"/>
          <w:sz w:val="24"/>
          <w:highlight w:val="none"/>
          <w:lang w:val="en-US" w:eastAsia="zh-CN"/>
        </w:rPr>
        <w:t>按实结算</w:t>
      </w:r>
      <w:r>
        <w:rPr>
          <w:rFonts w:hint="eastAsia" w:ascii="宋体" w:hAnsi="宋体" w:cs="宋体"/>
          <w:color w:val="auto"/>
          <w:sz w:val="24"/>
          <w:highlight w:val="none"/>
        </w:rPr>
        <w:t>。（单价包干要求附工程量报价/工程预算书）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5"/>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宋体" w:hAnsi="宋体" w:cs="宋体"/>
          <w:b/>
          <w:bCs/>
          <w:color w:val="auto"/>
          <w:sz w:val="24"/>
          <w:highlight w:val="none"/>
        </w:rPr>
      </w:pP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hint="eastAsia"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w:t>
      </w:r>
      <w:r>
        <w:rPr>
          <w:rFonts w:hint="eastAsia" w:ascii="宋体" w:hAnsi="宋体" w:cs="宋体"/>
          <w:color w:val="auto"/>
          <w:sz w:val="24"/>
          <w:highlight w:val="none"/>
          <w:lang w:val="en-US" w:eastAsia="zh-CN"/>
        </w:rPr>
        <w:t>书面</w:t>
      </w:r>
      <w:r>
        <w:rPr>
          <w:rFonts w:hint="eastAsia" w:ascii="宋体" w:hAnsi="宋体" w:cs="宋体"/>
          <w:color w:val="auto"/>
          <w:sz w:val="24"/>
          <w:highlight w:val="none"/>
        </w:rPr>
        <w:t>通知为准。乙方不能按时开工，应当于开工报告/</w:t>
      </w:r>
      <w:r>
        <w:rPr>
          <w:rFonts w:hint="eastAsia" w:ascii="宋体" w:hAnsi="宋体" w:cs="宋体"/>
          <w:color w:val="auto"/>
          <w:sz w:val="24"/>
          <w:highlight w:val="none"/>
          <w:lang w:val="en-US" w:eastAsia="zh-CN"/>
        </w:rPr>
        <w:t>书面</w:t>
      </w:r>
      <w:r>
        <w:rPr>
          <w:rFonts w:hint="eastAsia" w:ascii="宋体" w:hAnsi="宋体" w:cs="宋体"/>
          <w:color w:val="auto"/>
          <w:sz w:val="24"/>
          <w:highlight w:val="none"/>
        </w:rPr>
        <w:t>通知载明的开工日期</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w:t>
      </w:r>
    </w:p>
    <w:p>
      <w:pPr>
        <w:widowControl/>
        <w:spacing w:line="500" w:lineRule="exact"/>
        <w:ind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35</w:t>
      </w:r>
      <w:r>
        <w:rPr>
          <w:rFonts w:hint="eastAsia" w:asciiTheme="minorEastAsia" w:hAnsiTheme="minorEastAsia" w:cstheme="minorEastAsia"/>
          <w:color w:val="auto"/>
          <w:sz w:val="24"/>
          <w:szCs w:val="24"/>
          <w:highlight w:val="none"/>
          <w:u w:val="single"/>
          <w:lang w:val="en-US" w:eastAsia="zh-CN"/>
        </w:rPr>
        <w:t>个自然日</w:t>
      </w:r>
      <w:r>
        <w:rPr>
          <w:rFonts w:hint="eastAsia" w:ascii="宋体" w:hAnsi="宋体" w:cs="宋体"/>
          <w:b/>
          <w:bCs/>
          <w:color w:val="auto"/>
          <w:sz w:val="24"/>
          <w:highlight w:val="none"/>
        </w:rPr>
        <w:t>。</w:t>
      </w:r>
    </w:p>
    <w:p>
      <w:pPr>
        <w:widowControl/>
        <w:numPr>
          <w:ilvl w:val="0"/>
          <w:numId w:val="6"/>
        </w:numPr>
        <w:spacing w:line="500" w:lineRule="exact"/>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设备及材料交货期为20个自然日，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cs="宋体" w:eastAsiaTheme="minorEastAsia"/>
          <w:color w:val="auto"/>
          <w:sz w:val="24"/>
          <w:szCs w:val="22"/>
          <w:highlight w:val="none"/>
          <w:u w:val="none"/>
          <w:vertAlign w:val="baseline"/>
          <w:lang w:val="en-US" w:eastAsia="zh-CN" w:bidi="ar"/>
        </w:rPr>
        <w:t>合同签订</w:t>
      </w:r>
      <w:r>
        <w:rPr>
          <w:rFonts w:hint="eastAsia" w:ascii="宋体" w:hAnsi="宋体" w:cs="宋体"/>
          <w:color w:val="auto"/>
          <w:sz w:val="24"/>
          <w:szCs w:val="22"/>
          <w:highlight w:val="none"/>
          <w:u w:val="none"/>
          <w:vertAlign w:val="baseline"/>
          <w:lang w:val="en-US" w:eastAsia="zh-CN" w:bidi="ar"/>
        </w:rPr>
        <w:t>生效</w:t>
      </w:r>
      <w:r>
        <w:rPr>
          <w:rFonts w:hint="eastAsia" w:ascii="宋体" w:hAnsi="宋体" w:cs="宋体" w:eastAsiaTheme="minorEastAsia"/>
          <w:color w:val="auto"/>
          <w:sz w:val="24"/>
          <w:szCs w:val="22"/>
          <w:highlight w:val="none"/>
          <w:u w:val="none"/>
          <w:vertAlign w:val="baseline"/>
          <w:lang w:val="en-US" w:eastAsia="zh-CN" w:bidi="ar"/>
        </w:rPr>
        <w:t>后</w:t>
      </w:r>
      <w:r>
        <w:rPr>
          <w:rFonts w:hint="eastAsia" w:ascii="宋体" w:hAnsi="宋体" w:cs="宋体"/>
          <w:color w:val="auto"/>
          <w:sz w:val="24"/>
          <w:szCs w:val="22"/>
          <w:highlight w:val="none"/>
          <w:u w:val="none"/>
          <w:vertAlign w:val="baseline"/>
          <w:lang w:val="en-US" w:eastAsia="zh-CN" w:bidi="ar"/>
        </w:rPr>
        <w:t>20</w:t>
      </w:r>
      <w:r>
        <w:rPr>
          <w:rFonts w:hint="eastAsia" w:ascii="宋体" w:hAnsi="宋体" w:cs="宋体" w:eastAsiaTheme="minorEastAsia"/>
          <w:color w:val="auto"/>
          <w:sz w:val="24"/>
          <w:szCs w:val="22"/>
          <w:highlight w:val="none"/>
          <w:u w:val="none"/>
          <w:vertAlign w:val="baseline"/>
          <w:lang w:val="en-US" w:eastAsia="zh-CN" w:bidi="ar"/>
        </w:rPr>
        <w:t>个自然日内运送</w:t>
      </w:r>
      <w:r>
        <w:rPr>
          <w:rFonts w:hint="eastAsia" w:ascii="宋体" w:hAnsi="宋体" w:cs="宋体"/>
          <w:color w:val="auto"/>
          <w:sz w:val="24"/>
          <w:szCs w:val="22"/>
          <w:highlight w:val="none"/>
          <w:u w:val="none"/>
          <w:vertAlign w:val="baseline"/>
          <w:lang w:val="en-US" w:eastAsia="zh-CN" w:bidi="ar"/>
        </w:rPr>
        <w:t>设备及材料</w:t>
      </w:r>
      <w:r>
        <w:rPr>
          <w:rFonts w:hint="eastAsia" w:ascii="宋体" w:hAnsi="宋体" w:cs="宋体" w:eastAsiaTheme="minorEastAsia"/>
          <w:color w:val="auto"/>
          <w:sz w:val="24"/>
          <w:szCs w:val="22"/>
          <w:highlight w:val="none"/>
          <w:u w:val="none"/>
          <w:vertAlign w:val="baseline"/>
          <w:lang w:val="en-US" w:eastAsia="zh-CN" w:bidi="ar"/>
        </w:rPr>
        <w:t>到大观分公司现场，</w:t>
      </w:r>
      <w:r>
        <w:rPr>
          <w:rFonts w:hint="eastAsia" w:ascii="宋体" w:hAnsi="宋体" w:cs="宋体"/>
          <w:color w:val="auto"/>
          <w:sz w:val="24"/>
          <w:highlight w:val="none"/>
        </w:rPr>
        <w:t>乙方未能按合同</w:t>
      </w:r>
      <w:r>
        <w:rPr>
          <w:rFonts w:hint="eastAsia" w:ascii="宋体" w:hAnsi="宋体" w:cs="宋体"/>
          <w:color w:val="auto"/>
          <w:sz w:val="24"/>
          <w:highlight w:val="none"/>
          <w:lang w:val="en-US" w:eastAsia="zh-CN"/>
        </w:rPr>
        <w:t>交货期提供货物，</w:t>
      </w:r>
      <w:r>
        <w:rPr>
          <w:rFonts w:hint="eastAsia" w:ascii="宋体" w:hAnsi="宋体" w:cs="宋体"/>
          <w:color w:val="auto"/>
          <w:sz w:val="24"/>
          <w:highlight w:val="none"/>
        </w:rPr>
        <w:t>每逾期一天，甲方有权要求乙方按合同暂定总价的</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%支付违约金，逾期达到</w:t>
      </w: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none"/>
        </w:rPr>
        <w:t>合同暂定总价的20%</w:t>
      </w:r>
      <w:r>
        <w:rPr>
          <w:rFonts w:hint="eastAsia" w:ascii="宋体" w:hAnsi="宋体" w:cs="宋体"/>
          <w:color w:val="auto"/>
          <w:sz w:val="24"/>
          <w:highlight w:val="none"/>
        </w:rPr>
        <w:t>作为违约金</w:t>
      </w:r>
      <w:r>
        <w:rPr>
          <w:rFonts w:hint="eastAsia" w:ascii="宋体" w:hAnsi="宋体" w:cs="宋体"/>
          <w:color w:val="auto"/>
          <w:sz w:val="24"/>
          <w:highlight w:val="none"/>
          <w:lang w:eastAsia="zh-CN"/>
        </w:rPr>
        <w:t>；</w:t>
      </w:r>
    </w:p>
    <w:p>
      <w:pPr>
        <w:widowControl/>
        <w:numPr>
          <w:ilvl w:val="0"/>
          <w:numId w:val="6"/>
        </w:num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施工期为15个自然日，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eastAsia="宋体" w:cs="宋体"/>
          <w:color w:val="auto"/>
          <w:sz w:val="22"/>
          <w:szCs w:val="20"/>
          <w:highlight w:val="none"/>
          <w:u w:val="none"/>
          <w:vertAlign w:val="baseline"/>
          <w:lang w:val="en-US" w:eastAsia="zh-CN" w:bidi="ar"/>
        </w:rPr>
        <w:t>到货后15个自然日内完成施工及调试</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w:t>
      </w:r>
      <w:r>
        <w:rPr>
          <w:rFonts w:hint="eastAsia" w:hAnsi="宋体" w:cs="宋体"/>
          <w:color w:val="auto"/>
          <w:spacing w:val="-8"/>
          <w:sz w:val="24"/>
          <w:szCs w:val="24"/>
          <w:highlight w:val="none"/>
          <w:lang w:val="en-US" w:eastAsia="zh-CN"/>
        </w:rPr>
        <w:t>5</w:t>
      </w:r>
      <w:r>
        <w:rPr>
          <w:rFonts w:hint="eastAsia" w:hAnsi="宋体" w:cs="宋体"/>
          <w:color w:val="auto"/>
          <w:spacing w:val="-8"/>
          <w:sz w:val="24"/>
          <w:szCs w:val="24"/>
          <w:highlight w:val="none"/>
        </w:rPr>
        <w:t>中的相关人员</w:t>
      </w:r>
      <w:r>
        <w:rPr>
          <w:rFonts w:hint="eastAsia" w:hAnsi="宋体" w:cs="宋体"/>
          <w:color w:val="auto"/>
          <w:spacing w:val="-8"/>
          <w:sz w:val="24"/>
          <w:szCs w:val="24"/>
          <w:highlight w:val="none"/>
          <w:lang w:eastAsia="zh-CN"/>
        </w:rPr>
        <w:t>（</w:t>
      </w:r>
      <w:r>
        <w:rPr>
          <w:rFonts w:hint="eastAsia" w:hAnsi="宋体" w:cs="宋体"/>
          <w:color w:val="auto"/>
          <w:spacing w:val="-8"/>
          <w:sz w:val="24"/>
          <w:szCs w:val="24"/>
          <w:highlight w:val="none"/>
          <w:lang w:val="en-US" w:eastAsia="zh-CN"/>
        </w:rPr>
        <w:t>人员名单应与乙方在响应文件中所载明的人员一致）</w:t>
      </w:r>
      <w:r>
        <w:rPr>
          <w:rFonts w:hint="eastAsia" w:hAnsi="宋体" w:cs="宋体"/>
          <w:color w:val="auto"/>
          <w:spacing w:val="-8"/>
          <w:sz w:val="24"/>
          <w:szCs w:val="24"/>
          <w:highlight w:val="none"/>
        </w:rPr>
        <w:t>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在合同有效期内，乙方自愿接受甲方按《营运项目承包单位日常履约考评参照表（安全）》和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营运项目承包单位综合履约考评表（安全）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处理，具体处理标准详见附件6附件7。</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8"/>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pStyle w:val="22"/>
        <w:rPr>
          <w:color w:val="auto"/>
          <w:highlight w:val="none"/>
        </w:rPr>
      </w:pP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项目验收合格后，由乙方提交申请支付资料</w:t>
      </w:r>
      <w:r>
        <w:rPr>
          <w:rFonts w:hint="eastAsia" w:hAnsi="宋体" w:cs="宋体"/>
          <w:color w:val="auto"/>
          <w:sz w:val="24"/>
          <w:szCs w:val="24"/>
          <w:highlight w:val="none"/>
          <w:lang w:val="en-US" w:eastAsia="zh-CN"/>
        </w:rPr>
        <w:t>后</w:t>
      </w:r>
      <w:r>
        <w:rPr>
          <w:rFonts w:hint="eastAsia" w:hAnsi="宋体" w:cs="宋体"/>
          <w:color w:val="auto"/>
          <w:sz w:val="24"/>
          <w:szCs w:val="24"/>
          <w:highlight w:val="none"/>
        </w:rPr>
        <w:t>，甲方支付至</w:t>
      </w:r>
      <w:r>
        <w:rPr>
          <w:rFonts w:hint="eastAsia" w:hAnsi="宋体" w:cs="宋体"/>
          <w:color w:val="auto"/>
          <w:sz w:val="24"/>
          <w:szCs w:val="24"/>
          <w:highlight w:val="none"/>
          <w:lang w:val="en-US" w:eastAsia="zh-CN"/>
        </w:rPr>
        <w:t>项目</w:t>
      </w:r>
      <w:r>
        <w:rPr>
          <w:rFonts w:hint="eastAsia" w:hAnsi="宋体" w:cs="宋体"/>
          <w:color w:val="auto"/>
          <w:sz w:val="24"/>
          <w:szCs w:val="24"/>
          <w:highlight w:val="none"/>
        </w:rPr>
        <w:t>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w:t>
      </w:r>
      <w:r>
        <w:rPr>
          <w:rFonts w:hint="eastAsia" w:ascii="宋体" w:hAnsi="宋体" w:cs="宋体"/>
          <w:color w:val="auto"/>
          <w:sz w:val="24"/>
          <w:highlight w:val="none"/>
          <w:lang w:val="en-US" w:eastAsia="zh-CN"/>
        </w:rPr>
        <w:t>合格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lang w:val="en-US" w:eastAsia="zh-CN"/>
        </w:rPr>
        <w:t>后</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w:t>
      </w:r>
      <w:r>
        <w:rPr>
          <w:rFonts w:hint="eastAsia" w:ascii="宋体" w:hAnsi="宋体" w:cs="宋体"/>
          <w:color w:val="auto"/>
          <w:sz w:val="24"/>
          <w:highlight w:val="none"/>
          <w:lang w:val="en-US" w:eastAsia="zh-CN"/>
        </w:rPr>
        <w:t>审定</w:t>
      </w:r>
      <w:r>
        <w:rPr>
          <w:rFonts w:hint="eastAsia" w:ascii="宋体" w:hAnsi="宋体" w:cs="宋体"/>
          <w:color w:val="auto"/>
          <w:sz w:val="24"/>
          <w:highlight w:val="none"/>
        </w:rPr>
        <w:t>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int="eastAsia" w:hAnsi="宋体" w:cs="宋体"/>
          <w:color w:val="auto"/>
          <w:sz w:val="24"/>
          <w:highlight w:val="none"/>
          <w:lang w:val="en-US" w:eastAsia="zh-CN"/>
        </w:rPr>
        <w:t>后</w:t>
      </w:r>
      <w:r>
        <w:rPr>
          <w:rFonts w:hint="eastAsia" w:hAnsi="宋体" w:cs="宋体"/>
          <w:color w:val="auto"/>
          <w:sz w:val="24"/>
          <w:highlight w:val="none"/>
        </w:rPr>
        <w:t>，甲方支付</w:t>
      </w:r>
      <w:r>
        <w:rPr>
          <w:rFonts w:hint="eastAsia" w:hAnsi="宋体" w:cs="宋体"/>
          <w:color w:val="auto"/>
          <w:sz w:val="24"/>
          <w:highlight w:val="none"/>
          <w:lang w:val="en-US" w:eastAsia="zh-CN"/>
        </w:rPr>
        <w:t>项目</w:t>
      </w:r>
      <w:r>
        <w:rPr>
          <w:rFonts w:hint="eastAsia" w:hAnsi="宋体" w:cs="宋体"/>
          <w:color w:val="auto"/>
          <w:sz w:val="24"/>
          <w:highlight w:val="none"/>
        </w:rPr>
        <w:t>结算</w:t>
      </w:r>
      <w:r>
        <w:rPr>
          <w:rFonts w:hint="eastAsia" w:hAnsi="宋体" w:cs="宋体"/>
          <w:color w:val="auto"/>
          <w:sz w:val="24"/>
          <w:highlight w:val="none"/>
          <w:lang w:val="en-US" w:eastAsia="zh-CN"/>
        </w:rPr>
        <w:t>审定</w:t>
      </w:r>
      <w:r>
        <w:rPr>
          <w:rFonts w:hint="eastAsia" w:hAnsi="宋体" w:cs="宋体"/>
          <w:color w:val="auto"/>
          <w:sz w:val="24"/>
          <w:highlight w:val="none"/>
        </w:rPr>
        <w:t>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大观分公司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1"/>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1"/>
        <w:spacing w:before="0" w:beforeAutospacing="0" w:after="0" w:afterAutospacing="0" w:line="500" w:lineRule="exact"/>
        <w:ind w:firstLine="480"/>
        <w:rPr>
          <w:color w:val="auto"/>
          <w:highlight w:val="none"/>
        </w:rPr>
      </w:pPr>
      <w:r>
        <w:rPr>
          <w:rFonts w:hint="eastAsia"/>
          <w:color w:val="auto"/>
          <w:highlight w:val="none"/>
        </w:rPr>
        <w:t>（1）符合甲方要求的银行独立保函，</w:t>
      </w:r>
    </w:p>
    <w:p>
      <w:pPr>
        <w:pStyle w:val="21"/>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1"/>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int="eastAsia" w:hAnsi="宋体" w:cs="宋体"/>
          <w:b/>
          <w:bCs/>
          <w:color w:val="auto"/>
          <w:sz w:val="24"/>
          <w:highlight w:val="none"/>
        </w:rPr>
      </w:pP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color w:val="auto"/>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大观分公司 。</w:t>
      </w:r>
    </w:p>
    <w:p>
      <w:pPr>
        <w:numPr>
          <w:ilvl w:val="0"/>
          <w:numId w:val="7"/>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lang w:val="en-US" w:eastAsia="zh-CN"/>
        </w:rPr>
        <w:t>且不得低于法定保修期限</w:t>
      </w:r>
      <w:r>
        <w:rPr>
          <w:rFonts w:hint="eastAsia" w:ascii="宋体" w:hAnsi="宋体" w:cs="宋体"/>
          <w:color w:val="auto"/>
          <w:kern w:val="0"/>
          <w:sz w:val="24"/>
          <w:highlight w:val="none"/>
          <w:lang w:val="zh-CN"/>
        </w:rPr>
        <w:t>。</w:t>
      </w:r>
    </w:p>
    <w:p>
      <w:pPr>
        <w:spacing w:line="500" w:lineRule="exact"/>
        <w:ind w:firstLine="420" w:firstLineChars="175"/>
        <w:rPr>
          <w:rFonts w:hint="eastAsia"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w:t>
      </w:r>
      <w:r>
        <w:rPr>
          <w:rFonts w:hint="eastAsia" w:ascii="宋体" w:hAnsi="宋体" w:cs="宋体"/>
          <w:bCs/>
          <w:color w:val="auto"/>
          <w:sz w:val="24"/>
          <w:highlight w:val="none"/>
          <w:u w:val="single"/>
          <w:lang w:val="en-US" w:eastAsia="zh-CN"/>
        </w:rPr>
        <w:t>1</w:t>
      </w:r>
      <w:r>
        <w:rPr>
          <w:rFonts w:hint="eastAsia" w:ascii="宋体" w:hAnsi="宋体" w:cs="宋体"/>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pStyle w:val="2"/>
      </w:pP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hint="eastAsia"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lang w:val="en-US" w:eastAsia="zh-CN"/>
        </w:rPr>
        <w:t>第</w:t>
      </w: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8"/>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3.营运场所施工安全及消防安全协议书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rPr>
          <w:rFonts w:hint="eastAsia" w:ascii="宋体" w:hAnsi="宋体" w:cs="宋体"/>
          <w:color w:val="auto"/>
          <w:sz w:val="24"/>
          <w:szCs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7.营运项目承包单位综合履约考评表（安全）</w:t>
      </w:r>
    </w:p>
    <w:p>
      <w:pPr>
        <w:pStyle w:val="48"/>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阮俊  </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020-38890283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int="eastAsia" w:ascii="宋体" w:hAnsi="宋体" w:cs="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2"/>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pStyle w:val="22"/>
        <w:rPr>
          <w:rFonts w:hint="eastAsia" w:ascii="仿宋_GB2312" w:hAnsi="仿宋_GB2312" w:eastAsia="仿宋_GB2312" w:cs="仿宋_GB2312"/>
          <w:b w:val="0"/>
          <w:bCs/>
          <w:color w:val="auto"/>
          <w:sz w:val="28"/>
          <w:szCs w:val="28"/>
          <w:highlight w:val="none"/>
        </w:rPr>
      </w:pPr>
    </w:p>
    <w:p>
      <w:pPr>
        <w:pStyle w:val="22"/>
        <w:rPr>
          <w:rFonts w:hint="eastAsia" w:ascii="仿宋_GB2312" w:hAnsi="仿宋_GB2312" w:eastAsia="仿宋_GB2312" w:cs="仿宋_GB2312"/>
          <w:b w:val="0"/>
          <w:bCs/>
          <w:color w:val="auto"/>
          <w:sz w:val="28"/>
          <w:szCs w:val="28"/>
          <w:highlight w:val="none"/>
        </w:rPr>
      </w:pPr>
    </w:p>
    <w:p>
      <w:pPr>
        <w:pStyle w:val="22"/>
        <w:rPr>
          <w:rFonts w:hint="eastAsia" w:ascii="仿宋_GB2312" w:hAnsi="仿宋_GB2312" w:eastAsia="仿宋_GB2312" w:cs="仿宋_GB2312"/>
          <w:b w:val="0"/>
          <w:bCs/>
          <w:color w:val="auto"/>
          <w:sz w:val="28"/>
          <w:szCs w:val="28"/>
          <w:highlight w:val="none"/>
        </w:rPr>
      </w:pPr>
    </w:p>
    <w:p>
      <w:pPr>
        <w:pStyle w:val="22"/>
        <w:rPr>
          <w:rFonts w:hint="eastAsia" w:ascii="仿宋_GB2312" w:hAnsi="仿宋_GB2312" w:eastAsia="仿宋_GB2312" w:cs="仿宋_GB2312"/>
          <w:b w:val="0"/>
          <w:bCs/>
          <w:color w:val="auto"/>
          <w:sz w:val="28"/>
          <w:szCs w:val="28"/>
          <w:highlight w:val="none"/>
        </w:rPr>
      </w:pPr>
    </w:p>
    <w:p>
      <w:pP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page"/>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附件3：营运场所施工安全及消防安全协议书</w:t>
      </w:r>
    </w:p>
    <w:p>
      <w:pPr>
        <w:spacing w:line="360" w:lineRule="auto"/>
        <w:jc w:val="center"/>
        <w:rPr>
          <w:rFonts w:ascii="宋体" w:hAnsi="宋体" w:cs="宋体"/>
          <w:b/>
          <w:bCs/>
          <w:color w:val="auto"/>
          <w:sz w:val="24"/>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lang w:val="en-US" w:eastAsia="zh-CN"/>
        </w:rPr>
      </w:pPr>
      <w:r>
        <w:rPr>
          <w:rFonts w:hint="eastAsia" w:ascii="方正小标宋简体" w:hAnsi="方正小标宋简体" w:eastAsia="方正小标宋简体" w:cs="方正小标宋简体"/>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甲方：</w:t>
      </w:r>
      <w:r>
        <w:rPr>
          <w:rFonts w:hint="eastAsia" w:ascii="仿宋_GB2312" w:hAnsi="仿宋_GB2312" w:eastAsia="仿宋_GB2312" w:cs="仿宋_GB2312"/>
          <w:sz w:val="24"/>
          <w:szCs w:val="24"/>
        </w:rPr>
        <w:t>广州市净水有限公司</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乙方： </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根据《中华人民共和国安全生产法》、</w:t>
      </w:r>
      <w:r>
        <w:rPr>
          <w:rFonts w:hint="eastAsia" w:ascii="仿宋_GB2312" w:hAnsi="仿宋_GB2312" w:eastAsia="仿宋_GB2312" w:cs="仿宋_GB2312"/>
          <w:kern w:val="0"/>
          <w:sz w:val="24"/>
          <w:szCs w:val="24"/>
          <w:lang w:eastAsia="zh-CN"/>
        </w:rPr>
        <w:t>《中华人民共和国消防法》、</w:t>
      </w:r>
      <w:r>
        <w:rPr>
          <w:rFonts w:hint="eastAsia" w:ascii="仿宋_GB2312" w:hAnsi="仿宋_GB2312" w:eastAsia="仿宋_GB2312" w:cs="仿宋_GB2312"/>
          <w:kern w:val="0"/>
          <w:sz w:val="24"/>
          <w:szCs w:val="24"/>
        </w:rPr>
        <w:t>《生产安全事故报告和调查处理条例》</w:t>
      </w:r>
      <w:r>
        <w:rPr>
          <w:rFonts w:hint="eastAsia" w:ascii="仿宋_GB2312" w:hAnsi="仿宋_GB2312" w:eastAsia="仿宋_GB2312" w:cs="仿宋_GB2312"/>
          <w:kern w:val="0"/>
          <w:sz w:val="24"/>
          <w:szCs w:val="24"/>
          <w:lang w:eastAsia="zh-CN"/>
        </w:rPr>
        <w:t>、《建设工程安全生产管理条例》</w:t>
      </w:r>
      <w:r>
        <w:rPr>
          <w:rFonts w:hint="eastAsia" w:ascii="仿宋_GB2312" w:hAnsi="仿宋_GB2312" w:eastAsia="仿宋_GB2312" w:cs="仿宋_GB2312"/>
          <w:kern w:val="0"/>
          <w:sz w:val="24"/>
          <w:szCs w:val="24"/>
        </w:rPr>
        <w:t>等国家及地方有关安全生产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消防安全</w:t>
      </w:r>
      <w:r>
        <w:rPr>
          <w:rFonts w:hint="eastAsia" w:ascii="仿宋_GB2312" w:hAnsi="仿宋_GB2312" w:eastAsia="仿宋_GB2312" w:cs="仿宋_GB2312"/>
          <w:kern w:val="0"/>
          <w:sz w:val="24"/>
          <w:szCs w:val="24"/>
        </w:rPr>
        <w:t>法律法规，甲乙双方就安全</w:t>
      </w:r>
      <w:r>
        <w:rPr>
          <w:rFonts w:hint="eastAsia" w:ascii="仿宋_GB2312" w:hAnsi="仿宋_GB2312" w:eastAsia="仿宋_GB2312" w:cs="仿宋_GB2312"/>
          <w:kern w:val="0"/>
          <w:sz w:val="24"/>
          <w:szCs w:val="24"/>
          <w:lang w:val="en-US" w:eastAsia="zh-CN"/>
        </w:rPr>
        <w:t>及消防安全</w:t>
      </w:r>
      <w:r>
        <w:rPr>
          <w:rFonts w:hint="eastAsia" w:ascii="仿宋_GB2312" w:hAnsi="仿宋_GB2312" w:eastAsia="仿宋_GB2312" w:cs="仿宋_GB2312"/>
          <w:kern w:val="0"/>
          <w:sz w:val="24"/>
          <w:szCs w:val="24"/>
        </w:rPr>
        <w:t>事宜，</w:t>
      </w:r>
      <w:r>
        <w:rPr>
          <w:rFonts w:hint="eastAsia" w:ascii="仿宋_GB2312" w:hAnsi="仿宋_GB2312" w:eastAsia="仿宋_GB2312" w:cs="仿宋_GB2312"/>
          <w:sz w:val="24"/>
          <w:szCs w:val="24"/>
        </w:rPr>
        <w:t>经双方友好协商，达成如下协议</w:t>
      </w:r>
      <w:r>
        <w:rPr>
          <w:rFonts w:hint="eastAsia" w:ascii="仿宋_GB2312" w:hAnsi="仿宋_GB2312" w:eastAsia="仿宋_GB2312" w:cs="仿宋_GB2312"/>
          <w:kern w:val="0"/>
          <w:sz w:val="24"/>
          <w:szCs w:val="24"/>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一、总则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本协议是合同</w:t>
      </w:r>
      <w:r>
        <w:rPr>
          <w:rFonts w:hint="eastAsia" w:ascii="仿宋_GB2312" w:hAnsi="仿宋_GB2312" w:eastAsia="仿宋_GB2312" w:cs="仿宋_GB2312"/>
          <w:sz w:val="24"/>
          <w:szCs w:val="24"/>
          <w:u w:val="single"/>
        </w:rPr>
        <w:t xml:space="preserve">                      （穗净水合〔     〕    号） </w:t>
      </w:r>
      <w:r>
        <w:rPr>
          <w:rFonts w:hint="eastAsia" w:ascii="仿宋_GB2312" w:hAnsi="仿宋_GB2312" w:eastAsia="仿宋_GB2312" w:cs="仿宋_GB2312"/>
          <w:sz w:val="24"/>
          <w:szCs w:val="24"/>
        </w:rPr>
        <w:t>的组成部分。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二</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乙双方应遵守国家、省、市有关</w:t>
      </w:r>
      <w:r>
        <w:rPr>
          <w:rFonts w:hint="eastAsia" w:ascii="仿宋_GB2312" w:hAnsi="仿宋_GB2312" w:eastAsia="仿宋_GB2312" w:cs="仿宋_GB2312"/>
          <w:kern w:val="0"/>
          <w:sz w:val="24"/>
          <w:szCs w:val="24"/>
        </w:rPr>
        <w:t>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消防安全的法律、法规、规章，履行</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消防安全职责，保障人员生命、财产安全。</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三</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乙双方应当逐级落实</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消防安全责任制，明确逐级岗位人员的安全</w:t>
      </w:r>
      <w:r>
        <w:rPr>
          <w:rFonts w:hint="eastAsia" w:ascii="仿宋_GB2312" w:hAnsi="仿宋_GB2312" w:eastAsia="仿宋_GB2312" w:cs="仿宋_GB2312"/>
          <w:kern w:val="0"/>
          <w:sz w:val="24"/>
          <w:szCs w:val="24"/>
          <w:lang w:val="en-US" w:eastAsia="zh-CN"/>
        </w:rPr>
        <w:t>生产、消防安全</w:t>
      </w:r>
      <w:r>
        <w:rPr>
          <w:rFonts w:hint="eastAsia" w:ascii="仿宋_GB2312" w:hAnsi="仿宋_GB2312" w:eastAsia="仿宋_GB2312" w:cs="仿宋_GB2312"/>
          <w:color w:val="auto"/>
          <w:kern w:val="0"/>
          <w:sz w:val="24"/>
          <w:szCs w:val="24"/>
        </w:rPr>
        <w:t>职责。</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四</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本协议是对在满足法律法规规定的双方安全及消防安全责任的基础上的补充事项。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（五）当同一个场所、池体内，甲方安排两个或以上的承包单位同时施工的，由甲方组织各承包单位签订《营运场所交叉作业安全及消防安全协议书》。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六</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乙方的单位及人员资质（</w:t>
      </w:r>
      <w:r>
        <w:rPr>
          <w:rFonts w:hint="eastAsia" w:ascii="仿宋_GB2312" w:hAnsi="仿宋_GB2312" w:eastAsia="仿宋_GB2312" w:cs="仿宋_GB2312"/>
          <w:b/>
          <w:bCs w:val="0"/>
          <w:color w:val="auto"/>
          <w:kern w:val="0"/>
          <w:sz w:val="24"/>
          <w:szCs w:val="24"/>
          <w:lang w:val="en-US" w:eastAsia="zh-CN"/>
        </w:rPr>
        <w:t>单项选择并填写</w:t>
      </w:r>
      <w:r>
        <w:rPr>
          <w:rFonts w:hint="eastAsia" w:ascii="仿宋_GB2312" w:hAnsi="仿宋_GB2312" w:eastAsia="仿宋_GB2312" w:cs="仿宋_GB2312"/>
          <w:color w:val="auto"/>
          <w:kern w:val="0"/>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1.详见合同第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CN"/>
        </w:rPr>
        <w:t>条。</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2.详见文件《</w:t>
      </w:r>
      <w:r>
        <w:rPr>
          <w:rFonts w:hint="eastAsia" w:ascii="仿宋_GB2312" w:hAnsi="仿宋_GB2312" w:eastAsia="仿宋_GB2312" w:cs="仿宋_GB2312"/>
          <w:color w:val="auto"/>
          <w:kern w:val="0"/>
          <w:sz w:val="24"/>
          <w:szCs w:val="24"/>
          <w:u w:val="single"/>
          <w:lang w:val="en-US" w:eastAsia="zh-CN"/>
        </w:rPr>
        <w:t xml:space="preserve">           </w:t>
      </w:r>
      <w:r>
        <w:rPr>
          <w:rFonts w:hint="eastAsia" w:ascii="仿宋_GB2312" w:hAnsi="仿宋_GB2312" w:eastAsia="仿宋_GB2312" w:cs="仿宋_GB2312"/>
          <w:color w:val="auto"/>
          <w:kern w:val="0"/>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二、甲方的安全及消防安全责任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交底告知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仿宋_GB2312" w:hAnsi="仿宋_GB2312" w:eastAsia="仿宋_GB2312" w:cs="仿宋_GB2312"/>
          <w:sz w:val="24"/>
          <w:szCs w:val="24"/>
        </w:rPr>
        <w:t>允许进出及行走的路线、禁止触动甲方设备设施等</w:t>
      </w:r>
      <w:r>
        <w:rPr>
          <w:rFonts w:hint="eastAsia" w:ascii="仿宋_GB2312" w:hAnsi="仿宋_GB2312" w:eastAsia="仿宋_GB2312" w:cs="仿宋_GB2312"/>
          <w:sz w:val="24"/>
          <w:szCs w:val="24"/>
          <w:lang w:val="en-US" w:eastAsia="zh-CN"/>
        </w:rPr>
        <w:t>；项目备案的要求。</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2.乙方进场作业前，</w:t>
      </w:r>
      <w:r>
        <w:rPr>
          <w:rFonts w:hint="eastAsia" w:ascii="仿宋_GB2312" w:hAnsi="仿宋_GB2312" w:eastAsia="仿宋_GB2312" w:cs="仿宋_GB2312"/>
          <w:sz w:val="24"/>
          <w:szCs w:val="24"/>
        </w:rPr>
        <w:t>应对乙方进行交底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再次向乙方强调</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lang w:val="en-US" w:eastAsia="zh-CN"/>
        </w:rPr>
        <w:t>上述内容，以及施工期间的其他特殊注意事项，如生产方面的调度协调配合等</w:t>
      </w:r>
      <w:r>
        <w:rPr>
          <w:rFonts w:hint="eastAsia" w:ascii="仿宋_GB2312" w:hAnsi="仿宋_GB2312" w:eastAsia="仿宋_GB2312" w:cs="仿宋_GB2312"/>
          <w:sz w:val="24"/>
          <w:szCs w:val="24"/>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3.当乙方提出相关规范或乙方内部管理制度，比甲方规定的</w:t>
      </w:r>
      <w:r>
        <w:rPr>
          <w:rFonts w:hint="eastAsia" w:ascii="仿宋_GB2312" w:hAnsi="仿宋_GB2312" w:eastAsia="仿宋_GB2312" w:cs="仿宋_GB2312"/>
          <w:sz w:val="24"/>
          <w:szCs w:val="24"/>
        </w:rPr>
        <w:t>安全生产及消防安全管理要求</w:t>
      </w:r>
      <w:r>
        <w:rPr>
          <w:rFonts w:hint="eastAsia" w:ascii="仿宋_GB2312" w:hAnsi="仿宋_GB2312" w:eastAsia="仿宋_GB2312" w:cs="仿宋_GB2312"/>
          <w:sz w:val="24"/>
          <w:szCs w:val="24"/>
          <w:lang w:val="en-US" w:eastAsia="zh-CN"/>
        </w:rPr>
        <w:t>更严格的，应当接纳乙方的建议。</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（二）落实配合措施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1.落实生产营运等相关配合措施，提供必要的施工条件。</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）安全及消防安全隐患</w:t>
      </w:r>
      <w:r>
        <w:rPr>
          <w:rFonts w:hint="eastAsia" w:ascii="仿宋_GB2312" w:hAnsi="仿宋_GB2312" w:eastAsia="仿宋_GB2312" w:cs="仿宋_GB2312"/>
          <w:sz w:val="24"/>
          <w:szCs w:val="24"/>
          <w:lang w:val="en-US" w:eastAsia="zh-CN"/>
        </w:rPr>
        <w:t>检查与督促整改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在项目施工期，应每天不少于一次对乙方安全措施、消防安全措施投入、现场安全施工情况等进行安全、消防安全监督检查，并提出整改</w:t>
      </w:r>
      <w:r>
        <w:rPr>
          <w:rFonts w:hint="eastAsia" w:ascii="仿宋_GB2312" w:hAnsi="仿宋_GB2312" w:eastAsia="仿宋_GB2312" w:cs="仿宋_GB2312"/>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重大安全风险、生产安全重大事故隐患（重大火灾隐患）等情况报告及举报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1.对乙方上报的重大安全风险、生产安全重大事故隐患（重大火灾隐患），应当如实向水投集团报告。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3.甲方发现乙方在项目范围内（含工地范围内的住宿、办公等区域）开展违法、犯罪活动，向公安部门举报。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（五）事故报告及举报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1.对乙方上报的安全事故及消防安全事故，应当按水投集团有关程序，如实向集团报告。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2.如发现乙方瞒报安全事故及消防安全事故，甲方除向水投集团报告外，有权向属地安全应急管理部门、属地行业主管部门举报。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（六）补充条款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三、乙方的安全及消防安全责任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接受交底告知并复核确认安全风险，落实管控措施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1.乙方接受甲方交底。</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2.编制的方案应响应甲方告知，明确相应的措施。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3.根据甲方项目备案的要求，提交项目备案材料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4.当甲方规定的安全生产及消防安全管理要求，比相关规范或乙方内部管理制度严格的，按甲方的执行。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5.当相关规范或乙方内部管理制度，比甲方规定的安全生产及消防安全管理要求严格的，应明确告知甲方确认，并按相关规范或乙方内部管理制度执行。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告知甲方需要配合的事项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1.向甲方告知在施工作业期间，需要甲方配合落实的措施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落实安全及消防安全隐患排查与整改，并接受检查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乙方应做好的每日安全生产、消防安全巡查及开展人员安全生产、消防安全教育，确保场所、场地、区域、施工、</w:t>
      </w:r>
      <w:r>
        <w:rPr>
          <w:rFonts w:hint="eastAsia" w:ascii="仿宋_GB2312" w:hAnsi="仿宋_GB2312" w:eastAsia="仿宋_GB2312" w:cs="仿宋_GB2312"/>
          <w:sz w:val="24"/>
          <w:szCs w:val="24"/>
          <w:lang w:val="en-US" w:eastAsia="zh-CN"/>
        </w:rPr>
        <w:t>仓储、住宿、办公</w:t>
      </w:r>
      <w:r>
        <w:rPr>
          <w:rFonts w:hint="eastAsia" w:ascii="仿宋_GB2312" w:hAnsi="仿宋_GB2312" w:eastAsia="仿宋_GB2312" w:cs="仿宋_GB2312"/>
          <w:sz w:val="24"/>
          <w:szCs w:val="24"/>
          <w:lang w:eastAsia="zh-CN"/>
        </w:rPr>
        <w:t>等，符合国家、行业安全生产、消防安全相关要求，无对甲方、</w:t>
      </w:r>
      <w:r>
        <w:rPr>
          <w:rFonts w:hint="eastAsia" w:ascii="仿宋_GB2312" w:hAnsi="仿宋_GB2312" w:eastAsia="仿宋_GB2312" w:cs="仿宋_GB2312"/>
          <w:sz w:val="24"/>
          <w:szCs w:val="24"/>
          <w:lang w:val="en-US" w:eastAsia="zh-CN"/>
        </w:rPr>
        <w:t>乙方以及周边第三方</w:t>
      </w:r>
      <w:r>
        <w:rPr>
          <w:rFonts w:hint="eastAsia" w:ascii="仿宋_GB2312" w:hAnsi="仿宋_GB2312" w:eastAsia="仿宋_GB2312" w:cs="仿宋_GB2312"/>
          <w:sz w:val="24"/>
          <w:szCs w:val="24"/>
          <w:lang w:eastAsia="zh-CN"/>
        </w:rPr>
        <w:t>生产安全、消防安全、</w:t>
      </w:r>
      <w:r>
        <w:rPr>
          <w:rFonts w:hint="eastAsia" w:ascii="仿宋_GB2312" w:hAnsi="仿宋_GB2312" w:eastAsia="仿宋_GB2312" w:cs="仿宋_GB2312"/>
          <w:sz w:val="24"/>
          <w:szCs w:val="24"/>
          <w:lang w:val="en-US" w:eastAsia="zh-CN"/>
        </w:rPr>
        <w:t>人身安全等</w:t>
      </w:r>
      <w:r>
        <w:rPr>
          <w:rFonts w:hint="eastAsia" w:ascii="仿宋_GB2312" w:hAnsi="仿宋_GB2312" w:eastAsia="仿宋_GB2312" w:cs="仿宋_GB2312"/>
          <w:sz w:val="24"/>
          <w:szCs w:val="24"/>
          <w:lang w:eastAsia="zh-CN"/>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2.接受甲方“四不两直”的不定期检查。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重大安全风险、生产安全重大事故隐患（重大火灾隐患）报告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1.乙方识别存在重大安全风险的，应研究并落实管控措施，降低风险等级，并向甲方、属地安全应急管理部门、属地行业主管部门上报。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2.乙方自查或被外单位检查发现生产安全重大事故隐患（重大火灾隐患）的，应当立即向甲方、属地安全应急管理部门、属地行业主管部门上报。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3.如甲方未收到乙方关于重大安全风险、生产安全重大事故隐患（重大火灾隐患）的报告，但由其他途径获知信息的，视为瞒报。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（四）事故报告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1.项目发生安全事故及消防安全事故的，乙方应当在预案规定时间内立即向甲方上报。否则视为迟报。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2.如甲方未收到乙方关于安全事故及消防安全事故的报告，但由其他途径获知信息的，视为瞒报。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四、违约责任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未发生安全事故或消防安全事故的违约责任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1.乙方未履行安全及消防安全责任的，甲方有权按合同相关条款处理。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2.因甲方未履行安全及消防安全责任，乙方有权按合同相关条款处理。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（二）发生安全事故或消防安全事故的违约责任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2.如甲方未能提供甲方履职证明的，根据责任调查报告（意见）承担责任。</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五、附则</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（一）本协议未尽事宜，依据有关法律、法规、规章处理。法律、法规、规章没有明确规定的，经双方协商处理解决。</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（二）在合同（协议）执行期间，因国家、地方、以及广州市净水有限公司印发有关文件，加强安全管理要求的，乙方应按最新要求无条件执行。如不执行，甲方有权根据合同或有关文件进行处理。</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）本协议</w:t>
      </w:r>
      <w:r>
        <w:rPr>
          <w:rFonts w:hint="eastAsia" w:ascii="仿宋_GB2312" w:hAnsi="仿宋_GB2312" w:eastAsia="仿宋_GB2312" w:cs="仿宋_GB2312"/>
          <w:sz w:val="24"/>
          <w:szCs w:val="24"/>
          <w:lang w:val="en-US" w:eastAsia="zh-CN"/>
        </w:rPr>
        <w:t>作为合同的附件</w:t>
      </w:r>
      <w:r>
        <w:rPr>
          <w:rFonts w:hint="eastAsia" w:ascii="仿宋_GB2312" w:hAnsi="仿宋_GB2312" w:eastAsia="仿宋_GB2312" w:cs="仿宋_GB2312"/>
          <w:sz w:val="24"/>
          <w:szCs w:val="24"/>
        </w:rPr>
        <w:t>同时</w:t>
      </w:r>
      <w:r>
        <w:rPr>
          <w:rFonts w:hint="eastAsia" w:ascii="仿宋_GB2312" w:hAnsi="仿宋_GB2312" w:eastAsia="仿宋_GB2312" w:cs="仿宋_GB2312"/>
          <w:sz w:val="24"/>
          <w:szCs w:val="24"/>
          <w:lang w:val="en-US" w:eastAsia="zh-CN"/>
        </w:rPr>
        <w:t>签字、同事盖章</w:t>
      </w:r>
      <w:r>
        <w:rPr>
          <w:rFonts w:hint="eastAsia" w:ascii="仿宋_GB2312" w:hAnsi="仿宋_GB2312" w:eastAsia="仿宋_GB2312" w:cs="仿宋_GB2312"/>
          <w:sz w:val="24"/>
          <w:szCs w:val="24"/>
        </w:rPr>
        <w:t>、同时生效、同时终止，具有</w:t>
      </w:r>
      <w:r>
        <w:rPr>
          <w:rFonts w:hint="eastAsia" w:ascii="仿宋_GB2312" w:hAnsi="仿宋_GB2312" w:eastAsia="仿宋_GB2312" w:cs="仿宋_GB2312"/>
          <w:sz w:val="24"/>
          <w:szCs w:val="24"/>
          <w:lang w:val="en-US" w:eastAsia="zh-CN"/>
        </w:rPr>
        <w:t>同等</w:t>
      </w:r>
      <w:r>
        <w:rPr>
          <w:rFonts w:hint="eastAsia" w:ascii="仿宋_GB2312" w:hAnsi="仿宋_GB2312" w:eastAsia="仿宋_GB2312" w:cs="仿宋_GB2312"/>
          <w:sz w:val="24"/>
          <w:szCs w:val="24"/>
        </w:rPr>
        <w:t>的法律效力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甲方、乙方双方执持数量与合同一致。</w:t>
      </w:r>
    </w:p>
    <w:p>
      <w:pPr>
        <w:rPr>
          <w:rFonts w:hint="eastAsia" w:ascii="仿宋_GB2312" w:hAnsi="仿宋_GB2312" w:eastAsia="仿宋_GB2312" w:cs="仿宋_GB2312"/>
          <w:sz w:val="24"/>
          <w:szCs w:val="24"/>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ind w:firstLine="240" w:firstLineChars="10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c>
          <w:tcPr>
            <w:tcW w:w="4474"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r>
    </w:tbl>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宋体" w:hAnsi="宋体" w:cs="宋体"/>
          <w:b/>
          <w:color w:val="auto"/>
          <w:szCs w:val="21"/>
          <w:highlight w:val="none"/>
        </w:rPr>
        <w:t>附件4：</w:t>
      </w:r>
      <w:r>
        <w:rPr>
          <w:rFonts w:hint="eastAsia" w:ascii="宋体" w:hAnsi="宋体" w:cs="宋体"/>
          <w:b/>
          <w:color w:val="auto"/>
          <w:szCs w:val="21"/>
          <w:highlight w:val="none"/>
          <w:lang w:val="en-US" w:eastAsia="zh-CN"/>
        </w:rPr>
        <w:t>工程量清单报价（详见响应文件报价清单）</w:t>
      </w:r>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bCs/>
          <w:color w:val="auto"/>
          <w:szCs w:val="21"/>
          <w:highlight w:val="none"/>
        </w:rPr>
        <w:t>项目投入人员架构表/应急救援物资清单</w:t>
      </w:r>
    </w:p>
    <w:p>
      <w:pPr>
        <w:spacing w:line="360" w:lineRule="auto"/>
        <w:rPr>
          <w:rFonts w:ascii="宋体" w:hAnsi="宋体" w:cs="宋体"/>
          <w:b/>
          <w:bCs/>
          <w:color w:val="auto"/>
          <w:szCs w:val="21"/>
          <w:highlight w:val="none"/>
        </w:rPr>
      </w:pP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应急救援物资清单</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9"/>
        <w:rPr>
          <w:rFonts w:hint="eastAsia" w:ascii="宋体" w:hAnsi="宋体" w:cs="宋体"/>
          <w:b/>
          <w:bCs/>
          <w:color w:val="auto"/>
          <w:szCs w:val="21"/>
          <w:highlight w:val="none"/>
        </w:rPr>
      </w:pPr>
    </w:p>
    <w:p>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contextualSpacing/>
        <w:jc w:val="left"/>
        <w:rPr>
          <w:rFonts w:ascii="宋体" w:hAnsi="宋体" w:cs="仿宋_GB2312"/>
          <w:color w:val="auto"/>
          <w:sz w:val="24"/>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w:t>
      </w:r>
      <w:r>
        <w:rPr>
          <w:rFonts w:hint="eastAsia" w:ascii="宋体" w:hAnsi="宋体" w:cs="宋体"/>
          <w:b/>
          <w:bCs/>
          <w:color w:val="auto"/>
          <w:sz w:val="21"/>
          <w:szCs w:val="21"/>
          <w:highlight w:val="none"/>
        </w:rPr>
        <w:t>营运项目承包单位日常履约考评参照表（安全）</w:t>
      </w:r>
    </w:p>
    <w:tbl>
      <w:tblPr>
        <w:tblStyle w:val="23"/>
        <w:tblpPr w:leftFromText="180" w:rightFromText="180" w:vertAnchor="text" w:horzAnchor="page" w:tblpX="1799" w:tblpY="825"/>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2"/>
              <w:ind w:firstLine="1126"/>
              <w:rPr>
                <w:rFonts w:hint="default" w:eastAsia="仿宋_GB2312"/>
                <w:color w:val="auto"/>
                <w:highlight w:val="none"/>
                <w:lang w:val="en-US" w:eastAsia="zh-CN"/>
              </w:rPr>
            </w:pPr>
          </w:p>
        </w:tc>
      </w:tr>
    </w:tbl>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1"/>
          <w:szCs w:val="21"/>
          <w:highlight w:val="none"/>
        </w:rPr>
      </w:pPr>
      <w:r>
        <w:rPr>
          <w:rFonts w:hint="eastAsia"/>
          <w:b/>
          <w:bCs/>
          <w:color w:val="auto"/>
          <w:sz w:val="21"/>
          <w:szCs w:val="21"/>
          <w:highlight w:val="none"/>
          <w:lang w:val="en-US" w:eastAsia="zh-CN"/>
        </w:rPr>
        <w:t>附件7</w:t>
      </w:r>
      <w:r>
        <w:rPr>
          <w:rFonts w:hint="eastAsia" w:ascii="宋体" w:hAnsi="宋体" w:cs="宋体"/>
          <w:b/>
          <w:bCs/>
          <w:color w:val="auto"/>
          <w:sz w:val="21"/>
          <w:szCs w:val="21"/>
          <w:highlight w:val="none"/>
        </w:rPr>
        <w:t>营运项目承包单位综合履约考评表（安全）</w:t>
      </w:r>
    </w:p>
    <w:p>
      <w:pPr>
        <w:pStyle w:val="22"/>
        <w:ind w:left="0" w:leftChars="0" w:firstLine="0" w:firstLineChars="0"/>
        <w:rPr>
          <w:rFonts w:ascii="宋体" w:hAnsi="宋体" w:cs="宋体"/>
          <w:b/>
          <w:bCs/>
          <w:color w:val="auto"/>
          <w:sz w:val="24"/>
          <w:szCs w:val="24"/>
          <w:highlight w:val="none"/>
        </w:rPr>
      </w:pPr>
    </w:p>
    <w:tbl>
      <w:tblPr>
        <w:tblStyle w:val="23"/>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2"/>
              <w:ind w:firstLine="1126"/>
              <w:rPr>
                <w:color w:val="auto"/>
                <w:highlight w:val="none"/>
              </w:rPr>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
      <w:pPr>
        <w:pStyle w:val="22"/>
        <w:ind w:firstLine="0"/>
        <w:rPr>
          <w:rFonts w:ascii="仿宋_GB2312" w:eastAsia="仿宋_GB2312"/>
          <w:color w:val="auto"/>
          <w:sz w:val="28"/>
          <w:szCs w:val="28"/>
          <w:highlight w:val="none"/>
        </w:rPr>
      </w:pPr>
    </w:p>
    <w:p>
      <w:pPr>
        <w:pStyle w:val="3"/>
        <w:rPr>
          <w:color w:val="auto"/>
          <w:highlight w:val="none"/>
        </w:rPr>
      </w:pPr>
      <w:bookmarkStart w:id="86" w:name="_Toc8147"/>
      <w:bookmarkStart w:id="87" w:name="_Toc23515"/>
      <w:bookmarkStart w:id="88" w:name="_Toc30824"/>
      <w:bookmarkStart w:id="89" w:name="_Toc21847"/>
      <w:bookmarkStart w:id="90" w:name="_Toc6230"/>
      <w:bookmarkStart w:id="91" w:name="_Toc12169"/>
      <w:bookmarkStart w:id="92" w:name="_Toc3723"/>
      <w:bookmarkStart w:id="93" w:name="_Toc5129"/>
      <w:bookmarkStart w:id="94" w:name="_Toc16552"/>
      <w:bookmarkStart w:id="95" w:name="_Toc1563"/>
      <w:bookmarkStart w:id="96" w:name="_Toc28358"/>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2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6432;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2Arv68wEAAOQ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s+p747sNTx&#10;n5++/fr4+e7Lj7vvX9lsljUaAtbkunE38bTDcBMz4UMbbf4TFXYouh7PuqpDYoIOXyyWywUpLu6v&#10;qoe4EDG9Ut6ybDQcUwTd9WnjnaPm+TgrssL+NSbKTIH3ATmpcWzI8PMFgQMNY0tDQKYNRAhdV2LR&#10;Gy2vtTE5AmO325jI9pAHonyZH+H+5ZaTbAH70a9cjaPSK5AvnWTpGEgpRy+E5xKskpwZRQ8qWwQI&#10;dQJtLvGk1MZRBVniUdRs7bw8Fq3LOTW/1Hga1Dxdf+5L9MP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DYCu/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2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5408;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sGFr/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7"/>
        <w:rPr>
          <w:color w:val="auto"/>
          <w:highlight w:val="none"/>
        </w:rPr>
      </w:pPr>
    </w:p>
    <w:p>
      <w:pPr>
        <w:pStyle w:val="3"/>
        <w:rPr>
          <w:rFonts w:ascii="方正小标宋简体" w:eastAsia="方正小标宋简体"/>
          <w:color w:val="auto"/>
          <w:sz w:val="44"/>
          <w:szCs w:val="44"/>
          <w:highlight w:val="none"/>
        </w:rPr>
      </w:pPr>
      <w:bookmarkStart w:id="97" w:name="_Toc24490"/>
      <w:bookmarkStart w:id="98" w:name="_Toc24815"/>
      <w:bookmarkStart w:id="99" w:name="_Toc31564"/>
      <w:bookmarkStart w:id="100" w:name="_Toc17119"/>
      <w:bookmarkStart w:id="101" w:name="_Toc87616388"/>
      <w:bookmarkStart w:id="102" w:name="_Toc12769"/>
      <w:bookmarkStart w:id="103" w:name="_Toc30157"/>
      <w:bookmarkStart w:id="104" w:name="_Toc10840"/>
      <w:bookmarkStart w:id="105" w:name="_Toc21675"/>
      <w:bookmarkStart w:id="106" w:name="_Toc12610"/>
      <w:bookmarkStart w:id="107" w:name="_Toc88209951"/>
      <w:bookmarkStart w:id="108" w:name="_Toc22764"/>
      <w:bookmarkStart w:id="109" w:name="_Toc5342"/>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both"/>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8209952"/>
      <w:bookmarkStart w:id="111" w:name="_Toc87616389"/>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8209953"/>
      <w:bookmarkStart w:id="113" w:name="_Toc87616390"/>
      <w:r>
        <w:rPr>
          <w:rFonts w:hint="eastAsia" w:ascii="仿宋_GB2312" w:eastAsia="仿宋_GB2312"/>
          <w:color w:val="auto"/>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6" w:name="_Toc6313"/>
      <w:bookmarkStart w:id="117" w:name="_Toc87616394"/>
      <w:bookmarkStart w:id="118" w:name="_Toc12665"/>
      <w:bookmarkStart w:id="119" w:name="_Toc88209957"/>
      <w:bookmarkStart w:id="120" w:name="_Toc28619645"/>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8"/>
        <w:rPr>
          <w:color w:val="auto"/>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imes New Roman"/>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adjustRightInd/>
        <w:snapToGrid/>
        <w:spacing w:line="360" w:lineRule="auto"/>
        <w:ind w:left="0" w:firstLine="560" w:firstLineChars="200"/>
        <w:jc w:val="left"/>
        <w:rPr>
          <w:rFonts w:ascii="仿宋_GB2312" w:eastAsia="仿宋_GB2312" w:hAnsiTheme="minorEastAsia"/>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w:t>
      </w:r>
      <w:r>
        <w:rPr>
          <w:rFonts w:hint="eastAsia" w:ascii="仿宋_GB2312" w:eastAsia="仿宋_GB2312" w:hAnsiTheme="minorEastAsia"/>
          <w:color w:val="auto"/>
          <w:sz w:val="28"/>
          <w:szCs w:val="28"/>
          <w:highlight w:val="none"/>
          <w:lang w:val="en-US" w:eastAsia="zh-CN"/>
        </w:rPr>
        <w:t>私</w:t>
      </w:r>
      <w:r>
        <w:rPr>
          <w:rFonts w:hint="eastAsia" w:ascii="仿宋_GB2312" w:eastAsia="仿宋_GB2312" w:hAnsiTheme="minorEastAsia"/>
          <w:color w:val="auto"/>
          <w:sz w:val="28"/>
          <w:szCs w:val="28"/>
          <w:highlight w:val="none"/>
        </w:rPr>
        <w:t>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1" w:name="_Toc87616395"/>
      <w:bookmarkStart w:id="122" w:name="_Toc29833"/>
      <w:bookmarkStart w:id="123" w:name="_Toc88209958"/>
      <w:bookmarkStart w:id="124" w:name="_Toc22527"/>
    </w:p>
    <w:p>
      <w:pPr>
        <w:pStyle w:val="28"/>
        <w:rPr>
          <w:rFonts w:hint="eastAsia" w:ascii="仿宋_GB2312" w:eastAsia="仿宋_GB2312" w:hAnsiTheme="minorEastAsia"/>
          <w:color w:val="auto"/>
          <w:sz w:val="28"/>
          <w:szCs w:val="28"/>
          <w:highlight w:val="none"/>
        </w:rPr>
      </w:pPr>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K0Rcjp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2.提供授权委托人自公告发布当月起在本单位近三个月社保记录（以加盖社会保险基金管理中心印章的《缴费历史明细表》或《社会保险参保人员证明》为准），否则为无效代理人，询价响应文件无效。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w:t>
      </w:r>
      <w:r>
        <w:rPr>
          <w:rFonts w:hint="eastAsia" w:ascii="仿宋_GB2312" w:hAnsi="宋体" w:eastAsia="仿宋_GB2312" w:cs="Times New Roman"/>
          <w:color w:val="auto"/>
          <w:sz w:val="30"/>
          <w:szCs w:val="30"/>
          <w:highlight w:val="none"/>
          <w:u w:val="single"/>
          <w:lang w:val="en-US" w:eastAsia="zh-CN"/>
        </w:rPr>
        <w:t>或盖私章</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w:t>
      </w:r>
      <w:r>
        <w:rPr>
          <w:rFonts w:hint="eastAsia" w:ascii="仿宋_GB2312" w:hAnsi="宋体" w:eastAsia="仿宋_GB2312" w:cs="Times New Roman"/>
          <w:color w:val="auto"/>
          <w:sz w:val="30"/>
          <w:szCs w:val="30"/>
          <w:highlight w:val="none"/>
          <w:u w:val="single"/>
          <w:lang w:val="en-US" w:eastAsia="zh-CN"/>
        </w:rPr>
        <w:t>或盖私章</w:t>
      </w:r>
      <w:r>
        <w:rPr>
          <w:rFonts w:hint="eastAsia" w:ascii="仿宋_GB2312" w:hAnsi="宋体" w:eastAsia="仿宋_GB2312" w:cs="Times New Roman"/>
          <w:color w:val="auto"/>
          <w:sz w:val="30"/>
          <w:szCs w:val="30"/>
          <w:highlight w:val="none"/>
          <w:u w:val="single"/>
        </w:rPr>
        <w:t xml:space="preserve">)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848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vYMfs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w:t>
            </w:r>
            <w:r>
              <w:rPr>
                <w:rFonts w:hint="eastAsia" w:ascii="宋体" w:hAnsi="宋体" w:cs="Times New Roman"/>
                <w:color w:val="auto"/>
                <w:sz w:val="24"/>
                <w:szCs w:val="24"/>
                <w:highlight w:val="none"/>
                <w:lang w:val="en-US" w:eastAsia="zh-CN"/>
              </w:rPr>
              <w:t>自公告发布当月起</w:t>
            </w:r>
            <w:r>
              <w:rPr>
                <w:rFonts w:hint="eastAsia" w:ascii="宋体" w:hAnsi="宋体" w:cs="Times New Roman"/>
                <w:color w:val="auto"/>
                <w:sz w:val="24"/>
                <w:szCs w:val="24"/>
                <w:highlight w:val="none"/>
                <w:lang w:eastAsia="zh-CN"/>
              </w:rPr>
              <w:t>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2"/>
        <w:rPr>
          <w:color w:val="auto"/>
          <w:highlight w:val="none"/>
        </w:rPr>
      </w:pPr>
    </w:p>
    <w:p>
      <w:pPr>
        <w:pStyle w:val="22"/>
        <w:rPr>
          <w:color w:val="auto"/>
          <w:highlight w:val="none"/>
        </w:rPr>
      </w:pPr>
    </w:p>
    <w:p>
      <w:pPr>
        <w:pStyle w:val="5"/>
        <w:rPr>
          <w:rFonts w:asciiTheme="minorEastAsia" w:hAnsiTheme="minorEastAsia" w:eastAsiaTheme="minorEastAsia"/>
          <w:color w:val="auto"/>
          <w:sz w:val="28"/>
          <w:szCs w:val="28"/>
          <w:highlight w:val="none"/>
        </w:rPr>
      </w:pPr>
      <w:bookmarkStart w:id="125" w:name="_Toc19830"/>
      <w:bookmarkStart w:id="126" w:name="_Toc87616400"/>
      <w:bookmarkStart w:id="127" w:name="_Toc88209963"/>
      <w:bookmarkStart w:id="128" w:name="_Toc8086"/>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bookmarkStart w:id="129" w:name="_Hlk59025866"/>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ind w:firstLine="6480" w:firstLineChars="2700"/>
        <w:jc w:val="left"/>
        <w:outlineLvl w:val="9"/>
        <w:rPr>
          <w:rFonts w:hint="eastAsia" w:cs="Times New Roman" w:asciiTheme="minorEastAsia" w:hAnsiTheme="minorEastAsia" w:eastAsiaTheme="minorEastAsia"/>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广州市净水有限公司大观分公司2024年次氯酸钠加药池改造项目（第二次）</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（1）与本项目其他供应商的单位负责人为同一人。</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（2）与本项目其他供应商存在控股或管理关系。</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（3）被本项目所在地省级以上行业主管部门依法暂停、取消投标或禁止参加采购活动且处于有效期内的。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（4）处于被责令停产停业、暂扣或者吊销执照、暂扣或者吊销许可证、吊销资质证书状态。</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（5）进入清算程序，或被宣告破产，或其他丧失履约能力情形的。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（6）近三年内因发生质量或安全生产事故等受到行政处罚且在处罚期内的。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（7）被最高人民法院在“信用中国”网站（www.creditchina.gov.cn）或各级信用信息共享平台中列入失信被执行人名单。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（8）被“全国企业信用信息公示系统”（网址：http://www.gsxt.gov.cn/）</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列入经营异常名录和严重违法企业名单。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（9）被“信用广州”网站纳入失信被执行人名单（失信黑名单）。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（10）其他违法违纪行为，经审查认为不宜被邀请参加采购活动的。</w:t>
      </w:r>
    </w:p>
    <w:p>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（11）其他禁止情形：</w:t>
      </w:r>
      <w:r>
        <w:rPr>
          <w:rFonts w:hint="eastAsia" w:ascii="宋体" w:hAnsi="宋体" w:eastAsia="宋体" w:cs="宋体"/>
          <w:b/>
          <w:color w:val="auto"/>
          <w:sz w:val="24"/>
          <w:szCs w:val="24"/>
          <w:highlight w:val="none"/>
        </w:rPr>
        <w:t xml:space="preserve">                   </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2"/>
        <w:ind w:firstLine="0"/>
        <w:rPr>
          <w:rFonts w:hint="eastAsia"/>
          <w:color w:val="auto"/>
          <w:highlight w:val="none"/>
          <w:lang w:eastAsia="zh-CN"/>
        </w:rPr>
      </w:pPr>
    </w:p>
    <w:p>
      <w:pPr>
        <w:pStyle w:val="22"/>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2"/>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5"/>
        <w:rPr>
          <w:rFonts w:asciiTheme="minorEastAsia" w:hAnsiTheme="minorEastAsia" w:eastAsiaTheme="minorEastAsia"/>
          <w:color w:val="auto"/>
          <w:sz w:val="28"/>
          <w:szCs w:val="28"/>
          <w:highlight w:val="none"/>
        </w:rPr>
      </w:pPr>
      <w:bookmarkStart w:id="130" w:name="_Toc19423"/>
      <w:bookmarkStart w:id="131" w:name="_Toc32430"/>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0"/>
      <w:bookmarkEnd w:id="131"/>
    </w:p>
    <w:tbl>
      <w:tblPr>
        <w:tblStyle w:val="24"/>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pStyle w:val="48"/>
              <w:jc w:val="center"/>
              <w:rPr>
                <w:rFonts w:hint="eastAsia" w:ascii="宋体" w:hAnsi="宋体" w:eastAsia="宋体" w:cs="宋体"/>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spacing w:line="360" w:lineRule="auto"/>
              <w:jc w:val="center"/>
              <w:outlineLvl w:val="1"/>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2986" w:type="dxa"/>
            <w:noWrap w:val="0"/>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4800"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2986" w:type="dxa"/>
            <w:noWrap w:val="0"/>
            <w:vAlign w:val="center"/>
          </w:tcPr>
          <w:p>
            <w:pPr>
              <w:pStyle w:val="48"/>
              <w:jc w:val="center"/>
              <w:rPr>
                <w:rFonts w:hint="eastAsia" w:ascii="宋体" w:hAnsi="宋体" w:eastAsia="宋体" w:cs="宋体"/>
                <w:color w:val="auto"/>
                <w:sz w:val="24"/>
                <w:szCs w:val="24"/>
                <w:highlight w:val="none"/>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2"/>
        <w:rPr>
          <w:rFonts w:ascii="仿宋_GB2312" w:eastAsia="仿宋_GB2312" w:hAnsiTheme="minorEastAsia"/>
          <w:color w:val="auto"/>
          <w:sz w:val="28"/>
          <w:szCs w:val="28"/>
          <w:highlight w:val="none"/>
        </w:rPr>
      </w:pPr>
      <w:r>
        <w:rPr>
          <w:rFonts w:hint="eastAsia" w:ascii="宋体" w:hAnsi="宋体" w:eastAsia="宋体" w:cs="宋体"/>
          <w:color w:val="auto"/>
          <w:kern w:val="2"/>
          <w:sz w:val="24"/>
          <w:szCs w:val="24"/>
          <w:highlight w:val="none"/>
          <w:lang w:val="en-GB"/>
        </w:rPr>
        <w:t>年  月  日</w:t>
      </w:r>
    </w:p>
    <w:p>
      <w:pPr>
        <w:pStyle w:val="22"/>
        <w:rPr>
          <w:rFonts w:ascii="仿宋_GB2312" w:eastAsia="仿宋_GB2312" w:hAnsiTheme="minorEastAsia"/>
          <w:color w:val="auto"/>
          <w:sz w:val="28"/>
          <w:szCs w:val="28"/>
          <w:highlight w:val="none"/>
        </w:rPr>
      </w:pPr>
    </w:p>
    <w:p>
      <w:pPr>
        <w:pStyle w:val="22"/>
        <w:rPr>
          <w:rFonts w:ascii="仿宋_GB2312" w:eastAsia="仿宋_GB2312" w:hAnsiTheme="minorEastAsia"/>
          <w:color w:val="auto"/>
          <w:sz w:val="28"/>
          <w:szCs w:val="28"/>
          <w:highlight w:val="none"/>
        </w:rPr>
      </w:pPr>
    </w:p>
    <w:p>
      <w:pPr>
        <w:pStyle w:val="22"/>
        <w:rPr>
          <w:rFonts w:ascii="仿宋_GB2312" w:eastAsia="仿宋_GB2312" w:hAnsiTheme="minorEastAsia"/>
          <w:color w:val="auto"/>
          <w:sz w:val="28"/>
          <w:szCs w:val="28"/>
          <w:highlight w:val="none"/>
        </w:rPr>
      </w:pPr>
    </w:p>
    <w:p>
      <w:pPr>
        <w:pStyle w:val="49"/>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工程量清单</w:t>
      </w:r>
    </w:p>
    <w:tbl>
      <w:tblPr>
        <w:tblStyle w:val="23"/>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8"/>
        <w:gridCol w:w="3051"/>
        <w:gridCol w:w="2038"/>
        <w:gridCol w:w="2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740"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45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038"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10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54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05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03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210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9040.09</w:t>
            </w: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23024.49</w:t>
            </w: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9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03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40" w:type="dxa"/>
            <w:gridSpan w:val="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tbl>
      <w:tblPr>
        <w:tblStyle w:val="23"/>
        <w:tblW w:w="9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523"/>
        <w:gridCol w:w="2304"/>
        <w:gridCol w:w="870"/>
        <w:gridCol w:w="790"/>
        <w:gridCol w:w="1034"/>
        <w:gridCol w:w="966"/>
        <w:gridCol w:w="8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910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223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396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899"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2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8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89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6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砖砌体拆除</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1.名称：砖砌体拆除</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5.664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拆除废料外运</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1.名称：拆除废料外运</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5.664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砍挖竹及根</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1.名称：砍挖竹及根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新建黄金竹</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1.养护期:机械灌溉保养 保养月数:12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2.种类:黄金竹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3.种植形式:片植</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2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室外绿化草皮恢复</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1.养护期:草皮保养 机械灌溉 保养月数:12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2.铺种方式:满铺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3.50厚成品草皮、200厚植被土、素土卉实压实系数&gt;93%</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实心砖墙</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1.砖品种、规格、强度等级:标准砖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3.砂浆强度等级、配合比:湿拌砌筑砂浆 砌筑灰缝≥5mm M5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7.135</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零星砌砖</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1.零星砌砖名称、部位:砌零星构件 台阶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2.砖品种、规格、强度等级:标准砖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3.砂浆强度等级、配合比:干混砌筑砂浆(配合比) DM M20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3"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1.墙体类型:外墙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2.底层厚度、砂浆配合比:刷界面处理剂、15mm厚专用抹灰砂浆，分两次抹灰。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3.贴结层厚度、材料种类:5厚干粉类聚合物水泥砂浆，中间压入一层镀锌电焊网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5.面层材料品种、规格、晶牌、颜色:8厚高级外墙砖45*95*8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6.缝宽、嵌缝材料种类:好亦特勾缝剂勾缝</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14.16</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钢梯</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1.名称：钢梯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2.检修梯利旧安装</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墙面挂网</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1.部位：墙面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2.做法：挂铁丝网</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重新批荡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1.部位;墙面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2.防水混凝土侧板，表明平整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3.找平层砂浆厚度、配合比:20厚5.1:3水泥砂浆找平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4.面层：5厚1:2.5水泥砂浆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4.满足设计图纸、招标文件及规范要求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5.计算规则:按立面投影面积计算</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1、名称：无机涂料漆面层一底两面</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37.98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墙面涂膜防水</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1.部位：墙面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2.防水膜品种:1.5厚聚合物水泥基防水涂膜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3.涂膜厚度、遍数:1.5mm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4.包括防水腻子两遍</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墙面防腐层</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1.防腐部位:墙面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2.做法:隔离层水玻璃胶泥1:0.15:0.5:0.5，厚度2mm+水玻璃耐酸砂浆1:0.15:1.1:1:2.6，厚度30mm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37.98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地面防腐层</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1.防腐部位:地面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2.做法:耐酸沥青胶泥1:0.3:0.6，厚度2mm+耐酸沥青砂浆1.3:2.6:7.4，厚度30mm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53.184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1"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水泥砂浆楼地面</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1.找平层厚度、砂浆配合比:1:2.5水泥砂浆保护层20厚表面抹光,分格面积宜为1平方米。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2.满铺0.4厚聚乙烯薄膜一层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3.满铺3.0+3.0厚双层自粘性聚胎改性沥青防水卷材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4.基层处理剂一道</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53.184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玻璃钢通风管道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1.材质:复合玻璃钢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2.形状:圆形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3.厚度:δ=4mm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4.直径:200mm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不锈钢板通风管道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2.形状:方型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3.厚度:δ=4mm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4.规格：800*400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不锈钢板通风管道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2.形状:方型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3.厚度:δ=4mm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4.规格：1000*500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11.57</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室内消火栓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消火栓移位</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矩形管道风机</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1.名称:矩形管道风机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2.规格:风量:19235m3/h 全压:474Pa</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次氯酸钠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4.型号、规格:DN85mm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次氯酸钠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4.型号、规格:DN20mm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次氯酸钠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4.型号、规格:DN50mm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放空管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4.型号、规格:DN100mm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2.介质:水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4.型号、规格:DN65mm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钢支架</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2.安装高度:支架3m高</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玻璃钢立式化工储罐</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1.容积:20000L(8厚内衬PVC+8厚外衬玻璃钢)：有效容积为20m’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2.含管道和罐体基座：混凝士结构，与原地面找平且能承受体重量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3.超声波液位计：量程:0-6米 传感器电缆:30米 输出4-20mA，220v电源，耐酸碱环境使用，RS485通讯、哈希 E+H WTW 等同等级别的品牌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4.磁翻板液位计： 量程:4米以内，吊锤形式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5.含混凝土基座</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设备基础</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1.混凝土种类:商品混凝土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3.规格:3mX3mX0.2m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现浇构件钢筋</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1.钢筋种类、规格:按设计图纸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2.其他详设计图纸</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0.074592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水位报警器</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1.名称:水位报警器</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标识牌</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1.名称:标识牌</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设备调试</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设备信息上传中控及程序调试</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活动脚手架</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95.88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措施其他项目</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起重机</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台次</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tbl>
      <w:tblPr>
        <w:tblStyle w:val="23"/>
        <w:tblW w:w="93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1370"/>
        <w:gridCol w:w="1137"/>
        <w:gridCol w:w="649"/>
        <w:gridCol w:w="916"/>
        <w:gridCol w:w="881"/>
        <w:gridCol w:w="1117"/>
        <w:gridCol w:w="26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938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327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141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4688"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7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0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65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7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9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13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266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sz w:val="20"/>
                <w:szCs w:val="20"/>
                <w:u w:val="none"/>
              </w:rPr>
              <w:t>9040.09</w:t>
            </w: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2"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3931"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pStyle w:val="49"/>
        <w:jc w:val="both"/>
        <w:rPr>
          <w:rFonts w:hint="eastAsia" w:ascii="仿宋" w:hAnsi="仿宋" w:eastAsia="仿宋" w:cs="仿宋_GB2312"/>
          <w:b/>
          <w:color w:val="auto"/>
          <w:sz w:val="28"/>
          <w:szCs w:val="28"/>
          <w:highlight w:val="none"/>
        </w:rPr>
      </w:pPr>
    </w:p>
    <w:tbl>
      <w:tblPr>
        <w:tblStyle w:val="23"/>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3"/>
        <w:gridCol w:w="3323"/>
        <w:gridCol w:w="870"/>
        <w:gridCol w:w="779"/>
        <w:gridCol w:w="744"/>
        <w:gridCol w:w="641"/>
        <w:gridCol w:w="1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87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0" w:hRule="atLeast"/>
        </w:trPr>
        <w:tc>
          <w:tcPr>
            <w:tcW w:w="503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15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81"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4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32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4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3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54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sz w:val="20"/>
                <w:szCs w:val="20"/>
                <w:u w:val="none"/>
              </w:rPr>
              <w:t>23024.49</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416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64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28"/>
        <w:rPr>
          <w:color w:val="auto"/>
          <w:highlight w:val="none"/>
        </w:rPr>
      </w:pPr>
      <w:bookmarkStart w:id="132" w:name="_Toc6058"/>
      <w:bookmarkStart w:id="133" w:name="_Toc16386"/>
      <w:bookmarkStart w:id="134" w:name="_Toc88209965"/>
      <w:bookmarkStart w:id="135" w:name="_Toc87616402"/>
    </w:p>
    <w:p>
      <w:pPr>
        <w:pStyle w:val="28"/>
        <w:rPr>
          <w:color w:val="auto"/>
          <w:highlight w:val="none"/>
        </w:rPr>
      </w:pPr>
    </w:p>
    <w:p>
      <w:pPr>
        <w:pStyle w:val="28"/>
        <w:ind w:left="0" w:leftChars="0" w:firstLine="0" w:firstLineChars="0"/>
        <w:rPr>
          <w:color w:val="auto"/>
          <w:highlight w:val="none"/>
        </w:rPr>
      </w:pPr>
    </w:p>
    <w:tbl>
      <w:tblPr>
        <w:tblStyle w:val="23"/>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0"/>
        <w:gridCol w:w="2039"/>
        <w:gridCol w:w="2267"/>
        <w:gridCol w:w="1498"/>
        <w:gridCol w:w="26"/>
        <w:gridCol w:w="905"/>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87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503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152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8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7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03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2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49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93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2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65"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2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36"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3704"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036"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24" w:type="dxa"/>
            <w:gridSpan w:val="2"/>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18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tbl>
      <w:tblPr>
        <w:tblStyle w:val="23"/>
        <w:tblW w:w="8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2"/>
        <w:gridCol w:w="4034"/>
        <w:gridCol w:w="102"/>
        <w:gridCol w:w="1442"/>
        <w:gridCol w:w="664"/>
        <w:gridCol w:w="15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886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5106"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54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1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107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13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10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54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705.60</w:t>
            </w: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1788.51</w:t>
            </w: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5208"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10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886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注：本表适用于单位工程招标控制价或投标报价的汇总，如无单位工程划分，单项工程也使用本表汇总</w:t>
            </w:r>
          </w:p>
        </w:tc>
      </w:tr>
    </w:tbl>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tbl>
      <w:tblPr>
        <w:tblStyle w:val="23"/>
        <w:tblW w:w="88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1440"/>
        <w:gridCol w:w="2640"/>
        <w:gridCol w:w="510"/>
        <w:gridCol w:w="885"/>
        <w:gridCol w:w="945"/>
        <w:gridCol w:w="94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85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1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403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70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0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1.名称:隔爆型防爆配电箱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2.安装方式:底边距地1.5m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4.详图纸</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控制屏</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1.名称:电箱及显示屏</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防爆射灯</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1.名称:防爆射灯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2.规格:220V/22W,1250lm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3.类型:壁装距顶0.3米</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1.名称:照明配线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2.配线形式:照明线路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3.型号:ZR-BV-3x2.5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5.材质:铜芯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6.配线部位:明敷</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1.名称:焊接钢管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3.规格:DN25mm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4.配置形式:明配</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接线盒</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1.名称:接线盒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2.安装形式:明装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1.名称:大按键单联单控开关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2.规格:220V/10A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3.安装方式:底边距地1.3m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措施其他项目</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jc w:val="right"/>
        <w:rPr>
          <w:color w:val="auto"/>
          <w:highlight w:val="none"/>
        </w:rPr>
      </w:pPr>
    </w:p>
    <w:tbl>
      <w:tblPr>
        <w:tblStyle w:val="23"/>
        <w:tblW w:w="90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1860"/>
        <w:gridCol w:w="1500"/>
        <w:gridCol w:w="810"/>
        <w:gridCol w:w="1005"/>
        <w:gridCol w:w="990"/>
        <w:gridCol w:w="97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045"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5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318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6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8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0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9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21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705.60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15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6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8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0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9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21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60"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0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tbl>
      <w:tblPr>
        <w:tblStyle w:val="23"/>
        <w:tblW w:w="8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3347"/>
        <w:gridCol w:w="876"/>
        <w:gridCol w:w="785"/>
        <w:gridCol w:w="749"/>
        <w:gridCol w:w="645"/>
        <w:gridCol w:w="1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trPr>
        <w:tc>
          <w:tcPr>
            <w:tcW w:w="88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507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53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9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4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34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6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39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54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1788.51</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19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66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8800" w:type="dxa"/>
            <w:gridSpan w:val="7"/>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p>
        </w:tc>
      </w:tr>
    </w:tbl>
    <w:p>
      <w:pPr>
        <w:pStyle w:val="2"/>
        <w:rPr>
          <w:rFonts w:hint="eastAsia" w:ascii="宋体" w:hAnsi="宋体" w:eastAsia="宋体" w:cs="宋体"/>
          <w:color w:val="auto"/>
          <w:kern w:val="2"/>
          <w:sz w:val="24"/>
          <w:szCs w:val="24"/>
          <w:highlight w:val="none"/>
          <w:lang w:val="en-GB"/>
        </w:rPr>
      </w:pPr>
    </w:p>
    <w:tbl>
      <w:tblPr>
        <w:tblStyle w:val="23"/>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7"/>
        <w:gridCol w:w="2058"/>
        <w:gridCol w:w="2288"/>
        <w:gridCol w:w="1512"/>
        <w:gridCol w:w="25"/>
        <w:gridCol w:w="915"/>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88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508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53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0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73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05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28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51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94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28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7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2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5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8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7535"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28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8"/>
        <w:jc w:val="right"/>
        <w:rPr>
          <w:color w:val="auto"/>
          <w:highlight w:val="none"/>
        </w:rPr>
      </w:pPr>
      <w:r>
        <w:rPr>
          <w:rFonts w:hint="eastAsia" w:ascii="宋体" w:hAnsi="宋体" w:eastAsia="宋体" w:cs="宋体"/>
          <w:color w:val="auto"/>
          <w:kern w:val="2"/>
          <w:sz w:val="24"/>
          <w:szCs w:val="24"/>
          <w:highlight w:val="none"/>
          <w:lang w:val="en-GB"/>
        </w:rPr>
        <w:t>年  月  日</w:t>
      </w:r>
      <w:bookmarkEnd w:id="132"/>
      <w:bookmarkEnd w:id="133"/>
      <w:bookmarkEnd w:id="134"/>
      <w:bookmarkEnd w:id="135"/>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p>
    <w:p>
      <w:pPr>
        <w:adjustRightInd w:val="0"/>
        <w:snapToGrid w:val="0"/>
        <w:spacing w:line="600" w:lineRule="exact"/>
        <w:ind w:firstLine="570"/>
        <w:rPr>
          <w:rFonts w:hint="eastAsia"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pStyle w:val="28"/>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FIk8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wUiT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22"/>
        <w:tab w:val="clea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22"/>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05566"/>
    <w:multiLevelType w:val="singleLevel"/>
    <w:tmpl w:val="9FE05566"/>
    <w:lvl w:ilvl="0" w:tentative="0">
      <w:start w:val="1"/>
      <w:numFmt w:val="decimal"/>
      <w:suff w:val="nothing"/>
      <w:lvlText w:val="（%1）"/>
      <w:lvlJc w:val="left"/>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338F6485"/>
    <w:multiLevelType w:val="singleLevel"/>
    <w:tmpl w:val="338F6485"/>
    <w:lvl w:ilvl="0" w:tentative="0">
      <w:start w:val="1"/>
      <w:numFmt w:val="lowerLetter"/>
      <w:lvlText w:val="%1."/>
      <w:lvlJc w:val="left"/>
      <w:pPr>
        <w:tabs>
          <w:tab w:val="left" w:pos="312"/>
        </w:tabs>
      </w:pPr>
    </w:lvl>
  </w:abstractNum>
  <w:abstractNum w:abstractNumId="5">
    <w:nsid w:val="4734DCE6"/>
    <w:multiLevelType w:val="singleLevel"/>
    <w:tmpl w:val="4734DCE6"/>
    <w:lvl w:ilvl="0" w:tentative="0">
      <w:start w:val="1"/>
      <w:numFmt w:val="decimal"/>
      <w:lvlText w:val="%1."/>
      <w:lvlJc w:val="left"/>
      <w:pPr>
        <w:tabs>
          <w:tab w:val="left" w:pos="312"/>
        </w:tabs>
      </w:p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xNTYxNDViMWM4NWFjZDI0NjdiNTU5YjExNDIwYTIifQ=="/>
  </w:docVars>
  <w:rsids>
    <w:rsidRoot w:val="00172A27"/>
    <w:rsid w:val="003D60BA"/>
    <w:rsid w:val="00411689"/>
    <w:rsid w:val="005D618A"/>
    <w:rsid w:val="00911ECD"/>
    <w:rsid w:val="00A042E0"/>
    <w:rsid w:val="00B26BB1"/>
    <w:rsid w:val="00B26E21"/>
    <w:rsid w:val="00F83B64"/>
    <w:rsid w:val="013E3461"/>
    <w:rsid w:val="01BB0F13"/>
    <w:rsid w:val="01C67921"/>
    <w:rsid w:val="02090C75"/>
    <w:rsid w:val="02480AA9"/>
    <w:rsid w:val="02A23A3C"/>
    <w:rsid w:val="03394EB3"/>
    <w:rsid w:val="035D130A"/>
    <w:rsid w:val="038720C2"/>
    <w:rsid w:val="039110A9"/>
    <w:rsid w:val="03A04747"/>
    <w:rsid w:val="03AC246A"/>
    <w:rsid w:val="03AE6061"/>
    <w:rsid w:val="03B23056"/>
    <w:rsid w:val="03DA023E"/>
    <w:rsid w:val="03DC3EBA"/>
    <w:rsid w:val="03E2248B"/>
    <w:rsid w:val="03F9794D"/>
    <w:rsid w:val="04180706"/>
    <w:rsid w:val="046A2461"/>
    <w:rsid w:val="04B27A00"/>
    <w:rsid w:val="04C609C8"/>
    <w:rsid w:val="051C2970"/>
    <w:rsid w:val="05D13AC9"/>
    <w:rsid w:val="060C3611"/>
    <w:rsid w:val="063F6E8E"/>
    <w:rsid w:val="06C64829"/>
    <w:rsid w:val="06E31D05"/>
    <w:rsid w:val="070E7B6E"/>
    <w:rsid w:val="07140111"/>
    <w:rsid w:val="071D62B7"/>
    <w:rsid w:val="077D16D2"/>
    <w:rsid w:val="07886DF0"/>
    <w:rsid w:val="082A69F3"/>
    <w:rsid w:val="08675FC8"/>
    <w:rsid w:val="09B713FD"/>
    <w:rsid w:val="09EF6ACC"/>
    <w:rsid w:val="0A315056"/>
    <w:rsid w:val="0AA213B4"/>
    <w:rsid w:val="0AF61C7E"/>
    <w:rsid w:val="0AFB45AD"/>
    <w:rsid w:val="0B351E9B"/>
    <w:rsid w:val="0B4C50D3"/>
    <w:rsid w:val="0B5A3FFB"/>
    <w:rsid w:val="0B806B92"/>
    <w:rsid w:val="0B827E94"/>
    <w:rsid w:val="0B842F76"/>
    <w:rsid w:val="0BB52891"/>
    <w:rsid w:val="0BD070E1"/>
    <w:rsid w:val="0BE45BD8"/>
    <w:rsid w:val="0C2361E7"/>
    <w:rsid w:val="0C247926"/>
    <w:rsid w:val="0D794204"/>
    <w:rsid w:val="0E2125D1"/>
    <w:rsid w:val="0E214211"/>
    <w:rsid w:val="0E5F2769"/>
    <w:rsid w:val="0F4D75A3"/>
    <w:rsid w:val="0F5B2DCA"/>
    <w:rsid w:val="0FED051E"/>
    <w:rsid w:val="0FEE4C29"/>
    <w:rsid w:val="10031608"/>
    <w:rsid w:val="10046082"/>
    <w:rsid w:val="104974DD"/>
    <w:rsid w:val="10CF6E57"/>
    <w:rsid w:val="111703D2"/>
    <w:rsid w:val="112B101A"/>
    <w:rsid w:val="11847C41"/>
    <w:rsid w:val="119B53FC"/>
    <w:rsid w:val="1215733B"/>
    <w:rsid w:val="12424CDC"/>
    <w:rsid w:val="126A6B38"/>
    <w:rsid w:val="129A2738"/>
    <w:rsid w:val="12B56BF1"/>
    <w:rsid w:val="12CB1A89"/>
    <w:rsid w:val="12EA7F78"/>
    <w:rsid w:val="131840FB"/>
    <w:rsid w:val="13467417"/>
    <w:rsid w:val="136E76CF"/>
    <w:rsid w:val="140354CF"/>
    <w:rsid w:val="145E0C1D"/>
    <w:rsid w:val="145F08C6"/>
    <w:rsid w:val="14816E9C"/>
    <w:rsid w:val="14E43F59"/>
    <w:rsid w:val="153E27FD"/>
    <w:rsid w:val="15776308"/>
    <w:rsid w:val="15BC6B3C"/>
    <w:rsid w:val="16360A7B"/>
    <w:rsid w:val="163A5737"/>
    <w:rsid w:val="164D40B0"/>
    <w:rsid w:val="16881115"/>
    <w:rsid w:val="1694429A"/>
    <w:rsid w:val="17234274"/>
    <w:rsid w:val="17635326"/>
    <w:rsid w:val="17B803EA"/>
    <w:rsid w:val="17E94CA2"/>
    <w:rsid w:val="1815096B"/>
    <w:rsid w:val="18236EFD"/>
    <w:rsid w:val="189D5B1F"/>
    <w:rsid w:val="18A34CD0"/>
    <w:rsid w:val="18D01777"/>
    <w:rsid w:val="195919B3"/>
    <w:rsid w:val="19A53EA8"/>
    <w:rsid w:val="19B64DBC"/>
    <w:rsid w:val="19EC6A4A"/>
    <w:rsid w:val="1A373ACF"/>
    <w:rsid w:val="1A7B10BA"/>
    <w:rsid w:val="1A895341"/>
    <w:rsid w:val="1A92628B"/>
    <w:rsid w:val="1AC413A0"/>
    <w:rsid w:val="1B0D071F"/>
    <w:rsid w:val="1B4568CE"/>
    <w:rsid w:val="1B9015B7"/>
    <w:rsid w:val="1B950DA6"/>
    <w:rsid w:val="1BF54245"/>
    <w:rsid w:val="1C173D4D"/>
    <w:rsid w:val="1C9C7F13"/>
    <w:rsid w:val="1CA92C52"/>
    <w:rsid w:val="1D0E6976"/>
    <w:rsid w:val="1D5A79EE"/>
    <w:rsid w:val="1E0E2CD0"/>
    <w:rsid w:val="1E143924"/>
    <w:rsid w:val="1E831280"/>
    <w:rsid w:val="1EBC4704"/>
    <w:rsid w:val="1EDC4D22"/>
    <w:rsid w:val="1F172EB5"/>
    <w:rsid w:val="1F7E793E"/>
    <w:rsid w:val="1F94592D"/>
    <w:rsid w:val="1FB860DE"/>
    <w:rsid w:val="1FF943B5"/>
    <w:rsid w:val="200A792A"/>
    <w:rsid w:val="203C5A02"/>
    <w:rsid w:val="209D4C94"/>
    <w:rsid w:val="20B44FCD"/>
    <w:rsid w:val="20E84705"/>
    <w:rsid w:val="21156B08"/>
    <w:rsid w:val="218400BA"/>
    <w:rsid w:val="21AB1E2F"/>
    <w:rsid w:val="21CA090E"/>
    <w:rsid w:val="21D40498"/>
    <w:rsid w:val="21DD1CA9"/>
    <w:rsid w:val="22767047"/>
    <w:rsid w:val="22A23F3E"/>
    <w:rsid w:val="23A05588"/>
    <w:rsid w:val="23DA1E46"/>
    <w:rsid w:val="240476A1"/>
    <w:rsid w:val="25431AEB"/>
    <w:rsid w:val="257A1ED1"/>
    <w:rsid w:val="25BE3BFB"/>
    <w:rsid w:val="25BF43FD"/>
    <w:rsid w:val="25F86BCD"/>
    <w:rsid w:val="2605748B"/>
    <w:rsid w:val="26396D26"/>
    <w:rsid w:val="264544A6"/>
    <w:rsid w:val="267702FB"/>
    <w:rsid w:val="269E416A"/>
    <w:rsid w:val="26C11C6B"/>
    <w:rsid w:val="26CA1946"/>
    <w:rsid w:val="272100D3"/>
    <w:rsid w:val="272C72FC"/>
    <w:rsid w:val="275131CB"/>
    <w:rsid w:val="275E777C"/>
    <w:rsid w:val="27787DF0"/>
    <w:rsid w:val="278F6521"/>
    <w:rsid w:val="27EB149D"/>
    <w:rsid w:val="27FD3E52"/>
    <w:rsid w:val="28E11370"/>
    <w:rsid w:val="293B7327"/>
    <w:rsid w:val="294A756A"/>
    <w:rsid w:val="296A648A"/>
    <w:rsid w:val="29781BF8"/>
    <w:rsid w:val="29C33ED0"/>
    <w:rsid w:val="29D5322D"/>
    <w:rsid w:val="2A025DD9"/>
    <w:rsid w:val="2A2619CB"/>
    <w:rsid w:val="2A7C2231"/>
    <w:rsid w:val="2A920E4F"/>
    <w:rsid w:val="2ABB753D"/>
    <w:rsid w:val="2AFE6EC4"/>
    <w:rsid w:val="2B7A49FA"/>
    <w:rsid w:val="2C615D26"/>
    <w:rsid w:val="2CB679ED"/>
    <w:rsid w:val="2CDE24A4"/>
    <w:rsid w:val="2D173C07"/>
    <w:rsid w:val="2D424A86"/>
    <w:rsid w:val="2DDA66B7"/>
    <w:rsid w:val="2E1918A5"/>
    <w:rsid w:val="2E1B14D5"/>
    <w:rsid w:val="2E6F2D11"/>
    <w:rsid w:val="2E7B52DB"/>
    <w:rsid w:val="2ED60115"/>
    <w:rsid w:val="2EFD722F"/>
    <w:rsid w:val="2F324CFE"/>
    <w:rsid w:val="2F3960B7"/>
    <w:rsid w:val="2F48220F"/>
    <w:rsid w:val="2FBA09F1"/>
    <w:rsid w:val="2FEF2ACF"/>
    <w:rsid w:val="2FF93D20"/>
    <w:rsid w:val="30540211"/>
    <w:rsid w:val="30E45100"/>
    <w:rsid w:val="310E1024"/>
    <w:rsid w:val="31112A0D"/>
    <w:rsid w:val="311F4B20"/>
    <w:rsid w:val="312D7741"/>
    <w:rsid w:val="316F137F"/>
    <w:rsid w:val="31DF525F"/>
    <w:rsid w:val="31EC162B"/>
    <w:rsid w:val="32324C2E"/>
    <w:rsid w:val="326A6587"/>
    <w:rsid w:val="327171DF"/>
    <w:rsid w:val="330D1A18"/>
    <w:rsid w:val="3391569E"/>
    <w:rsid w:val="33EA23FF"/>
    <w:rsid w:val="341E3434"/>
    <w:rsid w:val="34735BC7"/>
    <w:rsid w:val="34BB4442"/>
    <w:rsid w:val="34CC5948"/>
    <w:rsid w:val="34F32864"/>
    <w:rsid w:val="35291F42"/>
    <w:rsid w:val="3584136B"/>
    <w:rsid w:val="35FF5AA4"/>
    <w:rsid w:val="360B7EBA"/>
    <w:rsid w:val="36416867"/>
    <w:rsid w:val="367D5DD4"/>
    <w:rsid w:val="368A1390"/>
    <w:rsid w:val="369C32FD"/>
    <w:rsid w:val="37666E72"/>
    <w:rsid w:val="37FA3D04"/>
    <w:rsid w:val="38081EA3"/>
    <w:rsid w:val="38167A04"/>
    <w:rsid w:val="381C3783"/>
    <w:rsid w:val="38B36EDA"/>
    <w:rsid w:val="392C0341"/>
    <w:rsid w:val="394B167A"/>
    <w:rsid w:val="395D5749"/>
    <w:rsid w:val="396A4C97"/>
    <w:rsid w:val="39BA7CDD"/>
    <w:rsid w:val="39DA2868"/>
    <w:rsid w:val="3A055F4B"/>
    <w:rsid w:val="3A2970A3"/>
    <w:rsid w:val="3A4E4336"/>
    <w:rsid w:val="3A6007FE"/>
    <w:rsid w:val="3A802587"/>
    <w:rsid w:val="3A852164"/>
    <w:rsid w:val="3A894963"/>
    <w:rsid w:val="3AF93D6C"/>
    <w:rsid w:val="3AFD06C8"/>
    <w:rsid w:val="3B7C2CE4"/>
    <w:rsid w:val="3BAF716B"/>
    <w:rsid w:val="3C0B5355"/>
    <w:rsid w:val="3CA14627"/>
    <w:rsid w:val="3CD4176B"/>
    <w:rsid w:val="3D1F44D9"/>
    <w:rsid w:val="3D5C38CD"/>
    <w:rsid w:val="3DC92CFC"/>
    <w:rsid w:val="3E5070F1"/>
    <w:rsid w:val="3E7B7724"/>
    <w:rsid w:val="3EC370CB"/>
    <w:rsid w:val="3F6C3589"/>
    <w:rsid w:val="3F850180"/>
    <w:rsid w:val="3F9004D6"/>
    <w:rsid w:val="3FEE7CFA"/>
    <w:rsid w:val="400622DD"/>
    <w:rsid w:val="400E4D5E"/>
    <w:rsid w:val="40E1138C"/>
    <w:rsid w:val="413814BA"/>
    <w:rsid w:val="41872511"/>
    <w:rsid w:val="41DF1251"/>
    <w:rsid w:val="424236D9"/>
    <w:rsid w:val="42466655"/>
    <w:rsid w:val="427E6067"/>
    <w:rsid w:val="42C4532E"/>
    <w:rsid w:val="42C82F57"/>
    <w:rsid w:val="435707E5"/>
    <w:rsid w:val="438D180E"/>
    <w:rsid w:val="43AE2CD7"/>
    <w:rsid w:val="43C76AF7"/>
    <w:rsid w:val="43E97E4A"/>
    <w:rsid w:val="444A6F72"/>
    <w:rsid w:val="446828F0"/>
    <w:rsid w:val="45093E85"/>
    <w:rsid w:val="451C1003"/>
    <w:rsid w:val="45C13B4D"/>
    <w:rsid w:val="46054BCA"/>
    <w:rsid w:val="464C6AFC"/>
    <w:rsid w:val="464F10CD"/>
    <w:rsid w:val="468B0091"/>
    <w:rsid w:val="46A107C3"/>
    <w:rsid w:val="46B15CE2"/>
    <w:rsid w:val="46BE113D"/>
    <w:rsid w:val="46E44B13"/>
    <w:rsid w:val="4703508A"/>
    <w:rsid w:val="474806E5"/>
    <w:rsid w:val="475023F8"/>
    <w:rsid w:val="47826876"/>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4A2ACF"/>
    <w:rsid w:val="4A7F3979"/>
    <w:rsid w:val="4ADA1F63"/>
    <w:rsid w:val="4AE23D89"/>
    <w:rsid w:val="4B2038D0"/>
    <w:rsid w:val="4B21175C"/>
    <w:rsid w:val="4B296E7D"/>
    <w:rsid w:val="4B79394E"/>
    <w:rsid w:val="4B877F28"/>
    <w:rsid w:val="4BB5666E"/>
    <w:rsid w:val="4BDE1449"/>
    <w:rsid w:val="4C7E1155"/>
    <w:rsid w:val="4D916BA6"/>
    <w:rsid w:val="4D9D377E"/>
    <w:rsid w:val="4DC44169"/>
    <w:rsid w:val="4DE24E21"/>
    <w:rsid w:val="4E1B19A3"/>
    <w:rsid w:val="4E48787F"/>
    <w:rsid w:val="4EF0709E"/>
    <w:rsid w:val="4F0469A4"/>
    <w:rsid w:val="500E56F4"/>
    <w:rsid w:val="50540C73"/>
    <w:rsid w:val="50752AF8"/>
    <w:rsid w:val="510D474B"/>
    <w:rsid w:val="513C6A7B"/>
    <w:rsid w:val="51886ED6"/>
    <w:rsid w:val="51D458BD"/>
    <w:rsid w:val="51D756CF"/>
    <w:rsid w:val="51DA5080"/>
    <w:rsid w:val="51DE4937"/>
    <w:rsid w:val="522956BF"/>
    <w:rsid w:val="52690DDA"/>
    <w:rsid w:val="52EC6EC2"/>
    <w:rsid w:val="532D486F"/>
    <w:rsid w:val="5333545B"/>
    <w:rsid w:val="538D0E89"/>
    <w:rsid w:val="5450213C"/>
    <w:rsid w:val="54556C40"/>
    <w:rsid w:val="54D24048"/>
    <w:rsid w:val="54D64CD5"/>
    <w:rsid w:val="55177DCA"/>
    <w:rsid w:val="5532287C"/>
    <w:rsid w:val="55887D69"/>
    <w:rsid w:val="561A0928"/>
    <w:rsid w:val="56423872"/>
    <w:rsid w:val="56530F5D"/>
    <w:rsid w:val="566D249F"/>
    <w:rsid w:val="568C2DF1"/>
    <w:rsid w:val="569E06BC"/>
    <w:rsid w:val="56B279F0"/>
    <w:rsid w:val="56F20F86"/>
    <w:rsid w:val="579D710E"/>
    <w:rsid w:val="581F22F6"/>
    <w:rsid w:val="586E1E17"/>
    <w:rsid w:val="58862C35"/>
    <w:rsid w:val="58C14957"/>
    <w:rsid w:val="58CC23D2"/>
    <w:rsid w:val="58E66050"/>
    <w:rsid w:val="59FA18CA"/>
    <w:rsid w:val="59FC7994"/>
    <w:rsid w:val="5AE83A50"/>
    <w:rsid w:val="5B186BCB"/>
    <w:rsid w:val="5B353193"/>
    <w:rsid w:val="5B920ABA"/>
    <w:rsid w:val="5BA209E6"/>
    <w:rsid w:val="5BAB2917"/>
    <w:rsid w:val="5BFC33FA"/>
    <w:rsid w:val="5C3107A4"/>
    <w:rsid w:val="5C3B1B93"/>
    <w:rsid w:val="5C9220DF"/>
    <w:rsid w:val="5CAB5C1D"/>
    <w:rsid w:val="5CDB4A84"/>
    <w:rsid w:val="5D0E4DFF"/>
    <w:rsid w:val="5D4A15F3"/>
    <w:rsid w:val="5D69542A"/>
    <w:rsid w:val="5D783B72"/>
    <w:rsid w:val="5E0930EF"/>
    <w:rsid w:val="5E1F2629"/>
    <w:rsid w:val="5E3D4D53"/>
    <w:rsid w:val="5E4717E6"/>
    <w:rsid w:val="5E55774C"/>
    <w:rsid w:val="5E8A70FF"/>
    <w:rsid w:val="5EAE689B"/>
    <w:rsid w:val="5EEE3F19"/>
    <w:rsid w:val="5F5634AA"/>
    <w:rsid w:val="60045F96"/>
    <w:rsid w:val="60104DDC"/>
    <w:rsid w:val="603A4978"/>
    <w:rsid w:val="605C0804"/>
    <w:rsid w:val="60913E6F"/>
    <w:rsid w:val="615960D0"/>
    <w:rsid w:val="61733C3E"/>
    <w:rsid w:val="6189617B"/>
    <w:rsid w:val="61994610"/>
    <w:rsid w:val="61B52BB6"/>
    <w:rsid w:val="61B749C2"/>
    <w:rsid w:val="62280D20"/>
    <w:rsid w:val="62CA2457"/>
    <w:rsid w:val="638240A1"/>
    <w:rsid w:val="63833423"/>
    <w:rsid w:val="63A5257B"/>
    <w:rsid w:val="63BD3DCC"/>
    <w:rsid w:val="63C61741"/>
    <w:rsid w:val="63FC2B8B"/>
    <w:rsid w:val="64560967"/>
    <w:rsid w:val="649F022D"/>
    <w:rsid w:val="656B1D10"/>
    <w:rsid w:val="659464B9"/>
    <w:rsid w:val="65B841F9"/>
    <w:rsid w:val="65C25A96"/>
    <w:rsid w:val="66022B28"/>
    <w:rsid w:val="664A38E2"/>
    <w:rsid w:val="66581E87"/>
    <w:rsid w:val="66FA11D5"/>
    <w:rsid w:val="674302C7"/>
    <w:rsid w:val="67CB09D8"/>
    <w:rsid w:val="67EE3B0F"/>
    <w:rsid w:val="67F334FF"/>
    <w:rsid w:val="680A5986"/>
    <w:rsid w:val="680D4239"/>
    <w:rsid w:val="680D5F4B"/>
    <w:rsid w:val="68113F51"/>
    <w:rsid w:val="68A613C0"/>
    <w:rsid w:val="68E94770"/>
    <w:rsid w:val="68F949C9"/>
    <w:rsid w:val="695A4290"/>
    <w:rsid w:val="69F10D61"/>
    <w:rsid w:val="6A334932"/>
    <w:rsid w:val="6A3353FF"/>
    <w:rsid w:val="6A5D63E6"/>
    <w:rsid w:val="6A5F24D1"/>
    <w:rsid w:val="6ACA70C4"/>
    <w:rsid w:val="6AE347EB"/>
    <w:rsid w:val="6B330365"/>
    <w:rsid w:val="6B434AF0"/>
    <w:rsid w:val="6B57675A"/>
    <w:rsid w:val="6B87098A"/>
    <w:rsid w:val="6BBD7C07"/>
    <w:rsid w:val="6BDD7B4D"/>
    <w:rsid w:val="6D6830E8"/>
    <w:rsid w:val="6EBC0B3A"/>
    <w:rsid w:val="6EC15AE8"/>
    <w:rsid w:val="6EF51C7D"/>
    <w:rsid w:val="6F8363E5"/>
    <w:rsid w:val="6F841DCF"/>
    <w:rsid w:val="6FA80CCD"/>
    <w:rsid w:val="6FAC3CC5"/>
    <w:rsid w:val="6FC746F5"/>
    <w:rsid w:val="700B307F"/>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A66027"/>
    <w:rsid w:val="75252DF3"/>
    <w:rsid w:val="75621536"/>
    <w:rsid w:val="75BF3154"/>
    <w:rsid w:val="75F524E3"/>
    <w:rsid w:val="764A07CF"/>
    <w:rsid w:val="764B5F71"/>
    <w:rsid w:val="764F6B3D"/>
    <w:rsid w:val="76564426"/>
    <w:rsid w:val="767B1762"/>
    <w:rsid w:val="76C801E3"/>
    <w:rsid w:val="76CD2B7B"/>
    <w:rsid w:val="76D80645"/>
    <w:rsid w:val="76E03371"/>
    <w:rsid w:val="771211AA"/>
    <w:rsid w:val="780E5898"/>
    <w:rsid w:val="782642CC"/>
    <w:rsid w:val="7894095E"/>
    <w:rsid w:val="78964555"/>
    <w:rsid w:val="789B61D9"/>
    <w:rsid w:val="78CF4963"/>
    <w:rsid w:val="78FC0BE5"/>
    <w:rsid w:val="79000679"/>
    <w:rsid w:val="79197217"/>
    <w:rsid w:val="791C0FE5"/>
    <w:rsid w:val="791D1444"/>
    <w:rsid w:val="79A416F0"/>
    <w:rsid w:val="79B03EB6"/>
    <w:rsid w:val="79B61437"/>
    <w:rsid w:val="7AE15A5C"/>
    <w:rsid w:val="7AF37579"/>
    <w:rsid w:val="7AF87F64"/>
    <w:rsid w:val="7B1C0C84"/>
    <w:rsid w:val="7B2875A9"/>
    <w:rsid w:val="7B5A62DF"/>
    <w:rsid w:val="7B7A04A8"/>
    <w:rsid w:val="7C0C3F6D"/>
    <w:rsid w:val="7C22163C"/>
    <w:rsid w:val="7C457B4B"/>
    <w:rsid w:val="7C595075"/>
    <w:rsid w:val="7C6B07B2"/>
    <w:rsid w:val="7CFE79CD"/>
    <w:rsid w:val="7D1224A2"/>
    <w:rsid w:val="7D133243"/>
    <w:rsid w:val="7D4D4C17"/>
    <w:rsid w:val="7D945420"/>
    <w:rsid w:val="7E394207"/>
    <w:rsid w:val="7E4007A2"/>
    <w:rsid w:val="7E791CAD"/>
    <w:rsid w:val="7EA50DFB"/>
    <w:rsid w:val="7EC86878"/>
    <w:rsid w:val="7F0864D9"/>
    <w:rsid w:val="7F1255AA"/>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alloon Text"/>
    <w:basedOn w:val="1"/>
    <w:link w:val="36"/>
    <w:semiHidden/>
    <w:unhideWhenUsed/>
    <w:qFormat/>
    <w:uiPriority w:val="99"/>
    <w:rPr>
      <w:sz w:val="18"/>
      <w:szCs w:val="18"/>
    </w:rPr>
  </w:style>
  <w:style w:type="paragraph" w:styleId="17">
    <w:name w:val="footer"/>
    <w:basedOn w:val="1"/>
    <w:link w:val="30"/>
    <w:unhideWhenUsed/>
    <w:qFormat/>
    <w:uiPriority w:val="99"/>
    <w:pPr>
      <w:tabs>
        <w:tab w:val="center" w:pos="4153"/>
        <w:tab w:val="right" w:pos="8306"/>
      </w:tabs>
      <w:snapToGrid w:val="0"/>
      <w:jc w:val="left"/>
    </w:pPr>
    <w:rPr>
      <w:sz w:val="18"/>
      <w:szCs w:val="18"/>
    </w:rPr>
  </w:style>
  <w:style w:type="paragraph" w:styleId="18">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paragraph" w:customStyle="1" w:styleId="28">
    <w:name w:val="样式 正文文字 + 首行缩进:  2 字符2"/>
    <w:basedOn w:val="1"/>
    <w:qFormat/>
    <w:uiPriority w:val="0"/>
    <w:pPr>
      <w:spacing w:line="480" w:lineRule="atLeast"/>
      <w:ind w:firstLine="560" w:firstLineChars="200"/>
    </w:pPr>
    <w:rPr>
      <w:rFonts w:cs="宋体"/>
      <w:szCs w:val="20"/>
    </w:rPr>
  </w:style>
  <w:style w:type="character" w:customStyle="1" w:styleId="29">
    <w:name w:val="页眉 Char"/>
    <w:basedOn w:val="25"/>
    <w:link w:val="18"/>
    <w:semiHidden/>
    <w:qFormat/>
    <w:uiPriority w:val="99"/>
    <w:rPr>
      <w:sz w:val="18"/>
      <w:szCs w:val="18"/>
    </w:rPr>
  </w:style>
  <w:style w:type="character" w:customStyle="1" w:styleId="30">
    <w:name w:val="页脚 Char"/>
    <w:basedOn w:val="25"/>
    <w:link w:val="17"/>
    <w:qFormat/>
    <w:uiPriority w:val="99"/>
    <w:rPr>
      <w:sz w:val="18"/>
      <w:szCs w:val="18"/>
    </w:rPr>
  </w:style>
  <w:style w:type="character" w:customStyle="1" w:styleId="31">
    <w:name w:val="标题 1 Char"/>
    <w:basedOn w:val="25"/>
    <w:link w:val="3"/>
    <w:qFormat/>
    <w:uiPriority w:val="9"/>
    <w:rPr>
      <w:rFonts w:eastAsia="方正小标宋简体"/>
      <w:bCs/>
      <w:kern w:val="44"/>
      <w:sz w:val="44"/>
      <w:szCs w:val="44"/>
    </w:rPr>
  </w:style>
  <w:style w:type="character" w:customStyle="1" w:styleId="32">
    <w:name w:val="标题 2 Char"/>
    <w:basedOn w:val="25"/>
    <w:link w:val="4"/>
    <w:qFormat/>
    <w:uiPriority w:val="9"/>
    <w:rPr>
      <w:rFonts w:eastAsia="方正小标宋简体" w:asciiTheme="majorHAnsi" w:hAnsiTheme="majorHAnsi" w:cstheme="majorBidi"/>
      <w:bCs/>
      <w:sz w:val="36"/>
      <w:szCs w:val="32"/>
    </w:rPr>
  </w:style>
  <w:style w:type="character" w:customStyle="1" w:styleId="33">
    <w:name w:val="标题 3 Char"/>
    <w:basedOn w:val="25"/>
    <w:link w:val="5"/>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5"/>
    <w:link w:val="16"/>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4"/>
    <w:next w:val="14"/>
    <w:qFormat/>
    <w:uiPriority w:val="0"/>
    <w:pPr>
      <w:spacing w:after="373"/>
    </w:pPr>
    <w:rPr>
      <w:color w:val="auto"/>
    </w:rPr>
  </w:style>
  <w:style w:type="paragraph" w:customStyle="1" w:styleId="39">
    <w:name w:val="CM91"/>
    <w:basedOn w:val="14"/>
    <w:next w:val="14"/>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5"/>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character" w:customStyle="1" w:styleId="47">
    <w:name w:val="font51"/>
    <w:basedOn w:val="25"/>
    <w:qFormat/>
    <w:uiPriority w:val="0"/>
    <w:rPr>
      <w:rFonts w:ascii="Arial" w:hAnsi="Arial" w:cs="Arial"/>
      <w:color w:val="000000"/>
      <w:sz w:val="28"/>
      <w:szCs w:val="28"/>
      <w:u w:val="none"/>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BodyText2"/>
    <w:basedOn w:val="1"/>
    <w:qFormat/>
    <w:uiPriority w:val="0"/>
    <w:pPr>
      <w:spacing w:after="120" w:line="480" w:lineRule="auto"/>
      <w:jc w:val="both"/>
      <w:textAlignment w:val="baseline"/>
    </w:pPr>
  </w:style>
  <w:style w:type="paragraph" w:customStyle="1" w:styleId="50">
    <w:name w:val="BodyText"/>
    <w:basedOn w:val="1"/>
    <w:next w:val="49"/>
    <w:qFormat/>
    <w:uiPriority w:val="0"/>
    <w:pPr>
      <w:textAlignment w:val="baseline"/>
    </w:pPr>
    <w:rPr>
      <w:sz w:val="28"/>
    </w:rPr>
  </w:style>
  <w:style w:type="paragraph" w:customStyle="1" w:styleId="51">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2">
    <w:name w:val="_Style 1"/>
    <w:basedOn w:val="1"/>
    <w:qFormat/>
    <w:uiPriority w:val="0"/>
    <w:pPr>
      <w:ind w:firstLine="20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29957</Words>
  <Characters>31970</Characters>
  <Lines>300</Lines>
  <Paragraphs>84</Paragraphs>
  <TotalTime>17</TotalTime>
  <ScaleCrop>false</ScaleCrop>
  <LinksUpToDate>false</LinksUpToDate>
  <CharactersWithSpaces>34233</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2024-04-10T07:11:00Z</cp:lastPrinted>
  <dcterms:modified xsi:type="dcterms:W3CDTF">2024-05-23T08:02:32Z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A04066097A9541B1A1DA2DDF320F94CD</vt:lpwstr>
  </property>
</Properties>
</file>