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hAnsiTheme="minorHAnsi" w:cstheme="minorBidi"/>
          <w:b w:val="0"/>
          <w:bCs w:val="0"/>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广州市净水有限公司江高</w:t>
      </w:r>
      <w:r>
        <w:rPr>
          <w:rFonts w:hint="eastAsia" w:ascii="方正小标宋简体" w:eastAsia="方正小标宋简体" w:hAnsiTheme="minorHAnsi" w:cstheme="minorBidi"/>
          <w:b w:val="0"/>
          <w:bCs w:val="0"/>
          <w:color w:val="auto"/>
          <w:sz w:val="52"/>
          <w:szCs w:val="52"/>
          <w:highlight w:val="none"/>
          <w:lang w:val="en-US" w:eastAsia="zh-CN"/>
        </w:rPr>
        <w:t>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hAnsiTheme="minorHAnsi" w:cstheme="minorBidi"/>
          <w:b w:val="0"/>
          <w:bCs w:val="0"/>
          <w:color w:val="auto"/>
          <w:sz w:val="52"/>
          <w:szCs w:val="52"/>
          <w:highlight w:val="none"/>
          <w:lang w:val="en-US" w:eastAsia="zh-CN"/>
        </w:rPr>
        <w:t>《污水处理企业安全生产标准化建设规范》团体标准贯标技术服务项目</w:t>
      </w:r>
    </w:p>
    <w:p>
      <w:pPr>
        <w:pStyle w:val="2"/>
        <w:ind w:firstLine="0"/>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jc w:val="center"/>
        <w:rPr>
          <w:color w:val="auto"/>
          <w:highlight w:val="none"/>
        </w:rPr>
      </w:pPr>
      <w:r>
        <w:rPr>
          <w:rFonts w:ascii="黑体" w:hAnsi="黑体" w:eastAsia="黑体" w:cs="仿宋_GB2312"/>
          <w:color w:val="auto"/>
          <w:sz w:val="32"/>
          <w:szCs w:val="32"/>
          <w:highlight w:val="none"/>
        </w:rPr>
        <w:br w:type="page"/>
      </w:r>
    </w:p>
    <w:p>
      <w:pPr>
        <w:pStyle w:val="3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rPr>
          <w:rFonts w:hint="eastAsia"/>
          <w:color w:val="auto"/>
          <w:highlight w:val="none"/>
        </w:rPr>
      </w:pPr>
      <w:bookmarkStart w:id="0" w:name="_Toc26148"/>
      <w:bookmarkStart w:id="1" w:name="_Toc18145"/>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1322"/>
      <w:bookmarkStart w:id="5" w:name="_Toc7519"/>
      <w:bookmarkStart w:id="6" w:name="_Toc19609"/>
      <w:bookmarkStart w:id="7" w:name="_Toc1669"/>
      <w:bookmarkStart w:id="8" w:name="_Toc4275"/>
      <w:bookmarkStart w:id="9" w:name="_Toc31938"/>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江高分公司《污水处理企业安全生产标准化建设规范》团体标准贯标技术服务项目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1.1采购项目名称：广州市净水有限公司</w:t>
      </w:r>
      <w:r>
        <w:rPr>
          <w:rFonts w:hint="eastAsia" w:ascii="仿宋_GB2312" w:eastAsia="仿宋_GB2312"/>
          <w:color w:val="auto"/>
          <w:sz w:val="28"/>
          <w:szCs w:val="28"/>
          <w:highlight w:val="none"/>
          <w:lang w:val="en-US" w:eastAsia="zh-CN"/>
        </w:rPr>
        <w:t>江高分公司《污水处理企业安全生产标准化建设规范》团体标准贯标技术服务项目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1.2项目编号：14102024X00005</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¥49500</w:t>
      </w:r>
      <w:r>
        <w:rPr>
          <w:rFonts w:hint="eastAsia" w:ascii="仿宋" w:hAnsi="仿宋" w:eastAsia="仿宋" w:cs="仿宋"/>
          <w:color w:val="auto"/>
          <w:sz w:val="28"/>
          <w:szCs w:val="28"/>
          <w:u w:val="single"/>
        </w:rPr>
        <w:t>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numPr>
          <w:ilvl w:val="-1"/>
          <w:numId w:val="0"/>
        </w:numPr>
        <w:adjustRightInd/>
        <w:snapToGrid/>
        <w:spacing w:line="360" w:lineRule="auto"/>
        <w:ind w:firstLine="0" w:firstLineChars="0"/>
        <w:jc w:val="left"/>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eastAsia="仿宋_GB2312"/>
          <w:color w:val="auto"/>
          <w:sz w:val="28"/>
          <w:szCs w:val="28"/>
          <w:highlight w:val="none"/>
        </w:rPr>
        <w:t>2.1采购内容和范围：</w:t>
      </w:r>
      <w:r>
        <w:rPr>
          <w:rFonts w:hint="eastAsia" w:ascii="仿宋_GB2312" w:hAnsi="仿宋_GB2312" w:eastAsia="仿宋_GB2312" w:cs="仿宋_GB2312"/>
          <w:color w:val="auto"/>
          <w:sz w:val="28"/>
          <w:szCs w:val="28"/>
          <w:highlight w:val="none"/>
          <w:u w:val="single"/>
        </w:rPr>
        <w:t>1</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kern w:val="0"/>
          <w:sz w:val="28"/>
          <w:szCs w:val="28"/>
          <w:u w:val="single"/>
          <w:lang w:val="en-US" w:eastAsia="zh-CN"/>
        </w:rPr>
        <w:t>体系文件收集与诊断：</w:t>
      </w:r>
      <w:r>
        <w:rPr>
          <w:rFonts w:hint="eastAsia" w:ascii="仿宋_GB2312" w:hAnsi="仿宋_GB2312" w:eastAsia="仿宋_GB2312" w:cs="仿宋_GB2312"/>
          <w:color w:val="auto"/>
          <w:kern w:val="2"/>
          <w:sz w:val="28"/>
          <w:szCs w:val="28"/>
          <w:u w:val="single"/>
          <w:lang w:val="en-US" w:eastAsia="zh-CN" w:bidi="ar-SA"/>
        </w:rPr>
        <w:t>针对目前标准化体系运营情况进行诊断，安全生产基础管理档案完善</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kern w:val="0"/>
          <w:sz w:val="28"/>
          <w:szCs w:val="28"/>
          <w:u w:val="single"/>
          <w:lang w:val="en-US" w:eastAsia="zh-CN"/>
        </w:rPr>
        <w:t>隐患排查：对现场安全生产条件等进行排查，出具隐患排查报告</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kern w:val="0"/>
          <w:sz w:val="28"/>
          <w:szCs w:val="28"/>
          <w:u w:val="single"/>
          <w:lang w:val="en-US" w:eastAsia="zh-CN"/>
        </w:rPr>
        <w:t>整改辅导及技术支持建立、完善安全生产标准化档案资料：隐患排查整改报告、档案资料建立、完善</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kern w:val="0"/>
          <w:sz w:val="28"/>
          <w:szCs w:val="28"/>
          <w:u w:val="single"/>
          <w:lang w:val="en-US" w:eastAsia="zh-CN"/>
        </w:rPr>
        <w:t>撰写自评报告：依据</w:t>
      </w:r>
      <w:r>
        <w:rPr>
          <w:rFonts w:hint="eastAsia" w:ascii="仿宋_GB2312" w:hAnsi="仿宋_GB2312" w:eastAsia="仿宋_GB2312" w:cs="仿宋_GB2312"/>
          <w:b w:val="0"/>
          <w:bCs w:val="0"/>
          <w:i w:val="0"/>
          <w:caps w:val="0"/>
          <w:color w:val="auto"/>
          <w:spacing w:val="0"/>
          <w:sz w:val="28"/>
          <w:szCs w:val="28"/>
          <w:u w:val="single"/>
          <w:shd w:val="clear" w:color="auto" w:fill="FFFFFF"/>
          <w:lang w:val="en-US" w:eastAsia="zh-CN"/>
        </w:rPr>
        <w:t>《污水处理企业安全生产标准化建设规范》</w:t>
      </w:r>
      <w:r>
        <w:rPr>
          <w:rFonts w:hint="eastAsia" w:ascii="仿宋_GB2312" w:hAnsi="仿宋_GB2312" w:eastAsia="仿宋_GB2312" w:cs="仿宋_GB2312"/>
          <w:b w:val="0"/>
          <w:bCs w:val="0"/>
          <w:color w:val="auto"/>
          <w:kern w:val="2"/>
          <w:sz w:val="28"/>
          <w:szCs w:val="28"/>
          <w:u w:val="single"/>
          <w:lang w:val="en-US" w:eastAsia="zh-CN" w:bidi="ar-SA"/>
        </w:rPr>
        <w:t>（TGDPAWS 11—2022）</w:t>
      </w:r>
      <w:r>
        <w:rPr>
          <w:rFonts w:hint="eastAsia" w:ascii="仿宋_GB2312" w:hAnsi="仿宋_GB2312" w:eastAsia="仿宋_GB2312" w:cs="仿宋_GB2312"/>
          <w:color w:val="auto"/>
          <w:kern w:val="0"/>
          <w:sz w:val="28"/>
          <w:szCs w:val="28"/>
          <w:u w:val="single"/>
          <w:lang w:val="en-US" w:eastAsia="zh-CN"/>
        </w:rPr>
        <w:t>对企业进行自评，完成《贯标评价报告》。5.负责实施贯标评价过程（含</w:t>
      </w:r>
      <w:r>
        <w:rPr>
          <w:rFonts w:hint="eastAsia" w:ascii="仿宋_GB2312" w:hAnsi="仿宋_GB2312" w:eastAsia="仿宋_GB2312" w:cs="仿宋_GB2312"/>
          <w:color w:val="auto"/>
          <w:sz w:val="28"/>
          <w:szCs w:val="28"/>
          <w:u w:val="single"/>
          <w:lang w:val="en-US" w:eastAsia="zh-CN"/>
        </w:rPr>
        <w:t>首次会议、</w:t>
      </w:r>
      <w:r>
        <w:rPr>
          <w:rFonts w:hint="eastAsia" w:ascii="仿宋_GB2312" w:hAnsi="仿宋_GB2312" w:eastAsia="仿宋_GB2312" w:cs="仿宋_GB2312"/>
          <w:bCs/>
          <w:color w:val="auto"/>
          <w:sz w:val="28"/>
          <w:szCs w:val="28"/>
          <w:u w:val="single"/>
          <w:lang w:val="en-US" w:eastAsia="zh-CN"/>
        </w:rPr>
        <w:t>文件评价、现场评价、</w:t>
      </w:r>
      <w:r>
        <w:rPr>
          <w:rFonts w:hint="eastAsia" w:ascii="仿宋_GB2312" w:hAnsi="仿宋_GB2312" w:eastAsia="仿宋_GB2312" w:cs="仿宋_GB2312"/>
          <w:b w:val="0"/>
          <w:bCs/>
          <w:color w:val="auto"/>
          <w:kern w:val="2"/>
          <w:sz w:val="28"/>
          <w:szCs w:val="28"/>
          <w:u w:val="single"/>
          <w:lang w:val="en-US" w:eastAsia="zh-CN" w:bidi="ar-SA"/>
        </w:rPr>
        <w:t>末次会议</w:t>
      </w:r>
      <w:r>
        <w:rPr>
          <w:rFonts w:hint="eastAsia" w:ascii="仿宋_GB2312" w:hAnsi="仿宋_GB2312" w:eastAsia="仿宋_GB2312" w:cs="仿宋_GB2312"/>
          <w:color w:val="auto"/>
          <w:kern w:val="0"/>
          <w:sz w:val="28"/>
          <w:szCs w:val="28"/>
          <w:u w:val="single"/>
          <w:lang w:val="en-US" w:eastAsia="zh-CN"/>
        </w:rPr>
        <w:t>），并</w:t>
      </w:r>
      <w:r>
        <w:rPr>
          <w:rFonts w:hint="eastAsia" w:ascii="仿宋_GB2312" w:hAnsi="仿宋_GB2312" w:eastAsia="仿宋_GB2312" w:cs="仿宋_GB2312"/>
          <w:color w:val="auto"/>
          <w:kern w:val="2"/>
          <w:sz w:val="28"/>
          <w:szCs w:val="28"/>
          <w:u w:val="single"/>
          <w:lang w:val="en-US" w:eastAsia="zh-CN" w:bidi="ar-SA"/>
        </w:rPr>
        <w:t>上报省安全生产协会公告、发证，取得《贯标证书》（AAAA级）</w:t>
      </w:r>
      <w:r>
        <w:rPr>
          <w:rFonts w:hint="eastAsia" w:ascii="仿宋_GB2312" w:hAnsi="仿宋_GB2312" w:eastAsia="仿宋_GB2312" w:cs="仿宋_GB2312"/>
          <w:color w:val="auto"/>
          <w:kern w:val="2"/>
          <w:sz w:val="28"/>
          <w:szCs w:val="28"/>
          <w:highlight w:val="none"/>
          <w:u w:val="single"/>
        </w:rPr>
        <w:t>。</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自合同签订日期起至4个月内。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广州市白云区江高镇南贤路1号广州市净水有限公司江高分公司。</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详见第五章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utoSpaceDE w:val="0"/>
        <w:autoSpaceDN w:val="0"/>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auto"/>
          <w:sz w:val="28"/>
          <w:szCs w:val="28"/>
          <w:u w:val="single"/>
        </w:rPr>
        <w:t>报价单位须是在中华人民共和国境内注册的法人或其他组织，具有独立法人资格，持有事业单位登记管理部门核发的事业单位法人证书或工商行政管理部门核发的企业法人营业执照，且在有效期内</w:t>
      </w:r>
      <w:r>
        <w:rPr>
          <w:rFonts w:hint="eastAsia" w:ascii="仿宋_GB2312" w:hAnsi="仿宋_GB2312" w:eastAsia="仿宋_GB2312" w:cs="仿宋_GB2312"/>
          <w:color w:val="auto"/>
          <w:sz w:val="28"/>
          <w:szCs w:val="28"/>
          <w:highlight w:val="none"/>
          <w:u w:val="single"/>
          <w:lang w:val="en-US" w:eastAsia="zh-CN"/>
        </w:rPr>
        <w:t>。</w:t>
      </w:r>
    </w:p>
    <w:p>
      <w:pPr>
        <w:autoSpaceDE w:val="0"/>
        <w:autoSpaceDN w:val="0"/>
        <w:ind w:firstLine="560" w:firstLineChars="200"/>
        <w:rPr>
          <w:rFonts w:hint="default" w:ascii="仿宋_GB2312" w:hAnsi="仿宋_GB2312" w:eastAsia="仿宋_GB2312" w:cs="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lang w:val="en-US" w:eastAsia="zh-CN"/>
        </w:rPr>
        <w:t>报价单位必须持有广东省安全生产协会颁发的《安全生产标准化建设指导单位证书》（提供扫描件）。</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安全生产标准化管理体系贯标咨询服务业绩</w:t>
      </w:r>
      <w:bookmarkStart w:id="137" w:name="_GoBack"/>
      <w:bookmarkEnd w:id="137"/>
      <w:r>
        <w:rPr>
          <w:rFonts w:hint="eastAsia" w:ascii="仿宋_GB2312" w:eastAsia="仿宋_GB2312"/>
          <w:color w:val="auto"/>
          <w:sz w:val="28"/>
          <w:szCs w:val="28"/>
          <w:highlight w:val="none"/>
        </w:rPr>
        <w:t>。（提供合同复印件证明，包括但不限于项目名称、金额及实施内容、合同盖章、签订日期，加盖单位公章）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FF0000"/>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spacing w:line="600" w:lineRule="exact"/>
        <w:ind w:firstLine="420" w:firstLineChars="150"/>
        <w:rPr>
          <w:rFonts w:hint="eastAsia"/>
        </w:rPr>
      </w:pPr>
      <w:r>
        <w:rPr>
          <w:rFonts w:hint="eastAsia" w:ascii="仿宋_GB2312" w:eastAsia="仿宋_GB2312"/>
          <w:color w:val="auto"/>
          <w:sz w:val="28"/>
          <w:szCs w:val="28"/>
          <w:highlight w:val="none"/>
        </w:rPr>
        <w:t>（8）被“全国企业信用信息公示系统”（网址：</w:t>
      </w:r>
      <w:r>
        <w:rPr>
          <w:rFonts w:hint="eastAsia"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 HYPERLINK "http://www.gsxt.gov.cn/）" </w:instrText>
      </w:r>
      <w:r>
        <w:rPr>
          <w:rFonts w:hint="eastAsia" w:ascii="仿宋_GB2312" w:eastAsia="仿宋_GB2312"/>
          <w:color w:val="auto"/>
          <w:sz w:val="28"/>
          <w:szCs w:val="28"/>
          <w:highlight w:val="none"/>
        </w:rPr>
        <w:fldChar w:fldCharType="separate"/>
      </w:r>
      <w:r>
        <w:rPr>
          <w:rStyle w:val="25"/>
          <w:rFonts w:hint="eastAsia" w:ascii="仿宋_GB2312" w:eastAsia="仿宋_GB2312"/>
          <w:color w:val="auto"/>
          <w:sz w:val="28"/>
          <w:szCs w:val="28"/>
          <w:highlight w:val="none"/>
        </w:rPr>
        <w:t>http://www.gsxt.gov.cn/）</w:t>
      </w:r>
      <w:r>
        <w:rPr>
          <w:rFonts w:hint="eastAsia" w:ascii="仿宋_GB2312" w:eastAsia="仿宋_GB2312"/>
          <w:color w:val="auto"/>
          <w:sz w:val="28"/>
          <w:szCs w:val="28"/>
          <w:highlight w:val="none"/>
        </w:rPr>
        <w:fldChar w:fldCharType="end"/>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20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27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auto"/>
          <w:sz w:val="28"/>
          <w:szCs w:val="28"/>
          <w:lang w:val="en-US" w:eastAsia="zh-CN"/>
        </w:rPr>
        <w:t>广州市白云区江高镇南贤路1号广州市净水有限公司江高分公司</w:t>
      </w:r>
      <w:r>
        <w:rPr>
          <w:rFonts w:hint="eastAsia" w:ascii="仿宋_GB2312" w:hAnsi="仿宋_GB2312" w:eastAsia="仿宋_GB2312" w:cs="仿宋_GB2312"/>
          <w:color w:val="auto"/>
          <w:sz w:val="28"/>
          <w:szCs w:val="28"/>
          <w:highlight w:val="none"/>
        </w:rPr>
        <w:t>。</w:t>
      </w:r>
    </w:p>
    <w:p>
      <w:pPr>
        <w:pStyle w:val="2"/>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（注：授权委托人须通过“广州净水公司”微信公众号（提前）预约，填写访客预约信息。待被访部室审核员审批通过后，凭访客手机生成的“通行访客码”通行。</w:t>
      </w:r>
    </w:p>
    <w:p>
      <w:pPr>
        <w:pStyle w:val="2"/>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响应文件递交预约信息填写：</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（2）“组织”选择“江高分公司”，“部门”选择“生产部”。</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（3）“被访人员”写“吴春城”，“手机号”写“13560474227”。</w:t>
      </w:r>
    </w:p>
    <w:p>
      <w:pPr>
        <w:pStyle w:val="2"/>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（4）“详细描述”一定要写清楚找哪位同事，例如：找李XX，开会。    或：找黄XX，进行“某某某某项目询价”。</w:t>
      </w:r>
    </w:p>
    <w:p>
      <w:pPr>
        <w:pStyle w:val="2"/>
        <w:ind w:firstLine="560" w:firstLineChars="200"/>
        <w:rPr>
          <w:rFonts w:hint="eastAsia" w:ascii="仿宋" w:hAnsi="仿宋" w:eastAsia="仿宋" w:cs="仿宋"/>
          <w:color w:val="auto"/>
          <w:highlight w:val="none"/>
          <w:lang w:val="en-US" w:eastAsia="zh-CN"/>
        </w:rPr>
      </w:pPr>
      <w:r>
        <w:rPr>
          <w:rFonts w:hint="eastAsia" w:ascii="仿宋_GB2312" w:eastAsia="仿宋_GB2312"/>
          <w:color w:val="auto"/>
          <w:sz w:val="28"/>
          <w:szCs w:val="28"/>
          <w:highlight w:val="none"/>
          <w:lang w:val="en-US" w:eastAsia="zh-CN"/>
        </w:rPr>
        <w:t xml:space="preserve">如以快递形式递交响应文件，须在递交截止时间前送达，不参加见证报价开启程序的报价单位视其认可所有报价。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yellow"/>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387"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广州市净水有限公司江高分公司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7" w:type="dxa"/>
          </w:tcPr>
          <w:p>
            <w:pPr>
              <w:adjustRightInd w:val="0"/>
              <w:snapToGrid w:val="0"/>
              <w:spacing w:line="600" w:lineRule="exact"/>
              <w:jc w:val="left"/>
              <w:rPr>
                <w:rFonts w:ascii="仿宋_GB2312" w:eastAsia="仿宋_GB2312"/>
                <w:color w:val="auto"/>
                <w:sz w:val="28"/>
                <w:szCs w:val="28"/>
                <w:highlight w:val="none"/>
                <w:u w:val="singl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none"/>
                <w:lang w:val="en-US" w:eastAsia="zh-CN"/>
              </w:rPr>
              <w:t>广州市白云区江高镇南贤路1号。</w:t>
            </w:r>
          </w:p>
          <w:p>
            <w:pPr>
              <w:adjustRightInd w:val="0"/>
              <w:snapToGrid w:val="0"/>
              <w:spacing w:line="600" w:lineRule="exact"/>
              <w:jc w:val="left"/>
              <w:rPr>
                <w:rFonts w:hint="default" w:ascii="仿宋_GB2312" w:eastAsia="仿宋_GB2312"/>
                <w:color w:val="auto"/>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7"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吴春城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7"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13560474227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5387"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23749"/>
      <w:bookmarkStart w:id="16" w:name="_Toc7340"/>
      <w:bookmarkStart w:id="17" w:name="_Toc16557"/>
      <w:bookmarkStart w:id="18" w:name="_Toc2324"/>
      <w:bookmarkStart w:id="19" w:name="_Toc19295"/>
      <w:bookmarkStart w:id="20" w:name="_Toc32588"/>
      <w:bookmarkStart w:id="21" w:name="_Toc16705"/>
      <w:bookmarkStart w:id="22" w:name="_Toc25603"/>
      <w:bookmarkStart w:id="23" w:name="_Toc9448"/>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color w:val="auto"/>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pStyle w:val="2"/>
        <w:rPr>
          <w:rFonts w:hint="eastAsia" w:ascii="宋体" w:hAnsi="宋体" w:cs="宋体"/>
          <w:b/>
          <w:bCs/>
          <w:color w:val="auto"/>
          <w:sz w:val="44"/>
          <w:szCs w:val="44"/>
          <w:highlight w:val="none"/>
        </w:rPr>
      </w:pPr>
    </w:p>
    <w:p>
      <w:pPr>
        <w:pStyle w:val="2"/>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rPr>
      </w:pPr>
    </w:p>
    <w:p>
      <w:pPr>
        <w:pStyle w:val="2"/>
        <w:rPr>
          <w:color w:val="auto"/>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4"/>
        <w:rPr>
          <w:color w:val="auto"/>
          <w:highlight w:val="none"/>
        </w:rPr>
      </w:pPr>
    </w:p>
    <w:p>
      <w:pPr>
        <w:pStyle w:val="5"/>
        <w:rPr>
          <w:color w:val="auto"/>
          <w:highlight w:val="none"/>
        </w:rPr>
      </w:pPr>
      <w:bookmarkStart w:id="28" w:name="_Toc7303"/>
      <w:bookmarkStart w:id="29" w:name="_Toc7040"/>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广州市白云区江高镇南贤路1号广州市净水有限公司江高地分公司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7437"/>
      <w:bookmarkStart w:id="36" w:name="_Toc14552"/>
      <w:bookmarkStart w:id="37" w:name="_Toc14870"/>
      <w:bookmarkStart w:id="38" w:name="_Toc23581"/>
      <w:bookmarkStart w:id="39" w:name="_Toc7118"/>
      <w:bookmarkStart w:id="40" w:name="_Toc10930"/>
      <w:bookmarkStart w:id="41" w:name="_Toc3156"/>
      <w:bookmarkStart w:id="42" w:name="_Toc20594"/>
      <w:bookmarkStart w:id="43" w:name="_Toc4952"/>
      <w:bookmarkStart w:id="44" w:name="_Toc19759"/>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4"/>
        <w:rPr>
          <w:color w:val="auto"/>
          <w:highlight w:val="none"/>
        </w:rPr>
      </w:pPr>
    </w:p>
    <w:p>
      <w:pPr>
        <w:pStyle w:val="4"/>
        <w:rPr>
          <w:color w:val="auto"/>
          <w:highlight w:val="none"/>
        </w:rPr>
      </w:pPr>
      <w:bookmarkStart w:id="45" w:name="_Toc13898"/>
      <w:bookmarkStart w:id="46" w:name="_Toc21840"/>
      <w:bookmarkStart w:id="47" w:name="_Toc22212"/>
      <w:bookmarkStart w:id="48" w:name="_Toc30530"/>
      <w:bookmarkStart w:id="49" w:name="_Toc7831"/>
      <w:bookmarkStart w:id="50" w:name="_Toc88209941"/>
      <w:bookmarkStart w:id="51" w:name="_Toc21079"/>
      <w:bookmarkStart w:id="52" w:name="_Toc32607"/>
      <w:bookmarkStart w:id="53" w:name="_Toc29484"/>
      <w:bookmarkStart w:id="54" w:name="_Toc29345"/>
      <w:bookmarkStart w:id="55" w:name="_Toc87616378"/>
      <w:bookmarkStart w:id="56" w:name="_Toc6308"/>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4"/>
        <w:rPr>
          <w:rFonts w:hint="eastAsia"/>
          <w:color w:val="auto"/>
          <w:highlight w:val="none"/>
        </w:rPr>
      </w:pPr>
      <w:bookmarkStart w:id="62" w:name="_Toc88209947"/>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zh-CN" w:eastAsia="zh-CN" w:bidi="ar-SA"/>
        </w:rPr>
        <w:t>一、项目情况介绍</w:t>
      </w:r>
    </w:p>
    <w:p>
      <w:pPr>
        <w:keepNext w:val="0"/>
        <w:keepLines w:val="0"/>
        <w:pageBreakBefore w:val="0"/>
        <w:widowControl w:val="0"/>
        <w:kinsoku/>
        <w:overflowPunct/>
        <w:topLinePunct w:val="0"/>
        <w:autoSpaceDE/>
        <w:autoSpaceDN/>
        <w:bidi w:val="0"/>
        <w:adjustRightInd w:val="0"/>
        <w:snapToGrid w:val="0"/>
        <w:spacing w:line="360" w:lineRule="auto"/>
        <w:ind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安全生产标准化要求通过建立安全生产责任制，制定安全管理制度和操作规程，排查治理隐患和监控重大危险源，建立预防机制，规范生产行为，使各生产环节符合有关安全生产法律法规和标准规范的要求。为持续改进提升自我检查、自我纠正和自我完善的能力，建立分公司安全绩效持续改进的安全生产长效机制，建设安全生产标准化系统，满足安全生产标准化的要求，申请开展江高分公司</w:t>
      </w:r>
      <w:r>
        <w:rPr>
          <w:rFonts w:hint="eastAsia" w:ascii="仿宋_GB2312" w:hAnsi="仿宋_GB2312" w:eastAsia="仿宋_GB2312" w:cs="仿宋_GB2312"/>
          <w:b w:val="0"/>
          <w:bCs w:val="0"/>
          <w:i w:val="0"/>
          <w:caps w:val="0"/>
          <w:color w:val="auto"/>
          <w:spacing w:val="0"/>
          <w:sz w:val="28"/>
          <w:szCs w:val="28"/>
          <w:shd w:val="clear" w:color="auto" w:fill="FFFFFF"/>
          <w:lang w:val="en-US" w:eastAsia="zh-CN"/>
        </w:rPr>
        <w:t>《污水处理企业安全生产标准化建设规范》团体标准贯标技术服务</w:t>
      </w:r>
      <w:r>
        <w:rPr>
          <w:rFonts w:hint="eastAsia" w:ascii="仿宋_GB2312" w:hAnsi="仿宋_GB2312" w:eastAsia="仿宋_GB2312" w:cs="仿宋_GB2312"/>
          <w:color w:val="auto"/>
          <w:sz w:val="28"/>
          <w:szCs w:val="28"/>
          <w:lang w:val="en-US" w:eastAsia="zh-CN"/>
        </w:rPr>
        <w:t>项目工作。</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en-US" w:eastAsia="zh-CN" w:bidi="ar-SA"/>
        </w:rPr>
        <w:t>二、</w:t>
      </w:r>
      <w:r>
        <w:rPr>
          <w:rFonts w:hint="eastAsia" w:ascii="仿宋_GB2312" w:hAnsi="仿宋_GB2312" w:eastAsia="仿宋_GB2312" w:cs="仿宋_GB2312"/>
          <w:b/>
          <w:bCs/>
          <w:color w:val="auto"/>
          <w:kern w:val="2"/>
          <w:sz w:val="28"/>
          <w:szCs w:val="28"/>
          <w:highlight w:val="none"/>
          <w:lang w:val="zh-CN" w:eastAsia="zh-CN" w:bidi="ar-SA"/>
        </w:rPr>
        <w:t>项目要求</w:t>
      </w:r>
    </w:p>
    <w:p>
      <w:pPr>
        <w:ind w:left="0" w:leftChars="0" w:firstLine="638" w:firstLineChars="228"/>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1.服务要求</w:t>
      </w:r>
    </w:p>
    <w:p>
      <w:pPr>
        <w:numPr>
          <w:ilvl w:val="-1"/>
          <w:numId w:val="0"/>
        </w:numPr>
        <w:adjustRightInd/>
        <w:snapToGrid/>
        <w:spacing w:line="360" w:lineRule="auto"/>
        <w:ind w:firstLine="560" w:firstLineChars="200"/>
        <w:jc w:val="left"/>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val="en-US" w:eastAsia="zh-CN"/>
        </w:rPr>
        <w:t>1</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 xml:space="preserve">1 </w:t>
      </w:r>
      <w:r>
        <w:rPr>
          <w:rFonts w:hint="eastAsia" w:ascii="仿宋_GB2312" w:hAnsi="仿宋_GB2312" w:eastAsia="仿宋_GB2312" w:cs="仿宋_GB2312"/>
          <w:color w:val="auto"/>
          <w:kern w:val="0"/>
          <w:sz w:val="28"/>
          <w:szCs w:val="28"/>
          <w:u w:val="none"/>
          <w:lang w:val="en-US" w:eastAsia="zh-CN"/>
        </w:rPr>
        <w:t>体系文件收集与诊断：</w:t>
      </w:r>
      <w:r>
        <w:rPr>
          <w:rFonts w:hint="eastAsia" w:ascii="仿宋_GB2312" w:hAnsi="仿宋_GB2312" w:eastAsia="仿宋_GB2312" w:cs="仿宋_GB2312"/>
          <w:color w:val="auto"/>
          <w:kern w:val="2"/>
          <w:sz w:val="28"/>
          <w:szCs w:val="28"/>
          <w:u w:val="none"/>
          <w:lang w:val="en-US" w:eastAsia="zh-CN" w:bidi="ar-SA"/>
        </w:rPr>
        <w:t>针对目前标准化体系运营情况进行诊断，安全生产基础管理档案完善</w:t>
      </w:r>
      <w:r>
        <w:rPr>
          <w:rFonts w:hint="eastAsia" w:ascii="仿宋_GB2312" w:hAnsi="仿宋_GB2312" w:eastAsia="仿宋_GB2312" w:cs="仿宋_GB2312"/>
          <w:color w:val="auto"/>
          <w:sz w:val="28"/>
          <w:szCs w:val="28"/>
          <w:highlight w:val="none"/>
          <w:u w:val="none"/>
          <w:lang w:eastAsia="zh-CN"/>
        </w:rPr>
        <w:t>。</w:t>
      </w:r>
    </w:p>
    <w:p>
      <w:pPr>
        <w:numPr>
          <w:ilvl w:val="-1"/>
          <w:numId w:val="0"/>
        </w:numPr>
        <w:adjustRightInd/>
        <w:snapToGrid/>
        <w:spacing w:line="360" w:lineRule="auto"/>
        <w:ind w:left="559" w:leftChars="266" w:firstLine="0" w:firstLineChars="0"/>
        <w:jc w:val="left"/>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 xml:space="preserve">1.2 </w:t>
      </w:r>
      <w:r>
        <w:rPr>
          <w:rFonts w:hint="eastAsia" w:ascii="仿宋_GB2312" w:hAnsi="仿宋_GB2312" w:eastAsia="仿宋_GB2312" w:cs="仿宋_GB2312"/>
          <w:color w:val="auto"/>
          <w:kern w:val="0"/>
          <w:sz w:val="28"/>
          <w:szCs w:val="28"/>
          <w:u w:val="none"/>
          <w:lang w:val="en-US" w:eastAsia="zh-CN"/>
        </w:rPr>
        <w:t>隐患排查：对现场安全生产条件等进行排查，出具隐患排查报告</w:t>
      </w:r>
      <w:r>
        <w:rPr>
          <w:rFonts w:hint="eastAsia" w:ascii="仿宋_GB2312" w:hAnsi="仿宋_GB2312" w:eastAsia="仿宋_GB2312" w:cs="仿宋_GB2312"/>
          <w:color w:val="auto"/>
          <w:sz w:val="28"/>
          <w:szCs w:val="28"/>
          <w:highlight w:val="none"/>
          <w:u w:val="none"/>
          <w:lang w:val="en-US" w:eastAsia="zh-CN"/>
        </w:rPr>
        <w:t>。</w:t>
      </w:r>
    </w:p>
    <w:p>
      <w:pPr>
        <w:numPr>
          <w:ilvl w:val="-1"/>
          <w:numId w:val="0"/>
        </w:numPr>
        <w:adjustRightInd/>
        <w:snapToGrid/>
        <w:spacing w:line="360" w:lineRule="auto"/>
        <w:ind w:left="0" w:leftChars="0" w:firstLine="560" w:firstLineChars="200"/>
        <w:jc w:val="left"/>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 xml:space="preserve">1.3 </w:t>
      </w:r>
      <w:r>
        <w:rPr>
          <w:rFonts w:hint="eastAsia" w:ascii="仿宋_GB2312" w:hAnsi="仿宋_GB2312" w:eastAsia="仿宋_GB2312" w:cs="仿宋_GB2312"/>
          <w:color w:val="auto"/>
          <w:kern w:val="0"/>
          <w:sz w:val="28"/>
          <w:szCs w:val="28"/>
          <w:u w:val="none"/>
          <w:lang w:val="en-US" w:eastAsia="zh-CN"/>
        </w:rPr>
        <w:t>整改辅导及技术支持建立、完善安全生产标准化档案资料：隐患排查整改报告、档案资料建立、完善</w:t>
      </w:r>
      <w:r>
        <w:rPr>
          <w:rFonts w:hint="eastAsia" w:ascii="仿宋_GB2312" w:hAnsi="仿宋_GB2312" w:eastAsia="仿宋_GB2312" w:cs="仿宋_GB2312"/>
          <w:color w:val="auto"/>
          <w:sz w:val="28"/>
          <w:szCs w:val="28"/>
          <w:highlight w:val="none"/>
          <w:u w:val="none"/>
        </w:rPr>
        <w:t>。</w:t>
      </w:r>
    </w:p>
    <w:p>
      <w:pPr>
        <w:numPr>
          <w:ilvl w:val="-1"/>
          <w:numId w:val="0"/>
        </w:numPr>
        <w:adjustRightInd/>
        <w:snapToGrid/>
        <w:spacing w:line="360" w:lineRule="auto"/>
        <w:ind w:left="0" w:leftChars="0" w:firstLine="560" w:firstLineChars="200"/>
        <w:jc w:val="left"/>
        <w:rPr>
          <w:rFonts w:hint="eastAsia" w:ascii="仿宋_GB2312" w:hAnsi="仿宋_GB2312" w:eastAsia="仿宋_GB2312" w:cs="仿宋_GB2312"/>
          <w:color w:val="auto"/>
          <w:kern w:val="0"/>
          <w:sz w:val="28"/>
          <w:szCs w:val="28"/>
          <w:u w:val="none"/>
          <w:lang w:val="en-US" w:eastAsia="zh-CN"/>
        </w:rPr>
      </w:pPr>
      <w:r>
        <w:rPr>
          <w:rFonts w:hint="eastAsia" w:ascii="仿宋_GB2312" w:hAnsi="仿宋_GB2312" w:eastAsia="仿宋_GB2312" w:cs="仿宋_GB2312"/>
          <w:color w:val="auto"/>
          <w:sz w:val="28"/>
          <w:szCs w:val="28"/>
          <w:highlight w:val="none"/>
          <w:u w:val="none"/>
          <w:lang w:val="en-US" w:eastAsia="zh-CN"/>
        </w:rPr>
        <w:t xml:space="preserve">1.4 </w:t>
      </w:r>
      <w:r>
        <w:rPr>
          <w:rFonts w:hint="eastAsia" w:ascii="仿宋_GB2312" w:hAnsi="仿宋_GB2312" w:eastAsia="仿宋_GB2312" w:cs="仿宋_GB2312"/>
          <w:color w:val="auto"/>
          <w:kern w:val="0"/>
          <w:sz w:val="28"/>
          <w:szCs w:val="28"/>
          <w:u w:val="none"/>
          <w:lang w:val="en-US" w:eastAsia="zh-CN"/>
        </w:rPr>
        <w:t>撰写自评报告：依据</w:t>
      </w:r>
      <w:r>
        <w:rPr>
          <w:rFonts w:hint="eastAsia" w:ascii="仿宋_GB2312" w:hAnsi="仿宋_GB2312" w:eastAsia="仿宋_GB2312" w:cs="仿宋_GB2312"/>
          <w:b w:val="0"/>
          <w:bCs w:val="0"/>
          <w:i w:val="0"/>
          <w:caps w:val="0"/>
          <w:color w:val="auto"/>
          <w:spacing w:val="0"/>
          <w:sz w:val="28"/>
          <w:szCs w:val="28"/>
          <w:u w:val="none"/>
          <w:shd w:val="clear" w:color="auto" w:fill="FFFFFF"/>
          <w:lang w:val="en-US" w:eastAsia="zh-CN"/>
        </w:rPr>
        <w:t>《污水处理企业安全生产标准化建设规范》</w:t>
      </w:r>
      <w:r>
        <w:rPr>
          <w:rFonts w:hint="eastAsia" w:ascii="仿宋_GB2312" w:hAnsi="仿宋_GB2312" w:eastAsia="仿宋_GB2312" w:cs="仿宋_GB2312"/>
          <w:b w:val="0"/>
          <w:bCs w:val="0"/>
          <w:color w:val="auto"/>
          <w:kern w:val="2"/>
          <w:sz w:val="28"/>
          <w:szCs w:val="28"/>
          <w:u w:val="none"/>
          <w:lang w:val="en-US" w:eastAsia="zh-CN" w:bidi="ar-SA"/>
        </w:rPr>
        <w:t>（TGDPAWS 11—2022）</w:t>
      </w:r>
      <w:r>
        <w:rPr>
          <w:rFonts w:hint="eastAsia" w:ascii="仿宋_GB2312" w:hAnsi="仿宋_GB2312" w:eastAsia="仿宋_GB2312" w:cs="仿宋_GB2312"/>
          <w:color w:val="auto"/>
          <w:kern w:val="0"/>
          <w:sz w:val="28"/>
          <w:szCs w:val="28"/>
          <w:u w:val="none"/>
          <w:lang w:val="en-US" w:eastAsia="zh-CN"/>
        </w:rPr>
        <w:t>对企业进行自评，完成《贯标评价报告》。</w:t>
      </w:r>
    </w:p>
    <w:p>
      <w:pPr>
        <w:numPr>
          <w:ilvl w:val="-1"/>
          <w:numId w:val="0"/>
        </w:numPr>
        <w:adjustRightInd/>
        <w:snapToGrid/>
        <w:spacing w:line="360" w:lineRule="auto"/>
        <w:ind w:left="0" w:leftChars="0" w:firstLine="560" w:firstLineChars="200"/>
        <w:jc w:val="left"/>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0"/>
          <w:sz w:val="28"/>
          <w:szCs w:val="28"/>
          <w:u w:val="none"/>
          <w:lang w:val="en-US" w:eastAsia="zh-CN"/>
        </w:rPr>
        <w:t>1.5 负责实施贯标评价过程（含</w:t>
      </w:r>
      <w:r>
        <w:rPr>
          <w:rFonts w:hint="eastAsia" w:ascii="仿宋_GB2312" w:hAnsi="仿宋_GB2312" w:eastAsia="仿宋_GB2312" w:cs="仿宋_GB2312"/>
          <w:color w:val="auto"/>
          <w:sz w:val="28"/>
          <w:szCs w:val="28"/>
          <w:u w:val="none"/>
          <w:lang w:val="en-US" w:eastAsia="zh-CN"/>
        </w:rPr>
        <w:t>首次会议、</w:t>
      </w:r>
      <w:r>
        <w:rPr>
          <w:rFonts w:hint="eastAsia" w:ascii="仿宋_GB2312" w:hAnsi="仿宋_GB2312" w:eastAsia="仿宋_GB2312" w:cs="仿宋_GB2312"/>
          <w:bCs/>
          <w:color w:val="auto"/>
          <w:sz w:val="28"/>
          <w:szCs w:val="28"/>
          <w:u w:val="none"/>
          <w:lang w:val="en-US" w:eastAsia="zh-CN"/>
        </w:rPr>
        <w:t>文件评价、现场评价、</w:t>
      </w:r>
      <w:r>
        <w:rPr>
          <w:rFonts w:hint="eastAsia" w:ascii="仿宋_GB2312" w:hAnsi="仿宋_GB2312" w:eastAsia="仿宋_GB2312" w:cs="仿宋_GB2312"/>
          <w:b w:val="0"/>
          <w:bCs/>
          <w:color w:val="auto"/>
          <w:kern w:val="2"/>
          <w:sz w:val="28"/>
          <w:szCs w:val="28"/>
          <w:u w:val="none"/>
          <w:lang w:val="en-US" w:eastAsia="zh-CN" w:bidi="ar-SA"/>
        </w:rPr>
        <w:t>末次会议</w:t>
      </w:r>
      <w:r>
        <w:rPr>
          <w:rFonts w:hint="eastAsia" w:ascii="仿宋_GB2312" w:hAnsi="仿宋_GB2312" w:eastAsia="仿宋_GB2312" w:cs="仿宋_GB2312"/>
          <w:color w:val="auto"/>
          <w:kern w:val="0"/>
          <w:sz w:val="28"/>
          <w:szCs w:val="28"/>
          <w:u w:val="none"/>
          <w:lang w:val="en-US" w:eastAsia="zh-CN"/>
        </w:rPr>
        <w:t>），并</w:t>
      </w:r>
      <w:r>
        <w:rPr>
          <w:rFonts w:hint="eastAsia" w:ascii="仿宋_GB2312" w:hAnsi="仿宋_GB2312" w:eastAsia="仿宋_GB2312" w:cs="仿宋_GB2312"/>
          <w:color w:val="auto"/>
          <w:kern w:val="2"/>
          <w:sz w:val="28"/>
          <w:szCs w:val="28"/>
          <w:u w:val="none"/>
          <w:lang w:val="en-US" w:eastAsia="zh-CN" w:bidi="ar-SA"/>
        </w:rPr>
        <w:t>上报省安全生产协会公告、发证，取得《贯标证书》（AAAA级）</w:t>
      </w:r>
      <w:r>
        <w:rPr>
          <w:rFonts w:hint="eastAsia" w:ascii="仿宋_GB2312" w:hAnsi="仿宋_GB2312" w:eastAsia="仿宋_GB2312" w:cs="仿宋_GB2312"/>
          <w:color w:val="auto"/>
          <w:kern w:val="2"/>
          <w:sz w:val="28"/>
          <w:szCs w:val="28"/>
          <w:highlight w:val="none"/>
          <w:u w:val="none"/>
        </w:rPr>
        <w:t>。</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2.本次采购范围包括：</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i w:val="0"/>
          <w:caps w:val="0"/>
          <w:color w:val="auto"/>
          <w:spacing w:val="0"/>
          <w:sz w:val="28"/>
          <w:szCs w:val="28"/>
          <w:shd w:val="clear" w:color="auto" w:fill="FFFFFF"/>
          <w:lang w:val="en-US" w:eastAsia="zh-CN"/>
        </w:rPr>
        <w:t>《污水处理企业安全生产标准化建设规范》团体标准贯标技术服务</w:t>
      </w: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sz w:val="28"/>
          <w:szCs w:val="28"/>
          <w:highlight w:val="none"/>
          <w:lang w:val="en-US" w:eastAsia="zh-CN"/>
        </w:rPr>
        <w:t>。</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具体各项情况如下：</w:t>
      </w:r>
    </w:p>
    <w:p>
      <w:pPr>
        <w:pStyle w:val="7"/>
        <w:spacing w:after="0"/>
        <w:ind w:firstLine="0" w:firstLineChars="0"/>
        <w:rPr>
          <w:rFonts w:hint="default"/>
          <w:color w:val="auto"/>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暂定</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服务期</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自合同签订之日起4个月内</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rPr>
        <w:t>付款方式：以银行转账的形式。</w:t>
      </w:r>
    </w:p>
    <w:p>
      <w:pPr>
        <w:ind w:left="0" w:leftChars="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rPr>
        <w:t>其它要求：</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zh-CN"/>
        </w:rPr>
        <w:t>报价应为一票制、含税、全包价，包括</w:t>
      </w:r>
      <w:r>
        <w:rPr>
          <w:rFonts w:hint="eastAsia" w:ascii="仿宋_GB2312" w:hAnsi="仿宋_GB2312" w:eastAsia="仿宋_GB2312" w:cs="仿宋_GB2312"/>
          <w:color w:val="auto"/>
          <w:sz w:val="28"/>
          <w:szCs w:val="28"/>
          <w:highlight w:val="none"/>
          <w:lang w:val="en-US" w:eastAsia="zh-CN"/>
        </w:rPr>
        <w:t>《贯标证书》的申请认证</w:t>
      </w:r>
      <w:r>
        <w:rPr>
          <w:rFonts w:hint="eastAsia" w:ascii="仿宋_GB2312" w:hAnsi="仿宋_GB2312" w:eastAsia="仿宋_GB2312" w:cs="仿宋_GB2312"/>
          <w:color w:val="auto"/>
          <w:sz w:val="28"/>
          <w:szCs w:val="28"/>
          <w:highlight w:val="none"/>
          <w:lang w:val="zh-CN"/>
        </w:rPr>
        <w:t>，及完成现场审核发生的必要的食宿和差旅费等在内的所有费用</w:t>
      </w:r>
      <w:r>
        <w:rPr>
          <w:rFonts w:hint="eastAsia" w:ascii="仿宋_GB2312" w:hAnsi="仿宋_GB2312" w:eastAsia="仿宋_GB2312" w:cs="仿宋_GB2312"/>
          <w:color w:val="auto"/>
          <w:sz w:val="28"/>
          <w:szCs w:val="28"/>
          <w:highlight w:val="none"/>
          <w:lang w:val="zh-CN" w:eastAsia="zh-CN"/>
        </w:rPr>
        <w:t>。</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4680"/>
      <w:bookmarkStart w:id="64" w:name="_Toc18538"/>
      <w:bookmarkStart w:id="65" w:name="_Toc23330"/>
      <w:bookmarkStart w:id="66" w:name="_Toc23353"/>
      <w:bookmarkStart w:id="67" w:name="_Toc25925"/>
      <w:bookmarkStart w:id="68" w:name="_Toc1284"/>
      <w:bookmarkStart w:id="69" w:name="_Toc1496"/>
      <w:bookmarkStart w:id="70" w:name="_Toc15570"/>
      <w:bookmarkStart w:id="71" w:name="_Toc537"/>
      <w:bookmarkStart w:id="72" w:name="_Toc12135"/>
      <w:bookmarkStart w:id="73" w:name="_Toc29835"/>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4"/>
        <w:rPr>
          <w:color w:val="auto"/>
          <w:highlight w:val="none"/>
        </w:rPr>
      </w:pPr>
    </w:p>
    <w:p>
      <w:pPr>
        <w:pStyle w:val="4"/>
        <w:rPr>
          <w:color w:val="auto"/>
          <w:highlight w:val="none"/>
        </w:rPr>
      </w:pPr>
      <w:bookmarkStart w:id="74" w:name="_Toc1375"/>
      <w:bookmarkStart w:id="75" w:name="_Toc87616386"/>
      <w:bookmarkStart w:id="76" w:name="_Toc12968"/>
      <w:bookmarkStart w:id="77" w:name="_Toc22797"/>
      <w:bookmarkStart w:id="78" w:name="_Toc88209949"/>
      <w:bookmarkStart w:id="79" w:name="_Toc12980"/>
      <w:bookmarkStart w:id="80" w:name="_Toc13309"/>
      <w:bookmarkStart w:id="81" w:name="_Toc323"/>
      <w:bookmarkStart w:id="82" w:name="_Toc12721"/>
      <w:bookmarkStart w:id="83" w:name="_Toc19088"/>
      <w:bookmarkStart w:id="84" w:name="_Toc19686"/>
      <w:bookmarkStart w:id="85" w:name="_Toc8183"/>
      <w:bookmarkStart w:id="86" w:name="_Toc2250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lang w:val="en-US" w:eastAsia="zh-CN"/>
        </w:rPr>
      </w:pPr>
      <w:r>
        <w:rPr>
          <w:rFonts w:hint="eastAsia" w:ascii="宋体" w:hAnsi="宋体" w:cs="宋体" w:eastAsiaTheme="minorEastAsia"/>
          <w:b/>
          <w:bCs/>
          <w:color w:val="auto"/>
          <w:sz w:val="48"/>
          <w:szCs w:val="48"/>
          <w:highlight w:val="none"/>
          <w:u w:val="none"/>
          <w:lang w:val="en-US" w:eastAsia="zh-CN"/>
        </w:rPr>
        <w:t>广州市净水有限公司</w:t>
      </w:r>
      <w:r>
        <w:rPr>
          <w:rFonts w:hint="eastAsia" w:ascii="宋体" w:hAnsi="宋体" w:cs="宋体"/>
          <w:b/>
          <w:bCs/>
          <w:color w:val="auto"/>
          <w:sz w:val="48"/>
          <w:szCs w:val="48"/>
          <w:highlight w:val="none"/>
          <w:u w:val="none"/>
          <w:lang w:val="en-US" w:eastAsia="zh-CN"/>
        </w:rPr>
        <w:t>江高</w:t>
      </w:r>
      <w:r>
        <w:rPr>
          <w:rFonts w:hint="eastAsia" w:ascii="宋体" w:hAnsi="宋体" w:cs="宋体" w:eastAsiaTheme="minorEastAsia"/>
          <w:b/>
          <w:bCs/>
          <w:color w:val="auto"/>
          <w:sz w:val="48"/>
          <w:szCs w:val="48"/>
          <w:highlight w:val="none"/>
          <w:u w:val="none"/>
          <w:lang w:val="en-US" w:eastAsia="zh-CN"/>
        </w:rPr>
        <w:t>分公司</w:t>
      </w:r>
      <w:r>
        <w:rPr>
          <w:rFonts w:hint="eastAsia" w:ascii="宋体" w:hAnsi="宋体" w:cs="宋体"/>
          <w:b/>
          <w:bCs/>
          <w:color w:val="auto"/>
          <w:sz w:val="48"/>
          <w:szCs w:val="48"/>
          <w:highlight w:val="none"/>
          <w:u w:val="none"/>
          <w:lang w:val="en-US" w:eastAsia="zh-CN"/>
        </w:rPr>
        <w:t xml:space="preserve">   </w:t>
      </w:r>
    </w:p>
    <w:p>
      <w:pPr>
        <w:jc w:val="center"/>
        <w:rPr>
          <w:rFonts w:hint="eastAsia" w:ascii="宋体" w:hAnsi="宋体" w:cs="宋体" w:eastAsiaTheme="minorEastAsia"/>
          <w:b/>
          <w:bCs/>
          <w:color w:val="auto"/>
          <w:sz w:val="48"/>
          <w:szCs w:val="48"/>
          <w:highlight w:val="none"/>
          <w:u w:val="none"/>
          <w:lang w:val="en-US" w:eastAsia="zh-CN"/>
        </w:rPr>
      </w:pPr>
      <w:r>
        <w:rPr>
          <w:rFonts w:hint="eastAsia" w:asciiTheme="minorEastAsia" w:hAnsiTheme="minorEastAsia" w:eastAsiaTheme="minorEastAsia" w:cstheme="minorEastAsia"/>
          <w:b/>
          <w:bCs/>
          <w:i w:val="0"/>
          <w:caps w:val="0"/>
          <w:color w:val="auto"/>
          <w:spacing w:val="0"/>
          <w:sz w:val="48"/>
          <w:szCs w:val="48"/>
          <w:shd w:val="clear" w:color="auto" w:fill="FFFFFF"/>
          <w:lang w:val="en-US" w:eastAsia="zh-CN"/>
        </w:rPr>
        <w:t>《污水处理企业安全生产标准化建设规范》团体标准贯标技术</w:t>
      </w:r>
      <w:r>
        <w:rPr>
          <w:rFonts w:hint="eastAsia" w:ascii="宋体" w:hAnsi="宋体" w:cs="宋体" w:eastAsiaTheme="minorEastAsia"/>
          <w:b/>
          <w:bCs/>
          <w:color w:val="auto"/>
          <w:sz w:val="48"/>
          <w:szCs w:val="48"/>
          <w:highlight w:val="none"/>
          <w:u w:val="none"/>
          <w:lang w:val="en-US" w:eastAsia="zh-CN"/>
        </w:rPr>
        <w:t>服务项目</w:t>
      </w:r>
    </w:p>
    <w:p>
      <w:pPr>
        <w:pStyle w:val="2"/>
        <w:rPr>
          <w:rFonts w:hint="eastAsia" w:ascii="宋体" w:hAnsi="宋体" w:cs="宋体" w:eastAsiaTheme="minorEastAsia"/>
          <w:b/>
          <w:bCs/>
          <w:color w:val="auto"/>
          <w:sz w:val="48"/>
          <w:szCs w:val="48"/>
          <w:highlight w:val="none"/>
          <w:u w:val="none"/>
          <w:lang w:val="en-US" w:eastAsia="zh-CN"/>
        </w:rPr>
      </w:pPr>
    </w:p>
    <w:p>
      <w:pPr>
        <w:pStyle w:val="2"/>
        <w:rPr>
          <w:rFonts w:hint="eastAsia" w:ascii="宋体" w:hAnsi="宋体" w:cs="宋体" w:eastAsiaTheme="minorEastAsia"/>
          <w:b/>
          <w:bCs/>
          <w:color w:val="auto"/>
          <w:sz w:val="48"/>
          <w:szCs w:val="48"/>
          <w:highlight w:val="none"/>
          <w:u w:val="none"/>
          <w:lang w:val="en-US" w:eastAsia="zh-CN"/>
        </w:rPr>
      </w:pPr>
    </w:p>
    <w:p>
      <w:pPr>
        <w:jc w:val="center"/>
        <w:rPr>
          <w:rFonts w:hint="eastAsia" w:ascii="宋体" w:hAnsi="宋体" w:cs="宋体" w:eastAsiaTheme="minorEastAsia"/>
          <w:b/>
          <w:bCs/>
          <w:color w:val="auto"/>
          <w:sz w:val="48"/>
          <w:szCs w:val="48"/>
          <w:highlight w:val="none"/>
          <w:u w:val="none"/>
          <w:lang w:val="en-US" w:eastAsia="zh-CN"/>
        </w:rPr>
      </w:pPr>
      <w:r>
        <w:rPr>
          <w:rFonts w:hint="eastAsia" w:ascii="宋体" w:hAnsi="宋体" w:cs="宋体"/>
          <w:b/>
          <w:bCs/>
          <w:color w:val="auto"/>
          <w:sz w:val="48"/>
          <w:szCs w:val="48"/>
          <w:highlight w:val="none"/>
          <w:u w:val="none"/>
          <w:lang w:val="en-US" w:eastAsia="zh-CN"/>
        </w:rPr>
        <w:t>服务合同</w:t>
      </w:r>
    </w:p>
    <w:p>
      <w:pPr>
        <w:pStyle w:val="7"/>
        <w:rPr>
          <w:rFonts w:hint="eastAsia" w:ascii="宋体" w:hAnsi="宋体" w:cs="宋体"/>
          <w:b/>
          <w:bCs/>
          <w:color w:val="auto"/>
          <w:sz w:val="48"/>
          <w:szCs w:val="48"/>
          <w:highlight w:val="none"/>
          <w:u w:val="single"/>
        </w:rPr>
      </w:pPr>
    </w:p>
    <w:p>
      <w:pPr>
        <w:pStyle w:val="7"/>
        <w:rPr>
          <w:rFonts w:hint="default" w:ascii="宋体" w:hAnsi="宋体" w:cs="宋体"/>
          <w:b/>
          <w:bCs/>
          <w:color w:val="auto"/>
          <w:sz w:val="48"/>
          <w:szCs w:val="48"/>
          <w:highlight w:val="none"/>
          <w:u w:val="single"/>
          <w:lang w:val="en-US" w:eastAsia="zh-CN"/>
        </w:rPr>
      </w:pPr>
    </w:p>
    <w:p>
      <w:pPr>
        <w:pStyle w:val="44"/>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color w:val="auto"/>
          <w:sz w:val="32"/>
          <w:szCs w:val="32"/>
          <w:highlight w:val="none"/>
          <w:lang w:val="en-US" w:eastAsia="zh-CN"/>
        </w:rPr>
        <w:t>穗净水合[2024]        号</w:t>
      </w:r>
    </w:p>
    <w:p>
      <w:pPr>
        <w:pStyle w:val="44"/>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    方：</w:t>
      </w:r>
      <w:r>
        <w:rPr>
          <w:rFonts w:hint="eastAsia" w:ascii="仿宋" w:hAnsi="仿宋" w:eastAsia="仿宋" w:cs="仿宋"/>
          <w:color w:val="auto"/>
          <w:sz w:val="32"/>
          <w:szCs w:val="32"/>
          <w:highlight w:val="none"/>
          <w:lang w:val="en-US" w:eastAsia="zh-CN"/>
        </w:rPr>
        <w:t>广州市净水有限公司</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    方：</w:t>
      </w: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pStyle w:val="2"/>
        <w:rPr>
          <w:rFonts w:hint="eastAsia" w:ascii="仿宋" w:hAnsi="仿宋" w:eastAsia="仿宋" w:cs="仿宋"/>
          <w:color w:val="auto"/>
          <w:sz w:val="32"/>
          <w:szCs w:val="32"/>
          <w:highlight w:val="none"/>
          <w:lang w:val="en-US" w:eastAsia="zh-CN"/>
        </w:rPr>
      </w:pPr>
    </w:p>
    <w:p>
      <w:pPr>
        <w:pStyle w:val="2"/>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签订地点：</w:t>
      </w:r>
      <w:r>
        <w:rPr>
          <w:rFonts w:hint="eastAsia" w:ascii="仿宋" w:hAnsi="仿宋" w:eastAsia="仿宋" w:cs="仿宋"/>
          <w:color w:val="auto"/>
          <w:sz w:val="32"/>
          <w:szCs w:val="32"/>
          <w:highlight w:val="none"/>
          <w:lang w:val="en-US" w:eastAsia="zh-CN"/>
        </w:rPr>
        <w:t>广州市</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签订日期：</w:t>
      </w:r>
    </w:p>
    <w:p>
      <w:pPr>
        <w:pStyle w:val="2"/>
        <w:ind w:left="0" w:leftChars="0" w:firstLine="0" w:firstLineChars="0"/>
        <w:rPr>
          <w:rFonts w:hint="eastAsia"/>
          <w:color w:val="auto"/>
          <w:highlight w:val="none"/>
        </w:rPr>
      </w:pPr>
    </w:p>
    <w:p>
      <w:pPr>
        <w:spacing w:line="360" w:lineRule="auto"/>
        <w:ind w:firstLine="480" w:firstLineChars="200"/>
        <w:rPr>
          <w:rFonts w:hint="eastAsia" w:ascii="宋体" w:hAnsi="宋体" w:eastAsia="宋体"/>
          <w:color w:val="auto"/>
          <w:sz w:val="24"/>
          <w:szCs w:val="24"/>
          <w:highlight w:val="none"/>
          <w:lang w:val="en-US" w:eastAsia="zh-CN"/>
        </w:rPr>
      </w:pPr>
    </w:p>
    <w:p>
      <w:pPr>
        <w:spacing w:line="360" w:lineRule="auto"/>
        <w:ind w:firstLine="480" w:firstLineChars="200"/>
        <w:rPr>
          <w:rFonts w:hint="eastAsia" w:ascii="宋体" w:hAnsi="宋体" w:eastAsia="宋体"/>
          <w:color w:val="auto"/>
          <w:sz w:val="24"/>
          <w:szCs w:val="24"/>
          <w:highlight w:val="none"/>
          <w:lang w:val="en-US" w:eastAsia="zh-CN"/>
        </w:rPr>
      </w:pPr>
    </w:p>
    <w:p>
      <w:pPr>
        <w:spacing w:line="360" w:lineRule="auto"/>
        <w:ind w:firstLine="720" w:firstLineChars="300"/>
        <w:rPr>
          <w:color w:val="auto"/>
          <w:sz w:val="24"/>
          <w:szCs w:val="24"/>
          <w:highlight w:val="none"/>
        </w:rPr>
      </w:pPr>
      <w:r>
        <w:rPr>
          <w:rFonts w:hint="eastAsia" w:ascii="宋体" w:hAnsi="宋体" w:eastAsia="宋体"/>
          <w:color w:val="auto"/>
          <w:sz w:val="24"/>
          <w:szCs w:val="24"/>
          <w:highlight w:val="none"/>
          <w:lang w:val="en-US" w:eastAsia="zh-CN"/>
        </w:rPr>
        <w:t>根据《中华人民共和国民法典》及其他有关法律、行政法规，</w:t>
      </w:r>
      <w:r>
        <w:rPr>
          <w:rFonts w:hint="eastAsia" w:ascii="宋体" w:hAnsi="宋体" w:eastAsia="宋体"/>
          <w:color w:val="auto"/>
          <w:sz w:val="24"/>
          <w:szCs w:val="24"/>
          <w:highlight w:val="none"/>
          <w:u w:val="single"/>
        </w:rPr>
        <w:t>广州市净水有限公司</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（以下简称“甲方”）委托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（以下简称“乙方”）负责</w:t>
      </w:r>
      <w:r>
        <w:rPr>
          <w:rFonts w:ascii="宋体" w:hAnsi="宋体" w:eastAsia="宋体"/>
          <w:color w:val="auto"/>
          <w:sz w:val="24"/>
          <w:szCs w:val="24"/>
          <w:highlight w:val="none"/>
          <w:u w:val="single"/>
        </w:rPr>
        <w:t xml:space="preserve"> </w:t>
      </w:r>
      <w:r>
        <w:rPr>
          <w:rFonts w:hint="eastAsia" w:ascii="宋体" w:hAnsi="宋体" w:eastAsia="宋体" w:cstheme="minorBidi"/>
          <w:b w:val="0"/>
          <w:bCs w:val="0"/>
          <w:color w:val="auto"/>
          <w:sz w:val="24"/>
          <w:szCs w:val="24"/>
          <w:highlight w:val="none"/>
          <w:u w:val="single"/>
        </w:rPr>
        <w:t>广州市净水有限公司</w:t>
      </w:r>
      <w:r>
        <w:rPr>
          <w:rFonts w:hint="eastAsia" w:ascii="宋体" w:hAnsi="宋体" w:eastAsia="宋体" w:cstheme="minorBidi"/>
          <w:b w:val="0"/>
          <w:bCs w:val="0"/>
          <w:color w:val="auto"/>
          <w:sz w:val="24"/>
          <w:szCs w:val="24"/>
          <w:highlight w:val="none"/>
          <w:u w:val="single"/>
          <w:lang w:val="en-US" w:eastAsia="zh-CN"/>
        </w:rPr>
        <w:t>江高</w:t>
      </w:r>
      <w:r>
        <w:rPr>
          <w:rFonts w:hint="eastAsia" w:ascii="宋体" w:hAnsi="宋体" w:eastAsia="宋体" w:cstheme="minorBidi"/>
          <w:b w:val="0"/>
          <w:bCs w:val="0"/>
          <w:color w:val="auto"/>
          <w:sz w:val="24"/>
          <w:szCs w:val="24"/>
          <w:highlight w:val="none"/>
          <w:u w:val="single"/>
        </w:rPr>
        <w:t>分公司</w:t>
      </w:r>
      <w:r>
        <w:rPr>
          <w:rFonts w:hint="eastAsia" w:ascii="宋体" w:hAnsi="宋体" w:eastAsia="宋体" w:cs="宋体"/>
          <w:b w:val="0"/>
          <w:bCs w:val="0"/>
          <w:i w:val="0"/>
          <w:caps w:val="0"/>
          <w:color w:val="auto"/>
          <w:spacing w:val="0"/>
          <w:sz w:val="24"/>
          <w:szCs w:val="24"/>
          <w:u w:val="single"/>
          <w:shd w:val="clear" w:color="auto" w:fill="FFFFFF"/>
          <w:lang w:val="en-US" w:eastAsia="zh-CN"/>
        </w:rPr>
        <w:t>《污水处理企业安全生产标准化建设规范》团体标准贯标技术服务</w:t>
      </w:r>
      <w:r>
        <w:rPr>
          <w:rFonts w:hint="eastAsia" w:ascii="宋体" w:hAnsi="宋体" w:eastAsia="宋体" w:cs="宋体"/>
          <w:color w:val="auto"/>
          <w:sz w:val="24"/>
          <w:szCs w:val="24"/>
          <w:u w:val="single"/>
          <w:lang w:val="en-US" w:eastAsia="zh-CN"/>
        </w:rPr>
        <w:t>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r>
        <w:rPr>
          <w:rFonts w:hint="eastAsia" w:ascii="宋体" w:hAnsi="宋体" w:cs="宋体"/>
          <w:color w:val="auto"/>
          <w:sz w:val="24"/>
          <w:highlight w:val="none"/>
          <w:lang w:eastAsia="zh-CN"/>
        </w:rPr>
        <w:t>，</w:t>
      </w:r>
      <w:r>
        <w:rPr>
          <w:rFonts w:hint="eastAsia" w:ascii="宋体" w:hAnsi="宋体" w:eastAsia="宋体"/>
          <w:color w:val="auto"/>
          <w:sz w:val="24"/>
          <w:szCs w:val="24"/>
          <w:highlight w:val="none"/>
        </w:rPr>
        <w:t>共同遵守</w:t>
      </w:r>
      <w:r>
        <w:rPr>
          <w:rFonts w:ascii="宋体" w:hAnsi="宋体" w:eastAsia="宋体"/>
          <w:color w:val="auto"/>
          <w:sz w:val="24"/>
          <w:szCs w:val="24"/>
          <w:highlight w:val="none"/>
        </w:rPr>
        <w:t>如下条款：</w:t>
      </w:r>
    </w:p>
    <w:p>
      <w:pPr>
        <w:pStyle w:val="9"/>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一、下列文件均为本合同的组成部分，可视为能相互说明和补充的，如果合同文件存在歧义或相矛盾的地方，则根据以下次序判断：</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①在本合同实施过程中双方签署的补充与修正文件</w:t>
      </w:r>
    </w:p>
    <w:p>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②本合同</w:t>
      </w:r>
      <w:r>
        <w:rPr>
          <w:rFonts w:hint="eastAsia" w:ascii="宋体" w:hAnsi="宋体" w:eastAsia="宋体"/>
          <w:color w:val="auto"/>
          <w:sz w:val="24"/>
          <w:szCs w:val="24"/>
          <w:highlight w:val="none"/>
          <w:lang w:val="en-US" w:eastAsia="zh-CN"/>
        </w:rPr>
        <w:t>及其附件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w:t>
      </w:r>
      <w:r>
        <w:rPr>
          <w:rFonts w:ascii="宋体" w:hAnsi="宋体" w:eastAsia="宋体"/>
          <w:color w:val="auto"/>
          <w:sz w:val="24"/>
          <w:szCs w:val="24"/>
          <w:highlight w:val="none"/>
        </w:rPr>
        <w:t>发包通知书</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④甲方的</w:t>
      </w:r>
      <w:r>
        <w:rPr>
          <w:rFonts w:ascii="宋体" w:hAnsi="宋体" w:eastAsia="宋体"/>
          <w:color w:val="auto"/>
          <w:sz w:val="24"/>
          <w:szCs w:val="24"/>
          <w:highlight w:val="none"/>
        </w:rPr>
        <w:t>询价文件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⑤乙方的</w:t>
      </w:r>
      <w:r>
        <w:rPr>
          <w:rFonts w:ascii="宋体" w:hAnsi="宋体" w:eastAsia="宋体"/>
          <w:color w:val="auto"/>
          <w:sz w:val="24"/>
          <w:szCs w:val="24"/>
          <w:highlight w:val="none"/>
        </w:rPr>
        <w:t>响应文件</w:t>
      </w:r>
    </w:p>
    <w:p>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二、乙方服务内容</w:t>
      </w:r>
    </w:p>
    <w:p>
      <w:pPr>
        <w:numPr>
          <w:ilvl w:val="12"/>
          <w:numId w:val="0"/>
        </w:numPr>
        <w:adjustRightInd/>
        <w:snapToGrid/>
        <w:spacing w:line="360" w:lineRule="auto"/>
        <w:ind w:firstLine="480" w:firstLineChars="200"/>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1 </w:t>
      </w:r>
      <w:r>
        <w:rPr>
          <w:rFonts w:hint="eastAsia" w:ascii="宋体" w:hAnsi="宋体" w:eastAsia="宋体" w:cs="宋体"/>
          <w:color w:val="auto"/>
          <w:kern w:val="0"/>
          <w:sz w:val="24"/>
          <w:szCs w:val="24"/>
          <w:u w:val="none"/>
          <w:lang w:val="en-US" w:eastAsia="zh-CN"/>
        </w:rPr>
        <w:t>体系文件收集与诊断：</w:t>
      </w:r>
      <w:r>
        <w:rPr>
          <w:rFonts w:hint="eastAsia" w:ascii="宋体" w:hAnsi="宋体" w:eastAsia="宋体" w:cs="宋体"/>
          <w:color w:val="auto"/>
          <w:kern w:val="2"/>
          <w:sz w:val="24"/>
          <w:szCs w:val="24"/>
          <w:u w:val="none"/>
          <w:lang w:val="en-US" w:eastAsia="zh-CN" w:bidi="ar-SA"/>
        </w:rPr>
        <w:t>针对目前标准化体系运营情况进行诊断，安全生产基础管理档案完善</w:t>
      </w:r>
      <w:r>
        <w:rPr>
          <w:rFonts w:hint="eastAsia" w:ascii="宋体" w:hAnsi="宋体" w:eastAsia="宋体" w:cs="宋体"/>
          <w:color w:val="auto"/>
          <w:sz w:val="24"/>
          <w:szCs w:val="24"/>
          <w:highlight w:val="none"/>
          <w:u w:val="none"/>
          <w:lang w:eastAsia="zh-CN"/>
        </w:rPr>
        <w:t>。</w:t>
      </w:r>
    </w:p>
    <w:p>
      <w:pPr>
        <w:numPr>
          <w:ilvl w:val="12"/>
          <w:numId w:val="0"/>
        </w:numPr>
        <w:adjustRightInd/>
        <w:snapToGrid/>
        <w:spacing w:line="360" w:lineRule="auto"/>
        <w:ind w:left="0" w:leftChars="0"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2.2 </w:t>
      </w:r>
      <w:r>
        <w:rPr>
          <w:rFonts w:hint="eastAsia" w:ascii="宋体" w:hAnsi="宋体" w:eastAsia="宋体" w:cs="宋体"/>
          <w:color w:val="auto"/>
          <w:kern w:val="0"/>
          <w:sz w:val="24"/>
          <w:szCs w:val="24"/>
          <w:u w:val="none"/>
          <w:lang w:val="en-US" w:eastAsia="zh-CN"/>
        </w:rPr>
        <w:t>隐患排查：对现场安全生产条件等进行排查，出具隐患排查报告</w:t>
      </w:r>
      <w:r>
        <w:rPr>
          <w:rFonts w:hint="eastAsia" w:ascii="宋体" w:hAnsi="宋体" w:eastAsia="宋体" w:cs="宋体"/>
          <w:color w:val="auto"/>
          <w:sz w:val="24"/>
          <w:szCs w:val="24"/>
          <w:highlight w:val="none"/>
          <w:u w:val="none"/>
          <w:lang w:val="en-US" w:eastAsia="zh-CN"/>
        </w:rPr>
        <w:t>。</w:t>
      </w:r>
    </w:p>
    <w:p>
      <w:pPr>
        <w:numPr>
          <w:ilvl w:val="12"/>
          <w:numId w:val="0"/>
        </w:numPr>
        <w:adjustRightInd/>
        <w:snapToGrid/>
        <w:spacing w:line="360" w:lineRule="auto"/>
        <w:ind w:left="0" w:leftChars="0"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2.3 </w:t>
      </w:r>
      <w:r>
        <w:rPr>
          <w:rFonts w:hint="eastAsia" w:ascii="宋体" w:hAnsi="宋体" w:eastAsia="宋体" w:cs="宋体"/>
          <w:color w:val="auto"/>
          <w:kern w:val="0"/>
          <w:sz w:val="24"/>
          <w:szCs w:val="24"/>
          <w:u w:val="none"/>
          <w:lang w:val="en-US" w:eastAsia="zh-CN"/>
        </w:rPr>
        <w:t>整改辅导及技术支持建立、完善安全生产标准化档案资料：隐患排查整改报告、档案资料建立、完善</w:t>
      </w:r>
      <w:r>
        <w:rPr>
          <w:rFonts w:hint="eastAsia" w:ascii="宋体" w:hAnsi="宋体" w:eastAsia="宋体" w:cs="宋体"/>
          <w:color w:val="auto"/>
          <w:sz w:val="24"/>
          <w:szCs w:val="24"/>
          <w:highlight w:val="none"/>
          <w:u w:val="none"/>
        </w:rPr>
        <w:t>。</w:t>
      </w:r>
    </w:p>
    <w:p>
      <w:pPr>
        <w:numPr>
          <w:ilvl w:val="12"/>
          <w:numId w:val="0"/>
        </w:numPr>
        <w:adjustRightInd/>
        <w:snapToGrid/>
        <w:spacing w:line="360" w:lineRule="auto"/>
        <w:ind w:left="0" w:leftChars="0" w:firstLine="480" w:firstLineChars="200"/>
        <w:jc w:val="left"/>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sz w:val="24"/>
          <w:szCs w:val="24"/>
          <w:highlight w:val="none"/>
          <w:u w:val="none"/>
          <w:lang w:val="en-US" w:eastAsia="zh-CN"/>
        </w:rPr>
        <w:t xml:space="preserve">2.4 </w:t>
      </w:r>
      <w:r>
        <w:rPr>
          <w:rFonts w:hint="eastAsia" w:ascii="宋体" w:hAnsi="宋体" w:eastAsia="宋体" w:cs="宋体"/>
          <w:color w:val="auto"/>
          <w:kern w:val="0"/>
          <w:sz w:val="24"/>
          <w:szCs w:val="24"/>
          <w:u w:val="none"/>
          <w:lang w:val="en-US" w:eastAsia="zh-CN"/>
        </w:rPr>
        <w:t>撰写自评报告：依据</w:t>
      </w:r>
      <w:r>
        <w:rPr>
          <w:rFonts w:hint="eastAsia" w:ascii="宋体" w:hAnsi="宋体" w:eastAsia="宋体" w:cs="宋体"/>
          <w:b w:val="0"/>
          <w:bCs w:val="0"/>
          <w:i w:val="0"/>
          <w:caps w:val="0"/>
          <w:color w:val="auto"/>
          <w:spacing w:val="0"/>
          <w:sz w:val="24"/>
          <w:szCs w:val="24"/>
          <w:u w:val="none"/>
          <w:shd w:val="clear" w:color="auto" w:fill="FFFFFF"/>
          <w:lang w:val="en-US" w:eastAsia="zh-CN"/>
        </w:rPr>
        <w:t>《污水处理企业安全生产标准化建设规范》</w:t>
      </w:r>
      <w:r>
        <w:rPr>
          <w:rFonts w:hint="eastAsia" w:ascii="宋体" w:hAnsi="宋体" w:eastAsia="宋体" w:cs="宋体"/>
          <w:b w:val="0"/>
          <w:bCs w:val="0"/>
          <w:color w:val="auto"/>
          <w:kern w:val="2"/>
          <w:sz w:val="24"/>
          <w:szCs w:val="24"/>
          <w:u w:val="none"/>
          <w:lang w:val="en-US" w:eastAsia="zh-CN" w:bidi="ar-SA"/>
        </w:rPr>
        <w:t>（TGDPAWS 11—2022）</w:t>
      </w:r>
      <w:r>
        <w:rPr>
          <w:rFonts w:hint="eastAsia" w:ascii="宋体" w:hAnsi="宋体" w:eastAsia="宋体" w:cs="宋体"/>
          <w:color w:val="auto"/>
          <w:kern w:val="0"/>
          <w:sz w:val="24"/>
          <w:szCs w:val="24"/>
          <w:u w:val="none"/>
          <w:lang w:val="en-US" w:eastAsia="zh-CN"/>
        </w:rPr>
        <w:t>对企业进行自评，完成《贯标评价报告》。</w:t>
      </w:r>
    </w:p>
    <w:p>
      <w:pPr>
        <w:numPr>
          <w:ilvl w:val="12"/>
          <w:numId w:val="0"/>
        </w:numPr>
        <w:adjustRightInd/>
        <w:snapToGrid/>
        <w:spacing w:line="360" w:lineRule="auto"/>
        <w:ind w:left="0" w:leftChars="0" w:firstLine="480" w:firstLineChars="200"/>
        <w:jc w:val="left"/>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0"/>
          <w:sz w:val="24"/>
          <w:szCs w:val="24"/>
          <w:u w:val="none"/>
          <w:lang w:val="en-US" w:eastAsia="zh-CN"/>
        </w:rPr>
        <w:t>2.5 负责实施贯标评价过程（含</w:t>
      </w:r>
      <w:r>
        <w:rPr>
          <w:rFonts w:hint="eastAsia" w:ascii="宋体" w:hAnsi="宋体" w:eastAsia="宋体" w:cs="宋体"/>
          <w:color w:val="auto"/>
          <w:sz w:val="24"/>
          <w:szCs w:val="24"/>
          <w:u w:val="none"/>
          <w:lang w:val="en-US" w:eastAsia="zh-CN"/>
        </w:rPr>
        <w:t>首次会议、</w:t>
      </w:r>
      <w:r>
        <w:rPr>
          <w:rFonts w:hint="eastAsia" w:ascii="宋体" w:hAnsi="宋体" w:eastAsia="宋体" w:cs="宋体"/>
          <w:bCs/>
          <w:color w:val="auto"/>
          <w:sz w:val="24"/>
          <w:szCs w:val="24"/>
          <w:u w:val="none"/>
          <w:lang w:val="en-US" w:eastAsia="zh-CN"/>
        </w:rPr>
        <w:t>文件评价、现场评价、</w:t>
      </w:r>
      <w:r>
        <w:rPr>
          <w:rFonts w:hint="eastAsia" w:ascii="宋体" w:hAnsi="宋体" w:eastAsia="宋体" w:cs="宋体"/>
          <w:b w:val="0"/>
          <w:bCs/>
          <w:color w:val="auto"/>
          <w:kern w:val="2"/>
          <w:sz w:val="24"/>
          <w:szCs w:val="24"/>
          <w:u w:val="none"/>
          <w:lang w:val="en-US" w:eastAsia="zh-CN" w:bidi="ar-SA"/>
        </w:rPr>
        <w:t>末次会议</w:t>
      </w:r>
      <w:r>
        <w:rPr>
          <w:rFonts w:hint="eastAsia" w:ascii="宋体" w:hAnsi="宋体" w:eastAsia="宋体" w:cs="宋体"/>
          <w:color w:val="auto"/>
          <w:kern w:val="0"/>
          <w:sz w:val="24"/>
          <w:szCs w:val="24"/>
          <w:u w:val="none"/>
          <w:lang w:val="en-US" w:eastAsia="zh-CN"/>
        </w:rPr>
        <w:t>），并</w:t>
      </w:r>
      <w:r>
        <w:rPr>
          <w:rFonts w:hint="eastAsia" w:ascii="宋体" w:hAnsi="宋体" w:eastAsia="宋体" w:cs="宋体"/>
          <w:color w:val="auto"/>
          <w:kern w:val="2"/>
          <w:sz w:val="24"/>
          <w:szCs w:val="24"/>
          <w:u w:val="none"/>
          <w:lang w:val="en-US" w:eastAsia="zh-CN" w:bidi="ar-SA"/>
        </w:rPr>
        <w:t>上报省安全生产协会公告、发证，取得《贯标证书》（AAAA级）</w:t>
      </w:r>
      <w:r>
        <w:rPr>
          <w:rFonts w:hint="eastAsia" w:ascii="宋体" w:hAnsi="宋体" w:eastAsia="宋体" w:cs="宋体"/>
          <w:color w:val="auto"/>
          <w:kern w:val="2"/>
          <w:sz w:val="24"/>
          <w:szCs w:val="24"/>
          <w:highlight w:val="none"/>
          <w:u w:val="none"/>
        </w:rPr>
        <w:t>。</w:t>
      </w:r>
    </w:p>
    <w:p>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三</w:t>
      </w:r>
      <w:r>
        <w:rPr>
          <w:rFonts w:hint="eastAsia" w:ascii="宋体" w:hAnsi="宋体" w:eastAsia="宋体"/>
          <w:b/>
          <w:color w:val="auto"/>
          <w:sz w:val="24"/>
          <w:szCs w:val="24"/>
          <w:highlight w:val="none"/>
        </w:rPr>
        <w:t>、项目服务期限及实施地点</w:t>
      </w:r>
    </w:p>
    <w:p>
      <w:pPr>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1</w:t>
      </w:r>
      <w:r>
        <w:rPr>
          <w:rFonts w:hint="eastAsia" w:ascii="宋体" w:hAnsi="宋体" w:eastAsia="宋体"/>
          <w:color w:val="auto"/>
          <w:sz w:val="24"/>
          <w:szCs w:val="24"/>
          <w:highlight w:val="none"/>
        </w:rPr>
        <w:t>项目服务期限</w:t>
      </w:r>
      <w:r>
        <w:rPr>
          <w:rFonts w:ascii="宋体" w:hAnsi="宋体" w:eastAsia="宋体"/>
          <w:color w:val="auto"/>
          <w:sz w:val="24"/>
          <w:szCs w:val="24"/>
          <w:highlight w:val="none"/>
        </w:rPr>
        <w:t>：</w:t>
      </w:r>
      <w:r>
        <w:rPr>
          <w:rFonts w:hint="eastAsia" w:ascii="宋体" w:hAnsi="宋体" w:eastAsia="宋体"/>
          <w:bCs/>
          <w:color w:val="auto"/>
          <w:sz w:val="24"/>
          <w:szCs w:val="24"/>
          <w:highlight w:val="none"/>
          <w:lang w:val="en-US" w:eastAsia="zh-CN"/>
        </w:rPr>
        <w:t>自合同签订起至4个月内。</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2</w:t>
      </w:r>
      <w:r>
        <w:rPr>
          <w:rFonts w:hint="eastAsia" w:ascii="宋体" w:hAnsi="宋体" w:eastAsia="宋体"/>
          <w:color w:val="auto"/>
          <w:sz w:val="24"/>
          <w:szCs w:val="24"/>
          <w:highlight w:val="none"/>
        </w:rPr>
        <w:t>项目服务地点：</w:t>
      </w:r>
      <w:r>
        <w:rPr>
          <w:rFonts w:hint="eastAsia" w:ascii="宋体" w:hAnsi="宋体" w:eastAsia="宋体"/>
          <w:color w:val="auto"/>
          <w:sz w:val="24"/>
          <w:szCs w:val="24"/>
          <w:highlight w:val="none"/>
          <w:lang w:val="en-US" w:eastAsia="zh-CN"/>
        </w:rPr>
        <w:t>广州市白云区江高镇南贤路1号广州市净水有限公司江高分公司</w:t>
      </w:r>
      <w:r>
        <w:rPr>
          <w:rFonts w:hint="eastAsia" w:ascii="宋体" w:hAnsi="宋体" w:eastAsia="宋体"/>
          <w:color w:val="auto"/>
          <w:sz w:val="24"/>
          <w:szCs w:val="24"/>
          <w:highlight w:val="none"/>
        </w:rPr>
        <w:t>。</w:t>
      </w:r>
    </w:p>
    <w:p>
      <w:pPr>
        <w:spacing w:line="360" w:lineRule="auto"/>
        <w:ind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四、合同总价及结算支付方式</w:t>
      </w:r>
    </w:p>
    <w:p>
      <w:pPr>
        <w:tabs>
          <w:tab w:val="left" w:pos="851"/>
        </w:tabs>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4.1预付款的支付：</w:t>
      </w:r>
      <w:r>
        <w:rPr>
          <w:rFonts w:ascii="Wingdings 2" w:hAnsi="Wingdings 2" w:eastAsia="宋体" w:cs="宋体"/>
          <w:color w:val="auto"/>
          <w:sz w:val="24"/>
          <w:highlight w:val="none"/>
          <w:lang w:val="en-US" w:eastAsia="zh-CN"/>
        </w:rPr>
        <w:t>R</w:t>
      </w:r>
      <w:r>
        <w:rPr>
          <w:rFonts w:hint="eastAsia" w:ascii="宋体" w:hAnsi="宋体" w:eastAsia="宋体" w:cs="宋体"/>
          <w:color w:val="auto"/>
          <w:sz w:val="24"/>
          <w:highlight w:val="none"/>
          <w:lang w:val="en-US" w:eastAsia="zh-CN"/>
        </w:rPr>
        <w:t>无；</w:t>
      </w:r>
    </w:p>
    <w:p>
      <w:pPr>
        <w:tabs>
          <w:tab w:val="left" w:pos="851"/>
        </w:tabs>
        <w:adjustRightInd w:val="0"/>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4.2本合同采用总价包干方式，</w:t>
      </w:r>
      <w:r>
        <w:rPr>
          <w:rFonts w:hint="eastAsia" w:ascii="宋体" w:hAnsi="宋体" w:eastAsia="宋体"/>
          <w:color w:val="auto"/>
          <w:sz w:val="24"/>
          <w:szCs w:val="24"/>
          <w:highlight w:val="none"/>
        </w:rPr>
        <w:t>合同暂定</w:t>
      </w:r>
      <w:r>
        <w:rPr>
          <w:rFonts w:hint="eastAsia" w:ascii="宋体" w:hAnsi="宋体" w:eastAsia="宋体"/>
          <w:color w:val="auto"/>
          <w:sz w:val="24"/>
          <w:szCs w:val="24"/>
          <w:highlight w:val="none"/>
          <w:lang w:val="en-US" w:eastAsia="zh-CN"/>
        </w:rPr>
        <w:t>总</w:t>
      </w:r>
      <w:r>
        <w:rPr>
          <w:rFonts w:hint="eastAsia" w:ascii="宋体" w:hAnsi="宋体" w:eastAsia="宋体"/>
          <w:color w:val="auto"/>
          <w:sz w:val="24"/>
          <w:szCs w:val="24"/>
          <w:highlight w:val="none"/>
        </w:rPr>
        <w:t>金额为人民币（大写）</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，（小写）：¥ </w:t>
      </w:r>
      <w:r>
        <w:rPr>
          <w:rFonts w:ascii="宋体" w:hAnsi="宋体" w:eastAsia="宋体"/>
          <w:color w:val="auto"/>
          <w:sz w:val="24"/>
          <w:szCs w:val="24"/>
          <w:highlight w:val="none"/>
          <w:u w:val="single"/>
        </w:rPr>
        <w:t xml:space="preserve">                元</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含税</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lang w:val="en-US" w:eastAsia="zh-CN"/>
        </w:rPr>
        <w:t xml:space="preserve">                            </w:t>
      </w:r>
      <w:r>
        <w:rPr>
          <w:rFonts w:hint="eastAsia" w:ascii="宋体" w:hAnsi="宋体" w:eastAsia="宋体" w:cs="宋体"/>
          <w:color w:val="auto"/>
          <w:kern w:val="2"/>
          <w:sz w:val="24"/>
          <w:highlight w:val="none"/>
          <w:lang w:val="en-US"/>
        </w:rPr>
        <w:t>4.</w:t>
      </w: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rPr>
        <w:t>本合同约定的价格为含税价价格</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none"/>
          <w:lang w:val="en-US" w:eastAsia="zh-CN"/>
        </w:rPr>
        <w:t>税率为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支付方式：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.1本项目以完成目标进行结算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乙方完成合同规定期限的</w:t>
      </w:r>
      <w:r>
        <w:rPr>
          <w:rFonts w:hint="eastAsia" w:ascii="宋体" w:hAnsi="宋体" w:eastAsia="宋体" w:cs="宋体"/>
          <w:color w:val="auto"/>
          <w:sz w:val="24"/>
          <w:szCs w:val="24"/>
          <w:highlight w:val="none"/>
          <w:lang w:val="en-US" w:eastAsia="zh-CN"/>
        </w:rPr>
        <w:t>取得</w:t>
      </w:r>
      <w:r>
        <w:rPr>
          <w:rFonts w:hint="eastAsia" w:ascii="宋体" w:hAnsi="宋体" w:eastAsia="宋体" w:cs="宋体"/>
          <w:b w:val="0"/>
          <w:bCs w:val="0"/>
          <w:i w:val="0"/>
          <w:caps w:val="0"/>
          <w:color w:val="auto"/>
          <w:spacing w:val="0"/>
          <w:sz w:val="24"/>
          <w:szCs w:val="24"/>
          <w:shd w:val="clear" w:color="auto" w:fill="FFFFFF"/>
          <w:lang w:val="en-US" w:eastAsia="zh-CN"/>
        </w:rPr>
        <w:t>《污水处理企业安全生产标准化建设规范》团体标准贯标证书（AAAA级）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开具税票后30天内付款。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4.4.2乙方收款账户：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4.4.3乙方在收款前需提交相应金额增值税专用发票给甲方。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增值税专用发票信息：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名称：广州市净水有限公司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税号：91440101755584729Q ；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地址：广州市天河区临江大道501号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4.5付款方式： </w:t>
      </w:r>
      <w:r>
        <w:rPr>
          <w:rFonts w:ascii="Wingdings" w:hAnsi="Wingdings" w:eastAsia="宋体" w:cs="宋体"/>
          <w:color w:val="auto"/>
          <w:sz w:val="24"/>
          <w:szCs w:val="24"/>
          <w:highlight w:val="none"/>
          <w:lang w:val="en-US" w:eastAsia="zh-CN"/>
        </w:rPr>
        <w:sym w:font="Wingdings" w:char="F0A8"/>
      </w:r>
      <w:r>
        <w:rPr>
          <w:rFonts w:hint="eastAsia" w:ascii="宋体" w:hAnsi="宋体" w:eastAsia="宋体" w:cs="宋体"/>
          <w:color w:val="auto"/>
          <w:sz w:val="24"/>
          <w:szCs w:val="24"/>
          <w:highlight w:val="none"/>
          <w:lang w:val="en-US" w:eastAsia="zh-CN"/>
        </w:rPr>
        <w:t xml:space="preserve">网银支付；  </w:t>
      </w:r>
      <w:r>
        <w:rPr>
          <w:rFonts w:ascii="Wingdings" w:hAnsi="Wingdings" w:eastAsia="宋体" w:cs="宋体"/>
          <w:color w:val="auto"/>
          <w:sz w:val="24"/>
          <w:szCs w:val="24"/>
          <w:highlight w:val="none"/>
          <w:lang w:val="en-US" w:eastAsia="zh-CN"/>
        </w:rPr>
        <w:sym w:font="Wingdings" w:char="F0A8"/>
      </w:r>
      <w:r>
        <w:rPr>
          <w:rFonts w:hint="eastAsia" w:ascii="宋体" w:hAnsi="宋体" w:eastAsia="宋体" w:cs="宋体"/>
          <w:color w:val="auto"/>
          <w:sz w:val="24"/>
          <w:szCs w:val="24"/>
          <w:highlight w:val="none"/>
          <w:lang w:val="en-US" w:eastAsia="zh-CN"/>
        </w:rPr>
        <w:t xml:space="preserve">支票；   </w:t>
      </w:r>
      <w:r>
        <w:rPr>
          <w:rFonts w:ascii="Wingdings" w:hAnsi="Wingdings" w:eastAsia="宋体" w:cs="宋体"/>
          <w:color w:val="auto"/>
          <w:sz w:val="24"/>
          <w:szCs w:val="24"/>
          <w:highlight w:val="none"/>
          <w:lang w:val="en-US" w:eastAsia="zh-CN"/>
        </w:rPr>
        <w:sym w:font="Wingdings" w:char="F0A8"/>
      </w:r>
      <w:r>
        <w:rPr>
          <w:rFonts w:hint="eastAsia" w:ascii="宋体" w:hAnsi="宋体" w:eastAsia="宋体" w:cs="宋体"/>
          <w:color w:val="auto"/>
          <w:sz w:val="24"/>
          <w:szCs w:val="24"/>
          <w:highlight w:val="none"/>
          <w:lang w:val="en-US" w:eastAsia="zh-CN"/>
        </w:rPr>
        <w:t xml:space="preserve">其他：/      </w:t>
      </w:r>
    </w:p>
    <w:p>
      <w:pPr>
        <w:spacing w:line="360" w:lineRule="auto"/>
        <w:ind w:firstLine="482" w:firstLineChars="200"/>
        <w:rPr>
          <w:rFonts w:ascii="宋体" w:hAnsi="宋体" w:eastAsia="宋体"/>
          <w:b/>
          <w:color w:val="auto"/>
          <w:sz w:val="24"/>
          <w:szCs w:val="24"/>
          <w:highlight w:val="none"/>
        </w:rPr>
      </w:pPr>
      <w:r>
        <w:rPr>
          <w:rFonts w:hint="eastAsia" w:ascii="宋体" w:hAnsi="宋体"/>
          <w:b/>
          <w:color w:val="auto"/>
          <w:sz w:val="24"/>
          <w:szCs w:val="24"/>
          <w:highlight w:val="none"/>
          <w:lang w:val="en-US" w:eastAsia="zh-CN"/>
        </w:rPr>
        <w:t>五</w:t>
      </w:r>
      <w:r>
        <w:rPr>
          <w:rFonts w:hint="eastAsia" w:ascii="宋体" w:hAnsi="宋体" w:eastAsia="宋体"/>
          <w:b/>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.2</w:t>
      </w:r>
      <w:r>
        <w:rPr>
          <w:rFonts w:hint="eastAsia" w:ascii="宋体" w:hAnsi="宋体" w:cs="宋体"/>
          <w:color w:val="auto"/>
          <w:sz w:val="24"/>
          <w:szCs w:val="24"/>
        </w:rPr>
        <w:t>在甲方提供的资料（如企业基本情况、相关图片文字资料、现场整改等）满足开展服务项目工作及向评审组织单位申请的相关要求的前提下，乙方不能按时按质（通过广东省安全生产协会审核发证）完成，每逾期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合同暂定总价的</w:t>
      </w:r>
      <w:r>
        <w:rPr>
          <w:rFonts w:ascii="宋体" w:hAnsi="宋体" w:cs="宋体"/>
          <w:color w:val="auto"/>
          <w:sz w:val="24"/>
          <w:szCs w:val="24"/>
          <w:u w:val="single"/>
        </w:rPr>
        <w:t>1%</w:t>
      </w:r>
      <w:r>
        <w:rPr>
          <w:rFonts w:hint="eastAsia" w:ascii="宋体" w:hAnsi="宋体" w:cs="宋体"/>
          <w:color w:val="auto"/>
          <w:sz w:val="24"/>
          <w:szCs w:val="24"/>
          <w:u w:val="single"/>
        </w:rPr>
        <w:t>/天</w:t>
      </w:r>
      <w:r>
        <w:rPr>
          <w:rFonts w:ascii="宋体" w:hAnsi="宋体" w:cs="宋体"/>
          <w:color w:val="auto"/>
          <w:sz w:val="24"/>
          <w:szCs w:val="24"/>
          <w:u w:val="single"/>
        </w:rPr>
        <w:t>支付违约金</w:t>
      </w:r>
      <w:r>
        <w:rPr>
          <w:rFonts w:hint="eastAsia" w:ascii="宋体" w:hAnsi="宋体" w:cs="宋体"/>
          <w:color w:val="auto"/>
          <w:sz w:val="24"/>
          <w:szCs w:val="24"/>
        </w:rPr>
        <w:t>，逾期达到</w:t>
      </w:r>
      <w:r>
        <w:rPr>
          <w:rFonts w:hint="eastAsia" w:ascii="宋体" w:hAnsi="宋体" w:cs="宋体"/>
          <w:color w:val="auto"/>
          <w:sz w:val="24"/>
          <w:szCs w:val="24"/>
          <w:u w:val="single"/>
        </w:rPr>
        <w:t>7</w:t>
      </w:r>
      <w:r>
        <w:rPr>
          <w:rFonts w:hint="eastAsia" w:ascii="宋体" w:hAnsi="宋体" w:cs="宋体"/>
          <w:color w:val="auto"/>
          <w:sz w:val="24"/>
          <w:szCs w:val="24"/>
        </w:rPr>
        <w:t>天及以上的，甲方有权解除合同并要求乙方支付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 xml:space="preserve">.3 </w:t>
      </w:r>
      <w:r>
        <w:rPr>
          <w:rFonts w:hint="eastAsia" w:ascii="宋体" w:hAnsi="宋体" w:cs="宋体"/>
          <w:color w:val="auto"/>
          <w:sz w:val="24"/>
          <w:szCs w:val="24"/>
        </w:rPr>
        <w:t>在甲方提供的资料（如企业基本情况、相关图片文字资料、现场整改等）满足开展服务项目工作的前提下，如乙方提供服务未能通过广东省安全生产协会审核发证的，甲方有权要求乙方按要求进行整改直至通过验收，期间造成费用增加及违约责任由乙方自行承担。</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 xml:space="preserve">.4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乙方不履行合同义务、或履行合同义务不符合合同约定、或违反国家、省、市行业标准的，甲方有权要求乙方限期整改。乙方逾期未完成整改的，每超过</w:t>
      </w:r>
      <w:r>
        <w:rPr>
          <w:rFonts w:ascii="宋体" w:hAnsi="宋体" w:cs="宋体"/>
          <w:color w:val="auto"/>
          <w:sz w:val="24"/>
          <w:szCs w:val="24"/>
        </w:rPr>
        <w:t>1日支付违约金人民币1万元，超过</w:t>
      </w:r>
      <w:r>
        <w:rPr>
          <w:rFonts w:hint="eastAsia" w:ascii="宋体" w:hAnsi="宋体" w:cs="宋体"/>
          <w:color w:val="auto"/>
          <w:sz w:val="24"/>
          <w:szCs w:val="24"/>
          <w:u w:val="single"/>
        </w:rPr>
        <w:t>7</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六、合同的变更、解除及终止</w:t>
      </w:r>
    </w:p>
    <w:p>
      <w:pPr>
        <w:adjustRightInd/>
        <w:snapToGrid/>
        <w:ind w:firstLine="420" w:firstLineChars="175"/>
        <w:textAlignment w:val="auto"/>
        <w:rPr>
          <w:rFonts w:hint="eastAsia"/>
          <w:color w:val="auto"/>
          <w:lang w:val="en-US" w:eastAsia="zh-CN"/>
        </w:rPr>
      </w:pPr>
      <w:r>
        <w:rPr>
          <w:rFonts w:hint="eastAsia" w:ascii="宋体" w:hAnsi="宋体" w:eastAsia="宋体" w:cs="宋体"/>
          <w:color w:val="auto"/>
          <w:sz w:val="24"/>
          <w:szCs w:val="24"/>
          <w:highlight w:val="none"/>
          <w:lang w:val="en-US" w:eastAsia="zh-CN"/>
        </w:rPr>
        <w:t>6.1合同签订以后，经当事人双方协商一致，才能对合同的内容进行修改、补充或调整，并以书面形式确定。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6.2任何一方擅自解除合同，应向另一方支付本合同暂定总金额百分之二十的违约金。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6.3合同执行期间受到不可抗力因素导致合同无法执行的，一方可以向另一方提出变更合同权利与义务的请求，另一方应当在10日内予以答复；逾期未予答复的，视为不同意。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七、争端的解决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7.1凡与本合同有关而引起的一切争议，合同双方应首先通过友好协商解决，如经协商后仍不能达成协议时，任何一方可以向甲方所在地有管辖权的法院提请诉讼。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7.2在进行法院审理期间，除提交法院审理事项外，合同其他部分仍应当继续履行。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7.3本合同适用中华人民共和国法律。</w:t>
      </w:r>
      <w:r>
        <w:rPr>
          <w:rFonts w:hint="eastAsia" w:ascii="宋体" w:hAnsi="宋体" w:eastAsia="宋体" w:cs="宋体"/>
          <w:color w:val="auto"/>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八、不可抗力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8.1不可抗力指战争、严重火灾、洪水、台风、地震等或其它双方认可的不可抗力事件。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8.2签约双方中任何一方由于不可抗力影响合同执行时，发生不可抗力一方应尽快将事故通知另一方。在此情况下，乙方仍然有责任采取必要的措施，双方应通过友好协商尽快解决本合同的执行问题。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九、通知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9.1本合同一方给对方的通知应用书面形式送达合同中对方的地址，电话或传真要经对方的书面确认，以电报形式的通知，从当地邮电局发出电报的第二天视为送达。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9.2通知以送达日期或通知书的生效日期为生效日期，两者中以晚的一个日期为准。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十、其它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在执行合同过程中，所有经甲乙双方签署确认的文件（包括会议纪要、补充协议、往来信函）即成为本合同的有效组成部分，其生效日期为正式文件确认的日期，若涉及对合同条款实质变更的，应另行签订补充协议，否则无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10.2本合同未尽事宜，双方应本着友好合作的原则，另行签订补充协议。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10.3本合同经双方法定代表人或授权代表签名盖章后生效。本合同一式</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份，甲方执</w:t>
      </w:r>
      <w:r>
        <w:rPr>
          <w:rFonts w:hint="eastAsia" w:ascii="宋体" w:hAnsi="宋体" w:eastAsia="宋体" w:cs="宋体"/>
          <w:color w:val="auto"/>
          <w:sz w:val="24"/>
          <w:szCs w:val="24"/>
          <w:highlight w:val="none"/>
          <w:u w:val="single"/>
          <w:lang w:val="en-US" w:eastAsia="zh-CN"/>
        </w:rPr>
        <w:t xml:space="preserve"> 4 </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份。</w:t>
      </w:r>
    </w:p>
    <w:p>
      <w:pPr>
        <w:spacing w:line="360" w:lineRule="auto"/>
        <w:ind w:left="420" w:leftChars="200"/>
        <w:rPr>
          <w:rFonts w:ascii="宋体" w:hAnsi="宋体" w:eastAsia="宋体"/>
          <w:color w:val="auto"/>
          <w:sz w:val="24"/>
          <w:szCs w:val="24"/>
          <w:highlight w:val="none"/>
        </w:rPr>
      </w:pPr>
      <w:r>
        <w:rPr>
          <w:rFonts w:hint="eastAsia" w:ascii="宋体" w:hAnsi="宋体" w:eastAsia="宋体"/>
          <w:color w:val="auto"/>
          <w:sz w:val="24"/>
          <w:szCs w:val="24"/>
          <w:highlight w:val="none"/>
        </w:rPr>
        <w:t>（以下无正文）</w:t>
      </w:r>
    </w:p>
    <w:p>
      <w:pPr>
        <w:spacing w:line="360" w:lineRule="auto"/>
        <w:rPr>
          <w:rFonts w:ascii="宋体" w:hAnsi="宋体" w:eastAsia="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2.安全管理协议书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3.廉洁协议</w:t>
      </w:r>
    </w:p>
    <w:p>
      <w:pPr>
        <w:pStyle w:val="2"/>
        <w:rPr>
          <w:rFonts w:hint="eastAsia" w:ascii="宋体" w:hAnsi="宋体" w:eastAsia="宋体" w:cs="宋体"/>
          <w:b w:val="0"/>
          <w:bCs w:val="0"/>
          <w:color w:val="auto"/>
          <w:sz w:val="24"/>
          <w:szCs w:val="24"/>
          <w:highlight w:val="none"/>
          <w:lang w:val="en-US" w:eastAsia="zh-CN"/>
        </w:rPr>
      </w:pPr>
    </w:p>
    <w:p>
      <w:pPr>
        <w:pStyle w:val="2"/>
        <w:rPr>
          <w:rFonts w:hint="eastAsia" w:ascii="宋体" w:hAnsi="宋体" w:eastAsia="宋体" w:cs="宋体"/>
          <w:b w:val="0"/>
          <w:bCs w:val="0"/>
          <w:color w:val="auto"/>
          <w:sz w:val="24"/>
          <w:szCs w:val="24"/>
          <w:highlight w:val="none"/>
          <w:lang w:val="en-US" w:eastAsia="zh-CN"/>
        </w:rPr>
      </w:pPr>
    </w:p>
    <w:p>
      <w:pPr>
        <w:pStyle w:val="2"/>
        <w:ind w:left="0" w:leftChars="0" w:firstLine="0" w:firstLineChars="0"/>
        <w:rPr>
          <w:rFonts w:hint="eastAsia" w:ascii="宋体" w:hAnsi="宋体" w:eastAsia="宋体" w:cs="宋体"/>
          <w:b w:val="0"/>
          <w:bCs w:val="0"/>
          <w:color w:val="auto"/>
          <w:sz w:val="24"/>
          <w:szCs w:val="24"/>
          <w:highlight w:val="none"/>
          <w:lang w:val="en-US" w:eastAsia="zh-CN"/>
        </w:rPr>
      </w:pPr>
    </w:p>
    <w:p>
      <w:pPr>
        <w:pStyle w:val="2"/>
        <w:ind w:left="0" w:leftChars="0" w:firstLine="0" w:firstLineChars="0"/>
        <w:rPr>
          <w:rFonts w:hint="eastAsia" w:ascii="宋体" w:hAnsi="宋体" w:eastAsia="宋体" w:cs="宋体"/>
          <w:b w:val="0"/>
          <w:bCs w:val="0"/>
          <w:color w:val="auto"/>
          <w:sz w:val="24"/>
          <w:szCs w:val="24"/>
          <w:highlight w:val="none"/>
          <w:lang w:val="en-US" w:eastAsia="zh-CN"/>
        </w:rPr>
      </w:pPr>
    </w:p>
    <w:p>
      <w:pPr>
        <w:pStyle w:val="2"/>
        <w:ind w:left="0" w:leftChars="0" w:firstLine="0" w:firstLineChars="0"/>
        <w:rPr>
          <w:rFonts w:hint="eastAsia" w:ascii="宋体" w:hAnsi="宋体" w:eastAsia="宋体" w:cs="宋体"/>
          <w:b w:val="0"/>
          <w:bCs w:val="0"/>
          <w:color w:val="auto"/>
          <w:sz w:val="24"/>
          <w:szCs w:val="24"/>
          <w:highlight w:val="none"/>
          <w:lang w:val="en-US" w:eastAsia="zh-CN"/>
        </w:rPr>
      </w:pPr>
    </w:p>
    <w:p>
      <w:pPr>
        <w:pStyle w:val="2"/>
        <w:ind w:left="0" w:leftChars="0" w:firstLine="0" w:firstLineChars="0"/>
        <w:rPr>
          <w:rFonts w:hint="eastAsia" w:ascii="宋体" w:hAnsi="宋体" w:eastAsia="宋体" w:cs="宋体"/>
          <w:b w:val="0"/>
          <w:bCs w:val="0"/>
          <w:color w:val="auto"/>
          <w:sz w:val="24"/>
          <w:szCs w:val="24"/>
          <w:highlight w:val="none"/>
          <w:lang w:val="en-US" w:eastAsia="zh-CN"/>
        </w:rPr>
      </w:pPr>
    </w:p>
    <w:p>
      <w:pPr>
        <w:pStyle w:val="2"/>
        <w:ind w:left="0" w:leftChars="0" w:firstLine="0" w:firstLineChars="0"/>
        <w:rPr>
          <w:rFonts w:hint="eastAsia" w:ascii="宋体" w:hAnsi="宋体" w:eastAsia="宋体" w:cs="宋体"/>
          <w:b w:val="0"/>
          <w:bCs w:val="0"/>
          <w:color w:val="auto"/>
          <w:sz w:val="24"/>
          <w:szCs w:val="24"/>
          <w:highlight w:val="none"/>
          <w:lang w:val="en-US" w:eastAsia="zh-CN"/>
        </w:rPr>
      </w:pPr>
    </w:p>
    <w:tbl>
      <w:tblPr>
        <w:tblStyle w:val="21"/>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c>
          <w:tcPr>
            <w:tcW w:w="4696"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c>
          <w:tcPr>
            <w:tcW w:w="4696"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812" w:type="dxa"/>
            <w:tcBorders>
              <w:top w:val="nil"/>
              <w:left w:val="nil"/>
              <w:bottom w:val="nil"/>
              <w:right w:val="nil"/>
            </w:tcBorders>
            <w:noWrap w:val="0"/>
            <w:vAlign w:val="center"/>
          </w:tcPr>
          <w:p>
            <w:pPr>
              <w:adjustRightInd w:val="0"/>
              <w:snapToGrid w:val="0"/>
              <w:spacing w:after="0"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c>
          <w:tcPr>
            <w:tcW w:w="4696" w:type="dxa"/>
            <w:tcBorders>
              <w:top w:val="nil"/>
              <w:left w:val="nil"/>
              <w:bottom w:val="nil"/>
              <w:right w:val="nil"/>
            </w:tcBorders>
            <w:noWrap w:val="0"/>
            <w:vAlign w:val="center"/>
          </w:tcPr>
          <w:p>
            <w:pPr>
              <w:adjustRightInd w:val="0"/>
              <w:snapToGrid w:val="0"/>
              <w:spacing w:line="420" w:lineRule="exact"/>
              <w:ind w:left="4181" w:hanging="4180" w:hangingChars="1742"/>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r>
    </w:tbl>
    <w:p>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附件1：成交通知书</w:t>
      </w:r>
    </w:p>
    <w:p>
      <w:pPr>
        <w:adjustRightInd w:val="0"/>
        <w:snapToGrid w:val="0"/>
        <w:spacing w:line="600" w:lineRule="exact"/>
        <w:jc w:val="center"/>
        <w:rPr>
          <w:rFonts w:hint="eastAsia"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hint="eastAsia" w:ascii="黑体" w:hAnsi="Batang" w:eastAsia="黑体" w:cs="Batang"/>
          <w:bCs/>
          <w:color w:val="auto"/>
          <w:kern w:val="0"/>
          <w:sz w:val="44"/>
          <w:szCs w:val="44"/>
          <w:highlight w:val="none"/>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附件2</w:t>
      </w:r>
    </w:p>
    <w:p>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安全管理协议书</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二、甲方权责</w:t>
      </w:r>
    </w:p>
    <w:p>
      <w:pPr>
        <w:adjustRightInd w:val="0"/>
        <w:snapToGrid w:val="0"/>
        <w:spacing w:line="56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（七）委托的第三方运输单位或个人，违反本协议的，全部责任均由乙方承担。</w:t>
      </w:r>
    </w:p>
    <w:p>
      <w:pPr>
        <w:pStyle w:val="34"/>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olor w:val="auto"/>
          <w:sz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附件3             </w:t>
      </w:r>
    </w:p>
    <w:p>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2、解除</w:t>
      </w:r>
      <w:r>
        <w:rPr>
          <w:rFonts w:hint="eastAsia" w:ascii="仿宋_GB2312" w:hAnsi="仿宋_GB2312" w:eastAsia="仿宋_GB2312" w:cs="仿宋_GB2312"/>
          <w:color w:val="auto"/>
          <w:sz w:val="28"/>
          <w:szCs w:val="28"/>
          <w:highlight w:val="none"/>
          <w:lang w:val="en-US" w:eastAsia="zh-CN"/>
        </w:rPr>
        <w:t>主合同</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beforeAutospacing="0" w:after="0" w:line="360" w:lineRule="auto"/>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1"/>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84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87" w:name="_Toc1563"/>
      <w:bookmarkStart w:id="88" w:name="_Toc21847"/>
      <w:bookmarkStart w:id="89" w:name="_Toc30824"/>
      <w:bookmarkStart w:id="90" w:name="_Toc16552"/>
      <w:bookmarkStart w:id="91" w:name="_Toc6230"/>
      <w:bookmarkStart w:id="92" w:name="_Toc28358"/>
      <w:bookmarkStart w:id="93" w:name="_Toc3723"/>
      <w:bookmarkStart w:id="94" w:name="_Toc12169"/>
      <w:bookmarkStart w:id="95" w:name="_Toc23515"/>
      <w:bookmarkStart w:id="96" w:name="_Toc8147"/>
      <w:bookmarkStart w:id="97" w:name="_Toc5129"/>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4"/>
        <w:rPr>
          <w:color w:val="auto"/>
          <w:highlight w:val="none"/>
        </w:rPr>
      </w:pPr>
    </w:p>
    <w:p>
      <w:pPr>
        <w:pStyle w:val="4"/>
        <w:rPr>
          <w:color w:val="auto"/>
          <w:highlight w:val="none"/>
        </w:rPr>
      </w:pPr>
      <w:bookmarkStart w:id="98" w:name="_Toc24815"/>
      <w:bookmarkStart w:id="99" w:name="_Toc21675"/>
      <w:bookmarkStart w:id="100" w:name="_Toc24490"/>
      <w:bookmarkStart w:id="101" w:name="_Toc10840"/>
      <w:bookmarkStart w:id="102" w:name="_Toc17119"/>
      <w:bookmarkStart w:id="103" w:name="_Toc12769"/>
      <w:bookmarkStart w:id="104" w:name="_Toc31564"/>
      <w:bookmarkStart w:id="105" w:name="_Toc88209951"/>
      <w:bookmarkStart w:id="106" w:name="_Toc87616388"/>
      <w:bookmarkStart w:id="107" w:name="_Toc12610"/>
      <w:bookmarkStart w:id="108" w:name="_Toc22764"/>
      <w:bookmarkStart w:id="109" w:name="_Toc5342"/>
      <w:bookmarkStart w:id="110" w:name="_Toc30157"/>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7616389"/>
      <w:bookmarkStart w:id="112" w:name="_Toc88209952"/>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87616394"/>
      <w:bookmarkStart w:id="118" w:name="_Toc12665"/>
      <w:bookmarkStart w:id="119" w:name="_Toc88209957"/>
      <w:bookmarkStart w:id="120" w:name="_Toc6313"/>
      <w:bookmarkStart w:id="121" w:name="_Toc28619645"/>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color w:val="auto"/>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right"/>
        <w:rPr>
          <w:rFonts w:hint="eastAsia"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hint="eastAsia"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hint="eastAsia"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asciiTheme="minorEastAsia" w:hAnsiTheme="minorEastAsia" w:eastAsiaTheme="minorEastAsia"/>
          <w:color w:val="auto"/>
          <w:sz w:val="28"/>
          <w:szCs w:val="28"/>
          <w:highlight w:val="none"/>
        </w:rPr>
      </w:pPr>
      <w:bookmarkStart w:id="122" w:name="_Toc87616395"/>
      <w:bookmarkStart w:id="123" w:name="_Toc29833"/>
      <w:bookmarkStart w:id="124" w:name="_Toc88209958"/>
      <w:bookmarkStart w:id="125" w:name="_Toc22527"/>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6"/>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4"/>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086"/>
      <w:bookmarkStart w:id="127" w:name="_Toc88209963"/>
      <w:bookmarkStart w:id="128" w:name="_Toc87616400"/>
      <w:bookmarkStart w:id="12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1" w:name="_Toc19423"/>
      <w:bookmarkStart w:id="13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3" w:name="_Toc6058"/>
      <w:bookmarkStart w:id="134" w:name="_Toc88209965"/>
      <w:bookmarkStart w:id="135" w:name="_Toc16386"/>
      <w:bookmarkStart w:id="136"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yNmI2YThmOWY4NzYzMGI5MjFlZDE0ZjM1MDhhOWYifQ=="/>
  </w:docVars>
  <w:rsids>
    <w:rsidRoot w:val="005D618A"/>
    <w:rsid w:val="003D60BA"/>
    <w:rsid w:val="00411689"/>
    <w:rsid w:val="005D618A"/>
    <w:rsid w:val="00911ECD"/>
    <w:rsid w:val="00A042E0"/>
    <w:rsid w:val="00B26BB1"/>
    <w:rsid w:val="00B26E21"/>
    <w:rsid w:val="00B741D7"/>
    <w:rsid w:val="00D4533C"/>
    <w:rsid w:val="00F83B64"/>
    <w:rsid w:val="01223957"/>
    <w:rsid w:val="013E3461"/>
    <w:rsid w:val="019B6B2F"/>
    <w:rsid w:val="01BB0F13"/>
    <w:rsid w:val="02090C75"/>
    <w:rsid w:val="02683257"/>
    <w:rsid w:val="02A23A3C"/>
    <w:rsid w:val="02FB196F"/>
    <w:rsid w:val="032843CF"/>
    <w:rsid w:val="035D130A"/>
    <w:rsid w:val="039110A9"/>
    <w:rsid w:val="03AC246A"/>
    <w:rsid w:val="03AE6061"/>
    <w:rsid w:val="03B23056"/>
    <w:rsid w:val="03DA023E"/>
    <w:rsid w:val="03DC3EBA"/>
    <w:rsid w:val="03E43F62"/>
    <w:rsid w:val="03F9794D"/>
    <w:rsid w:val="046A2461"/>
    <w:rsid w:val="04701FEC"/>
    <w:rsid w:val="051C2970"/>
    <w:rsid w:val="05CE269F"/>
    <w:rsid w:val="060C3611"/>
    <w:rsid w:val="06283AC3"/>
    <w:rsid w:val="069C0B66"/>
    <w:rsid w:val="06C64829"/>
    <w:rsid w:val="070E7B6E"/>
    <w:rsid w:val="071D62B7"/>
    <w:rsid w:val="074E5A9D"/>
    <w:rsid w:val="077D16D2"/>
    <w:rsid w:val="08030A4B"/>
    <w:rsid w:val="082A69F3"/>
    <w:rsid w:val="08675FC8"/>
    <w:rsid w:val="089F799B"/>
    <w:rsid w:val="08F179DA"/>
    <w:rsid w:val="092C28CC"/>
    <w:rsid w:val="09387860"/>
    <w:rsid w:val="09B713FD"/>
    <w:rsid w:val="09C05225"/>
    <w:rsid w:val="09E95163"/>
    <w:rsid w:val="09EF6ACC"/>
    <w:rsid w:val="0A315056"/>
    <w:rsid w:val="0A3E3B7B"/>
    <w:rsid w:val="0A694621"/>
    <w:rsid w:val="0A9C75F4"/>
    <w:rsid w:val="0AA213B4"/>
    <w:rsid w:val="0AF537FB"/>
    <w:rsid w:val="0AF61C7E"/>
    <w:rsid w:val="0AFB45AD"/>
    <w:rsid w:val="0B341D58"/>
    <w:rsid w:val="0B351E9B"/>
    <w:rsid w:val="0B4C50D3"/>
    <w:rsid w:val="0B54041F"/>
    <w:rsid w:val="0B6776C5"/>
    <w:rsid w:val="0B806B92"/>
    <w:rsid w:val="0B827E94"/>
    <w:rsid w:val="0B842F76"/>
    <w:rsid w:val="0B9E269F"/>
    <w:rsid w:val="0BD070E1"/>
    <w:rsid w:val="0BD65B6B"/>
    <w:rsid w:val="0C2361E7"/>
    <w:rsid w:val="0C247926"/>
    <w:rsid w:val="0C6B45A7"/>
    <w:rsid w:val="0D4A0C1E"/>
    <w:rsid w:val="0D794204"/>
    <w:rsid w:val="0E2125D1"/>
    <w:rsid w:val="0E214211"/>
    <w:rsid w:val="0E5F2769"/>
    <w:rsid w:val="0ECC394D"/>
    <w:rsid w:val="0ED8332F"/>
    <w:rsid w:val="0F4D75A3"/>
    <w:rsid w:val="0F5B2DCA"/>
    <w:rsid w:val="0F714D08"/>
    <w:rsid w:val="0FA20605"/>
    <w:rsid w:val="0FED051E"/>
    <w:rsid w:val="0FEE4C29"/>
    <w:rsid w:val="0FFD33F6"/>
    <w:rsid w:val="10031608"/>
    <w:rsid w:val="10046082"/>
    <w:rsid w:val="104974DD"/>
    <w:rsid w:val="10A95EB2"/>
    <w:rsid w:val="10BA54F1"/>
    <w:rsid w:val="10FB0077"/>
    <w:rsid w:val="111703D2"/>
    <w:rsid w:val="112B101A"/>
    <w:rsid w:val="119B53FC"/>
    <w:rsid w:val="11E80C15"/>
    <w:rsid w:val="1215733B"/>
    <w:rsid w:val="12424CDC"/>
    <w:rsid w:val="12977884"/>
    <w:rsid w:val="129A2738"/>
    <w:rsid w:val="12B56BF1"/>
    <w:rsid w:val="12CB1A89"/>
    <w:rsid w:val="131840FB"/>
    <w:rsid w:val="131F34A3"/>
    <w:rsid w:val="13284E29"/>
    <w:rsid w:val="13467417"/>
    <w:rsid w:val="13581385"/>
    <w:rsid w:val="136E76CF"/>
    <w:rsid w:val="13A053FB"/>
    <w:rsid w:val="13FC4BC0"/>
    <w:rsid w:val="145F08C6"/>
    <w:rsid w:val="14DE1AA3"/>
    <w:rsid w:val="14E1184E"/>
    <w:rsid w:val="14E43F59"/>
    <w:rsid w:val="155C2D9B"/>
    <w:rsid w:val="15776308"/>
    <w:rsid w:val="15BC6B3C"/>
    <w:rsid w:val="15EC2C59"/>
    <w:rsid w:val="16360A7B"/>
    <w:rsid w:val="163940AC"/>
    <w:rsid w:val="164D40B0"/>
    <w:rsid w:val="1694429A"/>
    <w:rsid w:val="17191C4E"/>
    <w:rsid w:val="17635326"/>
    <w:rsid w:val="17A87CEF"/>
    <w:rsid w:val="17B803EA"/>
    <w:rsid w:val="1815096B"/>
    <w:rsid w:val="18236EFD"/>
    <w:rsid w:val="18377249"/>
    <w:rsid w:val="185D743E"/>
    <w:rsid w:val="189D5B1F"/>
    <w:rsid w:val="18A34CD0"/>
    <w:rsid w:val="19A53EA8"/>
    <w:rsid w:val="19B64DBC"/>
    <w:rsid w:val="19EC6A4A"/>
    <w:rsid w:val="1A373ACF"/>
    <w:rsid w:val="1A7B10BA"/>
    <w:rsid w:val="1A895341"/>
    <w:rsid w:val="1AE7044A"/>
    <w:rsid w:val="1B0D071F"/>
    <w:rsid w:val="1B4568CE"/>
    <w:rsid w:val="1B9015B7"/>
    <w:rsid w:val="1B950DA6"/>
    <w:rsid w:val="1BF54245"/>
    <w:rsid w:val="1C8A15C6"/>
    <w:rsid w:val="1CDD7713"/>
    <w:rsid w:val="1D0D1F51"/>
    <w:rsid w:val="1D0E6976"/>
    <w:rsid w:val="1D5A79EE"/>
    <w:rsid w:val="1E0E2CD0"/>
    <w:rsid w:val="1E831280"/>
    <w:rsid w:val="1EBC4704"/>
    <w:rsid w:val="1EE522C8"/>
    <w:rsid w:val="1F172EB5"/>
    <w:rsid w:val="1F22070B"/>
    <w:rsid w:val="1F2A4BB1"/>
    <w:rsid w:val="1F52429C"/>
    <w:rsid w:val="1F94592D"/>
    <w:rsid w:val="1FA629C5"/>
    <w:rsid w:val="1FB64181"/>
    <w:rsid w:val="1FB81A1A"/>
    <w:rsid w:val="1FB860DE"/>
    <w:rsid w:val="201C1920"/>
    <w:rsid w:val="203C5A02"/>
    <w:rsid w:val="2080369B"/>
    <w:rsid w:val="209D4C94"/>
    <w:rsid w:val="20B44FCD"/>
    <w:rsid w:val="20E84705"/>
    <w:rsid w:val="21753B52"/>
    <w:rsid w:val="218400BA"/>
    <w:rsid w:val="21AB1E2F"/>
    <w:rsid w:val="21BE0DA5"/>
    <w:rsid w:val="21D40498"/>
    <w:rsid w:val="21FC0DE6"/>
    <w:rsid w:val="223F121E"/>
    <w:rsid w:val="22493963"/>
    <w:rsid w:val="227627AC"/>
    <w:rsid w:val="22767047"/>
    <w:rsid w:val="22786BA1"/>
    <w:rsid w:val="22D40B83"/>
    <w:rsid w:val="2343242A"/>
    <w:rsid w:val="234665E7"/>
    <w:rsid w:val="23A05588"/>
    <w:rsid w:val="23E0000B"/>
    <w:rsid w:val="24000354"/>
    <w:rsid w:val="240476A1"/>
    <w:rsid w:val="2475049B"/>
    <w:rsid w:val="24E953B9"/>
    <w:rsid w:val="25431AEB"/>
    <w:rsid w:val="25AD056D"/>
    <w:rsid w:val="25B875EB"/>
    <w:rsid w:val="25BE3BFB"/>
    <w:rsid w:val="25BE6A2F"/>
    <w:rsid w:val="25BF43FD"/>
    <w:rsid w:val="25F86BCD"/>
    <w:rsid w:val="2605748B"/>
    <w:rsid w:val="26396D26"/>
    <w:rsid w:val="264544A6"/>
    <w:rsid w:val="267702FB"/>
    <w:rsid w:val="268371C6"/>
    <w:rsid w:val="269E416A"/>
    <w:rsid w:val="26C11C6B"/>
    <w:rsid w:val="270E2D5A"/>
    <w:rsid w:val="272100D3"/>
    <w:rsid w:val="272C72FC"/>
    <w:rsid w:val="274C735D"/>
    <w:rsid w:val="275131CB"/>
    <w:rsid w:val="278F6521"/>
    <w:rsid w:val="27EB149D"/>
    <w:rsid w:val="27FD3E52"/>
    <w:rsid w:val="285D7616"/>
    <w:rsid w:val="28E11370"/>
    <w:rsid w:val="294A756A"/>
    <w:rsid w:val="29781BF8"/>
    <w:rsid w:val="297939E2"/>
    <w:rsid w:val="29C33ED0"/>
    <w:rsid w:val="29D5322D"/>
    <w:rsid w:val="2A025DD9"/>
    <w:rsid w:val="2A2619CB"/>
    <w:rsid w:val="2A7317D3"/>
    <w:rsid w:val="2A7C2231"/>
    <w:rsid w:val="2A7E4A4A"/>
    <w:rsid w:val="2A920E4F"/>
    <w:rsid w:val="2ABB753D"/>
    <w:rsid w:val="2AE406B5"/>
    <w:rsid w:val="2AFE6EC4"/>
    <w:rsid w:val="2B345DDC"/>
    <w:rsid w:val="2B5926C7"/>
    <w:rsid w:val="2B7A49FA"/>
    <w:rsid w:val="2C5D489F"/>
    <w:rsid w:val="2C615D26"/>
    <w:rsid w:val="2CB679ED"/>
    <w:rsid w:val="2CE83C37"/>
    <w:rsid w:val="2CEB2FFC"/>
    <w:rsid w:val="2D173C07"/>
    <w:rsid w:val="2D2612C7"/>
    <w:rsid w:val="2D2B719C"/>
    <w:rsid w:val="2D424A86"/>
    <w:rsid w:val="2D4D3918"/>
    <w:rsid w:val="2DDA66B7"/>
    <w:rsid w:val="2E6F2D11"/>
    <w:rsid w:val="2E7B52DB"/>
    <w:rsid w:val="2ED60115"/>
    <w:rsid w:val="2EDE5FC4"/>
    <w:rsid w:val="2F324CFE"/>
    <w:rsid w:val="2FBA09F1"/>
    <w:rsid w:val="2FEF2ACF"/>
    <w:rsid w:val="2FF93D20"/>
    <w:rsid w:val="30540211"/>
    <w:rsid w:val="305D2675"/>
    <w:rsid w:val="30E45100"/>
    <w:rsid w:val="31112A0D"/>
    <w:rsid w:val="3118711F"/>
    <w:rsid w:val="311F4B20"/>
    <w:rsid w:val="312D7741"/>
    <w:rsid w:val="316F137F"/>
    <w:rsid w:val="31814676"/>
    <w:rsid w:val="31815AF3"/>
    <w:rsid w:val="31DF525F"/>
    <w:rsid w:val="31EC162B"/>
    <w:rsid w:val="31F15647"/>
    <w:rsid w:val="31F459C0"/>
    <w:rsid w:val="322F5E44"/>
    <w:rsid w:val="32324C2E"/>
    <w:rsid w:val="324C2C78"/>
    <w:rsid w:val="327171DF"/>
    <w:rsid w:val="32752BFC"/>
    <w:rsid w:val="32A11356"/>
    <w:rsid w:val="32CF50D5"/>
    <w:rsid w:val="3391569E"/>
    <w:rsid w:val="33F95995"/>
    <w:rsid w:val="341E3434"/>
    <w:rsid w:val="341F5405"/>
    <w:rsid w:val="34755D47"/>
    <w:rsid w:val="34BB4442"/>
    <w:rsid w:val="34BC29CE"/>
    <w:rsid w:val="34F358EC"/>
    <w:rsid w:val="3584136B"/>
    <w:rsid w:val="35F33DC1"/>
    <w:rsid w:val="35FF5AA4"/>
    <w:rsid w:val="360B7EBA"/>
    <w:rsid w:val="36416867"/>
    <w:rsid w:val="367D5DD4"/>
    <w:rsid w:val="36907969"/>
    <w:rsid w:val="369C32FD"/>
    <w:rsid w:val="36B43D7E"/>
    <w:rsid w:val="37666E72"/>
    <w:rsid w:val="380101AF"/>
    <w:rsid w:val="38081EA3"/>
    <w:rsid w:val="38167A04"/>
    <w:rsid w:val="381C3783"/>
    <w:rsid w:val="38EA3B2E"/>
    <w:rsid w:val="394B167A"/>
    <w:rsid w:val="3969202C"/>
    <w:rsid w:val="399950C7"/>
    <w:rsid w:val="39AD34EA"/>
    <w:rsid w:val="39DA2868"/>
    <w:rsid w:val="39DF6BF2"/>
    <w:rsid w:val="39E05CE7"/>
    <w:rsid w:val="3A055F4B"/>
    <w:rsid w:val="3A3B1189"/>
    <w:rsid w:val="3A4E4336"/>
    <w:rsid w:val="3A6007FE"/>
    <w:rsid w:val="3A802587"/>
    <w:rsid w:val="3A852164"/>
    <w:rsid w:val="3AA367C8"/>
    <w:rsid w:val="3AF93D6C"/>
    <w:rsid w:val="3AFD06C8"/>
    <w:rsid w:val="3B026E72"/>
    <w:rsid w:val="3B3738ED"/>
    <w:rsid w:val="3B477B26"/>
    <w:rsid w:val="3B592D04"/>
    <w:rsid w:val="3B7C2CE4"/>
    <w:rsid w:val="3BAF716B"/>
    <w:rsid w:val="3BF13DAA"/>
    <w:rsid w:val="3C06207F"/>
    <w:rsid w:val="3C0B5355"/>
    <w:rsid w:val="3C3523F9"/>
    <w:rsid w:val="3CD4176B"/>
    <w:rsid w:val="3CF17B79"/>
    <w:rsid w:val="3D1F44D9"/>
    <w:rsid w:val="3D4A5933"/>
    <w:rsid w:val="3D5C38CD"/>
    <w:rsid w:val="3E5070F1"/>
    <w:rsid w:val="3E7569E0"/>
    <w:rsid w:val="3EC370CB"/>
    <w:rsid w:val="3ECA0472"/>
    <w:rsid w:val="3ECC6CEE"/>
    <w:rsid w:val="3F462091"/>
    <w:rsid w:val="3F5A37BA"/>
    <w:rsid w:val="3F6C3589"/>
    <w:rsid w:val="3F7055E0"/>
    <w:rsid w:val="3F850180"/>
    <w:rsid w:val="3F9004D6"/>
    <w:rsid w:val="3FEE7CFA"/>
    <w:rsid w:val="400E4D5E"/>
    <w:rsid w:val="401C1643"/>
    <w:rsid w:val="401D0CE2"/>
    <w:rsid w:val="40C17AEB"/>
    <w:rsid w:val="40DD5078"/>
    <w:rsid w:val="40E1138C"/>
    <w:rsid w:val="40F46709"/>
    <w:rsid w:val="413814BA"/>
    <w:rsid w:val="41872511"/>
    <w:rsid w:val="41DF1251"/>
    <w:rsid w:val="421A58D4"/>
    <w:rsid w:val="424236D9"/>
    <w:rsid w:val="42466655"/>
    <w:rsid w:val="42C50B6D"/>
    <w:rsid w:val="42C82F57"/>
    <w:rsid w:val="435707E5"/>
    <w:rsid w:val="43710BBC"/>
    <w:rsid w:val="439927E1"/>
    <w:rsid w:val="43C76AF7"/>
    <w:rsid w:val="43E97E4A"/>
    <w:rsid w:val="43F8044B"/>
    <w:rsid w:val="440D65DA"/>
    <w:rsid w:val="446828F0"/>
    <w:rsid w:val="44C818DB"/>
    <w:rsid w:val="44FF2CAE"/>
    <w:rsid w:val="45093E85"/>
    <w:rsid w:val="450B3BFA"/>
    <w:rsid w:val="45C13B4D"/>
    <w:rsid w:val="46054BCA"/>
    <w:rsid w:val="464C6AFC"/>
    <w:rsid w:val="468B0091"/>
    <w:rsid w:val="46A107C3"/>
    <w:rsid w:val="46B15CE2"/>
    <w:rsid w:val="46BE113D"/>
    <w:rsid w:val="46E44B13"/>
    <w:rsid w:val="4703508A"/>
    <w:rsid w:val="475023F8"/>
    <w:rsid w:val="479A1E7B"/>
    <w:rsid w:val="479D361E"/>
    <w:rsid w:val="47AF3E87"/>
    <w:rsid w:val="47B74789"/>
    <w:rsid w:val="47F37E26"/>
    <w:rsid w:val="48032A55"/>
    <w:rsid w:val="480F2B9D"/>
    <w:rsid w:val="48102176"/>
    <w:rsid w:val="481E677F"/>
    <w:rsid w:val="48282920"/>
    <w:rsid w:val="483E1347"/>
    <w:rsid w:val="485321E0"/>
    <w:rsid w:val="48546AD3"/>
    <w:rsid w:val="48CA4868"/>
    <w:rsid w:val="48F005D3"/>
    <w:rsid w:val="49091BD6"/>
    <w:rsid w:val="49466522"/>
    <w:rsid w:val="49547ADD"/>
    <w:rsid w:val="49732351"/>
    <w:rsid w:val="498F4AF1"/>
    <w:rsid w:val="49C05787"/>
    <w:rsid w:val="49CF518D"/>
    <w:rsid w:val="49D56585"/>
    <w:rsid w:val="49F03572"/>
    <w:rsid w:val="4A0B46EC"/>
    <w:rsid w:val="4A1F5166"/>
    <w:rsid w:val="4A7F3979"/>
    <w:rsid w:val="4ADA1F63"/>
    <w:rsid w:val="4AE23D89"/>
    <w:rsid w:val="4B2038D0"/>
    <w:rsid w:val="4B296E7D"/>
    <w:rsid w:val="4B590B95"/>
    <w:rsid w:val="4B79394E"/>
    <w:rsid w:val="4B877F28"/>
    <w:rsid w:val="4BAC6180"/>
    <w:rsid w:val="4BE6319F"/>
    <w:rsid w:val="4C32411F"/>
    <w:rsid w:val="4C5F2868"/>
    <w:rsid w:val="4C8A1132"/>
    <w:rsid w:val="4CD200BA"/>
    <w:rsid w:val="4CF75E85"/>
    <w:rsid w:val="4D2044E7"/>
    <w:rsid w:val="4D916BA6"/>
    <w:rsid w:val="4DC44169"/>
    <w:rsid w:val="4DCD4814"/>
    <w:rsid w:val="4DE24E21"/>
    <w:rsid w:val="4E1B19A3"/>
    <w:rsid w:val="4E48787F"/>
    <w:rsid w:val="4EF0709E"/>
    <w:rsid w:val="4F0469A4"/>
    <w:rsid w:val="4F392DAA"/>
    <w:rsid w:val="4FD961B5"/>
    <w:rsid w:val="500E56F4"/>
    <w:rsid w:val="50183ECA"/>
    <w:rsid w:val="50540C73"/>
    <w:rsid w:val="50752AF8"/>
    <w:rsid w:val="50AA01F9"/>
    <w:rsid w:val="513C6A7B"/>
    <w:rsid w:val="51545A57"/>
    <w:rsid w:val="517300C9"/>
    <w:rsid w:val="517F1BFF"/>
    <w:rsid w:val="51D2165F"/>
    <w:rsid w:val="51EF78DD"/>
    <w:rsid w:val="522A6D19"/>
    <w:rsid w:val="52EC6EC2"/>
    <w:rsid w:val="530103EA"/>
    <w:rsid w:val="532D486F"/>
    <w:rsid w:val="5333545B"/>
    <w:rsid w:val="5371539E"/>
    <w:rsid w:val="53775BBE"/>
    <w:rsid w:val="538D0E89"/>
    <w:rsid w:val="53B608CC"/>
    <w:rsid w:val="5450213C"/>
    <w:rsid w:val="546711F3"/>
    <w:rsid w:val="546C3825"/>
    <w:rsid w:val="54D24048"/>
    <w:rsid w:val="54D64CD5"/>
    <w:rsid w:val="5532287C"/>
    <w:rsid w:val="55887D69"/>
    <w:rsid w:val="55EA01FB"/>
    <w:rsid w:val="55EE5D11"/>
    <w:rsid w:val="561A0928"/>
    <w:rsid w:val="56226F48"/>
    <w:rsid w:val="56423872"/>
    <w:rsid w:val="564F16DE"/>
    <w:rsid w:val="569E06BC"/>
    <w:rsid w:val="56B279F0"/>
    <w:rsid w:val="56DB7C8E"/>
    <w:rsid w:val="56F20F86"/>
    <w:rsid w:val="579D710E"/>
    <w:rsid w:val="58047936"/>
    <w:rsid w:val="581F22F6"/>
    <w:rsid w:val="586E1E17"/>
    <w:rsid w:val="58731999"/>
    <w:rsid w:val="58862C35"/>
    <w:rsid w:val="58A3667F"/>
    <w:rsid w:val="58C14957"/>
    <w:rsid w:val="58CC23D2"/>
    <w:rsid w:val="58E66050"/>
    <w:rsid w:val="594D7BA2"/>
    <w:rsid w:val="596B36B6"/>
    <w:rsid w:val="597D6491"/>
    <w:rsid w:val="59CC4FFB"/>
    <w:rsid w:val="59E07875"/>
    <w:rsid w:val="59E63F07"/>
    <w:rsid w:val="59FC7994"/>
    <w:rsid w:val="5A496C01"/>
    <w:rsid w:val="5AE83A50"/>
    <w:rsid w:val="5B353193"/>
    <w:rsid w:val="5BAB2917"/>
    <w:rsid w:val="5BFC33FA"/>
    <w:rsid w:val="5C3107A4"/>
    <w:rsid w:val="5C3B1B93"/>
    <w:rsid w:val="5C4B2BC4"/>
    <w:rsid w:val="5C9220DF"/>
    <w:rsid w:val="5D4A15F3"/>
    <w:rsid w:val="5D5F016D"/>
    <w:rsid w:val="5D69542A"/>
    <w:rsid w:val="5D783B72"/>
    <w:rsid w:val="5DA319D4"/>
    <w:rsid w:val="5E0930EF"/>
    <w:rsid w:val="5E3D4D53"/>
    <w:rsid w:val="5E4717E6"/>
    <w:rsid w:val="5E55774C"/>
    <w:rsid w:val="5E8A70FF"/>
    <w:rsid w:val="5F002AE7"/>
    <w:rsid w:val="60045F96"/>
    <w:rsid w:val="60104DDC"/>
    <w:rsid w:val="603B4B06"/>
    <w:rsid w:val="605C0804"/>
    <w:rsid w:val="607F01F9"/>
    <w:rsid w:val="60913E6F"/>
    <w:rsid w:val="61227426"/>
    <w:rsid w:val="612C5BB6"/>
    <w:rsid w:val="61733C3E"/>
    <w:rsid w:val="6189617B"/>
    <w:rsid w:val="618C673F"/>
    <w:rsid w:val="61B20CFC"/>
    <w:rsid w:val="61B52BB6"/>
    <w:rsid w:val="61B749C2"/>
    <w:rsid w:val="62280D20"/>
    <w:rsid w:val="62B4786E"/>
    <w:rsid w:val="62CA2457"/>
    <w:rsid w:val="62CA3425"/>
    <w:rsid w:val="632B2111"/>
    <w:rsid w:val="63731CAE"/>
    <w:rsid w:val="638240A1"/>
    <w:rsid w:val="63833423"/>
    <w:rsid w:val="63A5257B"/>
    <w:rsid w:val="63BD3DCC"/>
    <w:rsid w:val="63C61741"/>
    <w:rsid w:val="63E22022"/>
    <w:rsid w:val="64560967"/>
    <w:rsid w:val="64744E95"/>
    <w:rsid w:val="647A509A"/>
    <w:rsid w:val="655A0DC3"/>
    <w:rsid w:val="656B1D10"/>
    <w:rsid w:val="65714633"/>
    <w:rsid w:val="65B800E9"/>
    <w:rsid w:val="65B841F9"/>
    <w:rsid w:val="65FE3864"/>
    <w:rsid w:val="66022B28"/>
    <w:rsid w:val="664A38E2"/>
    <w:rsid w:val="66581E87"/>
    <w:rsid w:val="66766EBB"/>
    <w:rsid w:val="66FA11D5"/>
    <w:rsid w:val="674302C7"/>
    <w:rsid w:val="6793691A"/>
    <w:rsid w:val="67CB09D8"/>
    <w:rsid w:val="67EE3B0F"/>
    <w:rsid w:val="680A5986"/>
    <w:rsid w:val="680D5F4B"/>
    <w:rsid w:val="68113F51"/>
    <w:rsid w:val="68385E75"/>
    <w:rsid w:val="68AF1725"/>
    <w:rsid w:val="68B272C7"/>
    <w:rsid w:val="68E94770"/>
    <w:rsid w:val="68EC1CEF"/>
    <w:rsid w:val="68F949C9"/>
    <w:rsid w:val="695A4290"/>
    <w:rsid w:val="696F3649"/>
    <w:rsid w:val="6A267606"/>
    <w:rsid w:val="6A334932"/>
    <w:rsid w:val="6A3353FF"/>
    <w:rsid w:val="6A5D63E6"/>
    <w:rsid w:val="6A5F24D1"/>
    <w:rsid w:val="6ACA70C4"/>
    <w:rsid w:val="6AE347EB"/>
    <w:rsid w:val="6B262082"/>
    <w:rsid w:val="6B330365"/>
    <w:rsid w:val="6B434AF0"/>
    <w:rsid w:val="6B4A2D46"/>
    <w:rsid w:val="6B57675A"/>
    <w:rsid w:val="6B644D41"/>
    <w:rsid w:val="6B7E29A3"/>
    <w:rsid w:val="6B87098A"/>
    <w:rsid w:val="6BDD7B4D"/>
    <w:rsid w:val="6C7C51A8"/>
    <w:rsid w:val="6CDE6644"/>
    <w:rsid w:val="6D7A33E8"/>
    <w:rsid w:val="6E9A49E9"/>
    <w:rsid w:val="6EBC0B3A"/>
    <w:rsid w:val="6EF51C7D"/>
    <w:rsid w:val="6F653153"/>
    <w:rsid w:val="6F8363E5"/>
    <w:rsid w:val="6F841DCF"/>
    <w:rsid w:val="6FA80CCD"/>
    <w:rsid w:val="6FAC3CC5"/>
    <w:rsid w:val="6FC746F5"/>
    <w:rsid w:val="6FE3196F"/>
    <w:rsid w:val="6FE33EF5"/>
    <w:rsid w:val="70317AC6"/>
    <w:rsid w:val="704B26F7"/>
    <w:rsid w:val="70697B21"/>
    <w:rsid w:val="70863262"/>
    <w:rsid w:val="70A76ED3"/>
    <w:rsid w:val="716E667F"/>
    <w:rsid w:val="71860B17"/>
    <w:rsid w:val="71F35558"/>
    <w:rsid w:val="723B27CC"/>
    <w:rsid w:val="72687227"/>
    <w:rsid w:val="72A03FD9"/>
    <w:rsid w:val="72B31690"/>
    <w:rsid w:val="72CE6A68"/>
    <w:rsid w:val="72F16232"/>
    <w:rsid w:val="73406CFF"/>
    <w:rsid w:val="7383028C"/>
    <w:rsid w:val="73A25E44"/>
    <w:rsid w:val="741F68CF"/>
    <w:rsid w:val="748D50CB"/>
    <w:rsid w:val="74DE30CF"/>
    <w:rsid w:val="750F4382"/>
    <w:rsid w:val="75252DF3"/>
    <w:rsid w:val="75621536"/>
    <w:rsid w:val="75937C20"/>
    <w:rsid w:val="75BF3154"/>
    <w:rsid w:val="75DA4A2D"/>
    <w:rsid w:val="764A07CF"/>
    <w:rsid w:val="764F6B3D"/>
    <w:rsid w:val="76CD2B7B"/>
    <w:rsid w:val="76D80645"/>
    <w:rsid w:val="76E03371"/>
    <w:rsid w:val="771211AA"/>
    <w:rsid w:val="773E2D44"/>
    <w:rsid w:val="77736C04"/>
    <w:rsid w:val="780E5898"/>
    <w:rsid w:val="782642CC"/>
    <w:rsid w:val="786E7C65"/>
    <w:rsid w:val="7894095E"/>
    <w:rsid w:val="78964555"/>
    <w:rsid w:val="78CF4963"/>
    <w:rsid w:val="79000679"/>
    <w:rsid w:val="790762E0"/>
    <w:rsid w:val="7916258F"/>
    <w:rsid w:val="791C0FE5"/>
    <w:rsid w:val="793D437B"/>
    <w:rsid w:val="79635B4A"/>
    <w:rsid w:val="796F63AA"/>
    <w:rsid w:val="798A4B2A"/>
    <w:rsid w:val="79A416F0"/>
    <w:rsid w:val="79A57791"/>
    <w:rsid w:val="79B03EB6"/>
    <w:rsid w:val="79B61437"/>
    <w:rsid w:val="79ED269C"/>
    <w:rsid w:val="79FD4AF0"/>
    <w:rsid w:val="7A566AA6"/>
    <w:rsid w:val="7A745625"/>
    <w:rsid w:val="7AE15A5C"/>
    <w:rsid w:val="7AF37579"/>
    <w:rsid w:val="7AF87F64"/>
    <w:rsid w:val="7B1C0C84"/>
    <w:rsid w:val="7B3D23EF"/>
    <w:rsid w:val="7B5A62DF"/>
    <w:rsid w:val="7B751EF0"/>
    <w:rsid w:val="7B7A04A8"/>
    <w:rsid w:val="7B8E4662"/>
    <w:rsid w:val="7C0C3F6D"/>
    <w:rsid w:val="7C22163C"/>
    <w:rsid w:val="7C457B4B"/>
    <w:rsid w:val="7C595075"/>
    <w:rsid w:val="7C6B07B2"/>
    <w:rsid w:val="7CFD67B6"/>
    <w:rsid w:val="7D133243"/>
    <w:rsid w:val="7D945420"/>
    <w:rsid w:val="7D997857"/>
    <w:rsid w:val="7DD07A4B"/>
    <w:rsid w:val="7E394207"/>
    <w:rsid w:val="7E4007A2"/>
    <w:rsid w:val="7E791CAD"/>
    <w:rsid w:val="7E992FCA"/>
    <w:rsid w:val="7EA50DFB"/>
    <w:rsid w:val="7EC86878"/>
    <w:rsid w:val="7EDD14E7"/>
    <w:rsid w:val="7F16390D"/>
    <w:rsid w:val="7F20789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autoRedefine/>
    <w:unhideWhenUsed/>
    <w:qFormat/>
    <w:uiPriority w:val="99"/>
    <w:pPr>
      <w:spacing w:after="120"/>
    </w:pPr>
    <w:rPr>
      <w:sz w:val="16"/>
      <w:szCs w:val="16"/>
    </w:rPr>
  </w:style>
  <w:style w:type="paragraph" w:styleId="9">
    <w:name w:val="Body Text"/>
    <w:basedOn w:val="1"/>
    <w:next w:val="10"/>
    <w:autoRedefine/>
    <w:qFormat/>
    <w:uiPriority w:val="99"/>
    <w:pPr>
      <w:spacing w:after="120"/>
    </w:pPr>
  </w:style>
  <w:style w:type="paragraph" w:styleId="10">
    <w:name w:val="Body Text 2"/>
    <w:basedOn w:val="1"/>
    <w:autoRedefine/>
    <w:qFormat/>
    <w:uiPriority w:val="0"/>
    <w:pPr>
      <w:spacing w:after="120" w:line="480" w:lineRule="auto"/>
    </w:pPr>
  </w:style>
  <w:style w:type="paragraph" w:styleId="11">
    <w:name w:val="toc 3"/>
    <w:basedOn w:val="1"/>
    <w:next w:val="1"/>
    <w:autoRedefine/>
    <w:unhideWhenUsed/>
    <w:qFormat/>
    <w:uiPriority w:val="39"/>
    <w:pPr>
      <w:widowControl/>
      <w:spacing w:after="100" w:line="276" w:lineRule="auto"/>
      <w:ind w:left="440"/>
      <w:jc w:val="left"/>
    </w:pPr>
    <w:rPr>
      <w:kern w:val="0"/>
      <w:sz w:val="22"/>
    </w:rPr>
  </w:style>
  <w:style w:type="paragraph" w:styleId="12">
    <w:name w:val="Plain Text"/>
    <w:basedOn w:val="1"/>
    <w:next w:val="13"/>
    <w:autoRedefine/>
    <w:qFormat/>
    <w:uiPriority w:val="0"/>
    <w:rPr>
      <w:rFonts w:ascii="宋体" w:hAnsi="Courier New"/>
      <w:szCs w:val="21"/>
    </w:rPr>
  </w:style>
  <w:style w:type="paragraph" w:customStyle="1" w:styleId="13">
    <w:name w:val="Default"/>
    <w:next w:val="14"/>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autoRedefine/>
    <w:qFormat/>
    <w:uiPriority w:val="0"/>
    <w:pPr>
      <w:snapToGrid w:val="0"/>
    </w:pPr>
    <w:rPr>
      <w:szCs w:val="24"/>
    </w:rPr>
  </w:style>
  <w:style w:type="paragraph" w:styleId="15">
    <w:name w:val="Body Text Indent 2"/>
    <w:basedOn w:val="1"/>
    <w:autoRedefine/>
    <w:qFormat/>
    <w:uiPriority w:val="0"/>
    <w:pPr>
      <w:adjustRightInd w:val="0"/>
      <w:spacing w:after="120" w:line="480" w:lineRule="auto"/>
      <w:ind w:left="420"/>
      <w:textAlignment w:val="baseline"/>
    </w:pPr>
    <w:rPr>
      <w:kern w:val="0"/>
      <w:szCs w:val="20"/>
    </w:rPr>
  </w:style>
  <w:style w:type="paragraph" w:styleId="16">
    <w:name w:val="Balloon Text"/>
    <w:basedOn w:val="1"/>
    <w:link w:val="33"/>
    <w:autoRedefine/>
    <w:semiHidden/>
    <w:unhideWhenUsed/>
    <w:qFormat/>
    <w:uiPriority w:val="99"/>
    <w:rPr>
      <w:sz w:val="18"/>
      <w:szCs w:val="18"/>
    </w:rPr>
  </w:style>
  <w:style w:type="paragraph" w:styleId="17">
    <w:name w:val="footer"/>
    <w:basedOn w:val="1"/>
    <w:link w:val="27"/>
    <w:autoRedefine/>
    <w:unhideWhenUsed/>
    <w:qFormat/>
    <w:uiPriority w:val="99"/>
    <w:pPr>
      <w:tabs>
        <w:tab w:val="center" w:pos="4153"/>
        <w:tab w:val="right" w:pos="8306"/>
      </w:tabs>
      <w:snapToGrid w:val="0"/>
      <w:jc w:val="left"/>
    </w:pPr>
    <w:rPr>
      <w:sz w:val="18"/>
      <w:szCs w:val="18"/>
    </w:rPr>
  </w:style>
  <w:style w:type="paragraph" w:styleId="18">
    <w:name w:val="header"/>
    <w:basedOn w:val="1"/>
    <w:link w:val="2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kern w:val="0"/>
      <w:sz w:val="22"/>
    </w:rPr>
  </w:style>
  <w:style w:type="paragraph" w:styleId="20">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table" w:styleId="22">
    <w:name w:val="Table Grid"/>
    <w:basedOn w:val="2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autoRedefine/>
    <w:qFormat/>
    <w:uiPriority w:val="22"/>
    <w:rPr>
      <w:rFonts w:eastAsia="宋体"/>
      <w:b/>
      <w:bCs/>
      <w:kern w:val="2"/>
      <w:sz w:val="24"/>
      <w:szCs w:val="24"/>
      <w:lang w:val="en-US" w:eastAsia="zh-CN" w:bidi="ar-SA"/>
    </w:rPr>
  </w:style>
  <w:style w:type="character" w:styleId="25">
    <w:name w:val="Hyperlink"/>
    <w:basedOn w:val="23"/>
    <w:autoRedefine/>
    <w:unhideWhenUsed/>
    <w:qFormat/>
    <w:uiPriority w:val="99"/>
    <w:rPr>
      <w:color w:val="0000FF" w:themeColor="hyperlink"/>
      <w:u w:val="single"/>
    </w:rPr>
  </w:style>
  <w:style w:type="character" w:customStyle="1" w:styleId="26">
    <w:name w:val="页眉 Char"/>
    <w:basedOn w:val="23"/>
    <w:link w:val="18"/>
    <w:autoRedefine/>
    <w:semiHidden/>
    <w:qFormat/>
    <w:uiPriority w:val="99"/>
    <w:rPr>
      <w:sz w:val="18"/>
      <w:szCs w:val="18"/>
    </w:rPr>
  </w:style>
  <w:style w:type="character" w:customStyle="1" w:styleId="27">
    <w:name w:val="页脚 Char"/>
    <w:basedOn w:val="23"/>
    <w:link w:val="17"/>
    <w:autoRedefine/>
    <w:qFormat/>
    <w:uiPriority w:val="99"/>
    <w:rPr>
      <w:sz w:val="18"/>
      <w:szCs w:val="18"/>
    </w:rPr>
  </w:style>
  <w:style w:type="character" w:customStyle="1" w:styleId="28">
    <w:name w:val="标题 1 Char"/>
    <w:basedOn w:val="23"/>
    <w:link w:val="4"/>
    <w:autoRedefine/>
    <w:qFormat/>
    <w:uiPriority w:val="9"/>
    <w:rPr>
      <w:rFonts w:eastAsia="方正小标宋简体"/>
      <w:bCs/>
      <w:kern w:val="44"/>
      <w:sz w:val="44"/>
      <w:szCs w:val="44"/>
    </w:rPr>
  </w:style>
  <w:style w:type="character" w:customStyle="1" w:styleId="29">
    <w:name w:val="标题 2 Char"/>
    <w:basedOn w:val="23"/>
    <w:link w:val="5"/>
    <w:autoRedefine/>
    <w:qFormat/>
    <w:uiPriority w:val="9"/>
    <w:rPr>
      <w:rFonts w:eastAsia="方正小标宋简体" w:asciiTheme="majorHAnsi" w:hAnsiTheme="majorHAnsi" w:cstheme="majorBidi"/>
      <w:bCs/>
      <w:sz w:val="36"/>
      <w:szCs w:val="32"/>
    </w:rPr>
  </w:style>
  <w:style w:type="character" w:customStyle="1" w:styleId="30">
    <w:name w:val="标题 3 Char"/>
    <w:basedOn w:val="23"/>
    <w:link w:val="6"/>
    <w:autoRedefine/>
    <w:qFormat/>
    <w:uiPriority w:val="9"/>
    <w:rPr>
      <w:rFonts w:ascii="Calibri" w:hAnsi="Calibri" w:eastAsia="宋体" w:cs="Times New Roman"/>
      <w:b/>
      <w:bCs/>
      <w:sz w:val="32"/>
      <w:szCs w:val="32"/>
    </w:rPr>
  </w:style>
  <w:style w:type="paragraph" w:styleId="31">
    <w:name w:val="List Paragraph"/>
    <w:basedOn w:val="1"/>
    <w:link w:val="39"/>
    <w:autoRedefine/>
    <w:qFormat/>
    <w:uiPriority w:val="34"/>
    <w:pPr>
      <w:ind w:firstLine="420" w:firstLineChars="200"/>
    </w:pPr>
  </w:style>
  <w:style w:type="paragraph" w:customStyle="1" w:styleId="32">
    <w:name w:val="TOC Heading"/>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23"/>
    <w:link w:val="16"/>
    <w:autoRedefine/>
    <w:semiHidden/>
    <w:qFormat/>
    <w:uiPriority w:val="99"/>
    <w:rPr>
      <w:sz w:val="18"/>
      <w:szCs w:val="18"/>
    </w:rPr>
  </w:style>
  <w:style w:type="paragraph" w:styleId="3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3"/>
    <w:next w:val="13"/>
    <w:autoRedefine/>
    <w:qFormat/>
    <w:uiPriority w:val="0"/>
    <w:pPr>
      <w:spacing w:after="373"/>
    </w:pPr>
    <w:rPr>
      <w:color w:val="auto"/>
    </w:rPr>
  </w:style>
  <w:style w:type="paragraph" w:customStyle="1" w:styleId="36">
    <w:name w:val="CM91"/>
    <w:basedOn w:val="13"/>
    <w:next w:val="13"/>
    <w:autoRedefine/>
    <w:qFormat/>
    <w:uiPriority w:val="0"/>
    <w:pPr>
      <w:spacing w:after="160"/>
    </w:pPr>
    <w:rPr>
      <w:color w:val="auto"/>
    </w:rPr>
  </w:style>
  <w:style w:type="character" w:customStyle="1" w:styleId="37">
    <w:name w:val="正文文本 3 Char"/>
    <w:link w:val="8"/>
    <w:autoRedefine/>
    <w:qFormat/>
    <w:uiPriority w:val="99"/>
    <w:rPr>
      <w:sz w:val="16"/>
      <w:szCs w:val="16"/>
    </w:rPr>
  </w:style>
  <w:style w:type="character" w:customStyle="1" w:styleId="38">
    <w:name w:val="正文文本 3 Char1"/>
    <w:basedOn w:val="23"/>
    <w:link w:val="8"/>
    <w:autoRedefine/>
    <w:semiHidden/>
    <w:qFormat/>
    <w:uiPriority w:val="99"/>
    <w:rPr>
      <w:sz w:val="16"/>
      <w:szCs w:val="16"/>
    </w:rPr>
  </w:style>
  <w:style w:type="character" w:customStyle="1" w:styleId="39">
    <w:name w:val="列出段落 Char"/>
    <w:link w:val="31"/>
    <w:autoRedefine/>
    <w:qFormat/>
    <w:uiPriority w:val="34"/>
  </w:style>
  <w:style w:type="paragraph" w:customStyle="1" w:styleId="40">
    <w:name w:val="1"/>
    <w:basedOn w:val="1"/>
    <w:next w:val="12"/>
    <w:autoRedefine/>
    <w:qFormat/>
    <w:uiPriority w:val="99"/>
    <w:pPr>
      <w:widowControl w:val="0"/>
      <w:jc w:val="both"/>
    </w:pPr>
    <w:rPr>
      <w:rFonts w:ascii="宋体" w:hAnsi="Courier New"/>
      <w:kern w:val="2"/>
    </w:rPr>
  </w:style>
  <w:style w:type="paragraph" w:customStyle="1" w:styleId="41">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2">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3">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4">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5">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17081</Words>
  <Characters>18021</Characters>
  <Lines>300</Lines>
  <Paragraphs>84</Paragraphs>
  <TotalTime>440</TotalTime>
  <ScaleCrop>false</ScaleCrop>
  <LinksUpToDate>false</LinksUpToDate>
  <CharactersWithSpaces>19895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吴春城</cp:lastModifiedBy>
  <cp:lastPrinted>2024-05-17T03:26:00Z</cp:lastPrinted>
  <dcterms:modified xsi:type="dcterms:W3CDTF">2024-05-17T08:48:36Z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A16D6DC8326945AC9168607D4B687526</vt:lpwstr>
  </property>
</Properties>
</file>