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bookmarkStart w:id="89" w:name="_GoBack"/>
      <w:bookmarkEnd w:id="89"/>
    </w:p>
    <w:p>
      <w:pPr>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广州市净水有限公司石井分公司2024年</w:t>
      </w:r>
    </w:p>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厂区门禁道闸升级改造项目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lang w:val="en-US" w:eastAsia="zh-CN"/>
        </w:rPr>
        <w:t xml:space="preserve"> 2024</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3</w:t>
      </w:r>
      <w:r>
        <w:rPr>
          <w:rFonts w:hint="eastAsia" w:ascii="黑体" w:hAnsi="黑体" w:eastAsia="黑体" w:cs="仿宋_GB2312"/>
          <w:color w:val="auto"/>
          <w:sz w:val="32"/>
          <w:szCs w:val="32"/>
          <w:highlight w:val="none"/>
        </w:rPr>
        <w:t>月</w:t>
      </w:r>
    </w:p>
    <w:p>
      <w:pPr>
        <w:bidi w:val="0"/>
        <w:jc w:val="center"/>
        <w:rPr>
          <w:rFonts w:hint="eastAsia" w:ascii="方正小标宋简体" w:hAnsi="方正小标宋简体" w:eastAsia="方正小标宋简体" w:cs="方正小标宋简体"/>
          <w:color w:val="auto"/>
          <w:sz w:val="44"/>
          <w:szCs w:val="44"/>
          <w:highlight w:val="none"/>
          <w:lang w:val="en-US" w:eastAsia="zh-CN"/>
        </w:rPr>
        <w:sectPr>
          <w:footerReference r:id="rId3" w:type="default"/>
          <w:footerReference r:id="rId4" w:type="even"/>
          <w:pgSz w:w="11906" w:h="16838"/>
          <w:pgMar w:top="720" w:right="720" w:bottom="720" w:left="720" w:header="851" w:footer="992" w:gutter="0"/>
          <w:pgNumType w:start="0"/>
          <w:cols w:space="425" w:num="1"/>
          <w:titlePg/>
          <w:docGrid w:type="lines" w:linePitch="312" w:charSpace="0"/>
        </w:sectPr>
      </w:pPr>
    </w:p>
    <w:p>
      <w:pPr>
        <w:bidi w:val="0"/>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目   录</w:t>
      </w:r>
    </w:p>
    <w:p>
      <w:pPr>
        <w:keepNext w:val="0"/>
        <w:keepLines w:val="0"/>
        <w:pageBreakBefore w:val="0"/>
        <w:kinsoku/>
        <w:wordWrap/>
        <w:overflowPunct/>
        <w:topLinePunct w:val="0"/>
        <w:autoSpaceDE/>
        <w:autoSpaceDN/>
        <w:bidi w:val="0"/>
        <w:adjustRightInd/>
        <w:snapToGrid/>
        <w:spacing w:line="360" w:lineRule="auto"/>
        <w:ind w:firstLine="0"/>
        <w:rPr>
          <w:rFonts w:hint="eastAsia" w:ascii="仿宋_GB2312" w:hAnsi="仿宋_GB2312" w:eastAsia="仿宋_GB2312" w:cs="仿宋_GB2312"/>
          <w:color w:val="auto"/>
          <w:sz w:val="32"/>
          <w:szCs w:val="32"/>
          <w:highlight w:val="none"/>
        </w:rPr>
      </w:pP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采购公告（采购邀请书）</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供应商须知</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采购方法</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评审方法</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采购需求</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合同草案</w:t>
      </w:r>
    </w:p>
    <w:p>
      <w:pPr>
        <w:pStyle w:val="21"/>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响应文件格式要求</w:t>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"1-1" \n  \h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_Toc18800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end"/>
      </w:r>
    </w:p>
    <w:p>
      <w:pPr>
        <w:rPr>
          <w:rFonts w:hint="eastAsia" w:ascii="仿宋_GB2312" w:hAnsi="仿宋_GB2312" w:eastAsia="仿宋_GB2312" w:cs="仿宋_GB2312"/>
          <w:color w:val="auto"/>
          <w:sz w:val="32"/>
          <w:szCs w:val="32"/>
          <w:highlight w:val="none"/>
        </w:rPr>
        <w:sectPr>
          <w:footerReference r:id="rId6" w:type="first"/>
          <w:footerReference r:id="rId5" w:type="default"/>
          <w:pgSz w:w="11906" w:h="16838"/>
          <w:pgMar w:top="2098" w:right="1474" w:bottom="1985" w:left="1588" w:header="737" w:footer="992" w:gutter="0"/>
          <w:pgNumType w:fmt="decimal" w:start="1"/>
          <w:cols w:space="425" w:num="1"/>
          <w:docGrid w:type="lines" w:linePitch="312" w:charSpace="0"/>
        </w:sectPr>
      </w:pPr>
      <w:r>
        <w:rPr>
          <w:rFonts w:hint="eastAsia" w:ascii="仿宋_GB2312" w:hAnsi="仿宋_GB2312" w:eastAsia="仿宋_GB2312" w:cs="仿宋_GB2312"/>
          <w:color w:val="auto"/>
          <w:sz w:val="32"/>
          <w:szCs w:val="32"/>
          <w:highlight w:val="none"/>
        </w:rPr>
        <w:br w:type="page"/>
      </w:r>
    </w:p>
    <w:p>
      <w:pPr>
        <w:pStyle w:val="24"/>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end"/>
      </w:r>
      <w:bookmarkStart w:id="0" w:name="_Toc1711"/>
      <w:bookmarkStart w:id="1" w:name="_Toc26148"/>
      <w:bookmarkStart w:id="2" w:name="_Toc17696"/>
      <w:bookmarkStart w:id="3" w:name="_Toc18145"/>
    </w:p>
    <w:p>
      <w:pPr>
        <w:pStyle w:val="24"/>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_GB2312" w:cs="仿宋_GB2312"/>
          <w:color w:val="auto"/>
          <w:sz w:val="32"/>
          <w:szCs w:val="32"/>
          <w:highlight w:val="none"/>
        </w:rPr>
      </w:pPr>
    </w:p>
    <w:p>
      <w:pPr>
        <w:rPr>
          <w:rFonts w:hint="eastAsia" w:ascii="仿宋_GB2312" w:hAnsi="仿宋_GB2312" w:eastAsia="仿宋_GB2312" w:cs="仿宋_GB2312"/>
          <w:color w:val="auto"/>
          <w:sz w:val="28"/>
          <w:szCs w:val="28"/>
          <w:highlight w:val="none"/>
        </w:rPr>
      </w:pPr>
      <w:bookmarkStart w:id="4" w:name="_Toc4275"/>
      <w:bookmarkStart w:id="5" w:name="_Toc17801"/>
      <w:bookmarkStart w:id="6" w:name="_Toc11322"/>
      <w:bookmarkStart w:id="7" w:name="_Toc7519"/>
      <w:bookmarkStart w:id="8" w:name="_Toc31938"/>
      <w:bookmarkStart w:id="9" w:name="_Toc1669"/>
      <w:bookmarkStart w:id="10" w:name="_Toc19609"/>
    </w:p>
    <w:p>
      <w:pPr>
        <w:rPr>
          <w:rFonts w:hint="eastAsia" w:ascii="仿宋_GB2312" w:hAnsi="仿宋_GB2312" w:eastAsia="仿宋_GB2312" w:cs="仿宋_GB2312"/>
          <w:color w:val="auto"/>
          <w:sz w:val="28"/>
          <w:szCs w:val="28"/>
          <w:highlight w:val="none"/>
        </w:rPr>
      </w:pPr>
    </w:p>
    <w:p>
      <w:pPr>
        <w:pBdr>
          <w:bottom w:val="none" w:color="auto" w:sz="0" w:space="0"/>
        </w:pBdr>
        <w:rPr>
          <w:rFonts w:hint="eastAsia" w:ascii="仿宋_GB2312" w:hAnsi="仿宋_GB2312" w:eastAsia="仿宋_GB2312" w:cs="仿宋_GB2312"/>
          <w:color w:val="auto"/>
          <w:sz w:val="28"/>
          <w:szCs w:val="28"/>
          <w:highlight w:val="none"/>
        </w:rPr>
      </w:pPr>
    </w:p>
    <w:p>
      <w:pPr>
        <w:pBdr>
          <w:top w:val="double" w:color="auto" w:sz="4" w:space="0"/>
          <w:bottom w:val="double" w:color="auto" w:sz="4" w:space="0"/>
        </w:pBdr>
        <w:jc w:val="center"/>
        <w:rPr>
          <w:rFonts w:hint="default" w:ascii="仿宋_GB2312" w:hAnsi="仿宋_GB2312" w:eastAsia="仿宋_GB2312" w:cs="仿宋_GB2312"/>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第一章</w:t>
      </w:r>
    </w:p>
    <w:bookmarkEnd w:id="0"/>
    <w:bookmarkEnd w:id="1"/>
    <w:bookmarkEnd w:id="2"/>
    <w:bookmarkEnd w:id="3"/>
    <w:bookmarkEnd w:id="4"/>
    <w:bookmarkEnd w:id="5"/>
    <w:bookmarkEnd w:id="6"/>
    <w:bookmarkEnd w:id="7"/>
    <w:bookmarkEnd w:id="8"/>
    <w:bookmarkEnd w:id="9"/>
    <w:bookmarkEnd w:id="10"/>
    <w:p>
      <w:pPr>
        <w:rPr>
          <w:rFonts w:hint="eastAsia" w:ascii="仿宋_GB2312" w:hAnsi="仿宋_GB2312" w:eastAsia="仿宋_GB2312" w:cs="仿宋_GB2312"/>
          <w:color w:val="auto"/>
          <w:sz w:val="28"/>
          <w:szCs w:val="28"/>
          <w:highlight w:val="none"/>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方正小标宋简体" w:eastAsia="方正小标宋简体"/>
          <w:color w:val="auto"/>
          <w:sz w:val="44"/>
          <w:szCs w:val="44"/>
          <w:highlight w:val="none"/>
        </w:rPr>
      </w:pPr>
    </w:p>
    <w:p>
      <w:pPr>
        <w:pStyle w:val="24"/>
        <w:rPr>
          <w:rFonts w:ascii="仿宋_GB2312" w:eastAsia="仿宋_GB2312"/>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rPr>
        <w:t>广州市净水有限公司石井分公司2024年厂区门禁道闸升级改造项目</w:t>
      </w:r>
      <w:r>
        <w:rPr>
          <w:rFonts w:hint="eastAsia" w:ascii="仿宋_GB2312" w:hAnsi="仿宋_GB2312" w:eastAsia="仿宋_GB2312" w:cs="仿宋_GB2312"/>
          <w:color w:val="auto"/>
          <w:sz w:val="28"/>
          <w:szCs w:val="28"/>
          <w:highlight w:val="none"/>
        </w:rPr>
        <w:t>已具备采购条件，现</w:t>
      </w:r>
      <w:r>
        <w:rPr>
          <w:rFonts w:hint="eastAsia" w:ascii="仿宋_GB2312" w:hAnsi="仿宋_GB2312" w:eastAsia="仿宋_GB2312" w:cs="仿宋_GB2312"/>
          <w:color w:val="auto"/>
          <w:sz w:val="28"/>
          <w:szCs w:val="28"/>
          <w:highlight w:val="none"/>
          <w:lang w:val="en-US" w:eastAsia="zh-CN"/>
        </w:rPr>
        <w:t>邀请合格</w:t>
      </w:r>
      <w:r>
        <w:rPr>
          <w:rFonts w:hint="eastAsia" w:ascii="仿宋_GB2312" w:hAnsi="仿宋_GB2312" w:eastAsia="仿宋_GB2312" w:cs="仿宋_GB2312"/>
          <w:color w:val="auto"/>
          <w:sz w:val="28"/>
          <w:szCs w:val="28"/>
          <w:highlight w:val="none"/>
          <w:u w:val="none"/>
          <w:lang w:val="en-US" w:eastAsia="zh-CN"/>
        </w:rPr>
        <w:t>单位</w:t>
      </w:r>
      <w:r>
        <w:rPr>
          <w:rFonts w:hint="eastAsia" w:ascii="仿宋_GB2312" w:hAnsi="仿宋_GB2312" w:eastAsia="仿宋_GB2312" w:cs="仿宋_GB2312"/>
          <w:color w:val="auto"/>
          <w:sz w:val="28"/>
          <w:szCs w:val="28"/>
          <w:highlight w:val="none"/>
        </w:rPr>
        <w:t>参加本</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rPr>
        <w:t>施工  □货物 □服务</w:t>
      </w:r>
      <w:r>
        <w:rPr>
          <w:rFonts w:hint="eastAsia" w:ascii="仿宋_GB2312" w:hAnsi="仿宋_GB2312" w:eastAsia="仿宋_GB2312" w:cs="仿宋_GB2312"/>
          <w:color w:val="auto"/>
          <w:sz w:val="28"/>
          <w:szCs w:val="28"/>
          <w:highlight w:val="none"/>
        </w:rPr>
        <w:t>项目采购活动，采用</w:t>
      </w:r>
      <w:r>
        <w:rPr>
          <w:rFonts w:hint="eastAsia" w:ascii="仿宋_GB2312" w:hAnsi="仿宋_GB2312" w:eastAsia="仿宋_GB2312" w:cs="仿宋_GB2312"/>
          <w:color w:val="auto"/>
          <w:sz w:val="28"/>
          <w:szCs w:val="28"/>
          <w:highlight w:val="none"/>
          <w:u w:val="single"/>
        </w:rPr>
        <w:t>□</w:t>
      </w:r>
      <w:r>
        <w:rPr>
          <w:rFonts w:hint="eastAsia" w:ascii="仿宋_GB2312" w:hAnsi="仿宋_GB2312" w:eastAsia="仿宋_GB2312" w:cs="仿宋_GB2312"/>
          <w:color w:val="auto"/>
          <w:sz w:val="28"/>
          <w:szCs w:val="28"/>
          <w:highlight w:val="none"/>
          <w:u w:val="single"/>
          <w:lang w:val="en-US" w:eastAsia="zh-CN"/>
        </w:rPr>
        <w:t xml:space="preserve">邀请采购 </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lang w:val="en-US" w:eastAsia="zh-CN"/>
        </w:rPr>
        <w:t>公开采购</w:t>
      </w:r>
      <w:r>
        <w:rPr>
          <w:rFonts w:hint="eastAsia" w:ascii="仿宋_GB2312" w:hAnsi="仿宋_GB2312" w:eastAsia="仿宋_GB2312" w:cs="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广州市净水有限公司石井分公司2024年厂区门禁道闸升级改造项目 </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XJ-20240322-1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eastAsia="zh-CN"/>
        </w:rPr>
        <w:t>。</w:t>
      </w:r>
    </w:p>
    <w:p>
      <w:pPr>
        <w:adjustRightInd w:val="0"/>
        <w:snapToGrid w:val="0"/>
        <w:spacing w:line="600" w:lineRule="exact"/>
        <w:jc w:val="both"/>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488220.98</w:t>
      </w:r>
      <w:r>
        <w:rPr>
          <w:rFonts w:hint="eastAsia" w:ascii="仿宋_GB2312" w:eastAsia="仿宋_GB2312"/>
          <w:color w:val="auto"/>
          <w:sz w:val="28"/>
          <w:szCs w:val="28"/>
          <w:highlight w:val="none"/>
          <w:u w:val="single"/>
        </w:rPr>
        <w:t>元（税前造价限价为447</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909.15元，税率9%，其中绿色施工安全防护措施费为29</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556.90元，暂列金为37</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270.71元，绿色施工安全防护措施费及暂列金为非竞争性费用，报价时须按采购文件规定的金额填写，不得参与竞争，否则按无效报价处理。）</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eastAsia="zh-CN"/>
        </w:rPr>
        <w:t>。</w:t>
      </w:r>
    </w:p>
    <w:p>
      <w:pPr>
        <w:adjustRightInd w:val="0"/>
        <w:snapToGrid w:val="0"/>
        <w:spacing w:line="360" w:lineRule="auto"/>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lang w:val="en-US" w:eastAsia="zh-CN"/>
        </w:rPr>
        <w:t>本项目施工内容</w:t>
      </w:r>
      <w:r>
        <w:rPr>
          <w:rFonts w:hint="eastAsia" w:ascii="仿宋_GB2312" w:eastAsia="仿宋_GB2312"/>
          <w:color w:val="auto"/>
          <w:sz w:val="28"/>
          <w:szCs w:val="28"/>
          <w:highlight w:val="none"/>
          <w:u w:val="single"/>
        </w:rPr>
        <w:t>主要</w:t>
      </w:r>
      <w:r>
        <w:rPr>
          <w:rFonts w:hint="eastAsia" w:ascii="仿宋_GB2312" w:eastAsia="仿宋_GB2312"/>
          <w:color w:val="auto"/>
          <w:sz w:val="28"/>
          <w:szCs w:val="28"/>
          <w:highlight w:val="none"/>
          <w:u w:val="single"/>
          <w:lang w:val="en-US" w:eastAsia="zh-CN"/>
        </w:rPr>
        <w:t>对分公司原有的2套东、西门门禁系统进行升级改造，并新增3套生产区域与办公区域划分的门禁系统及1.8m高锌钢围栏300m。新增的智能人行道闸须配备人脸识别系统，智能车道道闸须配置车牌识别系统及监控设备；东、西门的2套门禁系统与新增的3套门禁系统须实现共网、联动，服务器设于综合楼中控室，并配置壁挂式机柜，所铺设电缆、网线均须由PVC管埋地或架空敷设，具体工作量详见工程量清单及详细参数。</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60日历天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广州市净水有限公司石井分公司</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按合同条款和有关技术标准规范进行验收。使用的各种材料必须符合合同条款和有关技术标准规范要求（详见</w:t>
      </w:r>
      <w:r>
        <w:rPr>
          <w:rFonts w:hint="eastAsia" w:ascii="仿宋_GB2312" w:eastAsia="仿宋_GB2312"/>
          <w:color w:val="auto"/>
          <w:sz w:val="28"/>
          <w:szCs w:val="28"/>
          <w:highlight w:val="none"/>
          <w:u w:val="single"/>
          <w:lang w:val="en-US" w:eastAsia="zh-CN"/>
        </w:rPr>
        <w:t>第五章</w:t>
      </w:r>
      <w:r>
        <w:rPr>
          <w:rFonts w:hint="eastAsia" w:ascii="仿宋_GB2312" w:eastAsia="仿宋_GB2312"/>
          <w:color w:val="auto"/>
          <w:sz w:val="28"/>
          <w:szCs w:val="28"/>
          <w:highlight w:val="none"/>
          <w:u w:val="single"/>
        </w:rPr>
        <w:t>采购需求）</w:t>
      </w:r>
      <w:r>
        <w:rPr>
          <w:rFonts w:hint="eastAsia" w:ascii="仿宋_GB2312" w:eastAsia="仿宋_GB2312"/>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严格遵守净水公司的安全管理规定和要求</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w:t>
      </w:r>
      <w:r>
        <w:rPr>
          <w:rFonts w:hint="eastAsia" w:ascii="仿宋_GB2312" w:eastAsia="仿宋_GB2312"/>
          <w:color w:val="auto"/>
          <w:sz w:val="28"/>
          <w:szCs w:val="28"/>
          <w:highlight w:val="none"/>
          <w:u w:val="single"/>
          <w:lang w:eastAsia="zh-CN"/>
        </w:rPr>
        <w:t>在中华人民共和国境内注册的法人或其他组织，具有独立法人资格，持有事业单位登记管理部门核发的事业单位法人证书或工商行政管理部门核发的企业法人营业执照，且在有效期内</w:t>
      </w:r>
      <w:r>
        <w:rPr>
          <w:rFonts w:hint="eastAsia" w:ascii="仿宋_GB2312" w:eastAsia="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供应商应当具备以下资质之一</w:t>
      </w:r>
      <w:r>
        <w:rPr>
          <w:rFonts w:hint="eastAsia" w:ascii="仿宋_GB2312" w:eastAsia="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①报价单位须具备</w:t>
      </w:r>
      <w:r>
        <w:rPr>
          <w:rFonts w:hint="eastAsia" w:ascii="仿宋_GB2312" w:eastAsia="仿宋_GB2312"/>
          <w:color w:val="auto"/>
          <w:sz w:val="28"/>
          <w:szCs w:val="28"/>
          <w:highlight w:val="none"/>
          <w:u w:val="single"/>
        </w:rPr>
        <w:t>机电工程施工总承包三级/乙级（</w:t>
      </w:r>
      <w:r>
        <w:rPr>
          <w:rFonts w:hint="eastAsia" w:ascii="仿宋_GB2312" w:eastAsia="仿宋_GB2312"/>
          <w:color w:val="auto"/>
          <w:sz w:val="28"/>
          <w:szCs w:val="28"/>
          <w:highlight w:val="none"/>
          <w:u w:val="single"/>
          <w:lang w:val="en-US" w:eastAsia="zh-CN"/>
        </w:rPr>
        <w:t>或</w:t>
      </w:r>
      <w:r>
        <w:rPr>
          <w:rFonts w:hint="eastAsia" w:ascii="仿宋_GB2312" w:eastAsia="仿宋_GB2312"/>
          <w:color w:val="auto"/>
          <w:sz w:val="28"/>
          <w:szCs w:val="28"/>
          <w:highlight w:val="none"/>
          <w:u w:val="single"/>
        </w:rPr>
        <w:t>以上级别）资质</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并</w:t>
      </w:r>
      <w:r>
        <w:rPr>
          <w:rFonts w:hint="eastAsia" w:ascii="仿宋_GB2312" w:eastAsia="仿宋_GB2312"/>
          <w:color w:val="auto"/>
          <w:sz w:val="28"/>
          <w:szCs w:val="28"/>
          <w:highlight w:val="none"/>
          <w:u w:val="single"/>
        </w:rPr>
        <w:t>同时具有建设主管部门颁发且在有效期内的《安全生产许可证》。</w:t>
      </w:r>
    </w:p>
    <w:p>
      <w:pPr>
        <w:spacing w:line="600" w:lineRule="exact"/>
        <w:ind w:firstLine="560" w:firstLineChars="200"/>
        <w:jc w:val="left"/>
        <w:rPr>
          <w:rFonts w:hint="eastAsia" w:eastAsia="等线"/>
          <w:lang w:eastAsia="zh-CN"/>
        </w:rPr>
      </w:pPr>
      <w:r>
        <w:rPr>
          <w:rFonts w:hint="eastAsia" w:ascii="仿宋_GB2312" w:eastAsia="仿宋_GB2312"/>
          <w:color w:val="auto"/>
          <w:sz w:val="28"/>
          <w:szCs w:val="28"/>
          <w:highlight w:val="none"/>
          <w:u w:val="single"/>
          <w:lang w:val="en-US" w:eastAsia="zh-CN"/>
        </w:rPr>
        <w:t>②报价单位须具备</w:t>
      </w:r>
      <w:r>
        <w:rPr>
          <w:rFonts w:hint="eastAsia" w:ascii="仿宋_GB2312" w:eastAsia="仿宋_GB2312"/>
          <w:color w:val="auto"/>
          <w:sz w:val="28"/>
          <w:szCs w:val="28"/>
          <w:highlight w:val="none"/>
          <w:u w:val="single"/>
        </w:rPr>
        <w:t>建筑机电安装工程专业承包三级（</w:t>
      </w:r>
      <w:r>
        <w:rPr>
          <w:rFonts w:hint="eastAsia" w:ascii="仿宋_GB2312" w:eastAsia="仿宋_GB2312"/>
          <w:color w:val="auto"/>
          <w:sz w:val="28"/>
          <w:szCs w:val="28"/>
          <w:highlight w:val="none"/>
          <w:u w:val="single"/>
          <w:lang w:val="en-US" w:eastAsia="zh-CN"/>
        </w:rPr>
        <w:t>或</w:t>
      </w:r>
      <w:r>
        <w:rPr>
          <w:rFonts w:hint="eastAsia" w:ascii="仿宋_GB2312" w:eastAsia="仿宋_GB2312"/>
          <w:color w:val="auto"/>
          <w:sz w:val="28"/>
          <w:szCs w:val="28"/>
          <w:highlight w:val="none"/>
          <w:u w:val="single"/>
        </w:rPr>
        <w:t>以上级别）资质</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并</w:t>
      </w:r>
      <w:r>
        <w:rPr>
          <w:rFonts w:hint="eastAsia" w:ascii="仿宋_GB2312" w:eastAsia="仿宋_GB2312"/>
          <w:color w:val="auto"/>
          <w:sz w:val="28"/>
          <w:szCs w:val="28"/>
          <w:highlight w:val="none"/>
          <w:u w:val="single"/>
        </w:rPr>
        <w:t>同时具有建设主管部门颁发且在有效期内的《安全生产许可证》。</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2021年1月1日</w:t>
      </w:r>
      <w:r>
        <w:rPr>
          <w:rFonts w:hint="eastAsia" w:ascii="仿宋_GB2312" w:eastAsia="仿宋_GB2312"/>
          <w:color w:val="auto"/>
          <w:sz w:val="28"/>
          <w:szCs w:val="28"/>
          <w:highlight w:val="none"/>
          <w:lang w:val="en-US" w:eastAsia="zh-CN"/>
        </w:rPr>
        <w:t>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不低于32万元的道闸施工类</w:t>
      </w:r>
      <w:r>
        <w:rPr>
          <w:rFonts w:hint="eastAsia" w:ascii="仿宋_GB2312" w:eastAsia="仿宋_GB2312"/>
          <w:color w:val="auto"/>
          <w:sz w:val="28"/>
          <w:szCs w:val="28"/>
          <w:highlight w:val="none"/>
        </w:rPr>
        <w:t>项目的业绩。（提供合同复印件证明，包括但不限于项目名称、金额及实施内容、合同盖章、签订日期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竣工验收报告等资料</w:t>
      </w:r>
      <w:r>
        <w:rPr>
          <w:rFonts w:hint="eastAsia" w:ascii="仿宋_GB2312" w:eastAsia="仿宋_GB2312"/>
          <w:color w:val="auto"/>
          <w:sz w:val="28"/>
          <w:szCs w:val="28"/>
          <w:highlight w:val="none"/>
        </w:rPr>
        <w:t>，加盖单位公章）</w:t>
      </w:r>
      <w:r>
        <w:rPr>
          <w:rFonts w:hint="eastAsia" w:ascii="仿宋_GB2312" w:eastAsia="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机电或市政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rPr>
        <w:t>资格条件。</w:t>
      </w:r>
    </w:p>
    <w:p>
      <w:pPr>
        <w:pStyle w:val="69"/>
        <w:autoSpaceDE w:val="0"/>
        <w:autoSpaceDN w:val="0"/>
        <w:spacing w:line="600" w:lineRule="exact"/>
        <w:ind w:firstLine="560" w:firstLineChars="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p>
    <w:p>
      <w:pPr>
        <w:pStyle w:val="69"/>
        <w:autoSpaceDE w:val="0"/>
        <w:autoSpaceDN w:val="0"/>
        <w:spacing w:line="600" w:lineRule="exact"/>
        <w:ind w:firstLine="560" w:firstLineChars="0"/>
        <w:jc w:val="left"/>
        <w:rPr>
          <w:rFonts w:hint="eastAsia" w:ascii="仿宋_GB2312" w:eastAsia="仿宋_GB2312"/>
          <w:color w:val="auto"/>
          <w:kern w:val="2"/>
          <w:sz w:val="28"/>
          <w:szCs w:val="28"/>
          <w:highlight w:val="none"/>
          <w:u w:val="single"/>
          <w:lang w:eastAsia="zh-CN"/>
        </w:rPr>
      </w:pPr>
      <w:r>
        <w:rPr>
          <w:rFonts w:hint="eastAsia" w:ascii="仿宋_GB2312" w:eastAsia="仿宋_GB2312"/>
          <w:color w:val="auto"/>
          <w:sz w:val="28"/>
          <w:szCs w:val="28"/>
          <w:highlight w:val="none"/>
          <w:u w:val="single"/>
          <w:lang w:val="en-US" w:eastAsia="zh-CN"/>
        </w:rPr>
        <w:t>①</w:t>
      </w:r>
      <w:r>
        <w:rPr>
          <w:rFonts w:hint="eastAsia" w:ascii="仿宋_GB2312" w:hAnsi="Calibri" w:eastAsia="仿宋_GB2312"/>
          <w:color w:val="auto"/>
          <w:kern w:val="2"/>
          <w:sz w:val="28"/>
          <w:szCs w:val="28"/>
          <w:highlight w:val="none"/>
          <w:u w:val="single"/>
        </w:rPr>
        <w:t>报价单位需出具承诺函，承诺中选后提供报价设备制造商原装全新产品（加盖单位公章）</w:t>
      </w:r>
      <w:r>
        <w:rPr>
          <w:rFonts w:hint="eastAsia" w:ascii="仿宋_GB2312" w:eastAsia="仿宋_GB2312"/>
          <w:color w:val="auto"/>
          <w:kern w:val="2"/>
          <w:sz w:val="28"/>
          <w:szCs w:val="28"/>
          <w:highlight w:val="none"/>
          <w:u w:val="none"/>
          <w:lang w:eastAsia="zh-CN"/>
        </w:rPr>
        <w:t>；</w:t>
      </w:r>
    </w:p>
    <w:p>
      <w:pPr>
        <w:pStyle w:val="69"/>
        <w:autoSpaceDE w:val="0"/>
        <w:autoSpaceDN w:val="0"/>
        <w:spacing w:line="600" w:lineRule="exact"/>
        <w:ind w:firstLine="560" w:firstLineChars="0"/>
        <w:jc w:val="left"/>
        <w:rPr>
          <w:rFonts w:hint="default" w:ascii="仿宋_GB2312" w:eastAsia="仿宋_GB2312" w:cs="仿宋_GB2312"/>
          <w:color w:val="auto"/>
          <w:sz w:val="28"/>
          <w:szCs w:val="28"/>
          <w:highlight w:val="none"/>
          <w:u w:val="single"/>
          <w:lang w:val="en-US" w:eastAsia="zh-CN"/>
        </w:rPr>
      </w:pPr>
      <w:r>
        <w:rPr>
          <w:rFonts w:hint="eastAsia" w:ascii="仿宋_GB2312" w:eastAsia="仿宋_GB2312"/>
          <w:color w:val="auto"/>
          <w:kern w:val="2"/>
          <w:sz w:val="28"/>
          <w:szCs w:val="28"/>
          <w:highlight w:val="none"/>
          <w:u w:val="single"/>
          <w:lang w:val="en-US" w:eastAsia="zh-CN"/>
        </w:rPr>
        <w:t>②</w:t>
      </w:r>
      <w:r>
        <w:rPr>
          <w:rFonts w:hint="eastAsia" w:ascii="仿宋_GB2312" w:eastAsia="仿宋_GB2312"/>
          <w:color w:val="auto"/>
          <w:sz w:val="28"/>
          <w:szCs w:val="28"/>
          <w:highlight w:val="none"/>
          <w:u w:val="single"/>
        </w:rPr>
        <w:t>专职安全人员要求：须具有安全生产考核合格证（C类）（或能够提供广东省建筑施工企业管理人员安全生产考核信息系统安全生产管理人员证书信息的网页截图）。项目负责人不得同时兼任本项目专职安全人员</w:t>
      </w:r>
      <w:r>
        <w:rPr>
          <w:rFonts w:hint="eastAsia" w:ascii="仿宋_GB2312" w:eastAsia="仿宋_GB2312"/>
          <w:color w:val="auto"/>
          <w:sz w:val="28"/>
          <w:szCs w:val="28"/>
          <w:highlight w:val="none"/>
          <w:u w:val="none"/>
        </w:rPr>
        <w:t>。</w:t>
      </w:r>
    </w:p>
    <w:p>
      <w:pPr>
        <w:pStyle w:val="24"/>
        <w:widowControl/>
        <w:adjustRightInd/>
        <w:snapToGrid/>
        <w:spacing w:line="240" w:lineRule="auto"/>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ind w:firstLine="560" w:firstLineChars="20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不组织</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eastAsia="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组织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为保证</w:t>
      </w:r>
      <w:r>
        <w:rPr>
          <w:rFonts w:hint="eastAsia" w:ascii="仿宋_GB2312" w:hAnsi="仿宋_GB2312" w:eastAsia="仿宋_GB2312" w:cs="仿宋_GB2312"/>
          <w:color w:val="auto"/>
          <w:sz w:val="28"/>
          <w:szCs w:val="28"/>
          <w:highlight w:val="none"/>
          <w:lang w:val="en-US" w:eastAsia="zh-CN"/>
        </w:rPr>
        <w:t>施工质量可</w:t>
      </w:r>
      <w:r>
        <w:rPr>
          <w:rFonts w:hint="eastAsia" w:ascii="仿宋_GB2312" w:hAnsi="仿宋_GB2312" w:eastAsia="仿宋_GB2312" w:cs="仿宋_GB2312"/>
          <w:color w:val="auto"/>
          <w:sz w:val="28"/>
          <w:szCs w:val="28"/>
          <w:highlight w:val="none"/>
        </w:rPr>
        <w:t>满足现场安装要求，以上拟</w:t>
      </w:r>
      <w:r>
        <w:rPr>
          <w:rFonts w:hint="eastAsia" w:ascii="仿宋_GB2312" w:hAnsi="仿宋_GB2312" w:eastAsia="仿宋_GB2312" w:cs="仿宋_GB2312"/>
          <w:color w:val="auto"/>
          <w:sz w:val="28"/>
          <w:szCs w:val="28"/>
          <w:highlight w:val="none"/>
          <w:lang w:val="en-US" w:eastAsia="zh-CN"/>
        </w:rPr>
        <w:t>施工</w:t>
      </w:r>
      <w:r>
        <w:rPr>
          <w:rFonts w:hint="eastAsia" w:ascii="仿宋_GB2312" w:hAnsi="仿宋_GB2312" w:eastAsia="仿宋_GB2312" w:cs="仿宋_GB2312"/>
          <w:color w:val="auto"/>
          <w:sz w:val="28"/>
          <w:szCs w:val="28"/>
          <w:highlight w:val="none"/>
        </w:rPr>
        <w:t>项目需在提交报价文件前进行现场踏勘，</w:t>
      </w:r>
      <w:r>
        <w:rPr>
          <w:rFonts w:hint="eastAsia" w:ascii="仿宋_GB2312" w:hAnsi="仿宋_GB2312" w:eastAsia="仿宋_GB2312" w:cs="仿宋_GB2312"/>
          <w:b/>
          <w:bCs/>
          <w:color w:val="auto"/>
          <w:sz w:val="28"/>
          <w:szCs w:val="28"/>
          <w:highlight w:val="none"/>
        </w:rPr>
        <w:t>未进行现场踏勘而报价的，一律视为无效报价</w:t>
      </w:r>
      <w:r>
        <w:rPr>
          <w:rFonts w:hint="eastAsia" w:ascii="仿宋_GB2312" w:hAnsi="仿宋_GB2312" w:eastAsia="仿宋_GB2312" w:cs="仿宋_GB2312"/>
          <w:color w:val="auto"/>
          <w:sz w:val="28"/>
          <w:szCs w:val="28"/>
          <w:highlight w:val="none"/>
        </w:rPr>
        <w:t>，提交报价文件时需附上现场踏勘委派书（</w:t>
      </w:r>
      <w:r>
        <w:rPr>
          <w:rFonts w:hint="eastAsia" w:ascii="仿宋_GB2312" w:hAnsi="仿宋_GB2312" w:eastAsia="仿宋_GB2312" w:cs="仿宋_GB2312"/>
          <w:color w:val="auto"/>
          <w:sz w:val="28"/>
          <w:szCs w:val="28"/>
          <w:highlight w:val="none"/>
          <w:lang w:val="en-US" w:eastAsia="zh-CN"/>
        </w:rPr>
        <w:t xml:space="preserve">见第七章 </w:t>
      </w:r>
      <w:r>
        <w:rPr>
          <w:rFonts w:hint="eastAsia" w:ascii="仿宋_GB2312" w:hAnsi="仿宋_GB2312" w:eastAsia="仿宋_GB2312" w:cs="仿宋_GB2312"/>
          <w:color w:val="auto"/>
          <w:sz w:val="28"/>
          <w:szCs w:val="28"/>
          <w:highlight w:val="none"/>
        </w:rPr>
        <w:t>响应文件格式要求</w:t>
      </w:r>
      <w:r>
        <w:rPr>
          <w:rFonts w:hint="eastAsia" w:ascii="仿宋_GB2312" w:hAnsi="仿宋_GB2312" w:eastAsia="仿宋_GB2312" w:cs="仿宋_GB2312"/>
          <w:color w:val="auto"/>
          <w:sz w:val="28"/>
          <w:szCs w:val="28"/>
          <w:highlight w:val="none"/>
          <w:lang w:val="en-US" w:eastAsia="zh-CN"/>
        </w:rPr>
        <w:t xml:space="preserve"> 6.2 </w:t>
      </w:r>
      <w:r>
        <w:rPr>
          <w:rFonts w:hint="eastAsia" w:ascii="仿宋_GB2312" w:hAnsi="仿宋_GB2312" w:eastAsia="仿宋_GB2312" w:cs="仿宋_GB2312"/>
          <w:color w:val="auto"/>
          <w:sz w:val="28"/>
          <w:szCs w:val="28"/>
          <w:highlight w:val="none"/>
        </w:rPr>
        <w:t>现场踏勘委派书</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需求单位及报价单位均需盖章）复印件。由本项目承办单位在现场踏勘回执（见附件现场踏勘委派书）盖章确认。</w:t>
      </w:r>
      <w:r>
        <w:rPr>
          <w:rFonts w:hint="eastAsia" w:ascii="仿宋_GB2312" w:hAnsi="仿宋_GB2312" w:eastAsia="仿宋_GB2312" w:cs="仿宋_GB2312"/>
          <w:color w:val="auto"/>
          <w:sz w:val="28"/>
          <w:szCs w:val="28"/>
          <w:highlight w:val="none"/>
          <w:lang w:val="en-US" w:eastAsia="zh-CN"/>
        </w:rPr>
        <w:t>供应商需</w:t>
      </w:r>
      <w:r>
        <w:rPr>
          <w:rFonts w:hint="eastAsia" w:ascii="仿宋_GB2312" w:hAnsi="仿宋_GB2312" w:eastAsia="仿宋_GB2312" w:cs="仿宋_GB2312"/>
          <w:color w:val="auto"/>
          <w:sz w:val="28"/>
          <w:szCs w:val="28"/>
          <w:highlight w:val="none"/>
          <w:lang w:val="en-US"/>
        </w:rPr>
        <w:t>自行</w:t>
      </w:r>
      <w:r>
        <w:rPr>
          <w:rFonts w:hint="eastAsia" w:ascii="仿宋_GB2312" w:hAnsi="仿宋_GB2312" w:eastAsia="仿宋_GB2312" w:cs="仿宋_GB2312"/>
          <w:color w:val="auto"/>
          <w:sz w:val="28"/>
          <w:szCs w:val="28"/>
          <w:highlight w:val="none"/>
          <w:lang w:val="en-US" w:eastAsia="zh-CN"/>
        </w:rPr>
        <w:t>前往现场踏勘</w:t>
      </w:r>
      <w:r>
        <w:rPr>
          <w:rFonts w:hint="eastAsia" w:ascii="仿宋_GB2312" w:hAnsi="仿宋_GB2312" w:eastAsia="仿宋_GB2312" w:cs="仿宋_GB2312"/>
          <w:color w:val="auto"/>
          <w:sz w:val="28"/>
          <w:szCs w:val="28"/>
          <w:highlight w:val="none"/>
          <w:lang w:val="en-US"/>
        </w:rPr>
        <w:t>，</w:t>
      </w:r>
      <w:r>
        <w:rPr>
          <w:rFonts w:hint="eastAsia" w:ascii="仿宋_GB2312" w:hAnsi="仿宋_GB2312" w:eastAsia="仿宋_GB2312" w:cs="仿宋_GB2312"/>
          <w:color w:val="auto"/>
          <w:sz w:val="28"/>
          <w:szCs w:val="28"/>
          <w:highlight w:val="none"/>
          <w:lang w:val="en-US" w:eastAsia="zh-CN"/>
        </w:rPr>
        <w:t>且前往现场踏勘须在规定时间内到达集中地点，逾期不再接待</w:t>
      </w:r>
      <w:r>
        <w:rPr>
          <w:rFonts w:hint="eastAsia" w:ascii="仿宋_GB2312" w:hAnsi="仿宋_GB2312" w:eastAsia="仿宋_GB2312" w:cs="仿宋_GB2312"/>
          <w:color w:val="auto"/>
          <w:sz w:val="28"/>
          <w:szCs w:val="28"/>
          <w:highlight w:val="none"/>
          <w:lang w:val="en-US"/>
        </w:rPr>
        <w:t>。</w:t>
      </w:r>
    </w:p>
    <w:p>
      <w:pPr>
        <w:pStyle w:val="24"/>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default" w:ascii="仿宋_GB2312" w:hAnsi="仿宋_GB2312" w:eastAsia="仿宋_GB2312" w:cs="仿宋_GB2312"/>
          <w:color w:val="auto"/>
          <w:kern w:val="2"/>
          <w:sz w:val="28"/>
          <w:szCs w:val="28"/>
          <w:highlight w:val="none"/>
          <w:lang w:val="en-US" w:eastAsia="zh-CN"/>
        </w:rPr>
      </w:pPr>
      <w:r>
        <w:rPr>
          <w:rFonts w:hint="eastAsia" w:ascii="仿宋_GB2312" w:hAnsi="仿宋_GB2312" w:eastAsia="仿宋_GB2312" w:cs="仿宋_GB2312"/>
          <w:color w:val="auto"/>
          <w:kern w:val="2"/>
          <w:sz w:val="28"/>
          <w:szCs w:val="28"/>
          <w:highlight w:val="none"/>
          <w:lang w:val="en-US" w:eastAsia="zh-CN"/>
        </w:rPr>
        <w:t>踏勘现场联系人：王工</w:t>
      </w:r>
    </w:p>
    <w:p>
      <w:pPr>
        <w:pStyle w:val="24"/>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default" w:ascii="仿宋_GB2312" w:hAnsi="仿宋_GB2312" w:eastAsia="仿宋_GB2312" w:cs="仿宋_GB2312"/>
          <w:color w:val="auto"/>
          <w:sz w:val="28"/>
          <w:szCs w:val="28"/>
          <w:highlight w:val="none"/>
          <w:u w:val="none"/>
          <w:lang w:val="en-US"/>
        </w:rPr>
      </w:pPr>
      <w:r>
        <w:rPr>
          <w:rFonts w:hint="eastAsia" w:ascii="仿宋_GB2312" w:hAnsi="仿宋_GB2312" w:eastAsia="仿宋_GB2312" w:cs="仿宋_GB2312"/>
          <w:color w:val="auto"/>
          <w:kern w:val="2"/>
          <w:sz w:val="28"/>
          <w:szCs w:val="28"/>
          <w:highlight w:val="none"/>
          <w:lang w:val="en-US" w:eastAsia="zh-CN"/>
        </w:rPr>
        <w:t>踏勘现场联系人联系方式：13924067506</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踏勘（答疑）</w:t>
      </w:r>
      <w:r>
        <w:rPr>
          <w:rFonts w:hint="eastAsia" w:ascii="仿宋_GB2312" w:hAnsi="仿宋_GB2312" w:eastAsia="仿宋_GB2312" w:cs="仿宋_GB2312"/>
          <w:color w:val="auto"/>
          <w:sz w:val="28"/>
          <w:szCs w:val="28"/>
          <w:highlight w:val="none"/>
          <w:lang w:val="en-US" w:eastAsia="zh-CN"/>
        </w:rPr>
        <w:t>集合</w:t>
      </w:r>
      <w:r>
        <w:rPr>
          <w:rFonts w:hint="eastAsia" w:ascii="仿宋_GB2312" w:hAnsi="仿宋_GB2312" w:eastAsia="仿宋_GB2312" w:cs="仿宋_GB2312"/>
          <w:color w:val="auto"/>
          <w:sz w:val="28"/>
          <w:szCs w:val="28"/>
          <w:highlight w:val="none"/>
        </w:rPr>
        <w:t>时间：</w:t>
      </w:r>
      <w:r>
        <w:rPr>
          <w:rFonts w:hint="eastAsia" w:ascii="仿宋_GB2312" w:hAnsi="仿宋_GB2312" w:eastAsia="仿宋_GB2312" w:cs="仿宋_GB2312"/>
          <w:color w:val="auto"/>
          <w:sz w:val="28"/>
          <w:szCs w:val="28"/>
          <w:highlight w:val="none"/>
          <w:u w:val="single"/>
          <w:lang w:val="en-US" w:eastAsia="zh-CN"/>
        </w:rPr>
        <w:t>2024</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03</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25</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lang w:val="en-US" w:eastAsia="zh-CN"/>
        </w:rPr>
        <w:t>09</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lang w:val="en-US" w:eastAsia="zh-CN"/>
        </w:rPr>
        <w:t>30</w:t>
      </w:r>
      <w:r>
        <w:rPr>
          <w:rFonts w:hint="eastAsia" w:ascii="仿宋_GB2312" w:hAnsi="仿宋_GB2312" w:eastAsia="仿宋_GB2312" w:cs="仿宋_GB2312"/>
          <w:color w:val="auto"/>
          <w:sz w:val="28"/>
          <w:szCs w:val="28"/>
          <w:highlight w:val="none"/>
        </w:rPr>
        <w:t>分</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u w:val="single"/>
          <w:lang w:val="en-US" w:eastAsia="zh-CN"/>
        </w:rPr>
        <w:t>10</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lang w:val="en-US" w:eastAsia="zh-CN"/>
        </w:rPr>
        <w:t>30</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（北京时间）</w:t>
      </w:r>
      <w:r>
        <w:rPr>
          <w:rFonts w:hint="eastAsia"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_GB2312"/>
          <w:color w:val="auto"/>
          <w:sz w:val="28"/>
          <w:szCs w:val="28"/>
          <w:highlight w:val="none"/>
          <w:u w:val="none"/>
          <w:lang w:eastAsia="zh-CN"/>
        </w:rPr>
      </w:pPr>
      <w:r>
        <w:rPr>
          <w:rFonts w:hint="eastAsia" w:ascii="仿宋_GB2312" w:hAnsi="仿宋_GB2312" w:eastAsia="仿宋_GB2312" w:cs="仿宋_GB2312"/>
          <w:color w:val="auto"/>
          <w:sz w:val="28"/>
          <w:szCs w:val="28"/>
          <w:highlight w:val="none"/>
        </w:rPr>
        <w:t>踏勘集中地点：</w:t>
      </w:r>
      <w:r>
        <w:rPr>
          <w:rFonts w:hint="eastAsia" w:ascii="仿宋_GB2312" w:hAnsi="仿宋_GB2312" w:eastAsia="仿宋_GB2312" w:cs="仿宋_GB2312"/>
          <w:color w:val="auto"/>
          <w:sz w:val="28"/>
          <w:szCs w:val="28"/>
          <w:highlight w:val="none"/>
          <w:u w:val="single"/>
          <w:lang w:val="en-US" w:eastAsia="zh-CN"/>
        </w:rPr>
        <w:t>广州市净水有限公司石井分公司</w:t>
      </w:r>
      <w:r>
        <w:rPr>
          <w:rFonts w:hint="eastAsia" w:ascii="仿宋_GB2312" w:eastAsia="仿宋_GB2312"/>
          <w:color w:val="auto"/>
          <w:sz w:val="28"/>
          <w:szCs w:val="28"/>
          <w:highlight w:val="none"/>
          <w:u w:val="none"/>
          <w:lang w:eastAsia="zh-CN"/>
        </w:rPr>
        <w:t>。</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hAnsi="仿宋_GB2312" w:eastAsia="仿宋_GB2312" w:cs="仿宋_GB2312"/>
          <w:color w:val="auto"/>
          <w:sz w:val="28"/>
          <w:szCs w:val="28"/>
          <w:highlight w:val="none"/>
          <w:u w:val="single"/>
          <w:lang w:val="en-US" w:eastAsia="zh-CN"/>
        </w:rPr>
        <w:t>2024</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28</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9</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2024</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28</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00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分</w:t>
      </w:r>
      <w:r>
        <w:rPr>
          <w:rFonts w:hint="eastAsia" w:ascii="仿宋_GB2312" w:eastAsia="仿宋_GB2312"/>
          <w:color w:val="auto"/>
          <w:sz w:val="28"/>
          <w:szCs w:val="28"/>
          <w:highlight w:val="none"/>
        </w:rPr>
        <w:t>（北京时间）</w:t>
      </w:r>
      <w:r>
        <w:rPr>
          <w:rFonts w:hint="eastAsia" w:ascii="仿宋_GB2312" w:eastAsia="仿宋_GB2312"/>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2024</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3</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28</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00</w:t>
      </w:r>
      <w:r>
        <w:rPr>
          <w:rFonts w:hint="eastAsia" w:ascii="仿宋_GB2312" w:hAnsi="仿宋_GB2312" w:eastAsia="仿宋_GB2312" w:cs="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u w:val="single"/>
          <w:lang w:val="en-US" w:eastAsia="zh-CN"/>
        </w:rPr>
        <w:t>广州市天河区临江大道501号广州市净水有限公司6楼招标部</w:t>
      </w:r>
      <w:r>
        <w:rPr>
          <w:rFonts w:hint="eastAsia" w:ascii="仿宋_GB2312" w:eastAsia="仿宋_GB2312"/>
          <w:color w:val="auto"/>
          <w:sz w:val="28"/>
          <w:szCs w:val="28"/>
          <w:highlight w:val="none"/>
        </w:rPr>
        <w:t>。</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6"/>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hint="eastAsia" w:ascii="仿宋_GB2312" w:hAnsi="仿宋" w:eastAsia="仿宋_GB2312"/>
          <w:color w:val="auto"/>
          <w:sz w:val="28"/>
          <w:szCs w:val="28"/>
          <w:highlight w:val="none"/>
          <w:u w:val="single"/>
          <w:lang w:val="en-US" w:eastAsia="zh-CN"/>
        </w:rPr>
        <w:t>62315524</w:t>
      </w:r>
      <w:r>
        <w:rPr>
          <w:rFonts w:ascii="仿宋_GB2312" w:hAnsi="仿宋" w:eastAsia="仿宋_GB2312"/>
          <w:color w:val="auto"/>
          <w:sz w:val="28"/>
          <w:szCs w:val="28"/>
          <w:highlight w:val="none"/>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李工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bookmarkStart w:id="13" w:name="_Toc1089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bookmarkStart w:id="14" w:name="_Toc9448"/>
      <w:bookmarkStart w:id="15" w:name="_Toc2331"/>
      <w:bookmarkStart w:id="16" w:name="_Toc16705"/>
      <w:bookmarkStart w:id="17" w:name="_Toc16557"/>
      <w:bookmarkStart w:id="18" w:name="_Toc7340"/>
      <w:bookmarkStart w:id="19" w:name="_Toc23749"/>
      <w:bookmarkStart w:id="20" w:name="_Toc32588"/>
      <w:bookmarkStart w:id="21" w:name="_Toc2324"/>
      <w:bookmarkStart w:id="22" w:name="_Toc19295"/>
      <w:bookmarkStart w:id="23" w:name="_Toc25603"/>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第二章</w:t>
      </w:r>
    </w:p>
    <w:bookmarkEnd w:id="13"/>
    <w:bookmarkEnd w:id="14"/>
    <w:bookmarkEnd w:id="15"/>
    <w:bookmarkEnd w:id="16"/>
    <w:bookmarkEnd w:id="17"/>
    <w:bookmarkEnd w:id="18"/>
    <w:bookmarkEnd w:id="19"/>
    <w:bookmarkEnd w:id="20"/>
    <w:bookmarkEnd w:id="21"/>
    <w:bookmarkEnd w:id="22"/>
    <w:bookmarkEnd w:id="23"/>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bookmarkStart w:id="24" w:name="_Toc2339"/>
      <w:bookmarkStart w:id="25" w:name="_Toc3416"/>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color w:val="auto"/>
          <w:sz w:val="44"/>
          <w:szCs w:val="40"/>
          <w:highlight w:val="none"/>
        </w:rPr>
      </w:pPr>
      <w:r>
        <w:rPr>
          <w:rFonts w:hint="eastAsia"/>
          <w:color w:val="auto"/>
          <w:sz w:val="44"/>
          <w:szCs w:val="40"/>
          <w:highlight w:val="none"/>
        </w:rPr>
        <w:t>供应商须知</w:t>
      </w:r>
      <w:bookmarkEnd w:id="24"/>
      <w:bookmarkEnd w:id="2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适用于纸质评审的采购项目</w:t>
      </w:r>
    </w:p>
    <w:p>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br w:type="page"/>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pPr>
        <w:pStyle w:val="24"/>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详见第一章采购公告（采购邀请书）</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pPr>
        <w:pStyle w:val="24"/>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表2-1 本次交易一般规则</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_GB2312"/>
                <w:b/>
                <w:bCs/>
                <w:color w:val="auto"/>
                <w:sz w:val="24"/>
                <w:szCs w:val="24"/>
                <w:highlight w:val="none"/>
              </w:rPr>
              <w:t>阶段</w:t>
            </w:r>
          </w:p>
        </w:tc>
        <w:tc>
          <w:tcPr>
            <w:tcW w:w="748"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条款</w:t>
            </w:r>
          </w:p>
        </w:tc>
        <w:tc>
          <w:tcPr>
            <w:tcW w:w="1680"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项目</w:t>
            </w:r>
          </w:p>
        </w:tc>
        <w:tc>
          <w:tcPr>
            <w:tcW w:w="5750" w:type="dxa"/>
            <w:tcBorders>
              <w:right w:val="nil"/>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tc>
        <w:tc>
          <w:tcPr>
            <w:tcW w:w="1680" w:type="dxa"/>
            <w:vAlign w:val="center"/>
          </w:tcPr>
          <w:p>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680"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如采购文件内容与响应文件格式工程量清单存在不一致情形，则以响应文件格式工程量清单为准。如采购文件条款与合同存在不一致情形，则以合同为准。</w:t>
            </w:r>
          </w:p>
        </w:tc>
      </w:tr>
    </w:tbl>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（2）不按照采购文件要求密封的响应文件，采购人将予以拒收。</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snapToGrid/>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响应文件包括下列内容: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.3异议人与采购人对异议事项无法达成一致的，异议人可向采购人的监管部门进行反映。</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pPr>
        <w:adjustRightInd w:val="0"/>
        <w:snapToGrid w:val="0"/>
        <w:spacing w:line="600" w:lineRule="exact"/>
        <w:jc w:val="center"/>
        <w:rPr>
          <w:rFonts w:ascii="方正小标宋简体" w:eastAsia="方正小标宋简体" w:hAnsiTheme="majorEastAsia"/>
          <w:color w:val="auto"/>
          <w:sz w:val="40"/>
          <w:szCs w:val="40"/>
          <w:highlight w:val="none"/>
        </w:rPr>
      </w:pPr>
      <w:r>
        <w:rPr>
          <w:rFonts w:hint="eastAsia" w:ascii="方正小标宋简体" w:eastAsia="方正小标宋简体" w:hAnsiTheme="majorEastAsia"/>
          <w:color w:val="auto"/>
          <w:sz w:val="40"/>
          <w:szCs w:val="40"/>
          <w:highlight w:val="none"/>
        </w:rPr>
        <w:t>响应文件开启表</w:t>
      </w:r>
    </w:p>
    <w:p>
      <w:pPr>
        <w:pStyle w:val="40"/>
        <w:rPr>
          <w:rFonts w:hint="eastAsia" w:ascii="仿宋_GB2312" w:hAnsi="仿宋_GB2312" w:eastAsia="仿宋_GB2312" w:cs="仿宋_GB2312"/>
          <w:color w:val="auto"/>
          <w:sz w:val="28"/>
          <w:szCs w:val="32"/>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u w:val="single"/>
          <w:lang w:val="en-US" w:eastAsia="zh-CN"/>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6"/>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202"/>
        <w:gridCol w:w="982"/>
        <w:gridCol w:w="1649"/>
        <w:gridCol w:w="1352"/>
        <w:gridCol w:w="823"/>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_GB2312"/>
                <w:b/>
                <w:bCs/>
                <w:color w:val="auto"/>
                <w:sz w:val="24"/>
                <w:szCs w:val="24"/>
                <w:highlight w:val="none"/>
              </w:rPr>
              <w:t>序号</w:t>
            </w:r>
          </w:p>
        </w:tc>
        <w:tc>
          <w:tcPr>
            <w:tcW w:w="3402"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供应商</w:t>
            </w:r>
          </w:p>
        </w:tc>
        <w:tc>
          <w:tcPr>
            <w:tcW w:w="1020"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密封</w:t>
            </w:r>
          </w:p>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情况</w:t>
            </w:r>
          </w:p>
        </w:tc>
        <w:tc>
          <w:tcPr>
            <w:tcW w:w="1701"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报价</w:t>
            </w:r>
          </w:p>
          <w:p>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eastAsia="zh-CN"/>
              </w:rPr>
              <w:t>（</w:t>
            </w:r>
            <w:r>
              <w:rPr>
                <w:rFonts w:hint="eastAsia" w:ascii="仿宋_GB2312" w:eastAsia="仿宋_GB2312"/>
                <w:b/>
                <w:bCs/>
                <w:color w:val="auto"/>
                <w:sz w:val="24"/>
                <w:szCs w:val="24"/>
                <w:highlight w:val="none"/>
                <w:lang w:val="en-US" w:eastAsia="zh-CN"/>
              </w:rPr>
              <w:t>元）</w:t>
            </w:r>
          </w:p>
        </w:tc>
        <w:tc>
          <w:tcPr>
            <w:tcW w:w="141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供应商代表签名</w:t>
            </w:r>
          </w:p>
        </w:tc>
        <w:tc>
          <w:tcPr>
            <w:tcW w:w="850"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_GB2312"/>
                <w:b/>
                <w:bCs/>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rPr>
          <w:rFonts w:ascii="仿宋_GB2312" w:eastAsia="仿宋_GB2312" w:hAnsiTheme="majorEastAsia"/>
          <w:color w:val="auto"/>
          <w:sz w:val="28"/>
          <w:szCs w:val="28"/>
          <w:highlight w:val="none"/>
        </w:rPr>
      </w:pPr>
      <w:r>
        <w:rPr>
          <w:rFonts w:ascii="仿宋_GB2312" w:eastAsia="仿宋_GB2312"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方正小标宋简体" w:hAnsiTheme="majorEastAsia"/>
          <w:color w:val="auto"/>
          <w:sz w:val="44"/>
          <w:szCs w:val="44"/>
          <w:highlight w:val="none"/>
        </w:rPr>
      </w:pPr>
      <w:r>
        <w:rPr>
          <w:rFonts w:hint="eastAsia" w:ascii="方正小标宋简体" w:eastAsia="方正小标宋简体" w:hAnsiTheme="majorEastAsia"/>
          <w:color w:val="auto"/>
          <w:sz w:val="44"/>
          <w:szCs w:val="44"/>
          <w:highlight w:val="none"/>
        </w:rPr>
        <w:t>问题澄清通知</w:t>
      </w:r>
    </w:p>
    <w:p>
      <w:pPr>
        <w:pStyle w:val="40"/>
        <w:rPr>
          <w:rFonts w:hint="eastAsia" w:ascii="仿宋_GB2312" w:hAnsi="仿宋_GB2312" w:eastAsia="仿宋_GB2312" w:cs="仿宋_GB2312"/>
          <w:color w:val="auto"/>
          <w:highlight w:val="none"/>
        </w:rPr>
      </w:pPr>
    </w:p>
    <w:p>
      <w:pPr>
        <w:adjustRightInd w:val="0"/>
        <w:snapToGrid w:val="0"/>
        <w:spacing w:line="600" w:lineRule="exact"/>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编号：</w:t>
      </w:r>
    </w:p>
    <w:p>
      <w:pPr>
        <w:adjustRightInd w:val="0"/>
        <w:snapToGrid w:val="0"/>
        <w:spacing w:line="600" w:lineRule="exact"/>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（供应商名称）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 xml:space="preserve"> （项目名称） </w:t>
      </w:r>
      <w:r>
        <w:rPr>
          <w:rFonts w:hint="eastAsia" w:ascii="仿宋_GB2312" w:hAnsi="仿宋_GB2312" w:eastAsia="仿宋_GB2312" w:cs="仿宋_GB2312"/>
          <w:color w:val="auto"/>
          <w:sz w:val="28"/>
          <w:szCs w:val="28"/>
          <w:highlight w:val="none"/>
        </w:rPr>
        <w:t>的评审小组，对你方的响应文件进行了仔细的审查，现需你方对下列问题以书面形式予以澄清：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请将上述问题的澄清于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时前递交至</w:t>
      </w:r>
      <w:r>
        <w:rPr>
          <w:rFonts w:hint="eastAsia" w:ascii="仿宋_GB2312" w:hAnsi="仿宋_GB2312" w:eastAsia="仿宋_GB2312" w:cs="仿宋_GB2312"/>
          <w:color w:val="auto"/>
          <w:sz w:val="28"/>
          <w:szCs w:val="28"/>
          <w:highlight w:val="none"/>
          <w:u w:val="single"/>
        </w:rPr>
        <w:t xml:space="preserve">  （详细地址） </w:t>
      </w:r>
      <w:r>
        <w:rPr>
          <w:rFonts w:hint="eastAsia" w:ascii="仿宋_GB2312" w:hAnsi="仿宋_GB2312" w:eastAsia="仿宋_GB2312" w:cs="仿宋_GB2312"/>
          <w:color w:val="auto"/>
          <w:sz w:val="28"/>
          <w:szCs w:val="28"/>
          <w:highlight w:val="none"/>
        </w:rPr>
        <w:t>。</w:t>
      </w:r>
    </w:p>
    <w:p>
      <w:pPr>
        <w:adjustRightInd w:val="0"/>
        <w:snapToGrid w:val="0"/>
        <w:spacing w:line="600" w:lineRule="exact"/>
        <w:jc w:val="left"/>
        <w:rPr>
          <w:rFonts w:hint="eastAsia" w:ascii="仿宋_GB2312" w:hAnsi="仿宋_GB2312" w:eastAsia="仿宋_GB2312" w:cs="仿宋_GB2312"/>
          <w:b/>
          <w:color w:val="auto"/>
          <w:sz w:val="28"/>
          <w:szCs w:val="28"/>
          <w:highlight w:val="none"/>
        </w:rPr>
      </w:pPr>
    </w:p>
    <w:p>
      <w:pPr>
        <w:adjustRightInd w:val="0"/>
        <w:snapToGrid w:val="0"/>
        <w:spacing w:line="600" w:lineRule="exact"/>
        <w:ind w:firstLine="4760" w:firstLineChars="17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u w:val="single"/>
        </w:rPr>
        <w:t xml:space="preserve">（项目名称） </w:t>
      </w:r>
      <w:r>
        <w:rPr>
          <w:rFonts w:hint="eastAsia" w:ascii="仿宋_GB2312" w:hAnsi="仿宋_GB2312" w:eastAsia="仿宋_GB2312" w:cs="仿宋_GB2312"/>
          <w:color w:val="auto"/>
          <w:sz w:val="28"/>
          <w:szCs w:val="28"/>
          <w:highlight w:val="none"/>
        </w:rPr>
        <w:t>评审小组</w:t>
      </w:r>
    </w:p>
    <w:p>
      <w:pPr>
        <w:adjustRightInd w:val="0"/>
        <w:snapToGrid w:val="0"/>
        <w:spacing w:line="600" w:lineRule="exact"/>
        <w:ind w:firstLine="4760" w:firstLineChars="17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评审小组：</w:t>
      </w:r>
      <w:r>
        <w:rPr>
          <w:rFonts w:hint="eastAsia" w:ascii="仿宋_GB2312" w:hAnsi="仿宋_GB2312" w:eastAsia="仿宋_GB2312" w:cs="仿宋_GB2312"/>
          <w:b/>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（签字）</w:t>
      </w:r>
    </w:p>
    <w:p>
      <w:pPr>
        <w:wordWrap w:val="0"/>
        <w:adjustRightInd w:val="0"/>
        <w:snapToGrid w:val="0"/>
        <w:spacing w:line="600" w:lineRule="exact"/>
        <w:jc w:val="right"/>
        <w:rPr>
          <w:rFonts w:hint="default" w:ascii="仿宋_GB2312" w:eastAsia="仿宋_GB2312" w:hAnsiTheme="majorEastAsia"/>
          <w:color w:val="auto"/>
          <w:sz w:val="28"/>
          <w:szCs w:val="28"/>
          <w:highlight w:val="none"/>
          <w:lang w:val="en-US" w:eastAsia="zh-CN"/>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 xml:space="preserve">        </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方正小标宋简体" w:hAnsiTheme="majorEastAsia"/>
          <w:color w:val="auto"/>
          <w:sz w:val="44"/>
          <w:szCs w:val="44"/>
          <w:highlight w:val="none"/>
        </w:rPr>
      </w:pPr>
      <w:r>
        <w:rPr>
          <w:rFonts w:hint="eastAsia" w:ascii="方正小标宋简体" w:eastAsia="方正小标宋简体" w:hAnsiTheme="majorEastAsia"/>
          <w:color w:val="auto"/>
          <w:sz w:val="44"/>
          <w:szCs w:val="44"/>
          <w:highlight w:val="none"/>
        </w:rPr>
        <w:t>问题的澄清</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rPr>
          <w:rFonts w:ascii="仿宋_GB2312" w:eastAsia="仿宋_GB2312" w:hAnsiTheme="majorEastAsia"/>
          <w:color w:val="auto"/>
          <w:sz w:val="28"/>
          <w:szCs w:val="28"/>
          <w:highlight w:val="none"/>
        </w:rPr>
      </w:pPr>
      <w:r>
        <w:rPr>
          <w:rFonts w:ascii="仿宋_GB2312" w:eastAsia="仿宋_GB2312"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方正小标宋简体" w:hAnsiTheme="majorEastAsia"/>
          <w:color w:val="auto"/>
          <w:sz w:val="44"/>
          <w:szCs w:val="44"/>
          <w:highlight w:val="none"/>
        </w:rPr>
      </w:pPr>
      <w:r>
        <w:rPr>
          <w:rFonts w:hint="eastAsia" w:ascii="方正小标宋简体" w:eastAsia="方正小标宋简体" w:hAnsiTheme="majorEastAsia"/>
          <w:color w:val="auto"/>
          <w:sz w:val="44"/>
          <w:szCs w:val="44"/>
          <w:highlight w:val="none"/>
        </w:rPr>
        <w:t>成交通知书</w:t>
      </w:r>
    </w:p>
    <w:p>
      <w:pPr>
        <w:pStyle w:val="40"/>
        <w:rPr>
          <w:color w:val="auto"/>
          <w:highlight w:val="none"/>
        </w:rPr>
      </w:pPr>
    </w:p>
    <w:p>
      <w:pPr>
        <w:pStyle w:val="40"/>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方正小标宋简体" w:hAnsiTheme="majorEastAsia"/>
          <w:color w:val="auto"/>
          <w:sz w:val="44"/>
          <w:szCs w:val="44"/>
          <w:highlight w:val="none"/>
        </w:rPr>
      </w:pPr>
      <w:r>
        <w:rPr>
          <w:rFonts w:hint="eastAsia" w:ascii="方正小标宋简体" w:eastAsia="方正小标宋简体" w:hAnsiTheme="majorEastAsia"/>
          <w:color w:val="auto"/>
          <w:sz w:val="44"/>
          <w:szCs w:val="44"/>
          <w:highlight w:val="none"/>
        </w:rPr>
        <w:t>关于</w:t>
      </w:r>
      <w:r>
        <w:rPr>
          <w:rFonts w:hint="eastAsia" w:ascii="方正小标宋简体" w:eastAsia="方正小标宋简体" w:hAnsiTheme="majorEastAsia"/>
          <w:color w:val="auto"/>
          <w:sz w:val="44"/>
          <w:szCs w:val="44"/>
          <w:highlight w:val="none"/>
          <w:lang w:val="en-US" w:eastAsia="zh-CN"/>
        </w:rPr>
        <w:t>**</w:t>
      </w:r>
      <w:r>
        <w:rPr>
          <w:rFonts w:hint="eastAsia" w:ascii="方正小标宋简体" w:eastAsia="方正小标宋简体" w:hAnsiTheme="majorEastAsia"/>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r>
        <w:rPr>
          <w:color w:val="auto"/>
          <w:highlight w:val="none"/>
        </w:rPr>
        <w:br w:type="page"/>
      </w: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p>
    <w:p>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_GB2312"/>
          <w:color w:val="auto"/>
          <w:sz w:val="28"/>
          <w:szCs w:val="28"/>
          <w:highlight w:val="none"/>
        </w:rPr>
      </w:pPr>
    </w:p>
    <w:p>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第三章</w:t>
      </w:r>
    </w:p>
    <w:p>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_GB2312"/>
          <w:color w:val="auto"/>
          <w:sz w:val="28"/>
          <w:szCs w:val="28"/>
          <w:highlight w:val="none"/>
          <w:lang w:val="en-US" w:eastAsia="zh-CN"/>
        </w:rPr>
      </w:pPr>
    </w:p>
    <w:p>
      <w:pPr>
        <w:pStyle w:val="4"/>
        <w:pageBreakBefore w:val="0"/>
        <w:widowControl w:val="0"/>
        <w:kinsoku/>
        <w:wordWrap/>
        <w:overflowPunct/>
        <w:topLinePunct w:val="0"/>
        <w:autoSpaceDE/>
        <w:autoSpaceDN/>
        <w:bidi w:val="0"/>
        <w:adjustRightInd/>
        <w:snapToGrid/>
        <w:spacing w:before="0" w:after="0" w:line="360" w:lineRule="auto"/>
        <w:textAlignment w:val="auto"/>
        <w:rPr>
          <w:color w:val="auto"/>
          <w:sz w:val="44"/>
          <w:szCs w:val="40"/>
          <w:highlight w:val="none"/>
        </w:rPr>
      </w:pPr>
      <w:bookmarkStart w:id="26" w:name="_Toc7040"/>
      <w:bookmarkStart w:id="27" w:name="_Toc7303"/>
      <w:bookmarkStart w:id="28" w:name="_Toc88209934"/>
      <w:bookmarkStart w:id="29" w:name="_Toc87616371"/>
      <w:r>
        <w:rPr>
          <w:rFonts w:hint="eastAsia"/>
          <w:color w:val="auto"/>
          <w:sz w:val="44"/>
          <w:szCs w:val="40"/>
          <w:highlight w:val="none"/>
        </w:rPr>
        <w:t>采购方法</w:t>
      </w:r>
      <w:bookmarkEnd w:id="26"/>
      <w:bookmarkEnd w:id="27"/>
      <w:bookmarkEnd w:id="28"/>
      <w:bookmarkEnd w:id="29"/>
    </w:p>
    <w:p>
      <w:pPr>
        <w:rPr>
          <w:rFonts w:ascii="仿宋_GB2312" w:eastAsia="仿宋_GB2312"/>
          <w:color w:val="auto"/>
          <w:sz w:val="28"/>
          <w:szCs w:val="28"/>
          <w:highlight w:val="none"/>
        </w:rPr>
      </w:pPr>
      <w:r>
        <w:rPr>
          <w:rFonts w:ascii="仿宋_GB2312" w:eastAsia="仿宋_GB2312"/>
          <w:color w:val="auto"/>
          <w:sz w:val="28"/>
          <w:szCs w:val="28"/>
          <w:highlight w:val="none"/>
        </w:rPr>
        <w:br w:type="page"/>
      </w:r>
    </w:p>
    <w:p>
      <w:pPr>
        <w:pStyle w:val="4"/>
        <w:jc w:val="center"/>
        <w:rPr>
          <w:color w:val="auto"/>
          <w:highlight w:val="none"/>
        </w:rPr>
      </w:pPr>
      <w:bookmarkStart w:id="30" w:name="_Toc24895"/>
      <w:bookmarkStart w:id="31" w:name="_Toc3789"/>
      <w:r>
        <w:rPr>
          <w:rFonts w:hint="eastAsia"/>
          <w:color w:val="auto"/>
          <w:highlight w:val="none"/>
        </w:rPr>
        <w:t>询比采购</w:t>
      </w:r>
      <w:bookmarkEnd w:id="30"/>
      <w:bookmarkEnd w:id="31"/>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6"/>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280" w:hanging="280" w:hangingChars="100"/>
              <w:rPr>
                <w:rFonts w:hint="eastAsia" w:ascii="仿宋_GB2312" w:eastAsia="仿宋_GB2312" w:hAnsiTheme="minorEastAsia"/>
                <w:color w:val="auto"/>
                <w:sz w:val="24"/>
                <w:szCs w:val="24"/>
                <w:highlight w:val="none"/>
              </w:rPr>
            </w:pPr>
            <w:r>
              <w:rPr>
                <w:rFonts w:hint="eastAsia" w:ascii="仿宋_GB2312" w:eastAsia="仿宋_GB2312"/>
                <w:color w:val="auto"/>
                <w:sz w:val="28"/>
                <w:szCs w:val="28"/>
                <w:highlight w:val="none"/>
                <w:lang w:eastAsia="zh-CN"/>
              </w:rPr>
              <w:t>☑</w:t>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280" w:hanging="280" w:hangingChars="100"/>
              <w:rPr>
                <w:rFonts w:hint="eastAsia" w:ascii="仿宋_GB2312" w:eastAsia="仿宋_GB2312" w:hAnsiTheme="minorEastAsia"/>
                <w:color w:val="auto"/>
                <w:sz w:val="24"/>
                <w:szCs w:val="24"/>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p>
          <w:p>
            <w:pPr>
              <w:adjustRightInd w:val="0"/>
              <w:snapToGrid w:val="0"/>
              <w:ind w:left="0"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_GB2312"/>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_GB2312"/>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第四章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lang w:val="en-US" w:eastAsia="zh-CN"/>
        </w:rPr>
      </w:pPr>
      <w:bookmarkStart w:id="32" w:name="_Toc32607"/>
      <w:bookmarkStart w:id="33" w:name="_Toc12177"/>
      <w:bookmarkStart w:id="34" w:name="_Toc29345"/>
      <w:bookmarkStart w:id="35" w:name="_Toc21840"/>
      <w:bookmarkStart w:id="36" w:name="_Toc29484"/>
      <w:bookmarkStart w:id="37" w:name="_Toc88209941"/>
      <w:bookmarkStart w:id="38" w:name="_Toc7831"/>
      <w:bookmarkStart w:id="39" w:name="_Toc30530"/>
      <w:bookmarkStart w:id="40" w:name="_Toc6308"/>
      <w:bookmarkStart w:id="41" w:name="_Toc87616378"/>
      <w:bookmarkStart w:id="42" w:name="_Toc22212"/>
      <w:bookmarkStart w:id="43" w:name="_Toc13898"/>
      <w:bookmarkStart w:id="44" w:name="_Toc21079"/>
      <w:r>
        <w:rPr>
          <w:rFonts w:hint="eastAsia" w:ascii="方正小标宋简体" w:hAnsi="方正小标宋简体" w:eastAsia="方正小标宋简体" w:cs="方正小标宋简体"/>
          <w:color w:val="auto"/>
          <w:sz w:val="44"/>
          <w:szCs w:val="44"/>
          <w:highlight w:val="none"/>
          <w:lang w:val="en-US" w:eastAsia="zh-CN"/>
        </w:rPr>
        <w:t>评审办法</w:t>
      </w:r>
      <w:bookmarkEnd w:id="32"/>
      <w:bookmarkEnd w:id="33"/>
      <w:bookmarkEnd w:id="34"/>
      <w:bookmarkEnd w:id="35"/>
      <w:bookmarkEnd w:id="36"/>
      <w:bookmarkEnd w:id="37"/>
      <w:bookmarkEnd w:id="38"/>
      <w:bookmarkEnd w:id="39"/>
      <w:bookmarkEnd w:id="40"/>
      <w:bookmarkEnd w:id="41"/>
      <w:bookmarkEnd w:id="42"/>
      <w:bookmarkEnd w:id="43"/>
      <w:bookmarkEnd w:id="44"/>
    </w:p>
    <w:p>
      <w:pPr>
        <w:rPr>
          <w:rFonts w:hint="default" w:ascii="仿宋_GB2312" w:eastAsia="仿宋_GB2312"/>
          <w:color w:val="auto"/>
          <w:sz w:val="28"/>
          <w:szCs w:val="28"/>
          <w:highlight w:val="none"/>
          <w:lang w:val="en-US" w:eastAsia="zh-CN"/>
        </w:rPr>
      </w:pPr>
      <w:r>
        <w:rPr>
          <w:rFonts w:hint="default" w:ascii="仿宋_GB2312" w:eastAsia="仿宋_GB2312"/>
          <w:color w:val="auto"/>
          <w:sz w:val="28"/>
          <w:szCs w:val="28"/>
          <w:highlight w:val="none"/>
          <w:lang w:val="en-US" w:eastAsia="zh-CN"/>
        </w:rPr>
        <w:br w:type="page"/>
      </w:r>
    </w:p>
    <w:p>
      <w:pPr>
        <w:pStyle w:val="4"/>
        <w:rPr>
          <w:color w:val="auto"/>
          <w:highlight w:val="none"/>
        </w:rPr>
      </w:pPr>
      <w:bookmarkStart w:id="45" w:name="_Toc23033"/>
      <w:bookmarkStart w:id="46" w:name="_Toc26826"/>
      <w:r>
        <w:rPr>
          <w:rFonts w:hint="eastAsia" w:ascii="方正小标宋简体" w:hAnsi="方正小标宋简体" w:cs="方正小标宋简体"/>
          <w:color w:val="auto"/>
          <w:sz w:val="36"/>
          <w:szCs w:val="36"/>
          <w:highlight w:val="none"/>
          <w:lang w:eastAsia="zh-CN"/>
        </w:rPr>
        <w:t>☑</w:t>
      </w:r>
      <w:r>
        <w:rPr>
          <w:rFonts w:hint="eastAsia"/>
          <w:color w:val="auto"/>
          <w:highlight w:val="none"/>
        </w:rPr>
        <w:t>经评审的最低价法</w:t>
      </w:r>
      <w:bookmarkEnd w:id="45"/>
      <w:bookmarkEnd w:id="46"/>
    </w:p>
    <w:p>
      <w:pPr>
        <w:adjustRightInd w:val="0"/>
        <w:snapToGrid w:val="0"/>
        <w:spacing w:line="600" w:lineRule="exact"/>
        <w:jc w:val="left"/>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r>
        <w:rPr>
          <w:rFonts w:hint="eastAsia" w:ascii="仿宋_GB2312" w:eastAsia="仿宋_GB2312" w:hAnsi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（2）工期、交货期或服务期限。</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016"/>
        <w:gridCol w:w="520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ind w:firstLine="420" w:firstLineChars="200"/>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br w:type="page"/>
      </w:r>
    </w:p>
    <w:p>
      <w:pPr>
        <w:keepNext w:val="0"/>
        <w:keepLines w:val="0"/>
        <w:pageBreakBefore w:val="0"/>
        <w:widowControl/>
        <w:kinsoku/>
        <w:wordWrap/>
        <w:overflowPunct/>
        <w:topLinePunct w:val="0"/>
        <w:autoSpaceDE/>
        <w:autoSpaceDN/>
        <w:bidi w:val="0"/>
        <w:adjustRightInd w:val="0"/>
        <w:snapToGrid w:val="0"/>
        <w:spacing w:line="600" w:lineRule="exact"/>
        <w:ind w:firstLine="0" w:firstLineChars="0"/>
        <w:jc w:val="left"/>
        <w:rPr>
          <w:rFonts w:ascii="仿宋_GB2312" w:eastAsia="仿宋_GB2312"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_GB2312"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_GB2312"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_GB2312"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第五章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_GB2312" w:hAnsiTheme="minorEastAsia"/>
          <w:color w:val="auto"/>
          <w:sz w:val="28"/>
          <w:szCs w:val="28"/>
          <w:highlight w:val="none"/>
          <w:lang w:val="en-US" w:eastAsia="zh-CN"/>
        </w:rPr>
      </w:pPr>
    </w:p>
    <w:p>
      <w:pPr>
        <w:pStyle w:val="4"/>
        <w:rPr>
          <w:rFonts w:hint="eastAsia"/>
          <w:color w:val="auto"/>
          <w:szCs w:val="44"/>
          <w:highlight w:val="none"/>
        </w:rPr>
      </w:pPr>
      <w:r>
        <w:rPr>
          <w:rFonts w:hint="eastAsia"/>
          <w:color w:val="auto"/>
          <w:szCs w:val="44"/>
          <w:highlight w:val="none"/>
        </w:rPr>
        <w:t>采购需求</w:t>
      </w:r>
    </w:p>
    <w:p>
      <w:pPr>
        <w:rPr>
          <w:rFonts w:hint="default" w:ascii="仿宋_GB2312" w:eastAsia="仿宋_GB2312" w:hAnsiTheme="minorEastAsia"/>
          <w:color w:val="auto"/>
          <w:sz w:val="28"/>
          <w:szCs w:val="28"/>
          <w:highlight w:val="none"/>
          <w:lang w:val="en-US" w:eastAsia="zh-CN"/>
        </w:rPr>
      </w:pPr>
      <w:r>
        <w:rPr>
          <w:rFonts w:hint="default" w:ascii="仿宋_GB2312" w:eastAsia="仿宋_GB2312" w:hAnsiTheme="minorEastAsia"/>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rPr>
        <w:t>项目</w:t>
      </w:r>
      <w:r>
        <w:rPr>
          <w:rFonts w:hint="eastAsia" w:ascii="方正小标宋简体" w:hAnsi="方正小标宋简体" w:eastAsia="方正小标宋简体" w:cs="方正小标宋简体"/>
          <w:b w:val="0"/>
          <w:bCs/>
          <w:sz w:val="44"/>
          <w:szCs w:val="44"/>
          <w:lang w:val="en-US" w:eastAsia="zh-CN"/>
        </w:rPr>
        <w:t>采购需求</w:t>
      </w:r>
    </w:p>
    <w:p>
      <w:pPr>
        <w:numPr>
          <w:ilvl w:val="0"/>
          <w:numId w:val="4"/>
        </w:numPr>
        <w:spacing w:line="360" w:lineRule="auto"/>
        <w:ind w:left="1360" w:leftChars="0" w:firstLineChars="0"/>
        <w:rPr>
          <w:rFonts w:hint="eastAsia" w:ascii="黑体" w:hAnsi="黑体" w:eastAsia="黑体" w:cs="黑体"/>
          <w:b w:val="0"/>
          <w:bCs/>
          <w:sz w:val="32"/>
          <w:szCs w:val="32"/>
        </w:rPr>
      </w:pPr>
      <w:r>
        <w:rPr>
          <w:rFonts w:hint="eastAsia" w:ascii="黑体" w:hAnsi="黑体" w:eastAsia="黑体" w:cs="黑体"/>
          <w:b w:val="0"/>
          <w:bCs/>
          <w:sz w:val="32"/>
          <w:szCs w:val="32"/>
        </w:rPr>
        <w:t>项目基本情况</w:t>
      </w:r>
    </w:p>
    <w:p>
      <w:pPr>
        <w:numPr>
          <w:ilvl w:val="0"/>
          <w:numId w:val="0"/>
        </w:numPr>
        <w:spacing w:line="360" w:lineRule="auto"/>
        <w:ind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本项目计划对分公司原有的2套东、西门门禁系统进行升级改造，并新增3三套生产区域与办公区域划分的门禁系统。</w:t>
      </w:r>
    </w:p>
    <w:p>
      <w:pPr>
        <w:numPr>
          <w:ilvl w:val="0"/>
          <w:numId w:val="4"/>
        </w:numPr>
        <w:spacing w:line="360" w:lineRule="auto"/>
        <w:ind w:left="1360" w:leftChars="0" w:firstLineChars="0"/>
        <w:rPr>
          <w:rFonts w:hint="eastAsia" w:ascii="黑体" w:hAnsi="黑体" w:eastAsia="黑体" w:cs="黑体"/>
          <w:b w:val="0"/>
          <w:bCs/>
          <w:sz w:val="32"/>
          <w:szCs w:val="32"/>
        </w:rPr>
      </w:pPr>
      <w:r>
        <w:rPr>
          <w:rFonts w:hint="eastAsia" w:ascii="黑体" w:hAnsi="黑体" w:eastAsia="黑体" w:cs="黑体"/>
          <w:b w:val="0"/>
          <w:bCs/>
          <w:sz w:val="32"/>
          <w:szCs w:val="32"/>
        </w:rPr>
        <w:t>项目</w:t>
      </w:r>
      <w:r>
        <w:rPr>
          <w:rFonts w:hint="eastAsia" w:ascii="黑体" w:hAnsi="黑体" w:eastAsia="黑体" w:cs="黑体"/>
          <w:b w:val="0"/>
          <w:bCs/>
          <w:sz w:val="32"/>
          <w:szCs w:val="32"/>
          <w:lang w:val="en-US" w:eastAsia="zh-CN"/>
        </w:rPr>
        <w:t>拟安装位置</w:t>
      </w:r>
    </w:p>
    <w:p>
      <w:pPr>
        <w:keepNext w:val="0"/>
        <w:keepLines w:val="0"/>
        <w:widowControl/>
        <w:numPr>
          <w:ilvl w:val="0"/>
          <w:numId w:val="0"/>
        </w:numPr>
        <w:suppressLineNumbers w:val="0"/>
        <w:spacing w:line="360" w:lineRule="auto"/>
        <w:ind w:firstLine="560" w:firstLineChars="200"/>
        <w:jc w:val="left"/>
        <w:rPr>
          <w:rFonts w:hint="eastAsia" w:hAnsi="仿宋_GB2312" w:cs="仿宋_GB2312"/>
          <w:sz w:val="32"/>
          <w:szCs w:val="32"/>
          <w:lang w:val="en-US" w:eastAsia="zh-CN"/>
        </w:rPr>
      </w:pPr>
      <w:r>
        <w:rPr>
          <w:rFonts w:hint="eastAsia" w:ascii="仿宋_GB2312" w:hAnsi="仿宋_GB2312" w:eastAsia="仿宋_GB2312" w:cs="仿宋_GB2312"/>
          <w:sz w:val="28"/>
          <w:szCs w:val="28"/>
          <w:lang w:val="en-US" w:eastAsia="zh-CN"/>
        </w:rPr>
        <w:t>原有东、西门门禁系统现状图：</w:t>
      </w:r>
    </w:p>
    <w:p>
      <w:pPr>
        <w:keepNext w:val="0"/>
        <w:keepLines w:val="0"/>
        <w:widowControl/>
        <w:numPr>
          <w:ilvl w:val="0"/>
          <w:numId w:val="0"/>
        </w:numPr>
        <w:suppressLineNumbers w:val="0"/>
        <w:spacing w:line="360" w:lineRule="auto"/>
        <w:ind w:firstLine="0" w:firstLineChars="0"/>
        <w:jc w:val="left"/>
        <w:rPr>
          <w:rFonts w:hint="default" w:hAnsi="仿宋_GB2312" w:cs="仿宋_GB2312"/>
          <w:sz w:val="32"/>
          <w:szCs w:val="32"/>
          <w:lang w:val="en-US" w:eastAsia="zh-CN"/>
        </w:rPr>
      </w:pPr>
      <w:r>
        <w:rPr>
          <w:rFonts w:hint="default" w:hAnsi="仿宋_GB2312" w:cs="仿宋_GB2312"/>
          <w:sz w:val="32"/>
          <w:szCs w:val="32"/>
          <w:lang w:val="en-US" w:eastAsia="zh-CN"/>
        </w:rPr>
        <w:drawing>
          <wp:inline distT="0" distB="0" distL="114300" distR="114300">
            <wp:extent cx="5285740" cy="3248025"/>
            <wp:effectExtent l="0" t="0" r="10160" b="9525"/>
            <wp:docPr id="13" name="图片 13" descr="正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正门2"/>
                    <pic:cNvPicPr>
                      <a:picLocks noChangeAspect="1"/>
                    </pic:cNvPicPr>
                  </pic:nvPicPr>
                  <pic:blipFill>
                    <a:blip r:embed="rId14"/>
                    <a:stretch>
                      <a:fillRect/>
                    </a:stretch>
                  </pic:blipFill>
                  <pic:spPr>
                    <a:xfrm>
                      <a:off x="0" y="0"/>
                      <a:ext cx="5285740" cy="3248025"/>
                    </a:xfrm>
                    <a:prstGeom prst="rect">
                      <a:avLst/>
                    </a:prstGeom>
                  </pic:spPr>
                </pic:pic>
              </a:graphicData>
            </a:graphic>
          </wp:inline>
        </w:drawing>
      </w:r>
    </w:p>
    <w:p>
      <w:pPr>
        <w:keepNext w:val="0"/>
        <w:keepLines w:val="0"/>
        <w:widowControl/>
        <w:numPr>
          <w:ilvl w:val="0"/>
          <w:numId w:val="0"/>
        </w:numPr>
        <w:suppressLineNumbers w:val="0"/>
        <w:spacing w:line="360" w:lineRule="auto"/>
        <w:ind w:firstLine="0" w:firstLineChars="0"/>
        <w:jc w:val="left"/>
        <w:rPr>
          <w:rFonts w:hint="eastAsia" w:ascii="仿宋_GB2312" w:hAnsi="仿宋_GB2312" w:eastAsia="仿宋_GB2312" w:cs="仿宋_GB2312"/>
          <w:sz w:val="28"/>
          <w:szCs w:val="28"/>
          <w:lang w:val="en-US" w:eastAsia="zh-CN"/>
        </w:rPr>
      </w:pPr>
      <w:r>
        <w:rPr>
          <w:rFonts w:hint="default" w:hAnsi="仿宋_GB2312" w:cs="仿宋_GB2312"/>
          <w:sz w:val="32"/>
          <w:szCs w:val="32"/>
          <w:lang w:val="en-US" w:eastAsia="zh-CN"/>
        </w:rPr>
        <w:drawing>
          <wp:inline distT="0" distB="0" distL="114300" distR="114300">
            <wp:extent cx="5269230" cy="3392170"/>
            <wp:effectExtent l="0" t="0" r="7620" b="17780"/>
            <wp:docPr id="11" name="图片 11" descr="西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西门1"/>
                    <pic:cNvPicPr>
                      <a:picLocks noChangeAspect="1"/>
                    </pic:cNvPicPr>
                  </pic:nvPicPr>
                  <pic:blipFill>
                    <a:blip r:embed="rId15"/>
                    <a:stretch>
                      <a:fillRect/>
                    </a:stretch>
                  </pic:blipFill>
                  <pic:spPr>
                    <a:xfrm>
                      <a:off x="0" y="0"/>
                      <a:ext cx="5269230" cy="3392170"/>
                    </a:xfrm>
                    <a:prstGeom prst="rect">
                      <a:avLst/>
                    </a:prstGeom>
                  </pic:spPr>
                </pic:pic>
              </a:graphicData>
            </a:graphic>
          </wp:inline>
        </w:drawing>
      </w:r>
      <w:r>
        <w:rPr>
          <w:rFonts w:hint="eastAsia" w:ascii="仿宋_GB2312" w:hAnsi="仿宋_GB2312" w:eastAsia="仿宋_GB2312" w:cs="仿宋_GB2312"/>
          <w:sz w:val="28"/>
          <w:szCs w:val="28"/>
          <w:lang w:val="en-US" w:eastAsia="zh-CN"/>
        </w:rPr>
        <w:t>拟新增3三套生产区域与办公区域划分的门禁位置：</w:t>
      </w:r>
    </w:p>
    <w:p>
      <w:pPr>
        <w:keepNext w:val="0"/>
        <w:keepLines w:val="0"/>
        <w:widowControl/>
        <w:suppressLineNumbers w:val="0"/>
        <w:jc w:val="left"/>
        <w:rPr>
          <w:rFonts w:hint="eastAsia"/>
          <w:lang w:val="en-US" w:eastAsia="zh-CN"/>
        </w:rPr>
      </w:pPr>
      <w:r>
        <w:drawing>
          <wp:inline distT="0" distB="0" distL="114300" distR="114300">
            <wp:extent cx="5240655" cy="2621280"/>
            <wp:effectExtent l="0" t="0" r="171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40655" cy="2621280"/>
                    </a:xfrm>
                    <a:prstGeom prst="rect">
                      <a:avLst/>
                    </a:prstGeom>
                    <a:noFill/>
                    <a:ln>
                      <a:noFill/>
                    </a:ln>
                  </pic:spPr>
                </pic:pic>
              </a:graphicData>
            </a:graphic>
          </wp:inline>
        </w:drawing>
      </w:r>
      <w:r>
        <w:rPr>
          <w:rFonts w:hint="eastAsia"/>
          <w:lang w:val="en-US" w:eastAsia="zh-CN"/>
        </w:rPr>
        <w:t xml:space="preserve"> </w:t>
      </w:r>
    </w:p>
    <w:p>
      <w:pPr>
        <w:keepNext w:val="0"/>
        <w:keepLines w:val="0"/>
        <w:widowControl/>
        <w:suppressLineNumbers w:val="0"/>
        <w:jc w:val="left"/>
        <w:rPr>
          <w:rFonts w:hint="default" w:hAnsi="仿宋_GB2312" w:cs="仿宋_GB2312"/>
          <w:sz w:val="32"/>
          <w:szCs w:val="32"/>
          <w:lang w:val="en-US" w:eastAsia="zh-CN"/>
        </w:rPr>
      </w:pPr>
      <w:r>
        <w:drawing>
          <wp:inline distT="0" distB="0" distL="114300" distR="114300">
            <wp:extent cx="5267960" cy="2601595"/>
            <wp:effectExtent l="0" t="0" r="8890"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267960" cy="2601595"/>
                    </a:xfrm>
                    <a:prstGeom prst="rect">
                      <a:avLst/>
                    </a:prstGeom>
                    <a:noFill/>
                    <a:ln>
                      <a:noFill/>
                    </a:ln>
                  </pic:spPr>
                </pic:pic>
              </a:graphicData>
            </a:graphic>
          </wp:inline>
        </w:drawing>
      </w:r>
    </w:p>
    <w:p>
      <w:pPr>
        <w:keepNext w:val="0"/>
        <w:keepLines w:val="0"/>
        <w:widowControl/>
        <w:suppressLineNumbers w:val="0"/>
        <w:jc w:val="left"/>
        <w:rPr>
          <w:rFonts w:hint="default" w:hAnsi="仿宋_GB2312" w:cs="仿宋_GB2312"/>
          <w:sz w:val="32"/>
          <w:szCs w:val="32"/>
          <w:lang w:val="en-US" w:eastAsia="zh-CN"/>
        </w:rPr>
      </w:pPr>
      <w:r>
        <w:drawing>
          <wp:inline distT="0" distB="0" distL="114300" distR="114300">
            <wp:extent cx="5267960" cy="2820035"/>
            <wp:effectExtent l="0" t="0" r="889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7960" cy="2820035"/>
                    </a:xfrm>
                    <a:prstGeom prst="rect">
                      <a:avLst/>
                    </a:prstGeom>
                    <a:noFill/>
                    <a:ln>
                      <a:noFill/>
                    </a:ln>
                  </pic:spPr>
                </pic:pic>
              </a:graphicData>
            </a:graphic>
          </wp:inline>
        </w:drawing>
      </w:r>
    </w:p>
    <w:p>
      <w:pPr>
        <w:numPr>
          <w:ilvl w:val="0"/>
          <w:numId w:val="4"/>
        </w:numPr>
        <w:spacing w:line="360" w:lineRule="auto"/>
        <w:ind w:left="1360" w:leftChars="0" w:firstLineChars="0"/>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实施内容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left"/>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kern w:val="0"/>
          <w:sz w:val="28"/>
          <w:szCs w:val="28"/>
          <w:lang w:val="en-US" w:eastAsia="zh-CN"/>
        </w:rPr>
        <w:t>本项目实施内容</w:t>
      </w:r>
      <w:r>
        <w:rPr>
          <w:rFonts w:hint="eastAsia" w:ascii="仿宋_GB2312" w:hAnsi="仿宋_GB2312" w:eastAsia="仿宋_GB2312" w:cs="仿宋_GB2312"/>
          <w:kern w:val="0"/>
          <w:sz w:val="28"/>
          <w:szCs w:val="28"/>
        </w:rPr>
        <w:t>主要</w:t>
      </w:r>
      <w:r>
        <w:rPr>
          <w:rFonts w:hint="eastAsia" w:ascii="仿宋_GB2312" w:hAnsi="仿宋_GB2312" w:eastAsia="仿宋_GB2312" w:cs="仿宋_GB2312"/>
          <w:kern w:val="0"/>
          <w:sz w:val="28"/>
          <w:szCs w:val="28"/>
          <w:lang w:val="en-US" w:eastAsia="zh-CN"/>
        </w:rPr>
        <w:t>是</w:t>
      </w:r>
      <w:r>
        <w:rPr>
          <w:rFonts w:hint="eastAsia" w:ascii="仿宋_GB2312" w:hAnsi="仿宋_GB2312" w:eastAsia="仿宋_GB2312" w:cs="仿宋_GB2312"/>
          <w:sz w:val="28"/>
          <w:szCs w:val="28"/>
          <w:lang w:val="en-US" w:eastAsia="zh-CN"/>
        </w:rPr>
        <w:t>对分公司原有的2套东、西门门禁系统进行升级改造，并新增3套生产区域与办公区域划分的门禁系统及1.8m高锌钢围栏300m。新增的智能人行道闸须配备人脸识别系统、智能车道道闸须配置车牌识别系统及监控设备；东、西门的2套门禁系统与新增的3套门禁系统须实现共网、联动，服务器设于综合楼中控室，并配置壁挂式机柜，所铺设电缆、网线均须由PVC管埋地或架空敷设，具体工作量详见附件</w:t>
      </w:r>
      <w:r>
        <w:rPr>
          <w:rFonts w:hint="eastAsia" w:ascii="仿宋_GB2312" w:hAnsi="仿宋_GB2312" w:eastAsia="仿宋_GB2312" w:cs="仿宋_GB2312"/>
          <w:b/>
          <w:bCs/>
          <w:sz w:val="28"/>
          <w:szCs w:val="28"/>
          <w:lang w:val="en-US" w:eastAsia="zh-CN"/>
        </w:rPr>
        <w:t>工程量清单及车牌识别系统设备参数。</w:t>
      </w:r>
    </w:p>
    <w:p>
      <w:pPr>
        <w:pStyle w:val="2"/>
        <w:ind w:firstLine="560" w:firstLineChars="200"/>
        <w:rPr>
          <w:rFonts w:hint="default" w:ascii="仿宋_GB2312" w:hAnsi="Times New Roman" w:eastAsia="仿宋_GB2312" w:cs="Times New Roman"/>
          <w:b w:val="0"/>
          <w:bCs/>
          <w:color w:val="auto"/>
          <w:kern w:val="2"/>
          <w:sz w:val="28"/>
          <w:szCs w:val="28"/>
          <w:highlight w:val="none"/>
          <w:lang w:val="en-US" w:eastAsia="zh-CN" w:bidi="ar-SA"/>
        </w:rPr>
      </w:pPr>
      <w:r>
        <w:rPr>
          <w:rFonts w:hint="eastAsia" w:ascii="仿宋_GB2312" w:hAnsi="Times New Roman" w:eastAsia="仿宋_GB2312" w:cs="Times New Roman"/>
          <w:b w:val="0"/>
          <w:bCs/>
          <w:color w:val="auto"/>
          <w:kern w:val="2"/>
          <w:sz w:val="28"/>
          <w:szCs w:val="28"/>
          <w:highlight w:val="none"/>
          <w:lang w:val="en-US" w:eastAsia="zh-CN" w:bidi="ar-SA"/>
        </w:rPr>
        <w:t>1）前端系统：前端设备包括前端采集点，</w:t>
      </w:r>
      <w:r>
        <w:rPr>
          <w:rFonts w:hint="eastAsia" w:ascii="仿宋_GB2312" w:cs="Times New Roman"/>
          <w:b w:val="0"/>
          <w:bCs/>
          <w:color w:val="auto"/>
          <w:kern w:val="2"/>
          <w:sz w:val="28"/>
          <w:szCs w:val="28"/>
          <w:highlight w:val="none"/>
          <w:lang w:val="en-US" w:eastAsia="zh-CN" w:bidi="ar-SA"/>
        </w:rPr>
        <w:t>进入生产区域道闸。</w:t>
      </w:r>
      <w:r>
        <w:rPr>
          <w:rFonts w:hint="eastAsia" w:ascii="仿宋_GB2312" w:hAnsi="Times New Roman" w:eastAsia="仿宋_GB2312" w:cs="Times New Roman"/>
          <w:b w:val="0"/>
          <w:bCs/>
          <w:color w:val="auto"/>
          <w:kern w:val="2"/>
          <w:sz w:val="28"/>
          <w:szCs w:val="28"/>
          <w:highlight w:val="none"/>
          <w:lang w:val="en-US" w:eastAsia="zh-CN" w:bidi="ar-SA"/>
        </w:rPr>
        <w:t>前端新建内容包括</w:t>
      </w:r>
      <w:r>
        <w:rPr>
          <w:rFonts w:hint="eastAsia" w:ascii="仿宋_GB2312" w:cs="Times New Roman"/>
          <w:b w:val="0"/>
          <w:bCs/>
          <w:color w:val="auto"/>
          <w:kern w:val="2"/>
          <w:sz w:val="28"/>
          <w:szCs w:val="28"/>
          <w:highlight w:val="none"/>
          <w:lang w:val="en-US" w:eastAsia="zh-CN" w:bidi="ar-SA"/>
        </w:rPr>
        <w:t>人脸识别一体机</w:t>
      </w:r>
      <w:r>
        <w:rPr>
          <w:rFonts w:hint="eastAsia" w:ascii="仿宋_GB2312" w:hAnsi="Times New Roman" w:eastAsia="仿宋_GB2312" w:cs="Times New Roman"/>
          <w:b w:val="0"/>
          <w:bCs/>
          <w:color w:val="auto"/>
          <w:kern w:val="2"/>
          <w:sz w:val="28"/>
          <w:szCs w:val="28"/>
          <w:highlight w:val="none"/>
          <w:lang w:val="en-US" w:eastAsia="zh-CN" w:bidi="ar-SA"/>
        </w:rPr>
        <w:t>、设备箱、电源、管线铺设和调试工作，以及相关基础工作。</w:t>
      </w:r>
    </w:p>
    <w:p>
      <w:pPr>
        <w:pStyle w:val="2"/>
        <w:ind w:firstLine="560" w:firstLineChars="200"/>
        <w:rPr>
          <w:rFonts w:hint="eastAsia" w:ascii="仿宋_GB2312" w:hAnsi="Times New Roman" w:eastAsia="仿宋_GB2312" w:cs="Times New Roman"/>
          <w:b w:val="0"/>
          <w:bCs/>
          <w:color w:val="auto"/>
          <w:kern w:val="2"/>
          <w:sz w:val="28"/>
          <w:szCs w:val="28"/>
          <w:highlight w:val="none"/>
          <w:lang w:val="en-US" w:eastAsia="zh-CN" w:bidi="ar-SA"/>
        </w:rPr>
      </w:pPr>
      <w:r>
        <w:rPr>
          <w:rFonts w:hint="eastAsia" w:ascii="仿宋_GB2312" w:hAnsi="Times New Roman" w:eastAsia="仿宋_GB2312" w:cs="Times New Roman"/>
          <w:b w:val="0"/>
          <w:bCs/>
          <w:color w:val="auto"/>
          <w:kern w:val="2"/>
          <w:sz w:val="28"/>
          <w:szCs w:val="28"/>
          <w:highlight w:val="none"/>
          <w:lang w:val="en-US" w:eastAsia="zh-CN" w:bidi="ar-SA"/>
        </w:rPr>
        <w:t>2）传输网络</w:t>
      </w:r>
    </w:p>
    <w:p>
      <w:pPr>
        <w:pStyle w:val="2"/>
        <w:ind w:firstLine="560" w:firstLineChars="200"/>
        <w:rPr>
          <w:rFonts w:hint="eastAsia" w:ascii="仿宋_GB2312" w:hAnsi="Times New Roman" w:eastAsia="仿宋_GB2312" w:cs="Times New Roman"/>
          <w:b w:val="0"/>
          <w:bCs/>
          <w:color w:val="auto"/>
          <w:kern w:val="2"/>
          <w:sz w:val="28"/>
          <w:szCs w:val="28"/>
          <w:highlight w:val="none"/>
          <w:lang w:val="en-US" w:eastAsia="zh-CN" w:bidi="ar-SA"/>
        </w:rPr>
      </w:pPr>
      <w:r>
        <w:rPr>
          <w:rFonts w:hint="eastAsia" w:ascii="仿宋_GB2312" w:hAnsi="Times New Roman" w:eastAsia="仿宋_GB2312" w:cs="Times New Roman"/>
          <w:b w:val="0"/>
          <w:bCs/>
          <w:color w:val="auto"/>
          <w:kern w:val="2"/>
          <w:sz w:val="28"/>
          <w:szCs w:val="28"/>
          <w:highlight w:val="none"/>
          <w:lang w:val="en-US" w:eastAsia="zh-CN" w:bidi="ar-SA"/>
        </w:rPr>
        <w:t>本项目传输网络建设主要</w:t>
      </w:r>
      <w:r>
        <w:rPr>
          <w:rFonts w:hint="eastAsia" w:ascii="仿宋_GB2312" w:cs="Times New Roman"/>
          <w:b w:val="0"/>
          <w:bCs/>
          <w:color w:val="auto"/>
          <w:kern w:val="2"/>
          <w:sz w:val="28"/>
          <w:szCs w:val="28"/>
          <w:highlight w:val="none"/>
          <w:lang w:val="en-US" w:eastAsia="zh-CN" w:bidi="ar-SA"/>
        </w:rPr>
        <w:t>为</w:t>
      </w:r>
      <w:r>
        <w:rPr>
          <w:rFonts w:hint="eastAsia" w:ascii="仿宋_GB2312" w:hAnsi="Times New Roman" w:eastAsia="仿宋_GB2312" w:cs="Times New Roman"/>
          <w:b w:val="0"/>
          <w:bCs/>
          <w:color w:val="auto"/>
          <w:kern w:val="2"/>
          <w:sz w:val="28"/>
          <w:szCs w:val="28"/>
          <w:highlight w:val="none"/>
          <w:lang w:val="en-US" w:eastAsia="zh-CN" w:bidi="ar-SA"/>
        </w:rPr>
        <w:t>前端</w:t>
      </w:r>
      <w:r>
        <w:rPr>
          <w:rFonts w:hint="eastAsia" w:ascii="仿宋_GB2312" w:cs="Times New Roman"/>
          <w:b w:val="0"/>
          <w:bCs/>
          <w:color w:val="auto"/>
          <w:kern w:val="2"/>
          <w:sz w:val="28"/>
          <w:szCs w:val="28"/>
          <w:highlight w:val="none"/>
          <w:lang w:val="en-US" w:eastAsia="zh-CN" w:bidi="ar-SA"/>
        </w:rPr>
        <w:t>设备</w:t>
      </w:r>
      <w:r>
        <w:rPr>
          <w:rFonts w:hint="eastAsia" w:ascii="仿宋_GB2312" w:hAnsi="Times New Roman" w:eastAsia="仿宋_GB2312" w:cs="Times New Roman"/>
          <w:b w:val="0"/>
          <w:bCs/>
          <w:color w:val="auto"/>
          <w:kern w:val="2"/>
          <w:sz w:val="28"/>
          <w:szCs w:val="28"/>
          <w:highlight w:val="none"/>
          <w:lang w:val="en-US" w:eastAsia="zh-CN" w:bidi="ar-SA"/>
        </w:rPr>
        <w:t>到分公司中控室的传输线路。</w:t>
      </w:r>
    </w:p>
    <w:p>
      <w:pPr>
        <w:pStyle w:val="2"/>
        <w:ind w:firstLine="560" w:firstLineChars="200"/>
        <w:rPr>
          <w:rFonts w:hint="eastAsia" w:ascii="仿宋_GB2312" w:hAnsi="Times New Roman" w:eastAsia="仿宋_GB2312" w:cs="Times New Roman"/>
          <w:b w:val="0"/>
          <w:bCs/>
          <w:color w:val="auto"/>
          <w:kern w:val="2"/>
          <w:sz w:val="28"/>
          <w:szCs w:val="28"/>
          <w:highlight w:val="none"/>
          <w:lang w:val="en-US" w:eastAsia="zh-CN" w:bidi="ar-SA"/>
        </w:rPr>
      </w:pPr>
      <w:r>
        <w:rPr>
          <w:rFonts w:hint="eastAsia" w:ascii="仿宋_GB2312" w:hAnsi="Times New Roman" w:eastAsia="仿宋_GB2312" w:cs="Times New Roman"/>
          <w:b w:val="0"/>
          <w:bCs/>
          <w:color w:val="auto"/>
          <w:kern w:val="2"/>
          <w:sz w:val="28"/>
          <w:szCs w:val="28"/>
          <w:highlight w:val="none"/>
          <w:lang w:val="en-US" w:eastAsia="zh-CN" w:bidi="ar-SA"/>
        </w:rPr>
        <w:t>3）后端系统</w:t>
      </w:r>
    </w:p>
    <w:p>
      <w:pPr>
        <w:pStyle w:val="2"/>
        <w:ind w:firstLine="560" w:firstLineChars="200"/>
        <w:rPr>
          <w:rFonts w:hint="eastAsia" w:ascii="仿宋_GB2312" w:hAnsi="Times New Roman" w:eastAsia="仿宋_GB2312" w:cs="Times New Roman"/>
          <w:b w:val="0"/>
          <w:bCs/>
          <w:color w:val="auto"/>
          <w:kern w:val="2"/>
          <w:sz w:val="28"/>
          <w:szCs w:val="28"/>
          <w:highlight w:val="none"/>
          <w:lang w:val="en-US" w:eastAsia="zh-CN" w:bidi="ar-SA"/>
        </w:rPr>
      </w:pPr>
      <w:r>
        <w:rPr>
          <w:rFonts w:hint="eastAsia" w:ascii="仿宋_GB2312" w:cs="Times New Roman"/>
          <w:b w:val="0"/>
          <w:bCs/>
          <w:color w:val="auto"/>
          <w:kern w:val="2"/>
          <w:sz w:val="28"/>
          <w:szCs w:val="28"/>
          <w:highlight w:val="none"/>
          <w:lang w:val="en-US" w:eastAsia="zh-CN" w:bidi="ar-SA"/>
        </w:rPr>
        <w:t>并入厂区中控管理平台</w:t>
      </w:r>
      <w:r>
        <w:rPr>
          <w:rFonts w:hint="eastAsia" w:ascii="仿宋_GB2312" w:hAnsi="Times New Roman" w:eastAsia="仿宋_GB2312" w:cs="Times New Roman"/>
          <w:b w:val="0"/>
          <w:bCs/>
          <w:color w:val="auto"/>
          <w:kern w:val="2"/>
          <w:sz w:val="28"/>
          <w:szCs w:val="28"/>
          <w:highlight w:val="none"/>
          <w:lang w:val="en-US" w:eastAsia="zh-CN" w:bidi="ar-SA"/>
        </w:rPr>
        <w:t>、存储设备、服务器、交换机以及其它辅助设备的安装和调试，实现本项目新</w:t>
      </w:r>
      <w:r>
        <w:rPr>
          <w:rFonts w:hint="eastAsia" w:ascii="仿宋_GB2312" w:cs="Times New Roman"/>
          <w:b w:val="0"/>
          <w:bCs/>
          <w:color w:val="auto"/>
          <w:kern w:val="2"/>
          <w:sz w:val="28"/>
          <w:szCs w:val="28"/>
          <w:highlight w:val="none"/>
          <w:lang w:val="en-US" w:eastAsia="zh-CN" w:bidi="ar-SA"/>
        </w:rPr>
        <w:t>增</w:t>
      </w:r>
      <w:r>
        <w:rPr>
          <w:rFonts w:hint="eastAsia" w:ascii="仿宋_GB2312" w:hAnsi="Times New Roman" w:eastAsia="仿宋_GB2312" w:cs="Times New Roman"/>
          <w:b w:val="0"/>
          <w:bCs/>
          <w:color w:val="auto"/>
          <w:kern w:val="2"/>
          <w:sz w:val="28"/>
          <w:szCs w:val="28"/>
          <w:highlight w:val="none"/>
          <w:lang w:val="en-US" w:eastAsia="zh-CN" w:bidi="ar-SA"/>
        </w:rPr>
        <w:t>的</w:t>
      </w:r>
      <w:r>
        <w:rPr>
          <w:rFonts w:hint="eastAsia" w:ascii="仿宋_GB2312" w:cs="Times New Roman"/>
          <w:b w:val="0"/>
          <w:bCs/>
          <w:color w:val="auto"/>
          <w:kern w:val="2"/>
          <w:sz w:val="28"/>
          <w:szCs w:val="28"/>
          <w:highlight w:val="none"/>
          <w:lang w:val="en-US" w:eastAsia="zh-CN" w:bidi="ar-SA"/>
        </w:rPr>
        <w:t>人脸识别设备</w:t>
      </w:r>
      <w:r>
        <w:rPr>
          <w:rFonts w:hint="eastAsia" w:ascii="仿宋_GB2312" w:hAnsi="Times New Roman" w:eastAsia="仿宋_GB2312" w:cs="Times New Roman"/>
          <w:b w:val="0"/>
          <w:bCs/>
          <w:color w:val="auto"/>
          <w:kern w:val="2"/>
          <w:sz w:val="28"/>
          <w:szCs w:val="28"/>
          <w:highlight w:val="none"/>
          <w:lang w:val="en-US" w:eastAsia="zh-CN" w:bidi="ar-SA"/>
        </w:rPr>
        <w:t>接入</w:t>
      </w:r>
      <w:r>
        <w:rPr>
          <w:rFonts w:hint="eastAsia" w:ascii="仿宋_GB2312" w:cs="Times New Roman"/>
          <w:b w:val="0"/>
          <w:bCs/>
          <w:color w:val="auto"/>
          <w:kern w:val="2"/>
          <w:sz w:val="28"/>
          <w:szCs w:val="28"/>
          <w:highlight w:val="none"/>
          <w:lang w:val="en-US" w:eastAsia="zh-CN" w:bidi="ar-SA"/>
        </w:rPr>
        <w:t>中控系统</w:t>
      </w:r>
      <w:r>
        <w:rPr>
          <w:rFonts w:hint="eastAsia" w:ascii="仿宋_GB2312" w:hAnsi="Times New Roman" w:eastAsia="仿宋_GB2312" w:cs="Times New Roman"/>
          <w:b w:val="0"/>
          <w:bCs/>
          <w:color w:val="auto"/>
          <w:kern w:val="2"/>
          <w:sz w:val="28"/>
          <w:szCs w:val="28"/>
          <w:highlight w:val="none"/>
          <w:lang w:val="en-US" w:eastAsia="zh-CN" w:bidi="ar-SA"/>
        </w:rPr>
        <w:t>，</w:t>
      </w:r>
      <w:r>
        <w:rPr>
          <w:rFonts w:hint="eastAsia" w:ascii="仿宋_GB2312" w:cs="Times New Roman"/>
          <w:b w:val="0"/>
          <w:bCs/>
          <w:color w:val="auto"/>
          <w:kern w:val="2"/>
          <w:sz w:val="28"/>
          <w:szCs w:val="28"/>
          <w:highlight w:val="none"/>
          <w:lang w:val="en-US" w:eastAsia="zh-CN" w:bidi="ar-SA"/>
        </w:rPr>
        <w:t>并对10s内未正常关闭的门有预警提示，</w:t>
      </w:r>
      <w:r>
        <w:rPr>
          <w:rFonts w:hint="eastAsia" w:ascii="仿宋_GB2312" w:hAnsi="Times New Roman" w:eastAsia="仿宋_GB2312" w:cs="Times New Roman"/>
          <w:b w:val="0"/>
          <w:bCs/>
          <w:color w:val="auto"/>
          <w:kern w:val="2"/>
          <w:sz w:val="28"/>
          <w:szCs w:val="28"/>
          <w:highlight w:val="none"/>
          <w:lang w:val="en-US" w:eastAsia="zh-CN" w:bidi="ar-SA"/>
        </w:rPr>
        <w:t>实现</w:t>
      </w:r>
      <w:r>
        <w:rPr>
          <w:rFonts w:hint="eastAsia" w:ascii="仿宋_GB2312" w:cs="Times New Roman"/>
          <w:b w:val="0"/>
          <w:bCs/>
          <w:color w:val="auto"/>
          <w:kern w:val="2"/>
          <w:sz w:val="28"/>
          <w:szCs w:val="28"/>
          <w:highlight w:val="none"/>
          <w:lang w:val="en-US" w:eastAsia="zh-CN" w:bidi="ar-SA"/>
        </w:rPr>
        <w:t>安防的</w:t>
      </w:r>
      <w:r>
        <w:rPr>
          <w:rFonts w:hint="eastAsia" w:ascii="仿宋_GB2312" w:hAnsi="Times New Roman" w:eastAsia="仿宋_GB2312" w:cs="Times New Roman"/>
          <w:b w:val="0"/>
          <w:bCs/>
          <w:color w:val="auto"/>
          <w:kern w:val="2"/>
          <w:sz w:val="28"/>
          <w:szCs w:val="28"/>
          <w:highlight w:val="none"/>
          <w:lang w:val="en-US" w:eastAsia="zh-CN" w:bidi="ar-SA"/>
        </w:rPr>
        <w:t>统一管理。</w:t>
      </w:r>
    </w:p>
    <w:p>
      <w:pPr>
        <w:numPr>
          <w:ilvl w:val="0"/>
          <w:numId w:val="0"/>
        </w:numPr>
        <w:spacing w:line="360" w:lineRule="auto"/>
        <w:ind w:firstLine="210" w:firstLineChars="100"/>
        <w:jc w:val="center"/>
        <w:rPr>
          <w:rFonts w:hint="eastAsia" w:hAnsi="仿宋_GB2312" w:cs="仿宋_GB2312"/>
          <w:lang w:val="en-US" w:eastAsia="zh-CN"/>
        </w:rPr>
      </w:pPr>
    </w:p>
    <w:p>
      <w:pPr>
        <w:numPr>
          <w:ilvl w:val="0"/>
          <w:numId w:val="0"/>
        </w:numPr>
        <w:spacing w:line="360" w:lineRule="auto"/>
        <w:ind w:firstLine="560" w:firstLineChars="200"/>
        <w:jc w:val="center"/>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围栏，样式见下图：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hAnsi="仿宋_GB2312" w:cs="仿宋_GB2312"/>
          <w:lang w:val="en-US" w:eastAsia="zh-CN"/>
        </w:rPr>
      </w:pPr>
      <w:r>
        <w:drawing>
          <wp:inline distT="0" distB="0" distL="114300" distR="114300">
            <wp:extent cx="4172585" cy="2968625"/>
            <wp:effectExtent l="0" t="0" r="18415" b="317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9"/>
                    <a:stretch>
                      <a:fillRect/>
                    </a:stretch>
                  </pic:blipFill>
                  <pic:spPr>
                    <a:xfrm>
                      <a:off x="0" y="0"/>
                      <a:ext cx="4172585" cy="29686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both"/>
        <w:textAlignment w:val="auto"/>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东、西门道闸参照下图：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hAnsi="仿宋_GB2312" w:cs="仿宋_GB2312"/>
          <w:lang w:val="en-US" w:eastAsia="zh-CN"/>
        </w:rPr>
      </w:pPr>
      <w:r>
        <w:rPr>
          <w:rFonts w:hint="eastAsia"/>
          <w:lang w:val="en-US" w:eastAsia="zh-CN"/>
        </w:rPr>
        <w:drawing>
          <wp:inline distT="0" distB="0" distL="114300" distR="114300">
            <wp:extent cx="5465445" cy="2601595"/>
            <wp:effectExtent l="0" t="0" r="1905" b="8255"/>
            <wp:docPr id="10" name="图片 10" descr="426636c5e9e62164f2228870b9b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6636c5e9e62164f2228870b9b8200"/>
                    <pic:cNvPicPr>
                      <a:picLocks noChangeAspect="1"/>
                    </pic:cNvPicPr>
                  </pic:nvPicPr>
                  <pic:blipFill>
                    <a:blip r:embed="rId20"/>
                    <a:stretch>
                      <a:fillRect/>
                    </a:stretch>
                  </pic:blipFill>
                  <pic:spPr>
                    <a:xfrm>
                      <a:off x="0" y="0"/>
                      <a:ext cx="5465445" cy="26015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jc w:val="both"/>
        <w:textAlignment w:val="auto"/>
        <w:rPr>
          <w:rFonts w:hint="eastAsia" w:ascii="仿宋_GB2312" w:hAnsi="仿宋_GB2312" w:eastAsia="仿宋_GB2312" w:cs="仿宋_GB2312"/>
          <w:sz w:val="28"/>
          <w:szCs w:val="32"/>
          <w:lang w:val="en-US" w:eastAsia="zh-CN"/>
        </w:rPr>
      </w:pPr>
      <w:r>
        <w:rPr>
          <w:rFonts w:hint="eastAsia" w:ascii="仿宋_GB2312" w:hAnsi="仿宋_GB2312" w:eastAsia="仿宋_GB2312" w:cs="仿宋_GB2312"/>
          <w:sz w:val="28"/>
          <w:szCs w:val="32"/>
          <w:lang w:val="en-US" w:eastAsia="zh-CN"/>
        </w:rPr>
        <w:t>智能人行道闸参照下图（材质：304不锈钢）：</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2614295" cy="2125980"/>
            <wp:effectExtent l="0" t="0" r="14605" b="7620"/>
            <wp:docPr id="49" name="图片 49" descr="微信图片_2020102409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01024093532"/>
                    <pic:cNvPicPr>
                      <a:picLocks noChangeAspect="1"/>
                    </pic:cNvPicPr>
                  </pic:nvPicPr>
                  <pic:blipFill>
                    <a:blip r:embed="rId21"/>
                    <a:stretch>
                      <a:fillRect/>
                    </a:stretch>
                  </pic:blipFill>
                  <pic:spPr>
                    <a:xfrm>
                      <a:off x="0" y="0"/>
                      <a:ext cx="2614295" cy="2125980"/>
                    </a:xfrm>
                    <a:prstGeom prst="rect">
                      <a:avLst/>
                    </a:prstGeom>
                  </pic:spPr>
                </pic:pic>
              </a:graphicData>
            </a:graphic>
          </wp:inline>
        </w:drawing>
      </w:r>
    </w:p>
    <w:p>
      <w:pPr>
        <w:numPr>
          <w:ilvl w:val="0"/>
          <w:numId w:val="4"/>
        </w:numPr>
        <w:spacing w:line="360" w:lineRule="auto"/>
        <w:ind w:left="1360" w:leftChars="0" w:hanging="720" w:firstLineChars="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 xml:space="preserve">计划工期 </w:t>
      </w:r>
    </w:p>
    <w:p>
      <w:pPr>
        <w:numPr>
          <w:ilvl w:val="0"/>
          <w:numId w:val="0"/>
        </w:num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该项目</w:t>
      </w:r>
      <w:r>
        <w:rPr>
          <w:rFonts w:hint="eastAsia" w:ascii="仿宋_GB2312" w:hAnsi="仿宋_GB2312" w:eastAsia="仿宋_GB2312" w:cs="仿宋_GB2312"/>
          <w:sz w:val="28"/>
          <w:szCs w:val="28"/>
          <w:lang w:val="en-US" w:eastAsia="zh-CN"/>
        </w:rPr>
        <w:t>计划工期为60个工作日</w:t>
      </w:r>
      <w:r>
        <w:rPr>
          <w:rFonts w:hint="eastAsia" w:ascii="仿宋_GB2312" w:hAnsi="仿宋_GB2312" w:eastAsia="仿宋_GB2312" w:cs="仿宋_GB2312"/>
          <w:sz w:val="28"/>
          <w:szCs w:val="28"/>
        </w:rPr>
        <w:t xml:space="preserve"> 。</w:t>
      </w:r>
    </w:p>
    <w:p>
      <w:pPr>
        <w:numPr>
          <w:ilvl w:val="0"/>
          <w:numId w:val="4"/>
        </w:numPr>
        <w:spacing w:line="360" w:lineRule="auto"/>
        <w:ind w:left="1360" w:leftChars="0" w:hanging="720" w:firstLineChars="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项目其他要求</w:t>
      </w:r>
    </w:p>
    <w:p>
      <w:pPr>
        <w:numPr>
          <w:ilvl w:val="0"/>
          <w:numId w:val="0"/>
        </w:numPr>
        <w:ind w:firstLine="560" w:firstLineChars="200"/>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1.主要材料使用要求</w:t>
      </w:r>
      <w:r>
        <w:rPr>
          <w:rFonts w:hint="eastAsia" w:ascii="仿宋_GB2312" w:hAnsi="仿宋_GB2312" w:eastAsia="仿宋_GB2312" w:cs="仿宋_GB2312"/>
          <w:sz w:val="28"/>
          <w:szCs w:val="28"/>
          <w:lang w:eastAsia="zh-CN"/>
        </w:rPr>
        <w:t>：</w:t>
      </w:r>
      <w:r>
        <w:rPr>
          <w:rFonts w:hint="default" w:ascii="仿宋_GB2312" w:hAnsi="仿宋_GB2312" w:eastAsia="仿宋_GB2312" w:cs="仿宋_GB2312"/>
          <w:sz w:val="28"/>
          <w:szCs w:val="28"/>
        </w:rPr>
        <w:t>货物必须是全新、质量合格的产品，需提供原厂说明书。</w:t>
      </w:r>
    </w:p>
    <w:p>
      <w:pPr>
        <w:numPr>
          <w:ilvl w:val="0"/>
          <w:numId w:val="0"/>
        </w:numPr>
        <w:ind w:firstLine="560" w:firstLineChars="200"/>
        <w:rPr>
          <w:rFonts w:hint="default" w:ascii="仿宋_GB2312" w:hAnsi="仿宋_GB2312" w:eastAsia="仿宋_GB2312" w:cs="仿宋_GB2312"/>
          <w:sz w:val="28"/>
          <w:szCs w:val="28"/>
        </w:rPr>
      </w:pPr>
      <w:r>
        <w:rPr>
          <w:rFonts w:hint="default" w:ascii="仿宋_GB2312" w:hAnsi="仿宋_GB2312" w:eastAsia="仿宋_GB2312" w:cs="仿宋_GB2312"/>
          <w:sz w:val="28"/>
          <w:szCs w:val="28"/>
        </w:rPr>
        <w:t>2.在质保期（自调试验收合格之日起1年）内如有质量问题或未能适配原有设备时，必须24小时内立即响应。</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b/>
          <w:bCs/>
          <w:sz w:val="28"/>
          <w:szCs w:val="28"/>
          <w:lang w:val="en-US" w:eastAsia="zh-CN"/>
        </w:rPr>
        <w:sectPr>
          <w:footerReference r:id="rId7" w:type="default"/>
          <w:footerReference r:id="rId8" w:type="even"/>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32"/>
          <w:szCs w:val="32"/>
          <w:lang w:val="en-US" w:eastAsia="zh-CN"/>
        </w:rPr>
        <w:t xml:space="preserve"> </w:t>
      </w:r>
    </w:p>
    <w:tbl>
      <w:tblPr>
        <w:tblStyle w:val="25"/>
        <w:tblpPr w:leftFromText="180" w:rightFromText="180" w:vertAnchor="text" w:horzAnchor="page" w:tblpX="501" w:tblpY="731"/>
        <w:tblOverlap w:val="never"/>
        <w:tblW w:w="153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1"/>
        <w:gridCol w:w="1552"/>
        <w:gridCol w:w="2328"/>
        <w:gridCol w:w="2025"/>
        <w:gridCol w:w="1111"/>
        <w:gridCol w:w="1380"/>
        <w:gridCol w:w="794"/>
        <w:gridCol w:w="5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5385" w:type="dxa"/>
            <w:gridSpan w:val="8"/>
            <w:tcBorders>
              <w:top w:val="single" w:color="000000" w:sz="4" w:space="0"/>
              <w:left w:val="single" w:color="000000" w:sz="4" w:space="0"/>
              <w:bottom w:val="single" w:color="000000" w:sz="4" w:space="0"/>
              <w:right w:val="single" w:color="000000" w:sz="4" w:space="0"/>
            </w:tcBorders>
            <w:shd w:val="clear" w:color="auto" w:fill="FCE4D6"/>
            <w:noWrap/>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i w:val="0"/>
                <w:iCs w:val="0"/>
                <w:color w:val="000000"/>
                <w:sz w:val="24"/>
                <w:szCs w:val="24"/>
                <w:u w:val="none"/>
              </w:rPr>
            </w:pPr>
            <w:r>
              <w:rPr>
                <w:rFonts w:hint="eastAsia" w:ascii="方正小标宋简体" w:hAnsi="方正小标宋简体" w:eastAsia="方正小标宋简体" w:cs="方正小标宋简体"/>
                <w:b/>
                <w:bCs/>
                <w:sz w:val="32"/>
                <w:szCs w:val="32"/>
                <w:lang w:val="en-US" w:eastAsia="zh-CN"/>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一</w:t>
            </w:r>
          </w:p>
        </w:tc>
        <w:tc>
          <w:tcPr>
            <w:tcW w:w="14344" w:type="dxa"/>
            <w:gridSpan w:val="7"/>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车牌识别设备（进出口识别）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型号</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规格参数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图片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车辆检测系统前端</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YX-706</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高清识别一体机（车牌专用）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300万高清</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17145</wp:posOffset>
                  </wp:positionH>
                  <wp:positionV relativeFrom="paragraph">
                    <wp:posOffset>349250</wp:posOffset>
                  </wp:positionV>
                  <wp:extent cx="755650" cy="1330325"/>
                  <wp:effectExtent l="0" t="0" r="6350" b="3175"/>
                  <wp:wrapNone/>
                  <wp:docPr id="46" name="图片_2"/>
                  <wp:cNvGraphicFramePr/>
                  <a:graphic xmlns:a="http://schemas.openxmlformats.org/drawingml/2006/main">
                    <a:graphicData uri="http://schemas.openxmlformats.org/drawingml/2006/picture">
                      <pic:pic xmlns:pic="http://schemas.openxmlformats.org/drawingml/2006/picture">
                        <pic:nvPicPr>
                          <pic:cNvPr id="46" name="图片_2"/>
                          <pic:cNvPicPr/>
                        </pic:nvPicPr>
                        <pic:blipFill>
                          <a:blip r:embed="rId22"/>
                          <a:stretch>
                            <a:fillRect/>
                          </a:stretch>
                        </pic:blipFill>
                        <pic:spPr>
                          <a:xfrm>
                            <a:off x="0" y="0"/>
                            <a:ext cx="755650" cy="133032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1、300万高清像素，6米以内道宽均可识别；自动对焦，让现场的安装调试更方便快捷；                                                                                                                                                 2、无人值守，支持月卡固定车、、新能源、港澳车、临时车进出场；                                                                                                                                                                            3、微信/支付宝/银联/二维码支付；                                                                                                                                                                                              4、无感支付，绑定银行卡，进出场无需扫码；                                                                                                                                                                               5、车辆信息财务报表一目了然；                                                                                                                                                                                             6、进出场优惠券设置，酒店/餐馆常用功能。                                                                                                                                                                             7、固定用户/临时用户均可脱机收费；全系列车牌均可识别，极致优化的嵌入式车牌识别算法：综合识别率高于99.8%；                                                                                                                                                         8、采用国际顶尖半导体TI最高性能多核平台，性能可靠、稳定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摄像机立柱（含万向节）</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2.3MM加厚冷轧板</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补光灯（车牌专用）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12颗大功率LED灯</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安装配件</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一批</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一体车牌显示屏</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4行16字彩色</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车牌识别核心主板</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八层进口主板元器件</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高品质工业电源</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12V2A</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空气开关</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漏电保护</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SPSDZ6S801</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主板</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八层进口元器件主板</w:t>
            </w:r>
          </w:p>
        </w:tc>
        <w:tc>
          <w:tcPr>
            <w:tcW w:w="111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10795</wp:posOffset>
                  </wp:positionH>
                  <wp:positionV relativeFrom="paragraph">
                    <wp:posOffset>231775</wp:posOffset>
                  </wp:positionV>
                  <wp:extent cx="817880" cy="426085"/>
                  <wp:effectExtent l="0" t="0" r="1270" b="12065"/>
                  <wp:wrapNone/>
                  <wp:docPr id="41" name="图片_27"/>
                  <wp:cNvGraphicFramePr/>
                  <a:graphic xmlns:a="http://schemas.openxmlformats.org/drawingml/2006/main">
                    <a:graphicData uri="http://schemas.openxmlformats.org/drawingml/2006/picture">
                      <pic:pic xmlns:pic="http://schemas.openxmlformats.org/drawingml/2006/picture">
                        <pic:nvPicPr>
                          <pic:cNvPr id="41" name="图片_27"/>
                          <pic:cNvPicPr/>
                        </pic:nvPicPr>
                        <pic:blipFill>
                          <a:blip r:embed="rId23"/>
                          <a:stretch>
                            <a:fillRect/>
                          </a:stretch>
                        </pic:blipFill>
                        <pic:spPr>
                          <a:xfrm>
                            <a:off x="0" y="0"/>
                            <a:ext cx="817880" cy="42608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机芯</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150W纯铜电机</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单杆长4500mm，9米对开，定制广告格栅，电源220V，电机24V/150W直流变频，齿轮机芯;</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含机箱约4020mm，页片90*750mm，机箱尺寸1240*460*330，灯箱尺寸350*1000;；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主机材质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1.2mm冷轧板</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杆子类型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Fonts w:hint="eastAsia" w:ascii="微软雅黑" w:hAnsi="微软雅黑" w:eastAsia="微软雅黑" w:cs="微软雅黑"/>
                <w:b/>
                <w:bCs/>
                <w:i w:val="0"/>
                <w:iCs w:val="0"/>
                <w:color w:val="FF0000"/>
                <w:kern w:val="0"/>
                <w:sz w:val="20"/>
                <w:szCs w:val="20"/>
                <w:u w:val="none"/>
                <w:lang w:val="en-US" w:eastAsia="zh-CN" w:bidi="ar"/>
              </w:rPr>
              <w:t>伸缩杆</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长度</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Style w:val="54"/>
                <w:lang w:val="en-US" w:eastAsia="zh-CN" w:bidi="ar"/>
              </w:rPr>
              <w:t>4.5米</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SPSDZ6S801</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主板</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八层进口元器件主板</w:t>
            </w:r>
          </w:p>
        </w:tc>
        <w:tc>
          <w:tcPr>
            <w:tcW w:w="111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10795</wp:posOffset>
                  </wp:positionH>
                  <wp:positionV relativeFrom="paragraph">
                    <wp:posOffset>332740</wp:posOffset>
                  </wp:positionV>
                  <wp:extent cx="817880" cy="425450"/>
                  <wp:effectExtent l="0" t="0" r="1270" b="12700"/>
                  <wp:wrapNone/>
                  <wp:docPr id="47" name="图片_28"/>
                  <wp:cNvGraphicFramePr/>
                  <a:graphic xmlns:a="http://schemas.openxmlformats.org/drawingml/2006/main">
                    <a:graphicData uri="http://schemas.openxmlformats.org/drawingml/2006/picture">
                      <pic:pic xmlns:pic="http://schemas.openxmlformats.org/drawingml/2006/picture">
                        <pic:nvPicPr>
                          <pic:cNvPr id="47" name="图片_28"/>
                          <pic:cNvPicPr/>
                        </pic:nvPicPr>
                        <pic:blipFill>
                          <a:blip r:embed="rId23"/>
                          <a:stretch>
                            <a:fillRect/>
                          </a:stretch>
                        </pic:blipFill>
                        <pic:spPr>
                          <a:xfrm>
                            <a:off x="0" y="0"/>
                            <a:ext cx="817880" cy="425450"/>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东门通道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机芯</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150W纯铜电机</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单杆长4300mm，8.6米对开，定制广告格栅，电源220V，电机24V/150W直流变频，齿轮机芯;</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含机箱约4020mm，页片90*750mm，机箱尺寸1240*460*330，灯箱尺寸350*1000;；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主机材质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1.2mm冷轧板</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杆子类型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Fonts w:hint="eastAsia" w:ascii="微软雅黑" w:hAnsi="微软雅黑" w:eastAsia="微软雅黑" w:cs="微软雅黑"/>
                <w:b/>
                <w:bCs/>
                <w:i w:val="0"/>
                <w:iCs w:val="0"/>
                <w:color w:val="FF0000"/>
                <w:kern w:val="0"/>
                <w:sz w:val="20"/>
                <w:szCs w:val="20"/>
                <w:u w:val="none"/>
                <w:lang w:val="en-US" w:eastAsia="zh-CN" w:bidi="ar"/>
              </w:rPr>
              <w:t>伸缩杆</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长度</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Style w:val="54"/>
                <w:lang w:val="en-US" w:eastAsia="zh-CN" w:bidi="ar"/>
              </w:rPr>
              <w:t>4.3米</w:t>
            </w:r>
          </w:p>
        </w:tc>
        <w:tc>
          <w:tcPr>
            <w:tcW w:w="111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SPSDZ6S801</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主板</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八层进口元器件主板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33020</wp:posOffset>
                  </wp:positionH>
                  <wp:positionV relativeFrom="paragraph">
                    <wp:posOffset>265430</wp:posOffset>
                  </wp:positionV>
                  <wp:extent cx="817880" cy="426085"/>
                  <wp:effectExtent l="0" t="0" r="1270" b="12065"/>
                  <wp:wrapNone/>
                  <wp:docPr id="48" name="图片_29"/>
                  <wp:cNvGraphicFramePr/>
                  <a:graphic xmlns:a="http://schemas.openxmlformats.org/drawingml/2006/main">
                    <a:graphicData uri="http://schemas.openxmlformats.org/drawingml/2006/picture">
                      <pic:pic xmlns:pic="http://schemas.openxmlformats.org/drawingml/2006/picture">
                        <pic:nvPicPr>
                          <pic:cNvPr id="48" name="图片_29"/>
                          <pic:cNvPicPr/>
                        </pic:nvPicPr>
                        <pic:blipFill>
                          <a:blip r:embed="rId23"/>
                          <a:stretch>
                            <a:fillRect/>
                          </a:stretch>
                        </pic:blipFill>
                        <pic:spPr>
                          <a:xfrm>
                            <a:off x="0" y="0"/>
                            <a:ext cx="817880" cy="42608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西门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机芯</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150W纯铜电机</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单杆长3500mm，7米对开，定制广告格栅，电源220V，电机24V/150W直流变频，齿轮机芯;</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含机箱约4020mm，页片90*750mm，机箱尺寸1240*460*330，灯箱尺寸350*1000;；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主机材质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1.2mm冷轧板</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杆子类型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Fonts w:hint="eastAsia" w:ascii="微软雅黑" w:hAnsi="微软雅黑" w:eastAsia="微软雅黑" w:cs="微软雅黑"/>
                <w:b/>
                <w:bCs/>
                <w:i w:val="0"/>
                <w:iCs w:val="0"/>
                <w:color w:val="FF0000"/>
                <w:kern w:val="0"/>
                <w:sz w:val="20"/>
                <w:szCs w:val="20"/>
                <w:u w:val="none"/>
                <w:lang w:val="en-US" w:eastAsia="zh-CN" w:bidi="ar"/>
              </w:rPr>
              <w:t>伸缩杆</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长度</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Style w:val="54"/>
                <w:lang w:val="en-US" w:eastAsia="zh-CN" w:bidi="ar"/>
              </w:rPr>
              <w:t>3.5米</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SPSDZ6S801</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主板</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八层进口元器件主板</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wp:posOffset>
                  </wp:positionH>
                  <wp:positionV relativeFrom="paragraph">
                    <wp:posOffset>399415</wp:posOffset>
                  </wp:positionV>
                  <wp:extent cx="819785" cy="429895"/>
                  <wp:effectExtent l="0" t="0" r="18415" b="8255"/>
                  <wp:wrapNone/>
                  <wp:docPr id="50" name="图片_2_SpCnt_1"/>
                  <wp:cNvGraphicFramePr/>
                  <a:graphic xmlns:a="http://schemas.openxmlformats.org/drawingml/2006/main">
                    <a:graphicData uri="http://schemas.openxmlformats.org/drawingml/2006/picture">
                      <pic:pic xmlns:pic="http://schemas.openxmlformats.org/drawingml/2006/picture">
                        <pic:nvPicPr>
                          <pic:cNvPr id="50" name="图片_2_SpCnt_1"/>
                          <pic:cNvPicPr/>
                        </pic:nvPicPr>
                        <pic:blipFill>
                          <a:blip r:embed="rId24"/>
                          <a:stretch>
                            <a:fillRect/>
                          </a:stretch>
                        </pic:blipFill>
                        <pic:spPr>
                          <a:xfrm>
                            <a:off x="0" y="0"/>
                            <a:ext cx="819785" cy="42989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后门通道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机芯</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150W纯铜电机</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单杆长4500mm，单出单入，定制广告格栅，电源220V，电机24V/150W直流变频，齿轮机芯;</w:t>
            </w:r>
            <w:r>
              <w:rPr>
                <w:rFonts w:hint="eastAsia" w:ascii="微软雅黑" w:hAnsi="微软雅黑" w:eastAsia="微软雅黑" w:cs="微软雅黑"/>
                <w:i w:val="0"/>
                <w:iCs w:val="0"/>
                <w:color w:val="000000"/>
                <w:kern w:val="0"/>
                <w:sz w:val="16"/>
                <w:szCs w:val="16"/>
                <w:u w:val="none"/>
                <w:lang w:val="en-US" w:eastAsia="zh-CN" w:bidi="ar"/>
              </w:rPr>
              <w:br w:type="textWrapping"/>
            </w:r>
            <w:r>
              <w:rPr>
                <w:rFonts w:hint="eastAsia" w:ascii="微软雅黑" w:hAnsi="微软雅黑" w:eastAsia="微软雅黑" w:cs="微软雅黑"/>
                <w:i w:val="0"/>
                <w:iCs w:val="0"/>
                <w:color w:val="000000"/>
                <w:kern w:val="0"/>
                <w:sz w:val="16"/>
                <w:szCs w:val="16"/>
                <w:u w:val="none"/>
                <w:lang w:val="en-US" w:eastAsia="zh-CN" w:bidi="ar"/>
              </w:rPr>
              <w:t>含机箱约4020mm，页片90*750mm，机箱尺寸1240*460*330，灯箱尺寸350*1000;；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主机材质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1.2mm冷轧板</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杆子类型</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Fonts w:hint="eastAsia" w:ascii="微软雅黑" w:hAnsi="微软雅黑" w:eastAsia="微软雅黑" w:cs="微软雅黑"/>
                <w:b/>
                <w:bCs/>
                <w:i w:val="0"/>
                <w:iCs w:val="0"/>
                <w:color w:val="FF0000"/>
                <w:kern w:val="0"/>
                <w:sz w:val="20"/>
                <w:szCs w:val="20"/>
                <w:u w:val="none"/>
                <w:lang w:val="en-US" w:eastAsia="zh-CN" w:bidi="ar"/>
              </w:rPr>
              <w:t>伸缩杆</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长度</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0"/>
                <w:szCs w:val="20"/>
                <w:u w:val="none"/>
              </w:rPr>
            </w:pPr>
            <w:r>
              <w:rPr>
                <w:rStyle w:val="54"/>
                <w:lang w:val="en-US" w:eastAsia="zh-CN" w:bidi="ar"/>
              </w:rPr>
              <w:t>4.8米</w:t>
            </w: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门禁系统</w:t>
            </w:r>
          </w:p>
        </w:tc>
        <w:tc>
          <w:tcPr>
            <w:tcW w:w="232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人脸识别</w:t>
            </w:r>
          </w:p>
        </w:tc>
        <w:tc>
          <w:tcPr>
            <w:tcW w:w="2025" w:type="dxa"/>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78105</wp:posOffset>
                  </wp:positionH>
                  <wp:positionV relativeFrom="paragraph">
                    <wp:posOffset>186055</wp:posOffset>
                  </wp:positionV>
                  <wp:extent cx="695960" cy="614045"/>
                  <wp:effectExtent l="0" t="0" r="8890" b="14605"/>
                  <wp:wrapNone/>
                  <wp:docPr id="42" name="图片_30"/>
                  <wp:cNvGraphicFramePr/>
                  <a:graphic xmlns:a="http://schemas.openxmlformats.org/drawingml/2006/main">
                    <a:graphicData uri="http://schemas.openxmlformats.org/drawingml/2006/picture">
                      <pic:pic xmlns:pic="http://schemas.openxmlformats.org/drawingml/2006/picture">
                        <pic:nvPicPr>
                          <pic:cNvPr id="42" name="图片_30"/>
                          <pic:cNvPicPr/>
                        </pic:nvPicPr>
                        <pic:blipFill>
                          <a:blip r:embed="rId25"/>
                          <a:stretch>
                            <a:fillRect/>
                          </a:stretch>
                        </pic:blipFill>
                        <pic:spPr>
                          <a:xfrm>
                            <a:off x="0" y="0"/>
                            <a:ext cx="695960" cy="614045"/>
                          </a:xfrm>
                          <a:prstGeom prst="rect">
                            <a:avLst/>
                          </a:prstGeom>
                          <a:noFill/>
                          <a:ln>
                            <a:noFill/>
                          </a:ln>
                        </pic:spPr>
                      </pic:pic>
                    </a:graphicData>
                  </a:graphic>
                </wp:anchor>
              </w:drawing>
            </w:r>
          </w:p>
        </w:tc>
        <w:tc>
          <w:tcPr>
            <w:tcW w:w="794"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东门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c>
          <w:tcPr>
            <w:tcW w:w="794"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高度1.5米，掩门开启，直流有刷电机，防尾随，防闯入，双重防夹，国标304不锈钢外箱厚度1.5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门禁系统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人脸识别</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标准5对红外</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62230</wp:posOffset>
                  </wp:positionH>
                  <wp:positionV relativeFrom="paragraph">
                    <wp:posOffset>92710</wp:posOffset>
                  </wp:positionV>
                  <wp:extent cx="695960" cy="610870"/>
                  <wp:effectExtent l="0" t="0" r="8890" b="17780"/>
                  <wp:wrapNone/>
                  <wp:docPr id="43" name="图片_31"/>
                  <wp:cNvGraphicFramePr/>
                  <a:graphic xmlns:a="http://schemas.openxmlformats.org/drawingml/2006/main">
                    <a:graphicData uri="http://schemas.openxmlformats.org/drawingml/2006/picture">
                      <pic:pic xmlns:pic="http://schemas.openxmlformats.org/drawingml/2006/picture">
                        <pic:nvPicPr>
                          <pic:cNvPr id="43" name="图片_31"/>
                          <pic:cNvPicPr/>
                        </pic:nvPicPr>
                        <pic:blipFill>
                          <a:blip r:embed="rId25"/>
                          <a:stretch>
                            <a:fillRect/>
                          </a:stretch>
                        </pic:blipFill>
                        <pic:spPr>
                          <a:xfrm>
                            <a:off x="0" y="0"/>
                            <a:ext cx="695960" cy="610870"/>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东门通道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高度1.5米，掩门开启，直流有刷电机，防尾随，防闯入，双重防夹，国标304不锈钢外箱厚度1.5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门禁系统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人脸识别</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标准5对红外</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8255</wp:posOffset>
                  </wp:positionH>
                  <wp:positionV relativeFrom="paragraph">
                    <wp:posOffset>294005</wp:posOffset>
                  </wp:positionV>
                  <wp:extent cx="695960" cy="613410"/>
                  <wp:effectExtent l="0" t="0" r="8890" b="15240"/>
                  <wp:wrapNone/>
                  <wp:docPr id="44" name="图片_32"/>
                  <wp:cNvGraphicFramePr/>
                  <a:graphic xmlns:a="http://schemas.openxmlformats.org/drawingml/2006/main">
                    <a:graphicData uri="http://schemas.openxmlformats.org/drawingml/2006/picture">
                      <pic:pic xmlns:pic="http://schemas.openxmlformats.org/drawingml/2006/picture">
                        <pic:nvPicPr>
                          <pic:cNvPr id="44" name="图片_32"/>
                          <pic:cNvPicPr/>
                        </pic:nvPicPr>
                        <pic:blipFill>
                          <a:blip r:embed="rId25"/>
                          <a:stretch>
                            <a:fillRect/>
                          </a:stretch>
                        </pic:blipFill>
                        <pic:spPr>
                          <a:xfrm>
                            <a:off x="0" y="0"/>
                            <a:ext cx="695960" cy="613410"/>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西门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高度1.5米，掩门开启，直流有刷电机，防尾随，防闯入，双重防夹，国标304不锈钢外箱厚度1.5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门禁系统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人脸识别</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标准5对红外</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-10795</wp:posOffset>
                  </wp:positionH>
                  <wp:positionV relativeFrom="paragraph">
                    <wp:posOffset>160655</wp:posOffset>
                  </wp:positionV>
                  <wp:extent cx="695960" cy="614045"/>
                  <wp:effectExtent l="0" t="0" r="8890" b="14605"/>
                  <wp:wrapNone/>
                  <wp:docPr id="45" name="图片_33"/>
                  <wp:cNvGraphicFramePr/>
                  <a:graphic xmlns:a="http://schemas.openxmlformats.org/drawingml/2006/main">
                    <a:graphicData uri="http://schemas.openxmlformats.org/drawingml/2006/picture">
                      <pic:pic xmlns:pic="http://schemas.openxmlformats.org/drawingml/2006/picture">
                        <pic:nvPicPr>
                          <pic:cNvPr id="45" name="图片_33"/>
                          <pic:cNvPicPr/>
                        </pic:nvPicPr>
                        <pic:blipFill>
                          <a:blip r:embed="rId25"/>
                          <a:stretch>
                            <a:fillRect/>
                          </a:stretch>
                        </pic:blipFill>
                        <pic:spPr>
                          <a:xfrm>
                            <a:off x="0" y="0"/>
                            <a:ext cx="695960" cy="61404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后门通道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高度1.5米，掩门开启，直流有刷电机，防尾随，防闯入，双重防夹，国标304不锈钢外箱厚度1.5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1"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门禁系统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人脸识别</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标准5对红外</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22860</wp:posOffset>
                  </wp:positionH>
                  <wp:positionV relativeFrom="paragraph">
                    <wp:posOffset>-4445</wp:posOffset>
                  </wp:positionV>
                  <wp:extent cx="695960" cy="614045"/>
                  <wp:effectExtent l="0" t="0" r="8890" b="14605"/>
                  <wp:wrapNone/>
                  <wp:docPr id="52" name="图片_15"/>
                  <wp:cNvGraphicFramePr/>
                  <a:graphic xmlns:a="http://schemas.openxmlformats.org/drawingml/2006/main">
                    <a:graphicData uri="http://schemas.openxmlformats.org/drawingml/2006/picture">
                      <pic:pic xmlns:pic="http://schemas.openxmlformats.org/drawingml/2006/picture">
                        <pic:nvPicPr>
                          <pic:cNvPr id="52" name="图片_15"/>
                          <pic:cNvPicPr/>
                        </pic:nvPicPr>
                        <pic:blipFill>
                          <a:blip r:embed="rId25"/>
                          <a:stretch>
                            <a:fillRect/>
                          </a:stretch>
                        </pic:blipFill>
                        <pic:spPr>
                          <a:xfrm>
                            <a:off x="0" y="0"/>
                            <a:ext cx="695960" cy="61404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侧门楼梯口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高度1.5米，掩门开启，直流有刷电机，防尾随，防闯入，双重防夹，国标304不锈钢外箱厚度1.5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海康威视</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400万星光全彩</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66675</wp:posOffset>
                  </wp:positionH>
                  <wp:positionV relativeFrom="paragraph">
                    <wp:posOffset>111760</wp:posOffset>
                  </wp:positionV>
                  <wp:extent cx="661670" cy="647065"/>
                  <wp:effectExtent l="0" t="0" r="5080" b="635"/>
                  <wp:wrapNone/>
                  <wp:docPr id="51" name="Picture_2"/>
                  <wp:cNvGraphicFramePr/>
                  <a:graphic xmlns:a="http://schemas.openxmlformats.org/drawingml/2006/main">
                    <a:graphicData uri="http://schemas.openxmlformats.org/drawingml/2006/picture">
                      <pic:pic xmlns:pic="http://schemas.openxmlformats.org/drawingml/2006/picture">
                        <pic:nvPicPr>
                          <pic:cNvPr id="51" name="Picture_2"/>
                          <pic:cNvPicPr/>
                        </pic:nvPicPr>
                        <pic:blipFill>
                          <a:blip r:embed="rId26"/>
                          <a:stretch>
                            <a:fillRect/>
                          </a:stretch>
                        </pic:blipFill>
                        <pic:spPr>
                          <a:xfrm>
                            <a:off x="0" y="0"/>
                            <a:ext cx="661670" cy="64706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东门通道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400万像素星光日夜全彩，H.265编码。双柔光灯补光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监控系统</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海康威视</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400万星光全彩</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74930</wp:posOffset>
                  </wp:positionH>
                  <wp:positionV relativeFrom="paragraph">
                    <wp:posOffset>61595</wp:posOffset>
                  </wp:positionV>
                  <wp:extent cx="661035" cy="651510"/>
                  <wp:effectExtent l="0" t="0" r="5715" b="15240"/>
                  <wp:wrapNone/>
                  <wp:docPr id="40" name="Picture_2_SpCnt_1"/>
                  <wp:cNvGraphicFramePr/>
                  <a:graphic xmlns:a="http://schemas.openxmlformats.org/drawingml/2006/main">
                    <a:graphicData uri="http://schemas.openxmlformats.org/drawingml/2006/picture">
                      <pic:pic xmlns:pic="http://schemas.openxmlformats.org/drawingml/2006/picture">
                        <pic:nvPicPr>
                          <pic:cNvPr id="40" name="Picture_2_SpCnt_1"/>
                          <pic:cNvPicPr/>
                        </pic:nvPicPr>
                        <pic:blipFill>
                          <a:blip r:embed="rId27"/>
                          <a:stretch>
                            <a:fillRect/>
                          </a:stretch>
                        </pic:blipFill>
                        <pic:spPr>
                          <a:xfrm>
                            <a:off x="0" y="0"/>
                            <a:ext cx="661035" cy="651510"/>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2"/>
                <w:szCs w:val="22"/>
                <w:u w:val="none"/>
              </w:rPr>
            </w:pPr>
            <w:r>
              <w:rPr>
                <w:rFonts w:hint="eastAsia" w:ascii="微软雅黑" w:hAnsi="微软雅黑" w:eastAsia="微软雅黑" w:cs="微软雅黑"/>
                <w:b/>
                <w:bCs/>
                <w:i w:val="0"/>
                <w:iCs w:val="0"/>
                <w:color w:val="FF0000"/>
                <w:kern w:val="0"/>
                <w:sz w:val="22"/>
                <w:szCs w:val="22"/>
                <w:u w:val="none"/>
                <w:lang w:val="en-US" w:eastAsia="zh-CN" w:bidi="ar"/>
              </w:rPr>
              <w:t>小门通道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400万像素星光日夜全彩，H.265编码。双柔光灯补光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041"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二</w:t>
            </w:r>
          </w:p>
        </w:tc>
        <w:tc>
          <w:tcPr>
            <w:tcW w:w="14344" w:type="dxa"/>
            <w:gridSpan w:val="7"/>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智能道闸（拦车道闸）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w:t>
            </w: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型号</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名称</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规格参数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图片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特点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4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车辆检测系统后端</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AOC</w:t>
            </w:r>
          </w:p>
        </w:tc>
        <w:tc>
          <w:tcPr>
            <w:tcW w:w="2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监控组合立杆</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2000mm*780mm</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支</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268605</wp:posOffset>
                  </wp:positionH>
                  <wp:positionV relativeFrom="paragraph">
                    <wp:posOffset>44450</wp:posOffset>
                  </wp:positionV>
                  <wp:extent cx="347345" cy="873125"/>
                  <wp:effectExtent l="0" t="0" r="14605" b="3175"/>
                  <wp:wrapNone/>
                  <wp:docPr id="39" name="Picture_3"/>
                  <wp:cNvGraphicFramePr/>
                  <a:graphic xmlns:a="http://schemas.openxmlformats.org/drawingml/2006/main">
                    <a:graphicData uri="http://schemas.openxmlformats.org/drawingml/2006/picture">
                      <pic:pic xmlns:pic="http://schemas.openxmlformats.org/drawingml/2006/picture">
                        <pic:nvPicPr>
                          <pic:cNvPr id="39" name="Picture_3"/>
                          <pic:cNvPicPr/>
                        </pic:nvPicPr>
                        <pic:blipFill>
                          <a:blip r:embed="rId28"/>
                          <a:stretch>
                            <a:fillRect/>
                          </a:stretch>
                        </pic:blipFill>
                        <pic:spPr>
                          <a:xfrm>
                            <a:off x="0" y="0"/>
                            <a:ext cx="347345" cy="873125"/>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515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FF0000"/>
                <w:sz w:val="24"/>
                <w:szCs w:val="24"/>
                <w:u w:val="none"/>
              </w:rPr>
            </w:pPr>
            <w:r>
              <w:rPr>
                <w:rFonts w:hint="eastAsia" w:ascii="微软雅黑" w:hAnsi="微软雅黑" w:eastAsia="微软雅黑" w:cs="微软雅黑"/>
                <w:b/>
                <w:bCs/>
                <w:i w:val="0"/>
                <w:iCs w:val="0"/>
                <w:color w:val="FF0000"/>
                <w:kern w:val="0"/>
                <w:sz w:val="24"/>
                <w:szCs w:val="24"/>
                <w:u w:val="none"/>
                <w:lang w:val="en-US" w:eastAsia="zh-CN" w:bidi="ar"/>
              </w:rPr>
              <w:t>东门通道  小门通道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4"/>
                <w:szCs w:val="24"/>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500mm*500mm下挖倒水泥墩，立杆尺寸高度2米，宽度0.8米，带枪机横臂、避雷针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2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4"/>
                <w:szCs w:val="24"/>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4"/>
                <w:szCs w:val="24"/>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PSPDGD</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车辆检测器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线圈</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57785</wp:posOffset>
                  </wp:positionH>
                  <wp:positionV relativeFrom="paragraph">
                    <wp:posOffset>104775</wp:posOffset>
                  </wp:positionV>
                  <wp:extent cx="706755" cy="419100"/>
                  <wp:effectExtent l="0" t="0" r="17145" b="0"/>
                  <wp:wrapNone/>
                  <wp:docPr id="53" name="图片_9"/>
                  <wp:cNvGraphicFramePr/>
                  <a:graphic xmlns:a="http://schemas.openxmlformats.org/drawingml/2006/main">
                    <a:graphicData uri="http://schemas.openxmlformats.org/drawingml/2006/picture">
                      <pic:pic xmlns:pic="http://schemas.openxmlformats.org/drawingml/2006/picture">
                        <pic:nvPicPr>
                          <pic:cNvPr id="53" name="图片_9"/>
                          <pic:cNvPicPr/>
                        </pic:nvPicPr>
                        <pic:blipFill>
                          <a:blip r:embed="rId29"/>
                          <a:stretch>
                            <a:fillRect/>
                          </a:stretch>
                        </pic:blipFill>
                        <pic:spPr>
                          <a:xfrm>
                            <a:off x="0" y="0"/>
                            <a:ext cx="706755" cy="41910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功能：防砸车,控制道闸落杆。每一台道闸配用一个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PSPDGD-1</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无线遥控器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远程控制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95885</wp:posOffset>
                  </wp:positionH>
                  <wp:positionV relativeFrom="paragraph">
                    <wp:posOffset>85725</wp:posOffset>
                  </wp:positionV>
                  <wp:extent cx="562610" cy="539750"/>
                  <wp:effectExtent l="0" t="0" r="8890" b="12700"/>
                  <wp:wrapNone/>
                  <wp:docPr id="56" name="图片_5"/>
                  <wp:cNvGraphicFramePr/>
                  <a:graphic xmlns:a="http://schemas.openxmlformats.org/drawingml/2006/main">
                    <a:graphicData uri="http://schemas.openxmlformats.org/drawingml/2006/picture">
                      <pic:pic xmlns:pic="http://schemas.openxmlformats.org/drawingml/2006/picture">
                        <pic:nvPicPr>
                          <pic:cNvPr id="56" name="图片_5"/>
                          <pic:cNvPicPr/>
                        </pic:nvPicPr>
                        <pic:blipFill>
                          <a:blip r:embed="rId30"/>
                          <a:stretch>
                            <a:fillRect/>
                          </a:stretch>
                        </pic:blipFill>
                        <pic:spPr>
                          <a:xfrm>
                            <a:off x="0" y="0"/>
                            <a:ext cx="562610" cy="53975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用宇遥控高速自动闸门机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PSPDGD-0</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手动遥控器</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现场控制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76835</wp:posOffset>
                  </wp:positionH>
                  <wp:positionV relativeFrom="paragraph">
                    <wp:posOffset>57150</wp:posOffset>
                  </wp:positionV>
                  <wp:extent cx="676910" cy="511810"/>
                  <wp:effectExtent l="0" t="0" r="8890" b="2540"/>
                  <wp:wrapNone/>
                  <wp:docPr id="54" name="图片_6"/>
                  <wp:cNvGraphicFramePr/>
                  <a:graphic xmlns:a="http://schemas.openxmlformats.org/drawingml/2006/main">
                    <a:graphicData uri="http://schemas.openxmlformats.org/drawingml/2006/picture">
                      <pic:pic xmlns:pic="http://schemas.openxmlformats.org/drawingml/2006/picture">
                        <pic:nvPicPr>
                          <pic:cNvPr id="54" name="图片_6"/>
                          <pic:cNvPicPr/>
                        </pic:nvPicPr>
                        <pic:blipFill>
                          <a:blip r:embed="rId31"/>
                          <a:stretch>
                            <a:fillRect/>
                          </a:stretch>
                        </pic:blipFill>
                        <pic:spPr>
                          <a:xfrm>
                            <a:off x="0" y="0"/>
                            <a:ext cx="676910" cy="51181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车辆管理控制器</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闸机配套</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闸机配件</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105410</wp:posOffset>
                  </wp:positionH>
                  <wp:positionV relativeFrom="paragraph">
                    <wp:posOffset>47625</wp:posOffset>
                  </wp:positionV>
                  <wp:extent cx="614680" cy="587375"/>
                  <wp:effectExtent l="0" t="0" r="13970" b="3175"/>
                  <wp:wrapNone/>
                  <wp:docPr id="60" name="图片_8"/>
                  <wp:cNvGraphicFramePr/>
                  <a:graphic xmlns:a="http://schemas.openxmlformats.org/drawingml/2006/main">
                    <a:graphicData uri="http://schemas.openxmlformats.org/drawingml/2006/picture">
                      <pic:pic xmlns:pic="http://schemas.openxmlformats.org/drawingml/2006/picture">
                        <pic:nvPicPr>
                          <pic:cNvPr id="60" name="图片_8"/>
                          <pic:cNvPicPr/>
                        </pic:nvPicPr>
                        <pic:blipFill>
                          <a:blip r:embed="rId32"/>
                          <a:stretch>
                            <a:fillRect/>
                          </a:stretch>
                        </pic:blipFill>
                        <pic:spPr>
                          <a:xfrm>
                            <a:off x="0" y="0"/>
                            <a:ext cx="614680" cy="58737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105410</wp:posOffset>
                  </wp:positionH>
                  <wp:positionV relativeFrom="paragraph">
                    <wp:posOffset>47625</wp:posOffset>
                  </wp:positionV>
                  <wp:extent cx="581660" cy="558165"/>
                  <wp:effectExtent l="0" t="0" r="8890" b="13335"/>
                  <wp:wrapNone/>
                  <wp:docPr id="67" name="图片_7"/>
                  <wp:cNvGraphicFramePr/>
                  <a:graphic xmlns:a="http://schemas.openxmlformats.org/drawingml/2006/main">
                    <a:graphicData uri="http://schemas.openxmlformats.org/drawingml/2006/picture">
                      <pic:pic xmlns:pic="http://schemas.openxmlformats.org/drawingml/2006/picture">
                        <pic:nvPicPr>
                          <pic:cNvPr id="67" name="图片_7"/>
                          <pic:cNvPicPr/>
                        </pic:nvPicPr>
                        <pic:blipFill>
                          <a:blip r:embed="rId33"/>
                          <a:stretch>
                            <a:fillRect/>
                          </a:stretch>
                        </pic:blipFill>
                        <pic:spPr>
                          <a:xfrm>
                            <a:off x="0" y="0"/>
                            <a:ext cx="581660" cy="558165"/>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中控室管理工作站</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主机控制室</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主机控制室</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64135</wp:posOffset>
                  </wp:positionH>
                  <wp:positionV relativeFrom="paragraph">
                    <wp:posOffset>66675</wp:posOffset>
                  </wp:positionV>
                  <wp:extent cx="812165" cy="581660"/>
                  <wp:effectExtent l="0" t="0" r="6985" b="8890"/>
                  <wp:wrapNone/>
                  <wp:docPr id="63" name="图片_10"/>
                  <wp:cNvGraphicFramePr/>
                  <a:graphic xmlns:a="http://schemas.openxmlformats.org/drawingml/2006/main">
                    <a:graphicData uri="http://schemas.openxmlformats.org/drawingml/2006/picture">
                      <pic:pic xmlns:pic="http://schemas.openxmlformats.org/drawingml/2006/picture">
                        <pic:nvPicPr>
                          <pic:cNvPr id="63" name="图片_10"/>
                          <pic:cNvPicPr/>
                        </pic:nvPicPr>
                        <pic:blipFill>
                          <a:blip r:embed="rId34"/>
                          <a:stretch>
                            <a:fillRect/>
                          </a:stretch>
                        </pic:blipFill>
                        <pic:spPr>
                          <a:xfrm>
                            <a:off x="0" y="0"/>
                            <a:ext cx="812165" cy="58166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门卫室管理工作站</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主机控制室</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办公室控制室</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67310</wp:posOffset>
                  </wp:positionH>
                  <wp:positionV relativeFrom="paragraph">
                    <wp:posOffset>95250</wp:posOffset>
                  </wp:positionV>
                  <wp:extent cx="808990" cy="552450"/>
                  <wp:effectExtent l="0" t="0" r="10160" b="0"/>
                  <wp:wrapNone/>
                  <wp:docPr id="57" name="图片_11"/>
                  <wp:cNvGraphicFramePr/>
                  <a:graphic xmlns:a="http://schemas.openxmlformats.org/drawingml/2006/main">
                    <a:graphicData uri="http://schemas.openxmlformats.org/drawingml/2006/picture">
                      <pic:pic xmlns:pic="http://schemas.openxmlformats.org/drawingml/2006/picture">
                        <pic:nvPicPr>
                          <pic:cNvPr id="57" name="图片_11"/>
                          <pic:cNvPicPr/>
                        </pic:nvPicPr>
                        <pic:blipFill>
                          <a:blip r:embed="rId35"/>
                          <a:stretch>
                            <a:fillRect/>
                          </a:stretch>
                        </pic:blipFill>
                        <pic:spPr>
                          <a:xfrm>
                            <a:off x="0" y="0"/>
                            <a:ext cx="808990" cy="55245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交换机</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8口（2光口）IP65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不锈钢立柱式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67310</wp:posOffset>
                  </wp:positionH>
                  <wp:positionV relativeFrom="paragraph">
                    <wp:posOffset>161925</wp:posOffset>
                  </wp:positionV>
                  <wp:extent cx="808990" cy="367030"/>
                  <wp:effectExtent l="0" t="0" r="10160" b="13970"/>
                  <wp:wrapNone/>
                  <wp:docPr id="59" name="图片_12"/>
                  <wp:cNvGraphicFramePr/>
                  <a:graphic xmlns:a="http://schemas.openxmlformats.org/drawingml/2006/main">
                    <a:graphicData uri="http://schemas.openxmlformats.org/drawingml/2006/picture">
                      <pic:pic xmlns:pic="http://schemas.openxmlformats.org/drawingml/2006/picture">
                        <pic:nvPicPr>
                          <pic:cNvPr id="59" name="图片_12"/>
                          <pic:cNvPicPr/>
                        </pic:nvPicPr>
                        <pic:blipFill>
                          <a:blip r:embed="rId36"/>
                          <a:stretch>
                            <a:fillRect/>
                          </a:stretch>
                        </pic:blipFill>
                        <pic:spPr>
                          <a:xfrm>
                            <a:off x="0" y="0"/>
                            <a:ext cx="808990" cy="36703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减速带</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黑黄间色</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车辆减速</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57785</wp:posOffset>
                  </wp:positionH>
                  <wp:positionV relativeFrom="paragraph">
                    <wp:posOffset>38735</wp:posOffset>
                  </wp:positionV>
                  <wp:extent cx="818515" cy="447675"/>
                  <wp:effectExtent l="0" t="0" r="635" b="9525"/>
                  <wp:wrapNone/>
                  <wp:docPr id="55" name="图片_13"/>
                  <wp:cNvGraphicFramePr/>
                  <a:graphic xmlns:a="http://schemas.openxmlformats.org/drawingml/2006/main">
                    <a:graphicData uri="http://schemas.openxmlformats.org/drawingml/2006/picture">
                      <pic:pic xmlns:pic="http://schemas.openxmlformats.org/drawingml/2006/picture">
                        <pic:nvPicPr>
                          <pic:cNvPr id="55" name="图片_13"/>
                          <pic:cNvPicPr/>
                        </pic:nvPicPr>
                        <pic:blipFill>
                          <a:blip r:embed="rId37"/>
                          <a:stretch>
                            <a:fillRect/>
                          </a:stretch>
                        </pic:blipFill>
                        <pic:spPr>
                          <a:xfrm>
                            <a:off x="0" y="0"/>
                            <a:ext cx="818515" cy="447675"/>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配套电柜</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不锈钢方箱</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数据汇集箱</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191135</wp:posOffset>
                  </wp:positionH>
                  <wp:positionV relativeFrom="paragraph">
                    <wp:posOffset>55880</wp:posOffset>
                  </wp:positionV>
                  <wp:extent cx="553085" cy="603885"/>
                  <wp:effectExtent l="0" t="0" r="18415" b="5715"/>
                  <wp:wrapNone/>
                  <wp:docPr id="58" name="图片_17"/>
                  <wp:cNvGraphicFramePr/>
                  <a:graphic xmlns:a="http://schemas.openxmlformats.org/drawingml/2006/main">
                    <a:graphicData uri="http://schemas.openxmlformats.org/drawingml/2006/picture">
                      <pic:pic xmlns:pic="http://schemas.openxmlformats.org/drawingml/2006/picture">
                        <pic:nvPicPr>
                          <pic:cNvPr id="58" name="图片_17"/>
                          <pic:cNvPicPr/>
                        </pic:nvPicPr>
                        <pic:blipFill>
                          <a:blip r:embed="rId38"/>
                          <a:stretch>
                            <a:fillRect/>
                          </a:stretch>
                        </pic:blipFill>
                        <pic:spPr>
                          <a:xfrm>
                            <a:off x="0" y="0"/>
                            <a:ext cx="553085" cy="603885"/>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pPr>
              <w:jc w:val="center"/>
              <w:rPr>
                <w:rFonts w:hint="eastAsia" w:ascii="微软雅黑" w:hAnsi="微软雅黑" w:eastAsia="微软雅黑" w:cs="微软雅黑"/>
                <w:i w:val="0"/>
                <w:iCs w:val="0"/>
                <w:color w:val="000000"/>
                <w:sz w:val="24"/>
                <w:szCs w:val="24"/>
                <w:u w:val="none"/>
              </w:rPr>
            </w:pPr>
          </w:p>
        </w:tc>
        <w:tc>
          <w:tcPr>
            <w:tcW w:w="155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车辆识别管理系统</w:t>
            </w:r>
          </w:p>
        </w:tc>
        <w:tc>
          <w:tcPr>
            <w:tcW w:w="23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系统软件</w:t>
            </w:r>
          </w:p>
        </w:tc>
        <w:tc>
          <w:tcPr>
            <w:tcW w:w="20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数控控制系统用</w:t>
            </w:r>
          </w:p>
        </w:tc>
        <w:tc>
          <w:tcPr>
            <w:tcW w:w="111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105410</wp:posOffset>
                  </wp:positionH>
                  <wp:positionV relativeFrom="paragraph">
                    <wp:posOffset>85725</wp:posOffset>
                  </wp:positionV>
                  <wp:extent cx="599440" cy="514985"/>
                  <wp:effectExtent l="0" t="0" r="10160" b="18415"/>
                  <wp:wrapNone/>
                  <wp:docPr id="68" name="图片_18"/>
                  <wp:cNvGraphicFramePr/>
                  <a:graphic xmlns:a="http://schemas.openxmlformats.org/drawingml/2006/main">
                    <a:graphicData uri="http://schemas.openxmlformats.org/drawingml/2006/picture">
                      <pic:pic xmlns:pic="http://schemas.openxmlformats.org/drawingml/2006/picture">
                        <pic:nvPicPr>
                          <pic:cNvPr id="68" name="图片_18"/>
                          <pic:cNvPicPr/>
                        </pic:nvPicPr>
                        <pic:blipFill>
                          <a:blip r:embed="rId39"/>
                          <a:stretch>
                            <a:fillRect/>
                          </a:stretch>
                        </pic:blipFill>
                        <pic:spPr>
                          <a:xfrm>
                            <a:off x="0" y="0"/>
                            <a:ext cx="599440" cy="514985"/>
                          </a:xfrm>
                          <a:prstGeom prst="rect">
                            <a:avLst/>
                          </a:prstGeom>
                          <a:noFill/>
                          <a:ln>
                            <a:noFill/>
                          </a:ln>
                        </pic:spPr>
                      </pic:pic>
                    </a:graphicData>
                  </a:graphic>
                </wp:anchor>
              </w:drawing>
            </w:r>
          </w:p>
        </w:tc>
        <w:tc>
          <w:tcPr>
            <w:tcW w:w="7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15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出入口控制及车辆管理平台集成设计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15385" w:type="dxa"/>
            <w:gridSpan w:val="8"/>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left"/>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三、车辆识别管理系统材料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65" w:hRule="atLeast"/>
        </w:trPr>
        <w:tc>
          <w:tcPr>
            <w:tcW w:w="1041"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辅</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料</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耗</w:t>
            </w:r>
            <w:r>
              <w:rPr>
                <w:rFonts w:hint="eastAsia" w:ascii="微软雅黑" w:hAnsi="微软雅黑" w:eastAsia="微软雅黑" w:cs="微软雅黑"/>
                <w:b/>
                <w:bCs/>
                <w:i w:val="0"/>
                <w:iCs w:val="0"/>
                <w:color w:val="000000"/>
                <w:kern w:val="0"/>
                <w:sz w:val="24"/>
                <w:szCs w:val="24"/>
                <w:u w:val="none"/>
                <w:lang w:val="en-US" w:eastAsia="zh-CN" w:bidi="ar"/>
              </w:rPr>
              <w:br w:type="textWrapping"/>
            </w:r>
            <w:r>
              <w:rPr>
                <w:rFonts w:hint="eastAsia" w:ascii="微软雅黑" w:hAnsi="微软雅黑" w:eastAsia="微软雅黑" w:cs="微软雅黑"/>
                <w:b/>
                <w:bCs/>
                <w:i w:val="0"/>
                <w:iCs w:val="0"/>
                <w:color w:val="000000"/>
                <w:kern w:val="0"/>
                <w:sz w:val="24"/>
                <w:szCs w:val="24"/>
                <w:u w:val="none"/>
                <w:lang w:val="en-US" w:eastAsia="zh-CN" w:bidi="ar"/>
              </w:rPr>
              <w:t>材</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电缆</w:t>
            </w: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ZR-RVV(3x2.5)</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通讯电缆</w:t>
            </w:r>
          </w:p>
        </w:tc>
        <w:tc>
          <w:tcPr>
            <w:tcW w:w="11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76835</wp:posOffset>
                  </wp:positionH>
                  <wp:positionV relativeFrom="paragraph">
                    <wp:posOffset>705485</wp:posOffset>
                  </wp:positionV>
                  <wp:extent cx="799465" cy="662940"/>
                  <wp:effectExtent l="0" t="0" r="635" b="3810"/>
                  <wp:wrapNone/>
                  <wp:docPr id="61" name="图片_19"/>
                  <wp:cNvGraphicFramePr/>
                  <a:graphic xmlns:a="http://schemas.openxmlformats.org/drawingml/2006/main">
                    <a:graphicData uri="http://schemas.openxmlformats.org/drawingml/2006/picture">
                      <pic:pic xmlns:pic="http://schemas.openxmlformats.org/drawingml/2006/picture">
                        <pic:nvPicPr>
                          <pic:cNvPr id="61" name="图片_19"/>
                          <pic:cNvPicPr/>
                        </pic:nvPicPr>
                        <pic:blipFill>
                          <a:blip r:embed="rId40"/>
                          <a:stretch>
                            <a:fillRect/>
                          </a:stretch>
                        </pic:blipFill>
                        <pic:spPr>
                          <a:xfrm>
                            <a:off x="0" y="0"/>
                            <a:ext cx="799465" cy="662940"/>
                          </a:xfrm>
                          <a:prstGeom prst="rect">
                            <a:avLst/>
                          </a:prstGeom>
                          <a:noFill/>
                          <a:ln>
                            <a:noFill/>
                          </a:ln>
                        </pic:spPr>
                      </pic:pic>
                    </a:graphicData>
                  </a:graphic>
                </wp:anchor>
              </w:drawing>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5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ZR-RVSP(6x1.5)</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23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ZR-RVV(3x4)</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1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5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 缆</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GYXTY</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室外光缆</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133985</wp:posOffset>
                  </wp:positionH>
                  <wp:positionV relativeFrom="paragraph">
                    <wp:posOffset>34925</wp:posOffset>
                  </wp:positionV>
                  <wp:extent cx="600075" cy="593090"/>
                  <wp:effectExtent l="0" t="0" r="9525" b="16510"/>
                  <wp:wrapNone/>
                  <wp:docPr id="69" name="图片_20"/>
                  <wp:cNvGraphicFramePr/>
                  <a:graphic xmlns:a="http://schemas.openxmlformats.org/drawingml/2006/main">
                    <a:graphicData uri="http://schemas.openxmlformats.org/drawingml/2006/picture">
                      <pic:pic xmlns:pic="http://schemas.openxmlformats.org/drawingml/2006/picture">
                        <pic:nvPicPr>
                          <pic:cNvPr id="69" name="图片_20"/>
                          <pic:cNvPicPr/>
                        </pic:nvPicPr>
                        <pic:blipFill>
                          <a:blip r:embed="rId41"/>
                          <a:stretch>
                            <a:fillRect/>
                          </a:stretch>
                        </pic:blipFill>
                        <pic:spPr>
                          <a:xfrm>
                            <a:off x="0" y="0"/>
                            <a:ext cx="600075" cy="59309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服务器控制光缆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网线</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海康威视</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超6类无氧铜</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76835</wp:posOffset>
                  </wp:positionH>
                  <wp:positionV relativeFrom="paragraph">
                    <wp:posOffset>114300</wp:posOffset>
                  </wp:positionV>
                  <wp:extent cx="676275" cy="469265"/>
                  <wp:effectExtent l="0" t="0" r="9525" b="6985"/>
                  <wp:wrapNone/>
                  <wp:docPr id="66" name="图片_21"/>
                  <wp:cNvGraphicFramePr/>
                  <a:graphic xmlns:a="http://schemas.openxmlformats.org/drawingml/2006/main">
                    <a:graphicData uri="http://schemas.openxmlformats.org/drawingml/2006/picture">
                      <pic:pic xmlns:pic="http://schemas.openxmlformats.org/drawingml/2006/picture">
                        <pic:nvPicPr>
                          <pic:cNvPr id="66" name="图片_21"/>
                          <pic:cNvPicPr/>
                        </pic:nvPicPr>
                        <pic:blipFill>
                          <a:blip r:embed="rId42"/>
                          <a:stretch>
                            <a:fillRect/>
                          </a:stretch>
                        </pic:blipFill>
                        <pic:spPr>
                          <a:xfrm>
                            <a:off x="0" y="0"/>
                            <a:ext cx="676275" cy="469265"/>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通讯光缆铺设</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国标</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五金耗材</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69850</wp:posOffset>
                  </wp:positionH>
                  <wp:positionV relativeFrom="paragraph">
                    <wp:posOffset>78105</wp:posOffset>
                  </wp:positionV>
                  <wp:extent cx="709295" cy="534670"/>
                  <wp:effectExtent l="0" t="0" r="14605" b="17780"/>
                  <wp:wrapNone/>
                  <wp:docPr id="64" name="图片_22"/>
                  <wp:cNvGraphicFramePr/>
                  <a:graphic xmlns:a="http://schemas.openxmlformats.org/drawingml/2006/main">
                    <a:graphicData uri="http://schemas.openxmlformats.org/drawingml/2006/picture">
                      <pic:pic xmlns:pic="http://schemas.openxmlformats.org/drawingml/2006/picture">
                        <pic:nvPicPr>
                          <pic:cNvPr id="64" name="图片_22"/>
                          <pic:cNvPicPr/>
                        </pic:nvPicPr>
                        <pic:blipFill>
                          <a:blip r:embed="rId43"/>
                          <a:stretch>
                            <a:fillRect/>
                          </a:stretch>
                        </pic:blipFill>
                        <pic:spPr>
                          <a:xfrm>
                            <a:off x="0" y="0"/>
                            <a:ext cx="709295" cy="53467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远程道闸通讯光缆、PE管（国标）穿管人工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厂区围栏</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1.8米双梁</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锌钢护栏网</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86360</wp:posOffset>
                  </wp:positionH>
                  <wp:positionV relativeFrom="paragraph">
                    <wp:posOffset>38100</wp:posOffset>
                  </wp:positionV>
                  <wp:extent cx="789940" cy="561975"/>
                  <wp:effectExtent l="0" t="0" r="10160" b="9525"/>
                  <wp:wrapNone/>
                  <wp:docPr id="65" name="图片_23"/>
                  <wp:cNvGraphicFramePr/>
                  <a:graphic xmlns:a="http://schemas.openxmlformats.org/drawingml/2006/main">
                    <a:graphicData uri="http://schemas.openxmlformats.org/drawingml/2006/picture">
                      <pic:pic xmlns:pic="http://schemas.openxmlformats.org/drawingml/2006/picture">
                        <pic:nvPicPr>
                          <pic:cNvPr id="65" name="图片_23"/>
                          <pic:cNvPicPr/>
                        </pic:nvPicPr>
                        <pic:blipFill>
                          <a:blip r:embed="rId44"/>
                          <a:stretch>
                            <a:fillRect/>
                          </a:stretch>
                        </pic:blipFill>
                        <pic:spPr>
                          <a:xfrm>
                            <a:off x="0" y="0"/>
                            <a:ext cx="789940" cy="561975"/>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含施工安装费用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人行道铺设</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道路破复</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红砖1.5米宽</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38735</wp:posOffset>
                  </wp:positionH>
                  <wp:positionV relativeFrom="paragraph">
                    <wp:posOffset>95250</wp:posOffset>
                  </wp:positionV>
                  <wp:extent cx="837565" cy="552450"/>
                  <wp:effectExtent l="0" t="0" r="635" b="0"/>
                  <wp:wrapNone/>
                  <wp:docPr id="62" name="图片_24"/>
                  <wp:cNvGraphicFramePr/>
                  <a:graphic xmlns:a="http://schemas.openxmlformats.org/drawingml/2006/main">
                    <a:graphicData uri="http://schemas.openxmlformats.org/drawingml/2006/picture">
                      <pic:pic xmlns:pic="http://schemas.openxmlformats.org/drawingml/2006/picture">
                        <pic:nvPicPr>
                          <pic:cNvPr id="62" name="图片_24"/>
                          <pic:cNvPicPr/>
                        </pic:nvPicPr>
                        <pic:blipFill>
                          <a:blip r:embed="rId45"/>
                          <a:stretch>
                            <a:fillRect/>
                          </a:stretch>
                        </pic:blipFill>
                        <pic:spPr>
                          <a:xfrm>
                            <a:off x="0" y="0"/>
                            <a:ext cx="837565" cy="552450"/>
                          </a:xfrm>
                          <a:prstGeom prst="rect">
                            <a:avLst/>
                          </a:prstGeom>
                          <a:noFill/>
                          <a:ln>
                            <a:noFill/>
                          </a:ln>
                        </pic:spPr>
                      </pic:pic>
                    </a:graphicData>
                  </a:graphic>
                </wp:anchor>
              </w:drawing>
            </w: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门禁人行通道建设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绿化带破复</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光缆路径修复</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700</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防撞立杆</w:t>
            </w:r>
          </w:p>
        </w:tc>
        <w:tc>
          <w:tcPr>
            <w:tcW w:w="2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65" w:hRule="atLeast"/>
        </w:trPr>
        <w:tc>
          <w:tcPr>
            <w:tcW w:w="1041"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微软雅黑" w:hAnsi="微软雅黑" w:eastAsia="微软雅黑" w:cs="微软雅黑"/>
                <w:b/>
                <w:bCs/>
                <w:i w:val="0"/>
                <w:iCs w:val="0"/>
                <w:color w:val="000000"/>
                <w:sz w:val="24"/>
                <w:szCs w:val="24"/>
                <w:u w:val="none"/>
              </w:rPr>
            </w:pPr>
          </w:p>
        </w:tc>
        <w:tc>
          <w:tcPr>
            <w:tcW w:w="155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广告标识</w:t>
            </w:r>
          </w:p>
        </w:tc>
        <w:tc>
          <w:tcPr>
            <w:tcW w:w="2328"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11"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c>
          <w:tcPr>
            <w:tcW w:w="794"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5154" w:type="dxa"/>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0"/>
                <w:szCs w:val="20"/>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方正小标宋简体" w:hAnsi="方正小标宋简体" w:eastAsia="方正小标宋简体" w:cs="方正小标宋简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方正小标宋简体" w:hAnsi="方正小标宋简体" w:eastAsia="方正小标宋简体" w:cs="方正小标宋简体"/>
          <w:b/>
          <w:bCs/>
          <w:sz w:val="32"/>
          <w:szCs w:val="32"/>
          <w:lang w:val="en-US" w:eastAsia="zh-CN"/>
        </w:rPr>
      </w:pPr>
    </w:p>
    <w:tbl>
      <w:tblPr>
        <w:tblStyle w:val="25"/>
        <w:tblW w:w="15390" w:type="dxa"/>
        <w:tblInd w:w="-9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755"/>
        <w:gridCol w:w="1110"/>
        <w:gridCol w:w="3735"/>
        <w:gridCol w:w="7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车牌识别系统设备参数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28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人停车场管理设备</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9"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智能自媒体直流无刷道闸</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YX-706</w:t>
            </w:r>
          </w:p>
        </w:tc>
        <w:tc>
          <w:tcPr>
            <w:tcW w:w="3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192405</wp:posOffset>
                  </wp:positionH>
                  <wp:positionV relativeFrom="paragraph">
                    <wp:posOffset>51435</wp:posOffset>
                  </wp:positionV>
                  <wp:extent cx="1598930" cy="1153795"/>
                  <wp:effectExtent l="0" t="0" r="1270" b="8255"/>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46"/>
                          <a:stretch>
                            <a:fillRect/>
                          </a:stretch>
                        </pic:blipFill>
                        <pic:spPr>
                          <a:xfrm>
                            <a:off x="0" y="0"/>
                            <a:ext cx="1598930" cy="1153795"/>
                          </a:xfrm>
                          <a:prstGeom prst="rect">
                            <a:avLst/>
                          </a:prstGeom>
                          <a:noFill/>
                          <a:ln>
                            <a:noFill/>
                          </a:ln>
                        </pic:spPr>
                      </pic:pic>
                    </a:graphicData>
                  </a:graphic>
                </wp:anchor>
              </w:drawing>
            </w: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Style w:val="55"/>
                <w:sz w:val="20"/>
                <w:szCs w:val="20"/>
                <w:lang w:val="en-US" w:eastAsia="zh-CN" w:bidi="ar"/>
              </w:rPr>
              <w:t>1、电源220V，</w:t>
            </w:r>
            <w:r>
              <w:rPr>
                <w:rStyle w:val="56"/>
                <w:sz w:val="20"/>
                <w:szCs w:val="20"/>
                <w:lang w:val="en-US" w:eastAsia="zh-CN" w:bidi="ar"/>
              </w:rPr>
              <w:t>电机24V/150W直流变频，齿轮机芯;</w:t>
            </w:r>
            <w:r>
              <w:rPr>
                <w:rStyle w:val="55"/>
                <w:sz w:val="20"/>
                <w:szCs w:val="20"/>
                <w:lang w:val="en-US" w:eastAsia="zh-CN" w:bidi="ar"/>
              </w:rPr>
              <w:br w:type="textWrapping"/>
            </w:r>
            <w:r>
              <w:rPr>
                <w:rStyle w:val="55"/>
                <w:sz w:val="20"/>
                <w:szCs w:val="20"/>
                <w:lang w:val="en-US" w:eastAsia="zh-CN" w:bidi="ar"/>
              </w:rPr>
              <w:t>2、杆长385mm，含机箱约4020mm，页片</w:t>
            </w:r>
            <w:r>
              <w:rPr>
                <w:rStyle w:val="56"/>
                <w:sz w:val="20"/>
                <w:szCs w:val="20"/>
                <w:lang w:val="en-US" w:eastAsia="zh-CN" w:bidi="ar"/>
              </w:rPr>
              <w:t>90*750mm</w:t>
            </w:r>
            <w:r>
              <w:rPr>
                <w:rStyle w:val="55"/>
                <w:sz w:val="20"/>
                <w:szCs w:val="20"/>
                <w:lang w:val="en-US" w:eastAsia="zh-CN" w:bidi="ar"/>
              </w:rPr>
              <w:t>，机箱尺寸</w:t>
            </w:r>
            <w:r>
              <w:rPr>
                <w:rStyle w:val="56"/>
                <w:sz w:val="20"/>
                <w:szCs w:val="20"/>
                <w:lang w:val="en-US" w:eastAsia="zh-CN" w:bidi="ar"/>
              </w:rPr>
              <w:t>1240*460*330</w:t>
            </w:r>
            <w:r>
              <w:rPr>
                <w:rStyle w:val="55"/>
                <w:sz w:val="20"/>
                <w:szCs w:val="20"/>
                <w:lang w:val="en-US" w:eastAsia="zh-CN" w:bidi="ar"/>
              </w:rPr>
              <w:t>，灯箱尺寸</w:t>
            </w:r>
            <w:r>
              <w:rPr>
                <w:rStyle w:val="56"/>
                <w:sz w:val="20"/>
                <w:szCs w:val="20"/>
                <w:lang w:val="en-US" w:eastAsia="zh-CN" w:bidi="ar"/>
              </w:rPr>
              <w:t>350*1000</w:t>
            </w:r>
            <w:r>
              <w:rPr>
                <w:rStyle w:val="55"/>
                <w:sz w:val="20"/>
                <w:szCs w:val="20"/>
                <w:lang w:val="en-US" w:eastAsia="zh-CN" w:bidi="ar"/>
              </w:rPr>
              <w:t>;</w:t>
            </w:r>
            <w:r>
              <w:rPr>
                <w:rStyle w:val="55"/>
                <w:sz w:val="20"/>
                <w:szCs w:val="20"/>
                <w:lang w:val="en-US" w:eastAsia="zh-CN" w:bidi="ar"/>
              </w:rPr>
              <w:br w:type="textWrapping"/>
            </w:r>
            <w:r>
              <w:rPr>
                <w:rStyle w:val="55"/>
                <w:sz w:val="20"/>
                <w:szCs w:val="20"/>
                <w:lang w:val="en-US" w:eastAsia="zh-CN" w:bidi="ar"/>
              </w:rPr>
              <w:t>3、灯带电源12V/10A，工作温度-40~60;</w:t>
            </w:r>
            <w:r>
              <w:rPr>
                <w:rStyle w:val="55"/>
                <w:sz w:val="20"/>
                <w:szCs w:val="20"/>
                <w:lang w:val="en-US" w:eastAsia="zh-CN" w:bidi="ar"/>
              </w:rPr>
              <w:br w:type="textWrapping"/>
            </w:r>
            <w:r>
              <w:rPr>
                <w:rStyle w:val="55"/>
                <w:sz w:val="20"/>
                <w:szCs w:val="20"/>
                <w:lang w:val="en-US" w:eastAsia="zh-CN" w:bidi="ar"/>
              </w:rPr>
              <w:t>4、抬杆时间：约2.5S~8S，根据杆长起落</w:t>
            </w:r>
            <w:r>
              <w:rPr>
                <w:rStyle w:val="56"/>
                <w:sz w:val="20"/>
                <w:szCs w:val="20"/>
                <w:lang w:val="en-US" w:eastAsia="zh-CN" w:bidi="ar"/>
              </w:rPr>
              <w:t>速度可独立调节</w:t>
            </w:r>
            <w:r>
              <w:rPr>
                <w:rStyle w:val="55"/>
                <w:sz w:val="20"/>
                <w:szCs w:val="20"/>
                <w:lang w:val="en-US" w:eastAsia="zh-CN" w:bidi="ar"/>
              </w:rPr>
              <w:t>，开关到位减速延长机械结构寿命，无动力翻板机械式展开，页片装有轴承;</w:t>
            </w:r>
            <w:r>
              <w:rPr>
                <w:rStyle w:val="55"/>
                <w:sz w:val="20"/>
                <w:szCs w:val="20"/>
                <w:lang w:val="en-US" w:eastAsia="zh-CN" w:bidi="ar"/>
              </w:rPr>
              <w:br w:type="textWrapping"/>
            </w:r>
            <w:r>
              <w:rPr>
                <w:rStyle w:val="55"/>
                <w:sz w:val="20"/>
                <w:szCs w:val="20"/>
                <w:lang w:val="en-US" w:eastAsia="zh-CN" w:bidi="ar"/>
              </w:rPr>
              <w:t>5、</w:t>
            </w:r>
            <w:r>
              <w:rPr>
                <w:rStyle w:val="56"/>
                <w:sz w:val="20"/>
                <w:szCs w:val="20"/>
                <w:lang w:val="en-US" w:eastAsia="zh-CN" w:bidi="ar"/>
              </w:rPr>
              <w:t>多段速度设计，工作状态线性平稳</w:t>
            </w:r>
            <w:r>
              <w:rPr>
                <w:rStyle w:val="55"/>
                <w:sz w:val="20"/>
                <w:szCs w:val="20"/>
                <w:lang w:val="en-US" w:eastAsia="zh-CN" w:bidi="ar"/>
              </w:rPr>
              <w:t>，工作噪音低于50db;</w:t>
            </w:r>
            <w:r>
              <w:rPr>
                <w:rStyle w:val="55"/>
                <w:sz w:val="20"/>
                <w:szCs w:val="20"/>
                <w:lang w:val="en-US" w:eastAsia="zh-CN" w:bidi="ar"/>
              </w:rPr>
              <w:br w:type="textWrapping"/>
            </w:r>
            <w:r>
              <w:rPr>
                <w:rStyle w:val="55"/>
                <w:sz w:val="20"/>
                <w:szCs w:val="20"/>
                <w:lang w:val="en-US" w:eastAsia="zh-CN" w:bidi="ar"/>
              </w:rPr>
              <w:t>6、电机过流、过载、短路保护，电机故障保护，电源反接保护；</w:t>
            </w:r>
            <w:r>
              <w:rPr>
                <w:rStyle w:val="55"/>
                <w:sz w:val="20"/>
                <w:szCs w:val="20"/>
                <w:lang w:val="en-US" w:eastAsia="zh-CN" w:bidi="ar"/>
              </w:rPr>
              <w:br w:type="textWrapping"/>
            </w:r>
            <w:r>
              <w:rPr>
                <w:rStyle w:val="55"/>
                <w:sz w:val="20"/>
                <w:szCs w:val="20"/>
                <w:lang w:val="en-US" w:eastAsia="zh-CN" w:bidi="ar"/>
              </w:rPr>
              <w:t>7、各种参数可设，支持</w:t>
            </w:r>
            <w:r>
              <w:rPr>
                <w:rStyle w:val="56"/>
                <w:sz w:val="20"/>
                <w:szCs w:val="20"/>
                <w:lang w:val="en-US" w:eastAsia="zh-CN" w:bidi="ar"/>
              </w:rPr>
              <w:t>外接遥控器输入，开闸计数，车队模式，小角度屏蔽地感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出入口控制机</w:t>
            </w:r>
          </w:p>
        </w:tc>
        <w:tc>
          <w:tcPr>
            <w:tcW w:w="17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车牌识别一体机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431800</wp:posOffset>
                  </wp:positionH>
                  <wp:positionV relativeFrom="paragraph">
                    <wp:posOffset>280670</wp:posOffset>
                  </wp:positionV>
                  <wp:extent cx="969645" cy="1328420"/>
                  <wp:effectExtent l="0" t="0" r="1905" b="5080"/>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47"/>
                          <a:stretch>
                            <a:fillRect/>
                          </a:stretch>
                        </pic:blipFill>
                        <pic:spPr>
                          <a:xfrm>
                            <a:off x="0" y="0"/>
                            <a:ext cx="969645" cy="1328420"/>
                          </a:xfrm>
                          <a:prstGeom prst="rect">
                            <a:avLst/>
                          </a:prstGeom>
                          <a:noFill/>
                          <a:ln>
                            <a:noFill/>
                          </a:ln>
                        </pic:spPr>
                      </pic:pic>
                    </a:graphicData>
                  </a:graphic>
                </wp:anchor>
              </w:drawing>
            </w: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臻识500万C5高清车牌识别摄像机，支持车牌防伪输出。（目前市场上做停车场车牌识别最佳相机）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玫瑰金一体化机箱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光感应自动补光灯12颗高亮灯珠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DP606</w:t>
            </w: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四行屏横屏双模收费显示屏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Style w:val="55"/>
                <w:sz w:val="20"/>
                <w:szCs w:val="20"/>
                <w:lang w:val="en-US" w:eastAsia="zh-CN" w:bidi="ar"/>
              </w:rPr>
              <w:t>支持</w:t>
            </w:r>
            <w:r>
              <w:rPr>
                <w:rStyle w:val="56"/>
                <w:sz w:val="20"/>
                <w:szCs w:val="20"/>
                <w:lang w:val="en-US" w:eastAsia="zh-CN" w:bidi="ar"/>
              </w:rPr>
              <w:t>TTS智能语音系统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系统专用品牌电源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系统控制主板，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5" w:hRule="atLeast"/>
        </w:trPr>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79G微波防砸雷达</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sz w:val="20"/>
                <w:szCs w:val="20"/>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326390</wp:posOffset>
                  </wp:positionV>
                  <wp:extent cx="1475740" cy="740410"/>
                  <wp:effectExtent l="0" t="0" r="10160" b="2540"/>
                  <wp:wrapNone/>
                  <wp:docPr id="17" name="图片_6"/>
                  <wp:cNvGraphicFramePr/>
                  <a:graphic xmlns:a="http://schemas.openxmlformats.org/drawingml/2006/main">
                    <a:graphicData uri="http://schemas.openxmlformats.org/drawingml/2006/picture">
                      <pic:pic xmlns:pic="http://schemas.openxmlformats.org/drawingml/2006/picture">
                        <pic:nvPicPr>
                          <pic:cNvPr id="17" name="图片_6"/>
                          <pic:cNvPicPr/>
                        </pic:nvPicPr>
                        <pic:blipFill>
                          <a:blip r:embed="rId48"/>
                          <a:stretch>
                            <a:fillRect/>
                          </a:stretch>
                        </pic:blipFill>
                        <pic:spPr>
                          <a:xfrm>
                            <a:off x="0" y="0"/>
                            <a:ext cx="1475740" cy="740410"/>
                          </a:xfrm>
                          <a:prstGeom prst="rect">
                            <a:avLst/>
                          </a:prstGeom>
                          <a:noFill/>
                          <a:ln>
                            <a:noFill/>
                          </a:ln>
                        </pic:spPr>
                      </pic:pic>
                    </a:graphicData>
                  </a:graphic>
                </wp:anchor>
              </w:drawing>
            </w: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工作电压:9v~36v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功耗：0.96w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输出信号：开关量</w:t>
            </w:r>
            <w:r>
              <w:rPr>
                <w:rFonts w:hint="eastAsia" w:ascii="宋体" w:hAnsi="宋体" w:eastAsia="宋体" w:cs="宋体"/>
                <w:i w:val="0"/>
                <w:iCs w:val="0"/>
                <w:color w:val="000000"/>
                <w:kern w:val="0"/>
                <w:sz w:val="20"/>
                <w:szCs w:val="20"/>
                <w:u w:val="none"/>
                <w:lang w:val="en-US" w:eastAsia="zh-CN" w:bidi="ar"/>
              </w:rPr>
              <w:br w:type="textWrapping"/>
            </w:r>
            <w:r>
              <w:rPr>
                <w:rStyle w:val="57"/>
                <w:rFonts w:ascii="宋体" w:hAnsi="宋体" w:eastAsia="宋体" w:cs="宋体"/>
                <w:sz w:val="20"/>
                <w:szCs w:val="20"/>
                <w:lang w:val="en-US" w:eastAsia="zh-CN" w:bidi="ar"/>
              </w:rPr>
              <w:t>垂直方向波：20°</w:t>
            </w:r>
            <w:r>
              <w:rPr>
                <w:rStyle w:val="57"/>
                <w:rFonts w:ascii="宋体" w:hAnsi="宋体" w:eastAsia="宋体" w:cs="宋体"/>
                <w:sz w:val="20"/>
                <w:szCs w:val="20"/>
                <w:lang w:val="en-US" w:eastAsia="zh-CN" w:bidi="ar"/>
              </w:rPr>
              <w:br w:type="textWrapping"/>
            </w:r>
            <w:r>
              <w:rPr>
                <w:rStyle w:val="57"/>
                <w:rFonts w:ascii="宋体" w:hAnsi="宋体" w:eastAsia="宋体" w:cs="宋体"/>
                <w:sz w:val="20"/>
                <w:szCs w:val="20"/>
                <w:lang w:val="en-US" w:eastAsia="zh-CN" w:bidi="ar"/>
              </w:rPr>
              <w:t>水平方向波：120°</w:t>
            </w:r>
            <w:r>
              <w:rPr>
                <w:rStyle w:val="57"/>
                <w:rFonts w:ascii="宋体" w:hAnsi="宋体" w:eastAsia="宋体" w:cs="宋体"/>
                <w:sz w:val="20"/>
                <w:szCs w:val="20"/>
                <w:lang w:val="en-US" w:eastAsia="zh-CN" w:bidi="ar"/>
              </w:rPr>
              <w:br w:type="textWrapping"/>
            </w:r>
            <w:r>
              <w:rPr>
                <w:rStyle w:val="57"/>
                <w:rFonts w:ascii="宋体" w:hAnsi="宋体" w:eastAsia="宋体" w:cs="宋体"/>
                <w:sz w:val="20"/>
                <w:szCs w:val="20"/>
                <w:lang w:val="en-US" w:eastAsia="zh-CN" w:bidi="ar"/>
              </w:rPr>
              <w:t>车辆检测概率≥99.99%</w:t>
            </w:r>
            <w:r>
              <w:rPr>
                <w:rStyle w:val="57"/>
                <w:rFonts w:ascii="宋体" w:hAnsi="宋体" w:eastAsia="宋体" w:cs="宋体"/>
                <w:sz w:val="20"/>
                <w:szCs w:val="20"/>
                <w:lang w:val="en-US" w:eastAsia="zh-CN" w:bidi="ar"/>
              </w:rPr>
              <w:br w:type="textWrapping"/>
            </w:r>
            <w:r>
              <w:rPr>
                <w:rStyle w:val="57"/>
                <w:rFonts w:ascii="宋体" w:hAnsi="宋体" w:eastAsia="宋体" w:cs="宋体"/>
                <w:sz w:val="20"/>
                <w:szCs w:val="20"/>
                <w:lang w:val="en-US" w:eastAsia="zh-CN" w:bidi="ar"/>
              </w:rPr>
              <w:t>行人检测概率≥99.99%</w:t>
            </w:r>
            <w:r>
              <w:rPr>
                <w:rStyle w:val="57"/>
                <w:rFonts w:ascii="宋体" w:hAnsi="宋体" w:eastAsia="宋体" w:cs="宋体"/>
                <w:sz w:val="20"/>
                <w:szCs w:val="20"/>
                <w:lang w:val="en-US" w:eastAsia="zh-CN" w:bidi="ar"/>
              </w:rPr>
              <w:br w:type="textWrapping"/>
            </w:r>
            <w:r>
              <w:rPr>
                <w:rStyle w:val="57"/>
                <w:rFonts w:ascii="宋体" w:hAnsi="宋体" w:eastAsia="宋体" w:cs="宋体"/>
                <w:sz w:val="20"/>
                <w:szCs w:val="20"/>
                <w:lang w:val="en-US" w:eastAsia="zh-CN" w:bidi="ar"/>
              </w:rPr>
              <w:t>检测距离范围：0.5M~7M水平检测距离范围：-1~1m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6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人员通道管理部分</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翼闸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单机芯</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YX-518</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158115</wp:posOffset>
                  </wp:positionV>
                  <wp:extent cx="791845" cy="642620"/>
                  <wp:effectExtent l="0" t="0" r="8255" b="5080"/>
                  <wp:wrapNone/>
                  <wp:docPr id="18" name="图片_1_SpCnt_1"/>
                  <wp:cNvGraphicFramePr/>
                  <a:graphic xmlns:a="http://schemas.openxmlformats.org/drawingml/2006/main">
                    <a:graphicData uri="http://schemas.openxmlformats.org/drawingml/2006/picture">
                      <pic:pic xmlns:pic="http://schemas.openxmlformats.org/drawingml/2006/picture">
                        <pic:nvPicPr>
                          <pic:cNvPr id="18" name="图片_1_SpCnt_1"/>
                          <pic:cNvPicPr/>
                        </pic:nvPicPr>
                        <pic:blipFill>
                          <a:blip r:embed="rId49"/>
                          <a:stretch>
                            <a:fillRect/>
                          </a:stretch>
                        </pic:blipFill>
                        <pic:spPr>
                          <a:xfrm>
                            <a:off x="0" y="0"/>
                            <a:ext cx="791845" cy="642620"/>
                          </a:xfrm>
                          <a:prstGeom prst="rect">
                            <a:avLst/>
                          </a:prstGeom>
                          <a:noFill/>
                          <a:ln>
                            <a:noFill/>
                          </a:ln>
                        </pic:spPr>
                      </pic:pic>
                    </a:graphicData>
                  </a:graphic>
                </wp:anchor>
              </w:drawing>
            </w: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直流有刷电机，</w:t>
            </w:r>
            <w:r>
              <w:rPr>
                <w:rStyle w:val="57"/>
                <w:rFonts w:ascii="宋体" w:hAnsi="宋体" w:eastAsia="宋体" w:cs="宋体"/>
                <w:sz w:val="20"/>
                <w:szCs w:val="20"/>
                <w:lang w:val="en-US" w:eastAsia="zh-CN" w:bidi="ar"/>
              </w:rPr>
              <w:t>每通道标准5对红外</w:t>
            </w:r>
            <w:r>
              <w:rPr>
                <w:rFonts w:hint="eastAsia" w:ascii="宋体" w:hAnsi="宋体" w:eastAsia="宋体" w:cs="宋体"/>
                <w:i w:val="0"/>
                <w:iCs w:val="0"/>
                <w:color w:val="000000"/>
                <w:kern w:val="0"/>
                <w:sz w:val="20"/>
                <w:szCs w:val="20"/>
                <w:u w:val="none"/>
                <w:lang w:val="en-US" w:eastAsia="zh-CN" w:bidi="ar"/>
              </w:rPr>
              <w:t>；防尾随，防反向，防闯入，双重防夹，外壳采用</w:t>
            </w:r>
            <w:r>
              <w:rPr>
                <w:rStyle w:val="57"/>
                <w:rFonts w:ascii="宋体" w:hAnsi="宋体" w:eastAsia="宋体" w:cs="宋体"/>
                <w:sz w:val="20"/>
                <w:szCs w:val="20"/>
                <w:lang w:val="en-US" w:eastAsia="zh-CN" w:bidi="ar"/>
              </w:rPr>
              <w:t>国标304不锈钢机箱厚度1.5</w:t>
            </w: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人脸识别机（带亚克力透明防水罩）</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YX-M118</w:t>
            </w: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161925</wp:posOffset>
                  </wp:positionV>
                  <wp:extent cx="1858010" cy="2300605"/>
                  <wp:effectExtent l="0" t="0" r="8890" b="4445"/>
                  <wp:wrapNone/>
                  <wp:docPr id="19" name="图片_2_SpCnt_1"/>
                  <wp:cNvGraphicFramePr/>
                  <a:graphic xmlns:a="http://schemas.openxmlformats.org/drawingml/2006/main">
                    <a:graphicData uri="http://schemas.openxmlformats.org/drawingml/2006/picture">
                      <pic:pic xmlns:pic="http://schemas.openxmlformats.org/drawingml/2006/picture">
                        <pic:nvPicPr>
                          <pic:cNvPr id="19" name="图片_2_SpCnt_1"/>
                          <pic:cNvPicPr/>
                        </pic:nvPicPr>
                        <pic:blipFill>
                          <a:blip r:embed="rId50"/>
                          <a:stretch>
                            <a:fillRect/>
                          </a:stretch>
                        </pic:blipFill>
                        <pic:spPr>
                          <a:xfrm>
                            <a:off x="0" y="0"/>
                            <a:ext cx="1858010" cy="2300605"/>
                          </a:xfrm>
                          <a:prstGeom prst="rect">
                            <a:avLst/>
                          </a:prstGeom>
                          <a:noFill/>
                          <a:ln>
                            <a:noFill/>
                          </a:ln>
                        </pic:spPr>
                      </pic:pic>
                    </a:graphicData>
                  </a:graphic>
                </wp:anchor>
              </w:drawing>
            </w:r>
          </w:p>
        </w:tc>
        <w:tc>
          <w:tcPr>
            <w:tcW w:w="7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0"/>
                <w:szCs w:val="20"/>
                <w:u w:val="none"/>
              </w:rPr>
            </w:pPr>
            <w:r>
              <w:rPr>
                <w:rStyle w:val="58"/>
                <w:sz w:val="20"/>
                <w:szCs w:val="20"/>
                <w:lang w:val="en-US" w:eastAsia="zh-CN" w:bidi="ar"/>
              </w:rPr>
              <w:t>1.手机小程序录人脸，刷脸打卡，查询打卡记录，可实时打卡统计，每月打卡统计，导出报表</w:t>
            </w:r>
            <w:r>
              <w:rPr>
                <w:rStyle w:val="58"/>
                <w:sz w:val="20"/>
                <w:szCs w:val="20"/>
                <w:lang w:val="en-US" w:eastAsia="zh-CN" w:bidi="ar"/>
              </w:rPr>
              <w:br w:type="textWrapping"/>
            </w:r>
            <w:r>
              <w:rPr>
                <w:rStyle w:val="58"/>
                <w:sz w:val="20"/>
                <w:szCs w:val="20"/>
                <w:lang w:val="en-US" w:eastAsia="zh-CN" w:bidi="ar"/>
              </w:rPr>
              <w:t>2.人脸识别开门功能支持后台开关配置</w:t>
            </w:r>
            <w:r>
              <w:rPr>
                <w:rStyle w:val="58"/>
                <w:sz w:val="20"/>
                <w:szCs w:val="20"/>
                <w:lang w:val="en-US" w:eastAsia="zh-CN" w:bidi="ar"/>
              </w:rPr>
              <w:br w:type="textWrapping"/>
            </w:r>
            <w:r>
              <w:rPr>
                <w:rStyle w:val="58"/>
                <w:sz w:val="20"/>
                <w:szCs w:val="20"/>
                <w:lang w:val="en-US" w:eastAsia="zh-CN" w:bidi="ar"/>
              </w:rPr>
              <w:t>3.支持人脸开门，手机远程开门，扫码开门，密码开门，刷卡开门，呼叫手机号&amp;微信对讲电话，呼叫房号，呼叫管理处</w:t>
            </w:r>
            <w:r>
              <w:rPr>
                <w:rStyle w:val="58"/>
                <w:sz w:val="20"/>
                <w:szCs w:val="20"/>
                <w:lang w:val="en-US" w:eastAsia="zh-CN" w:bidi="ar"/>
              </w:rPr>
              <w:br w:type="textWrapping"/>
            </w:r>
            <w:r>
              <w:rPr>
                <w:rStyle w:val="58"/>
                <w:sz w:val="20"/>
                <w:szCs w:val="20"/>
                <w:lang w:val="en-US" w:eastAsia="zh-CN" w:bidi="ar"/>
              </w:rPr>
              <w:t xml:space="preserve">1、面板材质：全铝合金钢化玻璃 </w:t>
            </w:r>
            <w:r>
              <w:rPr>
                <w:rStyle w:val="58"/>
                <w:sz w:val="20"/>
                <w:szCs w:val="20"/>
                <w:lang w:val="en-US" w:eastAsia="zh-CN" w:bidi="ar"/>
              </w:rPr>
              <w:br w:type="textWrapping"/>
            </w:r>
            <w:r>
              <w:rPr>
                <w:rStyle w:val="58"/>
                <w:sz w:val="20"/>
                <w:szCs w:val="20"/>
                <w:lang w:val="en-US" w:eastAsia="zh-CN" w:bidi="ar"/>
              </w:rPr>
              <w:t xml:space="preserve"> 2、显示屏：8英寸触摸超清显示屏                                  </w:t>
            </w:r>
            <w:r>
              <w:rPr>
                <w:rStyle w:val="58"/>
                <w:sz w:val="20"/>
                <w:szCs w:val="20"/>
                <w:lang w:val="en-US" w:eastAsia="zh-CN" w:bidi="ar"/>
              </w:rPr>
              <w:br w:type="textWrapping"/>
            </w:r>
            <w:r>
              <w:rPr>
                <w:rStyle w:val="58"/>
                <w:sz w:val="20"/>
                <w:szCs w:val="20"/>
                <w:lang w:val="en-US" w:eastAsia="zh-CN" w:bidi="ar"/>
              </w:rPr>
              <w:t>3、分辨率：1280*800</w:t>
            </w:r>
            <w:r>
              <w:rPr>
                <w:rStyle w:val="58"/>
                <w:sz w:val="20"/>
                <w:szCs w:val="20"/>
                <w:lang w:val="en-US" w:eastAsia="zh-CN" w:bidi="ar"/>
              </w:rPr>
              <w:br w:type="textWrapping"/>
            </w:r>
            <w:r>
              <w:rPr>
                <w:rStyle w:val="58"/>
                <w:sz w:val="20"/>
                <w:szCs w:val="20"/>
                <w:lang w:val="en-US" w:eastAsia="zh-CN" w:bidi="ar"/>
              </w:rPr>
              <w:t xml:space="preserve">4、处理器： </w:t>
            </w:r>
            <w:r>
              <w:rPr>
                <w:rStyle w:val="59"/>
                <w:sz w:val="20"/>
                <w:szCs w:val="20"/>
                <w:lang w:val="en-US" w:eastAsia="zh-CN" w:bidi="ar"/>
              </w:rPr>
              <w:t>瑞芯微3568主芯片方案，内存 标配 2G+16G</w:t>
            </w:r>
            <w:r>
              <w:rPr>
                <w:rStyle w:val="58"/>
                <w:sz w:val="20"/>
                <w:szCs w:val="20"/>
                <w:lang w:val="en-US" w:eastAsia="zh-CN" w:bidi="ar"/>
              </w:rPr>
              <w:br w:type="textWrapping"/>
            </w:r>
            <w:r>
              <w:rPr>
                <w:rStyle w:val="58"/>
                <w:sz w:val="20"/>
                <w:szCs w:val="20"/>
                <w:lang w:val="en-US" w:eastAsia="zh-CN" w:bidi="ar"/>
              </w:rPr>
              <w:t>5、双目摄像头：200W像素宽动态，抗逆光，超宽动态效果，自适应各种复杂光线场景</w:t>
            </w:r>
            <w:r>
              <w:rPr>
                <w:rStyle w:val="58"/>
                <w:sz w:val="20"/>
                <w:szCs w:val="20"/>
                <w:lang w:val="en-US" w:eastAsia="zh-CN" w:bidi="ar"/>
              </w:rPr>
              <w:br w:type="textWrapping"/>
            </w:r>
            <w:r>
              <w:rPr>
                <w:rStyle w:val="58"/>
                <w:sz w:val="20"/>
                <w:szCs w:val="20"/>
                <w:lang w:val="en-US" w:eastAsia="zh-CN" w:bidi="ar"/>
              </w:rPr>
              <w:t>6、操作系统： 安卓系统11，系统可远程升级、重启等；</w:t>
            </w:r>
            <w:r>
              <w:rPr>
                <w:rStyle w:val="58"/>
                <w:sz w:val="20"/>
                <w:szCs w:val="20"/>
                <w:lang w:val="en-US" w:eastAsia="zh-CN" w:bidi="ar"/>
              </w:rPr>
              <w:br w:type="textWrapping"/>
            </w:r>
            <w:r>
              <w:rPr>
                <w:rStyle w:val="58"/>
                <w:sz w:val="20"/>
                <w:szCs w:val="20"/>
                <w:lang w:val="en-US" w:eastAsia="zh-CN" w:bidi="ar"/>
              </w:rPr>
              <w:t>7、设备功耗：15W</w:t>
            </w:r>
            <w:r>
              <w:rPr>
                <w:rStyle w:val="58"/>
                <w:sz w:val="20"/>
                <w:szCs w:val="20"/>
                <w:lang w:val="en-US" w:eastAsia="zh-CN" w:bidi="ar"/>
              </w:rPr>
              <w:br w:type="textWrapping"/>
            </w:r>
            <w:r>
              <w:rPr>
                <w:rStyle w:val="58"/>
                <w:sz w:val="20"/>
                <w:szCs w:val="20"/>
                <w:lang w:val="en-US" w:eastAsia="zh-CN" w:bidi="ar"/>
              </w:rPr>
              <w:t>8、工作电压：DC12V±10%</w:t>
            </w:r>
            <w:r>
              <w:rPr>
                <w:rStyle w:val="58"/>
                <w:sz w:val="20"/>
                <w:szCs w:val="20"/>
                <w:lang w:val="en-US" w:eastAsia="zh-CN" w:bidi="ar"/>
              </w:rPr>
              <w:br w:type="textWrapping"/>
            </w:r>
            <w:r>
              <w:rPr>
                <w:rStyle w:val="58"/>
                <w:sz w:val="20"/>
                <w:szCs w:val="20"/>
                <w:lang w:val="en-US" w:eastAsia="zh-CN" w:bidi="ar"/>
              </w:rPr>
              <w:t>9. 外观尺寸：270mm*135mm*25mm</w:t>
            </w:r>
            <w:r>
              <w:rPr>
                <w:rStyle w:val="58"/>
                <w:sz w:val="20"/>
                <w:szCs w:val="20"/>
                <w:lang w:val="en-US" w:eastAsia="zh-CN" w:bidi="ar"/>
              </w:rPr>
              <w:br w:type="textWrapping"/>
            </w:r>
            <w:r>
              <w:rPr>
                <w:rStyle w:val="58"/>
                <w:sz w:val="20"/>
                <w:szCs w:val="20"/>
                <w:lang w:val="en-US" w:eastAsia="zh-CN" w:bidi="ar"/>
              </w:rPr>
              <w:t>10、</w:t>
            </w:r>
            <w:r>
              <w:rPr>
                <w:rStyle w:val="59"/>
                <w:sz w:val="20"/>
                <w:szCs w:val="20"/>
                <w:lang w:val="en-US" w:eastAsia="zh-CN" w:bidi="ar"/>
              </w:rPr>
              <w:t>采用1/2.8” BSI超低照度索尼感光器</w:t>
            </w:r>
            <w:r>
              <w:rPr>
                <w:rStyle w:val="58"/>
                <w:sz w:val="20"/>
                <w:szCs w:val="20"/>
                <w:lang w:val="en-US" w:eastAsia="zh-CN" w:bidi="ar"/>
              </w:rPr>
              <w:br w:type="textWrapping"/>
            </w:r>
            <w:r>
              <w:rPr>
                <w:rStyle w:val="58"/>
                <w:sz w:val="20"/>
                <w:szCs w:val="20"/>
                <w:lang w:val="en-US" w:eastAsia="zh-CN" w:bidi="ar"/>
              </w:rPr>
              <w:t>11. 最大分辨1920*1080@30FPS，高清实时</w:t>
            </w:r>
            <w:r>
              <w:rPr>
                <w:rStyle w:val="58"/>
                <w:sz w:val="20"/>
                <w:szCs w:val="20"/>
                <w:lang w:val="en-US" w:eastAsia="zh-CN" w:bidi="ar"/>
              </w:rPr>
              <w:br w:type="textWrapping"/>
            </w:r>
            <w:r>
              <w:rPr>
                <w:rStyle w:val="58"/>
                <w:sz w:val="20"/>
                <w:szCs w:val="20"/>
                <w:lang w:val="en-US" w:eastAsia="zh-CN" w:bidi="ar"/>
              </w:rPr>
              <w:t>12、内嵌深度学习人脸检测及识别算法</w:t>
            </w:r>
            <w:r>
              <w:rPr>
                <w:rStyle w:val="58"/>
                <w:sz w:val="20"/>
                <w:szCs w:val="20"/>
                <w:lang w:val="en-US" w:eastAsia="zh-CN" w:bidi="ar"/>
              </w:rPr>
              <w:br w:type="textWrapping"/>
            </w:r>
            <w:r>
              <w:rPr>
                <w:rStyle w:val="58"/>
                <w:sz w:val="20"/>
                <w:szCs w:val="20"/>
                <w:lang w:val="en-US" w:eastAsia="zh-CN" w:bidi="ar"/>
              </w:rPr>
              <w:t>13、支持2万张人脸库，秒级比对. 1：N混合模式</w:t>
            </w:r>
            <w:r>
              <w:rPr>
                <w:rStyle w:val="58"/>
                <w:sz w:val="20"/>
                <w:szCs w:val="20"/>
                <w:lang w:val="en-US" w:eastAsia="zh-CN" w:bidi="ar"/>
              </w:rPr>
              <w:br w:type="textWrapping"/>
            </w:r>
            <w:r>
              <w:rPr>
                <w:rStyle w:val="58"/>
                <w:sz w:val="20"/>
                <w:szCs w:val="20"/>
                <w:lang w:val="en-US" w:eastAsia="zh-CN" w:bidi="ar"/>
              </w:rPr>
              <w:t>14、</w:t>
            </w:r>
            <w:r>
              <w:rPr>
                <w:rStyle w:val="59"/>
                <w:sz w:val="20"/>
                <w:szCs w:val="20"/>
                <w:lang w:val="en-US" w:eastAsia="zh-CN" w:bidi="ar"/>
              </w:rPr>
              <w:t>识别准确率高达99.9%</w:t>
            </w:r>
            <w:r>
              <w:rPr>
                <w:rStyle w:val="58"/>
                <w:sz w:val="20"/>
                <w:szCs w:val="20"/>
                <w:lang w:val="en-US" w:eastAsia="zh-CN" w:bidi="ar"/>
              </w:rPr>
              <w:t xml:space="preserve">，实现精准识别  </w:t>
            </w:r>
            <w:r>
              <w:rPr>
                <w:rStyle w:val="58"/>
                <w:sz w:val="20"/>
                <w:szCs w:val="20"/>
                <w:lang w:val="en-US" w:eastAsia="zh-CN" w:bidi="ar"/>
              </w:rPr>
              <w:br w:type="textWrapping"/>
            </w:r>
            <w:r>
              <w:rPr>
                <w:rStyle w:val="58"/>
                <w:sz w:val="20"/>
                <w:szCs w:val="20"/>
                <w:lang w:val="en-US" w:eastAsia="zh-CN" w:bidi="ar"/>
              </w:rPr>
              <w:t>15、支持活体检测，无惧强光逆光、低照度复杂环境</w:t>
            </w:r>
            <w:r>
              <w:rPr>
                <w:rStyle w:val="58"/>
                <w:sz w:val="20"/>
                <w:szCs w:val="20"/>
                <w:lang w:val="en-US" w:eastAsia="zh-CN" w:bidi="ar"/>
              </w:rPr>
              <w:br w:type="textWrapping"/>
            </w:r>
            <w:r>
              <w:rPr>
                <w:rStyle w:val="58"/>
                <w:sz w:val="20"/>
                <w:szCs w:val="20"/>
                <w:lang w:val="en-US" w:eastAsia="zh-CN" w:bidi="ar"/>
              </w:rPr>
              <w:t>16.</w:t>
            </w:r>
            <w:r>
              <w:rPr>
                <w:rStyle w:val="59"/>
                <w:sz w:val="20"/>
                <w:szCs w:val="20"/>
                <w:lang w:val="en-US" w:eastAsia="zh-CN" w:bidi="ar"/>
              </w:rPr>
              <w:t>手机APP录人脸，刷脸打卡，查询打卡记录，可实时打卡统计，每月打卡统计，导出报表</w:t>
            </w:r>
            <w:r>
              <w:rPr>
                <w:rStyle w:val="58"/>
                <w:sz w:val="20"/>
                <w:szCs w:val="20"/>
                <w:lang w:val="en-US" w:eastAsia="zh-CN" w:bidi="ar"/>
              </w:rPr>
              <w:br w:type="textWrapping"/>
            </w:r>
            <w:r>
              <w:rPr>
                <w:rStyle w:val="58"/>
                <w:sz w:val="20"/>
                <w:szCs w:val="20"/>
                <w:lang w:val="en-US" w:eastAsia="zh-CN" w:bidi="ar"/>
              </w:rPr>
              <w:t>17.</w:t>
            </w:r>
            <w:r>
              <w:rPr>
                <w:rStyle w:val="59"/>
                <w:sz w:val="20"/>
                <w:szCs w:val="20"/>
                <w:lang w:val="en-US" w:eastAsia="zh-CN" w:bidi="ar"/>
              </w:rPr>
              <w:t>人脸识别开门功能支持后台开关配置</w:t>
            </w:r>
            <w:r>
              <w:rPr>
                <w:rStyle w:val="58"/>
                <w:sz w:val="20"/>
                <w:szCs w:val="20"/>
                <w:lang w:val="en-US" w:eastAsia="zh-CN" w:bidi="ar"/>
              </w:rPr>
              <w:br w:type="textWrapping"/>
            </w:r>
            <w:r>
              <w:rPr>
                <w:rStyle w:val="58"/>
                <w:sz w:val="20"/>
                <w:szCs w:val="20"/>
                <w:lang w:val="en-US" w:eastAsia="zh-CN" w:bidi="ar"/>
              </w:rPr>
              <w:t>18.</w:t>
            </w:r>
            <w:r>
              <w:rPr>
                <w:rStyle w:val="59"/>
                <w:sz w:val="20"/>
                <w:szCs w:val="20"/>
                <w:lang w:val="en-US" w:eastAsia="zh-CN" w:bidi="ar"/>
              </w:rPr>
              <w:t>支持人脸开门，手机远程开门，扫码开门，密码开门，刷卡开门，呼叫手机号，呼叫房号，呼叫管理处</w:t>
            </w:r>
            <w:r>
              <w:rPr>
                <w:rStyle w:val="58"/>
                <w:sz w:val="20"/>
                <w:szCs w:val="20"/>
                <w:lang w:val="en-US" w:eastAsia="zh-CN" w:bidi="ar"/>
              </w:rPr>
              <w:br w:type="textWrapping"/>
            </w:r>
            <w:r>
              <w:rPr>
                <w:rStyle w:val="58"/>
                <w:sz w:val="20"/>
                <w:szCs w:val="20"/>
                <w:lang w:val="en-US" w:eastAsia="zh-CN" w:bidi="ar"/>
              </w:rPr>
              <w:t>工作温度：-10℃—50℃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管理设备及线材部分</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sz w:val="20"/>
                <w:szCs w:val="20"/>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管理电脑</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CPU Intel酷睿i5主频</w:t>
            </w:r>
            <w:r>
              <w:rPr>
                <w:rStyle w:val="59"/>
                <w:rFonts w:hint="eastAsia" w:ascii="宋体" w:hAnsi="宋体" w:eastAsia="宋体" w:cs="宋体"/>
                <w:i w:val="0"/>
                <w:iCs w:val="0"/>
                <w:color w:val="000000"/>
                <w:sz w:val="20"/>
                <w:szCs w:val="20"/>
                <w:u w:val="none"/>
                <w:lang w:val="en-US" w:eastAsia="zh-CN" w:bidi="ar"/>
              </w:rPr>
              <w:t>不低于</w:t>
            </w:r>
            <w:r>
              <w:rPr>
                <w:rStyle w:val="59"/>
                <w:rFonts w:hint="eastAsia" w:ascii="宋体" w:hAnsi="宋体" w:eastAsia="宋体" w:cs="宋体"/>
                <w:i w:val="0"/>
                <w:iCs w:val="0"/>
                <w:color w:val="000000"/>
                <w:sz w:val="20"/>
                <w:szCs w:val="20"/>
                <w:u w:val="none"/>
                <w:lang w:bidi="ar"/>
              </w:rPr>
              <w:t>3.2GHz睿频</w:t>
            </w:r>
            <w:r>
              <w:rPr>
                <w:rStyle w:val="59"/>
                <w:rFonts w:hint="eastAsia" w:ascii="宋体" w:hAnsi="宋体" w:eastAsia="宋体" w:cs="宋体"/>
                <w:i w:val="0"/>
                <w:iCs w:val="0"/>
                <w:color w:val="000000"/>
                <w:sz w:val="20"/>
                <w:szCs w:val="20"/>
                <w:u w:val="none"/>
                <w:lang w:val="en-US" w:eastAsia="zh-CN" w:bidi="ar"/>
              </w:rPr>
              <w:t>不低于</w:t>
            </w:r>
            <w:r>
              <w:rPr>
                <w:rStyle w:val="59"/>
                <w:rFonts w:hint="eastAsia" w:ascii="宋体" w:hAnsi="宋体" w:eastAsia="宋体" w:cs="宋体"/>
                <w:i w:val="0"/>
                <w:iCs w:val="0"/>
                <w:color w:val="000000"/>
                <w:sz w:val="20"/>
                <w:szCs w:val="20"/>
                <w:u w:val="none"/>
                <w:lang w:bidi="ar"/>
              </w:rPr>
              <w:t>3.6GHZ</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 xml:space="preserve">主板 </w:t>
            </w:r>
            <w:r>
              <w:rPr>
                <w:rStyle w:val="59"/>
                <w:rFonts w:hint="eastAsia" w:ascii="宋体" w:hAnsi="宋体" w:eastAsia="宋体" w:cs="宋体"/>
                <w:i w:val="0"/>
                <w:iCs w:val="0"/>
                <w:color w:val="000000"/>
                <w:sz w:val="20"/>
                <w:szCs w:val="20"/>
                <w:u w:val="none"/>
                <w:lang w:val="en-US" w:eastAsia="zh-CN" w:bidi="ar"/>
              </w:rPr>
              <w:t>不低于</w:t>
            </w:r>
            <w:r>
              <w:rPr>
                <w:rStyle w:val="59"/>
                <w:rFonts w:hint="eastAsia" w:ascii="宋体" w:hAnsi="宋体" w:eastAsia="宋体" w:cs="宋体"/>
                <w:i w:val="0"/>
                <w:iCs w:val="0"/>
                <w:color w:val="000000"/>
                <w:sz w:val="20"/>
                <w:szCs w:val="20"/>
                <w:u w:val="none"/>
                <w:lang w:bidi="ar"/>
              </w:rPr>
              <w:t>Intel芯片H系列品质主板</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 xml:space="preserve">显卡 </w:t>
            </w:r>
            <w:r>
              <w:rPr>
                <w:rStyle w:val="59"/>
                <w:rFonts w:hint="eastAsia" w:ascii="宋体" w:hAnsi="宋体" w:eastAsia="宋体" w:cs="宋体"/>
                <w:i w:val="0"/>
                <w:iCs w:val="0"/>
                <w:color w:val="000000"/>
                <w:sz w:val="20"/>
                <w:szCs w:val="20"/>
                <w:u w:val="none"/>
                <w:lang w:val="en-US" w:eastAsia="zh-CN" w:bidi="ar"/>
              </w:rPr>
              <w:t>不低于</w:t>
            </w:r>
            <w:r>
              <w:rPr>
                <w:rStyle w:val="59"/>
                <w:rFonts w:hint="eastAsia" w:ascii="宋体" w:hAnsi="宋体" w:eastAsia="宋体" w:cs="宋体"/>
                <w:i w:val="0"/>
                <w:iCs w:val="0"/>
                <w:color w:val="000000"/>
                <w:sz w:val="20"/>
                <w:szCs w:val="20"/>
                <w:u w:val="none"/>
                <w:lang w:bidi="ar"/>
              </w:rPr>
              <w:t>Intel HD Graphics IO0E</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 xml:space="preserve">内存 </w:t>
            </w:r>
            <w:r>
              <w:rPr>
                <w:rStyle w:val="59"/>
                <w:rFonts w:hint="eastAsia" w:ascii="宋体" w:hAnsi="宋体" w:eastAsia="宋体" w:cs="宋体"/>
                <w:i w:val="0"/>
                <w:iCs w:val="0"/>
                <w:color w:val="000000"/>
                <w:sz w:val="20"/>
                <w:szCs w:val="20"/>
                <w:u w:val="none"/>
                <w:lang w:val="en-US" w:eastAsia="zh-CN" w:bidi="ar"/>
              </w:rPr>
              <w:t>不低于</w:t>
            </w:r>
            <w:r>
              <w:rPr>
                <w:rStyle w:val="59"/>
                <w:rFonts w:hint="eastAsia" w:ascii="宋体" w:hAnsi="宋体" w:eastAsia="宋体" w:cs="宋体"/>
                <w:i w:val="0"/>
                <w:iCs w:val="0"/>
                <w:color w:val="000000"/>
                <w:sz w:val="20"/>
                <w:szCs w:val="20"/>
                <w:u w:val="none"/>
                <w:lang w:bidi="ar"/>
              </w:rPr>
              <w:t>DDR3-1600-8G 硬盘 -256G固态硬盘</w:t>
            </w:r>
          </w:p>
          <w:p>
            <w:pPr>
              <w:widowControl/>
              <w:spacing w:line="240" w:lineRule="exact"/>
              <w:jc w:val="left"/>
              <w:textAlignment w:val="center"/>
              <w:rPr>
                <w:rFonts w:hint="eastAsia" w:ascii="宋体" w:hAnsi="宋体" w:eastAsia="宋体" w:cs="宋体"/>
                <w:i w:val="0"/>
                <w:iCs w:val="0"/>
                <w:color w:val="000000"/>
                <w:sz w:val="24"/>
                <w:szCs w:val="24"/>
                <w:u w:val="none"/>
              </w:rPr>
            </w:pPr>
            <w:r>
              <w:rPr>
                <w:rStyle w:val="59"/>
                <w:rFonts w:hint="eastAsia" w:ascii="宋体" w:hAnsi="宋体" w:eastAsia="宋体" w:cs="宋体"/>
                <w:i w:val="0"/>
                <w:iCs w:val="0"/>
                <w:color w:val="000000"/>
                <w:sz w:val="20"/>
                <w:szCs w:val="20"/>
                <w:u w:val="none"/>
                <w:lang w:bidi="ar"/>
              </w:rPr>
              <w:t>机箱 手提机箱 加厚面板 电源 额定300W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千兆网络交换机</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 xml:space="preserve">10/100/1000Base-T </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支持ERPS环网协议，RPL配置，支持环网数5，收敛时间≤50ms</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支持智能开局、异常告警、快速排障</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支持802.1Q VLAN、Port VLAN</w:t>
            </w:r>
          </w:p>
          <w:p>
            <w:pPr>
              <w:widowControl/>
              <w:spacing w:line="240" w:lineRule="exact"/>
              <w:jc w:val="left"/>
              <w:textAlignment w:val="center"/>
              <w:rPr>
                <w:rStyle w:val="59"/>
                <w:rFonts w:hint="eastAsia" w:ascii="宋体" w:hAnsi="宋体" w:eastAsia="宋体" w:cs="宋体"/>
                <w:i w:val="0"/>
                <w:iCs w:val="0"/>
                <w:color w:val="000000"/>
                <w:sz w:val="20"/>
                <w:szCs w:val="20"/>
                <w:u w:val="none"/>
                <w:lang w:bidi="ar"/>
              </w:rPr>
            </w:pPr>
            <w:r>
              <w:rPr>
                <w:rStyle w:val="59"/>
                <w:rFonts w:hint="eastAsia" w:ascii="宋体" w:hAnsi="宋体" w:eastAsia="宋体" w:cs="宋体"/>
                <w:i w:val="0"/>
                <w:iCs w:val="0"/>
                <w:color w:val="000000"/>
                <w:sz w:val="20"/>
                <w:szCs w:val="20"/>
                <w:u w:val="none"/>
                <w:lang w:bidi="ar"/>
              </w:rPr>
              <w:t>支持端口汇聚、端口流量统计、端口监控、线缆检测、环回保护</w:t>
            </w:r>
          </w:p>
          <w:p>
            <w:pPr>
              <w:widowControl/>
              <w:spacing w:line="240" w:lineRule="exact"/>
              <w:jc w:val="left"/>
              <w:textAlignment w:val="center"/>
              <w:rPr>
                <w:rFonts w:hint="eastAsia" w:ascii="宋体" w:hAnsi="宋体" w:eastAsia="宋体" w:cs="宋体"/>
                <w:i w:val="0"/>
                <w:iCs w:val="0"/>
                <w:color w:val="000000"/>
                <w:sz w:val="24"/>
                <w:szCs w:val="24"/>
                <w:u w:val="none"/>
              </w:rPr>
            </w:pPr>
            <w:r>
              <w:rPr>
                <w:rStyle w:val="59"/>
                <w:rFonts w:hint="eastAsia" w:ascii="宋体" w:hAnsi="宋体" w:eastAsia="宋体" w:cs="宋体"/>
                <w:i w:val="0"/>
                <w:iCs w:val="0"/>
                <w:color w:val="000000"/>
                <w:sz w:val="20"/>
                <w:szCs w:val="20"/>
                <w:u w:val="none"/>
                <w:lang w:bidi="ar"/>
              </w:rPr>
              <w:t>支持云管理、VLAN隔离、标准交换三种工作模式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车牌识别收费软件（含加密狗）</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3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FF0000"/>
                <w:sz w:val="20"/>
                <w:szCs w:val="20"/>
                <w:u w:val="none"/>
              </w:rPr>
            </w:pP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Style w:val="59"/>
                <w:rFonts w:hint="eastAsia" w:ascii="宋体" w:hAnsi="宋体" w:eastAsia="宋体" w:cs="宋体"/>
                <w:i w:val="0"/>
                <w:iCs w:val="0"/>
                <w:color w:val="000000"/>
                <w:sz w:val="20"/>
                <w:szCs w:val="20"/>
                <w:u w:val="none"/>
                <w:lang w:bidi="ar"/>
              </w:rPr>
              <w:t>停车管理软件专用秘钥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rPr>
                <w:rFonts w:hint="eastAsia" w:ascii="宋体" w:hAnsi="宋体" w:eastAsia="宋体" w:cs="宋体"/>
                <w:i w:val="0"/>
                <w:iCs w:val="0"/>
                <w:color w:val="000000"/>
                <w:sz w:val="24"/>
                <w:szCs w:val="24"/>
                <w:u w:val="none"/>
              </w:rPr>
            </w:pPr>
            <w:r>
              <w:rPr>
                <w:rFonts w:hint="eastAsia" w:ascii="宋体" w:hAnsi="宋体" w:eastAsia="宋体" w:cs="宋体"/>
                <w:i w:val="0"/>
                <w:iCs w:val="0"/>
                <w:color w:val="FF0000"/>
                <w:kern w:val="0"/>
                <w:sz w:val="20"/>
                <w:szCs w:val="20"/>
                <w:u w:val="none"/>
                <w:lang w:val="en-US" w:eastAsia="zh-CN" w:bidi="ar"/>
              </w:rPr>
              <w:t>车道显示屏可显示车牌、金额、余额、汉字信息和语音提示等，同时具有控制通行指示灯等功能。车道显示屏被广泛应用于高等级公路收费站、停车场等收费系统的费额显示。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b/>
                <w:bCs/>
                <w:i w:val="0"/>
                <w:iCs w:val="0"/>
                <w:color w:val="000000"/>
                <w:kern w:val="0"/>
                <w:sz w:val="20"/>
                <w:szCs w:val="20"/>
                <w:u w:val="none"/>
                <w:lang w:val="en-US" w:eastAsia="zh-CN" w:bidi="ar"/>
              </w:rPr>
              <w:t xml:space="preserve">l </w:t>
            </w:r>
            <w:r>
              <w:rPr>
                <w:rStyle w:val="60"/>
                <w:lang w:val="en-US" w:eastAsia="zh-CN" w:bidi="ar"/>
              </w:rPr>
              <w:t>设备配置：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61"/>
                <w:lang w:val="en-US" w:eastAsia="zh-CN" w:bidi="ar"/>
              </w:rPr>
              <w:t>箱体：采用大面积回形全密封防尘防水结构，材料为</w:t>
            </w:r>
            <w:r>
              <w:rPr>
                <w:rStyle w:val="62"/>
                <w:rFonts w:eastAsia="宋体"/>
                <w:lang w:val="en-US" w:eastAsia="zh-CN" w:bidi="ar"/>
              </w:rPr>
              <w:t>1.5mm</w:t>
            </w:r>
            <w:r>
              <w:rPr>
                <w:rStyle w:val="61"/>
                <w:lang w:val="en-US" w:eastAsia="zh-CN" w:bidi="ar"/>
              </w:rPr>
              <w:t>钣金，边框为玛瑙黑烤漆，整体下料，数控折弯成形，表面抗老化耐腐蚀，显示面为钢化玻璃材质，内部茶色贴膜，外部丝印白色字。立式安装，内置补光灯。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显示器件：采用高亮度贴片双色</w:t>
            </w:r>
            <w:r>
              <w:rPr>
                <w:rStyle w:val="63"/>
                <w:rFonts w:eastAsia="宋体"/>
                <w:lang w:val="en-US" w:eastAsia="zh-CN" w:bidi="ar"/>
              </w:rPr>
              <w:t>LED</w:t>
            </w:r>
            <w:r>
              <w:rPr>
                <w:rStyle w:val="55"/>
                <w:lang w:val="en-US" w:eastAsia="zh-CN" w:bidi="ar"/>
              </w:rPr>
              <w:t>发光器件，数字及字符可视距离大于</w:t>
            </w:r>
            <w:r>
              <w:rPr>
                <w:rStyle w:val="63"/>
                <w:rFonts w:eastAsia="宋体"/>
                <w:lang w:val="en-US" w:eastAsia="zh-CN" w:bidi="ar"/>
              </w:rPr>
              <w:t>30</w:t>
            </w:r>
            <w:r>
              <w:rPr>
                <w:rStyle w:val="55"/>
                <w:lang w:val="en-US" w:eastAsia="zh-CN" w:bidi="ar"/>
              </w:rPr>
              <w:t>米。四位</w:t>
            </w:r>
            <w:r>
              <w:rPr>
                <w:rStyle w:val="63"/>
                <w:rFonts w:eastAsia="宋体"/>
                <w:lang w:val="en-US" w:eastAsia="zh-CN" w:bidi="ar"/>
              </w:rPr>
              <w:t>16×16</w:t>
            </w:r>
            <w:r>
              <w:rPr>
                <w:rStyle w:val="55"/>
                <w:lang w:val="en-US" w:eastAsia="zh-CN" w:bidi="ar"/>
              </w:rPr>
              <w:t>点阵显示国标宋体汉字，内含国标二级字库共</w:t>
            </w:r>
            <w:r>
              <w:rPr>
                <w:rStyle w:val="63"/>
                <w:rFonts w:eastAsia="宋体"/>
                <w:lang w:val="en-US" w:eastAsia="zh-CN" w:bidi="ar"/>
              </w:rPr>
              <w:t>16384</w:t>
            </w:r>
            <w:r>
              <w:rPr>
                <w:rStyle w:val="55"/>
                <w:lang w:val="en-US" w:eastAsia="zh-CN" w:bidi="ar"/>
              </w:rPr>
              <w:t>个汉字和字符，超过</w:t>
            </w:r>
            <w:r>
              <w:rPr>
                <w:rStyle w:val="63"/>
                <w:rFonts w:eastAsia="宋体"/>
                <w:lang w:val="en-US" w:eastAsia="zh-CN" w:bidi="ar"/>
              </w:rPr>
              <w:t>8</w:t>
            </w:r>
            <w:r>
              <w:rPr>
                <w:rStyle w:val="55"/>
                <w:lang w:val="en-US" w:eastAsia="zh-CN" w:bidi="ar"/>
              </w:rPr>
              <w:t>字符自动左移滚屏。四种显示方式（向下移动、向上移动、水平移动、固定显示）。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红绿交通灯：采用超高亮双色表贴</w:t>
            </w:r>
            <w:r>
              <w:rPr>
                <w:rStyle w:val="63"/>
                <w:rFonts w:eastAsia="宋体"/>
                <w:lang w:val="en-US" w:eastAsia="zh-CN" w:bidi="ar"/>
              </w:rPr>
              <w:t>50*50LED</w:t>
            </w:r>
            <w:r>
              <w:rPr>
                <w:rStyle w:val="55"/>
                <w:lang w:val="en-US" w:eastAsia="zh-CN" w:bidi="ar"/>
              </w:rPr>
              <w:t>发光器件，直线视距离大于</w:t>
            </w:r>
            <w:r>
              <w:rPr>
                <w:rStyle w:val="63"/>
                <w:rFonts w:eastAsia="宋体"/>
                <w:lang w:val="en-US" w:eastAsia="zh-CN" w:bidi="ar"/>
              </w:rPr>
              <w:t>30</w:t>
            </w:r>
            <w:r>
              <w:rPr>
                <w:rStyle w:val="55"/>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Style w:val="64"/>
                <w:rFonts w:eastAsia="宋体"/>
                <w:lang w:val="en-US" w:eastAsia="zh-CN" w:bidi="ar"/>
              </w:rPr>
              <w:t xml:space="preserve"> </w:t>
            </w:r>
            <w:r>
              <w:rPr>
                <w:rStyle w:val="65"/>
                <w:rFonts w:eastAsia="宋体"/>
                <w:lang w:val="en-US" w:eastAsia="zh-CN" w:bidi="ar"/>
              </w:rPr>
              <w:t>TTS</w:t>
            </w:r>
            <w:r>
              <w:rPr>
                <w:rStyle w:val="66"/>
                <w:lang w:val="en-US" w:eastAsia="zh-CN" w:bidi="ar"/>
              </w:rPr>
              <w:t>语音系统可以播报任意语音，音量</w:t>
            </w:r>
            <w:r>
              <w:rPr>
                <w:rStyle w:val="65"/>
                <w:rFonts w:eastAsia="宋体"/>
                <w:lang w:val="en-US" w:eastAsia="zh-CN" w:bidi="ar"/>
              </w:rPr>
              <w:t>10</w:t>
            </w:r>
            <w:r>
              <w:rPr>
                <w:rStyle w:val="66"/>
                <w:lang w:val="en-US" w:eastAsia="zh-CN" w:bidi="ar"/>
              </w:rPr>
              <w:t>级软件可调，输出功率</w:t>
            </w:r>
            <w:r>
              <w:rPr>
                <w:rStyle w:val="65"/>
                <w:rFonts w:eastAsia="宋体"/>
                <w:lang w:val="en-US" w:eastAsia="zh-CN" w:bidi="ar"/>
              </w:rPr>
              <w:t>&gt;5W</w:t>
            </w:r>
            <w:r>
              <w:rPr>
                <w:rStyle w:val="6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以太网通信接口，</w:t>
            </w:r>
            <w:r>
              <w:rPr>
                <w:rStyle w:val="63"/>
                <w:rFonts w:eastAsia="宋体"/>
                <w:lang w:val="en-US" w:eastAsia="zh-CN" w:bidi="ar"/>
              </w:rPr>
              <w:t>10M/100M</w:t>
            </w:r>
            <w:r>
              <w:rPr>
                <w:rStyle w:val="55"/>
                <w:lang w:val="en-US" w:eastAsia="zh-CN" w:bidi="ar"/>
              </w:rPr>
              <w:t>自适应，防雷设计，能适用各种应用环境。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b/>
                <w:bCs/>
                <w:i w:val="0"/>
                <w:iCs w:val="0"/>
                <w:color w:val="000000"/>
                <w:kern w:val="0"/>
                <w:sz w:val="20"/>
                <w:szCs w:val="20"/>
                <w:u w:val="none"/>
                <w:lang w:val="en-US" w:eastAsia="zh-CN" w:bidi="ar"/>
              </w:rPr>
              <w:t xml:space="preserve">l </w:t>
            </w:r>
            <w:r>
              <w:rPr>
                <w:rStyle w:val="60"/>
                <w:lang w:val="en-US" w:eastAsia="zh-CN" w:bidi="ar"/>
              </w:rPr>
              <w:t>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字库容量：国标二级字库，最大</w:t>
            </w:r>
            <w:r>
              <w:rPr>
                <w:rStyle w:val="63"/>
                <w:rFonts w:eastAsia="宋体"/>
                <w:lang w:val="en-US" w:eastAsia="zh-CN" w:bidi="ar"/>
              </w:rPr>
              <w:t>16384</w:t>
            </w:r>
            <w:r>
              <w:rPr>
                <w:rStyle w:val="55"/>
                <w:lang w:val="en-US" w:eastAsia="zh-CN" w:bidi="ar"/>
              </w:rPr>
              <w:t>个汉字字符；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61"/>
                <w:lang w:val="en-US" w:eastAsia="zh-CN" w:bidi="ar"/>
              </w:rPr>
              <w:t>语音输出：真人发音，</w:t>
            </w:r>
            <w:r>
              <w:rPr>
                <w:rStyle w:val="67"/>
                <w:rFonts w:eastAsia="宋体"/>
                <w:lang w:val="en-US" w:eastAsia="zh-CN" w:bidi="ar"/>
              </w:rPr>
              <w:t>TTS</w:t>
            </w:r>
            <w:r>
              <w:rPr>
                <w:rStyle w:val="68"/>
                <w:lang w:val="en-US" w:eastAsia="zh-CN" w:bidi="ar"/>
              </w:rPr>
              <w:t>任意语音播报</w:t>
            </w:r>
            <w:r>
              <w:rPr>
                <w:rStyle w:val="61"/>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539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数据通信：以太网通信接口，</w:t>
            </w:r>
            <w:r>
              <w:rPr>
                <w:rStyle w:val="63"/>
                <w:rFonts w:eastAsia="宋体"/>
                <w:lang w:val="en-US" w:eastAsia="zh-CN" w:bidi="ar"/>
              </w:rPr>
              <w:t>10M/100M</w:t>
            </w:r>
            <w:r>
              <w:rPr>
                <w:rStyle w:val="55"/>
                <w:lang w:val="en-US" w:eastAsia="zh-CN" w:bidi="ar"/>
              </w:rPr>
              <w:t>自适应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文字显示：四个汉字，四排显示（最大移动显示</w:t>
            </w:r>
            <w:r>
              <w:rPr>
                <w:rStyle w:val="63"/>
                <w:rFonts w:eastAsia="宋体"/>
                <w:lang w:val="en-US" w:eastAsia="zh-CN" w:bidi="ar"/>
              </w:rPr>
              <w:t>20</w:t>
            </w:r>
            <w:r>
              <w:rPr>
                <w:rStyle w:val="55"/>
                <w:lang w:val="en-US" w:eastAsia="zh-CN" w:bidi="ar"/>
              </w:rPr>
              <w:t>个汉字）；</w:t>
            </w:r>
            <w:r>
              <w:rPr>
                <w:rStyle w:val="63"/>
                <w:rFonts w:eastAsia="宋体"/>
                <w:lang w:val="en-US" w:eastAsia="zh-CN" w:bidi="ar"/>
              </w:rPr>
              <w:t xml:space="preserve"> </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61"/>
                <w:lang w:val="en-US" w:eastAsia="zh-CN" w:bidi="ar"/>
              </w:rPr>
              <w:t>外型尺寸：</w:t>
            </w:r>
            <w:r>
              <w:rPr>
                <w:rStyle w:val="62"/>
                <w:rFonts w:eastAsia="宋体"/>
                <w:lang w:val="en-US" w:eastAsia="zh-CN" w:bidi="ar"/>
              </w:rPr>
              <w:t xml:space="preserve"> 1510*150mm</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安装调整角度：多角度可调；</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输入电压：</w:t>
            </w:r>
            <w:r>
              <w:rPr>
                <w:rStyle w:val="63"/>
                <w:rFonts w:eastAsia="宋体"/>
                <w:lang w:val="en-US" w:eastAsia="zh-CN" w:bidi="ar"/>
              </w:rPr>
              <w:t xml:space="preserve"> AC 200~240V 50Hz</w:t>
            </w:r>
            <w:r>
              <w:rPr>
                <w:rStyle w:val="55"/>
                <w:lang w:val="en-US" w:eastAsia="zh-CN" w:bidi="ar"/>
              </w:rPr>
              <w:t>；</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存储温度：－</w:t>
            </w:r>
            <w:r>
              <w:rPr>
                <w:rStyle w:val="63"/>
                <w:rFonts w:eastAsia="宋体"/>
                <w:lang w:val="en-US" w:eastAsia="zh-CN" w:bidi="ar"/>
              </w:rPr>
              <w:t>20</w:t>
            </w:r>
            <w:r>
              <w:rPr>
                <w:rStyle w:val="55"/>
                <w:lang w:val="en-US" w:eastAsia="zh-CN" w:bidi="ar"/>
              </w:rPr>
              <w:t>～</w:t>
            </w:r>
            <w:r>
              <w:rPr>
                <w:rStyle w:val="63"/>
                <w:rFonts w:eastAsia="宋体"/>
                <w:lang w:val="en-US" w:eastAsia="zh-CN" w:bidi="ar"/>
              </w:rPr>
              <w:t>65℃</w:t>
            </w:r>
            <w:r>
              <w:rPr>
                <w:rStyle w:val="55"/>
                <w:lang w:val="en-US" w:eastAsia="zh-CN" w:bidi="ar"/>
              </w:rPr>
              <w:t>；</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工作温度：－</w:t>
            </w:r>
            <w:r>
              <w:rPr>
                <w:rStyle w:val="63"/>
                <w:rFonts w:eastAsia="宋体"/>
                <w:lang w:val="en-US" w:eastAsia="zh-CN" w:bidi="ar"/>
              </w:rPr>
              <w:t>20</w:t>
            </w:r>
            <w:r>
              <w:rPr>
                <w:rStyle w:val="55"/>
                <w:lang w:val="en-US" w:eastAsia="zh-CN" w:bidi="ar"/>
              </w:rPr>
              <w:t>～</w:t>
            </w:r>
            <w:r>
              <w:rPr>
                <w:rStyle w:val="63"/>
                <w:rFonts w:eastAsia="宋体"/>
                <w:lang w:val="en-US" w:eastAsia="zh-CN" w:bidi="ar"/>
              </w:rPr>
              <w:t>65℃</w:t>
            </w:r>
            <w:r>
              <w:rPr>
                <w:rStyle w:val="55"/>
                <w:lang w:val="en-US" w:eastAsia="zh-CN" w:bidi="ar"/>
              </w:rPr>
              <w:t>；</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相对湿度：</w:t>
            </w:r>
            <w:r>
              <w:rPr>
                <w:rStyle w:val="63"/>
                <w:rFonts w:eastAsia="宋体"/>
                <w:lang w:val="en-US" w:eastAsia="zh-CN" w:bidi="ar"/>
              </w:rPr>
              <w:t>≤95</w:t>
            </w:r>
            <w:r>
              <w:rPr>
                <w:rStyle w:val="55"/>
                <w:lang w:val="en-US" w:eastAsia="zh-CN" w:bidi="ar"/>
              </w:rPr>
              <w:t>％；</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63"/>
                <w:rFonts w:eastAsia="宋体"/>
                <w:lang w:val="en-US" w:eastAsia="zh-CN" w:bidi="ar"/>
              </w:rPr>
              <w:t>MTBF</w:t>
            </w:r>
            <w:r>
              <w:rPr>
                <w:rStyle w:val="55"/>
                <w:lang w:val="en-US" w:eastAsia="zh-CN" w:bidi="ar"/>
              </w:rPr>
              <w:t>：</w:t>
            </w:r>
            <w:r>
              <w:rPr>
                <w:rStyle w:val="63"/>
                <w:rFonts w:eastAsia="宋体"/>
                <w:lang w:val="en-US" w:eastAsia="zh-CN" w:bidi="ar"/>
              </w:rPr>
              <w:t>3</w:t>
            </w:r>
            <w:r>
              <w:rPr>
                <w:rStyle w:val="55"/>
                <w:lang w:val="en-US" w:eastAsia="zh-CN" w:bidi="ar"/>
              </w:rPr>
              <w:t>万小时；</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3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Wingdings" w:hAnsi="Wingdings" w:eastAsia="宋体" w:cs="Wingdings"/>
                <w:i w:val="0"/>
                <w:iCs w:val="0"/>
                <w:color w:val="000000"/>
                <w:sz w:val="20"/>
                <w:szCs w:val="20"/>
                <w:u w:val="none"/>
              </w:rPr>
            </w:pPr>
            <w:r>
              <w:rPr>
                <w:rFonts w:hint="default" w:ascii="Wingdings" w:hAnsi="Wingdings" w:eastAsia="宋体" w:cs="Wingdings"/>
                <w:i w:val="0"/>
                <w:iCs w:val="0"/>
                <w:color w:val="000000"/>
                <w:kern w:val="0"/>
                <w:sz w:val="20"/>
                <w:szCs w:val="20"/>
                <w:u w:val="none"/>
                <w:lang w:val="en-US" w:eastAsia="zh-CN" w:bidi="ar"/>
              </w:rPr>
              <w:t xml:space="preserve"> </w:t>
            </w:r>
            <w:r>
              <w:rPr>
                <w:rStyle w:val="55"/>
                <w:lang w:val="en-US" w:eastAsia="zh-CN" w:bidi="ar"/>
              </w:rPr>
              <w:t>防护等级：</w:t>
            </w:r>
            <w:r>
              <w:rPr>
                <w:rStyle w:val="63"/>
                <w:rFonts w:eastAsia="宋体"/>
                <w:lang w:val="en-US" w:eastAsia="zh-CN" w:bidi="ar"/>
              </w:rPr>
              <w:t>IP65</w:t>
            </w:r>
            <w:r>
              <w:rPr>
                <w:rStyle w:val="55"/>
                <w:lang w:val="en-US" w:eastAsia="zh-CN" w:bidi="ar"/>
              </w:rPr>
              <w:t>。</w:t>
            </w:r>
          </w:p>
        </w:tc>
        <w:tc>
          <w:tcPr>
            <w:tcW w:w="7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95"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1755"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1110"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3735" w:type="dxa"/>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799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ascii="方正小标宋简体" w:hAnsi="方正小标宋简体" w:eastAsia="方正小标宋简体" w:cs="方正小标宋简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eastAsia"/>
          <w:b/>
          <w:bCs/>
          <w:sz w:val="28"/>
          <w:szCs w:val="28"/>
          <w:lang w:val="en-US" w:eastAsia="zh-CN"/>
        </w:rPr>
        <w:sectPr>
          <w:pgSz w:w="16838" w:h="11906" w:orient="landscape"/>
          <w:pgMar w:top="1803" w:right="1440" w:bottom="1803" w:left="1440" w:header="851" w:footer="992" w:gutter="0"/>
          <w:pgNumType w:fmt="decimal"/>
          <w:cols w:space="0" w:num="1"/>
          <w:rtlGutter w:val="0"/>
          <w:docGrid w:type="lines" w:linePitch="436" w:charSpace="0"/>
        </w:sectPr>
      </w:pPr>
      <w:r>
        <w:drawing>
          <wp:inline distT="0" distB="0" distL="114300" distR="114300">
            <wp:extent cx="8294370" cy="5206365"/>
            <wp:effectExtent l="0" t="0" r="11430" b="133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51"/>
                    <a:stretch>
                      <a:fillRect/>
                    </a:stretch>
                  </pic:blipFill>
                  <pic:spPr>
                    <a:xfrm>
                      <a:off x="0" y="0"/>
                      <a:ext cx="8294370" cy="5206365"/>
                    </a:xfrm>
                    <a:prstGeom prst="rect">
                      <a:avLst/>
                    </a:prstGeom>
                    <a:noFill/>
                    <a:ln w="9525">
                      <a:noFill/>
                    </a:ln>
                  </pic:spPr>
                </pic:pic>
              </a:graphicData>
            </a:graphic>
          </wp:inline>
        </w:drawing>
      </w:r>
    </w:p>
    <w:p>
      <w:pPr>
        <w:pBdr>
          <w:bottom w:val="none" w:color="auto" w:sz="0" w:space="0"/>
        </w:pBdr>
        <w:adjustRightInd/>
        <w:snapToGrid/>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第六章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_GB2312" w:hAnsiTheme="minorEastAsia"/>
          <w:color w:val="auto"/>
          <w:sz w:val="28"/>
          <w:szCs w:val="28"/>
          <w:highlight w:val="none"/>
          <w:lang w:val="en-US" w:eastAsia="zh-CN"/>
        </w:rPr>
      </w:pPr>
    </w:p>
    <w:p>
      <w:pPr>
        <w:pStyle w:val="3"/>
        <w:rPr>
          <w:color w:val="auto"/>
          <w:highlight w:val="none"/>
        </w:rPr>
      </w:pPr>
      <w:bookmarkStart w:id="47" w:name="_Toc87616386"/>
      <w:bookmarkStart w:id="48" w:name="_Toc13309"/>
      <w:bookmarkStart w:id="49" w:name="_Toc88209949"/>
      <w:bookmarkStart w:id="50" w:name="_Toc12980"/>
      <w:bookmarkStart w:id="51" w:name="_Toc12721"/>
      <w:bookmarkStart w:id="52" w:name="_Toc1375"/>
      <w:bookmarkStart w:id="53" w:name="_Toc323"/>
      <w:bookmarkStart w:id="54" w:name="_Toc19686"/>
      <w:bookmarkStart w:id="55" w:name="_Toc12968"/>
      <w:bookmarkStart w:id="56" w:name="_Toc8183"/>
      <w:bookmarkStart w:id="57" w:name="_Toc19088"/>
      <w:bookmarkStart w:id="58" w:name="_Toc22501"/>
      <w:bookmarkStart w:id="59" w:name="_Toc22797"/>
      <w:r>
        <w:rPr>
          <w:rFonts w:hint="eastAsia"/>
          <w:color w:val="auto"/>
          <w:highlight w:val="none"/>
        </w:rPr>
        <w:t>合同</w:t>
      </w:r>
      <w:bookmarkEnd w:id="47"/>
      <w:bookmarkEnd w:id="48"/>
      <w:bookmarkEnd w:id="49"/>
      <w:bookmarkEnd w:id="50"/>
      <w:bookmarkEnd w:id="51"/>
      <w:bookmarkEnd w:id="52"/>
      <w:bookmarkEnd w:id="53"/>
      <w:bookmarkEnd w:id="54"/>
      <w:bookmarkEnd w:id="55"/>
      <w:bookmarkEnd w:id="56"/>
      <w:bookmarkEnd w:id="57"/>
      <w:bookmarkEnd w:id="58"/>
      <w:bookmarkEnd w:id="59"/>
    </w:p>
    <w:p>
      <w:pPr>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br w:type="page"/>
      </w:r>
    </w:p>
    <w:p>
      <w:pPr>
        <w:jc w:val="both"/>
        <w:rPr>
          <w:rFonts w:hint="eastAsia" w:hAnsi="宋体"/>
          <w:bCs/>
          <w:color w:val="auto"/>
          <w:sz w:val="24"/>
          <w:highlight w:val="none"/>
        </w:rPr>
      </w:pPr>
    </w:p>
    <w:p>
      <w:pPr>
        <w:ind w:firstLine="5520" w:firstLineChars="2300"/>
        <w:rPr>
          <w:rFonts w:hint="eastAsia" w:hAnsi="宋体"/>
          <w:bCs/>
          <w:color w:val="auto"/>
          <w:sz w:val="24"/>
          <w:highlight w:val="none"/>
        </w:rPr>
      </w:pPr>
    </w:p>
    <w:p>
      <w:pPr>
        <w:ind w:firstLine="5520" w:firstLineChars="2300"/>
        <w:rPr>
          <w:rFonts w:hint="eastAsia" w:hAnsi="宋体"/>
          <w:bCs/>
          <w:color w:val="auto"/>
          <w:sz w:val="24"/>
          <w:highlight w:val="none"/>
        </w:rPr>
      </w:pPr>
    </w:p>
    <w:p>
      <w:pPr>
        <w:jc w:val="center"/>
        <w:rPr>
          <w:rFonts w:hint="eastAsia" w:ascii="宋体" w:hAnsi="宋体" w:eastAsia="宋体" w:cs="宋体"/>
          <w:b/>
          <w:bCs/>
          <w:color w:val="auto"/>
          <w:sz w:val="48"/>
          <w:szCs w:val="48"/>
          <w:highlight w:val="none"/>
          <w:lang w:val="en-GB"/>
        </w:rPr>
      </w:pPr>
      <w:r>
        <w:rPr>
          <w:rFonts w:hint="eastAsia" w:ascii="宋体" w:hAnsi="宋体" w:eastAsia="宋体" w:cs="宋体"/>
          <w:b/>
          <w:bCs/>
          <w:color w:val="auto"/>
          <w:sz w:val="48"/>
          <w:szCs w:val="48"/>
          <w:highlight w:val="none"/>
          <w:lang w:val="en-GB"/>
        </w:rPr>
        <w:t>广州市净水有限公司</w:t>
      </w:r>
    </w:p>
    <w:p>
      <w:pPr>
        <w:jc w:val="center"/>
        <w:rPr>
          <w:b/>
          <w:bCs/>
          <w:color w:val="auto"/>
          <w:sz w:val="48"/>
          <w:szCs w:val="48"/>
          <w:highlight w:val="none"/>
          <w:lang w:val="en-GB"/>
        </w:rPr>
      </w:pPr>
      <w:r>
        <w:rPr>
          <w:rFonts w:hint="eastAsia" w:ascii="宋体" w:hAnsi="宋体" w:eastAsia="宋体" w:cs="宋体"/>
          <w:b/>
          <w:bCs/>
          <w:color w:val="auto"/>
          <w:sz w:val="48"/>
          <w:szCs w:val="48"/>
          <w:highlight w:val="none"/>
          <w:lang w:val="en-GB"/>
        </w:rPr>
        <w:t>小型建设工程</w:t>
      </w:r>
      <w:r>
        <w:rPr>
          <w:rFonts w:hint="eastAsia" w:ascii="宋体" w:hAnsi="宋体" w:eastAsia="宋体" w:cs="宋体"/>
          <w:b/>
          <w:bCs/>
          <w:color w:val="auto"/>
          <w:sz w:val="48"/>
          <w:szCs w:val="48"/>
          <w:highlight w:val="none"/>
          <w:u w:val="single"/>
          <w:lang w:val="en-GB"/>
        </w:rPr>
        <w:t>施工/修缮</w:t>
      </w:r>
      <w:r>
        <w:rPr>
          <w:rFonts w:hint="eastAsia" w:ascii="宋体" w:hAnsi="宋体" w:eastAsia="宋体" w:cs="宋体"/>
          <w:b/>
          <w:bCs/>
          <w:color w:val="auto"/>
          <w:sz w:val="48"/>
          <w:szCs w:val="48"/>
          <w:highlight w:val="none"/>
          <w:lang w:val="en-GB"/>
        </w:rPr>
        <w:t>合同</w:t>
      </w:r>
    </w:p>
    <w:p>
      <w:pPr>
        <w:jc w:val="center"/>
        <w:rPr>
          <w:rFonts w:hint="eastAsia" w:ascii="宋体" w:hAnsi="宋体" w:eastAsia="宋体" w:cs="宋体"/>
          <w:color w:val="auto"/>
          <w:sz w:val="28"/>
          <w:szCs w:val="28"/>
          <w:highlight w:val="none"/>
        </w:rPr>
      </w:pPr>
    </w:p>
    <w:p>
      <w:pPr>
        <w:ind w:left="1449" w:leftChars="690" w:firstLine="4785" w:firstLineChars="1994"/>
        <w:rPr>
          <w:rFonts w:hint="eastAsia"/>
          <w:color w:val="auto"/>
          <w:sz w:val="24"/>
          <w:highlight w:val="none"/>
        </w:rPr>
      </w:pPr>
    </w:p>
    <w:p>
      <w:pPr>
        <w:ind w:left="1449" w:leftChars="690" w:firstLine="4785" w:firstLineChars="1994"/>
        <w:rPr>
          <w:rFonts w:hint="eastAsia"/>
          <w:color w:val="auto"/>
          <w:sz w:val="24"/>
          <w:highlight w:val="none"/>
        </w:rPr>
      </w:pPr>
    </w:p>
    <w:p>
      <w:pPr>
        <w:ind w:left="1449" w:leftChars="690" w:firstLine="4785" w:firstLineChars="1994"/>
        <w:rPr>
          <w:rFonts w:hint="eastAsia"/>
          <w:color w:val="auto"/>
          <w:sz w:val="24"/>
          <w:highlight w:val="none"/>
        </w:rPr>
      </w:pPr>
    </w:p>
    <w:p>
      <w:pPr>
        <w:pStyle w:val="14"/>
        <w:snapToGrid w:val="0"/>
        <w:spacing w:line="400" w:lineRule="exact"/>
        <w:ind w:right="84" w:rightChars="40" w:firstLine="193" w:firstLineChars="80"/>
        <w:rPr>
          <w:rFonts w:hint="eastAsia" w:hAnsi="宋体" w:eastAsia="宋体"/>
          <w:b/>
          <w:color w:val="auto"/>
          <w:sz w:val="24"/>
          <w:highlight w:val="none"/>
        </w:rPr>
      </w:pPr>
    </w:p>
    <w:p>
      <w:pPr>
        <w:pStyle w:val="14"/>
        <w:snapToGrid w:val="0"/>
        <w:spacing w:line="400" w:lineRule="exact"/>
        <w:ind w:right="84" w:rightChars="40" w:firstLine="192" w:firstLineChars="80"/>
        <w:rPr>
          <w:rFonts w:hint="eastAsia" w:hAnsi="宋体" w:eastAsia="宋体"/>
          <w:bCs/>
          <w:color w:val="auto"/>
          <w:sz w:val="24"/>
          <w:highlight w:val="none"/>
        </w:rPr>
      </w:pPr>
    </w:p>
    <w:p>
      <w:pPr>
        <w:pStyle w:val="14"/>
        <w:snapToGrid w:val="0"/>
        <w:spacing w:line="400" w:lineRule="exact"/>
        <w:ind w:right="84" w:rightChars="40" w:firstLine="602" w:firstLineChars="200"/>
        <w:rPr>
          <w:rFonts w:hint="eastAsia" w:hAnsi="宋体" w:eastAsia="宋体" w:cs="宋体"/>
          <w:b/>
          <w:color w:val="auto"/>
          <w:sz w:val="30"/>
          <w:szCs w:val="30"/>
          <w:highlight w:val="none"/>
        </w:rPr>
      </w:pPr>
      <w:r>
        <w:rPr>
          <w:rFonts w:hint="eastAsia" w:hAnsi="宋体" w:eastAsia="宋体" w:cs="宋体"/>
          <w:b/>
          <w:color w:val="auto"/>
          <w:sz w:val="30"/>
          <w:szCs w:val="30"/>
          <w:highlight w:val="none"/>
        </w:rPr>
        <w:t>项目名称：石井分公司2024年厂区门禁道闸升级改造项目</w:t>
      </w:r>
    </w:p>
    <w:p>
      <w:pPr>
        <w:pStyle w:val="14"/>
        <w:snapToGrid w:val="0"/>
        <w:ind w:right="84" w:rightChars="40"/>
        <w:rPr>
          <w:rFonts w:hint="eastAsia" w:hAnsi="宋体" w:eastAsia="宋体" w:cs="宋体"/>
          <w:b/>
          <w:color w:val="auto"/>
          <w:sz w:val="30"/>
          <w:szCs w:val="30"/>
          <w:highlight w:val="none"/>
        </w:rPr>
      </w:pPr>
    </w:p>
    <w:p>
      <w:pPr>
        <w:pStyle w:val="14"/>
        <w:snapToGrid w:val="0"/>
        <w:ind w:right="84" w:rightChars="40"/>
        <w:rPr>
          <w:rFonts w:hint="eastAsia" w:hAnsi="宋体" w:eastAsia="宋体" w:cs="宋体"/>
          <w:b/>
          <w:color w:val="auto"/>
          <w:sz w:val="30"/>
          <w:szCs w:val="30"/>
          <w:highlight w:val="none"/>
        </w:rPr>
      </w:pPr>
    </w:p>
    <w:p>
      <w:pPr>
        <w:pStyle w:val="14"/>
        <w:snapToGrid w:val="0"/>
        <w:ind w:right="84" w:rightChars="40"/>
        <w:rPr>
          <w:rFonts w:hint="eastAsia" w:hAnsi="宋体" w:eastAsia="宋体" w:cs="宋体"/>
          <w:b/>
          <w:color w:val="auto"/>
          <w:sz w:val="30"/>
          <w:szCs w:val="30"/>
          <w:highlight w:val="none"/>
        </w:rPr>
      </w:pPr>
    </w:p>
    <w:p>
      <w:pPr>
        <w:pStyle w:val="14"/>
        <w:snapToGrid w:val="0"/>
        <w:ind w:right="84" w:rightChars="40"/>
        <w:rPr>
          <w:rFonts w:hint="eastAsia" w:hAnsi="宋体" w:eastAsia="宋体" w:cs="宋体"/>
          <w:b/>
          <w:color w:val="auto"/>
          <w:sz w:val="30"/>
          <w:szCs w:val="30"/>
          <w:highlight w:val="none"/>
        </w:rPr>
      </w:pPr>
    </w:p>
    <w:p>
      <w:pPr>
        <w:pStyle w:val="14"/>
        <w:snapToGrid w:val="0"/>
        <w:ind w:right="84" w:rightChars="40" w:firstLine="602" w:firstLineChars="200"/>
        <w:rPr>
          <w:rFonts w:hint="eastAsia" w:hAnsi="宋体" w:eastAsia="宋体" w:cs="宋体"/>
          <w:b/>
          <w:color w:val="auto"/>
          <w:sz w:val="30"/>
          <w:szCs w:val="30"/>
          <w:highlight w:val="none"/>
        </w:rPr>
      </w:pPr>
      <w:r>
        <w:rPr>
          <w:rFonts w:hint="eastAsia" w:hAnsi="宋体" w:eastAsia="宋体" w:cs="宋体"/>
          <w:b/>
          <w:color w:val="auto"/>
          <w:sz w:val="30"/>
          <w:szCs w:val="30"/>
          <w:highlight w:val="none"/>
        </w:rPr>
        <w:t>合同编号：穗净水合[    ]    号</w:t>
      </w:r>
    </w:p>
    <w:p>
      <w:pPr>
        <w:pStyle w:val="14"/>
        <w:snapToGrid w:val="0"/>
        <w:ind w:right="84" w:rightChars="40" w:firstLine="602" w:firstLineChars="200"/>
        <w:rPr>
          <w:rFonts w:hint="eastAsia" w:hAnsi="宋体" w:eastAsia="宋体" w:cs="宋体"/>
          <w:b/>
          <w:color w:val="auto"/>
          <w:sz w:val="30"/>
          <w:szCs w:val="30"/>
          <w:highlight w:val="none"/>
        </w:rPr>
      </w:pPr>
    </w:p>
    <w:p>
      <w:pPr>
        <w:pStyle w:val="14"/>
        <w:snapToGrid w:val="0"/>
        <w:ind w:right="84" w:rightChars="40" w:firstLine="602" w:firstLineChars="200"/>
        <w:rPr>
          <w:rFonts w:hint="eastAsia" w:hAnsi="宋体" w:eastAsia="宋体" w:cs="宋体"/>
          <w:b/>
          <w:color w:val="auto"/>
          <w:sz w:val="30"/>
          <w:szCs w:val="30"/>
          <w:highlight w:val="none"/>
        </w:rPr>
      </w:pPr>
    </w:p>
    <w:p>
      <w:pPr>
        <w:pStyle w:val="14"/>
        <w:snapToGrid w:val="0"/>
        <w:spacing w:line="400" w:lineRule="exact"/>
        <w:ind w:right="84" w:rightChars="40" w:firstLine="602" w:firstLineChars="200"/>
        <w:rPr>
          <w:rFonts w:hint="default" w:hAnsi="宋体" w:eastAsia="宋体" w:cs="宋体"/>
          <w:b/>
          <w:color w:val="auto"/>
          <w:sz w:val="30"/>
          <w:szCs w:val="30"/>
          <w:highlight w:val="none"/>
          <w:lang w:val="en-US" w:eastAsia="zh-CN"/>
        </w:rPr>
      </w:pPr>
      <w:r>
        <w:rPr>
          <w:rFonts w:hint="eastAsia" w:hAnsi="宋体" w:eastAsia="宋体" w:cs="宋体"/>
          <w:b/>
          <w:color w:val="auto"/>
          <w:sz w:val="30"/>
          <w:szCs w:val="30"/>
          <w:highlight w:val="none"/>
        </w:rPr>
        <w:t>项目编号：</w:t>
      </w:r>
      <w:r>
        <w:rPr>
          <w:rFonts w:hint="eastAsia" w:hAnsi="宋体" w:eastAsia="宋体" w:cs="宋体"/>
          <w:b/>
          <w:color w:val="auto"/>
          <w:sz w:val="30"/>
          <w:szCs w:val="30"/>
          <w:highlight w:val="none"/>
          <w:lang w:val="en-US" w:eastAsia="zh-CN"/>
        </w:rPr>
        <w:t>09042024000001</w:t>
      </w:r>
    </w:p>
    <w:p>
      <w:pPr>
        <w:pStyle w:val="14"/>
        <w:snapToGrid w:val="0"/>
        <w:ind w:right="84" w:rightChars="40" w:firstLine="1569"/>
        <w:rPr>
          <w:rFonts w:hint="eastAsia" w:hAnsi="宋体" w:eastAsia="宋体" w:cs="宋体"/>
          <w:b/>
          <w:color w:val="auto"/>
          <w:sz w:val="30"/>
          <w:szCs w:val="30"/>
          <w:highlight w:val="none"/>
        </w:rPr>
      </w:pPr>
    </w:p>
    <w:p>
      <w:pPr>
        <w:pStyle w:val="14"/>
        <w:snapToGrid w:val="0"/>
        <w:ind w:right="84" w:rightChars="40" w:firstLine="1569"/>
        <w:rPr>
          <w:rFonts w:hint="eastAsia" w:hAnsi="宋体" w:eastAsia="宋体" w:cs="宋体"/>
          <w:b/>
          <w:color w:val="auto"/>
          <w:sz w:val="30"/>
          <w:szCs w:val="30"/>
          <w:highlight w:val="none"/>
        </w:rPr>
      </w:pPr>
    </w:p>
    <w:p>
      <w:pPr>
        <w:pStyle w:val="14"/>
        <w:snapToGrid w:val="0"/>
        <w:ind w:right="84" w:rightChars="40" w:firstLine="1569"/>
        <w:rPr>
          <w:rFonts w:hint="eastAsia" w:hAnsi="宋体" w:eastAsia="宋体" w:cs="宋体"/>
          <w:b/>
          <w:color w:val="auto"/>
          <w:sz w:val="30"/>
          <w:szCs w:val="30"/>
          <w:highlight w:val="none"/>
        </w:rPr>
      </w:pPr>
    </w:p>
    <w:p>
      <w:pPr>
        <w:pStyle w:val="14"/>
        <w:snapToGrid w:val="0"/>
        <w:ind w:right="84" w:rightChars="40" w:firstLine="602" w:firstLineChars="200"/>
        <w:rPr>
          <w:rFonts w:hint="eastAsia" w:hAnsi="宋体" w:eastAsia="宋体" w:cs="宋体"/>
          <w:b/>
          <w:color w:val="auto"/>
          <w:sz w:val="30"/>
          <w:szCs w:val="30"/>
          <w:highlight w:val="none"/>
        </w:rPr>
      </w:pPr>
      <w:r>
        <w:rPr>
          <w:rFonts w:hint="eastAsia" w:hAnsi="宋体" w:eastAsia="宋体" w:cs="宋体"/>
          <w:b/>
          <w:color w:val="auto"/>
          <w:sz w:val="30"/>
          <w:szCs w:val="30"/>
          <w:highlight w:val="none"/>
        </w:rPr>
        <w:t>甲方：广州市净水有限公司</w:t>
      </w:r>
    </w:p>
    <w:p>
      <w:pPr>
        <w:pStyle w:val="14"/>
        <w:snapToGrid w:val="0"/>
        <w:ind w:right="84" w:rightChars="40" w:firstLine="1569" w:firstLineChars="521"/>
        <w:rPr>
          <w:rFonts w:hint="eastAsia" w:hAnsi="宋体" w:eastAsia="宋体" w:cs="宋体"/>
          <w:b/>
          <w:color w:val="auto"/>
          <w:sz w:val="30"/>
          <w:szCs w:val="30"/>
          <w:highlight w:val="none"/>
        </w:rPr>
      </w:pPr>
    </w:p>
    <w:p>
      <w:pPr>
        <w:pStyle w:val="14"/>
        <w:snapToGrid w:val="0"/>
        <w:ind w:right="84" w:rightChars="40" w:firstLine="1569"/>
        <w:rPr>
          <w:rFonts w:hint="eastAsia" w:hAnsi="宋体" w:eastAsia="宋体" w:cs="宋体"/>
          <w:b/>
          <w:color w:val="auto"/>
          <w:sz w:val="30"/>
          <w:szCs w:val="30"/>
          <w:highlight w:val="none"/>
        </w:rPr>
      </w:pPr>
    </w:p>
    <w:p>
      <w:pPr>
        <w:pStyle w:val="14"/>
        <w:snapToGrid w:val="0"/>
        <w:ind w:right="84" w:rightChars="40" w:firstLine="602" w:firstLineChars="200"/>
        <w:rPr>
          <w:rFonts w:hint="eastAsia" w:hAnsi="宋体" w:eastAsia="宋体" w:cs="宋体"/>
          <w:b/>
          <w:color w:val="auto"/>
          <w:sz w:val="30"/>
          <w:szCs w:val="30"/>
          <w:highlight w:val="none"/>
        </w:rPr>
      </w:pPr>
      <w:r>
        <w:rPr>
          <w:rFonts w:hint="eastAsia" w:hAnsi="宋体" w:eastAsia="宋体" w:cs="宋体"/>
          <w:b/>
          <w:color w:val="auto"/>
          <w:sz w:val="30"/>
          <w:szCs w:val="30"/>
          <w:highlight w:val="none"/>
        </w:rPr>
        <w:t>乙方：</w:t>
      </w:r>
    </w:p>
    <w:p>
      <w:pPr>
        <w:pStyle w:val="14"/>
        <w:snapToGrid w:val="0"/>
        <w:ind w:right="84" w:rightChars="40" w:firstLine="1569" w:firstLineChars="521"/>
        <w:rPr>
          <w:rFonts w:hint="eastAsia" w:hAnsi="宋体" w:eastAsia="宋体" w:cs="宋体"/>
          <w:b/>
          <w:color w:val="auto"/>
          <w:sz w:val="30"/>
          <w:szCs w:val="30"/>
          <w:highlight w:val="none"/>
        </w:rPr>
      </w:pPr>
      <w:r>
        <w:rPr>
          <w:rFonts w:hint="eastAsia" w:hAnsi="宋体" w:eastAsia="宋体" w:cs="宋体"/>
          <w:b/>
          <w:color w:val="auto"/>
          <w:sz w:val="30"/>
          <w:szCs w:val="30"/>
          <w:highlight w:val="none"/>
        </w:rPr>
        <w:t xml:space="preserve"> </w:t>
      </w:r>
    </w:p>
    <w:p>
      <w:pPr>
        <w:pStyle w:val="14"/>
        <w:snapToGrid w:val="0"/>
        <w:spacing w:line="400" w:lineRule="exact"/>
        <w:ind w:right="84" w:rightChars="40" w:firstLine="1569" w:firstLineChars="521"/>
        <w:rPr>
          <w:rFonts w:hint="eastAsia" w:hAnsi="宋体" w:eastAsia="宋体" w:cs="宋体"/>
          <w:b/>
          <w:color w:val="auto"/>
          <w:sz w:val="30"/>
          <w:szCs w:val="30"/>
          <w:highlight w:val="none"/>
        </w:rPr>
      </w:pPr>
    </w:p>
    <w:p>
      <w:pPr>
        <w:ind w:firstLine="1656"/>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签订日期：       年   月   日</w:t>
      </w:r>
    </w:p>
    <w:p>
      <w:pPr>
        <w:ind w:firstLine="1656" w:firstLineChars="550"/>
        <w:rPr>
          <w:rFonts w:hint="eastAsia" w:ascii="宋体" w:hAnsi="宋体" w:eastAsia="宋体" w:cs="宋体"/>
          <w:b/>
          <w:color w:val="auto"/>
          <w:sz w:val="30"/>
          <w:szCs w:val="30"/>
          <w:highlight w:val="none"/>
          <w:lang w:val="zh-CN" w:eastAsia="zh-CN"/>
        </w:rPr>
        <w:sectPr>
          <w:headerReference r:id="rId9" w:type="default"/>
          <w:footerReference r:id="rId10" w:type="default"/>
          <w:footerReference r:id="rId11" w:type="even"/>
          <w:pgSz w:w="11906" w:h="16838"/>
          <w:pgMar w:top="1644" w:right="1588" w:bottom="1644" w:left="1588" w:header="851" w:footer="992" w:gutter="0"/>
          <w:pgNumType w:fmt="decimal"/>
          <w:cols w:space="720" w:num="1"/>
          <w:docGrid w:type="lines" w:linePitch="312" w:charSpace="0"/>
        </w:sectPr>
      </w:pPr>
      <w:r>
        <w:rPr>
          <w:rFonts w:hint="eastAsia" w:ascii="宋体" w:hAnsi="宋体" w:eastAsia="宋体" w:cs="宋体"/>
          <w:b/>
          <w:color w:val="auto"/>
          <w:sz w:val="30"/>
          <w:szCs w:val="30"/>
          <w:highlight w:val="none"/>
        </w:rPr>
        <w:t>签订地点：广州市</w:t>
      </w:r>
    </w:p>
    <w:p>
      <w:pPr>
        <w:pStyle w:val="11"/>
        <w:keepNext w:val="0"/>
        <w:keepLines w:val="0"/>
        <w:pageBreakBefore w:val="0"/>
        <w:widowControl w:val="0"/>
        <w:kinsoku/>
        <w:wordWrap/>
        <w:overflowPunct/>
        <w:bidi w:val="0"/>
        <w:adjustRightInd w:val="0"/>
        <w:snapToGrid w:val="0"/>
        <w:spacing w:after="0" w:line="500" w:lineRule="exact"/>
        <w:ind w:left="0" w:leftChars="0"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广州市净水有限公司</w:t>
      </w:r>
      <w:r>
        <w:rPr>
          <w:rFonts w:hint="eastAsia" w:ascii="宋体" w:hAnsi="宋体" w:eastAsia="宋体" w:cs="宋体"/>
          <w:color w:val="auto"/>
          <w:sz w:val="24"/>
          <w:highlight w:val="none"/>
        </w:rPr>
        <w:t>（以下简称“甲方”）与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（以下简称“乙方”）依照《中华人民共和国建筑法》及其它有关法律、行政法规，就</w:t>
      </w:r>
      <w:r>
        <w:rPr>
          <w:rFonts w:hint="eastAsia" w:ascii="宋体" w:hAnsi="宋体" w:eastAsia="宋体" w:cs="宋体"/>
          <w:color w:val="auto"/>
          <w:sz w:val="24"/>
          <w:highlight w:val="none"/>
          <w:u w:val="single"/>
        </w:rPr>
        <w:t>石井分公司2024年厂区门禁道闸升级改造</w:t>
      </w:r>
      <w:r>
        <w:rPr>
          <w:rFonts w:hint="eastAsia" w:ascii="宋体" w:hAnsi="宋体" w:cs="宋体"/>
          <w:color w:val="auto"/>
          <w:sz w:val="24"/>
          <w:highlight w:val="none"/>
          <w:u w:val="single"/>
          <w:lang w:val="en-US" w:eastAsia="zh-CN"/>
        </w:rPr>
        <w:t>项目</w:t>
      </w:r>
      <w:r>
        <w:rPr>
          <w:rFonts w:hint="eastAsia" w:ascii="宋体" w:hAnsi="宋体" w:eastAsia="宋体" w:cs="宋体"/>
          <w:color w:val="auto"/>
          <w:sz w:val="24"/>
          <w:highlight w:val="none"/>
        </w:rPr>
        <w:t>施工项目遵循平等、自愿、公平和诚实信用的原则，经双方协商一致，特订立本合同。</w:t>
      </w:r>
    </w:p>
    <w:p>
      <w:pPr>
        <w:pStyle w:val="9"/>
        <w:keepNext w:val="0"/>
        <w:keepLines w:val="0"/>
        <w:pageBreakBefore w:val="0"/>
        <w:widowControl w:val="0"/>
        <w:kinsoku/>
        <w:wordWrap/>
        <w:overflowPunct/>
        <w:bidi w:val="0"/>
        <w:spacing w:line="5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第一条</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组成合同的文件及优先顺序</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⑴ </w:t>
      </w:r>
      <w:r>
        <w:rPr>
          <w:rFonts w:hint="eastAsia" w:ascii="宋体" w:hAnsi="宋体" w:eastAsia="宋体" w:cs="宋体"/>
          <w:color w:val="auto"/>
          <w:sz w:val="24"/>
          <w:szCs w:val="24"/>
          <w:highlight w:val="none"/>
        </w:rPr>
        <w:t>在本合同实施过程双方签署的补充与修正文件</w:t>
      </w:r>
      <w:r>
        <w:rPr>
          <w:rFonts w:hint="eastAsia" w:ascii="宋体" w:hAnsi="宋体" w:eastAsia="宋体" w:cs="宋体"/>
          <w:bCs/>
          <w:color w:val="auto"/>
          <w:sz w:val="24"/>
          <w:szCs w:val="24"/>
          <w:highlight w:val="none"/>
        </w:rPr>
        <w:t>；</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⑵ 本合同书；</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⑶ 中标通知书/发包通知书/</w:t>
      </w:r>
      <w:r>
        <w:rPr>
          <w:rFonts w:hint="eastAsia" w:ascii="宋体" w:hAnsi="宋体" w:eastAsia="宋体" w:cs="宋体"/>
          <w:bCs/>
          <w:color w:val="auto"/>
          <w:sz w:val="24"/>
          <w:szCs w:val="24"/>
          <w:highlight w:val="none"/>
          <w:lang w:val="en-US" w:eastAsia="zh-CN"/>
        </w:rPr>
        <w:t>成交通知书/</w:t>
      </w:r>
      <w:r>
        <w:rPr>
          <w:rFonts w:hint="eastAsia" w:ascii="宋体" w:hAnsi="宋体" w:eastAsia="宋体" w:cs="宋体"/>
          <w:bCs/>
          <w:color w:val="auto"/>
          <w:sz w:val="24"/>
          <w:szCs w:val="24"/>
          <w:highlight w:val="none"/>
        </w:rPr>
        <w:t>委托函；</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⑷ </w:t>
      </w:r>
      <w:r>
        <w:rPr>
          <w:rFonts w:hint="eastAsia" w:ascii="宋体" w:hAnsi="宋体" w:eastAsia="宋体" w:cs="宋体"/>
          <w:bCs/>
          <w:color w:val="auto"/>
          <w:sz w:val="24"/>
          <w:szCs w:val="24"/>
          <w:highlight w:val="none"/>
          <w:lang w:eastAsia="zh-CN"/>
        </w:rPr>
        <w:t>采购文件</w:t>
      </w:r>
      <w:r>
        <w:rPr>
          <w:rFonts w:hint="eastAsia" w:ascii="宋体" w:hAnsi="宋体" w:eastAsia="宋体" w:cs="宋体"/>
          <w:bCs/>
          <w:color w:val="auto"/>
          <w:sz w:val="24"/>
          <w:szCs w:val="24"/>
          <w:highlight w:val="none"/>
        </w:rPr>
        <w:t>/询价文件；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⑸ 投标文件/响应文件；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⑹ 标准、规范及有关技术性文件；</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⑺ 图纸；</w:t>
      </w:r>
    </w:p>
    <w:p>
      <w:pPr>
        <w:keepNext w:val="0"/>
        <w:keepLines w:val="0"/>
        <w:pageBreakBefore w:val="0"/>
        <w:widowControl w:val="0"/>
        <w:kinsoku/>
        <w:wordWrap/>
        <w:overflowPunct/>
        <w:bidi w:val="0"/>
        <w:spacing w:line="500" w:lineRule="exact"/>
        <w:ind w:firstLine="482"/>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⑻ 工程量清单</w:t>
      </w:r>
      <w:r>
        <w:rPr>
          <w:rFonts w:hint="eastAsia" w:ascii="宋体" w:hAnsi="宋体" w:eastAsia="宋体" w:cs="宋体"/>
          <w:color w:val="auto"/>
          <w:sz w:val="24"/>
          <w:szCs w:val="24"/>
          <w:highlight w:val="none"/>
        </w:rPr>
        <w:t>报价单或预算书；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⑼ 本合同其他附件；</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第二条  工程概况</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2.1工程名称</w:t>
      </w:r>
      <w:r>
        <w:rPr>
          <w:rFonts w:hint="eastAsia" w:ascii="宋体" w:hAnsi="宋体" w:eastAsia="宋体" w:cs="宋体"/>
          <w:color w:val="auto"/>
          <w:sz w:val="24"/>
          <w:szCs w:val="24"/>
          <w:highlight w:val="none"/>
          <w:u w:val="single"/>
        </w:rPr>
        <w:t>：石井分公司2024年厂区门禁道闸升级改造项目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2.2工程地点：</w:t>
      </w:r>
      <w:r>
        <w:rPr>
          <w:rFonts w:hint="eastAsia" w:ascii="宋体" w:hAnsi="宋体" w:eastAsia="宋体" w:cs="宋体"/>
          <w:color w:val="auto"/>
          <w:sz w:val="24"/>
          <w:szCs w:val="24"/>
          <w:highlight w:val="none"/>
          <w:u w:val="single"/>
          <w:lang w:val="en-US" w:eastAsia="zh-CN"/>
        </w:rPr>
        <w:t>广州净水公司</w:t>
      </w:r>
      <w:r>
        <w:rPr>
          <w:rFonts w:hint="eastAsia" w:ascii="宋体" w:hAnsi="宋体" w:eastAsia="宋体" w:cs="宋体"/>
          <w:color w:val="auto"/>
          <w:sz w:val="24"/>
          <w:szCs w:val="24"/>
          <w:highlight w:val="none"/>
          <w:u w:val="single"/>
        </w:rPr>
        <w:t xml:space="preserve">石井分公司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2.3承包内容：</w:t>
      </w:r>
      <w:r>
        <w:rPr>
          <w:rFonts w:hint="eastAsia" w:ascii="宋体" w:hAnsi="宋体" w:eastAsia="宋体" w:cs="宋体"/>
          <w:color w:val="auto"/>
          <w:sz w:val="24"/>
          <w:szCs w:val="24"/>
          <w:highlight w:val="none"/>
          <w:u w:val="single"/>
          <w:lang w:val="en-US" w:eastAsia="zh-CN"/>
        </w:rPr>
        <w:t>本项目施工内容</w:t>
      </w:r>
      <w:r>
        <w:rPr>
          <w:rFonts w:hint="eastAsia" w:ascii="宋体" w:hAnsi="宋体" w:eastAsia="宋体" w:cs="宋体"/>
          <w:color w:val="auto"/>
          <w:sz w:val="24"/>
          <w:szCs w:val="24"/>
          <w:highlight w:val="none"/>
          <w:u w:val="single"/>
        </w:rPr>
        <w:t>主要</w:t>
      </w:r>
      <w:r>
        <w:rPr>
          <w:rFonts w:hint="eastAsia" w:ascii="宋体" w:hAnsi="宋体" w:eastAsia="宋体" w:cs="宋体"/>
          <w:color w:val="auto"/>
          <w:sz w:val="24"/>
          <w:szCs w:val="24"/>
          <w:highlight w:val="none"/>
          <w:u w:val="single"/>
          <w:lang w:val="en-US" w:eastAsia="zh-CN"/>
        </w:rPr>
        <w:t>对分公司原有的2套东、西门门禁系统进行升级改造，并新增3三套生产区域与办公区域划分的门禁系统及1.8m高锌钢围栏300m。新增的智能人行道闸须配备人脸识别系统、智能车道道闸须配置车牌识别系统及监控设备；东、西门的2套门禁系统与新增的3三套门禁系统须实现共网、联动，服务器设于综合楼中控室，并配置壁挂式机柜，所铺设电缆、网线均须由PVC管埋地或架空敷设，具体工作量详见工程量清单及详细参数。</w:t>
      </w:r>
      <w:r>
        <w:rPr>
          <w:rFonts w:hint="eastAsia" w:ascii="宋体" w:hAnsi="宋体" w:eastAsia="宋体" w:cs="宋体"/>
          <w:color w:val="auto"/>
          <w:sz w:val="24"/>
          <w:szCs w:val="24"/>
          <w:highlight w:val="none"/>
          <w:u w:val="singl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2.4承包方式：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按施工图、施工方案内容，以综合单价包干形式，包人工、包材料、包安装、包质量、包工期、包安全、包文明施工，</w:t>
      </w:r>
      <w:r>
        <w:rPr>
          <w:rFonts w:hint="eastAsia" w:ascii="宋体" w:hAnsi="宋体" w:eastAsia="宋体" w:cs="宋体"/>
          <w:color w:val="auto"/>
          <w:sz w:val="24"/>
          <w:szCs w:val="24"/>
          <w:highlight w:val="none"/>
          <w:u w:val="single"/>
        </w:rPr>
        <w:t>项目措施费</w:t>
      </w:r>
      <w:r>
        <w:rPr>
          <w:rFonts w:hint="eastAsia" w:ascii="宋体" w:hAnsi="宋体" w:eastAsia="宋体" w:cs="宋体"/>
          <w:color w:val="auto"/>
          <w:sz w:val="24"/>
          <w:szCs w:val="24"/>
          <w:highlight w:val="none"/>
          <w:u w:val="single"/>
          <w:lang w:val="en-US" w:eastAsia="zh-CN"/>
        </w:rPr>
        <w:t>按实结算</w:t>
      </w:r>
      <w:r>
        <w:rPr>
          <w:rFonts w:hint="eastAsia" w:ascii="宋体" w:hAnsi="宋体" w:eastAsia="宋体" w:cs="宋体"/>
          <w:color w:val="auto"/>
          <w:sz w:val="24"/>
          <w:szCs w:val="24"/>
          <w:highlight w:val="none"/>
        </w:rPr>
        <w:t>。（单价包干要求附工程量报价/工程预算书）</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□按施工图、施工方案内容，以固定总价包干形式，包人工、包材料、包安装、包质量、包工期、包安全、包文明施工，</w:t>
      </w:r>
      <w:r>
        <w:rPr>
          <w:rFonts w:hint="eastAsia" w:ascii="宋体" w:hAnsi="宋体" w:eastAsia="宋体" w:cs="宋体"/>
          <w:color w:val="auto"/>
          <w:sz w:val="24"/>
          <w:szCs w:val="24"/>
          <w:highlight w:val="none"/>
          <w:u w:val="single"/>
        </w:rPr>
        <w:t>项目措施费按</w:t>
      </w:r>
      <w:r>
        <w:rPr>
          <w:rFonts w:hint="eastAsia" w:ascii="宋体" w:hAnsi="宋体" w:eastAsia="宋体" w:cs="宋体"/>
          <w:color w:val="auto"/>
          <w:sz w:val="24"/>
          <w:szCs w:val="24"/>
          <w:highlight w:val="none"/>
          <w:u w:val="single"/>
          <w:lang w:val="en-US" w:eastAsia="zh-CN"/>
        </w:rPr>
        <w:t>实结算</w:t>
      </w:r>
      <w:r>
        <w:rPr>
          <w:rFonts w:hint="eastAsia" w:ascii="宋体" w:hAnsi="宋体" w:eastAsia="宋体" w:cs="宋体"/>
          <w:color w:val="auto"/>
          <w:sz w:val="24"/>
          <w:szCs w:val="24"/>
          <w:highlight w:val="none"/>
        </w:rPr>
        <w:t>。（附工程量清单）</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2.5质量标准：</w:t>
      </w:r>
      <w:r>
        <w:rPr>
          <w:rFonts w:hint="eastAsia" w:ascii="宋体" w:hAnsi="宋体" w:eastAsia="宋体" w:cs="宋体"/>
          <w:color w:val="auto"/>
          <w:sz w:val="24"/>
          <w:szCs w:val="24"/>
          <w:highlight w:val="none"/>
          <w:u w:val="single"/>
        </w:rPr>
        <w:t>合格</w:t>
      </w:r>
      <w:r>
        <w:rPr>
          <w:rFonts w:hint="eastAsia" w:ascii="宋体" w:hAnsi="宋体" w:eastAsia="宋体" w:cs="宋体"/>
          <w:color w:val="auto"/>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第三条  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日（具体以甲方开工报告中载明的开工日期为准）。</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合同工期日历天数为</w:t>
      </w:r>
      <w:r>
        <w:rPr>
          <w:rFonts w:hint="eastAsia" w:ascii="宋体" w:hAnsi="宋体" w:eastAsia="宋体" w:cs="宋体"/>
          <w:color w:val="auto"/>
          <w:sz w:val="24"/>
          <w:szCs w:val="24"/>
          <w:highlight w:val="none"/>
          <w:u w:val="single"/>
          <w:lang w:val="en-US" w:eastAsia="zh-CN"/>
        </w:rPr>
        <w:t>60</w:t>
      </w:r>
      <w:r>
        <w:rPr>
          <w:rFonts w:hint="eastAsia" w:ascii="宋体" w:hAnsi="宋体" w:eastAsia="宋体" w:cs="宋体"/>
          <w:color w:val="auto"/>
          <w:sz w:val="24"/>
          <w:szCs w:val="24"/>
          <w:highlight w:val="none"/>
        </w:rPr>
        <w:t>天。</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（工期以总日历天数为准）</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第四条  工期延误与工期奖罚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4.1延期开工</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乙方不能按时开工，应在约定的开工日期提前</w:t>
      </w:r>
      <w:r>
        <w:rPr>
          <w:rFonts w:hint="eastAsia" w:ascii="宋体" w:hAnsi="宋体" w:eastAsia="宋体" w:cs="宋体"/>
          <w:color w:val="auto"/>
          <w:sz w:val="24"/>
          <w:szCs w:val="24"/>
          <w:highlight w:val="none"/>
          <w:u w:val="single"/>
        </w:rPr>
        <w:t xml:space="preserve"> 5</w:t>
      </w:r>
      <w:r>
        <w:rPr>
          <w:rFonts w:hint="eastAsia" w:ascii="宋体" w:hAnsi="宋体" w:eastAsia="宋体" w:cs="宋体"/>
          <w:color w:val="auto"/>
          <w:sz w:val="24"/>
          <w:szCs w:val="24"/>
          <w:highlight w:val="none"/>
        </w:rPr>
        <w:t>日，向甲方书面申请延期开工并说明延期理由。甲方代表应在收到后</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日内书面答复乙方。甲方同意延期要求或</w:t>
      </w:r>
      <w:r>
        <w:rPr>
          <w:rFonts w:hint="eastAsia" w:ascii="宋体" w:hAnsi="宋体" w:eastAsia="宋体" w:cs="宋体"/>
          <w:color w:val="auto"/>
          <w:sz w:val="24"/>
          <w:szCs w:val="24"/>
          <w:highlight w:val="none"/>
          <w:u w:val="single"/>
        </w:rPr>
        <w:t xml:space="preserve"> 3</w:t>
      </w:r>
      <w:r>
        <w:rPr>
          <w:rFonts w:hint="eastAsia" w:ascii="宋体" w:hAnsi="宋体" w:eastAsia="宋体" w:cs="宋体"/>
          <w:color w:val="auto"/>
          <w:sz w:val="24"/>
          <w:szCs w:val="24"/>
          <w:highlight w:val="none"/>
        </w:rPr>
        <w:t>日内不予答复，工期相应顺延。甲方不同意延期或乙方未在规定时间内提出延期开工要求，工期不予顺延。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4.2工期顺延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下列情况造成竣工日期推迟的，经甲方代表书面确认，工期相应顺延。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 工程量变化和设计变更增加超过原工程量的</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以上。</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4.2.2 甲方未能按第七条的约定提供图纸。</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4.2.3 甲方未能按约定日期支付工程预付款、进度款，致使施工不能正常进行。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4.2.4 施工中遇到不可预见障碍物或古墓、文物、流沙等需处理时。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4.2.5 乙方应在不可抗力发生后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日内向甲方申请顺延工期并提交有关证明，逾期未申请，视为不影响工期；甲方在收到申请后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日内予以书面回复，逾期不回复，视为同意延期要求。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暂停施工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甲方代表认为必要时，有权要求暂停施工并在停工后</w:t>
      </w:r>
      <w:r>
        <w:rPr>
          <w:rFonts w:hint="eastAsia" w:ascii="宋体" w:hAnsi="宋体" w:eastAsia="宋体" w:cs="宋体"/>
          <w:color w:val="auto"/>
          <w:sz w:val="24"/>
          <w:szCs w:val="24"/>
          <w:highlight w:val="none"/>
          <w:u w:val="single"/>
        </w:rPr>
        <w:t xml:space="preserve"> 48</w:t>
      </w:r>
      <w:r>
        <w:rPr>
          <w:rFonts w:hint="eastAsia" w:ascii="宋体" w:hAnsi="宋体" w:eastAsia="宋体" w:cs="宋体"/>
          <w:color w:val="auto"/>
          <w:sz w:val="24"/>
          <w:szCs w:val="24"/>
          <w:highlight w:val="none"/>
        </w:rPr>
        <w:t>小时内提出处理意见。乙方在实施甲方代表处理意见后，应在</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auto"/>
          <w:sz w:val="24"/>
          <w:szCs w:val="24"/>
          <w:highlight w:val="none"/>
        </w:rPr>
        <w:t xml:space="preserve">小时内提出复工要求，甲方代表在 </w:t>
      </w:r>
      <w:r>
        <w:rPr>
          <w:rFonts w:hint="eastAsia" w:ascii="宋体" w:hAnsi="宋体" w:eastAsia="宋体" w:cs="宋体"/>
          <w:color w:val="auto"/>
          <w:sz w:val="24"/>
          <w:szCs w:val="24"/>
          <w:highlight w:val="none"/>
          <w:u w:val="single"/>
        </w:rPr>
        <w:t>24</w:t>
      </w:r>
      <w:r>
        <w:rPr>
          <w:rFonts w:hint="eastAsia" w:ascii="宋体" w:hAnsi="宋体" w:eastAsia="宋体" w:cs="宋体"/>
          <w:color w:val="auto"/>
          <w:sz w:val="24"/>
          <w:szCs w:val="24"/>
          <w:highlight w:val="none"/>
        </w:rPr>
        <w:t>小时内予以答复。甲方未能在规定时间提出处理意见，或收到乙方复工要求未在规定时限内予答复，乙方可自行复工。</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 工期奖罚</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 因甲方原因延误工期，造成经济损失，由甲方承担，工期相应顺延。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4.4.2 因乙方原因延误工期，造成经济损失，由乙方承担，工期不予顺延。      </w:t>
      </w:r>
    </w:p>
    <w:p>
      <w:pPr>
        <w:keepNext w:val="0"/>
        <w:keepLines w:val="0"/>
        <w:pageBreakBefore w:val="0"/>
        <w:widowControl w:val="0"/>
        <w:tabs>
          <w:tab w:val="left" w:pos="851"/>
        </w:tabs>
        <w:kinsoku/>
        <w:wordWrap/>
        <w:overflowPunct/>
        <w:bidi w:val="0"/>
        <w:adjustRightInd w:val="0"/>
        <w:snapToGrid w:val="0"/>
        <w:spacing w:line="50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第五条  合同价款及支付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auto"/>
          <w:sz w:val="24"/>
          <w:szCs w:val="24"/>
          <w:highlight w:val="none"/>
          <w:bdr w:val="single" w:color="auto" w:sz="4" w:space="0"/>
        </w:rPr>
      </w:pPr>
      <w:r>
        <w:rPr>
          <w:rFonts w:hint="eastAsia" w:ascii="宋体" w:hAnsi="宋体" w:eastAsia="宋体" w:cs="宋体"/>
          <w:color w:val="auto"/>
          <w:sz w:val="24"/>
          <w:szCs w:val="24"/>
          <w:highlight w:val="none"/>
        </w:rPr>
        <w:t>5.1合同价款按以下</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），其中：项目措施费暂定为￥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）。经甲方或甲方委托有资质第三方机构审核后，结算审核价作为合同结算价。若结算审核价超合同暂定总价，双方另行签订补充协议。</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综合单价：详见经甲方确认的工程量报价单或施工图预算书。</w:t>
      </w:r>
    </w:p>
    <w:p>
      <w:pPr>
        <w:keepNext w:val="0"/>
        <w:keepLines w:val="0"/>
        <w:pageBreakBefore w:val="0"/>
        <w:widowControl w:val="0"/>
        <w:kinsoku/>
        <w:wordWrap/>
        <w:overflowPunct/>
        <w:autoSpaceDE w:val="0"/>
        <w:autoSpaceDN w:val="0"/>
        <w:bidi w:val="0"/>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numPr>
          <w:ilvl w:val="0"/>
          <w:numId w:val="5"/>
        </w:numPr>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合同以固定总价包干形式，合同暂定总价为：</w:t>
      </w:r>
      <w:r>
        <w:rPr>
          <w:rFonts w:hint="eastAsia" w:ascii="宋体" w:hAnsi="宋体" w:eastAsia="宋体" w:cs="宋体"/>
          <w:b/>
          <w:color w:val="auto"/>
          <w:sz w:val="24"/>
          <w:szCs w:val="24"/>
          <w:highlight w:val="none"/>
          <w:u w:val="single"/>
        </w:rPr>
        <w:t xml:space="preserve">人民币 </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），其中：项目措施费暂定为￥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元（大写：人民币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bidi w:val="0"/>
        <w:spacing w:line="5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此费用在项目实施期间费用均不得调整（如项目实施内容变更，需调整合同暂定价，双方另行协商签订补充协议）。</w:t>
      </w:r>
    </w:p>
    <w:p>
      <w:pPr>
        <w:keepNext w:val="0"/>
        <w:keepLines w:val="0"/>
        <w:pageBreakBefore w:val="0"/>
        <w:tabs>
          <w:tab w:val="left" w:pos="851"/>
        </w:tabs>
        <w:kinsoku/>
        <w:wordWrap/>
        <w:overflowPunct/>
        <w:autoSpaceDE/>
        <w:autoSpaceDN/>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5.2</w:t>
      </w:r>
      <w:r>
        <w:rPr>
          <w:rFonts w:hint="eastAsia" w:ascii="宋体" w:hAnsi="宋体" w:eastAsia="宋体" w:cs="宋体"/>
          <w:color w:val="auto"/>
          <w:kern w:val="0"/>
          <w:sz w:val="24"/>
          <w:szCs w:val="24"/>
          <w:highlight w:val="none"/>
        </w:rPr>
        <w:t>本合同约定的价格为含税价价格</w:t>
      </w:r>
      <w:r>
        <w:rPr>
          <w:rFonts w:hint="eastAsia" w:ascii="宋体" w:hAnsi="宋体" w:eastAsia="宋体" w:cs="宋体"/>
          <w:color w:val="auto"/>
          <w:sz w:val="24"/>
          <w:szCs w:val="24"/>
          <w:highlight w:val="none"/>
        </w:rPr>
        <w:t>（税率</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bookmarkStart w:id="60" w:name="OLE_LINK5"/>
      <w:bookmarkStart w:id="61" w:name="OLE_LINK4"/>
      <w:r>
        <w:rPr>
          <w:rFonts w:hint="eastAsia" w:ascii="宋体" w:hAnsi="宋体" w:eastAsia="宋体" w:cs="宋体"/>
          <w:bCs/>
          <w:color w:val="auto"/>
          <w:sz w:val="24"/>
          <w:szCs w:val="24"/>
          <w:highlight w:val="none"/>
        </w:rPr>
        <w:t>5.3 预付款：</w:t>
      </w:r>
      <w:r>
        <w:rPr>
          <w:rFonts w:hint="eastAsia" w:ascii="宋体" w:hAnsi="宋体" w:eastAsia="宋体" w:cs="宋体"/>
          <w:bCs/>
          <w:color w:val="auto"/>
          <w:sz w:val="24"/>
          <w:szCs w:val="24"/>
          <w:highlight w:val="none"/>
        </w:rPr>
        <w:sym w:font="Wingdings" w:char="00FE"/>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Wingdings" w:char="F0A8"/>
      </w:r>
      <w:r>
        <w:rPr>
          <w:rFonts w:hint="eastAsia" w:ascii="宋体" w:hAnsi="宋体" w:eastAsia="宋体" w:cs="宋体"/>
          <w:bCs/>
          <w:color w:val="auto"/>
          <w:sz w:val="24"/>
          <w:szCs w:val="24"/>
          <w:highlight w:val="none"/>
        </w:rPr>
        <w:t>有，合同签订后，乙方开具等额的</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及提交履约担保（如有）后10个工作日内，甲方支付合同暂定总价的</w:t>
      </w:r>
      <w:r>
        <w:rPr>
          <w:rFonts w:hint="eastAsia" w:ascii="宋体" w:hAnsi="宋体" w:eastAsia="宋体" w:cs="宋体"/>
          <w:bCs/>
          <w:color w:val="auto"/>
          <w:sz w:val="24"/>
          <w:szCs w:val="24"/>
          <w:highlight w:val="none"/>
          <w:u w:val="single"/>
        </w:rPr>
        <w:t>（不得超过</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作为预付款。若合同解除或终止，乙方在</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个工作日内返还预付款（无息）。</w:t>
      </w:r>
      <w:r>
        <w:rPr>
          <w:rFonts w:hint="eastAsia" w:ascii="宋体" w:hAnsi="宋体" w:eastAsia="宋体" w:cs="宋体"/>
          <w:bCs/>
          <w:color w:val="auto"/>
          <w:kern w:val="0"/>
          <w:sz w:val="24"/>
          <w:szCs w:val="24"/>
          <w:highlight w:val="none"/>
        </w:rPr>
        <w:t>逾期未返还，每逾期一日，乙方应按合同暂定总价的</w:t>
      </w:r>
      <w:r>
        <w:rPr>
          <w:rFonts w:hint="eastAsia" w:ascii="宋体" w:hAnsi="宋体" w:eastAsia="宋体" w:cs="宋体"/>
          <w:bCs/>
          <w:color w:val="auto"/>
          <w:kern w:val="0"/>
          <w:sz w:val="24"/>
          <w:szCs w:val="24"/>
          <w:highlight w:val="none"/>
          <w:u w:val="single"/>
        </w:rPr>
        <w:t>万分之五/日</w:t>
      </w:r>
      <w:r>
        <w:rPr>
          <w:rFonts w:hint="eastAsia" w:ascii="宋体" w:hAnsi="宋体" w:eastAsia="宋体" w:cs="宋体"/>
          <w:bCs/>
          <w:color w:val="auto"/>
          <w:kern w:val="0"/>
          <w:sz w:val="24"/>
          <w:szCs w:val="24"/>
          <w:highlight w:val="none"/>
        </w:rPr>
        <w:t>支付违约金</w:t>
      </w:r>
      <w:r>
        <w:rPr>
          <w:rFonts w:hint="eastAsia" w:ascii="宋体" w:hAnsi="宋体" w:eastAsia="宋体" w:cs="宋体"/>
          <w:color w:val="auto"/>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w:t>
      </w:r>
      <w:r>
        <w:rPr>
          <w:rFonts w:hint="eastAsia" w:ascii="宋体" w:hAnsi="宋体" w:eastAsia="宋体" w:cs="宋体"/>
          <w:bCs/>
          <w:color w:val="auto"/>
          <w:sz w:val="24"/>
          <w:szCs w:val="24"/>
          <w:highlight w:val="none"/>
          <w:lang w:val="en-US" w:eastAsia="zh-CN"/>
        </w:rPr>
        <w:t>工程</w:t>
      </w:r>
      <w:r>
        <w:rPr>
          <w:rFonts w:hint="eastAsia" w:ascii="宋体" w:hAnsi="宋体" w:eastAsia="宋体" w:cs="宋体"/>
          <w:bCs/>
          <w:color w:val="auto"/>
          <w:sz w:val="24"/>
          <w:szCs w:val="24"/>
          <w:highlight w:val="none"/>
        </w:rPr>
        <w:t>完工验收合格，</w:t>
      </w:r>
      <w:r>
        <w:rPr>
          <w:rFonts w:hint="eastAsia" w:ascii="宋体" w:hAnsi="宋体" w:eastAsia="宋体" w:cs="宋体"/>
          <w:bCs/>
          <w:color w:val="auto"/>
          <w:sz w:val="24"/>
          <w:szCs w:val="24"/>
          <w:highlight w:val="none"/>
          <w:lang w:val="en-US" w:eastAsia="zh-CN"/>
        </w:rPr>
        <w:t>且</w:t>
      </w:r>
      <w:r>
        <w:rPr>
          <w:rFonts w:hint="eastAsia" w:ascii="宋体" w:hAnsi="宋体" w:eastAsia="宋体" w:cs="宋体"/>
          <w:bCs/>
          <w:color w:val="auto"/>
          <w:sz w:val="24"/>
          <w:szCs w:val="24"/>
          <w:highlight w:val="none"/>
        </w:rPr>
        <w:t>乙方提交请款资料及等额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lang w:val="en-US" w:eastAsia="zh-CN"/>
        </w:rPr>
        <w:t>后</w:t>
      </w:r>
      <w:r>
        <w:rPr>
          <w:rFonts w:hint="eastAsia" w:ascii="宋体" w:hAnsi="宋体" w:eastAsia="宋体" w:cs="宋体"/>
          <w:bCs/>
          <w:color w:val="auto"/>
          <w:sz w:val="24"/>
          <w:szCs w:val="24"/>
          <w:highlight w:val="none"/>
        </w:rPr>
        <w:t>，甲方支付至</w:t>
      </w:r>
      <w:r>
        <w:rPr>
          <w:rFonts w:hint="eastAsia" w:ascii="宋体" w:hAnsi="宋体" w:eastAsia="宋体" w:cs="宋体"/>
          <w:bCs/>
          <w:color w:val="auto"/>
          <w:sz w:val="24"/>
          <w:szCs w:val="24"/>
          <w:highlight w:val="none"/>
          <w:lang w:val="en-US" w:eastAsia="zh-CN"/>
        </w:rPr>
        <w:t>项目</w:t>
      </w:r>
      <w:r>
        <w:rPr>
          <w:rFonts w:hint="eastAsia" w:ascii="宋体" w:hAnsi="宋体" w:eastAsia="宋体" w:cs="宋体"/>
          <w:bCs/>
          <w:color w:val="auto"/>
          <w:sz w:val="24"/>
          <w:szCs w:val="24"/>
          <w:highlight w:val="none"/>
        </w:rPr>
        <w:t>实际完成工作量的</w:t>
      </w:r>
      <w:r>
        <w:rPr>
          <w:rFonts w:hint="eastAsia" w:ascii="宋体" w:hAnsi="宋体" w:eastAsia="宋体" w:cs="宋体"/>
          <w:bCs/>
          <w:color w:val="auto"/>
          <w:sz w:val="24"/>
          <w:szCs w:val="24"/>
          <w:highlight w:val="none"/>
          <w:u w:val="single"/>
          <w:lang w:val="en-US" w:eastAsia="zh-CN"/>
        </w:rPr>
        <w:t>8</w:t>
      </w:r>
      <w:r>
        <w:rPr>
          <w:rFonts w:hint="eastAsia" w:ascii="宋体" w:hAnsi="宋体" w:eastAsia="宋体" w:cs="宋体"/>
          <w:bCs/>
          <w:color w:val="auto"/>
          <w:sz w:val="24"/>
          <w:szCs w:val="24"/>
          <w:highlight w:val="none"/>
          <w:u w:val="single"/>
        </w:rPr>
        <w:t>0%（</w:t>
      </w:r>
      <w:r>
        <w:rPr>
          <w:rFonts w:hint="eastAsia" w:ascii="宋体" w:hAnsi="宋体" w:eastAsia="宋体" w:cs="宋体"/>
          <w:bCs/>
          <w:color w:val="auto"/>
          <w:sz w:val="24"/>
          <w:szCs w:val="24"/>
          <w:highlight w:val="none"/>
        </w:rPr>
        <w:t>含预付款，且合计不超过暂定合同价的</w:t>
      </w:r>
      <w:r>
        <w:rPr>
          <w:rFonts w:hint="eastAsia" w:ascii="宋体" w:hAnsi="宋体" w:eastAsia="宋体" w:cs="宋体"/>
          <w:bCs/>
          <w:color w:val="auto"/>
          <w:sz w:val="24"/>
          <w:szCs w:val="24"/>
          <w:highlight w:val="none"/>
          <w:u w:val="single"/>
          <w:lang w:val="en-US" w:eastAsia="zh-CN"/>
        </w:rPr>
        <w:t>8</w:t>
      </w:r>
      <w:r>
        <w:rPr>
          <w:rFonts w:hint="eastAsia" w:ascii="宋体" w:hAnsi="宋体" w:eastAsia="宋体" w:cs="宋体"/>
          <w:bCs/>
          <w:color w:val="auto"/>
          <w:sz w:val="24"/>
          <w:szCs w:val="24"/>
          <w:highlight w:val="none"/>
          <w:u w:val="single"/>
        </w:rPr>
        <w:t>0%</w:t>
      </w:r>
      <w:r>
        <w:rPr>
          <w:rFonts w:hint="eastAsia" w:ascii="宋体" w:hAnsi="宋体" w:eastAsia="宋体" w:cs="宋体"/>
          <w:bCs/>
          <w:color w:val="auto"/>
          <w:sz w:val="24"/>
          <w:szCs w:val="24"/>
          <w:highlight w:val="none"/>
        </w:rPr>
        <w:t>）；</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5.5工程完工验收合格后，经甲方或甲方委托的第三方造价咨询单位结算审核且乙方提交请款资料及等额</w:t>
      </w:r>
      <w:r>
        <w:rPr>
          <w:rFonts w:hint="eastAsia" w:ascii="宋体" w:hAnsi="宋体" w:eastAsia="宋体" w:cs="宋体"/>
          <w:bCs/>
          <w:color w:val="auto"/>
          <w:sz w:val="24"/>
          <w:szCs w:val="24"/>
          <w:highlight w:val="none"/>
          <w:u w:val="single"/>
        </w:rPr>
        <w:t>增值税专用发票</w:t>
      </w:r>
      <w:r>
        <w:rPr>
          <w:rFonts w:hint="eastAsia" w:ascii="宋体" w:hAnsi="宋体" w:eastAsia="宋体" w:cs="宋体"/>
          <w:bCs/>
          <w:color w:val="auto"/>
          <w:sz w:val="24"/>
          <w:szCs w:val="24"/>
          <w:highlight w:val="none"/>
        </w:rPr>
        <w:t>后，甲方支付至合同结算价的97</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(含因乙方未按规定履行合同约定而产生的各种违约金、扣罚金、赔偿金以及应由乙方交纳的各种费用等)。</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5.6质保期按合同第十四条约定执行，质保期满后且乙方不存在违约情形，由乙方提交申请质保金退还资料</w:t>
      </w:r>
      <w:r>
        <w:rPr>
          <w:rFonts w:hint="eastAsia" w:ascii="宋体" w:hAnsi="宋体" w:eastAsia="宋体" w:cs="宋体"/>
          <w:color w:val="auto"/>
          <w:sz w:val="24"/>
          <w:szCs w:val="24"/>
          <w:highlight w:val="none"/>
          <w:u w:val="single"/>
        </w:rPr>
        <w:t>15</w:t>
      </w:r>
      <w:r>
        <w:rPr>
          <w:rFonts w:hint="eastAsia" w:ascii="宋体" w:hAnsi="宋体" w:eastAsia="宋体" w:cs="宋体"/>
          <w:color w:val="auto"/>
          <w:sz w:val="24"/>
          <w:szCs w:val="24"/>
          <w:highlight w:val="none"/>
        </w:rPr>
        <w:t>个工作日内，甲方支付合同结算价的3%（质保金）给乙方（无息）。</w:t>
      </w:r>
    </w:p>
    <w:p>
      <w:pPr>
        <w:pStyle w:val="14"/>
        <w:keepNext w:val="0"/>
        <w:keepLines w:val="0"/>
        <w:pageBreakBefore w:val="0"/>
        <w:widowControl w:val="0"/>
        <w:kinsoku/>
        <w:wordWrap/>
        <w:overflowPunct/>
        <w:bidi w:val="0"/>
        <w:spacing w:line="500" w:lineRule="exact"/>
        <w:ind w:firstLine="480" w:firstLineChars="200"/>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5.7 乙方收款账户：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bidi w:val="0"/>
        <w:spacing w:line="500" w:lineRule="exact"/>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乙方在收款前需提交相应金额</w:t>
      </w:r>
      <w:r>
        <w:rPr>
          <w:rFonts w:hint="eastAsia" w:ascii="宋体" w:hAnsi="宋体" w:eastAsia="宋体" w:cs="宋体"/>
          <w:color w:val="auto"/>
          <w:sz w:val="24"/>
          <w:szCs w:val="24"/>
          <w:highlight w:val="none"/>
          <w:u w:val="single"/>
        </w:rPr>
        <w:t>增值税专用发票</w:t>
      </w:r>
      <w:r>
        <w:rPr>
          <w:rFonts w:hint="eastAsia" w:ascii="宋体" w:hAnsi="宋体" w:eastAsia="宋体" w:cs="宋体"/>
          <w:color w:val="auto"/>
          <w:sz w:val="24"/>
          <w:szCs w:val="24"/>
          <w:highlight w:val="none"/>
        </w:rPr>
        <w:t>给甲方。（具体按甲方财务要求提供）</w:t>
      </w:r>
    </w:p>
    <w:p>
      <w:pPr>
        <w:spacing w:line="50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发票信息：</w:t>
      </w:r>
    </w:p>
    <w:p>
      <w:pPr>
        <w:spacing w:line="500" w:lineRule="exact"/>
        <w:ind w:firstLine="960" w:firstLineChars="400"/>
        <w:rPr>
          <w:rFonts w:hint="eastAsia" w:ascii="宋体" w:hAnsi="宋体" w:cs="宋体"/>
          <w:color w:val="auto"/>
          <w:sz w:val="24"/>
          <w:szCs w:val="24"/>
          <w:u w:val="single"/>
        </w:rPr>
      </w:pPr>
      <w:r>
        <w:rPr>
          <w:rFonts w:hint="eastAsia" w:ascii="宋体" w:hAnsi="宋体" w:cs="宋体"/>
          <w:color w:val="auto"/>
          <w:sz w:val="24"/>
          <w:szCs w:val="24"/>
          <w:u w:val="single"/>
          <w:lang w:bidi="ar"/>
        </w:rPr>
        <w:t>名称：广州市净水有限公司</w:t>
      </w:r>
    </w:p>
    <w:p>
      <w:pPr>
        <w:spacing w:line="500" w:lineRule="exact"/>
        <w:ind w:firstLine="960" w:firstLineChars="400"/>
        <w:rPr>
          <w:rFonts w:hint="eastAsia" w:ascii="宋体" w:hAnsi="宋体" w:cs="宋体"/>
          <w:color w:val="auto"/>
          <w:sz w:val="24"/>
          <w:szCs w:val="24"/>
          <w:u w:val="single"/>
        </w:rPr>
      </w:pPr>
      <w:r>
        <w:rPr>
          <w:rFonts w:hint="eastAsia" w:ascii="宋体" w:hAnsi="宋体" w:cs="宋体"/>
          <w:color w:val="auto"/>
          <w:sz w:val="24"/>
          <w:szCs w:val="24"/>
          <w:u w:val="single"/>
          <w:lang w:bidi="ar"/>
        </w:rPr>
        <w:t xml:space="preserve">税号：91440101755584729Q </w:t>
      </w:r>
    </w:p>
    <w:p>
      <w:pPr>
        <w:spacing w:line="500" w:lineRule="exact"/>
        <w:ind w:firstLine="960" w:firstLineChars="400"/>
        <w:rPr>
          <w:rFonts w:hint="eastAsia" w:ascii="宋体" w:hAnsi="宋体" w:cs="宋体"/>
          <w:color w:val="auto"/>
          <w:sz w:val="24"/>
          <w:szCs w:val="24"/>
          <w:u w:val="single"/>
        </w:rPr>
      </w:pPr>
      <w:r>
        <w:rPr>
          <w:rFonts w:hint="eastAsia" w:ascii="宋体" w:hAnsi="宋体" w:cs="宋体"/>
          <w:color w:val="auto"/>
          <w:sz w:val="24"/>
          <w:szCs w:val="24"/>
          <w:u w:val="single"/>
          <w:lang w:bidi="ar"/>
        </w:rPr>
        <w:t xml:space="preserve">地址/电话：广州市天河区临江大道501号/020-38890283 </w:t>
      </w:r>
    </w:p>
    <w:p>
      <w:pPr>
        <w:spacing w:line="500" w:lineRule="exact"/>
        <w:ind w:firstLine="960" w:firstLineChars="400"/>
        <w:rPr>
          <w:rFonts w:hint="eastAsia" w:ascii="宋体" w:hAnsi="宋体" w:cs="宋体"/>
          <w:color w:val="auto"/>
          <w:sz w:val="24"/>
          <w:szCs w:val="24"/>
        </w:rPr>
      </w:pPr>
      <w:r>
        <w:rPr>
          <w:rFonts w:hint="eastAsia" w:ascii="宋体" w:hAnsi="宋体" w:cs="宋体"/>
          <w:color w:val="auto"/>
          <w:sz w:val="24"/>
          <w:szCs w:val="24"/>
          <w:u w:val="single"/>
          <w:lang w:bidi="ar"/>
        </w:rPr>
        <w:t>开户行及账号：民生银行广州分行0301014140006932</w:t>
      </w:r>
    </w:p>
    <w:p>
      <w:pPr>
        <w:keepNext w:val="0"/>
        <w:keepLines w:val="0"/>
        <w:pageBreakBefore w:val="0"/>
        <w:widowControl w:val="0"/>
        <w:tabs>
          <w:tab w:val="left" w:pos="851"/>
        </w:tabs>
        <w:kinsoku/>
        <w:wordWrap/>
        <w:overflowPunct/>
        <w:bidi w:val="0"/>
        <w:adjustRightInd/>
        <w:snapToGrid/>
        <w:spacing w:line="500" w:lineRule="exact"/>
        <w:ind w:firstLine="480" w:firstLineChars="200"/>
        <w:jc w:val="left"/>
        <w:outlineLvl w:val="9"/>
        <w:rPr>
          <w:rFonts w:hint="eastAsia" w:ascii="宋体" w:hAnsi="宋体" w:eastAsia="宋体" w:cs="宋体"/>
          <w:bCs w:val="0"/>
          <w:color w:val="auto"/>
          <w:sz w:val="24"/>
          <w:szCs w:val="24"/>
          <w:highlight w:val="none"/>
        </w:rPr>
      </w:pPr>
      <w:r>
        <w:rPr>
          <w:rFonts w:hint="eastAsia" w:ascii="宋体" w:hAnsi="宋体" w:eastAsia="宋体" w:cs="宋体"/>
          <w:color w:val="auto"/>
          <w:sz w:val="24"/>
          <w:szCs w:val="24"/>
          <w:highlight w:val="none"/>
        </w:rPr>
        <w:t xml:space="preserve">5.8付款方式：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网银支付；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 xml:space="preserve">支票；   </w:t>
      </w: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bidi w:val="0"/>
        <w:spacing w:line="500" w:lineRule="exact"/>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5.9如出现合同费用超付，乙方应在获知超付之日起7个工作日内返还超付款项（无息）。</w:t>
      </w:r>
      <w:r>
        <w:rPr>
          <w:rFonts w:hint="eastAsia" w:ascii="宋体" w:hAnsi="宋体" w:eastAsia="宋体" w:cs="宋体"/>
          <w:color w:val="auto"/>
          <w:sz w:val="24"/>
          <w:szCs w:val="24"/>
          <w:highlight w:val="none"/>
        </w:rPr>
        <w:t>每逾期一周乙方承担超付款项的</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的逾期违约金，且支付超付款项相应存款利息。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5.10结算审定价超过合同暂定总价时，暂停合同的工程款支付程序，签订补充协议后支付。</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5.11本项目工程款的支付单位为：</w:t>
      </w:r>
      <w:r>
        <w:rPr>
          <w:rFonts w:hint="eastAsia" w:ascii="宋体" w:hAnsi="宋体" w:eastAsia="宋体" w:cs="宋体"/>
          <w:color w:val="auto"/>
          <w:sz w:val="24"/>
          <w:szCs w:val="24"/>
          <w:highlight w:val="none"/>
          <w:u w:val="single"/>
          <w:lang w:val="en-US" w:eastAsia="zh-CN"/>
        </w:rPr>
        <w:t xml:space="preserve"> 广州净水公司石井分公司 。</w:t>
      </w:r>
    </w:p>
    <w:bookmarkEnd w:id="60"/>
    <w:bookmarkEnd w:id="61"/>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  履约担保</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履约担保：</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sym w:font="Wingdings" w:char="F0A8"/>
      </w:r>
      <w:r>
        <w:rPr>
          <w:rFonts w:hint="eastAsia" w:ascii="宋体" w:hAnsi="宋体" w:eastAsia="宋体" w:cs="宋体"/>
          <w:bCs/>
          <w:color w:val="auto"/>
          <w:sz w:val="24"/>
          <w:szCs w:val="24"/>
          <w:highlight w:val="none"/>
        </w:rPr>
        <w:t xml:space="preserve">无；    </w:t>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Times New Roman" w:char="0000"/>
      </w:r>
      <w:r>
        <w:rPr>
          <w:rFonts w:hint="eastAsia" w:ascii="宋体" w:hAnsi="宋体" w:eastAsia="宋体" w:cs="宋体"/>
          <w:bCs/>
          <w:color w:val="auto"/>
          <w:sz w:val="24"/>
          <w:szCs w:val="24"/>
          <w:highlight w:val="none"/>
        </w:rPr>
        <w:sym w:font="Wingdings" w:char="00FE"/>
      </w:r>
      <w:r>
        <w:rPr>
          <w:rFonts w:hint="eastAsia" w:ascii="宋体" w:hAnsi="宋体" w:eastAsia="宋体" w:cs="宋体"/>
          <w:bCs/>
          <w:color w:val="auto"/>
          <w:sz w:val="24"/>
          <w:szCs w:val="24"/>
          <w:highlight w:val="none"/>
        </w:rPr>
        <w:t>有，</w:t>
      </w:r>
      <w:r>
        <w:rPr>
          <w:rFonts w:hint="eastAsia" w:ascii="宋体" w:hAnsi="宋体" w:eastAsia="宋体" w:cs="宋体"/>
          <w:bCs/>
          <w:color w:val="auto"/>
          <w:sz w:val="24"/>
          <w:szCs w:val="24"/>
          <w:highlight w:val="none"/>
          <w:lang w:val="en-US" w:eastAsia="zh-CN"/>
        </w:rPr>
        <w:t>乙方于</w:t>
      </w:r>
      <w:r>
        <w:rPr>
          <w:rFonts w:hint="eastAsia" w:ascii="宋体" w:hAnsi="宋体" w:eastAsia="宋体" w:cs="宋体"/>
          <w:color w:val="auto"/>
          <w:sz w:val="24"/>
          <w:szCs w:val="24"/>
          <w:highlight w:val="none"/>
        </w:rPr>
        <w:t>本合同签订后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w:t>
      </w:r>
      <w:r>
        <w:rPr>
          <w:rFonts w:hint="eastAsia" w:ascii="宋体" w:hAnsi="宋体" w:eastAsia="宋体" w:cs="宋体"/>
          <w:color w:val="auto"/>
          <w:sz w:val="24"/>
          <w:szCs w:val="24"/>
          <w:highlight w:val="none"/>
          <w:u w:val="single"/>
          <w:lang w:val="en-US" w:eastAsia="zh-CN"/>
        </w:rPr>
        <w:t>按照</w:t>
      </w:r>
      <w:r>
        <w:rPr>
          <w:rFonts w:hint="eastAsia" w:ascii="宋体" w:hAnsi="宋体" w:eastAsia="宋体" w:cs="宋体"/>
          <w:color w:val="auto"/>
          <w:sz w:val="24"/>
          <w:szCs w:val="24"/>
          <w:highlight w:val="none"/>
          <w:u w:val="single"/>
        </w:rPr>
        <w:t>合同暂定价的10%</w:t>
      </w:r>
      <w:r>
        <w:rPr>
          <w:rFonts w:hint="eastAsia" w:ascii="宋体" w:hAnsi="宋体" w:eastAsia="宋体" w:cs="宋体"/>
          <w:color w:val="auto"/>
          <w:sz w:val="24"/>
          <w:szCs w:val="24"/>
          <w:highlight w:val="none"/>
          <w:u w:val="single"/>
          <w:lang w:val="en-US" w:eastAsia="zh-CN"/>
        </w:rPr>
        <w:t>提交</w:t>
      </w:r>
      <w:r>
        <w:rPr>
          <w:rFonts w:hint="eastAsia" w:ascii="宋体" w:hAnsi="宋体" w:eastAsia="宋体" w:cs="宋体"/>
          <w:color w:val="auto"/>
          <w:sz w:val="24"/>
          <w:szCs w:val="24"/>
          <w:highlight w:val="none"/>
          <w:u w:val="single"/>
        </w:rPr>
        <w:t>履约保证金，</w:t>
      </w:r>
      <w:r>
        <w:rPr>
          <w:rFonts w:hint="eastAsia" w:ascii="宋体" w:hAnsi="宋体" w:eastAsia="宋体" w:cs="宋体"/>
          <w:color w:val="auto"/>
          <w:sz w:val="24"/>
          <w:szCs w:val="24"/>
          <w:highlight w:val="none"/>
        </w:rPr>
        <w:t xml:space="preserve">金额为： </w:t>
      </w:r>
      <w:r>
        <w:rPr>
          <w:rFonts w:hint="eastAsia" w:ascii="宋体" w:hAnsi="宋体" w:eastAsia="宋体" w:cs="宋体"/>
          <w:color w:val="auto"/>
          <w:sz w:val="24"/>
          <w:szCs w:val="24"/>
          <w:highlight w:val="none"/>
          <w:u w:val="single"/>
        </w:rPr>
        <w:t xml:space="preserve">   （大写人民币：            ）</w:t>
      </w:r>
      <w:r>
        <w:rPr>
          <w:rFonts w:hint="eastAsia" w:ascii="宋体" w:hAnsi="宋体" w:eastAsia="宋体" w:cs="宋体"/>
          <w:color w:val="auto"/>
          <w:sz w:val="24"/>
          <w:szCs w:val="24"/>
          <w:highlight w:val="none"/>
        </w:rPr>
        <w:t>未按时提供履约担保的，甲方有权解除合同并要求乙方支付</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作为违约金。</w:t>
      </w:r>
    </w:p>
    <w:p>
      <w:pPr>
        <w:pStyle w:val="23"/>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6.1履约担保按以下任一种形式提供：</w:t>
      </w:r>
    </w:p>
    <w:p>
      <w:pPr>
        <w:pStyle w:val="23"/>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（1）符合甲方要求（详见附件8保函格式）的银行独立保函，</w:t>
      </w:r>
    </w:p>
    <w:p>
      <w:pPr>
        <w:pStyle w:val="23"/>
        <w:keepNext w:val="0"/>
        <w:keepLines w:val="0"/>
        <w:pageBreakBefore w:val="0"/>
        <w:widowControl w:val="0"/>
        <w:kinsoku/>
        <w:wordWrap/>
        <w:overflowPunct/>
        <w:bidi w:val="0"/>
        <w:spacing w:before="0" w:beforeAutospacing="0" w:after="0" w:afterAutospacing="0" w:line="50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（2）现金转账至甲方以下指定账户：</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户名：广州市净水有限公司</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账号：82010154900000342</w:t>
      </w:r>
    </w:p>
    <w:p>
      <w:pPr>
        <w:keepNext w:val="0"/>
        <w:keepLines w:val="0"/>
        <w:pageBreakBefore w:val="0"/>
        <w:widowControl w:val="0"/>
        <w:tabs>
          <w:tab w:val="left" w:pos="1995"/>
        </w:tabs>
        <w:kinsoku/>
        <w:wordWrap/>
        <w:overflowPunct/>
        <w:bidi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开户行：浦发银行广州分行</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6.2履约担保的担保期限和返还</w:t>
      </w:r>
    </w:p>
    <w:p>
      <w:pPr>
        <w:keepNext w:val="0"/>
        <w:keepLines w:val="0"/>
        <w:pageBreakBefore w:val="0"/>
        <w:widowControl w:val="0"/>
        <w:kinsoku/>
        <w:wordWrap/>
        <w:overflowPunct/>
        <w:bidi w:val="0"/>
        <w:spacing w:line="500" w:lineRule="exact"/>
        <w:ind w:firstLine="48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⑴履约银行保函（或现金履约保证金）的担保期限：从提供履约担保（或转账成功）之日起至合同履行完成。</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⑵履约银行保函在合同履行完成后，由乙方提出申请，甲方在28日内返还，不支付利息：</w:t>
      </w:r>
    </w:p>
    <w:p>
      <w:pPr>
        <w:keepNext w:val="0"/>
        <w:keepLines w:val="0"/>
        <w:pageBreakBefore w:val="0"/>
        <w:widowControl w:val="0"/>
        <w:kinsoku/>
        <w:wordWrap/>
        <w:overflowPunct/>
        <w:bidi w:val="0"/>
        <w:spacing w:line="500" w:lineRule="exact"/>
        <w:ind w:firstLine="480" w:firstLineChars="200"/>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⑶延长担保期限。乙方以履约银行保函形式提交履约保证金的，在银行保函到期前，乙方应提前</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日向甲方提交新的保函以替换即将到期的保函。如乙方未及时提交的，甲方有权直接要求担保银行支付其担保的全部金额并解除合同。</w:t>
      </w:r>
    </w:p>
    <w:p>
      <w:pPr>
        <w:pStyle w:val="23"/>
        <w:keepNext w:val="0"/>
        <w:keepLines w:val="0"/>
        <w:pageBreakBefore w:val="0"/>
        <w:widowControl w:val="0"/>
        <w:kinsoku/>
        <w:wordWrap/>
        <w:overflowPunct/>
        <w:bidi w:val="0"/>
        <w:spacing w:before="0" w:beforeAutospacing="0" w:after="0" w:afterAutospacing="0"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⑷现金履约保证金的退还：合同履行完成后，由乙方提出申请，甲方在</w:t>
      </w:r>
      <w:r>
        <w:rPr>
          <w:rFonts w:hint="eastAsia" w:ascii="宋体" w:hAnsi="宋体" w:eastAsia="宋体" w:cs="宋体"/>
          <w:color w:val="auto"/>
          <w:szCs w:val="24"/>
          <w:highlight w:val="none"/>
          <w:u w:val="single"/>
        </w:rPr>
        <w:t>28日</w:t>
      </w:r>
      <w:r>
        <w:rPr>
          <w:rFonts w:hint="eastAsia" w:ascii="宋体" w:hAnsi="宋体" w:eastAsia="宋体" w:cs="宋体"/>
          <w:color w:val="auto"/>
          <w:szCs w:val="24"/>
          <w:highlight w:val="none"/>
        </w:rPr>
        <w:t>内将剩余保证金（无息）返还。</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6.3甲方按本合同规定提取履约担保金额后，乙方应在收到甲方通知后</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日内补足数额，逾期未补足的，则甲方有权提取履约担保的全部余额并解除合同。</w:t>
      </w:r>
    </w:p>
    <w:p>
      <w:pPr>
        <w:pStyle w:val="23"/>
        <w:keepNext w:val="0"/>
        <w:keepLines w:val="0"/>
        <w:pageBreakBefore w:val="0"/>
        <w:widowControl w:val="0"/>
        <w:kinsoku/>
        <w:wordWrap/>
        <w:overflowPunct/>
        <w:bidi w:val="0"/>
        <w:spacing w:before="0" w:beforeAutospacing="0" w:after="0" w:afterAutospacing="0" w:line="500" w:lineRule="exact"/>
        <w:ind w:firstLine="482" w:firstLineChars="20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第七条  图纸</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7.1甲方于开工前向乙方提供技术要求或施工图纸及相关资料。（不包括竣工图纸）</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7.2乙方未经甲方书面同意，不得将本工程图纸</w:t>
      </w:r>
      <w:r>
        <w:rPr>
          <w:rStyle w:val="31"/>
          <w:rFonts w:hint="eastAsia" w:ascii="宋体" w:hAnsi="宋体" w:eastAsia="宋体" w:cs="宋体"/>
          <w:color w:val="auto"/>
          <w:sz w:val="24"/>
          <w:szCs w:val="24"/>
          <w:highlight w:val="none"/>
        </w:rPr>
        <w:t>出示、</w:t>
      </w:r>
      <w:r>
        <w:rPr>
          <w:rFonts w:hint="eastAsia" w:ascii="宋体" w:hAnsi="宋体" w:eastAsia="宋体" w:cs="宋体"/>
          <w:color w:val="auto"/>
          <w:sz w:val="24"/>
          <w:szCs w:val="24"/>
          <w:highlight w:val="none"/>
        </w:rPr>
        <w:t>泄露或以任何其他方式提供给第三人或使第三人知悉。除乙方存档需要的图纸外，乙方应在工程质量保修期满后</w:t>
      </w:r>
      <w:r>
        <w:rPr>
          <w:rFonts w:hint="eastAsia" w:ascii="宋体"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rPr>
        <w:t>日内将全部图纸退还给甲方。</w:t>
      </w:r>
    </w:p>
    <w:p>
      <w:pPr>
        <w:keepNext w:val="0"/>
        <w:keepLines w:val="0"/>
        <w:pageBreakBefore w:val="0"/>
        <w:widowControl w:val="0"/>
        <w:tabs>
          <w:tab w:val="left" w:pos="360"/>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第八条  甲方代表、乙方驻场代表</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53"/>
        <w:keepNext w:val="0"/>
        <w:keepLines w:val="0"/>
        <w:pageBreakBefore w:val="0"/>
        <w:widowControl w:val="0"/>
        <w:tabs>
          <w:tab w:val="left" w:pos="1276"/>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乙方驻场代表（项目经理）：_______________ 。</w:t>
      </w:r>
    </w:p>
    <w:p>
      <w:pPr>
        <w:keepNext w:val="0"/>
        <w:keepLines w:val="0"/>
        <w:pageBreakBefore w:val="0"/>
        <w:widowControl w:val="0"/>
        <w:tabs>
          <w:tab w:val="left" w:pos="1276"/>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项目经理任职条件须符合《广东省住房和城乡建设厅关于加强我省小型工程项目施工管理及明确小型工程项目负责人任职条件的通知》（粤建市[2010]26号）中的相关规定(如有新文件从其新规定）。</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第九条  甲方责任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9.1 开工前办理土地征用，青苗、树木赔偿，坟地迁移，房屋、构筑物拆迁（如有），地上及架空、地下障碍物清除，保证施工期间的用地需要。</w:t>
      </w:r>
    </w:p>
    <w:p>
      <w:pPr>
        <w:keepNext w:val="0"/>
        <w:keepLines w:val="0"/>
        <w:pageBreakBefore w:val="0"/>
        <w:widowControl w:val="0"/>
        <w:tabs>
          <w:tab w:val="left" w:pos="-18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办理施工许可证和临时用地、停水、停电、中断道路交通、爆破作业等的申请批准手续（证明乙方自身资质的证件及应由乙方办理的手续除外）。</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协调、处理施工现场周围建筑物、构筑物(含文物保护建筑)、古树名木和地下管线的保护，并承担有关费用。</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按照合同条款第七条约定及时将施工图纸及有关技术资料提供给乙方，并组织设计单位、乙方会审图纸和设计交底，在收到乙方提供的施工组织设计(或施工方案)和进度计划后</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日内予以确认。</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第十条  乙方责任</w:t>
      </w:r>
    </w:p>
    <w:p>
      <w:pPr>
        <w:keepNext w:val="0"/>
        <w:keepLines w:val="0"/>
        <w:pageBreakBefore w:val="0"/>
        <w:widowControl w:val="0"/>
        <w:kinsoku/>
        <w:wordWrap/>
        <w:overflowPunct/>
        <w:bidi w:val="0"/>
        <w:spacing w:line="50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10.1施工用水用电采用以下</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方式执行。</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（1）由甲方提供施工用水用电接口，水电费按合同综合单价水电含量计算，从甲方支付的工程款中直接扣回。</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（2）由甲方提供施工用水用电接口，费用按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月/项目）结算，由乙方向</w:t>
      </w:r>
      <w:r>
        <w:rPr>
          <w:rFonts w:hint="eastAsia" w:ascii="宋体" w:hAnsi="宋体" w:eastAsia="宋体" w:cs="宋体"/>
          <w:color w:val="auto"/>
          <w:sz w:val="24"/>
          <w:szCs w:val="24"/>
          <w:highlight w:val="none"/>
          <w:u w:val="single"/>
        </w:rPr>
        <w:t>甲方或甲方XX分公司</w:t>
      </w:r>
      <w:r>
        <w:rPr>
          <w:rFonts w:hint="eastAsia" w:ascii="宋体" w:hAnsi="宋体" w:eastAsia="宋体" w:cs="宋体"/>
          <w:color w:val="auto"/>
          <w:sz w:val="24"/>
          <w:szCs w:val="24"/>
          <w:highlight w:val="none"/>
        </w:rPr>
        <w:t>支付。水电费用按所属供电局、自来水公司收费标准，按实计算。</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（3）由乙方自行负责。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 根据甲方要求提交施工计划、已完工进度统计报表和工程事故报告。</w:t>
      </w:r>
    </w:p>
    <w:p>
      <w:pPr>
        <w:keepNext w:val="0"/>
        <w:keepLines w:val="0"/>
        <w:pageBreakBefore w:val="0"/>
        <w:widowControl w:val="0"/>
        <w:kinsoku/>
        <w:wordWrap/>
        <w:overflowPunct/>
        <w:bidi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遵守国家及本市有关部门对施工现场环境保护，做好施工噪声、废气、废水、安全、防火、保卫、并按照国家及广州市相关规定做好建筑垃圾的处理等各项工作。</w:t>
      </w:r>
    </w:p>
    <w:p>
      <w:pPr>
        <w:keepNext w:val="0"/>
        <w:keepLines w:val="0"/>
        <w:pageBreakBefore w:val="0"/>
        <w:widowControl w:val="0"/>
        <w:tabs>
          <w:tab w:val="left" w:pos="851"/>
        </w:tabs>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 建立健全安全防护措施和文明施工的制度，完善安全防护和文明施工条件，严格按照安全防护和文明施工的规定组织施工，采取必要的安全防护措施，消除事故隐患，自觉接受和配合行政主管部门依法实施的监督检查。乙方在施工过程中必须按照相关规定进行围蔽。</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10.5 做好施工现场周围建筑物、构筑物(含文物保护建筑)、古树名木和地下管线的保护。发现地下障碍和文物时，及时报告甲方及有关部门并采取有效保护措施，按有关具体规定处置，甲方承担由此发生的费用，延误的工期相应顺延。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需在施工组织设计(或施工方案)中列明管线保护的详细措施，经甲方确认后才能进行施工，在施工过程中严格按照管线保护措施保护好管线，相关费用按实计量。由于措施不当或没有做好保护措施便开工导致挖断管线的，乙方承担所有责任及相应费用。当现场施工发生管线损坏事故时，乙方必须立即报告甲方、管线产权单位及建设行政主管部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10.6 在图纸会审和设计交底后</w:t>
      </w:r>
      <w:r>
        <w:rPr>
          <w:rFonts w:hint="eastAsia" w:ascii="宋体" w:hAnsi="宋体" w:eastAsia="宋体" w:cs="宋体"/>
          <w:color w:val="auto"/>
          <w:sz w:val="24"/>
          <w:szCs w:val="24"/>
          <w:highlight w:val="none"/>
          <w:u w:val="single"/>
        </w:rPr>
        <w:t xml:space="preserve"> 7 </w:t>
      </w:r>
      <w:r>
        <w:rPr>
          <w:rFonts w:hint="eastAsia" w:ascii="宋体" w:hAnsi="宋体" w:eastAsia="宋体" w:cs="宋体"/>
          <w:color w:val="auto"/>
          <w:sz w:val="24"/>
          <w:szCs w:val="24"/>
          <w:highlight w:val="none"/>
        </w:rPr>
        <w:t>日内向甲方提交施工组织设计(或施工方案)和进度计划，经甲方批准后依照计划组织施工，接受甲方对进度的检查监督。</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10.7 乙方严格遵守建设工程余泥渣土运输与排放管理制度，选择合法的余泥渣土运输单位及排放点，确保余泥渣土合法处置。</w:t>
      </w:r>
    </w:p>
    <w:p>
      <w:pPr>
        <w:pStyle w:val="53"/>
        <w:keepNext w:val="0"/>
        <w:keepLines w:val="0"/>
        <w:pageBreakBefore w:val="0"/>
        <w:widowControl w:val="0"/>
        <w:tabs>
          <w:tab w:val="left" w:pos="851"/>
        </w:tabs>
        <w:kinsoku/>
        <w:wordWrap/>
        <w:overflowPunct/>
        <w:bidi w:val="0"/>
        <w:snapToGrid w:val="0"/>
        <w:spacing w:before="0" w:after="0" w:line="500" w:lineRule="exact"/>
        <w:ind w:left="435" w:leftChars="150" w:right="0" w:hanging="120" w:hanging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10.8 乙方应按时参加甲方召开的施工调度会议，严格执行会议纪要的决定</w:t>
      </w:r>
    </w:p>
    <w:p>
      <w:pPr>
        <w:pStyle w:val="53"/>
        <w:keepNext w:val="0"/>
        <w:keepLines w:val="0"/>
        <w:pageBreakBefore w:val="0"/>
        <w:widowControl w:val="0"/>
        <w:tabs>
          <w:tab w:val="left" w:pos="851"/>
        </w:tabs>
        <w:kinsoku/>
        <w:wordWrap/>
        <w:overflowPunct/>
        <w:bidi w:val="0"/>
        <w:snapToGrid w:val="0"/>
        <w:spacing w:before="0" w:after="0" w:line="500" w:lineRule="exact"/>
        <w:ind w:left="0" w:right="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每缺席一次，甲方有权要求乙方支付</w:t>
      </w:r>
      <w:r>
        <w:rPr>
          <w:rFonts w:hint="eastAsia" w:ascii="宋体" w:hAnsi="宋体" w:cs="宋体"/>
          <w:color w:val="auto"/>
          <w:kern w:val="2"/>
          <w:szCs w:val="24"/>
          <w:highlight w:val="none"/>
          <w:u w:val="single"/>
          <w:lang w:val="en-US" w:eastAsia="zh-CN"/>
        </w:rPr>
        <w:t>1000</w:t>
      </w:r>
      <w:r>
        <w:rPr>
          <w:rFonts w:hint="eastAsia" w:ascii="宋体" w:hAnsi="宋体" w:eastAsia="宋体" w:cs="宋体"/>
          <w:color w:val="auto"/>
          <w:kern w:val="2"/>
          <w:szCs w:val="24"/>
          <w:highlight w:val="none"/>
          <w:u w:val="single"/>
        </w:rPr>
        <w:t xml:space="preserve"> 元</w:t>
      </w:r>
      <w:r>
        <w:rPr>
          <w:rFonts w:hint="eastAsia" w:ascii="宋体" w:hAnsi="宋体" w:eastAsia="宋体" w:cs="宋体"/>
          <w:color w:val="auto"/>
          <w:kern w:val="2"/>
          <w:szCs w:val="24"/>
          <w:highlight w:val="none"/>
        </w:rPr>
        <w:t>作为违约金。</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10.9 乙方应在施工现场保留施工相关资料（如施工图、技术需求书等）、安全审批过程材料，供甲方进行工程检查时使用。</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10.10 乙方应严格按《广州市建设工程文明施工管理规定》、</w:t>
      </w:r>
      <w:r>
        <w:rPr>
          <w:rFonts w:hint="eastAsia" w:hAnsi="宋体" w:eastAsia="宋体"/>
          <w:color w:val="auto"/>
          <w:sz w:val="24"/>
          <w:highlight w:val="none"/>
          <w:lang w:eastAsia="zh-CN"/>
        </w:rPr>
        <w:t>《</w:t>
      </w:r>
      <w:r>
        <w:rPr>
          <w:rFonts w:hint="eastAsia" w:hAnsi="宋体" w:eastAsia="宋体"/>
          <w:color w:val="auto"/>
          <w:sz w:val="24"/>
          <w:highlight w:val="none"/>
          <w:lang w:val="en-US" w:eastAsia="zh-CN"/>
        </w:rPr>
        <w:t>广州市建设工程扬尘防治“6个100%”管理标准图集（V2.0版）</w:t>
      </w:r>
      <w:r>
        <w:rPr>
          <w:rFonts w:hint="eastAsia" w:hAnsi="宋体" w:eastAsia="宋体"/>
          <w:color w:val="auto"/>
          <w:sz w:val="24"/>
          <w:highlight w:val="none"/>
          <w:lang w:eastAsia="zh-CN"/>
        </w:rPr>
        <w:t>》</w:t>
      </w:r>
      <w:r>
        <w:rPr>
          <w:rFonts w:hint="eastAsia" w:ascii="宋体" w:hAnsi="宋体" w:eastAsia="宋体" w:cs="宋体"/>
          <w:color w:val="auto"/>
          <w:szCs w:val="24"/>
          <w:highlight w:val="none"/>
        </w:rPr>
        <w:t>要求实施。（如有出台新文件，按新文件执行）</w:t>
      </w:r>
    </w:p>
    <w:p>
      <w:pPr>
        <w:pStyle w:val="53"/>
        <w:keepNext w:val="0"/>
        <w:keepLines w:val="0"/>
        <w:pageBreakBefore w:val="0"/>
        <w:widowControl w:val="0"/>
        <w:tabs>
          <w:tab w:val="left" w:pos="851"/>
        </w:tabs>
        <w:kinsoku/>
        <w:wordWrap/>
        <w:overflowPunct/>
        <w:bidi w:val="0"/>
        <w:snapToGrid w:val="0"/>
        <w:spacing w:before="0" w:after="0" w:line="500" w:lineRule="exact"/>
        <w:ind w:left="0" w:right="0"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10.11 乙方应做好施工现场100%围蔽、工地砂土100%覆盖、工地路面100%硬地化、拆除工程100%洒水压尘、出工地车辆100%冲净车轮车身、暂不开发的场地100%绿化等工作。</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10.12 如厂区内施工，施工人员必须严格遵守</w:t>
      </w:r>
      <w:r>
        <w:rPr>
          <w:rFonts w:hint="eastAsia" w:ascii="宋体" w:hAnsi="宋体" w:eastAsia="宋体" w:cs="宋体"/>
          <w:color w:val="auto"/>
          <w:kern w:val="10"/>
          <w:sz w:val="24"/>
          <w:szCs w:val="24"/>
          <w:highlight w:val="none"/>
        </w:rPr>
        <w:t>污水处理厂</w:t>
      </w:r>
      <w:r>
        <w:rPr>
          <w:rFonts w:hint="eastAsia" w:ascii="宋体" w:hAnsi="宋体" w:eastAsia="宋体" w:cs="宋体"/>
          <w:color w:val="auto"/>
          <w:sz w:val="24"/>
          <w:szCs w:val="24"/>
          <w:highlight w:val="none"/>
        </w:rPr>
        <w:t>一切规章制度。进入施工现场人员必须佩戴出入证，并自觉接受门岗检查。</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10.13 乙方做好施工人员的安全防护措施，施工人员安全责任由乙方承担。</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10.14 乙方特种作业人员必须持证上岗。</w:t>
      </w:r>
    </w:p>
    <w:p>
      <w:pPr>
        <w:keepNext w:val="0"/>
        <w:keepLines w:val="0"/>
        <w:pageBreakBefore w:val="0"/>
        <w:widowControl w:val="0"/>
        <w:kinsoku/>
        <w:wordWrap/>
        <w:overflowPunct/>
        <w:bidi w:val="0"/>
        <w:adjustRightInd w:val="0"/>
        <w:snapToGri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10.15 乙方应注意安全施工，在施工过程中出现的伤亡事故及工作过程以外出现的一切事故由乙方承担责任，并负责处理善后工作，负责伤亡者一切费用。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第十一条 工程质量检查及验收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11.1乙方应认真按照国家颁布的施工验收规范及工程设计图纸要求进行施工，且接受甲方监督，质量验收必须达到合格。</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隐蔽工程验收</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当工程具备覆盖、掩盖条件或达到中间验收部位后，乙方自检，并提前</w:t>
      </w:r>
      <w:r>
        <w:rPr>
          <w:rFonts w:hint="eastAsia" w:ascii="宋体" w:hAnsi="宋体" w:eastAsia="宋体" w:cs="宋体"/>
          <w:color w:val="auto"/>
          <w:sz w:val="24"/>
          <w:szCs w:val="24"/>
          <w:highlight w:val="none"/>
          <w:u w:val="single"/>
        </w:rPr>
        <w:t>48</w:t>
      </w:r>
      <w:r>
        <w:rPr>
          <w:rFonts w:hint="eastAsia" w:ascii="宋体" w:hAnsi="宋体" w:eastAsia="宋体" w:cs="宋体"/>
          <w:color w:val="auto"/>
          <w:sz w:val="24"/>
          <w:szCs w:val="24"/>
          <w:highlight w:val="none"/>
        </w:rPr>
        <w:t xml:space="preserve">小时以书面形式通知甲方参加验收，经甲方验收合格并在验收记录上签字后，方可进行隐蔽和继续施工。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乙方应在工程完工后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日内，按甲方要求将竣工资料和竣工验收报告各一式</w:t>
      </w:r>
      <w:r>
        <w:rPr>
          <w:rFonts w:hint="eastAsia" w:ascii="宋体" w:hAnsi="宋体" w:eastAsia="宋体" w:cs="宋体"/>
          <w:color w:val="auto"/>
          <w:sz w:val="24"/>
          <w:szCs w:val="24"/>
          <w:highlight w:val="none"/>
          <w:u w:val="single"/>
          <w:lang w:val="en-US" w:eastAsia="zh-CN"/>
        </w:rPr>
        <w:t>肆</w:t>
      </w:r>
      <w:r>
        <w:rPr>
          <w:rFonts w:hint="eastAsia" w:ascii="宋体" w:hAnsi="宋体" w:eastAsia="宋体" w:cs="宋体"/>
          <w:color w:val="auto"/>
          <w:sz w:val="24"/>
          <w:szCs w:val="24"/>
          <w:highlight w:val="none"/>
        </w:rPr>
        <w:t>份提交甲方进行资料预验收,每逾期一日，乙方需支付</w:t>
      </w:r>
      <w:r>
        <w:rPr>
          <w:rFonts w:hint="eastAsia" w:ascii="宋体" w:hAnsi="宋体" w:eastAsia="宋体" w:cs="宋体"/>
          <w:color w:val="auto"/>
          <w:sz w:val="24"/>
          <w:szCs w:val="24"/>
          <w:highlight w:val="none"/>
          <w:u w:val="single"/>
          <w:lang w:val="en-US" w:eastAsia="zh-CN"/>
        </w:rPr>
        <w:t>1000</w:t>
      </w:r>
      <w:r>
        <w:rPr>
          <w:rFonts w:hint="eastAsia" w:ascii="宋体" w:hAnsi="宋体" w:eastAsia="宋体" w:cs="宋体"/>
          <w:color w:val="auto"/>
          <w:sz w:val="24"/>
          <w:szCs w:val="24"/>
          <w:highlight w:val="none"/>
        </w:rPr>
        <w:t>元作为违约金。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甲方在收到上述资料后</w:t>
      </w:r>
      <w:r>
        <w:rPr>
          <w:rFonts w:hint="eastAsia" w:ascii="宋体" w:hAnsi="宋体" w:eastAsia="宋体" w:cs="宋体"/>
          <w:color w:val="auto"/>
          <w:sz w:val="24"/>
          <w:szCs w:val="24"/>
          <w:highlight w:val="none"/>
          <w:u w:val="single"/>
        </w:rPr>
        <w:t>28</w:t>
      </w:r>
      <w:r>
        <w:rPr>
          <w:rFonts w:hint="eastAsia" w:ascii="宋体" w:hAnsi="宋体" w:eastAsia="宋体" w:cs="宋体"/>
          <w:color w:val="auto"/>
          <w:sz w:val="24"/>
          <w:szCs w:val="24"/>
          <w:highlight w:val="none"/>
        </w:rPr>
        <w:t>日内组织有关单位进行验收，并在验收后10日内给予认可或提出修改意见。乙方按要求修改，并承担修改的费用。</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11.4工程竣工验收通过，乙方送交竣工资料和竣工验收报告的日期为实际竣工日期。工程按甲方要求修改后通过竣工验收的，实际竣工日期为乙方修改后提请甲方验收的日期。</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 竣工资料</w:t>
      </w:r>
    </w:p>
    <w:p>
      <w:pPr>
        <w:keepNext w:val="0"/>
        <w:keepLines w:val="0"/>
        <w:pageBreakBefore w:val="0"/>
        <w:widowControl w:val="0"/>
        <w:kinsoku/>
        <w:wordWrap/>
        <w:overflowPunct/>
        <w:bidi w:val="0"/>
        <w:spacing w:line="500" w:lineRule="exact"/>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乙方应按甲方的要求，在工程施工期间及时收集、汇总、整理、编制竣工档案，并于工程竣工验收后按下款约定向甲方完整移交如下竣工资料（包括且不限于）：</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（a）竣工文件资料、竣工图资料（原件）各一式</w:t>
      </w:r>
      <w:r>
        <w:rPr>
          <w:rFonts w:hint="eastAsia" w:ascii="宋体" w:hAnsi="宋体" w:eastAsia="宋体" w:cs="宋体"/>
          <w:color w:val="auto"/>
          <w:sz w:val="24"/>
          <w:szCs w:val="24"/>
          <w:highlight w:val="none"/>
          <w:u w:val="single"/>
        </w:rPr>
        <w:t>四</w:t>
      </w:r>
      <w:r>
        <w:rPr>
          <w:rFonts w:hint="eastAsia" w:ascii="宋体" w:hAnsi="宋体" w:eastAsia="宋体" w:cs="宋体"/>
          <w:color w:val="auto"/>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（b）与本款（a）项内容相同的电子版资料一式</w:t>
      </w:r>
      <w:r>
        <w:rPr>
          <w:rFonts w:hint="eastAsia" w:ascii="宋体" w:hAnsi="宋体" w:eastAsia="宋体" w:cs="宋体"/>
          <w:color w:val="auto"/>
          <w:sz w:val="24"/>
          <w:szCs w:val="24"/>
          <w:highlight w:val="none"/>
          <w:u w:val="single"/>
        </w:rPr>
        <w:t>二</w:t>
      </w:r>
      <w:r>
        <w:rPr>
          <w:rFonts w:hint="eastAsia" w:ascii="宋体" w:hAnsi="宋体" w:eastAsia="宋体" w:cs="宋体"/>
          <w:color w:val="auto"/>
          <w:sz w:val="24"/>
          <w:szCs w:val="24"/>
          <w:highlight w:val="none"/>
        </w:rPr>
        <w:t>份；</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（2）乙方移交竣工资料的时限：乙方应于工程竣工验收后</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日内将竣工资料提交甲方签认。乙方应于甲方签认后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日内将竣工资料移交给甲方归档并同时移交有关的证明文件。甲方经审查合格的，应在收到竣工资料后</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日内签署资料验收意见；不合格的，乙方应按甲方要求限期补正，直至合格为止。乙方超过本条规定的时限，每逾期一日，支付</w:t>
      </w:r>
      <w:r>
        <w:rPr>
          <w:rFonts w:hint="eastAsia" w:ascii="宋体" w:hAnsi="宋体" w:eastAsia="宋体" w:cs="宋体"/>
          <w:color w:val="auto"/>
          <w:sz w:val="24"/>
          <w:szCs w:val="24"/>
          <w:highlight w:val="none"/>
          <w:u w:val="single"/>
        </w:rPr>
        <w:t>合同暂定总价</w:t>
      </w:r>
      <w:r>
        <w:rPr>
          <w:rFonts w:hint="eastAsia" w:ascii="宋体" w:hAnsi="宋体" w:eastAsia="宋体" w:cs="宋体"/>
          <w:bCs/>
          <w:color w:val="auto"/>
          <w:sz w:val="24"/>
          <w:szCs w:val="24"/>
          <w:highlight w:val="none"/>
          <w:u w:val="single"/>
        </w:rPr>
        <w:t>万分之五/日</w:t>
      </w:r>
      <w:r>
        <w:rPr>
          <w:rFonts w:hint="eastAsia" w:ascii="宋体" w:hAnsi="宋体" w:eastAsia="宋体" w:cs="宋体"/>
          <w:color w:val="auto"/>
          <w:sz w:val="24"/>
          <w:szCs w:val="24"/>
          <w:highlight w:val="none"/>
        </w:rPr>
        <w:t>违约金。</w:t>
      </w:r>
    </w:p>
    <w:p>
      <w:pPr>
        <w:keepNext w:val="0"/>
        <w:keepLines w:val="0"/>
        <w:pageBreakBefore w:val="0"/>
        <w:widowControl w:val="0"/>
        <w:kinsoku/>
        <w:wordWrap/>
        <w:overflowPunct/>
        <w:bidi w:val="0"/>
        <w:spacing w:line="50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（3）电子版竣工图的编制，以甲方提供的电子版施工图为基础。乙方在移交竣工资料时，应一并移交甲方提供的电子版施工图。</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bidi w:val="0"/>
        <w:spacing w:line="500" w:lineRule="exact"/>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11.6本合同竣工</w:t>
      </w:r>
      <w:r>
        <w:rPr>
          <w:rFonts w:hint="eastAsia" w:ascii="宋体" w:hAnsi="宋体" w:eastAsia="宋体" w:cs="宋体"/>
          <w:color w:val="auto"/>
          <w:sz w:val="24"/>
          <w:szCs w:val="24"/>
          <w:highlight w:val="none"/>
          <w:u w:val="single"/>
          <w:lang w:val="en-US" w:eastAsia="zh-CN"/>
        </w:rPr>
        <w:t>验收结算</w:t>
      </w:r>
      <w:r>
        <w:rPr>
          <w:rFonts w:hint="eastAsia" w:ascii="宋体" w:hAnsi="宋体" w:eastAsia="宋体" w:cs="宋体"/>
          <w:color w:val="auto"/>
          <w:sz w:val="24"/>
          <w:szCs w:val="24"/>
          <w:highlight w:val="none"/>
          <w:lang w:val="en-US" w:eastAsia="zh-CN"/>
        </w:rPr>
        <w:t>单位为：</w:t>
      </w:r>
      <w:r>
        <w:rPr>
          <w:rFonts w:hint="eastAsia" w:ascii="宋体" w:hAnsi="宋体" w:eastAsia="宋体" w:cs="宋体"/>
          <w:color w:val="auto"/>
          <w:sz w:val="24"/>
          <w:szCs w:val="24"/>
          <w:highlight w:val="none"/>
          <w:u w:val="single"/>
          <w:lang w:val="en-US" w:eastAsia="zh-CN"/>
        </w:rPr>
        <w:t xml:space="preserve"> 广州净水公司石井分公司。</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第十二条 工程结算</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乙方在工程竣工验收合格后</w:t>
      </w:r>
      <w:r>
        <w:rPr>
          <w:rFonts w:hint="eastAsia" w:ascii="宋体" w:hAnsi="宋体" w:eastAsia="宋体" w:cs="宋体"/>
          <w:color w:val="auto"/>
          <w:sz w:val="24"/>
          <w:szCs w:val="24"/>
          <w:highlight w:val="none"/>
          <w:u w:val="single"/>
        </w:rPr>
        <w:t xml:space="preserve"> 28 </w:t>
      </w:r>
      <w:r>
        <w:rPr>
          <w:rFonts w:hint="eastAsia" w:ascii="宋体" w:hAnsi="宋体" w:eastAsia="宋体" w:cs="宋体"/>
          <w:color w:val="auto"/>
          <w:sz w:val="24"/>
          <w:szCs w:val="24"/>
          <w:highlight w:val="none"/>
        </w:rPr>
        <w:t>日内，按甲方要求将完整的竣工结算资料（一式两套原件）报送甲方，如乙方未在规定时间内提供完整的工程竣工结算资料，每逾期一日，应支付</w:t>
      </w:r>
      <w:r>
        <w:rPr>
          <w:rFonts w:hint="eastAsia" w:ascii="宋体" w:hAnsi="宋体" w:eastAsia="宋体" w:cs="宋体"/>
          <w:color w:val="auto"/>
          <w:sz w:val="24"/>
          <w:szCs w:val="24"/>
          <w:highlight w:val="none"/>
          <w:u w:val="single"/>
          <w:lang w:val="en-US" w:eastAsia="zh-CN"/>
        </w:rPr>
        <w:t>1000</w:t>
      </w:r>
      <w:r>
        <w:rPr>
          <w:rFonts w:hint="eastAsia" w:ascii="宋体" w:hAnsi="宋体" w:eastAsia="宋体" w:cs="宋体"/>
          <w:color w:val="auto"/>
          <w:sz w:val="24"/>
          <w:szCs w:val="24"/>
          <w:highlight w:val="none"/>
        </w:rPr>
        <w:t>元/日违约金，并且经甲方书面催促后</w:t>
      </w:r>
      <w:r>
        <w:rPr>
          <w:rFonts w:hint="eastAsia" w:ascii="宋体" w:hAnsi="宋体" w:eastAsia="宋体" w:cs="宋体"/>
          <w:color w:val="auto"/>
          <w:sz w:val="24"/>
          <w:szCs w:val="24"/>
          <w:highlight w:val="none"/>
          <w:u w:val="single"/>
        </w:rPr>
        <w:t xml:space="preserve"> 14 </w:t>
      </w:r>
      <w:r>
        <w:rPr>
          <w:rFonts w:hint="eastAsia" w:ascii="宋体" w:hAnsi="宋体" w:eastAsia="宋体" w:cs="宋体"/>
          <w:color w:val="auto"/>
          <w:sz w:val="24"/>
          <w:szCs w:val="24"/>
          <w:highlight w:val="none"/>
        </w:rPr>
        <w:t>日内仍未提供或没有书面答复，甲方有权根据已有资料单方办理结算，合同结算价以甲方或甲方委托的第三方造价咨询单位出具的审核结果为准。</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12.2结算原则</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12.2.1 </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t>综合单价包干</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本工程采用分部分项清单项目综合单价包干，项目措施费</w:t>
      </w:r>
      <w:r>
        <w:rPr>
          <w:rFonts w:hint="eastAsia" w:ascii="宋体" w:hAnsi="宋体" w:eastAsia="宋体" w:cs="宋体"/>
          <w:color w:val="auto"/>
          <w:sz w:val="24"/>
          <w:szCs w:val="24"/>
          <w:highlight w:val="none"/>
          <w:lang w:val="en-US" w:eastAsia="zh-CN"/>
        </w:rPr>
        <w:t>按实结算</w:t>
      </w:r>
      <w:r>
        <w:rPr>
          <w:rFonts w:hint="eastAsia" w:ascii="宋体" w:hAnsi="宋体" w:eastAsia="宋体" w:cs="宋体"/>
          <w:color w:val="auto"/>
          <w:sz w:val="24"/>
          <w:szCs w:val="24"/>
          <w:highlight w:val="none"/>
        </w:rPr>
        <w:t>。结算时依据经甲方审查的结算资料计算实际工程量，并按综合单价（按合同清单综合单价、综合合价以及按合同约定的变更计价依据计算并将组价按乙方报价的下浮率（%）下浮）进行结算。</w:t>
      </w:r>
      <w:r>
        <w:rPr>
          <w:rFonts w:hint="eastAsia" w:ascii="宋体" w:hAnsi="宋体" w:eastAsia="宋体" w:cs="宋体"/>
          <w:bCs/>
          <w:color w:val="auto"/>
          <w:sz w:val="24"/>
          <w:szCs w:val="24"/>
          <w:highlight w:val="none"/>
        </w:rPr>
        <w:t>最终以甲方或者甲方委托的第三方造价咨询单位审核后的终审价作为结算价。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12.2.2 </w:t>
      </w:r>
      <w:r>
        <w:rPr>
          <w:rFonts w:hint="eastAsia" w:ascii="宋体" w:hAnsi="宋体" w:eastAsia="宋体" w:cs="宋体"/>
          <w:color w:val="auto"/>
          <w:sz w:val="24"/>
          <w:szCs w:val="24"/>
          <w:highlight w:val="none"/>
        </w:rPr>
        <w:sym w:font="Times New Roman" w:char="0000"/>
      </w:r>
      <w:r>
        <w:rPr>
          <w:rFonts w:hint="eastAsia" w:ascii="宋体" w:hAnsi="宋体" w:eastAsia="宋体" w:cs="宋体"/>
          <w:color w:val="auto"/>
          <w:sz w:val="24"/>
          <w:szCs w:val="24"/>
          <w:highlight w:val="none"/>
        </w:rPr>
        <w:t>固定总价包干</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项目的工程承包总价是由乙方按交易文件（如有）、图纸的承包范围、承包内容规定，采用清单计价办法或定额计价办法，结合工程现场实际情况，考虑风险后按相应下浮率下浮后编制的，除甲方对原承包范围、承包内容进行变更或同意变更外，乙方必须按本承包价对交易文件（如有）、图纸的范围、内容、要求进行包施工、包安装、包料、包质量、包安全、包工期、包文明施工等的总价包干，其中项目措施费按实计量。</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如因甲方对承包范围、承包内容进行变更或同意变更时，变更项目的工程造价采用清单计价方法或定额计价方法按合同约定的变更计价依据进行计价后下浮。</w:t>
      </w:r>
      <w:r>
        <w:rPr>
          <w:rFonts w:hint="eastAsia" w:ascii="宋体" w:hAnsi="宋体" w:eastAsia="宋体" w:cs="宋体"/>
          <w:bCs/>
          <w:color w:val="auto"/>
          <w:sz w:val="24"/>
          <w:szCs w:val="24"/>
          <w:highlight w:val="none"/>
        </w:rPr>
        <w:t>最终以甲方或甲方委托的第三方造价咨询单位审核后的终审价作为结算价。</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变更计价依据</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工程变更按下列规定调整：</w:t>
      </w:r>
    </w:p>
    <w:p>
      <w:pPr>
        <w:keepNext w:val="0"/>
        <w:keepLines w:val="0"/>
        <w:pageBreakBefore w:val="0"/>
        <w:widowControl w:val="0"/>
        <w:tabs>
          <w:tab w:val="left" w:pos="0"/>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12.3.1因非乙方原因引起工程量报价清单中工程量发生增减，且单个子目工程量变化幅度在25%以内（含）时，按工程量报价清单中列明的子目单价结算。否则，按新增单价执行。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12.3.2</w:t>
      </w:r>
      <w:r>
        <w:rPr>
          <w:rFonts w:hint="eastAsia" w:ascii="宋体" w:hAnsi="宋体" w:eastAsia="宋体" w:cs="宋体"/>
          <w:color w:val="auto"/>
          <w:sz w:val="24"/>
          <w:szCs w:val="24"/>
          <w:highlight w:val="none"/>
        </w:rPr>
        <w:t xml:space="preserve"> 合同中没有适用于变更工程项目的单价的，</w:t>
      </w:r>
      <w:r>
        <w:rPr>
          <w:rFonts w:hint="eastAsia" w:ascii="宋体" w:hAnsi="宋体" w:eastAsia="宋体" w:cs="宋体"/>
          <w:color w:val="auto"/>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12.3.3新增单价计价原则：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合同中没有适用于变更工程项目的单价的，</w:t>
      </w:r>
      <w:r>
        <w:rPr>
          <w:rFonts w:hint="eastAsia" w:ascii="宋体" w:hAnsi="宋体" w:eastAsia="宋体" w:cs="宋体"/>
          <w:color w:val="auto"/>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项目计价材料、设备价格的控制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按以下顺序作为降序优先级依次采用工程开工报告中开工日期当月的下列价格</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（3）综合价格、厂商价格中缺项的，采用由北京瑞恒达建筑咨询有限公司提供服务的“慧讯网”中查到的相应材料、设备价格的工程价。</w:t>
      </w:r>
    </w:p>
    <w:p>
      <w:pPr>
        <w:pStyle w:val="2"/>
        <w:rPr>
          <w:rFonts w:hint="default" w:eastAsia="宋体"/>
          <w:color w:val="auto"/>
          <w:highlight w:val="none"/>
          <w:lang w:val="en-US" w:eastAsia="zh-CN"/>
        </w:rPr>
      </w:pPr>
      <w:r>
        <w:rPr>
          <w:rFonts w:hint="eastAsia"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rPr>
        <w:t>（4）通过市场询价双方协商确定。</w:t>
      </w:r>
    </w:p>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3.按1、2组价后下浮5%计取。</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第十三条 材料设备要求</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13.1乙方应对负责供应的材料设备，提供产品合格证明，保证其质量符合国家、地方及行业有关规范及设计要求，否则，乙方应在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rPr>
        <w:t>日内重新供应符合要求的产品，由于乙方提供的伪劣、假冒等所有不合格材料而导致的损失、事故及一切后果，均由乙方负责并赔偿甲方所有损失。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甲方发现乙方使用与设计和规范要求不符的材料设备时，有权要求乙方停止使用，并在</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rPr>
        <w:t>日内拆除、修复或重新采购，如果乙方拒不履行，则甲方可自行或指派第三方实施，由此发生的费用由乙方承担。</w:t>
      </w:r>
    </w:p>
    <w:p>
      <w:pPr>
        <w:keepNext w:val="0"/>
        <w:keepLines w:val="0"/>
        <w:pageBreakBefore w:val="0"/>
        <w:widowControl w:val="0"/>
        <w:tabs>
          <w:tab w:val="left" w:pos="840"/>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13.3本项目所承包范围内所需的设备材料、成品、未成品、运输、保管、质量等责任均由乙方承担。</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第十四条 工程保修</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质量保证金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按工程结算审定价的</w:t>
      </w:r>
      <w:r>
        <w:rPr>
          <w:rFonts w:hint="eastAsia" w:ascii="宋体" w:hAnsi="宋体" w:eastAsia="宋体" w:cs="宋体"/>
          <w:color w:val="auto"/>
          <w:sz w:val="24"/>
          <w:szCs w:val="24"/>
          <w:highlight w:val="none"/>
          <w:u w:val="single"/>
        </w:rPr>
        <w:t>3 %</w:t>
      </w:r>
      <w:r>
        <w:rPr>
          <w:rFonts w:hint="eastAsia" w:ascii="宋体" w:hAnsi="宋体" w:eastAsia="宋体" w:cs="宋体"/>
          <w:color w:val="auto"/>
          <w:sz w:val="24"/>
          <w:szCs w:val="24"/>
          <w:highlight w:val="none"/>
        </w:rPr>
        <w:t>预留工程保修费用。乙方未按照法律法规有关规定和合同约定履行质量保修义务的，甲方有权从质量保证金中扣留用于质量保修的各项支出。</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14.2保修期自工程竣工验收合格之日起算，且不得低于法定保修年限。</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具体保修项目及保修期限：</w:t>
      </w:r>
      <w:r>
        <w:rPr>
          <w:rFonts w:hint="eastAsia" w:ascii="宋体" w:hAnsi="宋体" w:eastAsia="宋体" w:cs="宋体"/>
          <w:color w:val="auto"/>
          <w:sz w:val="24"/>
          <w:szCs w:val="24"/>
          <w:highlight w:val="none"/>
          <w:u w:val="single"/>
        </w:rPr>
        <w:t xml:space="preserve"> 详见工程质量保修书（附件）。</w:t>
      </w:r>
    </w:p>
    <w:p>
      <w:pPr>
        <w:keepNext w:val="0"/>
        <w:keepLines w:val="0"/>
        <w:pageBreakBefore w:val="0"/>
        <w:widowControl w:val="0"/>
        <w:kinsoku/>
        <w:wordWrap/>
        <w:overflowPunct/>
        <w:bidi w:val="0"/>
        <w:spacing w:line="500" w:lineRule="exact"/>
        <w:ind w:firstLine="420" w:firstLineChars="175"/>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14.3</w:t>
      </w:r>
      <w:r>
        <w:rPr>
          <w:rFonts w:hint="eastAsia" w:ascii="宋体" w:hAnsi="宋体" w:eastAsia="宋体" w:cs="宋体"/>
          <w:bCs/>
          <w:color w:val="auto"/>
          <w:sz w:val="24"/>
          <w:szCs w:val="24"/>
          <w:highlight w:val="none"/>
        </w:rPr>
        <w:t>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bCs/>
          <w:color w:val="auto"/>
          <w:sz w:val="24"/>
          <w:szCs w:val="24"/>
          <w:highlight w:val="none"/>
          <w:u w:val="single"/>
        </w:rPr>
        <w:t>合同暂定总价的10%/次</w:t>
      </w:r>
      <w:r>
        <w:rPr>
          <w:rFonts w:hint="eastAsia" w:ascii="宋体" w:hAnsi="宋体" w:eastAsia="宋体" w:cs="宋体"/>
          <w:bCs/>
          <w:color w:val="auto"/>
          <w:sz w:val="24"/>
          <w:szCs w:val="24"/>
          <w:highlight w:val="none"/>
        </w:rPr>
        <w:t>作为违约金。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14.4约定的保修期限终止后，由乙方提出支付申请，甲方审核后</w:t>
      </w:r>
      <w:r>
        <w:rPr>
          <w:rFonts w:hint="eastAsia" w:ascii="宋体" w:hAnsi="宋体" w:eastAsia="宋体" w:cs="宋体"/>
          <w:color w:val="auto"/>
          <w:sz w:val="24"/>
          <w:szCs w:val="24"/>
          <w:highlight w:val="none"/>
          <w:u w:val="single"/>
        </w:rPr>
        <w:t>28日</w:t>
      </w:r>
      <w:r>
        <w:rPr>
          <w:rFonts w:hint="eastAsia" w:ascii="宋体" w:hAnsi="宋体" w:eastAsia="宋体" w:cs="宋体"/>
          <w:color w:val="auto"/>
          <w:sz w:val="24"/>
          <w:szCs w:val="24"/>
          <w:highlight w:val="none"/>
        </w:rPr>
        <w:t>内将剩余的质量保证金（无息）返还。</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第十五条 违约处理</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甲方或乙方不能按合同条款约定内容履行自己的各项义务及发生使合同无法履行的行为，应承担相应的违约责任，包括支付违约金，赔偿因其违约给对方造成的全部经济损失。</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15.1 </w:t>
      </w:r>
      <w:r>
        <w:rPr>
          <w:rFonts w:hint="eastAsia" w:ascii="宋体" w:hAnsi="宋体" w:eastAsia="宋体" w:cs="宋体"/>
          <w:bCs/>
          <w:color w:val="auto"/>
          <w:sz w:val="24"/>
          <w:szCs w:val="24"/>
          <w:highlight w:val="none"/>
        </w:rPr>
        <w:t>工期延误</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因乙方原因造成工期延误，每逾期一日，应按</w:t>
      </w:r>
      <w:r>
        <w:rPr>
          <w:rFonts w:hint="eastAsia" w:ascii="宋体" w:hAnsi="宋体" w:eastAsia="宋体" w:cs="宋体"/>
          <w:color w:val="auto"/>
          <w:sz w:val="24"/>
          <w:szCs w:val="24"/>
          <w:highlight w:val="none"/>
          <w:u w:val="single"/>
        </w:rPr>
        <w:t>合同暂定价的1%/日</w:t>
      </w:r>
      <w:r>
        <w:rPr>
          <w:rFonts w:hint="eastAsia" w:ascii="宋体" w:hAnsi="宋体" w:eastAsia="宋体" w:cs="宋体"/>
          <w:color w:val="auto"/>
          <w:sz w:val="24"/>
          <w:szCs w:val="24"/>
          <w:highlight w:val="none"/>
        </w:rPr>
        <w:t>支付逾期违约金，逾期达到</w:t>
      </w:r>
      <w:r>
        <w:rPr>
          <w:rFonts w:hint="eastAsia" w:ascii="宋体" w:hAnsi="宋体" w:eastAsia="宋体" w:cs="宋体"/>
          <w:color w:val="auto"/>
          <w:sz w:val="24"/>
          <w:szCs w:val="24"/>
          <w:highlight w:val="none"/>
          <w:u w:val="single"/>
          <w:lang w:val="en-US" w:eastAsia="zh-CN"/>
        </w:rPr>
        <w:t>20</w:t>
      </w:r>
      <w:r>
        <w:rPr>
          <w:rFonts w:hint="eastAsia" w:ascii="宋体" w:hAnsi="宋体" w:eastAsia="宋体" w:cs="宋体"/>
          <w:color w:val="auto"/>
          <w:sz w:val="24"/>
          <w:szCs w:val="24"/>
          <w:highlight w:val="none"/>
        </w:rPr>
        <w:t xml:space="preserve">日及以上的，甲方有权解除合同。乙方支付逾期违约金后，不免除乙方继续完成工程及修补缺陷的义务以及赔偿因此给甲方造成损失的责任。       </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工程质量不合格</w:t>
      </w:r>
    </w:p>
    <w:p>
      <w:pPr>
        <w:keepNext w:val="0"/>
        <w:keepLines w:val="0"/>
        <w:pageBreakBefore w:val="0"/>
        <w:widowControl w:val="0"/>
        <w:tabs>
          <w:tab w:val="left" w:pos="851"/>
        </w:tabs>
        <w:kinsoku/>
        <w:wordWrap/>
        <w:overflowPunct/>
        <w:bidi w:val="0"/>
        <w:adjustRightInd w:val="0"/>
        <w:snapToGrid w:val="0"/>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15.2.1工程存在质量问题的，乙方应在甲方规定期限内整改直至达到合同要求的质量标准，如果逾期不整改或者整改不符合合同约定，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/次的违约金。由此造成的经济和法律责任，均由乙方负责。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15.2.2  工程经竣工验收不合格的，乙方完成整改后应重新申请验收，经重新组织验收仍不合格且无法采取措施补救的，则甲方有权解除合同，并要求乙方按</w:t>
      </w:r>
      <w:r>
        <w:rPr>
          <w:rFonts w:hint="eastAsia" w:ascii="宋体" w:hAnsi="宋体" w:eastAsia="宋体" w:cs="宋体"/>
          <w:color w:val="auto"/>
          <w:sz w:val="24"/>
          <w:szCs w:val="24"/>
          <w:highlight w:val="none"/>
          <w:u w:val="single"/>
        </w:rPr>
        <w:t>合同暂定总价的20%</w:t>
      </w:r>
      <w:r>
        <w:rPr>
          <w:rFonts w:hint="eastAsia" w:ascii="宋体" w:hAnsi="宋体" w:eastAsia="宋体" w:cs="宋体"/>
          <w:color w:val="auto"/>
          <w:sz w:val="24"/>
          <w:szCs w:val="24"/>
          <w:highlight w:val="none"/>
        </w:rPr>
        <w:t>支付违约金，乙方承担由此造成的全部损失。</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15.2.3质量事故：因乙方原因发生质量事故，甲方有权根据质量事故的严重程度对乙方处以不低于</w:t>
      </w:r>
      <w:r>
        <w:rPr>
          <w:rFonts w:hint="eastAsia" w:ascii="宋体" w:hAnsi="宋体" w:eastAsia="宋体" w:cs="宋体"/>
          <w:color w:val="auto"/>
          <w:sz w:val="24"/>
          <w:szCs w:val="24"/>
          <w:highlight w:val="none"/>
          <w:u w:val="single"/>
        </w:rPr>
        <w:t>合同暂定总价20%</w:t>
      </w:r>
      <w:r>
        <w:rPr>
          <w:rFonts w:hint="eastAsia" w:ascii="宋体" w:hAnsi="宋体" w:eastAsia="宋体" w:cs="宋体"/>
          <w:color w:val="auto"/>
          <w:sz w:val="24"/>
          <w:szCs w:val="24"/>
          <w:highlight w:val="none"/>
        </w:rPr>
        <w:t>的处罚，该处罚不免除乙方自费返工或修复的责任。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安全隐患</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甲方有权要求乙方支付</w:t>
      </w:r>
      <w:r>
        <w:rPr>
          <w:rFonts w:hint="eastAsia" w:ascii="宋体" w:hAnsi="宋体" w:eastAsia="宋体" w:cs="宋体"/>
          <w:color w:val="auto"/>
          <w:sz w:val="24"/>
          <w:szCs w:val="24"/>
          <w:highlight w:val="none"/>
          <w:u w:val="single"/>
        </w:rPr>
        <w:t xml:space="preserve">合同暂定总价的 20%  </w:t>
      </w:r>
      <w:r>
        <w:rPr>
          <w:rFonts w:hint="eastAsia" w:ascii="宋体" w:hAnsi="宋体" w:eastAsia="宋体" w:cs="宋体"/>
          <w:color w:val="auto"/>
          <w:sz w:val="24"/>
          <w:szCs w:val="24"/>
          <w:highlight w:val="none"/>
        </w:rPr>
        <w:t xml:space="preserve"> /次的违约金。</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出现上述情形超过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次）的，甲方有权解除合同。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15.4安全事故</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15.5项目负责人不符合合同要求</w:t>
      </w:r>
    </w:p>
    <w:p>
      <w:pPr>
        <w:pStyle w:val="14"/>
        <w:keepNext w:val="0"/>
        <w:keepLines w:val="0"/>
        <w:pageBreakBefore w:val="0"/>
        <w:widowControl w:val="0"/>
        <w:kinsoku/>
        <w:wordWrap/>
        <w:overflowPunct/>
        <w:bidi w:val="0"/>
        <w:spacing w:line="500" w:lineRule="exact"/>
        <w:ind w:firstLine="448" w:firstLineChars="200"/>
        <w:outlineLvl w:val="1"/>
        <w:rPr>
          <w:rFonts w:hint="eastAsia" w:ascii="宋体" w:hAnsi="宋体" w:eastAsia="宋体" w:cs="宋体"/>
          <w:color w:val="auto"/>
          <w:spacing w:val="-8"/>
          <w:sz w:val="24"/>
          <w:highlight w:val="none"/>
        </w:rPr>
      </w:pPr>
      <w:r>
        <w:rPr>
          <w:rFonts w:hint="eastAsia" w:ascii="宋体" w:hAnsi="宋体" w:eastAsia="宋体" w:cs="宋体"/>
          <w:color w:val="auto"/>
          <w:spacing w:val="-8"/>
          <w:sz w:val="24"/>
          <w:highlight w:val="none"/>
        </w:rPr>
        <w:t>乙方不得随意更换项目负责人及</w:t>
      </w:r>
      <w:r>
        <w:rPr>
          <w:rFonts w:hint="eastAsia" w:hAnsi="宋体" w:eastAsia="宋体" w:cs="宋体"/>
          <w:color w:val="auto"/>
          <w:spacing w:val="-8"/>
          <w:sz w:val="24"/>
          <w:highlight w:val="none"/>
          <w:lang w:val="en-US" w:eastAsia="zh-CN"/>
        </w:rPr>
        <w:t>附件6中的</w:t>
      </w:r>
      <w:r>
        <w:rPr>
          <w:rFonts w:hint="eastAsia" w:ascii="宋体" w:hAnsi="宋体" w:eastAsia="宋体" w:cs="宋体"/>
          <w:color w:val="auto"/>
          <w:spacing w:val="-8"/>
          <w:sz w:val="24"/>
          <w:highlight w:val="none"/>
        </w:rPr>
        <w:t>相关人员，如确须更换，应事先征得甲方同意。如有违反，甲方有权解除合同并要求乙方支付</w:t>
      </w:r>
      <w:r>
        <w:rPr>
          <w:rFonts w:hint="eastAsia" w:ascii="宋体" w:hAnsi="宋体" w:eastAsia="宋体" w:cs="宋体"/>
          <w:color w:val="auto"/>
          <w:spacing w:val="-8"/>
          <w:sz w:val="24"/>
          <w:highlight w:val="none"/>
          <w:u w:val="single"/>
        </w:rPr>
        <w:t xml:space="preserve"> </w:t>
      </w:r>
      <w:r>
        <w:rPr>
          <w:rFonts w:hint="eastAsia" w:hAnsi="宋体" w:eastAsia="宋体" w:cs="宋体"/>
          <w:color w:val="auto"/>
          <w:spacing w:val="-8"/>
          <w:sz w:val="24"/>
          <w:highlight w:val="none"/>
          <w:u w:val="single"/>
          <w:lang w:val="en-US" w:eastAsia="zh-CN"/>
        </w:rPr>
        <w:t>2000</w:t>
      </w:r>
      <w:r>
        <w:rPr>
          <w:rFonts w:hint="eastAsia" w:ascii="宋体" w:hAnsi="宋体" w:eastAsia="宋体" w:cs="宋体"/>
          <w:color w:val="auto"/>
          <w:spacing w:val="-8"/>
          <w:sz w:val="24"/>
          <w:highlight w:val="none"/>
          <w:u w:val="single"/>
        </w:rPr>
        <w:t xml:space="preserve"> </w:t>
      </w:r>
      <w:r>
        <w:rPr>
          <w:rFonts w:hint="eastAsia" w:ascii="宋体" w:hAnsi="宋体" w:eastAsia="宋体" w:cs="宋体"/>
          <w:color w:val="auto"/>
          <w:spacing w:val="-8"/>
          <w:sz w:val="24"/>
          <w:highlight w:val="none"/>
        </w:rPr>
        <w:t>元/人次作为违约金，以及赔偿由此造成的一切损失(包含质量安全事故、拖延工期、增加投资等损失)。在施工过程中，项目负责人</w:t>
      </w:r>
      <w:r>
        <w:rPr>
          <w:rFonts w:hint="eastAsia" w:ascii="宋体" w:hAnsi="宋体" w:eastAsia="宋体" w:cs="宋体"/>
          <w:color w:val="auto"/>
          <w:spacing w:val="-8"/>
          <w:sz w:val="24"/>
          <w:highlight w:val="none"/>
          <w:u w:val="single"/>
        </w:rPr>
        <w:t>驻现场管理，</w:t>
      </w:r>
      <w:r>
        <w:rPr>
          <w:rFonts w:hint="eastAsia" w:ascii="宋体" w:hAnsi="宋体" w:eastAsia="宋体" w:cs="宋体"/>
          <w:color w:val="auto"/>
          <w:spacing w:val="-8"/>
          <w:sz w:val="24"/>
          <w:highlight w:val="none"/>
        </w:rPr>
        <w:t>否则甲方有权要求支付违约金</w:t>
      </w:r>
      <w:r>
        <w:rPr>
          <w:rFonts w:hint="eastAsia" w:ascii="宋体" w:hAnsi="宋体" w:eastAsia="宋体" w:cs="宋体"/>
          <w:color w:val="auto"/>
          <w:spacing w:val="-8"/>
          <w:sz w:val="24"/>
          <w:highlight w:val="none"/>
          <w:u w:val="single"/>
        </w:rPr>
        <w:t xml:space="preserve"> </w:t>
      </w:r>
      <w:r>
        <w:rPr>
          <w:rFonts w:hint="eastAsia" w:hAnsi="宋体" w:eastAsia="宋体" w:cs="宋体"/>
          <w:color w:val="auto"/>
          <w:spacing w:val="-8"/>
          <w:sz w:val="24"/>
          <w:highlight w:val="none"/>
          <w:u w:val="single"/>
          <w:lang w:val="en-US" w:eastAsia="zh-CN"/>
        </w:rPr>
        <w:t>2000</w:t>
      </w:r>
      <w:r>
        <w:rPr>
          <w:rFonts w:hint="eastAsia" w:ascii="宋体" w:hAnsi="宋体" w:eastAsia="宋体" w:cs="宋体"/>
          <w:color w:val="auto"/>
          <w:spacing w:val="-8"/>
          <w:sz w:val="24"/>
          <w:highlight w:val="none"/>
          <w:u w:val="single"/>
        </w:rPr>
        <w:t>元</w:t>
      </w:r>
      <w:r>
        <w:rPr>
          <w:rFonts w:hint="eastAsia" w:ascii="宋体" w:hAnsi="宋体" w:eastAsia="宋体" w:cs="宋体"/>
          <w:color w:val="auto"/>
          <w:spacing w:val="-8"/>
          <w:sz w:val="24"/>
          <w:highlight w:val="none"/>
        </w:rPr>
        <w:t>/次。因此造成损失的，按实际发生额赔偿。</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 乙方保证其具有符合法律法规要求的完成本工程项目应具有的相应资质，禁止转包和分包，如违反上述约定，甲方有权解除合同，要求乙方支付</w:t>
      </w:r>
      <w:r>
        <w:rPr>
          <w:rFonts w:hint="eastAsia" w:ascii="宋体" w:hAnsi="宋体" w:eastAsia="宋体" w:cs="宋体"/>
          <w:color w:val="auto"/>
          <w:sz w:val="24"/>
          <w:szCs w:val="24"/>
          <w:highlight w:val="none"/>
          <w:u w:val="single"/>
        </w:rPr>
        <w:t xml:space="preserve"> 合同暂定总价的20%</w:t>
      </w:r>
      <w:r>
        <w:rPr>
          <w:rFonts w:hint="eastAsia" w:ascii="宋体" w:hAnsi="宋体" w:eastAsia="宋体" w:cs="宋体"/>
          <w:color w:val="auto"/>
          <w:sz w:val="24"/>
          <w:szCs w:val="24"/>
          <w:highlight w:val="none"/>
        </w:rPr>
        <w:t>作为违约金。</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15.7乙方与甲方按合同履约，任何违反本合同约定的行为均构成违约，违约方应向守约方支付 </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万元/次的违约金（合同另有约定按其条款执行）。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15.8除合同解除或终止外，违约方承担上述违约责任后仍应继续履行合同。 </w:t>
      </w:r>
    </w:p>
    <w:p>
      <w:pPr>
        <w:keepNext w:val="0"/>
        <w:keepLines w:val="0"/>
        <w:pageBreakBefore w:val="0"/>
        <w:widowControl w:val="0"/>
        <w:tabs>
          <w:tab w:val="left" w:pos="851"/>
        </w:tabs>
        <w:kinsoku/>
        <w:wordWrap/>
        <w:overflowPunct/>
        <w:bidi w:val="0"/>
        <w:adjustRightInd w:val="0"/>
        <w:snapToGrid w:val="0"/>
        <w:spacing w:line="5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 xml:space="preserve">第十六条  </w:t>
      </w:r>
      <w:r>
        <w:rPr>
          <w:rFonts w:hint="eastAsia" w:ascii="宋体" w:hAnsi="宋体" w:eastAsia="宋体" w:cs="宋体"/>
          <w:b/>
          <w:color w:val="auto"/>
          <w:sz w:val="24"/>
          <w:szCs w:val="24"/>
          <w:highlight w:val="none"/>
        </w:rPr>
        <w:t>不可抗力</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（2）战争行为、入侵、武装冲突或外敌行为、封锁、暴乱、恐怖行为或军事演习；</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bidi w:val="0"/>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16.4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keepNext w:val="0"/>
        <w:keepLines w:val="0"/>
        <w:pageBreakBefore w:val="0"/>
        <w:widowControl w:val="0"/>
        <w:tabs>
          <w:tab w:val="left" w:pos="851"/>
        </w:tabs>
        <w:kinsoku/>
        <w:wordWrap/>
        <w:overflowPunct/>
        <w:bidi w:val="0"/>
        <w:adjustRightInd w:val="0"/>
        <w:snapToGrid w:val="0"/>
        <w:spacing w:line="50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第十七条 争议解决</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在本合同履行中，如双方发生争议，应尽量通过协商解决，协商不成的，按下列第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种方式解决：</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向广州仲裁委员会申请仲裁; </w:t>
      </w:r>
    </w:p>
    <w:p>
      <w:pPr>
        <w:keepNext w:val="0"/>
        <w:keepLines w:val="0"/>
        <w:pageBreakBefore w:val="0"/>
        <w:widowControl w:val="0"/>
        <w:numPr>
          <w:ilvl w:val="0"/>
          <w:numId w:val="6"/>
        </w:numPr>
        <w:tabs>
          <w:tab w:val="left" w:pos="851"/>
        </w:tabs>
        <w:kinsoku/>
        <w:wordWrap/>
        <w:overflowPunct/>
        <w:bidi w:val="0"/>
        <w:adjustRightInd w:val="0"/>
        <w:snapToGrid w:val="0"/>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工程所在地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人民法院起诉。</w:t>
      </w:r>
    </w:p>
    <w:p>
      <w:pPr>
        <w:keepNext w:val="0"/>
        <w:keepLines w:val="0"/>
        <w:pageBreakBefore w:val="0"/>
        <w:widowControl w:val="0"/>
        <w:tabs>
          <w:tab w:val="left" w:pos="851"/>
        </w:tabs>
        <w:kinsoku/>
        <w:wordWrap/>
        <w:overflowPunct/>
        <w:bidi w:val="0"/>
        <w:adjustRightInd w:val="0"/>
        <w:snapToGrid w:val="0"/>
        <w:spacing w:line="50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在甲方同意的情况下，除有争端之外的合同的其它部分在争端解决前应继续执行。</w:t>
      </w:r>
    </w:p>
    <w:p>
      <w:pPr>
        <w:keepNext w:val="0"/>
        <w:keepLines w:val="0"/>
        <w:pageBreakBefore w:val="0"/>
        <w:widowControl w:val="0"/>
        <w:kinsoku/>
        <w:wordWrap/>
        <w:overflowPunct/>
        <w:bidi w:val="0"/>
        <w:spacing w:line="500" w:lineRule="exact"/>
        <w:ind w:firstLine="602" w:firstLineChars="25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第十八条  其他：</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18.1 本协议未尽事宜，可由甲方、乙方双方另行签订补充协议。补充协议与本协议具有同等法律效力。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本协议自甲乙双方法定代表人或授权代理人签字并加盖公章之日起生效，双方履行完合同规定的义务后自动终止。</w:t>
      </w:r>
    </w:p>
    <w:p>
      <w:pPr>
        <w:keepNext w:val="0"/>
        <w:keepLines w:val="0"/>
        <w:pageBreakBefore w:val="0"/>
        <w:widowControl w:val="0"/>
        <w:kinsoku/>
        <w:wordWrap/>
        <w:overflowPunct/>
        <w:bidi w:val="0"/>
        <w:spacing w:line="500" w:lineRule="exact"/>
        <w:ind w:left="24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18.3 本合同一式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份，甲方执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肆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份，乙方执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份。均具有同等法律效力。</w:t>
      </w:r>
    </w:p>
    <w:p>
      <w:pPr>
        <w:keepNext w:val="0"/>
        <w:keepLines w:val="0"/>
        <w:pageBreakBefore w:val="0"/>
        <w:widowControl w:val="0"/>
        <w:kinsoku/>
        <w:wordWrap/>
        <w:overflowPunct/>
        <w:bidi w:val="0"/>
        <w:adjustRightInd w:val="0"/>
        <w:spacing w:line="500" w:lineRule="exact"/>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18.4</w:t>
      </w:r>
      <w:r>
        <w:rPr>
          <w:rFonts w:hint="eastAsia" w:ascii="宋体" w:hAnsi="宋体" w:eastAsia="宋体" w:cs="宋体"/>
          <w:bCs/>
          <w:color w:val="auto"/>
          <w:sz w:val="24"/>
          <w:szCs w:val="24"/>
          <w:highlight w:val="none"/>
        </w:rPr>
        <w:t>补充条款：</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无</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rPr>
        <w:t xml:space="preserve">。 </w:t>
      </w: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p>
    <w:p>
      <w:pPr>
        <w:keepNext w:val="0"/>
        <w:keepLines w:val="0"/>
        <w:pageBreakBefore w:val="0"/>
        <w:widowControl w:val="0"/>
        <w:kinsoku/>
        <w:wordWrap/>
        <w:overflowPunct/>
        <w:bidi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附件：1.中标通知书/发包通知书/</w:t>
      </w:r>
      <w:r>
        <w:rPr>
          <w:rFonts w:hint="eastAsia" w:ascii="宋体" w:hAnsi="宋体" w:eastAsia="宋体" w:cs="宋体"/>
          <w:color w:val="auto"/>
          <w:sz w:val="24"/>
          <w:szCs w:val="24"/>
          <w:highlight w:val="none"/>
          <w:lang w:val="en-US" w:eastAsia="zh-CN"/>
        </w:rPr>
        <w:t>成交通知书/</w:t>
      </w:r>
      <w:r>
        <w:rPr>
          <w:rFonts w:hint="eastAsia" w:ascii="宋体" w:hAnsi="宋体" w:eastAsia="宋体" w:cs="宋体"/>
          <w:color w:val="auto"/>
          <w:sz w:val="24"/>
          <w:szCs w:val="24"/>
          <w:highlight w:val="none"/>
        </w:rPr>
        <w:t>委托函；（如有）</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2.工程质量保修书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3.廉洁协议</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4.施工安全协议书（具体以安全办通知为准）</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5.安全生产承诺书</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6.投入工程人员架构表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b w:val="0"/>
          <w:color w:val="auto"/>
          <w:kern w:val="2"/>
          <w:sz w:val="24"/>
          <w:szCs w:val="24"/>
          <w:highlight w:val="none"/>
          <w:lang w:bidi="ar"/>
        </w:rPr>
        <w:t>营运项目承包单位日常履约考评参照表（安全）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sz w:val="24"/>
          <w:szCs w:val="24"/>
          <w:highlight w:val="none"/>
        </w:rPr>
        <w:t>营运项目承包单位综合履约考评表（安全）</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.履约保函（模板）</w:t>
      </w:r>
    </w:p>
    <w:p>
      <w:pPr>
        <w:keepNext w:val="0"/>
        <w:keepLines w:val="0"/>
        <w:pageBreakBefore w:val="0"/>
        <w:widowControl w:val="0"/>
        <w:kinsoku/>
        <w:wordWrap/>
        <w:overflowPunct/>
        <w:bidi w:val="0"/>
        <w:spacing w:line="500" w:lineRule="exact"/>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.工程量报价单/工程量清单</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甲方：广州市净水有限公司（盖章）         乙方：（盖章）</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法人代表：                               法人代表：</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地址：</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                             委托代理人：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经办人：                                 经办人：</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                               联系电话：</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                                   传真：</w:t>
      </w:r>
    </w:p>
    <w:p>
      <w:pPr>
        <w:keepNext w:val="0"/>
        <w:keepLines w:val="0"/>
        <w:pageBreakBefore w:val="0"/>
        <w:widowControl w:val="0"/>
        <w:kinsoku/>
        <w:wordWrap/>
        <w:overflowPunct/>
        <w:bidi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    年    月    日     签署日期：    年    月    日</w:t>
      </w:r>
    </w:p>
    <w:p>
      <w:pPr>
        <w:pStyle w:val="24"/>
        <w:rPr>
          <w:rFonts w:hint="eastAsia"/>
          <w:color w:val="auto"/>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p>
    <w:p>
      <w:pPr>
        <w:spacing w:before="156" w:beforeLines="50" w:line="580" w:lineRule="exact"/>
        <w:outlineLvl w:val="1"/>
        <w:rPr>
          <w:rFonts w:hint="eastAsia" w:ascii="宋体" w:hAnsi="宋体"/>
          <w:b/>
          <w:color w:val="auto"/>
          <w:sz w:val="24"/>
          <w:highlight w:val="none"/>
        </w:rPr>
      </w:pPr>
      <w:r>
        <w:rPr>
          <w:rFonts w:hint="eastAsia" w:ascii="宋体" w:hAnsi="宋体"/>
          <w:b/>
          <w:color w:val="auto"/>
          <w:sz w:val="24"/>
          <w:highlight w:val="none"/>
        </w:rPr>
        <w:t>附件2：</w:t>
      </w:r>
    </w:p>
    <w:p>
      <w:pPr>
        <w:pStyle w:val="24"/>
        <w:rPr>
          <w:color w:val="auto"/>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center"/>
        <w:textAlignment w:val="auto"/>
        <w:rPr>
          <w:rFonts w:hint="eastAsia" w:ascii="宋体" w:hAnsi="宋体" w:eastAsia="宋体" w:cs="宋体"/>
          <w:color w:val="auto"/>
          <w:kern w:val="0"/>
          <w:sz w:val="24"/>
          <w:highlight w:val="none"/>
        </w:rPr>
      </w:pPr>
      <w:r>
        <w:rPr>
          <w:rFonts w:hint="eastAsia" w:ascii="宋体" w:hAnsi="宋体" w:eastAsia="宋体" w:cs="宋体"/>
          <w:b/>
          <w:bCs/>
          <w:color w:val="auto"/>
          <w:kern w:val="0"/>
          <w:sz w:val="24"/>
          <w:highlight w:val="none"/>
        </w:rPr>
        <w:t>工程质量保修书</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highlight w:val="none"/>
        </w:rPr>
      </w:pP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承包人（甲方）：广州市净水有限公司</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发包人（乙方）： </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w:t>
      </w:r>
      <w:r>
        <w:rPr>
          <w:rFonts w:hint="eastAsia" w:ascii="宋体" w:hAnsi="宋体" w:eastAsia="宋体" w:cs="宋体"/>
          <w:b w:val="0"/>
          <w:color w:val="auto"/>
          <w:sz w:val="24"/>
          <w:szCs w:val="24"/>
          <w:highlight w:val="none"/>
        </w:rPr>
        <w:t>石井分公司2024年厂区门禁道闸升级改造项目</w:t>
      </w:r>
      <w:r>
        <w:rPr>
          <w:rFonts w:hint="eastAsia" w:ascii="宋体" w:hAnsi="宋体" w:eastAsia="宋体" w:cs="宋体"/>
          <w:color w:val="auto"/>
          <w:sz w:val="24"/>
          <w:szCs w:val="24"/>
          <w:highlight w:val="none"/>
        </w:rPr>
        <w:t>在合理使用期限内正常使用，甲方、乙方协商一致签订工程质量保修书。乙方在质量保修期内按照有关管理规定及双方约定承担工程质量保修责任。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一、工程质量保修范围和内容</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质量保修范围双方约定如下：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即乙方施工的工程范围。</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质量保修期从工程实际竣工之日算起。分单项竣工验收的工程，按单项工程分别计算质量保修期。</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双方根据国家有关规定，结合具体工程约定本工程的质量保修期如下：</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1、土建工程为</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年，屋面防水工程为</w:t>
      </w:r>
      <w:r>
        <w:rPr>
          <w:rFonts w:hint="eastAsia" w:ascii="宋体" w:hAnsi="宋体" w:eastAsia="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2、电气管线、上下水管线安装工程为</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3、供热及供冷为为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个采暖期及供冷期； </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4、室外的上下水和小区道路等市政公用工程为</w:t>
      </w:r>
      <w:r>
        <w:rPr>
          <w:rFonts w:hint="eastAsia" w:ascii="宋体" w:hAnsi="宋体" w:eastAsia="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年；</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5、其他约定：</w:t>
      </w:r>
      <w:r>
        <w:rPr>
          <w:rFonts w:hint="eastAsia" w:ascii="宋体" w:hAnsi="宋体" w:eastAsia="宋体" w:cs="宋体"/>
          <w:color w:val="auto"/>
          <w:kern w:val="0"/>
          <w:sz w:val="24"/>
          <w:szCs w:val="24"/>
          <w:highlight w:val="none"/>
          <w:u w:val="single"/>
          <w:lang w:val="en-US" w:eastAsia="zh-CN"/>
        </w:rPr>
        <w:t xml:space="preserve">无 </w:t>
      </w:r>
      <w:r>
        <w:rPr>
          <w:rFonts w:hint="eastAsia" w:ascii="宋体" w:hAnsi="宋体" w:eastAsia="宋体" w:cs="宋体"/>
          <w:color w:val="auto"/>
          <w:kern w:val="0"/>
          <w:sz w:val="24"/>
          <w:szCs w:val="24"/>
          <w:highlight w:val="none"/>
          <w:u w:val="singl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三、质量保修责任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1、属于保修范围、内容的项目，乙方应当在接到保修通知之日起48小时内派人修理。乙方不在约定期限内派人修理，甲方可以委托其他人员修理，保修费用从质量保修金内扣除。</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2、发生紧急抢修事故的（如上水跑水、暖气漏水漏气、燃气漏气等），乙方在接到事故通知后，应当立即到达事故现场抢修。非乙方施工质量引起的事故，抢修费用由甲方承担。</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3、在国家规定的工程合理使用期限内，乙方确保地基基础工程和主体结构的质量。因乙方原因致使工程在合理使用期限内造成人身和财产损害的，乙方应承担损害赔偿责任。</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四、质量保修金的支付</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工程质量保修金一般不超过施工合同价款的</w:t>
      </w:r>
      <w:r>
        <w:rPr>
          <w:rFonts w:hint="eastAsia" w:ascii="宋体" w:hAnsi="宋体" w:eastAsia="宋体" w:cs="宋体"/>
          <w:color w:val="auto"/>
          <w:kern w:val="0"/>
          <w:sz w:val="24"/>
          <w:szCs w:val="24"/>
          <w:highlight w:val="none"/>
          <w:u w:val="single"/>
          <w:lang w:val="en-US" w:eastAsia="zh-CN"/>
        </w:rPr>
        <w:t>3</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％，本工程约定的工程质量保修金为合同结算审定价的</w:t>
      </w:r>
      <w:r>
        <w:rPr>
          <w:rFonts w:hint="eastAsia" w:ascii="宋体" w:hAnsi="宋体" w:eastAsia="宋体" w:cs="宋体"/>
          <w:b/>
          <w:bCs/>
          <w:color w:val="auto"/>
          <w:kern w:val="0"/>
          <w:sz w:val="24"/>
          <w:szCs w:val="24"/>
          <w:highlight w:val="none"/>
          <w:u w:val="single"/>
        </w:rPr>
        <w:t xml:space="preserve">  3%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本工程双方约定乙方向甲方支付工程质量保修金金额</w:t>
      </w:r>
      <w:r>
        <w:rPr>
          <w:rFonts w:hint="eastAsia" w:ascii="宋体" w:hAnsi="宋体" w:eastAsia="宋体" w:cs="宋体"/>
          <w:color w:val="auto"/>
          <w:kern w:val="0"/>
          <w:sz w:val="24"/>
          <w:szCs w:val="24"/>
          <w:highlight w:val="none"/>
          <w:u w:val="single"/>
        </w:rPr>
        <w:t>详见（</w:t>
      </w:r>
      <w:r>
        <w:rPr>
          <w:rFonts w:hint="eastAsia" w:ascii="宋体" w:hAnsi="宋体" w:eastAsia="宋体" w:cs="宋体"/>
          <w:b w:val="0"/>
          <w:color w:val="auto"/>
          <w:sz w:val="24"/>
          <w:szCs w:val="24"/>
          <w:highlight w:val="none"/>
        </w:rPr>
        <w:t>石井分公司2024年厂区门禁道闸升级改造项目</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val="en-US" w:eastAsia="zh-CN"/>
        </w:rPr>
        <w:t>穂净水合</w:t>
      </w:r>
      <w:r>
        <w:rPr>
          <w:rFonts w:hint="eastAsia" w:ascii="仿宋_GB2312" w:hAnsi="仿宋_GB2312" w:eastAsia="仿宋_GB2312" w:cs="仿宋_GB2312"/>
          <w:color w:val="auto"/>
          <w:kern w:val="0"/>
          <w:sz w:val="24"/>
          <w:szCs w:val="24"/>
          <w:highlight w:val="none"/>
          <w:u w:val="single"/>
          <w:lang w:val="en-US" w:eastAsia="zh-CN"/>
        </w:rPr>
        <w:t>〔</w:t>
      </w:r>
      <w:r>
        <w:rPr>
          <w:rFonts w:hint="eastAsia" w:hAnsi="仿宋_GB2312" w:cs="仿宋_GB2312"/>
          <w:color w:val="auto"/>
          <w:kern w:val="0"/>
          <w:sz w:val="24"/>
          <w:szCs w:val="24"/>
          <w:highlight w:val="none"/>
          <w:u w:val="single"/>
          <w:lang w:val="en-US" w:eastAsia="zh-CN"/>
        </w:rPr>
        <w:t>2024</w:t>
      </w:r>
      <w:r>
        <w:rPr>
          <w:rFonts w:hint="eastAsia" w:ascii="仿宋_GB2312" w:hAnsi="仿宋_GB2312" w:eastAsia="仿宋_GB2312" w:cs="仿宋_GB2312"/>
          <w:color w:val="auto"/>
          <w:kern w:val="0"/>
          <w:sz w:val="24"/>
          <w:szCs w:val="24"/>
          <w:highlight w:val="none"/>
          <w:u w:val="single"/>
          <w:lang w:val="en-US" w:eastAsia="zh-CN"/>
        </w:rPr>
        <w:t>〕</w:t>
      </w:r>
      <w:r>
        <w:rPr>
          <w:rFonts w:hint="eastAsia" w:hAnsi="仿宋_GB2312" w:cs="仿宋_GB2312"/>
          <w:color w:val="auto"/>
          <w:kern w:val="0"/>
          <w:sz w:val="24"/>
          <w:szCs w:val="24"/>
          <w:highlight w:val="none"/>
          <w:u w:val="single"/>
          <w:lang w:val="en-US" w:eastAsia="zh-CN"/>
        </w:rPr>
        <w:t xml:space="preserve">      号</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。质量保修金银行利率为</w:t>
      </w:r>
      <w:r>
        <w:rPr>
          <w:rFonts w:hint="eastAsia" w:ascii="宋体" w:hAnsi="宋体" w:eastAsia="宋体" w:cs="宋体"/>
          <w:color w:val="auto"/>
          <w:kern w:val="0"/>
          <w:sz w:val="24"/>
          <w:szCs w:val="24"/>
          <w:highlight w:val="none"/>
          <w:u w:val="single"/>
        </w:rPr>
        <w:t xml:space="preserve"> 零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五、其他</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双方约定的其他质量保修事项：</w:t>
      </w:r>
      <w:r>
        <w:rPr>
          <w:rFonts w:hint="eastAsia" w:ascii="宋体" w:hAnsi="宋体" w:eastAsia="宋体" w:cs="宋体"/>
          <w:color w:val="auto"/>
          <w:kern w:val="0"/>
          <w:sz w:val="24"/>
          <w:szCs w:val="24"/>
          <w:highlight w:val="none"/>
          <w:u w:val="single"/>
        </w:rPr>
        <w:t xml:space="preserve">  / </w:t>
      </w:r>
      <w:r>
        <w:rPr>
          <w:rFonts w:hint="eastAsia" w:ascii="宋体" w:hAnsi="宋体" w:eastAsia="宋体" w:cs="宋体"/>
          <w:color w:val="auto"/>
          <w:kern w:val="0"/>
          <w:sz w:val="24"/>
          <w:szCs w:val="24"/>
          <w:highlight w:val="none"/>
        </w:rPr>
        <w:t>。</w:t>
      </w:r>
    </w:p>
    <w:p>
      <w:pPr>
        <w:keepNext w:val="0"/>
        <w:keepLines w:val="0"/>
        <w:pageBreakBefore w:val="0"/>
        <w:kinsoku/>
        <w:wordWrap/>
        <w:overflowPunct/>
        <w:topLinePunct w:val="0"/>
        <w:autoSpaceDE w:val="0"/>
        <w:autoSpaceDN w:val="0"/>
        <w:bidi w:val="0"/>
        <w:adjustRightInd w:val="0"/>
        <w:spacing w:before="100" w:after="100" w:line="500" w:lineRule="exact"/>
        <w:ind w:left="250"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本工程质量保修书作为施工合同附件，由甲方、乙方双方共同签署。</w:t>
      </w:r>
    </w:p>
    <w:p>
      <w:pPr>
        <w:keepNext w:val="0"/>
        <w:keepLines w:val="0"/>
        <w:pageBreakBefore w:val="0"/>
        <w:kinsoku/>
        <w:wordWrap/>
        <w:overflowPunct/>
        <w:topLinePunct w:val="0"/>
        <w:autoSpaceDE w:val="0"/>
        <w:autoSpaceDN w:val="0"/>
        <w:bidi w:val="0"/>
        <w:adjustRightInd w:val="0"/>
        <w:spacing w:before="100" w:after="100" w:line="500" w:lineRule="exact"/>
        <w:ind w:left="6698" w:leftChars="104" w:right="360" w:hanging="6480" w:hangingChars="27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甲方（甲方）：                      乙方（乙方）:</w:t>
      </w:r>
    </w:p>
    <w:p>
      <w:pPr>
        <w:keepNext w:val="0"/>
        <w:keepLines w:val="0"/>
        <w:pageBreakBefore w:val="0"/>
        <w:kinsoku/>
        <w:wordWrap/>
        <w:overflowPunct/>
        <w:topLinePunct w:val="0"/>
        <w:autoSpaceDE w:val="0"/>
        <w:autoSpaceDN w:val="0"/>
        <w:bidi w:val="0"/>
        <w:adjustRightInd w:val="0"/>
        <w:spacing w:before="100" w:after="100" w:line="500" w:lineRule="exact"/>
        <w:ind w:right="36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广州市净水有限公司                    </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（盖章）                           （盖章）</w:t>
      </w:r>
    </w:p>
    <w:p>
      <w:pPr>
        <w:keepNext w:val="0"/>
        <w:keepLines w:val="0"/>
        <w:pageBreakBefore w:val="0"/>
        <w:kinsoku/>
        <w:wordWrap/>
        <w:overflowPunct/>
        <w:topLinePunct w:val="0"/>
        <w:autoSpaceDE w:val="0"/>
        <w:autoSpaceDN w:val="0"/>
        <w:bidi w:val="0"/>
        <w:adjustRightInd w:val="0"/>
        <w:spacing w:line="500" w:lineRule="exact"/>
        <w:ind w:left="360" w:right="-17" w:rightChars="-8"/>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经办人：                             经办人：</w:t>
      </w:r>
    </w:p>
    <w:p>
      <w:pPr>
        <w:keepNext w:val="0"/>
        <w:keepLines w:val="0"/>
        <w:pageBreakBefore w:val="0"/>
        <w:kinsoku/>
        <w:wordWrap/>
        <w:overflowPunct/>
        <w:topLinePunct w:val="0"/>
        <w:autoSpaceDE w:val="0"/>
        <w:autoSpaceDN w:val="0"/>
        <w:bidi w:val="0"/>
        <w:adjustRightInd w:val="0"/>
        <w:spacing w:line="500" w:lineRule="exact"/>
        <w:ind w:left="360" w:right="-15" w:rightChars="-7"/>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                             电   话：</w:t>
      </w:r>
    </w:p>
    <w:p>
      <w:pPr>
        <w:keepNext w:val="0"/>
        <w:keepLines w:val="0"/>
        <w:pageBreakBefore w:val="0"/>
        <w:kinsoku/>
        <w:wordWrap/>
        <w:overflowPunct/>
        <w:topLinePunct w:val="0"/>
        <w:autoSpaceDE w:val="0"/>
        <w:autoSpaceDN w:val="0"/>
        <w:bidi w:val="0"/>
        <w:adjustRightInd w:val="0"/>
        <w:spacing w:before="100" w:after="100" w:line="500" w:lineRule="exact"/>
        <w:ind w:right="-26"/>
        <w:jc w:val="left"/>
        <w:textAlignment w:val="auto"/>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 xml:space="preserve">   签订日期：      年   月   日         签订日期：      年   月   日</w:t>
      </w:r>
    </w:p>
    <w:p>
      <w:pPr>
        <w:keepNext w:val="0"/>
        <w:keepLines w:val="0"/>
        <w:pageBreakBefore w:val="0"/>
        <w:kinsoku/>
        <w:wordWrap/>
        <w:overflowPunct/>
        <w:topLinePunct w:val="0"/>
        <w:bidi w:val="0"/>
        <w:spacing w:before="156"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附件3：</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eastAsia="宋体" w:cs="宋体"/>
          <w:b/>
          <w:color w:val="auto"/>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hAnsi="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宋体" w:hAnsi="宋体" w:eastAsia="宋体" w:cs="宋体"/>
          <w:b w:val="0"/>
          <w:color w:val="auto"/>
          <w:sz w:val="24"/>
          <w:szCs w:val="24"/>
          <w:highlight w:val="none"/>
          <w:u w:val="single"/>
        </w:rPr>
        <w:t>石井分公司2024年厂区门禁道闸升级改造项目</w:t>
      </w:r>
      <w:r>
        <w:rPr>
          <w:rFonts w:hint="eastAsia" w:hAnsi="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合同</w:t>
      </w:r>
      <w:r>
        <w:rPr>
          <w:rFonts w:hint="eastAsia" w:hAnsi="仿宋_GB2312" w:cs="仿宋_GB2312"/>
          <w:b w:val="0"/>
          <w:bCs/>
          <w:color w:val="auto"/>
          <w:sz w:val="28"/>
          <w:szCs w:val="28"/>
          <w:highlight w:val="none"/>
          <w:u w:val="single"/>
          <w:lang w:val="en-US" w:eastAsia="zh-CN"/>
        </w:rPr>
        <w:t>+合同编号</w:t>
      </w:r>
      <w:r>
        <w:rPr>
          <w:rFonts w:hint="eastAsia" w:ascii="仿宋_GB2312" w:hAnsi="仿宋_GB2312" w:eastAsia="仿宋_GB2312" w:cs="仿宋_GB2312"/>
          <w:b w:val="0"/>
          <w:bCs/>
          <w:color w:val="auto"/>
          <w:sz w:val="28"/>
          <w:szCs w:val="28"/>
          <w:highlight w:val="none"/>
        </w:rPr>
        <w:t>（以下简称：主合同），自觉履行合同约定的相关义务。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7"/>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3"/>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w:t>
      </w:r>
      <w:r>
        <w:rPr>
          <w:rFonts w:hint="eastAsia" w:ascii="宋体" w:hAnsi="宋体" w:eastAsia="宋体" w:cs="宋体"/>
          <w:b w:val="0"/>
          <w:color w:val="auto"/>
          <w:sz w:val="24"/>
          <w:szCs w:val="24"/>
          <w:highlight w:val="none"/>
        </w:rPr>
        <w:t>石井分公司2024年厂区门禁道闸升级改造项目</w:t>
      </w:r>
      <w:r>
        <w:rPr>
          <w:rFonts w:hint="eastAsia" w:ascii="仿宋_GB2312" w:hAnsi="仿宋_GB2312" w:eastAsia="仿宋_GB2312" w:cs="仿宋_GB2312"/>
          <w:b w:val="0"/>
          <w:bCs/>
          <w:color w:val="auto"/>
          <w:sz w:val="28"/>
          <w:szCs w:val="28"/>
          <w:highlight w:val="none"/>
          <w:u w:val="single"/>
        </w:rPr>
        <w:t>）+（</w:t>
      </w:r>
      <w:r>
        <w:rPr>
          <w:rFonts w:hint="eastAsia" w:hAnsi="仿宋_GB2312" w:cs="仿宋_GB2312"/>
          <w:b w:val="0"/>
          <w:bCs/>
          <w:color w:val="auto"/>
          <w:sz w:val="28"/>
          <w:szCs w:val="28"/>
          <w:highlight w:val="none"/>
          <w:u w:val="single"/>
          <w:lang w:val="en-US" w:eastAsia="zh-CN"/>
        </w:rPr>
        <w:t>穂净水合</w:t>
      </w:r>
      <w:r>
        <w:rPr>
          <w:rFonts w:hint="eastAsia" w:ascii="仿宋_GB2312" w:hAnsi="仿宋_GB2312" w:eastAsia="仿宋_GB2312" w:cs="仿宋_GB2312"/>
          <w:b w:val="0"/>
          <w:bCs/>
          <w:color w:val="auto"/>
          <w:sz w:val="28"/>
          <w:szCs w:val="28"/>
          <w:highlight w:val="none"/>
          <w:u w:val="single"/>
          <w:lang w:val="en-US" w:eastAsia="zh-CN"/>
        </w:rPr>
        <w:t>〔</w:t>
      </w:r>
      <w:r>
        <w:rPr>
          <w:rFonts w:hint="eastAsia" w:hAnsi="仿宋_GB2312" w:cs="仿宋_GB2312"/>
          <w:b w:val="0"/>
          <w:bCs/>
          <w:color w:val="auto"/>
          <w:sz w:val="28"/>
          <w:szCs w:val="28"/>
          <w:highlight w:val="none"/>
          <w:u w:val="single"/>
          <w:lang w:val="en-US" w:eastAsia="zh-CN"/>
        </w:rPr>
        <w:t>2024</w:t>
      </w:r>
      <w:r>
        <w:rPr>
          <w:rFonts w:hint="eastAsia" w:ascii="仿宋_GB2312" w:hAnsi="仿宋_GB2312" w:eastAsia="仿宋_GB2312" w:cs="仿宋_GB2312"/>
          <w:b w:val="0"/>
          <w:bCs/>
          <w:color w:val="auto"/>
          <w:sz w:val="28"/>
          <w:szCs w:val="28"/>
          <w:highlight w:val="none"/>
          <w:u w:val="single"/>
          <w:lang w:val="en-US" w:eastAsia="zh-CN"/>
        </w:rPr>
        <w:t>〕</w:t>
      </w:r>
      <w:r>
        <w:rPr>
          <w:rFonts w:hint="eastAsia" w:hAnsi="仿宋_GB2312" w:cs="仿宋_GB2312"/>
          <w:b w:val="0"/>
          <w:bCs/>
          <w:color w:val="auto"/>
          <w:sz w:val="28"/>
          <w:szCs w:val="28"/>
          <w:highlight w:val="none"/>
          <w:u w:val="single"/>
          <w:lang w:val="en-US" w:eastAsia="zh-CN"/>
        </w:rPr>
        <w:t xml:space="preserve">     号</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hAnsi="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份，甲方</w:t>
      </w:r>
      <w:r>
        <w:rPr>
          <w:rFonts w:hint="eastAsia" w:hAnsi="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rPr>
        <w:t>份，乙方</w:t>
      </w:r>
      <w:r>
        <w:rPr>
          <w:rFonts w:hint="eastAsia" w:hAnsi="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7"/>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p>
    <w:p>
      <w:pPr>
        <w:keepNext w:val="0"/>
        <w:keepLines w:val="0"/>
        <w:pageBreakBefore w:val="0"/>
        <w:kinsoku/>
        <w:wordWrap/>
        <w:overflowPunct/>
        <w:topLinePunct w:val="0"/>
        <w:bidi w:val="0"/>
        <w:spacing w:before="223" w:beforeLines="50" w:line="500" w:lineRule="exac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附件4：                                                     </w:t>
      </w: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Cs/>
          <w:color w:val="auto"/>
          <w:kern w:val="0"/>
          <w:sz w:val="44"/>
          <w:szCs w:val="44"/>
          <w:highlight w:val="none"/>
        </w:rPr>
      </w:pPr>
      <w:r>
        <w:rPr>
          <w:rFonts w:hint="eastAsia" w:ascii="宋体" w:hAnsi="宋体" w:eastAsia="宋体" w:cs="宋体"/>
          <w:bCs/>
          <w:color w:val="auto"/>
          <w:kern w:val="0"/>
          <w:sz w:val="44"/>
          <w:szCs w:val="44"/>
          <w:highlight w:val="none"/>
        </w:rPr>
        <w:t>施工安全协议书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bookmarkStart w:id="62" w:name="_Toc21391"/>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乙方： </w:t>
      </w:r>
    </w:p>
    <w:p>
      <w:pPr>
        <w:keepNext w:val="0"/>
        <w:keepLines w:val="0"/>
        <w:pageBreakBefore w:val="0"/>
        <w:kinsoku/>
        <w:wordWrap/>
        <w:overflowPunct/>
        <w:topLinePunct w:val="0"/>
        <w:bidi w:val="0"/>
        <w:adjustRightInd w:val="0"/>
        <w:snapToGrid w:val="0"/>
        <w:spacing w:line="500" w:lineRule="exact"/>
        <w:jc w:val="left"/>
        <w:textAlignment w:val="auto"/>
        <w:rPr>
          <w:rStyle w:val="28"/>
          <w:rFonts w:hint="eastAsia" w:ascii="宋体" w:hAnsi="宋体" w:eastAsia="宋体" w:cs="宋体"/>
          <w:b w:val="0"/>
          <w:color w:val="auto"/>
          <w:sz w:val="24"/>
          <w:szCs w:val="24"/>
          <w:highlight w:val="none"/>
          <w:u w:val="single"/>
        </w:rPr>
      </w:pPr>
    </w:p>
    <w:bookmarkEnd w:id="62"/>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一、本协议与主合同的关系</w:t>
      </w:r>
    </w:p>
    <w:p>
      <w:pPr>
        <w:keepNext w:val="0"/>
        <w:keepLines w:val="0"/>
        <w:pageBreakBefore w:val="0"/>
        <w:kinsoku/>
        <w:wordWrap/>
        <w:overflowPunct/>
        <w:topLinePunct w:val="0"/>
        <w:bidi w:val="0"/>
        <w:adjustRightInd w:val="0"/>
        <w:snapToGrid w:val="0"/>
        <w:spacing w:line="500" w:lineRule="exact"/>
        <w:ind w:left="105"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本协议作为</w:t>
      </w:r>
      <w:r>
        <w:rPr>
          <w:rFonts w:hint="eastAsia" w:ascii="宋体" w:hAnsi="宋体" w:eastAsia="宋体" w:cs="宋体"/>
          <w:b w:val="0"/>
          <w:color w:val="auto"/>
          <w:sz w:val="24"/>
          <w:szCs w:val="24"/>
          <w:highlight w:val="none"/>
        </w:rPr>
        <w:t>石井分公司2024年厂区门禁道闸升级改造项目</w:t>
      </w:r>
      <w:r>
        <w:rPr>
          <w:rFonts w:hint="eastAsia" w:ascii="宋体" w:hAnsi="宋体" w:eastAsia="宋体" w:cs="宋体"/>
          <w:color w:val="auto"/>
          <w:sz w:val="24"/>
          <w:szCs w:val="24"/>
          <w:highlight w:val="none"/>
        </w:rPr>
        <w:t>的组成部分，与主合同具有同等法律。</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二、双方的责任、权利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应当向施工单位提供施工现场及毗邻区域内供水、排水、供电、供气、供热、通信、广播电视等地下管线资料，气象和水文观测资料，相邻建筑物和构筑物、地下工程的有关资料，并保证资料的真实、准确、完整。</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2.不得对勘察、设计、施工、工程监理等单位提出不符合建设工程安全生产法律、法规和强制性标准规定的要求。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3.检查乙方安全措施的投入。对实际发生安全投入的费用予以支付，对无实际在现场进行安全投入的，予以扣除。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4.不得明示或者暗示施工单位购买、租赁、使用不符合安全施工要求的安全防护用具、机械设备、施工机具及配件、消防设施和器材。</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5.在甲方生产营运场所内施工的，必须告知乙方该场所可能存在的安全风险，要求乙方在施工前应重新识别现场的安全风险并采取措施进行管控。</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1.按照《广州净水公司工程项目安全管理标准》（以下简称《标准》）等办法对乙方进行施工安全管理考核评比。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2.对于乙方考核评比较差，或不服从甲方管理，违反安全生产管理规定等违约行为的，甲方有权对乙方采取以下一种或以上的方式处理：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（1）经济处罚；</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（2）诚信扣分；</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（3）限制投标，或经其他单位承包后以分包方参与项目实施；</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（4）将其承揽的项目安排第三方单位进行实施，由此产生的费用及造成的损失在该项目工程费用或履约保证金中扣除；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（5）向行业协会（包括但不限于广东省市政行业协会、广州市市政行业协会等）反映。</w:t>
      </w:r>
    </w:p>
    <w:p>
      <w:pPr>
        <w:keepNext w:val="0"/>
        <w:keepLines w:val="0"/>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3.乙方对存在问题拒不整改的，或存在安全费用弄虚作假情况的，视为违约，甲方有权对乙方进行违约金扣罚。如乙方拒不缴纳违约金的，甲方有权在履约保证金中扣除。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（三）乙方的责任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1.乙方向甲方承诺，已建立完善的安全管理体系并有效运转，必须严格执行国家、地方和行业主管部门关于施工的强制性标准、地方行政法规、管理要求。</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乙方必须依法为施工现场从事危险作业的人员办理意外伤害保险、购买安全生产责任保险。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2.乙方施工安全措施费单列，实报实销。严禁虚报未进行实际安全投入的费用。</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3.乙方必须严格按照甲方制定的《标准》要求，落实各项安全管理工作。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乙方应根据当前国家、行业或甲方近期安全管理的突出方面，或针对项目实际，有针对性地开展安全管理工作，接受甲方的安全管理评比。</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乙方必须配合甲方的安全监督检查，并承诺立即组织对提出的问题隐患进行整改。</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4.乙方必须提供本项目全体人员已通过三级安全教育及职业健康体检的证明。</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抽查具体材料时能如实提供备。做好人员职业健康体检，确保全员没有职业病。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禁止有职业禁忌证的人员从事禁忌证相关工作。</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乙方该项目的管理人员、作业人员（包括分包人员）每年至少由乙方单位进行一次安全生产教育培训，并保存好相关培训证明备查。</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5.乙方必须建立应急管理体系，编制应急预案和现场处置方案，并定期组织开展应急演练。施工现场，乙方应根据施工方案在施工现场配置应急救援物资，并做好应急救援物资的定期检查，确保完好、有效。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6.乙方发生突发事件时，应按甲方制度要求立即报甲方，并同时积极主动地开展应急救援，采取有效措施将事故影响控制在最小范围内。</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7.乙方必须严格履行本协议，遵守甲方各项管理规定，服从管理。乙方对存在问题拒不整改的，视为违约，甲方有权对乙方进行违约金扣罚。如乙方拒不缴纳违约金的，甲方有权在履约保证金中扣除。</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（四）乙方的权利</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1.对甲方的违章指挥，拒绝执行，但需书面明确指出甲方所违反的具体法律法规、标准规范等。</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2.对甲方明示或者暗示乙方购买、租赁、使用不符合安全施工要求的安全防护用具、机械设备、施工机具及配件、消防设施和器材的，拒绝执行。</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三、事故责任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1.在乙方承包范围内，由于乙方责任发生生产安全事故时，造成的甲方、乙方或者第三方人身伤害事故，乙方负全部责任。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2.乙方人员在非承包区域遭受意外伤害的，乙方负全部责任。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3.乙方人员违规进入甲方或第三方承包区域，造成事故的，乙方负全部事故责任；乙方人员遭受人身伤害的，乙方负全部责任。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5.乙方在甲方生产区域内发生生产安全事故后，必须在第一时间向甲方报告，迟报或者隐瞒不报生产安全事故，承担事故的全部责任。</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6.乙方各类人员在甲方生产区域内发生人身伤害事故和其他事故，由乙方负责调查、处理和统计上报，并报甲方安全监督部门备案。</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7.本协议未尽事宜，依据有关法规。规章处理，法规、规章没有明确规定的，经双方协商处理解决。</w:t>
      </w:r>
    </w:p>
    <w:p>
      <w:pPr>
        <w:pStyle w:val="40"/>
        <w:keepNext w:val="0"/>
        <w:keepLines w:val="0"/>
        <w:pageBreakBefore w:val="0"/>
        <w:kinsoku/>
        <w:wordWrap/>
        <w:overflowPunct/>
        <w:topLinePunct w:val="0"/>
        <w:bidi w:val="0"/>
        <w:spacing w:line="500" w:lineRule="exact"/>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四、补充条款：</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keepNext w:val="0"/>
        <w:keepLines w:val="0"/>
        <w:pageBreakBefore w:val="0"/>
        <w:kinsoku/>
        <w:wordWrap/>
        <w:overflowPunct/>
        <w:topLinePunct w:val="0"/>
        <w:bidi w:val="0"/>
        <w:adjustRightInd w:val="0"/>
        <w:snapToGrid w:val="0"/>
        <w:spacing w:line="50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五、附则</w:t>
      </w:r>
    </w:p>
    <w:p>
      <w:pPr>
        <w:keepNext w:val="0"/>
        <w:keepLines w:val="0"/>
        <w:pageBreakBefore w:val="0"/>
        <w:kinsoku/>
        <w:wordWrap/>
        <w:overflowPunct/>
        <w:topLinePunct w:val="0"/>
        <w:bidi w:val="0"/>
        <w:adjustRightInd w:val="0"/>
        <w:snapToGrid w:val="0"/>
        <w:spacing w:line="5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本协议与主合同同时签订、同时终止、同时生效，具有相同的法律效力，自甲方、乙方双方签字、盖章生效，甲方、乙方双方执持数量与主合同一致。</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left="5490" w:leftChars="100" w:hanging="5280" w:hangingChars="2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乙方： </w:t>
      </w:r>
    </w:p>
    <w:p>
      <w:pPr>
        <w:keepNext w:val="0"/>
        <w:keepLines w:val="0"/>
        <w:pageBreakBefore w:val="0"/>
        <w:kinsoku/>
        <w:wordWrap/>
        <w:overflowPunct/>
        <w:topLinePunct w:val="0"/>
        <w:bidi w:val="0"/>
        <w:adjustRightInd w:val="0"/>
        <w:snapToGrid w:val="0"/>
        <w:spacing w:line="500" w:lineRule="exact"/>
        <w:ind w:left="1290" w:leftChars="100" w:hanging="1080" w:hangingChars="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负责人（签名）：                              负责人（签名）：</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 xml:space="preserve">    　       地址： </w:t>
      </w:r>
    </w:p>
    <w:p>
      <w:pPr>
        <w:keepNext w:val="0"/>
        <w:keepLines w:val="0"/>
        <w:pageBreakBefore w:val="0"/>
        <w:widowControl/>
        <w:kinsoku/>
        <w:wordWrap/>
        <w:overflowPunct/>
        <w:topLinePunct w:val="0"/>
        <w:bidi w:val="0"/>
        <w:spacing w:line="500" w:lineRule="exact"/>
        <w:ind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                            　　     电话：</w:t>
      </w:r>
    </w:p>
    <w:p>
      <w:pPr>
        <w:keepNext w:val="0"/>
        <w:keepLines w:val="0"/>
        <w:pageBreakBefore w:val="0"/>
        <w:widowControl/>
        <w:kinsoku/>
        <w:wordWrap/>
        <w:overflowPunct/>
        <w:topLinePunct w:val="0"/>
        <w:bidi w:val="0"/>
        <w:spacing w:line="500" w:lineRule="exact"/>
        <w:ind w:firstLine="1560" w:firstLineChars="65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 xml:space="preserve">                年   月    日</w:t>
      </w:r>
    </w:p>
    <w:p>
      <w:pPr>
        <w:keepNext w:val="0"/>
        <w:keepLines w:val="0"/>
        <w:pageBreakBefore w:val="0"/>
        <w:kinsoku/>
        <w:wordWrap/>
        <w:overflowPunct/>
        <w:topLinePunct w:val="0"/>
        <w:bidi w:val="0"/>
        <w:adjustRightInd w:val="0"/>
        <w:snapToGrid w:val="0"/>
        <w:spacing w:line="500" w:lineRule="exact"/>
        <w:ind w:left="1320" w:hanging="1320" w:hangingChars="5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highlight w:val="none"/>
        </w:rPr>
        <w:t>附件5：</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spacing w:line="5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安全生产承诺书</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highlight w:val="none"/>
        </w:rPr>
      </w:pP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致：广州市净水有限公司</w:t>
      </w:r>
    </w:p>
    <w:p>
      <w:pPr>
        <w:keepNext w:val="0"/>
        <w:keepLines w:val="0"/>
        <w:pageBreakBefore w:val="0"/>
        <w:kinsoku/>
        <w:wordWrap/>
        <w:overflowPunct/>
        <w:topLinePunct w:val="0"/>
        <w:bidi w:val="0"/>
        <w:spacing w:line="500" w:lineRule="exac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为确保我公司承包的</w:t>
      </w:r>
      <w:r>
        <w:rPr>
          <w:rFonts w:hint="eastAsia" w:ascii="宋体" w:hAnsi="宋体" w:eastAsia="宋体" w:cs="宋体"/>
          <w:b/>
          <w:bCs/>
          <w:color w:val="auto"/>
          <w:sz w:val="24"/>
          <w:szCs w:val="24"/>
          <w:highlight w:val="none"/>
        </w:rPr>
        <w:t xml:space="preserve"> </w:t>
      </w:r>
      <w:r>
        <w:rPr>
          <w:rFonts w:hint="eastAsia" w:ascii="宋体" w:hAnsi="宋体" w:eastAsia="宋体" w:cs="宋体"/>
          <w:b w:val="0"/>
          <w:color w:val="auto"/>
          <w:sz w:val="24"/>
          <w:szCs w:val="24"/>
          <w:highlight w:val="none"/>
        </w:rPr>
        <w:t>石井分公司2024年厂区门禁道闸升级改造</w:t>
      </w:r>
      <w:r>
        <w:rPr>
          <w:rFonts w:hint="eastAsia" w:ascii="宋体" w:hAnsi="宋体" w:eastAsia="宋体" w:cs="宋体"/>
          <w:color w:val="auto"/>
          <w:sz w:val="24"/>
          <w:szCs w:val="24"/>
          <w:highlight w:val="none"/>
        </w:rPr>
        <w:t>项目在施工期间的施工安全，特郑重承诺如下：</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一、认真组织施工人员、管理人员学习有关施工安全的知识，争取做到人人懂安全，事事保安全。</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二、严格执行安全施工的有关规定和规程，文明施工，安全施工。</w:t>
      </w:r>
    </w:p>
    <w:p>
      <w:pPr>
        <w:keepNext w:val="0"/>
        <w:keepLines w:val="0"/>
        <w:pageBreakBefore w:val="0"/>
        <w:kinsoku/>
        <w:wordWrap/>
        <w:overflowPunct/>
        <w:topLinePunct w:val="0"/>
        <w:bidi w:val="0"/>
        <w:adjustRightInd w:val="0"/>
        <w:snapToGrid w:val="0"/>
        <w:spacing w:line="500" w:lineRule="exact"/>
        <w:ind w:left="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三、切实履行施工安全协议书规定的各项安全管理职责。</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保证严格依据国家、相关行业有关规定和施工承包合同的要求安全施工，安全生产目标为：不发生安全事故。我方保证切实执行与贵公司签订的施工安全协议书，如发生安全生产责任事故导致人员重伤累计2人次或死亡1人的，从认定为安全事故责任之日起，我方自动放弃在你方项目中 1年的投标资格；重伤累计3人次及以上或死亡2人及以上的，从认定为安全事故责任之日起，我方自动放弃在你方项目中3年的投标资格。</w:t>
      </w:r>
    </w:p>
    <w:p>
      <w:pPr>
        <w:keepNext w:val="0"/>
        <w:keepLines w:val="0"/>
        <w:pageBreakBefore w:val="0"/>
        <w:kinsoku/>
        <w:wordWrap/>
        <w:overflowPunct/>
        <w:topLinePunct w:val="0"/>
        <w:bidi w:val="0"/>
        <w:adjustRightInd w:val="0"/>
        <w:snapToGrid w:val="0"/>
        <w:spacing w:line="500" w:lineRule="exact"/>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tabs>
          <w:tab w:val="left" w:pos="2352"/>
        </w:tabs>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p>
    <w:p>
      <w:pPr>
        <w:keepNext w:val="0"/>
        <w:keepLines w:val="0"/>
        <w:pageBreakBefore w:val="0"/>
        <w:tabs>
          <w:tab w:val="left" w:pos="2224"/>
          <w:tab w:val="left" w:pos="7152"/>
        </w:tabs>
        <w:kinsoku/>
        <w:wordWrap/>
        <w:overflowPunct/>
        <w:topLinePunct w:val="0"/>
        <w:bidi w:val="0"/>
        <w:spacing w:line="5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施工单位：（盖章）</w:t>
      </w:r>
    </w:p>
    <w:p>
      <w:pPr>
        <w:keepNext w:val="0"/>
        <w:keepLines w:val="0"/>
        <w:pageBreakBefore w:val="0"/>
        <w:kinsoku/>
        <w:wordWrap/>
        <w:overflowPunct/>
        <w:topLinePunct w:val="0"/>
        <w:bidi w:val="0"/>
        <w:spacing w:line="500" w:lineRule="exact"/>
        <w:ind w:left="384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500" w:lineRule="exact"/>
        <w:ind w:firstLine="4440" w:firstLineChars="18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keepNext w:val="0"/>
        <w:keepLines w:val="0"/>
        <w:pageBreakBefore w:val="0"/>
        <w:kinsoku/>
        <w:wordWrap/>
        <w:overflowPunct/>
        <w:topLinePunct w:val="0"/>
        <w:bidi w:val="0"/>
        <w:adjustRightInd w:val="0"/>
        <w:snapToGrid w:val="0"/>
        <w:spacing w:line="500" w:lineRule="exact"/>
        <w:textAlignment w:val="auto"/>
        <w:rPr>
          <w:rFonts w:hint="eastAsia" w:ascii="宋体" w:hAnsi="宋体" w:eastAsia="宋体" w:cs="宋体"/>
          <w:color w:val="auto"/>
          <w:sz w:val="24"/>
          <w:szCs w:val="22"/>
          <w:highlight w:val="none"/>
        </w:rPr>
      </w:pPr>
    </w:p>
    <w:p>
      <w:pPr>
        <w:widowControl/>
        <w:spacing w:line="500" w:lineRule="exact"/>
        <w:jc w:val="left"/>
        <w:rPr>
          <w:rFonts w:ascii="宋体" w:hAnsi="宋体" w:cs="宋体"/>
          <w:b/>
          <w:bCs/>
          <w:color w:val="auto"/>
          <w:sz w:val="24"/>
          <w:szCs w:val="32"/>
          <w:highlight w:val="none"/>
        </w:rPr>
      </w:pPr>
      <w:r>
        <w:rPr>
          <w:rFonts w:hint="eastAsia" w:ascii="宋体" w:hAnsi="宋体" w:cs="宋体"/>
          <w:b/>
          <w:bCs/>
          <w:color w:val="auto"/>
          <w:sz w:val="24"/>
          <w:szCs w:val="32"/>
          <w:highlight w:val="none"/>
        </w:rPr>
        <w:t>附件6：投入工程人员架构表</w:t>
      </w:r>
    </w:p>
    <w:tbl>
      <w:tblPr>
        <w:tblStyle w:val="25"/>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keepNext w:val="0"/>
        <w:keepLines w:val="0"/>
        <w:pageBreakBefore w:val="0"/>
        <w:widowControl/>
        <w:kinsoku/>
        <w:wordWrap/>
        <w:overflowPunct/>
        <w:topLinePunct w:val="0"/>
        <w:bidi w:val="0"/>
        <w:spacing w:line="500" w:lineRule="exact"/>
        <w:jc w:val="left"/>
        <w:textAlignment w:val="auto"/>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
        <w:rPr>
          <w:rFonts w:hint="eastAsia" w:ascii="宋体" w:hAnsi="宋体" w:cs="宋体"/>
          <w:color w:val="auto"/>
          <w:szCs w:val="21"/>
          <w:highlight w:val="none"/>
        </w:rPr>
      </w:pP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p>
    <w:tbl>
      <w:tblPr>
        <w:tblStyle w:val="25"/>
        <w:tblW w:w="9358" w:type="dxa"/>
        <w:tblInd w:w="0" w:type="dxa"/>
        <w:tblLayout w:type="fixed"/>
        <w:tblCellMar>
          <w:top w:w="0" w:type="dxa"/>
          <w:left w:w="0" w:type="dxa"/>
          <w:bottom w:w="0" w:type="dxa"/>
          <w:right w:w="0" w:type="dxa"/>
        </w:tblCellMar>
      </w:tblPr>
      <w:tblGrid>
        <w:gridCol w:w="405"/>
        <w:gridCol w:w="917"/>
        <w:gridCol w:w="744"/>
        <w:gridCol w:w="3116"/>
        <w:gridCol w:w="1044"/>
        <w:gridCol w:w="1044"/>
        <w:gridCol w:w="1044"/>
        <w:gridCol w:w="1044"/>
      </w:tblGrid>
      <w:tr>
        <w:tblPrEx>
          <w:tblCellMar>
            <w:top w:w="0" w:type="dxa"/>
            <w:left w:w="0" w:type="dxa"/>
            <w:bottom w:w="0" w:type="dxa"/>
            <w:right w:w="0" w:type="dxa"/>
          </w:tblCellMar>
        </w:tblPrEx>
        <w:trPr>
          <w:trHeight w:val="320" w:hRule="atLeast"/>
        </w:trPr>
        <w:tc>
          <w:tcPr>
            <w:tcW w:w="9358" w:type="dxa"/>
            <w:gridSpan w:val="8"/>
            <w:tcBorders>
              <w:top w:val="nil"/>
              <w:left w:val="nil"/>
              <w:bottom w:val="nil"/>
              <w:right w:val="nil"/>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b/>
                <w:color w:val="auto"/>
                <w:sz w:val="16"/>
                <w:szCs w:val="16"/>
                <w:highlight w:val="none"/>
              </w:rPr>
            </w:pPr>
            <w:r>
              <w:rPr>
                <w:rFonts w:hint="eastAsia" w:ascii="宋体" w:hAnsi="宋体"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trPr>
        <w:tc>
          <w:tcPr>
            <w:tcW w:w="405"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序号</w:t>
            </w:r>
          </w:p>
        </w:tc>
        <w:tc>
          <w:tcPr>
            <w:tcW w:w="917"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考评项目</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考评分项</w:t>
            </w:r>
          </w:p>
        </w:tc>
        <w:tc>
          <w:tcPr>
            <w:tcW w:w="311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考评内容</w:t>
            </w:r>
          </w:p>
        </w:tc>
        <w:tc>
          <w:tcPr>
            <w:tcW w:w="4176"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等线"/>
                <w:color w:val="auto"/>
                <w:sz w:val="16"/>
                <w:szCs w:val="16"/>
                <w:highlight w:val="none"/>
              </w:rPr>
            </w:pPr>
          </w:p>
        </w:tc>
      </w:tr>
      <w:tr>
        <w:tblPrEx>
          <w:tblCellMar>
            <w:top w:w="0" w:type="dxa"/>
            <w:left w:w="0" w:type="dxa"/>
            <w:bottom w:w="0" w:type="dxa"/>
            <w:right w:w="0" w:type="dxa"/>
          </w:tblCellMar>
        </w:tblPrEx>
        <w:trPr>
          <w:trHeight w:val="420" w:hRule="atLeast"/>
        </w:trPr>
        <w:tc>
          <w:tcPr>
            <w:tcW w:w="40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等线"/>
                <w:color w:val="auto"/>
                <w:sz w:val="16"/>
                <w:szCs w:val="16"/>
                <w:highlight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等线"/>
                <w:color w:val="auto"/>
                <w:sz w:val="16"/>
                <w:szCs w:val="16"/>
                <w:highlight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等线"/>
                <w:color w:val="auto"/>
                <w:sz w:val="16"/>
                <w:szCs w:val="16"/>
                <w:highlight w:val="none"/>
              </w:rPr>
            </w:pPr>
          </w:p>
        </w:tc>
        <w:tc>
          <w:tcPr>
            <w:tcW w:w="311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等线"/>
                <w:color w:val="auto"/>
                <w:sz w:val="16"/>
                <w:szCs w:val="16"/>
                <w:highlight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合同金额＜5万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5万≤合同金额＜30万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30万≤合同金额＜100万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w:t>
            </w:r>
          </w:p>
        </w:tc>
        <w:tc>
          <w:tcPr>
            <w:tcW w:w="917"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安全事故</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事故类型</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发生发生3人及以上重伤或发生1人及以上死亡或直接经济损失达200万元以上的安全生产事故</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w:t>
            </w:r>
          </w:p>
        </w:tc>
        <w:tc>
          <w:tcPr>
            <w:tcW w:w="91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发生重伤2人安全事故的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扣合同金额的30%～50%；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扣合同金额的20%～30%；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扣合同金额的10%～20%；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扣合同金额的5%～10%;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3</w:t>
            </w:r>
          </w:p>
        </w:tc>
        <w:tc>
          <w:tcPr>
            <w:tcW w:w="91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发生重伤1人安全事故的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扣合同金额的20%～30%;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扣合同金额的10%～20%；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扣合同金额的5%～10%；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扣合同金额的3%～5%；</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4</w:t>
            </w:r>
          </w:p>
        </w:tc>
        <w:tc>
          <w:tcPr>
            <w:tcW w:w="91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发生停产、影响环境、破坏公共设施、造成不良影响等事故的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扣合同金额的10%～20%；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或2000～3000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扣合同金额的5%～10%；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扣合同金额的3%～5%；</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扣合同金额的1%～2%；</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5</w:t>
            </w:r>
          </w:p>
        </w:tc>
        <w:tc>
          <w:tcPr>
            <w:tcW w:w="91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事故处理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1.发生事故或事件隐瞒不报的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2.未在1小时内向业主单位上报事故的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3.拒绝、不配合事故事件调查的或事故事件调查提供虚假信息</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4.未按规定和程序组织事故调查和事故处理的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5.未及时处理导致事故扩大的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6.未落实“四不放过”的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扣合同金额的30%～50%；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扣合同金额的20%～30%；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扣合同金额的10%～20%；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扣合同金额的5%～10%;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6</w:t>
            </w:r>
          </w:p>
        </w:tc>
        <w:tc>
          <w:tcPr>
            <w:tcW w:w="91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首次备案施工单位须提供的资料</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一般资料</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1.施工人员签名的安全交底表（交底内容由分公司编写），被交底人员应与人员花名册一致</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2.施工单位对施工人员的三级安全教育材料</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3.特殊时期需要增加的资料（如新冠疫情期间，需要增加的人员健康码和行程码资料）</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缺资料扣合同金额的5%或500；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缺资料扣合同金额的2%或2000；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缺资料扣合同金额的1%或4500；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缺资料扣合同金额的0.4%或8000；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7</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施工方案</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4.施工方案，应满足合同要求，内容至少包括：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施工点介绍</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施工内容（含作业流程、风险分析、施工工艺等）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施工设备和材料（必要时含构件测试手段等）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安全措施（根据工程特点、分公司的风险评估和施工单位的施工工艺制定）</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正常施工安全物资（主要是安全防护设备、劳保用品）</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缺施工方案扣合同金额的6%或700；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缺施工方案扣合同金额的3%或3500；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缺施工方案扣合同金额的1.5%或5000；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缺施工方案扣合同金额的0.5%或1万；</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8</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应急预案</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5.应急预案，内容至少包括：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现场情况介绍</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风险评估</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应急架构（包括应急主管人员和安全员，以及各应急小组，落实到人和联系方式）</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应急流程</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各种风险情况下的应急措施（根据现场情况、分公司的风险评估制定）</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应急物资清单</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外单位救援力量及联系方式等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缺应急预案扣合同金额的6%或700；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缺应急预案扣合同金额的3%或3500；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缺应急预案扣合同金额的1.5%或5000；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缺应急预案扣合同金额的0.5%或1万；</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9</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安全架构</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6.安全架构和相应安全责任制（落实到人和联系方式），可编写入施工方案内，架构人员主要包括：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安全责任人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施工负责人（可与安全责任人为同一个人）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设备、物资管理人员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关键岗位人员、特种作业人员</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缺安全架构扣合同金额的10%或2000；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缺少任何一类人员及其职责的扣合同金额的6%或700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缺安全架构扣合同金额的5%或5000；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缺少任何一类人员及其职责的扣合同金额的2%或2000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缺安全架构扣合同金额的2%或1万；</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缺少任何一类人员及其职责的扣合同金额的1%或5000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缺安全架构扣合同金额的1%或2万；</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10</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人员资质</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7.施工人员花名册，人员应包含：</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施工负责人（需要施工管理人员资格证书）</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特种作业人员（附证件号，同时要复印特种作业证，特种作业人数应满足合同要求）</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一般施工人员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可能需要进入厂区的其他人员（如监理人员、资料员等）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注：如作业涉及危险作业，作业人员须有作业人员岗前职业病体检和筛选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缺花名册扣合同金额的5%或500；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缺特种作业人员或特种作业人员不满足合同要求，扣合同金额的5%或500；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其他人员或资料有缺漏扣合同金额的3%或300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缺花名册扣合同金额的2%或2000；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缺特种作业人员或特种作业人员不满足合同要求，扣合同金额的2%或2000；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其他人员或资料有缺漏扣合同金额的1%或1000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缺花名册扣合同金额的1%或4500；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缺特种作业人员或特种作业人员不满足合同要求，扣合同金额的1%或4500；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其他人员或资料有缺漏扣合同金额的0.4%或2000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缺花名册扣合同金额的0.4%或8000；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缺特种作业人员或特种作业人员不满足合同要求，扣合同金额的0.4%或8000；</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11</w:t>
            </w:r>
          </w:p>
        </w:tc>
        <w:tc>
          <w:tcPr>
            <w:tcW w:w="91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施工现场管理</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现场面貌</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1.施工现场未开展有效围蔽</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3.现场无危险源公示、告知及相应警示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4.材料堆放存在重大隐患</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12</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施工管理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1.现场未按施工方案落实安全防范措施的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2.危险作业未经业主人员审批先行施工的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3.未按施工方案施工的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扣合同金额的10%或2000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扣合同金额的2%或1万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13</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每日安全交底</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1.缺少书面交底、未留存书面资料或交底资料缺少交底人、被交底人及安全员签字的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2.内容未结合当天的现场状况、特点、工序，对危险因素、施工内容、安全作业和应急措施进行交底的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14</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作业行为管理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1.违反9大危险作业相关作业规范的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2.现场存在违章作业、违章指挥等违反相关安全管理规定或制度的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3.人员错误使用劳保用品3次以上的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15</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安全记录</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未按施工要求开展现场记录或记录内容有缺失</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16</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应急管理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1.未设置应急物资点，未统一存放应急物资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2.应急物资点无应急物资清单或无应急物资每日检查表</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3.无开展日常应急培训、训练、演练或无资料留档的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17</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人员管理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人员变更无完善的手续及资料的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18</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隐患管理</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未及时对发现的隐患开展整改的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扣合同金额的5%或500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扣合同金额的1%或4500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19</w:t>
            </w:r>
          </w:p>
        </w:tc>
        <w:tc>
          <w:tcPr>
            <w:tcW w:w="91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其他</w:t>
            </w: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违反业主或上级主管部门提出的其他管理要求、文件、规定或拒不执行的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扣合同金额的3%～5%；</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或300～500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扣合同金额的1%～2%；</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或1000～2000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扣合同金额的0.5%～1%；</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或2500～4500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扣合同金额的0.3%～0.4%；</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trPr>
        <w:tc>
          <w:tcPr>
            <w:tcW w:w="4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20</w:t>
            </w:r>
          </w:p>
        </w:tc>
        <w:tc>
          <w:tcPr>
            <w:tcW w:w="9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80" w:hRule="atLeast"/>
        </w:trPr>
        <w:tc>
          <w:tcPr>
            <w:tcW w:w="9358" w:type="dxa"/>
            <w:gridSpan w:val="8"/>
            <w:tcBorders>
              <w:top w:val="nil"/>
              <w:left w:val="nil"/>
              <w:bottom w:val="nil"/>
              <w:right w:val="nil"/>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olor w:val="auto"/>
                <w:sz w:val="13"/>
                <w:szCs w:val="13"/>
                <w:highlight w:val="none"/>
              </w:rPr>
            </w:pPr>
            <w:r>
              <w:rPr>
                <w:rFonts w:hint="eastAsia" w:ascii="宋体" w:hAnsi="宋体"/>
                <w:color w:val="auto"/>
                <w:sz w:val="13"/>
                <w:szCs w:val="13"/>
                <w:highlight w:val="none"/>
              </w:rPr>
              <w:t>注：1、与安全管理相关的考评内容具体考评标准内容参照广州市净水有限公司标准《工程项目安全管理规范》（Q/GZJSA 1-2021）执行。</w:t>
            </w:r>
          </w:p>
          <w:p>
            <w:pPr>
              <w:adjustRightInd w:val="0"/>
              <w:snapToGrid w:val="0"/>
              <w:contextualSpacing/>
              <w:jc w:val="left"/>
              <w:rPr>
                <w:rFonts w:hint="eastAsia" w:ascii="宋体" w:hAnsi="宋体" w:cs="仿宋_GB2312"/>
                <w:color w:val="auto"/>
                <w:sz w:val="13"/>
                <w:szCs w:val="13"/>
                <w:highlight w:val="none"/>
              </w:rPr>
            </w:pPr>
            <w:r>
              <w:rPr>
                <w:rFonts w:hint="eastAsia" w:ascii="宋体" w:hAnsi="宋体"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宋体" w:hAnsi="宋体" w:cs="仿宋_GB2312"/>
                <w:color w:val="auto"/>
                <w:sz w:val="13"/>
                <w:szCs w:val="13"/>
                <w:highlight w:val="none"/>
              </w:rPr>
              <w:t>》。</w:t>
            </w:r>
          </w:p>
          <w:p>
            <w:pPr>
              <w:adjustRightInd w:val="0"/>
              <w:snapToGrid w:val="0"/>
              <w:ind w:firstLine="420"/>
              <w:textAlignment w:val="baseline"/>
              <w:rPr>
                <w:rFonts w:hint="eastAsia" w:ascii="宋体" w:hAnsi="宋体"/>
                <w:color w:val="auto"/>
                <w:szCs w:val="24"/>
                <w:highlight w:val="none"/>
              </w:rPr>
            </w:pPr>
          </w:p>
        </w:tc>
      </w:tr>
    </w:tbl>
    <w:p>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附件</w:t>
      </w: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rPr>
        <w:t>营运项目承包单位综合履约考评表（安全）</w:t>
      </w:r>
    </w:p>
    <w:tbl>
      <w:tblPr>
        <w:tblStyle w:val="25"/>
        <w:tblW w:w="9703" w:type="dxa"/>
        <w:jc w:val="center"/>
        <w:tblLayout w:type="fixed"/>
        <w:tblCellMar>
          <w:top w:w="0" w:type="dxa"/>
          <w:left w:w="0" w:type="dxa"/>
          <w:bottom w:w="0" w:type="dxa"/>
          <w:right w:w="0" w:type="dxa"/>
        </w:tblCellMar>
      </w:tblPr>
      <w:tblGrid>
        <w:gridCol w:w="344"/>
        <w:gridCol w:w="454"/>
        <w:gridCol w:w="915"/>
        <w:gridCol w:w="2699"/>
        <w:gridCol w:w="416"/>
        <w:gridCol w:w="951"/>
        <w:gridCol w:w="140"/>
        <w:gridCol w:w="757"/>
        <w:gridCol w:w="757"/>
        <w:gridCol w:w="757"/>
        <w:gridCol w:w="757"/>
        <w:gridCol w:w="616"/>
        <w:gridCol w:w="140"/>
      </w:tblGrid>
      <w:tr>
        <w:tblPrEx>
          <w:tblCellMar>
            <w:top w:w="0" w:type="dxa"/>
            <w:left w:w="0" w:type="dxa"/>
            <w:bottom w:w="0" w:type="dxa"/>
            <w:right w:w="0" w:type="dxa"/>
          </w:tblCellMar>
        </w:tblPrEx>
        <w:trPr>
          <w:gridAfter w:val="1"/>
          <w:wAfter w:w="140" w:type="dxa"/>
          <w:trHeight w:val="20" w:hRule="atLeast"/>
          <w:jc w:val="center"/>
        </w:trPr>
        <w:tc>
          <w:tcPr>
            <w:tcW w:w="9563" w:type="dxa"/>
            <w:gridSpan w:val="12"/>
            <w:tcBorders>
              <w:top w:val="nil"/>
              <w:left w:val="nil"/>
              <w:bottom w:val="nil"/>
              <w:right w:val="nil"/>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b/>
                <w:color w:val="auto"/>
                <w:sz w:val="16"/>
                <w:szCs w:val="16"/>
                <w:highlight w:val="none"/>
              </w:rPr>
            </w:pPr>
            <w:r>
              <w:rPr>
                <w:rFonts w:hint="eastAsia" w:ascii="宋体" w:hAnsi="宋体"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gridAfter w:val="1"/>
          <w:wAfter w:w="140" w:type="dxa"/>
          <w:trHeight w:val="20" w:hRule="atLeast"/>
          <w:jc w:val="center"/>
        </w:trPr>
        <w:tc>
          <w:tcPr>
            <w:tcW w:w="4412" w:type="dxa"/>
            <w:gridSpan w:val="4"/>
            <w:tcBorders>
              <w:top w:val="nil"/>
              <w:left w:val="nil"/>
              <w:bottom w:val="nil"/>
              <w:right w:val="nil"/>
            </w:tcBorders>
            <w:noWrap/>
            <w:tcMar>
              <w:top w:w="12" w:type="dxa"/>
              <w:left w:w="12" w:type="dxa"/>
              <w:right w:w="12" w:type="dxa"/>
            </w:tcMar>
            <w:vAlign w:val="center"/>
          </w:tcPr>
          <w:p>
            <w:pPr>
              <w:widowControl/>
              <w:adjustRightInd w:val="0"/>
              <w:snapToGrid w:val="0"/>
              <w:jc w:val="left"/>
              <w:textAlignment w:val="center"/>
              <w:rPr>
                <w:rFonts w:hint="eastAsia" w:ascii="宋体" w:hAnsi="宋体" w:cs="等线"/>
                <w:b/>
                <w:color w:val="auto"/>
                <w:sz w:val="16"/>
                <w:szCs w:val="16"/>
                <w:highlight w:val="none"/>
              </w:rPr>
            </w:pPr>
            <w:r>
              <w:rPr>
                <w:rFonts w:hint="eastAsia" w:ascii="宋体" w:hAnsi="宋体" w:cs="等线"/>
                <w:b/>
                <w:color w:val="auto"/>
                <w:kern w:val="0"/>
                <w:sz w:val="16"/>
                <w:szCs w:val="16"/>
                <w:highlight w:val="none"/>
                <w:lang w:bidi="ar"/>
              </w:rPr>
              <w:t>项目名称：</w:t>
            </w:r>
          </w:p>
        </w:tc>
        <w:tc>
          <w:tcPr>
            <w:tcW w:w="1367" w:type="dxa"/>
            <w:gridSpan w:val="2"/>
            <w:tcBorders>
              <w:top w:val="nil"/>
              <w:left w:val="nil"/>
              <w:bottom w:val="nil"/>
              <w:right w:val="nil"/>
            </w:tcBorders>
            <w:noWrap/>
            <w:tcMar>
              <w:top w:w="12" w:type="dxa"/>
              <w:left w:w="12" w:type="dxa"/>
              <w:right w:w="12" w:type="dxa"/>
            </w:tcMar>
            <w:vAlign w:val="center"/>
          </w:tcPr>
          <w:p>
            <w:pPr>
              <w:adjustRightInd w:val="0"/>
              <w:snapToGrid w:val="0"/>
              <w:jc w:val="center"/>
              <w:rPr>
                <w:rFonts w:hint="eastAsia" w:ascii="宋体" w:hAnsi="宋体" w:cs="等线"/>
                <w:b/>
                <w:color w:val="auto"/>
                <w:sz w:val="16"/>
                <w:szCs w:val="16"/>
                <w:highlight w:val="none"/>
              </w:rPr>
            </w:pPr>
          </w:p>
        </w:tc>
        <w:tc>
          <w:tcPr>
            <w:tcW w:w="3784" w:type="dxa"/>
            <w:gridSpan w:val="6"/>
            <w:tcBorders>
              <w:top w:val="nil"/>
              <w:left w:val="nil"/>
              <w:bottom w:val="nil"/>
              <w:right w:val="nil"/>
            </w:tcBorders>
            <w:noWrap/>
            <w:tcMar>
              <w:top w:w="12" w:type="dxa"/>
              <w:left w:w="12" w:type="dxa"/>
              <w:right w:w="12" w:type="dxa"/>
            </w:tcMar>
            <w:vAlign w:val="center"/>
          </w:tcPr>
          <w:p>
            <w:pPr>
              <w:widowControl/>
              <w:adjustRightInd w:val="0"/>
              <w:snapToGrid w:val="0"/>
              <w:jc w:val="left"/>
              <w:textAlignment w:val="center"/>
              <w:rPr>
                <w:rFonts w:hint="eastAsia" w:ascii="宋体" w:hAnsi="宋体" w:cs="等线"/>
                <w:b/>
                <w:color w:val="auto"/>
                <w:sz w:val="16"/>
                <w:szCs w:val="16"/>
                <w:highlight w:val="none"/>
              </w:rPr>
            </w:pPr>
            <w:r>
              <w:rPr>
                <w:rFonts w:hint="eastAsia" w:ascii="宋体" w:hAnsi="宋体"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20" w:hRule="atLeast"/>
          <w:jc w:val="center"/>
        </w:trPr>
        <w:tc>
          <w:tcPr>
            <w:tcW w:w="3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序号</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考评项目</w:t>
            </w:r>
          </w:p>
        </w:tc>
        <w:tc>
          <w:tcPr>
            <w:tcW w:w="91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考评分项</w:t>
            </w:r>
          </w:p>
        </w:tc>
        <w:tc>
          <w:tcPr>
            <w:tcW w:w="3115" w:type="dxa"/>
            <w:gridSpan w:val="2"/>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考评内容</w:t>
            </w:r>
          </w:p>
        </w:tc>
        <w:tc>
          <w:tcPr>
            <w:tcW w:w="1091"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考评标准</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监理单位考评</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分公司考评</w:t>
            </w:r>
          </w:p>
        </w:tc>
        <w:tc>
          <w:tcPr>
            <w:tcW w:w="1514"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公司考评</w:t>
            </w:r>
          </w:p>
        </w:tc>
        <w:tc>
          <w:tcPr>
            <w:tcW w:w="756" w:type="dxa"/>
            <w:gridSpan w:val="2"/>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20" w:hRule="atLeast"/>
          <w:jc w:val="center"/>
        </w:trPr>
        <w:tc>
          <w:tcPr>
            <w:tcW w:w="3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5"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1091"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业务主管部门</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安全管理部门</w:t>
            </w:r>
          </w:p>
        </w:tc>
        <w:tc>
          <w:tcPr>
            <w:tcW w:w="756" w:type="dxa"/>
            <w:gridSpan w:val="2"/>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gridAfter w:val="1"/>
          <w:wAfter w:w="140" w:type="dxa"/>
          <w:trHeight w:val="20" w:hRule="atLeast"/>
          <w:jc w:val="center"/>
        </w:trPr>
        <w:tc>
          <w:tcPr>
            <w:tcW w:w="9563" w:type="dxa"/>
            <w:gridSpan w:val="1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w:t>
            </w:r>
          </w:p>
        </w:tc>
        <w:tc>
          <w:tcPr>
            <w:tcW w:w="136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综合管理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受到业主单位或上级管理部门通报表扬的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加5～10分/项，可叠加</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w:t>
            </w:r>
          </w:p>
        </w:tc>
        <w:tc>
          <w:tcPr>
            <w:tcW w:w="136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现场管理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积极配合业主单位做好安全工作及相关宣传教育，积极主动排查隐患的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加5分/项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gridAfter w:val="1"/>
          <w:wAfter w:w="140" w:type="dxa"/>
          <w:trHeight w:val="20" w:hRule="atLeast"/>
          <w:jc w:val="center"/>
        </w:trPr>
        <w:tc>
          <w:tcPr>
            <w:tcW w:w="9563" w:type="dxa"/>
            <w:gridSpan w:val="1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安全事故</w:t>
            </w:r>
          </w:p>
        </w:tc>
        <w:tc>
          <w:tcPr>
            <w:tcW w:w="91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事故类型</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发生重伤1人及以上安全事故，或直接经济损失达200万元以上的安全生产事故</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发生停产、影响环境、破坏公共设施、造成不良影响等事故的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扣40分/项，可叠加，到达100分，3年内禁止来我公司投标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事故处理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1.发生事故或事件隐瞒不报的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2.未在1小时内向业主单位上报事故的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3.拒绝、不配合事故事件调查的或事故事件调查提供虚假信息</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4.未按规定和程序组织事故调查和事故处理的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5.未及时处理导致事故扩大的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6.未落实“四不放过”的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8</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首次备案施工单位须提供的资料</w:t>
            </w: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一般资料</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1.施工人员签名的安全交底表（交底内容由分公司编写），被交底人员应与人员花名册一致</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2.施工单位对施工人员的三级安全教育材料</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3.特殊时期需要增加的资料（如新冠疫情期间，需要增加的人员健康码和行程码资料）</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缺资料扣3～5分/项；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施工方案</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4.施工方案，应满足合同要求，内容至少包括：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施工点介绍</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施工内容（含作业流程、风险分析、施工工艺等）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施工设备和材料（必要时含构件测试手段等）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安全措施（根据工程特点、分公司的风险评估和施工单位的施工工艺制定）</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正常施工安全物资（主要是安全防护设备、劳保用品）</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缺施工方案扣4～8分/项；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应急预案</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5.应急预案，内容至少包括：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现场情况介绍</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风险评估</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应急架构（包括应急主管人员和安全员，以及各应急小组，落实到人和联系方式）</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应急流程</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各种风险情况下的应急措施（根据现场情况、分公司的风险评估制定）</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应急物资清单</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外单位救援力量及联系方式等</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缺应急预案扣4～8分/项；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安全架构</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6.安全架构和相应安全责任制（落实到人和联系方式），可编写入施工方案内，架构人员主要包括：</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安全责任人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施工负责人（可与安全责任人为同一个人）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设备、物资管理人员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关键岗位人员、特种作业人员</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缺安全架构扣5～10分/项；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缺任何一类人员及其职责有问题扣2～4分/项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12</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人员资质</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7.施工人员花名册，人员应包含：</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施工负责人（需要施工管理人员资格证书）</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特种作业人员（附证件号，同时要复印特种作业证，特种作业人数应满足合同要求）</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一般施工人员</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 xml:space="preserve">  可能需要进入厂区的其他人员（如监理人员、资料员等）</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注：如作业涉及危险作业，作业人员须有作业人员岗前职业病体检和筛选</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缺花名册扣3～5分/项；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缺特种作业人员或特种作业人员不满足合同要求扣3～5分/项；</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其他人员或资料有缺漏扣1～3分/项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施工现场管理</w:t>
            </w: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现场面貌</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1.施工现场未开展有效围蔽</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3.现场无危险源公示、告知及相应警示</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4.材料堆放存在重大隐患</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14</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施工管理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1.现场未按施工方案落实安全防范措施的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2.危险作业未经业主人员审批先行施工的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3.未按施工方案施工的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15</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center"/>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每日安全交底</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1.缺少书面交底、未留存书面资料或交底资料缺少交底人、被交底人及安全员签字的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2.内容未结合当天的现场状况、特点、工序，对危险因素、施工内容、安全作业和应急措施进行交底的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作业行为管理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1.违反9大危险作业相关作业规范的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2.现场存在违章作业、违章指挥等违反相关安全管理规定或制度的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3.人员错误使用劳保用品3次以上的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安全记录</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未按施工要求开展现场记录或记录内容有缺失</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18</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应急管理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1.未设置应急物资点，未统一存放应急物资</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2.应急物资点无应急物资清单或无应急物资每日检查表</w:t>
            </w:r>
            <w:r>
              <w:rPr>
                <w:rFonts w:hint="eastAsia" w:ascii="宋体" w:hAnsi="宋体" w:cs="仿宋_GB2312"/>
                <w:color w:val="auto"/>
                <w:kern w:val="0"/>
                <w:sz w:val="16"/>
                <w:szCs w:val="16"/>
                <w:highlight w:val="none"/>
                <w:lang w:bidi="ar"/>
              </w:rPr>
              <w:br w:type="textWrapping"/>
            </w:r>
            <w:r>
              <w:rPr>
                <w:rFonts w:hint="eastAsia" w:ascii="宋体" w:hAnsi="宋体" w:cs="仿宋_GB2312"/>
                <w:color w:val="auto"/>
                <w:kern w:val="0"/>
                <w:sz w:val="16"/>
                <w:szCs w:val="16"/>
                <w:highlight w:val="none"/>
                <w:lang w:bidi="ar"/>
              </w:rPr>
              <w:t>3.无开展日常应急培训、训练、演练或无资料留档的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19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人员变更无完善的手续及资料的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隐患管理</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未及时对发现的隐患开展整改的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扣4～8分/项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其他</w:t>
            </w: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违反业主或上级主管部门提出的其他管理要求、文件、规定或拒不执行的</w:t>
            </w: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cs="仿宋_GB2312"/>
                <w:color w:val="auto"/>
                <w:sz w:val="16"/>
                <w:szCs w:val="16"/>
                <w:highlight w:val="none"/>
              </w:rPr>
            </w:pPr>
            <w:r>
              <w:rPr>
                <w:rFonts w:hint="eastAsia" w:ascii="宋体" w:hAnsi="宋体" w:cs="仿宋_GB2312"/>
                <w:color w:val="auto"/>
                <w:kern w:val="0"/>
                <w:sz w:val="16"/>
                <w:szCs w:val="16"/>
                <w:highlight w:val="none"/>
                <w:lang w:bidi="ar"/>
              </w:rPr>
              <w:t>扣2～5分/项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trHeight w:val="20" w:hRule="atLeast"/>
          <w:jc w:val="center"/>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adjustRightInd w:val="0"/>
              <w:snapToGrid w:val="0"/>
              <w:jc w:val="center"/>
              <w:textAlignment w:val="center"/>
              <w:rPr>
                <w:rFonts w:hint="eastAsia" w:ascii="宋体" w:hAnsi="宋体" w:cs="等线"/>
                <w:color w:val="auto"/>
                <w:sz w:val="16"/>
                <w:szCs w:val="16"/>
                <w:highlight w:val="none"/>
              </w:rPr>
            </w:pPr>
            <w:r>
              <w:rPr>
                <w:rFonts w:hint="eastAsia" w:ascii="宋体" w:hAnsi="宋体" w:cs="等线"/>
                <w:color w:val="auto"/>
                <w:kern w:val="0"/>
                <w:sz w:val="16"/>
                <w:szCs w:val="16"/>
                <w:highlight w:val="none"/>
                <w:lang w:bidi="ar"/>
              </w:rPr>
              <w:t>22</w:t>
            </w:r>
          </w:p>
        </w:tc>
        <w:tc>
          <w:tcPr>
            <w:tcW w:w="45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9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adjustRightInd w:val="0"/>
              <w:snapToGrid w:val="0"/>
              <w:jc w:val="center"/>
              <w:rPr>
                <w:rFonts w:hint="eastAsia" w:ascii="宋体" w:hAnsi="宋体" w:cs="仿宋_GB2312"/>
                <w:color w:val="auto"/>
                <w:sz w:val="16"/>
                <w:szCs w:val="16"/>
                <w:highlight w:val="none"/>
              </w:rPr>
            </w:pPr>
          </w:p>
        </w:tc>
        <w:tc>
          <w:tcPr>
            <w:tcW w:w="311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1091"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c>
          <w:tcPr>
            <w:tcW w:w="7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adjustRightInd w:val="0"/>
              <w:snapToGrid w:val="0"/>
              <w:rPr>
                <w:rFonts w:hint="eastAsia" w:ascii="宋体" w:hAnsi="宋体" w:cs="仿宋_GB2312"/>
                <w:color w:val="auto"/>
                <w:sz w:val="16"/>
                <w:szCs w:val="16"/>
                <w:highlight w:val="none"/>
              </w:rPr>
            </w:pPr>
          </w:p>
        </w:tc>
      </w:tr>
      <w:tr>
        <w:tblPrEx>
          <w:tblCellMar>
            <w:top w:w="0" w:type="dxa"/>
            <w:left w:w="0" w:type="dxa"/>
            <w:bottom w:w="0" w:type="dxa"/>
            <w:right w:w="0" w:type="dxa"/>
          </w:tblCellMar>
        </w:tblPrEx>
        <w:trPr>
          <w:gridAfter w:val="1"/>
          <w:wAfter w:w="140" w:type="dxa"/>
          <w:trHeight w:val="20" w:hRule="atLeast"/>
          <w:jc w:val="center"/>
        </w:trPr>
        <w:tc>
          <w:tcPr>
            <w:tcW w:w="9563" w:type="dxa"/>
            <w:gridSpan w:val="12"/>
            <w:tcBorders>
              <w:top w:val="nil"/>
              <w:left w:val="nil"/>
              <w:bottom w:val="nil"/>
              <w:right w:val="nil"/>
            </w:tcBorders>
            <w:noWrap w:val="0"/>
            <w:tcMar>
              <w:top w:w="12" w:type="dxa"/>
              <w:left w:w="12" w:type="dxa"/>
              <w:right w:w="12" w:type="dxa"/>
            </w:tcMar>
            <w:vAlign w:val="center"/>
          </w:tcPr>
          <w:p>
            <w:pPr>
              <w:widowControl/>
              <w:adjustRightInd w:val="0"/>
              <w:snapToGrid w:val="0"/>
              <w:jc w:val="left"/>
              <w:textAlignment w:val="center"/>
              <w:rPr>
                <w:rFonts w:hint="eastAsia" w:ascii="宋体" w:hAnsi="宋体"/>
                <w:b/>
                <w:color w:val="auto"/>
                <w:sz w:val="13"/>
                <w:szCs w:val="13"/>
                <w:highlight w:val="none"/>
              </w:rPr>
            </w:pPr>
            <w:r>
              <w:rPr>
                <w:rFonts w:hint="eastAsia" w:ascii="宋体" w:hAnsi="宋体"/>
                <w:b/>
                <w:color w:val="auto"/>
                <w:sz w:val="13"/>
                <w:szCs w:val="13"/>
                <w:highlight w:val="none"/>
              </w:rPr>
              <w:t>注：1、综合考评满分100分，各考评项目扣分不设上限；</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2、监理单位考评只作为参考及履职依据，不计入考评，无监理单位不需填写；</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3、“公司考评”业务主管部门和安全办针对本部门检查发现的内容进行扣（奖）分，项目部已经进行扣（奖）分的不重复执行；</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4、各分公司考评填写相应的得（扣）分数值，如奖2分则填写“2”，扣2分则填写“-2”；</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5、单项“综合考评”=项目部考评+公司考评；综合考评总分=各单项“综合考评”+100</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6、最后得分=综合考评总分X类别系数；</w:t>
            </w:r>
            <w:r>
              <w:rPr>
                <w:rFonts w:hint="eastAsia" w:ascii="宋体" w:hAnsi="宋体"/>
                <w:b/>
                <w:color w:val="auto"/>
                <w:sz w:val="13"/>
                <w:szCs w:val="13"/>
                <w:highlight w:val="none"/>
              </w:rPr>
              <w:br w:type="textWrapping"/>
            </w:r>
            <w:r>
              <w:rPr>
                <w:rFonts w:hint="eastAsia" w:ascii="宋体" w:hAnsi="宋体"/>
                <w:b/>
                <w:color w:val="auto"/>
                <w:sz w:val="13"/>
                <w:szCs w:val="13"/>
                <w:highlight w:val="none"/>
              </w:rPr>
              <w:t xml:space="preserve">    7、各考评项目具体考评标准内容参照广州市净水有限公司标准《工程项目安全管理规范》（Q/GZJSA 1-2021）执行。 </w:t>
            </w:r>
          </w:p>
          <w:p>
            <w:pPr>
              <w:adjustRightInd w:val="0"/>
              <w:snapToGrid w:val="0"/>
              <w:ind w:firstLine="261" w:firstLineChars="200"/>
              <w:contextualSpacing/>
              <w:jc w:val="left"/>
              <w:rPr>
                <w:rFonts w:hint="eastAsia" w:ascii="宋体" w:hAnsi="宋体" w:cs="仿宋_GB2312"/>
                <w:b/>
                <w:color w:val="auto"/>
                <w:sz w:val="13"/>
                <w:szCs w:val="13"/>
                <w:highlight w:val="none"/>
              </w:rPr>
            </w:pPr>
            <w:r>
              <w:rPr>
                <w:rFonts w:hint="eastAsia" w:ascii="宋体" w:hAnsi="宋体" w:cs="仿宋_GB2312"/>
                <w:b/>
                <w:color w:val="auto"/>
                <w:sz w:val="13"/>
                <w:szCs w:val="13"/>
                <w:highlight w:val="none"/>
              </w:rPr>
              <w:t>8、本处理标准出自《</w:t>
            </w:r>
            <w:r>
              <w:rPr>
                <w:rFonts w:hint="eastAsia" w:ascii="宋体" w:hAnsi="宋体" w:cs="宋体"/>
                <w:b/>
                <w:color w:val="auto"/>
                <w:sz w:val="13"/>
                <w:szCs w:val="13"/>
                <w:highlight w:val="none"/>
              </w:rPr>
              <w:t>广州净水公司工程项目承包单位质量安全考评细则（试行）</w:t>
            </w:r>
            <w:r>
              <w:rPr>
                <w:rFonts w:hint="eastAsia" w:ascii="宋体" w:hAnsi="宋体" w:cs="仿宋_GB2312"/>
                <w:b/>
                <w:color w:val="auto"/>
                <w:sz w:val="13"/>
                <w:szCs w:val="13"/>
                <w:highlight w:val="none"/>
              </w:rPr>
              <w:t>》。</w:t>
            </w:r>
          </w:p>
          <w:p>
            <w:pPr>
              <w:adjustRightInd w:val="0"/>
              <w:snapToGrid w:val="0"/>
              <w:ind w:firstLine="420"/>
              <w:textAlignment w:val="baseline"/>
              <w:rPr>
                <w:rFonts w:hint="eastAsia" w:ascii="宋体" w:hAnsi="宋体"/>
                <w:b/>
                <w:color w:val="auto"/>
                <w:szCs w:val="24"/>
                <w:highlight w:val="none"/>
              </w:rPr>
            </w:pPr>
          </w:p>
        </w:tc>
      </w:tr>
    </w:tbl>
    <w:p>
      <w:pPr>
        <w:pStyle w:val="2"/>
        <w:rPr>
          <w:rFonts w:hint="eastAsia" w:ascii="宋体" w:hAnsi="宋体" w:cs="宋体"/>
          <w:color w:val="auto"/>
          <w:szCs w:val="21"/>
          <w:highlight w:val="none"/>
        </w:rPr>
      </w:pPr>
    </w:p>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宋体" w:hAnsi="宋体" w:eastAsia="宋体" w:cs="宋体"/>
          <w:color w:val="auto"/>
          <w:sz w:val="21"/>
          <w:szCs w:val="21"/>
          <w:highlight w:val="none"/>
          <w:lang w:val="en-US" w:eastAsia="zh-CN"/>
        </w:rPr>
        <w:t>备注：本处罚标准出自</w:t>
      </w:r>
      <w:r>
        <w:rPr>
          <w:rFonts w:hint="eastAsia" w:ascii="宋体" w:hAnsi="宋体" w:eastAsia="宋体" w:cs="宋体"/>
          <w:color w:val="auto"/>
          <w:sz w:val="21"/>
          <w:szCs w:val="21"/>
          <w:highlight w:val="none"/>
        </w:rPr>
        <w:t>《广州市净水有限公司经营建设项目参建企业不诚信行为管理办法》</w:t>
      </w:r>
      <w:r>
        <w:rPr>
          <w:rFonts w:hint="eastAsia" w:ascii="宋体" w:hAnsi="宋体" w:eastAsia="宋体" w:cs="宋体"/>
          <w:color w:val="auto"/>
          <w:sz w:val="21"/>
          <w:szCs w:val="21"/>
          <w:highlight w:val="none"/>
          <w:lang w:eastAsia="zh-CN"/>
        </w:rPr>
        <w:t>。</w:t>
      </w:r>
    </w:p>
    <w:p>
      <w:pPr>
        <w:widowControl/>
        <w:jc w:val="left"/>
        <w:rPr>
          <w:rFonts w:hint="eastAsia" w:ascii="宋体" w:hAnsi="宋体" w:cs="宋体"/>
          <w:color w:val="auto"/>
          <w:szCs w:val="21"/>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w:t>
      </w: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履约保函模板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（受益人）</w:t>
      </w:r>
      <w:r>
        <w:rPr>
          <w:rFonts w:hint="eastAsia" w:ascii="宋体" w:hAnsi="宋体" w:eastAsia="宋体" w:cs="宋体"/>
          <w:color w:val="auto"/>
          <w:sz w:val="24"/>
          <w:szCs w:val="24"/>
          <w:highlight w:val="none"/>
        </w:rPr>
        <w:br w:type="textWrapping"/>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（以下简称“委托人”）与贵方于</w:t>
      </w:r>
      <w:r>
        <w:rPr>
          <w:rFonts w:hint="eastAsia" w:ascii="宋体" w:hAnsi="宋体" w:eastAsia="宋体" w:cs="宋体"/>
          <w:color w:val="auto"/>
          <w:sz w:val="24"/>
          <w:szCs w:val="24"/>
          <w:highlight w:val="none"/>
          <w:u w:val="single"/>
        </w:rPr>
        <w:t xml:space="preserve">   年  月  日</w:t>
      </w:r>
      <w:r>
        <w:rPr>
          <w:rFonts w:hint="eastAsia" w:ascii="宋体" w:hAnsi="宋体" w:eastAsia="宋体" w:cs="宋体"/>
          <w:color w:val="auto"/>
          <w:sz w:val="24"/>
          <w:szCs w:val="24"/>
          <w:highlight w:val="none"/>
        </w:rPr>
        <w:t>签订了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（以下简称“合同”），我行同意为委托人出具履约保函，作为委托人履行合同义务的担保，以使你方得到履约保函的保障。本保函为不可撤销，见索即付的独立保函。</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一、我行保证在收到贵单位于保函有效期内送达的依本保函约定的索赔申请后，在个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工作日内无条件和不可改变地向贵单位支付最高金额不超过人民币元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）的履约保证金，并放弃向你方提出任何异议和追索的权利。</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二、贵单位的索赔申请应符合下述条件：</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（一）贵单位法定代表人或其授权代表签字并加盖单位公章；</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（二）在保函有效期内送达我行；</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（三）明确的索赔金额（不得超过本保函第一条所列之限额）。</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三、本保函自签发之日起生效，有效期至</w:t>
      </w:r>
      <w:r>
        <w:rPr>
          <w:rFonts w:hint="eastAsia" w:ascii="宋体" w:hAnsi="宋体" w:eastAsia="宋体" w:cs="宋体"/>
          <w:color w:val="auto"/>
          <w:sz w:val="24"/>
          <w:szCs w:val="24"/>
          <w:highlight w:val="none"/>
          <w:u w:val="single"/>
        </w:rPr>
        <w:t xml:space="preserve">  年  月  日</w:t>
      </w:r>
      <w:r>
        <w:rPr>
          <w:rFonts w:hint="eastAsia" w:ascii="宋体" w:hAnsi="宋体" w:eastAsia="宋体" w:cs="宋体"/>
          <w:color w:val="auto"/>
          <w:sz w:val="24"/>
          <w:szCs w:val="24"/>
          <w:highlight w:val="none"/>
        </w:rPr>
        <w:t>。本保函于下述任一事项发生之时立即失效，我行在本保函项下的保证义务即刻解除：</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（一）本保函有效期限届满；</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（二）我行保证的义务履行完毕。</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五、我行向你方支付索赔金额后，本保函担保金额即按贵方通知的索赔金额予以递减。</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六、保函失效后请将保函退回我行注销，无论正本最终退回与否，不影响本保函依上述约定自动失效。</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落款</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保函说明：</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保函不得有下列或类似含义的表述：</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1.银行承担的为连带责任保证、一般保证。</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2.未经银行书面同意，受益人与申请人修改合同或其项下附件时，银行的保证义务解除。</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3.合同撤销或无效的，保函失效。</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4.申请人对受益人的抗辩，银行有权向受益人主张。</w:t>
      </w:r>
    </w:p>
    <w:p>
      <w:pPr>
        <w:keepNext w:val="0"/>
        <w:keepLines w:val="0"/>
        <w:pageBreakBefore w:val="0"/>
        <w:widowControl w:val="0"/>
        <w:kinsoku/>
        <w:wordWrap/>
        <w:overflowPunct/>
        <w:topLinePunct w:val="0"/>
        <w:autoSpaceDE/>
        <w:autoSpaceDN/>
        <w:bidi w:val="0"/>
        <w:adjustRightInd/>
        <w:snapToGrid/>
        <w:spacing w:line="360" w:lineRule="exact"/>
        <w:ind w:firstLine="6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5.受益人请求付款的请款单据包含法院裁判文书、仲裁裁决、第三方单位出具的鉴定书等申请人违约的证明材料。</w:t>
      </w: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ascii="宋体" w:hAnsi="宋体" w:cs="宋体"/>
          <w:b/>
          <w:bCs/>
          <w:color w:val="auto"/>
          <w:sz w:val="24"/>
          <w:highlight w:val="none"/>
          <w:lang w:val="en-US" w:eastAsia="zh-CN"/>
        </w:rPr>
      </w:pPr>
    </w:p>
    <w:p>
      <w:pPr>
        <w:pStyle w:val="24"/>
        <w:rPr>
          <w:rFonts w:hint="eastAsia"/>
          <w:color w:val="auto"/>
          <w:highlight w:val="none"/>
        </w:rPr>
      </w:pPr>
      <w:r>
        <w:rPr>
          <w:rFonts w:hint="eastAsia" w:ascii="宋体" w:hAnsi="宋体" w:cs="宋体"/>
          <w:b/>
          <w:bCs/>
          <w:color w:val="auto"/>
          <w:sz w:val="24"/>
          <w:highlight w:val="none"/>
          <w:lang w:val="en-US" w:eastAsia="zh-CN"/>
        </w:rPr>
        <w:t>附件10：工程量报价单/工程量清单</w:t>
      </w:r>
    </w:p>
    <w:p>
      <w:pPr>
        <w:keepNext w:val="0"/>
        <w:keepLines w:val="0"/>
        <w:pageBreakBefore w:val="0"/>
        <w:widowControl/>
        <w:kinsoku/>
        <w:wordWrap/>
        <w:overflowPunct/>
        <w:topLinePunct w:val="0"/>
        <w:autoSpaceDE/>
        <w:autoSpaceDN/>
        <w:bidi w:val="0"/>
        <w:adjustRightInd/>
        <w:snapToGrid/>
        <w:spacing w:line="240" w:lineRule="auto"/>
        <w:ind w:firstLine="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br w:type="page"/>
      </w:r>
    </w:p>
    <w:p>
      <w:pPr>
        <w:pStyle w:val="24"/>
        <w:rPr>
          <w:rFonts w:hint="eastAsia" w:ascii="仿宋_GB2312" w:eastAsia="仿宋_GB2312" w:hAnsiTheme="minorEastAsia"/>
          <w:color w:val="auto"/>
          <w:sz w:val="28"/>
          <w:szCs w:val="28"/>
          <w:highlight w:val="none"/>
        </w:rPr>
      </w:pPr>
    </w:p>
    <w:p>
      <w:pPr>
        <w:pStyle w:val="24"/>
        <w:rPr>
          <w:rFonts w:hint="eastAsia" w:ascii="仿宋_GB2312" w:eastAsia="仿宋_GB2312" w:hAnsiTheme="minorEastAsia"/>
          <w:color w:val="auto"/>
          <w:sz w:val="28"/>
          <w:szCs w:val="28"/>
          <w:highlight w:val="none"/>
        </w:rPr>
      </w:pPr>
    </w:p>
    <w:p>
      <w:pPr>
        <w:pStyle w:val="24"/>
        <w:rPr>
          <w:rFonts w:hint="eastAsia" w:ascii="仿宋_GB2312" w:eastAsia="仿宋_GB2312"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_GB2312"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第七章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_GB2312" w:hAnsiTheme="minorEastAsia"/>
          <w:color w:val="auto"/>
          <w:sz w:val="28"/>
          <w:szCs w:val="28"/>
          <w:highlight w:val="none"/>
          <w:lang w:val="en-US" w:eastAsia="zh-CN"/>
        </w:rPr>
      </w:pPr>
    </w:p>
    <w:p>
      <w:pPr>
        <w:pStyle w:val="3"/>
        <w:rPr>
          <w:color w:val="auto"/>
          <w:highlight w:val="none"/>
        </w:rPr>
      </w:pPr>
      <w:r>
        <w:rPr>
          <w:rFonts w:hint="eastAsia"/>
          <w:color w:val="auto"/>
          <w:highlight w:val="none"/>
        </w:rPr>
        <w:t>响应文件</w:t>
      </w:r>
      <w:r>
        <w:rPr>
          <w:rFonts w:hint="eastAsia"/>
          <w:color w:val="auto"/>
          <w:highlight w:val="none"/>
          <w:lang w:val="en-US" w:eastAsia="zh-CN"/>
        </w:rPr>
        <w:t>格式要求</w:t>
      </w:r>
    </w:p>
    <w:p>
      <w:pPr>
        <w:rPr>
          <w:rFonts w:hint="default" w:ascii="仿宋_GB2312" w:eastAsia="仿宋_GB2312" w:hAnsiTheme="minorEastAsia"/>
          <w:color w:val="auto"/>
          <w:sz w:val="28"/>
          <w:szCs w:val="28"/>
          <w:highlight w:val="none"/>
          <w:lang w:val="en-US" w:eastAsia="zh-CN"/>
        </w:rPr>
      </w:pPr>
      <w:r>
        <w:rPr>
          <w:rFonts w:hint="default" w:ascii="仿宋_GB2312" w:eastAsia="仿宋_GB2312" w:hAnsiTheme="minorEastAsia"/>
          <w:color w:val="auto"/>
          <w:sz w:val="28"/>
          <w:szCs w:val="28"/>
          <w:highlight w:val="none"/>
          <w:lang w:val="en-US" w:eastAsia="zh-CN"/>
        </w:rPr>
        <w:br w:type="page"/>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hint="eastAsia"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u w:val="single"/>
          <w:lang w:val="en-US" w:eastAsia="zh-CN"/>
        </w:rPr>
        <w:t xml:space="preserve"> </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u w:val="single"/>
          <w:lang w:val="en-US" w:eastAsia="zh-CN"/>
        </w:rPr>
        <w:t xml:space="preserve"> </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u w:val="single"/>
          <w:lang w:val="en-US" w:eastAsia="zh-CN"/>
        </w:rPr>
        <w:t xml:space="preserve"> </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rPr>
          <w:rFonts w:hint="eastAsia"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br w:type="page"/>
      </w: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hint="eastAsia" w:ascii="方正小标宋简体" w:eastAsia="方正小标宋简体"/>
          <w:color w:val="auto"/>
          <w:sz w:val="44"/>
          <w:szCs w:val="44"/>
          <w:highlight w:val="none"/>
          <w:lang w:val="en-US" w:eastAsia="zh-CN"/>
        </w:rPr>
        <w:t xml:space="preserve"> </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eastAsia="方正小标宋简体"/>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_GB2312"/>
          <w:color w:val="auto"/>
          <w:sz w:val="28"/>
          <w:szCs w:val="28"/>
          <w:highlight w:val="none"/>
        </w:rPr>
      </w:pPr>
      <w:bookmarkStart w:id="63" w:name="_Toc88209952"/>
      <w:bookmarkStart w:id="64" w:name="_Toc87616389"/>
      <w:r>
        <w:rPr>
          <w:rFonts w:hint="eastAsia" w:ascii="仿宋_GB2312" w:eastAsia="仿宋_GB2312"/>
          <w:color w:val="auto"/>
          <w:sz w:val="28"/>
          <w:szCs w:val="28"/>
          <w:highlight w:val="none"/>
        </w:rPr>
        <w:t>1.响应函</w:t>
      </w:r>
      <w:bookmarkEnd w:id="63"/>
      <w:bookmarkEnd w:id="64"/>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_GB2312"/>
          <w:color w:val="auto"/>
          <w:sz w:val="28"/>
          <w:szCs w:val="28"/>
          <w:highlight w:val="none"/>
        </w:rPr>
      </w:pPr>
      <w:bookmarkStart w:id="65" w:name="_Toc88209953"/>
      <w:bookmarkStart w:id="66" w:name="_Toc87616390"/>
      <w:r>
        <w:rPr>
          <w:rFonts w:hint="eastAsia" w:ascii="仿宋_GB2312" w:eastAsia="仿宋_GB2312"/>
          <w:color w:val="auto"/>
          <w:sz w:val="28"/>
          <w:szCs w:val="28"/>
          <w:highlight w:val="none"/>
        </w:rPr>
        <w:t>2.法定代表人证明或授权委托书</w:t>
      </w:r>
      <w:bookmarkEnd w:id="65"/>
      <w:bookmarkEnd w:id="66"/>
      <w:bookmarkStart w:id="67" w:name="_Toc87616393"/>
      <w:bookmarkStart w:id="68"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67"/>
      <w:bookmarkEnd w:id="68"/>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69" w:name="_Toc28619645"/>
      <w:bookmarkStart w:id="70" w:name="_Toc88209957"/>
      <w:bookmarkStart w:id="71" w:name="_Toc12665"/>
      <w:bookmarkStart w:id="72" w:name="_Toc87616394"/>
      <w:bookmarkStart w:id="73" w:name="_Toc6313"/>
      <w:r>
        <w:rPr>
          <w:rFonts w:hint="eastAsia" w:ascii="黑体" w:hAnsi="黑体" w:eastAsia="黑体" w:cs="黑体"/>
          <w:b/>
          <w:bCs/>
          <w:color w:val="auto"/>
          <w:sz w:val="32"/>
          <w:szCs w:val="32"/>
          <w:highlight w:val="none"/>
        </w:rPr>
        <w:t>1.响应函</w:t>
      </w:r>
      <w:bookmarkEnd w:id="69"/>
      <w:bookmarkEnd w:id="70"/>
      <w:bookmarkEnd w:id="71"/>
      <w:bookmarkEnd w:id="72"/>
      <w:bookmarkEnd w:id="73"/>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w:t>
      </w:r>
      <w:r>
        <w:rPr>
          <w:rFonts w:hint="eastAsia" w:ascii="仿宋_GB2312" w:hAnsi="黑体" w:eastAsia="仿宋_GB2312"/>
          <w:color w:val="auto"/>
          <w:sz w:val="28"/>
          <w:szCs w:val="28"/>
          <w:highlight w:val="none"/>
          <w:lang w:val="en-US" w:eastAsia="zh-CN"/>
        </w:rPr>
        <w:t>采购</w:t>
      </w:r>
      <w:r>
        <w:rPr>
          <w:rFonts w:hint="eastAsia" w:ascii="仿宋_GB2312" w:hAnsi="黑体" w:eastAsia="仿宋_GB2312"/>
          <w:color w:val="auto"/>
          <w:sz w:val="28"/>
          <w:szCs w:val="28"/>
          <w:highlight w:val="none"/>
        </w:rPr>
        <w:t>文件中所有要求均为实质性响应条款，如有任何一条负偏离或者不满足将导致</w:t>
      </w:r>
      <w:r>
        <w:rPr>
          <w:rFonts w:hint="eastAsia" w:ascii="仿宋_GB2312" w:hAnsi="黑体" w:eastAsia="仿宋_GB2312"/>
          <w:color w:val="auto"/>
          <w:sz w:val="28"/>
          <w:szCs w:val="28"/>
          <w:highlight w:val="none"/>
          <w:lang w:val="en-US" w:eastAsia="zh-CN"/>
        </w:rPr>
        <w:t>响应文件</w:t>
      </w:r>
      <w:r>
        <w:rPr>
          <w:rFonts w:hint="eastAsia" w:ascii="仿宋_GB2312" w:hAnsi="黑体" w:eastAsia="仿宋_GB2312"/>
          <w:color w:val="auto"/>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4"/>
        <w:ind w:firstLine="560" w:firstLineChars="200"/>
        <w:rPr>
          <w:rFonts w:hint="eastAsia" w:eastAsia="仿宋_GB2312"/>
          <w:color w:val="auto"/>
          <w:highlight w:val="none"/>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rPr>
          <w:rFonts w:hint="eastAsia" w:asciiTheme="minorEastAsia" w:hAnsiTheme="minorEastAsia" w:eastAsiaTheme="minorEastAsia"/>
          <w:color w:val="auto"/>
          <w:sz w:val="28"/>
          <w:szCs w:val="28"/>
          <w:highlight w:val="none"/>
        </w:rPr>
      </w:pPr>
      <w:bookmarkStart w:id="74" w:name="_Toc29833"/>
      <w:bookmarkStart w:id="75" w:name="_Toc88209958"/>
      <w:bookmarkStart w:id="76" w:name="_Toc87616395"/>
      <w:bookmarkStart w:id="77" w:name="_Toc22527"/>
      <w:r>
        <w:rPr>
          <w:rFonts w:hint="eastAsia" w:asciiTheme="minorEastAsia" w:hAnsiTheme="minorEastAsia" w:eastAsiaTheme="minorEastAsia"/>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2.法定代表人证明或授权委托书</w:t>
      </w:r>
      <w:bookmarkEnd w:id="74"/>
      <w:bookmarkEnd w:id="75"/>
      <w:bookmarkEnd w:id="76"/>
      <w:bookmarkEnd w:id="7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2"/>
        <w:keepNext w:val="0"/>
        <w:keepLines w:val="0"/>
        <w:pageBreakBefore w:val="0"/>
        <w:widowControl w:val="0"/>
        <w:kinsoku/>
        <w:wordWrap/>
        <w:overflowPunct/>
        <w:topLinePunct w:val="0"/>
        <w:bidi w:val="0"/>
        <w:adjustRightInd w:val="0"/>
        <w:snapToGrid w:val="0"/>
        <w:spacing w:after="0" w:line="600" w:lineRule="exact"/>
        <w:ind w:firstLine="600" w:firstLineChars="200"/>
        <w:jc w:val="both"/>
        <w:textAlignment w:val="auto"/>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单位性质：</w:t>
      </w:r>
      <w:r>
        <w:rPr>
          <w:rFonts w:hint="eastAsia" w:ascii="仿宋_GB2312" w:hAnsi="宋体" w:eastAsia="仿宋_GB2312" w:cs="Times New Roman"/>
          <w:color w:val="auto"/>
          <w:sz w:val="30"/>
          <w:szCs w:val="30"/>
          <w:highlight w:val="none"/>
          <w:u w:val="single"/>
        </w:rPr>
        <w:t xml:space="preserve">                            </w:t>
      </w:r>
    </w:p>
    <w:p>
      <w:pPr>
        <w:pStyle w:val="41"/>
        <w:keepNext w:val="0"/>
        <w:keepLines w:val="0"/>
        <w:pageBreakBefore w:val="0"/>
        <w:widowControl w:val="0"/>
        <w:kinsoku/>
        <w:wordWrap/>
        <w:overflowPunct/>
        <w:topLinePunct w:val="0"/>
        <w:bidi w:val="0"/>
        <w:adjustRightInd w:val="0"/>
        <w:snapToGrid w:val="0"/>
        <w:spacing w:after="0" w:line="600" w:lineRule="exact"/>
        <w:ind w:firstLine="600" w:firstLineChars="200"/>
        <w:textAlignment w:val="auto"/>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5"/>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keepNext w:val="0"/>
        <w:keepLines w:val="0"/>
        <w:pageBreakBefore w:val="0"/>
        <w:widowControl w:val="0"/>
        <w:kinsoku/>
        <w:wordWrap/>
        <w:overflowPunct/>
        <w:topLinePunct w:val="0"/>
        <w:bidi w:val="0"/>
        <w:adjustRightInd w:val="0"/>
        <w:snapToGrid w:val="0"/>
        <w:spacing w:line="600" w:lineRule="exact"/>
        <w:ind w:firstLine="600" w:firstLineChars="200"/>
        <w:textAlignment w:val="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5"/>
        <w:snapToGrid w:val="0"/>
        <w:spacing w:line="600" w:lineRule="exact"/>
        <w:ind w:firstLine="3907" w:firstLineChars="1221"/>
        <w:rPr>
          <w:rFonts w:ascii="仿宋_GB2312" w:hAnsi="宋体" w:eastAsia="仿宋_GB2312" w:cs="Times New Roman"/>
          <w:color w:val="auto"/>
          <w:sz w:val="32"/>
          <w:szCs w:val="32"/>
          <w:highlight w:val="none"/>
        </w:rPr>
      </w:pPr>
    </w:p>
    <w:p>
      <w:pPr>
        <w:pStyle w:val="15"/>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身份证复印件（</w:t>
            </w:r>
            <w:r>
              <w:rPr>
                <w:rFonts w:hint="eastAsia" w:ascii="仿宋_GB2312" w:hAnsi="仿宋_GB2312" w:eastAsia="仿宋_GB2312" w:cs="仿宋_GB2312"/>
                <w:color w:val="auto"/>
                <w:sz w:val="24"/>
                <w:szCs w:val="24"/>
                <w:highlight w:val="none"/>
                <w:lang w:val="en-US" w:eastAsia="zh-CN"/>
              </w:rPr>
              <w:t>人像</w:t>
            </w:r>
            <w:r>
              <w:rPr>
                <w:rFonts w:hint="eastAsia" w:ascii="仿宋_GB2312" w:hAnsi="仿宋_GB2312" w:eastAsia="仿宋_GB2312" w:cs="仿宋_GB2312"/>
                <w:color w:val="auto"/>
                <w:sz w:val="24"/>
                <w:szCs w:val="24"/>
                <w:highlight w:val="none"/>
              </w:rPr>
              <w:t>面）</w:t>
            </w:r>
          </w:p>
        </w:tc>
        <w:tc>
          <w:tcPr>
            <w:tcW w:w="4530" w:type="dxa"/>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_GB2312" w:cs="仿宋_GB2312"/>
                <w:color w:val="auto"/>
                <w:sz w:val="24"/>
                <w:szCs w:val="24"/>
                <w:highlight w:val="none"/>
              </w:rPr>
              <w:t>身份证复印件（</w:t>
            </w:r>
            <w:r>
              <w:rPr>
                <w:rFonts w:hint="eastAsia" w:ascii="仿宋_GB2312" w:hAnsi="仿宋_GB2312" w:eastAsia="仿宋_GB2312" w:cs="仿宋_GB2312"/>
                <w:color w:val="auto"/>
                <w:sz w:val="24"/>
                <w:szCs w:val="24"/>
                <w:highlight w:val="none"/>
                <w:lang w:val="en-US" w:eastAsia="zh-CN"/>
              </w:rPr>
              <w:t>国徽</w:t>
            </w:r>
            <w:r>
              <w:rPr>
                <w:rFonts w:hint="eastAsia" w:ascii="仿宋_GB2312" w:hAnsi="仿宋_GB2312" w:eastAsia="仿宋_GB2312" w:cs="仿宋_GB2312"/>
                <w:color w:val="auto"/>
                <w:sz w:val="24"/>
                <w:szCs w:val="24"/>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_GB2312"/>
          <w:color w:val="auto"/>
          <w:sz w:val="30"/>
          <w:szCs w:val="30"/>
          <w:highlight w:val="none"/>
          <w:lang w:eastAsia="zh-CN"/>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r>
        <w:rPr>
          <w:rFonts w:hint="eastAsia" w:ascii="仿宋_GB2312" w:hAnsi="宋体" w:eastAsia="仿宋_GB2312"/>
          <w:color w:val="auto"/>
          <w:sz w:val="30"/>
          <w:szCs w:val="30"/>
          <w:highlight w:val="none"/>
          <w:lang w:eastAsia="zh-CN"/>
        </w:rPr>
        <w:t>，</w:t>
      </w:r>
      <w:r>
        <w:rPr>
          <w:rFonts w:hint="eastAsia" w:ascii="仿宋_GB2312" w:hAnsi="宋体" w:eastAsia="仿宋_GB2312"/>
          <w:color w:val="auto"/>
          <w:sz w:val="30"/>
          <w:szCs w:val="30"/>
          <w:highlight w:val="none"/>
          <w:lang w:val="en-US" w:eastAsia="zh-CN"/>
        </w:rPr>
        <w:t>提供授权委托代理人身份证原件备查。</w:t>
      </w:r>
    </w:p>
    <w:p>
      <w:pPr>
        <w:pStyle w:val="40"/>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pPr>
        <w:pStyle w:val="40"/>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_GB2312"/>
          <w:color w:val="auto"/>
          <w:sz w:val="30"/>
          <w:szCs w:val="30"/>
          <w:highlight w:val="none"/>
          <w:lang w:val="en-US" w:eastAsia="zh-CN"/>
        </w:rPr>
      </w:pPr>
    </w:p>
    <w:p>
      <w:pPr>
        <w:pStyle w:val="15"/>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5"/>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5"/>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u w:val="single"/>
          <w:lang w:val="en-US" w:eastAsia="zh-CN"/>
        </w:rPr>
        <w:t xml:space="preserve">  </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4"/>
        <w:ind w:left="0" w:leftChars="0" w:firstLine="0" w:firstLineChars="0"/>
        <w:rPr>
          <w:rFonts w:hint="eastAsia" w:ascii="仿宋_GB2312" w:hAnsi="宋体" w:eastAsia="仿宋_GB2312"/>
          <w:color w:val="auto"/>
          <w:sz w:val="30"/>
          <w:szCs w:val="30"/>
          <w:highlight w:val="none"/>
        </w:rPr>
      </w:pPr>
    </w:p>
    <w:p>
      <w:pPr>
        <w:pStyle w:val="24"/>
        <w:ind w:left="0" w:leftChars="0" w:firstLine="0" w:firstLineChars="0"/>
        <w:rPr>
          <w:rFonts w:hint="eastAsia" w:ascii="仿宋_GB2312" w:hAnsi="宋体" w:eastAsia="仿宋_GB2312"/>
          <w:color w:val="auto"/>
          <w:sz w:val="30"/>
          <w:szCs w:val="30"/>
          <w:highlight w:val="none"/>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_GB2312" w:cs="仿宋_GB2312"/>
                <w:color w:val="auto"/>
                <w:sz w:val="28"/>
                <w:szCs w:val="28"/>
                <w:highlight w:val="none"/>
              </w:rPr>
              <w:t>身份证复印件（</w:t>
            </w:r>
            <w:r>
              <w:rPr>
                <w:rFonts w:hint="eastAsia" w:ascii="仿宋_GB2312" w:hAnsi="仿宋_GB2312" w:eastAsia="仿宋_GB2312" w:cs="仿宋_GB2312"/>
                <w:color w:val="auto"/>
                <w:sz w:val="28"/>
                <w:szCs w:val="28"/>
                <w:highlight w:val="none"/>
                <w:lang w:val="en-US" w:eastAsia="zh-CN"/>
              </w:rPr>
              <w:t>人像</w:t>
            </w:r>
            <w:r>
              <w:rPr>
                <w:rFonts w:hint="eastAsia" w:ascii="仿宋_GB2312" w:hAnsi="仿宋_GB2312" w:eastAsia="仿宋_GB2312" w:cs="仿宋_GB2312"/>
                <w:color w:val="auto"/>
                <w:sz w:val="28"/>
                <w:szCs w:val="28"/>
                <w:highlight w:val="none"/>
              </w:rPr>
              <w:t>面）</w:t>
            </w:r>
          </w:p>
        </w:tc>
        <w:tc>
          <w:tcPr>
            <w:tcW w:w="4530" w:type="dxa"/>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_GB2312" w:cs="仿宋_GB2312"/>
                <w:color w:val="auto"/>
                <w:sz w:val="28"/>
                <w:szCs w:val="28"/>
                <w:highlight w:val="none"/>
              </w:rPr>
              <w:t>身份证复印件（</w:t>
            </w:r>
            <w:r>
              <w:rPr>
                <w:rFonts w:hint="eastAsia" w:ascii="仿宋_GB2312" w:hAnsi="仿宋_GB2312" w:eastAsia="仿宋_GB2312" w:cs="仿宋_GB2312"/>
                <w:color w:val="auto"/>
                <w:sz w:val="28"/>
                <w:szCs w:val="28"/>
                <w:highlight w:val="none"/>
                <w:lang w:val="en-US" w:eastAsia="zh-CN"/>
              </w:rPr>
              <w:t>国徽</w:t>
            </w:r>
            <w:r>
              <w:rPr>
                <w:rFonts w:hint="eastAsia" w:ascii="仿宋_GB2312" w:hAnsi="仿宋_GB2312" w:eastAsia="仿宋_GB2312" w:cs="仿宋_GB2312"/>
                <w:color w:val="auto"/>
                <w:sz w:val="28"/>
                <w:szCs w:val="28"/>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pStyle w:val="6"/>
        <w:spacing w:after="0" w:line="600" w:lineRule="exact"/>
        <w:ind w:left="0" w:leftChars="0" w:firstLine="0" w:firstLineChars="0"/>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_GB2312" w:cs="仿宋_GB2312"/>
                <w:color w:val="auto"/>
                <w:sz w:val="28"/>
                <w:szCs w:val="28"/>
                <w:highlight w:val="none"/>
                <w:lang w:eastAsia="zh-CN"/>
              </w:rPr>
              <w:t>授权代理人在本单位近三个月社保记录，（以加盖社会保险基金管理中心印章的《缴费历史明细表》或《社会保险参保人员证明》为准，</w:t>
            </w:r>
            <w:r>
              <w:rPr>
                <w:rFonts w:hint="eastAsia" w:ascii="仿宋_GB2312" w:hAnsi="仿宋_GB2312" w:eastAsia="仿宋_GB2312" w:cs="仿宋_GB2312"/>
                <w:color w:val="auto"/>
                <w:sz w:val="28"/>
                <w:szCs w:val="28"/>
                <w:highlight w:val="none"/>
                <w:lang w:val="en-US" w:eastAsia="zh-CN"/>
              </w:rPr>
              <w:t>加盖单位公章。</w:t>
            </w:r>
          </w:p>
        </w:tc>
      </w:tr>
    </w:tbl>
    <w:p>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78" w:name="_Toc8086"/>
      <w:bookmarkStart w:id="79" w:name="_Toc88209963"/>
      <w:bookmarkStart w:id="80" w:name="_Toc87616400"/>
      <w:bookmarkStart w:id="81" w:name="_Toc19830"/>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bookmarkEnd w:id="78"/>
      <w:bookmarkEnd w:id="79"/>
      <w:bookmarkEnd w:id="80"/>
      <w:bookmarkEnd w:id="8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bookmarkStart w:id="82" w:name="_Hlk59025866"/>
      <w:r>
        <w:rPr>
          <w:rFonts w:hint="eastAsia" w:ascii="宋体" w:hAnsi="宋体" w:eastAsia="宋体" w:cs="宋体"/>
          <w:color w:val="auto"/>
          <w:kern w:val="2"/>
          <w:sz w:val="24"/>
          <w:szCs w:val="24"/>
          <w:highlight w:val="none"/>
          <w:lang w:val="en-GB"/>
        </w:rPr>
        <w:t>供应商名称（加盖公章）：</w:t>
      </w:r>
    </w:p>
    <w:p>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82"/>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石井分公司2024年厂区门禁道闸升级改造项目 </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4"/>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4"/>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供应商名称（加盖公章）：</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pPr>
              <w:jc w:val="center"/>
              <w:rPr>
                <w:rFonts w:ascii="仿宋" w:hAnsi="仿宋" w:eastAsia="仿宋" w:cs="仿宋_GB2312"/>
                <w:b/>
                <w:color w:val="auto"/>
                <w:sz w:val="28"/>
                <w:szCs w:val="28"/>
                <w:highlight w:val="none"/>
              </w:rPr>
            </w:pPr>
          </w:p>
        </w:tc>
        <w:tc>
          <w:tcPr>
            <w:tcW w:w="161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4"/>
        <w:rPr>
          <w:rFonts w:hint="default" w:ascii="仿宋_GB2312" w:eastAsia="仿宋_GB2312" w:hAnsiTheme="minorEastAsia"/>
          <w:color w:val="auto"/>
          <w:sz w:val="28"/>
          <w:szCs w:val="28"/>
          <w:highlight w:val="none"/>
          <w:lang w:val="en-US" w:eastAsia="zh-CN"/>
        </w:rPr>
      </w:pPr>
    </w:p>
    <w:p>
      <w:pPr>
        <w:pStyle w:val="24"/>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rPr>
          <w:rFonts w:hint="default" w:ascii="仿宋_GB2312" w:eastAsia="仿宋_GB2312" w:hAnsiTheme="minorEastAsia"/>
          <w:color w:val="auto"/>
          <w:sz w:val="28"/>
          <w:szCs w:val="28"/>
          <w:highlight w:val="none"/>
          <w:lang w:val="en-US" w:eastAsia="zh-CN"/>
        </w:rPr>
      </w:pPr>
      <w:r>
        <w:rPr>
          <w:rFonts w:hint="default" w:ascii="仿宋_GB2312" w:eastAsia="仿宋_GB2312" w:hAnsiTheme="minorEastAsia"/>
          <w:color w:val="auto"/>
          <w:sz w:val="28"/>
          <w:szCs w:val="28"/>
          <w:highlight w:val="none"/>
          <w:lang w:val="en-US" w:eastAsia="zh-CN"/>
        </w:rPr>
        <w:br w:type="page"/>
      </w:r>
    </w:p>
    <w:p>
      <w:pPr>
        <w:pStyle w:val="24"/>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t>（如有）</w:t>
      </w:r>
    </w:p>
    <w:tbl>
      <w:tblPr>
        <w:tblStyle w:val="25"/>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bookmarkStart w:id="83" w:name="_Toc19423"/>
            <w:bookmarkStart w:id="84" w:name="_Toc32430"/>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5.报价表</w:t>
      </w:r>
      <w:bookmarkEnd w:id="83"/>
      <w:bookmarkEnd w:id="84"/>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1"/>
        <w:gridCol w:w="24"/>
        <w:gridCol w:w="300"/>
        <w:gridCol w:w="1200"/>
        <w:gridCol w:w="30"/>
        <w:gridCol w:w="1254"/>
        <w:gridCol w:w="81"/>
        <w:gridCol w:w="2156"/>
        <w:gridCol w:w="49"/>
        <w:gridCol w:w="75"/>
        <w:gridCol w:w="81"/>
        <w:gridCol w:w="129"/>
        <w:gridCol w:w="351"/>
        <w:gridCol w:w="129"/>
        <w:gridCol w:w="956"/>
        <w:gridCol w:w="100"/>
        <w:gridCol w:w="69"/>
        <w:gridCol w:w="105"/>
        <w:gridCol w:w="525"/>
        <w:gridCol w:w="217"/>
        <w:gridCol w:w="128"/>
        <w:gridCol w:w="870"/>
        <w:gridCol w:w="18"/>
        <w:gridCol w:w="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2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155"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77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520"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965" w:type="dxa"/>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车牌识别设备（进出口识别）</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智能道闸（拦车道闸）</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车辆识别管理系统材料</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15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77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52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925"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投标报价合计=1+2+3+5</w:t>
            </w:r>
          </w:p>
        </w:tc>
        <w:tc>
          <w:tcPr>
            <w:tcW w:w="2520" w:type="dxa"/>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965" w:type="dxa"/>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410" w:type="dxa"/>
            <w:gridSpan w:val="2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10"/>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815" w:type="dxa"/>
            <w:gridSpan w:val="7"/>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595"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2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855"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车牌识别设备（进出口识别）</w:t>
            </w:r>
          </w:p>
        </w:tc>
        <w:tc>
          <w:tcPr>
            <w:tcW w:w="249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3" w:hRule="atLeast"/>
          <w:jc w:val="center"/>
        </w:trPr>
        <w:tc>
          <w:tcPr>
            <w:tcW w:w="85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3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030507005001</w:t>
            </w:r>
          </w:p>
        </w:tc>
        <w:tc>
          <w:tcPr>
            <w:tcW w:w="133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9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1.名称:高清识别一体机（车牌专用）2.规格:2.3MM 加厚冷轧板摄像机立柱(含万向节)、12 颗大功率 LED 灯补光灯(车牌专用)、一体车牌显示屏4 行 16 字彩色、车牌识别核心主板八层进口主板元器件、12V2A高品质工业电源、漏电保护3.特点:1、300 万高清像素，6 米以内道宽均可识别;自动对焦让现场的安装调试更方便快捷;2、无人值守，支持月卡固定车、、新能源、港澳车、临时车进出场;3、微信/支付宝/银联/二维码支付;4、无感支付，绑定银行卡，进出场无需扫码;5、车辆信息财务报表一目了然;6、进出场优惠券设置，酒店/餐馆常用功能。7、固定用户/临时用户均可脱机收费;全系列车牌均可识别，极致优化的嵌入式车牌识别算法:综合识别率高于99.8%;8、采用国际顶尖半导体 T最高性能多核平台,性能可靠稳定4.完成本清单项目所需的一切相关工作</w:t>
            </w:r>
          </w:p>
        </w:tc>
        <w:tc>
          <w:tcPr>
            <w:tcW w:w="4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7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21"/>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2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10"/>
            <w:tcBorders>
              <w:top w:val="nil"/>
              <w:left w:val="nil"/>
              <w:bottom w:val="nil"/>
              <w:right w:val="nil"/>
            </w:tcBorders>
            <w:shd w:val="clear" w:color="FFFFFF" w:fill="FFFFFF"/>
            <w:vAlign w:val="top"/>
          </w:tcPr>
          <w:p>
            <w:pPr>
              <w:rPr>
                <w:rFonts w:hint="eastAsia"/>
                <w:color w:val="auto"/>
                <w:highlight w:val="none"/>
              </w:rPr>
            </w:pPr>
          </w:p>
        </w:tc>
        <w:tc>
          <w:tcPr>
            <w:tcW w:w="1815" w:type="dxa"/>
            <w:gridSpan w:val="7"/>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7"/>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2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87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770"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764" w:type="dxa"/>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24"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28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42"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18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664"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3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4"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2"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gridSpan w:val="4"/>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016"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3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2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84"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42"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8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16" w:type="dxa"/>
            <w:gridSpan w:val="4"/>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6"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jc w:val="center"/>
        </w:trPr>
        <w:tc>
          <w:tcPr>
            <w:tcW w:w="8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52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030507005005</w:t>
            </w:r>
          </w:p>
        </w:tc>
        <w:tc>
          <w:tcPr>
            <w:tcW w:w="12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4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1.名称:伸缩杆4.8m2.规格:八层进口元器件主板、150W 纯铜电机、1.2mm 冷轧板3.特点:单杆长4500mm，单出单入，定制广告格，电源220V，电机24V/150W 直流变频，齿轮机芯;含机箱约 4020mm，页片90*750mm，机箱尺寸1240*460*330，灯箱尺寸 350*10004.附件:无线遥控器、手动遥控器、车辆管理控制器5.完成本清单项目所需的一切相关工作</w:t>
            </w:r>
          </w:p>
        </w:tc>
        <w:tc>
          <w:tcPr>
            <w:tcW w:w="4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1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1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jc w:val="center"/>
        </w:trPr>
        <w:tc>
          <w:tcPr>
            <w:tcW w:w="8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2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030507005002</w:t>
            </w:r>
          </w:p>
        </w:tc>
        <w:tc>
          <w:tcPr>
            <w:tcW w:w="128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42"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1.名称:伸缩杆4.5m2.规格:八层进口元器件主板、150W 纯铜电机、1.2mm 冷轧板3.特点:单杆长4500mm,9米对开,定制广告格栅,电源220V,电机24V/150W直流变频，齿轮机芯;含机箱约4020mm，页片90*750mm，机箱尺寸1240*460*330，灯箱尺寸 350*10004.附件:无线遥控器、手动遥控器、车辆管理控制器5.完成本清单项目所需的一切相关工作</w:t>
            </w:r>
          </w:p>
        </w:tc>
        <w:tc>
          <w:tcPr>
            <w:tcW w:w="4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18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1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16"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662" w:type="dxa"/>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016"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3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410" w:type="dxa"/>
            <w:gridSpan w:val="2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5876" w:type="dxa"/>
            <w:gridSpan w:val="8"/>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770" w:type="dxa"/>
            <w:gridSpan w:val="7"/>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764" w:type="dxa"/>
            <w:gridSpan w:val="9"/>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3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1.名称:伸缩杆4.3m2.规格:八层进口元器件主板、150W 纯铜电机、1.2mm 冷轧板3.特点:单杆长 4300mm，8.6米对开，定制广告格栅，电源 220V，电机24V/150W 直流变频，齿轮机芯;含机箱约4020mm，页片90*750mm，机箱尺寸1240*460*330，灯箱尺寸 350*10004.附件:无线遥控器、手动遥控器、车辆管理控制器5.完成本清单项目所需的一切相关工作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030507005004</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1.名称:伸缩杆3.5m2.规格:八层进口元器件主板、150W 纯铜电机、1.2mm 冷轧板3.特点:单杆长 3500mm,7米对开,定制广告格栅,电源220V,电机24V/150W直流变频，齿轮机芯;含机箱约 4020mm，页片90*750mm，机箱尺寸1240*460*330，灯箱尺寸 350*10004.附件:无线遥控器、手动遥控器、车辆管理控制器5.完成本清单项目所需的一切相关工作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停车场管理设备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1.名称:人脸识别人行道闸（双向通行）2.类别:高度 1.5米，掩门开启，直流有刷电机，防尾随，防闯入，双重防夹，国标 304不锈钢外箱厚度1.53.规格:标准5对红外4.完成本清单项目所需的一切相关工作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4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030507008001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监控摄像设备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1.名称:监控摄像头2.类别:400万像素星光日夜全彩，H.265编码。双柔光灯补光3.完成本清单项目所需的一切相关工作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030507017001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安全防范分系统调试</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1.名称:停车场管理系统调试2.完成本清单项目所需的一切相关工作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系统</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030506008001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视频系统调试</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1.名称:安全防范分系统调试 电视监控系统 摄像机(台)2.完成本清单项目所需的一切相关工作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030507005006</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出入口目标识别设备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1.名称:拆除出入口控制设备和栏杆2.2杆/套3.完成本清单项目所需的一切相关工作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智能道闸（拦车道闸）</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030410001001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监控立杆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1.名称:监控组合立杆2.规格:2000mm*800mm3.类型:500mm*500mmC30水泥墩，立杆尺寸高度2米，宽度 0.8米，带枪机横臂、避雷针4.完成本清单项目所需的一切相关工作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030507016002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停车场管理设备</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1.名称:车辆检测器2.规格:防砸车,控制道闸落杆。每一台道闸配用一个3.完成本清单项目所需的一切相关工作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1528"/>
        <w:gridCol w:w="1324"/>
        <w:gridCol w:w="2329"/>
        <w:gridCol w:w="210"/>
        <w:gridCol w:w="480"/>
        <w:gridCol w:w="1114"/>
        <w:gridCol w:w="104"/>
        <w:gridCol w:w="863"/>
        <w:gridCol w:w="863"/>
        <w:gridCol w:w="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5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030504001001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服务器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1.名称:中控室管理工作站2.规格:CPU Intel酷睿i5 主频3.2GHz 睿频3.6GHz主板 Intel芯片H系列品质主板 显卡 Intel HD Graphics内存 DDR3-2400-16G硬盘  512G固态硬盘 机箱 爱国者  电源 爱国者3.完成本清单项目所需的一切相关工作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030504001002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服务器</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1.名称:门卫室管理工作站2.规格:CPU Intel酷睿i5 主频3.2GHz 睿频3.6GHz主板 Intel芯片H系列品质主板 显卡 Intel HD Graphics内存 DDR3-2400-16G硬盘  512G固态硬盘 机箱 爱国者  电源 爱国者3.完成本清单项目所需的一切相关工作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交换机</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1.名称:交换机2.规格:8口(2光口)IP65  不锈钢立柱式3.完成本清单项目所需的一切相关工作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030501012002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减速带</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1.名称:减速带2.规格:1000mm*350mm*50mm黑黄双间高密度橡塑承重60吨3.完成本清单项目所需的一切相关工作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030502001001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机柜、机架</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1.名称:电柜2.材质:不锈钢方箱3.规格:1000mm*600mm*600mm4.完成本清单项目所需的一切相关工作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6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030501017001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软件</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1.名称:车辆识别管理系统软件2.类别:出入口控制及车辆管理平台集成设计3.完成本清单项目所需的一切相关工作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车辆识别管理系统材料</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030411004001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配线</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1.名称:配线2.配线形式:综合考虑3.规格:ZR-RVV(3x2.5)4.完成本清单项目所需的一切相关工作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030411004002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配线</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1.名称:配线2.配线形式:综合考虑3.规格:ZR-RVSP(6x1.5)4.完成本清单项目所需的一切相关工作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030411004003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配线</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1.名称:配线2.配线形式:综合考虑3.规格:ZR-RVV(3x4)4.完成本清单项目所需的一切相关工作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030502005001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双绞线缆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1.名称:服务器控制光缆2.线缆对数:16芯3.敷设方式:综合考虑4.完成本清单项目所需的一切相关工作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1320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030502005002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双绞线缆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1.名称:网线2.规格:超6类无氧铜3.敷设方式:综合考虑4.完成本清单项目所需的一切相关工作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030502005003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双绞线缆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1.名称:通讯光缆2.线缆对数:12芯3.敷设方式:综合考虑4.完成本清单项目所需的一切相关工作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2680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7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030411001001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配管</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1.名称:塑料管2.材质:PE3.规格:DN32mm*3.04.配置形式:综合考虑5.完成本清单项目所需的一切相关工作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2680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040309001001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金属栏杆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厂区围栏2.类型:1.8米高三横梁、热镀锌钢护栏网3.规格:围栏柱间距为3000mm,间隙120mm,离地30mm,立柱规格为50mm*50mm，厚度1.3mm，横梁规格为40mm*40mm，厚度为0.8mm，竖杆规格为19mm*19mm，厚度为0.6mm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040204002001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人行道块料铺设</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1.人行道破除及修复2.块料品种、规格:红砖3.完成本清单项目所需的一切相关工作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90</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030410001002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立杆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1.名称:防撞立杆2.规格:700*150mm3.完成本清单项目所需的一切相关工作4.现浇基础类型、钢筋类型、规格，基础垫层要求:300*300mmC30混凝土</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030410001003</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广告标识</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1.名称:广告标识2.规格:400mm*400mm*1800mm采用304不锈钢3.完成本清单项目所需的一切相关工作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040101002001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挖沟槽土方</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1.名称:人工挖沟槽土方2.土壤类别:综合考虑3.挖土深度:2m 内4.完成本清单项目所需的一切相关工作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126.36</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30"/>
        <w:gridCol w:w="1335"/>
        <w:gridCol w:w="2280"/>
        <w:gridCol w:w="210"/>
        <w:gridCol w:w="480"/>
        <w:gridCol w:w="1125"/>
        <w:gridCol w:w="105"/>
        <w:gridCol w:w="870"/>
        <w:gridCol w:w="87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8 页  共 8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3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49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48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23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490"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55"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9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8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040103001001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回填方</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1.填方材料品种:原土2.完成本清单项目所需的一切相关工作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123.85</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040103002001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1.废弃料品种:人工装土方自卸汽车运2.运距:10km3.完成本清单项目所需的一切相关工作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040103002002</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余方弃置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1.废弃料品种:人工装石方自卸汽车运2.运距:10km3.完成本清单项目所需的一切相关工作</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m3</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041102002001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基础模板</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基础模板</w:t>
            </w: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790"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8790"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87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1041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6000"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2595" w:type="dxa"/>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1872"/>
        <w:gridCol w:w="1423"/>
        <w:gridCol w:w="749"/>
        <w:gridCol w:w="60"/>
        <w:gridCol w:w="1323"/>
        <w:gridCol w:w="700"/>
        <w:gridCol w:w="237"/>
        <w:gridCol w:w="940"/>
        <w:gridCol w:w="11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1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5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p>
        </w:tc>
        <w:tc>
          <w:tcPr>
            <w:tcW w:w="13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调整后金额(元)</w:t>
            </w:r>
          </w:p>
        </w:tc>
        <w:tc>
          <w:tcPr>
            <w:tcW w:w="11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35.77</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70"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18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c>
          <w:tcPr>
            <w:tcW w:w="231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1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310"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1871"/>
        <w:gridCol w:w="1427"/>
        <w:gridCol w:w="747"/>
        <w:gridCol w:w="60"/>
        <w:gridCol w:w="1326"/>
        <w:gridCol w:w="701"/>
        <w:gridCol w:w="238"/>
        <w:gridCol w:w="941"/>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041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310"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5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8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1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p>
        </w:tc>
        <w:tc>
          <w:tcPr>
            <w:tcW w:w="13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4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调整费率(%)</w:t>
            </w:r>
          </w:p>
        </w:tc>
        <w:tc>
          <w:tcPr>
            <w:tcW w:w="9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调整后金额(元)</w:t>
            </w:r>
          </w:p>
        </w:tc>
        <w:tc>
          <w:tcPr>
            <w:tcW w:w="11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5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1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3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60"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3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1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00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编制人（造价人员）：</w:t>
            </w:r>
          </w:p>
        </w:tc>
        <w:tc>
          <w:tcPr>
            <w:tcW w:w="2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c>
          <w:tcPr>
            <w:tcW w:w="231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6000" w:type="dxa"/>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1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310"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5"/>
        <w:gridCol w:w="3990"/>
        <w:gridCol w:w="945"/>
        <w:gridCol w:w="945"/>
        <w:gridCol w:w="870"/>
        <w:gridCol w:w="825"/>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jc w:val="center"/>
        </w:trPr>
        <w:tc>
          <w:tcPr>
            <w:tcW w:w="106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99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69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77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9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8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7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65"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9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69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7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1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4470"/>
        <w:gridCol w:w="345"/>
        <w:gridCol w:w="885"/>
        <w:gridCol w:w="930"/>
        <w:gridCol w:w="870"/>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暂列金额明细表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8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47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23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80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暂定金额（元）</w:t>
            </w:r>
          </w:p>
        </w:tc>
        <w:tc>
          <w:tcPr>
            <w:tcW w:w="17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8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447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8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885"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0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0410" w:type="dxa"/>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注：此表由招标人填写，如不能详列，也可只列暂列金额总额，投标人应将上述暂列金额计入投标总价中。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815"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表—12—1</w:t>
            </w:r>
          </w:p>
        </w:tc>
      </w:tr>
    </w:tbl>
    <w:p>
      <w:pPr>
        <w:adjustRightInd w:val="0"/>
        <w:snapToGrid w:val="0"/>
        <w:spacing w:line="600" w:lineRule="exact"/>
        <w:jc w:val="center"/>
        <w:rPr>
          <w:rFonts w:hint="eastAsia" w:ascii="仿宋_GB2312" w:eastAsia="仿宋_GB2312" w:hAnsiTheme="minorEastAsia"/>
          <w:color w:val="auto"/>
          <w:sz w:val="28"/>
          <w:szCs w:val="28"/>
          <w:highlight w:val="none"/>
          <w:lang w:val="en-US" w:eastAsia="zh-CN"/>
        </w:rPr>
      </w:pPr>
    </w:p>
    <w:tbl>
      <w:tblPr>
        <w:tblStyle w:val="25"/>
        <w:tblW w:w="104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2415"/>
        <w:gridCol w:w="2670"/>
        <w:gridCol w:w="195"/>
        <w:gridCol w:w="1605"/>
        <w:gridCol w:w="15"/>
        <w:gridCol w:w="1005"/>
        <w:gridCol w:w="15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041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60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工程名称：石井分公司2024年厂区门禁道闸升级改造项目</w:t>
            </w:r>
          </w:p>
        </w:tc>
        <w:tc>
          <w:tcPr>
            <w:tcW w:w="1815"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2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p>
        </w:tc>
        <w:tc>
          <w:tcPr>
            <w:tcW w:w="15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9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4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8820"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59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 编制人（造价人员）：</w:t>
            </w:r>
          </w:p>
        </w:tc>
        <w:tc>
          <w:tcPr>
            <w:tcW w:w="441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000" w:type="dxa"/>
            <w:gridSpan w:val="3"/>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815" w:type="dxa"/>
            <w:gridSpan w:val="3"/>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59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表—13</w:t>
            </w:r>
          </w:p>
        </w:tc>
      </w:tr>
    </w:tbl>
    <w:p>
      <w:pPr>
        <w:keepNext w:val="0"/>
        <w:keepLines w:val="0"/>
        <w:pageBreakBefore w:val="0"/>
        <w:widowControl/>
        <w:kinsoku/>
        <w:wordWrap/>
        <w:overflowPunct/>
        <w:topLinePunct w:val="0"/>
        <w:autoSpaceDE/>
        <w:autoSpaceDN/>
        <w:bidi w:val="0"/>
        <w:adjustRightInd/>
        <w:snapToGrid/>
        <w:spacing w:line="240" w:lineRule="auto"/>
        <w:ind w:firstLine="0"/>
        <w:jc w:val="lef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br w:type="page"/>
      </w:r>
    </w:p>
    <w:p>
      <w:pPr>
        <w:rPr>
          <w:rFonts w:hint="eastAsia" w:ascii="黑体" w:hAnsi="黑体" w:eastAsia="黑体" w:cs="黑体"/>
          <w:b/>
          <w:bCs/>
          <w:color w:val="auto"/>
          <w:sz w:val="32"/>
          <w:szCs w:val="32"/>
          <w:highlight w:val="none"/>
          <w:lang w:val="en-US" w:eastAsia="zh-CN"/>
        </w:rPr>
      </w:pPr>
      <w:bookmarkStart w:id="85" w:name="_Toc6058"/>
      <w:bookmarkStart w:id="86" w:name="_Toc16386"/>
      <w:bookmarkStart w:id="87" w:name="_Toc87616402"/>
      <w:bookmarkStart w:id="88" w:name="_Toc88209965"/>
      <w:r>
        <w:rPr>
          <w:rFonts w:hint="eastAsia" w:ascii="黑体" w:hAnsi="黑体" w:eastAsia="黑体" w:cs="黑体"/>
          <w:b/>
          <w:bCs/>
          <w:color w:val="auto"/>
          <w:sz w:val="32"/>
          <w:szCs w:val="32"/>
          <w:highlight w:val="none"/>
          <w:lang w:val="en-US" w:eastAsia="zh-CN"/>
        </w:rPr>
        <w:t>6.其他资料</w:t>
      </w:r>
      <w:bookmarkEnd w:id="85"/>
      <w:bookmarkEnd w:id="86"/>
      <w:bookmarkEnd w:id="87"/>
      <w:bookmarkEnd w:id="88"/>
    </w:p>
    <w:p>
      <w:pPr>
        <w:spacing w:line="480" w:lineRule="auto"/>
        <w:jc w:val="left"/>
        <w:rPr>
          <w:rFonts w:hint="eastAsia" w:ascii="仿宋_GB2312" w:eastAsia="仿宋_GB2312"/>
          <w:b/>
          <w:sz w:val="28"/>
          <w:szCs w:val="28"/>
          <w:lang w:val="en-US" w:eastAsia="zh-CN"/>
        </w:rPr>
      </w:pPr>
      <w:r>
        <w:rPr>
          <w:rFonts w:hint="eastAsia" w:ascii="仿宋_GB2312" w:eastAsia="仿宋_GB2312"/>
          <w:b/>
          <w:sz w:val="28"/>
          <w:szCs w:val="28"/>
          <w:lang w:val="en-US" w:eastAsia="zh-CN"/>
        </w:rPr>
        <w:t>6.1现场踏勘委派书</w:t>
      </w:r>
    </w:p>
    <w:p>
      <w:pPr>
        <w:spacing w:line="480" w:lineRule="auto"/>
        <w:jc w:val="center"/>
        <w:rPr>
          <w:rFonts w:ascii="仿宋_GB2312" w:hAnsi="Times New Roman" w:eastAsia="仿宋_GB2312"/>
          <w:b/>
          <w:sz w:val="28"/>
          <w:szCs w:val="28"/>
        </w:rPr>
      </w:pPr>
      <w:r>
        <w:rPr>
          <w:rFonts w:hint="eastAsia" w:ascii="仿宋_GB2312" w:eastAsia="仿宋_GB2312"/>
          <w:b/>
          <w:sz w:val="28"/>
          <w:szCs w:val="28"/>
        </w:rPr>
        <w:t>现场踏勘委派书</w:t>
      </w:r>
    </w:p>
    <w:p>
      <w:pPr>
        <w:spacing w:line="360" w:lineRule="auto"/>
        <w:rPr>
          <w:rFonts w:ascii="宋体" w:hAnsi="宋体"/>
          <w:sz w:val="28"/>
          <w:szCs w:val="28"/>
        </w:rPr>
      </w:pPr>
      <w:r>
        <w:rPr>
          <w:rFonts w:hint="eastAsia" w:ascii="宋体" w:hAnsi="宋体"/>
          <w:sz w:val="28"/>
          <w:szCs w:val="28"/>
        </w:rPr>
        <w:t xml:space="preserve"> </w:t>
      </w:r>
    </w:p>
    <w:p>
      <w:pPr>
        <w:spacing w:line="360" w:lineRule="auto"/>
        <w:rPr>
          <w:rFonts w:ascii="仿宋_GB2312" w:hAnsi="Times New Roman" w:eastAsia="仿宋_GB2312"/>
          <w:sz w:val="28"/>
          <w:szCs w:val="28"/>
        </w:rPr>
      </w:pPr>
      <w:r>
        <w:rPr>
          <w:rFonts w:hint="eastAsia" w:ascii="仿宋_GB2312" w:eastAsia="仿宋_GB2312"/>
          <w:sz w:val="28"/>
          <w:szCs w:val="28"/>
        </w:rPr>
        <w:t>致：广州市净水有限公司</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我公司（单位）</w:t>
      </w:r>
      <w:r>
        <w:rPr>
          <w:rFonts w:hint="eastAsia" w:ascii="仿宋_GB2312" w:eastAsia="仿宋_GB2312"/>
          <w:sz w:val="28"/>
          <w:szCs w:val="28"/>
          <w:u w:val="single"/>
        </w:rPr>
        <w:t xml:space="preserve">      </w:t>
      </w:r>
      <w:r>
        <w:rPr>
          <w:rFonts w:hint="eastAsia" w:ascii="仿宋_GB2312" w:eastAsia="仿宋_GB2312"/>
          <w:i/>
          <w:sz w:val="28"/>
          <w:szCs w:val="28"/>
          <w:u w:val="single"/>
        </w:rPr>
        <w:t xml:space="preserve">（报价单位名称）     </w:t>
      </w:r>
      <w:r>
        <w:rPr>
          <w:rFonts w:hint="eastAsia" w:ascii="仿宋_GB2312" w:eastAsia="仿宋_GB2312"/>
          <w:sz w:val="28"/>
          <w:szCs w:val="28"/>
        </w:rPr>
        <w:t>现委派</w:t>
      </w:r>
      <w:r>
        <w:rPr>
          <w:rFonts w:hint="eastAsia" w:ascii="仿宋_GB2312" w:eastAsia="仿宋_GB2312"/>
          <w:sz w:val="28"/>
          <w:szCs w:val="28"/>
          <w:u w:val="single"/>
        </w:rPr>
        <w:t xml:space="preserve">    </w:t>
      </w:r>
      <w:r>
        <w:rPr>
          <w:rFonts w:hint="eastAsia" w:ascii="仿宋_GB2312" w:eastAsia="仿宋_GB2312"/>
          <w:i/>
          <w:sz w:val="28"/>
          <w:szCs w:val="28"/>
          <w:u w:val="single"/>
        </w:rPr>
        <w:t xml:space="preserve">（姓名、职务、身份证号）    </w:t>
      </w:r>
      <w:r>
        <w:rPr>
          <w:rFonts w:hint="eastAsia" w:ascii="仿宋_GB2312" w:eastAsia="仿宋_GB2312"/>
          <w:sz w:val="28"/>
          <w:szCs w:val="28"/>
        </w:rPr>
        <w:t>处理本项目</w:t>
      </w:r>
      <w:r>
        <w:rPr>
          <w:rFonts w:hint="eastAsia" w:ascii="仿宋_GB2312" w:eastAsia="仿宋_GB2312"/>
          <w:sz w:val="28"/>
          <w:szCs w:val="28"/>
          <w:u w:val="single"/>
        </w:rPr>
        <w:t>广州市净水有限公司石井分公司2024年厂区门禁道闸升级改造项目</w:t>
      </w:r>
      <w:r>
        <w:rPr>
          <w:rFonts w:hint="eastAsia" w:ascii="仿宋_GB2312" w:eastAsia="仿宋_GB2312"/>
          <w:sz w:val="28"/>
          <w:szCs w:val="28"/>
        </w:rPr>
        <w:t>，项目编号：</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rPr>
        <w:t xml:space="preserve"> </w:t>
      </w:r>
      <w:r>
        <w:rPr>
          <w:rFonts w:hint="eastAsia" w:ascii="仿宋_GB2312" w:eastAsia="仿宋_GB2312"/>
          <w:sz w:val="28"/>
          <w:szCs w:val="28"/>
        </w:rPr>
        <w:t>的现场踏勘事宜。</w:t>
      </w:r>
    </w:p>
    <w:p>
      <w:pPr>
        <w:spacing w:line="360" w:lineRule="auto"/>
        <w:ind w:firstLine="540"/>
        <w:rPr>
          <w:rFonts w:ascii="仿宋_GB2312" w:eastAsia="仿宋_GB2312"/>
          <w:sz w:val="28"/>
          <w:szCs w:val="28"/>
        </w:rPr>
      </w:pPr>
      <w:r>
        <w:rPr>
          <w:rFonts w:hint="eastAsia" w:ascii="仿宋_GB2312" w:eastAsia="仿宋_GB2312"/>
          <w:sz w:val="28"/>
          <w:szCs w:val="28"/>
        </w:rPr>
        <w:t>特此声明！</w:t>
      </w:r>
    </w:p>
    <w:p>
      <w:pPr>
        <w:adjustRightInd/>
        <w:snapToGrid/>
        <w:spacing w:line="360" w:lineRule="auto"/>
        <w:rPr>
          <w:rFonts w:ascii="仿宋_GB2312" w:eastAsia="仿宋_GB2312"/>
          <w:sz w:val="28"/>
          <w:szCs w:val="28"/>
        </w:rPr>
      </w:pPr>
    </w:p>
    <w:p>
      <w:pPr>
        <w:adjustRightInd/>
        <w:snapToGrid/>
        <w:spacing w:line="360" w:lineRule="auto"/>
        <w:rPr>
          <w:rFonts w:ascii="仿宋_GB2312" w:eastAsia="仿宋_GB2312"/>
          <w:sz w:val="28"/>
          <w:szCs w:val="28"/>
        </w:rPr>
      </w:pPr>
    </w:p>
    <w:p>
      <w:pPr>
        <w:adjustRightInd/>
        <w:snapToGrid/>
        <w:spacing w:line="360" w:lineRule="auto"/>
        <w:ind w:firstLine="560" w:firstLineChars="200"/>
        <w:rPr>
          <w:rFonts w:ascii="仿宋_GB2312" w:eastAsia="仿宋_GB2312"/>
          <w:sz w:val="28"/>
          <w:szCs w:val="28"/>
        </w:rPr>
      </w:pPr>
      <w:r>
        <w:rPr>
          <w:rFonts w:hint="eastAsia" w:ascii="仿宋_GB2312" w:eastAsia="仿宋_GB2312"/>
          <w:sz w:val="28"/>
          <w:szCs w:val="28"/>
        </w:rPr>
        <w:t>报价单位法定代表人（或法定代表人授权代表）签字：</w:t>
      </w:r>
      <w:r>
        <w:rPr>
          <w:rFonts w:hint="eastAsia" w:ascii="仿宋_GB2312" w:eastAsia="仿宋_GB2312"/>
          <w:sz w:val="28"/>
          <w:szCs w:val="28"/>
          <w:u w:val="single"/>
        </w:rPr>
        <w:t xml:space="preserve">           </w:t>
      </w:r>
    </w:p>
    <w:p>
      <w:pPr>
        <w:adjustRightInd/>
        <w:snapToGrid/>
        <w:spacing w:line="360" w:lineRule="auto"/>
        <w:ind w:firstLine="560" w:firstLineChars="200"/>
        <w:rPr>
          <w:rFonts w:ascii="仿宋_GB2312" w:eastAsia="仿宋_GB2312"/>
          <w:sz w:val="28"/>
          <w:szCs w:val="28"/>
          <w:u w:val="single"/>
        </w:rPr>
      </w:pPr>
      <w:r>
        <w:rPr>
          <w:rFonts w:hint="eastAsia" w:ascii="仿宋_GB2312" w:eastAsia="仿宋_GB2312"/>
          <w:sz w:val="28"/>
          <w:szCs w:val="28"/>
        </w:rPr>
        <w:t>报价单位名称（签章）：</w:t>
      </w:r>
      <w:r>
        <w:rPr>
          <w:rFonts w:hint="eastAsia" w:ascii="仿宋_GB2312" w:eastAsia="仿宋_GB2312"/>
          <w:sz w:val="28"/>
          <w:szCs w:val="28"/>
          <w:u w:val="single"/>
        </w:rPr>
        <w:t xml:space="preserve">                        </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日期：   年   月   日</w:t>
      </w:r>
    </w:p>
    <w:p>
      <w:pPr>
        <w:spacing w:line="360" w:lineRule="auto"/>
        <w:rPr>
          <w:rFonts w:ascii="仿宋_GB2312" w:eastAsia="仿宋_GB2312"/>
          <w:sz w:val="28"/>
          <w:szCs w:val="28"/>
        </w:rPr>
      </w:pPr>
    </w:p>
    <w:p>
      <w:pPr>
        <w:spacing w:line="360" w:lineRule="auto"/>
        <w:rPr>
          <w:rFonts w:ascii="仿宋_GB2312" w:eastAsia="仿宋_GB2312"/>
          <w:sz w:val="28"/>
          <w:szCs w:val="28"/>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6"/>
        <w:gridCol w:w="5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rPr>
                <w:rFonts w:ascii="仿宋_GB2312" w:eastAsia="仿宋_GB2312"/>
                <w:sz w:val="28"/>
                <w:szCs w:val="28"/>
              </w:rPr>
            </w:pPr>
            <w:r>
              <w:rPr>
                <w:rFonts w:hint="eastAsia" w:ascii="仿宋_GB2312" w:hAnsi="仿宋_GB2312" w:eastAsia="仿宋_GB2312" w:cs="仿宋_GB2312"/>
                <w:sz w:val="28"/>
                <w:szCs w:val="28"/>
                <w:lang w:val="en-US" w:eastAsia="zh-CN"/>
              </w:rPr>
              <w:t>石井</w:t>
            </w:r>
            <w:r>
              <w:rPr>
                <w:rFonts w:hint="eastAsia" w:ascii="仿宋_GB2312" w:hAnsi="仿宋_GB2312" w:eastAsia="仿宋_GB2312" w:cs="仿宋_GB2312"/>
                <w:sz w:val="28"/>
                <w:szCs w:val="28"/>
              </w:rPr>
              <w:t>分公司（盖章</w:t>
            </w:r>
            <w:r>
              <w:rPr>
                <w:rFonts w:hint="eastAsia" w:ascii="仿宋_GB2312"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Pr>
          <w:p>
            <w:pPr>
              <w:spacing w:line="360" w:lineRule="auto"/>
              <w:rPr>
                <w:rFonts w:ascii="仿宋_GB2312" w:eastAsia="仿宋_GB2312"/>
                <w:sz w:val="28"/>
                <w:szCs w:val="28"/>
              </w:rPr>
            </w:pPr>
            <w:r>
              <w:rPr>
                <w:rFonts w:hint="eastAsia" w:ascii="仿宋_GB2312" w:eastAsia="仿宋_GB2312"/>
                <w:sz w:val="28"/>
                <w:szCs w:val="28"/>
              </w:rPr>
              <w:t>经办人</w:t>
            </w:r>
          </w:p>
        </w:tc>
        <w:tc>
          <w:tcPr>
            <w:tcW w:w="5716" w:type="dxa"/>
          </w:tcPr>
          <w:p>
            <w:pPr>
              <w:spacing w:line="360" w:lineRule="auto"/>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6" w:type="dxa"/>
          </w:tcPr>
          <w:p>
            <w:pPr>
              <w:spacing w:line="360" w:lineRule="auto"/>
              <w:rPr>
                <w:rFonts w:ascii="仿宋_GB2312" w:eastAsia="仿宋_GB2312"/>
                <w:sz w:val="28"/>
                <w:szCs w:val="28"/>
              </w:rPr>
            </w:pPr>
            <w:r>
              <w:rPr>
                <w:rFonts w:hint="eastAsia" w:ascii="仿宋_GB2312" w:eastAsia="仿宋_GB2312"/>
                <w:sz w:val="28"/>
                <w:szCs w:val="28"/>
              </w:rPr>
              <w:t>联系方式</w:t>
            </w:r>
          </w:p>
        </w:tc>
        <w:tc>
          <w:tcPr>
            <w:tcW w:w="5716" w:type="dxa"/>
          </w:tcPr>
          <w:p>
            <w:pPr>
              <w:spacing w:line="360" w:lineRule="auto"/>
              <w:rPr>
                <w:rFonts w:ascii="仿宋_GB2312" w:eastAsia="仿宋_GB2312"/>
                <w:sz w:val="28"/>
                <w:szCs w:val="28"/>
              </w:rPr>
            </w:pPr>
          </w:p>
        </w:tc>
      </w:tr>
    </w:tbl>
    <w:p>
      <w:pPr>
        <w:adjustRightInd/>
        <w:snapToGrid/>
        <w:spacing w:line="240" w:lineRule="auto"/>
        <w:ind w:firstLine="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br w:type="page"/>
      </w:r>
    </w:p>
    <w:p>
      <w:pPr>
        <w:adjustRightInd/>
        <w:snapToGrid/>
        <w:spacing w:line="480" w:lineRule="auto"/>
        <w:ind w:firstLine="0"/>
        <w:jc w:val="left"/>
        <w:rPr>
          <w:rFonts w:hint="eastAsia" w:ascii="仿宋_GB2312" w:eastAsia="仿宋_GB2312" w:hAnsiTheme="minorAscii"/>
          <w:b/>
          <w:color w:val="auto"/>
          <w:sz w:val="28"/>
          <w:szCs w:val="28"/>
          <w:highlight w:val="none"/>
          <w:lang w:val="en-US" w:eastAsia="zh-CN"/>
        </w:rPr>
      </w:pPr>
      <w:r>
        <w:rPr>
          <w:rFonts w:hint="eastAsia" w:ascii="仿宋_GB2312" w:eastAsia="仿宋_GB2312" w:hAnsiTheme="minorAscii"/>
          <w:b/>
          <w:color w:val="auto"/>
          <w:sz w:val="28"/>
          <w:szCs w:val="28"/>
          <w:highlight w:val="none"/>
          <w:lang w:val="en-US" w:eastAsia="zh-CN"/>
        </w:rPr>
        <w:t>6.2其他资料</w:t>
      </w:r>
    </w:p>
    <w:p>
      <w:pPr>
        <w:adjustRightInd w:val="0"/>
        <w:snapToGrid w:val="0"/>
        <w:spacing w:line="600" w:lineRule="exact"/>
        <w:ind w:firstLine="570"/>
        <w:rPr>
          <w:color w:val="auto"/>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12" w:type="default"/>
      <w:pgSz w:w="11906" w:h="16838"/>
      <w:pgMar w:top="2098" w:right="1474"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7Qo4M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DtCjgyQEAAJkDAAAOAAAAAAAAAAEAIAAAAB4BAABkcnMvZTJvRG9j&#10;LnhtbFBLBQYAAAAABgAGAFkBAABZBQAAAAA=&#10;">
              <v:fill on="f" focussize="0,0"/>
              <v:stroke on="f"/>
              <v:imagedata o:title=""/>
              <o:lock v:ext="edit" aspectratio="f"/>
              <v:textbox inset="0mm,0mm,0mm,0mm" style="mso-fit-shape-to-text:t;">
                <w:txbxContent>
                  <w:p>
                    <w:pPr>
                      <w:pStyle w:val="19"/>
                    </w:pPr>
                  </w:p>
                  <w:p/>
                </w:txbxContent>
              </v:textbox>
            </v:shape>
          </w:pict>
        </mc:Fallback>
      </mc:AlternateConten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9"/>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UyEMkBAACZ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L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1TIQyQEAAJkDAAAOAAAAAAAAAAEAIAAAAB4BAABkcnMvZTJvRG9j&#10;LnhtbFBLBQYAAAAABgAGAFkBAABZBQAAAAA=&#10;">
              <v:fill on="f" focussize="0,0"/>
              <v:stroke on="f"/>
              <v:imagedata o:title=""/>
              <o:lock v:ext="edit" aspectratio="f"/>
              <v:textbox inset="0mm,0mm,0mm,0mm" style="mso-fit-shape-to-text:t;">
                <w:txbxContent>
                  <w:p>
                    <w:pPr>
                      <w:pStyle w:val="19"/>
                    </w:pPr>
                  </w:p>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epUsgBAACZ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8pcdziwM8/f5x//Tn//k7e&#10;Zn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XXqVLIAQAAmQMAAA4AAAAAAAAAAQAgAAAAHgEAAGRycy9lMm9Eb2Mu&#10;eG1sUEsFBgAAAAAGAAYAWQEAAFgFAAAAAA==&#10;">
              <v:fill on="f" focussize="0,0"/>
              <v:stroke on="f"/>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Pr>
    </w:pPr>
    <w:r>
      <w:fldChar w:fldCharType="begin"/>
    </w:r>
    <w:r>
      <w:rPr>
        <w:rStyle w:val="29"/>
      </w:rPr>
      <w:instrText xml:space="preserve">PAGE  </w:instrText>
    </w:r>
    <w:r>
      <w:fldChar w:fldCharType="separate"/>
    </w:r>
    <w:r>
      <w:rPr>
        <w:rStyle w:val="29"/>
      </w:rPr>
      <w:t>- 6 -</w:t>
    </w:r>
    <w:r>
      <w:fldChar w:fldCharType="end"/>
    </w:r>
  </w:p>
  <w:p>
    <w:pPr>
      <w:pStyle w:val="19"/>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w:t>
                    </w:r>
                    <w:r>
                      <w:fldChar w:fldCharType="end"/>
                    </w:r>
                  </w:p>
                </w:txbxContent>
              </v:textbox>
            </v:shape>
          </w:pict>
        </mc:Fallback>
      </mc:AlternateContent>
    </w:r>
  </w:p>
  <w:p>
    <w:pPr>
      <w:pStyle w:val="1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Pr>
    </w:pPr>
    <w:r>
      <w:fldChar w:fldCharType="begin"/>
    </w:r>
    <w:r>
      <w:rPr>
        <w:rStyle w:val="29"/>
      </w:rPr>
      <w:instrText xml:space="preserve">PAGE  </w:instrText>
    </w:r>
    <w:r>
      <w:fldChar w:fldCharType="end"/>
    </w:r>
  </w:p>
  <w:p>
    <w:pPr>
      <w:pStyle w:val="1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49</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p>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I8/8gBAACZ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A0ljlsc+Pnnj/OvP+ff38nb&#10;LE8foMas24B5aXjvB1ya2Q/ozKwHFW3+Ih+CcRT3dBFXDomI/Gi1XK0qDAmMzRfEZ/fPQ4T0QXpL&#10;stHQiNMrovLjJ0hj6pySqzl/o40pEzTuPwdiZg/LvY89ZisNu2EitPPtCfn0OPiGOtxzSsxHh7rm&#10;HZmNOBu72TiEqPddWaJcD8K7Q8ImSm+5wgg7FcaJFXbTduWV+Pdesu7/q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CPP/IAQAAmQMAAA4AAAAAAAAAAQAgAAAAHgEAAGRycy9lMm9Eb2Mu&#10;eG1sUEsFBgAAAAAGAAYAWQEAAFgFAAAAAA==&#10;">
              <v:fill on="f" focussize="0,0"/>
              <v:stroke on="f"/>
              <v:imagedata o:title=""/>
              <o:lock v:ext="edit" aspectratio="f"/>
              <v:textbox inset="0mm,0mm,0mm,0mm" style="mso-fit-shape-to-text:t;">
                <w:txbxContent>
                  <w:p>
                    <w:pPr>
                      <w:pStyle w:val="19"/>
                    </w:pPr>
                  </w:p>
                  <w:p/>
                </w:txbxContent>
              </v:textbox>
            </v:shape>
          </w:pict>
        </mc:Fallback>
      </mc:AlternateContent>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1491C3F6"/>
    <w:multiLevelType w:val="singleLevel"/>
    <w:tmpl w:val="1491C3F6"/>
    <w:lvl w:ilvl="0" w:tentative="0">
      <w:start w:val="2"/>
      <w:numFmt w:val="decimal"/>
      <w:suff w:val="nothing"/>
      <w:lvlText w:val="（%1）"/>
      <w:lvlJc w:val="left"/>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A90D308"/>
    <w:multiLevelType w:val="singleLevel"/>
    <w:tmpl w:val="5A90D308"/>
    <w:lvl w:ilvl="0" w:tentative="0">
      <w:start w:val="1"/>
      <w:numFmt w:val="decimal"/>
      <w:suff w:val="nothing"/>
      <w:lvlText w:val="（%1）"/>
      <w:lvlJc w:val="left"/>
    </w:lvl>
  </w:abstractNum>
  <w:abstractNum w:abstractNumId="4">
    <w:nsid w:val="5F34C186"/>
    <w:multiLevelType w:val="multilevel"/>
    <w:tmpl w:val="5F34C186"/>
    <w:lvl w:ilvl="0" w:tentative="0">
      <w:start w:val="1"/>
      <w:numFmt w:val="japaneseCounting"/>
      <w:lvlText w:val="%1、"/>
      <w:lvlJc w:val="left"/>
      <w:pPr>
        <w:ind w:left="136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5"/>
  </w:num>
  <w:num w:numId="3">
    <w:abstractNumId w:val="2"/>
  </w:num>
  <w:num w:numId="4">
    <w:abstractNumId w:val="4"/>
    <w:lvlOverride w:ilvl="0">
      <w:startOverride w:val="1"/>
    </w:lvlOverride>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NmFkZjVlYmQ2MmI1MjRiOWY3MDAyZDRlMjExMzgifQ=="/>
  </w:docVars>
  <w:rsids>
    <w:rsidRoot w:val="005D618A"/>
    <w:rsid w:val="003D60BA"/>
    <w:rsid w:val="00411689"/>
    <w:rsid w:val="005D618A"/>
    <w:rsid w:val="00911ECD"/>
    <w:rsid w:val="009E122F"/>
    <w:rsid w:val="00A042E0"/>
    <w:rsid w:val="00B26BB1"/>
    <w:rsid w:val="00B26E21"/>
    <w:rsid w:val="00B741D7"/>
    <w:rsid w:val="00CB3927"/>
    <w:rsid w:val="00D4533C"/>
    <w:rsid w:val="00F83B64"/>
    <w:rsid w:val="013E3461"/>
    <w:rsid w:val="01BB0F13"/>
    <w:rsid w:val="02090C75"/>
    <w:rsid w:val="02A23A3C"/>
    <w:rsid w:val="02FB196F"/>
    <w:rsid w:val="03346770"/>
    <w:rsid w:val="035D130A"/>
    <w:rsid w:val="039110A9"/>
    <w:rsid w:val="03AC246A"/>
    <w:rsid w:val="03AE6061"/>
    <w:rsid w:val="03B23056"/>
    <w:rsid w:val="03DA023E"/>
    <w:rsid w:val="03DC3EBA"/>
    <w:rsid w:val="03F9794D"/>
    <w:rsid w:val="046A2461"/>
    <w:rsid w:val="04F574FF"/>
    <w:rsid w:val="051C2970"/>
    <w:rsid w:val="060C3611"/>
    <w:rsid w:val="06C64829"/>
    <w:rsid w:val="070E7B6E"/>
    <w:rsid w:val="071D62B7"/>
    <w:rsid w:val="0758189A"/>
    <w:rsid w:val="077D16D2"/>
    <w:rsid w:val="082A69F3"/>
    <w:rsid w:val="08675FC8"/>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7E54E8"/>
    <w:rsid w:val="0D37662E"/>
    <w:rsid w:val="0D794204"/>
    <w:rsid w:val="0D9D13BC"/>
    <w:rsid w:val="0E2125D1"/>
    <w:rsid w:val="0E214211"/>
    <w:rsid w:val="0E5F2769"/>
    <w:rsid w:val="0ED8332F"/>
    <w:rsid w:val="0F4D75A3"/>
    <w:rsid w:val="0F5B2DCA"/>
    <w:rsid w:val="0F714D08"/>
    <w:rsid w:val="0FA20605"/>
    <w:rsid w:val="0FED051E"/>
    <w:rsid w:val="0FEE4C29"/>
    <w:rsid w:val="0FFD33F6"/>
    <w:rsid w:val="10031608"/>
    <w:rsid w:val="10046082"/>
    <w:rsid w:val="104974DD"/>
    <w:rsid w:val="10CF50A9"/>
    <w:rsid w:val="111703D2"/>
    <w:rsid w:val="112B101A"/>
    <w:rsid w:val="11877731"/>
    <w:rsid w:val="119B53FC"/>
    <w:rsid w:val="1215733B"/>
    <w:rsid w:val="12424CDC"/>
    <w:rsid w:val="129A2738"/>
    <w:rsid w:val="12B56BF1"/>
    <w:rsid w:val="12CB1A89"/>
    <w:rsid w:val="131840FB"/>
    <w:rsid w:val="13467417"/>
    <w:rsid w:val="136E76CF"/>
    <w:rsid w:val="1424395D"/>
    <w:rsid w:val="145F08C6"/>
    <w:rsid w:val="14E43F59"/>
    <w:rsid w:val="153A42D9"/>
    <w:rsid w:val="15776308"/>
    <w:rsid w:val="15973CBB"/>
    <w:rsid w:val="15BC6B3C"/>
    <w:rsid w:val="15EC2C59"/>
    <w:rsid w:val="16360A7B"/>
    <w:rsid w:val="164D40B0"/>
    <w:rsid w:val="1655392E"/>
    <w:rsid w:val="1694429A"/>
    <w:rsid w:val="17635326"/>
    <w:rsid w:val="178D4AD1"/>
    <w:rsid w:val="17B803EA"/>
    <w:rsid w:val="1815096B"/>
    <w:rsid w:val="18236EFD"/>
    <w:rsid w:val="18377249"/>
    <w:rsid w:val="185D743E"/>
    <w:rsid w:val="189D5B1F"/>
    <w:rsid w:val="18A34CD0"/>
    <w:rsid w:val="19A53EA8"/>
    <w:rsid w:val="19B64DBC"/>
    <w:rsid w:val="19EC6A4A"/>
    <w:rsid w:val="1A373ACF"/>
    <w:rsid w:val="1A7B10BA"/>
    <w:rsid w:val="1A895341"/>
    <w:rsid w:val="1B0D071F"/>
    <w:rsid w:val="1B4568CE"/>
    <w:rsid w:val="1B9015B7"/>
    <w:rsid w:val="1B950DA6"/>
    <w:rsid w:val="1BF54245"/>
    <w:rsid w:val="1C762AA7"/>
    <w:rsid w:val="1D0E6976"/>
    <w:rsid w:val="1D44153B"/>
    <w:rsid w:val="1D5A79EE"/>
    <w:rsid w:val="1E0E2CD0"/>
    <w:rsid w:val="1E164317"/>
    <w:rsid w:val="1E6E2769"/>
    <w:rsid w:val="1E831280"/>
    <w:rsid w:val="1EBC4704"/>
    <w:rsid w:val="1EE522C8"/>
    <w:rsid w:val="1F0B7BF4"/>
    <w:rsid w:val="1F172EB5"/>
    <w:rsid w:val="1F22070B"/>
    <w:rsid w:val="1F94592D"/>
    <w:rsid w:val="1FB860DE"/>
    <w:rsid w:val="1FC00BA8"/>
    <w:rsid w:val="203C5A02"/>
    <w:rsid w:val="206432D6"/>
    <w:rsid w:val="209D4C94"/>
    <w:rsid w:val="20B44FCD"/>
    <w:rsid w:val="20E84705"/>
    <w:rsid w:val="218400BA"/>
    <w:rsid w:val="21AB1E2F"/>
    <w:rsid w:val="21D40498"/>
    <w:rsid w:val="22493963"/>
    <w:rsid w:val="22767047"/>
    <w:rsid w:val="23A05588"/>
    <w:rsid w:val="23C9075F"/>
    <w:rsid w:val="240476A1"/>
    <w:rsid w:val="24E953B9"/>
    <w:rsid w:val="25431AEB"/>
    <w:rsid w:val="25B875EB"/>
    <w:rsid w:val="25BE3BFB"/>
    <w:rsid w:val="25BF43FD"/>
    <w:rsid w:val="25F86BCD"/>
    <w:rsid w:val="2605748B"/>
    <w:rsid w:val="260B2287"/>
    <w:rsid w:val="26396D26"/>
    <w:rsid w:val="264544A6"/>
    <w:rsid w:val="267702FB"/>
    <w:rsid w:val="269E416A"/>
    <w:rsid w:val="26C11C6B"/>
    <w:rsid w:val="271452BC"/>
    <w:rsid w:val="272100D3"/>
    <w:rsid w:val="272C72FC"/>
    <w:rsid w:val="275131CB"/>
    <w:rsid w:val="278F6521"/>
    <w:rsid w:val="27EB149D"/>
    <w:rsid w:val="27FD3E52"/>
    <w:rsid w:val="284130B3"/>
    <w:rsid w:val="28E11370"/>
    <w:rsid w:val="294A756A"/>
    <w:rsid w:val="29781BF8"/>
    <w:rsid w:val="297939E2"/>
    <w:rsid w:val="29C33ED0"/>
    <w:rsid w:val="29D5322D"/>
    <w:rsid w:val="2A025DD9"/>
    <w:rsid w:val="2A2619CB"/>
    <w:rsid w:val="2A7317D3"/>
    <w:rsid w:val="2A7C2231"/>
    <w:rsid w:val="2A920E4F"/>
    <w:rsid w:val="2AAC57B8"/>
    <w:rsid w:val="2ABB753D"/>
    <w:rsid w:val="2AFE6EC4"/>
    <w:rsid w:val="2B345DDC"/>
    <w:rsid w:val="2B7A49FA"/>
    <w:rsid w:val="2C5001C7"/>
    <w:rsid w:val="2C615D26"/>
    <w:rsid w:val="2CB679ED"/>
    <w:rsid w:val="2CB73169"/>
    <w:rsid w:val="2CCC5A21"/>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2EE3517"/>
    <w:rsid w:val="33133EB9"/>
    <w:rsid w:val="3391569E"/>
    <w:rsid w:val="341E3434"/>
    <w:rsid w:val="343A0F25"/>
    <w:rsid w:val="34BB4442"/>
    <w:rsid w:val="3584136B"/>
    <w:rsid w:val="35EE5A04"/>
    <w:rsid w:val="35FF5AA4"/>
    <w:rsid w:val="360B7EBA"/>
    <w:rsid w:val="36416867"/>
    <w:rsid w:val="367D5DD4"/>
    <w:rsid w:val="369C32FD"/>
    <w:rsid w:val="36F73926"/>
    <w:rsid w:val="37666E72"/>
    <w:rsid w:val="38081EA3"/>
    <w:rsid w:val="38167A04"/>
    <w:rsid w:val="381C3783"/>
    <w:rsid w:val="38231AD4"/>
    <w:rsid w:val="394B167A"/>
    <w:rsid w:val="39AD34EA"/>
    <w:rsid w:val="39DA2868"/>
    <w:rsid w:val="39DF6BF2"/>
    <w:rsid w:val="3A055F4B"/>
    <w:rsid w:val="3A4E4336"/>
    <w:rsid w:val="3A6007FE"/>
    <w:rsid w:val="3A802587"/>
    <w:rsid w:val="3A852164"/>
    <w:rsid w:val="3AF93D6C"/>
    <w:rsid w:val="3AFD06C8"/>
    <w:rsid w:val="3B477B26"/>
    <w:rsid w:val="3B7C2CE4"/>
    <w:rsid w:val="3BAF716B"/>
    <w:rsid w:val="3C0B5355"/>
    <w:rsid w:val="3C7E7F35"/>
    <w:rsid w:val="3CD4176B"/>
    <w:rsid w:val="3D1F44D9"/>
    <w:rsid w:val="3D5C38CD"/>
    <w:rsid w:val="3E5070F1"/>
    <w:rsid w:val="3E7569E0"/>
    <w:rsid w:val="3EC370CB"/>
    <w:rsid w:val="3F6C3589"/>
    <w:rsid w:val="3F850180"/>
    <w:rsid w:val="3F9004D6"/>
    <w:rsid w:val="3FB53538"/>
    <w:rsid w:val="3FEE7CFA"/>
    <w:rsid w:val="400E4D5E"/>
    <w:rsid w:val="40E1138C"/>
    <w:rsid w:val="413814BA"/>
    <w:rsid w:val="41872511"/>
    <w:rsid w:val="41DF1251"/>
    <w:rsid w:val="424236D9"/>
    <w:rsid w:val="42466655"/>
    <w:rsid w:val="42C82F57"/>
    <w:rsid w:val="435707E5"/>
    <w:rsid w:val="439927E1"/>
    <w:rsid w:val="43C76AF7"/>
    <w:rsid w:val="43D54C8A"/>
    <w:rsid w:val="43E97E4A"/>
    <w:rsid w:val="440D65DA"/>
    <w:rsid w:val="446828F0"/>
    <w:rsid w:val="44976EC5"/>
    <w:rsid w:val="45093E85"/>
    <w:rsid w:val="450B3BFA"/>
    <w:rsid w:val="45844431"/>
    <w:rsid w:val="45C13B4D"/>
    <w:rsid w:val="46054BCA"/>
    <w:rsid w:val="464C6AFC"/>
    <w:rsid w:val="468B0091"/>
    <w:rsid w:val="46A107C3"/>
    <w:rsid w:val="46B02D60"/>
    <w:rsid w:val="46B15CE2"/>
    <w:rsid w:val="46BE113D"/>
    <w:rsid w:val="46E44B13"/>
    <w:rsid w:val="4703508A"/>
    <w:rsid w:val="475023F8"/>
    <w:rsid w:val="479A1E7B"/>
    <w:rsid w:val="479D361E"/>
    <w:rsid w:val="47B74789"/>
    <w:rsid w:val="47C63EBF"/>
    <w:rsid w:val="47C87B80"/>
    <w:rsid w:val="48032A55"/>
    <w:rsid w:val="480F2B9D"/>
    <w:rsid w:val="48102176"/>
    <w:rsid w:val="48282920"/>
    <w:rsid w:val="483E1347"/>
    <w:rsid w:val="485321E0"/>
    <w:rsid w:val="48546AD3"/>
    <w:rsid w:val="48AE2615"/>
    <w:rsid w:val="48CA4868"/>
    <w:rsid w:val="48F005D3"/>
    <w:rsid w:val="49466522"/>
    <w:rsid w:val="49547ADD"/>
    <w:rsid w:val="49732351"/>
    <w:rsid w:val="498F4AF1"/>
    <w:rsid w:val="49903ED2"/>
    <w:rsid w:val="49C05787"/>
    <w:rsid w:val="49CF518D"/>
    <w:rsid w:val="49D56585"/>
    <w:rsid w:val="4A7F3979"/>
    <w:rsid w:val="4ADA1F63"/>
    <w:rsid w:val="4AE23D89"/>
    <w:rsid w:val="4B2038D0"/>
    <w:rsid w:val="4B296E7D"/>
    <w:rsid w:val="4B79394E"/>
    <w:rsid w:val="4B877F28"/>
    <w:rsid w:val="4BEE6584"/>
    <w:rsid w:val="4CD200BA"/>
    <w:rsid w:val="4D2044E7"/>
    <w:rsid w:val="4D916BA6"/>
    <w:rsid w:val="4DC44169"/>
    <w:rsid w:val="4DE24E21"/>
    <w:rsid w:val="4E1B19A3"/>
    <w:rsid w:val="4E48787F"/>
    <w:rsid w:val="4E8D5680"/>
    <w:rsid w:val="4EA25392"/>
    <w:rsid w:val="4EF0709E"/>
    <w:rsid w:val="4F0469A4"/>
    <w:rsid w:val="4FBF5D0D"/>
    <w:rsid w:val="500E56F4"/>
    <w:rsid w:val="50540C73"/>
    <w:rsid w:val="50752AF8"/>
    <w:rsid w:val="513C6A7B"/>
    <w:rsid w:val="517300C9"/>
    <w:rsid w:val="51B31D16"/>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6B36B6"/>
    <w:rsid w:val="59E63F07"/>
    <w:rsid w:val="59FC7994"/>
    <w:rsid w:val="5AE83A50"/>
    <w:rsid w:val="5B353193"/>
    <w:rsid w:val="5BAB2917"/>
    <w:rsid w:val="5BCE13C6"/>
    <w:rsid w:val="5BFC33FA"/>
    <w:rsid w:val="5C3107A4"/>
    <w:rsid w:val="5C337866"/>
    <w:rsid w:val="5C3B1B93"/>
    <w:rsid w:val="5C9220DF"/>
    <w:rsid w:val="5D4A15F3"/>
    <w:rsid w:val="5D69542A"/>
    <w:rsid w:val="5D783B72"/>
    <w:rsid w:val="5E0930EF"/>
    <w:rsid w:val="5E3D4D53"/>
    <w:rsid w:val="5E4717E6"/>
    <w:rsid w:val="5E55774C"/>
    <w:rsid w:val="5E8A70FF"/>
    <w:rsid w:val="60045F96"/>
    <w:rsid w:val="60104DDC"/>
    <w:rsid w:val="605C0804"/>
    <w:rsid w:val="60913E6F"/>
    <w:rsid w:val="60DD4A89"/>
    <w:rsid w:val="611F0045"/>
    <w:rsid w:val="61733C3E"/>
    <w:rsid w:val="6189617B"/>
    <w:rsid w:val="61B52BB6"/>
    <w:rsid w:val="61B749C2"/>
    <w:rsid w:val="62280D20"/>
    <w:rsid w:val="629C50CC"/>
    <w:rsid w:val="62B4786E"/>
    <w:rsid w:val="62CA2457"/>
    <w:rsid w:val="631303F2"/>
    <w:rsid w:val="638240A1"/>
    <w:rsid w:val="63833423"/>
    <w:rsid w:val="63A5257B"/>
    <w:rsid w:val="63BD3DCC"/>
    <w:rsid w:val="63C61741"/>
    <w:rsid w:val="64560967"/>
    <w:rsid w:val="656B1D10"/>
    <w:rsid w:val="65B841F9"/>
    <w:rsid w:val="66022B28"/>
    <w:rsid w:val="664A38E2"/>
    <w:rsid w:val="66581E87"/>
    <w:rsid w:val="666F1DE3"/>
    <w:rsid w:val="66766EBB"/>
    <w:rsid w:val="66FA11D5"/>
    <w:rsid w:val="674302C7"/>
    <w:rsid w:val="67CB09D8"/>
    <w:rsid w:val="67EE3B0F"/>
    <w:rsid w:val="680A5986"/>
    <w:rsid w:val="680D5F4B"/>
    <w:rsid w:val="68113F51"/>
    <w:rsid w:val="68B272C7"/>
    <w:rsid w:val="68E94770"/>
    <w:rsid w:val="68EC1CEF"/>
    <w:rsid w:val="68F949C9"/>
    <w:rsid w:val="695A4290"/>
    <w:rsid w:val="696F3649"/>
    <w:rsid w:val="699A190B"/>
    <w:rsid w:val="6A267606"/>
    <w:rsid w:val="6A3240F1"/>
    <w:rsid w:val="6A334932"/>
    <w:rsid w:val="6A3353FF"/>
    <w:rsid w:val="6A346E5A"/>
    <w:rsid w:val="6A5D63E6"/>
    <w:rsid w:val="6A5F24D1"/>
    <w:rsid w:val="6ACA70C4"/>
    <w:rsid w:val="6AE347EB"/>
    <w:rsid w:val="6B330365"/>
    <w:rsid w:val="6B434AF0"/>
    <w:rsid w:val="6B57675A"/>
    <w:rsid w:val="6B87098A"/>
    <w:rsid w:val="6BDD7B4D"/>
    <w:rsid w:val="6D52013C"/>
    <w:rsid w:val="6DEB089C"/>
    <w:rsid w:val="6EBC0B3A"/>
    <w:rsid w:val="6EED597D"/>
    <w:rsid w:val="6EF51C7D"/>
    <w:rsid w:val="6F8363E5"/>
    <w:rsid w:val="6F841DCF"/>
    <w:rsid w:val="6FA80CCD"/>
    <w:rsid w:val="6FAC3CC5"/>
    <w:rsid w:val="6FC746F5"/>
    <w:rsid w:val="6FE33EF5"/>
    <w:rsid w:val="70317AC6"/>
    <w:rsid w:val="704B26F7"/>
    <w:rsid w:val="70697B21"/>
    <w:rsid w:val="70863262"/>
    <w:rsid w:val="70A76ED3"/>
    <w:rsid w:val="71860B17"/>
    <w:rsid w:val="71B22797"/>
    <w:rsid w:val="723B27CC"/>
    <w:rsid w:val="72565C05"/>
    <w:rsid w:val="72687227"/>
    <w:rsid w:val="72A03FD9"/>
    <w:rsid w:val="73406CFF"/>
    <w:rsid w:val="7383028C"/>
    <w:rsid w:val="73A25E44"/>
    <w:rsid w:val="741F68CF"/>
    <w:rsid w:val="75252DF3"/>
    <w:rsid w:val="75621536"/>
    <w:rsid w:val="75BF3154"/>
    <w:rsid w:val="75DA4A2D"/>
    <w:rsid w:val="76400F7F"/>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595075"/>
    <w:rsid w:val="7C6B07B2"/>
    <w:rsid w:val="7D133243"/>
    <w:rsid w:val="7D945420"/>
    <w:rsid w:val="7D997857"/>
    <w:rsid w:val="7DD07A4B"/>
    <w:rsid w:val="7E394207"/>
    <w:rsid w:val="7E4007A2"/>
    <w:rsid w:val="7E791CAD"/>
    <w:rsid w:val="7EA50DFB"/>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qFormat/>
    <w:uiPriority w:val="0"/>
    <w:pPr>
      <w:jc w:val="left"/>
    </w:pPr>
  </w:style>
  <w:style w:type="paragraph" w:styleId="8">
    <w:name w:val="Body Text 3"/>
    <w:basedOn w:val="1"/>
    <w:link w:val="44"/>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next w:val="12"/>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envelope return"/>
    <w:basedOn w:val="1"/>
    <w:qFormat/>
    <w:uiPriority w:val="0"/>
    <w:pPr>
      <w:snapToGrid w:val="0"/>
    </w:pPr>
    <w:rPr>
      <w:rFonts w:ascii="Arial" w:hAnsi="Arial"/>
      <w:szCs w:val="24"/>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next w:val="15"/>
    <w:qFormat/>
    <w:uiPriority w:val="0"/>
    <w:rPr>
      <w:rFonts w:ascii="宋体" w:hAnsi="Courier New"/>
      <w:szCs w:val="21"/>
    </w:rPr>
  </w:style>
  <w:style w:type="paragraph" w:customStyle="1" w:styleId="15">
    <w:name w:val="Default"/>
    <w:next w:val="16"/>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6">
    <w:name w:val="List"/>
    <w:basedOn w:val="1"/>
    <w:next w:val="1"/>
    <w:qFormat/>
    <w:uiPriority w:val="0"/>
    <w:pPr>
      <w:snapToGrid w:val="0"/>
    </w:pPr>
    <w:rPr>
      <w:szCs w:val="24"/>
    </w:rPr>
  </w:style>
  <w:style w:type="paragraph" w:styleId="17">
    <w:name w:val="Body Text Indent 2"/>
    <w:basedOn w:val="1"/>
    <w:unhideWhenUsed/>
    <w:qFormat/>
    <w:uiPriority w:val="99"/>
    <w:pPr>
      <w:spacing w:after="120" w:line="480" w:lineRule="auto"/>
      <w:ind w:left="420" w:leftChars="200"/>
    </w:pPr>
  </w:style>
  <w:style w:type="paragraph" w:styleId="18">
    <w:name w:val="Balloon Text"/>
    <w:basedOn w:val="1"/>
    <w:link w:val="39"/>
    <w:semiHidden/>
    <w:unhideWhenUsed/>
    <w:qFormat/>
    <w:uiPriority w:val="99"/>
    <w:rPr>
      <w:sz w:val="18"/>
      <w:szCs w:val="18"/>
    </w:rPr>
  </w:style>
  <w:style w:type="paragraph" w:styleId="19">
    <w:name w:val="footer"/>
    <w:basedOn w:val="1"/>
    <w:link w:val="33"/>
    <w:unhideWhenUsed/>
    <w:qFormat/>
    <w:uiPriority w:val="99"/>
    <w:pPr>
      <w:tabs>
        <w:tab w:val="center" w:pos="4153"/>
        <w:tab w:val="right" w:pos="8306"/>
      </w:tabs>
      <w:snapToGrid w:val="0"/>
      <w:jc w:val="left"/>
    </w:pPr>
    <w:rPr>
      <w:sz w:val="18"/>
      <w:szCs w:val="18"/>
    </w:rPr>
  </w:style>
  <w:style w:type="paragraph" w:styleId="20">
    <w:name w:val="header"/>
    <w:basedOn w:val="1"/>
    <w:link w:val="3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76" w:lineRule="auto"/>
      <w:jc w:val="left"/>
    </w:pPr>
    <w:rPr>
      <w:kern w:val="0"/>
      <w:sz w:val="22"/>
    </w:rPr>
  </w:style>
  <w:style w:type="paragraph" w:styleId="22">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3">
    <w:name w:val="Normal (Web)"/>
    <w:basedOn w:val="1"/>
    <w:qFormat/>
    <w:uiPriority w:val="99"/>
    <w:pPr>
      <w:spacing w:before="100" w:beforeAutospacing="1" w:after="100" w:afterAutospacing="1"/>
    </w:pPr>
    <w:rPr>
      <w:rFonts w:ascii="宋体" w:hAnsi="宋体"/>
      <w:kern w:val="0"/>
      <w:sz w:val="24"/>
    </w:rPr>
  </w:style>
  <w:style w:type="paragraph" w:styleId="24">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8">
    <w:name w:val="Strong"/>
    <w:qFormat/>
    <w:uiPriority w:val="22"/>
    <w:rPr>
      <w:b/>
      <w:bCs/>
    </w:rPr>
  </w:style>
  <w:style w:type="character" w:styleId="29">
    <w:name w:val="page number"/>
    <w:basedOn w:val="27"/>
    <w:qFormat/>
    <w:uiPriority w:val="0"/>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qFormat/>
    <w:uiPriority w:val="0"/>
    <w:rPr>
      <w:rFonts w:ascii="Times New Roman" w:hAnsi="Times New Roman" w:eastAsia="宋体" w:cs="Times New Roman"/>
      <w:sz w:val="21"/>
      <w:szCs w:val="21"/>
    </w:rPr>
  </w:style>
  <w:style w:type="character" w:customStyle="1" w:styleId="32">
    <w:name w:val="页眉 Char"/>
    <w:basedOn w:val="27"/>
    <w:link w:val="20"/>
    <w:semiHidden/>
    <w:qFormat/>
    <w:uiPriority w:val="99"/>
    <w:rPr>
      <w:sz w:val="18"/>
      <w:szCs w:val="18"/>
    </w:rPr>
  </w:style>
  <w:style w:type="character" w:customStyle="1" w:styleId="33">
    <w:name w:val="页脚 Char"/>
    <w:basedOn w:val="27"/>
    <w:link w:val="19"/>
    <w:qFormat/>
    <w:uiPriority w:val="99"/>
    <w:rPr>
      <w:sz w:val="18"/>
      <w:szCs w:val="18"/>
    </w:rPr>
  </w:style>
  <w:style w:type="character" w:customStyle="1" w:styleId="34">
    <w:name w:val="标题 1 Char"/>
    <w:basedOn w:val="27"/>
    <w:link w:val="3"/>
    <w:qFormat/>
    <w:uiPriority w:val="9"/>
    <w:rPr>
      <w:rFonts w:eastAsia="方正小标宋简体"/>
      <w:bCs/>
      <w:kern w:val="44"/>
      <w:sz w:val="44"/>
      <w:szCs w:val="44"/>
    </w:rPr>
  </w:style>
  <w:style w:type="character" w:customStyle="1" w:styleId="35">
    <w:name w:val="标题 2 Char"/>
    <w:basedOn w:val="27"/>
    <w:link w:val="4"/>
    <w:qFormat/>
    <w:uiPriority w:val="9"/>
    <w:rPr>
      <w:rFonts w:eastAsia="方正小标宋简体" w:asciiTheme="majorHAnsi" w:hAnsiTheme="majorHAnsi" w:cstheme="majorBidi"/>
      <w:bCs/>
      <w:sz w:val="36"/>
      <w:szCs w:val="32"/>
    </w:rPr>
  </w:style>
  <w:style w:type="character" w:customStyle="1" w:styleId="36">
    <w:name w:val="标题 3 Char"/>
    <w:basedOn w:val="27"/>
    <w:link w:val="5"/>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7"/>
    <w:link w:val="18"/>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5"/>
    <w:next w:val="15"/>
    <w:qFormat/>
    <w:uiPriority w:val="0"/>
    <w:pPr>
      <w:spacing w:after="373"/>
    </w:pPr>
    <w:rPr>
      <w:color w:val="auto"/>
    </w:rPr>
  </w:style>
  <w:style w:type="paragraph" w:customStyle="1" w:styleId="42">
    <w:name w:val="CM91"/>
    <w:basedOn w:val="15"/>
    <w:next w:val="15"/>
    <w:qFormat/>
    <w:uiPriority w:val="0"/>
    <w:pPr>
      <w:spacing w:after="160"/>
    </w:pPr>
    <w:rPr>
      <w:color w:val="auto"/>
    </w:rPr>
  </w:style>
  <w:style w:type="character" w:customStyle="1" w:styleId="43">
    <w:name w:val="正文文本 3 Char"/>
    <w:link w:val="8"/>
    <w:qFormat/>
    <w:uiPriority w:val="99"/>
    <w:rPr>
      <w:sz w:val="16"/>
      <w:szCs w:val="16"/>
    </w:rPr>
  </w:style>
  <w:style w:type="character" w:customStyle="1" w:styleId="44">
    <w:name w:val="正文文本 3 Char1"/>
    <w:basedOn w:val="27"/>
    <w:link w:val="8"/>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4"/>
    <w:qFormat/>
    <w:uiPriority w:val="99"/>
    <w:pPr>
      <w:widowControl w:val="0"/>
      <w:jc w:val="both"/>
    </w:pPr>
    <w:rPr>
      <w:rFonts w:ascii="宋体" w:hAnsi="Courier New"/>
      <w:kern w:val="2"/>
    </w:rPr>
  </w:style>
  <w:style w:type="paragraph" w:customStyle="1" w:styleId="47">
    <w:name w:val="WPSOffice手动目录 1"/>
    <w:qFormat/>
    <w:uiPriority w:val="0"/>
    <w:pPr>
      <w:ind w:leftChars="0"/>
    </w:pPr>
    <w:rPr>
      <w:rFonts w:asciiTheme="minorHAnsi" w:hAnsiTheme="minorHAnsi" w:eastAsiaTheme="minorEastAsia" w:cstheme="minorBidi"/>
      <w:sz w:val="20"/>
      <w:szCs w:val="20"/>
    </w:rPr>
  </w:style>
  <w:style w:type="paragraph" w:customStyle="1" w:styleId="48">
    <w:name w:val="WPSOffice手动目录 2"/>
    <w:qFormat/>
    <w:uiPriority w:val="0"/>
    <w:pPr>
      <w:ind w:leftChars="200"/>
    </w:pPr>
    <w:rPr>
      <w:rFonts w:asciiTheme="minorHAnsi" w:hAnsiTheme="minorHAnsi" w:eastAsiaTheme="minorEastAsia" w:cstheme="minorBidi"/>
      <w:sz w:val="20"/>
      <w:szCs w:val="20"/>
    </w:rPr>
  </w:style>
  <w:style w:type="paragraph" w:customStyle="1" w:styleId="49">
    <w:name w:val="WPSOffice手动目录 3"/>
    <w:qFormat/>
    <w:uiPriority w:val="0"/>
    <w:pPr>
      <w:ind w:leftChars="400"/>
    </w:pPr>
    <w:rPr>
      <w:rFonts w:asciiTheme="minorHAnsi" w:hAnsiTheme="minorHAnsi" w:eastAsiaTheme="minorEastAsia" w:cstheme="minorBidi"/>
      <w:sz w:val="20"/>
      <w:szCs w:val="20"/>
    </w:rPr>
  </w:style>
  <w:style w:type="paragraph" w:customStyle="1" w:styleId="50">
    <w:name w:val="正文 New New"/>
    <w:qFormat/>
    <w:uiPriority w:val="0"/>
    <w:pPr>
      <w:widowControl w:val="0"/>
      <w:jc w:val="both"/>
    </w:pPr>
    <w:rPr>
      <w:rFonts w:eastAsia="楷体_GB2312" w:asciiTheme="minorHAnsi" w:hAnsiTheme="minorHAnsi" w:cstheme="minorBidi"/>
      <w:kern w:val="2"/>
      <w:sz w:val="21"/>
      <w:szCs w:val="22"/>
      <w:lang w:val="en-US" w:eastAsia="zh-CN" w:bidi="ar-SA"/>
    </w:rPr>
  </w:style>
  <w:style w:type="paragraph" w:customStyle="1" w:styleId="51">
    <w:name w:val="正文 New New New New New New"/>
    <w:qFormat/>
    <w:uiPriority w:val="0"/>
    <w:pPr>
      <w:widowControl w:val="0"/>
      <w:spacing w:line="240" w:lineRule="atLeast"/>
      <w:jc w:val="both"/>
    </w:pPr>
    <w:rPr>
      <w:rFonts w:ascii="Times New Roman" w:hAnsi="Times New Roman" w:eastAsia="宋体" w:cs="Times New Roman"/>
      <w:kern w:val="2"/>
      <w:sz w:val="21"/>
      <w:szCs w:val="24"/>
      <w:lang w:val="en-US" w:eastAsia="zh-CN" w:bidi="ar-SA"/>
    </w:rPr>
  </w:style>
  <w:style w:type="paragraph" w:customStyle="1" w:styleId="52">
    <w:name w:val="_Style 4"/>
    <w:basedOn w:val="3"/>
    <w:next w:val="1"/>
    <w:qFormat/>
    <w:uiPriority w:val="0"/>
    <w:pPr>
      <w:spacing w:line="576" w:lineRule="auto"/>
      <w:outlineLvl w:val="9"/>
    </w:pPr>
    <w:rPr>
      <w:rFonts w:ascii="Calibri" w:hAnsi="Calibri"/>
    </w:rPr>
  </w:style>
  <w:style w:type="paragraph" w:customStyle="1" w:styleId="53">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54">
    <w:name w:val="font91"/>
    <w:basedOn w:val="27"/>
    <w:qFormat/>
    <w:uiPriority w:val="0"/>
    <w:rPr>
      <w:rFonts w:hint="eastAsia" w:ascii="微软雅黑" w:hAnsi="微软雅黑" w:eastAsia="微软雅黑" w:cs="微软雅黑"/>
      <w:b/>
      <w:bCs/>
      <w:color w:val="FF0000"/>
      <w:sz w:val="20"/>
      <w:szCs w:val="20"/>
      <w:u w:val="none"/>
    </w:rPr>
  </w:style>
  <w:style w:type="character" w:customStyle="1" w:styleId="55">
    <w:name w:val="font41"/>
    <w:basedOn w:val="27"/>
    <w:qFormat/>
    <w:uiPriority w:val="0"/>
    <w:rPr>
      <w:rFonts w:hint="eastAsia" w:ascii="宋体" w:hAnsi="宋体" w:eastAsia="宋体" w:cs="宋体"/>
      <w:color w:val="000000"/>
      <w:sz w:val="20"/>
      <w:szCs w:val="20"/>
      <w:u w:val="none"/>
    </w:rPr>
  </w:style>
  <w:style w:type="character" w:customStyle="1" w:styleId="56">
    <w:name w:val="font61"/>
    <w:basedOn w:val="27"/>
    <w:qFormat/>
    <w:uiPriority w:val="0"/>
    <w:rPr>
      <w:rFonts w:hint="eastAsia" w:ascii="宋体" w:hAnsi="宋体" w:eastAsia="宋体" w:cs="宋体"/>
      <w:color w:val="FF0000"/>
      <w:sz w:val="20"/>
      <w:szCs w:val="20"/>
      <w:u w:val="none"/>
    </w:rPr>
  </w:style>
  <w:style w:type="character" w:customStyle="1" w:styleId="57">
    <w:name w:val="font112"/>
    <w:basedOn w:val="27"/>
    <w:qFormat/>
    <w:uiPriority w:val="0"/>
    <w:rPr>
      <w:rFonts w:hint="eastAsia" w:ascii="宋体" w:hAnsi="宋体" w:eastAsia="宋体" w:cs="宋体"/>
      <w:color w:val="FF0000"/>
      <w:sz w:val="24"/>
      <w:szCs w:val="24"/>
      <w:u w:val="none"/>
    </w:rPr>
  </w:style>
  <w:style w:type="character" w:customStyle="1" w:styleId="58">
    <w:name w:val="font81"/>
    <w:basedOn w:val="27"/>
    <w:qFormat/>
    <w:uiPriority w:val="0"/>
    <w:rPr>
      <w:rFonts w:hint="eastAsia" w:ascii="宋体" w:hAnsi="宋体" w:eastAsia="宋体" w:cs="宋体"/>
      <w:color w:val="000000"/>
      <w:sz w:val="18"/>
      <w:szCs w:val="18"/>
      <w:u w:val="none"/>
    </w:rPr>
  </w:style>
  <w:style w:type="character" w:customStyle="1" w:styleId="59">
    <w:name w:val="font121"/>
    <w:basedOn w:val="27"/>
    <w:qFormat/>
    <w:uiPriority w:val="0"/>
    <w:rPr>
      <w:rFonts w:hint="eastAsia" w:ascii="宋体" w:hAnsi="宋体" w:eastAsia="宋体" w:cs="宋体"/>
      <w:color w:val="FF0000"/>
      <w:sz w:val="18"/>
      <w:szCs w:val="18"/>
      <w:u w:val="none"/>
    </w:rPr>
  </w:style>
  <w:style w:type="character" w:customStyle="1" w:styleId="60">
    <w:name w:val="font11"/>
    <w:basedOn w:val="27"/>
    <w:qFormat/>
    <w:uiPriority w:val="0"/>
    <w:rPr>
      <w:rFonts w:hint="eastAsia" w:ascii="宋体" w:hAnsi="宋体" w:eastAsia="宋体" w:cs="宋体"/>
      <w:b/>
      <w:bCs/>
      <w:color w:val="000000"/>
      <w:sz w:val="20"/>
      <w:szCs w:val="20"/>
      <w:u w:val="none"/>
    </w:rPr>
  </w:style>
  <w:style w:type="character" w:customStyle="1" w:styleId="61">
    <w:name w:val="font131"/>
    <w:basedOn w:val="27"/>
    <w:qFormat/>
    <w:uiPriority w:val="0"/>
    <w:rPr>
      <w:rFonts w:hint="eastAsia" w:ascii="宋体" w:hAnsi="宋体" w:eastAsia="宋体" w:cs="宋体"/>
      <w:color w:val="000000"/>
      <w:sz w:val="20"/>
      <w:szCs w:val="20"/>
      <w:u w:val="none"/>
    </w:rPr>
  </w:style>
  <w:style w:type="character" w:customStyle="1" w:styleId="62">
    <w:name w:val="font151"/>
    <w:basedOn w:val="27"/>
    <w:qFormat/>
    <w:uiPriority w:val="0"/>
    <w:rPr>
      <w:rFonts w:hint="default" w:ascii="Times New Roman" w:hAnsi="Times New Roman" w:cs="Times New Roman"/>
      <w:color w:val="000000"/>
      <w:sz w:val="20"/>
      <w:szCs w:val="20"/>
      <w:u w:val="none"/>
    </w:rPr>
  </w:style>
  <w:style w:type="character" w:customStyle="1" w:styleId="63">
    <w:name w:val="font161"/>
    <w:basedOn w:val="27"/>
    <w:qFormat/>
    <w:uiPriority w:val="0"/>
    <w:rPr>
      <w:rFonts w:hint="default" w:ascii="Times New Roman" w:hAnsi="Times New Roman" w:cs="Times New Roman"/>
      <w:color w:val="000000"/>
      <w:sz w:val="20"/>
      <w:szCs w:val="20"/>
      <w:u w:val="none"/>
    </w:rPr>
  </w:style>
  <w:style w:type="character" w:customStyle="1" w:styleId="64">
    <w:name w:val="font101"/>
    <w:basedOn w:val="27"/>
    <w:qFormat/>
    <w:uiPriority w:val="0"/>
    <w:rPr>
      <w:rFonts w:hint="default" w:ascii="Wingdings" w:hAnsi="Wingdings" w:cs="Wingdings"/>
      <w:color w:val="FF0000"/>
      <w:sz w:val="20"/>
      <w:szCs w:val="20"/>
      <w:u w:val="none"/>
    </w:rPr>
  </w:style>
  <w:style w:type="character" w:customStyle="1" w:styleId="65">
    <w:name w:val="font141"/>
    <w:basedOn w:val="27"/>
    <w:qFormat/>
    <w:uiPriority w:val="0"/>
    <w:rPr>
      <w:rFonts w:hint="default" w:ascii="Times New Roman" w:hAnsi="Times New Roman" w:cs="Times New Roman"/>
      <w:color w:val="FF0000"/>
      <w:sz w:val="20"/>
      <w:szCs w:val="20"/>
      <w:u w:val="none"/>
    </w:rPr>
  </w:style>
  <w:style w:type="character" w:customStyle="1" w:styleId="66">
    <w:name w:val="font171"/>
    <w:basedOn w:val="27"/>
    <w:qFormat/>
    <w:uiPriority w:val="0"/>
    <w:rPr>
      <w:rFonts w:hint="eastAsia" w:ascii="宋体" w:hAnsi="宋体" w:eastAsia="宋体" w:cs="宋体"/>
      <w:color w:val="FF0000"/>
      <w:sz w:val="20"/>
      <w:szCs w:val="20"/>
      <w:u w:val="none"/>
    </w:rPr>
  </w:style>
  <w:style w:type="character" w:customStyle="1" w:styleId="67">
    <w:name w:val="font181"/>
    <w:basedOn w:val="27"/>
    <w:qFormat/>
    <w:uiPriority w:val="0"/>
    <w:rPr>
      <w:rFonts w:hint="default" w:ascii="Times New Roman" w:hAnsi="Times New Roman" w:cs="Times New Roman"/>
      <w:color w:val="FF0000"/>
      <w:sz w:val="20"/>
      <w:szCs w:val="20"/>
      <w:u w:val="none"/>
    </w:rPr>
  </w:style>
  <w:style w:type="character" w:customStyle="1" w:styleId="68">
    <w:name w:val="font191"/>
    <w:basedOn w:val="27"/>
    <w:qFormat/>
    <w:uiPriority w:val="0"/>
    <w:rPr>
      <w:rFonts w:hint="eastAsia" w:ascii="宋体" w:hAnsi="宋体" w:eastAsia="宋体" w:cs="宋体"/>
      <w:color w:val="FF0000"/>
      <w:sz w:val="20"/>
      <w:szCs w:val="20"/>
      <w:u w:val="none"/>
    </w:rPr>
  </w:style>
  <w:style w:type="paragraph" w:customStyle="1" w:styleId="69">
    <w:name w:val="_Style 1"/>
    <w:basedOn w:val="1"/>
    <w:qFormat/>
    <w:uiPriority w:val="0"/>
    <w:pPr>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10264</Words>
  <Characters>10725</Characters>
  <Lines>300</Lines>
  <Paragraphs>84</Paragraphs>
  <TotalTime>3</TotalTime>
  <ScaleCrop>false</ScaleCrop>
  <LinksUpToDate>false</LinksUpToDate>
  <CharactersWithSpaces>12728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2024-03-08T02:57:00Z</cp:lastPrinted>
  <dcterms:modified xsi:type="dcterms:W3CDTF">2024-03-22T06:44:53Z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677D1E7908E54871B63DD9C3274D322D</vt:lpwstr>
  </property>
</Properties>
</file>