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bookmarkStart w:id="135" w:name="_GoBack"/>
      <w:bookmarkEnd w:id="135"/>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净水公司2024年便携式</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水质检测仪采购项目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701" w:right="1701" w:bottom="1701" w:left="1701" w:header="851" w:footer="992" w:gutter="0"/>
          <w:cols w:space="0" w:num="1"/>
          <w:docGrid w:type="linesAndChars" w:linePitch="381" w:charSpace="0"/>
        </w:sectPr>
      </w:pPr>
    </w:p>
    <w:p>
      <w:pPr>
        <w:pStyle w:val="2"/>
        <w:rPr>
          <w:color w:val="auto"/>
          <w:highlight w:val="none"/>
        </w:rPr>
      </w:pPr>
    </w:p>
    <w:p>
      <w:pPr>
        <w:pStyle w:val="40"/>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宋体" w:hAnsi="宋体"/>
          <w:color w:val="auto"/>
          <w:sz w:val="24"/>
          <w:szCs w:val="24"/>
          <w:highlight w:val="none"/>
        </w:rPr>
      </w:pPr>
    </w:p>
    <w:p>
      <w:pPr>
        <w:pStyle w:val="20"/>
        <w:numPr>
          <w:ilvl w:val="0"/>
          <w:numId w:val="2"/>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2"/>
        </w:numPr>
        <w:tabs>
          <w:tab w:val="right" w:pos="8844"/>
        </w:tabs>
        <w:rPr>
          <w:color w:val="auto"/>
          <w:highlight w:val="none"/>
        </w:rPr>
      </w:pPr>
      <w:r>
        <w:rPr>
          <w:rFonts w:hint="eastAsia"/>
          <w:color w:val="auto"/>
          <w:highlight w:val="none"/>
          <w:lang w:val="en-US" w:eastAsia="zh-CN"/>
        </w:rPr>
        <w:t>供应商须知</w:t>
      </w:r>
    </w:p>
    <w:p>
      <w:pPr>
        <w:pStyle w:val="20"/>
        <w:numPr>
          <w:ilvl w:val="0"/>
          <w:numId w:val="2"/>
        </w:numPr>
        <w:tabs>
          <w:tab w:val="right" w:pos="8844"/>
        </w:tabs>
        <w:rPr>
          <w:color w:val="auto"/>
          <w:highlight w:val="none"/>
        </w:rPr>
      </w:pPr>
      <w:r>
        <w:rPr>
          <w:rFonts w:hint="eastAsia"/>
          <w:color w:val="auto"/>
          <w:highlight w:val="none"/>
          <w:lang w:val="en-US" w:eastAsia="zh-CN"/>
        </w:rPr>
        <w:t>采购方法</w:t>
      </w:r>
    </w:p>
    <w:p>
      <w:pPr>
        <w:pStyle w:val="20"/>
        <w:numPr>
          <w:ilvl w:val="0"/>
          <w:numId w:val="2"/>
        </w:numPr>
        <w:tabs>
          <w:tab w:val="right" w:pos="8844"/>
        </w:tabs>
        <w:rPr>
          <w:color w:val="auto"/>
          <w:highlight w:val="none"/>
        </w:rPr>
      </w:pPr>
      <w:r>
        <w:rPr>
          <w:rFonts w:hint="eastAsia"/>
          <w:color w:val="auto"/>
          <w:highlight w:val="none"/>
          <w:lang w:val="en-US" w:eastAsia="zh-CN"/>
        </w:rPr>
        <w:t>评审方法</w:t>
      </w:r>
    </w:p>
    <w:p>
      <w:pPr>
        <w:pStyle w:val="20"/>
        <w:numPr>
          <w:ilvl w:val="0"/>
          <w:numId w:val="2"/>
        </w:numPr>
        <w:tabs>
          <w:tab w:val="right" w:pos="8844"/>
        </w:tabs>
        <w:rPr>
          <w:color w:val="auto"/>
          <w:highlight w:val="none"/>
        </w:rPr>
      </w:pPr>
      <w:r>
        <w:rPr>
          <w:rFonts w:hint="eastAsia"/>
          <w:color w:val="auto"/>
          <w:highlight w:val="none"/>
          <w:lang w:val="en-US" w:eastAsia="zh-CN"/>
        </w:rPr>
        <w:t>采购需求</w:t>
      </w:r>
    </w:p>
    <w:p>
      <w:pPr>
        <w:pStyle w:val="20"/>
        <w:numPr>
          <w:ilvl w:val="0"/>
          <w:numId w:val="2"/>
        </w:numPr>
        <w:tabs>
          <w:tab w:val="right" w:pos="8844"/>
        </w:tabs>
        <w:rPr>
          <w:color w:val="auto"/>
          <w:highlight w:val="none"/>
        </w:rPr>
      </w:pPr>
      <w:r>
        <w:rPr>
          <w:rFonts w:hint="eastAsia"/>
          <w:color w:val="auto"/>
          <w:highlight w:val="none"/>
        </w:rPr>
        <w:t>合同草案</w:t>
      </w:r>
    </w:p>
    <w:p>
      <w:pPr>
        <w:pStyle w:val="20"/>
        <w:numPr>
          <w:ilvl w:val="0"/>
          <w:numId w:val="2"/>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7519"/>
      <w:bookmarkStart w:id="6" w:name="_Toc17801"/>
      <w:bookmarkStart w:id="7" w:name="_Toc4275"/>
      <w:bookmarkStart w:id="8" w:name="_Toc31938"/>
      <w:bookmarkStart w:id="9" w:name="_Toc19609"/>
      <w:bookmarkStart w:id="10" w:name="_Toc11322"/>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0" distR="0" simplePos="0" relativeHeight="251659264" behindDoc="0" locked="0" layoutInCell="1" allowOverlap="1">
                <wp:simplePos x="0" y="0"/>
                <wp:positionH relativeFrom="column">
                  <wp:posOffset>2348230</wp:posOffset>
                </wp:positionH>
                <wp:positionV relativeFrom="paragraph">
                  <wp:posOffset>76200</wp:posOffset>
                </wp:positionV>
                <wp:extent cx="958850" cy="0"/>
                <wp:effectExtent l="0" t="0" r="0" b="0"/>
                <wp:wrapNone/>
                <wp:docPr id="102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6" o:spid="_x0000_s1026" o:spt="32" type="#_x0000_t32" style="position:absolute;left:0pt;margin-left:184.9pt;margin-top:6pt;height:0pt;width:75.5pt;z-index:25165926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2LetYAAAAJAQAADwAAAAAAAAABACAAAAAiAAAAZHJzL2Rvd25yZXYueG1s&#10;UEsBAhQAFAAAAAgAh07iQBcw6XP6AQAA8AMAAA4AAAAAAAAAAQAgAAAAJQEAAGRycy9lMm9Eb2Mu&#10;eG1sUEsFBgAAAAAGAAYAWQEAAJE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olumn">
                  <wp:posOffset>2356485</wp:posOffset>
                </wp:positionH>
                <wp:positionV relativeFrom="paragraph">
                  <wp:posOffset>499110</wp:posOffset>
                </wp:positionV>
                <wp:extent cx="958850" cy="0"/>
                <wp:effectExtent l="0" t="0" r="0" b="0"/>
                <wp:wrapNone/>
                <wp:docPr id="1026" name="自选图形 17"/>
                <wp:cNvGraphicFramePr/>
                <a:graphic xmlns:a="http://schemas.openxmlformats.org/drawingml/2006/main">
                  <a:graphicData uri="http://schemas.microsoft.com/office/word/2010/wordprocessingShape">
                    <wps:wsp>
                      <wps:cNvCnPr/>
                      <wps:spPr>
                        <a:xfrm>
                          <a:off x="0" y="0"/>
                          <a:ext cx="958849"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7" o:spid="_x0000_s1026" o:spt="32" type="#_x0000_t32" style="position:absolute;left:0pt;margin-left:185.55pt;margin-top:39.3pt;height:0pt;width:75.5pt;z-index:25165926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86Mzc/sBAADw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2"/>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宋体" w:hAnsi="宋体"/>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净水公司2024年便携式水质检测仪采购项目</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公开询价</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宋体" w:hAnsi="宋体"/>
          <w:b/>
          <w:color w:val="auto"/>
          <w:sz w:val="32"/>
          <w:szCs w:val="32"/>
          <w:highlight w:val="none"/>
        </w:rPr>
      </w:pPr>
      <w:r>
        <w:rPr>
          <w:rFonts w:hint="eastAsia" w:ascii="宋体" w:hAnsi="宋体"/>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净水公司2024年便携式水质检测仪采购项目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XJ-20240320-1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370000</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宋体" w:hAnsi="宋体"/>
          <w:b/>
          <w:color w:val="auto"/>
          <w:sz w:val="32"/>
          <w:szCs w:val="32"/>
          <w:highlight w:val="none"/>
        </w:rPr>
      </w:pPr>
      <w:r>
        <w:rPr>
          <w:rFonts w:hint="eastAsia" w:ascii="宋体" w:hAnsi="宋体"/>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净水公司</w:t>
      </w:r>
      <w:r>
        <w:rPr>
          <w:rFonts w:hint="eastAsia" w:ascii="仿宋_GB2312" w:eastAsia="仿宋_GB2312"/>
          <w:color w:val="auto"/>
          <w:sz w:val="28"/>
          <w:szCs w:val="28"/>
          <w:highlight w:val="none"/>
          <w:u w:val="single"/>
          <w:lang w:eastAsia="zh-CN"/>
        </w:rPr>
        <w:t>便携式水质检测仪</w:t>
      </w:r>
      <w:r>
        <w:rPr>
          <w:rFonts w:hint="eastAsia" w:ascii="仿宋_GB2312" w:eastAsia="仿宋_GB2312"/>
          <w:color w:val="auto"/>
          <w:sz w:val="28"/>
          <w:szCs w:val="28"/>
          <w:highlight w:val="none"/>
          <w:u w:val="single"/>
          <w:lang w:val="en-US" w:eastAsia="zh-CN"/>
        </w:rPr>
        <w:t xml:space="preserve">10台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w:t>
      </w:r>
      <w:r>
        <w:rPr>
          <w:rFonts w:hint="eastAsia" w:ascii="仿宋_GB2312" w:eastAsia="仿宋_GB2312"/>
          <w:color w:val="auto"/>
          <w:sz w:val="28"/>
          <w:szCs w:val="28"/>
          <w:highlight w:val="none"/>
          <w:lang w:val="en-US" w:eastAsia="zh-CN"/>
        </w:rPr>
        <w:t xml:space="preserve"> 自合同签订之日起30天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 </w:t>
      </w:r>
    </w:p>
    <w:p>
      <w:pPr>
        <w:pStyle w:val="2"/>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中选单位需按采购清单的规格型号、数量、要求进行供货，货物必须符合国家法律法规规定的标准、行业标准；所有货物必须有</w:t>
      </w:r>
      <w:r>
        <w:rPr>
          <w:rFonts w:hint="eastAsia" w:ascii="仿宋_GB2312" w:eastAsia="仿宋_GB2312"/>
          <w:color w:val="auto"/>
          <w:sz w:val="28"/>
          <w:szCs w:val="28"/>
          <w:highlight w:val="none"/>
          <w:u w:val="single"/>
          <w:lang w:val="en-US" w:eastAsia="zh-CN"/>
        </w:rPr>
        <w:t>供货证明</w:t>
      </w:r>
      <w:r>
        <w:rPr>
          <w:rFonts w:hint="eastAsia" w:ascii="仿宋_GB2312" w:eastAsia="仿宋_GB2312"/>
          <w:color w:val="auto"/>
          <w:sz w:val="28"/>
          <w:szCs w:val="28"/>
          <w:highlight w:val="none"/>
          <w:u w:val="single"/>
        </w:rPr>
        <w:t>、设备合格证、出厂检验报告并于送货之日移交广州市净水有限公司。所供货物必须为全新产品，中选单位禁止向招标人提供二手产品、拆机件、翻新件。</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3.供应商资格要求</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须提供复印件并加盖单位公章</w:t>
      </w:r>
      <w:r>
        <w:rPr>
          <w:rFonts w:hint="eastAsia" w:ascii="宋体" w:hAnsi="宋体"/>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同类设备采购项目</w:t>
      </w:r>
      <w:r>
        <w:rPr>
          <w:rFonts w:hint="eastAsia" w:ascii="仿宋_GB2312"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提交响应文件时</w:t>
      </w:r>
      <w:r>
        <w:rPr>
          <w:rFonts w:hint="eastAsia" w:ascii="仿宋_GB2312" w:eastAsia="仿宋_GB2312"/>
          <w:color w:val="auto"/>
          <w:sz w:val="28"/>
          <w:szCs w:val="28"/>
          <w:highlight w:val="none"/>
          <w:u w:val="single"/>
        </w:rPr>
        <w:t>供应商需出具承诺函，承诺中选后所提供的货物均为制造商全新原装产品（加盖单位公章）。中</w:t>
      </w:r>
      <w:r>
        <w:rPr>
          <w:rFonts w:hint="eastAsia" w:ascii="仿宋_GB2312" w:eastAsia="仿宋_GB2312"/>
          <w:color w:val="auto"/>
          <w:sz w:val="28"/>
          <w:szCs w:val="28"/>
          <w:highlight w:val="none"/>
          <w:u w:val="single"/>
          <w:lang w:val="en-US" w:eastAsia="zh-CN"/>
        </w:rPr>
        <w:t>选</w:t>
      </w:r>
      <w:r>
        <w:rPr>
          <w:rFonts w:hint="eastAsia" w:ascii="仿宋_GB2312" w:eastAsia="仿宋_GB2312"/>
          <w:color w:val="auto"/>
          <w:sz w:val="28"/>
          <w:szCs w:val="28"/>
          <w:highlight w:val="none"/>
          <w:u w:val="single"/>
        </w:rPr>
        <w:t>后合同签订前须提供拟供货产品的制造商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厂商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授权书。交货时，供应商需提供须出具厂家出厂合格证明及其他应提供的文件资料（其他特殊需求详见技术需求）。</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宋体" w:hAnsi="宋体"/>
          <w:b/>
          <w:color w:val="auto"/>
          <w:sz w:val="32"/>
          <w:szCs w:val="32"/>
          <w:highlight w:val="none"/>
        </w:rPr>
      </w:pPr>
      <w:r>
        <w:rPr>
          <w:rFonts w:hint="eastAsia" w:ascii="宋体" w:hAnsi="宋体"/>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3"/>
        </w:numPr>
        <w:adjustRightInd w:val="0"/>
        <w:snapToGrid w:val="0"/>
        <w:spacing w:line="600" w:lineRule="exact"/>
        <w:jc w:val="left"/>
        <w:rPr>
          <w:rFonts w:hint="eastAsia"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hAnsi="Calibri"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numPr>
          <w:ilvl w:val="0"/>
          <w:numId w:val="3"/>
        </w:numPr>
        <w:adjustRightInd w:val="0"/>
        <w:snapToGrid w:val="0"/>
        <w:spacing w:line="600" w:lineRule="exact"/>
        <w:jc w:val="left"/>
        <w:rPr>
          <w:rFonts w:ascii="宋体" w:hAnsi="宋体"/>
          <w:b/>
          <w:color w:val="auto"/>
          <w:sz w:val="32"/>
          <w:szCs w:val="32"/>
          <w:highlight w:val="none"/>
        </w:rPr>
      </w:pPr>
      <w:r>
        <w:rPr>
          <w:rFonts w:hint="eastAsia" w:ascii="宋体" w:hAnsi="宋体"/>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rPr>
        <w:t>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 xml:space="preserve">3 </w:t>
      </w:r>
      <w:r>
        <w:rPr>
          <w:rFonts w:hint="eastAsia" w:ascii="仿宋_GB2312" w:eastAsia="仿宋_GB2312"/>
          <w:color w:val="auto"/>
          <w:sz w:val="28"/>
          <w:szCs w:val="28"/>
          <w:highlight w:val="none"/>
        </w:rPr>
        <w:t> 月</w:t>
      </w:r>
      <w:r>
        <w:rPr>
          <w:rFonts w:hint="eastAsia" w:ascii="仿宋_GB2312" w:eastAsia="仿宋_GB2312"/>
          <w:color w:val="auto"/>
          <w:sz w:val="28"/>
          <w:szCs w:val="28"/>
          <w:highlight w:val="none"/>
          <w:u w:val="single"/>
          <w:lang w:val="en-US" w:eastAsia="zh-CN"/>
        </w:rPr>
        <w:t xml:space="preserve"> 26</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 xml:space="preserve">年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 xml:space="preserve">年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rPr>
        <w:t>递交地址：广州市天河区临江大道501号广州市净水有限公司6楼招标部。</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宋体" w:hAnsi="宋体"/>
          <w:b/>
          <w:color w:val="auto"/>
          <w:sz w:val="32"/>
          <w:szCs w:val="32"/>
          <w:highlight w:val="none"/>
        </w:rPr>
      </w:pPr>
      <w:r>
        <w:rPr>
          <w:rFonts w:hint="eastAsia" w:ascii="宋体" w:hAnsi="宋体"/>
          <w:b/>
          <w:color w:val="auto"/>
          <w:sz w:val="32"/>
          <w:szCs w:val="32"/>
          <w:highlight w:val="none"/>
          <w:lang w:val="en-US" w:eastAsia="zh-CN"/>
        </w:rPr>
        <w:t>7</w:t>
      </w:r>
      <w:r>
        <w:rPr>
          <w:rFonts w:hint="eastAsia" w:ascii="宋体" w:hAnsi="宋体"/>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b/>
          <w:color w:val="auto"/>
          <w:sz w:val="32"/>
          <w:szCs w:val="32"/>
          <w:highlight w:val="none"/>
        </w:rPr>
      </w:pPr>
      <w:r>
        <w:rPr>
          <w:rFonts w:hint="eastAsia" w:ascii="宋体" w:hAnsi="宋体"/>
          <w:b/>
          <w:color w:val="auto"/>
          <w:sz w:val="32"/>
          <w:szCs w:val="32"/>
          <w:highlight w:val="none"/>
          <w:lang w:val="en-US" w:eastAsia="zh-CN"/>
        </w:rPr>
        <w:t>8</w:t>
      </w:r>
      <w:r>
        <w:rPr>
          <w:rFonts w:ascii="宋体" w:hAnsi="宋体"/>
          <w:b/>
          <w:color w:val="auto"/>
          <w:sz w:val="32"/>
          <w:szCs w:val="32"/>
          <w:highlight w:val="none"/>
        </w:rPr>
        <w:t>.</w:t>
      </w:r>
      <w:r>
        <w:rPr>
          <w:rFonts w:hint="eastAsia" w:ascii="宋体" w:hAnsi="宋体"/>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宋体" w:hAnsi="宋体"/>
          <w:b/>
          <w:color w:val="auto"/>
          <w:sz w:val="32"/>
          <w:szCs w:val="32"/>
          <w:highlight w:val="none"/>
        </w:rPr>
      </w:pPr>
      <w:r>
        <w:rPr>
          <w:rFonts w:hint="eastAsia" w:ascii="宋体" w:hAnsi="宋体"/>
          <w:b/>
          <w:color w:val="auto"/>
          <w:sz w:val="32"/>
          <w:szCs w:val="32"/>
          <w:highlight w:val="none"/>
          <w:lang w:val="en-US" w:eastAsia="zh-CN"/>
        </w:rPr>
        <w:t>9</w:t>
      </w:r>
      <w:r>
        <w:rPr>
          <w:rFonts w:hint="eastAsia" w:ascii="宋体" w:hAnsi="宋体"/>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宋体" w:hAnsi="宋体"/>
          <w:color w:val="auto"/>
          <w:sz w:val="24"/>
          <w:szCs w:val="24"/>
          <w:highlight w:val="none"/>
        </w:rPr>
      </w:pPr>
      <w:r>
        <w:rPr>
          <w:rFonts w:hint="eastAsia" w:ascii="宋体" w:hAnsi="宋体"/>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31"/>
      <w:bookmarkStart w:id="15" w:name="_Toc32588"/>
      <w:bookmarkStart w:id="16" w:name="_Toc23749"/>
      <w:bookmarkStart w:id="17" w:name="_Toc16705"/>
      <w:bookmarkStart w:id="18" w:name="_Toc25603"/>
      <w:bookmarkStart w:id="19" w:name="_Toc16557"/>
      <w:bookmarkStart w:id="20" w:name="_Toc2324"/>
      <w:bookmarkStart w:id="21" w:name="_Toc7340"/>
      <w:bookmarkStart w:id="22" w:name="_Toc9448"/>
      <w:bookmarkStart w:id="23" w:name="_Toc19295"/>
    </w:p>
    <w:p>
      <w:pPr>
        <w:pStyle w:val="4"/>
        <w:rPr>
          <w:rFonts w:hint="eastAsia"/>
          <w:color w:val="auto"/>
          <w:highlight w:val="none"/>
        </w:rPr>
      </w:pPr>
      <w:r>
        <w:rPr>
          <w:color w:val="auto"/>
          <w:highlight w:val="none"/>
        </w:rPr>
        <mc:AlternateContent>
          <mc:Choice Requires="wps">
            <w:drawing>
              <wp:anchor distT="0" distB="0" distL="0" distR="0" simplePos="0" relativeHeight="251659264" behindDoc="0" locked="0" layoutInCell="1" allowOverlap="1">
                <wp:simplePos x="0" y="0"/>
                <wp:positionH relativeFrom="column">
                  <wp:posOffset>2348230</wp:posOffset>
                </wp:positionH>
                <wp:positionV relativeFrom="paragraph">
                  <wp:posOffset>36830</wp:posOffset>
                </wp:positionV>
                <wp:extent cx="958850" cy="0"/>
                <wp:effectExtent l="0" t="0" r="0" b="0"/>
                <wp:wrapNone/>
                <wp:docPr id="102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9" o:spid="_x0000_s1026" o:spt="32" type="#_x0000_t32" style="position:absolute;left:0pt;margin-left:184.9pt;margin-top:2.9pt;height:0pt;width:75.5pt;z-index:25165926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2LetYAAAAJAQAADwAAAAAAAAABACAAAAAiAAAAZHJzL2Rvd25yZXYueG1s&#10;UEsBAhQAFAAAAAgAh07iQLnIJET6AQAA8AMAAA4AAAAAAAAAAQAgAAAAJQEAAGRycy9lMm9Eb2Mu&#10;eG1sUEsFBgAAAAAGAAYAWQEAAJE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olumn">
                  <wp:posOffset>2372360</wp:posOffset>
                </wp:positionH>
                <wp:positionV relativeFrom="paragraph">
                  <wp:posOffset>523240</wp:posOffset>
                </wp:positionV>
                <wp:extent cx="958850" cy="0"/>
                <wp:effectExtent l="0" t="0" r="0" b="0"/>
                <wp:wrapNone/>
                <wp:docPr id="1028" name="自选图形 18"/>
                <wp:cNvGraphicFramePr/>
                <a:graphic xmlns:a="http://schemas.openxmlformats.org/drawingml/2006/main">
                  <a:graphicData uri="http://schemas.microsoft.com/office/word/2010/wordprocessingShape">
                    <wps:wsp>
                      <wps:cNvCnPr/>
                      <wps:spPr>
                        <a:xfrm>
                          <a:off x="0" y="0"/>
                          <a:ext cx="958849"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8" o:spid="_x0000_s1026" o:spt="32" type="#_x0000_t32" style="position:absolute;left:0pt;margin-left:186.8pt;margin-top:41.2pt;height:0pt;width:75.5pt;z-index:25165926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zYCxHXAAAACwEAAA8AAAAAAAAAAQAgAAAAIgAAAGRycy9kb3ducmV2Lnht&#10;bFBLAQIUABQAAAAIAIdO4kBdW/5E+gEAAPA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宋体" w:hAnsi="宋体"/>
          <w:b/>
          <w:color w:val="auto"/>
          <w:sz w:val="32"/>
          <w:szCs w:val="32"/>
          <w:highlight w:val="none"/>
        </w:rPr>
      </w:pPr>
    </w:p>
    <w:p>
      <w:pPr>
        <w:adjustRightInd w:val="0"/>
        <w:snapToGrid w:val="0"/>
        <w:spacing w:beforeLines="50" w:afterLines="50" w:line="600" w:lineRule="exact"/>
        <w:ind w:left="643" w:hanging="640" w:hangingChars="200"/>
        <w:jc w:val="left"/>
        <w:rPr>
          <w:rFonts w:hint="eastAsia" w:ascii="宋体" w:hAnsi="宋体"/>
          <w:b/>
          <w:color w:val="auto"/>
          <w:sz w:val="32"/>
          <w:szCs w:val="32"/>
          <w:highlight w:val="none"/>
        </w:rPr>
      </w:pPr>
    </w:p>
    <w:p>
      <w:pPr>
        <w:pStyle w:val="12"/>
        <w:rPr>
          <w:rFonts w:hint="eastAsia" w:ascii="宋体" w:hAnsi="宋体"/>
          <w:b/>
          <w:color w:val="auto"/>
          <w:sz w:val="32"/>
          <w:szCs w:val="32"/>
          <w:highlight w:val="none"/>
        </w:rPr>
      </w:pPr>
    </w:p>
    <w:p>
      <w:pPr>
        <w:pStyle w:val="13"/>
        <w:rPr>
          <w:rFonts w:hint="eastAsia" w:ascii="宋体" w:hAnsi="宋体"/>
          <w:b/>
          <w:color w:val="auto"/>
          <w:sz w:val="32"/>
          <w:szCs w:val="32"/>
          <w:highlight w:val="none"/>
        </w:rPr>
      </w:pPr>
    </w:p>
    <w:p>
      <w:pPr>
        <w:pStyle w:val="13"/>
        <w:rPr>
          <w:rFonts w:hint="eastAsia" w:ascii="宋体" w:hAnsi="宋体"/>
          <w:b/>
          <w:color w:val="auto"/>
          <w:sz w:val="32"/>
          <w:szCs w:val="32"/>
          <w:highlight w:val="none"/>
        </w:rPr>
      </w:pPr>
    </w:p>
    <w:p>
      <w:pPr>
        <w:pStyle w:val="13"/>
        <w:rPr>
          <w:rFonts w:hint="eastAsia" w:ascii="宋体" w:hAnsi="宋体"/>
          <w:b/>
          <w:color w:val="auto"/>
          <w:sz w:val="32"/>
          <w:szCs w:val="32"/>
          <w:highlight w:val="none"/>
        </w:rPr>
      </w:pPr>
    </w:p>
    <w:p>
      <w:pPr>
        <w:pStyle w:val="13"/>
        <w:rPr>
          <w:rFonts w:hint="eastAsia" w:ascii="宋体" w:hAnsi="宋体"/>
          <w:b/>
          <w:color w:val="auto"/>
          <w:sz w:val="32"/>
          <w:szCs w:val="32"/>
          <w:highlight w:val="none"/>
        </w:rPr>
      </w:pPr>
    </w:p>
    <w:p>
      <w:pPr>
        <w:adjustRightInd w:val="0"/>
        <w:snapToGrid w:val="0"/>
        <w:spacing w:beforeLines="50" w:afterLines="50" w:line="600" w:lineRule="exact"/>
        <w:ind w:left="643" w:hanging="640" w:hangingChars="200"/>
        <w:jc w:val="left"/>
        <w:rPr>
          <w:rFonts w:hint="eastAsia" w:ascii="宋体" w:hAnsi="宋体"/>
          <w:b/>
          <w:color w:val="auto"/>
          <w:sz w:val="32"/>
          <w:szCs w:val="32"/>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4"/>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63" w:type="dxa"/>
            <w:vAlign w:val="center"/>
          </w:tcPr>
          <w:p>
            <w:pPr>
              <w:adjustRightInd w:val="0"/>
              <w:snapToGrid w:val="0"/>
              <w:jc w:val="center"/>
              <w:rPr>
                <w:rFonts w:hint="eastAsia" w:ascii="仿宋_GB2312" w:eastAsia="仿宋_GB2312"/>
                <w:color w:val="auto"/>
                <w:sz w:val="24"/>
                <w:szCs w:val="24"/>
                <w:highlight w:val="none"/>
              </w:rPr>
            </w:pP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2"/>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2"/>
        <w:rPr>
          <w:color w:val="auto"/>
          <w:highlight w:val="none"/>
        </w:rPr>
      </w:pPr>
    </w:p>
    <w:p>
      <w:pPr>
        <w:pStyle w:val="42"/>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33"/>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Calibri" w:hAnsi="Calibri" w:cs="宋体"/>
          <w:color w:val="auto"/>
          <w:kern w:val="44"/>
          <w:sz w:val="44"/>
          <w:szCs w:val="44"/>
          <w:highlight w:val="none"/>
        </w:rPr>
      </w:pPr>
      <w:bookmarkStart w:id="26" w:name="_Toc21455"/>
      <w:bookmarkStart w:id="27" w:name="_Toc2867"/>
    </w:p>
    <w:p>
      <w:pPr>
        <w:rPr>
          <w:rFonts w:hint="eastAsia"/>
          <w:color w:val="auto"/>
          <w:highlight w:val="none"/>
        </w:rPr>
      </w:pPr>
    </w:p>
    <w:p>
      <w:pPr>
        <w:pStyle w:val="5"/>
        <w:rPr>
          <w:rFonts w:hint="eastAsia" w:ascii="Calibri" w:hAnsi="Calibri" w:cs="宋体"/>
          <w:color w:val="auto"/>
          <w:kern w:val="44"/>
          <w:sz w:val="44"/>
          <w:szCs w:val="44"/>
          <w:highlight w:val="none"/>
        </w:rPr>
      </w:pPr>
      <w:r>
        <w:rPr>
          <w:rFonts w:hint="eastAsia" w:ascii="Calibri" w:hAnsi="Calibri" w:cs="宋体"/>
          <w:color w:val="auto"/>
          <w:kern w:val="44"/>
          <w:sz w:val="44"/>
          <w:szCs w:val="44"/>
          <w:highlight w:val="none"/>
        </w:rPr>
        <mc:AlternateContent>
          <mc:Choice Requires="wps">
            <w:drawing>
              <wp:anchor distT="0" distB="0" distL="0" distR="0" simplePos="0" relativeHeight="251659264" behindDoc="0" locked="0" layoutInCell="1" allowOverlap="1">
                <wp:simplePos x="0" y="0"/>
                <wp:positionH relativeFrom="column">
                  <wp:posOffset>2326640</wp:posOffset>
                </wp:positionH>
                <wp:positionV relativeFrom="paragraph">
                  <wp:posOffset>626745</wp:posOffset>
                </wp:positionV>
                <wp:extent cx="958850" cy="0"/>
                <wp:effectExtent l="0" t="0" r="0" b="0"/>
                <wp:wrapNone/>
                <wp:docPr id="1030"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5" o:spid="_x0000_s1026" o:spt="32" type="#_x0000_t32" style="position:absolute;left:0pt;margin-left:183.2pt;margin-top:49.35pt;height:0pt;width:75.5pt;z-index:251659264;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YRTt1gAAAAkBAAAPAAAAAAAAAAEAIAAAACIAAABkcnMvZG93bnJldi54bWxQ&#10;SwECFAAUAAAACACHTuJAtU9pG/kBAADvAwAADgAAAAAAAAABACAAAAAlAQAAZHJzL2Uyb0RvYy54&#10;bWxQSwUGAAAAAAYABgBZAQAAkAUAAAAA&#10;">
                <v:fill on="f" focussize="0,0"/>
                <v:stroke color="#000000" joinstyle="round"/>
                <v:imagedata o:title=""/>
                <o:lock v:ext="edit" aspectratio="f"/>
              </v:shape>
            </w:pict>
          </mc:Fallback>
        </mc:AlternateContent>
      </w:r>
      <w:r>
        <w:rPr>
          <w:rFonts w:hint="eastAsia" w:ascii="Calibri" w:hAnsi="Calibri" w:cs="宋体"/>
          <w:color w:val="auto"/>
          <w:kern w:val="44"/>
          <w:sz w:val="44"/>
          <w:szCs w:val="44"/>
          <w:highlight w:val="none"/>
        </w:rP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03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wLQ/K1gAAAAkBAAAPAAAAAAAAAAEAIAAAACIAAABkcnMvZG93bnJldi54bWxQ&#10;SwECFAAUAAAACACHTuJARP5OFvkBAADvAwAADgAAAAAAAAABACAAAAAlAQAAZHJzL2Uyb0RvYy54&#10;bWxQSwUGAAAAAAYABgBZAQAAkAUAAAAA&#10;">
                <v:fill on="f" focussize="0,0"/>
                <v:stroke color="#000000" joinstyle="round"/>
                <v:imagedata o:title=""/>
                <o:lock v:ext="edit" aspectratio="f"/>
              </v:shape>
            </w:pict>
          </mc:Fallback>
        </mc:AlternateContent>
      </w:r>
      <w:r>
        <w:rPr>
          <w:rFonts w:hint="eastAsia" w:ascii="Calibri" w:hAnsi="Calibri" w:cs="宋体"/>
          <w:color w:val="auto"/>
          <w:kern w:val="44"/>
          <w:sz w:val="44"/>
          <w:szCs w:val="44"/>
          <w:highlight w:val="none"/>
          <w:lang w:val="en-US" w:eastAsia="zh-CN"/>
        </w:rPr>
        <w:t xml:space="preserve">  </w:t>
      </w:r>
      <w:r>
        <w:rPr>
          <w:rFonts w:hint="eastAsia" w:ascii="Calibri" w:hAnsi="Calibri" w:cs="宋体"/>
          <w:color w:val="auto"/>
          <w:kern w:val="44"/>
          <w:sz w:val="44"/>
          <w:szCs w:val="44"/>
          <w:highlight w:val="none"/>
        </w:rPr>
        <w:t>第</w:t>
      </w:r>
      <w:r>
        <w:rPr>
          <w:rFonts w:hint="eastAsia" w:ascii="Calibri" w:hAnsi="Calibri" w:cs="宋体"/>
          <w:color w:val="auto"/>
          <w:kern w:val="44"/>
          <w:sz w:val="44"/>
          <w:szCs w:val="44"/>
          <w:highlight w:val="none"/>
          <w:lang w:eastAsia="zh-CN"/>
        </w:rPr>
        <w:t>三</w:t>
      </w:r>
      <w:r>
        <w:rPr>
          <w:rFonts w:hint="eastAsia" w:ascii="Calibri" w:hAnsi="Calibri" w:cs="宋体"/>
          <w:color w:val="auto"/>
          <w:kern w:val="44"/>
          <w:sz w:val="44"/>
          <w:szCs w:val="44"/>
          <w:highlight w:val="none"/>
        </w:rPr>
        <w:t>章</w:t>
      </w:r>
      <w:bookmarkEnd w:id="26"/>
      <w:bookmarkEnd w:id="27"/>
    </w:p>
    <w:p>
      <w:pPr>
        <w:pStyle w:val="42"/>
        <w:rPr>
          <w:color w:val="auto"/>
          <w:highlight w:val="none"/>
        </w:rPr>
      </w:pPr>
    </w:p>
    <w:p>
      <w:pPr>
        <w:pStyle w:val="5"/>
        <w:rPr>
          <w:color w:val="auto"/>
          <w:highlight w:val="none"/>
        </w:rPr>
      </w:pPr>
      <w:bookmarkStart w:id="28" w:name="_Toc88209934"/>
      <w:bookmarkStart w:id="29" w:name="_Toc7040"/>
      <w:bookmarkStart w:id="30" w:name="_Toc87616371"/>
      <w:bookmarkStart w:id="31" w:name="_Toc7303"/>
      <w:r>
        <w:rPr>
          <w:rFonts w:hint="eastAsia"/>
          <w:color w:val="auto"/>
          <w:highlight w:val="none"/>
          <w:lang w:val="en-US" w:eastAsia="zh-CN"/>
        </w:rPr>
        <w:t xml:space="preserve">  </w:t>
      </w:r>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2"/>
        <w:rPr>
          <w:rFonts w:ascii="方正小标宋简体" w:eastAsia="方正小标宋简体"/>
          <w:color w:val="auto"/>
          <w:sz w:val="44"/>
          <w:szCs w:val="44"/>
          <w:highlight w:val="none"/>
        </w:rPr>
      </w:pPr>
    </w:p>
    <w:p>
      <w:pPr>
        <w:pStyle w:val="13"/>
        <w:rPr>
          <w:rFonts w:ascii="方正小标宋简体" w:eastAsia="方正小标宋简体"/>
          <w:color w:val="auto"/>
          <w:sz w:val="44"/>
          <w:szCs w:val="44"/>
          <w:highlight w:val="none"/>
        </w:rPr>
      </w:pPr>
    </w:p>
    <w:p>
      <w:pPr>
        <w:pStyle w:val="13"/>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宋体" w:hAnsi="宋体"/>
          <w:b/>
          <w:color w:val="auto"/>
          <w:sz w:val="28"/>
          <w:szCs w:val="28"/>
          <w:highlight w:val="none"/>
        </w:rPr>
      </w:pPr>
      <w:r>
        <w:rPr>
          <w:rFonts w:hint="eastAsia" w:ascii="宋体" w:hAnsi="宋体"/>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w:t>
            </w:r>
            <w:r>
              <w:rPr>
                <w:rFonts w:hint="eastAsia" w:ascii="仿宋_GB2312" w:hAnsi="宋体" w:eastAsia="仿宋_GB2312"/>
                <w:color w:val="auto"/>
                <w:sz w:val="24"/>
                <w:szCs w:val="24"/>
                <w:highlight w:val="none"/>
                <w:u w:val="single"/>
                <w:lang w:val="en-US" w:eastAsia="zh-CN"/>
              </w:rPr>
              <w:t xml:space="preserve"> </w:t>
            </w:r>
            <w:r>
              <w:rPr>
                <w:rFonts w:hint="eastAsia" w:ascii="仿宋_GB2312" w:hAnsi="宋体" w:eastAsia="仿宋_GB2312"/>
                <w:color w:val="auto"/>
                <w:sz w:val="24"/>
                <w:szCs w:val="24"/>
                <w:highlight w:val="none"/>
              </w:rPr>
              <w:t>1.</w:t>
            </w:r>
            <w:r>
              <w:rPr>
                <w:rFonts w:hint="eastAsia" w:ascii="仿宋_GB2312" w:hAnsi="宋体" w:eastAsia="仿宋_GB2312"/>
                <w:color w:val="auto"/>
                <w:sz w:val="24"/>
                <w:szCs w:val="24"/>
                <w:highlight w:val="none"/>
                <w:lang w:val="en-US" w:eastAsia="zh-CN"/>
              </w:rPr>
              <w:t>1</w:t>
            </w:r>
            <w:r>
              <w:rPr>
                <w:rFonts w:hint="eastAsia" w:ascii="仿宋_GB2312" w:hAnsi="宋体" w:eastAsia="仿宋_GB2312"/>
                <w:color w:val="auto"/>
                <w:sz w:val="24"/>
                <w:szCs w:val="24"/>
                <w:highlight w:val="none"/>
              </w:rPr>
              <w:t xml:space="preserve"> 在采购文件约定的时间、地点，供应商应向采购人提交响应文件；响应文件按照采购文件第二章供应商须知2.</w:t>
            </w:r>
            <w:r>
              <w:rPr>
                <w:rFonts w:hint="eastAsia" w:ascii="仿宋_GB2312" w:hAnsi="宋体" w:eastAsia="仿宋_GB2312"/>
                <w:color w:val="auto"/>
                <w:sz w:val="24"/>
                <w:szCs w:val="24"/>
                <w:highlight w:val="none"/>
                <w:lang w:val="en-US" w:eastAsia="zh-CN"/>
              </w:rPr>
              <w:t>9</w:t>
            </w:r>
            <w:r>
              <w:rPr>
                <w:rFonts w:hint="eastAsia" w:ascii="仿宋_GB2312" w:hAnsi="宋体" w:eastAsia="仿宋_GB2312"/>
                <w:color w:val="auto"/>
                <w:sz w:val="24"/>
                <w:szCs w:val="24"/>
                <w:highlight w:val="none"/>
              </w:rPr>
              <w:t>的要求密封，按照2.</w:t>
            </w:r>
            <w:r>
              <w:rPr>
                <w:rFonts w:hint="eastAsia" w:ascii="仿宋_GB2312" w:hAnsi="宋体" w:eastAsia="仿宋_GB2312"/>
                <w:color w:val="auto"/>
                <w:sz w:val="24"/>
                <w:szCs w:val="24"/>
                <w:highlight w:val="none"/>
                <w:lang w:val="en-US" w:eastAsia="zh-CN"/>
              </w:rPr>
              <w:t>10</w:t>
            </w:r>
            <w:r>
              <w:rPr>
                <w:rFonts w:hint="eastAsia" w:ascii="仿宋_GB2312" w:hAnsi="宋体" w:eastAsia="仿宋_GB2312"/>
                <w:color w:val="auto"/>
                <w:sz w:val="24"/>
                <w:szCs w:val="24"/>
                <w:highlight w:val="none"/>
              </w:rPr>
              <w:t>的规定提交</w:t>
            </w:r>
          </w:p>
          <w:p>
            <w:pPr>
              <w:adjustRightInd w:val="0"/>
              <w:snapToGrid w:val="0"/>
              <w:ind w:left="480" w:hanging="480" w:hanging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 xml:space="preserve"> 资格审查执行第二章供应商须知1</w:t>
            </w:r>
            <w:r>
              <w:rPr>
                <w:rFonts w:hint="eastAsia" w:ascii="仿宋_GB2312" w:hAnsi="宋体" w:eastAsia="仿宋_GB2312"/>
                <w:color w:val="auto"/>
                <w:sz w:val="24"/>
                <w:szCs w:val="24"/>
                <w:highlight w:val="none"/>
                <w:lang w:val="en-US" w:eastAsia="zh-CN"/>
              </w:rPr>
              <w:t>.</w:t>
            </w:r>
            <w:r>
              <w:rPr>
                <w:rFonts w:hint="eastAsia" w:ascii="仿宋_GB2312" w:hAnsi="宋体" w:eastAsia="仿宋_GB2312"/>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hAnsi="宋体" w:eastAsia="仿宋_GB2312"/>
                <w:color w:val="auto"/>
                <w:sz w:val="24"/>
                <w:szCs w:val="24"/>
                <w:highlight w:val="none"/>
              </w:rPr>
              <w:t>1.</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 xml:space="preserve"> 响应文件提交截止后，</w:t>
            </w:r>
            <w:r>
              <w:rPr>
                <w:rFonts w:hint="eastAsia" w:ascii="仿宋_GB2312" w:hAnsi="宋体" w:eastAsia="仿宋_GB2312"/>
                <w:color w:val="auto"/>
                <w:sz w:val="24"/>
                <w:szCs w:val="24"/>
                <w:highlight w:val="none"/>
                <w:lang w:val="en-US" w:eastAsia="zh-CN"/>
              </w:rPr>
              <w:t>递交</w:t>
            </w:r>
            <w:r>
              <w:rPr>
                <w:rFonts w:hint="eastAsia" w:ascii="仿宋_GB2312" w:hAnsi="宋体" w:eastAsia="仿宋_GB2312"/>
                <w:color w:val="auto"/>
                <w:sz w:val="24"/>
                <w:szCs w:val="24"/>
                <w:highlight w:val="none"/>
              </w:rPr>
              <w:t>响应</w:t>
            </w:r>
            <w:r>
              <w:rPr>
                <w:rFonts w:hint="eastAsia" w:ascii="仿宋_GB2312" w:hAnsi="宋体" w:eastAsia="仿宋_GB2312"/>
                <w:color w:val="auto"/>
                <w:sz w:val="24"/>
                <w:szCs w:val="24"/>
                <w:highlight w:val="none"/>
                <w:lang w:val="en-US" w:eastAsia="zh-CN"/>
              </w:rPr>
              <w:t>文件</w:t>
            </w:r>
            <w:r>
              <w:rPr>
                <w:rFonts w:hint="eastAsia" w:ascii="仿宋_GB2312" w:hAnsi="宋体" w:eastAsia="仿宋_GB2312"/>
                <w:color w:val="auto"/>
                <w:sz w:val="24"/>
                <w:szCs w:val="24"/>
                <w:highlight w:val="none"/>
              </w:rPr>
              <w:t>供应商不足3家的</w:t>
            </w:r>
            <w:r>
              <w:rPr>
                <w:rFonts w:hint="eastAsia" w:ascii="仿宋_GB2312" w:hAnsi="宋体" w:eastAsia="仿宋_GB2312"/>
                <w:color w:val="auto"/>
                <w:sz w:val="24"/>
                <w:szCs w:val="24"/>
                <w:highlight w:val="none"/>
                <w:lang w:val="en-US" w:eastAsia="zh-CN"/>
              </w:rPr>
              <w:t>或有效响应文件供应商不足两家</w:t>
            </w:r>
            <w:r>
              <w:rPr>
                <w:rFonts w:hint="eastAsia" w:ascii="仿宋_GB2312" w:hAnsi="宋体" w:eastAsia="仿宋_GB2312"/>
                <w:color w:val="auto"/>
                <w:sz w:val="24"/>
                <w:szCs w:val="24"/>
                <w:highlight w:val="none"/>
              </w:rPr>
              <w:t>，应分析原因并重新发出采购公告</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lang w:val="en-US" w:eastAsia="zh-CN"/>
              </w:rPr>
              <w:t>邀请书</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rPr>
              <w:t>或</w:t>
            </w:r>
            <w:r>
              <w:rPr>
                <w:rFonts w:hint="eastAsia" w:ascii="仿宋_GB2312" w:hAnsi="宋体" w:eastAsia="仿宋_GB2312"/>
                <w:color w:val="auto"/>
                <w:sz w:val="24"/>
                <w:szCs w:val="24"/>
                <w:highlight w:val="none"/>
                <w:lang w:eastAsia="zh-CN"/>
              </w:rPr>
              <w:t>采取</w:t>
            </w:r>
            <w:r>
              <w:rPr>
                <w:rFonts w:hint="eastAsia" w:ascii="仿宋_GB2312" w:hAnsi="宋体" w:eastAsia="仿宋_GB2312"/>
                <w:color w:val="auto"/>
                <w:sz w:val="24"/>
                <w:szCs w:val="24"/>
                <w:highlight w:val="none"/>
                <w:lang w:val="en-US" w:eastAsia="zh-CN"/>
              </w:rPr>
              <w:t>其他采购方式</w:t>
            </w:r>
            <w:r>
              <w:rPr>
                <w:rFonts w:hint="eastAsia" w:ascii="仿宋_GB2312" w:hAnsi="宋体" w:eastAsia="仿宋_GB2312"/>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hAnsi="宋体" w:eastAsia="仿宋_GB2312"/>
                <w:color w:val="auto"/>
                <w:sz w:val="24"/>
                <w:szCs w:val="24"/>
                <w:highlight w:val="none"/>
              </w:rPr>
              <w:t>2.1 报价应包括国家规定的增值税税金，增值税税金按一般计税方法计算。报价范围包括</w:t>
            </w:r>
            <w:r>
              <w:rPr>
                <w:rFonts w:hint="eastAsia" w:ascii="仿宋_GB2312" w:hAnsi="宋体" w:eastAsia="仿宋_GB2312"/>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hAnsi="宋体" w:eastAsia="仿宋_GB2312"/>
                <w:color w:val="auto"/>
                <w:sz w:val="24"/>
                <w:szCs w:val="24"/>
                <w:highlight w:val="none"/>
                <w:u w:val="single"/>
                <w:lang w:val="en-US" w:eastAsia="zh-CN"/>
              </w:rPr>
              <w:t>广州市天河区临江大道501号广州市净水有限公司</w:t>
            </w:r>
          </w:p>
          <w:p>
            <w:pPr>
              <w:adjustRightInd w:val="0"/>
              <w:snapToGrid w:val="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sym w:font="Wingdings 2" w:char="0052"/>
            </w:r>
            <w:r>
              <w:rPr>
                <w:rFonts w:hint="eastAsia" w:ascii="仿宋_GB2312" w:hAnsi="宋体" w:eastAsia="仿宋_GB2312"/>
                <w:color w:val="auto"/>
                <w:sz w:val="24"/>
                <w:szCs w:val="24"/>
                <w:highlight w:val="none"/>
              </w:rPr>
              <w:t>采购人确定满足采购文件</w:t>
            </w:r>
            <w:r>
              <w:rPr>
                <w:rFonts w:hint="eastAsia" w:ascii="仿宋_GB2312" w:hAnsi="宋体" w:eastAsia="仿宋_GB2312"/>
                <w:color w:val="auto"/>
                <w:sz w:val="24"/>
                <w:szCs w:val="24"/>
                <w:highlight w:val="none"/>
                <w:lang w:val="en-US" w:eastAsia="zh-CN"/>
              </w:rPr>
              <w:t>资格性、响应性</w:t>
            </w:r>
            <w:r>
              <w:rPr>
                <w:rFonts w:hint="eastAsia" w:ascii="仿宋_GB2312" w:hAnsi="宋体" w:eastAsia="仿宋_GB2312"/>
                <w:color w:val="auto"/>
                <w:sz w:val="24"/>
                <w:szCs w:val="24"/>
                <w:highlight w:val="none"/>
              </w:rPr>
              <w:t>要求，并且经评审的报价最低的为成交供应商</w:t>
            </w:r>
          </w:p>
          <w:p>
            <w:pPr>
              <w:adjustRightInd w:val="0"/>
              <w:snapToGrid w:val="0"/>
              <w:ind w:left="360" w:hanging="360" w:hangingChars="150"/>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rPr>
              <w:sym w:font="Wingdings 2" w:char="00A3"/>
            </w:r>
            <w:r>
              <w:rPr>
                <w:rFonts w:hint="eastAsia" w:ascii="仿宋_GB2312" w:hAnsi="宋体" w:eastAsia="仿宋_GB2312"/>
                <w:color w:val="auto"/>
                <w:sz w:val="24"/>
                <w:szCs w:val="24"/>
                <w:highlight w:val="none"/>
              </w:rPr>
              <w:t>评审小组按照采购文件确定的标准排序，采购人确定排名第一的供应商为成交供应商</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lang w:val="en-US" w:eastAsia="zh-CN"/>
              </w:rPr>
              <w:t xml:space="preserve"> </w:t>
            </w:r>
          </w:p>
          <w:p>
            <w:pPr>
              <w:pStyle w:val="9"/>
              <w:rPr>
                <w:rFonts w:hint="default"/>
                <w:color w:val="auto"/>
                <w:highlight w:val="none"/>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在评审小组提交评审报告3日内，在</w:t>
            </w:r>
            <w:r>
              <w:rPr>
                <w:rFonts w:hint="eastAsia" w:ascii="仿宋_GB2312" w:hAnsi="宋体" w:eastAsia="仿宋_GB2312"/>
                <w:color w:val="auto"/>
                <w:sz w:val="24"/>
                <w:szCs w:val="24"/>
                <w:highlight w:val="none"/>
                <w:u w:val="single"/>
                <w:lang w:val="en-US" w:eastAsia="zh-CN"/>
              </w:rPr>
              <w:t>广州市净水有限公司门户网站</w:t>
            </w:r>
            <w:r>
              <w:rPr>
                <w:rFonts w:hint="eastAsia" w:ascii="仿宋_GB2312" w:hAnsi="宋体" w:eastAsia="仿宋_GB2312"/>
                <w:color w:val="auto"/>
                <w:sz w:val="24"/>
                <w:szCs w:val="24"/>
                <w:highlight w:val="none"/>
              </w:rPr>
              <w:t>公示成交候选人</w:t>
            </w:r>
            <w:r>
              <w:rPr>
                <w:rFonts w:hint="eastAsia" w:ascii="仿宋_GB2312" w:hAnsi="宋体" w:eastAsia="仿宋_GB2312"/>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hAnsi="宋体" w:eastAsia="仿宋_GB2312"/>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hAnsi="宋体" w:eastAsia="仿宋_GB2312"/>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采购人在发出成交通知书后</w:t>
            </w:r>
            <w:r>
              <w:rPr>
                <w:rFonts w:hint="eastAsia" w:ascii="仿宋_GB2312" w:hAnsi="宋体" w:eastAsia="仿宋_GB2312"/>
                <w:color w:val="auto"/>
                <w:sz w:val="24"/>
                <w:szCs w:val="24"/>
                <w:highlight w:val="none"/>
                <w:lang w:val="en-US" w:eastAsia="zh-CN"/>
              </w:rPr>
              <w:t>30</w:t>
            </w:r>
            <w:r>
              <w:rPr>
                <w:rFonts w:hint="eastAsia" w:ascii="仿宋_GB2312" w:hAnsi="宋体" w:eastAsia="仿宋_GB2312"/>
                <w:color w:val="auto"/>
                <w:sz w:val="24"/>
                <w:szCs w:val="24"/>
                <w:highlight w:val="none"/>
              </w:rPr>
              <w:t>日内同成交供应商签订书面采购合同</w:t>
            </w:r>
            <w:r>
              <w:rPr>
                <w:rFonts w:hint="eastAsia" w:ascii="仿宋_GB2312" w:hAnsi="宋体" w:eastAsia="仿宋_GB2312"/>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437"/>
      <w:bookmarkStart w:id="35" w:name="_Toc19050"/>
      <w:bookmarkStart w:id="36" w:name="_Toc3156"/>
      <w:bookmarkStart w:id="37" w:name="_Toc19759"/>
      <w:bookmarkStart w:id="38" w:name="_Toc23581"/>
      <w:bookmarkStart w:id="39" w:name="_Toc20594"/>
      <w:bookmarkStart w:id="40" w:name="_Toc14870"/>
      <w:bookmarkStart w:id="41" w:name="_Toc7118"/>
      <w:bookmarkStart w:id="42" w:name="_Toc14552"/>
      <w:bookmarkStart w:id="43" w:name="_Toc10930"/>
      <w:bookmarkStart w:id="44" w:name="_Toc4952"/>
      <w:r>
        <w:rPr>
          <w:color w:val="auto"/>
          <w:highlight w:val="none"/>
        </w:rPr>
        <mc:AlternateContent>
          <mc:Choice Requires="wps">
            <w:drawing>
              <wp:anchor distT="0" distB="0" distL="0" distR="0" simplePos="0" relativeHeight="251659264" behindDoc="0" locked="0" layoutInCell="1" allowOverlap="1">
                <wp:simplePos x="0" y="0"/>
                <wp:positionH relativeFrom="column">
                  <wp:posOffset>2306320</wp:posOffset>
                </wp:positionH>
                <wp:positionV relativeFrom="paragraph">
                  <wp:posOffset>775970</wp:posOffset>
                </wp:positionV>
                <wp:extent cx="958850" cy="0"/>
                <wp:effectExtent l="0" t="0" r="0" b="0"/>
                <wp:wrapNone/>
                <wp:docPr id="1032"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7" o:spid="_x0000_s1026" o:spt="32" type="#_x0000_t32" style="position:absolute;left:0pt;margin-left:181.6pt;margin-top:61.1pt;height:0pt;width:75.5pt;z-index:25165926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WbC+tcAAAALAQAADwAAAAAAAAABACAAAAAiAAAAZHJzL2Rvd25yZXYueG1s&#10;UEsBAhQAFAAAAAgAh07iQIKZkOf5AQAA7wMAAA4AAAAAAAAAAQAgAAAAJgEAAGRycy9lMm9Eb2Mu&#10;eG1sUEsFBgAAAAAGAAYAWQEAAJE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olumn">
                  <wp:posOffset>2301875</wp:posOffset>
                </wp:positionH>
                <wp:positionV relativeFrom="paragraph">
                  <wp:posOffset>191135</wp:posOffset>
                </wp:positionV>
                <wp:extent cx="958850" cy="0"/>
                <wp:effectExtent l="0" t="0" r="0" b="0"/>
                <wp:wrapNone/>
                <wp:docPr id="103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6" o:spid="_x0000_s1026" o:spt="32" type="#_x0000_t32" style="position:absolute;left:0pt;margin-left:181.25pt;margin-top:15.05pt;height:0pt;width:75.5pt;z-index:25165926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8OuBDXAAAACQEAAA8AAAAAAAAAAQAgAAAAIgAAAGRycy9kb3ducmV2Lnht&#10;bFBLAQIUABQAAAAIAIdO4kC58VR0+gEAAO8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2"/>
        <w:rPr>
          <w:color w:val="auto"/>
          <w:highlight w:val="none"/>
        </w:rPr>
      </w:pPr>
    </w:p>
    <w:p>
      <w:pPr>
        <w:pStyle w:val="4"/>
        <w:rPr>
          <w:color w:val="auto"/>
          <w:highlight w:val="none"/>
        </w:rPr>
      </w:pPr>
      <w:bookmarkStart w:id="45" w:name="_Toc32607"/>
      <w:bookmarkStart w:id="46" w:name="_Toc7831"/>
      <w:bookmarkStart w:id="47" w:name="_Toc13898"/>
      <w:bookmarkStart w:id="48" w:name="_Toc12177"/>
      <w:bookmarkStart w:id="49" w:name="_Toc29484"/>
      <w:bookmarkStart w:id="50" w:name="_Toc22212"/>
      <w:bookmarkStart w:id="51" w:name="_Toc21840"/>
      <w:bookmarkStart w:id="52" w:name="_Toc29345"/>
      <w:bookmarkStart w:id="53" w:name="_Toc87616378"/>
      <w:bookmarkStart w:id="54" w:name="_Toc88209941"/>
      <w:bookmarkStart w:id="55" w:name="_Toc6308"/>
      <w:bookmarkStart w:id="56" w:name="_Toc21079"/>
      <w:bookmarkStart w:id="57" w:name="_Toc30530"/>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宋体" w:hAnsi="宋体"/>
          <w:b/>
          <w:color w:val="auto"/>
          <w:sz w:val="28"/>
          <w:szCs w:val="28"/>
          <w:highlight w:val="none"/>
        </w:rPr>
      </w:pPr>
      <w:r>
        <w:rPr>
          <w:rFonts w:hint="eastAsia" w:ascii="宋体" w:hAnsi="宋体"/>
          <w:b/>
          <w:color w:val="auto"/>
          <w:sz w:val="28"/>
          <w:szCs w:val="28"/>
          <w:highlight w:val="none"/>
        </w:rPr>
        <w:t>1.评审方法</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t>（1）运输费用及保险费。</w:t>
      </w:r>
      <w:r>
        <w:rPr>
          <w:rFonts w:hint="eastAsia" w:ascii="仿宋_GB2312" w:hAnsi="宋体" w:eastAsia="仿宋_GB2312"/>
          <w:color w:val="auto"/>
          <w:sz w:val="28"/>
          <w:szCs w:val="28"/>
          <w:highlight w:val="none"/>
          <w:lang w:eastAsia="zh-CN"/>
        </w:rPr>
        <w:t>（如有）</w:t>
      </w: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（3）支付条件。</w:t>
      </w:r>
    </w:p>
    <w:p>
      <w:pPr>
        <w:adjustRightInd w:val="0"/>
        <w:snapToGrid w:val="0"/>
        <w:spacing w:line="600" w:lineRule="exact"/>
        <w:ind w:firstLine="420" w:firstLineChars="1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（5）价格调整因素。</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b/>
          <w:color w:val="auto"/>
          <w:sz w:val="28"/>
          <w:szCs w:val="28"/>
          <w:highlight w:val="none"/>
        </w:rPr>
      </w:pPr>
      <w:r>
        <w:rPr>
          <w:rFonts w:hint="eastAsia" w:ascii="宋体" w:hAnsi="宋体"/>
          <w:b/>
          <w:color w:val="auto"/>
          <w:sz w:val="28"/>
          <w:szCs w:val="28"/>
          <w:highlight w:val="none"/>
        </w:rPr>
        <w:t>2.评审程序</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 初步评审</w:t>
      </w:r>
    </w:p>
    <w:p>
      <w:pPr>
        <w:adjustRightInd w:val="0"/>
        <w:snapToGrid w:val="0"/>
        <w:spacing w:line="600" w:lineRule="exact"/>
        <w:jc w:val="left"/>
        <w:rPr>
          <w:rFonts w:ascii="仿宋_GB2312" w:hAnsi="宋体" w:eastAsia="仿宋_GB2312"/>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hAnsi="宋体" w:eastAsia="仿宋_GB2312"/>
          <w:color w:val="auto"/>
          <w:szCs w:val="21"/>
          <w:highlight w:val="none"/>
        </w:rPr>
        <w:t>说明：初步评审活动依照</w:t>
      </w:r>
      <w:r>
        <w:rPr>
          <w:rFonts w:hint="eastAsia" w:ascii="仿宋_GB2312" w:hAnsi="宋体" w:eastAsia="仿宋_GB2312"/>
          <w:color w:val="auto"/>
          <w:szCs w:val="21"/>
          <w:highlight w:val="none"/>
          <w:lang w:val="en-US" w:eastAsia="zh-CN"/>
        </w:rPr>
        <w:t>形式评审、</w:t>
      </w:r>
      <w:r>
        <w:rPr>
          <w:rFonts w:hint="eastAsia" w:ascii="仿宋_GB2312" w:hAnsi="宋体" w:eastAsia="仿宋_GB2312"/>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2.2澄清补正</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hAnsi="宋体" w:eastAsia="仿宋_GB2312"/>
          <w:color w:val="auto"/>
          <w:sz w:val="28"/>
          <w:szCs w:val="28"/>
          <w:highlight w:val="none"/>
          <w:lang w:val="en-US" w:eastAsia="zh-CN"/>
        </w:rPr>
        <w:t>或</w:t>
      </w:r>
      <w:r>
        <w:rPr>
          <w:rFonts w:hint="eastAsia" w:ascii="仿宋_GB2312" w:hAnsi="宋体" w:eastAsia="仿宋_GB2312"/>
          <w:color w:val="auto"/>
          <w:sz w:val="28"/>
          <w:szCs w:val="28"/>
          <w:highlight w:val="none"/>
        </w:rPr>
        <w:t>否决其响应。</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hAnsi="宋体" w:eastAsia="仿宋_GB2312"/>
          <w:color w:val="auto"/>
          <w:sz w:val="28"/>
          <w:szCs w:val="28"/>
          <w:highlight w:val="none"/>
          <w:lang w:val="en-US" w:eastAsia="zh-CN"/>
        </w:rPr>
        <w:t>或</w:t>
      </w:r>
      <w:r>
        <w:rPr>
          <w:rFonts w:hint="eastAsia" w:ascii="仿宋_GB2312" w:hAnsi="宋体" w:eastAsia="仿宋_GB2312"/>
          <w:color w:val="auto"/>
          <w:sz w:val="28"/>
          <w:szCs w:val="28"/>
          <w:highlight w:val="none"/>
        </w:rPr>
        <w:t>否决其响应。</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adjustRightInd w:val="0"/>
        <w:snapToGrid w:val="0"/>
        <w:spacing w:line="600" w:lineRule="exact"/>
        <w:jc w:val="left"/>
        <w:rPr>
          <w:rFonts w:ascii="仿宋_GB2312" w:hAnsi="宋体" w:eastAsia="仿宋_GB2312"/>
          <w:color w:val="auto"/>
          <w:szCs w:val="21"/>
          <w:highlight w:val="none"/>
        </w:rPr>
      </w:pPr>
    </w:p>
    <w:p>
      <w:pPr>
        <w:adjustRightInd w:val="0"/>
        <w:snapToGrid w:val="0"/>
        <w:spacing w:line="600" w:lineRule="exact"/>
        <w:jc w:val="left"/>
        <w:rPr>
          <w:rFonts w:ascii="仿宋_GB2312" w:hAnsi="宋体" w:eastAsia="仿宋_GB2312"/>
          <w:color w:val="auto"/>
          <w:szCs w:val="21"/>
          <w:highlight w:val="none"/>
        </w:rPr>
      </w:pPr>
    </w:p>
    <w:p>
      <w:pPr>
        <w:adjustRightInd w:val="0"/>
        <w:snapToGrid w:val="0"/>
        <w:spacing w:line="600" w:lineRule="exact"/>
        <w:jc w:val="left"/>
        <w:rPr>
          <w:rFonts w:ascii="仿宋_GB2312" w:hAnsi="宋体" w:eastAsia="仿宋_GB2312"/>
          <w:color w:val="auto"/>
          <w:szCs w:val="21"/>
          <w:highlight w:val="none"/>
        </w:rPr>
      </w:pPr>
    </w:p>
    <w:p>
      <w:pPr>
        <w:adjustRightInd w:val="0"/>
        <w:snapToGrid w:val="0"/>
        <w:spacing w:line="600" w:lineRule="exact"/>
        <w:jc w:val="left"/>
        <w:rPr>
          <w:rFonts w:ascii="仿宋_GB2312" w:hAnsi="宋体" w:eastAsia="仿宋_GB2312"/>
          <w:color w:val="auto"/>
          <w:szCs w:val="21"/>
          <w:highlight w:val="none"/>
        </w:rPr>
      </w:pPr>
    </w:p>
    <w:p>
      <w:pPr>
        <w:adjustRightInd w:val="0"/>
        <w:snapToGrid w:val="0"/>
        <w:spacing w:line="600" w:lineRule="exact"/>
        <w:jc w:val="left"/>
        <w:rPr>
          <w:rFonts w:ascii="仿宋_GB2312" w:hAnsi="宋体" w:eastAsia="仿宋_GB2312"/>
          <w:color w:val="auto"/>
          <w:szCs w:val="21"/>
          <w:highlight w:val="none"/>
        </w:rPr>
      </w:pPr>
    </w:p>
    <w:p>
      <w:pPr>
        <w:adjustRightInd w:val="0"/>
        <w:snapToGrid w:val="0"/>
        <w:spacing w:line="600" w:lineRule="exact"/>
        <w:jc w:val="left"/>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2"/>
        <w:rPr>
          <w:rFonts w:ascii="仿宋_GB2312" w:hAnsi="宋体" w:eastAsia="仿宋_GB2312"/>
          <w:color w:val="auto"/>
          <w:szCs w:val="21"/>
          <w:highlight w:val="none"/>
        </w:rPr>
      </w:pPr>
    </w:p>
    <w:p>
      <w:pPr>
        <w:pStyle w:val="4"/>
        <w:rPr>
          <w:rFonts w:hint="eastAsia"/>
          <w:color w:val="auto"/>
          <w:highlight w:val="none"/>
        </w:rPr>
      </w:pPr>
      <w:bookmarkStart w:id="60" w:name="_Toc88209947"/>
      <w:r>
        <w:rPr>
          <w:color w:val="auto"/>
          <w:highlight w:val="none"/>
        </w:rPr>
        <mc:AlternateContent>
          <mc:Choice Requires="wps">
            <w:drawing>
              <wp:anchor distT="0" distB="0" distL="0" distR="0" simplePos="0" relativeHeight="251659264" behindDoc="0" locked="0" layoutInCell="1" allowOverlap="1">
                <wp:simplePos x="0" y="0"/>
                <wp:positionH relativeFrom="column">
                  <wp:posOffset>2348230</wp:posOffset>
                </wp:positionH>
                <wp:positionV relativeFrom="paragraph">
                  <wp:posOffset>219075</wp:posOffset>
                </wp:positionV>
                <wp:extent cx="958850" cy="0"/>
                <wp:effectExtent l="0" t="0" r="0" b="0"/>
                <wp:wrapNone/>
                <wp:docPr id="103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25" o:spid="_x0000_s1026" o:spt="32" type="#_x0000_t32" style="position:absolute;left:0pt;margin-left:184.9pt;margin-top:17.25pt;height:0pt;width:75.5pt;z-index:25165926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2LetYAAAAJAQAADwAAAAAAAAABACAAAAAiAAAAZHJzL2Rvd25yZXYueG1s&#10;UEsBAhQAFAAAAAgAh07iQEpadd76AQAA8AMAAA4AAAAAAAAAAQAgAAAAJQEAAGRycy9lMm9Eb2Mu&#10;eG1sUEsFBgAAAAAGAAYAWQEAAJE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34" name="自选图形 24"/>
                <wp:cNvGraphicFramePr/>
                <a:graphic xmlns:a="http://schemas.openxmlformats.org/drawingml/2006/main">
                  <a:graphicData uri="http://schemas.microsoft.com/office/word/2010/wordprocessingShape">
                    <wps:wsp>
                      <wps:cNvCnPr/>
                      <wps:spPr>
                        <a:xfrm>
                          <a:off x="0" y="0"/>
                          <a:ext cx="958849"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5926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rsmv3vsBAADw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textAlignment w:val="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en-US" w:eastAsia="zh-CN"/>
        </w:rPr>
        <w:t>一、</w:t>
      </w:r>
      <w:r>
        <w:rPr>
          <w:rFonts w:hint="eastAsia" w:ascii="仿宋" w:hAnsi="仿宋" w:eastAsia="仿宋" w:cs="仿宋_GB2312"/>
          <w:b/>
          <w:color w:val="auto"/>
          <w:sz w:val="28"/>
          <w:szCs w:val="28"/>
          <w:highlight w:val="none"/>
          <w:lang w:val="zh-CN"/>
        </w:rPr>
        <w:t>项目情况介绍</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jc w:val="left"/>
        <w:textAlignment w:val="auto"/>
        <w:rPr>
          <w:rFonts w:hint="eastAsia" w:ascii="宋体" w:hAnsi="Courier New" w:eastAsia="宋体"/>
          <w:color w:val="auto"/>
          <w:sz w:val="24"/>
          <w:szCs w:val="24"/>
          <w:highlight w:val="none"/>
          <w:lang w:val="en-US" w:eastAsia="zh-CN"/>
        </w:rPr>
      </w:pPr>
      <w:r>
        <w:rPr>
          <w:rFonts w:hint="eastAsia" w:ascii="宋体" w:hAnsi="Courier New" w:eastAsia="宋体"/>
          <w:color w:val="auto"/>
          <w:sz w:val="24"/>
          <w:szCs w:val="24"/>
          <w:highlight w:val="none"/>
          <w:lang w:val="en-US" w:eastAsia="zh-CN"/>
        </w:rPr>
        <w:t>净水公司拟</w:t>
      </w:r>
      <w:r>
        <w:rPr>
          <w:rFonts w:hint="eastAsia" w:ascii="宋体" w:hAnsi="Courier New" w:eastAsia="宋体"/>
          <w:color w:val="auto"/>
          <w:sz w:val="24"/>
          <w:szCs w:val="24"/>
          <w:highlight w:val="none"/>
        </w:rPr>
        <w:t>采购</w:t>
      </w:r>
      <w:r>
        <w:rPr>
          <w:rFonts w:hint="eastAsia" w:ascii="宋体" w:hAnsi="Courier New" w:eastAsia="宋体"/>
          <w:color w:val="auto"/>
          <w:sz w:val="24"/>
          <w:szCs w:val="24"/>
          <w:highlight w:val="none"/>
          <w:lang w:val="en-US" w:eastAsia="zh-CN"/>
        </w:rPr>
        <w:t>10台便携式水质分析仪，</w:t>
      </w:r>
      <w:r>
        <w:rPr>
          <w:rFonts w:hint="eastAsia" w:ascii="宋体" w:hAnsi="Courier New" w:eastAsia="宋体" w:cs="宋体"/>
          <w:color w:val="auto"/>
          <w:sz w:val="24"/>
          <w:szCs w:val="24"/>
          <w:highlight w:val="none"/>
          <w:lang w:val="en-US" w:eastAsia="zh-CN"/>
        </w:rPr>
        <w:t>对生化池过程段的磷氮指标进行定期检测</w:t>
      </w:r>
      <w:r>
        <w:rPr>
          <w:rFonts w:hint="eastAsia" w:ascii="宋体" w:hAnsi="Courier New" w:eastAsia="宋体"/>
          <w:color w:val="auto"/>
          <w:sz w:val="24"/>
          <w:szCs w:val="24"/>
          <w:highlight w:val="none"/>
          <w:lang w:val="en-US" w:eastAsia="zh-CN"/>
        </w:rPr>
        <w:t>。</w:t>
      </w:r>
    </w:p>
    <w:p>
      <w:pPr>
        <w:pStyle w:val="15"/>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firstLine="0" w:firstLineChars="0"/>
        <w:textAlignment w:val="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pStyle w:val="15"/>
        <w:numPr>
          <w:ilvl w:val="-1"/>
          <w:numId w:val="0"/>
        </w:numPr>
        <w:adjustRightInd w:val="0"/>
        <w:snapToGrid w:val="0"/>
        <w:spacing w:line="300" w:lineRule="auto"/>
        <w:rPr>
          <w:rFonts w:hint="default"/>
          <w:color w:val="auto"/>
          <w:sz w:val="24"/>
          <w:szCs w:val="24"/>
          <w:highlight w:val="none"/>
          <w:u w:val="single"/>
          <w:lang w:val="en-US" w:eastAsia="zh-CN"/>
        </w:rPr>
      </w:pPr>
      <w:r>
        <w:rPr>
          <w:rFonts w:hint="eastAsia"/>
          <w:color w:val="auto"/>
          <w:sz w:val="24"/>
          <w:szCs w:val="24"/>
          <w:highlight w:val="none"/>
          <w:u w:val="single"/>
          <w:lang w:val="en-US" w:eastAsia="zh-CN"/>
        </w:rPr>
        <w:t>▲报价人供货物需提供符合技术要求参数的第三方检测报告。</w:t>
      </w:r>
    </w:p>
    <w:p>
      <w:pPr>
        <w:pStyle w:val="31"/>
        <w:rPr>
          <w:rFonts w:hint="default"/>
          <w:color w:val="auto"/>
          <w:highlight w:val="none"/>
          <w:lang w:val="en-US" w:eastAsia="zh-CN"/>
        </w:rPr>
      </w:pPr>
      <w:r>
        <w:rPr>
          <w:rFonts w:hint="default"/>
          <w:color w:val="auto"/>
          <w:highlight w:val="none"/>
          <w:lang w:val="en-US" w:eastAsia="zh-CN"/>
        </w:rPr>
        <w:t>(1)预置曲线：可直接用于分析磷酸盐、硝酸盐、COD、氨氮、余氯、总氮、总磷等近100个水质参数分析。</w:t>
      </w:r>
    </w:p>
    <w:p>
      <w:pPr>
        <w:pStyle w:val="31"/>
        <w:rPr>
          <w:rFonts w:hint="default"/>
          <w:color w:val="auto"/>
          <w:highlight w:val="none"/>
          <w:lang w:val="en-US" w:eastAsia="zh-CN"/>
        </w:rPr>
      </w:pPr>
      <w:r>
        <w:rPr>
          <w:rFonts w:hint="default"/>
          <w:color w:val="auto"/>
          <w:highlight w:val="none"/>
          <w:lang w:val="en-US" w:eastAsia="zh-CN"/>
        </w:rPr>
        <w:t>(2)波长准确性：±2nm；</w:t>
      </w:r>
    </w:p>
    <w:p>
      <w:pPr>
        <w:pStyle w:val="31"/>
        <w:rPr>
          <w:rFonts w:hint="default"/>
          <w:color w:val="auto"/>
          <w:highlight w:val="none"/>
          <w:lang w:val="en-US" w:eastAsia="zh-CN"/>
        </w:rPr>
      </w:pPr>
      <w:r>
        <w:rPr>
          <w:rFonts w:hint="default"/>
          <w:color w:val="auto"/>
          <w:highlight w:val="none"/>
          <w:lang w:val="en-US" w:eastAsia="zh-CN"/>
        </w:rPr>
        <w:t>(3)波长重复性：±0.1nm；</w:t>
      </w:r>
    </w:p>
    <w:p>
      <w:pPr>
        <w:pStyle w:val="31"/>
        <w:rPr>
          <w:rFonts w:hint="default"/>
          <w:color w:val="auto"/>
          <w:highlight w:val="none"/>
          <w:lang w:val="en-US" w:eastAsia="zh-CN"/>
        </w:rPr>
      </w:pPr>
      <w:r>
        <w:rPr>
          <w:rFonts w:hint="default"/>
          <w:color w:val="auto"/>
          <w:highlight w:val="none"/>
          <w:lang w:val="en-US" w:eastAsia="zh-CN"/>
        </w:rPr>
        <w:t>(4)光谱带宽：5nm；</w:t>
      </w:r>
    </w:p>
    <w:p>
      <w:pPr>
        <w:pStyle w:val="31"/>
        <w:rPr>
          <w:rFonts w:hint="default"/>
          <w:color w:val="auto"/>
          <w:highlight w:val="none"/>
          <w:lang w:val="en-US" w:eastAsia="zh-CN"/>
        </w:rPr>
      </w:pPr>
      <w:r>
        <w:rPr>
          <w:rFonts w:hint="default"/>
          <w:color w:val="auto"/>
          <w:highlight w:val="none"/>
          <w:lang w:val="en-US" w:eastAsia="zh-CN"/>
        </w:rPr>
        <w:t>(5)光度计测量范围：±3.0 Abs</w:t>
      </w:r>
    </w:p>
    <w:p>
      <w:pPr>
        <w:pStyle w:val="31"/>
        <w:rPr>
          <w:rFonts w:hint="default"/>
          <w:color w:val="auto"/>
          <w:highlight w:val="none"/>
          <w:lang w:val="en-US" w:eastAsia="zh-CN"/>
        </w:rPr>
      </w:pPr>
      <w:r>
        <w:rPr>
          <w:rFonts w:hint="default"/>
          <w:color w:val="auto"/>
          <w:highlight w:val="none"/>
          <w:lang w:val="en-US" w:eastAsia="zh-CN"/>
        </w:rPr>
        <w:t xml:space="preserve">(6)光度计准确度：±0.003Abs（0.0~0.5 Abs），1% （0.50~2.0 Abs） </w:t>
      </w:r>
    </w:p>
    <w:p>
      <w:pPr>
        <w:pStyle w:val="31"/>
        <w:rPr>
          <w:rFonts w:hint="default"/>
          <w:color w:val="auto"/>
          <w:highlight w:val="none"/>
          <w:lang w:val="en-US" w:eastAsia="zh-CN"/>
        </w:rPr>
      </w:pPr>
      <w:r>
        <w:rPr>
          <w:rFonts w:hint="default"/>
          <w:color w:val="auto"/>
          <w:highlight w:val="none"/>
          <w:lang w:val="en-US" w:eastAsia="zh-CN"/>
        </w:rPr>
        <w:t xml:space="preserve">(7)光度计线性：&lt; 0.5%（0.5~2.0 Abs），≤ 1%（大于2.0 Abs时） </w:t>
      </w:r>
    </w:p>
    <w:p>
      <w:pPr>
        <w:pStyle w:val="31"/>
        <w:rPr>
          <w:rFonts w:hint="default"/>
          <w:color w:val="auto"/>
          <w:highlight w:val="none"/>
          <w:lang w:val="en-US" w:eastAsia="zh-CN"/>
        </w:rPr>
      </w:pPr>
      <w:r>
        <w:rPr>
          <w:rFonts w:hint="default"/>
          <w:color w:val="auto"/>
          <w:highlight w:val="none"/>
          <w:lang w:val="en-US" w:eastAsia="zh-CN"/>
        </w:rPr>
        <w:t>(8)杂散光：&lt; 0.5% T（340nm，NaNO2）</w:t>
      </w:r>
    </w:p>
    <w:p>
      <w:pPr>
        <w:pStyle w:val="31"/>
        <w:rPr>
          <w:rFonts w:hint="default"/>
          <w:color w:val="auto"/>
          <w:highlight w:val="none"/>
          <w:lang w:val="en-US" w:eastAsia="zh-CN"/>
        </w:rPr>
      </w:pPr>
      <w:r>
        <w:rPr>
          <w:rFonts w:hint="default"/>
          <w:color w:val="auto"/>
          <w:highlight w:val="none"/>
          <w:lang w:val="en-US" w:eastAsia="zh-CN"/>
        </w:rPr>
        <w:t>(9)用户可自建曲线：50条。</w:t>
      </w:r>
    </w:p>
    <w:p>
      <w:pPr>
        <w:pStyle w:val="31"/>
        <w:rPr>
          <w:rFonts w:hint="default"/>
          <w:color w:val="auto"/>
          <w:highlight w:val="none"/>
          <w:lang w:val="en-US" w:eastAsia="zh-CN"/>
        </w:rPr>
      </w:pPr>
      <w:r>
        <w:rPr>
          <w:rFonts w:hint="default"/>
          <w:color w:val="auto"/>
          <w:highlight w:val="none"/>
          <w:lang w:val="en-US" w:eastAsia="zh-CN"/>
        </w:rPr>
        <w:t>(10)具有显示屏，操作语言包含中文。</w:t>
      </w:r>
    </w:p>
    <w:p>
      <w:pPr>
        <w:pStyle w:val="31"/>
        <w:rPr>
          <w:rFonts w:hint="default"/>
          <w:color w:val="auto"/>
          <w:highlight w:val="none"/>
          <w:lang w:val="en-US" w:eastAsia="zh-CN"/>
        </w:rPr>
      </w:pPr>
      <w:r>
        <w:rPr>
          <w:rFonts w:hint="default"/>
          <w:color w:val="auto"/>
          <w:highlight w:val="none"/>
          <w:lang w:val="en-US" w:eastAsia="zh-CN"/>
        </w:rPr>
        <w:t>(11)由于实际使用环境可能受雨水侵袭，防护等级不低于IP67。</w:t>
      </w:r>
    </w:p>
    <w:p>
      <w:pPr>
        <w:pStyle w:val="31"/>
        <w:rPr>
          <w:rFonts w:hint="default"/>
          <w:color w:val="auto"/>
          <w:highlight w:val="none"/>
          <w:lang w:val="en-US" w:eastAsia="zh-CN"/>
        </w:rPr>
      </w:pPr>
      <w:r>
        <w:rPr>
          <w:rFonts w:hint="default"/>
          <w:color w:val="auto"/>
          <w:highlight w:val="none"/>
          <w:lang w:val="en-US" w:eastAsia="zh-CN"/>
        </w:rPr>
        <w:t>(12)数据储存量≥500。</w:t>
      </w:r>
    </w:p>
    <w:p>
      <w:pPr>
        <w:pStyle w:val="31"/>
        <w:rPr>
          <w:rFonts w:hint="default"/>
          <w:color w:val="auto"/>
          <w:highlight w:val="none"/>
          <w:lang w:val="en-US" w:eastAsia="zh-CN"/>
        </w:rPr>
      </w:pPr>
      <w:r>
        <w:rPr>
          <w:rFonts w:hint="default"/>
          <w:color w:val="auto"/>
          <w:highlight w:val="none"/>
          <w:lang w:val="en-US" w:eastAsia="zh-CN"/>
        </w:rPr>
        <w:t>(13)供电模式包括AA电池、电池模块、外置电源。</w:t>
      </w:r>
    </w:p>
    <w:p>
      <w:pPr>
        <w:pStyle w:val="31"/>
        <w:rPr>
          <w:rFonts w:hint="default"/>
          <w:color w:val="auto"/>
          <w:highlight w:val="none"/>
          <w:lang w:val="en-US" w:eastAsia="zh-CN"/>
        </w:rPr>
      </w:pPr>
      <w:r>
        <w:rPr>
          <w:rFonts w:hint="default"/>
          <w:color w:val="auto"/>
          <w:highlight w:val="none"/>
          <w:lang w:val="en-US" w:eastAsia="zh-CN"/>
        </w:rPr>
        <w:t>(14)产品在温度处于10-40摄氏度以内、相对湿度小于等于80%以内可正常工作。</w:t>
      </w:r>
    </w:p>
    <w:p>
      <w:pPr>
        <w:pStyle w:val="31"/>
        <w:rPr>
          <w:rFonts w:hint="default"/>
          <w:color w:val="auto"/>
          <w:highlight w:val="none"/>
          <w:lang w:val="en-US" w:eastAsia="zh-CN"/>
        </w:rPr>
      </w:pPr>
      <w:r>
        <w:rPr>
          <w:rFonts w:hint="default"/>
          <w:color w:val="auto"/>
          <w:highlight w:val="none"/>
          <w:lang w:val="en-US" w:eastAsia="zh-CN"/>
        </w:rPr>
        <w:t>(15)具备浓度、吸光度、透过率等测量模式。</w:t>
      </w:r>
    </w:p>
    <w:p>
      <w:pPr>
        <w:pStyle w:val="31"/>
        <w:rPr>
          <w:rFonts w:hint="default"/>
          <w:color w:val="auto"/>
          <w:highlight w:val="none"/>
          <w:lang w:val="en-US" w:eastAsia="zh-CN"/>
        </w:rPr>
      </w:pPr>
      <w:r>
        <w:rPr>
          <w:rFonts w:hint="default"/>
          <w:color w:val="auto"/>
          <w:highlight w:val="none"/>
          <w:lang w:val="en-US" w:eastAsia="zh-CN"/>
        </w:rPr>
        <w:t>(16)波长范围为340至800nm，具备波长自动选择功能。</w:t>
      </w:r>
    </w:p>
    <w:p>
      <w:pPr>
        <w:pStyle w:val="31"/>
        <w:rPr>
          <w:rFonts w:hint="default"/>
          <w:color w:val="auto"/>
          <w:highlight w:val="none"/>
          <w:lang w:val="en-US" w:eastAsia="zh-CN"/>
        </w:rPr>
      </w:pPr>
      <w:r>
        <w:rPr>
          <w:rFonts w:hint="default"/>
          <w:color w:val="auto"/>
          <w:highlight w:val="none"/>
          <w:lang w:val="en-US" w:eastAsia="zh-CN"/>
        </w:rPr>
        <w:t>(17)光度计测量范围：±3.0 Abs；光度计准确度：±0.003Abs（0.0~0.5 Abs），1% （0.50~2.0 Abs）。</w:t>
      </w:r>
    </w:p>
    <w:p>
      <w:pPr>
        <w:pStyle w:val="31"/>
        <w:rPr>
          <w:rFonts w:hint="default"/>
          <w:color w:val="auto"/>
          <w:highlight w:val="none"/>
          <w:lang w:val="en-US" w:eastAsia="zh-CN"/>
        </w:rPr>
      </w:pPr>
      <w:r>
        <w:rPr>
          <w:rFonts w:hint="default"/>
          <w:color w:val="auto"/>
          <w:highlight w:val="none"/>
          <w:lang w:val="en-US" w:eastAsia="zh-CN"/>
        </w:rPr>
        <w:t>(18)需便携，重量不高于2kg。</w:t>
      </w:r>
    </w:p>
    <w:p>
      <w:pPr>
        <w:pStyle w:val="21"/>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spacing w:line="500" w:lineRule="exact"/>
        <w:rPr>
          <w:rFonts w:hint="default" w:eastAsiaTheme="minorEastAsia"/>
          <w:b/>
          <w:bCs w:val="0"/>
          <w:color w:val="auto"/>
          <w:sz w:val="24"/>
          <w:szCs w:val="24"/>
          <w:highlight w:val="none"/>
          <w:lang w:val="en-US" w:eastAsia="zh-CN"/>
        </w:rPr>
      </w:pPr>
      <w:r>
        <w:rPr>
          <w:rFonts w:hint="eastAsia" w:ascii="仿宋_GB2312" w:hAnsi="仿宋_GB2312" w:eastAsia="仿宋_GB2312" w:cs="仿宋_GB2312"/>
          <w:b w:val="0"/>
          <w:bCs/>
          <w:color w:val="auto"/>
          <w:kern w:val="2"/>
          <w:sz w:val="28"/>
          <w:szCs w:val="28"/>
          <w:highlight w:val="none"/>
          <w:lang w:val="en-US" w:eastAsia="zh-CN" w:bidi="ar-SA"/>
        </w:rPr>
        <w:t>2.基本要求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2.1供货范围：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总则：标准化的外观、运行、维修、备品备件以及制造商服务，所提供的设备必须是一个制造商的最终产品。每台水质分析仪应成套地配备安全、有效及可靠运行所需的附件，主要包括，但不限于：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（1）装配完整的全新、未经使用的水质分析仪；</w:t>
      </w:r>
    </w:p>
    <w:p>
      <w:pPr>
        <w:pStyle w:val="2"/>
        <w:keepNext w:val="0"/>
        <w:keepLines w:val="0"/>
        <w:pageBreakBefore w:val="0"/>
        <w:widowControl w:val="0"/>
        <w:kinsoku/>
        <w:wordWrap/>
        <w:overflowPunct/>
        <w:topLinePunct w:val="0"/>
        <w:autoSpaceDE/>
        <w:autoSpaceDN/>
        <w:bidi w:val="0"/>
        <w:spacing w:line="500" w:lineRule="exact"/>
        <w:ind w:left="0" w:leftChars="0" w:firstLine="280" w:firstLineChars="1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三、项目商务要求</w:t>
      </w:r>
    </w:p>
    <w:p>
      <w:pPr>
        <w:pStyle w:val="2"/>
        <w:keepNext w:val="0"/>
        <w:keepLines w:val="0"/>
        <w:pageBreakBefore w:val="0"/>
        <w:widowControl w:val="0"/>
        <w:kinsoku/>
        <w:wordWrap/>
        <w:overflowPunct/>
        <w:topLinePunct w:val="0"/>
        <w:autoSpaceDE/>
        <w:autoSpaceDN/>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1.包装、运输、安装及保管、保险：</w:t>
      </w:r>
    </w:p>
    <w:p>
      <w:pPr>
        <w:pStyle w:val="2"/>
        <w:keepNext w:val="0"/>
        <w:keepLines w:val="0"/>
        <w:pageBreakBefore w:val="0"/>
        <w:widowControl w:val="0"/>
        <w:kinsoku/>
        <w:wordWrap/>
        <w:overflowPunct/>
        <w:topLinePunct w:val="0"/>
        <w:autoSpaceDE/>
        <w:autoSpaceDN/>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（1）报价人所供货物应为制造商原装出厂包装，包装须符合同等相关标准，因包装不良造成的损失由报价人负责。</w:t>
      </w:r>
    </w:p>
    <w:p>
      <w:pPr>
        <w:pStyle w:val="2"/>
        <w:keepNext w:val="0"/>
        <w:keepLines w:val="0"/>
        <w:pageBreakBefore w:val="0"/>
        <w:widowControl w:val="0"/>
        <w:kinsoku/>
        <w:wordWrap/>
        <w:overflowPunct/>
        <w:topLinePunct w:val="0"/>
        <w:autoSpaceDE/>
        <w:autoSpaceDN/>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（2）报价人负责将产品送到现场过程中的全部运输，包括装卸车、货物现场的搬运等。</w:t>
      </w:r>
    </w:p>
    <w:p>
      <w:pPr>
        <w:pStyle w:val="2"/>
        <w:keepNext w:val="0"/>
        <w:keepLines w:val="0"/>
        <w:pageBreakBefore w:val="0"/>
        <w:widowControl w:val="0"/>
        <w:kinsoku/>
        <w:wordWrap/>
        <w:overflowPunct/>
        <w:topLinePunct w:val="0"/>
        <w:autoSpaceDE/>
        <w:autoSpaceDN/>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（3）供货期：合同签订后，</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 xml:space="preserve"> 个日历天内到货；</w:t>
      </w:r>
    </w:p>
    <w:p>
      <w:pPr>
        <w:pStyle w:val="2"/>
        <w:keepNext w:val="0"/>
        <w:keepLines w:val="0"/>
        <w:pageBreakBefore w:val="0"/>
        <w:widowControl w:val="0"/>
        <w:kinsoku/>
        <w:wordWrap/>
        <w:overflowPunct/>
        <w:topLinePunct w:val="0"/>
        <w:autoSpaceDE/>
        <w:autoSpaceDN/>
        <w:bidi w:val="0"/>
        <w:spacing w:line="500" w:lineRule="exact"/>
        <w:ind w:firstLine="1120" w:firstLineChars="4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交货地点：</w:t>
      </w:r>
      <w:r>
        <w:rPr>
          <w:rFonts w:hint="eastAsia" w:ascii="仿宋_GB2312" w:hAnsi="仿宋_GB2312" w:eastAsia="仿宋_GB2312" w:cs="仿宋_GB2312"/>
          <w:color w:val="auto"/>
          <w:sz w:val="28"/>
          <w:szCs w:val="28"/>
          <w:highlight w:val="none"/>
          <w:u w:val="single"/>
          <w:lang w:val="en-US" w:eastAsia="zh-CN"/>
        </w:rPr>
        <w:t>广州市净水有限公司（</w:t>
      </w:r>
      <w:r>
        <w:rPr>
          <w:rFonts w:hint="eastAsia" w:ascii="仿宋_GB2312" w:hAnsi="仿宋_GB2312" w:eastAsia="仿宋_GB2312" w:cs="仿宋_GB2312"/>
          <w:bCs w:val="0"/>
          <w:color w:val="auto"/>
          <w:sz w:val="28"/>
          <w:szCs w:val="28"/>
          <w:highlight w:val="none"/>
          <w:u w:val="single"/>
        </w:rPr>
        <w:t>最终具体交货地点以甲方通知为准</w:t>
      </w:r>
      <w:r>
        <w:rPr>
          <w:rFonts w:hint="eastAsia" w:ascii="仿宋_GB2312" w:hAnsi="仿宋_GB2312" w:eastAsia="仿宋_GB2312" w:cs="仿宋_GB2312"/>
          <w:bCs w:val="0"/>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2.质量保证及售后服务：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（1）确保货物为原装未拆封或未使用的合格产品，交货时须出具厂家出厂合格证明；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（2）货物在质保期为自供货验收合格之日起1年内免费提供维保服务。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（3）质保期如有质量问题，报价人必须24小时内派技术人员免费到现场进行维修。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3.总包及分包规定：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乙方不得转包、分包。否则，甲方有权单方面终止合同，拒收其货物，由此而造成的经济损失由乙方负责赔偿。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4.询价人将自承包商履行完合同义务之日起15个工作日内组织验收，审定报价人供货的货物合格情况，进行结算审核。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5.付款方式：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网上转账形式</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（2）报价人在收款前需提交相应金额增值税专用发票给需求单位。</w:t>
      </w:r>
    </w:p>
    <w:p>
      <w:pPr>
        <w:pStyle w:val="2"/>
        <w:keepNext w:val="0"/>
        <w:keepLines w:val="0"/>
        <w:pageBreakBefore w:val="0"/>
        <w:widowControl w:val="0"/>
        <w:kinsoku/>
        <w:wordWrap/>
        <w:overflowPunct/>
        <w:topLinePunct w:val="0"/>
        <w:autoSpaceDE/>
        <w:autoSpaceDN/>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6.承包方式：单价包干。</w:t>
      </w:r>
    </w:p>
    <w:p>
      <w:pPr>
        <w:rPr>
          <w:color w:val="auto"/>
          <w:highlight w:val="none"/>
        </w:rPr>
      </w:pPr>
      <w:r>
        <w:rPr>
          <w:rFonts w:hint="eastAsia" w:ascii="仿宋_GB2312" w:hAnsi="仿宋_GB2312" w:eastAsia="仿宋_GB2312" w:cs="仿宋_GB2312"/>
          <w:color w:val="auto"/>
          <w:sz w:val="28"/>
          <w:szCs w:val="28"/>
          <w:highlight w:val="none"/>
        </w:rPr>
        <w:br w:type="page"/>
      </w:r>
    </w:p>
    <w:bookmarkEnd w:id="60"/>
    <w:p>
      <w:pPr>
        <w:pStyle w:val="2"/>
        <w:rPr>
          <w:color w:val="auto"/>
          <w:highlight w:val="none"/>
        </w:rPr>
      </w:pPr>
    </w:p>
    <w:p>
      <w:pPr>
        <w:pStyle w:val="2"/>
        <w:rPr>
          <w:color w:val="auto"/>
          <w:highlight w:val="none"/>
        </w:rPr>
      </w:pPr>
    </w:p>
    <w:p>
      <w:pPr>
        <w:pStyle w:val="4"/>
        <w:rPr>
          <w:color w:val="auto"/>
          <w:highlight w:val="none"/>
        </w:rPr>
      </w:pPr>
      <w:bookmarkStart w:id="61" w:name="_Toc23353"/>
      <w:bookmarkStart w:id="62" w:name="_Toc15570"/>
      <w:bookmarkStart w:id="63" w:name="_Toc4680"/>
      <w:bookmarkStart w:id="64" w:name="_Toc12135"/>
      <w:bookmarkStart w:id="65" w:name="_Toc23330"/>
      <w:bookmarkStart w:id="66" w:name="_Toc537"/>
      <w:bookmarkStart w:id="67" w:name="_Toc18538"/>
      <w:bookmarkStart w:id="68" w:name="_Toc1496"/>
      <w:bookmarkStart w:id="69" w:name="_Toc29835"/>
      <w:bookmarkStart w:id="70" w:name="_Toc25925"/>
      <w:bookmarkStart w:id="71" w:name="_Toc1284"/>
      <w:r>
        <w:rPr>
          <w:color w:val="auto"/>
          <w:highlight w:val="none"/>
        </w:rPr>
        <mc:AlternateContent>
          <mc:Choice Requires="wps">
            <w:drawing>
              <wp:anchor distT="0" distB="0" distL="0" distR="0" simplePos="0" relativeHeight="25165926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50"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5926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1ZsL61wAAAAsBAAAPAAAAAAAAAAEAIAAAACIAAABkcnMvZG93bnJldi54bWxQ&#10;SwECFAAUAAAACACHTuJAXcHnLfgBAADvAwAADgAAAAAAAAABACAAAAAm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051"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5926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DrgQ1wAAAAkBAAAPAAAAAAAAAAEAIAAAACIAAABkcnMvZG93bnJldi54bWxQ&#10;SwECFAAUAAAACACHTuJAZqkjvvgBAADvAwAADgAAAAAAAAABACAAAAAmAQAAZHJzL2Uyb0RvYy54&#10;bWxQSwUGAAAAAAYABgBZAQAAkA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2"/>
        <w:rPr>
          <w:color w:val="auto"/>
          <w:highlight w:val="none"/>
        </w:rPr>
      </w:pPr>
    </w:p>
    <w:p>
      <w:pPr>
        <w:pStyle w:val="4"/>
        <w:rPr>
          <w:color w:val="auto"/>
          <w:highlight w:val="none"/>
        </w:rPr>
      </w:pPr>
      <w:bookmarkStart w:id="72" w:name="_Toc19088"/>
      <w:bookmarkStart w:id="73" w:name="_Toc12968"/>
      <w:bookmarkStart w:id="74" w:name="_Toc12721"/>
      <w:bookmarkStart w:id="75" w:name="_Toc87616386"/>
      <w:bookmarkStart w:id="76" w:name="_Toc19686"/>
      <w:bookmarkStart w:id="77" w:name="_Toc22797"/>
      <w:bookmarkStart w:id="78" w:name="_Toc323"/>
      <w:bookmarkStart w:id="79" w:name="_Toc12980"/>
      <w:bookmarkStart w:id="80" w:name="_Toc22501"/>
      <w:bookmarkStart w:id="81" w:name="_Toc1375"/>
      <w:bookmarkStart w:id="82" w:name="_Toc13309"/>
      <w:bookmarkStart w:id="83" w:name="_Toc88209949"/>
      <w:bookmarkStart w:id="84" w:name="_Toc8183"/>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jc w:val="center"/>
        <w:rPr>
          <w:rFonts w:hint="eastAsia"/>
          <w:b/>
          <w:color w:val="auto"/>
          <w:sz w:val="48"/>
          <w:szCs w:val="48"/>
          <w:highlight w:val="none"/>
        </w:rPr>
      </w:pPr>
    </w:p>
    <w:p>
      <w:pPr>
        <w:jc w:val="center"/>
        <w:rPr>
          <w:rFonts w:hint="eastAsia"/>
          <w:b/>
          <w:color w:val="auto"/>
          <w:sz w:val="48"/>
          <w:szCs w:val="48"/>
          <w:highlight w:val="none"/>
        </w:rPr>
      </w:pPr>
    </w:p>
    <w:p>
      <w:pPr>
        <w:pStyle w:val="12"/>
        <w:rPr>
          <w:rFonts w:hint="eastAsia"/>
          <w:b/>
          <w:color w:val="auto"/>
          <w:sz w:val="48"/>
          <w:szCs w:val="48"/>
          <w:highlight w:val="none"/>
        </w:rPr>
      </w:pPr>
    </w:p>
    <w:p>
      <w:pPr>
        <w:pStyle w:val="13"/>
        <w:rPr>
          <w:rFonts w:hint="eastAsia"/>
          <w:b/>
          <w:color w:val="auto"/>
          <w:sz w:val="48"/>
          <w:szCs w:val="48"/>
          <w:highlight w:val="none"/>
        </w:rPr>
      </w:pPr>
    </w:p>
    <w:p>
      <w:pPr>
        <w:pStyle w:val="13"/>
        <w:rPr>
          <w:rFonts w:hint="eastAsia"/>
          <w:b/>
          <w:color w:val="auto"/>
          <w:sz w:val="48"/>
          <w:szCs w:val="48"/>
          <w:highlight w:val="none"/>
        </w:rPr>
      </w:pPr>
    </w:p>
    <w:p>
      <w:pPr>
        <w:pStyle w:val="13"/>
        <w:rPr>
          <w:rFonts w:hint="eastAsia"/>
          <w:b/>
          <w:color w:val="auto"/>
          <w:sz w:val="48"/>
          <w:szCs w:val="48"/>
          <w:highlight w:val="none"/>
        </w:rPr>
      </w:pPr>
    </w:p>
    <w:p>
      <w:pPr>
        <w:pStyle w:val="13"/>
        <w:rPr>
          <w:rFonts w:hint="eastAsia"/>
          <w:b/>
          <w:color w:val="auto"/>
          <w:sz w:val="48"/>
          <w:szCs w:val="48"/>
          <w:highlight w:val="none"/>
        </w:rPr>
      </w:pPr>
    </w:p>
    <w:p>
      <w:pPr>
        <w:pStyle w:val="13"/>
        <w:rPr>
          <w:rFonts w:hint="eastAsia"/>
          <w:b/>
          <w:color w:val="auto"/>
          <w:sz w:val="48"/>
          <w:szCs w:val="48"/>
          <w:highlight w:val="none"/>
        </w:rPr>
      </w:pPr>
    </w:p>
    <w:p>
      <w:pPr>
        <w:pStyle w:val="13"/>
        <w:rPr>
          <w:rFonts w:hint="eastAsia"/>
          <w:b/>
          <w:color w:val="auto"/>
          <w:sz w:val="48"/>
          <w:szCs w:val="48"/>
          <w:highlight w:val="none"/>
        </w:rPr>
      </w:pPr>
    </w:p>
    <w:p>
      <w:pPr>
        <w:pStyle w:val="13"/>
        <w:rPr>
          <w:rFonts w:hint="eastAsia"/>
          <w:b/>
          <w:color w:val="auto"/>
          <w:sz w:val="48"/>
          <w:szCs w:val="48"/>
          <w:highlight w:val="none"/>
        </w:rPr>
      </w:pPr>
    </w:p>
    <w:p>
      <w:pPr>
        <w:spacing w:after="0" w:line="240" w:lineRule="auto"/>
        <w:jc w:val="right"/>
        <w:rPr>
          <w:rFonts w:hint="eastAsia" w:ascii="宋体" w:hAnsi="宋体" w:eastAsia="宋体" w:cs="Times New Roman"/>
          <w:b/>
          <w:color w:val="auto"/>
          <w:sz w:val="44"/>
          <w:highlight w:val="none"/>
          <w:lang w:val="en-US" w:eastAsia="zh-CN"/>
        </w:rPr>
      </w:pPr>
      <w:r>
        <w:rPr>
          <w:rFonts w:hint="eastAsia" w:ascii="宋体" w:hAnsi="宋体"/>
          <w:b/>
          <w:color w:val="auto"/>
          <w:sz w:val="28"/>
          <w:szCs w:val="28"/>
          <w:highlight w:val="none"/>
          <w14:shadow w14:blurRad="50800" w14:dist="38100" w14:dir="2700000" w14:sx="100000" w14:sy="100000" w14:kx="0" w14:ky="0" w14:algn="tl">
            <w14:srgbClr w14:val="000000">
              <w14:alpha w14:val="60000"/>
            </w14:srgbClr>
          </w14:shadow>
        </w:rPr>
        <w:t xml:space="preserve">                                            </w:t>
      </w:r>
    </w:p>
    <w:p>
      <w:pPr>
        <w:spacing w:after="0" w:line="240" w:lineRule="auto"/>
        <w:jc w:val="both"/>
        <w:rPr>
          <w:rFonts w:hint="eastAsia" w:ascii="宋体" w:hAnsi="宋体" w:eastAsia="宋体" w:cs="Times New Roman"/>
          <w:b/>
          <w:color w:val="auto"/>
          <w:sz w:val="44"/>
          <w:highlight w:val="none"/>
          <w:lang w:val="en-US" w:eastAsia="zh-CN"/>
        </w:rPr>
      </w:pPr>
      <w:r>
        <w:rPr>
          <w:rFonts w:hint="eastAsia" w:ascii="宋体" w:hAnsi="宋体"/>
          <w:b/>
          <w:color w:val="auto"/>
          <w:sz w:val="28"/>
          <w:szCs w:val="28"/>
          <w:highlight w:val="none"/>
          <w14:shadow w14:blurRad="50800" w14:dist="38100" w14:dir="2700000" w14:sx="100000" w14:sy="100000" w14:kx="0" w14:ky="0" w14:algn="tl">
            <w14:srgbClr w14:val="000000">
              <w14:alpha w14:val="60000"/>
            </w14:srgbClr>
          </w14:shadow>
        </w:rPr>
        <w:t xml:space="preserve">                                            </w:t>
      </w:r>
    </w:p>
    <w:p>
      <w:pPr>
        <w:jc w:val="center"/>
        <w:rPr>
          <w:b/>
          <w:color w:val="auto"/>
          <w:sz w:val="52"/>
          <w:szCs w:val="84"/>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pStyle w:val="2"/>
        <w:rPr>
          <w:color w:val="auto"/>
          <w:highlight w:val="none"/>
        </w:rPr>
      </w:pPr>
    </w:p>
    <w:p>
      <w:pPr>
        <w:rPr>
          <w:rFonts w:hint="eastAsia"/>
          <w:color w:val="auto"/>
          <w:sz w:val="30"/>
          <w:highlight w:val="none"/>
        </w:rPr>
      </w:pPr>
      <w:r>
        <w:rPr>
          <w:rFonts w:hint="eastAsia"/>
          <w:color w:val="auto"/>
          <w:sz w:val="30"/>
          <w:highlight w:val="none"/>
        </w:rPr>
        <w:t>项目名称：</w:t>
      </w:r>
      <w:r>
        <w:rPr>
          <w:rFonts w:hint="eastAsia"/>
          <w:color w:val="auto"/>
          <w:sz w:val="30"/>
          <w:highlight w:val="none"/>
          <w:lang w:eastAsia="zh-CN"/>
        </w:rPr>
        <w:t>净水公司2024年便携式水质检测仪采购项目</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2024</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rFonts w:hint="eastAsia"/>
          <w:color w:val="auto"/>
          <w:sz w:val="30"/>
          <w:highlight w:val="none"/>
        </w:rPr>
      </w:pPr>
      <w:r>
        <w:rPr>
          <w:rFonts w:hint="eastAsia"/>
          <w:color w:val="auto"/>
          <w:sz w:val="30"/>
          <w:highlight w:val="none"/>
        </w:rPr>
        <w:t>签约地点：广州市</w:t>
      </w:r>
    </w:p>
    <w:p>
      <w:pPr>
        <w:rPr>
          <w:color w:val="auto"/>
          <w:highlight w:val="none"/>
        </w:rPr>
        <w:sectPr>
          <w:footerReference r:id="rId6" w:type="default"/>
          <w:pgSz w:w="11907" w:h="16840"/>
          <w:pgMar w:top="1701" w:right="1701" w:bottom="1701" w:left="1701" w:header="851" w:footer="992" w:gutter="0"/>
          <w:pgNumType w:fmt="decimal" w:start="1"/>
          <w:cols w:space="0" w:num="1"/>
          <w:docGrid w:type="linesAndChars" w:linePitch="381" w:charSpace="0"/>
        </w:sect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净水公司2024年便携式水质检测仪采购项目 </w:t>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5"/>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afterLines="50" w:line="360" w:lineRule="auto"/>
        <w:ind w:firstLine="480" w:firstLineChars="200"/>
        <w:rPr>
          <w:rFonts w:ascii="宋体" w:hAnsi="宋体" w:cs="宋体"/>
          <w:color w:val="auto"/>
          <w:kern w:val="0"/>
          <w:sz w:val="24"/>
          <w:szCs w:val="24"/>
          <w:highlight w:val="none"/>
        </w:rPr>
      </w:pPr>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p>
    <w:p>
      <w:pPr>
        <w:spacing w:after="120" w:afterLines="50" w:line="360" w:lineRule="auto"/>
        <w:ind w:firstLine="480"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合同签订后30</w:t>
      </w:r>
      <w:r>
        <w:rPr>
          <w:rFonts w:hint="eastAsia" w:ascii="宋体" w:hAnsi="宋体" w:cs="宋体"/>
          <w:color w:val="auto"/>
          <w:sz w:val="24"/>
          <w:szCs w:val="24"/>
          <w:highlight w:val="none"/>
          <w:lang w:val="en-US" w:eastAsia="zh-CN"/>
        </w:rPr>
        <w:t>天内</w:t>
      </w:r>
      <w:r>
        <w:rPr>
          <w:rFonts w:hint="eastAsia" w:ascii="宋体" w:hAnsi="宋体" w:cs="宋体"/>
          <w:color w:val="auto"/>
          <w:sz w:val="24"/>
          <w:szCs w:val="24"/>
          <w:highlight w:val="none"/>
        </w:rPr>
        <w:t>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after="0" w:line="360" w:lineRule="auto"/>
        <w:ind w:firstLine="480"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w:t>
      </w:r>
      <w:r>
        <w:rPr>
          <w:rFonts w:hint="eastAsia" w:ascii="宋体" w:hAnsi="宋体" w:cs="宋体"/>
          <w:color w:val="auto"/>
          <w:kern w:val="0"/>
          <w:sz w:val="24"/>
          <w:szCs w:val="24"/>
          <w:highlight w:val="none"/>
          <w:u w:val="single"/>
          <w:lang w:val="en-US" w:eastAsia="zh-CN"/>
        </w:rPr>
        <w:t>指导安装调试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0"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设备到达现场，经开箱验收合格并全部调试完毕，乙方提交请款资料及等额增值税专用发票，经甲方结算审核后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5"/>
        <w:spacing w:line="360" w:lineRule="auto"/>
        <w:ind w:firstLine="525" w:firstLineChars="250"/>
        <w:outlineLvl w:val="1"/>
        <w:rPr>
          <w:rFonts w:hAnsi="宋体" w:cs="宋体"/>
          <w:color w:val="auto"/>
          <w:szCs w:val="24"/>
          <w:highlight w:val="none"/>
        </w:rPr>
      </w:pPr>
      <w:r>
        <w:rPr>
          <w:rFonts w:hAnsi="宋体" w:cs="宋体"/>
          <w:color w:val="auto"/>
          <w:szCs w:val="24"/>
          <w:highlight w:val="none"/>
        </w:rPr>
        <w:t>5.2.2</w:t>
      </w:r>
      <w:r>
        <w:rPr>
          <w:rFonts w:hint="eastAsia" w:hAnsi="宋体" w:cs="宋体"/>
          <w:color w:val="auto"/>
          <w:szCs w:val="24"/>
          <w:highlight w:val="none"/>
        </w:rPr>
        <w:t>质保期按合同第</w:t>
      </w:r>
      <w:r>
        <w:rPr>
          <w:rFonts w:hint="eastAsia" w:hAnsi="宋体" w:cs="宋体"/>
          <w:color w:val="auto"/>
          <w:szCs w:val="24"/>
          <w:highlight w:val="none"/>
          <w:lang w:val="en-US" w:eastAsia="zh-CN"/>
        </w:rPr>
        <w:t>十</w:t>
      </w:r>
      <w:r>
        <w:rPr>
          <w:rFonts w:hint="eastAsia" w:hAnsi="宋体" w:cs="宋体"/>
          <w:color w:val="auto"/>
          <w:szCs w:val="24"/>
          <w:highlight w:val="none"/>
        </w:rPr>
        <w:t>条规定执行，质保期满且乙方不存在违约情形，乙方提交请款资料及等额增值税专用发票，甲方审核无误后在</w:t>
      </w:r>
      <w:r>
        <w:rPr>
          <w:rFonts w:hAnsi="宋体" w:cs="宋体"/>
          <w:color w:val="auto"/>
          <w:szCs w:val="24"/>
          <w:highlight w:val="none"/>
          <w:u w:val="single"/>
        </w:rPr>
        <w:t xml:space="preserve"> 15 </w:t>
      </w:r>
      <w:r>
        <w:rPr>
          <w:rFonts w:hint="eastAsia" w:hAnsi="宋体" w:cs="宋体"/>
          <w:color w:val="auto"/>
          <w:szCs w:val="24"/>
          <w:highlight w:val="none"/>
        </w:rPr>
        <w:t>个工作日内支付合同结算价的</w:t>
      </w:r>
      <w:r>
        <w:rPr>
          <w:rFonts w:hAnsi="宋体" w:cs="宋体"/>
          <w:color w:val="auto"/>
          <w:szCs w:val="24"/>
          <w:highlight w:val="none"/>
        </w:rPr>
        <w:t>5</w:t>
      </w:r>
      <w:r>
        <w:rPr>
          <w:rFonts w:hint="eastAsia" w:hAnsi="宋体" w:cs="宋体"/>
          <w:color w:val="auto"/>
          <w:szCs w:val="24"/>
          <w:highlight w:val="none"/>
        </w:rPr>
        <w:t>％（质保金）给乙方</w:t>
      </w:r>
      <w:r>
        <w:rPr>
          <w:rFonts w:hAnsi="宋体" w:cs="宋体"/>
          <w:color w:val="auto"/>
          <w:szCs w:val="24"/>
          <w:highlight w:val="none"/>
        </w:rPr>
        <w:t>(</w:t>
      </w:r>
      <w:r>
        <w:rPr>
          <w:rFonts w:hint="eastAsia" w:hAnsi="宋体" w:cs="宋体"/>
          <w:color w:val="auto"/>
          <w:szCs w:val="24"/>
          <w:highlight w:val="none"/>
        </w:rPr>
        <w:t>无息</w:t>
      </w:r>
      <w:r>
        <w:rPr>
          <w:rFonts w:hAnsi="宋体" w:cs="宋体"/>
          <w:color w:val="auto"/>
          <w:szCs w:val="24"/>
          <w:highlight w:val="none"/>
        </w:rPr>
        <w:t>)</w:t>
      </w:r>
      <w:r>
        <w:rPr>
          <w:rFonts w:hint="eastAsia" w:hAnsi="宋体" w:cs="宋体"/>
          <w:color w:val="auto"/>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adjustRightInd w:val="0"/>
        <w:snapToGrid w:val="0"/>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名称：广州市净水有限公司</w:t>
      </w:r>
    </w:p>
    <w:p>
      <w:pPr>
        <w:adjustRightInd w:val="0"/>
        <w:snapToGrid w:val="0"/>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纳税人识别号：91440101755584729Q </w:t>
      </w:r>
    </w:p>
    <w:p>
      <w:pPr>
        <w:adjustRightInd w:val="0"/>
        <w:snapToGrid w:val="0"/>
        <w:spacing w:line="46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广州市天河区临江大道501号</w:t>
      </w:r>
    </w:p>
    <w:p>
      <w:pPr>
        <w:adjustRightInd w:val="0"/>
        <w:snapToGrid w:val="0"/>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电话：020-38890283</w:t>
      </w:r>
    </w:p>
    <w:p>
      <w:pPr>
        <w:adjustRightInd w:val="0"/>
        <w:snapToGrid w:val="0"/>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开户银行：中国建设银行股份有限公司广州珠江新城支行</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账号：44001420314050170338</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120" w:afterLines="50" w:line="360" w:lineRule="auto"/>
        <w:ind w:firstLine="480" w:firstLineChars="200"/>
        <w:rPr>
          <w:rFonts w:hint="eastAsia" w:ascii="宋体" w:hAnsi="宋体" w:cs="宋体"/>
          <w:b/>
          <w:bCs w:val="0"/>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3"/>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23"/>
        <w:spacing w:before="0" w:beforeAutospacing="0" w:after="0" w:afterAutospacing="0" w:line="360" w:lineRule="auto"/>
        <w:ind w:firstLine="480"/>
        <w:rPr>
          <w:rFonts w:cs="宋体"/>
          <w:highlight w:val="none"/>
        </w:rPr>
      </w:pPr>
      <w:r>
        <w:rPr>
          <w:rFonts w:hint="eastAsia" w:cs="宋体"/>
          <w:highlight w:val="none"/>
        </w:rPr>
        <w:t>1、符合甲方要求（详见附件</w:t>
      </w:r>
      <w:r>
        <w:rPr>
          <w:rFonts w:hint="eastAsia" w:cs="宋体"/>
          <w:highlight w:val="none"/>
          <w:lang w:val="en-US" w:eastAsia="zh-CN"/>
        </w:rPr>
        <w:t>5</w:t>
      </w:r>
      <w:r>
        <w:rPr>
          <w:rFonts w:hint="eastAsia" w:cs="宋体"/>
          <w:highlight w:val="none"/>
        </w:rPr>
        <w:t>保函格式）的银行独立保函，</w:t>
      </w:r>
    </w:p>
    <w:p>
      <w:pPr>
        <w:pStyle w:val="23"/>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3"/>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spacing w:after="0" w:line="360" w:lineRule="auto"/>
        <w:ind w:firstLine="480"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p>
      <w:pPr>
        <w:spacing w:before="120" w:after="120" w:line="360" w:lineRule="auto"/>
        <w:ind w:firstLine="480"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r>
        <w:rPr>
          <w:rFonts w:hint="eastAsia" w:ascii="宋体" w:hAnsi="宋体" w:cs="宋体"/>
          <w:bCs/>
          <w:color w:val="auto"/>
          <w:sz w:val="24"/>
          <w:szCs w:val="24"/>
          <w:highlight w:val="none"/>
        </w:rPr>
        <w:t>标志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adjustRightInd w:val="0"/>
        <w:snapToGrid w:val="0"/>
        <w:spacing w:before="120" w:beforeLines="50" w:after="120" w:afterLines="50" w:line="360" w:lineRule="auto"/>
        <w:ind w:firstLine="480"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0"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且不得低于法定保修期限</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w:t>
      </w:r>
      <w:r>
        <w:rPr>
          <w:rFonts w:hint="eastAsia" w:ascii="宋体" w:hAnsi="宋体" w:cs="宋体"/>
          <w:color w:val="auto"/>
          <w:kern w:val="0"/>
          <w:sz w:val="24"/>
          <w:szCs w:val="24"/>
          <w:highlight w:val="none"/>
          <w:lang w:val="en-US" w:eastAsia="zh-CN"/>
        </w:rPr>
        <w:t>出现</w:t>
      </w:r>
      <w:r>
        <w:rPr>
          <w:rFonts w:hint="eastAsia" w:ascii="宋体" w:hAnsi="宋体" w:cs="宋体"/>
          <w:color w:val="auto"/>
          <w:kern w:val="0"/>
          <w:sz w:val="24"/>
          <w:szCs w:val="24"/>
          <w:highlight w:val="none"/>
          <w:lang w:val="zh-CN"/>
        </w:rPr>
        <w:t>质量问题，乙方需无条件免费更换设备并支付合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10000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w:t>
      </w:r>
      <w:r>
        <w:rPr>
          <w:rFonts w:hint="eastAsia" w:ascii="宋体" w:hAnsi="宋体" w:cs="宋体"/>
          <w:bCs/>
          <w:color w:val="auto"/>
          <w:sz w:val="24"/>
          <w:szCs w:val="24"/>
          <w:highlight w:val="none"/>
          <w:lang w:val="en-US" w:eastAsia="zh-CN"/>
        </w:rPr>
        <w:t>第</w:t>
      </w:r>
      <w:r>
        <w:rPr>
          <w:rFonts w:hint="eastAsia" w:ascii="宋体" w:hAnsi="宋体" w:cs="宋体"/>
          <w:bCs/>
          <w:color w:val="auto"/>
          <w:sz w:val="24"/>
          <w:szCs w:val="24"/>
          <w:highlight w:val="none"/>
        </w:rPr>
        <w:t>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0"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0"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0"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spacing w:line="360" w:lineRule="auto"/>
        <w:ind w:firstLine="1200" w:firstLineChars="5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.技术需求（如需）</w:t>
      </w:r>
    </w:p>
    <w:p>
      <w:pPr>
        <w:spacing w:line="360" w:lineRule="auto"/>
        <w:ind w:firstLine="1200" w:firstLineChars="5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.履约保函（模板）</w:t>
      </w:r>
    </w:p>
    <w:tbl>
      <w:tblPr>
        <w:tblStyle w:val="25"/>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附件1：</w:t>
      </w:r>
      <w:r>
        <w:rPr>
          <w:rFonts w:hint="eastAsia" w:ascii="宋体" w:hAnsi="宋体" w:eastAsia="宋体" w:cs="宋体"/>
          <w:b/>
          <w:bCs/>
          <w:color w:val="auto"/>
          <w:sz w:val="21"/>
          <w:szCs w:val="21"/>
          <w:highlight w:val="none"/>
          <w:lang w:val="en-US" w:eastAsia="zh-CN"/>
        </w:rPr>
        <w:t>成交通知书</w:t>
      </w: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0"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0"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500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42"/>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4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附件4 </w:t>
      </w:r>
      <w:r>
        <w:rPr>
          <w:rFonts w:hint="eastAsia" w:ascii="宋体" w:hAnsi="宋体" w:eastAsia="宋体" w:cs="宋体"/>
          <w:color w:val="auto"/>
          <w:kern w:val="0"/>
          <w:sz w:val="24"/>
          <w:szCs w:val="24"/>
          <w:highlight w:val="none"/>
          <w:lang w:val="en-US" w:eastAsia="zh-CN"/>
        </w:rPr>
        <w:t>技术</w:t>
      </w:r>
      <w:r>
        <w:rPr>
          <w:rFonts w:hint="eastAsia" w:ascii="宋体" w:hAnsi="宋体" w:cs="宋体"/>
          <w:color w:val="auto"/>
          <w:kern w:val="0"/>
          <w:sz w:val="24"/>
          <w:szCs w:val="24"/>
          <w:highlight w:val="none"/>
          <w:lang w:val="zh-CN"/>
        </w:rPr>
        <w:t>需求</w:t>
      </w:r>
    </w:p>
    <w:p>
      <w:pPr>
        <w:pStyle w:val="2"/>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便携式水质检测仪</w:t>
      </w:r>
      <w:r>
        <w:rPr>
          <w:rFonts w:hint="eastAsia" w:eastAsia="宋体" w:cs="宋体"/>
          <w:color w:val="auto"/>
          <w:kern w:val="2"/>
          <w:sz w:val="24"/>
          <w:szCs w:val="24"/>
          <w:highlight w:val="none"/>
          <w:lang w:val="en-US" w:eastAsia="zh-CN" w:bidi="ar-SA"/>
        </w:rPr>
        <w:t>应</w:t>
      </w:r>
      <w:r>
        <w:rPr>
          <w:rFonts w:hint="eastAsia" w:ascii="宋体" w:hAnsi="宋体" w:eastAsia="宋体" w:cs="宋体"/>
          <w:color w:val="auto"/>
          <w:kern w:val="2"/>
          <w:sz w:val="24"/>
          <w:szCs w:val="24"/>
          <w:highlight w:val="none"/>
          <w:lang w:val="en-US" w:eastAsia="zh-CN" w:bidi="ar-SA"/>
        </w:rPr>
        <w:t>包含以下功能：</w:t>
      </w:r>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56"/>
        <w:gridCol w:w="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技术需求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2"/>
                <w:szCs w:val="22"/>
                <w:highlight w:val="none"/>
                <w:u w:val="none"/>
              </w:rPr>
            </w:pPr>
            <w:r>
              <w:rPr>
                <w:rFonts w:hint="default" w:ascii="Times New Roman" w:hAnsi="Times New Roman" w:eastAsia="宋体" w:cs="Times New Roman"/>
                <w:color w:val="auto"/>
                <w:sz w:val="24"/>
                <w:szCs w:val="24"/>
                <w:highlight w:val="none"/>
              </w:rPr>
              <w:t>预置曲线</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可直接用于分析磷酸盐、硝酸盐、COD、氨氮、余氯、总氮、总磷等近</w:t>
            </w:r>
            <w:r>
              <w:rPr>
                <w:rFonts w:hint="eastAsia" w:ascii="Times New Roman" w:hAnsi="Times New Roman" w:eastAsia="宋体" w:cs="Times New Roman"/>
                <w:color w:val="auto"/>
                <w:sz w:val="24"/>
                <w:szCs w:val="24"/>
                <w:highlight w:val="none"/>
                <w:lang w:val="en-US" w:eastAsia="zh-CN"/>
              </w:rPr>
              <w:t>100</w:t>
            </w:r>
            <w:r>
              <w:rPr>
                <w:rFonts w:hint="default" w:ascii="Times New Roman" w:hAnsi="Times New Roman" w:eastAsia="宋体" w:cs="Times New Roman"/>
                <w:color w:val="auto"/>
                <w:sz w:val="24"/>
                <w:szCs w:val="24"/>
                <w:highlight w:val="none"/>
              </w:rPr>
              <w:t>个水质参数分析。</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lang w:eastAsia="zh-CN"/>
              </w:rPr>
            </w:pPr>
            <w:r>
              <w:rPr>
                <w:rFonts w:hint="default" w:ascii="Times New Roman" w:hAnsi="Times New Roman" w:eastAsia="宋体" w:cs="Times New Roman"/>
                <w:color w:val="auto"/>
                <w:sz w:val="24"/>
                <w:szCs w:val="24"/>
                <w:highlight w:val="none"/>
              </w:rPr>
              <w:t>波长准确性</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±2nm</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lang w:val="en-US" w:eastAsia="zh-CN"/>
              </w:rPr>
            </w:pPr>
            <w:r>
              <w:rPr>
                <w:rFonts w:hint="default" w:ascii="Times New Roman" w:hAnsi="Times New Roman" w:eastAsia="宋体" w:cs="Times New Roman"/>
                <w:color w:val="auto"/>
                <w:sz w:val="24"/>
                <w:szCs w:val="24"/>
                <w:highlight w:val="none"/>
              </w:rPr>
              <w:t>波长重复性</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1nm</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lang w:eastAsia="zh-CN"/>
              </w:rPr>
            </w:pPr>
            <w:r>
              <w:rPr>
                <w:rFonts w:hint="default" w:ascii="Times New Roman" w:hAnsi="Times New Roman" w:eastAsia="宋体" w:cs="Times New Roman"/>
                <w:color w:val="auto"/>
                <w:sz w:val="24"/>
                <w:szCs w:val="24"/>
                <w:highlight w:val="none"/>
              </w:rPr>
              <w:t>光谱带宽</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5nm</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lang w:eastAsia="zh-CN"/>
              </w:rPr>
            </w:pPr>
            <w:r>
              <w:rPr>
                <w:rFonts w:hint="default" w:ascii="Times New Roman" w:hAnsi="Times New Roman" w:eastAsia="宋体" w:cs="Times New Roman"/>
                <w:color w:val="auto"/>
                <w:sz w:val="24"/>
                <w:szCs w:val="24"/>
                <w:highlight w:val="none"/>
              </w:rPr>
              <w:t>光度计测量范围</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Abs</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auto"/>
                <w:sz w:val="22"/>
                <w:szCs w:val="22"/>
                <w:highlight w:val="none"/>
                <w:u w:val="none"/>
                <w:lang w:eastAsia="zh-CN"/>
              </w:rPr>
            </w:pPr>
            <w:r>
              <w:rPr>
                <w:rFonts w:hint="default" w:ascii="Times New Roman" w:hAnsi="Times New Roman" w:eastAsia="宋体" w:cs="Times New Roman"/>
                <w:color w:val="auto"/>
                <w:sz w:val="24"/>
                <w:szCs w:val="24"/>
                <w:highlight w:val="none"/>
              </w:rPr>
              <w:t>光度计准确度</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0</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3Abs</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5Abs</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 （</w:t>
            </w:r>
            <w:r>
              <w:rPr>
                <w:rFonts w:hint="default" w:ascii="Times New Roman" w:hAnsi="Times New Roman" w:eastAsia="宋体" w:cs="Times New Roman"/>
                <w:color w:val="auto"/>
                <w:sz w:val="24"/>
                <w:szCs w:val="24"/>
                <w:highlight w:val="none"/>
              </w:rPr>
              <w:t>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 xml:space="preserve"> Abs</w:t>
            </w:r>
            <w:r>
              <w:rPr>
                <w:rFonts w:hint="eastAsia" w:ascii="Times New Roman" w:hAnsi="Times New Roman" w:eastAsia="宋体" w:cs="Times New Roman"/>
                <w:color w:val="auto"/>
                <w:sz w:val="24"/>
                <w:szCs w:val="24"/>
                <w:highlight w:val="none"/>
                <w:lang w:eastAsia="zh-CN"/>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auto"/>
                <w:sz w:val="22"/>
                <w:szCs w:val="22"/>
                <w:highlight w:val="none"/>
                <w:u w:val="none"/>
                <w:lang w:eastAsia="zh-CN"/>
              </w:rPr>
            </w:pPr>
            <w:r>
              <w:rPr>
                <w:rFonts w:hint="default" w:ascii="Times New Roman" w:hAnsi="Times New Roman" w:eastAsia="宋体" w:cs="Times New Roman"/>
                <w:color w:val="auto"/>
                <w:sz w:val="24"/>
                <w:szCs w:val="24"/>
                <w:highlight w:val="none"/>
              </w:rPr>
              <w:t>光度计线性</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5~2</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0</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Abs</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大于2</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 xml:space="preserve"> Abs时</w:t>
            </w:r>
            <w:r>
              <w:rPr>
                <w:rFonts w:hint="eastAsia" w:ascii="Times New Roman" w:hAnsi="Times New Roman" w:eastAsia="宋体" w:cs="Times New Roman"/>
                <w:color w:val="auto"/>
                <w:sz w:val="24"/>
                <w:szCs w:val="24"/>
                <w:highlight w:val="none"/>
                <w:lang w:eastAsia="zh-CN"/>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auto"/>
                <w:sz w:val="22"/>
                <w:szCs w:val="22"/>
                <w:highlight w:val="none"/>
                <w:u w:val="none"/>
                <w:lang w:eastAsia="zh-CN"/>
              </w:rPr>
            </w:pPr>
            <w:r>
              <w:rPr>
                <w:rFonts w:hint="default" w:ascii="Times New Roman" w:hAnsi="Times New Roman" w:eastAsia="宋体" w:cs="Times New Roman"/>
                <w:color w:val="auto"/>
                <w:sz w:val="24"/>
                <w:szCs w:val="24"/>
                <w:highlight w:val="none"/>
              </w:rPr>
              <w:t>杂散光</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&lt;</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5%T</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34</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nm</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NaNO</w:t>
            </w:r>
            <w:r>
              <w:rPr>
                <w:rFonts w:hint="default" w:ascii="Times New Roman" w:hAnsi="Times New Roman" w:eastAsia="宋体" w:cs="Times New Roman"/>
                <w:color w:val="auto"/>
                <w:sz w:val="24"/>
                <w:szCs w:val="24"/>
                <w:highlight w:val="none"/>
                <w:vertAlign w:val="subscript"/>
              </w:rPr>
              <w:t>2</w:t>
            </w:r>
            <w:r>
              <w:rPr>
                <w:rFonts w:hint="eastAsia" w:ascii="Times New Roman" w:hAnsi="Times New Roman" w:eastAsia="宋体" w:cs="Times New Roman"/>
                <w:color w:val="auto"/>
                <w:sz w:val="24"/>
                <w:szCs w:val="24"/>
                <w:highlight w:val="none"/>
                <w:lang w:eastAsia="zh-CN"/>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auto"/>
                <w:sz w:val="22"/>
                <w:szCs w:val="22"/>
                <w:highlight w:val="none"/>
                <w:u w:val="none"/>
                <w:lang w:val="en-US" w:eastAsia="zh-CN"/>
              </w:rPr>
            </w:pPr>
            <w:r>
              <w:rPr>
                <w:rFonts w:hint="default" w:ascii="Times New Roman" w:hAnsi="Times New Roman" w:eastAsia="宋体" w:cs="Times New Roman"/>
                <w:color w:val="auto"/>
                <w:sz w:val="24"/>
                <w:szCs w:val="24"/>
                <w:highlight w:val="none"/>
              </w:rPr>
              <w:t>用户可自建曲线</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50</w:t>
            </w:r>
            <w:r>
              <w:rPr>
                <w:rFonts w:hint="default" w:ascii="Times New Roman" w:hAnsi="Times New Roman" w:eastAsia="宋体" w:cs="Times New Roman"/>
                <w:color w:val="auto"/>
                <w:sz w:val="24"/>
                <w:szCs w:val="24"/>
                <w:highlight w:val="none"/>
              </w:rPr>
              <w:t>条</w:t>
            </w:r>
            <w:r>
              <w:rPr>
                <w:rFonts w:hint="eastAsia" w:ascii="Times New Roman" w:hAnsi="Times New Roman" w:eastAsia="宋体" w:cs="Times New Roman"/>
                <w:color w:val="auto"/>
                <w:sz w:val="24"/>
                <w:szCs w:val="24"/>
                <w:highlight w:val="none"/>
                <w:lang w:eastAsia="zh-CN"/>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2"/>
                <w:szCs w:val="22"/>
                <w:highlight w:val="none"/>
                <w:u w:val="none"/>
              </w:rPr>
            </w:pPr>
            <w:r>
              <w:rPr>
                <w:rFonts w:hint="default" w:ascii="Times New Roman" w:hAnsi="Times New Roman" w:eastAsia="宋体" w:cs="Times New Roman"/>
                <w:color w:val="auto"/>
                <w:sz w:val="24"/>
                <w:szCs w:val="24"/>
                <w:highlight w:val="none"/>
              </w:rPr>
              <w:t>具有显示屏</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操作语言包含中文。</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2"/>
                <w:szCs w:val="22"/>
                <w:highlight w:val="none"/>
                <w:u w:val="none"/>
              </w:rPr>
            </w:pPr>
            <w:r>
              <w:rPr>
                <w:rFonts w:hint="default" w:ascii="Times New Roman" w:hAnsi="Times New Roman" w:eastAsia="宋体" w:cs="Times New Roman"/>
                <w:color w:val="auto"/>
                <w:sz w:val="24"/>
                <w:szCs w:val="24"/>
                <w:highlight w:val="none"/>
              </w:rPr>
              <w:t>由于实际使用环境可能受雨水侵袭</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防护等级不低于</w:t>
            </w:r>
            <w:r>
              <w:rPr>
                <w:rFonts w:hint="eastAsia" w:ascii="Times New Roman" w:hAnsi="Times New Roman" w:eastAsia="宋体" w:cs="Times New Roman"/>
                <w:color w:val="auto"/>
                <w:sz w:val="24"/>
                <w:szCs w:val="24"/>
                <w:highlight w:val="none"/>
                <w:lang w:val="en-US" w:eastAsia="zh-CN"/>
              </w:rPr>
              <w:t xml:space="preserve"> I</w:t>
            </w:r>
            <w:r>
              <w:rPr>
                <w:rFonts w:hint="default" w:ascii="Times New Roman" w:hAnsi="Times New Roman" w:eastAsia="宋体" w:cs="Times New Roman"/>
                <w:color w:val="auto"/>
                <w:sz w:val="24"/>
                <w:szCs w:val="24"/>
                <w:highlight w:val="none"/>
              </w:rPr>
              <w:t>P67。</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2"/>
                <w:szCs w:val="22"/>
                <w:highlight w:val="none"/>
                <w:u w:val="none"/>
              </w:rPr>
            </w:pPr>
            <w:r>
              <w:rPr>
                <w:rFonts w:hint="default" w:ascii="Times New Roman" w:hAnsi="Times New Roman" w:eastAsia="宋体" w:cs="Times New Roman"/>
                <w:color w:val="auto"/>
                <w:sz w:val="24"/>
                <w:szCs w:val="24"/>
                <w:highlight w:val="none"/>
              </w:rPr>
              <w:t>数据储存量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lang w:val="en-US" w:eastAsia="zh-CN"/>
              </w:rPr>
              <w:t>00</w:t>
            </w:r>
            <w:r>
              <w:rPr>
                <w:rFonts w:hint="default" w:ascii="Times New Roman" w:hAnsi="Times New Roman" w:eastAsia="宋体" w:cs="Times New Roman"/>
                <w:color w:val="auto"/>
                <w:sz w:val="24"/>
                <w:szCs w:val="24"/>
                <w:highlight w:val="none"/>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2"/>
                <w:szCs w:val="22"/>
                <w:highlight w:val="none"/>
                <w:u w:val="none"/>
              </w:rPr>
            </w:pPr>
            <w:r>
              <w:rPr>
                <w:rFonts w:hint="default" w:ascii="Times New Roman" w:hAnsi="Times New Roman" w:eastAsia="宋体" w:cs="Times New Roman"/>
                <w:color w:val="auto"/>
                <w:sz w:val="24"/>
                <w:szCs w:val="24"/>
                <w:highlight w:val="none"/>
              </w:rPr>
              <w:t>供电模式包括AA电池、电池模块、外置电源。</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2"/>
                <w:szCs w:val="22"/>
                <w:highlight w:val="none"/>
                <w:u w:val="none"/>
              </w:rPr>
            </w:pPr>
            <w:r>
              <w:rPr>
                <w:rFonts w:hint="default" w:ascii="Times New Roman" w:hAnsi="Times New Roman" w:eastAsia="宋体" w:cs="Times New Roman"/>
                <w:color w:val="auto"/>
                <w:sz w:val="24"/>
                <w:szCs w:val="24"/>
                <w:highlight w:val="none"/>
              </w:rPr>
              <w:t>产品在温度处于</w:t>
            </w:r>
            <w:r>
              <w:rPr>
                <w:rFonts w:hint="eastAsia" w:ascii="Times New Roman" w:hAnsi="Times New Roman" w:eastAsia="宋体" w:cs="Times New Roman"/>
                <w:color w:val="auto"/>
                <w:sz w:val="24"/>
                <w:szCs w:val="24"/>
                <w:highlight w:val="none"/>
                <w:lang w:val="en-US" w:eastAsia="zh-CN"/>
              </w:rPr>
              <w:t>10~40</w:t>
            </w:r>
            <w:r>
              <w:rPr>
                <w:rFonts w:hint="default" w:ascii="Times New Roman" w:hAnsi="Times New Roman" w:eastAsia="宋体" w:cs="Times New Roman"/>
                <w:color w:val="auto"/>
                <w:sz w:val="24"/>
                <w:szCs w:val="24"/>
                <w:highlight w:val="none"/>
              </w:rPr>
              <w:t>摄氏度以内、相对湿度小于等于8</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%以内可正常 工作。</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2"/>
                <w:szCs w:val="22"/>
                <w:highlight w:val="none"/>
                <w:u w:val="none"/>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2"/>
                <w:szCs w:val="22"/>
                <w:highlight w:val="none"/>
                <w:u w:val="none"/>
              </w:rPr>
            </w:pPr>
            <w:r>
              <w:rPr>
                <w:rFonts w:hint="default" w:ascii="Times New Roman" w:hAnsi="Times New Roman" w:eastAsia="宋体" w:cs="Times New Roman"/>
                <w:color w:val="auto"/>
                <w:sz w:val="24"/>
                <w:szCs w:val="24"/>
                <w:highlight w:val="none"/>
              </w:rPr>
              <w:t>具备浓度、吸光度、透过率等测量模式。</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highlight w:val="none"/>
                <w:u w:val="none"/>
                <w:lang w:val="en-US" w:eastAsia="zh-CN" w:bidi="ar"/>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2"/>
                <w:szCs w:val="22"/>
                <w:highlight w:val="none"/>
                <w:u w:val="none"/>
              </w:rPr>
            </w:pPr>
            <w:r>
              <w:rPr>
                <w:rFonts w:hint="default" w:ascii="Times New Roman" w:hAnsi="Times New Roman" w:eastAsia="宋体" w:cs="Times New Roman"/>
                <w:color w:val="auto"/>
                <w:sz w:val="24"/>
                <w:szCs w:val="24"/>
                <w:highlight w:val="none"/>
              </w:rPr>
              <w:t>波长范围为34</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至8</w:t>
            </w:r>
            <w:r>
              <w:rPr>
                <w:rFonts w:hint="eastAsia" w:ascii="Times New Roman" w:hAnsi="Times New Roman" w:eastAsia="宋体" w:cs="Times New Roman"/>
                <w:color w:val="auto"/>
                <w:sz w:val="24"/>
                <w:szCs w:val="24"/>
                <w:highlight w:val="none"/>
                <w:lang w:val="en-US" w:eastAsia="zh-CN"/>
              </w:rPr>
              <w:t>00</w:t>
            </w:r>
            <w:r>
              <w:rPr>
                <w:rFonts w:hint="default" w:ascii="Times New Roman" w:hAnsi="Times New Roman" w:eastAsia="宋体" w:cs="Times New Roman"/>
                <w:color w:val="auto"/>
                <w:sz w:val="24"/>
                <w:szCs w:val="24"/>
                <w:highlight w:val="none"/>
              </w:rPr>
              <w:t>nm</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具备波长自动选择功能。</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highlight w:val="none"/>
                <w:u w:val="none"/>
                <w:lang w:val="en-US" w:eastAsia="zh-CN" w:bidi="ar"/>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2"/>
                <w:szCs w:val="22"/>
                <w:highlight w:val="none"/>
                <w:u w:val="none"/>
              </w:rPr>
            </w:pPr>
            <w:r>
              <w:rPr>
                <w:rFonts w:hint="default" w:ascii="Times New Roman" w:hAnsi="Times New Roman" w:eastAsia="宋体" w:cs="Times New Roman"/>
                <w:color w:val="auto"/>
                <w:sz w:val="24"/>
                <w:szCs w:val="24"/>
                <w:highlight w:val="none"/>
              </w:rPr>
              <w:t>光度计测量范围</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0</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Abs</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光度计准确度</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0.00</w:t>
            </w:r>
            <w:r>
              <w:rPr>
                <w:rFonts w:hint="default" w:ascii="Times New Roman" w:hAnsi="Times New Roman" w:eastAsia="宋体" w:cs="Times New Roman"/>
                <w:color w:val="auto"/>
                <w:sz w:val="24"/>
                <w:szCs w:val="24"/>
                <w:highlight w:val="none"/>
              </w:rPr>
              <w:t>3Abs</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0.0</w:t>
            </w:r>
            <w:r>
              <w:rPr>
                <w:rFonts w:hint="default" w:ascii="Times New Roman" w:hAnsi="Times New Roman" w:eastAsia="宋体" w:cs="Times New Roman"/>
                <w:color w:val="auto"/>
                <w:sz w:val="24"/>
                <w:szCs w:val="24"/>
                <w:highlight w:val="none"/>
              </w:rPr>
              <w:t>~0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5Abs</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 xml:space="preserve"> 1% </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0.50~2.0</w:t>
            </w:r>
            <w:r>
              <w:rPr>
                <w:rFonts w:hint="default" w:ascii="Times New Roman" w:hAnsi="Times New Roman" w:eastAsia="宋体" w:cs="Times New Roman"/>
                <w:color w:val="auto"/>
                <w:sz w:val="24"/>
                <w:szCs w:val="24"/>
                <w:highlight w:val="none"/>
              </w:rPr>
              <w:t>Abs)。</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highlight w:val="none"/>
                <w:u w:val="none"/>
                <w:lang w:val="en-US" w:eastAsia="zh-CN" w:bidi="ar"/>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auto"/>
                <w:sz w:val="22"/>
                <w:szCs w:val="22"/>
                <w:highlight w:val="none"/>
                <w:u w:val="none"/>
                <w:lang w:eastAsia="zh-CN"/>
              </w:rPr>
            </w:pPr>
            <w:r>
              <w:rPr>
                <w:rFonts w:hint="default" w:ascii="Times New Roman" w:hAnsi="Times New Roman" w:eastAsia="宋体" w:cs="Times New Roman"/>
                <w:color w:val="auto"/>
                <w:sz w:val="24"/>
                <w:szCs w:val="24"/>
                <w:highlight w:val="none"/>
              </w:rPr>
              <w:t>需便携</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重量不高于2kg</w:t>
            </w:r>
            <w:r>
              <w:rPr>
                <w:rFonts w:hint="eastAsia" w:ascii="Times New Roman" w:hAnsi="Times New Roman" w:eastAsia="宋体" w:cs="Times New Roman"/>
                <w:color w:val="auto"/>
                <w:sz w:val="24"/>
                <w:szCs w:val="24"/>
                <w:highlight w:val="none"/>
                <w:lang w:eastAsia="zh-CN"/>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highlight w:val="none"/>
                <w:u w:val="none"/>
                <w:lang w:val="en-US" w:eastAsia="zh-CN" w:bidi="ar"/>
              </w:rPr>
            </w:pPr>
            <w:r>
              <w:rPr>
                <w:rFonts w:hint="eastAsia" w:asciiTheme="minorEastAsia" w:hAnsiTheme="minorEastAsia" w:eastAsiaTheme="minorEastAsia" w:cstheme="minorEastAsia"/>
                <w:i w:val="0"/>
                <w:color w:val="auto"/>
                <w:kern w:val="0"/>
                <w:sz w:val="22"/>
                <w:szCs w:val="22"/>
                <w:highlight w:val="none"/>
                <w:u w:val="none"/>
                <w:lang w:val="en-US" w:eastAsia="zh-CN" w:bidi="ar"/>
              </w:rPr>
              <w:t>√</w:t>
            </w:r>
          </w:p>
        </w:tc>
      </w:tr>
    </w:tbl>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color w:val="auto"/>
          <w:sz w:val="24"/>
          <w:szCs w:val="24"/>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5                            </w:t>
      </w:r>
      <w:r>
        <w:rPr>
          <w:rFonts w:hint="eastAsia" w:ascii="宋体" w:hAnsi="宋体"/>
          <w:b/>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（受益人）</w:t>
      </w:r>
      <w:r>
        <w:rPr>
          <w:rFonts w:ascii="宋体" w:hAnsi="宋体"/>
          <w:color w:val="auto"/>
          <w:sz w:val="24"/>
          <w:szCs w:val="24"/>
          <w:highlight w:val="none"/>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（以下简称“委托人”）与贵方于</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签订了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一、我行保证在收到贵单位于保函有效期内送达的依本保函约定的索赔申请后，在个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工作日内无条件和不可改变地向贵单位支付最高金额不超过人民币元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三、本保函自签发之日起生效，有效期至</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p>
    <w:p>
      <w:pPr>
        <w:jc w:val="both"/>
        <w:rPr>
          <w:rFonts w:ascii="宋体" w:hAnsi="宋体" w:cs="宋体"/>
          <w:color w:val="auto"/>
          <w:sz w:val="24"/>
          <w:szCs w:val="24"/>
          <w:highlight w:val="none"/>
        </w:rPr>
      </w:pPr>
    </w:p>
    <w:p>
      <w:pPr>
        <w:rPr>
          <w:rFonts w:hint="eastAsia"/>
          <w:color w:val="auto"/>
          <w:sz w:val="30"/>
          <w:highlight w:val="none"/>
        </w:rPr>
      </w:pPr>
    </w:p>
    <w:p>
      <w:pPr>
        <w:rPr>
          <w:color w:val="auto"/>
          <w:highlight w:val="none"/>
        </w:rPr>
        <w:sectPr>
          <w:footerReference r:id="rId8" w:type="default"/>
          <w:headerReference r:id="rId7" w:type="even"/>
          <w:footerReference r:id="rId9" w:type="even"/>
          <w:pgSz w:w="11907" w:h="16840"/>
          <w:pgMar w:top="1701" w:right="1701" w:bottom="1701" w:left="1701" w:header="851" w:footer="992" w:gutter="0"/>
          <w:pgNumType w:fmt="decimal"/>
          <w:cols w:space="0" w:num="1"/>
          <w:docGrid w:type="linesAndChars" w:linePitch="381" w:charSpace="0"/>
        </w:sectPr>
      </w:pPr>
    </w:p>
    <w:p>
      <w:pPr>
        <w:pStyle w:val="2"/>
        <w:rPr>
          <w:rFonts w:ascii="仿宋_GB2312" w:eastAsia="仿宋_GB2312"/>
          <w:color w:val="auto"/>
          <w:sz w:val="28"/>
          <w:szCs w:val="28"/>
          <w:highlight w:val="none"/>
        </w:rPr>
      </w:pPr>
    </w:p>
    <w:p>
      <w:pPr>
        <w:pStyle w:val="4"/>
        <w:rPr>
          <w:color w:val="auto"/>
          <w:highlight w:val="none"/>
        </w:rPr>
      </w:pPr>
      <w:bookmarkStart w:id="85" w:name="_Toc21847"/>
      <w:bookmarkStart w:id="86" w:name="_Toc8147"/>
      <w:bookmarkStart w:id="87" w:name="_Toc3723"/>
      <w:bookmarkStart w:id="88" w:name="_Toc28358"/>
      <w:bookmarkStart w:id="89" w:name="_Toc12169"/>
      <w:bookmarkStart w:id="90" w:name="_Toc1563"/>
      <w:bookmarkStart w:id="91" w:name="_Toc5129"/>
      <w:bookmarkStart w:id="92" w:name="_Toc6230"/>
      <w:bookmarkStart w:id="93" w:name="_Toc23515"/>
      <w:bookmarkStart w:id="94" w:name="_Toc30824"/>
      <w:bookmarkStart w:id="95" w:name="_Toc16552"/>
      <w:r>
        <w:rPr>
          <w:color w:val="auto"/>
          <w:highlight w:val="none"/>
        </w:rPr>
        <mc:AlternateContent>
          <mc:Choice Requires="wps">
            <w:drawing>
              <wp:anchor distT="0" distB="0" distL="0" distR="0" simplePos="0" relativeHeight="25165926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52"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5926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WbC+tcAAAALAQAADwAAAAAAAAABACAAAAAiAAAAZHJzL2Rvd25yZXYueG1s&#10;UEsBAhQAFAAAAAgAh07iQMOmjsH5AQAA8AMAAA4AAAAAAAAAAQAgAAAAJgEAAGRycy9lMm9Eb2Mu&#10;eG1sUEsFBgAAAAAGAAYAWQEAAJE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053"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5926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DrgQ1wAAAAkBAAAPAAAAAAAAAAEAIAAAACIAAABkcnMvZG93bnJldi54bWxQ&#10;SwECFAAUAAAACACHTuJAhlTC2/gBAADwAwAADgAAAAAAAAABACAAAAAmAQAAZHJzL2Uyb0RvYy54&#10;bWxQSwUGAAAAAAYABgBZAQAAkAU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42"/>
        <w:rPr>
          <w:color w:val="auto"/>
          <w:highlight w:val="none"/>
        </w:rPr>
      </w:pPr>
    </w:p>
    <w:p>
      <w:pPr>
        <w:pStyle w:val="4"/>
        <w:rPr>
          <w:color w:val="auto"/>
          <w:highlight w:val="none"/>
        </w:rPr>
      </w:pPr>
      <w:bookmarkStart w:id="96" w:name="_Toc87616388"/>
      <w:bookmarkStart w:id="97" w:name="_Toc5342"/>
      <w:bookmarkStart w:id="98" w:name="_Toc30157"/>
      <w:bookmarkStart w:id="99" w:name="_Toc12610"/>
      <w:bookmarkStart w:id="100" w:name="_Toc22764"/>
      <w:bookmarkStart w:id="101" w:name="_Toc17119"/>
      <w:bookmarkStart w:id="102" w:name="_Toc31564"/>
      <w:bookmarkStart w:id="103" w:name="_Toc24815"/>
      <w:bookmarkStart w:id="104" w:name="_Toc24490"/>
      <w:bookmarkStart w:id="105" w:name="_Toc12769"/>
      <w:bookmarkStart w:id="106" w:name="_Toc10840"/>
      <w:bookmarkStart w:id="107" w:name="_Toc88209951"/>
      <w:bookmarkStart w:id="108" w:name="_Toc21675"/>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rPr>
        <w:t>供应商：</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（单位公章）</w:t>
      </w:r>
    </w:p>
    <w:p>
      <w:pPr>
        <w:adjustRightInd w:val="0"/>
        <w:snapToGrid w:val="0"/>
        <w:spacing w:line="600" w:lineRule="exact"/>
        <w:ind w:left="1" w:right="560" w:firstLine="709" w:firstLineChars="197"/>
        <w:jc w:val="center"/>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年</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月</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beforeLines="50" w:afterLines="50" w:line="6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6"/>
        <w:rPr>
          <w:rFonts w:ascii="宋体" w:hAnsi="宋体" w:eastAsia="宋体"/>
          <w:color w:val="auto"/>
          <w:sz w:val="28"/>
          <w:szCs w:val="28"/>
          <w:highlight w:val="none"/>
        </w:rPr>
      </w:pPr>
      <w:bookmarkStart w:id="115" w:name="_Toc87616394"/>
      <w:bookmarkStart w:id="116" w:name="_Toc28619645"/>
      <w:bookmarkStart w:id="117" w:name="_Toc12665"/>
      <w:bookmarkStart w:id="118" w:name="_Toc88209957"/>
      <w:bookmarkStart w:id="119" w:name="_Toc6313"/>
      <w:r>
        <w:rPr>
          <w:rFonts w:hint="eastAsia" w:ascii="宋体" w:hAnsi="宋体" w:eastAsia="宋体"/>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hAnsi="宋体" w:eastAsia="仿宋_GB2312"/>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hAnsi="宋体" w:eastAsia="仿宋_GB2312"/>
          <w:color w:val="auto"/>
          <w:sz w:val="28"/>
          <w:szCs w:val="28"/>
          <w:highlight w:val="none"/>
          <w:lang w:eastAsia="zh-CN"/>
        </w:rPr>
        <w:t>☑</w:t>
      </w:r>
      <w:r>
        <w:rPr>
          <w:rFonts w:hint="eastAsia" w:ascii="仿宋_GB2312" w:hAnsi="黑体" w:eastAsia="仿宋_GB2312"/>
          <w:color w:val="auto"/>
          <w:sz w:val="28"/>
          <w:szCs w:val="28"/>
          <w:highlight w:val="none"/>
        </w:rPr>
        <w:t>货物</w:t>
      </w:r>
      <w:r>
        <w:rPr>
          <w:rFonts w:hint="eastAsia" w:ascii="仿宋_GB2312" w:hAnsi="宋体" w:eastAsia="仿宋_GB2312"/>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（单位公章）</w:t>
      </w:r>
    </w:p>
    <w:p>
      <w:pPr>
        <w:adjustRightInd w:val="0"/>
        <w:snapToGrid w:val="0"/>
        <w:spacing w:line="600" w:lineRule="exact"/>
        <w:ind w:left="1" w:firstLine="551" w:firstLineChars="197"/>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法定代表人或委托代理人：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（签字或盖章）</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地址：</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电子邮箱：</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传真：</w:t>
      </w:r>
      <w:r>
        <w:rPr>
          <w:rFonts w:hint="eastAsia" w:ascii="仿宋_GB2312" w:hAnsi="宋体" w:eastAsia="仿宋_GB2312"/>
          <w:color w:val="auto"/>
          <w:sz w:val="28"/>
          <w:szCs w:val="28"/>
          <w:highlight w:val="none"/>
          <w:u w:val="single"/>
        </w:rPr>
        <w:t xml:space="preserve">                              </w:t>
      </w:r>
    </w:p>
    <w:p>
      <w:pPr>
        <w:spacing w:line="600" w:lineRule="exact"/>
        <w:ind w:left="1" w:firstLine="551" w:firstLineChars="197"/>
        <w:jc w:val="right"/>
        <w:rPr>
          <w:rFonts w:hint="eastAsia" w:ascii="宋体" w:hAnsi="宋体" w:eastAsia="宋体"/>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bookmarkStart w:id="120" w:name="_Toc87616395"/>
      <w:bookmarkStart w:id="121" w:name="_Toc88209958"/>
      <w:bookmarkStart w:id="122" w:name="_Toc29833"/>
      <w:bookmarkStart w:id="123" w:name="_Toc22527"/>
    </w:p>
    <w:p>
      <w:pPr>
        <w:rPr>
          <w:rFonts w:hint="eastAsia"/>
        </w:rPr>
      </w:pPr>
    </w:p>
    <w:p>
      <w:pPr>
        <w:pStyle w:val="2"/>
        <w:rPr>
          <w:rFonts w:hint="eastAsia"/>
        </w:rPr>
      </w:pPr>
    </w:p>
    <w:p>
      <w:pPr>
        <w:pStyle w:val="6"/>
        <w:rPr>
          <w:rFonts w:ascii="宋体" w:hAnsi="宋体" w:eastAsia="宋体"/>
          <w:color w:val="auto"/>
          <w:sz w:val="28"/>
          <w:szCs w:val="28"/>
          <w:highlight w:val="none"/>
        </w:rPr>
      </w:pPr>
      <w:r>
        <w:rPr>
          <w:rFonts w:hint="eastAsia" w:ascii="宋体" w:hAnsi="宋体" w:eastAsia="宋体"/>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4"/>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31"/>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31"/>
        <w:snapToGrid w:val="0"/>
        <w:spacing w:line="600" w:lineRule="exact"/>
        <w:ind w:firstLine="3907" w:firstLineChars="1221"/>
        <w:rPr>
          <w:rFonts w:ascii="仿宋_GB2312" w:hAnsi="宋体" w:eastAsia="仿宋_GB2312" w:cs="Times New Roman"/>
          <w:color w:val="auto"/>
          <w:sz w:val="32"/>
          <w:szCs w:val="32"/>
          <w:highlight w:val="none"/>
        </w:rPr>
      </w:pPr>
    </w:p>
    <w:p>
      <w:pPr>
        <w:pStyle w:val="31"/>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4445" r="14605" b="22225"/>
                <wp:wrapSquare wrapText="bothSides"/>
                <wp:docPr id="1054" name="文本框 2"/>
                <wp:cNvGraphicFramePr/>
                <a:graphic xmlns:a="http://schemas.openxmlformats.org/drawingml/2006/main">
                  <a:graphicData uri="http://schemas.microsoft.com/office/word/2010/wordprocessingShape">
                    <wps:wsp>
                      <wps:cNvSpPr/>
                      <wps:spPr>
                        <a:xfrm>
                          <a:off x="0" y="0"/>
                          <a:ext cx="3771900" cy="1287780"/>
                        </a:xfrm>
                        <a:prstGeom prst="rect">
                          <a:avLst/>
                        </a:prstGeom>
                        <a:solidFill>
                          <a:srgbClr val="FFFFFF"/>
                        </a:solidFill>
                        <a:ln w="9525" cap="flat" cmpd="sng">
                          <a:solidFill>
                            <a:srgbClr val="000000"/>
                          </a:solidFill>
                          <a:prstDash val="solid"/>
                          <a:miter/>
                        </a:ln>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vert="horz" wrap="square" lIns="91440" tIns="45720" rIns="91440" bIns="45720" anchor="t" upright="1">
                        <a:noAutofit/>
                      </wps:bodyPr>
                    </wps:wsp>
                  </a:graphicData>
                </a:graphic>
              </wp:anchor>
            </w:drawing>
          </mc:Choice>
          <mc:Fallback>
            <w:pict>
              <v:rect id="文本框 2" o:spid="_x0000_s1026" o:spt="1"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CrzC9cAAAAJAQAADwAAAAAAAAABACAAAAAiAAAAZHJzL2Rvd25yZXYueG1sUEsBAhQAFAAAAAgA&#10;h07iQLMJhh4mAgAATwQAAA4AAAAAAAAAAQAgAAAAJgEAAGRycy9lMm9Eb2MueG1sUEsFBgAAAAAG&#10;AAYAWQEAAL4FAAAAAA==&#10;">
                <v:fill on="t"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rect>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2"/>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31"/>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3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3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9"/>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59264" behindDoc="0" locked="0" layoutInCell="1" allowOverlap="1">
                <wp:simplePos x="0" y="0"/>
                <wp:positionH relativeFrom="column">
                  <wp:posOffset>615950</wp:posOffset>
                </wp:positionH>
                <wp:positionV relativeFrom="paragraph">
                  <wp:posOffset>200025</wp:posOffset>
                </wp:positionV>
                <wp:extent cx="3771900" cy="1287780"/>
                <wp:effectExtent l="4445" t="4445" r="14605" b="22225"/>
                <wp:wrapSquare wrapText="bothSides"/>
                <wp:docPr id="1055" name="文本框 2"/>
                <wp:cNvGraphicFramePr/>
                <a:graphic xmlns:a="http://schemas.openxmlformats.org/drawingml/2006/main">
                  <a:graphicData uri="http://schemas.microsoft.com/office/word/2010/wordprocessingShape">
                    <wps:wsp>
                      <wps:cNvSpPr/>
                      <wps:spPr>
                        <a:xfrm>
                          <a:off x="0" y="0"/>
                          <a:ext cx="3771900" cy="1287780"/>
                        </a:xfrm>
                        <a:prstGeom prst="rect">
                          <a:avLst/>
                        </a:prstGeom>
                        <a:solidFill>
                          <a:srgbClr val="FFFFFF"/>
                        </a:solidFill>
                        <a:ln w="9525" cap="flat" cmpd="sng">
                          <a:solidFill>
                            <a:srgbClr val="000000"/>
                          </a:solidFill>
                          <a:prstDash val="solid"/>
                          <a:miter/>
                        </a:ln>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vert="horz" wrap="square" lIns="91440" tIns="45720" rIns="91440" bIns="45720" anchor="t" upright="1">
                        <a:noAutofit/>
                      </wps:bodyPr>
                    </wps:wsp>
                  </a:graphicData>
                </a:graphic>
              </wp:anchor>
            </w:drawing>
          </mc:Choice>
          <mc:Fallback>
            <w:pict>
              <v:rect id="文本框 2" o:spid="_x0000_s1026" o:spt="1" style="position:absolute;left:0pt;margin-left:48.5pt;margin-top:15.75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uxJ9rYAAAACQEAAA8AAAAAAAAAAQAgAAAAIgAAAGRycy9kb3ducmV2LnhtbFBLAQIUABQAAAAI&#10;AIdO4kCQEMqWJgIAAE8EAAAOAAAAAAAAAAEAIAAAACcBAABkcnMvZTJvRG9jLnhtbFBLBQYAAAAA&#10;BgAGAFkBAAC/BQAAAAA=&#10;">
                <v:fill on="t"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rect>
            </w:pict>
          </mc:Fallback>
        </mc:AlternateContent>
      </w:r>
    </w:p>
    <w:p>
      <w:pPr>
        <w:pStyle w:val="9"/>
        <w:spacing w:after="0" w:line="600" w:lineRule="exact"/>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pStyle w:val="9"/>
        <w:spacing w:after="0" w:line="600" w:lineRule="exact"/>
        <w:ind w:firstLine="0"/>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宋体" w:hAnsi="宋体" w:eastAsia="宋体"/>
          <w:color w:val="auto"/>
          <w:sz w:val="28"/>
          <w:szCs w:val="28"/>
          <w:highlight w:val="none"/>
        </w:rPr>
      </w:pPr>
      <w:r>
        <w:rPr>
          <w:rFonts w:hint="eastAsia" w:ascii="仿宋_GB2312" w:hAnsi="宋体" w:eastAsia="仿宋_GB2312"/>
          <w:color w:val="auto"/>
          <w:sz w:val="28"/>
          <w:szCs w:val="28"/>
          <w:highlight w:val="none"/>
        </w:rPr>
        <w:t xml:space="preserve"> </w:t>
      </w:r>
      <w:bookmarkStart w:id="124" w:name="_Toc8086"/>
      <w:bookmarkStart w:id="125" w:name="_Toc87616400"/>
      <w:bookmarkStart w:id="126" w:name="_Toc88209963"/>
      <w:bookmarkStart w:id="127" w:name="_Toc19830"/>
      <w:r>
        <w:rPr>
          <w:rFonts w:hint="eastAsia" w:ascii="仿宋_GB2312" w:hAnsi="宋体" w:eastAsia="仿宋_GB2312"/>
          <w:color w:val="auto"/>
          <w:sz w:val="28"/>
          <w:szCs w:val="28"/>
          <w:highlight w:val="none"/>
          <w:lang w:val="en-US" w:eastAsia="zh-CN"/>
        </w:rPr>
        <w:t>3</w:t>
      </w:r>
      <w:r>
        <w:rPr>
          <w:rFonts w:hint="eastAsia" w:ascii="宋体" w:hAnsi="宋体" w:eastAsia="宋体"/>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供应商名称</w:t>
            </w:r>
          </w:p>
        </w:tc>
        <w:tc>
          <w:tcPr>
            <w:tcW w:w="7278" w:type="dxa"/>
            <w:gridSpan w:val="9"/>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注册地址</w:t>
            </w:r>
          </w:p>
        </w:tc>
        <w:tc>
          <w:tcPr>
            <w:tcW w:w="3118" w:type="dxa"/>
            <w:gridSpan w:val="3"/>
          </w:tcPr>
          <w:p>
            <w:pPr>
              <w:adjustRightInd w:val="0"/>
              <w:snapToGrid w:val="0"/>
              <w:spacing w:line="600" w:lineRule="exact"/>
              <w:rPr>
                <w:rFonts w:ascii="仿宋_GB2312" w:hAnsi="宋体" w:eastAsia="仿宋_GB2312"/>
                <w:color w:val="auto"/>
                <w:sz w:val="28"/>
                <w:szCs w:val="28"/>
                <w:highlight w:val="none"/>
              </w:rPr>
            </w:pPr>
          </w:p>
        </w:tc>
        <w:tc>
          <w:tcPr>
            <w:tcW w:w="1570"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邮政编码</w:t>
            </w:r>
          </w:p>
        </w:tc>
        <w:tc>
          <w:tcPr>
            <w:tcW w:w="2590" w:type="dxa"/>
            <w:gridSpan w:val="3"/>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联系方式</w:t>
            </w:r>
          </w:p>
        </w:tc>
        <w:tc>
          <w:tcPr>
            <w:tcW w:w="1134" w:type="dxa"/>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2590" w:type="dxa"/>
            <w:gridSpan w:val="3"/>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134" w:type="dxa"/>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网址</w:t>
            </w:r>
          </w:p>
        </w:tc>
        <w:tc>
          <w:tcPr>
            <w:tcW w:w="2590" w:type="dxa"/>
            <w:gridSpan w:val="3"/>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组织结构</w:t>
            </w:r>
          </w:p>
        </w:tc>
        <w:tc>
          <w:tcPr>
            <w:tcW w:w="7278" w:type="dxa"/>
            <w:gridSpan w:val="9"/>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w:t>
            </w:r>
          </w:p>
        </w:tc>
        <w:tc>
          <w:tcPr>
            <w:tcW w:w="1134"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姓名</w:t>
            </w:r>
          </w:p>
        </w:tc>
        <w:tc>
          <w:tcPr>
            <w:tcW w:w="966" w:type="dxa"/>
          </w:tcPr>
          <w:p>
            <w:pPr>
              <w:adjustRightInd w:val="0"/>
              <w:snapToGrid w:val="0"/>
              <w:spacing w:line="600" w:lineRule="exact"/>
              <w:rPr>
                <w:rFonts w:ascii="仿宋_GB2312" w:hAnsi="宋体" w:eastAsia="仿宋_GB2312"/>
                <w:color w:val="auto"/>
                <w:sz w:val="28"/>
                <w:szCs w:val="28"/>
                <w:highlight w:val="none"/>
              </w:rPr>
            </w:pPr>
          </w:p>
        </w:tc>
        <w:tc>
          <w:tcPr>
            <w:tcW w:w="1443"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技术职称</w:t>
            </w:r>
          </w:p>
        </w:tc>
        <w:tc>
          <w:tcPr>
            <w:tcW w:w="1145" w:type="dxa"/>
          </w:tcPr>
          <w:p>
            <w:pPr>
              <w:adjustRightInd w:val="0"/>
              <w:snapToGrid w:val="0"/>
              <w:spacing w:line="600" w:lineRule="exact"/>
              <w:rPr>
                <w:rFonts w:ascii="仿宋_GB2312" w:hAnsi="宋体" w:eastAsia="仿宋_GB2312"/>
                <w:color w:val="auto"/>
                <w:sz w:val="28"/>
                <w:szCs w:val="28"/>
                <w:highlight w:val="none"/>
              </w:rPr>
            </w:pPr>
          </w:p>
        </w:tc>
        <w:tc>
          <w:tcPr>
            <w:tcW w:w="1295" w:type="dxa"/>
            <w:gridSpan w:val="2"/>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1295" w:type="dxa"/>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技术负责人</w:t>
            </w:r>
          </w:p>
        </w:tc>
        <w:tc>
          <w:tcPr>
            <w:tcW w:w="1134"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姓名</w:t>
            </w:r>
          </w:p>
        </w:tc>
        <w:tc>
          <w:tcPr>
            <w:tcW w:w="966" w:type="dxa"/>
          </w:tcPr>
          <w:p>
            <w:pPr>
              <w:adjustRightInd w:val="0"/>
              <w:snapToGrid w:val="0"/>
              <w:spacing w:line="600" w:lineRule="exact"/>
              <w:rPr>
                <w:rFonts w:ascii="仿宋_GB2312" w:hAnsi="宋体" w:eastAsia="仿宋_GB2312"/>
                <w:color w:val="auto"/>
                <w:sz w:val="28"/>
                <w:szCs w:val="28"/>
                <w:highlight w:val="none"/>
              </w:rPr>
            </w:pPr>
          </w:p>
        </w:tc>
        <w:tc>
          <w:tcPr>
            <w:tcW w:w="1443"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技术职称</w:t>
            </w:r>
          </w:p>
        </w:tc>
        <w:tc>
          <w:tcPr>
            <w:tcW w:w="1145" w:type="dxa"/>
          </w:tcPr>
          <w:p>
            <w:pPr>
              <w:adjustRightInd w:val="0"/>
              <w:snapToGrid w:val="0"/>
              <w:spacing w:line="600" w:lineRule="exact"/>
              <w:rPr>
                <w:rFonts w:ascii="仿宋_GB2312" w:hAnsi="宋体" w:eastAsia="仿宋_GB2312"/>
                <w:color w:val="auto"/>
                <w:sz w:val="28"/>
                <w:szCs w:val="28"/>
                <w:highlight w:val="none"/>
              </w:rPr>
            </w:pPr>
          </w:p>
        </w:tc>
        <w:tc>
          <w:tcPr>
            <w:tcW w:w="1295" w:type="dxa"/>
            <w:gridSpan w:val="2"/>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1295" w:type="dxa"/>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成立时间</w:t>
            </w:r>
          </w:p>
        </w:tc>
        <w:tc>
          <w:tcPr>
            <w:tcW w:w="2100" w:type="dxa"/>
            <w:gridSpan w:val="2"/>
          </w:tcPr>
          <w:p>
            <w:pPr>
              <w:adjustRightInd w:val="0"/>
              <w:snapToGrid w:val="0"/>
              <w:spacing w:line="600" w:lineRule="exact"/>
              <w:rPr>
                <w:rFonts w:ascii="仿宋_GB2312" w:hAnsi="宋体" w:eastAsia="仿宋_GB2312"/>
                <w:color w:val="auto"/>
                <w:sz w:val="28"/>
                <w:szCs w:val="28"/>
                <w:highlight w:val="none"/>
              </w:rPr>
            </w:pPr>
          </w:p>
        </w:tc>
        <w:tc>
          <w:tcPr>
            <w:tcW w:w="5178" w:type="dxa"/>
            <w:gridSpan w:val="7"/>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企业资质等级</w:t>
            </w:r>
          </w:p>
        </w:tc>
        <w:tc>
          <w:tcPr>
            <w:tcW w:w="2100" w:type="dxa"/>
            <w:gridSpan w:val="2"/>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restart"/>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其中</w:t>
            </w:r>
          </w:p>
        </w:tc>
        <w:tc>
          <w:tcPr>
            <w:tcW w:w="2268"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项目负责人</w:t>
            </w:r>
          </w:p>
        </w:tc>
        <w:tc>
          <w:tcPr>
            <w:tcW w:w="1750" w:type="dxa"/>
            <w:gridSpan w:val="2"/>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营业执照号</w:t>
            </w:r>
          </w:p>
        </w:tc>
        <w:tc>
          <w:tcPr>
            <w:tcW w:w="2100" w:type="dxa"/>
            <w:gridSpan w:val="2"/>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□高级职称人员</w:t>
            </w:r>
          </w:p>
        </w:tc>
        <w:tc>
          <w:tcPr>
            <w:tcW w:w="1750" w:type="dxa"/>
            <w:gridSpan w:val="2"/>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注册资金</w:t>
            </w:r>
          </w:p>
        </w:tc>
        <w:tc>
          <w:tcPr>
            <w:tcW w:w="2100" w:type="dxa"/>
            <w:gridSpan w:val="2"/>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□中级职称人员</w:t>
            </w:r>
          </w:p>
        </w:tc>
        <w:tc>
          <w:tcPr>
            <w:tcW w:w="1750" w:type="dxa"/>
            <w:gridSpan w:val="2"/>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开户银行</w:t>
            </w:r>
          </w:p>
        </w:tc>
        <w:tc>
          <w:tcPr>
            <w:tcW w:w="2100" w:type="dxa"/>
            <w:gridSpan w:val="2"/>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□初级职称人员</w:t>
            </w:r>
          </w:p>
        </w:tc>
        <w:tc>
          <w:tcPr>
            <w:tcW w:w="1750" w:type="dxa"/>
            <w:gridSpan w:val="2"/>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账户</w:t>
            </w:r>
          </w:p>
        </w:tc>
        <w:tc>
          <w:tcPr>
            <w:tcW w:w="2100" w:type="dxa"/>
            <w:gridSpan w:val="2"/>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□技工</w:t>
            </w:r>
          </w:p>
        </w:tc>
        <w:tc>
          <w:tcPr>
            <w:tcW w:w="1750" w:type="dxa"/>
            <w:gridSpan w:val="2"/>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经营范围</w:t>
            </w:r>
          </w:p>
        </w:tc>
        <w:tc>
          <w:tcPr>
            <w:tcW w:w="7278" w:type="dxa"/>
            <w:gridSpan w:val="9"/>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备注</w:t>
            </w:r>
          </w:p>
        </w:tc>
        <w:tc>
          <w:tcPr>
            <w:tcW w:w="7278" w:type="dxa"/>
            <w:gridSpan w:val="9"/>
          </w:tcPr>
          <w:p>
            <w:pPr>
              <w:adjustRightInd w:val="0"/>
              <w:snapToGrid w:val="0"/>
              <w:spacing w:line="600" w:lineRule="exact"/>
              <w:rPr>
                <w:rFonts w:ascii="仿宋_GB2312" w:hAnsi="宋体" w:eastAsia="仿宋_GB2312"/>
                <w:color w:val="auto"/>
                <w:sz w:val="28"/>
                <w:szCs w:val="28"/>
                <w:highlight w:val="none"/>
              </w:rPr>
            </w:pPr>
          </w:p>
        </w:tc>
      </w:tr>
    </w:tbl>
    <w:p>
      <w:pPr>
        <w:adjustRightInd w:val="0"/>
        <w:snapToGrid w:val="0"/>
        <w:ind w:firstLine="573"/>
        <w:rPr>
          <w:rFonts w:hint="eastAsia" w:ascii="宋体" w:hAnsi="宋体" w:eastAsia="宋体" w:cs="Times New Roman"/>
          <w:b/>
          <w:bCs/>
          <w:color w:val="auto"/>
          <w:sz w:val="28"/>
          <w:szCs w:val="28"/>
          <w:highlight w:val="none"/>
          <w:lang w:eastAsia="zh-CN"/>
        </w:rPr>
      </w:pPr>
      <w:r>
        <w:rPr>
          <w:rFonts w:ascii="仿宋_GB2312" w:hAnsi="宋体" w:eastAsia="仿宋_GB2312"/>
          <w:color w:val="auto"/>
          <w:sz w:val="28"/>
          <w:szCs w:val="28"/>
          <w:highlight w:val="none"/>
        </w:rPr>
        <w:t>注</w:t>
      </w:r>
      <w:r>
        <w:rPr>
          <w:rFonts w:hint="eastAsia" w:ascii="仿宋_GB2312" w:hAnsi="宋体" w:eastAsia="仿宋_GB2312"/>
          <w:color w:val="auto"/>
          <w:sz w:val="28"/>
          <w:szCs w:val="28"/>
          <w:highlight w:val="none"/>
        </w:rPr>
        <w:t>：</w:t>
      </w:r>
      <w:r>
        <w:rPr>
          <w:rFonts w:ascii="仿宋_GB2312" w:hAnsi="宋体" w:eastAsia="仿宋_GB2312"/>
          <w:color w:val="auto"/>
          <w:sz w:val="28"/>
          <w:szCs w:val="28"/>
          <w:highlight w:val="none"/>
        </w:rPr>
        <w:t>供应商应按供应商须知的要求提供主体资格证明材料及相关资质证明材料</w:t>
      </w:r>
      <w:r>
        <w:rPr>
          <w:rFonts w:hint="eastAsia" w:ascii="仿宋_GB2312" w:hAnsi="宋体" w:eastAsia="仿宋_GB2312"/>
          <w:color w:val="auto"/>
          <w:sz w:val="28"/>
          <w:szCs w:val="28"/>
          <w:highlight w:val="none"/>
          <w:lang w:eastAsia="zh-CN"/>
        </w:rPr>
        <w:t>。</w:t>
      </w:r>
      <w:r>
        <w:rPr>
          <w:rFonts w:hint="eastAsia" w:ascii="宋体" w:hAnsi="宋体" w:eastAsia="宋体" w:cs="Times New Roman"/>
          <w:b/>
          <w:bCs/>
          <w:color w:val="auto"/>
          <w:sz w:val="28"/>
          <w:szCs w:val="28"/>
          <w:highlight w:val="none"/>
          <w:lang w:val="en-US" w:eastAsia="zh-CN"/>
        </w:rPr>
        <w:t>（</w:t>
      </w:r>
      <w:r>
        <w:rPr>
          <w:rFonts w:hint="eastAsia" w:ascii="宋体" w:hAnsi="宋体" w:eastAsia="宋体" w:cs="Times New Roman"/>
          <w:b/>
          <w:bCs/>
          <w:color w:val="auto"/>
          <w:sz w:val="28"/>
          <w:szCs w:val="28"/>
          <w:highlight w:val="none"/>
        </w:rPr>
        <w:t>相关证明文件附后</w:t>
      </w:r>
      <w:r>
        <w:rPr>
          <w:rFonts w:hint="eastAsia" w:ascii="宋体" w:hAnsi="宋体" w:eastAsia="宋体" w:cs="Times New Roman"/>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Times New Roman"/>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lang w:val="en-US" w:eastAsia="zh-CN"/>
        </w:rPr>
        <w:t>3.2不得存在情形</w:t>
      </w:r>
      <w:r>
        <w:rPr>
          <w:rFonts w:hint="eastAsia" w:ascii="宋体" w:hAnsi="宋体" w:eastAsia="宋体" w:cs="Times New Roman"/>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仿宋_GB2312" w:eastAsia="仿宋_GB2312"/>
          <w:color w:val="auto"/>
          <w:sz w:val="28"/>
          <w:szCs w:val="28"/>
          <w:highlight w:val="none"/>
          <w:u w:val="single"/>
          <w:lang w:eastAsia="zh-CN"/>
        </w:rPr>
        <w:t>净水公司2024年便携式水质检测仪采购项目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eastAsia="宋体" w:cs="宋体"/>
          <w:color w:val="auto"/>
          <w:kern w:val="2"/>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GB"/>
        </w:rPr>
        <w:t>）</w:t>
      </w:r>
      <w:r>
        <w:rPr>
          <w:rFonts w:hint="eastAsia" w:eastAsia="宋体" w:cs="宋体"/>
          <w:color w:val="auto"/>
          <w:kern w:val="2"/>
          <w:highlight w:val="none"/>
          <w:lang w:val="en-GB"/>
        </w:rPr>
        <w:t>被“全国企业信用信息公示系统”（网址：http://www.gsxt.gov.cn/）</w:t>
      </w:r>
    </w:p>
    <w:p>
      <w:pPr>
        <w:pStyle w:val="2"/>
        <w:rPr>
          <w:rFonts w:hint="eastAsia" w:eastAsia="宋体" w:cs="宋体"/>
          <w:color w:val="auto"/>
          <w:kern w:val="2"/>
          <w:highlight w:val="none"/>
          <w:lang w:val="en-GB"/>
        </w:rPr>
      </w:pPr>
      <w:r>
        <w:rPr>
          <w:rFonts w:hint="eastAsia" w:eastAsia="宋体" w:cs="宋体"/>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注：附件：网页截图</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4"/>
          <w:szCs w:val="24"/>
          <w:highlight w:val="none"/>
          <w:lang w:val="en-GB"/>
        </w:rPr>
        <w:t>“信用中国”“全国企业信用信息公示系统”</w:t>
      </w:r>
      <w:r>
        <w:rPr>
          <w:rFonts w:hint="eastAsia" w:ascii="宋体" w:hAnsi="宋体" w:eastAsia="宋体" w:cs="宋体"/>
          <w:b/>
          <w:color w:val="auto"/>
          <w:sz w:val="21"/>
          <w:szCs w:val="21"/>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ascii="宋体" w:hAnsi="宋体" w:cs="Times New Roman"/>
          <w:b/>
          <w:bCs/>
          <w:color w:val="auto"/>
          <w:sz w:val="28"/>
          <w:szCs w:val="28"/>
          <w:highlight w:val="none"/>
          <w:lang w:val="en-US" w:eastAsia="zh-CN"/>
        </w:rPr>
      </w:pPr>
    </w:p>
    <w:p>
      <w:pPr>
        <w:jc w:val="left"/>
        <w:rPr>
          <w:rFonts w:hint="eastAsia" w:ascii="宋体" w:hAnsi="宋体" w:cs="Times New Roman"/>
          <w:b/>
          <w:bCs/>
          <w:color w:val="auto"/>
          <w:sz w:val="28"/>
          <w:szCs w:val="28"/>
          <w:highlight w:val="none"/>
          <w:lang w:val="en-US" w:eastAsia="zh-CN"/>
        </w:rPr>
      </w:pPr>
    </w:p>
    <w:p>
      <w:pPr>
        <w:jc w:val="left"/>
        <w:rPr>
          <w:rFonts w:hint="eastAsia" w:ascii="宋体" w:hAnsi="宋体" w:eastAsia="宋体" w:cs="Times New Roman"/>
          <w:b/>
          <w:bCs/>
          <w:color w:val="auto"/>
          <w:sz w:val="28"/>
          <w:szCs w:val="28"/>
          <w:highlight w:val="none"/>
        </w:rPr>
      </w:pPr>
      <w:r>
        <w:rPr>
          <w:rFonts w:hint="eastAsia" w:ascii="宋体" w:hAnsi="宋体" w:cs="Times New Roman"/>
          <w:b/>
          <w:bCs/>
          <w:color w:val="auto"/>
          <w:sz w:val="28"/>
          <w:szCs w:val="28"/>
          <w:highlight w:val="none"/>
          <w:lang w:val="en-US" w:eastAsia="zh-CN"/>
        </w:rPr>
        <w:t>4</w:t>
      </w:r>
      <w:r>
        <w:rPr>
          <w:rFonts w:hint="eastAsia" w:ascii="宋体" w:hAnsi="宋体" w:eastAsia="宋体" w:cs="Times New Roman"/>
          <w:b/>
          <w:bCs/>
          <w:color w:val="auto"/>
          <w:sz w:val="28"/>
          <w:szCs w:val="28"/>
          <w:highlight w:val="none"/>
          <w:lang w:val="en-US" w:eastAsia="zh-CN"/>
        </w:rPr>
        <w:t>.</w:t>
      </w:r>
      <w:r>
        <w:rPr>
          <w:rFonts w:hint="eastAsia" w:ascii="宋体" w:hAnsi="宋体" w:eastAsia="宋体" w:cs="Times New Roman"/>
          <w:b/>
          <w:bCs/>
          <w:color w:val="auto"/>
          <w:sz w:val="28"/>
          <w:szCs w:val="28"/>
          <w:highlight w:val="none"/>
        </w:rPr>
        <w:t>拟投入本项目的项目负责人情况表</w:t>
      </w:r>
    </w:p>
    <w:p>
      <w:pPr>
        <w:pStyle w:val="2"/>
        <w:rPr>
          <w:rFonts w:hint="eastAsia" w:ascii="仿宋_GB2312" w:hAnsi="宋体" w:eastAsia="仿宋_GB2312"/>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hint="default" w:ascii="仿宋_GB2312" w:hAnsi="宋体" w:eastAsia="仿宋_GB2312"/>
          <w:color w:val="auto"/>
          <w:sz w:val="28"/>
          <w:szCs w:val="28"/>
          <w:highlight w:val="none"/>
          <w:lang w:val="en-US" w:eastAsia="zh-CN"/>
        </w:rPr>
      </w:pPr>
    </w:p>
    <w:p>
      <w:pPr>
        <w:pStyle w:val="2"/>
        <w:rPr>
          <w:rFonts w:hint="default" w:ascii="仿宋_GB2312" w:hAnsi="宋体" w:eastAsia="仿宋_GB2312"/>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hAnsi="宋体" w:eastAsia="仿宋_GB2312"/>
          <w:color w:val="auto"/>
          <w:sz w:val="28"/>
          <w:szCs w:val="28"/>
          <w:highlight w:val="none"/>
          <w:lang w:val="en-US" w:eastAsia="zh-CN"/>
        </w:rPr>
      </w:pPr>
    </w:p>
    <w:p>
      <w:pPr>
        <w:pStyle w:val="2"/>
        <w:rPr>
          <w:rFonts w:hint="default" w:ascii="仿宋_GB2312" w:hAnsi="宋体" w:eastAsia="仿宋_GB2312"/>
          <w:color w:val="auto"/>
          <w:sz w:val="28"/>
          <w:szCs w:val="28"/>
          <w:highlight w:val="none"/>
          <w:lang w:val="en-US" w:eastAsia="zh-CN"/>
        </w:rPr>
      </w:pPr>
    </w:p>
    <w:p>
      <w:pPr>
        <w:pStyle w:val="2"/>
        <w:rPr>
          <w:rFonts w:hint="default" w:ascii="仿宋_GB2312" w:hAnsi="宋体" w:eastAsia="仿宋_GB2312"/>
          <w:color w:val="auto"/>
          <w:sz w:val="28"/>
          <w:szCs w:val="28"/>
          <w:highlight w:val="none"/>
          <w:lang w:val="en-US" w:eastAsia="zh-CN"/>
        </w:rPr>
      </w:pPr>
    </w:p>
    <w:p>
      <w:pPr>
        <w:pStyle w:val="6"/>
        <w:numPr>
          <w:ilvl w:val="0"/>
          <w:numId w:val="6"/>
        </w:numPr>
        <w:rPr>
          <w:rFonts w:hint="eastAsia" w:ascii="宋体" w:hAnsi="宋体" w:eastAsia="宋体"/>
          <w:color w:val="auto"/>
          <w:sz w:val="28"/>
          <w:szCs w:val="28"/>
          <w:highlight w:val="none"/>
        </w:rPr>
      </w:pPr>
      <w:bookmarkStart w:id="129" w:name="_Toc32430"/>
      <w:bookmarkStart w:id="130" w:name="_Toc19423"/>
      <w:r>
        <w:rPr>
          <w:rFonts w:hint="eastAsia" w:ascii="宋体" w:hAnsi="宋体" w:eastAsia="宋体"/>
          <w:color w:val="auto"/>
          <w:sz w:val="28"/>
          <w:szCs w:val="28"/>
          <w:highlight w:val="none"/>
        </w:rPr>
        <w:t>报价表</w:t>
      </w:r>
      <w:bookmarkEnd w:id="129"/>
      <w:bookmarkEnd w:id="130"/>
    </w:p>
    <w:tbl>
      <w:tblPr>
        <w:tblStyle w:val="25"/>
        <w:tblW w:w="9905" w:type="dxa"/>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917"/>
        <w:gridCol w:w="1750"/>
        <w:gridCol w:w="1233"/>
        <w:gridCol w:w="1333"/>
        <w:gridCol w:w="1317"/>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序号</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项目名称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设备名称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数量（台）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单价（元）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总价（元）</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color w:val="auto"/>
                <w:kern w:val="0"/>
                <w:sz w:val="22"/>
                <w:szCs w:val="22"/>
                <w:highlight w:val="none"/>
                <w:u w:val="none"/>
                <w:lang w:val="en-US" w:eastAsia="zh-CN"/>
              </w:rPr>
              <w:t>品牌</w:t>
            </w:r>
            <w:r>
              <w:rPr>
                <w:rFonts w:hint="eastAsia" w:ascii="宋体" w:hAnsi="宋体" w:cs="宋体"/>
                <w:b/>
                <w:bCs/>
                <w:i w:val="0"/>
                <w:color w:val="auto"/>
                <w:kern w:val="0"/>
                <w:sz w:val="22"/>
                <w:szCs w:val="22"/>
                <w:highlight w:val="none"/>
                <w:u w:val="none"/>
                <w:lang w:val="en-US" w:eastAsia="zh-CN"/>
              </w:rPr>
              <w:t>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2"/>
                <w:sz w:val="22"/>
                <w:szCs w:val="22"/>
                <w:highlight w:val="none"/>
                <w:u w:val="none"/>
                <w:lang w:val="en-US" w:eastAsia="zh-CN"/>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净水公司2024年便携式水质检测仪采购项目</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便携式水质分析仪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合计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r>
    </w:tbl>
    <w:p>
      <w:pPr>
        <w:pStyle w:val="32"/>
        <w:rPr>
          <w:rFonts w:hint="eastAsia"/>
          <w:color w:val="auto"/>
          <w:highlight w:val="none"/>
        </w:rPr>
      </w:pPr>
    </w:p>
    <w:p>
      <w:pPr>
        <w:rPr>
          <w:rFonts w:hint="eastAsia" w:ascii="宋体" w:hAnsi="宋体" w:eastAsia="宋体"/>
          <w:color w:val="auto"/>
          <w:sz w:val="28"/>
          <w:szCs w:val="28"/>
          <w:highlight w:val="none"/>
        </w:rPr>
      </w:pPr>
    </w:p>
    <w:p>
      <w:pPr>
        <w:pStyle w:val="6"/>
        <w:numPr>
          <w:ilvl w:val="0"/>
          <w:numId w:val="6"/>
        </w:numPr>
        <w:rPr>
          <w:rFonts w:hint="eastAsia" w:ascii="宋体" w:hAnsi="宋体" w:eastAsia="宋体"/>
          <w:color w:val="auto"/>
          <w:sz w:val="28"/>
          <w:szCs w:val="28"/>
          <w:highlight w:val="none"/>
        </w:rPr>
      </w:pPr>
      <w:bookmarkStart w:id="131" w:name="_Toc16386"/>
      <w:bookmarkStart w:id="132" w:name="_Toc87616402"/>
      <w:bookmarkStart w:id="133" w:name="_Toc6058"/>
      <w:bookmarkStart w:id="134" w:name="_Toc88209965"/>
      <w:r>
        <w:rPr>
          <w:rFonts w:hint="eastAsia" w:ascii="宋体" w:hAnsi="宋体" w:eastAsia="宋体"/>
          <w:color w:val="auto"/>
          <w:sz w:val="28"/>
          <w:szCs w:val="28"/>
          <w:highlight w:val="none"/>
        </w:rPr>
        <w:t>其他资料</w:t>
      </w:r>
      <w:bookmarkEnd w:id="131"/>
      <w:bookmarkEnd w:id="132"/>
      <w:bookmarkEnd w:id="133"/>
      <w:bookmarkEnd w:id="134"/>
    </w:p>
    <w:p>
      <w:pPr>
        <w:numPr>
          <w:ilvl w:val="-1"/>
          <w:numId w:val="0"/>
        </w:numPr>
        <w:ind w:firstLine="720" w:firstLineChars="300"/>
        <w:rPr>
          <w:color w:val="auto"/>
          <w:highlight w:val="none"/>
        </w:rPr>
      </w:pPr>
      <w:r>
        <w:rPr>
          <w:rFonts w:hint="eastAsia"/>
          <w:color w:val="auto"/>
          <w:sz w:val="24"/>
          <w:szCs w:val="24"/>
          <w:highlight w:val="none"/>
          <w:u w:val="single"/>
          <w:lang w:val="en-US" w:eastAsia="zh-CN"/>
        </w:rPr>
        <w:t>供货物需提供符合技术要求参数的第三方检测报告。</w:t>
      </w:r>
    </w:p>
    <w:p>
      <w:pPr>
        <w:adjustRightInd w:val="0"/>
        <w:snapToGrid w:val="0"/>
        <w:spacing w:line="600" w:lineRule="exact"/>
        <w:ind w:firstLine="570"/>
        <w:rPr>
          <w:rFonts w:ascii="仿宋_GB2312" w:hAnsi="宋体" w:eastAsia="仿宋_GB2312"/>
          <w:color w:val="auto"/>
          <w:sz w:val="28"/>
          <w:szCs w:val="28"/>
          <w:highlight w:val="none"/>
        </w:rPr>
      </w:pPr>
      <w:r>
        <w:rPr>
          <w:rFonts w:ascii="仿宋_GB2312" w:hAnsi="宋体" w:eastAsia="仿宋_GB2312"/>
          <w:color w:val="auto"/>
          <w:sz w:val="28"/>
          <w:szCs w:val="28"/>
          <w:highlight w:val="none"/>
        </w:rPr>
        <w:t>供应商须提交的其他资料</w:t>
      </w:r>
      <w:r>
        <w:rPr>
          <w:rFonts w:hint="eastAsia" w:ascii="仿宋_GB2312" w:hAnsi="宋体" w:eastAsia="仿宋_GB2312"/>
          <w:color w:val="auto"/>
          <w:sz w:val="28"/>
          <w:szCs w:val="28"/>
          <w:highlight w:val="none"/>
        </w:rPr>
        <w:t>。</w:t>
      </w:r>
    </w:p>
    <w:p>
      <w:pPr>
        <w:rPr>
          <w:color w:val="auto"/>
          <w:highlight w:val="none"/>
        </w:rPr>
      </w:pPr>
    </w:p>
    <w:p>
      <w:pPr>
        <w:rPr>
          <w:color w:val="auto"/>
          <w:highlight w:val="none"/>
        </w:rPr>
      </w:pPr>
    </w:p>
    <w:sectPr>
      <w:headerReference r:id="rId10" w:type="first"/>
      <w:footerReference r:id="rId13" w:type="first"/>
      <w:footerReference r:id="rId11" w:type="default"/>
      <w:footerReference r:id="rId12"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0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98923801"/>
                          </w:sdtPr>
                          <w:sdtContent>
                            <w:p>
                              <w:pPr>
                                <w:pStyle w:val="18"/>
                                <w:ind w:left="2250" w:hanging="1200"/>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298923801"/>
                    </w:sdtPr>
                    <w:sdtContent>
                      <w:p>
                        <w:pPr>
                          <w:pStyle w:val="18"/>
                          <w:ind w:left="2250" w:hanging="1200"/>
                          <w:jc w:val="center"/>
                        </w:pPr>
                      </w:p>
                    </w:sdtContent>
                  </w:sdt>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p>
  <w:p>
    <w:pPr>
      <w:pStyle w:val="18"/>
      <w:ind w:left="2250" w:hanging="120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98923801"/>
                          </w:sdtPr>
                          <w:sdtContent>
                            <w:p>
                              <w:pPr>
                                <w:pStyle w:val="18"/>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sdt>
                    <w:sdtPr>
                      <w:id w:val="-298923801"/>
                    </w:sdtPr>
                    <w:sdtContent>
                      <w:p>
                        <w:pPr>
                          <w:pStyle w:val="18"/>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98923801"/>
                          </w:sdtPr>
                          <w:sdtContent>
                            <w:p>
                              <w:pPr>
                                <w:pStyle w:val="18"/>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sdt>
                    <w:sdtPr>
                      <w:id w:val="-298923801"/>
                    </w:sdtPr>
                    <w:sdtContent>
                      <w:p>
                        <w:pPr>
                          <w:pStyle w:val="18"/>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1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xhWyFcMBAACHAwAADgAAAAAAAAABACAAAAAfAQAAZHJzL2Uyb0RvYy54bWxQ&#10;SwUGAAAAAAYABgBZAQAAVAU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p>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wWRkPsMBAACHAwAADgAAAAAAAAABACAAAAAfAQAAZHJzL2Uyb0RvYy54bWxQ&#10;SwUGAAAAAAYABgBZAQAAVAUAAAAA&#10;">
              <v:fill on="f" focussize="0,0"/>
              <v:stroke on="f"/>
              <v:imagedata o:title=""/>
              <o:lock v:ext="edit" aspectratio="f"/>
              <v:textbox inset="0mm,0mm,0mm,0mm" style="mso-fit-shape-to-text:t;">
                <w:txbxContent>
                  <w:p>
                    <w:pPr>
                      <w:pStyle w:val="18"/>
                    </w:pPr>
                  </w:p>
                  <w:p/>
                </w:txbxContent>
              </v:textbox>
            </v:rect>
          </w:pict>
        </mc:Fallback>
      </mc:AlternateContent>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h9CSN8MBAACHAwAADgAAAAAAAAABACAAAAAfAQAAZHJzL2Uyb0RvYy54bWxQ&#10;SwUGAAAAAAYABgBZAQAAVAU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decimal"/>
      <w:lvlText w:val="%1."/>
      <w:lvlJc w:val="left"/>
      <w:pPr>
        <w:tabs>
          <w:tab w:val="left" w:pos="312"/>
        </w:tabs>
      </w:pPr>
    </w:lvl>
  </w:abstractNum>
  <w:abstractNum w:abstractNumId="1">
    <w:nsid w:val="00000001"/>
    <w:multiLevelType w:val="singleLevel"/>
    <w:tmpl w:val="00000001"/>
    <w:lvl w:ilvl="0" w:tentative="0">
      <w:start w:val="1"/>
      <w:numFmt w:val="chineseCounting"/>
      <w:suff w:val="space"/>
      <w:lvlText w:val="第%1章"/>
      <w:lvlJc w:val="left"/>
      <w:rPr>
        <w:rFonts w:hint="eastAsia"/>
      </w:rPr>
    </w:lvl>
  </w:abstractNum>
  <w:abstractNum w:abstractNumId="2">
    <w:nsid w:val="00000004"/>
    <w:multiLevelType w:val="multilevel"/>
    <w:tmpl w:val="00000004"/>
    <w:lvl w:ilvl="0" w:tentative="0">
      <w:start w:val="1"/>
      <w:numFmt w:val="decimal"/>
      <w:lvlText w:val="%1."/>
      <w:lvlJc w:val="left"/>
      <w:pPr>
        <w:ind w:left="432" w:hanging="432"/>
      </w:pPr>
      <w:rPr>
        <w:rFonts w:hint="default" w:ascii="宋体" w:hAnsi="宋体" w:eastAsia="宋体" w:cs="宋体"/>
        <w:sz w:val="32"/>
        <w:szCs w:val="32"/>
      </w:rPr>
    </w:lvl>
    <w:lvl w:ilvl="1" w:tentative="0">
      <w:start w:val="1"/>
      <w:numFmt w:val="decimal"/>
      <w:lvlText w:val="%1.%2."/>
      <w:lvlJc w:val="left"/>
      <w:pPr>
        <w:ind w:left="575" w:hanging="575"/>
      </w:pPr>
      <w:rPr>
        <w:rFonts w:hint="default" w:ascii="宋体" w:hAnsi="宋体" w:eastAsia="宋体" w:cs="宋体"/>
        <w:sz w:val="28"/>
        <w:szCs w:val="28"/>
      </w:rPr>
    </w:lvl>
    <w:lvl w:ilvl="2" w:tentative="0">
      <w:start w:val="1"/>
      <w:numFmt w:val="decimal"/>
      <w:lvlText w:val="%1.%2.%3."/>
      <w:lvlJc w:val="left"/>
      <w:pPr>
        <w:ind w:left="720" w:hanging="720"/>
      </w:pPr>
      <w:rPr>
        <w:rFonts w:hint="default" w:ascii="宋体" w:hAnsi="宋体" w:eastAsia="宋体" w:cs="宋体"/>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0000000C"/>
    <w:multiLevelType w:val="singleLevel"/>
    <w:tmpl w:val="0000000C"/>
    <w:lvl w:ilvl="0" w:tentative="0">
      <w:start w:val="5"/>
      <w:numFmt w:val="decimal"/>
      <w:lvlText w:val="%1."/>
      <w:lvlJc w:val="left"/>
      <w:pPr>
        <w:tabs>
          <w:tab w:val="left" w:pos="312"/>
        </w:tabs>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46076B9"/>
    <w:multiLevelType w:val="singleLevel"/>
    <w:tmpl w:val="546076B9"/>
    <w:lvl w:ilvl="0" w:tentative="0">
      <w:start w:val="2"/>
      <w:numFmt w:val="chineseCounting"/>
      <w:suff w:val="nothing"/>
      <w:lvlText w:val="%1、"/>
      <w:lvlJc w:val="left"/>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000000"/>
    <w:rsid w:val="005647B1"/>
    <w:rsid w:val="050D40FB"/>
    <w:rsid w:val="07DD1CB3"/>
    <w:rsid w:val="09E813E1"/>
    <w:rsid w:val="0C7B29E0"/>
    <w:rsid w:val="0CF94BE2"/>
    <w:rsid w:val="133B07D3"/>
    <w:rsid w:val="1485153F"/>
    <w:rsid w:val="178063D9"/>
    <w:rsid w:val="17BD60B4"/>
    <w:rsid w:val="1A2A5AA6"/>
    <w:rsid w:val="1AA9357D"/>
    <w:rsid w:val="217575A6"/>
    <w:rsid w:val="237D0994"/>
    <w:rsid w:val="287F7A4B"/>
    <w:rsid w:val="291B4ED7"/>
    <w:rsid w:val="2BF17832"/>
    <w:rsid w:val="31B732C3"/>
    <w:rsid w:val="31D24130"/>
    <w:rsid w:val="325B4596"/>
    <w:rsid w:val="367F6AB9"/>
    <w:rsid w:val="39AC09C1"/>
    <w:rsid w:val="3AD2255C"/>
    <w:rsid w:val="442268A2"/>
    <w:rsid w:val="45186E37"/>
    <w:rsid w:val="461974B9"/>
    <w:rsid w:val="48A032E2"/>
    <w:rsid w:val="4AE027ED"/>
    <w:rsid w:val="53F44A1C"/>
    <w:rsid w:val="579932E7"/>
    <w:rsid w:val="5A6B5E6C"/>
    <w:rsid w:val="5B707578"/>
    <w:rsid w:val="5B7E6A7C"/>
    <w:rsid w:val="5BA504AD"/>
    <w:rsid w:val="5BC326E1"/>
    <w:rsid w:val="5F5E464C"/>
    <w:rsid w:val="61CB0541"/>
    <w:rsid w:val="62297A36"/>
    <w:rsid w:val="6BA814E9"/>
    <w:rsid w:val="6E600263"/>
    <w:rsid w:val="705D52D3"/>
    <w:rsid w:val="72C50FCD"/>
    <w:rsid w:val="758F1B5A"/>
    <w:rsid w:val="7F43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7"/>
    <w:qFormat/>
    <w:uiPriority w:val="9"/>
    <w:pPr>
      <w:keepNext/>
      <w:keepLines/>
      <w:spacing w:before="260" w:after="260" w:line="416" w:lineRule="auto"/>
      <w:jc w:val="center"/>
      <w:outlineLvl w:val="1"/>
    </w:pPr>
    <w:rPr>
      <w:rFonts w:ascii="Cambria" w:hAnsi="Cambria" w:eastAsia="方正小标宋简体" w:cs="宋体"/>
      <w:bCs/>
      <w:sz w:val="36"/>
      <w:szCs w:val="32"/>
    </w:rPr>
  </w:style>
  <w:style w:type="paragraph" w:styleId="6">
    <w:name w:val="heading 3"/>
    <w:basedOn w:val="1"/>
    <w:next w:val="1"/>
    <w:link w:val="38"/>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qFormat/>
    <w:uiPriority w:val="0"/>
    <w:pPr>
      <w:keepNext/>
      <w:keepLines/>
      <w:numPr>
        <w:ilvl w:val="5"/>
        <w:numId w:val="1"/>
      </w:numPr>
      <w:spacing w:before="240" w:beforeAutospacing="0" w:after="64" w:afterAutospacing="0" w:line="317" w:lineRule="auto"/>
      <w:ind w:left="1151" w:hanging="1151"/>
      <w:outlineLvl w:val="5"/>
    </w:pPr>
    <w:rPr>
      <w:rFonts w:ascii="Arial" w:hAnsi="Arial" w:eastAsia="黑体"/>
      <w:b/>
      <w:sz w:val="24"/>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annotation text"/>
    <w:basedOn w:val="1"/>
    <w:qFormat/>
    <w:uiPriority w:val="0"/>
    <w:pPr>
      <w:jc w:val="left"/>
    </w:pPr>
  </w:style>
  <w:style w:type="paragraph" w:styleId="11">
    <w:name w:val="Body Text 3"/>
    <w:basedOn w:val="1"/>
    <w:link w:val="46"/>
    <w:qFormat/>
    <w:uiPriority w:val="99"/>
    <w:pPr>
      <w:spacing w:after="120"/>
    </w:pPr>
    <w:rPr>
      <w:sz w:val="16"/>
      <w:szCs w:val="16"/>
    </w:rPr>
  </w:style>
  <w:style w:type="paragraph" w:styleId="12">
    <w:name w:val="Body Text"/>
    <w:basedOn w:val="1"/>
    <w:next w:val="13"/>
    <w:qFormat/>
    <w:uiPriority w:val="99"/>
    <w:pPr>
      <w:spacing w:after="120"/>
    </w:pPr>
  </w:style>
  <w:style w:type="paragraph" w:styleId="13">
    <w:name w:val="Body Text 2"/>
    <w:basedOn w:val="1"/>
    <w:qFormat/>
    <w:uiPriority w:val="0"/>
    <w:pPr>
      <w:spacing w:after="120" w:line="480" w:lineRule="auto"/>
    </w:pPr>
  </w:style>
  <w:style w:type="paragraph" w:styleId="14">
    <w:name w:val="toc 3"/>
    <w:basedOn w:val="1"/>
    <w:next w:val="1"/>
    <w:qFormat/>
    <w:uiPriority w:val="39"/>
    <w:pPr>
      <w:widowControl/>
      <w:spacing w:after="100" w:line="276" w:lineRule="auto"/>
      <w:ind w:left="440"/>
      <w:jc w:val="left"/>
    </w:pPr>
    <w:rPr>
      <w:kern w:val="0"/>
      <w:sz w:val="22"/>
    </w:rPr>
  </w:style>
  <w:style w:type="paragraph" w:styleId="15">
    <w:name w:val="Plain Text"/>
    <w:basedOn w:val="1"/>
    <w:qFormat/>
    <w:uiPriority w:val="0"/>
    <w:rPr>
      <w:rFonts w:ascii="宋体" w:hAnsi="Courier New"/>
      <w:szCs w:val="21"/>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41"/>
    <w:qFormat/>
    <w:uiPriority w:val="99"/>
    <w:rPr>
      <w:sz w:val="18"/>
      <w:szCs w:val="18"/>
    </w:rPr>
  </w:style>
  <w:style w:type="paragraph" w:styleId="18">
    <w:name w:val="footer"/>
    <w:basedOn w:val="1"/>
    <w:link w:val="35"/>
    <w:qFormat/>
    <w:uiPriority w:val="99"/>
    <w:pPr>
      <w:tabs>
        <w:tab w:val="center" w:pos="4153"/>
        <w:tab w:val="right" w:pos="8306"/>
      </w:tabs>
      <w:snapToGrid w:val="0"/>
      <w:jc w:val="left"/>
    </w:pPr>
    <w:rPr>
      <w:sz w:val="18"/>
      <w:szCs w:val="18"/>
    </w:rPr>
  </w:style>
  <w:style w:type="paragraph" w:styleId="19">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kern w:val="0"/>
      <w:sz w:val="22"/>
    </w:rPr>
  </w:style>
  <w:style w:type="paragraph" w:styleId="21">
    <w:name w:val="List"/>
    <w:basedOn w:val="1"/>
    <w:next w:val="1"/>
    <w:qFormat/>
    <w:uiPriority w:val="0"/>
    <w:pPr>
      <w:snapToGrid w:val="0"/>
    </w:pPr>
    <w:rPr>
      <w:szCs w:val="24"/>
    </w:rPr>
  </w:style>
  <w:style w:type="paragraph" w:styleId="22">
    <w:name w:val="toc 2"/>
    <w:basedOn w:val="1"/>
    <w:next w:val="1"/>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4">
    <w:name w:val="Body Text First Indent"/>
    <w:basedOn w:val="12"/>
    <w:qFormat/>
    <w:uiPriority w:val="99"/>
    <w:pPr>
      <w:widowControl w:val="0"/>
      <w:spacing w:after="120" w:line="240" w:lineRule="auto"/>
      <w:ind w:firstLine="420"/>
    </w:pPr>
    <w:rPr>
      <w:kern w:val="2"/>
      <w:sz w:val="21"/>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Default"/>
    <w:next w:val="21"/>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3">
    <w:name w:val="样式 正文文字 + 首行缩进:  2 字符2"/>
    <w:basedOn w:val="1"/>
    <w:qFormat/>
    <w:uiPriority w:val="0"/>
    <w:pPr>
      <w:spacing w:line="480" w:lineRule="atLeast"/>
      <w:ind w:firstLine="560" w:firstLineChars="200"/>
    </w:pPr>
    <w:rPr>
      <w:rFonts w:cs="宋体"/>
      <w:szCs w:val="20"/>
    </w:rPr>
  </w:style>
  <w:style w:type="character" w:customStyle="1" w:styleId="34">
    <w:name w:val="页眉 Char"/>
    <w:basedOn w:val="27"/>
    <w:link w:val="19"/>
    <w:qFormat/>
    <w:uiPriority w:val="99"/>
    <w:rPr>
      <w:sz w:val="18"/>
      <w:szCs w:val="18"/>
    </w:rPr>
  </w:style>
  <w:style w:type="character" w:customStyle="1" w:styleId="35">
    <w:name w:val="页脚 Char"/>
    <w:basedOn w:val="27"/>
    <w:link w:val="18"/>
    <w:qFormat/>
    <w:uiPriority w:val="99"/>
    <w:rPr>
      <w:sz w:val="18"/>
      <w:szCs w:val="18"/>
    </w:rPr>
  </w:style>
  <w:style w:type="character" w:customStyle="1" w:styleId="36">
    <w:name w:val="标题 1 Char"/>
    <w:basedOn w:val="27"/>
    <w:link w:val="4"/>
    <w:qFormat/>
    <w:uiPriority w:val="9"/>
    <w:rPr>
      <w:rFonts w:eastAsia="方正小标宋简体"/>
      <w:bCs/>
      <w:kern w:val="44"/>
      <w:sz w:val="44"/>
      <w:szCs w:val="44"/>
    </w:rPr>
  </w:style>
  <w:style w:type="character" w:customStyle="1" w:styleId="37">
    <w:name w:val="标题 2 Char"/>
    <w:basedOn w:val="27"/>
    <w:link w:val="5"/>
    <w:qFormat/>
    <w:uiPriority w:val="9"/>
    <w:rPr>
      <w:rFonts w:ascii="Cambria" w:hAnsi="Cambria" w:eastAsia="方正小标宋简体" w:cs="宋体"/>
      <w:bCs/>
      <w:sz w:val="36"/>
      <w:szCs w:val="32"/>
    </w:rPr>
  </w:style>
  <w:style w:type="character" w:customStyle="1" w:styleId="38">
    <w:name w:val="标题 3 Char"/>
    <w:basedOn w:val="27"/>
    <w:link w:val="6"/>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Heading_2c6c15d2-c973-416e-a80e-3a56b73f88cf"/>
    <w:basedOn w:val="4"/>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1">
    <w:name w:val="批注框文本 Char"/>
    <w:basedOn w:val="27"/>
    <w:link w:val="17"/>
    <w:qFormat/>
    <w:uiPriority w:val="99"/>
    <w:rPr>
      <w:sz w:val="18"/>
      <w:szCs w:val="18"/>
    </w:rPr>
  </w:style>
  <w:style w:type="paragraph" w:styleId="42">
    <w:name w:val="No Spacing"/>
    <w:qFormat/>
    <w:uiPriority w:val="1"/>
    <w:pPr>
      <w:widowControl w:val="0"/>
      <w:jc w:val="both"/>
    </w:pPr>
    <w:rPr>
      <w:rFonts w:ascii="Calibri" w:hAnsi="Calibri" w:eastAsia="宋体" w:cs="宋体"/>
      <w:kern w:val="2"/>
      <w:sz w:val="21"/>
      <w:szCs w:val="22"/>
      <w:lang w:val="en-US" w:eastAsia="zh-CN" w:bidi="ar-SA"/>
    </w:rPr>
  </w:style>
  <w:style w:type="paragraph" w:customStyle="1" w:styleId="43">
    <w:name w:val="CM97"/>
    <w:basedOn w:val="31"/>
    <w:next w:val="31"/>
    <w:qFormat/>
    <w:uiPriority w:val="0"/>
    <w:pPr>
      <w:spacing w:after="373"/>
    </w:pPr>
    <w:rPr>
      <w:color w:val="auto"/>
    </w:rPr>
  </w:style>
  <w:style w:type="paragraph" w:customStyle="1" w:styleId="44">
    <w:name w:val="CM91"/>
    <w:basedOn w:val="31"/>
    <w:next w:val="31"/>
    <w:qFormat/>
    <w:uiPriority w:val="0"/>
    <w:pPr>
      <w:spacing w:after="160"/>
    </w:pPr>
    <w:rPr>
      <w:color w:val="auto"/>
    </w:rPr>
  </w:style>
  <w:style w:type="character" w:customStyle="1" w:styleId="45">
    <w:name w:val="正文文本 3 Char"/>
    <w:link w:val="11"/>
    <w:qFormat/>
    <w:uiPriority w:val="99"/>
    <w:rPr>
      <w:sz w:val="16"/>
      <w:szCs w:val="16"/>
    </w:rPr>
  </w:style>
  <w:style w:type="character" w:customStyle="1" w:styleId="46">
    <w:name w:val="正文文本 3 Char1"/>
    <w:basedOn w:val="27"/>
    <w:link w:val="11"/>
    <w:qFormat/>
    <w:uiPriority w:val="99"/>
    <w:rPr>
      <w:sz w:val="16"/>
      <w:szCs w:val="16"/>
    </w:rPr>
  </w:style>
  <w:style w:type="character" w:customStyle="1" w:styleId="47">
    <w:name w:val="列出段落 Char"/>
    <w:link w:val="39"/>
    <w:qFormat/>
    <w:uiPriority w:val="34"/>
  </w:style>
  <w:style w:type="paragraph" w:customStyle="1" w:styleId="48">
    <w:name w:val="1"/>
    <w:basedOn w:val="1"/>
    <w:next w:val="15"/>
    <w:qFormat/>
    <w:uiPriority w:val="99"/>
    <w:pPr>
      <w:widowControl w:val="0"/>
      <w:jc w:val="both"/>
    </w:pPr>
    <w:rPr>
      <w:rFonts w:ascii="宋体" w:hAnsi="Courier New"/>
      <w:kern w:val="2"/>
    </w:rPr>
  </w:style>
  <w:style w:type="paragraph" w:customStyle="1" w:styleId="49">
    <w:name w:val="WPSOffice手动目录 1"/>
    <w:qFormat/>
    <w:uiPriority w:val="0"/>
    <w:pPr>
      <w:ind w:leftChars="0"/>
    </w:pPr>
    <w:rPr>
      <w:rFonts w:ascii="Calibri" w:hAnsi="Calibri" w:eastAsia="宋体" w:cs="宋体"/>
      <w:sz w:val="20"/>
      <w:szCs w:val="20"/>
    </w:rPr>
  </w:style>
  <w:style w:type="paragraph" w:customStyle="1" w:styleId="50">
    <w:name w:val="WPSOffice手动目录 2"/>
    <w:qFormat/>
    <w:uiPriority w:val="0"/>
    <w:pPr>
      <w:ind w:leftChars="200"/>
    </w:pPr>
    <w:rPr>
      <w:rFonts w:ascii="Calibri" w:hAnsi="Calibri" w:eastAsia="宋体" w:cs="宋体"/>
      <w:sz w:val="20"/>
      <w:szCs w:val="20"/>
    </w:rPr>
  </w:style>
  <w:style w:type="paragraph" w:customStyle="1" w:styleId="51">
    <w:name w:val="WPSOffice手动目录 3"/>
    <w:qFormat/>
    <w:uiPriority w:val="0"/>
    <w:pPr>
      <w:ind w:leftChars="400"/>
    </w:pPr>
    <w:rPr>
      <w:rFonts w:ascii="Calibri" w:hAnsi="Calibri" w:eastAsia="宋体" w:cs="宋体"/>
      <w:sz w:val="20"/>
      <w:szCs w:val="20"/>
    </w:rPr>
  </w:style>
  <w:style w:type="paragraph" w:customStyle="1" w:styleId="52">
    <w:name w:val="+正文"/>
    <w:basedOn w:val="1"/>
    <w:qFormat/>
    <w:uiPriority w:val="0"/>
    <w:pPr>
      <w:widowControl w:val="0"/>
      <w:spacing w:after="0" w:line="360" w:lineRule="auto"/>
      <w:ind w:firstLine="200" w:firstLineChars="200"/>
      <w:jc w:val="both"/>
    </w:pPr>
    <w:rPr>
      <w:rFonts w:ascii="Times New Roman" w:hAnsi="Times New Roman" w:eastAsia="宋体" w:cs="Times New Roman"/>
      <w:kern w:val="2"/>
      <w:sz w:val="24"/>
      <w:szCs w:val="28"/>
      <w:lang w:val="zh-CN" w:eastAsia="zh-CN"/>
    </w:rPr>
  </w:style>
  <w:style w:type="table" w:customStyle="1" w:styleId="53">
    <w:name w:val="Table Normal"/>
    <w:qFormat/>
    <w:uiPriority w:val="0"/>
    <w:tblPr>
      <w:tblCellMar>
        <w:top w:w="0" w:type="dxa"/>
        <w:left w:w="0" w:type="dxa"/>
        <w:bottom w:w="0" w:type="dxa"/>
        <w:right w:w="0" w:type="dxa"/>
      </w:tblCellMar>
    </w:tblPr>
  </w:style>
  <w:style w:type="paragraph" w:customStyle="1" w:styleId="54">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 w:type="character" w:customStyle="1" w:styleId="55">
    <w:name w:val="font21"/>
    <w:basedOn w:val="27"/>
    <w:qFormat/>
    <w:uiPriority w:val="0"/>
    <w:rPr>
      <w:rFonts w:hint="eastAsia" w:ascii="宋体" w:hAnsi="宋体" w:eastAsia="宋体" w:cs="宋体"/>
      <w:b/>
      <w:bCs/>
      <w:color w:val="000000"/>
      <w:sz w:val="22"/>
      <w:szCs w:val="22"/>
      <w:u w:val="none"/>
    </w:rPr>
  </w:style>
  <w:style w:type="character" w:customStyle="1" w:styleId="56">
    <w:name w:val="font31"/>
    <w:basedOn w:val="27"/>
    <w:qFormat/>
    <w:uiPriority w:val="0"/>
    <w:rPr>
      <w:rFonts w:hint="eastAsia" w:ascii="宋体" w:hAnsi="宋体" w:eastAsia="宋体" w:cs="宋体"/>
      <w:b/>
      <w:color w:val="000000"/>
      <w:sz w:val="22"/>
      <w:szCs w:val="22"/>
      <w:u w:val="none"/>
    </w:rPr>
  </w:style>
  <w:style w:type="character" w:customStyle="1" w:styleId="57">
    <w:name w:val="font11"/>
    <w:basedOn w:val="27"/>
    <w:qFormat/>
    <w:uiPriority w:val="0"/>
    <w:rPr>
      <w:rFonts w:hint="default" w:ascii="Wingdings 2" w:hAnsi="Wingdings 2" w:eastAsia="Wingdings 2" w:cs="Wingdings 2"/>
      <w:color w:val="000000"/>
      <w:sz w:val="24"/>
      <w:szCs w:val="24"/>
      <w:u w:val="none"/>
    </w:rPr>
  </w:style>
  <w:style w:type="paragraph" w:customStyle="1" w:styleId="58">
    <w:name w:val="+正文 Char Char Char"/>
    <w:basedOn w:val="1"/>
    <w:qFormat/>
    <w:uiPriority w:val="0"/>
    <w:pPr>
      <w:widowControl w:val="0"/>
      <w:spacing w:after="0" w:line="360" w:lineRule="auto"/>
      <w:ind w:firstLine="200" w:firstLineChars="200"/>
      <w:jc w:val="both"/>
    </w:pPr>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898f2f-a7f8-4ba4-b618-7d6d294c80aa}">
  <ds:schemaRefs/>
</ds:datastoreItem>
</file>

<file path=docProps/app.xml><?xml version="1.0" encoding="utf-8"?>
<Properties xmlns="http://schemas.openxmlformats.org/officeDocument/2006/extended-properties" xmlns:vt="http://schemas.openxmlformats.org/officeDocument/2006/docPropsVTypes">
  <Template>Normal</Template>
  <Pages>101</Pages>
  <Words>32381</Words>
  <Characters>34386</Characters>
  <Paragraphs>2518</Paragraphs>
  <TotalTime>13</TotalTime>
  <ScaleCrop>false</ScaleCrop>
  <LinksUpToDate>false</LinksUpToDate>
  <CharactersWithSpaces>36854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2023-02-23T07:36:00Z</cp:lastPrinted>
  <dcterms:modified xsi:type="dcterms:W3CDTF">2024-03-20T07:18:55Z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C4152999D58A446B8F4257CEEA2AB678_13</vt:lpwstr>
  </property>
</Properties>
</file>