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sz w:val="52"/>
          <w:szCs w:val="52"/>
          <w:lang w:val="en-US" w:eastAsia="zh-CN"/>
        </w:rPr>
        <w:t>2024年度在线监测设备及备机校准服务</w:t>
      </w:r>
      <w:r>
        <w:rPr>
          <w:rFonts w:hint="eastAsia" w:ascii="方正小标宋简体" w:eastAsia="方正小标宋简体"/>
          <w:color w:val="auto"/>
          <w:sz w:val="52"/>
          <w:szCs w:val="52"/>
          <w:highlight w:val="none"/>
          <w:lang w:val="en-US" w:eastAsia="zh-CN"/>
        </w:rPr>
        <w:t>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r>
        <w:rPr>
          <w:rFonts w:hint="eastAsia" w:ascii="黑体" w:hAnsi="黑体" w:eastAsia="黑体" w:cs="仿宋_GB2312"/>
          <w:sz w:val="32"/>
          <w:szCs w:val="32"/>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方正小标宋简体" w:cs="方正小标宋简体"/>
          <w:sz w:val="44"/>
          <w:szCs w:val="44"/>
          <w:lang w:val="en-US" w:eastAsia="zh-CN"/>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NumType w:fmt="upperRoman"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696"/>
      <w:bookmarkStart w:id="1" w:name="_Toc18145"/>
      <w:bookmarkStart w:id="2" w:name="_Toc26148"/>
      <w:bookmarkStart w:id="3" w:name="_Toc1711"/>
    </w:p>
    <w:p>
      <w:pPr>
        <w:pStyle w:val="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sz w:val="28"/>
          <w:szCs w:val="28"/>
        </w:rPr>
      </w:pPr>
      <w:bookmarkStart w:id="4" w:name="_Toc4275"/>
      <w:bookmarkStart w:id="5" w:name="_Toc19609"/>
      <w:bookmarkStart w:id="6" w:name="_Toc17801"/>
      <w:bookmarkStart w:id="7" w:name="_Toc7519"/>
      <w:bookmarkStart w:id="8" w:name="_Toc31938"/>
      <w:bookmarkStart w:id="9" w:name="_Toc1669"/>
      <w:bookmarkStart w:id="10" w:name="_Toc11322"/>
    </w:p>
    <w:p>
      <w:pPr>
        <w:rPr>
          <w:rFonts w:hint="eastAsia" w:ascii="仿宋_GB2312" w:hAnsi="仿宋_GB2312" w:eastAsia="仿宋_GB2312" w:cs="仿宋_GB2312"/>
          <w:sz w:val="28"/>
          <w:szCs w:val="28"/>
        </w:rPr>
      </w:pPr>
    </w:p>
    <w:p>
      <w:pPr>
        <w:pBdr>
          <w:bottom w:val="none" w:color="auto" w:sz="0" w:space="0"/>
        </w:pBdr>
        <w:rPr>
          <w:rFonts w:hint="eastAsia" w:ascii="仿宋_GB2312" w:hAnsi="仿宋_GB2312" w:eastAsia="仿宋_GB2312" w:cs="仿宋_GB2312"/>
          <w:sz w:val="28"/>
          <w:szCs w:val="28"/>
        </w:rPr>
      </w:pPr>
    </w:p>
    <w:p>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sz w:val="28"/>
          <w:szCs w:val="28"/>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eastAsia="仿宋_GB2312"/>
          <w:sz w:val="28"/>
          <w:szCs w:val="28"/>
          <w:u w:val="single"/>
          <w:lang w:val="en-US" w:eastAsia="zh-CN"/>
        </w:rPr>
        <w:t>广州市净水有限公司2024年度在线监测</w:t>
      </w:r>
      <w:r>
        <w:rPr>
          <w:rFonts w:hint="eastAsia" w:ascii="仿宋_GB2312" w:eastAsia="仿宋_GB2312"/>
          <w:sz w:val="28"/>
          <w:szCs w:val="28"/>
          <w:u w:val="single"/>
          <w:lang w:eastAsia="zh-CN"/>
        </w:rPr>
        <w:t>设备</w:t>
      </w:r>
      <w:r>
        <w:rPr>
          <w:rFonts w:hint="eastAsia" w:ascii="仿宋_GB2312" w:eastAsia="仿宋_GB2312"/>
          <w:sz w:val="28"/>
          <w:szCs w:val="28"/>
          <w:u w:val="single"/>
          <w:lang w:val="en-US" w:eastAsia="zh-CN"/>
        </w:rPr>
        <w:t>及备机</w:t>
      </w:r>
      <w:r>
        <w:rPr>
          <w:rFonts w:hint="eastAsia" w:ascii="仿宋_GB2312" w:eastAsia="仿宋_GB2312"/>
          <w:sz w:val="28"/>
          <w:szCs w:val="28"/>
          <w:u w:val="single"/>
          <w:lang w:eastAsia="zh-CN"/>
        </w:rPr>
        <w:t>校准服务</w:t>
      </w:r>
      <w:r>
        <w:rPr>
          <w:rFonts w:hint="eastAsia" w:ascii="仿宋_GB2312" w:eastAsia="仿宋_GB2312"/>
          <w:sz w:val="28"/>
          <w:szCs w:val="28"/>
          <w:u w:val="single"/>
          <w:lang w:val="en-US" w:eastAsia="zh-CN"/>
        </w:rPr>
        <w:t>项目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rPr>
        <w:t xml:space="preserve">□施工  □货物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sz w:val="28"/>
          <w:szCs w:val="28"/>
          <w:u w:val="single"/>
          <w:lang w:val="en-US" w:eastAsia="zh-CN"/>
        </w:rPr>
        <w:t>广州市净水有限公司2024年度在线监测</w:t>
      </w:r>
      <w:r>
        <w:rPr>
          <w:rFonts w:hint="eastAsia" w:ascii="仿宋_GB2312" w:eastAsia="仿宋_GB2312"/>
          <w:sz w:val="28"/>
          <w:szCs w:val="28"/>
          <w:u w:val="single"/>
          <w:lang w:eastAsia="zh-CN"/>
        </w:rPr>
        <w:t>设备</w:t>
      </w:r>
      <w:r>
        <w:rPr>
          <w:rFonts w:hint="eastAsia" w:ascii="仿宋_GB2312" w:eastAsia="仿宋_GB2312"/>
          <w:sz w:val="28"/>
          <w:szCs w:val="28"/>
          <w:u w:val="single"/>
          <w:lang w:val="en-US" w:eastAsia="zh-CN"/>
        </w:rPr>
        <w:t>及备机</w:t>
      </w:r>
      <w:r>
        <w:rPr>
          <w:rFonts w:hint="eastAsia" w:ascii="仿宋_GB2312" w:eastAsia="仿宋_GB2312"/>
          <w:sz w:val="28"/>
          <w:szCs w:val="28"/>
          <w:u w:val="single"/>
          <w:lang w:eastAsia="zh-CN"/>
        </w:rPr>
        <w:t>校准服务</w:t>
      </w:r>
      <w:r>
        <w:rPr>
          <w:rFonts w:hint="eastAsia" w:ascii="仿宋_GB2312" w:eastAsia="仿宋_GB2312"/>
          <w:sz w:val="28"/>
          <w:szCs w:val="28"/>
          <w:u w:val="single"/>
          <w:lang w:val="en-US" w:eastAsia="zh-CN"/>
        </w:rPr>
        <w:t>项目</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XJ-20240314-1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205,870.00元</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sz w:val="28"/>
          <w:szCs w:val="28"/>
          <w:u w:val="single"/>
          <w:lang w:val="en-US" w:eastAsia="zh-CN"/>
        </w:rPr>
        <w:t>根</w:t>
      </w:r>
      <w:r>
        <w:rPr>
          <w:rFonts w:hint="eastAsia" w:ascii="仿宋" w:hAnsi="仿宋" w:eastAsia="仿宋" w:cs="仿宋"/>
          <w:sz w:val="28"/>
          <w:szCs w:val="28"/>
          <w:highlight w:val="none"/>
          <w:u w:val="single"/>
        </w:rPr>
        <w:t>据我公司</w:t>
      </w:r>
      <w:r>
        <w:rPr>
          <w:rFonts w:hint="eastAsia" w:ascii="仿宋" w:hAnsi="仿宋" w:eastAsia="仿宋" w:cs="仿宋"/>
          <w:sz w:val="28"/>
          <w:szCs w:val="28"/>
          <w:highlight w:val="none"/>
          <w:u w:val="single"/>
          <w:lang w:val="en-US" w:eastAsia="zh-CN"/>
        </w:rPr>
        <w:t>所属猎德、大坦沙、沥滘、西朗、大沙地、龙归、竹料、均禾、京溪、石井净、大观、健康城、江高</w:t>
      </w:r>
      <w:r>
        <w:rPr>
          <w:rFonts w:hint="eastAsia" w:ascii="仿宋" w:hAnsi="仿宋" w:eastAsia="仿宋" w:cs="仿宋"/>
          <w:sz w:val="28"/>
          <w:szCs w:val="28"/>
          <w:highlight w:val="none"/>
          <w:u w:val="single"/>
        </w:rPr>
        <w:t>等净水厂（分公司）</w:t>
      </w:r>
      <w:r>
        <w:rPr>
          <w:rFonts w:hint="eastAsia" w:ascii="仿宋" w:hAnsi="仿宋" w:eastAsia="仿宋" w:cs="仿宋"/>
          <w:sz w:val="28"/>
          <w:szCs w:val="28"/>
          <w:highlight w:val="none"/>
          <w:u w:val="single"/>
          <w:lang w:val="en-US" w:eastAsia="zh-CN"/>
        </w:rPr>
        <w:t>在线监测设备及水质检测中心备机</w:t>
      </w:r>
      <w:r>
        <w:rPr>
          <w:rFonts w:hint="eastAsia" w:ascii="仿宋" w:hAnsi="仿宋" w:eastAsia="仿宋" w:cs="仿宋"/>
          <w:sz w:val="28"/>
          <w:szCs w:val="28"/>
          <w:highlight w:val="none"/>
          <w:u w:val="single"/>
        </w:rPr>
        <w:t>校准的需求，委托具有CNAS资质第三方校准单位负责</w:t>
      </w:r>
      <w:r>
        <w:rPr>
          <w:rFonts w:hint="eastAsia" w:ascii="仿宋" w:hAnsi="仿宋" w:eastAsia="仿宋" w:cs="仿宋"/>
          <w:sz w:val="28"/>
          <w:szCs w:val="28"/>
          <w:highlight w:val="none"/>
          <w:u w:val="single"/>
          <w:lang w:eastAsia="zh-CN"/>
        </w:rPr>
        <w:t>2024年</w:t>
      </w:r>
      <w:r>
        <w:rPr>
          <w:rFonts w:hint="eastAsia" w:ascii="仿宋" w:hAnsi="仿宋" w:eastAsia="仿宋" w:cs="仿宋"/>
          <w:sz w:val="28"/>
          <w:szCs w:val="28"/>
          <w:highlight w:val="none"/>
          <w:u w:val="single"/>
          <w:lang w:val="en-US" w:eastAsia="zh-CN"/>
        </w:rPr>
        <w:t>度在线监测</w:t>
      </w:r>
      <w:r>
        <w:rPr>
          <w:rFonts w:hint="eastAsia" w:ascii="仿宋" w:hAnsi="仿宋" w:eastAsia="仿宋" w:cs="仿宋"/>
          <w:sz w:val="28"/>
          <w:szCs w:val="28"/>
          <w:highlight w:val="none"/>
          <w:u w:val="single"/>
        </w:rPr>
        <w:t>设备</w:t>
      </w:r>
      <w:r>
        <w:rPr>
          <w:rFonts w:hint="eastAsia" w:ascii="仿宋" w:hAnsi="仿宋" w:eastAsia="仿宋" w:cs="仿宋"/>
          <w:sz w:val="28"/>
          <w:szCs w:val="28"/>
          <w:highlight w:val="none"/>
          <w:u w:val="single"/>
          <w:lang w:val="en-US" w:eastAsia="zh-CN"/>
        </w:rPr>
        <w:t>及备机</w:t>
      </w:r>
      <w:r>
        <w:rPr>
          <w:rFonts w:hint="eastAsia" w:ascii="仿宋" w:hAnsi="仿宋" w:eastAsia="仿宋" w:cs="仿宋"/>
          <w:sz w:val="28"/>
          <w:szCs w:val="28"/>
          <w:highlight w:val="none"/>
          <w:u w:val="single"/>
        </w:rPr>
        <w:t>校准服务，并出具校准/检定证书。</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自</w:t>
      </w:r>
      <w:r>
        <w:rPr>
          <w:rFonts w:hint="eastAsia" w:ascii="仿宋_GB2312" w:eastAsia="仿宋_GB2312"/>
          <w:sz w:val="28"/>
          <w:szCs w:val="28"/>
          <w:u w:val="single"/>
          <w:lang w:eastAsia="zh-CN"/>
        </w:rPr>
        <w:t>合同签订之日起至202</w:t>
      </w:r>
      <w:r>
        <w:rPr>
          <w:rFonts w:hint="eastAsia" w:ascii="仿宋_GB2312" w:eastAsia="仿宋_GB2312"/>
          <w:sz w:val="28"/>
          <w:szCs w:val="28"/>
          <w:u w:val="single"/>
          <w:lang w:val="en-US" w:eastAsia="zh-CN"/>
        </w:rPr>
        <w:t>4</w:t>
      </w:r>
      <w:r>
        <w:rPr>
          <w:rFonts w:hint="eastAsia" w:ascii="仿宋_GB2312" w:eastAsia="仿宋_GB2312"/>
          <w:sz w:val="28"/>
          <w:szCs w:val="28"/>
          <w:u w:val="single"/>
          <w:lang w:eastAsia="zh-CN"/>
        </w:rPr>
        <w:t>年12月31日</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sz w:val="28"/>
          <w:szCs w:val="28"/>
          <w:highlight w:val="none"/>
          <w:u w:val="single"/>
        </w:rPr>
        <w:t>广州市净水有限公司所属水质检测中心</w:t>
      </w:r>
      <w:r>
        <w:rPr>
          <w:rFonts w:hint="eastAsia" w:ascii="仿宋_GB2312" w:eastAsia="仿宋_GB2312"/>
          <w:sz w:val="28"/>
          <w:szCs w:val="28"/>
          <w:highlight w:val="none"/>
          <w:u w:val="single"/>
          <w:lang w:eastAsia="zh-CN"/>
        </w:rPr>
        <w:t>、</w:t>
      </w:r>
      <w:r>
        <w:rPr>
          <w:rFonts w:hint="eastAsia" w:ascii="仿宋" w:hAnsi="仿宋" w:eastAsia="仿宋" w:cs="仿宋"/>
          <w:sz w:val="28"/>
          <w:szCs w:val="28"/>
          <w:highlight w:val="none"/>
          <w:u w:val="single"/>
          <w:lang w:val="en-US" w:eastAsia="zh-CN"/>
        </w:rPr>
        <w:t>猎德、大坦沙、沥滘、西朗、大沙地、龙归、竹料、均禾、京溪、石井净、大观、健康城、江高</w:t>
      </w:r>
      <w:r>
        <w:rPr>
          <w:rFonts w:hint="eastAsia" w:ascii="仿宋_GB2312" w:eastAsia="仿宋_GB2312"/>
          <w:sz w:val="28"/>
          <w:szCs w:val="28"/>
          <w:highlight w:val="none"/>
          <w:u w:val="single"/>
        </w:rPr>
        <w:t>等净水厂（分公司）</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sz w:val="28"/>
          <w:szCs w:val="28"/>
          <w:u w:val="single"/>
          <w:lang w:val="en-US" w:eastAsia="zh-CN"/>
        </w:rPr>
        <w:t>1、报</w:t>
      </w:r>
      <w:r>
        <w:rPr>
          <w:rFonts w:hint="eastAsia" w:ascii="仿宋_GB2312" w:eastAsia="仿宋_GB2312"/>
          <w:sz w:val="28"/>
          <w:szCs w:val="28"/>
          <w:u w:val="single"/>
        </w:rPr>
        <w:t>价人必须严格按照所采用的标准、规范及本技术协议制定校准工作方案，校准人员须具有校准相关资格证书，校准所需工具、仪器、物料等符合校准规范要求。</w:t>
      </w:r>
      <w:r>
        <w:rPr>
          <w:rFonts w:hint="eastAsia" w:ascii="仿宋_GB2312" w:eastAsia="仿宋_GB2312"/>
          <w:sz w:val="28"/>
          <w:szCs w:val="28"/>
          <w:u w:val="single"/>
          <w:lang w:val="en-US" w:eastAsia="zh-CN"/>
        </w:rPr>
        <w:t>2、</w:t>
      </w:r>
      <w:r>
        <w:rPr>
          <w:rFonts w:hint="eastAsia" w:ascii="仿宋_GB2312" w:eastAsia="仿宋_GB2312"/>
          <w:sz w:val="28"/>
          <w:szCs w:val="28"/>
          <w:u w:val="single"/>
        </w:rPr>
        <w:t>校准方法须以校准项目的国家标准或行业标准等为准。</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 w:hAnsi="仿宋" w:eastAsia="仿宋" w:cs="仿宋"/>
          <w:sz w:val="28"/>
          <w:szCs w:val="28"/>
          <w:highlight w:val="none"/>
          <w:u w:val="single"/>
        </w:rPr>
        <w:t>详见合同附件</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w:t>
      </w:r>
      <w:r>
        <w:rPr>
          <w:rFonts w:hint="eastAsia" w:ascii="仿宋_GB2312" w:eastAsia="仿宋_GB2312"/>
          <w:color w:val="auto"/>
          <w:sz w:val="28"/>
          <w:szCs w:val="28"/>
          <w:highlight w:val="none"/>
          <w:u w:val="single"/>
          <w:lang w:eastAsia="zh-CN"/>
        </w:rPr>
        <w:t>在中华人民共和国境内注册的法人或其他组织，具有独立法人资格，持有事业单位登记管理部门核发的事业单位法人证书或工商行政管理部门核发的企业法人营业执照，且在有效期内</w:t>
      </w:r>
      <w:r>
        <w:rPr>
          <w:rFonts w:hint="eastAsia" w:ascii="仿宋_GB2312" w:eastAsia="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sz w:val="28"/>
          <w:szCs w:val="28"/>
          <w:u w:val="single"/>
        </w:rPr>
        <w:t>质量技术监督管理部门颁发的计量校准认证资质（CNAS）</w:t>
      </w:r>
      <w:r>
        <w:rPr>
          <w:rFonts w:hint="eastAsia" w:ascii="仿宋_GB2312" w:eastAsia="仿宋_GB2312"/>
          <w:sz w:val="28"/>
          <w:szCs w:val="28"/>
          <w:u w:val="single"/>
          <w:lang w:eastAsia="zh-CN"/>
        </w:rPr>
        <w:t>，所认证的校准能力必须包含但不限于本项目中所要求的（</w:t>
      </w:r>
      <w:r>
        <w:rPr>
          <w:rFonts w:hint="eastAsia" w:ascii="仿宋_GB2312" w:eastAsia="仿宋_GB2312"/>
          <w:sz w:val="28"/>
          <w:szCs w:val="28"/>
          <w:u w:val="single"/>
          <w:lang w:val="en-US" w:eastAsia="zh-CN"/>
        </w:rPr>
        <w:t>化学需氧量、氨氮、总磷、总氮、悬浮物、pH、水温、数据采集仪</w:t>
      </w:r>
      <w:r>
        <w:rPr>
          <w:rFonts w:hint="eastAsia" w:ascii="仿宋_GB2312" w:eastAsia="仿宋_GB2312"/>
          <w:sz w:val="28"/>
          <w:szCs w:val="28"/>
          <w:u w:val="single"/>
          <w:lang w:eastAsia="zh-CN"/>
        </w:rPr>
        <w:t>）校准项目</w:t>
      </w:r>
      <w:r>
        <w:rPr>
          <w:rFonts w:hint="eastAsia" w:ascii="仿宋_GB2312" w:eastAsia="仿宋_GB2312"/>
          <w:color w:val="auto"/>
          <w:sz w:val="28"/>
          <w:szCs w:val="28"/>
          <w:highlight w:val="none"/>
        </w:rPr>
        <w:t>资质。</w:t>
      </w:r>
    </w:p>
    <w:p>
      <w:pPr>
        <w:pStyle w:val="2"/>
        <w:rPr>
          <w:rFonts w:hint="eastAsia" w:ascii="仿宋_GB2312" w:eastAsia="仿宋_GB2312"/>
          <w:color w:val="auto"/>
          <w:sz w:val="28"/>
          <w:szCs w:val="28"/>
          <w:highlight w:val="none"/>
        </w:rPr>
      </w:pPr>
      <w:r>
        <w:rPr>
          <w:rFonts w:hint="eastAsia" w:ascii="仿宋_GB2312" w:eastAsia="仿宋_GB2312" w:hAnsiTheme="minorHAnsi" w:cstheme="minorBidi"/>
          <w:b/>
          <w:bCs/>
          <w:color w:val="auto"/>
          <w:kern w:val="2"/>
          <w:sz w:val="28"/>
          <w:szCs w:val="28"/>
          <w:u w:val="single"/>
          <w:lang w:val="en-US" w:eastAsia="zh-CN" w:bidi="ar-SA"/>
        </w:rPr>
        <w:t>注：提供CNAS复印件并标注本项目中所要求涵盖的校准设备项目，不标注则视为不响应。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2021年1月1日</w:t>
      </w:r>
      <w:r>
        <w:rPr>
          <w:rFonts w:hint="eastAsia" w:ascii="仿宋_GB2312" w:eastAsia="仿宋_GB2312"/>
          <w:color w:val="auto"/>
          <w:sz w:val="28"/>
          <w:szCs w:val="28"/>
          <w:highlight w:val="none"/>
          <w:lang w:val="en-US" w:eastAsia="zh-CN"/>
        </w:rPr>
        <w:t>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 w:hAnsi="仿宋" w:eastAsia="仿宋" w:cs="仿宋"/>
          <w:sz w:val="28"/>
          <w:szCs w:val="28"/>
          <w:u w:val="single"/>
        </w:rPr>
        <w:t>计量校准服务</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b/>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rPr>
        <w:t>供应商可</w:t>
      </w:r>
      <w:r>
        <w:rPr>
          <w:rFonts w:hint="eastAsia" w:ascii="仿宋_GB2312" w:hAnsi="仿宋_GB2312" w:eastAsia="仿宋_GB2312" w:cs="仿宋_GB2312"/>
          <w:color w:val="000000" w:themeColor="text1"/>
          <w:sz w:val="28"/>
          <w:szCs w:val="28"/>
          <w:highlight w:val="none"/>
          <w:lang w:val="zh-CN"/>
        </w:rPr>
        <w:t>自行</w:t>
      </w:r>
      <w:r>
        <w:rPr>
          <w:rFonts w:hint="eastAsia" w:ascii="仿宋_GB2312" w:hAnsi="仿宋_GB2312" w:eastAsia="仿宋_GB2312" w:cs="仿宋_GB2312"/>
          <w:color w:val="000000" w:themeColor="text1"/>
          <w:sz w:val="28"/>
          <w:szCs w:val="28"/>
          <w:highlight w:val="none"/>
          <w:lang w:val="en-US" w:eastAsia="zh-CN"/>
        </w:rPr>
        <w:t>选择是否前往现场踏勘</w:t>
      </w:r>
      <w:r>
        <w:rPr>
          <w:rFonts w:hint="eastAsia" w:ascii="仿宋_GB2312" w:hAnsi="仿宋_GB2312" w:eastAsia="仿宋_GB2312" w:cs="仿宋_GB2312"/>
          <w:color w:val="000000" w:themeColor="text1"/>
          <w:sz w:val="28"/>
          <w:szCs w:val="28"/>
          <w:highlight w:val="none"/>
          <w:lang w:val="zh-CN"/>
        </w:rPr>
        <w:t>，</w:t>
      </w:r>
      <w:r>
        <w:rPr>
          <w:rFonts w:hint="eastAsia" w:ascii="仿宋_GB2312" w:hAnsi="仿宋_GB2312"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rPr>
        <w:t>日</w:t>
      </w:r>
      <w:r>
        <w:rPr>
          <w:rFonts w:hint="eastAsia" w:ascii="仿宋_GB2312" w:hAnsi="仿宋_GB2312" w:eastAsia="仿宋_GB2312" w:cs="仿宋_GB2312"/>
          <w:color w:val="auto"/>
          <w:sz w:val="28"/>
          <w:szCs w:val="28"/>
          <w:highlight w:val="none"/>
          <w:u w:val="single"/>
          <w:lang w:val="en-US" w:eastAsia="zh-CN"/>
        </w:rPr>
        <w:t>14</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21</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21</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bookmarkStart w:id="94" w:name="_GoBack"/>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rPr>
              <w:t>日</w:t>
            </w:r>
            <w:bookmarkEnd w:id="94"/>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2324"/>
      <w:bookmarkStart w:id="15" w:name="_Toc16705"/>
      <w:bookmarkStart w:id="16" w:name="_Toc9448"/>
      <w:bookmarkStart w:id="17" w:name="_Toc7340"/>
      <w:bookmarkStart w:id="18" w:name="_Toc2331"/>
      <w:bookmarkStart w:id="19" w:name="_Toc16557"/>
      <w:bookmarkStart w:id="20" w:name="_Toc23749"/>
      <w:bookmarkStart w:id="21" w:name="_Toc32588"/>
      <w:bookmarkStart w:id="22" w:name="_Toc25603"/>
      <w:bookmarkStart w:id="23" w:name="_Toc19295"/>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3416"/>
      <w:bookmarkStart w:id="25" w:name="_Toc2339"/>
    </w:p>
    <w:p>
      <w:pPr>
        <w:pStyle w:val="5"/>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适用于纸质评审的采购项目</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5"/>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5"/>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5"/>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7040"/>
      <w:bookmarkStart w:id="27" w:name="_Toc7303"/>
      <w:bookmarkStart w:id="28" w:name="_Toc88209934"/>
      <w:bookmarkStart w:id="29" w:name="_Toc87616371"/>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5"/>
        <w:jc w:val="center"/>
        <w:rPr>
          <w:color w:val="auto"/>
          <w:highlight w:val="none"/>
        </w:rPr>
      </w:pPr>
      <w:bookmarkStart w:id="30" w:name="_Toc3789"/>
      <w:bookmarkStart w:id="31" w:name="_Toc24895"/>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22212"/>
      <w:bookmarkStart w:id="33" w:name="_Toc30530"/>
      <w:bookmarkStart w:id="34" w:name="_Toc32607"/>
      <w:bookmarkStart w:id="35" w:name="_Toc88209941"/>
      <w:bookmarkStart w:id="36" w:name="_Toc7831"/>
      <w:bookmarkStart w:id="37" w:name="_Toc6308"/>
      <w:bookmarkStart w:id="38" w:name="_Toc21079"/>
      <w:bookmarkStart w:id="39" w:name="_Toc87616378"/>
      <w:bookmarkStart w:id="40" w:name="_Toc12177"/>
      <w:bookmarkStart w:id="41" w:name="_Toc21840"/>
      <w:bookmarkStart w:id="42" w:name="_Toc13898"/>
      <w:bookmarkStart w:id="43" w:name="_Toc29345"/>
      <w:bookmarkStart w:id="44" w:name="_Toc29484"/>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5"/>
        <w:rPr>
          <w:color w:val="auto"/>
          <w:highlight w:val="none"/>
        </w:rPr>
      </w:pPr>
      <w:bookmarkStart w:id="45" w:name="_Toc26826"/>
      <w:bookmarkStart w:id="46" w:name="_Toc23033"/>
      <w:r>
        <w:rPr>
          <w:rFonts w:hint="eastAsia"/>
          <w:color w:val="auto"/>
          <w:highlight w:val="none"/>
          <w:lang w:val="en-US" w:eastAsia="zh-CN"/>
        </w:rPr>
        <w:sym w:font="Wingdings" w:char="00FE"/>
      </w:r>
      <w:r>
        <w:rPr>
          <w:rFonts w:hint="eastAsia"/>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5"/>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bookmarkEnd w:id="47"/>
    <w:p>
      <w:pPr>
        <w:pStyle w:val="12"/>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_GB2312" w:hAnsi="仿宋_GB2312" w:eastAsia="仿宋_GB2312" w:cs="仿宋_GB2312"/>
          <w:bCs/>
          <w:sz w:val="28"/>
          <w:szCs w:val="28"/>
          <w:u w:val="none"/>
          <w:lang w:eastAsia="zh-CN"/>
        </w:rPr>
      </w:pPr>
      <w:r>
        <w:rPr>
          <w:rFonts w:hint="eastAsia" w:ascii="仿宋_GB2312" w:hAnsi="仿宋_GB2312" w:eastAsia="仿宋_GB2312" w:cs="仿宋_GB2312"/>
          <w:bCs/>
          <w:sz w:val="28"/>
          <w:szCs w:val="28"/>
          <w:u w:val="none"/>
          <w:lang w:val="en-US" w:eastAsia="zh-CN"/>
        </w:rPr>
        <w:t>根据水务、环保等部门及《城镇排水水质水量在线监测系统技术要求》（CJ/T 252-2011）和《广州市净水有限公司水质管理办法》（穗净水〔2021〕253号）中关于在线监测设备管理要求，为保障公司下辖各净水厂在用的在线监测设备及水质中心备机测定示值的准确性</w:t>
      </w:r>
      <w:r>
        <w:rPr>
          <w:rFonts w:hint="eastAsia" w:ascii="仿宋_GB2312" w:hAnsi="仿宋_GB2312" w:eastAsia="仿宋_GB2312" w:cs="仿宋_GB2312"/>
          <w:bCs/>
          <w:sz w:val="28"/>
          <w:szCs w:val="28"/>
          <w:u w:val="none"/>
          <w:lang w:val="zh-CN" w:eastAsia="zh-CN"/>
        </w:rPr>
        <w:t>，委托具有CNAS资质第三方校准单位负责202</w:t>
      </w:r>
      <w:r>
        <w:rPr>
          <w:rFonts w:hint="eastAsia" w:ascii="仿宋_GB2312" w:hAnsi="仿宋_GB2312" w:eastAsia="仿宋_GB2312" w:cs="仿宋_GB2312"/>
          <w:bCs/>
          <w:sz w:val="28"/>
          <w:szCs w:val="28"/>
          <w:u w:val="none"/>
          <w:lang w:val="en-US" w:eastAsia="zh-CN"/>
        </w:rPr>
        <w:t>4</w:t>
      </w:r>
      <w:r>
        <w:rPr>
          <w:rFonts w:hint="eastAsia" w:ascii="仿宋_GB2312" w:hAnsi="仿宋_GB2312" w:eastAsia="仿宋_GB2312" w:cs="仿宋_GB2312"/>
          <w:bCs/>
          <w:sz w:val="28"/>
          <w:szCs w:val="28"/>
          <w:u w:val="none"/>
          <w:lang w:val="zh-CN" w:eastAsia="zh-CN"/>
        </w:rPr>
        <w:t>年</w:t>
      </w:r>
      <w:r>
        <w:rPr>
          <w:rFonts w:hint="eastAsia" w:ascii="仿宋_GB2312" w:hAnsi="仿宋_GB2312" w:eastAsia="仿宋_GB2312" w:cs="仿宋_GB2312"/>
          <w:bCs/>
          <w:sz w:val="28"/>
          <w:szCs w:val="28"/>
          <w:u w:val="none"/>
          <w:lang w:val="en-US" w:eastAsia="zh-CN"/>
        </w:rPr>
        <w:t>度</w:t>
      </w:r>
      <w:r>
        <w:rPr>
          <w:rFonts w:hint="eastAsia" w:ascii="仿宋_GB2312" w:hAnsi="仿宋_GB2312" w:eastAsia="仿宋_GB2312" w:cs="仿宋_GB2312"/>
          <w:bCs/>
          <w:sz w:val="28"/>
          <w:szCs w:val="28"/>
          <w:u w:val="none"/>
          <w:lang w:val="zh-CN" w:eastAsia="zh-CN"/>
        </w:rPr>
        <w:t>校准服务，并出具（</w:t>
      </w:r>
      <w:r>
        <w:rPr>
          <w:rFonts w:hint="eastAsia" w:ascii="仿宋_GB2312" w:hAnsi="仿宋_GB2312" w:eastAsia="仿宋_GB2312" w:cs="仿宋_GB2312"/>
          <w:bCs/>
          <w:sz w:val="28"/>
          <w:szCs w:val="28"/>
          <w:u w:val="none"/>
          <w:lang w:val="en-US" w:eastAsia="zh-CN"/>
        </w:rPr>
        <w:t>化学需氧量、氨氮、总磷、总氮、悬浮物、pH、水温、数据采集仪</w:t>
      </w:r>
      <w:r>
        <w:rPr>
          <w:rFonts w:hint="eastAsia" w:ascii="仿宋_GB2312" w:hAnsi="仿宋_GB2312" w:eastAsia="仿宋_GB2312" w:cs="仿宋_GB2312"/>
          <w:bCs/>
          <w:sz w:val="28"/>
          <w:szCs w:val="28"/>
          <w:u w:val="none"/>
          <w:lang w:val="zh-CN" w:eastAsia="zh-CN"/>
        </w:rPr>
        <w:t>）CNAS校准证书。</w:t>
      </w:r>
    </w:p>
    <w:p>
      <w:pPr>
        <w:pStyle w:val="12"/>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numPr>
          <w:ilvl w:val="0"/>
          <w:numId w:val="6"/>
        </w:numPr>
        <w:autoSpaceDE w:val="0"/>
        <w:autoSpaceDN w:val="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计划时间服务要求</w:t>
      </w:r>
    </w:p>
    <w:tbl>
      <w:tblPr>
        <w:tblStyle w:val="23"/>
        <w:tblW w:w="7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663"/>
        <w:gridCol w:w="601"/>
        <w:gridCol w:w="2001"/>
        <w:gridCol w:w="1621"/>
        <w:gridCol w:w="1738"/>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7970" w:type="dxa"/>
            <w:gridSpan w:val="7"/>
            <w:noWrap w:val="0"/>
            <w:vAlign w:val="center"/>
          </w:tcPr>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2024年度在线监测设备校准需求报价清单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63" w:type="dxa"/>
            <w:vMerge w:val="restart"/>
            <w:noWrap w:val="0"/>
            <w:vAlign w:val="center"/>
          </w:tcPr>
          <w:p>
            <w:pP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厂名</w:t>
            </w:r>
          </w:p>
        </w:tc>
        <w:tc>
          <w:tcPr>
            <w:tcW w:w="663" w:type="dxa"/>
            <w:vMerge w:val="restart"/>
            <w:noWrap w:val="0"/>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站点</w:t>
            </w:r>
          </w:p>
        </w:tc>
        <w:tc>
          <w:tcPr>
            <w:tcW w:w="601" w:type="dxa"/>
            <w:vMerge w:val="restart"/>
            <w:noWrap w:val="0"/>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序号</w:t>
            </w:r>
          </w:p>
        </w:tc>
        <w:tc>
          <w:tcPr>
            <w:tcW w:w="2001" w:type="dxa"/>
            <w:vMerge w:val="restart"/>
            <w:noWrap w:val="0"/>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设备名称</w:t>
            </w:r>
          </w:p>
        </w:tc>
        <w:tc>
          <w:tcPr>
            <w:tcW w:w="1621" w:type="dxa"/>
            <w:vMerge w:val="restart"/>
            <w:noWrap w:val="0"/>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设备型号</w:t>
            </w:r>
          </w:p>
        </w:tc>
        <w:tc>
          <w:tcPr>
            <w:tcW w:w="1738" w:type="dxa"/>
            <w:vMerge w:val="restart"/>
            <w:noWrap w:val="0"/>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计划</w:t>
            </w:r>
            <w:r>
              <w:rPr>
                <w:rFonts w:hint="eastAsia" w:ascii="仿宋_GB2312" w:hAnsi="仿宋_GB2312" w:eastAsia="仿宋_GB2312" w:cs="仿宋_GB2312"/>
                <w:sz w:val="21"/>
                <w:szCs w:val="21"/>
                <w:lang w:eastAsia="zh-CN"/>
              </w:rPr>
              <w:t>校准日期</w:t>
            </w:r>
          </w:p>
        </w:tc>
        <w:tc>
          <w:tcPr>
            <w:tcW w:w="683" w:type="dxa"/>
            <w:vMerge w:val="restart"/>
            <w:noWrap w:val="0"/>
            <w:vAlign w:val="center"/>
          </w:tcPr>
          <w:p>
            <w:pPr>
              <w:bidi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vMerge w:val="continue"/>
            <w:noWrap w:val="0"/>
            <w:vAlign w:val="center"/>
          </w:tcPr>
          <w:p>
            <w:pPr>
              <w:bidi w:val="0"/>
              <w:jc w:val="center"/>
              <w:rPr>
                <w:rFonts w:hint="eastAsia" w:ascii="仿宋_GB2312" w:hAnsi="仿宋_GB2312" w:eastAsia="仿宋_GB2312" w:cs="仿宋_GB2312"/>
                <w:sz w:val="21"/>
                <w:szCs w:val="21"/>
              </w:rPr>
            </w:pPr>
          </w:p>
        </w:tc>
        <w:tc>
          <w:tcPr>
            <w:tcW w:w="2001" w:type="dxa"/>
            <w:vMerge w:val="continue"/>
            <w:noWrap w:val="0"/>
            <w:vAlign w:val="center"/>
          </w:tcPr>
          <w:p>
            <w:pPr>
              <w:bidi w:val="0"/>
              <w:jc w:val="center"/>
              <w:rPr>
                <w:rFonts w:hint="eastAsia" w:ascii="仿宋_GB2312" w:hAnsi="仿宋_GB2312" w:eastAsia="仿宋_GB2312" w:cs="仿宋_GB2312"/>
                <w:sz w:val="21"/>
                <w:szCs w:val="21"/>
              </w:rPr>
            </w:pPr>
          </w:p>
        </w:tc>
        <w:tc>
          <w:tcPr>
            <w:tcW w:w="1621" w:type="dxa"/>
            <w:vMerge w:val="continue"/>
            <w:noWrap w:val="0"/>
            <w:vAlign w:val="center"/>
          </w:tcPr>
          <w:p>
            <w:pPr>
              <w:bidi w:val="0"/>
              <w:jc w:val="center"/>
              <w:rPr>
                <w:rFonts w:hint="eastAsia" w:ascii="仿宋_GB2312" w:hAnsi="仿宋_GB2312" w:eastAsia="仿宋_GB2312" w:cs="仿宋_GB2312"/>
                <w:sz w:val="21"/>
                <w:szCs w:val="21"/>
              </w:rPr>
            </w:pPr>
          </w:p>
        </w:tc>
        <w:tc>
          <w:tcPr>
            <w:tcW w:w="1738" w:type="dxa"/>
            <w:vMerge w:val="continue"/>
            <w:noWrap w:val="0"/>
            <w:vAlign w:val="center"/>
          </w:tcPr>
          <w:p>
            <w:pPr>
              <w:bidi w:val="0"/>
              <w:jc w:val="center"/>
              <w:rPr>
                <w:rFonts w:hint="eastAsia" w:ascii="仿宋_GB2312" w:hAnsi="仿宋_GB2312" w:eastAsia="仿宋_GB2312" w:cs="仿宋_GB2312"/>
                <w:sz w:val="21"/>
                <w:szCs w:val="21"/>
              </w:rPr>
            </w:pPr>
          </w:p>
        </w:tc>
        <w:tc>
          <w:tcPr>
            <w:tcW w:w="683" w:type="dxa"/>
            <w:vMerge w:val="continue"/>
            <w:noWrap w:val="0"/>
            <w:vAlign w:val="center"/>
          </w:tcPr>
          <w:p>
            <w:pPr>
              <w:bidi w:val="0"/>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猎德厂</w:t>
            </w:r>
          </w:p>
        </w:tc>
        <w:tc>
          <w:tcPr>
            <w:tcW w:w="663" w:type="dxa"/>
            <w:vMerge w:val="restart"/>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一二期进水</w:t>
            </w: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eastAsia="zh-CN" w:bidi="ar"/>
              </w:rPr>
              <w:t>C310（COD）</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C310（NH）</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eastAsia="zh-CN" w:bidi="ar"/>
              </w:rPr>
              <w:t>TCU/TPN111</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eastAsia="zh-CN" w:bidi="ar"/>
              </w:rPr>
              <w:t>S310（pH）</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C310（S）</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eastAsia="zh-CN" w:bidi="ar"/>
              </w:rPr>
              <w:t>W310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ZE-DT2000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restart"/>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一二期出水</w:t>
            </w: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eastAsia="zh-CN" w:bidi="ar"/>
              </w:rPr>
              <w:t>CODmax Ⅱ</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AmtaxNA8000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eastAsia="zh-CN" w:bidi="ar"/>
              </w:rPr>
              <w:t>NPW-160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11</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eastAsia="zh-CN" w:bidi="ar"/>
              </w:rPr>
              <w:t>SC200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12</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SC200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13</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eastAsia="zh-CN" w:bidi="ar"/>
              </w:rPr>
              <w:t>LFLY-DW2004</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14</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restart"/>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三期出水</w:t>
            </w: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15</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eastAsia="zh-CN" w:bidi="ar"/>
              </w:rPr>
              <w:t>CODmax Ⅱ</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16</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AmtaxNA8000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17</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eastAsia="zh-CN" w:bidi="ar"/>
              </w:rPr>
              <w:t>NPW-160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18</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widowControl/>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b w:val="0"/>
                <w:bCs/>
                <w:sz w:val="21"/>
                <w:szCs w:val="21"/>
                <w:lang w:eastAsia="zh-CN" w:bidi="ar"/>
              </w:rPr>
              <w:t>SC200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19</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SC200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20</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widowControl/>
              <w:jc w:val="center"/>
              <w:textAlignment w:val="center"/>
              <w:rPr>
                <w:rFonts w:hint="eastAsia" w:ascii="仿宋_GB2312" w:hAnsi="仿宋_GB2312" w:eastAsia="仿宋_GB2312" w:cs="仿宋_GB2312"/>
                <w:i w:val="0"/>
                <w:iCs w:val="0"/>
                <w:color w:val="000000"/>
                <w:kern w:val="2"/>
                <w:sz w:val="21"/>
                <w:szCs w:val="21"/>
                <w:u w:val="none"/>
                <w:lang w:val="en-US" w:eastAsia="zh-CN" w:bidi="en-US"/>
              </w:rPr>
            </w:pPr>
            <w:r>
              <w:rPr>
                <w:rFonts w:hint="eastAsia" w:ascii="仿宋_GB2312" w:hAnsi="仿宋_GB2312" w:eastAsia="仿宋_GB2312" w:cs="仿宋_GB2312"/>
                <w:b w:val="0"/>
                <w:bCs/>
                <w:sz w:val="21"/>
                <w:szCs w:val="21"/>
                <w:lang w:eastAsia="zh-CN" w:bidi="ar"/>
              </w:rPr>
              <w:t>LFLY-DW2004</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21</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en-US"/>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restart"/>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四期出水</w:t>
            </w: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22</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LFS-2002（COD）</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23</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LFS-2002（NH）</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24</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LFS-2002（TP）</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25</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LFS-2002（TN）</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26</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LFWCS-2008（pH）</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27</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en-US"/>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28</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en-US"/>
              </w:rPr>
            </w:pPr>
            <w:r>
              <w:rPr>
                <w:rFonts w:hint="eastAsia" w:ascii="仿宋_GB2312" w:hAnsi="仿宋_GB2312" w:eastAsia="仿宋_GB2312" w:cs="仿宋_GB2312"/>
                <w:i w:val="0"/>
                <w:iCs w:val="0"/>
                <w:color w:val="000000"/>
                <w:kern w:val="0"/>
                <w:sz w:val="21"/>
                <w:szCs w:val="21"/>
                <w:u w:val="none"/>
                <w:lang w:val="en-US" w:eastAsia="zh-CN" w:bidi="ar"/>
              </w:rPr>
              <w:t>LFLY-DW2004</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29</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restart"/>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员村涌支涌补水口</w:t>
            </w: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30</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ORION 3106</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31</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ORION 2240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ORION 3150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33</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Alpha-pH2000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34</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35</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LFLY-DW2004</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36</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大坦沙厂</w:t>
            </w:r>
          </w:p>
        </w:tc>
        <w:tc>
          <w:tcPr>
            <w:tcW w:w="663" w:type="dxa"/>
            <w:vMerge w:val="restart"/>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一二期进水</w:t>
            </w: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37</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C310（COD）</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38</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C310（NH）</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39</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TCU/TPN111</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40</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S310（pH）</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41</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C310（S）</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42</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W310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43</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ZE-DT2000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一二期出水</w:t>
            </w: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44</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45</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46</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47</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48</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49</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50</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LFLY-DW2004</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51</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三期进水</w:t>
            </w: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52</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C310（COD）</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53</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C310（NH）</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54</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TCU/TPN111</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55</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S310（pH）</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56</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C310（S）</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57</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W310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58</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ZE-DT2000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三期出水</w:t>
            </w:r>
          </w:p>
        </w:tc>
        <w:tc>
          <w:tcPr>
            <w:tcW w:w="601" w:type="dxa"/>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59</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60</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61</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62</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63</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64</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65</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LFLY-DW2004</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66</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9</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30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沥滘厂</w:t>
            </w:r>
          </w:p>
        </w:tc>
        <w:tc>
          <w:tcPr>
            <w:tcW w:w="663" w:type="dxa"/>
            <w:vMerge w:val="restart"/>
            <w:shd w:val="clear" w:color="auto" w:fill="auto"/>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一二期进水</w:t>
            </w: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67</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C310（COD）</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68</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C310（NH）</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69</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TCU/TPN111</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70</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S310（pH）</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71</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C310（S）</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72</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W310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73</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restart"/>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一期出水</w:t>
            </w: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74</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75</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76</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PhosphaxSigma</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77</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TNP-4200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78</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79</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80</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水温在线分析仪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TS500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81</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ZSC-VI</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82</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restart"/>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二期出水</w:t>
            </w: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83</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84</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85</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PhosphaxSigma</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86</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TNP-4200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87</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88</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89</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水温在线分析仪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TS500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90</w:t>
            </w:r>
          </w:p>
        </w:tc>
        <w:tc>
          <w:tcPr>
            <w:tcW w:w="2001" w:type="dxa"/>
            <w:noWrap w:val="0"/>
            <w:vAlign w:val="center"/>
          </w:tcPr>
          <w:p>
            <w:pPr>
              <w:widowControl/>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ZSC-VI</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91</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restart"/>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三期进水</w:t>
            </w: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92</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93</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94</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PhosphaxSigma</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95</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NPW-160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96</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97</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98</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AS950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99</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restart"/>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三期出水</w:t>
            </w: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100</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63" w:type="dxa"/>
            <w:vMerge w:val="continue"/>
            <w:noWrap w:val="0"/>
            <w:vAlign w:val="center"/>
          </w:tcPr>
          <w:p>
            <w:pPr>
              <w:bidi w:val="0"/>
              <w:jc w:val="center"/>
              <w:rPr>
                <w:rFonts w:hint="eastAsia" w:ascii="仿宋_GB2312" w:hAnsi="仿宋_GB2312" w:eastAsia="仿宋_GB2312" w:cs="仿宋_GB2312"/>
                <w:sz w:val="21"/>
                <w:szCs w:val="21"/>
              </w:rPr>
            </w:pPr>
          </w:p>
        </w:tc>
        <w:tc>
          <w:tcPr>
            <w:tcW w:w="601"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101</w:t>
            </w:r>
          </w:p>
        </w:tc>
        <w:tc>
          <w:tcPr>
            <w:tcW w:w="2001" w:type="dxa"/>
            <w:noWrap w:val="0"/>
            <w:vAlign w:val="center"/>
          </w:tcPr>
          <w:p>
            <w:pPr>
              <w:widowControl/>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PhosphaxSigma</w:t>
            </w:r>
          </w:p>
        </w:tc>
        <w:tc>
          <w:tcPr>
            <w:tcW w:w="1738" w:type="dxa"/>
            <w:noWrap w:val="0"/>
            <w:vAlign w:val="center"/>
          </w:tcPr>
          <w:p>
            <w:pP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102</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TNP-4200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103</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104</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105</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SITRANS TS500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106</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ZSC-VI</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107</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13</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西朗公司</w:t>
            </w: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一期进水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108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109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113</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LFLY-DW2004</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一期出水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ZSC-VI</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二期进水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122</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123</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124</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NPW-160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125</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126</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127</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2"/>
                <w:sz w:val="21"/>
                <w:szCs w:val="21"/>
                <w:u w:val="none"/>
                <w:lang w:val="en-US" w:eastAsia="zh-CN" w:bidi="en-US"/>
              </w:rPr>
            </w:pPr>
            <w:r>
              <w:rPr>
                <w:rFonts w:hint="eastAsia" w:ascii="仿宋_GB2312" w:hAnsi="仿宋_GB2312" w:eastAsia="仿宋_GB2312" w:cs="仿宋_GB2312"/>
                <w:i w:val="0"/>
                <w:iCs w:val="0"/>
                <w:color w:val="000000"/>
                <w:kern w:val="0"/>
                <w:sz w:val="21"/>
                <w:szCs w:val="21"/>
                <w:u w:val="none"/>
                <w:lang w:val="en-US" w:eastAsia="zh-CN" w:bidi="ar"/>
              </w:rPr>
              <w:t>AS950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128</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2"/>
                <w:sz w:val="21"/>
                <w:szCs w:val="21"/>
                <w:u w:val="none"/>
                <w:lang w:val="en-US" w:eastAsia="zh-CN" w:bidi="en-US"/>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二期出水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129</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130</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131</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132</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133</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134</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2"/>
                <w:sz w:val="21"/>
                <w:szCs w:val="21"/>
                <w:u w:val="none"/>
                <w:lang w:val="en-US" w:eastAsia="zh-CN" w:bidi="en-US"/>
              </w:rPr>
            </w:pPr>
            <w:r>
              <w:rPr>
                <w:rFonts w:hint="eastAsia" w:ascii="仿宋_GB2312" w:hAnsi="仿宋_GB2312" w:eastAsia="仿宋_GB2312" w:cs="仿宋_GB2312"/>
                <w:i w:val="0"/>
                <w:iCs w:val="0"/>
                <w:color w:val="000000"/>
                <w:kern w:val="0"/>
                <w:sz w:val="21"/>
                <w:szCs w:val="21"/>
                <w:u w:val="none"/>
                <w:lang w:val="en-US" w:eastAsia="zh-CN" w:bidi="ar"/>
              </w:rPr>
              <w:t>AS950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135</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2"/>
                <w:sz w:val="21"/>
                <w:szCs w:val="21"/>
                <w:u w:val="none"/>
                <w:lang w:val="en-US" w:eastAsia="zh-CN" w:bidi="en-US"/>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21</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大沙地厂</w:t>
            </w: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进水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136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C310（COD）</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137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C310（NH）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138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TCU/TPN111</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139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S310（pH）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140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C310（S）</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141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W310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142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ZE-DT2000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一期出水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143</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144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145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146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147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148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TS500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149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FC-9624YL</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150</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二期出水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153</w:t>
            </w:r>
          </w:p>
        </w:tc>
        <w:tc>
          <w:tcPr>
            <w:tcW w:w="200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154</w:t>
            </w:r>
          </w:p>
        </w:tc>
        <w:tc>
          <w:tcPr>
            <w:tcW w:w="200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155</w:t>
            </w:r>
          </w:p>
        </w:tc>
        <w:tc>
          <w:tcPr>
            <w:tcW w:w="200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156</w:t>
            </w:r>
          </w:p>
        </w:tc>
        <w:tc>
          <w:tcPr>
            <w:tcW w:w="200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FC-9624YL</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157</w:t>
            </w:r>
          </w:p>
        </w:tc>
        <w:tc>
          <w:tcPr>
            <w:tcW w:w="200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龙归厂</w:t>
            </w: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一二期进水</w:t>
            </w:r>
          </w:p>
          <w:p>
            <w:pPr>
              <w:shd w:val="clear"/>
              <w:bidi w:val="0"/>
              <w:jc w:val="center"/>
              <w:rPr>
                <w:rFonts w:hint="eastAsia" w:ascii="仿宋_GB2312" w:hAnsi="仿宋_GB2312" w:eastAsia="仿宋_GB2312" w:cs="仿宋_GB2312"/>
                <w:kern w:val="2"/>
                <w:sz w:val="21"/>
                <w:szCs w:val="21"/>
                <w:lang w:val="en-US" w:eastAsia="zh-CN" w:bidi="ar-SA"/>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158</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lang w:val="en-US" w:eastAsia="zh-CN"/>
              </w:rPr>
              <w:t>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C310（COD）</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159</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lang w:val="en-US" w:eastAsia="zh-CN"/>
              </w:rPr>
              <w:t>-N在线分析仪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C310（NH）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160</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TP/TN在线分析仪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TCU/TPN111</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161</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pH、水温在线分析仪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S310（pH）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162</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SS在线分析仪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C310（S）</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163</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自动采样器</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W310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164</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数据采集仪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ZE-DT2000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一期出水</w:t>
            </w:r>
          </w:p>
          <w:p>
            <w:pPr>
              <w:shd w:val="clear"/>
              <w:bidi w:val="0"/>
              <w:jc w:val="center"/>
              <w:rPr>
                <w:rFonts w:hint="eastAsia" w:ascii="仿宋_GB2312" w:hAnsi="仿宋_GB2312" w:eastAsia="仿宋_GB2312" w:cs="仿宋_GB2312"/>
                <w:kern w:val="2"/>
                <w:sz w:val="21"/>
                <w:szCs w:val="21"/>
                <w:lang w:val="en-US" w:eastAsia="zh-CN" w:bidi="ar-SA"/>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165</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lang w:val="en-US" w:eastAsia="zh-CN"/>
              </w:rPr>
              <w:t>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C310（COD）</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166</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lang w:val="en-US" w:eastAsia="zh-CN"/>
              </w:rPr>
              <w:t>-N在线分析仪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C310（NH）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167</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TP/TN在线分析仪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TCU/TPN111</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168</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pH、水温在线分析仪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S310（pH）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169</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SS在线分析仪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C310（S）</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170</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自动采样器</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W310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171</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数据采集仪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ZE-DT2000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二期出水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172</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lang w:val="en-US" w:eastAsia="zh-CN"/>
              </w:rPr>
              <w:t>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173</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lang w:val="en-US" w:eastAsia="zh-CN"/>
              </w:rPr>
              <w:t>-N在线分析仪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174</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TP在线分析仪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175</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TN在线分析仪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TNP-4200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176</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pH在线分析仪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177</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SS在线分析仪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178</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水温在线分析仪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TS500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179</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自动采样器</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FC-9624YL</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180</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数据采集仪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三期进水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181</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lang w:val="en-US" w:eastAsia="zh-CN"/>
              </w:rPr>
              <w:t>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182</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lang w:val="en-US" w:eastAsia="zh-CN"/>
              </w:rPr>
              <w:t>-N在线分析仪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183</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TP在线分析仪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184</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TN在线分析仪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PCM300-TN</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185</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pH、水温在线分析仪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186</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SS在线分析仪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187</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自动采样器</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AS950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188</w:t>
            </w:r>
          </w:p>
        </w:tc>
        <w:tc>
          <w:tcPr>
            <w:tcW w:w="20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数据采集仪</w:t>
            </w:r>
          </w:p>
        </w:tc>
        <w:tc>
          <w:tcPr>
            <w:tcW w:w="162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三期出水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189</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sz w:val="21"/>
                <w:szCs w:val="21"/>
                <w:lang w:val="en-US" w:eastAsia="zh-CN"/>
              </w:rPr>
              <w:t>COD</w:t>
            </w:r>
            <w:r>
              <w:rPr>
                <w:rFonts w:hint="eastAsia" w:ascii="仿宋_GB2312" w:hAnsi="仿宋_GB2312" w:eastAsia="仿宋_GB2312" w:cs="仿宋_GB2312"/>
                <w:sz w:val="21"/>
                <w:szCs w:val="21"/>
                <w:vertAlign w:val="subscript"/>
                <w:lang w:val="en-US" w:eastAsia="zh-CN"/>
              </w:rPr>
              <w:t>Cr</w:t>
            </w:r>
            <w:r>
              <w:rPr>
                <w:rFonts w:hint="eastAsia" w:ascii="仿宋_GB2312" w:hAnsi="仿宋_GB2312" w:eastAsia="仿宋_GB2312" w:cs="仿宋_GB2312"/>
                <w:sz w:val="21"/>
                <w:szCs w:val="21"/>
                <w:lang w:val="en-US" w:eastAsia="zh-CN"/>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190</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sz w:val="21"/>
                <w:szCs w:val="21"/>
                <w:lang w:val="en-US" w:eastAsia="zh-CN"/>
              </w:rPr>
              <w:t>NH</w:t>
            </w:r>
            <w:r>
              <w:rPr>
                <w:rFonts w:hint="eastAsia" w:ascii="仿宋_GB2312" w:hAnsi="仿宋_GB2312" w:eastAsia="仿宋_GB2312" w:cs="仿宋_GB2312"/>
                <w:sz w:val="21"/>
                <w:szCs w:val="21"/>
                <w:vertAlign w:val="subscript"/>
                <w:lang w:val="en-US" w:eastAsia="zh-CN"/>
              </w:rPr>
              <w:t>3</w:t>
            </w:r>
            <w:r>
              <w:rPr>
                <w:rFonts w:hint="eastAsia" w:ascii="仿宋_GB2312" w:hAnsi="仿宋_GB2312" w:eastAsia="仿宋_GB2312" w:cs="仿宋_GB2312"/>
                <w:sz w:val="21"/>
                <w:szCs w:val="21"/>
                <w:lang w:val="en-US" w:eastAsia="zh-CN"/>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191</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192</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PCM300-TN</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193</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194</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195</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2"/>
                <w:sz w:val="21"/>
                <w:szCs w:val="21"/>
                <w:u w:val="none"/>
                <w:lang w:val="en-US" w:eastAsia="zh-CN" w:bidi="en-US"/>
              </w:rPr>
            </w:pPr>
            <w:r>
              <w:rPr>
                <w:rFonts w:hint="eastAsia" w:ascii="仿宋_GB2312" w:hAnsi="仿宋_GB2312" w:eastAsia="仿宋_GB2312" w:cs="仿宋_GB2312"/>
                <w:i w:val="0"/>
                <w:iCs w:val="0"/>
                <w:color w:val="000000"/>
                <w:kern w:val="0"/>
                <w:sz w:val="21"/>
                <w:szCs w:val="21"/>
                <w:u w:val="none"/>
                <w:lang w:val="en-US" w:eastAsia="zh-CN" w:bidi="ar"/>
              </w:rPr>
              <w:t>AS950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196</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2"/>
                <w:sz w:val="21"/>
                <w:szCs w:val="21"/>
                <w:u w:val="none"/>
                <w:lang w:val="en-US" w:eastAsia="zh-CN" w:bidi="en-US"/>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lang w:eastAsia="zh-CN"/>
              </w:rPr>
              <w:t>月</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lang w:eastAsia="zh-CN"/>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竹料厂</w:t>
            </w: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进水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C310（COD）</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C310（NH）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199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TCU/TPN111</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S310（pH）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C310（S）</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W310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203</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ZE-DT2000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Intre2C</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UNI20-P-0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UNI20-D-0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209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FC-9624YL</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20</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均禾厂</w:t>
            </w: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进水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C310（COD）</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C310（NH）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213</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C310(TP)</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C310(TN)</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S310（pH）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C310（S）</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W310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ZE-DT2000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一期出水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C310（COD）</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C310（NH）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TCU/TPN111</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S310（pH）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223</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W310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ZE-DT2000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二期出水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C310（COD）</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C310(TP)</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CM442-3PQ7/0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FC-9624YLAB</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233</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12</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京溪厂</w:t>
            </w: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进水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C310（COD）</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C310（NH）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C310(TP)</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C310(TN)</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S310（pH）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S310（S）</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W310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241</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ZE-DT2000</w:t>
            </w:r>
          </w:p>
        </w:tc>
        <w:tc>
          <w:tcPr>
            <w:tcW w:w="1738"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C310（COD）</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243</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C310（NH）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TCU/TPN111</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S310（pH）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S310（S）</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W310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ZE-DT2000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19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石井净水厂</w:t>
            </w: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进水</w:t>
            </w: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250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251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252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253</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254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SMA-S-N</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255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一期出水</w:t>
            </w: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256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257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258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259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PCM300-TN</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260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261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262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SMA-S-N</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263</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二期出水</w:t>
            </w: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264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265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266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267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7300w2</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268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269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AS950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270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sz w:val="21"/>
                <w:szCs w:val="21"/>
                <w:lang w:val="en-US" w:eastAsia="zh-CN"/>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大观</w:t>
            </w:r>
          </w:p>
        </w:tc>
        <w:tc>
          <w:tcPr>
            <w:tcW w:w="663" w:type="dxa"/>
            <w:vMerge w:val="restart"/>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进水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271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272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273</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274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275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276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AS950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277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278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279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280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281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282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283</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AS950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284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10</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健康城厂</w:t>
            </w: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进水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285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286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287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288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289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290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AS950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291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292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293</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294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295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296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297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AS950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298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24</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江高厂</w:t>
            </w: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进水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299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300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301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302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303</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304</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AS950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305</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restart"/>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出水</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306</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CODmaxⅡ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307</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AmtaxNA8000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308</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309</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310</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311</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AS950</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312</w:t>
            </w:r>
          </w:p>
        </w:tc>
        <w:tc>
          <w:tcPr>
            <w:tcW w:w="2001" w:type="dxa"/>
            <w:noWrap w:val="0"/>
            <w:vAlign w:val="center"/>
          </w:tcPr>
          <w:p>
            <w:pPr>
              <w:widowControl/>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8</w:t>
            </w:r>
            <w:r>
              <w:rPr>
                <w:rFonts w:hint="eastAsia" w:ascii="仿宋_GB2312" w:hAnsi="仿宋_GB2312" w:eastAsia="仿宋_GB2312" w:cs="仿宋_GB2312"/>
                <w:b w:val="0"/>
                <w:bCs/>
                <w:sz w:val="21"/>
                <w:szCs w:val="21"/>
                <w:lang w:eastAsia="zh-CN" w:bidi="ar"/>
              </w:rPr>
              <w:t>月</w:t>
            </w:r>
            <w:r>
              <w:rPr>
                <w:rFonts w:hint="eastAsia" w:ascii="仿宋_GB2312" w:hAnsi="仿宋_GB2312" w:eastAsia="仿宋_GB2312" w:cs="仿宋_GB2312"/>
                <w:b w:val="0"/>
                <w:bCs/>
                <w:sz w:val="21"/>
                <w:szCs w:val="21"/>
                <w:lang w:val="en-US" w:eastAsia="zh-CN" w:bidi="ar"/>
              </w:rPr>
              <w:t>29</w:t>
            </w:r>
            <w:r>
              <w:rPr>
                <w:rFonts w:hint="eastAsia" w:ascii="仿宋_GB2312" w:hAnsi="仿宋_GB2312" w:eastAsia="仿宋_GB2312" w:cs="仿宋_GB2312"/>
                <w:b w:val="0"/>
                <w:bCs/>
                <w:sz w:val="21"/>
                <w:szCs w:val="21"/>
                <w:lang w:eastAsia="zh-CN" w:bidi="ar"/>
              </w:rPr>
              <w:t>日</w:t>
            </w:r>
            <w:r>
              <w:rPr>
                <w:rFonts w:hint="eastAsia" w:ascii="仿宋_GB2312" w:hAnsi="仿宋_GB2312" w:eastAsia="仿宋_GB2312" w:cs="仿宋_GB2312"/>
                <w:b w:val="0"/>
                <w:bCs/>
                <w:sz w:val="21"/>
                <w:szCs w:val="21"/>
                <w:lang w:val="en-US" w:eastAsia="zh-CN" w:bidi="ar"/>
              </w:rPr>
              <w:t>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水质中心</w:t>
            </w:r>
          </w:p>
        </w:tc>
        <w:tc>
          <w:tcPr>
            <w:tcW w:w="663" w:type="dxa"/>
            <w:vMerge w:val="restart"/>
            <w:shd w:val="clear" w:color="auto" w:fill="auto"/>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备机</w:t>
            </w: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313</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COD MAXⅡ</w:t>
            </w:r>
          </w:p>
        </w:tc>
        <w:tc>
          <w:tcPr>
            <w:tcW w:w="1738"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314</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NA8000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315</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Sigma</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316</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317</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318</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319</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PAS-305A</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320</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321</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COD MAXⅡ</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322</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NA8000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323</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Sigma</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324</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NPW-160H</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325</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326</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SC200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327</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PAS-305A</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328</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329</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PCM300-CODcr</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330</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PCM300-NH3-N</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331</w:t>
            </w:r>
          </w:p>
        </w:tc>
        <w:tc>
          <w:tcPr>
            <w:tcW w:w="2001" w:type="dxa"/>
            <w:noWrap w:val="0"/>
            <w:vAlign w:val="center"/>
          </w:tcPr>
          <w:p>
            <w:pPr>
              <w:shd w:val="clear"/>
              <w:tabs>
                <w:tab w:val="left" w:pos="5527"/>
              </w:tabs>
              <w:bidi w:val="0"/>
              <w:jc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PCM300-TP</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332</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C310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333</w:t>
            </w:r>
          </w:p>
        </w:tc>
        <w:tc>
          <w:tcPr>
            <w:tcW w:w="2001" w:type="dxa"/>
            <w:noWrap w:val="0"/>
            <w:vAlign w:val="center"/>
          </w:tcPr>
          <w:p>
            <w:pPr>
              <w:widowControl/>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C310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334</w:t>
            </w:r>
          </w:p>
        </w:tc>
        <w:tc>
          <w:tcPr>
            <w:tcW w:w="2001" w:type="dxa"/>
            <w:noWrap w:val="0"/>
            <w:vAlign w:val="center"/>
          </w:tcPr>
          <w:p>
            <w:pPr>
              <w:shd w:val="clear"/>
              <w:tabs>
                <w:tab w:val="left" w:pos="5527"/>
              </w:tabs>
              <w:bidi w:val="0"/>
              <w:jc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TP/TN在线分析仪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TCU/TPN111</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335</w:t>
            </w:r>
          </w:p>
        </w:tc>
        <w:tc>
          <w:tcPr>
            <w:tcW w:w="2001" w:type="dxa"/>
            <w:noWrap w:val="0"/>
            <w:vAlign w:val="center"/>
          </w:tcPr>
          <w:p>
            <w:pPr>
              <w:shd w:val="clear"/>
              <w:tabs>
                <w:tab w:val="left" w:pos="5527"/>
              </w:tabs>
              <w:bidi w:val="0"/>
              <w:jc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shd w:val="clear"/>
              <w:tabs>
                <w:tab w:val="left" w:pos="5527"/>
              </w:tabs>
              <w:bidi w:val="0"/>
              <w:jc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UNI-20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336</w:t>
            </w:r>
          </w:p>
        </w:tc>
        <w:tc>
          <w:tcPr>
            <w:tcW w:w="2001" w:type="dxa"/>
            <w:noWrap w:val="0"/>
            <w:vAlign w:val="center"/>
          </w:tcPr>
          <w:p>
            <w:pPr>
              <w:shd w:val="clear"/>
              <w:tabs>
                <w:tab w:val="left" w:pos="5527"/>
              </w:tabs>
              <w:bidi w:val="0"/>
              <w:jc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shd w:val="clear"/>
              <w:tabs>
                <w:tab w:val="left" w:pos="5527"/>
              </w:tabs>
              <w:bidi w:val="0"/>
              <w:jc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UNI-20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337</w:t>
            </w:r>
          </w:p>
        </w:tc>
        <w:tc>
          <w:tcPr>
            <w:tcW w:w="2001" w:type="dxa"/>
            <w:noWrap w:val="0"/>
            <w:vAlign w:val="center"/>
          </w:tcPr>
          <w:p>
            <w:pPr>
              <w:shd w:val="clear"/>
              <w:tabs>
                <w:tab w:val="left" w:pos="5527"/>
              </w:tabs>
              <w:bidi w:val="0"/>
              <w:jc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338</w:t>
            </w:r>
          </w:p>
        </w:tc>
        <w:tc>
          <w:tcPr>
            <w:tcW w:w="2001" w:type="dxa"/>
            <w:noWrap w:val="0"/>
            <w:vAlign w:val="center"/>
          </w:tcPr>
          <w:p>
            <w:pPr>
              <w:shd w:val="clear"/>
              <w:tabs>
                <w:tab w:val="left" w:pos="5527"/>
              </w:tabs>
              <w:bidi w:val="0"/>
              <w:jc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数据采集仪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K37A</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339</w:t>
            </w:r>
          </w:p>
        </w:tc>
        <w:tc>
          <w:tcPr>
            <w:tcW w:w="2001" w:type="dxa"/>
            <w:noWrap w:val="0"/>
            <w:vAlign w:val="center"/>
          </w:tcPr>
          <w:p>
            <w:pPr>
              <w:shd w:val="clear"/>
              <w:bidi w:val="0"/>
              <w:jc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color w:val="000000"/>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PCM200-COD</w:t>
            </w:r>
            <w:r>
              <w:rPr>
                <w:rStyle w:val="46"/>
                <w:rFonts w:hint="eastAsia" w:ascii="仿宋_GB2312" w:hAnsi="仿宋_GB2312" w:eastAsia="仿宋_GB2312" w:cs="仿宋_GB2312"/>
                <w:color w:val="000000"/>
                <w:sz w:val="21"/>
                <w:szCs w:val="21"/>
                <w:lang w:val="en-US" w:eastAsia="zh-CN" w:bidi="ar"/>
              </w:rPr>
              <w:t>Cr</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340</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PCM200-COD</w:t>
            </w:r>
            <w:r>
              <w:rPr>
                <w:rStyle w:val="46"/>
                <w:rFonts w:hint="eastAsia" w:ascii="仿宋_GB2312" w:hAnsi="仿宋_GB2312" w:eastAsia="仿宋_GB2312" w:cs="仿宋_GB2312"/>
                <w:color w:val="000000"/>
                <w:sz w:val="21"/>
                <w:szCs w:val="21"/>
                <w:lang w:val="en-US" w:eastAsia="zh-CN" w:bidi="ar"/>
              </w:rPr>
              <w:t>Cr</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341</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PCM200-COD</w:t>
            </w:r>
            <w:r>
              <w:rPr>
                <w:rStyle w:val="46"/>
                <w:rFonts w:hint="eastAsia" w:ascii="仿宋_GB2312" w:hAnsi="仿宋_GB2312" w:eastAsia="仿宋_GB2312" w:cs="仿宋_GB2312"/>
                <w:color w:val="000000"/>
                <w:sz w:val="21"/>
                <w:szCs w:val="21"/>
                <w:lang w:val="en-US" w:eastAsia="zh-CN" w:bidi="ar"/>
              </w:rPr>
              <w:t>Cr</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342</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COD</w:t>
            </w:r>
            <w:r>
              <w:rPr>
                <w:rFonts w:hint="eastAsia" w:ascii="仿宋_GB2312" w:hAnsi="仿宋_GB2312" w:eastAsia="仿宋_GB2312" w:cs="仿宋_GB2312"/>
                <w:b w:val="0"/>
                <w:bCs/>
                <w:sz w:val="21"/>
                <w:szCs w:val="21"/>
                <w:vertAlign w:val="subscript"/>
                <w:lang w:val="en-US" w:eastAsia="zh-CN" w:bidi="ar"/>
              </w:rPr>
              <w:t>Cr</w:t>
            </w:r>
            <w:r>
              <w:rPr>
                <w:rFonts w:hint="eastAsia" w:ascii="仿宋_GB2312" w:hAnsi="仿宋_GB2312" w:eastAsia="仿宋_GB2312" w:cs="仿宋_GB2312"/>
                <w:b w:val="0"/>
                <w:bCs/>
                <w:sz w:val="21"/>
                <w:szCs w:val="21"/>
                <w:lang w:val="en-US" w:eastAsia="zh-CN" w:bidi="ar"/>
              </w:rPr>
              <w:t>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PCM200-COD</w:t>
            </w:r>
            <w:r>
              <w:rPr>
                <w:rStyle w:val="46"/>
                <w:rFonts w:hint="eastAsia" w:ascii="仿宋_GB2312" w:hAnsi="仿宋_GB2312" w:eastAsia="仿宋_GB2312" w:cs="仿宋_GB2312"/>
                <w:color w:val="000000"/>
                <w:sz w:val="21"/>
                <w:szCs w:val="21"/>
                <w:lang w:val="en-US" w:eastAsia="zh-CN" w:bidi="ar"/>
              </w:rPr>
              <w:t>Cr</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343</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PCM200-NH3N</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344</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PCM200-NH3N</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345</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PCM200-NH3N</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346</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NH</w:t>
            </w:r>
            <w:r>
              <w:rPr>
                <w:rFonts w:hint="eastAsia" w:ascii="仿宋_GB2312" w:hAnsi="仿宋_GB2312" w:eastAsia="仿宋_GB2312" w:cs="仿宋_GB2312"/>
                <w:b w:val="0"/>
                <w:bCs/>
                <w:sz w:val="21"/>
                <w:szCs w:val="21"/>
                <w:vertAlign w:val="subscript"/>
                <w:lang w:val="en-US" w:eastAsia="zh-CN" w:bidi="ar"/>
              </w:rPr>
              <w:t>3</w:t>
            </w:r>
            <w:r>
              <w:rPr>
                <w:rFonts w:hint="eastAsia" w:ascii="仿宋_GB2312" w:hAnsi="仿宋_GB2312" w:eastAsia="仿宋_GB2312" w:cs="仿宋_GB2312"/>
                <w:b w:val="0"/>
                <w:bCs/>
                <w:sz w:val="21"/>
                <w:szCs w:val="21"/>
                <w:lang w:val="en-US" w:eastAsia="zh-CN" w:bidi="ar"/>
              </w:rPr>
              <w: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PCM200-NH3N</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347</w:t>
            </w:r>
          </w:p>
        </w:tc>
        <w:tc>
          <w:tcPr>
            <w:tcW w:w="2001" w:type="dxa"/>
            <w:noWrap w:val="0"/>
            <w:vAlign w:val="center"/>
          </w:tcPr>
          <w:p>
            <w:pPr>
              <w:shd w:val="clear"/>
              <w:tabs>
                <w:tab w:val="left" w:pos="5527"/>
              </w:tabs>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PCM200-TP</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348</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PCM200-TP</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349</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PCM200-TP</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350</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TP在线分析仪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PCM200-TP</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351</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PCM200-TN</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352</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PCM200-TN</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353</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PCM200-TN</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354</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TN在线分析仪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PCM200-TN</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355</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UNI-20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356</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pH、水温在线分析仪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UNI-20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357</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UNI-20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358</w:t>
            </w:r>
          </w:p>
        </w:tc>
        <w:tc>
          <w:tcPr>
            <w:tcW w:w="2001" w:type="dxa"/>
            <w:noWrap w:val="0"/>
            <w:vAlign w:val="center"/>
          </w:tcPr>
          <w:p>
            <w:pPr>
              <w:shd w:val="clear"/>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SS在线分析仪</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UNI-20</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63" w:type="dxa"/>
            <w:vMerge w:val="continue"/>
            <w:shd w:val="clear" w:color="auto" w:fill="auto"/>
            <w:noWrap w:val="0"/>
            <w:vAlign w:val="center"/>
          </w:tcPr>
          <w:p>
            <w:pPr>
              <w:shd w:val="clear"/>
              <w:bidi w:val="0"/>
              <w:jc w:val="center"/>
              <w:rPr>
                <w:rFonts w:hint="eastAsia" w:ascii="仿宋_GB2312" w:hAnsi="仿宋_GB2312" w:eastAsia="仿宋_GB2312" w:cs="仿宋_GB2312"/>
                <w:sz w:val="21"/>
                <w:szCs w:val="21"/>
              </w:rPr>
            </w:pPr>
          </w:p>
        </w:tc>
        <w:tc>
          <w:tcPr>
            <w:tcW w:w="601" w:type="dxa"/>
            <w:noWrap w:val="0"/>
            <w:vAlign w:val="center"/>
          </w:tcPr>
          <w:p>
            <w:pPr>
              <w:shd w:val="clear"/>
              <w:bidi w:val="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359</w:t>
            </w:r>
          </w:p>
        </w:tc>
        <w:tc>
          <w:tcPr>
            <w:tcW w:w="2001" w:type="dxa"/>
            <w:noWrap w:val="0"/>
            <w:vAlign w:val="center"/>
          </w:tcPr>
          <w:p>
            <w:pPr>
              <w:shd w:val="clear"/>
              <w:tabs>
                <w:tab w:val="left" w:pos="5527"/>
              </w:tabs>
              <w:bidi w:val="0"/>
              <w:jc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b w:val="0"/>
                <w:bCs/>
                <w:sz w:val="21"/>
                <w:szCs w:val="21"/>
                <w:lang w:val="en-US" w:eastAsia="zh-CN" w:bidi="ar"/>
              </w:rPr>
              <w:t>自动采样器</w:t>
            </w:r>
          </w:p>
        </w:tc>
        <w:tc>
          <w:tcPr>
            <w:tcW w:w="1621" w:type="dxa"/>
            <w:noWrap w:val="0"/>
            <w:vAlign w:val="center"/>
          </w:tcPr>
          <w:p>
            <w:pPr>
              <w:keepNext w:val="0"/>
              <w:keepLines w:val="0"/>
              <w:widowControl/>
              <w:suppressLineNumbers w:val="0"/>
              <w:shd w:val="clear"/>
              <w:jc w:val="center"/>
              <w:textAlignment w:val="center"/>
              <w:rPr>
                <w:rFonts w:hint="eastAsia" w:ascii="仿宋_GB2312" w:hAnsi="仿宋_GB2312" w:eastAsia="仿宋_GB2312" w:cs="仿宋_GB2312"/>
                <w:b w:val="0"/>
                <w:bCs/>
                <w:kern w:val="2"/>
                <w:sz w:val="21"/>
                <w:szCs w:val="21"/>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PAS-305A</w:t>
            </w:r>
          </w:p>
        </w:tc>
        <w:tc>
          <w:tcPr>
            <w:tcW w:w="1738" w:type="dxa"/>
            <w:noWrap w:val="0"/>
            <w:vAlign w:val="center"/>
          </w:tcPr>
          <w:p>
            <w:pPr>
              <w:shd w:val="clear"/>
              <w:bidi w:val="0"/>
              <w:jc w:val="center"/>
              <w:rPr>
                <w:rFonts w:hint="eastAsia" w:ascii="仿宋_GB2312" w:hAnsi="仿宋_GB2312" w:eastAsia="仿宋_GB2312" w:cs="仿宋_GB2312"/>
                <w:b w:val="0"/>
                <w:bCs/>
                <w:sz w:val="21"/>
                <w:szCs w:val="21"/>
                <w:lang w:val="en-US" w:eastAsia="zh-CN" w:bidi="ar"/>
              </w:rPr>
            </w:pPr>
            <w:r>
              <w:rPr>
                <w:rFonts w:hint="eastAsia" w:ascii="仿宋_GB2312" w:hAnsi="仿宋_GB2312" w:eastAsia="仿宋_GB2312" w:cs="仿宋_GB2312"/>
                <w:b w:val="0"/>
                <w:bCs/>
                <w:sz w:val="21"/>
                <w:szCs w:val="21"/>
                <w:lang w:val="en-US" w:eastAsia="zh-CN" w:bidi="ar"/>
              </w:rPr>
              <w:t>6月10日前</w:t>
            </w:r>
          </w:p>
        </w:tc>
        <w:tc>
          <w:tcPr>
            <w:tcW w:w="683" w:type="dxa"/>
            <w:noWrap w:val="0"/>
            <w:vAlign w:val="center"/>
          </w:tcPr>
          <w:p>
            <w:pPr>
              <w:shd w:val="clear"/>
              <w:bidi w:val="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r>
    </w:tbl>
    <w:p>
      <w:pPr>
        <w:pStyle w:val="12"/>
        <w:keepNext w:val="0"/>
        <w:keepLines w:val="0"/>
        <w:pageBreakBefore w:val="0"/>
        <w:widowControl w:val="0"/>
        <w:shd w:val="clear"/>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2.检测机构资质和报告要求</w:t>
      </w:r>
    </w:p>
    <w:p>
      <w:pPr>
        <w:pStyle w:val="12"/>
        <w:keepNext w:val="0"/>
        <w:keepLines w:val="0"/>
        <w:pageBreakBefore w:val="0"/>
        <w:widowControl w:val="0"/>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bCs/>
          <w:sz w:val="28"/>
          <w:szCs w:val="28"/>
          <w:lang w:val="zh-CN" w:eastAsia="zh-CN"/>
        </w:rPr>
      </w:pPr>
      <w:r>
        <w:rPr>
          <w:rFonts w:hint="eastAsia" w:ascii="仿宋_GB2312" w:hAnsi="仿宋_GB2312" w:eastAsia="仿宋_GB2312" w:cs="仿宋_GB2312"/>
          <w:bCs/>
          <w:sz w:val="28"/>
          <w:szCs w:val="28"/>
          <w:lang w:val="zh-CN" w:eastAsia="zh-CN"/>
        </w:rPr>
        <w:t>2.1报价人必须严格按照所采用的标准、规范及本技术协议制定校准工作方案，校准人员须具有校准相关资格证书，校准所需工具、仪器、物料等符合校准规范要求。</w:t>
      </w:r>
    </w:p>
    <w:p>
      <w:pPr>
        <w:pStyle w:val="12"/>
        <w:keepNext w:val="0"/>
        <w:keepLines w:val="0"/>
        <w:pageBreakBefore w:val="0"/>
        <w:widowControl w:val="0"/>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bCs/>
          <w:sz w:val="28"/>
          <w:szCs w:val="28"/>
          <w:lang w:val="zh-CN" w:eastAsia="zh-CN"/>
        </w:rPr>
      </w:pPr>
      <w:r>
        <w:rPr>
          <w:rFonts w:hint="eastAsia" w:ascii="仿宋_GB2312" w:hAnsi="仿宋_GB2312" w:eastAsia="仿宋_GB2312" w:cs="仿宋_GB2312"/>
          <w:bCs/>
          <w:sz w:val="28"/>
          <w:szCs w:val="28"/>
          <w:lang w:val="zh-CN" w:eastAsia="zh-CN"/>
        </w:rPr>
        <w:t>2.2校准方法须按照以校准项目的国家标准或行业标准等为准。</w:t>
      </w:r>
    </w:p>
    <w:p>
      <w:pPr>
        <w:pStyle w:val="12"/>
        <w:keepNext w:val="0"/>
        <w:keepLines w:val="0"/>
        <w:pageBreakBefore w:val="0"/>
        <w:widowControl w:val="0"/>
        <w:kinsoku/>
        <w:wordWrap/>
        <w:overflowPunct/>
        <w:topLinePunct w:val="0"/>
        <w:bidi w:val="0"/>
        <w:adjustRightInd/>
        <w:snapToGrid/>
        <w:spacing w:line="360" w:lineRule="auto"/>
        <w:ind w:firstLine="560" w:firstLineChars="200"/>
        <w:jc w:val="both"/>
        <w:textAlignment w:val="auto"/>
        <w:rPr>
          <w:rFonts w:hint="eastAsia" w:ascii="仿宋_GB2312" w:hAnsi="仿宋_GB2312" w:eastAsia="仿宋_GB2312" w:cs="仿宋_GB2312"/>
          <w:bCs/>
          <w:color w:val="auto"/>
          <w:sz w:val="28"/>
          <w:szCs w:val="28"/>
          <w:lang w:val="zh-CN" w:eastAsia="zh-CN"/>
        </w:rPr>
      </w:pPr>
      <w:r>
        <w:rPr>
          <w:rFonts w:hint="eastAsia" w:ascii="仿宋_GB2312" w:hAnsi="仿宋_GB2312" w:eastAsia="仿宋_GB2312" w:cs="仿宋_GB2312"/>
          <w:bCs/>
          <w:sz w:val="28"/>
          <w:szCs w:val="28"/>
          <w:lang w:val="zh-CN" w:eastAsia="zh-CN"/>
        </w:rPr>
        <w:t>2.3报价人应</w:t>
      </w:r>
      <w:r>
        <w:rPr>
          <w:rFonts w:hint="eastAsia" w:ascii="仿宋_GB2312" w:hAnsi="仿宋_GB2312" w:eastAsia="仿宋_GB2312" w:cs="仿宋_GB2312"/>
          <w:sz w:val="28"/>
          <w:szCs w:val="28"/>
        </w:rPr>
        <w:t>具</w:t>
      </w:r>
      <w:r>
        <w:rPr>
          <w:rFonts w:hint="eastAsia" w:ascii="仿宋_GB2312" w:hAnsi="仿宋_GB2312" w:eastAsia="仿宋_GB2312" w:cs="仿宋_GB2312"/>
          <w:bCs/>
          <w:sz w:val="28"/>
          <w:szCs w:val="28"/>
          <w:lang w:val="zh-CN" w:eastAsia="zh-CN"/>
        </w:rPr>
        <w:t>备质量技术监督管理部门颁发的计量校准认证资质（CNAS），所认证的校准能力必须包含但不限于本项目中所要求的</w:t>
      </w:r>
      <w:r>
        <w:rPr>
          <w:rFonts w:hint="eastAsia" w:ascii="仿宋_GB2312" w:hAnsi="仿宋_GB2312" w:eastAsia="仿宋_GB2312" w:cs="仿宋_GB2312"/>
          <w:bCs/>
          <w:sz w:val="28"/>
          <w:szCs w:val="28"/>
          <w:u w:val="none"/>
          <w:lang w:val="zh-CN" w:eastAsia="zh-CN"/>
        </w:rPr>
        <w:t>（</w:t>
      </w:r>
      <w:r>
        <w:rPr>
          <w:rFonts w:hint="eastAsia" w:ascii="仿宋_GB2312" w:hAnsi="仿宋_GB2312" w:eastAsia="仿宋_GB2312" w:cs="仿宋_GB2312"/>
          <w:bCs/>
          <w:sz w:val="28"/>
          <w:szCs w:val="28"/>
          <w:u w:val="none"/>
          <w:lang w:val="en-US" w:eastAsia="zh-CN"/>
        </w:rPr>
        <w:t>化学需氧量、氨氮、总磷、总氮、悬浮物、pH、水温、数据采集仪</w:t>
      </w:r>
      <w:r>
        <w:rPr>
          <w:rFonts w:hint="eastAsia" w:ascii="仿宋_GB2312" w:hAnsi="仿宋_GB2312" w:eastAsia="仿宋_GB2312" w:cs="仿宋_GB2312"/>
          <w:bCs/>
          <w:sz w:val="28"/>
          <w:szCs w:val="28"/>
          <w:u w:val="none"/>
          <w:lang w:val="zh-CN" w:eastAsia="zh-CN"/>
        </w:rPr>
        <w:t>）</w:t>
      </w:r>
      <w:r>
        <w:rPr>
          <w:rFonts w:hint="eastAsia" w:ascii="仿宋_GB2312" w:hAnsi="仿宋_GB2312" w:eastAsia="仿宋_GB2312" w:cs="仿宋_GB2312"/>
          <w:bCs/>
          <w:sz w:val="28"/>
          <w:szCs w:val="28"/>
          <w:lang w:val="zh-CN" w:eastAsia="zh-CN"/>
        </w:rPr>
        <w:t>校准项目，并能出具CNAS校准证书。</w:t>
      </w:r>
    </w:p>
    <w:p>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、商务要求</w:t>
      </w:r>
    </w:p>
    <w:p>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w:t>
      </w:r>
      <w:r>
        <w:rPr>
          <w:rFonts w:hint="eastAsia" w:ascii="仿宋_GB2312" w:hAnsi="仿宋_GB2312" w:eastAsia="仿宋_GB2312" w:cs="仿宋_GB2312"/>
          <w:bCs/>
          <w:sz w:val="28"/>
          <w:szCs w:val="28"/>
          <w:lang w:val="en-US" w:eastAsia="zh-CN"/>
        </w:rPr>
        <w:t>一</w:t>
      </w:r>
      <w:r>
        <w:rPr>
          <w:rFonts w:hint="eastAsia" w:ascii="仿宋_GB2312" w:hAnsi="仿宋_GB2312" w:eastAsia="仿宋_GB2312" w:cs="仿宋_GB2312"/>
          <w:bCs/>
          <w:sz w:val="28"/>
          <w:szCs w:val="28"/>
          <w:lang w:val="zh-CN"/>
        </w:rPr>
        <w:t>）</w:t>
      </w:r>
      <w:r>
        <w:rPr>
          <w:rFonts w:hint="eastAsia" w:ascii="仿宋_GB2312" w:hAnsi="仿宋_GB2312" w:eastAsia="仿宋_GB2312" w:cs="仿宋_GB2312"/>
          <w:bCs/>
          <w:sz w:val="28"/>
          <w:szCs w:val="28"/>
          <w:lang w:val="en-US" w:eastAsia="zh-CN"/>
        </w:rPr>
        <w:t>服务</w:t>
      </w:r>
      <w:r>
        <w:rPr>
          <w:rFonts w:hint="eastAsia" w:ascii="仿宋_GB2312" w:hAnsi="仿宋_GB2312" w:eastAsia="仿宋_GB2312" w:cs="仿宋_GB2312"/>
          <w:bCs/>
          <w:sz w:val="28"/>
          <w:szCs w:val="28"/>
          <w:lang w:val="zh-CN"/>
        </w:rPr>
        <w:t>工期：合同签订之日起至202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lang w:val="zh-CN"/>
        </w:rPr>
        <w:t>年12月31日，报价人接到询价人校准通知后须</w:t>
      </w:r>
      <w:r>
        <w:rPr>
          <w:rFonts w:hint="eastAsia" w:ascii="仿宋_GB2312" w:hAnsi="仿宋_GB2312" w:eastAsia="仿宋_GB2312" w:cs="仿宋_GB2312"/>
          <w:bCs/>
          <w:sz w:val="28"/>
          <w:szCs w:val="28"/>
          <w:lang w:val="en-US" w:eastAsia="zh-CN"/>
        </w:rPr>
        <w:t>于</w:t>
      </w:r>
      <w:r>
        <w:rPr>
          <w:rFonts w:hint="eastAsia" w:ascii="仿宋_GB2312" w:hAnsi="仿宋_GB2312" w:eastAsia="仿宋_GB2312" w:cs="仿宋_GB2312"/>
          <w:bCs/>
          <w:sz w:val="28"/>
          <w:szCs w:val="28"/>
          <w:lang w:val="zh-CN"/>
        </w:rPr>
        <w:t>10个工作日内到指定地点开展校准服务。报价人在校准之日起7天内，将校准证书发送至询价人。</w:t>
      </w:r>
    </w:p>
    <w:p>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val="zh-CN"/>
        </w:rPr>
        <w:t>）质量要求：</w:t>
      </w:r>
    </w:p>
    <w:p>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1</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zh-CN"/>
        </w:rPr>
        <w:t>报价人必须严格按照所采用的标准、规范及本技术协议制定校准工作方案，校准人员须具有校准相关资格证书，校准所需工具、仪器、物料等符合校准规范要求。</w:t>
      </w:r>
    </w:p>
    <w:p>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2</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zh-CN"/>
        </w:rPr>
        <w:t>校准方法须以校准项目的国家标准或行业标准等为准。</w:t>
      </w:r>
    </w:p>
    <w:p>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w:t>
      </w:r>
      <w:r>
        <w:rPr>
          <w:rFonts w:hint="eastAsia" w:ascii="仿宋_GB2312" w:hAnsi="仿宋_GB2312" w:eastAsia="仿宋_GB2312" w:cs="仿宋_GB2312"/>
          <w:bCs/>
          <w:sz w:val="28"/>
          <w:szCs w:val="28"/>
          <w:lang w:val="en-US" w:eastAsia="zh-CN"/>
        </w:rPr>
        <w:t>三</w:t>
      </w:r>
      <w:r>
        <w:rPr>
          <w:rFonts w:hint="eastAsia" w:ascii="仿宋_GB2312" w:hAnsi="仿宋_GB2312" w:eastAsia="仿宋_GB2312" w:cs="仿宋_GB2312"/>
          <w:bCs/>
          <w:sz w:val="28"/>
          <w:szCs w:val="28"/>
          <w:lang w:val="zh-CN"/>
        </w:rPr>
        <w:t>）付款方式：</w:t>
      </w:r>
    </w:p>
    <w:p>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1</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zh-CN"/>
        </w:rPr>
        <w:t>承包人完成合同规定期限的校准服务工作后，经询价人确认工作量和验收，按照校准服务工作量据实结算，支付至</w:t>
      </w:r>
      <w:r>
        <w:rPr>
          <w:rFonts w:hint="eastAsia" w:ascii="仿宋_GB2312" w:hAnsi="仿宋_GB2312" w:eastAsia="仿宋_GB2312" w:cs="仿宋_GB2312"/>
          <w:bCs/>
          <w:sz w:val="28"/>
          <w:szCs w:val="28"/>
          <w:lang w:val="en-US" w:eastAsia="zh-CN"/>
        </w:rPr>
        <w:t>结算</w:t>
      </w:r>
      <w:r>
        <w:rPr>
          <w:rFonts w:hint="eastAsia" w:ascii="仿宋_GB2312" w:hAnsi="仿宋_GB2312" w:eastAsia="仿宋_GB2312" w:cs="仿宋_GB2312"/>
          <w:bCs/>
          <w:sz w:val="28"/>
          <w:szCs w:val="28"/>
          <w:lang w:val="zh-CN"/>
        </w:rPr>
        <w:t>审核价的100%。</w:t>
      </w:r>
    </w:p>
    <w:p>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2</w:t>
      </w:r>
      <w:r>
        <w:rPr>
          <w:rFonts w:hint="eastAsia"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zh-CN"/>
        </w:rPr>
        <w:t>承包人在收款前需提交相应金额增值税专用发票给询价人。</w:t>
      </w:r>
    </w:p>
    <w:p>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w:t>
      </w:r>
      <w:r>
        <w:rPr>
          <w:rFonts w:hint="eastAsia" w:ascii="仿宋_GB2312" w:hAnsi="仿宋_GB2312" w:eastAsia="仿宋_GB2312" w:cs="仿宋_GB2312"/>
          <w:bCs/>
          <w:sz w:val="28"/>
          <w:szCs w:val="28"/>
          <w:lang w:val="en-US" w:eastAsia="zh-CN"/>
        </w:rPr>
        <w:t>四</w:t>
      </w:r>
      <w:r>
        <w:rPr>
          <w:rFonts w:hint="eastAsia" w:ascii="仿宋_GB2312" w:hAnsi="仿宋_GB2312" w:eastAsia="仿宋_GB2312" w:cs="仿宋_GB2312"/>
          <w:bCs/>
          <w:sz w:val="28"/>
          <w:szCs w:val="28"/>
          <w:lang w:val="zh-CN"/>
        </w:rPr>
        <w:t>）承包方式：</w:t>
      </w:r>
    </w:p>
    <w:p>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单价包干：询价响应文件包含总价及综合单价时，</w:t>
      </w:r>
      <w:r>
        <w:rPr>
          <w:rFonts w:hint="eastAsia" w:ascii="仿宋_GB2312" w:hAnsi="仿宋_GB2312" w:eastAsia="仿宋_GB2312" w:cs="仿宋_GB2312"/>
          <w:bCs/>
          <w:color w:val="000000"/>
          <w:sz w:val="28"/>
          <w:szCs w:val="28"/>
          <w:lang w:val="zh-CN"/>
        </w:rPr>
        <w:t>综合单价为合同单价，合同单价在询价文件及施工合同约定的风险范围之内不可调整。</w:t>
      </w:r>
      <w:r>
        <w:rPr>
          <w:rFonts w:hint="eastAsia" w:ascii="仿宋_GB2312" w:hAnsi="仿宋_GB2312" w:eastAsia="仿宋_GB2312" w:cs="仿宋_GB2312"/>
          <w:bCs/>
          <w:sz w:val="28"/>
          <w:szCs w:val="28"/>
          <w:lang w:val="zh-CN"/>
        </w:rPr>
        <w:t>在询价人要求应急/加急情况下，承包人的综合单价应包含全部校准服务费用，不得加收额外加急费。</w:t>
      </w:r>
    </w:p>
    <w:p>
      <w:pPr>
        <w:pStyle w:val="12"/>
        <w:adjustRightInd w:val="0"/>
        <w:snapToGrid w:val="0"/>
        <w:spacing w:line="300" w:lineRule="auto"/>
        <w:rPr>
          <w:rFonts w:hint="eastAsia" w:ascii="仿宋_GB2312" w:hAnsi="仿宋_GB2312" w:eastAsia="仿宋_GB2312" w:cs="仿宋_GB2312"/>
          <w:b/>
          <w:color w:val="000000"/>
          <w:sz w:val="28"/>
          <w:szCs w:val="28"/>
          <w:lang w:val="zh-CN" w:eastAsia="zh-CN"/>
        </w:rPr>
      </w:pPr>
      <w:r>
        <w:rPr>
          <w:rFonts w:hint="eastAsia" w:ascii="仿宋_GB2312" w:hAnsi="仿宋_GB2312" w:eastAsia="仿宋_GB2312" w:cs="仿宋_GB2312"/>
          <w:b/>
          <w:color w:val="000000"/>
          <w:sz w:val="28"/>
          <w:szCs w:val="28"/>
          <w:lang w:val="en-US" w:eastAsia="zh-CN"/>
        </w:rPr>
        <w:t>四、</w:t>
      </w:r>
      <w:r>
        <w:rPr>
          <w:rFonts w:hint="eastAsia" w:ascii="仿宋_GB2312" w:hAnsi="仿宋_GB2312" w:eastAsia="仿宋_GB2312" w:cs="仿宋_GB2312"/>
          <w:b/>
          <w:color w:val="000000"/>
          <w:sz w:val="28"/>
          <w:szCs w:val="28"/>
          <w:lang w:val="zh-CN" w:eastAsia="zh-CN"/>
        </w:rPr>
        <w:t>其他</w:t>
      </w:r>
    </w:p>
    <w:p>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1、合同总价范围内，校准服务工作量可进行增减。</w:t>
      </w:r>
    </w:p>
    <w:p>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eastAsia="zh-CN"/>
        </w:rPr>
        <w:t>2、超出合同总价10%以内的校准服务工作量，以原合同校准项目单价签订补充协议。</w:t>
      </w:r>
    </w:p>
    <w:p>
      <w:pPr>
        <w:pStyle w:val="12"/>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val="zh-CN"/>
        </w:rPr>
        <w:t>报价人不得转包、分包。否则，询价人有权单方面终止合同，拒收其货物，由此而造成的经济损失由报价人负责赔偿。</w:t>
      </w:r>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color w:val="auto"/>
          <w:highlight w:val="none"/>
        </w:rPr>
      </w:pPr>
      <w:bookmarkStart w:id="48" w:name="_Toc323"/>
      <w:bookmarkStart w:id="49" w:name="_Toc1375"/>
      <w:bookmarkStart w:id="50" w:name="_Toc88209949"/>
      <w:bookmarkStart w:id="51" w:name="_Toc87616386"/>
      <w:bookmarkStart w:id="52" w:name="_Toc8183"/>
      <w:bookmarkStart w:id="53" w:name="_Toc22797"/>
      <w:bookmarkStart w:id="54" w:name="_Toc19686"/>
      <w:bookmarkStart w:id="55" w:name="_Toc22501"/>
      <w:bookmarkStart w:id="56" w:name="_Toc12968"/>
      <w:bookmarkStart w:id="57" w:name="_Toc13309"/>
      <w:bookmarkStart w:id="58" w:name="_Toc12980"/>
      <w:bookmarkStart w:id="59" w:name="_Toc19088"/>
      <w:bookmarkStart w:id="60" w:name="_Toc12721"/>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pStyle w:val="47"/>
        <w:jc w:val="center"/>
        <w:rPr>
          <w:rFonts w:eastAsia="方正小标宋简体"/>
          <w:sz w:val="48"/>
          <w:szCs w:val="48"/>
        </w:rPr>
      </w:pPr>
      <w:r>
        <w:rPr>
          <w:rFonts w:eastAsia="方正小标宋简体"/>
          <w:sz w:val="48"/>
          <w:szCs w:val="48"/>
        </w:rPr>
        <w:t>广州市净水有限公司</w:t>
      </w:r>
    </w:p>
    <w:p>
      <w:pPr>
        <w:pStyle w:val="47"/>
        <w:jc w:val="center"/>
        <w:rPr>
          <w:rFonts w:eastAsia="方正小标宋简体"/>
          <w:sz w:val="48"/>
          <w:szCs w:val="48"/>
        </w:rPr>
      </w:pPr>
      <w:r>
        <w:rPr>
          <w:rFonts w:eastAsia="方正小标宋简体"/>
          <w:sz w:val="48"/>
          <w:szCs w:val="48"/>
        </w:rPr>
        <w:t>采购合同</w:t>
      </w:r>
    </w:p>
    <w:p>
      <w:pPr>
        <w:jc w:val="center"/>
        <w:rPr>
          <w:rFonts w:ascii="Times New Roman" w:hAnsi="Times New Roman" w:cs="Times New Roman"/>
          <w:color w:val="auto"/>
          <w:sz w:val="30"/>
        </w:rPr>
      </w:pPr>
    </w:p>
    <w:p>
      <w:pPr>
        <w:rPr>
          <w:rFonts w:ascii="Times New Roman" w:hAnsi="Times New Roman" w:cs="Times New Roman"/>
          <w:b/>
          <w:bCs/>
          <w:color w:val="auto"/>
          <w:sz w:val="30"/>
        </w:rPr>
      </w:pPr>
    </w:p>
    <w:p>
      <w:pPr>
        <w:spacing w:line="480" w:lineRule="auto"/>
        <w:jc w:val="center"/>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rPr>
        <w:t>项目名称：</w:t>
      </w:r>
      <w:r>
        <w:rPr>
          <w:rFonts w:hint="eastAsia" w:ascii="宋体" w:hAnsi="宋体" w:eastAsia="宋体" w:cs="宋体"/>
          <w:b/>
          <w:bCs/>
          <w:color w:val="000000"/>
          <w:sz w:val="30"/>
          <w:szCs w:val="30"/>
        </w:rPr>
        <w:t>广州市净水有限公司</w:t>
      </w:r>
      <w:r>
        <w:rPr>
          <w:rFonts w:hint="eastAsia" w:ascii="宋体" w:hAnsi="宋体" w:cs="宋体"/>
          <w:b/>
          <w:bCs/>
          <w:color w:val="000000"/>
          <w:sz w:val="30"/>
          <w:szCs w:val="30"/>
          <w:lang w:val="en-US" w:eastAsia="zh-CN"/>
        </w:rPr>
        <w:t>2024年度在线监测设备及备机</w:t>
      </w:r>
      <w:r>
        <w:rPr>
          <w:rFonts w:hint="eastAsia" w:ascii="宋体" w:hAnsi="宋体" w:eastAsia="宋体" w:cs="宋体"/>
          <w:b/>
          <w:bCs/>
          <w:color w:val="000000"/>
          <w:sz w:val="30"/>
          <w:szCs w:val="30"/>
          <w:lang w:val="en-US" w:eastAsia="zh-CN"/>
        </w:rPr>
        <w:t>校准服务项目</w:t>
      </w:r>
    </w:p>
    <w:p>
      <w:pPr>
        <w:spacing w:line="480" w:lineRule="auto"/>
        <w:rPr>
          <w:rFonts w:hint="eastAsia" w:ascii="宋体" w:hAnsi="宋体" w:eastAsia="宋体" w:cs="宋体"/>
          <w:b/>
          <w:bCs/>
          <w:color w:val="auto"/>
          <w:sz w:val="30"/>
          <w:szCs w:val="30"/>
        </w:rPr>
      </w:pPr>
    </w:p>
    <w:p>
      <w:pPr>
        <w:spacing w:line="480" w:lineRule="auto"/>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rPr>
        <w:t>项目编号：</w:t>
      </w:r>
    </w:p>
    <w:p>
      <w:pPr>
        <w:pStyle w:val="49"/>
        <w:rPr>
          <w:rFonts w:hint="eastAsia" w:ascii="宋体" w:hAnsi="宋体" w:eastAsia="宋体" w:cs="宋体"/>
          <w:sz w:val="30"/>
          <w:szCs w:val="30"/>
        </w:rPr>
      </w:pPr>
    </w:p>
    <w:p>
      <w:pPr>
        <w:spacing w:line="480" w:lineRule="auto"/>
        <w:rPr>
          <w:rFonts w:hint="eastAsia" w:ascii="宋体" w:hAnsi="宋体" w:eastAsia="宋体" w:cs="宋体"/>
          <w:b/>
          <w:bCs/>
          <w:color w:val="auto"/>
          <w:sz w:val="30"/>
          <w:szCs w:val="30"/>
        </w:rPr>
      </w:pPr>
      <w:r>
        <w:rPr>
          <w:rFonts w:hint="eastAsia" w:ascii="宋体" w:hAnsi="宋体" w:eastAsia="宋体" w:cs="宋体"/>
          <w:b/>
          <w:bCs/>
          <w:color w:val="auto"/>
          <w:sz w:val="30"/>
          <w:szCs w:val="30"/>
        </w:rPr>
        <w:t>合同编号：穗净水合[</w:t>
      </w:r>
      <w:r>
        <w:rPr>
          <w:rFonts w:hint="eastAsia" w:ascii="宋体" w:hAnsi="宋体" w:cs="宋体"/>
          <w:b/>
          <w:bCs/>
          <w:color w:val="auto"/>
          <w:sz w:val="30"/>
          <w:szCs w:val="30"/>
          <w:lang w:val="en-US" w:eastAsia="zh-CN"/>
        </w:rPr>
        <w:t>2024</w:t>
      </w:r>
      <w:r>
        <w:rPr>
          <w:rFonts w:hint="eastAsia" w:ascii="宋体" w:hAnsi="宋体" w:eastAsia="宋体" w:cs="宋体"/>
          <w:b/>
          <w:bCs/>
          <w:color w:val="auto"/>
          <w:sz w:val="30"/>
          <w:szCs w:val="30"/>
        </w:rPr>
        <w:t xml:space="preserve">]    </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号</w:t>
      </w:r>
    </w:p>
    <w:p>
      <w:pPr>
        <w:spacing w:line="480" w:lineRule="auto"/>
        <w:rPr>
          <w:rFonts w:hint="eastAsia" w:ascii="宋体" w:hAnsi="宋体" w:eastAsia="宋体" w:cs="宋体"/>
          <w:b/>
          <w:bCs/>
          <w:color w:val="auto"/>
          <w:sz w:val="30"/>
          <w:szCs w:val="30"/>
        </w:rPr>
      </w:pPr>
    </w:p>
    <w:p>
      <w:pPr>
        <w:spacing w:line="480" w:lineRule="auto"/>
        <w:rPr>
          <w:rFonts w:hint="eastAsia" w:ascii="宋体" w:hAnsi="宋体" w:eastAsia="宋体" w:cs="宋体"/>
          <w:b/>
          <w:bCs/>
          <w:color w:val="auto"/>
          <w:sz w:val="30"/>
          <w:szCs w:val="30"/>
          <w:u w:val="none"/>
        </w:rPr>
      </w:pPr>
      <w:r>
        <w:rPr>
          <w:rFonts w:hint="eastAsia" w:ascii="宋体" w:hAnsi="宋体" w:eastAsia="宋体" w:cs="宋体"/>
          <w:b/>
          <w:bCs/>
          <w:color w:val="auto"/>
          <w:sz w:val="30"/>
          <w:szCs w:val="30"/>
        </w:rPr>
        <w:t>甲方（买方）：</w:t>
      </w:r>
      <w:r>
        <w:rPr>
          <w:rFonts w:hint="eastAsia" w:ascii="宋体" w:hAnsi="宋体" w:eastAsia="宋体" w:cs="宋体"/>
          <w:b/>
          <w:bCs/>
          <w:color w:val="auto"/>
          <w:sz w:val="30"/>
          <w:szCs w:val="30"/>
          <w:u w:val="single"/>
        </w:rPr>
        <w:t>广州市净水有限公司</w:t>
      </w:r>
    </w:p>
    <w:p>
      <w:pPr>
        <w:spacing w:line="480" w:lineRule="auto"/>
        <w:rPr>
          <w:rFonts w:hint="eastAsia" w:ascii="宋体" w:hAnsi="宋体" w:eastAsia="宋体" w:cs="宋体"/>
          <w:b/>
          <w:bCs/>
          <w:color w:val="auto"/>
          <w:sz w:val="30"/>
          <w:szCs w:val="30"/>
        </w:rPr>
      </w:pPr>
      <w:r>
        <w:rPr>
          <w:rFonts w:hint="eastAsia" w:ascii="宋体" w:hAnsi="宋体" w:eastAsia="宋体" w:cs="宋体"/>
          <w:b/>
          <w:bCs/>
          <w:color w:val="auto"/>
          <w:sz w:val="30"/>
          <w:szCs w:val="30"/>
          <w:u w:val="none"/>
        </w:rPr>
        <w:t>乙方（卖方）：</w:t>
      </w:r>
      <w:r>
        <w:rPr>
          <w:rFonts w:hint="eastAsia" w:ascii="宋体" w:hAnsi="宋体" w:cs="宋体"/>
          <w:b/>
          <w:bCs/>
          <w:color w:val="auto"/>
          <w:sz w:val="30"/>
          <w:szCs w:val="30"/>
          <w:u w:val="single"/>
          <w:lang w:val="en-US" w:eastAsia="zh-CN"/>
        </w:rPr>
        <w:t>******</w:t>
      </w:r>
      <w:r>
        <w:rPr>
          <w:rFonts w:hint="eastAsia" w:ascii="宋体" w:hAnsi="宋体" w:eastAsia="宋体" w:cs="宋体"/>
          <w:b w:val="0"/>
          <w:bCs w:val="0"/>
          <w:color w:val="auto"/>
          <w:sz w:val="30"/>
          <w:szCs w:val="30"/>
          <w:u w:val="single"/>
        </w:rPr>
        <w:t xml:space="preserve"> </w:t>
      </w:r>
      <w:r>
        <w:rPr>
          <w:rFonts w:hint="eastAsia" w:ascii="宋体" w:hAnsi="宋体" w:eastAsia="宋体" w:cs="宋体"/>
          <w:b w:val="0"/>
          <w:bCs w:val="0"/>
          <w:color w:val="auto"/>
          <w:sz w:val="30"/>
          <w:szCs w:val="30"/>
          <w:u w:val="none"/>
        </w:rPr>
        <w:t xml:space="preserve">                   </w:t>
      </w:r>
    </w:p>
    <w:p>
      <w:pPr>
        <w:spacing w:line="480" w:lineRule="auto"/>
        <w:rPr>
          <w:rFonts w:hint="eastAsia" w:ascii="宋体" w:hAnsi="宋体" w:eastAsia="宋体" w:cs="宋体"/>
          <w:b/>
          <w:bCs/>
          <w:color w:val="auto"/>
          <w:sz w:val="30"/>
          <w:szCs w:val="30"/>
        </w:rPr>
      </w:pPr>
      <w:r>
        <w:rPr>
          <w:rFonts w:hint="eastAsia" w:ascii="宋体" w:hAnsi="宋体" w:eastAsia="宋体" w:cs="宋体"/>
          <w:b/>
          <w:bCs/>
          <w:color w:val="auto"/>
          <w:sz w:val="30"/>
          <w:szCs w:val="30"/>
        </w:rPr>
        <w:t xml:space="preserve">签订日期：    年  </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 xml:space="preserve">月  </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日</w:t>
      </w:r>
    </w:p>
    <w:p>
      <w:pPr>
        <w:spacing w:line="240" w:lineRule="auto"/>
        <w:rPr>
          <w:rFonts w:hint="eastAsia" w:ascii="宋体" w:hAnsi="宋体" w:eastAsia="宋体" w:cs="宋体"/>
          <w:b/>
          <w:bCs/>
          <w:color w:val="auto"/>
          <w:sz w:val="30"/>
          <w:szCs w:val="30"/>
        </w:rPr>
      </w:pPr>
      <w:r>
        <w:rPr>
          <w:rFonts w:hint="eastAsia" w:ascii="宋体" w:hAnsi="宋体" w:eastAsia="宋体" w:cs="宋体"/>
          <w:b/>
          <w:bCs/>
          <w:color w:val="auto"/>
          <w:sz w:val="30"/>
          <w:szCs w:val="30"/>
        </w:rPr>
        <w:t>签约地点：广州市</w:t>
      </w: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keepNext w:val="0"/>
        <w:keepLines w:val="0"/>
        <w:pageBreakBefore w:val="0"/>
        <w:kinsoku/>
        <w:wordWrap/>
        <w:overflowPunct/>
        <w:topLinePunct w:val="0"/>
        <w:bidi w:val="0"/>
        <w:spacing w:after="156" w:afterLines="50" w:line="348" w:lineRule="auto"/>
        <w:ind w:firstLine="480" w:firstLineChars="200"/>
        <w:textAlignment w:val="auto"/>
        <w:rPr>
          <w:bCs/>
          <w:sz w:val="24"/>
        </w:rPr>
      </w:pPr>
      <w:r>
        <w:rPr>
          <w:rFonts w:hint="eastAsia"/>
          <w:bCs/>
          <w:sz w:val="24"/>
        </w:rPr>
        <w:t>根据《中华人民共和国民法典》及其他有关法律、行政法规，</w:t>
      </w:r>
      <w:r>
        <w:rPr>
          <w:rFonts w:hint="eastAsia"/>
          <w:bCs/>
          <w:sz w:val="24"/>
          <w:u w:val="single"/>
        </w:rPr>
        <w:t>广州市净水有限公司</w:t>
      </w:r>
      <w:r>
        <w:rPr>
          <w:bCs/>
          <w:sz w:val="24"/>
        </w:rPr>
        <w:t xml:space="preserve"> </w:t>
      </w:r>
      <w:r>
        <w:rPr>
          <w:rFonts w:hint="eastAsia"/>
          <w:bCs/>
          <w:sz w:val="24"/>
        </w:rPr>
        <w:t>（以下简称“甲方”）与</w:t>
      </w:r>
      <w:r>
        <w:rPr>
          <w:rFonts w:hint="eastAsia" w:ascii="宋体" w:hAnsi="宋体" w:cs="宋体"/>
          <w:bCs/>
          <w:sz w:val="24"/>
          <w:szCs w:val="24"/>
          <w:u w:val="single"/>
          <w:lang w:val="en-US" w:eastAsia="zh-CN"/>
        </w:rPr>
        <w:t>******</w:t>
      </w:r>
      <w:r>
        <w:rPr>
          <w:rFonts w:hint="eastAsia"/>
          <w:bCs/>
          <w:sz w:val="24"/>
        </w:rPr>
        <w:t>（以下简称“乙方”）就</w:t>
      </w:r>
      <w:r>
        <w:rPr>
          <w:rFonts w:hint="eastAsia" w:ascii="宋体" w:hAnsi="宋体" w:eastAsia="宋体" w:cs="宋体"/>
          <w:bCs/>
          <w:sz w:val="24"/>
          <w:szCs w:val="24"/>
          <w:u w:val="single"/>
        </w:rPr>
        <w:t>广州市净水有限公司</w:t>
      </w:r>
      <w:r>
        <w:rPr>
          <w:rFonts w:hint="eastAsia" w:ascii="宋体" w:hAnsi="宋体" w:cs="宋体"/>
          <w:bCs/>
          <w:sz w:val="24"/>
          <w:szCs w:val="24"/>
          <w:u w:val="single"/>
          <w:lang w:val="en-US" w:eastAsia="zh-CN"/>
        </w:rPr>
        <w:t>2024年度在线监测设备及备机</w:t>
      </w:r>
      <w:r>
        <w:rPr>
          <w:rFonts w:hint="eastAsia" w:ascii="宋体" w:hAnsi="宋体" w:eastAsia="宋体" w:cs="宋体"/>
          <w:bCs/>
          <w:sz w:val="24"/>
          <w:szCs w:val="24"/>
          <w:u w:val="single"/>
          <w:lang w:val="en-US" w:eastAsia="zh-CN"/>
        </w:rPr>
        <w:t>校准</w:t>
      </w:r>
      <w:r>
        <w:rPr>
          <w:rFonts w:hint="eastAsia" w:ascii="宋体" w:hAnsi="宋体" w:eastAsia="宋体" w:cs="宋体"/>
          <w:bCs/>
          <w:sz w:val="24"/>
          <w:szCs w:val="24"/>
          <w:u w:val="single"/>
          <w:lang w:eastAsia="zh-CN"/>
        </w:rPr>
        <w:t>服务</w:t>
      </w:r>
      <w:r>
        <w:rPr>
          <w:rFonts w:hint="eastAsia" w:ascii="宋体" w:hAnsi="宋体" w:eastAsia="宋体" w:cs="宋体"/>
          <w:bCs/>
          <w:sz w:val="24"/>
          <w:szCs w:val="24"/>
          <w:u w:val="single"/>
        </w:rPr>
        <w:t>项目</w:t>
      </w:r>
      <w:r>
        <w:rPr>
          <w:rFonts w:hint="eastAsia"/>
          <w:bCs/>
          <w:sz w:val="24"/>
        </w:rPr>
        <w:t>开展相关指标校准服务工作。为明确双方的权利和义务，甲乙双方经友好协商，签订本合同。</w:t>
      </w:r>
    </w:p>
    <w:p>
      <w:pPr>
        <w:keepNext w:val="0"/>
        <w:keepLines w:val="0"/>
        <w:pageBreakBefore w:val="0"/>
        <w:kinsoku/>
        <w:wordWrap/>
        <w:overflowPunct/>
        <w:topLinePunct w:val="0"/>
        <w:bidi w:val="0"/>
        <w:spacing w:after="156" w:afterLines="50" w:line="348" w:lineRule="auto"/>
        <w:ind w:firstLine="482" w:firstLineChars="200"/>
        <w:textAlignment w:val="auto"/>
        <w:rPr>
          <w:rFonts w:ascii="宋体" w:hAnsi="宋体" w:cs="宋体"/>
          <w:b/>
          <w:bCs/>
          <w:color w:val="000000"/>
          <w:sz w:val="24"/>
        </w:rPr>
      </w:pPr>
      <w:r>
        <w:rPr>
          <w:rFonts w:ascii="宋体" w:hAnsi="宋体" w:cs="宋体"/>
          <w:b/>
          <w:bCs/>
          <w:color w:val="000000"/>
          <w:sz w:val="24"/>
        </w:rPr>
        <w:t>第一条 组成合同的文件及优先顺序</w:t>
      </w:r>
    </w:p>
    <w:p>
      <w:pPr>
        <w:keepNext w:val="0"/>
        <w:keepLines w:val="0"/>
        <w:pageBreakBefore w:val="0"/>
        <w:kinsoku/>
        <w:wordWrap/>
        <w:overflowPunct/>
        <w:topLinePunct w:val="0"/>
        <w:bidi w:val="0"/>
        <w:spacing w:line="348" w:lineRule="auto"/>
        <w:ind w:firstLine="480" w:firstLineChars="200"/>
        <w:textAlignment w:val="auto"/>
        <w:rPr>
          <w:rFonts w:ascii="宋体" w:hAnsi="宋体" w:cs="宋体"/>
          <w:color w:val="000000"/>
          <w:sz w:val="24"/>
        </w:rPr>
      </w:pPr>
      <w:r>
        <w:rPr>
          <w:rFonts w:hint="eastAsia" w:hAnsi="宋体" w:cs="宋体"/>
          <w:bCs/>
          <w:color w:val="000000"/>
          <w:sz w:val="24"/>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348" w:lineRule="auto"/>
        <w:ind w:firstLine="480" w:firstLineChars="200"/>
        <w:textAlignment w:val="auto"/>
        <w:rPr>
          <w:rFonts w:ascii="宋体" w:hAnsi="宋体" w:cs="宋体"/>
          <w:color w:val="000000"/>
          <w:sz w:val="24"/>
        </w:rPr>
      </w:pPr>
      <w:r>
        <w:rPr>
          <w:rFonts w:hint="eastAsia" w:ascii="宋体" w:hAnsi="宋体" w:cs="宋体"/>
          <w:color w:val="000000"/>
          <w:sz w:val="24"/>
        </w:rPr>
        <w:t>⑴</w:t>
      </w:r>
      <w:r>
        <w:rPr>
          <w:rFonts w:ascii="宋体" w:hAnsi="宋体" w:cs="宋体"/>
          <w:color w:val="000000"/>
          <w:sz w:val="24"/>
        </w:rPr>
        <w:t xml:space="preserve"> </w:t>
      </w:r>
      <w:r>
        <w:rPr>
          <w:rFonts w:hint="eastAsia" w:ascii="宋体" w:hAnsi="宋体" w:cs="宋体"/>
          <w:color w:val="000000"/>
          <w:sz w:val="24"/>
        </w:rPr>
        <w:t>在本合同实施过程双方签署的补充与修正文件；</w:t>
      </w:r>
    </w:p>
    <w:p>
      <w:pPr>
        <w:keepNext w:val="0"/>
        <w:keepLines w:val="0"/>
        <w:pageBreakBefore w:val="0"/>
        <w:kinsoku/>
        <w:wordWrap/>
        <w:overflowPunct/>
        <w:topLinePunct w:val="0"/>
        <w:bidi w:val="0"/>
        <w:spacing w:line="348" w:lineRule="auto"/>
        <w:ind w:firstLine="480" w:firstLineChars="200"/>
        <w:textAlignment w:val="auto"/>
        <w:rPr>
          <w:rFonts w:ascii="宋体" w:hAnsi="宋体" w:cs="宋体"/>
          <w:color w:val="000000"/>
          <w:sz w:val="24"/>
        </w:rPr>
      </w:pPr>
      <w:r>
        <w:rPr>
          <w:rFonts w:hint="eastAsia" w:ascii="宋体" w:hAnsi="宋体" w:cs="宋体"/>
          <w:color w:val="000000"/>
          <w:sz w:val="24"/>
        </w:rPr>
        <w:t>⑵</w:t>
      </w:r>
      <w:r>
        <w:rPr>
          <w:rFonts w:ascii="宋体" w:hAnsi="宋体" w:cs="宋体"/>
          <w:color w:val="000000"/>
          <w:sz w:val="24"/>
        </w:rPr>
        <w:t xml:space="preserve"> </w:t>
      </w:r>
      <w:r>
        <w:rPr>
          <w:rFonts w:hint="eastAsia" w:ascii="宋体" w:hAnsi="宋体" w:cs="宋体"/>
          <w:color w:val="000000"/>
          <w:sz w:val="24"/>
        </w:rPr>
        <w:t>本合同书；</w:t>
      </w:r>
    </w:p>
    <w:p>
      <w:pPr>
        <w:keepNext w:val="0"/>
        <w:keepLines w:val="0"/>
        <w:pageBreakBefore w:val="0"/>
        <w:kinsoku/>
        <w:wordWrap/>
        <w:overflowPunct/>
        <w:topLinePunct w:val="0"/>
        <w:bidi w:val="0"/>
        <w:spacing w:line="348" w:lineRule="auto"/>
        <w:ind w:firstLine="480" w:firstLineChars="200"/>
        <w:textAlignment w:val="auto"/>
        <w:rPr>
          <w:rFonts w:ascii="宋体" w:hAnsi="宋体" w:cs="宋体"/>
          <w:bCs/>
          <w:color w:val="000000"/>
          <w:sz w:val="24"/>
        </w:rPr>
      </w:pPr>
      <w:r>
        <w:rPr>
          <w:rFonts w:hint="eastAsia" w:ascii="宋体" w:hAnsi="宋体" w:cs="宋体"/>
          <w:bCs/>
          <w:color w:val="000000"/>
          <w:sz w:val="24"/>
        </w:rPr>
        <w:t>⑶ 发包通知书；</w:t>
      </w:r>
    </w:p>
    <w:p>
      <w:pPr>
        <w:keepNext w:val="0"/>
        <w:keepLines w:val="0"/>
        <w:pageBreakBefore w:val="0"/>
        <w:kinsoku/>
        <w:wordWrap/>
        <w:overflowPunct/>
        <w:topLinePunct w:val="0"/>
        <w:bidi w:val="0"/>
        <w:spacing w:line="348" w:lineRule="auto"/>
        <w:ind w:firstLine="480" w:firstLineChars="200"/>
        <w:textAlignment w:val="auto"/>
        <w:rPr>
          <w:rFonts w:ascii="宋体" w:hAnsi="宋体" w:cs="宋体"/>
          <w:bCs/>
          <w:color w:val="000000"/>
          <w:sz w:val="24"/>
        </w:rPr>
      </w:pPr>
      <w:r>
        <w:rPr>
          <w:rFonts w:hint="eastAsia" w:ascii="宋体" w:hAnsi="宋体" w:cs="宋体"/>
          <w:bCs/>
          <w:color w:val="000000"/>
          <w:sz w:val="24"/>
        </w:rPr>
        <w:t>⑷ 询价文件；</w:t>
      </w:r>
    </w:p>
    <w:p>
      <w:pPr>
        <w:keepNext w:val="0"/>
        <w:keepLines w:val="0"/>
        <w:pageBreakBefore w:val="0"/>
        <w:kinsoku/>
        <w:wordWrap/>
        <w:overflowPunct/>
        <w:topLinePunct w:val="0"/>
        <w:bidi w:val="0"/>
        <w:spacing w:line="348" w:lineRule="auto"/>
        <w:ind w:firstLine="480" w:firstLineChars="200"/>
        <w:textAlignment w:val="auto"/>
        <w:rPr>
          <w:rFonts w:ascii="宋体" w:hAnsi="宋体" w:cs="宋体"/>
          <w:bCs/>
          <w:color w:val="000000"/>
          <w:sz w:val="24"/>
        </w:rPr>
      </w:pPr>
      <w:r>
        <w:rPr>
          <w:rFonts w:hint="eastAsia" w:ascii="宋体" w:hAnsi="宋体" w:cs="宋体"/>
          <w:bCs/>
          <w:color w:val="000000"/>
          <w:sz w:val="24"/>
        </w:rPr>
        <w:t>⑸ 响应文件；</w:t>
      </w:r>
    </w:p>
    <w:p>
      <w:pPr>
        <w:keepNext w:val="0"/>
        <w:keepLines w:val="0"/>
        <w:pageBreakBefore w:val="0"/>
        <w:kinsoku/>
        <w:wordWrap/>
        <w:overflowPunct/>
        <w:topLinePunct w:val="0"/>
        <w:bidi w:val="0"/>
        <w:spacing w:line="348" w:lineRule="auto"/>
        <w:ind w:firstLine="480" w:firstLineChars="200"/>
        <w:textAlignment w:val="auto"/>
        <w:rPr>
          <w:rFonts w:ascii="宋体" w:hAnsi="宋体" w:cs="宋体"/>
          <w:bCs/>
          <w:color w:val="000000"/>
          <w:sz w:val="24"/>
        </w:rPr>
      </w:pPr>
      <w:r>
        <w:rPr>
          <w:rFonts w:hint="eastAsia" w:ascii="宋体" w:hAnsi="宋体" w:cs="宋体"/>
          <w:bCs/>
          <w:color w:val="000000"/>
          <w:sz w:val="24"/>
        </w:rPr>
        <w:t>⑹ 标准、规范及有关技术性文件；</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Times New Roman" w:hAnsi="Times New Roman" w:cs="Times New Roman" w:eastAsiaTheme="minorEastAsia"/>
          <w:bCs/>
          <w:color w:val="auto"/>
          <w:sz w:val="24"/>
          <w:lang w:eastAsia="zh-CN"/>
        </w:rPr>
      </w:pPr>
      <w:r>
        <w:rPr>
          <w:rFonts w:hint="eastAsia" w:ascii="宋体" w:hAnsi="宋体" w:cs="宋体"/>
          <w:bCs/>
          <w:color w:val="auto"/>
          <w:sz w:val="24"/>
        </w:rPr>
        <w:t>⑺</w:t>
      </w:r>
      <w:r>
        <w:rPr>
          <w:rFonts w:hint="eastAsia" w:ascii="宋体" w:hAnsi="宋体" w:cs="宋体"/>
          <w:bCs/>
          <w:color w:val="auto"/>
          <w:sz w:val="24"/>
          <w:lang w:val="en-US" w:eastAsia="zh-CN"/>
        </w:rPr>
        <w:t xml:space="preserve"> </w:t>
      </w:r>
      <w:r>
        <w:rPr>
          <w:rFonts w:hint="eastAsia" w:ascii="宋体" w:hAnsi="宋体" w:eastAsia="宋体" w:cs="宋体"/>
          <w:bCs/>
          <w:color w:val="auto"/>
          <w:sz w:val="24"/>
          <w:szCs w:val="24"/>
        </w:rPr>
        <w:t>本合同其他附件</w:t>
      </w:r>
      <w:r>
        <w:rPr>
          <w:rFonts w:hint="eastAsia" w:ascii="Times New Roman" w:hAnsi="Times New Roman" w:cs="Times New Roman"/>
          <w:bCs/>
          <w:color w:val="auto"/>
          <w:sz w:val="24"/>
          <w:lang w:eastAsia="zh-CN"/>
        </w:rPr>
        <w:t>；</w:t>
      </w:r>
    </w:p>
    <w:p>
      <w:pPr>
        <w:keepNext w:val="0"/>
        <w:keepLines w:val="0"/>
        <w:pageBreakBefore w:val="0"/>
        <w:kinsoku/>
        <w:wordWrap/>
        <w:overflowPunct/>
        <w:topLinePunct w:val="0"/>
        <w:bidi w:val="0"/>
        <w:spacing w:line="348" w:lineRule="auto"/>
        <w:ind w:firstLine="482" w:firstLineChars="200"/>
        <w:textAlignment w:val="auto"/>
        <w:rPr>
          <w:rFonts w:ascii="宋体" w:hAnsi="宋体" w:cs="宋体"/>
          <w:bCs/>
          <w:sz w:val="24"/>
        </w:rPr>
      </w:pPr>
      <w:r>
        <w:rPr>
          <w:rFonts w:hint="eastAsia" w:ascii="宋体" w:hAnsi="宋体" w:cs="宋体"/>
          <w:b/>
          <w:bCs/>
          <w:sz w:val="24"/>
        </w:rPr>
        <w:t>第二条</w:t>
      </w:r>
      <w:r>
        <w:rPr>
          <w:rFonts w:ascii="宋体" w:hAnsi="宋体" w:cs="宋体"/>
          <w:b/>
          <w:bCs/>
          <w:sz w:val="24"/>
        </w:rPr>
        <w:t xml:space="preserve"> </w:t>
      </w:r>
      <w:r>
        <w:rPr>
          <w:rFonts w:hint="eastAsia" w:ascii="宋体" w:hAnsi="宋体" w:cs="宋体"/>
          <w:b/>
          <w:sz w:val="24"/>
        </w:rPr>
        <w:t>服务范围</w:t>
      </w:r>
    </w:p>
    <w:p>
      <w:pPr>
        <w:pStyle w:val="45"/>
        <w:keepNext w:val="0"/>
        <w:keepLines w:val="0"/>
        <w:pageBreakBefore w:val="0"/>
        <w:kinsoku/>
        <w:wordWrap/>
        <w:overflowPunct/>
        <w:topLinePunct w:val="0"/>
        <w:bidi w:val="0"/>
        <w:spacing w:line="348" w:lineRule="auto"/>
        <w:ind w:firstLine="480" w:firstLineChars="200"/>
        <w:textAlignment w:val="auto"/>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2.1根据甲方对</w:t>
      </w:r>
      <w:r>
        <w:rPr>
          <w:rFonts w:hint="eastAsia" w:ascii="宋体" w:hAnsi="宋体" w:eastAsia="宋体" w:cs="宋体"/>
          <w:bCs/>
          <w:color w:val="auto"/>
          <w:kern w:val="2"/>
          <w:sz w:val="24"/>
          <w:szCs w:val="24"/>
          <w:lang w:val="en-US" w:eastAsia="zh-CN"/>
        </w:rPr>
        <w:t>在线</w:t>
      </w:r>
      <w:r>
        <w:rPr>
          <w:rFonts w:hint="eastAsia" w:ascii="宋体" w:hAnsi="宋体" w:eastAsia="宋体" w:cs="宋体"/>
          <w:bCs/>
          <w:color w:val="auto"/>
          <w:kern w:val="2"/>
          <w:sz w:val="24"/>
          <w:szCs w:val="24"/>
        </w:rPr>
        <w:t>设备校准要求，乙方受甲方委托负责</w:t>
      </w:r>
      <w:r>
        <w:rPr>
          <w:rFonts w:hint="eastAsia" w:ascii="宋体" w:hAnsi="宋体" w:eastAsia="宋体" w:cs="宋体"/>
          <w:bCs/>
          <w:color w:val="auto"/>
          <w:kern w:val="2"/>
          <w:sz w:val="24"/>
          <w:szCs w:val="24"/>
          <w:lang w:val="en-US" w:eastAsia="zh-CN"/>
        </w:rPr>
        <w:t>在线</w:t>
      </w:r>
      <w:r>
        <w:rPr>
          <w:rFonts w:hint="eastAsia" w:ascii="宋体" w:hAnsi="宋体" w:eastAsia="宋体" w:cs="宋体"/>
          <w:bCs/>
          <w:color w:val="auto"/>
          <w:kern w:val="2"/>
          <w:sz w:val="24"/>
          <w:szCs w:val="24"/>
        </w:rPr>
        <w:t>设备校准服务，并出具</w:t>
      </w:r>
      <w:r>
        <w:rPr>
          <w:rFonts w:hint="eastAsia" w:ascii="宋体" w:hAnsi="宋体" w:eastAsia="宋体" w:cs="宋体"/>
          <w:bCs/>
          <w:color w:val="auto"/>
          <w:kern w:val="2"/>
          <w:sz w:val="24"/>
          <w:szCs w:val="24"/>
          <w:lang w:val="en-US" w:eastAsia="zh-CN"/>
        </w:rPr>
        <w:t>CNAS</w:t>
      </w:r>
      <w:r>
        <w:rPr>
          <w:rFonts w:hint="eastAsia" w:ascii="宋体" w:hAnsi="宋体" w:eastAsia="宋体" w:cs="宋体"/>
          <w:bCs/>
          <w:color w:val="auto"/>
          <w:kern w:val="2"/>
          <w:sz w:val="24"/>
          <w:szCs w:val="24"/>
        </w:rPr>
        <w:t>校准证书。服务内容详见附件2。</w:t>
      </w:r>
    </w:p>
    <w:p>
      <w:pPr>
        <w:keepNext w:val="0"/>
        <w:keepLines w:val="0"/>
        <w:pageBreakBefore w:val="0"/>
        <w:kinsoku/>
        <w:wordWrap/>
        <w:overflowPunct/>
        <w:topLinePunct w:val="0"/>
        <w:bidi w:val="0"/>
        <w:spacing w:after="156" w:afterLines="50" w:line="34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2.2服务工期及检测报告</w:t>
      </w:r>
    </w:p>
    <w:p>
      <w:pPr>
        <w:keepNext w:val="0"/>
        <w:keepLines w:val="0"/>
        <w:pageBreakBefore w:val="0"/>
        <w:kinsoku/>
        <w:wordWrap/>
        <w:overflowPunct/>
        <w:topLinePunct w:val="0"/>
        <w:bidi w:val="0"/>
        <w:spacing w:after="156" w:afterLines="50" w:line="34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服务工期：合同签订之日起至202</w:t>
      </w:r>
      <w:r>
        <w:rPr>
          <w:rFonts w:hint="eastAsia" w:ascii="宋体" w:hAnsi="宋体" w:eastAsia="宋体" w:cs="宋体"/>
          <w:bCs/>
          <w:sz w:val="24"/>
          <w:szCs w:val="24"/>
          <w:lang w:val="en-US" w:eastAsia="zh-CN"/>
        </w:rPr>
        <w:t>4</w:t>
      </w:r>
      <w:r>
        <w:rPr>
          <w:rFonts w:hint="eastAsia" w:ascii="宋体" w:hAnsi="宋体" w:eastAsia="宋体" w:cs="宋体"/>
          <w:bCs/>
          <w:sz w:val="24"/>
          <w:szCs w:val="24"/>
        </w:rPr>
        <w:t>年12月31日。</w:t>
      </w:r>
    </w:p>
    <w:p>
      <w:pPr>
        <w:keepNext w:val="0"/>
        <w:keepLines w:val="0"/>
        <w:pageBreakBefore w:val="0"/>
        <w:kinsoku/>
        <w:wordWrap/>
        <w:overflowPunct/>
        <w:topLinePunct w:val="0"/>
        <w:bidi w:val="0"/>
        <w:spacing w:after="156" w:afterLines="50" w:line="348"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乙方接到甲方校准通知后须于36小时内向甲方确认，并于10个工作日内到指定地点开展校准服务。在校准之日起7个工作日内，将校准证书发送至甲方。</w:t>
      </w:r>
    </w:p>
    <w:p>
      <w:pPr>
        <w:pStyle w:val="2"/>
        <w:keepNext w:val="0"/>
        <w:keepLines w:val="0"/>
        <w:pageBreakBefore w:val="0"/>
        <w:kinsoku/>
        <w:wordWrap/>
        <w:overflowPunct/>
        <w:topLinePunct w:val="0"/>
        <w:bidi w:val="0"/>
        <w:spacing w:line="348"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color w:val="auto"/>
          <w:kern w:val="2"/>
          <w:sz w:val="24"/>
          <w:szCs w:val="24"/>
          <w:lang w:val="en-US" w:eastAsia="zh-CN" w:bidi="ar-SA"/>
        </w:rPr>
        <w:t>2.3服务单位</w:t>
      </w:r>
      <w:r>
        <w:rPr>
          <w:rFonts w:hint="eastAsia" w:ascii="宋体" w:hAnsi="宋体" w:eastAsia="宋体" w:cs="宋体"/>
          <w:bCs/>
          <w:sz w:val="24"/>
          <w:szCs w:val="24"/>
          <w:lang w:val="en-US" w:eastAsia="zh-CN"/>
        </w:rPr>
        <w:t>：</w:t>
      </w:r>
      <w:r>
        <w:rPr>
          <w:rFonts w:hint="eastAsia" w:ascii="宋体" w:hAnsi="宋体" w:eastAsia="宋体" w:cs="宋体"/>
          <w:sz w:val="24"/>
          <w:szCs w:val="24"/>
          <w:highlight w:val="none"/>
          <w:u w:val="none"/>
        </w:rPr>
        <w:t>甲方下辖水质检测中心</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猎德</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lang w:val="en-US" w:eastAsia="zh-CN"/>
        </w:rPr>
        <w:t>、大坦沙</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lang w:val="en-US" w:eastAsia="zh-CN"/>
        </w:rPr>
        <w:t>、沥滘</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lang w:val="en-US" w:eastAsia="zh-CN"/>
        </w:rPr>
        <w:t>、西朗</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lang w:val="en-US" w:eastAsia="zh-CN"/>
        </w:rPr>
        <w:t>、大沙地</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lang w:val="en-US" w:eastAsia="zh-CN"/>
        </w:rPr>
        <w:t>、龙归</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lang w:val="en-US" w:eastAsia="zh-CN"/>
        </w:rPr>
        <w:t>、竹料</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lang w:val="en-US" w:eastAsia="zh-CN"/>
        </w:rPr>
        <w:t>、均禾</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lang w:val="en-US" w:eastAsia="zh-CN"/>
        </w:rPr>
        <w:t>、京溪</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lang w:val="en-US" w:eastAsia="zh-CN"/>
        </w:rPr>
        <w:t>、石井净</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lang w:val="en-US" w:eastAsia="zh-CN"/>
        </w:rPr>
        <w:t>、大观</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lang w:val="en-US" w:eastAsia="zh-CN"/>
        </w:rPr>
        <w:t>、健康城</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lang w:val="en-US" w:eastAsia="zh-CN"/>
        </w:rPr>
        <w:t>、江高</w:t>
      </w:r>
      <w:r>
        <w:rPr>
          <w:rFonts w:hint="eastAsia" w:eastAsia="宋体" w:cs="宋体"/>
          <w:sz w:val="24"/>
          <w:szCs w:val="24"/>
          <w:highlight w:val="none"/>
          <w:u w:val="none"/>
          <w:lang w:val="en-US" w:eastAsia="zh-CN"/>
        </w:rPr>
        <w:t>分公司</w:t>
      </w:r>
      <w:r>
        <w:rPr>
          <w:rFonts w:hint="eastAsia" w:ascii="宋体" w:hAnsi="宋体" w:eastAsia="宋体" w:cs="宋体"/>
          <w:sz w:val="24"/>
          <w:szCs w:val="24"/>
          <w:highlight w:val="none"/>
          <w:u w:val="none"/>
        </w:rPr>
        <w:t>。</w:t>
      </w:r>
    </w:p>
    <w:p>
      <w:pPr>
        <w:keepNext w:val="0"/>
        <w:keepLines w:val="0"/>
        <w:pageBreakBefore w:val="0"/>
        <w:widowControl/>
        <w:kinsoku/>
        <w:wordWrap/>
        <w:overflowPunct/>
        <w:topLinePunct w:val="0"/>
        <w:bidi w:val="0"/>
        <w:spacing w:after="160" w:line="348"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第三条 合同价格</w:t>
      </w:r>
    </w:p>
    <w:p>
      <w:pPr>
        <w:keepNext w:val="0"/>
        <w:keepLines w:val="0"/>
        <w:pageBreakBefore w:val="0"/>
        <w:kinsoku/>
        <w:wordWrap/>
        <w:overflowPunct/>
        <w:topLinePunct w:val="0"/>
        <w:bidi w:val="0"/>
        <w:spacing w:line="348" w:lineRule="auto"/>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rPr>
        <w:t>3.1本合同暂定总价为</w:t>
      </w:r>
      <w:r>
        <w:rPr>
          <w:rFonts w:hint="eastAsia" w:ascii="宋体" w:hAnsi="宋体" w:cs="宋体"/>
          <w:bCs/>
          <w:sz w:val="24"/>
          <w:szCs w:val="24"/>
          <w:u w:val="single"/>
          <w:lang w:val="en-US" w:eastAsia="zh-CN"/>
        </w:rPr>
        <w:t>****</w:t>
      </w:r>
      <w:r>
        <w:rPr>
          <w:rFonts w:hint="eastAsia" w:ascii="宋体" w:hAnsi="宋体" w:eastAsia="宋体" w:cs="宋体"/>
          <w:bCs/>
          <w:sz w:val="24"/>
          <w:szCs w:val="24"/>
        </w:rPr>
        <w:t>万元，（人民币）大写：</w:t>
      </w:r>
      <w:r>
        <w:rPr>
          <w:rFonts w:hint="eastAsia" w:ascii="宋体" w:hAnsi="宋体" w:cs="宋体"/>
          <w:bCs/>
          <w:sz w:val="24"/>
          <w:szCs w:val="24"/>
          <w:u w:val="single"/>
          <w:lang w:val="en-US" w:eastAsia="zh-CN"/>
        </w:rPr>
        <w:t>******</w:t>
      </w:r>
      <w:r>
        <w:rPr>
          <w:rFonts w:hint="eastAsia" w:ascii="宋体" w:hAnsi="宋体" w:eastAsia="宋体" w:cs="宋体"/>
          <w:bCs/>
          <w:sz w:val="24"/>
          <w:szCs w:val="24"/>
          <w:u w:val="none"/>
        </w:rPr>
        <w:t>。</w:t>
      </w:r>
    </w:p>
    <w:p>
      <w:pPr>
        <w:keepNext w:val="0"/>
        <w:keepLines w:val="0"/>
        <w:pageBreakBefore w:val="0"/>
        <w:widowControl w:val="0"/>
        <w:kinsoku/>
        <w:wordWrap/>
        <w:overflowPunct/>
        <w:topLinePunct w:val="0"/>
        <w:bidi w:val="0"/>
        <w:spacing w:after="156" w:afterLines="50" w:line="356"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3.2所有的服务价格包括了校准所需车辆、人员、工具、仪器、物料、运输保存、校准和复测、证书出具</w:t>
      </w:r>
      <w:r>
        <w:rPr>
          <w:rFonts w:hint="eastAsia"/>
          <w:bCs/>
          <w:sz w:val="24"/>
          <w:highlight w:val="none"/>
          <w:lang w:eastAsia="zh-CN"/>
        </w:rPr>
        <w:t>、税率</w:t>
      </w:r>
      <w:r>
        <w:rPr>
          <w:rFonts w:hint="eastAsia" w:ascii="宋体" w:hAnsi="宋体" w:eastAsia="宋体" w:cs="宋体"/>
          <w:bCs/>
          <w:sz w:val="24"/>
          <w:szCs w:val="24"/>
        </w:rPr>
        <w:t>等的全部费用。</w:t>
      </w:r>
    </w:p>
    <w:p>
      <w:pPr>
        <w:keepNext w:val="0"/>
        <w:keepLines w:val="0"/>
        <w:pageBreakBefore w:val="0"/>
        <w:widowControl w:val="0"/>
        <w:kinsoku/>
        <w:wordWrap/>
        <w:overflowPunct/>
        <w:topLinePunct w:val="0"/>
        <w:bidi w:val="0"/>
        <w:spacing w:after="156" w:afterLines="50" w:line="356"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pStyle w:val="2"/>
        <w:keepNext w:val="0"/>
        <w:keepLines w:val="0"/>
        <w:pageBreakBefore w:val="0"/>
        <w:widowControl w:val="0"/>
        <w:kinsoku/>
        <w:wordWrap/>
        <w:overflowPunct/>
        <w:topLinePunct w:val="0"/>
        <w:bidi w:val="0"/>
        <w:spacing w:line="356"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3.4</w:t>
      </w:r>
      <w:r>
        <w:rPr>
          <w:rFonts w:hint="eastAsia" w:ascii="宋体" w:hAnsi="宋体" w:eastAsia="宋体" w:cs="宋体"/>
          <w:bCs/>
          <w:color w:val="auto"/>
          <w:kern w:val="2"/>
          <w:sz w:val="24"/>
          <w:szCs w:val="24"/>
          <w:lang w:val="en-US" w:eastAsia="zh-CN" w:bidi="ar-SA"/>
        </w:rPr>
        <w:t>本合同约定的价格为含税价价格（税率：</w:t>
      </w:r>
      <w:r>
        <w:rPr>
          <w:rFonts w:hint="eastAsia" w:ascii="宋体" w:hAnsi="宋体" w:eastAsia="宋体" w:cs="宋体"/>
          <w:bCs/>
          <w:color w:val="auto"/>
          <w:kern w:val="2"/>
          <w:sz w:val="24"/>
          <w:szCs w:val="24"/>
          <w:u w:val="single"/>
          <w:lang w:val="en-US" w:eastAsia="zh-CN" w:bidi="ar-SA"/>
        </w:rPr>
        <w:t xml:space="preserve"> 6 %</w:t>
      </w:r>
      <w:r>
        <w:rPr>
          <w:rFonts w:hint="eastAsia" w:ascii="宋体" w:hAnsi="宋体" w:eastAsia="宋体" w:cs="宋体"/>
          <w:bCs/>
          <w:color w:val="auto"/>
          <w:kern w:val="2"/>
          <w:sz w:val="24"/>
          <w:szCs w:val="24"/>
          <w:lang w:val="en-US" w:eastAsia="zh-CN" w:bidi="ar-SA"/>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topLinePunct w:val="0"/>
        <w:bidi w:val="0"/>
        <w:spacing w:after="156" w:afterLines="50" w:line="356"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第四条 服务要求</w:t>
      </w:r>
    </w:p>
    <w:p>
      <w:pPr>
        <w:keepNext w:val="0"/>
        <w:keepLines w:val="0"/>
        <w:pageBreakBefore w:val="0"/>
        <w:widowControl w:val="0"/>
        <w:kinsoku/>
        <w:wordWrap/>
        <w:overflowPunct/>
        <w:topLinePunct w:val="0"/>
        <w:bidi w:val="0"/>
        <w:spacing w:after="156" w:afterLines="50" w:line="356"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4.1.双方签订《安全协议书》，自觉遵守甲方管理单位安全生产相关的管理制度，承担安全主体责任。</w:t>
      </w:r>
    </w:p>
    <w:p>
      <w:pPr>
        <w:keepNext w:val="0"/>
        <w:keepLines w:val="0"/>
        <w:pageBreakBefore w:val="0"/>
        <w:widowControl w:val="0"/>
        <w:kinsoku/>
        <w:wordWrap/>
        <w:overflowPunct/>
        <w:topLinePunct w:val="0"/>
        <w:bidi w:val="0"/>
        <w:spacing w:after="156" w:afterLines="50" w:line="356"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2</w:t>
      </w:r>
      <w:r>
        <w:rPr>
          <w:rFonts w:hint="eastAsia" w:ascii="宋体" w:hAnsi="宋体" w:eastAsia="宋体" w:cs="宋体"/>
          <w:bCs/>
          <w:sz w:val="24"/>
          <w:szCs w:val="24"/>
        </w:rPr>
        <w:t>.校准结果必须公平公正，不受外界影响；遵守相关保密条约；校准结果提供符合相关标准的纸质版校准证书和提供纸质版校准证书扫描件。</w:t>
      </w:r>
    </w:p>
    <w:p>
      <w:pPr>
        <w:keepNext w:val="0"/>
        <w:keepLines w:val="0"/>
        <w:pageBreakBefore w:val="0"/>
        <w:widowControl w:val="0"/>
        <w:kinsoku/>
        <w:wordWrap/>
        <w:overflowPunct/>
        <w:topLinePunct w:val="0"/>
        <w:bidi w:val="0"/>
        <w:spacing w:after="156" w:afterLines="50" w:line="356"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3</w:t>
      </w:r>
      <w:r>
        <w:rPr>
          <w:rFonts w:hint="eastAsia" w:ascii="宋体" w:hAnsi="宋体" w:eastAsia="宋体" w:cs="宋体"/>
          <w:bCs/>
          <w:sz w:val="24"/>
          <w:szCs w:val="24"/>
        </w:rPr>
        <w:t>.本合同工作范围应包括提供所有需要的材料、人力以及其他校准设备，双方完成合同文件里规定的工作和校准服务，并达到预期的目标。</w:t>
      </w:r>
    </w:p>
    <w:p>
      <w:pPr>
        <w:keepNext w:val="0"/>
        <w:keepLines w:val="0"/>
        <w:pageBreakBefore w:val="0"/>
        <w:widowControl w:val="0"/>
        <w:kinsoku/>
        <w:wordWrap/>
        <w:overflowPunct/>
        <w:topLinePunct w:val="0"/>
        <w:bidi w:val="0"/>
        <w:spacing w:after="156" w:afterLines="50" w:line="356"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4.4.</w:t>
      </w:r>
      <w:r>
        <w:rPr>
          <w:rFonts w:hint="eastAsia" w:ascii="宋体" w:hAnsi="宋体" w:eastAsia="宋体" w:cs="宋体"/>
          <w:bCs/>
          <w:color w:val="auto"/>
          <w:kern w:val="2"/>
          <w:sz w:val="24"/>
          <w:szCs w:val="24"/>
          <w:highlight w:val="none"/>
          <w:lang w:val="en-US" w:eastAsia="zh-CN"/>
        </w:rPr>
        <w:t>乙方须对校准数据、甲方（其所属各单位）提供的所有资料以及双方履行本项目所交往的资料负有保密义务。未经甲方书面同意，乙方不得将上述资料向第三方转让或复制或另作他用。在乙方服务期间，所有甲方和乙方双方签署确认的文件（包括会议纪要、补充协议、往来信函）即成为本项目的有效组成部分。</w:t>
      </w:r>
    </w:p>
    <w:p>
      <w:pPr>
        <w:keepNext w:val="0"/>
        <w:keepLines w:val="0"/>
        <w:pageBreakBefore w:val="0"/>
        <w:widowControl w:val="0"/>
        <w:kinsoku/>
        <w:wordWrap/>
        <w:overflowPunct/>
        <w:topLinePunct w:val="0"/>
        <w:autoSpaceDE w:val="0"/>
        <w:autoSpaceDN w:val="0"/>
        <w:bidi w:val="0"/>
        <w:adjustRightInd w:val="0"/>
        <w:spacing w:line="356"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第五条 支付方式</w:t>
      </w:r>
    </w:p>
    <w:p>
      <w:pPr>
        <w:keepNext w:val="0"/>
        <w:keepLines w:val="0"/>
        <w:pageBreakBefore w:val="0"/>
        <w:widowControl w:val="0"/>
        <w:tabs>
          <w:tab w:val="left" w:pos="851"/>
        </w:tabs>
        <w:kinsoku/>
        <w:wordWrap/>
        <w:overflowPunct/>
        <w:topLinePunct w:val="0"/>
        <w:bidi w:val="0"/>
        <w:adjustRightInd w:val="0"/>
        <w:snapToGrid w:val="0"/>
        <w:spacing w:line="356" w:lineRule="auto"/>
        <w:ind w:firstLine="480" w:firstLineChars="200"/>
        <w:textAlignment w:val="auto"/>
        <w:rPr>
          <w:rFonts w:hint="eastAsia" w:ascii="宋体" w:hAnsi="宋体" w:eastAsia="宋体" w:cs="宋体"/>
          <w:sz w:val="24"/>
          <w:szCs w:val="24"/>
        </w:rPr>
      </w:pPr>
      <w:bookmarkStart w:id="61" w:name="_Toc14703"/>
      <w:bookmarkStart w:id="62" w:name="_Toc183666516"/>
      <w:r>
        <w:rPr>
          <w:rFonts w:hint="eastAsia" w:ascii="宋体" w:hAnsi="宋体" w:eastAsia="宋体" w:cs="宋体"/>
          <w:sz w:val="24"/>
          <w:szCs w:val="24"/>
        </w:rPr>
        <w:t>5.1</w:t>
      </w:r>
      <w:r>
        <w:rPr>
          <w:rFonts w:hint="eastAsia" w:ascii="宋体" w:hAnsi="宋体" w:eastAsia="宋体" w:cs="宋体"/>
          <w:bCs/>
          <w:sz w:val="24"/>
          <w:szCs w:val="24"/>
        </w:rPr>
        <w:t>预付款的支付：</w:t>
      </w:r>
      <w:r>
        <w:rPr>
          <w:rFonts w:hint="eastAsia" w:ascii="宋体" w:hAnsi="宋体" w:eastAsia="宋体" w:cs="宋体"/>
          <w:color w:val="000000"/>
          <w:sz w:val="24"/>
          <w:szCs w:val="24"/>
        </w:rPr>
        <w:sym w:font="Wingdings" w:char="00FE"/>
      </w:r>
      <w:r>
        <w:rPr>
          <w:rFonts w:hint="eastAsia" w:ascii="宋体" w:hAnsi="宋体" w:cs="宋体"/>
          <w:bCs/>
          <w:sz w:val="24"/>
          <w:highlight w:val="none"/>
        </w:rPr>
        <w:t>无；</w:t>
      </w:r>
      <w:r>
        <w:rPr>
          <w:rFonts w:ascii="宋体" w:hAnsi="宋体" w:cs="宋体"/>
          <w:bCs/>
          <w:sz w:val="24"/>
          <w:highlight w:val="none"/>
        </w:rPr>
        <w:t xml:space="preserve">    </w:t>
      </w:r>
      <w:r>
        <w:rPr>
          <w:rFonts w:hint="eastAsia" w:ascii="宋体" w:hAnsi="宋体" w:cs="宋体"/>
          <w:szCs w:val="21"/>
          <w:highlight w:val="none"/>
        </w:rPr>
        <w:t>□有，</w:t>
      </w:r>
      <w:r>
        <w:rPr>
          <w:rFonts w:hint="eastAsia" w:ascii="宋体" w:hAnsi="宋体" w:cs="宋体"/>
          <w:bCs/>
          <w:sz w:val="24"/>
          <w:highlight w:val="none"/>
        </w:rPr>
        <w:t>合同签订后，乙方开具等额的增值税专用发票及提交履约担保（如有）后</w:t>
      </w:r>
      <w:r>
        <w:rPr>
          <w:rFonts w:ascii="宋体" w:hAnsi="宋体" w:cs="宋体"/>
          <w:bCs/>
          <w:sz w:val="24"/>
          <w:highlight w:val="none"/>
          <w:u w:val="single"/>
        </w:rPr>
        <w:t>10</w:t>
      </w:r>
      <w:r>
        <w:rPr>
          <w:rFonts w:hint="eastAsia" w:ascii="宋体" w:hAnsi="宋体" w:cs="宋体"/>
          <w:bCs/>
          <w:sz w:val="24"/>
          <w:highlight w:val="none"/>
        </w:rPr>
        <w:t>个工作日内，甲方支付合同暂定总价的</w:t>
      </w:r>
      <w:r>
        <w:rPr>
          <w:rFonts w:ascii="宋体" w:hAnsi="宋体" w:cs="宋体"/>
          <w:bCs/>
          <w:sz w:val="24"/>
          <w:highlight w:val="none"/>
        </w:rPr>
        <w:t xml:space="preserve"> </w:t>
      </w:r>
      <w:r>
        <w:rPr>
          <w:rFonts w:ascii="宋体" w:hAnsi="宋体" w:cs="宋体"/>
          <w:bCs/>
          <w:sz w:val="24"/>
          <w:highlight w:val="none"/>
          <w:u w:val="single"/>
        </w:rPr>
        <w:t xml:space="preserve">  30%  </w:t>
      </w:r>
      <w:r>
        <w:rPr>
          <w:rFonts w:hint="eastAsia" w:ascii="宋体" w:hAnsi="宋体" w:cs="宋体"/>
          <w:sz w:val="24"/>
          <w:highlight w:val="none"/>
        </w:rPr>
        <w:t>即</w:t>
      </w:r>
      <w:r>
        <w:rPr>
          <w:rFonts w:ascii="宋体" w:hAnsi="宋体" w:cs="宋体"/>
          <w:sz w:val="24"/>
          <w:highlight w:val="none"/>
          <w:u w:val="single"/>
        </w:rPr>
        <w:t xml:space="preserve"> </w:t>
      </w:r>
      <w:r>
        <w:rPr>
          <w:rFonts w:hint="eastAsia" w:ascii="宋体" w:hAnsi="宋体" w:cs="宋体"/>
          <w:sz w:val="24"/>
          <w:highlight w:val="none"/>
          <w:u w:val="single"/>
        </w:rPr>
        <w:t>…元，（大写：</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 xml:space="preserve">  </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keepNext w:val="0"/>
        <w:keepLines w:val="0"/>
        <w:pageBreakBefore w:val="0"/>
        <w:widowControl w:val="0"/>
        <w:kinsoku/>
        <w:wordWrap/>
        <w:overflowPunct/>
        <w:topLinePunct w:val="0"/>
        <w:bidi w:val="0"/>
        <w:spacing w:line="35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 支付方式：</w:t>
      </w:r>
    </w:p>
    <w:p>
      <w:pPr>
        <w:keepNext w:val="0"/>
        <w:keepLines w:val="0"/>
        <w:pageBreakBefore w:val="0"/>
        <w:widowControl w:val="0"/>
        <w:kinsoku/>
        <w:wordWrap/>
        <w:overflowPunct/>
        <w:topLinePunct w:val="0"/>
        <w:bidi w:val="0"/>
        <w:spacing w:line="35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5.2.1乙方完成合同规定期限的校准和出具</w:t>
      </w:r>
      <w:r>
        <w:rPr>
          <w:rFonts w:hint="eastAsia" w:ascii="宋体" w:hAnsi="宋体" w:eastAsia="宋体" w:cs="宋体"/>
          <w:sz w:val="24"/>
          <w:szCs w:val="24"/>
          <w:lang w:val="en-US" w:eastAsia="zh-CN"/>
        </w:rPr>
        <w:t>CNAS校准</w:t>
      </w:r>
      <w:r>
        <w:rPr>
          <w:rFonts w:hint="eastAsia" w:ascii="宋体" w:hAnsi="宋体" w:eastAsia="宋体" w:cs="宋体"/>
          <w:sz w:val="24"/>
          <w:szCs w:val="24"/>
        </w:rPr>
        <w:t>证书等服务工作后，经甲方按照校准服务工作量据实结算，支付至</w:t>
      </w:r>
      <w:r>
        <w:rPr>
          <w:rFonts w:hint="eastAsia" w:ascii="宋体" w:hAnsi="宋体" w:eastAsia="宋体" w:cs="宋体"/>
          <w:sz w:val="24"/>
          <w:szCs w:val="24"/>
          <w:lang w:val="en-US" w:eastAsia="zh-CN"/>
        </w:rPr>
        <w:t>结算</w:t>
      </w:r>
      <w:r>
        <w:rPr>
          <w:rFonts w:hint="eastAsia" w:ascii="宋体" w:hAnsi="宋体" w:eastAsia="宋体" w:cs="宋体"/>
          <w:sz w:val="24"/>
          <w:szCs w:val="24"/>
        </w:rPr>
        <w:t>审核价的100%。</w:t>
      </w:r>
    </w:p>
    <w:p>
      <w:pPr>
        <w:keepNext w:val="0"/>
        <w:keepLines w:val="0"/>
        <w:pageBreakBefore w:val="0"/>
        <w:widowControl w:val="0"/>
        <w:kinsoku/>
        <w:wordWrap/>
        <w:overflowPunct/>
        <w:topLinePunct w:val="0"/>
        <w:bidi w:val="0"/>
        <w:spacing w:line="35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5.2.2乙方收款账户：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pacing w:line="35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收款账号：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pacing w:line="35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pacing w:line="35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5.2.3乙方在收款前需提交相应金额增值税专用发票给甲方。</w:t>
      </w:r>
    </w:p>
    <w:p>
      <w:pPr>
        <w:keepNext w:val="0"/>
        <w:keepLines w:val="0"/>
        <w:pageBreakBefore w:val="0"/>
        <w:widowControl w:val="0"/>
        <w:kinsoku/>
        <w:wordWrap/>
        <w:overflowPunct/>
        <w:topLinePunct w:val="0"/>
        <w:bidi w:val="0"/>
        <w:spacing w:line="35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增值税专用发票信息：</w:t>
      </w:r>
    </w:p>
    <w:p>
      <w:pPr>
        <w:keepNext w:val="0"/>
        <w:keepLines w:val="0"/>
        <w:pageBreakBefore w:val="0"/>
        <w:widowControl w:val="0"/>
        <w:kinsoku/>
        <w:wordWrap/>
        <w:overflowPunct/>
        <w:topLinePunct w:val="0"/>
        <w:bidi w:val="0"/>
        <w:spacing w:line="35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名称：广州市净水有限公司</w:t>
      </w:r>
    </w:p>
    <w:p>
      <w:pPr>
        <w:keepNext w:val="0"/>
        <w:keepLines w:val="0"/>
        <w:pageBreakBefore w:val="0"/>
        <w:widowControl w:val="0"/>
        <w:kinsoku/>
        <w:wordWrap/>
        <w:overflowPunct/>
        <w:topLinePunct w:val="0"/>
        <w:bidi w:val="0"/>
        <w:spacing w:line="35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税号：</w:t>
      </w:r>
      <w:r>
        <w:rPr>
          <w:rFonts w:hint="eastAsia" w:ascii="宋体" w:hAnsi="宋体" w:eastAsia="宋体" w:cs="宋体"/>
          <w:sz w:val="24"/>
          <w:szCs w:val="24"/>
          <w:u w:val="single"/>
        </w:rPr>
        <w:t xml:space="preserve"> 91440101755584729Q</w:t>
      </w:r>
      <w:r>
        <w:rPr>
          <w:rFonts w:hint="eastAsia" w:ascii="宋体" w:hAnsi="宋体" w:eastAsia="宋体" w:cs="宋体"/>
          <w:sz w:val="24"/>
          <w:szCs w:val="24"/>
        </w:rPr>
        <w:t xml:space="preserve"> ；  </w:t>
      </w:r>
    </w:p>
    <w:p>
      <w:pPr>
        <w:keepNext w:val="0"/>
        <w:keepLines w:val="0"/>
        <w:pageBreakBefore w:val="0"/>
        <w:widowControl w:val="0"/>
        <w:kinsoku/>
        <w:wordWrap/>
        <w:overflowPunct/>
        <w:topLinePunct w:val="0"/>
        <w:bidi w:val="0"/>
        <w:spacing w:line="35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广州市天河区临江大道501号 </w:t>
      </w:r>
      <w:r>
        <w:rPr>
          <w:rFonts w:hint="eastAsia" w:ascii="宋体" w:hAnsi="宋体" w:eastAsia="宋体" w:cs="宋体"/>
          <w:sz w:val="24"/>
          <w:szCs w:val="24"/>
        </w:rPr>
        <w:t>；</w:t>
      </w:r>
    </w:p>
    <w:p>
      <w:pPr>
        <w:keepNext w:val="0"/>
        <w:keepLines w:val="0"/>
        <w:pageBreakBefore w:val="0"/>
        <w:widowControl w:val="0"/>
        <w:kinsoku/>
        <w:wordWrap/>
        <w:overflowPunct/>
        <w:topLinePunct w:val="0"/>
        <w:bidi w:val="0"/>
        <w:spacing w:line="356" w:lineRule="auto"/>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sz w:val="24"/>
          <w:szCs w:val="24"/>
        </w:rPr>
        <w:t>5.3付款方式</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rPr>
        <w:sym w:font="Wingdings" w:char="00FE"/>
      </w:r>
      <w:r>
        <w:rPr>
          <w:rFonts w:hint="eastAsia" w:ascii="宋体" w:hAnsi="宋体" w:eastAsia="宋体" w:cs="宋体"/>
          <w:color w:val="000000"/>
          <w:sz w:val="24"/>
          <w:szCs w:val="24"/>
        </w:rPr>
        <w:t xml:space="preserve">网银支付；  </w:t>
      </w:r>
      <w:r>
        <w:rPr>
          <w:rFonts w:hint="eastAsia" w:ascii="宋体" w:hAnsi="宋体" w:eastAsia="宋体" w:cs="宋体"/>
          <w:color w:val="000000"/>
          <w:sz w:val="24"/>
          <w:szCs w:val="24"/>
        </w:rPr>
        <w:sym w:font="Wingdings" w:char="00A8"/>
      </w:r>
      <w:r>
        <w:rPr>
          <w:rFonts w:hint="eastAsia" w:ascii="宋体" w:hAnsi="宋体" w:eastAsia="宋体" w:cs="宋体"/>
          <w:color w:val="000000"/>
          <w:sz w:val="24"/>
          <w:szCs w:val="24"/>
        </w:rPr>
        <w:t xml:space="preserve">支票；   </w:t>
      </w:r>
      <w:r>
        <w:rPr>
          <w:rFonts w:hint="eastAsia" w:ascii="宋体" w:hAnsi="宋体" w:eastAsia="宋体" w:cs="宋体"/>
          <w:color w:val="000000"/>
          <w:sz w:val="24"/>
          <w:szCs w:val="24"/>
        </w:rPr>
        <w:sym w:font="Wingdings" w:char="00A8"/>
      </w:r>
      <w:r>
        <w:rPr>
          <w:rFonts w:hint="eastAsia" w:ascii="宋体" w:hAnsi="宋体" w:eastAsia="宋体" w:cs="宋体"/>
          <w:color w:val="000000"/>
          <w:sz w:val="24"/>
          <w:szCs w:val="24"/>
        </w:rPr>
        <w:t xml:space="preserve">其他：   /          </w:t>
      </w:r>
    </w:p>
    <w:p>
      <w:pPr>
        <w:keepNext w:val="0"/>
        <w:keepLines w:val="0"/>
        <w:pageBreakBefore w:val="0"/>
        <w:widowControl w:val="0"/>
        <w:kinsoku/>
        <w:wordWrap/>
        <w:overflowPunct/>
        <w:topLinePunct w:val="0"/>
        <w:autoSpaceDE w:val="0"/>
        <w:autoSpaceDN w:val="0"/>
        <w:bidi w:val="0"/>
        <w:adjustRightInd w:val="0"/>
        <w:spacing w:line="356" w:lineRule="auto"/>
        <w:ind w:firstLine="482" w:firstLineChars="200"/>
        <w:textAlignment w:val="auto"/>
        <w:rPr>
          <w:rFonts w:hint="eastAsia" w:ascii="宋体" w:hAnsi="宋体" w:eastAsia="宋体" w:cs="宋体"/>
          <w:bCs/>
          <w:color w:val="000000"/>
          <w:sz w:val="24"/>
          <w:szCs w:val="24"/>
        </w:rPr>
      </w:pPr>
      <w:r>
        <w:rPr>
          <w:rFonts w:hint="eastAsia" w:ascii="宋体" w:hAnsi="宋体" w:eastAsia="宋体" w:cs="宋体"/>
          <w:b/>
          <w:color w:val="000000"/>
          <w:sz w:val="24"/>
          <w:szCs w:val="24"/>
        </w:rPr>
        <w:t>第六条 履约担保</w:t>
      </w:r>
    </w:p>
    <w:bookmarkEnd w:id="61"/>
    <w:bookmarkEnd w:id="62"/>
    <w:p>
      <w:pPr>
        <w:keepNext w:val="0"/>
        <w:keepLines w:val="0"/>
        <w:pageBreakBefore w:val="0"/>
        <w:widowControl w:val="0"/>
        <w:kinsoku/>
        <w:wordWrap/>
        <w:overflowPunct/>
        <w:topLinePunct w:val="0"/>
        <w:bidi w:val="0"/>
        <w:spacing w:line="35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6.1履约担保：</w:t>
      </w:r>
      <w:r>
        <w:rPr>
          <w:rFonts w:hint="eastAsia" w:ascii="宋体" w:hAnsi="宋体" w:eastAsia="宋体" w:cs="宋体"/>
          <w:sz w:val="24"/>
          <w:szCs w:val="24"/>
        </w:rPr>
        <w:sym w:font="Wingdings 2" w:char="0052"/>
      </w:r>
      <w:r>
        <w:rPr>
          <w:rFonts w:hint="eastAsia" w:ascii="宋体" w:hAnsi="宋体" w:eastAsia="宋体" w:cs="宋体"/>
          <w:bCs/>
          <w:sz w:val="24"/>
          <w:szCs w:val="24"/>
        </w:rPr>
        <w:t xml:space="preserve">无； </w:t>
      </w:r>
    </w:p>
    <w:p>
      <w:pPr>
        <w:keepNext w:val="0"/>
        <w:keepLines w:val="0"/>
        <w:pageBreakBefore w:val="0"/>
        <w:widowControl w:val="0"/>
        <w:kinsoku/>
        <w:wordWrap/>
        <w:overflowPunct/>
        <w:topLinePunct w:val="0"/>
        <w:bidi w:val="0"/>
        <w:spacing w:line="356" w:lineRule="auto"/>
        <w:ind w:firstLine="482" w:firstLineChars="200"/>
        <w:textAlignment w:val="auto"/>
        <w:rPr>
          <w:rFonts w:hint="eastAsia" w:ascii="宋体" w:hAnsi="宋体" w:eastAsia="宋体" w:cs="宋体"/>
          <w:b/>
          <w:sz w:val="24"/>
          <w:szCs w:val="24"/>
        </w:rPr>
      </w:pPr>
      <w:bookmarkStart w:id="63" w:name="_Toc257"/>
      <w:bookmarkStart w:id="64" w:name="_Toc474245215"/>
      <w:bookmarkStart w:id="65" w:name="_Toc518992990"/>
      <w:bookmarkStart w:id="66" w:name="_Toc520190030"/>
      <w:bookmarkStart w:id="67" w:name="_Toc183666534"/>
      <w:r>
        <w:rPr>
          <w:rFonts w:hint="eastAsia" w:ascii="宋体" w:hAnsi="宋体" w:eastAsia="宋体" w:cs="宋体"/>
          <w:b/>
          <w:sz w:val="24"/>
          <w:szCs w:val="24"/>
        </w:rPr>
        <w:t>第七条  质量保证</w:t>
      </w:r>
    </w:p>
    <w:p>
      <w:pPr>
        <w:keepNext w:val="0"/>
        <w:keepLines w:val="0"/>
        <w:pageBreakBefore w:val="0"/>
        <w:widowControl w:val="0"/>
        <w:kinsoku/>
        <w:wordWrap/>
        <w:overflowPunct/>
        <w:topLinePunct w:val="0"/>
        <w:bidi w:val="0"/>
        <w:spacing w:line="356" w:lineRule="auto"/>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7.1乙方必须严格按照所采用的标准、规范及本技术协议制定校准工作方案，校准人员须具有校准相关资格证书，校准所需工具、仪器、物料等符合校准规范要求。</w:t>
      </w:r>
    </w:p>
    <w:p>
      <w:pPr>
        <w:keepNext w:val="0"/>
        <w:keepLines w:val="0"/>
        <w:pageBreakBefore w:val="0"/>
        <w:widowControl w:val="0"/>
        <w:kinsoku/>
        <w:wordWrap/>
        <w:overflowPunct/>
        <w:topLinePunct w:val="0"/>
        <w:bidi w:val="0"/>
        <w:spacing w:line="356" w:lineRule="auto"/>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7.2校准方法须以校准项目的国家标准或行业标准等为准。</w:t>
      </w:r>
    </w:p>
    <w:p>
      <w:pPr>
        <w:keepNext w:val="0"/>
        <w:keepLines w:val="0"/>
        <w:pageBreakBefore w:val="0"/>
        <w:widowControl w:val="0"/>
        <w:kinsoku/>
        <w:wordWrap/>
        <w:overflowPunct/>
        <w:topLinePunct w:val="0"/>
        <w:bidi w:val="0"/>
        <w:spacing w:line="356" w:lineRule="auto"/>
        <w:ind w:firstLine="480" w:firstLineChars="200"/>
        <w:textAlignment w:val="auto"/>
        <w:outlineLvl w:val="0"/>
        <w:rPr>
          <w:rFonts w:hint="default" w:ascii="宋体" w:hAnsi="宋体" w:eastAsia="宋体" w:cs="宋体"/>
          <w:sz w:val="24"/>
          <w:szCs w:val="24"/>
          <w:lang w:val="en-US"/>
        </w:rPr>
      </w:pPr>
      <w:r>
        <w:rPr>
          <w:rFonts w:hint="eastAsia" w:ascii="宋体" w:hAnsi="宋体" w:eastAsia="宋体" w:cs="宋体"/>
          <w:sz w:val="24"/>
          <w:szCs w:val="24"/>
        </w:rPr>
        <w:t>7.3乙方应当具备质量技术监督管理部门颁发的计量校准认证资质（CNAS）</w:t>
      </w:r>
      <w:r>
        <w:rPr>
          <w:rFonts w:hint="eastAsia" w:ascii="宋体" w:hAnsi="宋体" w:eastAsia="宋体" w:cs="宋体"/>
          <w:sz w:val="24"/>
          <w:szCs w:val="24"/>
          <w:lang w:eastAsia="zh-CN"/>
        </w:rPr>
        <w:t>，所认证的校准能力必须包含但不限于本项目中所要求的（</w:t>
      </w:r>
      <w:r>
        <w:rPr>
          <w:rFonts w:hint="eastAsia" w:ascii="宋体" w:hAnsi="宋体" w:eastAsia="宋体" w:cs="宋体"/>
          <w:sz w:val="24"/>
          <w:szCs w:val="24"/>
          <w:lang w:val="en-US" w:eastAsia="zh-CN"/>
        </w:rPr>
        <w:t>化学需氧量、氨氮、总磷、总氮、悬浮物、pH、水温、数据采集仪</w:t>
      </w:r>
      <w:r>
        <w:rPr>
          <w:rFonts w:hint="eastAsia" w:ascii="宋体" w:hAnsi="宋体" w:eastAsia="宋体" w:cs="宋体"/>
          <w:sz w:val="24"/>
          <w:szCs w:val="24"/>
          <w:lang w:eastAsia="zh-CN"/>
        </w:rPr>
        <w:t>）校准项</w:t>
      </w:r>
      <w:r>
        <w:rPr>
          <w:rFonts w:hint="eastAsia" w:ascii="宋体" w:hAnsi="宋体" w:eastAsia="宋体" w:cs="宋体"/>
          <w:sz w:val="24"/>
          <w:szCs w:val="24"/>
          <w:lang w:val="en-US" w:eastAsia="zh-CN"/>
        </w:rPr>
        <w:t>目，并能出具CNAS校准证书。</w:t>
      </w:r>
    </w:p>
    <w:p>
      <w:pPr>
        <w:keepNext w:val="0"/>
        <w:keepLines w:val="0"/>
        <w:pageBreakBefore w:val="0"/>
        <w:widowControl w:val="0"/>
        <w:kinsoku/>
        <w:wordWrap/>
        <w:overflowPunct/>
        <w:topLinePunct w:val="0"/>
        <w:bidi w:val="0"/>
        <w:spacing w:line="356" w:lineRule="auto"/>
        <w:ind w:firstLine="480" w:firstLineChars="200"/>
        <w:textAlignment w:val="auto"/>
        <w:outlineLvl w:val="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安全文明施工（校准服务）要求：按照广州市净水有限公司安全生产管理规定施工，签订安全协议书。安装施工（校准服务）期间必须做好防护措施，施工人员需具备相关工作上岗证。</w:t>
      </w:r>
    </w:p>
    <w:p>
      <w:pPr>
        <w:keepNext w:val="0"/>
        <w:keepLines w:val="0"/>
        <w:pageBreakBefore w:val="0"/>
        <w:widowControl w:val="0"/>
        <w:kinsoku/>
        <w:wordWrap/>
        <w:overflowPunct/>
        <w:topLinePunct w:val="0"/>
        <w:bidi w:val="0"/>
        <w:spacing w:line="356" w:lineRule="auto"/>
        <w:ind w:firstLine="480" w:firstLineChars="200"/>
        <w:textAlignment w:val="auto"/>
        <w:outlineLvl w:val="0"/>
        <w:rPr>
          <w:rFonts w:hint="eastAsia" w:ascii="宋体" w:hAnsi="宋体" w:eastAsia="宋体" w:cs="宋体"/>
          <w:sz w:val="24"/>
          <w:szCs w:val="24"/>
        </w:rPr>
      </w:pPr>
      <w:r>
        <w:rPr>
          <w:rFonts w:hint="eastAsia" w:ascii="宋体" w:hAnsi="宋体" w:eastAsia="宋体" w:cs="宋体"/>
          <w:bCs/>
          <w:sz w:val="24"/>
          <w:szCs w:val="24"/>
        </w:rPr>
        <w:t>7.</w:t>
      </w:r>
      <w:r>
        <w:rPr>
          <w:rFonts w:hint="eastAsia" w:ascii="宋体" w:hAnsi="宋体" w:eastAsia="宋体" w:cs="宋体"/>
          <w:bCs/>
          <w:sz w:val="24"/>
          <w:szCs w:val="24"/>
          <w:lang w:val="en-US" w:eastAsia="zh-CN"/>
        </w:rPr>
        <w:t>5</w:t>
      </w:r>
      <w:r>
        <w:rPr>
          <w:rFonts w:hint="eastAsia" w:ascii="宋体" w:hAnsi="宋体" w:eastAsia="宋体" w:cs="宋体"/>
          <w:bCs/>
          <w:sz w:val="24"/>
          <w:szCs w:val="24"/>
        </w:rPr>
        <w:t>乙方须安排具有从事相应专业知识和专业技能的技术人员跟踪负责项目的校准、数据审核、</w:t>
      </w:r>
      <w:r>
        <w:rPr>
          <w:rFonts w:hint="eastAsia" w:ascii="宋体" w:hAnsi="宋体" w:eastAsia="宋体" w:cs="宋体"/>
          <w:bCs/>
          <w:sz w:val="24"/>
          <w:szCs w:val="24"/>
          <w:lang w:val="en-US" w:eastAsia="zh-CN"/>
        </w:rPr>
        <w:t>证书</w:t>
      </w:r>
      <w:r>
        <w:rPr>
          <w:rFonts w:hint="eastAsia" w:ascii="宋体" w:hAnsi="宋体" w:eastAsia="宋体" w:cs="宋体"/>
          <w:bCs/>
          <w:sz w:val="24"/>
          <w:szCs w:val="24"/>
        </w:rPr>
        <w:t>出具等流程工作，并与甲方做好对接工作。乙方技术人员对校准、结果评价过程中出现的问题情况，应及时与甲方联系，并就甲方反映的校准、数据审核和报告出具等环节中问题及时作出回应，及时</w:t>
      </w:r>
      <w:r>
        <w:rPr>
          <w:rFonts w:hint="eastAsia" w:ascii="宋体" w:hAnsi="宋体" w:eastAsia="宋体" w:cs="宋体"/>
          <w:bCs/>
          <w:sz w:val="24"/>
          <w:szCs w:val="24"/>
          <w:lang w:val="en-US" w:eastAsia="zh-CN"/>
        </w:rPr>
        <w:t>免费</w:t>
      </w:r>
      <w:r>
        <w:rPr>
          <w:rFonts w:hint="eastAsia" w:ascii="宋体" w:hAnsi="宋体" w:eastAsia="宋体" w:cs="宋体"/>
          <w:bCs/>
          <w:sz w:val="24"/>
          <w:szCs w:val="24"/>
        </w:rPr>
        <w:t>安排重检或给出解决办法。</w:t>
      </w:r>
    </w:p>
    <w:bookmarkEnd w:id="63"/>
    <w:bookmarkEnd w:id="64"/>
    <w:bookmarkEnd w:id="65"/>
    <w:bookmarkEnd w:id="66"/>
    <w:bookmarkEnd w:id="67"/>
    <w:p>
      <w:pPr>
        <w:keepNext w:val="0"/>
        <w:keepLines w:val="0"/>
        <w:pageBreakBefore w:val="0"/>
        <w:widowControl w:val="0"/>
        <w:kinsoku/>
        <w:wordWrap/>
        <w:overflowPunct/>
        <w:topLinePunct w:val="0"/>
        <w:autoSpaceDE/>
        <w:autoSpaceDN/>
        <w:bidi w:val="0"/>
        <w:adjustRightInd/>
        <w:snapToGrid/>
        <w:spacing w:line="356" w:lineRule="auto"/>
        <w:ind w:firstLine="482" w:firstLineChars="200"/>
        <w:textAlignment w:val="auto"/>
        <w:rPr>
          <w:rFonts w:hint="eastAsia" w:ascii="宋体" w:hAnsi="宋体" w:eastAsia="宋体" w:cs="宋体"/>
          <w:bCs/>
          <w:sz w:val="24"/>
          <w:szCs w:val="24"/>
        </w:rPr>
      </w:pPr>
      <w:r>
        <w:rPr>
          <w:rFonts w:hint="eastAsia" w:ascii="宋体" w:hAnsi="宋体" w:eastAsia="宋体" w:cs="宋体"/>
          <w:b/>
          <w:sz w:val="24"/>
          <w:szCs w:val="24"/>
        </w:rPr>
        <w:t>第八条 违约责任</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8.1若违反本合同的约定，违约方应当按照当时生效的《中华人民共和国民法典》的相关规定，承担违约责任。</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rPr>
        <w:t>8.</w:t>
      </w:r>
      <w:r>
        <w:rPr>
          <w:rFonts w:hint="eastAsia" w:ascii="宋体" w:hAnsi="宋体" w:eastAsia="宋体" w:cs="宋体"/>
          <w:bCs/>
          <w:sz w:val="24"/>
          <w:szCs w:val="24"/>
          <w:lang w:val="en-US" w:eastAsia="zh-CN"/>
        </w:rPr>
        <w:t>2</w:t>
      </w:r>
      <w:r>
        <w:rPr>
          <w:rFonts w:hint="eastAsia" w:ascii="宋体" w:hAnsi="宋体" w:eastAsia="宋体" w:cs="宋体"/>
          <w:bCs/>
          <w:sz w:val="24"/>
          <w:szCs w:val="24"/>
          <w:highlight w:val="none"/>
        </w:rPr>
        <w:t>若乙方未按合同要求进行校准且没有事先与甲方沟通，造成甲方损失的，应由乙方赔偿甲方损失。如果原样品在有效期内且甲方明确要求重检，乙方免费安排重新校准。</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bCs/>
          <w:color w:val="auto"/>
          <w:kern w:val="2"/>
          <w:sz w:val="24"/>
          <w:szCs w:val="24"/>
          <w:highlight w:val="none"/>
        </w:rPr>
      </w:pPr>
      <w:r>
        <w:rPr>
          <w:rFonts w:hint="eastAsia" w:ascii="宋体" w:hAnsi="宋体" w:eastAsia="宋体" w:cs="宋体"/>
          <w:bCs/>
          <w:sz w:val="24"/>
          <w:szCs w:val="24"/>
          <w:highlight w:val="none"/>
          <w:lang w:val="en-US" w:eastAsia="zh-CN"/>
        </w:rPr>
        <w:t>8.3</w:t>
      </w:r>
      <w:r>
        <w:rPr>
          <w:rFonts w:hint="eastAsia" w:ascii="宋体" w:hAnsi="宋体" w:eastAsia="宋体" w:cs="宋体"/>
          <w:bCs/>
          <w:color w:val="auto"/>
          <w:kern w:val="2"/>
          <w:sz w:val="24"/>
          <w:szCs w:val="24"/>
          <w:highlight w:val="none"/>
        </w:rPr>
        <w:t>乙方未能按时向甲方提交</w:t>
      </w:r>
      <w:r>
        <w:rPr>
          <w:rFonts w:hint="eastAsia" w:ascii="宋体" w:hAnsi="宋体" w:eastAsia="宋体" w:cs="宋体"/>
          <w:bCs/>
          <w:color w:val="auto"/>
          <w:kern w:val="2"/>
          <w:sz w:val="24"/>
          <w:szCs w:val="24"/>
          <w:highlight w:val="none"/>
          <w:lang w:val="en-US" w:eastAsia="zh-CN"/>
        </w:rPr>
        <w:t>校准证书</w:t>
      </w:r>
      <w:r>
        <w:rPr>
          <w:rFonts w:hint="eastAsia" w:ascii="宋体" w:hAnsi="宋体" w:eastAsia="宋体" w:cs="宋体"/>
          <w:bCs/>
          <w:color w:val="auto"/>
          <w:kern w:val="2"/>
          <w:sz w:val="24"/>
          <w:szCs w:val="24"/>
          <w:highlight w:val="none"/>
        </w:rPr>
        <w:t>的，每逾期</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天，扣罚</w:t>
      </w:r>
      <w:r>
        <w:rPr>
          <w:rFonts w:hint="eastAsia" w:ascii="宋体" w:hAnsi="宋体" w:eastAsia="宋体" w:cs="宋体"/>
          <w:bCs/>
          <w:color w:val="auto"/>
          <w:kern w:val="2"/>
          <w:sz w:val="24"/>
          <w:szCs w:val="24"/>
          <w:highlight w:val="none"/>
          <w:lang w:val="en-US" w:eastAsia="zh-CN"/>
        </w:rPr>
        <w:t>500</w:t>
      </w:r>
      <w:r>
        <w:rPr>
          <w:rFonts w:hint="eastAsia" w:ascii="宋体" w:hAnsi="宋体" w:eastAsia="宋体" w:cs="宋体"/>
          <w:bCs/>
          <w:color w:val="auto"/>
          <w:kern w:val="2"/>
          <w:sz w:val="24"/>
          <w:szCs w:val="24"/>
          <w:highlight w:val="none"/>
        </w:rPr>
        <w:t>元，从应付</w:t>
      </w:r>
      <w:r>
        <w:rPr>
          <w:rFonts w:hint="eastAsia" w:ascii="宋体" w:hAnsi="宋体" w:eastAsia="宋体" w:cs="宋体"/>
          <w:bCs/>
          <w:color w:val="auto"/>
          <w:kern w:val="2"/>
          <w:sz w:val="24"/>
          <w:szCs w:val="24"/>
          <w:highlight w:val="none"/>
          <w:lang w:val="en-US" w:eastAsia="zh-CN"/>
        </w:rPr>
        <w:t>校准</w:t>
      </w:r>
      <w:r>
        <w:rPr>
          <w:rFonts w:hint="eastAsia" w:ascii="宋体" w:hAnsi="宋体" w:eastAsia="宋体" w:cs="宋体"/>
          <w:bCs/>
          <w:color w:val="auto"/>
          <w:kern w:val="2"/>
          <w:sz w:val="24"/>
          <w:szCs w:val="24"/>
          <w:highlight w:val="none"/>
        </w:rPr>
        <w:t>费用中进行抵扣；逾期达到</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0天以上或累计逾期达到10次及以上的，甲方有权解除合同，同时要求乙方一次性支付本合同价暂定总额的10%作为违约金；在收到甲方的应急</w:t>
      </w:r>
      <w:r>
        <w:rPr>
          <w:rFonts w:hint="eastAsia" w:ascii="宋体" w:hAnsi="宋体" w:eastAsia="宋体" w:cs="宋体"/>
          <w:bCs/>
          <w:color w:val="auto"/>
          <w:kern w:val="2"/>
          <w:sz w:val="24"/>
          <w:szCs w:val="24"/>
          <w:highlight w:val="none"/>
          <w:lang w:val="en-US" w:eastAsia="zh-CN"/>
        </w:rPr>
        <w:t>校准</w:t>
      </w:r>
      <w:r>
        <w:rPr>
          <w:rFonts w:hint="eastAsia" w:ascii="宋体" w:hAnsi="宋体" w:eastAsia="宋体" w:cs="宋体"/>
          <w:bCs/>
          <w:color w:val="auto"/>
          <w:kern w:val="2"/>
          <w:sz w:val="24"/>
          <w:szCs w:val="24"/>
          <w:highlight w:val="none"/>
        </w:rPr>
        <w:t>任务时，乙方出现一次拒绝的情况，扣罚1万元，出现两次扣罚3万，出现三次及以上甲方有权解除合同，同时要求乙方一次性支付本合同价暂定总额的10%作为违约金。</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8.4</w:t>
      </w:r>
      <w:r>
        <w:rPr>
          <w:rFonts w:hint="eastAsia" w:ascii="Calibri" w:hAnsi="Calibri" w:eastAsia="宋体"/>
          <w:bCs/>
          <w:color w:val="auto"/>
          <w:kern w:val="2"/>
          <w:sz w:val="24"/>
          <w:szCs w:val="24"/>
          <w:highlight w:val="none"/>
        </w:rPr>
        <w:t>乙方应保证合同期内具有履行合同所需资质，如乙方出现资质过期、失效、营业执照被吊销等导致无法履行合同的，甲方有权单方面解除合同，同时要求乙方一次性支付本合同价暂定总额的10%作为违约金。</w:t>
      </w:r>
    </w:p>
    <w:p>
      <w:pPr>
        <w:keepNext w:val="0"/>
        <w:keepLines w:val="0"/>
        <w:pageBreakBefore w:val="0"/>
        <w:widowControl w:val="0"/>
        <w:kinsoku/>
        <w:wordWrap/>
        <w:overflowPunct/>
        <w:topLinePunct w:val="0"/>
        <w:autoSpaceDE/>
        <w:autoSpaceDN/>
        <w:bidi w:val="0"/>
        <w:adjustRightInd/>
        <w:snapToGrid/>
        <w:spacing w:line="356" w:lineRule="auto"/>
        <w:ind w:firstLine="482" w:firstLineChars="200"/>
        <w:textAlignment w:val="auto"/>
        <w:rPr>
          <w:bCs/>
          <w:sz w:val="24"/>
        </w:rPr>
      </w:pPr>
      <w:r>
        <w:rPr>
          <w:b/>
          <w:sz w:val="24"/>
        </w:rPr>
        <w:t>第九条 变更或解除</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9.1 甲方解除合同</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如乙方存在下述情况之一，甲方有权向乙方发出书面通知，全部或部分解除本合同：</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 xml:space="preserve">9.1.1 乙方未能在本合同约定或甲方另行指定的期限内提供部分或全部服务，并经甲方催告后在合理期限内仍未提供； </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9.1.2 乙方提供服务存在严重的质量问题，导致本合同目的不能实现；</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9.1.3 乙方存在违反合同义务的其他情形。</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9.2 乙方解除合同</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如甲方无正当理由未能按本合同约定期限向乙方支付合同款，并经乙方催告后超过10天仍未支付，乙方有权以书面通知解除本合同。</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bCs/>
          <w:sz w:val="24"/>
        </w:rPr>
      </w:pPr>
      <w:r>
        <w:rPr>
          <w:rFonts w:hint="eastAsia" w:ascii="宋体" w:hAnsi="宋体" w:eastAsia="宋体" w:cs="宋体"/>
          <w:bCs/>
          <w:sz w:val="24"/>
        </w:rPr>
        <w:t xml:space="preserve">9.3 </w:t>
      </w:r>
      <w:r>
        <w:rPr>
          <w:rFonts w:hint="eastAsia" w:ascii="宋体" w:hAnsi="宋体" w:eastAsia="宋体" w:cs="宋体"/>
          <w:sz w:val="24"/>
        </w:rPr>
        <w:t>甲乙双方经协商一致后解除合同。</w:t>
      </w:r>
    </w:p>
    <w:p>
      <w:pPr>
        <w:keepNext w:val="0"/>
        <w:keepLines w:val="0"/>
        <w:pageBreakBefore w:val="0"/>
        <w:widowControl w:val="0"/>
        <w:kinsoku/>
        <w:wordWrap/>
        <w:overflowPunct/>
        <w:topLinePunct w:val="0"/>
        <w:autoSpaceDE/>
        <w:autoSpaceDN/>
        <w:bidi w:val="0"/>
        <w:adjustRightInd/>
        <w:snapToGrid/>
        <w:spacing w:line="356" w:lineRule="auto"/>
        <w:ind w:firstLine="482" w:firstLineChars="200"/>
        <w:textAlignment w:val="auto"/>
        <w:rPr>
          <w:bCs/>
          <w:sz w:val="24"/>
        </w:rPr>
      </w:pPr>
      <w:r>
        <w:rPr>
          <w:b/>
          <w:sz w:val="24"/>
        </w:rPr>
        <w:t>第十条 不可抗力</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sz w:val="24"/>
        </w:rPr>
      </w:pPr>
      <w:r>
        <w:rPr>
          <w:rFonts w:hint="eastAsia" w:ascii="宋体" w:hAnsi="宋体" w:eastAsia="宋体" w:cs="宋体"/>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sz w:val="24"/>
        </w:rPr>
      </w:pPr>
      <w:r>
        <w:rPr>
          <w:rFonts w:hint="eastAsia" w:ascii="宋体" w:hAnsi="宋体" w:eastAsia="宋体" w:cs="宋体"/>
          <w:sz w:val="24"/>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sz w:val="24"/>
        </w:rPr>
      </w:pPr>
      <w:r>
        <w:rPr>
          <w:rFonts w:hint="eastAsia" w:ascii="宋体" w:hAnsi="宋体" w:eastAsia="宋体" w:cs="宋体"/>
          <w:sz w:val="24"/>
        </w:rPr>
        <w:t>（2）战争行为、入侵、武装冲突或外敌行为、封锁、暴乱、恐怖行为或军事演习；</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sz w:val="24"/>
        </w:rPr>
      </w:pPr>
      <w:r>
        <w:rPr>
          <w:rFonts w:hint="eastAsia" w:ascii="宋体" w:hAnsi="宋体" w:eastAsia="宋体" w:cs="宋体"/>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sz w:val="24"/>
        </w:rPr>
      </w:pPr>
      <w:r>
        <w:rPr>
          <w:rFonts w:hint="eastAsia" w:ascii="宋体" w:hAnsi="宋体" w:eastAsia="宋体" w:cs="宋体"/>
          <w:sz w:val="24"/>
        </w:rPr>
        <w:t>10.3因不可抗力导致合同无法履行的时间自该不可抗力发生日起连续超过玖拾(90)天，双方应协商决定继续履行本合同的条件或者变更本合同。如果自不可抗力发生后壹佰捌拾(</w:t>
      </w:r>
      <w:r>
        <w:rPr>
          <w:rFonts w:hint="eastAsia" w:ascii="宋体" w:hAnsi="宋体" w:eastAsia="宋体" w:cs="宋体"/>
          <w:b/>
          <w:bCs/>
          <w:sz w:val="24"/>
        </w:rPr>
        <w:t>180</w:t>
      </w:r>
      <w:r>
        <w:rPr>
          <w:rFonts w:hint="eastAsia" w:ascii="宋体" w:hAnsi="宋体" w:eastAsia="宋体" w:cs="宋体"/>
          <w:sz w:val="24"/>
        </w:rPr>
        <w:t>)天之内双方不能达成一致意见，任何一方有权解除本合同。</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bCs/>
          <w:sz w:val="24"/>
        </w:rPr>
      </w:pPr>
      <w:r>
        <w:rPr>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kinsoku/>
        <w:wordWrap/>
        <w:overflowPunct/>
        <w:topLinePunct w:val="0"/>
        <w:autoSpaceDE/>
        <w:autoSpaceDN/>
        <w:bidi w:val="0"/>
        <w:adjustRightInd/>
        <w:snapToGrid/>
        <w:spacing w:line="356" w:lineRule="auto"/>
        <w:ind w:firstLine="482" w:firstLineChars="200"/>
        <w:textAlignment w:val="auto"/>
        <w:rPr>
          <w:bCs/>
          <w:sz w:val="24"/>
        </w:rPr>
      </w:pPr>
      <w:r>
        <w:rPr>
          <w:b/>
          <w:sz w:val="24"/>
        </w:rPr>
        <w:t>第十一条  争议解决</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eastAsia="宋体" w:cs="宋体"/>
          <w:sz w:val="24"/>
        </w:rPr>
      </w:pPr>
      <w:r>
        <w:rPr>
          <w:rFonts w:hint="eastAsia" w:ascii="宋体" w:hAnsi="宋体" w:eastAsia="宋体" w:cs="宋体"/>
          <w:sz w:val="24"/>
        </w:rPr>
        <w:t>11.1 因本合同引起的或与本合同有关的任何争议，甲乙双方应友好协商解决，如协商不成，任何一方均可依法向</w:t>
      </w:r>
      <w:r>
        <w:rPr>
          <w:rFonts w:hint="eastAsia" w:ascii="宋体" w:hAnsi="宋体" w:eastAsia="宋体" w:cs="宋体"/>
          <w:sz w:val="24"/>
          <w:u w:val="single"/>
        </w:rPr>
        <w:t>甲方所在地人民法院</w:t>
      </w:r>
      <w:r>
        <w:rPr>
          <w:rFonts w:hint="eastAsia" w:ascii="宋体" w:hAnsi="宋体" w:eastAsia="宋体" w:cs="宋体"/>
          <w:sz w:val="24"/>
        </w:rPr>
        <w:t>提起诉讼。</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hint="eastAsia" w:ascii="宋体" w:hAnsi="宋体" w:cs="宋体"/>
          <w:b/>
          <w:sz w:val="24"/>
        </w:rPr>
      </w:pPr>
      <w:r>
        <w:rPr>
          <w:rFonts w:hint="eastAsia" w:ascii="宋体" w:hAnsi="宋体" w:eastAsia="宋体" w:cs="宋体"/>
          <w:sz w:val="24"/>
        </w:rPr>
        <w:t>11.2 在甲方同意的情况下，除有争端之外的合同其它部分在争端解决前应继续执行。</w:t>
      </w:r>
    </w:p>
    <w:p>
      <w:pPr>
        <w:keepNext w:val="0"/>
        <w:keepLines w:val="0"/>
        <w:pageBreakBefore w:val="0"/>
        <w:widowControl w:val="0"/>
        <w:kinsoku/>
        <w:wordWrap/>
        <w:overflowPunct/>
        <w:topLinePunct w:val="0"/>
        <w:autoSpaceDE/>
        <w:autoSpaceDN/>
        <w:bidi w:val="0"/>
        <w:adjustRightInd/>
        <w:snapToGrid/>
        <w:spacing w:line="356" w:lineRule="auto"/>
        <w:ind w:firstLine="482" w:firstLineChars="200"/>
        <w:textAlignment w:val="auto"/>
        <w:rPr>
          <w:rFonts w:ascii="宋体" w:hAnsi="宋体" w:cs="宋体"/>
          <w:b/>
          <w:sz w:val="24"/>
        </w:rPr>
      </w:pPr>
      <w:r>
        <w:rPr>
          <w:rFonts w:hint="eastAsia" w:ascii="宋体" w:hAnsi="宋体" w:cs="宋体"/>
          <w:b/>
          <w:sz w:val="24"/>
        </w:rPr>
        <w:t>第十二条</w:t>
      </w:r>
      <w:r>
        <w:rPr>
          <w:rFonts w:ascii="宋体" w:hAnsi="宋体" w:cs="宋体"/>
          <w:b/>
          <w:sz w:val="24"/>
        </w:rPr>
        <w:t xml:space="preserve"> </w:t>
      </w:r>
      <w:r>
        <w:rPr>
          <w:rFonts w:hint="eastAsia" w:ascii="宋体" w:hAnsi="宋体" w:cs="宋体"/>
          <w:b/>
          <w:sz w:val="24"/>
        </w:rPr>
        <w:t>其他：</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ascii="宋体" w:hAnsi="宋体" w:cs="宋体"/>
          <w:b/>
          <w:sz w:val="24"/>
        </w:rPr>
      </w:pPr>
      <w:r>
        <w:rPr>
          <w:rFonts w:ascii="宋体" w:hAnsi="宋体" w:cs="宋体"/>
          <w:bCs/>
          <w:sz w:val="24"/>
        </w:rPr>
        <w:t>15.1</w:t>
      </w:r>
      <w:r>
        <w:rPr>
          <w:rFonts w:hint="eastAsia" w:ascii="宋体" w:hAnsi="宋体" w:cs="宋体"/>
          <w:sz w:val="24"/>
        </w:rPr>
        <w:t>本合同未尽事宜，可由甲乙双方另行签订补充协议。补充协议与本合同具有同等法律效力。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ascii="宋体" w:hAnsi="宋体" w:cs="宋体"/>
          <w:sz w:val="24"/>
        </w:rPr>
      </w:pPr>
      <w:r>
        <w:rPr>
          <w:rFonts w:ascii="宋体" w:hAnsi="宋体" w:cs="宋体"/>
          <w:sz w:val="24"/>
        </w:rPr>
        <w:t>15.2</w:t>
      </w:r>
      <w:r>
        <w:rPr>
          <w:rFonts w:hint="eastAsia" w:ascii="宋体" w:hAnsi="宋体" w:cs="宋体"/>
          <w:sz w:val="24"/>
        </w:rPr>
        <w:t>本合同自甲乙双方法定代表人或授权代理人签字并加盖公章之日起生效。</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ascii="宋体" w:hAnsi="宋体" w:cs="宋体"/>
          <w:sz w:val="24"/>
        </w:rPr>
      </w:pPr>
      <w:r>
        <w:rPr>
          <w:rFonts w:ascii="宋体" w:hAnsi="宋体" w:cs="宋体"/>
          <w:sz w:val="24"/>
        </w:rPr>
        <w:t>15.3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u w:val="single"/>
          <w:lang w:val="en-US" w:eastAsia="zh-CN"/>
        </w:rPr>
        <w:t>陆</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u w:val="single"/>
          <w:lang w:val="en-US" w:eastAsia="zh-CN"/>
        </w:rPr>
        <w:t>肆</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u w:val="single"/>
          <w:lang w:val="en-US" w:eastAsia="zh-CN"/>
        </w:rPr>
        <w:t xml:space="preserve">贰 </w:t>
      </w:r>
      <w:r>
        <w:rPr>
          <w:rFonts w:hint="eastAsia" w:ascii="宋体" w:hAnsi="宋体" w:cs="宋体"/>
          <w:sz w:val="24"/>
        </w:rPr>
        <w:t>份。均具有同等法律效力。</w:t>
      </w:r>
    </w:p>
    <w:p>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rPr>
          <w:rFonts w:ascii="宋体" w:hAnsi="宋体" w:cs="宋体"/>
          <w:sz w:val="24"/>
        </w:rPr>
      </w:pPr>
      <w:r>
        <w:rPr>
          <w:rFonts w:ascii="宋体" w:hAnsi="宋体" w:cs="宋体"/>
          <w:sz w:val="24"/>
        </w:rPr>
        <w:t>15.4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p>
      <w:pPr>
        <w:spacing w:line="480" w:lineRule="exact"/>
        <w:ind w:firstLine="480" w:firstLineChars="200"/>
        <w:rPr>
          <w:rFonts w:ascii="宋体" w:hAnsi="宋体" w:cs="宋体"/>
          <w:sz w:val="24"/>
          <w:highlight w:val="none"/>
        </w:rPr>
      </w:pPr>
      <w:r>
        <w:rPr>
          <w:rFonts w:hint="eastAsia" w:ascii="宋体" w:hAnsi="宋体" w:cs="宋体"/>
          <w:sz w:val="24"/>
        </w:rPr>
        <w:t>附件：</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cs="宋体"/>
          <w:sz w:val="24"/>
          <w:highlight w:val="none"/>
          <w:lang w:val="en-US" w:eastAsia="zh-CN"/>
        </w:rPr>
        <w:t>成交</w:t>
      </w:r>
      <w:r>
        <w:rPr>
          <w:rFonts w:hint="eastAsia" w:ascii="宋体" w:hAnsi="宋体" w:cs="宋体"/>
          <w:sz w:val="24"/>
          <w:highlight w:val="none"/>
        </w:rPr>
        <w:t>通知书</w:t>
      </w:r>
    </w:p>
    <w:p>
      <w:pPr>
        <w:spacing w:line="480" w:lineRule="exact"/>
        <w:ind w:left="0" w:firstLine="1200" w:firstLineChars="500"/>
        <w:rPr>
          <w:rFonts w:hint="eastAsia" w:ascii="宋体" w:hAnsi="宋体" w:cs="宋体" w:eastAsiaTheme="minorEastAsia"/>
          <w:sz w:val="24"/>
          <w:highlight w:val="none"/>
          <w:lang w:eastAsia="zh-CN"/>
        </w:rPr>
      </w:pPr>
      <w:r>
        <w:rPr>
          <w:rFonts w:hint="eastAsia" w:ascii="宋体" w:hAnsi="宋体" w:cs="宋体"/>
          <w:sz w:val="24"/>
          <w:highlight w:val="none"/>
        </w:rPr>
        <w:t>2.服务内容及报价清单</w:t>
      </w:r>
    </w:p>
    <w:p>
      <w:pPr>
        <w:spacing w:line="480" w:lineRule="exact"/>
        <w:ind w:left="0" w:firstLine="1200" w:firstLineChars="500"/>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廉洁协议</w:t>
      </w:r>
    </w:p>
    <w:p>
      <w:pPr>
        <w:spacing w:line="480" w:lineRule="exact"/>
        <w:ind w:firstLine="1200" w:firstLineChars="500"/>
        <w:rPr>
          <w:rFonts w:hint="eastAsia" w:ascii="宋体" w:hAnsi="宋体" w:cs="宋体"/>
          <w:sz w:val="24"/>
          <w:highlight w:val="none"/>
        </w:rPr>
      </w:pPr>
      <w:r>
        <w:rPr>
          <w:rFonts w:ascii="宋体" w:hAnsi="宋体" w:cs="宋体"/>
          <w:sz w:val="24"/>
          <w:highlight w:val="none"/>
        </w:rPr>
        <w:t>4</w:t>
      </w:r>
      <w:r>
        <w:rPr>
          <w:rFonts w:hint="eastAsia" w:ascii="宋体" w:hAnsi="宋体" w:cs="宋体"/>
          <w:sz w:val="24"/>
          <w:highlight w:val="none"/>
        </w:rPr>
        <w:t>.安全协议书</w:t>
      </w:r>
    </w:p>
    <w:p>
      <w:pPr>
        <w:pStyle w:val="2"/>
        <w:rPr>
          <w:rFonts w:hint="default"/>
        </w:rPr>
      </w:pPr>
    </w:p>
    <w:tbl>
      <w:tblPr>
        <w:tblStyle w:val="22"/>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9"/>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b/>
                <w:color w:val="000000"/>
                <w:sz w:val="24"/>
              </w:rPr>
              <w:t>甲方</w:t>
            </w:r>
            <w:r>
              <w:rPr>
                <w:rFonts w:hint="eastAsia" w:ascii="宋体" w:hAnsi="宋体" w:cs="宋体"/>
                <w:color w:val="000000"/>
                <w:sz w:val="24"/>
              </w:rPr>
              <w:t>：（章）广州市净水有限公司</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b/>
                <w:color w:val="000000"/>
                <w:sz w:val="24"/>
              </w:rPr>
              <w:t>乙方</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（章）</w:t>
            </w:r>
          </w:p>
          <w:p>
            <w:pPr>
              <w:adjustRightInd w:val="0"/>
              <w:snapToGrid w:val="0"/>
              <w:spacing w:line="360" w:lineRule="auto"/>
              <w:rPr>
                <w:rFonts w:hint="eastAsia"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939"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c>
          <w:tcPr>
            <w:tcW w:w="4820"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000000"/>
                <w:sz w:val="24"/>
              </w:rPr>
            </w:pPr>
            <w:r>
              <w:rPr>
                <w:rFonts w:hint="eastAsia" w:ascii="宋体" w:hAnsi="宋体" w:cs="宋体"/>
                <w:color w:val="000000"/>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9"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c>
          <w:tcPr>
            <w:tcW w:w="4820" w:type="dxa"/>
            <w:tcBorders>
              <w:top w:val="nil"/>
              <w:left w:val="nil"/>
              <w:bottom w:val="nil"/>
              <w:right w:val="nil"/>
            </w:tcBorders>
            <w:noWrap w:val="0"/>
            <w:vAlign w:val="top"/>
          </w:tcPr>
          <w:p>
            <w:pPr>
              <w:adjustRightInd w:val="0"/>
              <w:snapToGrid w:val="0"/>
              <w:spacing w:line="360" w:lineRule="auto"/>
              <w:rPr>
                <w:rFonts w:ascii="宋体" w:hAnsi="宋体" w:cs="宋体"/>
                <w:color w:val="000000"/>
                <w:sz w:val="24"/>
              </w:rPr>
            </w:pPr>
            <w:r>
              <w:rPr>
                <w:rFonts w:hint="eastAsia" w:ascii="宋体" w:hAnsi="宋体" w:cs="宋体"/>
                <w:color w:val="00000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939" w:type="dxa"/>
            <w:tcBorders>
              <w:top w:val="nil"/>
              <w:left w:val="nil"/>
              <w:bottom w:val="nil"/>
              <w:right w:val="nil"/>
            </w:tcBorders>
            <w:noWrap w:val="0"/>
            <w:vAlign w:val="top"/>
          </w:tcPr>
          <w:p>
            <w:pPr>
              <w:adjustRightInd w:val="0"/>
              <w:snapToGrid w:val="0"/>
              <w:spacing w:line="360" w:lineRule="auto"/>
              <w:ind w:left="240" w:hanging="240" w:hangingChars="100"/>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 xml:space="preserve">                                                     </w:t>
            </w:r>
          </w:p>
        </w:tc>
        <w:tc>
          <w:tcPr>
            <w:tcW w:w="4820"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000000"/>
                <w:sz w:val="24"/>
              </w:rPr>
            </w:pPr>
            <w:r>
              <w:rPr>
                <w:rFonts w:hint="eastAsia" w:ascii="宋体" w:hAnsi="宋体" w:cs="宋体"/>
                <w:color w:val="000000"/>
                <w:sz w:val="24"/>
              </w:rPr>
              <w:t>签订日期</w:t>
            </w:r>
            <w:r>
              <w:rPr>
                <w:rFonts w:ascii="宋体" w:hAnsi="宋体" w:cs="宋体"/>
                <w:color w:val="000000"/>
                <w:sz w:val="24"/>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ind w:firstLine="0" w:firstLineChars="0"/>
        <w:rPr>
          <w:rFonts w:hint="default" w:ascii="宋体" w:hAnsi="宋体" w:eastAsia="宋体" w:cs="宋体"/>
          <w:b/>
          <w:bCs/>
          <w:sz w:val="24"/>
          <w:szCs w:val="24"/>
          <w:lang w:val="en-US" w:eastAsia="zh-CN"/>
        </w:rPr>
      </w:pPr>
      <w:r>
        <w:rPr>
          <w:rFonts w:hint="eastAsia" w:eastAsia="宋体" w:cs="宋体"/>
          <w:b/>
          <w:bCs/>
          <w:sz w:val="24"/>
          <w:szCs w:val="24"/>
          <w:lang w:val="en-US" w:eastAsia="zh-CN"/>
        </w:rPr>
        <w:t>附件1：</w:t>
      </w:r>
      <w:r>
        <w:rPr>
          <w:rFonts w:hint="eastAsia" w:eastAsia="宋体" w:cs="宋体"/>
          <w:b w:val="0"/>
          <w:bCs w:val="0"/>
          <w:sz w:val="24"/>
          <w:szCs w:val="24"/>
          <w:lang w:val="en-US" w:eastAsia="zh-CN"/>
        </w:rPr>
        <w:t>成交通知书</w:t>
      </w: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ind w:firstLine="0" w:firstLineChars="0"/>
        <w:rPr>
          <w:rFonts w:hint="eastAsia" w:eastAsia="宋体" w:cs="宋体"/>
          <w:b w:val="0"/>
          <w:bCs w:val="0"/>
          <w:sz w:val="24"/>
          <w:szCs w:val="24"/>
          <w:lang w:val="en-US" w:eastAsia="zh-CN"/>
        </w:rPr>
      </w:pPr>
      <w:r>
        <w:rPr>
          <w:rFonts w:hint="eastAsia" w:eastAsia="宋体" w:cs="宋体"/>
          <w:b/>
          <w:bCs/>
          <w:sz w:val="24"/>
          <w:szCs w:val="24"/>
          <w:lang w:val="en-US" w:eastAsia="zh-CN"/>
        </w:rPr>
        <w:t>附件2：</w:t>
      </w:r>
      <w:r>
        <w:rPr>
          <w:rFonts w:hint="eastAsia" w:eastAsia="宋体" w:cs="宋体"/>
          <w:b w:val="0"/>
          <w:bCs w:val="0"/>
          <w:sz w:val="24"/>
          <w:szCs w:val="24"/>
          <w:lang w:val="en-US" w:eastAsia="zh-CN"/>
        </w:rPr>
        <w:t>服务内容及报价清单</w:t>
      </w:r>
    </w:p>
    <w:p>
      <w:pPr>
        <w:pStyle w:val="2"/>
        <w:ind w:firstLine="0" w:firstLineChars="0"/>
        <w:rPr>
          <w:rFonts w:hint="eastAsia" w:eastAsia="宋体" w:cs="宋体"/>
          <w:b w:val="0"/>
          <w:bCs w:val="0"/>
          <w:sz w:val="24"/>
          <w:szCs w:val="24"/>
          <w:lang w:val="en-US" w:eastAsia="zh-CN"/>
        </w:rPr>
      </w:pPr>
    </w:p>
    <w:p>
      <w:pPr>
        <w:pStyle w:val="2"/>
        <w:ind w:firstLine="0" w:firstLineChars="0"/>
        <w:rPr>
          <w:rFonts w:hint="default" w:eastAsia="宋体" w:cs="宋体"/>
          <w:b w:val="0"/>
          <w:bCs w:val="0"/>
          <w:sz w:val="24"/>
          <w:szCs w:val="24"/>
          <w:lang w:val="en-US" w:eastAsia="zh-CN"/>
        </w:rPr>
      </w:pPr>
      <w:r>
        <w:rPr>
          <w:rFonts w:hint="eastAsia" w:eastAsia="宋体" w:cs="宋体"/>
          <w:b w:val="0"/>
          <w:bCs w:val="0"/>
          <w:sz w:val="24"/>
          <w:szCs w:val="24"/>
          <w:lang w:val="en-US" w:eastAsia="zh-CN"/>
        </w:rPr>
        <w:t>（详见响应文件报价表）</w:t>
      </w: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rPr>
          <w:rFonts w:hint="eastAsia" w:ascii="宋体" w:hAnsi="宋体" w:cs="宋体"/>
          <w:b w:val="0"/>
          <w:bCs w:val="0"/>
          <w:sz w:val="24"/>
          <w:szCs w:val="24"/>
        </w:rPr>
      </w:pPr>
      <w:r>
        <w:rPr>
          <w:rFonts w:hint="eastAsia" w:ascii="宋体" w:hAnsi="宋体" w:cs="宋体"/>
          <w:b/>
          <w:bCs/>
          <w:sz w:val="24"/>
          <w:szCs w:val="24"/>
        </w:rPr>
        <w:t>附件</w:t>
      </w:r>
      <w:r>
        <w:rPr>
          <w:rFonts w:ascii="宋体" w:hAnsi="宋体" w:cs="宋体"/>
          <w:b/>
          <w:bCs/>
          <w:sz w:val="24"/>
          <w:szCs w:val="24"/>
        </w:rPr>
        <w:t>3</w:t>
      </w:r>
      <w:r>
        <w:rPr>
          <w:rFonts w:hint="eastAsia" w:ascii="宋体" w:hAnsi="宋体" w:cs="宋体"/>
          <w:b/>
          <w:bCs/>
          <w:sz w:val="24"/>
          <w:szCs w:val="24"/>
        </w:rPr>
        <w:t>：</w:t>
      </w:r>
      <w:r>
        <w:rPr>
          <w:rFonts w:hint="eastAsia" w:ascii="宋体" w:hAnsi="宋体" w:cs="宋体"/>
          <w:b w:val="0"/>
          <w:bCs w:val="0"/>
          <w:sz w:val="24"/>
          <w:szCs w:val="24"/>
        </w:rPr>
        <w:t>廉洁协议</w:t>
      </w:r>
    </w:p>
    <w:p>
      <w:pPr>
        <w:spacing w:line="520" w:lineRule="exact"/>
        <w:ind w:firstLine="3654" w:firstLineChars="13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廉洁协议</w:t>
      </w:r>
    </w:p>
    <w:p>
      <w:pPr>
        <w:spacing w:line="520" w:lineRule="exact"/>
        <w:ind w:firstLine="630" w:firstLineChars="22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keepNext w:val="0"/>
        <w:keepLines w:val="0"/>
        <w:pageBreakBefore w:val="0"/>
        <w:widowControl w:val="0"/>
        <w:kinsoku/>
        <w:wordWrap/>
        <w:overflowPunct/>
        <w:topLinePunct w:val="0"/>
        <w:autoSpaceDE/>
        <w:autoSpaceDN/>
        <w:bidi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keepNext w:val="0"/>
        <w:keepLines w:val="0"/>
        <w:pageBreakBefore w:val="0"/>
        <w:widowControl w:val="0"/>
        <w:kinsoku/>
        <w:wordWrap/>
        <w:overflowPunct/>
        <w:topLinePunct w:val="0"/>
        <w:autoSpaceDE/>
        <w:autoSpaceDN/>
        <w:bidi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w:t>
      </w:r>
      <w:r>
        <w:rPr>
          <w:rFonts w:hint="eastAsia" w:ascii="仿宋_GB2312" w:hAnsi="仿宋_GB2312" w:eastAsia="仿宋_GB2312" w:cs="仿宋_GB2312"/>
          <w:bCs/>
          <w:sz w:val="28"/>
          <w:szCs w:val="28"/>
          <w:u w:val="single"/>
          <w:lang w:val="en-US" w:eastAsia="zh-CN"/>
        </w:rPr>
        <w:t>4年度在线监测设备及备机校准</w:t>
      </w:r>
      <w:r>
        <w:rPr>
          <w:rFonts w:hint="eastAsia" w:ascii="仿宋_GB2312" w:hAnsi="仿宋_GB2312" w:eastAsia="仿宋_GB2312" w:cs="仿宋_GB2312"/>
          <w:bCs/>
          <w:sz w:val="28"/>
          <w:szCs w:val="28"/>
          <w:u w:val="single"/>
          <w:lang w:eastAsia="zh-CN"/>
        </w:rPr>
        <w:t>服务</w:t>
      </w:r>
      <w:r>
        <w:rPr>
          <w:rFonts w:hint="eastAsia" w:ascii="仿宋_GB2312" w:hAnsi="仿宋_GB2312" w:eastAsia="仿宋_GB2312" w:cs="仿宋_GB2312"/>
          <w:bCs/>
          <w:sz w:val="28"/>
          <w:szCs w:val="28"/>
          <w:u w:val="single"/>
          <w:lang w:val="en-US" w:eastAsia="zh-CN"/>
        </w:rPr>
        <w:t xml:space="preserve">项目穗净水合[2024]    </w:t>
      </w:r>
      <w:r>
        <w:rPr>
          <w:rFonts w:hint="eastAsia" w:ascii="仿宋_GB2312" w:hAnsi="仿宋_GB2312" w:eastAsia="仿宋_GB2312" w:cs="仿宋_GB2312"/>
          <w:bCs/>
          <w:sz w:val="28"/>
          <w:szCs w:val="28"/>
          <w:u w:val="single"/>
        </w:rPr>
        <w:t>号</w:t>
      </w:r>
      <w:r>
        <w:rPr>
          <w:rFonts w:hint="eastAsia" w:ascii="仿宋_GB2312" w:hAnsi="仿宋_GB2312" w:eastAsia="仿宋_GB2312" w:cs="仿宋_GB2312"/>
          <w:bCs/>
          <w:sz w:val="28"/>
          <w:szCs w:val="28"/>
        </w:rPr>
        <w:t>合同（以下简称：主合同），自觉履行合同约定的相关义务。</w:t>
      </w:r>
    </w:p>
    <w:p>
      <w:pPr>
        <w:keepNext w:val="0"/>
        <w:keepLines w:val="0"/>
        <w:pageBreakBefore w:val="0"/>
        <w:widowControl w:val="0"/>
        <w:kinsoku/>
        <w:wordWrap/>
        <w:overflowPunct/>
        <w:topLinePunct w:val="0"/>
        <w:autoSpaceDE/>
        <w:autoSpaceDN/>
        <w:bidi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三</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在业务活动中坚持公开、公正、诚信、透明的原则，不得损害国家、集体利益。</w:t>
      </w:r>
    </w:p>
    <w:p>
      <w:pPr>
        <w:keepNext w:val="0"/>
        <w:keepLines w:val="0"/>
        <w:pageBreakBefore w:val="0"/>
        <w:widowControl w:val="0"/>
        <w:kinsoku/>
        <w:wordWrap/>
        <w:overflowPunct/>
        <w:topLinePunct w:val="0"/>
        <w:autoSpaceDE/>
        <w:autoSpaceDN/>
        <w:bidi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keepNext w:val="0"/>
        <w:keepLines w:val="0"/>
        <w:pageBreakBefore w:val="0"/>
        <w:widowControl w:val="0"/>
        <w:kinsoku/>
        <w:wordWrap/>
        <w:overflowPunct/>
        <w:topLinePunct w:val="0"/>
        <w:autoSpaceDE/>
        <w:autoSpaceDN/>
        <w:bidi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keepNext w:val="0"/>
        <w:keepLines w:val="0"/>
        <w:pageBreakBefore w:val="0"/>
        <w:widowControl w:val="0"/>
        <w:kinsoku/>
        <w:wordWrap/>
        <w:overflowPunct/>
        <w:topLinePunct w:val="0"/>
        <w:autoSpaceDE/>
        <w:autoSpaceDN/>
        <w:bidi w:val="0"/>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snapToGrid/>
        <w:spacing w:line="520" w:lineRule="exact"/>
        <w:ind w:left="15" w:leftChars="7"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520" w:lineRule="exact"/>
        <w:ind w:left="15" w:leftChars="7"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keepNext w:val="0"/>
        <w:keepLines w:val="0"/>
        <w:pageBreakBefore w:val="0"/>
        <w:widowControl w:val="0"/>
        <w:kinsoku/>
        <w:wordWrap/>
        <w:overflowPunct/>
        <w:topLinePunct w:val="0"/>
        <w:autoSpaceDE/>
        <w:autoSpaceDN/>
        <w:bidi w:val="0"/>
        <w:adjustRightInd/>
        <w:snapToGrid/>
        <w:spacing w:line="520" w:lineRule="exact"/>
        <w:ind w:left="15" w:leftChars="7"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val="0"/>
        <w:kinsoku/>
        <w:wordWrap/>
        <w:overflowPunct/>
        <w:topLinePunct w:val="0"/>
        <w:autoSpaceDE/>
        <w:autoSpaceDN/>
        <w:bidi w:val="0"/>
        <w:adjustRightInd/>
        <w:snapToGrid/>
        <w:spacing w:line="520" w:lineRule="exact"/>
        <w:ind w:left="15" w:leftChars="7"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keepNext w:val="0"/>
        <w:keepLines w:val="0"/>
        <w:pageBreakBefore w:val="0"/>
        <w:widowControl w:val="0"/>
        <w:kinsoku/>
        <w:wordWrap/>
        <w:overflowPunct/>
        <w:topLinePunct w:val="0"/>
        <w:autoSpaceDE/>
        <w:autoSpaceDN/>
        <w:bidi w:val="0"/>
        <w:adjustRightInd/>
        <w:snapToGrid/>
        <w:spacing w:line="520" w:lineRule="exact"/>
        <w:ind w:left="15" w:leftChars="7"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keepNext w:val="0"/>
        <w:keepLines w:val="0"/>
        <w:pageBreakBefore w:val="0"/>
        <w:widowControl w:val="0"/>
        <w:kinsoku/>
        <w:wordWrap/>
        <w:overflowPunct/>
        <w:topLinePunct w:val="0"/>
        <w:autoSpaceDE/>
        <w:autoSpaceDN/>
        <w:bidi w:val="0"/>
        <w:adjustRightInd/>
        <w:snapToGrid/>
        <w:spacing w:line="520" w:lineRule="exact"/>
        <w:ind w:left="15" w:leftChars="7"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20" w:lineRule="exact"/>
        <w:ind w:lef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020-38890265 </w:t>
      </w:r>
      <w:r>
        <w:rPr>
          <w:rFonts w:hint="eastAsia" w:ascii="仿宋_GB2312" w:hAnsi="仿宋_GB2312" w:eastAsia="仿宋_GB2312" w:cs="仿宋_GB2312"/>
          <w:bCs/>
          <w:sz w:val="28"/>
          <w:szCs w:val="28"/>
        </w:rPr>
        <w:t>。</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第五条 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u w:val="single"/>
          <w:lang w:eastAsia="zh-CN"/>
        </w:rPr>
        <w:t>202</w:t>
      </w:r>
      <w:r>
        <w:rPr>
          <w:rFonts w:hint="eastAsia" w:ascii="仿宋_GB2312" w:hAnsi="仿宋_GB2312" w:eastAsia="仿宋_GB2312" w:cs="仿宋_GB2312"/>
          <w:bCs/>
          <w:sz w:val="28"/>
          <w:szCs w:val="28"/>
          <w:u w:val="single"/>
          <w:lang w:val="en-US" w:eastAsia="zh-CN"/>
        </w:rPr>
        <w:t>4年度在线监测设备及备机校准</w:t>
      </w:r>
      <w:r>
        <w:rPr>
          <w:rFonts w:hint="eastAsia" w:ascii="仿宋_GB2312" w:hAnsi="仿宋_GB2312" w:eastAsia="仿宋_GB2312" w:cs="仿宋_GB2312"/>
          <w:bCs/>
          <w:sz w:val="28"/>
          <w:szCs w:val="28"/>
          <w:u w:val="single"/>
          <w:lang w:eastAsia="zh-CN"/>
        </w:rPr>
        <w:t>服务</w:t>
      </w:r>
      <w:r>
        <w:rPr>
          <w:rFonts w:hint="eastAsia" w:ascii="仿宋_GB2312" w:hAnsi="仿宋_GB2312" w:eastAsia="仿宋_GB2312" w:cs="仿宋_GB2312"/>
          <w:bCs/>
          <w:sz w:val="28"/>
          <w:szCs w:val="28"/>
          <w:u w:val="single"/>
          <w:lang w:val="en-US" w:eastAsia="zh-CN"/>
        </w:rPr>
        <w:t xml:space="preserve">项目穗净水合[2024]    </w:t>
      </w:r>
      <w:r>
        <w:rPr>
          <w:rFonts w:hint="eastAsia" w:ascii="仿宋_GB2312" w:hAnsi="仿宋_GB2312" w:eastAsia="仿宋_GB2312" w:cs="仿宋_GB2312"/>
          <w:bCs/>
          <w:sz w:val="28"/>
          <w:szCs w:val="28"/>
          <w:u w:val="single"/>
        </w:rPr>
        <w:t>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lang w:val="en-US" w:eastAsia="zh-CN"/>
        </w:rPr>
        <w:t>陆</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lang w:val="en-US" w:eastAsia="zh-CN"/>
        </w:rPr>
        <w:t>肆</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lang w:val="en-US" w:eastAsia="zh-CN"/>
        </w:rPr>
        <w:t>贰</w:t>
      </w:r>
      <w:r>
        <w:rPr>
          <w:rFonts w:hint="eastAsia" w:ascii="仿宋_GB2312" w:hAnsi="仿宋_GB2312" w:eastAsia="仿宋_GB2312" w:cs="仿宋_GB2312"/>
          <w:bCs/>
          <w:sz w:val="28"/>
          <w:szCs w:val="28"/>
        </w:rPr>
        <w:t>份。</w:t>
      </w:r>
    </w:p>
    <w:p>
      <w:pPr>
        <w:spacing w:line="520" w:lineRule="exact"/>
        <w:rPr>
          <w:rFonts w:hint="eastAsia" w:ascii="宋体" w:hAnsi="宋体" w:cs="仿宋_GB2312"/>
          <w:bCs/>
          <w:sz w:val="24"/>
        </w:rPr>
      </w:pPr>
      <w:r>
        <w:rPr>
          <w:rFonts w:hint="eastAsia" w:ascii="仿宋_GB2312" w:hAnsi="仿宋_GB2312" w:eastAsia="仿宋_GB2312" w:cs="仿宋_GB2312"/>
          <w:bCs/>
          <w:sz w:val="28"/>
          <w:szCs w:val="28"/>
        </w:rPr>
        <w:t>甲方（盖章）：              乙方（盖章）：</w:t>
      </w:r>
    </w:p>
    <w:p>
      <w:pPr>
        <w:pStyle w:val="32"/>
        <w:tabs>
          <w:tab w:val="left" w:pos="5100"/>
        </w:tabs>
        <w:spacing w:line="520" w:lineRule="exact"/>
        <w:ind w:left="7200" w:firstLine="0" w:firstLineChars="0"/>
        <w:jc w:val="left"/>
        <w:rPr>
          <w:rFonts w:hint="eastAsia" w:ascii="仿宋_GB2312" w:hAnsi="仿宋_GB2312" w:eastAsia="仿宋_GB2312" w:cs="仿宋_GB2312"/>
          <w:bCs/>
          <w:sz w:val="28"/>
          <w:szCs w:val="28"/>
        </w:rPr>
      </w:pPr>
    </w:p>
    <w:p>
      <w:pPr>
        <w:tabs>
          <w:tab w:val="left" w:pos="5100"/>
        </w:tabs>
        <w:spacing w:line="520" w:lineRule="exact"/>
        <w:ind w:left="8400" w:hanging="8400" w:hangingChars="30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pStyle w:val="2"/>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baseline"/>
        <w:rPr>
          <w:rFonts w:hint="eastAsia" w:ascii="仿宋_GB2312" w:eastAsia="仿宋_GB2312" w:hAnsiTheme="minorEastAsia"/>
          <w:color w:val="auto"/>
          <w:sz w:val="28"/>
          <w:szCs w:val="28"/>
          <w:highlight w:val="none"/>
        </w:rPr>
      </w:pPr>
    </w:p>
    <w:p>
      <w:pPr>
        <w:pStyle w:val="2"/>
        <w:ind w:left="0" w:leftChars="0" w:firstLine="0" w:firstLineChars="0"/>
        <w:rPr>
          <w:rFonts w:hint="eastAsia" w:ascii="仿宋_GB2312" w:eastAsia="仿宋_GB2312" w:hAnsiTheme="minorEastAsia"/>
          <w:color w:val="auto"/>
          <w:sz w:val="28"/>
          <w:szCs w:val="28"/>
          <w:highlight w:val="none"/>
        </w:rPr>
      </w:pPr>
    </w:p>
    <w:p>
      <w:pPr>
        <w:pStyle w:val="2"/>
        <w:ind w:left="0" w:leftChars="0" w:firstLine="0" w:firstLineChars="0"/>
        <w:rPr>
          <w:rFonts w:hint="eastAsia" w:ascii="仿宋_GB2312" w:eastAsia="仿宋_GB2312" w:hAnsiTheme="minorEastAsia"/>
          <w:color w:val="auto"/>
          <w:sz w:val="28"/>
          <w:szCs w:val="28"/>
          <w:highlight w:val="none"/>
        </w:rPr>
      </w:pPr>
    </w:p>
    <w:p>
      <w:pPr>
        <w:pStyle w:val="2"/>
        <w:ind w:left="0" w:leftChars="0" w:firstLine="0" w:firstLineChars="0"/>
        <w:rPr>
          <w:rFonts w:hint="eastAsia" w:ascii="仿宋_GB2312" w:eastAsia="仿宋_GB2312" w:hAnsiTheme="minorEastAsia"/>
          <w:color w:val="auto"/>
          <w:sz w:val="28"/>
          <w:szCs w:val="28"/>
          <w:highlight w:val="none"/>
        </w:rPr>
      </w:pPr>
    </w:p>
    <w:p>
      <w:pPr>
        <w:pStyle w:val="2"/>
        <w:ind w:left="0" w:leftChars="0" w:firstLine="0" w:firstLineChars="0"/>
        <w:rPr>
          <w:rFonts w:hint="eastAsia" w:ascii="仿宋_GB2312" w:eastAsia="仿宋_GB2312" w:hAnsiTheme="minorEastAsia"/>
          <w:color w:val="auto"/>
          <w:sz w:val="28"/>
          <w:szCs w:val="28"/>
          <w:highlight w:val="none"/>
        </w:rPr>
      </w:pPr>
    </w:p>
    <w:p>
      <w:pPr>
        <w:pStyle w:val="2"/>
        <w:ind w:left="0" w:leftChars="0" w:firstLine="0" w:firstLineChars="0"/>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ind w:left="0" w:leftChars="0" w:firstLine="0" w:firstLineChars="0"/>
        <w:jc w:val="left"/>
        <w:rPr>
          <w:rFonts w:hint="eastAsia" w:ascii="宋体" w:hAnsi="宋体" w:cs="宋体"/>
          <w:b/>
          <w:sz w:val="24"/>
          <w:szCs w:val="24"/>
        </w:rPr>
      </w:pPr>
    </w:p>
    <w:p>
      <w:pPr>
        <w:pStyle w:val="2"/>
        <w:ind w:left="0" w:leftChars="0" w:firstLine="0" w:firstLineChars="0"/>
        <w:jc w:val="left"/>
        <w:rPr>
          <w:rFonts w:hint="eastAsia" w:ascii="仿宋_GB2312" w:eastAsia="仿宋_GB2312" w:hAnsiTheme="minorEastAsia"/>
          <w:color w:val="auto"/>
          <w:sz w:val="28"/>
          <w:szCs w:val="28"/>
          <w:highlight w:val="none"/>
        </w:rPr>
      </w:pPr>
      <w:r>
        <w:rPr>
          <w:rFonts w:hint="eastAsia" w:ascii="宋体" w:hAnsi="宋体" w:cs="宋体"/>
          <w:b/>
          <w:sz w:val="24"/>
          <w:szCs w:val="24"/>
        </w:rPr>
        <w:t>附件</w:t>
      </w:r>
      <w:r>
        <w:rPr>
          <w:rFonts w:hint="eastAsia" w:ascii="宋体" w:hAnsi="宋体" w:cs="宋体"/>
          <w:b/>
          <w:sz w:val="24"/>
          <w:szCs w:val="24"/>
          <w:lang w:val="en-US" w:eastAsia="zh-CN"/>
        </w:rPr>
        <w:t>4</w:t>
      </w:r>
      <w:r>
        <w:rPr>
          <w:rFonts w:hint="eastAsia" w:ascii="宋体" w:hAnsi="宋体" w:cs="宋体"/>
          <w:b/>
          <w:sz w:val="24"/>
          <w:szCs w:val="24"/>
        </w:rPr>
        <w:t>：</w:t>
      </w:r>
      <w:r>
        <w:rPr>
          <w:rFonts w:hint="eastAsia" w:ascii="宋体" w:hAnsi="宋体" w:cs="宋体"/>
          <w:b w:val="0"/>
          <w:bCs/>
          <w:sz w:val="24"/>
          <w:szCs w:val="24"/>
        </w:rPr>
        <w:t>安全协议书</w:t>
      </w:r>
    </w:p>
    <w:p>
      <w:pPr>
        <w:spacing w:line="440" w:lineRule="exact"/>
        <w:jc w:val="center"/>
        <w:rPr>
          <w:b/>
          <w:bCs/>
          <w:sz w:val="32"/>
          <w:szCs w:val="32"/>
        </w:rPr>
      </w:pPr>
      <w:r>
        <w:rPr>
          <w:b/>
          <w:bCs/>
          <w:sz w:val="32"/>
          <w:szCs w:val="32"/>
        </w:rPr>
        <w:t>安全协议书</w:t>
      </w:r>
    </w:p>
    <w:p>
      <w:pPr>
        <w:spacing w:line="440" w:lineRule="exact"/>
        <w:rPr>
          <w:sz w:val="24"/>
        </w:rPr>
      </w:pPr>
    </w:p>
    <w:p>
      <w:pPr>
        <w:keepNext w:val="0"/>
        <w:keepLines w:val="0"/>
        <w:pageBreakBefore w:val="0"/>
        <w:widowControl w:val="0"/>
        <w:kinsoku/>
        <w:wordWrap/>
        <w:overflowPunct/>
        <w:topLinePunct w:val="0"/>
        <w:autoSpaceDE/>
        <w:autoSpaceDN/>
        <w:bidi w:val="0"/>
        <w:spacing w:line="560" w:lineRule="exact"/>
        <w:textAlignment w:val="auto"/>
        <w:rPr>
          <w:kern w:val="0"/>
          <w:sz w:val="24"/>
        </w:rPr>
      </w:pPr>
      <w:r>
        <w:rPr>
          <w:kern w:val="0"/>
          <w:sz w:val="24"/>
        </w:rPr>
        <w:t>甲方：</w:t>
      </w:r>
      <w:r>
        <w:rPr>
          <w:sz w:val="24"/>
        </w:rPr>
        <w:t>广州市净水有限公司</w:t>
      </w:r>
    </w:p>
    <w:p>
      <w:pPr>
        <w:keepNext w:val="0"/>
        <w:keepLines w:val="0"/>
        <w:pageBreakBefore w:val="0"/>
        <w:widowControl w:val="0"/>
        <w:kinsoku/>
        <w:wordWrap/>
        <w:overflowPunct/>
        <w:topLinePunct w:val="0"/>
        <w:autoSpaceDE/>
        <w:autoSpaceDN/>
        <w:bidi w:val="0"/>
        <w:spacing w:line="560" w:lineRule="exact"/>
        <w:textAlignment w:val="auto"/>
        <w:rPr>
          <w:rFonts w:hint="eastAsia"/>
          <w:kern w:val="0"/>
          <w:sz w:val="24"/>
        </w:rPr>
      </w:pPr>
      <w:r>
        <w:rPr>
          <w:kern w:val="0"/>
          <w:sz w:val="24"/>
        </w:rPr>
        <w:t>乙方：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b/>
          <w:sz w:val="24"/>
        </w:rPr>
      </w:pPr>
      <w:r>
        <w:rPr>
          <w:b/>
          <w:sz w:val="24"/>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560" w:lineRule="exact"/>
        <w:ind w:left="105" w:firstLine="480" w:firstLineChars="200"/>
        <w:jc w:val="left"/>
        <w:textAlignment w:val="auto"/>
        <w:rPr>
          <w:sz w:val="24"/>
        </w:rPr>
      </w:pPr>
      <w:r>
        <w:rPr>
          <w:sz w:val="24"/>
        </w:rPr>
        <w:t>本协议作为</w:t>
      </w:r>
      <w:r>
        <w:rPr>
          <w:rFonts w:hint="eastAsia"/>
          <w:sz w:val="24"/>
          <w:u w:val="single"/>
        </w:rPr>
        <w:t>广州市净水有限公司</w:t>
      </w:r>
      <w:r>
        <w:rPr>
          <w:rFonts w:hint="eastAsia"/>
          <w:sz w:val="24"/>
          <w:u w:val="single"/>
          <w:lang w:eastAsia="zh-CN"/>
        </w:rPr>
        <w:t>202</w:t>
      </w:r>
      <w:r>
        <w:rPr>
          <w:rFonts w:hint="eastAsia"/>
          <w:sz w:val="24"/>
          <w:u w:val="single"/>
          <w:lang w:val="en-US" w:eastAsia="zh-CN"/>
        </w:rPr>
        <w:t>4年度在线监测设备及备机校准</w:t>
      </w:r>
      <w:r>
        <w:rPr>
          <w:rFonts w:hint="eastAsia"/>
          <w:sz w:val="24"/>
          <w:u w:val="single"/>
          <w:lang w:eastAsia="zh-CN"/>
        </w:rPr>
        <w:t>服务</w:t>
      </w:r>
      <w:r>
        <w:rPr>
          <w:rFonts w:hint="eastAsia"/>
          <w:sz w:val="24"/>
          <w:u w:val="single"/>
          <w:lang w:val="en-US" w:eastAsia="zh-CN"/>
        </w:rPr>
        <w:t>项目</w:t>
      </w:r>
      <w:r>
        <w:rPr>
          <w:rFonts w:hint="eastAsia"/>
          <w:sz w:val="24"/>
          <w:u w:val="single"/>
        </w:rPr>
        <w:t xml:space="preserve"> 穗净水合[</w:t>
      </w:r>
      <w:r>
        <w:rPr>
          <w:rFonts w:hint="eastAsia"/>
          <w:sz w:val="24"/>
          <w:u w:val="single"/>
          <w:lang w:val="en-US" w:eastAsia="zh-CN"/>
        </w:rPr>
        <w:t>2024</w:t>
      </w:r>
      <w:r>
        <w:rPr>
          <w:rFonts w:hint="eastAsia"/>
          <w:sz w:val="24"/>
          <w:u w:val="single"/>
        </w:rPr>
        <w:t>]      号</w:t>
      </w:r>
      <w:r>
        <w:rPr>
          <w:sz w:val="24"/>
        </w:rPr>
        <w:t>的组成部分，与主合同具有同等法律。</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b/>
          <w:sz w:val="24"/>
        </w:rPr>
      </w:pPr>
      <w:r>
        <w:rPr>
          <w:b/>
          <w:sz w:val="24"/>
        </w:rPr>
        <w:t>二、甲方权责</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（一）告知乙方该场所可能存在的安全风险，要求乙方在作业前应重新识别现场的安全风险并采取措施进行管控。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（二）告知乙方在甲方应当遵守的安全管理要求。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（三）乙方对存在问题拒不整改，或违法甲方安全管理要求的，视为违约，甲方有权对乙方进行违约金扣罚。如乙方拒不缴纳违约金的，甲方有权在履约保证金中扣除。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b/>
          <w:sz w:val="24"/>
        </w:rPr>
      </w:pPr>
      <w:r>
        <w:rPr>
          <w:b/>
          <w:sz w:val="24"/>
        </w:rPr>
        <w:t>三、乙方权责</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（一）对甲方的违章指挥，拒绝执行，但需书面明确指出甲方所违反的具体法律法规、标准规范等。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（二）根据乙方单位管理制度及合同约定的本次工作，制定相应的应急预案。明确发生突发事件时，相关人员按预案开展应急处置工作。</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（三）严格执行国家、地方和行业主管部门的强制性标准、地方行政法规、管理要求。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（四）遵守甲方制定的安全管理要求。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（五）配合甲方的安全监督检查，并立即组织对提出的问题隐患进行整改。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六）严格履行本协议，遵守甲方各项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b/>
          <w:sz w:val="24"/>
        </w:rPr>
      </w:pPr>
      <w:r>
        <w:rPr>
          <w:b/>
          <w:sz w:val="24"/>
        </w:rPr>
        <w:t>四、事故责任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（二）乙方人员在非承包区域遭受意外伤害的，乙方负全部责任。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（三）乙方人员违规进入甲方或第三方承包区域，造成事故的，乙方负全部事故责任；乙方人员遭受人身伤害的，乙方负全部责任。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四）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（五）乙方在甲方生产区域内发生生产安全事故后，必须在第一时间向甲方报告，迟报或者隐瞒不报生产安全事故，承担事故的全部责任。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（六）乙方各类人员在甲方生产区域内发生人身伤害事故和其他事故，由乙方负责调查、处理和统计上报，并报甲方安全监督部门备案。</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（七）乙方违反本协议，造成的事故或造成事故扩大的，由乙方承担事故造成的赔偿一切损失及由甲方对乙方进行经济处罚。</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赔偿包括：1.甲方所有损失；2造成的第三方损害；3恢复生产产生的一切费用；4.甲方因事故造成被上级追究的经济考核处罚。</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经济处罚金额为以下赔偿金额总和的双倍：1.甲方所有损失；2造成的第三方损害；3恢复生产产生的一切费用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（八）本协议未尽事宜，依据有关法规。规章处理，法规、规章没有明确规定的，经双方协商处理解决。</w:t>
      </w:r>
    </w:p>
    <w:p>
      <w:pPr>
        <w:pStyle w:val="35"/>
        <w:keepNext w:val="0"/>
        <w:keepLines w:val="0"/>
        <w:pageBreakBefore w:val="0"/>
        <w:widowControl w:val="0"/>
        <w:kinsoku/>
        <w:wordWrap/>
        <w:overflowPunct/>
        <w:topLinePunct w:val="0"/>
        <w:autoSpaceDE/>
        <w:autoSpaceDN/>
        <w:bidi w:val="0"/>
        <w:spacing w:line="560" w:lineRule="exact"/>
        <w:ind w:firstLine="482" w:firstLineChars="200"/>
        <w:textAlignment w:val="auto"/>
        <w:rPr>
          <w:sz w:val="24"/>
        </w:rPr>
      </w:pPr>
      <w:r>
        <w:rPr>
          <w:b/>
          <w:sz w:val="24"/>
        </w:rPr>
        <w:t>五、补充条款：</w:t>
      </w:r>
      <w:r>
        <w:rPr>
          <w:sz w:val="24"/>
          <w:u w:val="single"/>
        </w:rPr>
        <w:t xml:space="preserve">                 </w:t>
      </w:r>
      <w:r>
        <w:rPr>
          <w:sz w:val="24"/>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b/>
          <w:sz w:val="24"/>
        </w:rPr>
      </w:pPr>
      <w:r>
        <w:rPr>
          <w:b/>
          <w:sz w:val="24"/>
        </w:rPr>
        <w:t>六、附则</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sz w:val="24"/>
        </w:rPr>
      </w:pPr>
      <w:r>
        <w:rPr>
          <w:sz w:val="24"/>
        </w:rPr>
        <w:t>本协议与主合同同时签订、同时终止、同时生效，具有相同的法律效力，自甲方、乙方双方签字、盖章生效，甲方、乙方双方执持数量与主合同一致。</w:t>
      </w:r>
    </w:p>
    <w:p>
      <w:pPr>
        <w:pStyle w:val="2"/>
        <w:rPr>
          <w:rFonts w:hint="eastAsia" w:ascii="仿宋_GB2312" w:eastAsia="仿宋_GB2312" w:hAnsiTheme="minorEastAsia"/>
          <w:color w:val="auto"/>
          <w:sz w:val="28"/>
          <w:szCs w:val="28"/>
          <w:highlight w:val="none"/>
        </w:rPr>
      </w:pPr>
    </w:p>
    <w:tbl>
      <w:tblPr>
        <w:tblStyle w:val="22"/>
        <w:tblW w:w="9638" w:type="dxa"/>
        <w:jc w:val="center"/>
        <w:tblLayout w:type="autofit"/>
        <w:tblCellMar>
          <w:top w:w="0" w:type="dxa"/>
          <w:left w:w="108" w:type="dxa"/>
          <w:bottom w:w="0" w:type="dxa"/>
          <w:right w:w="108" w:type="dxa"/>
        </w:tblCellMar>
      </w:tblPr>
      <w:tblGrid>
        <w:gridCol w:w="4546"/>
        <w:gridCol w:w="5092"/>
      </w:tblGrid>
      <w:tr>
        <w:tblPrEx>
          <w:tblCellMar>
            <w:top w:w="0" w:type="dxa"/>
            <w:left w:w="108" w:type="dxa"/>
            <w:bottom w:w="0" w:type="dxa"/>
            <w:right w:w="108" w:type="dxa"/>
          </w:tblCellMar>
        </w:tblPrEx>
        <w:trPr>
          <w:trHeight w:val="757" w:hRule="atLeast"/>
          <w:jc w:val="center"/>
        </w:trPr>
        <w:tc>
          <w:tcPr>
            <w:tcW w:w="4546" w:type="dxa"/>
            <w:noWrap w:val="0"/>
            <w:vAlign w:val="top"/>
          </w:tcPr>
          <w:p>
            <w:pPr>
              <w:adjustRightInd w:val="0"/>
              <w:snapToGrid w:val="0"/>
              <w:spacing w:line="500" w:lineRule="exact"/>
              <w:rPr>
                <w:rFonts w:ascii="Times New Roman" w:hAnsi="Times New Roman"/>
                <w:b/>
                <w:bCs/>
                <w:sz w:val="24"/>
                <w:szCs w:val="24"/>
              </w:rPr>
            </w:pPr>
            <w:r>
              <w:rPr>
                <w:rFonts w:ascii="Times New Roman" w:hAnsi="Times New Roman"/>
                <w:bCs/>
                <w:sz w:val="24"/>
                <w:szCs w:val="24"/>
              </w:rPr>
              <w:t>甲方（盖章）： 广州市净水有限公司</w:t>
            </w:r>
          </w:p>
        </w:tc>
        <w:tc>
          <w:tcPr>
            <w:tcW w:w="5092" w:type="dxa"/>
            <w:noWrap w:val="0"/>
            <w:vAlign w:val="top"/>
          </w:tcPr>
          <w:p>
            <w:pPr>
              <w:adjustRightInd w:val="0"/>
              <w:snapToGrid w:val="0"/>
              <w:spacing w:line="500" w:lineRule="exact"/>
              <w:rPr>
                <w:rFonts w:hint="default" w:ascii="Times New Roman" w:hAnsi="Times New Roman" w:eastAsia="宋体"/>
                <w:b/>
                <w:bCs/>
                <w:sz w:val="24"/>
                <w:szCs w:val="24"/>
                <w:lang w:val="en-US" w:eastAsia="zh-CN"/>
              </w:rPr>
            </w:pPr>
            <w:r>
              <w:rPr>
                <w:rFonts w:ascii="Times New Roman" w:hAnsi="Times New Roman"/>
                <w:bCs/>
                <w:sz w:val="24"/>
                <w:szCs w:val="24"/>
              </w:rPr>
              <w:t>乙方（盖章）：</w:t>
            </w:r>
            <w:r>
              <w:rPr>
                <w:rFonts w:hint="eastAsia" w:ascii="Times New Roman" w:hAnsi="Times New Roman"/>
                <w:bCs/>
                <w:sz w:val="24"/>
                <w:szCs w:val="24"/>
                <w:lang w:val="en-US" w:eastAsia="zh-CN"/>
              </w:rPr>
              <w:t>*****</w:t>
            </w:r>
          </w:p>
        </w:tc>
      </w:tr>
      <w:tr>
        <w:tblPrEx>
          <w:tblCellMar>
            <w:top w:w="0" w:type="dxa"/>
            <w:left w:w="108" w:type="dxa"/>
            <w:bottom w:w="0" w:type="dxa"/>
            <w:right w:w="108" w:type="dxa"/>
          </w:tblCellMar>
        </w:tblPrEx>
        <w:trPr>
          <w:trHeight w:val="661" w:hRule="atLeast"/>
          <w:jc w:val="center"/>
        </w:trPr>
        <w:tc>
          <w:tcPr>
            <w:tcW w:w="4546" w:type="dxa"/>
            <w:noWrap w:val="0"/>
            <w:vAlign w:val="top"/>
          </w:tcPr>
          <w:p>
            <w:pPr>
              <w:adjustRightInd w:val="0"/>
              <w:snapToGrid w:val="0"/>
              <w:spacing w:line="500" w:lineRule="exact"/>
              <w:rPr>
                <w:rFonts w:ascii="Times New Roman" w:hAnsi="Times New Roman"/>
                <w:b/>
                <w:bCs/>
                <w:sz w:val="24"/>
                <w:szCs w:val="24"/>
              </w:rPr>
            </w:pPr>
            <w:r>
              <w:rPr>
                <w:rFonts w:ascii="Times New Roman" w:hAnsi="Times New Roman"/>
                <w:bCs/>
                <w:sz w:val="24"/>
                <w:szCs w:val="24"/>
              </w:rPr>
              <w:t xml:space="preserve">签约代表：  </w:t>
            </w:r>
          </w:p>
        </w:tc>
        <w:tc>
          <w:tcPr>
            <w:tcW w:w="5092" w:type="dxa"/>
            <w:noWrap w:val="0"/>
            <w:vAlign w:val="top"/>
          </w:tcPr>
          <w:p>
            <w:pPr>
              <w:adjustRightInd w:val="0"/>
              <w:snapToGrid w:val="0"/>
              <w:spacing w:line="500" w:lineRule="exact"/>
              <w:rPr>
                <w:rFonts w:ascii="Times New Roman" w:hAnsi="Times New Roman"/>
                <w:b/>
                <w:bCs/>
                <w:sz w:val="24"/>
                <w:szCs w:val="24"/>
              </w:rPr>
            </w:pPr>
            <w:r>
              <w:rPr>
                <w:rFonts w:ascii="Times New Roman" w:hAnsi="Times New Roman"/>
                <w:bCs/>
                <w:sz w:val="24"/>
                <w:szCs w:val="24"/>
              </w:rPr>
              <w:t>签约代表：</w:t>
            </w:r>
          </w:p>
        </w:tc>
      </w:tr>
      <w:tr>
        <w:tblPrEx>
          <w:tblCellMar>
            <w:top w:w="0" w:type="dxa"/>
            <w:left w:w="108" w:type="dxa"/>
            <w:bottom w:w="0" w:type="dxa"/>
            <w:right w:w="108" w:type="dxa"/>
          </w:tblCellMar>
        </w:tblPrEx>
        <w:trPr>
          <w:trHeight w:val="523" w:hRule="atLeast"/>
          <w:jc w:val="center"/>
        </w:trPr>
        <w:tc>
          <w:tcPr>
            <w:tcW w:w="4546" w:type="dxa"/>
            <w:noWrap w:val="0"/>
            <w:vAlign w:val="top"/>
          </w:tcPr>
          <w:p>
            <w:pPr>
              <w:adjustRightInd w:val="0"/>
              <w:snapToGrid w:val="0"/>
              <w:spacing w:line="500" w:lineRule="exact"/>
              <w:rPr>
                <w:rFonts w:ascii="Times New Roman" w:hAnsi="Times New Roman"/>
                <w:bCs/>
                <w:sz w:val="24"/>
                <w:szCs w:val="24"/>
              </w:rPr>
            </w:pPr>
            <w:r>
              <w:rPr>
                <w:rFonts w:ascii="Times New Roman" w:hAnsi="Times New Roman"/>
                <w:bCs/>
                <w:sz w:val="24"/>
                <w:szCs w:val="24"/>
              </w:rPr>
              <w:t>联系电话：</w:t>
            </w:r>
          </w:p>
        </w:tc>
        <w:tc>
          <w:tcPr>
            <w:tcW w:w="5092" w:type="dxa"/>
            <w:noWrap w:val="0"/>
            <w:vAlign w:val="top"/>
          </w:tcPr>
          <w:p>
            <w:pPr>
              <w:adjustRightInd w:val="0"/>
              <w:snapToGrid w:val="0"/>
              <w:spacing w:line="500" w:lineRule="exact"/>
              <w:rPr>
                <w:rFonts w:ascii="Times New Roman" w:hAnsi="Times New Roman"/>
                <w:bCs/>
                <w:sz w:val="24"/>
                <w:szCs w:val="24"/>
              </w:rPr>
            </w:pPr>
            <w:r>
              <w:rPr>
                <w:rFonts w:ascii="Times New Roman" w:hAnsi="Times New Roman"/>
                <w:bCs/>
                <w:sz w:val="24"/>
                <w:szCs w:val="24"/>
              </w:rPr>
              <w:t>联系电话：</w:t>
            </w:r>
          </w:p>
        </w:tc>
      </w:tr>
      <w:tr>
        <w:tblPrEx>
          <w:tblCellMar>
            <w:top w:w="0" w:type="dxa"/>
            <w:left w:w="108" w:type="dxa"/>
            <w:bottom w:w="0" w:type="dxa"/>
            <w:right w:w="108" w:type="dxa"/>
          </w:tblCellMar>
        </w:tblPrEx>
        <w:trPr>
          <w:trHeight w:val="395" w:hRule="atLeast"/>
          <w:jc w:val="center"/>
        </w:trPr>
        <w:tc>
          <w:tcPr>
            <w:tcW w:w="4546" w:type="dxa"/>
            <w:noWrap w:val="0"/>
            <w:vAlign w:val="top"/>
          </w:tcPr>
          <w:p>
            <w:pPr>
              <w:adjustRightInd w:val="0"/>
              <w:snapToGrid w:val="0"/>
              <w:spacing w:line="500" w:lineRule="exact"/>
              <w:rPr>
                <w:rFonts w:ascii="Times New Roman" w:hAnsi="Times New Roman"/>
                <w:b/>
                <w:bCs/>
                <w:sz w:val="24"/>
                <w:szCs w:val="24"/>
              </w:rPr>
            </w:pPr>
            <w:r>
              <w:rPr>
                <w:rFonts w:ascii="Times New Roman" w:hAnsi="Times New Roman"/>
                <w:bCs/>
                <w:sz w:val="24"/>
                <w:szCs w:val="24"/>
              </w:rPr>
              <w:t>日期:    年  月  日</w:t>
            </w:r>
          </w:p>
        </w:tc>
        <w:tc>
          <w:tcPr>
            <w:tcW w:w="5092" w:type="dxa"/>
            <w:noWrap w:val="0"/>
            <w:vAlign w:val="top"/>
          </w:tcPr>
          <w:p>
            <w:pPr>
              <w:adjustRightInd w:val="0"/>
              <w:snapToGrid w:val="0"/>
              <w:spacing w:line="500" w:lineRule="exact"/>
              <w:rPr>
                <w:rFonts w:ascii="Times New Roman" w:hAnsi="Times New Roman"/>
                <w:b/>
                <w:bCs/>
                <w:sz w:val="24"/>
                <w:szCs w:val="24"/>
              </w:rPr>
            </w:pPr>
            <w:r>
              <w:rPr>
                <w:rFonts w:ascii="Times New Roman" w:hAnsi="Times New Roman"/>
                <w:bCs/>
                <w:sz w:val="24"/>
                <w:szCs w:val="24"/>
              </w:rPr>
              <w:t>日期：   年  月  日</w:t>
            </w:r>
          </w:p>
        </w:tc>
      </w:tr>
    </w:tbl>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ind w:left="0" w:leftChars="0" w:firstLine="0" w:firstLineChars="0"/>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pStyle w:val="2"/>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default" w:ascii="仿宋_GB2312" w:eastAsia="仿宋_GB2312"/>
          <w:color w:val="auto"/>
          <w:sz w:val="30"/>
          <w:szCs w:val="30"/>
          <w:highlight w:val="none"/>
          <w:lang w:val="en-US" w:eastAsia="zh-CN"/>
        </w:rPr>
      </w:pPr>
      <w:r>
        <w:rPr>
          <w:rFonts w:hint="eastAsia" w:ascii="方正小标宋简体" w:eastAsia="方正小标宋简体"/>
          <w:color w:val="auto"/>
          <w:sz w:val="44"/>
          <w:szCs w:val="44"/>
          <w:highlight w:val="none"/>
          <w:u w:val="single"/>
          <w:lang w:val="en-US" w:eastAsia="zh-CN"/>
        </w:rPr>
        <w:t>广州市净水有限公司</w:t>
      </w:r>
      <w:r>
        <w:rPr>
          <w:rFonts w:hint="eastAsia" w:ascii="宋体" w:hAnsi="宋体" w:cs="宋体"/>
          <w:b/>
          <w:bCs/>
          <w:sz w:val="44"/>
          <w:szCs w:val="44"/>
          <w:highlight w:val="none"/>
          <w:u w:val="single"/>
          <w:lang w:eastAsia="zh-CN"/>
        </w:rPr>
        <w:t>2024年</w:t>
      </w:r>
      <w:r>
        <w:rPr>
          <w:rFonts w:hint="eastAsia" w:ascii="宋体" w:hAnsi="宋体" w:cs="宋体"/>
          <w:b/>
          <w:bCs/>
          <w:sz w:val="44"/>
          <w:szCs w:val="44"/>
          <w:highlight w:val="none"/>
          <w:u w:val="single"/>
          <w:lang w:val="en-US" w:eastAsia="zh-CN"/>
        </w:rPr>
        <w:t>度在线监测设备及备机</w:t>
      </w:r>
      <w:r>
        <w:rPr>
          <w:rFonts w:hint="eastAsia" w:ascii="宋体" w:hAnsi="宋体" w:cs="宋体"/>
          <w:b/>
          <w:bCs/>
          <w:sz w:val="44"/>
          <w:szCs w:val="44"/>
          <w:highlight w:val="none"/>
          <w:u w:val="single"/>
          <w:lang w:eastAsia="zh-CN"/>
        </w:rPr>
        <w:t>校准服务项目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（项目编号： </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 xml:space="preserve">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68" w:name="_Toc88209952"/>
      <w:bookmarkStart w:id="69" w:name="_Toc87616389"/>
      <w:r>
        <w:rPr>
          <w:rFonts w:hint="eastAsia" w:ascii="仿宋_GB2312" w:eastAsia="仿宋_GB2312"/>
          <w:color w:val="auto"/>
          <w:sz w:val="28"/>
          <w:szCs w:val="28"/>
          <w:highlight w:val="none"/>
        </w:rPr>
        <w:t>1.响应函</w:t>
      </w:r>
      <w:bookmarkEnd w:id="68"/>
      <w:bookmarkEnd w:id="69"/>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70" w:name="_Toc88209953"/>
      <w:bookmarkStart w:id="71" w:name="_Toc87616390"/>
      <w:r>
        <w:rPr>
          <w:rFonts w:hint="eastAsia" w:ascii="仿宋_GB2312" w:eastAsia="仿宋_GB2312"/>
          <w:color w:val="auto"/>
          <w:sz w:val="28"/>
          <w:szCs w:val="28"/>
          <w:highlight w:val="none"/>
        </w:rPr>
        <w:t>2.法定代表人证明或授权委托书</w:t>
      </w:r>
      <w:bookmarkEnd w:id="70"/>
      <w:bookmarkEnd w:id="71"/>
      <w:bookmarkStart w:id="72" w:name="_Toc88209956"/>
      <w:bookmarkStart w:id="73"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bookmarkEnd w:id="72"/>
      <w:bookmarkEnd w:id="73"/>
      <w:r>
        <w:rPr>
          <w:rFonts w:hint="eastAsia" w:ascii="仿宋_GB2312" w:eastAsia="仿宋_GB2312"/>
          <w:color w:val="auto"/>
          <w:sz w:val="28"/>
          <w:szCs w:val="28"/>
          <w:highlight w:val="none"/>
          <w:lang w:val="en-US" w:eastAsia="zh-CN"/>
        </w:rPr>
        <w:t>其他资料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4" w:name="_Toc87616394"/>
      <w:bookmarkStart w:id="75" w:name="_Toc12665"/>
      <w:bookmarkStart w:id="76" w:name="_Toc88209957"/>
      <w:bookmarkStart w:id="77" w:name="_Toc6313"/>
      <w:bookmarkStart w:id="78" w:name="_Toc28619645"/>
      <w:r>
        <w:rPr>
          <w:rFonts w:hint="eastAsia" w:ascii="黑体" w:hAnsi="黑体" w:eastAsia="黑体" w:cs="黑体"/>
          <w:b/>
          <w:bCs/>
          <w:color w:val="auto"/>
          <w:sz w:val="32"/>
          <w:szCs w:val="32"/>
          <w:highlight w:val="none"/>
        </w:rPr>
        <w:t>1.响应函</w:t>
      </w:r>
      <w:bookmarkEnd w:id="74"/>
      <w:bookmarkEnd w:id="75"/>
      <w:bookmarkEnd w:id="76"/>
      <w:bookmarkEnd w:id="77"/>
      <w:bookmarkEnd w:id="7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9" w:name="_Toc29833"/>
      <w:bookmarkStart w:id="80" w:name="_Toc87616395"/>
      <w:bookmarkStart w:id="81" w:name="_Toc88209958"/>
      <w:bookmarkStart w:id="82" w:name="_Toc22527"/>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79"/>
      <w:bookmarkEnd w:id="80"/>
      <w:bookmarkEnd w:id="81"/>
      <w:bookmarkEnd w:id="82"/>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6"/>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5"/>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ind w:left="0" w:leftChars="0" w:firstLine="0" w:firstLineChars="0"/>
        <w:rPr>
          <w:rFonts w:hint="eastAsia" w:ascii="仿宋_GB2312" w:hAnsi="宋体" w:eastAsia="仿宋_GB2312"/>
          <w:color w:val="auto"/>
          <w:sz w:val="30"/>
          <w:szCs w:val="30"/>
          <w:highlight w:val="none"/>
        </w:rPr>
      </w:pPr>
    </w:p>
    <w:p>
      <w:pPr>
        <w:pStyle w:val="2"/>
        <w:ind w:left="0" w:leftChars="0" w:firstLine="0" w:firstLineChars="0"/>
        <w:rPr>
          <w:rFonts w:hint="eastAsia" w:ascii="仿宋_GB2312" w:hAnsi="宋体" w:eastAsia="仿宋_GB2312"/>
          <w:color w:val="auto"/>
          <w:sz w:val="30"/>
          <w:szCs w:val="30"/>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pStyle w:val="7"/>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83" w:name="_Toc8086"/>
      <w:bookmarkStart w:id="84" w:name="_Toc88209963"/>
      <w:bookmarkStart w:id="85" w:name="_Toc19830"/>
      <w:bookmarkStart w:id="86" w:name="_Toc8761640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83"/>
      <w:bookmarkEnd w:id="84"/>
      <w:bookmarkEnd w:id="85"/>
      <w:bookmarkEnd w:id="8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7"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7"/>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8" w:name="_Toc32430"/>
            <w:bookmarkStart w:id="89"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8"/>
      <w:bookmarkEnd w:id="89"/>
    </w:p>
    <w:p>
      <w:pPr>
        <w:keepNext w:val="0"/>
        <w:keepLines w:val="0"/>
        <w:widowControl/>
        <w:suppressLineNumbers w:val="0"/>
        <w:jc w:val="center"/>
        <w:textAlignment w:val="center"/>
        <w:rPr>
          <w:rFonts w:hint="eastAsia" w:ascii="仿宋" w:hAnsi="仿宋" w:eastAsia="仿宋" w:cs="仿宋"/>
          <w:b/>
          <w:color w:val="000000"/>
          <w:kern w:val="0"/>
          <w:sz w:val="28"/>
          <w:szCs w:val="28"/>
          <w:highlight w:val="none"/>
          <w:u w:val="none"/>
          <w:lang w:bidi="ar"/>
        </w:rPr>
      </w:pPr>
      <w:r>
        <w:rPr>
          <w:rFonts w:hint="eastAsia" w:ascii="仿宋" w:hAnsi="仿宋" w:eastAsia="仿宋" w:cs="仿宋"/>
          <w:b/>
          <w:color w:val="000000"/>
          <w:kern w:val="0"/>
          <w:sz w:val="28"/>
          <w:szCs w:val="28"/>
          <w:highlight w:val="none"/>
          <w:u w:val="none"/>
          <w:lang w:val="en-US" w:eastAsia="zh-CN" w:bidi="ar"/>
        </w:rPr>
        <w:t>广州市</w:t>
      </w:r>
      <w:r>
        <w:rPr>
          <w:rFonts w:hint="eastAsia" w:ascii="仿宋" w:hAnsi="仿宋" w:eastAsia="仿宋" w:cs="仿宋"/>
          <w:b/>
          <w:color w:val="000000"/>
          <w:kern w:val="0"/>
          <w:sz w:val="28"/>
          <w:szCs w:val="28"/>
          <w:highlight w:val="none"/>
          <w:u w:val="none"/>
          <w:lang w:bidi="ar"/>
        </w:rPr>
        <w:t>净水有限公司2024年</w:t>
      </w:r>
      <w:r>
        <w:rPr>
          <w:rFonts w:hint="eastAsia" w:ascii="仿宋" w:hAnsi="仿宋" w:eastAsia="仿宋" w:cs="仿宋"/>
          <w:b/>
          <w:color w:val="000000"/>
          <w:kern w:val="0"/>
          <w:sz w:val="28"/>
          <w:szCs w:val="28"/>
          <w:highlight w:val="none"/>
          <w:u w:val="none"/>
          <w:lang w:val="en-US" w:eastAsia="zh-CN" w:bidi="ar"/>
        </w:rPr>
        <w:t>度在线监测设备及备机</w:t>
      </w:r>
      <w:r>
        <w:rPr>
          <w:rFonts w:hint="eastAsia" w:ascii="仿宋" w:hAnsi="仿宋" w:eastAsia="仿宋" w:cs="仿宋"/>
          <w:b/>
          <w:color w:val="000000"/>
          <w:kern w:val="0"/>
          <w:sz w:val="28"/>
          <w:szCs w:val="28"/>
          <w:highlight w:val="none"/>
          <w:u w:val="none"/>
          <w:lang w:bidi="ar"/>
        </w:rPr>
        <w:t>校准</w:t>
      </w:r>
    </w:p>
    <w:p>
      <w:pPr>
        <w:pStyle w:val="21"/>
        <w:widowControl w:val="0"/>
        <w:numPr>
          <w:ilvl w:val="0"/>
          <w:numId w:val="0"/>
        </w:numPr>
        <w:spacing w:after="120"/>
        <w:jc w:val="center"/>
        <w:rPr>
          <w:rFonts w:hint="eastAsia" w:ascii="仿宋" w:hAnsi="仿宋" w:eastAsia="仿宋" w:cs="仿宋"/>
          <w:b/>
          <w:i w:val="0"/>
          <w:color w:val="000000"/>
          <w:kern w:val="0"/>
          <w:sz w:val="28"/>
          <w:szCs w:val="28"/>
          <w:highlight w:val="none"/>
          <w:u w:val="none"/>
          <w:lang w:val="en-US" w:eastAsia="zh-CN" w:bidi="ar"/>
        </w:rPr>
      </w:pPr>
      <w:r>
        <w:rPr>
          <w:rFonts w:hint="eastAsia" w:ascii="仿宋" w:hAnsi="仿宋" w:eastAsia="仿宋" w:cs="仿宋"/>
          <w:b/>
          <w:color w:val="000000"/>
          <w:kern w:val="0"/>
          <w:sz w:val="28"/>
          <w:szCs w:val="28"/>
          <w:highlight w:val="none"/>
          <w:u w:val="none"/>
          <w:lang w:bidi="ar"/>
        </w:rPr>
        <w:t>服务项目</w:t>
      </w:r>
      <w:r>
        <w:rPr>
          <w:rFonts w:hint="eastAsia" w:ascii="仿宋" w:hAnsi="仿宋" w:eastAsia="仿宋" w:cs="仿宋"/>
          <w:b/>
          <w:i w:val="0"/>
          <w:color w:val="000000"/>
          <w:kern w:val="0"/>
          <w:sz w:val="28"/>
          <w:szCs w:val="28"/>
          <w:highlight w:val="none"/>
          <w:u w:val="none"/>
          <w:lang w:val="en-US" w:eastAsia="zh-CN" w:bidi="ar"/>
        </w:rPr>
        <w:t>报价表</w:t>
      </w:r>
    </w:p>
    <w:tbl>
      <w:tblPr>
        <w:tblStyle w:val="23"/>
        <w:tblW w:w="10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663"/>
        <w:gridCol w:w="601"/>
        <w:gridCol w:w="2001"/>
        <w:gridCol w:w="1621"/>
        <w:gridCol w:w="1738"/>
        <w:gridCol w:w="683"/>
        <w:gridCol w:w="1158"/>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jc w:val="center"/>
        </w:trPr>
        <w:tc>
          <w:tcPr>
            <w:tcW w:w="10272" w:type="dxa"/>
            <w:gridSpan w:val="9"/>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2024年度在线监测设备校准需求报价清单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63" w:type="dxa"/>
            <w:vMerge w:val="restart"/>
            <w:noWrap w:val="0"/>
            <w:vAlign w:val="center"/>
          </w:tcPr>
          <w:p>
            <w:pPr>
              <w:bidi w:val="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厂名</w:t>
            </w:r>
          </w:p>
        </w:tc>
        <w:tc>
          <w:tcPr>
            <w:tcW w:w="663" w:type="dxa"/>
            <w:vMerge w:val="restart"/>
            <w:noWrap w:val="0"/>
            <w:vAlign w:val="center"/>
          </w:tcPr>
          <w:p>
            <w:pPr>
              <w:bidi w:val="0"/>
              <w:jc w:val="center"/>
              <w:rPr>
                <w:rFonts w:hint="eastAsia" w:ascii="宋体" w:hAnsi="宋体" w:eastAsia="宋体" w:cs="宋体"/>
                <w:sz w:val="20"/>
                <w:szCs w:val="20"/>
              </w:rPr>
            </w:pPr>
            <w:r>
              <w:rPr>
                <w:rFonts w:hint="eastAsia" w:ascii="宋体" w:hAnsi="宋体" w:eastAsia="宋体" w:cs="宋体"/>
                <w:sz w:val="20"/>
                <w:szCs w:val="20"/>
                <w:lang w:val="en-US" w:eastAsia="zh-CN"/>
              </w:rPr>
              <w:t>站点</w:t>
            </w:r>
          </w:p>
        </w:tc>
        <w:tc>
          <w:tcPr>
            <w:tcW w:w="601" w:type="dxa"/>
            <w:vMerge w:val="restart"/>
            <w:noWrap w:val="0"/>
            <w:vAlign w:val="center"/>
          </w:tcPr>
          <w:p>
            <w:pPr>
              <w:bidi w:val="0"/>
              <w:jc w:val="center"/>
              <w:rPr>
                <w:rFonts w:hint="eastAsia" w:ascii="宋体" w:hAnsi="宋体" w:eastAsia="宋体" w:cs="宋体"/>
                <w:sz w:val="20"/>
                <w:szCs w:val="20"/>
              </w:rPr>
            </w:pPr>
            <w:r>
              <w:rPr>
                <w:rFonts w:hint="eastAsia" w:ascii="宋体" w:hAnsi="宋体" w:eastAsia="宋体" w:cs="宋体"/>
                <w:sz w:val="20"/>
                <w:szCs w:val="20"/>
                <w:lang w:val="en-US" w:eastAsia="zh-CN"/>
              </w:rPr>
              <w:t>序号</w:t>
            </w:r>
          </w:p>
        </w:tc>
        <w:tc>
          <w:tcPr>
            <w:tcW w:w="2001" w:type="dxa"/>
            <w:vMerge w:val="restart"/>
            <w:noWrap w:val="0"/>
            <w:vAlign w:val="center"/>
          </w:tcPr>
          <w:p>
            <w:pPr>
              <w:bidi w:val="0"/>
              <w:jc w:val="center"/>
              <w:rPr>
                <w:rFonts w:hint="eastAsia" w:ascii="宋体" w:hAnsi="宋体" w:eastAsia="宋体" w:cs="宋体"/>
                <w:sz w:val="20"/>
                <w:szCs w:val="20"/>
              </w:rPr>
            </w:pPr>
            <w:r>
              <w:rPr>
                <w:rFonts w:hint="eastAsia" w:ascii="宋体" w:hAnsi="宋体" w:eastAsia="宋体" w:cs="宋体"/>
                <w:sz w:val="20"/>
                <w:szCs w:val="20"/>
                <w:lang w:val="en-US" w:eastAsia="zh-CN"/>
              </w:rPr>
              <w:t>设备名称</w:t>
            </w:r>
          </w:p>
        </w:tc>
        <w:tc>
          <w:tcPr>
            <w:tcW w:w="1621" w:type="dxa"/>
            <w:vMerge w:val="restart"/>
            <w:noWrap w:val="0"/>
            <w:vAlign w:val="center"/>
          </w:tcPr>
          <w:p>
            <w:pPr>
              <w:bidi w:val="0"/>
              <w:jc w:val="center"/>
              <w:rPr>
                <w:rFonts w:hint="eastAsia" w:ascii="宋体" w:hAnsi="宋体" w:eastAsia="宋体" w:cs="宋体"/>
                <w:sz w:val="20"/>
                <w:szCs w:val="20"/>
              </w:rPr>
            </w:pPr>
            <w:r>
              <w:rPr>
                <w:rFonts w:hint="eastAsia" w:ascii="宋体" w:hAnsi="宋体" w:eastAsia="宋体" w:cs="宋体"/>
                <w:sz w:val="20"/>
                <w:szCs w:val="20"/>
                <w:lang w:eastAsia="zh-CN"/>
              </w:rPr>
              <w:t>设备型号</w:t>
            </w:r>
          </w:p>
        </w:tc>
        <w:tc>
          <w:tcPr>
            <w:tcW w:w="1738" w:type="dxa"/>
            <w:vMerge w:val="restart"/>
            <w:noWrap w:val="0"/>
            <w:vAlign w:val="center"/>
          </w:tcPr>
          <w:p>
            <w:pPr>
              <w:bidi w:val="0"/>
              <w:jc w:val="center"/>
              <w:rPr>
                <w:rFonts w:hint="eastAsia" w:ascii="宋体" w:hAnsi="宋体" w:eastAsia="宋体" w:cs="宋体"/>
                <w:sz w:val="20"/>
                <w:szCs w:val="20"/>
              </w:rPr>
            </w:pPr>
            <w:r>
              <w:rPr>
                <w:rFonts w:hint="eastAsia" w:ascii="宋体" w:hAnsi="宋体" w:eastAsia="宋体" w:cs="宋体"/>
                <w:sz w:val="20"/>
                <w:szCs w:val="20"/>
                <w:lang w:val="en-US" w:eastAsia="zh-CN"/>
              </w:rPr>
              <w:t>计划</w:t>
            </w:r>
            <w:r>
              <w:rPr>
                <w:rFonts w:hint="eastAsia" w:ascii="宋体" w:hAnsi="宋体" w:eastAsia="宋体" w:cs="宋体"/>
                <w:sz w:val="20"/>
                <w:szCs w:val="20"/>
                <w:lang w:eastAsia="zh-CN"/>
              </w:rPr>
              <w:t>校准日期</w:t>
            </w:r>
          </w:p>
        </w:tc>
        <w:tc>
          <w:tcPr>
            <w:tcW w:w="683" w:type="dxa"/>
            <w:vMerge w:val="restart"/>
            <w:noWrap w:val="0"/>
            <w:vAlign w:val="center"/>
          </w:tcPr>
          <w:p>
            <w:pPr>
              <w:bidi w:val="0"/>
              <w:jc w:val="center"/>
              <w:rPr>
                <w:rFonts w:hint="eastAsia" w:ascii="宋体" w:hAnsi="宋体" w:eastAsia="宋体" w:cs="宋体"/>
                <w:sz w:val="20"/>
                <w:szCs w:val="20"/>
              </w:rPr>
            </w:pPr>
            <w:r>
              <w:rPr>
                <w:rFonts w:hint="eastAsia" w:ascii="宋体" w:hAnsi="宋体" w:eastAsia="宋体" w:cs="宋体"/>
                <w:sz w:val="20"/>
                <w:szCs w:val="20"/>
                <w:lang w:eastAsia="zh-CN"/>
              </w:rPr>
              <w:t>数量</w:t>
            </w:r>
          </w:p>
        </w:tc>
        <w:tc>
          <w:tcPr>
            <w:tcW w:w="2302" w:type="dxa"/>
            <w:gridSpan w:val="2"/>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价格</w:t>
            </w:r>
            <w:r>
              <w:rPr>
                <w:rFonts w:hint="eastAsia" w:ascii="宋体" w:hAnsi="宋体" w:cs="宋体"/>
                <w:sz w:val="20"/>
                <w:szCs w:val="20"/>
                <w:lang w:val="en-US" w:eastAsia="zh-CN"/>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vMerge w:val="continue"/>
            <w:noWrap w:val="0"/>
            <w:vAlign w:val="center"/>
          </w:tcPr>
          <w:p>
            <w:pPr>
              <w:bidi w:val="0"/>
              <w:jc w:val="center"/>
              <w:rPr>
                <w:rFonts w:hint="eastAsia" w:ascii="宋体" w:hAnsi="宋体" w:eastAsia="宋体" w:cs="宋体"/>
                <w:sz w:val="20"/>
                <w:szCs w:val="20"/>
              </w:rPr>
            </w:pPr>
          </w:p>
        </w:tc>
        <w:tc>
          <w:tcPr>
            <w:tcW w:w="2001" w:type="dxa"/>
            <w:vMerge w:val="continue"/>
            <w:noWrap w:val="0"/>
            <w:vAlign w:val="center"/>
          </w:tcPr>
          <w:p>
            <w:pPr>
              <w:bidi w:val="0"/>
              <w:jc w:val="center"/>
              <w:rPr>
                <w:rFonts w:hint="eastAsia" w:ascii="宋体" w:hAnsi="宋体" w:eastAsia="宋体" w:cs="宋体"/>
                <w:sz w:val="20"/>
                <w:szCs w:val="20"/>
              </w:rPr>
            </w:pPr>
          </w:p>
        </w:tc>
        <w:tc>
          <w:tcPr>
            <w:tcW w:w="1621" w:type="dxa"/>
            <w:vMerge w:val="continue"/>
            <w:noWrap w:val="0"/>
            <w:vAlign w:val="center"/>
          </w:tcPr>
          <w:p>
            <w:pPr>
              <w:bidi w:val="0"/>
              <w:jc w:val="center"/>
              <w:rPr>
                <w:rFonts w:hint="eastAsia" w:ascii="宋体" w:hAnsi="宋体" w:eastAsia="宋体" w:cs="宋体"/>
                <w:sz w:val="20"/>
                <w:szCs w:val="20"/>
              </w:rPr>
            </w:pPr>
          </w:p>
        </w:tc>
        <w:tc>
          <w:tcPr>
            <w:tcW w:w="1738" w:type="dxa"/>
            <w:vMerge w:val="continue"/>
            <w:noWrap w:val="0"/>
            <w:vAlign w:val="center"/>
          </w:tcPr>
          <w:p>
            <w:pPr>
              <w:bidi w:val="0"/>
              <w:jc w:val="center"/>
              <w:rPr>
                <w:rFonts w:hint="eastAsia" w:ascii="宋体" w:hAnsi="宋体" w:eastAsia="宋体" w:cs="宋体"/>
                <w:sz w:val="20"/>
                <w:szCs w:val="20"/>
              </w:rPr>
            </w:pPr>
          </w:p>
        </w:tc>
        <w:tc>
          <w:tcPr>
            <w:tcW w:w="683" w:type="dxa"/>
            <w:vMerge w:val="continue"/>
            <w:noWrap w:val="0"/>
            <w:vAlign w:val="center"/>
          </w:tcPr>
          <w:p>
            <w:pPr>
              <w:bidi w:val="0"/>
              <w:jc w:val="center"/>
              <w:rPr>
                <w:rFonts w:hint="eastAsia" w:ascii="宋体" w:hAnsi="宋体" w:eastAsia="宋体" w:cs="宋体"/>
                <w:sz w:val="20"/>
                <w:szCs w:val="20"/>
              </w:rPr>
            </w:pPr>
          </w:p>
        </w:tc>
        <w:tc>
          <w:tcPr>
            <w:tcW w:w="1158"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含税</w:t>
            </w:r>
          </w:p>
        </w:tc>
        <w:tc>
          <w:tcPr>
            <w:tcW w:w="1144" w:type="dxa"/>
            <w:noWrap w:val="0"/>
            <w:vAlign w:val="center"/>
          </w:tcPr>
          <w:p>
            <w:pPr>
              <w:bidi w:val="0"/>
              <w:jc w:val="center"/>
              <w:rPr>
                <w:rFonts w:hint="eastAsia" w:ascii="宋体" w:hAnsi="宋体" w:eastAsia="宋体" w:cs="宋体"/>
                <w:sz w:val="20"/>
                <w:szCs w:val="20"/>
              </w:rPr>
            </w:pPr>
            <w:r>
              <w:rPr>
                <w:rFonts w:hint="eastAsia" w:ascii="宋体" w:hAnsi="宋体" w:eastAsia="宋体" w:cs="宋体"/>
                <w:sz w:val="20"/>
                <w:szCs w:val="20"/>
                <w:lang w:val="en-US"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猎德厂</w:t>
            </w: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一二期进水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eastAsia="zh-CN" w:bidi="ar"/>
              </w:rPr>
              <w:t>C310（COD）</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C310（NH）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eastAsia="zh-CN" w:bidi="ar"/>
              </w:rPr>
              <w:t>TCU/TPN111</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eastAsia="zh-CN" w:bidi="ar"/>
              </w:rPr>
              <w:t>S310（pH）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C310（S）</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eastAsia="zh-CN" w:bidi="ar"/>
              </w:rPr>
              <w:t>W310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ZE-DT2000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一二期出水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eastAsia="zh-CN" w:bidi="ar"/>
              </w:rPr>
              <w:t>CODmax 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10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eastAsia="zh-CN" w:bidi="ar"/>
              </w:rPr>
              <w:t>NPW-160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11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12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13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eastAsia="zh-CN" w:bidi="ar"/>
              </w:rPr>
              <w:t>LFLY-DW2004</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14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三期出水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15</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eastAsia="zh-CN" w:bidi="ar"/>
              </w:rPr>
              <w:t>CODmax Ⅱ</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16</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AmtaxNA8000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17</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eastAsia="zh-CN" w:bidi="ar"/>
              </w:rPr>
              <w:t>NPW-160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18</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widowControl/>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sz w:val="20"/>
                <w:szCs w:val="20"/>
                <w:lang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19</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20</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widowControl/>
              <w:jc w:val="center"/>
              <w:textAlignment w:val="center"/>
              <w:rPr>
                <w:rFonts w:hint="eastAsia" w:ascii="宋体" w:hAnsi="宋体" w:eastAsia="宋体" w:cs="宋体"/>
                <w:i w:val="0"/>
                <w:iCs w:val="0"/>
                <w:color w:val="000000"/>
                <w:kern w:val="2"/>
                <w:sz w:val="20"/>
                <w:szCs w:val="20"/>
                <w:u w:val="none"/>
                <w:lang w:val="en-US" w:eastAsia="zh-CN" w:bidi="en-US"/>
              </w:rPr>
            </w:pPr>
            <w:r>
              <w:rPr>
                <w:rFonts w:hint="eastAsia" w:ascii="宋体" w:hAnsi="宋体" w:eastAsia="宋体" w:cs="宋体"/>
                <w:b w:val="0"/>
                <w:bCs/>
                <w:sz w:val="20"/>
                <w:szCs w:val="20"/>
                <w:lang w:eastAsia="zh-CN" w:bidi="ar"/>
              </w:rPr>
              <w:t>LFLY-DW2004</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21</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四期出水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22</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LFS-2002（COD）</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23</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LFS-2002（NH）</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24</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LFS-2002（TP）</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25</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LFS-2002（TN）</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26</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LFWCS-2008（pH）</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27</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28</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LFLY-DW2004</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29</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员村涌支涌补水口</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30</w:t>
            </w:r>
          </w:p>
        </w:tc>
        <w:tc>
          <w:tcPr>
            <w:tcW w:w="2001" w:type="dxa"/>
            <w:noWrap w:val="0"/>
            <w:vAlign w:val="center"/>
          </w:tcPr>
          <w:p>
            <w:pPr>
              <w:widowControl/>
              <w:jc w:val="center"/>
              <w:textAlignment w:val="center"/>
              <w:rPr>
                <w:rFonts w:hint="eastAsia" w:ascii="宋体" w:hAnsi="宋体" w:eastAsia="宋体" w:cs="宋体"/>
                <w:b w:val="0"/>
                <w:bCs/>
                <w:kern w:val="2"/>
                <w:sz w:val="22"/>
                <w:szCs w:val="22"/>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ORION 3106</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31</w:t>
            </w:r>
          </w:p>
        </w:tc>
        <w:tc>
          <w:tcPr>
            <w:tcW w:w="2001" w:type="dxa"/>
            <w:noWrap w:val="0"/>
            <w:vAlign w:val="center"/>
          </w:tcPr>
          <w:p>
            <w:pPr>
              <w:widowControl/>
              <w:jc w:val="center"/>
              <w:textAlignment w:val="center"/>
              <w:rPr>
                <w:rFonts w:hint="eastAsia" w:ascii="宋体" w:hAnsi="宋体" w:eastAsia="宋体" w:cs="宋体"/>
                <w:b w:val="0"/>
                <w:bCs/>
                <w:kern w:val="2"/>
                <w:sz w:val="22"/>
                <w:szCs w:val="22"/>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ORION 2240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32</w:t>
            </w:r>
          </w:p>
        </w:tc>
        <w:tc>
          <w:tcPr>
            <w:tcW w:w="2001" w:type="dxa"/>
            <w:noWrap w:val="0"/>
            <w:vAlign w:val="center"/>
          </w:tcPr>
          <w:p>
            <w:pPr>
              <w:widowControl/>
              <w:jc w:val="center"/>
              <w:textAlignment w:val="center"/>
              <w:rPr>
                <w:rFonts w:hint="eastAsia" w:ascii="宋体" w:hAnsi="宋体" w:eastAsia="宋体" w:cs="宋体"/>
                <w:b w:val="0"/>
                <w:bCs/>
                <w:kern w:val="2"/>
                <w:sz w:val="22"/>
                <w:szCs w:val="22"/>
                <w:lang w:val="en-US" w:eastAsia="zh-CN" w:bidi="ar"/>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ORION 3150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33</w:t>
            </w:r>
          </w:p>
        </w:tc>
        <w:tc>
          <w:tcPr>
            <w:tcW w:w="2001" w:type="dxa"/>
            <w:noWrap w:val="0"/>
            <w:vAlign w:val="center"/>
          </w:tcPr>
          <w:p>
            <w:pPr>
              <w:widowControl/>
              <w:jc w:val="center"/>
              <w:textAlignment w:val="center"/>
              <w:rPr>
                <w:rFonts w:hint="eastAsia" w:ascii="宋体" w:hAnsi="宋体" w:eastAsia="宋体" w:cs="宋体"/>
                <w:b w:val="0"/>
                <w:bCs/>
                <w:kern w:val="2"/>
                <w:sz w:val="22"/>
                <w:szCs w:val="22"/>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Alpha-pH2000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34</w:t>
            </w:r>
          </w:p>
        </w:tc>
        <w:tc>
          <w:tcPr>
            <w:tcW w:w="2001" w:type="dxa"/>
            <w:noWrap w:val="0"/>
            <w:vAlign w:val="center"/>
          </w:tcPr>
          <w:p>
            <w:pPr>
              <w:widowControl/>
              <w:jc w:val="center"/>
              <w:textAlignment w:val="center"/>
              <w:rPr>
                <w:rFonts w:hint="eastAsia" w:ascii="宋体" w:hAnsi="宋体" w:eastAsia="宋体" w:cs="宋体"/>
                <w:b w:val="0"/>
                <w:bCs/>
                <w:kern w:val="2"/>
                <w:sz w:val="22"/>
                <w:szCs w:val="22"/>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35</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LFLY-DW2004</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36</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kern w:val="2"/>
                <w:sz w:val="20"/>
                <w:szCs w:val="20"/>
                <w:lang w:val="en-US" w:eastAsia="zh-CN" w:bidi="ar-SA"/>
              </w:rPr>
            </w:pPr>
          </w:p>
        </w:tc>
        <w:tc>
          <w:tcPr>
            <w:tcW w:w="1144" w:type="dxa"/>
            <w:noWrap w:val="0"/>
            <w:vAlign w:val="center"/>
          </w:tcPr>
          <w:p>
            <w:pPr>
              <w:bidi w:val="0"/>
              <w:jc w:val="center"/>
              <w:rPr>
                <w:rFonts w:hint="eastAsia" w:ascii="宋体" w:hAns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大坦沙厂</w:t>
            </w: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一二期进水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C310（COD）</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C310（NH）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TCU/TPN111</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40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S310（pH）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41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C310（S）</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42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W310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43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ZE-DT2000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一二期出水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44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45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46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47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48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49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50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LFLY-DW2004</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51</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三期进水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52</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C310（COD）</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53</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C310（NH）</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54</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TCU/TPN111</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55</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S310（pH）</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56</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C310（S）</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57</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W310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58</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ZE-DT2000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三期出水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59</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60</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61</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62</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63</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64</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65</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LFLY-DW2004</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66</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9</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30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沥滘厂</w:t>
            </w: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一二期进水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67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C310（COD）</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68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C310（NH）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69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TCU/TPN111</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70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S310（pH）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71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C310（S）</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72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W310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73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一期出水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74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75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76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PhosphaxSigma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77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TNP-4200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78</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79</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80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TS500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81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ZSC-VI</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82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二期出水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83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84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85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PhosphaxSigma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86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TNP-4200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87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88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89</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TS500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90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ZSC-VI</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91</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三期进水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92</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93</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94</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PhosphaxSigma</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95</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NPW-160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96</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97</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98</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AS950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99</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三期出水</w:t>
            </w: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100</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101</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PhosphaxSigma</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102</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TNP-4200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103</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104</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105</w:t>
            </w:r>
          </w:p>
        </w:tc>
        <w:tc>
          <w:tcPr>
            <w:tcW w:w="2001" w:type="dxa"/>
            <w:noWrap w:val="0"/>
            <w:vAlign w:val="center"/>
          </w:tcPr>
          <w:p>
            <w:pPr>
              <w:widowControl/>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SITRANS TS500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106</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ZSC-VI</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107</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13</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西朗公司</w:t>
            </w: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一期进水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108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109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110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111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112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113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LFLY-DW2004</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114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一期出水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115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116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117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118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119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120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ZSC-VI</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121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二期进水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122</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123</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124</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NPW-160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125</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126</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127</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AS950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128</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二期出水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129</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130</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131</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132</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133</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134</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AS950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135</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21</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大沙地厂</w:t>
            </w: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进水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136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C310（COD）</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137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C310（NH）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138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TCU/TPN111</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139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S310（pH）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140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C310（S）</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141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W310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142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ZE-DT2000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一期出水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143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144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145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146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147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148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TS500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149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FC-9624YL</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150</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二期出水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151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152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153</w:t>
            </w:r>
          </w:p>
        </w:tc>
        <w:tc>
          <w:tcPr>
            <w:tcW w:w="200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154</w:t>
            </w:r>
          </w:p>
        </w:tc>
        <w:tc>
          <w:tcPr>
            <w:tcW w:w="200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155</w:t>
            </w:r>
          </w:p>
        </w:tc>
        <w:tc>
          <w:tcPr>
            <w:tcW w:w="200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156</w:t>
            </w:r>
          </w:p>
        </w:tc>
        <w:tc>
          <w:tcPr>
            <w:tcW w:w="200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FC-9624YL</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157</w:t>
            </w:r>
          </w:p>
        </w:tc>
        <w:tc>
          <w:tcPr>
            <w:tcW w:w="200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龙归厂</w:t>
            </w:r>
          </w:p>
        </w:tc>
        <w:tc>
          <w:tcPr>
            <w:tcW w:w="663" w:type="dxa"/>
            <w:vMerge w:val="restart"/>
            <w:shd w:val="clear" w:color="auto" w:fill="auto"/>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一二期进水</w:t>
            </w:r>
          </w:p>
          <w:p>
            <w:pPr>
              <w:bidi w:val="0"/>
              <w:jc w:val="center"/>
              <w:rPr>
                <w:rFonts w:hint="eastAsia" w:ascii="宋体" w:hAnsi="宋体" w:eastAsia="宋体" w:cs="宋体"/>
                <w:kern w:val="2"/>
                <w:sz w:val="20"/>
                <w:szCs w:val="20"/>
                <w:lang w:val="en-US" w:eastAsia="zh-CN" w:bidi="ar-SA"/>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158</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COD</w:t>
            </w:r>
            <w:r>
              <w:rPr>
                <w:rFonts w:hint="eastAsia" w:ascii="宋体" w:hAnsi="宋体" w:eastAsia="宋体" w:cs="宋体"/>
                <w:sz w:val="20"/>
                <w:szCs w:val="20"/>
                <w:vertAlign w:val="subscript"/>
                <w:lang w:val="en-US" w:eastAsia="zh-CN"/>
              </w:rPr>
              <w:t>Cr</w:t>
            </w:r>
            <w:r>
              <w:rPr>
                <w:rFonts w:hint="eastAsia" w:ascii="宋体" w:hAnsi="宋体" w:eastAsia="宋体" w:cs="宋体"/>
                <w:sz w:val="20"/>
                <w:szCs w:val="20"/>
                <w:lang w:val="en-US" w:eastAsia="zh-CN"/>
              </w:rPr>
              <w:t>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C310（COD）</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159</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NH</w:t>
            </w:r>
            <w:r>
              <w:rPr>
                <w:rFonts w:hint="eastAsia" w:ascii="宋体" w:hAnsi="宋体" w:eastAsia="宋体" w:cs="宋体"/>
                <w:sz w:val="20"/>
                <w:szCs w:val="20"/>
                <w:vertAlign w:val="subscript"/>
                <w:lang w:val="en-US" w:eastAsia="zh-CN"/>
              </w:rPr>
              <w:t>3</w:t>
            </w:r>
            <w:r>
              <w:rPr>
                <w:rFonts w:hint="eastAsia" w:ascii="宋体" w:hAnsi="宋体" w:eastAsia="宋体" w:cs="宋体"/>
                <w:sz w:val="20"/>
                <w:szCs w:val="20"/>
                <w:lang w:val="en-US" w:eastAsia="zh-CN"/>
              </w:rPr>
              <w:t>-N在线分析仪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C310（NH）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160</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TP/TN在线分析仪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TCU/TPN111</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161</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pH、水温在线分析仪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S310（pH）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162</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SS在线分析仪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C310（S）</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163</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自动采样器</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W310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164</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数据采集仪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ZE-DT2000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一期出水</w:t>
            </w:r>
          </w:p>
          <w:p>
            <w:pPr>
              <w:bidi w:val="0"/>
              <w:jc w:val="center"/>
              <w:rPr>
                <w:rFonts w:hint="eastAsia" w:ascii="宋体" w:hAnsi="宋体" w:eastAsia="宋体" w:cs="宋体"/>
                <w:kern w:val="2"/>
                <w:sz w:val="20"/>
                <w:szCs w:val="20"/>
                <w:lang w:val="en-US" w:eastAsia="zh-CN" w:bidi="ar-SA"/>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165</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COD</w:t>
            </w:r>
            <w:r>
              <w:rPr>
                <w:rFonts w:hint="eastAsia" w:ascii="宋体" w:hAnsi="宋体" w:eastAsia="宋体" w:cs="宋体"/>
                <w:sz w:val="20"/>
                <w:szCs w:val="20"/>
                <w:vertAlign w:val="subscript"/>
                <w:lang w:val="en-US" w:eastAsia="zh-CN"/>
              </w:rPr>
              <w:t>Cr</w:t>
            </w:r>
            <w:r>
              <w:rPr>
                <w:rFonts w:hint="eastAsia" w:ascii="宋体" w:hAnsi="宋体" w:eastAsia="宋体" w:cs="宋体"/>
                <w:sz w:val="20"/>
                <w:szCs w:val="20"/>
                <w:lang w:val="en-US" w:eastAsia="zh-CN"/>
              </w:rPr>
              <w:t>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C310（COD）</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166</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NH</w:t>
            </w:r>
            <w:r>
              <w:rPr>
                <w:rFonts w:hint="eastAsia" w:ascii="宋体" w:hAnsi="宋体" w:eastAsia="宋体" w:cs="宋体"/>
                <w:sz w:val="20"/>
                <w:szCs w:val="20"/>
                <w:vertAlign w:val="subscript"/>
                <w:lang w:val="en-US" w:eastAsia="zh-CN"/>
              </w:rPr>
              <w:t>3</w:t>
            </w:r>
            <w:r>
              <w:rPr>
                <w:rFonts w:hint="eastAsia" w:ascii="宋体" w:hAnsi="宋体" w:eastAsia="宋体" w:cs="宋体"/>
                <w:sz w:val="20"/>
                <w:szCs w:val="20"/>
                <w:lang w:val="en-US" w:eastAsia="zh-CN"/>
              </w:rPr>
              <w:t>-N在线分析仪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C310（NH）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167</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TP/TN在线分析仪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TCU/TPN111</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168</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pH、水温在线分析仪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S310（pH）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169</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SS在线分析仪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C310（S）</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170</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自动采样器</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W310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171</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数据采集仪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ZE-DT2000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二期出水</w:t>
            </w: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172</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COD</w:t>
            </w:r>
            <w:r>
              <w:rPr>
                <w:rFonts w:hint="eastAsia" w:ascii="宋体" w:hAnsi="宋体" w:eastAsia="宋体" w:cs="宋体"/>
                <w:sz w:val="20"/>
                <w:szCs w:val="20"/>
                <w:vertAlign w:val="subscript"/>
                <w:lang w:val="en-US" w:eastAsia="zh-CN"/>
              </w:rPr>
              <w:t>Cr</w:t>
            </w:r>
            <w:r>
              <w:rPr>
                <w:rFonts w:hint="eastAsia" w:ascii="宋体" w:hAnsi="宋体" w:eastAsia="宋体" w:cs="宋体"/>
                <w:sz w:val="20"/>
                <w:szCs w:val="20"/>
                <w:lang w:val="en-US" w:eastAsia="zh-CN"/>
              </w:rPr>
              <w:t>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173</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NH</w:t>
            </w:r>
            <w:r>
              <w:rPr>
                <w:rFonts w:hint="eastAsia" w:ascii="宋体" w:hAnsi="宋体" w:eastAsia="宋体" w:cs="宋体"/>
                <w:sz w:val="20"/>
                <w:szCs w:val="20"/>
                <w:vertAlign w:val="subscript"/>
                <w:lang w:val="en-US" w:eastAsia="zh-CN"/>
              </w:rPr>
              <w:t>3</w:t>
            </w:r>
            <w:r>
              <w:rPr>
                <w:rFonts w:hint="eastAsia" w:ascii="宋体" w:hAnsi="宋体" w:eastAsia="宋体" w:cs="宋体"/>
                <w:sz w:val="20"/>
                <w:szCs w:val="20"/>
                <w:lang w:val="en-US" w:eastAsia="zh-CN"/>
              </w:rPr>
              <w:t>-N在线分析仪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174</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TP在线分析仪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175</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TN在线分析仪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TNP-4200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176</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pH在线分析仪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177</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SS在线分析仪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178</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水温在线分析仪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TS500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179</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自动采样器</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FC-9624YL</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180</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数据采集仪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三期进水</w:t>
            </w: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181</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COD</w:t>
            </w:r>
            <w:r>
              <w:rPr>
                <w:rFonts w:hint="eastAsia" w:ascii="宋体" w:hAnsi="宋体" w:eastAsia="宋体" w:cs="宋体"/>
                <w:sz w:val="20"/>
                <w:szCs w:val="20"/>
                <w:vertAlign w:val="subscript"/>
                <w:lang w:val="en-US" w:eastAsia="zh-CN"/>
              </w:rPr>
              <w:t>Cr</w:t>
            </w:r>
            <w:r>
              <w:rPr>
                <w:rFonts w:hint="eastAsia" w:ascii="宋体" w:hAnsi="宋体" w:eastAsia="宋体" w:cs="宋体"/>
                <w:sz w:val="20"/>
                <w:szCs w:val="20"/>
                <w:lang w:val="en-US" w:eastAsia="zh-CN"/>
              </w:rPr>
              <w:t>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182</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NH</w:t>
            </w:r>
            <w:r>
              <w:rPr>
                <w:rFonts w:hint="eastAsia" w:ascii="宋体" w:hAnsi="宋体" w:eastAsia="宋体" w:cs="宋体"/>
                <w:sz w:val="20"/>
                <w:szCs w:val="20"/>
                <w:vertAlign w:val="subscript"/>
                <w:lang w:val="en-US" w:eastAsia="zh-CN"/>
              </w:rPr>
              <w:t>3</w:t>
            </w:r>
            <w:r>
              <w:rPr>
                <w:rFonts w:hint="eastAsia" w:ascii="宋体" w:hAnsi="宋体" w:eastAsia="宋体" w:cs="宋体"/>
                <w:sz w:val="20"/>
                <w:szCs w:val="20"/>
                <w:lang w:val="en-US" w:eastAsia="zh-CN"/>
              </w:rPr>
              <w:t>-N在线分析仪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183</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TP在线分析仪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184</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TN在线分析仪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PCM300-TN</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185</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pH、水温在线分析仪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186</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SS在线分析仪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187</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自动采样器</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AS950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188</w:t>
            </w:r>
          </w:p>
        </w:tc>
        <w:tc>
          <w:tcPr>
            <w:tcW w:w="200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数据采集仪</w:t>
            </w:r>
          </w:p>
        </w:tc>
        <w:tc>
          <w:tcPr>
            <w:tcW w:w="1621"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三期出水</w:t>
            </w: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189</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sz w:val="20"/>
                <w:szCs w:val="20"/>
                <w:lang w:val="en-US" w:eastAsia="zh-CN"/>
              </w:rPr>
              <w:t>COD</w:t>
            </w:r>
            <w:r>
              <w:rPr>
                <w:rFonts w:hint="eastAsia" w:ascii="宋体" w:hAnsi="宋体" w:eastAsia="宋体" w:cs="宋体"/>
                <w:sz w:val="20"/>
                <w:szCs w:val="20"/>
                <w:vertAlign w:val="subscript"/>
                <w:lang w:val="en-US" w:eastAsia="zh-CN"/>
              </w:rPr>
              <w:t>Cr</w:t>
            </w:r>
            <w:r>
              <w:rPr>
                <w:rFonts w:hint="eastAsia" w:ascii="宋体" w:hAnsi="宋体" w:eastAsia="宋体" w:cs="宋体"/>
                <w:sz w:val="20"/>
                <w:szCs w:val="20"/>
                <w:lang w:val="en-US" w:eastAsia="zh-CN"/>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190</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sz w:val="20"/>
                <w:szCs w:val="20"/>
                <w:lang w:val="en-US" w:eastAsia="zh-CN"/>
              </w:rPr>
              <w:t>NH</w:t>
            </w:r>
            <w:r>
              <w:rPr>
                <w:rFonts w:hint="eastAsia" w:ascii="宋体" w:hAnsi="宋体" w:eastAsia="宋体" w:cs="宋体"/>
                <w:sz w:val="20"/>
                <w:szCs w:val="20"/>
                <w:vertAlign w:val="subscript"/>
                <w:lang w:val="en-US" w:eastAsia="zh-CN"/>
              </w:rPr>
              <w:t>3</w:t>
            </w:r>
            <w:r>
              <w:rPr>
                <w:rFonts w:hint="eastAsia" w:ascii="宋体" w:hAnsi="宋体" w:eastAsia="宋体" w:cs="宋体"/>
                <w:sz w:val="20"/>
                <w:szCs w:val="20"/>
                <w:lang w:val="en-US" w:eastAsia="zh-CN"/>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191</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192</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PCM300-TN</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193</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194</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195</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AS950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shd w:val="clear" w:color="auto" w:fill="auto"/>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196</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en-US"/>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5</w:t>
            </w:r>
            <w:r>
              <w:rPr>
                <w:rFonts w:hint="eastAsia" w:ascii="宋体" w:hAnsi="宋体" w:eastAsia="宋体" w:cs="宋体"/>
                <w:sz w:val="20"/>
                <w:szCs w:val="20"/>
                <w:lang w:eastAsia="zh-CN"/>
              </w:rPr>
              <w:t>月</w:t>
            </w:r>
            <w:r>
              <w:rPr>
                <w:rFonts w:hint="eastAsia" w:ascii="宋体" w:hAnsi="宋体" w:eastAsia="宋体" w:cs="宋体"/>
                <w:sz w:val="20"/>
                <w:szCs w:val="20"/>
                <w:lang w:val="en-US" w:eastAsia="zh-CN"/>
              </w:rPr>
              <w:t>9</w:t>
            </w:r>
            <w:r>
              <w:rPr>
                <w:rFonts w:hint="eastAsia" w:ascii="宋体" w:hAnsi="宋体" w:eastAsia="宋体" w:cs="宋体"/>
                <w:sz w:val="20"/>
                <w:szCs w:val="20"/>
                <w:lang w:eastAsia="zh-CN"/>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竹料厂</w:t>
            </w: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进水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197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C310（COD）</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198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C310（NH）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199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TCU/TPN111</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200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S310（pH）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201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C310（S）</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202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W310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203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ZE-DT2000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204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205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Intre2C</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206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207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UNI20-P-0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208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UNI20-D-0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209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FC-9624YL</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210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20</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均禾厂</w:t>
            </w: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进水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211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C310（COD）</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212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C310（NH）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213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C310(TP)</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214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C310(TN)</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215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S310（pH）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216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C310（S）</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217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W310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218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ZE-DT2000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一期出水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219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C310（COD）</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220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C310（NH）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221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TCU/TPN111</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222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S310（pH）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223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224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W310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225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ZE-DT2000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二期出水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226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C310（COD）</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227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228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C310(TP)</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229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230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CM442-3PQ7/0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231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232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FC-9624YLAB</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233</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12</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京溪厂</w:t>
            </w: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进水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234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C310（COD）</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235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C310（NH）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236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C310(TP)</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237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C310(TN)</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238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S310（pH）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239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S310（S）</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240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W310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241</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ZE-DT2000</w:t>
            </w:r>
          </w:p>
        </w:tc>
        <w:tc>
          <w:tcPr>
            <w:tcW w:w="1738"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242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C310（COD）</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243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C310（NH）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244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TCU/TPN111</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245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S310（pH）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246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S310（S）</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247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W310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248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ZE-DT2000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19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bidi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石井净水厂</w:t>
            </w:r>
          </w:p>
        </w:tc>
        <w:tc>
          <w:tcPr>
            <w:tcW w:w="663" w:type="dxa"/>
            <w:vMerge w:val="restart"/>
            <w:shd w:val="clear" w:color="auto" w:fill="auto"/>
            <w:noWrap w:val="0"/>
            <w:vAlign w:val="center"/>
          </w:tcPr>
          <w:p>
            <w:pPr>
              <w:bidi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进水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249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250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251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252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253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254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SMA-S-N</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255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一期出水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256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257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258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259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PCM300-TN</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260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261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262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SMA-S-N</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263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二期出水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264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265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266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267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7300w2</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268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269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AS950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270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4</w:t>
            </w:r>
            <w:r>
              <w:rPr>
                <w:rFonts w:hint="eastAsia" w:ascii="宋体" w:hAnsi="宋体" w:eastAsia="宋体" w:cs="宋体"/>
                <w:b w:val="0"/>
                <w:bCs/>
                <w:sz w:val="20"/>
                <w:szCs w:val="20"/>
                <w:lang w:eastAsia="zh-CN" w:bidi="ar"/>
              </w:rPr>
              <w:t>日</w:t>
            </w:r>
            <w:r>
              <w:rPr>
                <w:rFonts w:hint="eastAsia" w:ascii="宋体" w:hAnsi="宋体" w:eastAsia="宋体" w:cs="宋体"/>
                <w:sz w:val="20"/>
                <w:szCs w:val="20"/>
                <w:lang w:val="en-US" w:eastAsia="zh-CN"/>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大观</w:t>
            </w: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进水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271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272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273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274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275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276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AS950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277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278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279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280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281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282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283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AS950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284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10</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健康城厂</w:t>
            </w: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进水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285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286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287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288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289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290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AS950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291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restart"/>
            <w:shd w:val="clear" w:color="auto" w:fill="auto"/>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292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293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294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295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296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297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AS950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298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24</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江高厂</w:t>
            </w: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进水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299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300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301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302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303</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304</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AS950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305</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restart"/>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出水</w:t>
            </w: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306</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CODmaxⅡ</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307</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AmtaxNA8000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308</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309</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eastAsia" w:ascii="宋体" w:hAnsi="宋体" w:cs="宋体" w:eastAsiaTheme="minorEastAsia"/>
                <w:kern w:val="2"/>
                <w:sz w:val="20"/>
                <w:szCs w:val="20"/>
                <w:lang w:val="en-US" w:eastAsia="zh-CN" w:bidi="ar-SA"/>
              </w:rPr>
            </w:pPr>
            <w:r>
              <w:rPr>
                <w:rFonts w:hint="eastAsia" w:ascii="宋体" w:hAnsi="宋体" w:cs="宋体"/>
                <w:sz w:val="20"/>
                <w:szCs w:val="20"/>
                <w:lang w:val="en-US" w:eastAsia="zh-CN"/>
              </w:rPr>
              <w:t>310</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311</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AS950</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noWrap w:val="0"/>
            <w:vAlign w:val="center"/>
          </w:tcPr>
          <w:p>
            <w:pPr>
              <w:bidi w:val="0"/>
              <w:jc w:val="center"/>
              <w:rPr>
                <w:rFonts w:hint="eastAsia" w:ascii="宋体" w:hAnsi="宋体" w:eastAsia="宋体" w:cs="宋体"/>
                <w:sz w:val="20"/>
                <w:szCs w:val="20"/>
              </w:rPr>
            </w:pPr>
          </w:p>
        </w:tc>
        <w:tc>
          <w:tcPr>
            <w:tcW w:w="663" w:type="dxa"/>
            <w:vMerge w:val="continue"/>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eastAsiaTheme="minorEastAsia"/>
                <w:kern w:val="2"/>
                <w:sz w:val="20"/>
                <w:szCs w:val="20"/>
                <w:lang w:val="en-US" w:eastAsia="zh-CN" w:bidi="ar-SA"/>
              </w:rPr>
            </w:pPr>
            <w:r>
              <w:rPr>
                <w:rFonts w:hint="eastAsia" w:ascii="宋体" w:hAnsi="宋体" w:cs="宋体"/>
                <w:kern w:val="2"/>
                <w:sz w:val="20"/>
                <w:szCs w:val="20"/>
                <w:lang w:val="en-US" w:eastAsia="zh-CN" w:bidi="ar-SA"/>
              </w:rPr>
              <w:t>312</w:t>
            </w:r>
          </w:p>
        </w:tc>
        <w:tc>
          <w:tcPr>
            <w:tcW w:w="2001" w:type="dxa"/>
            <w:noWrap w:val="0"/>
            <w:vAlign w:val="center"/>
          </w:tcPr>
          <w:p>
            <w:pPr>
              <w:widowControl/>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8</w:t>
            </w:r>
            <w:r>
              <w:rPr>
                <w:rFonts w:hint="eastAsia" w:ascii="宋体" w:hAnsi="宋体" w:eastAsia="宋体" w:cs="宋体"/>
                <w:b w:val="0"/>
                <w:bCs/>
                <w:sz w:val="20"/>
                <w:szCs w:val="20"/>
                <w:lang w:eastAsia="zh-CN" w:bidi="ar"/>
              </w:rPr>
              <w:t>月</w:t>
            </w:r>
            <w:r>
              <w:rPr>
                <w:rFonts w:hint="eastAsia" w:ascii="宋体" w:hAnsi="宋体" w:eastAsia="宋体" w:cs="宋体"/>
                <w:b w:val="0"/>
                <w:bCs/>
                <w:sz w:val="20"/>
                <w:szCs w:val="20"/>
                <w:lang w:val="en-US" w:eastAsia="zh-CN" w:bidi="ar"/>
              </w:rPr>
              <w:t>29</w:t>
            </w:r>
            <w:r>
              <w:rPr>
                <w:rFonts w:hint="eastAsia" w:ascii="宋体" w:hAnsi="宋体" w:eastAsia="宋体" w:cs="宋体"/>
                <w:b w:val="0"/>
                <w:bCs/>
                <w:sz w:val="20"/>
                <w:szCs w:val="20"/>
                <w:lang w:eastAsia="zh-CN" w:bidi="ar"/>
              </w:rPr>
              <w:t>日</w:t>
            </w:r>
            <w:r>
              <w:rPr>
                <w:rFonts w:hint="eastAsia" w:ascii="宋体" w:hAnsi="宋体" w:eastAsia="宋体" w:cs="宋体"/>
                <w:b w:val="0"/>
                <w:bCs/>
                <w:sz w:val="20"/>
                <w:szCs w:val="20"/>
                <w:lang w:val="en-US" w:eastAsia="zh-CN" w:bidi="ar"/>
              </w:rPr>
              <w:t>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restart"/>
            <w:shd w:val="clear" w:color="auto" w:fill="auto"/>
            <w:noWrap w:val="0"/>
            <w:vAlign w:val="center"/>
          </w:tcPr>
          <w:p>
            <w:pPr>
              <w:bidi w:val="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水质中心</w:t>
            </w:r>
          </w:p>
        </w:tc>
        <w:tc>
          <w:tcPr>
            <w:tcW w:w="663" w:type="dxa"/>
            <w:vMerge w:val="restart"/>
            <w:shd w:val="clear" w:color="auto" w:fill="auto"/>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备机</w:t>
            </w: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313</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COD MAXⅡ</w:t>
            </w:r>
          </w:p>
        </w:tc>
        <w:tc>
          <w:tcPr>
            <w:tcW w:w="1738" w:type="dxa"/>
            <w:noWrap w:val="0"/>
            <w:vAlign w:val="center"/>
          </w:tcPr>
          <w:p>
            <w:pPr>
              <w:bidi w:val="0"/>
              <w:jc w:val="center"/>
              <w:rPr>
                <w:rFonts w:hint="default" w:ascii="宋体" w:hAnsi="宋体" w:eastAsia="宋体" w:cs="宋体"/>
                <w:kern w:val="2"/>
                <w:sz w:val="20"/>
                <w:szCs w:val="20"/>
                <w:lang w:val="en-US" w:eastAsia="zh-CN" w:bidi="ar-SA"/>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314</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NA8000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315</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Sigma</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316</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317</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318</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319</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PAS-305A</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320</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321</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COD MAXⅡ</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322</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NA8000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323</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Sigma</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324</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NPW-160H</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325</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326</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SC200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327</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PAS-305A</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328</w:t>
            </w:r>
          </w:p>
        </w:tc>
        <w:tc>
          <w:tcPr>
            <w:tcW w:w="2001" w:type="dxa"/>
            <w:noWrap w:val="0"/>
            <w:vAlign w:val="center"/>
          </w:tcPr>
          <w:p>
            <w:pPr>
              <w:widowControl/>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329</w:t>
            </w:r>
          </w:p>
        </w:tc>
        <w:tc>
          <w:tcPr>
            <w:tcW w:w="2001" w:type="dxa"/>
            <w:noWrap w:val="0"/>
            <w:vAlign w:val="center"/>
          </w:tcPr>
          <w:p>
            <w:pPr>
              <w:widowControl/>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PCM300-CODcr</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330</w:t>
            </w:r>
          </w:p>
        </w:tc>
        <w:tc>
          <w:tcPr>
            <w:tcW w:w="2001" w:type="dxa"/>
            <w:noWrap w:val="0"/>
            <w:vAlign w:val="center"/>
          </w:tcPr>
          <w:p>
            <w:pPr>
              <w:widowControl/>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PCM300-NH3-N</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331</w:t>
            </w:r>
          </w:p>
        </w:tc>
        <w:tc>
          <w:tcPr>
            <w:tcW w:w="2001" w:type="dxa"/>
            <w:noWrap w:val="0"/>
            <w:vAlign w:val="center"/>
          </w:tcPr>
          <w:p>
            <w:pPr>
              <w:tabs>
                <w:tab w:val="left" w:pos="5527"/>
              </w:tabs>
              <w:bidi w:val="0"/>
              <w:jc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PCM300-TP</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332</w:t>
            </w:r>
          </w:p>
        </w:tc>
        <w:tc>
          <w:tcPr>
            <w:tcW w:w="2001" w:type="dxa"/>
            <w:noWrap w:val="0"/>
            <w:vAlign w:val="center"/>
          </w:tcPr>
          <w:p>
            <w:pPr>
              <w:widowControl/>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C310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333</w:t>
            </w:r>
          </w:p>
        </w:tc>
        <w:tc>
          <w:tcPr>
            <w:tcW w:w="2001" w:type="dxa"/>
            <w:noWrap w:val="0"/>
            <w:vAlign w:val="center"/>
          </w:tcPr>
          <w:p>
            <w:pPr>
              <w:widowControl/>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C310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334</w:t>
            </w:r>
          </w:p>
        </w:tc>
        <w:tc>
          <w:tcPr>
            <w:tcW w:w="2001" w:type="dxa"/>
            <w:noWrap w:val="0"/>
            <w:vAlign w:val="center"/>
          </w:tcPr>
          <w:p>
            <w:pPr>
              <w:tabs>
                <w:tab w:val="left" w:pos="5527"/>
              </w:tabs>
              <w:bidi w:val="0"/>
              <w:jc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TP/TN在线分析仪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TCU/TPN111</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335</w:t>
            </w:r>
          </w:p>
        </w:tc>
        <w:tc>
          <w:tcPr>
            <w:tcW w:w="2001" w:type="dxa"/>
            <w:noWrap w:val="0"/>
            <w:vAlign w:val="center"/>
          </w:tcPr>
          <w:p>
            <w:pPr>
              <w:tabs>
                <w:tab w:val="left" w:pos="5527"/>
              </w:tabs>
              <w:bidi w:val="0"/>
              <w:jc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tabs>
                <w:tab w:val="left" w:pos="5527"/>
              </w:tabs>
              <w:bidi w:val="0"/>
              <w:jc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UNI-20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336</w:t>
            </w:r>
          </w:p>
        </w:tc>
        <w:tc>
          <w:tcPr>
            <w:tcW w:w="2001" w:type="dxa"/>
            <w:noWrap w:val="0"/>
            <w:vAlign w:val="center"/>
          </w:tcPr>
          <w:p>
            <w:pPr>
              <w:tabs>
                <w:tab w:val="left" w:pos="5527"/>
              </w:tabs>
              <w:bidi w:val="0"/>
              <w:jc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tabs>
                <w:tab w:val="left" w:pos="5527"/>
              </w:tabs>
              <w:bidi w:val="0"/>
              <w:jc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UNI-20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337</w:t>
            </w:r>
          </w:p>
        </w:tc>
        <w:tc>
          <w:tcPr>
            <w:tcW w:w="2001" w:type="dxa"/>
            <w:noWrap w:val="0"/>
            <w:vAlign w:val="center"/>
          </w:tcPr>
          <w:p>
            <w:pPr>
              <w:tabs>
                <w:tab w:val="left" w:pos="5527"/>
              </w:tabs>
              <w:bidi w:val="0"/>
              <w:jc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338</w:t>
            </w:r>
          </w:p>
        </w:tc>
        <w:tc>
          <w:tcPr>
            <w:tcW w:w="2001" w:type="dxa"/>
            <w:noWrap w:val="0"/>
            <w:vAlign w:val="center"/>
          </w:tcPr>
          <w:p>
            <w:pPr>
              <w:tabs>
                <w:tab w:val="left" w:pos="5527"/>
              </w:tabs>
              <w:bidi w:val="0"/>
              <w:jc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数据采集仪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K37A</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339</w:t>
            </w:r>
          </w:p>
        </w:tc>
        <w:tc>
          <w:tcPr>
            <w:tcW w:w="2001" w:type="dxa"/>
            <w:noWrap w:val="0"/>
            <w:vAlign w:val="center"/>
          </w:tcPr>
          <w:p>
            <w:pPr>
              <w:bidi w:val="0"/>
              <w:jc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color w:val="000000"/>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PCM200-COD</w:t>
            </w:r>
            <w:r>
              <w:rPr>
                <w:rStyle w:val="46"/>
                <w:color w:val="000000"/>
                <w:lang w:val="en-US" w:eastAsia="zh-CN" w:bidi="ar"/>
              </w:rPr>
              <w:t>Cr</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340</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PCM200-COD</w:t>
            </w:r>
            <w:r>
              <w:rPr>
                <w:rStyle w:val="46"/>
                <w:color w:val="000000"/>
                <w:lang w:val="en-US" w:eastAsia="zh-CN" w:bidi="ar"/>
              </w:rPr>
              <w:t>Cr</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341</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PCM200-COD</w:t>
            </w:r>
            <w:r>
              <w:rPr>
                <w:rStyle w:val="46"/>
                <w:color w:val="000000"/>
                <w:lang w:val="en-US" w:eastAsia="zh-CN" w:bidi="ar"/>
              </w:rPr>
              <w:t>Cr</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342</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COD</w:t>
            </w:r>
            <w:r>
              <w:rPr>
                <w:rFonts w:hint="eastAsia" w:ascii="宋体" w:hAnsi="宋体" w:eastAsia="宋体" w:cs="宋体"/>
                <w:b w:val="0"/>
                <w:bCs/>
                <w:sz w:val="20"/>
                <w:szCs w:val="20"/>
                <w:vertAlign w:val="subscript"/>
                <w:lang w:val="en-US" w:eastAsia="zh-CN" w:bidi="ar"/>
              </w:rPr>
              <w:t>Cr</w:t>
            </w:r>
            <w:r>
              <w:rPr>
                <w:rFonts w:hint="eastAsia" w:ascii="宋体" w:hAnsi="宋体" w:eastAsia="宋体" w:cs="宋体"/>
                <w:b w:val="0"/>
                <w:bCs/>
                <w:sz w:val="20"/>
                <w:szCs w:val="20"/>
                <w:lang w:val="en-US" w:eastAsia="zh-CN" w:bidi="ar"/>
              </w:rPr>
              <w:t>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PCM200-COD</w:t>
            </w:r>
            <w:r>
              <w:rPr>
                <w:rStyle w:val="46"/>
                <w:color w:val="000000"/>
                <w:lang w:val="en-US" w:eastAsia="zh-CN" w:bidi="ar"/>
              </w:rPr>
              <w:t>Cr</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343</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PCM200-NH3N</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344</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PCM200-NH3N</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345</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PCM200-NH3N</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346</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NH</w:t>
            </w:r>
            <w:r>
              <w:rPr>
                <w:rFonts w:hint="eastAsia" w:ascii="宋体" w:hAnsi="宋体" w:eastAsia="宋体" w:cs="宋体"/>
                <w:b w:val="0"/>
                <w:bCs/>
                <w:sz w:val="20"/>
                <w:szCs w:val="20"/>
                <w:vertAlign w:val="subscript"/>
                <w:lang w:val="en-US" w:eastAsia="zh-CN" w:bidi="ar"/>
              </w:rPr>
              <w:t>3</w:t>
            </w:r>
            <w:r>
              <w:rPr>
                <w:rFonts w:hint="eastAsia" w:ascii="宋体" w:hAnsi="宋体" w:eastAsia="宋体" w:cs="宋体"/>
                <w:b w:val="0"/>
                <w:bCs/>
                <w:sz w:val="20"/>
                <w:szCs w:val="20"/>
                <w:lang w:val="en-US" w:eastAsia="zh-CN" w:bidi="ar"/>
              </w:rPr>
              <w: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PCM200-NH3N</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347</w:t>
            </w:r>
          </w:p>
        </w:tc>
        <w:tc>
          <w:tcPr>
            <w:tcW w:w="2001" w:type="dxa"/>
            <w:noWrap w:val="0"/>
            <w:vAlign w:val="center"/>
          </w:tcPr>
          <w:p>
            <w:pPr>
              <w:tabs>
                <w:tab w:val="left" w:pos="5527"/>
              </w:tabs>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PCM200-TP</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348</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PCM200-TP</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349</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PCM200-TP</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350</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TP在线分析仪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PCM200-TP</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351</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PCM200-TN</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352</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PCM200-TN</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353</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PCM200-TN</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354</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TN在线分析仪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PCM200-TN</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355</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UNI-20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356</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pH、水温在线分析仪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UNI-20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357</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UNI-20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358</w:t>
            </w:r>
          </w:p>
        </w:tc>
        <w:tc>
          <w:tcPr>
            <w:tcW w:w="2001" w:type="dxa"/>
            <w:noWrap w:val="0"/>
            <w:vAlign w:val="center"/>
          </w:tcPr>
          <w:p>
            <w:pPr>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SS在线分析仪</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UNI-20</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63" w:type="dxa"/>
            <w:vMerge w:val="continue"/>
            <w:shd w:val="clear" w:color="auto" w:fill="auto"/>
            <w:noWrap w:val="0"/>
            <w:vAlign w:val="center"/>
          </w:tcPr>
          <w:p>
            <w:pPr>
              <w:bidi w:val="0"/>
              <w:jc w:val="center"/>
              <w:rPr>
                <w:rFonts w:hint="eastAsia" w:ascii="宋体" w:hAnsi="宋体" w:eastAsia="宋体" w:cs="宋体"/>
                <w:sz w:val="20"/>
                <w:szCs w:val="20"/>
              </w:rPr>
            </w:pPr>
          </w:p>
        </w:tc>
        <w:tc>
          <w:tcPr>
            <w:tcW w:w="601" w:type="dxa"/>
            <w:noWrap w:val="0"/>
            <w:vAlign w:val="center"/>
          </w:tcPr>
          <w:p>
            <w:pPr>
              <w:bidi w:val="0"/>
              <w:jc w:val="center"/>
              <w:rPr>
                <w:rFonts w:hint="default" w:ascii="宋体" w:hAnsi="宋体" w:cs="宋体"/>
                <w:kern w:val="2"/>
                <w:sz w:val="20"/>
                <w:szCs w:val="20"/>
                <w:lang w:val="en-US" w:eastAsia="zh-CN" w:bidi="ar-SA"/>
              </w:rPr>
            </w:pPr>
            <w:r>
              <w:rPr>
                <w:rFonts w:hint="eastAsia" w:ascii="宋体" w:hAnsi="宋体" w:cs="宋体"/>
                <w:kern w:val="2"/>
                <w:sz w:val="20"/>
                <w:szCs w:val="20"/>
                <w:lang w:val="en-US" w:eastAsia="zh-CN" w:bidi="ar-SA"/>
              </w:rPr>
              <w:t>359</w:t>
            </w:r>
          </w:p>
        </w:tc>
        <w:tc>
          <w:tcPr>
            <w:tcW w:w="2001" w:type="dxa"/>
            <w:noWrap w:val="0"/>
            <w:vAlign w:val="center"/>
          </w:tcPr>
          <w:p>
            <w:pPr>
              <w:tabs>
                <w:tab w:val="left" w:pos="5527"/>
              </w:tabs>
              <w:bidi w:val="0"/>
              <w:jc w:val="center"/>
              <w:rPr>
                <w:rFonts w:hint="eastAsia" w:ascii="宋体" w:hAnsi="宋体" w:eastAsia="宋体" w:cs="宋体"/>
                <w:b w:val="0"/>
                <w:bCs/>
                <w:kern w:val="2"/>
                <w:sz w:val="20"/>
                <w:szCs w:val="20"/>
                <w:lang w:val="en-US" w:eastAsia="zh-CN" w:bidi="ar"/>
              </w:rPr>
            </w:pPr>
            <w:r>
              <w:rPr>
                <w:rFonts w:hint="eastAsia" w:ascii="宋体" w:hAnsi="宋体" w:eastAsia="宋体" w:cs="宋体"/>
                <w:b w:val="0"/>
                <w:bCs/>
                <w:sz w:val="20"/>
                <w:szCs w:val="20"/>
                <w:lang w:val="en-US" w:eastAsia="zh-CN" w:bidi="ar"/>
              </w:rPr>
              <w:t>自动采样器</w:t>
            </w:r>
          </w:p>
        </w:tc>
        <w:tc>
          <w:tcPr>
            <w:tcW w:w="1621" w:type="dxa"/>
            <w:noWrap w:val="0"/>
            <w:vAlign w:val="center"/>
          </w:tcPr>
          <w:p>
            <w:pPr>
              <w:keepNext w:val="0"/>
              <w:keepLines w:val="0"/>
              <w:widowControl/>
              <w:suppressLineNumbers w:val="0"/>
              <w:jc w:val="center"/>
              <w:textAlignment w:val="center"/>
              <w:rPr>
                <w:rFonts w:hint="eastAsia" w:ascii="宋体" w:hAnsi="宋体" w:eastAsia="宋体" w:cs="宋体"/>
                <w:b w:val="0"/>
                <w:bCs/>
                <w:kern w:val="2"/>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PAS-305A</w:t>
            </w:r>
          </w:p>
        </w:tc>
        <w:tc>
          <w:tcPr>
            <w:tcW w:w="1738" w:type="dxa"/>
            <w:noWrap w:val="0"/>
            <w:vAlign w:val="center"/>
          </w:tcPr>
          <w:p>
            <w:pPr>
              <w:bidi w:val="0"/>
              <w:jc w:val="center"/>
              <w:rPr>
                <w:rFonts w:hint="eastAsia" w:ascii="宋体" w:hAnsi="宋体" w:eastAsia="宋体" w:cs="宋体"/>
                <w:b w:val="0"/>
                <w:bCs/>
                <w:sz w:val="20"/>
                <w:szCs w:val="20"/>
                <w:lang w:val="en-US" w:eastAsia="zh-CN" w:bidi="ar"/>
              </w:rPr>
            </w:pPr>
            <w:r>
              <w:rPr>
                <w:rFonts w:hint="eastAsia" w:ascii="宋体" w:hAnsi="宋体" w:eastAsia="宋体" w:cs="宋体"/>
                <w:b w:val="0"/>
                <w:bCs/>
                <w:sz w:val="20"/>
                <w:szCs w:val="20"/>
                <w:lang w:val="en-US" w:eastAsia="zh-CN" w:bidi="ar"/>
              </w:rPr>
              <w:t>6月10日前</w:t>
            </w:r>
          </w:p>
        </w:tc>
        <w:tc>
          <w:tcPr>
            <w:tcW w:w="683" w:type="dxa"/>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70" w:type="dxa"/>
            <w:gridSpan w:val="7"/>
            <w:noWrap w:val="0"/>
            <w:vAlign w:val="center"/>
          </w:tcPr>
          <w:p>
            <w:pPr>
              <w:bidi w:val="0"/>
              <w:jc w:val="center"/>
              <w:rPr>
                <w:rFonts w:hint="eastAsia" w:ascii="宋体" w:hAnsi="宋体" w:eastAsia="宋体" w:cs="宋体"/>
                <w:sz w:val="20"/>
                <w:szCs w:val="20"/>
                <w:lang w:val="en-US" w:eastAsia="zh-CN"/>
              </w:rPr>
            </w:pPr>
            <w:r>
              <w:rPr>
                <w:rFonts w:hint="eastAsia" w:ascii="宋体" w:hAnsi="宋体" w:eastAsia="宋体" w:cs="宋体"/>
                <w:b w:val="0"/>
                <w:bCs/>
                <w:sz w:val="20"/>
                <w:szCs w:val="20"/>
                <w:lang w:val="en-US" w:eastAsia="zh-CN" w:bidi="ar"/>
              </w:rPr>
              <w:t>合计</w:t>
            </w:r>
            <w:r>
              <w:rPr>
                <w:rFonts w:hint="eastAsia"/>
                <w:color w:val="000000"/>
                <w:kern w:val="0"/>
                <w:sz w:val="22"/>
                <w:szCs w:val="22"/>
                <w:lang w:bidi="ar"/>
              </w:rPr>
              <w:t>（</w:t>
            </w:r>
            <w:r>
              <w:rPr>
                <w:rFonts w:hint="eastAsia" w:ascii="宋体" w:hAnsi="宋体" w:eastAsia="宋体" w:cs="宋体"/>
                <w:b w:val="0"/>
                <w:bCs/>
                <w:kern w:val="2"/>
                <w:sz w:val="18"/>
                <w:szCs w:val="18"/>
                <w:lang w:val="en-US" w:eastAsia="zh-CN" w:bidi="ar"/>
              </w:rPr>
              <w:t>含税6%</w:t>
            </w:r>
            <w:r>
              <w:rPr>
                <w:rFonts w:hint="eastAsia"/>
                <w:color w:val="000000"/>
                <w:kern w:val="0"/>
                <w:sz w:val="22"/>
                <w:szCs w:val="22"/>
                <w:lang w:bidi="ar"/>
              </w:rPr>
              <w:t>）</w:t>
            </w:r>
          </w:p>
        </w:tc>
        <w:tc>
          <w:tcPr>
            <w:tcW w:w="1158" w:type="dxa"/>
            <w:noWrap w:val="0"/>
            <w:vAlign w:val="center"/>
          </w:tcPr>
          <w:p>
            <w:pPr>
              <w:bidi w:val="0"/>
              <w:jc w:val="center"/>
              <w:rPr>
                <w:rFonts w:hint="eastAsia" w:ascii="宋体" w:hAnsi="宋体" w:eastAsia="宋体" w:cs="宋体"/>
                <w:sz w:val="20"/>
                <w:szCs w:val="20"/>
              </w:rPr>
            </w:pPr>
          </w:p>
        </w:tc>
        <w:tc>
          <w:tcPr>
            <w:tcW w:w="1144" w:type="dxa"/>
            <w:noWrap w:val="0"/>
            <w:vAlign w:val="center"/>
          </w:tcPr>
          <w:p>
            <w:pPr>
              <w:bidi w:val="0"/>
              <w:jc w:val="center"/>
              <w:rPr>
                <w:rFonts w:hint="eastAsia" w:ascii="宋体" w:hAnsi="宋体" w:eastAsia="宋体" w:cs="宋体"/>
                <w:sz w:val="20"/>
                <w:szCs w:val="20"/>
              </w:rPr>
            </w:pPr>
          </w:p>
        </w:tc>
      </w:tr>
    </w:tbl>
    <w:p>
      <w:pPr>
        <w:pStyle w:val="21"/>
        <w:widowControl w:val="0"/>
        <w:numPr>
          <w:ilvl w:val="0"/>
          <w:numId w:val="0"/>
        </w:numPr>
        <w:spacing w:after="120"/>
        <w:jc w:val="both"/>
        <w:rPr>
          <w:rFonts w:hint="default" w:ascii="仿宋" w:hAnsi="仿宋" w:eastAsia="仿宋" w:cs="仿宋"/>
          <w:b/>
          <w:i w:val="0"/>
          <w:color w:val="000000"/>
          <w:kern w:val="0"/>
          <w:sz w:val="28"/>
          <w:szCs w:val="28"/>
          <w:highlight w:val="none"/>
          <w:u w:val="none"/>
          <w:lang w:val="en-US" w:eastAsia="zh-CN" w:bidi="ar"/>
        </w:rPr>
      </w:pPr>
    </w:p>
    <w:p>
      <w:pPr>
        <w:rPr>
          <w:rFonts w:hint="default" w:eastAsiaTheme="minorEastAsia"/>
          <w:color w:val="auto"/>
          <w:highlight w:val="none"/>
          <w:lang w:val="en-US" w:eastAsia="zh-CN"/>
        </w:rPr>
      </w:pPr>
    </w:p>
    <w:p>
      <w:pPr>
        <w:spacing w:line="360" w:lineRule="auto"/>
        <w:rPr>
          <w:rFonts w:hint="eastAsia" w:ascii="黑体" w:hAnsi="黑体" w:eastAsia="黑体" w:cs="黑体"/>
          <w:b/>
          <w:bCs/>
          <w:color w:val="auto"/>
          <w:sz w:val="32"/>
          <w:szCs w:val="32"/>
          <w:highlight w:val="none"/>
          <w:lang w:val="en-US" w:eastAsia="zh-CN"/>
        </w:rPr>
      </w:pPr>
      <w:bookmarkStart w:id="90" w:name="_Toc88209965"/>
      <w:bookmarkStart w:id="91" w:name="_Toc87616402"/>
      <w:bookmarkStart w:id="92" w:name="_Toc16386"/>
      <w:bookmarkStart w:id="93" w:name="_Toc6058"/>
    </w:p>
    <w:p>
      <w:pPr>
        <w:spacing w:line="360" w:lineRule="auto"/>
        <w:rPr>
          <w:rFonts w:hint="eastAsia" w:ascii="黑体" w:hAnsi="黑体" w:eastAsia="黑体" w:cs="黑体"/>
          <w:b/>
          <w:bCs/>
          <w:color w:val="auto"/>
          <w:sz w:val="32"/>
          <w:szCs w:val="32"/>
          <w:highlight w:val="none"/>
          <w:lang w:val="en-US" w:eastAsia="zh-CN"/>
        </w:rPr>
      </w:pP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6.</w:t>
      </w:r>
      <w:bookmarkEnd w:id="90"/>
      <w:bookmarkEnd w:id="91"/>
      <w:bookmarkEnd w:id="92"/>
      <w:bookmarkEnd w:id="93"/>
      <w:r>
        <w:rPr>
          <w:rFonts w:hint="eastAsia" w:ascii="黑体" w:hAnsi="黑体" w:eastAsia="黑体" w:cs="黑体"/>
          <w:b/>
          <w:bCs/>
          <w:color w:val="auto"/>
          <w:sz w:val="32"/>
          <w:szCs w:val="32"/>
          <w:highlight w:val="none"/>
          <w:lang w:val="en-US" w:eastAsia="zh-CN"/>
        </w:rPr>
        <w:t>其他资料</w:t>
      </w:r>
    </w:p>
    <w:p>
      <w:pPr>
        <w:spacing w:line="360" w:lineRule="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6.1.CNAS证明</w:t>
      </w:r>
    </w:p>
    <w:p>
      <w:pPr>
        <w:ind w:firstLine="562" w:firstLineChars="200"/>
        <w:rPr>
          <w:rFonts w:hint="eastAsia" w:ascii="黑体" w:hAnsi="黑体" w:eastAsia="黑体" w:cs="黑体"/>
          <w:b/>
          <w:bCs/>
          <w:color w:val="auto"/>
          <w:sz w:val="28"/>
          <w:szCs w:val="28"/>
          <w:highlight w:val="none"/>
          <w:lang w:val="en-US" w:eastAsia="zh-CN"/>
        </w:rPr>
      </w:pPr>
      <w:r>
        <w:rPr>
          <w:rFonts w:hint="eastAsia" w:ascii="仿宋" w:hAnsi="仿宋" w:eastAsia="仿宋" w:cs="仿宋"/>
          <w:b/>
          <w:sz w:val="28"/>
          <w:szCs w:val="28"/>
          <w:highlight w:val="none"/>
        </w:rPr>
        <w:t>提供计量认证资质复印件（</w:t>
      </w:r>
      <w:r>
        <w:rPr>
          <w:rFonts w:hint="eastAsia" w:ascii="仿宋" w:hAnsi="仿宋" w:eastAsia="仿宋" w:cs="仿宋"/>
          <w:b/>
          <w:color w:val="000000"/>
          <w:sz w:val="28"/>
          <w:szCs w:val="28"/>
          <w:highlight w:val="none"/>
          <w:u w:val="single"/>
        </w:rPr>
        <w:t>标注</w:t>
      </w:r>
      <w:r>
        <w:rPr>
          <w:rFonts w:hint="eastAsia" w:ascii="仿宋" w:hAnsi="仿宋" w:eastAsia="仿宋" w:cs="仿宋"/>
          <w:b/>
          <w:sz w:val="28"/>
          <w:szCs w:val="28"/>
          <w:highlight w:val="none"/>
          <w:u w:val="single"/>
        </w:rPr>
        <w:t>本项目中所要求的</w:t>
      </w:r>
      <w:r>
        <w:rPr>
          <w:rFonts w:hint="eastAsia" w:ascii="仿宋" w:hAnsi="仿宋" w:eastAsia="仿宋" w:cs="仿宋"/>
          <w:b/>
          <w:sz w:val="28"/>
          <w:szCs w:val="28"/>
          <w:highlight w:val="none"/>
          <w:u w:val="single"/>
          <w:lang w:val="en-US" w:eastAsia="zh-CN"/>
        </w:rPr>
        <w:t>化学需氧量、氨氮、总磷、总氮、悬浮物、pH、水温、数据采集仪</w:t>
      </w:r>
      <w:r>
        <w:rPr>
          <w:rFonts w:hint="eastAsia" w:ascii="仿宋" w:hAnsi="仿宋" w:eastAsia="仿宋" w:cs="仿宋"/>
          <w:b/>
          <w:sz w:val="28"/>
          <w:szCs w:val="28"/>
          <w:highlight w:val="none"/>
          <w:u w:val="single"/>
        </w:rPr>
        <w:t>，不标注视为不响应</w:t>
      </w:r>
      <w:r>
        <w:rPr>
          <w:rFonts w:hint="eastAsia" w:ascii="仿宋" w:hAnsi="仿宋" w:eastAsia="仿宋" w:cs="仿宋"/>
          <w:b/>
          <w:sz w:val="28"/>
          <w:szCs w:val="28"/>
          <w:highlight w:val="none"/>
          <w:u w:val="single"/>
          <w:lang w:eastAsia="zh-CN"/>
        </w:rPr>
        <w:t>，</w:t>
      </w:r>
      <w:r>
        <w:rPr>
          <w:rFonts w:hint="eastAsia" w:ascii="仿宋" w:hAnsi="仿宋" w:eastAsia="仿宋" w:cs="仿宋"/>
          <w:b/>
          <w:bCs/>
          <w:sz w:val="28"/>
          <w:szCs w:val="28"/>
          <w:highlight w:val="none"/>
          <w:u w:val="single"/>
          <w:lang w:val="en-US" w:eastAsia="zh-CN"/>
        </w:rPr>
        <w:t>标注时使用方框或圆圈标注出设备名称</w:t>
      </w:r>
      <w:r>
        <w:rPr>
          <w:rFonts w:hint="eastAsia" w:ascii="仿宋" w:hAnsi="仿宋" w:eastAsia="仿宋" w:cs="仿宋"/>
          <w:b/>
          <w:sz w:val="28"/>
          <w:szCs w:val="28"/>
          <w:highlight w:val="none"/>
          <w:u w:val="single"/>
        </w:rPr>
        <w:t>），加盖单位公章</w:t>
      </w:r>
      <w:r>
        <w:rPr>
          <w:rFonts w:hint="eastAsia" w:ascii="仿宋" w:hAnsi="仿宋" w:eastAsia="仿宋" w:cs="仿宋"/>
          <w:b/>
          <w:sz w:val="28"/>
          <w:szCs w:val="28"/>
          <w:highlight w:val="none"/>
          <w:u w:val="single"/>
          <w:lang w:eastAsia="zh-CN"/>
        </w:rPr>
        <w:t>。</w:t>
      </w:r>
    </w:p>
    <w:p>
      <w:pPr>
        <w:spacing w:line="360" w:lineRule="auto"/>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6.2.其他资料</w:t>
      </w:r>
    </w:p>
    <w:p>
      <w:pPr>
        <w:pStyle w:val="2"/>
        <w:ind w:left="0" w:lef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供应商提供的其他资料</w:t>
      </w:r>
    </w:p>
    <w:sectPr>
      <w:footerReference r:id="rId7"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6077BD7"/>
    <w:multiLevelType w:val="multilevel"/>
    <w:tmpl w:val="06077BD7"/>
    <w:lvl w:ilvl="0" w:tentative="0">
      <w:start w:val="1"/>
      <w:numFmt w:val="decimal"/>
      <w:lvlText w:val="%1."/>
      <w:lvlJc w:val="left"/>
      <w:pPr>
        <w:ind w:left="785" w:hanging="22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QxOWVkNzAwNjk2ODMyNGE1ZGFiN2NiZWNhNDJlYTUifQ=="/>
  </w:docVars>
  <w:rsids>
    <w:rsidRoot w:val="005D618A"/>
    <w:rsid w:val="001B6406"/>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6D5290"/>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3D3C14"/>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572392"/>
    <w:rsid w:val="3E7569E0"/>
    <w:rsid w:val="3EC370CB"/>
    <w:rsid w:val="3F4A337A"/>
    <w:rsid w:val="3F6C3589"/>
    <w:rsid w:val="3F850180"/>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9F3B73"/>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4641B9B"/>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First Indent"/>
    <w:basedOn w:val="9"/>
    <w:unhideWhenUsed/>
    <w:qFormat/>
    <w:uiPriority w:val="99"/>
    <w:pPr>
      <w:ind w:firstLine="420"/>
    </w:p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font01"/>
    <w:basedOn w:val="24"/>
    <w:qFormat/>
    <w:uiPriority w:val="0"/>
    <w:rPr>
      <w:rFonts w:hint="eastAsia" w:ascii="宋体" w:hAnsi="宋体" w:eastAsia="宋体" w:cs="宋体"/>
      <w:color w:val="000000"/>
      <w:sz w:val="20"/>
      <w:szCs w:val="20"/>
      <w:u w:val="none"/>
      <w:vertAlign w:val="subscript"/>
    </w:rPr>
  </w:style>
  <w:style w:type="paragraph" w:customStyle="1" w:styleId="47">
    <w:name w:val="无标题条"/>
    <w:next w:val="48"/>
    <w:qFormat/>
    <w:uiPriority w:val="0"/>
    <w:pPr>
      <w:jc w:val="both"/>
    </w:pPr>
    <w:rPr>
      <w:rFonts w:ascii="Times New Roman" w:hAnsi="Times New Roman" w:eastAsia="宋体" w:cs="Times New Roman"/>
      <w:sz w:val="21"/>
      <w:lang w:val="en-US" w:eastAsia="zh-CN" w:bidi="ar-SA"/>
    </w:rPr>
  </w:style>
  <w:style w:type="paragraph" w:customStyle="1" w:styleId="4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9">
    <w:name w:val="二级条标题"/>
    <w:basedOn w:val="1"/>
    <w:next w:val="1"/>
    <w:qFormat/>
    <w:uiPriority w:val="0"/>
    <w:pPr>
      <w:spacing w:after="0" w:line="240" w:lineRule="auto"/>
      <w:jc w:val="both"/>
      <w:outlineLvl w:val="3"/>
    </w:pPr>
    <w:rPr>
      <w:rFonts w:ascii="黑体" w:hAnsi="等线" w:eastAsia="黑体" w:cs="Times New Roman"/>
      <w:b/>
      <w:color w:val="auto"/>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textRotate="1"/>
    <customShpInfo spid="_x0000_s3077" textRotate="1"/>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2</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李鹏飞</cp:lastModifiedBy>
  <dcterms:modified xsi:type="dcterms:W3CDTF">2024-03-15T06:50:06Z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