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bookmarkStart w:id="133" w:name="_GoBack"/>
      <w:bookmarkEnd w:id="133"/>
    </w:p>
    <w:p>
      <w:pPr>
        <w:rPr>
          <w:color w:val="auto"/>
          <w:highlight w:val="none"/>
        </w:rPr>
      </w:pP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w:t>
      </w: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企业年金受托服务项目</w:t>
      </w:r>
    </w:p>
    <w:p>
      <w:pPr>
        <w:jc w:val="center"/>
        <w:rPr>
          <w:rFonts w:hint="eastAsia" w:ascii="方正小标宋简体" w:eastAsia="方正小标宋简体"/>
          <w:color w:val="auto"/>
          <w:sz w:val="52"/>
          <w:szCs w:val="52"/>
          <w:highlight w:val="none"/>
          <w:lang w:val="en-US"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四</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二</w:t>
      </w:r>
      <w:r>
        <w:rPr>
          <w:rFonts w:hint="eastAsia" w:ascii="黑体" w:hAnsi="黑体" w:eastAsia="黑体" w:cs="仿宋_GB2312"/>
          <w:color w:val="auto"/>
          <w:sz w:val="32"/>
          <w:szCs w:val="32"/>
          <w:highlight w:val="none"/>
        </w:rPr>
        <w:t>月</w:t>
      </w:r>
    </w:p>
    <w:p>
      <w:pPr>
        <w:rPr>
          <w:color w:val="auto"/>
          <w:highlight w:val="none"/>
        </w:rPr>
        <w:sectPr>
          <w:footerReference r:id="rId3" w:type="default"/>
          <w:footerReference r:id="rId4" w:type="even"/>
          <w:pgSz w:w="11906" w:h="16838"/>
          <w:pgMar w:top="2098" w:right="1474" w:bottom="1985" w:left="1588" w:header="851" w:footer="992" w:gutter="0"/>
          <w:pgNumType w:start="0"/>
          <w:cols w:space="425" w:num="1"/>
          <w:titlePg/>
          <w:docGrid w:type="lines" w:linePitch="312" w:charSpace="0"/>
        </w:sectPr>
      </w:pPr>
    </w:p>
    <w:p>
      <w:pPr>
        <w:rPr>
          <w:color w:val="auto"/>
          <w:highlight w:val="none"/>
        </w:rPr>
      </w:pPr>
    </w:p>
    <w:p>
      <w:pPr>
        <w:pStyle w:val="34"/>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3"/>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hint="eastAsia"/>
          <w:color w:val="auto"/>
          <w:highlight w:val="none"/>
        </w:rPr>
      </w:pPr>
      <w:bookmarkStart w:id="0" w:name="_Toc26148"/>
      <w:bookmarkStart w:id="1" w:name="_Toc18145"/>
    </w:p>
    <w:p>
      <w:pPr>
        <w:rPr>
          <w:rFonts w:hint="eastAsia"/>
          <w:color w:val="auto"/>
          <w:highlight w:val="none"/>
        </w:rPr>
      </w:pPr>
    </w:p>
    <w:p>
      <w:pPr>
        <w:pStyle w:val="2"/>
        <w:rPr>
          <w:rFonts w:hint="eastAsia"/>
          <w:color w:val="auto"/>
          <w:highlight w:val="none"/>
        </w:rPr>
      </w:pPr>
      <w:bookmarkStart w:id="2" w:name="_Toc1711"/>
      <w:bookmarkStart w:id="3" w:name="_Toc17696"/>
    </w:p>
    <w:p>
      <w:pPr>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
        <w:rPr>
          <w:rFonts w:hint="eastAsia"/>
          <w:color w:val="auto"/>
          <w:highlight w:val="none"/>
        </w:rPr>
      </w:pPr>
      <w:bookmarkStart w:id="4" w:name="_Toc11322"/>
      <w:bookmarkStart w:id="5" w:name="_Toc1669"/>
      <w:bookmarkStart w:id="6" w:name="_Toc17801"/>
      <w:bookmarkStart w:id="7" w:name="_Toc19609"/>
      <w:bookmarkStart w:id="8" w:name="_Toc31938"/>
      <w:bookmarkStart w:id="9" w:name="_Toc7519"/>
      <w:bookmarkStart w:id="10" w:name="_Toc4275"/>
    </w:p>
    <w:p>
      <w:pPr>
        <w:pStyle w:val="2"/>
        <w:rPr>
          <w:rFonts w:hint="eastAsia"/>
          <w:color w:val="auto"/>
          <w:highlight w:val="none"/>
        </w:rPr>
      </w:pPr>
    </w:p>
    <w:p>
      <w:pPr>
        <w:pStyle w:val="2"/>
        <w:rPr>
          <w:rFonts w:hint="eastAsia"/>
          <w:color w:val="auto"/>
          <w:highlight w:val="none"/>
        </w:rPr>
      </w:pPr>
    </w:p>
    <w:p>
      <w:pPr>
        <w:pStyle w:val="2"/>
        <w:rPr>
          <w:color w:val="auto"/>
          <w:highlight w:val="none"/>
        </w:rPr>
      </w:pP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34925</wp:posOffset>
                </wp:positionV>
                <wp:extent cx="958850" cy="0"/>
                <wp:effectExtent l="0" t="0" r="0" b="0"/>
                <wp:wrapNone/>
                <wp:docPr id="1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4.9pt;margin-top:2.75pt;height:0pt;width:75.5pt;z-index:251670528;mso-width-relative:page;mso-height-relative:page;" filled="f" stroked="t" coordsize="21600,21600" o:gfxdata="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ZwIIA1AAAAAcBAAAPAAAAAAAAAAEAIAAAACIAAABkcnMvZG93bnJldi54bWxQSwECFAAUAAAA&#10;CACHTuJAsorsp/IBAADjAwAADgAAAAAAAAABACAAAAAjAQAAZHJzL2Uyb0RvYy54bWxQSwUGAAAA&#10;AAYABgBZAQAAhw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2355215</wp:posOffset>
                </wp:positionH>
                <wp:positionV relativeFrom="paragraph">
                  <wp:posOffset>532765</wp:posOffset>
                </wp:positionV>
                <wp:extent cx="958850" cy="0"/>
                <wp:effectExtent l="0" t="0" r="0" b="0"/>
                <wp:wrapNone/>
                <wp:docPr id="12" name="自选图形 2"/>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 o:spid="_x0000_s1026" o:spt="32" type="#_x0000_t32" style="position:absolute;left:0pt;margin-left:185.45pt;margin-top:41.95pt;height:0pt;width:75.5pt;z-index:251671552;mso-width-relative:page;mso-height-relative:page;" filled="f" stroked="t" coordsize="21600,21600" o:gfxdata="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S5qEOWcOLN34&#10;z0/ffn38fPflx933r2yeJRoC1hS5cTfxtMNwEzPfQxtt/hMTdiiyHs+yqkNigg5fLJbLBQku7l3V&#10;Q16ImF4pb1k2Go4pgu76tPHO0d35OCuqwv41JqpMifcJuahxbMjw8wWBA81iSzNApg3EB11XctEb&#10;La+1MTkDY7fbmMj2kOehfJkf4f4VlotsAfsxrrjGSekVyJdOsnQMJJSjB8JzC1ZJzoyi95QtAoQ6&#10;gTaXRFJp46iDLPEoarZ2Xh6L1uWc7r70eJrTPFx/7kv2w9tc/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6Wc9k1wAAAAkBAAAPAAAAAAAAAAEAIAAAACIAAABkcnMvZG93bnJldi54bWxQSwECFAAU&#10;AAAACACHTuJA9fEgG/IBAADj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6"/>
        <w:rPr>
          <w:color w:val="auto"/>
          <w:highlight w:val="none"/>
        </w:rPr>
      </w:pPr>
    </w:p>
    <w:p>
      <w:pPr>
        <w:pStyle w:val="2"/>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2"/>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rPr>
        <w:t>广州市净水有限公司企业年金受托服务项目</w:t>
      </w:r>
      <w:r>
        <w:rPr>
          <w:rFonts w:hint="eastAsia" w:ascii="仿宋_GB2312" w:eastAsia="仿宋_GB2312"/>
          <w:color w:val="auto"/>
          <w:sz w:val="28"/>
          <w:szCs w:val="28"/>
          <w:highlight w:val="none"/>
        </w:rPr>
        <w:t>已具备采购条件，</w:t>
      </w:r>
      <w:r>
        <w:rPr>
          <w:rFonts w:hint="eastAsia" w:ascii="仿宋_GB2312" w:eastAsia="仿宋_GB2312"/>
          <w:sz w:val="28"/>
          <w:szCs w:val="28"/>
          <w:highlight w:val="none"/>
        </w:rPr>
        <w:t>现</w:t>
      </w:r>
      <w:r>
        <w:rPr>
          <w:rFonts w:hint="eastAsia" w:ascii="仿宋_GB2312" w:eastAsia="仿宋_GB2312"/>
          <w:sz w:val="28"/>
          <w:szCs w:val="28"/>
          <w:highlight w:val="none"/>
          <w:lang w:val="en-US" w:eastAsia="zh-CN"/>
        </w:rPr>
        <w:t>邀请合格</w:t>
      </w:r>
      <w:r>
        <w:rPr>
          <w:rFonts w:hint="eastAsia" w:ascii="仿宋_GB2312" w:eastAsia="仿宋_GB2312"/>
          <w:sz w:val="28"/>
          <w:szCs w:val="28"/>
          <w:highlight w:val="none"/>
          <w:u w:val="none"/>
          <w:lang w:val="en-US" w:eastAsia="zh-CN"/>
        </w:rPr>
        <w:t>单位</w:t>
      </w:r>
      <w:r>
        <w:rPr>
          <w:rFonts w:hint="eastAsia" w:ascii="仿宋_GB2312" w:eastAsia="仿宋_GB2312"/>
          <w:sz w:val="28"/>
          <w:szCs w:val="28"/>
          <w:highlight w:val="none"/>
        </w:rPr>
        <w:t>参加本</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 xml:space="preserve">施工  </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 xml:space="preserve">货物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服务项目采购活动，采用</w:t>
      </w:r>
      <w:r>
        <w:rPr>
          <w:rFonts w:hint="eastAsia" w:ascii="仿宋_GB2312" w:eastAsia="仿宋_GB2312"/>
          <w:sz w:val="28"/>
          <w:szCs w:val="28"/>
          <w:highlight w:val="none"/>
          <w:u w:val="single"/>
        </w:rPr>
        <w:sym w:font="Wingdings 2" w:char="00A3"/>
      </w:r>
      <w:r>
        <w:rPr>
          <w:rFonts w:hint="eastAsia" w:ascii="仿宋_GB2312" w:eastAsia="仿宋_GB2312"/>
          <w:sz w:val="28"/>
          <w:szCs w:val="28"/>
          <w:highlight w:val="none"/>
          <w:u w:val="single"/>
          <w:lang w:val="en-US" w:eastAsia="zh-CN"/>
        </w:rPr>
        <w:t xml:space="preserve">邀请采购 </w:t>
      </w:r>
      <w:r>
        <w:rPr>
          <w:rFonts w:hint="eastAsia" w:ascii="仿宋_GB2312" w:eastAsia="仿宋_GB2312"/>
          <w:sz w:val="28"/>
          <w:szCs w:val="28"/>
          <w:highlight w:val="none"/>
          <w:u w:val="single"/>
          <w:lang w:val="en-US" w:eastAsia="zh-CN"/>
        </w:rPr>
        <w:sym w:font="Wingdings 2" w:char="0052"/>
      </w:r>
      <w:r>
        <w:rPr>
          <w:rFonts w:hint="eastAsia" w:ascii="仿宋_GB2312" w:eastAsia="仿宋_GB2312"/>
          <w:sz w:val="28"/>
          <w:szCs w:val="28"/>
          <w:highlight w:val="none"/>
          <w:u w:val="single"/>
          <w:lang w:val="en-US" w:eastAsia="zh-CN"/>
        </w:rPr>
        <w:t>公开采购</w:t>
      </w:r>
      <w:r>
        <w:rPr>
          <w:rFonts w:hint="eastAsia" w:ascii="仿宋_GB2312" w:eastAsia="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 xml:space="preserve">广州市净水有限公司企业年金受托服务项目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 xml:space="preserve"> XJ-20240219-1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 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 w:hAnsi="仿宋" w:eastAsia="仿宋" w:cs="仿宋"/>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u w:val="single"/>
        </w:rPr>
        <w:t>受托管理年费率</w:t>
      </w:r>
      <w:r>
        <w:rPr>
          <w:rFonts w:hint="eastAsia" w:ascii="仿宋_GB2312" w:eastAsia="仿宋_GB2312"/>
          <w:color w:val="auto"/>
          <w:sz w:val="28"/>
          <w:szCs w:val="28"/>
          <w:highlight w:val="none"/>
          <w:u w:val="single"/>
          <w:lang w:val="en-US" w:eastAsia="zh-CN"/>
        </w:rPr>
        <w:t>为0.1%</w:t>
      </w:r>
      <w:r>
        <w:rPr>
          <w:rFonts w:hint="eastAsia" w:ascii="仿宋" w:hAnsi="仿宋" w:eastAsia="仿宋" w:cs="仿宋"/>
          <w:color w:val="000000" w:themeColor="text1"/>
          <w:sz w:val="28"/>
          <w:szCs w:val="28"/>
          <w:highlight w:val="none"/>
          <w:u w:val="single"/>
          <w14:textFill>
            <w14:solidFill>
              <w14:schemeClr w14:val="tx1"/>
            </w14:solidFill>
          </w14:textFill>
        </w:rPr>
        <w:t>。</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default"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lang w:val="en-US" w:eastAsia="zh-CN"/>
        </w:rPr>
        <w:t>协助采购人做好企业年金各项服务工作</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计划工期   □交货期  </w:t>
      </w:r>
      <w:r>
        <w:rPr>
          <w:rFonts w:hint="eastAsia" w:ascii="仿宋_GB2312" w:eastAsia="仿宋_GB2312"/>
          <w:color w:val="auto"/>
          <w:sz w:val="28"/>
          <w:szCs w:val="28"/>
          <w:highlight w:val="none"/>
          <w:lang w:eastAsia="zh-CN"/>
        </w:rPr>
        <w:sym w:font="Wingdings 2" w:char="0052"/>
      </w:r>
      <w:r>
        <w:rPr>
          <w:rFonts w:hint="eastAsia" w:ascii="仿宋_GB2312" w:eastAsia="仿宋_GB2312"/>
          <w:color w:val="auto"/>
          <w:sz w:val="28"/>
          <w:szCs w:val="28"/>
          <w:highlight w:val="none"/>
        </w:rPr>
        <w:t>服务期</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自合同签订之日起</w:t>
      </w:r>
      <w:r>
        <w:rPr>
          <w:rFonts w:hint="eastAsia" w:ascii="仿宋_GB2312" w:eastAsia="仿宋_GB2312" w:hAnsiTheme="minorHAnsi" w:cstheme="minorBidi"/>
          <w:b w:val="0"/>
          <w:bCs w:val="0"/>
          <w:color w:val="auto"/>
          <w:sz w:val="28"/>
          <w:szCs w:val="28"/>
          <w:highlight w:val="none"/>
          <w:u w:val="single"/>
          <w:lang w:val="en-US" w:eastAsia="zh-CN"/>
        </w:rPr>
        <w:t>3年</w:t>
      </w:r>
      <w:r>
        <w:rPr>
          <w:rFonts w:hint="eastAsia" w:ascii="仿宋_GB2312" w:eastAsia="仿宋_GB2312" w:cstheme="minorBidi"/>
          <w:b w:val="0"/>
          <w:bCs w:val="0"/>
          <w:color w:val="auto"/>
          <w:sz w:val="28"/>
          <w:szCs w:val="28"/>
          <w:highlight w:val="none"/>
          <w:u w:val="single"/>
          <w:lang w:val="en-US" w:eastAsia="zh-CN"/>
        </w:rPr>
        <w:t>，</w:t>
      </w:r>
      <w:r>
        <w:rPr>
          <w:rFonts w:hint="eastAsia" w:ascii="仿宋" w:hAnsi="仿宋" w:eastAsia="仿宋" w:cs="仿宋"/>
          <w:color w:val="000000" w:themeColor="text1"/>
          <w:sz w:val="28"/>
          <w:szCs w:val="28"/>
          <w:highlight w:val="none"/>
          <w:u w:val="single"/>
          <w14:textFill>
            <w14:solidFill>
              <w14:schemeClr w14:val="tx1"/>
            </w14:solidFill>
          </w14:textFill>
        </w:rPr>
        <w:t>预计年平均管理资金规模约23476万元</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default" w:ascii="仿宋_GB2312" w:eastAsia="仿宋_GB2312"/>
          <w:color w:val="auto"/>
          <w:sz w:val="28"/>
          <w:szCs w:val="28"/>
          <w:highlight w:val="none"/>
          <w:u w:val="single"/>
          <w:lang w:val="en-US"/>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建设地点  □交货地点  </w:t>
      </w:r>
      <w:r>
        <w:rPr>
          <w:rFonts w:hint="eastAsia" w:ascii="仿宋_GB2312" w:eastAsia="仿宋_GB2312"/>
          <w:color w:val="auto"/>
          <w:sz w:val="28"/>
          <w:szCs w:val="28"/>
          <w:highlight w:val="none"/>
          <w:lang w:eastAsia="zh-CN"/>
        </w:rPr>
        <w:sym w:font="Wingdings 2" w:char="0052"/>
      </w:r>
      <w:r>
        <w:rPr>
          <w:rFonts w:hint="eastAsia" w:ascii="仿宋_GB2312" w:eastAsia="仿宋_GB2312"/>
          <w:color w:val="auto"/>
          <w:sz w:val="28"/>
          <w:szCs w:val="28"/>
          <w:highlight w:val="none"/>
        </w:rPr>
        <w:t>服务地点</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广州市    </w:t>
      </w:r>
    </w:p>
    <w:p>
      <w:pPr>
        <w:adjustRightInd w:val="0"/>
        <w:snapToGrid w:val="0"/>
        <w:spacing w:line="600" w:lineRule="exact"/>
        <w:ind w:left="420" w:right="-370" w:rightChars="-176" w:hanging="420" w:hangingChars="15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施工质量要求  □货物质量标准或主要技术性能指标 </w:t>
      </w:r>
    </w:p>
    <w:p>
      <w:pPr>
        <w:adjustRightInd/>
        <w:snapToGrid/>
        <w:spacing w:line="240" w:lineRule="auto"/>
        <w:ind w:left="0" w:right="0" w:rightChars="0" w:firstLine="0" w:firstLineChars="0"/>
        <w:jc w:val="both"/>
        <w:rPr>
          <w:rFonts w:ascii="仿宋_GB2312" w:eastAsia="仿宋_GB2312"/>
          <w:color w:val="auto"/>
          <w:sz w:val="28"/>
          <w:szCs w:val="28"/>
          <w:highlight w:val="yellow"/>
        </w:rPr>
      </w:pPr>
      <w:r>
        <w:rPr>
          <w:rFonts w:hint="eastAsia" w:ascii="仿宋_GB2312" w:eastAsia="仿宋_GB2312"/>
          <w:color w:val="auto"/>
          <w:sz w:val="28"/>
          <w:szCs w:val="28"/>
          <w:highlight w:val="none"/>
          <w:lang w:eastAsia="zh-CN"/>
        </w:rPr>
        <w:sym w:font="Wingdings 2" w:char="0052"/>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满足采购文件中所有要求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val="zh-CN" w:eastAsia="zh-CN"/>
        </w:rPr>
      </w:pPr>
      <w:r>
        <w:rPr>
          <w:rFonts w:hint="eastAsia" w:ascii="仿宋_GB2312" w:eastAsia="仿宋_GB2312"/>
          <w:color w:val="auto"/>
          <w:sz w:val="28"/>
          <w:szCs w:val="28"/>
          <w:highlight w:val="none"/>
          <w:lang w:eastAsia="zh-CN"/>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zh-CN" w:eastAsia="zh-CN"/>
        </w:rPr>
        <w:t>供应商必须为中华人民共和国境内注册成立并合法存续的法人或其分支机构或非法人组织，</w:t>
      </w:r>
      <w:r>
        <w:rPr>
          <w:rFonts w:hint="eastAsia" w:ascii="仿宋_GB2312" w:eastAsia="仿宋_GB2312"/>
          <w:color w:val="auto"/>
          <w:sz w:val="28"/>
          <w:szCs w:val="28"/>
          <w:highlight w:val="none"/>
          <w:lang w:eastAsia="zh-CN"/>
        </w:rPr>
        <w:t>持有事业单位登记管理部门核发的事业单位法人证书或工商行政管理部门核发的营业执照，且在有效期内。</w:t>
      </w:r>
      <w:r>
        <w:rPr>
          <w:rFonts w:hint="eastAsia" w:ascii="仿宋_GB2312" w:eastAsia="仿宋_GB2312"/>
          <w:color w:val="auto"/>
          <w:sz w:val="28"/>
          <w:szCs w:val="28"/>
          <w:highlight w:val="none"/>
          <w:lang w:val="zh-CN" w:eastAsia="zh-CN"/>
        </w:rPr>
        <w:t>若分支机构参加</w:t>
      </w:r>
      <w:r>
        <w:rPr>
          <w:rFonts w:hint="eastAsia" w:ascii="仿宋_GB2312" w:eastAsia="仿宋_GB2312"/>
          <w:color w:val="auto"/>
          <w:sz w:val="28"/>
          <w:szCs w:val="28"/>
          <w:highlight w:val="none"/>
          <w:lang w:val="en-US" w:eastAsia="zh-CN"/>
        </w:rPr>
        <w:t>报价</w:t>
      </w:r>
      <w:r>
        <w:rPr>
          <w:rFonts w:hint="eastAsia" w:ascii="仿宋_GB2312" w:eastAsia="仿宋_GB2312"/>
          <w:color w:val="auto"/>
          <w:sz w:val="28"/>
          <w:szCs w:val="28"/>
          <w:highlight w:val="none"/>
          <w:lang w:val="zh-CN" w:eastAsia="zh-CN"/>
        </w:rPr>
        <w:t>的，须取得</w:t>
      </w:r>
      <w:r>
        <w:rPr>
          <w:rFonts w:hint="eastAsia" w:ascii="仿宋_GB2312" w:eastAsia="仿宋_GB2312"/>
          <w:color w:val="auto"/>
          <w:sz w:val="28"/>
          <w:szCs w:val="28"/>
          <w:highlight w:val="none"/>
          <w:lang w:val="en-US" w:eastAsia="zh-CN"/>
        </w:rPr>
        <w:t>加盖总公司公章的唯一</w:t>
      </w:r>
      <w:r>
        <w:rPr>
          <w:rFonts w:hint="eastAsia" w:ascii="仿宋_GB2312" w:eastAsia="仿宋_GB2312"/>
          <w:color w:val="auto"/>
          <w:sz w:val="28"/>
          <w:szCs w:val="28"/>
          <w:highlight w:val="none"/>
          <w:lang w:val="zh-CN" w:eastAsia="zh-CN"/>
        </w:rPr>
        <w:t>授权</w:t>
      </w:r>
      <w:r>
        <w:rPr>
          <w:rFonts w:hint="eastAsia" w:ascii="仿宋_GB2312" w:eastAsia="仿宋_GB2312"/>
          <w:color w:val="auto"/>
          <w:sz w:val="28"/>
          <w:szCs w:val="28"/>
          <w:highlight w:val="none"/>
          <w:lang w:val="en-US" w:eastAsia="zh-CN"/>
        </w:rPr>
        <w:t>书，</w:t>
      </w:r>
      <w:r>
        <w:rPr>
          <w:rFonts w:hint="eastAsia" w:ascii="仿宋_GB2312" w:eastAsia="仿宋_GB2312"/>
          <w:color w:val="auto"/>
          <w:sz w:val="28"/>
          <w:szCs w:val="28"/>
          <w:highlight w:val="none"/>
          <w:lang w:val="zh-CN" w:eastAsia="zh-CN"/>
        </w:rPr>
        <w:t>同时提供总公司营业执照复印件、分支机构营业执照复印件，加盖</w:t>
      </w:r>
      <w:r>
        <w:rPr>
          <w:rFonts w:hint="eastAsia" w:ascii="仿宋_GB2312" w:eastAsia="仿宋_GB2312"/>
          <w:color w:val="auto"/>
          <w:sz w:val="28"/>
          <w:szCs w:val="28"/>
          <w:highlight w:val="none"/>
          <w:lang w:val="en-US" w:eastAsia="zh-CN"/>
        </w:rPr>
        <w:t>单位公章。</w:t>
      </w:r>
    </w:p>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eastAsia="zh-CN"/>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供应商</w:t>
      </w:r>
      <w:r>
        <w:rPr>
          <w:rFonts w:hint="eastAsia" w:ascii="仿宋_GB2312" w:eastAsia="仿宋_GB2312"/>
          <w:color w:val="auto"/>
          <w:sz w:val="28"/>
          <w:szCs w:val="28"/>
          <w:highlight w:val="none"/>
          <w:lang w:val="zh-CN" w:eastAsia="zh-CN"/>
        </w:rPr>
        <w:t>具有中华人民共和国人力资源和社会保障部颁发的有效的《企业年金基金管理机构资格证书》，具有企业年金基金受托机构资格。</w:t>
      </w:r>
      <w:r>
        <w:rPr>
          <w:rFonts w:hint="eastAsia" w:ascii="仿宋_GB2312" w:eastAsia="仿宋_GB2312" w:hAnsiTheme="minorHAnsi" w:cstheme="minorBidi"/>
          <w:color w:val="auto"/>
          <w:kern w:val="2"/>
          <w:sz w:val="28"/>
          <w:szCs w:val="28"/>
          <w:highlight w:val="none"/>
          <w:lang w:val="zh-CN"/>
        </w:rPr>
        <w:t>单位负责人为同一个人或者存在控股、管理关系的不同单位,不得同时参加同一项目或同一标段的报价）。</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yellow"/>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无</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lang w:val="en-US" w:eastAsia="zh-CN"/>
        </w:rPr>
        <w:t xml:space="preserve"> 2024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2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20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2024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2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25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sym w:font="Wingdings 2" w:char="0052"/>
      </w:r>
      <w:r>
        <w:rPr>
          <w:rFonts w:hint="eastAsia" w:ascii="仿宋_GB2312" w:eastAsia="仿宋_GB2312"/>
          <w:color w:val="auto"/>
          <w:sz w:val="28"/>
          <w:szCs w:val="28"/>
          <w:highlight w:val="none"/>
        </w:rPr>
        <w:t>不组织</w:t>
      </w:r>
    </w:p>
    <w:p>
      <w:pPr>
        <w:adjustRightInd w:val="0"/>
        <w:snapToGrid w:val="0"/>
        <w:spacing w:line="360" w:lineRule="auto"/>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供应商可</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自行</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2</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26</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14</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2</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26</w:t>
      </w:r>
      <w:r>
        <w:rPr>
          <w:rFonts w:hint="eastAsia" w:ascii="仿宋_GB2312" w:eastAsia="仿宋_GB2312"/>
          <w:color w:val="auto"/>
          <w:sz w:val="28"/>
          <w:szCs w:val="28"/>
          <w:highlight w:val="none"/>
          <w:lang w:val="en-US" w:eastAsia="zh-CN"/>
        </w:rPr>
        <w:t>日</w:t>
      </w:r>
      <w:r>
        <w:rPr>
          <w:rFonts w:hint="eastAsia" w:ascii="仿宋_GB2312" w:eastAsia="仿宋_GB2312"/>
          <w:color w:val="auto"/>
          <w:sz w:val="28"/>
          <w:szCs w:val="28"/>
          <w:highlight w:val="none"/>
          <w:u w:val="single"/>
        </w:rPr>
        <w:t>1</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w:t>
      </w:r>
      <w:r>
        <w:rPr>
          <w:rFonts w:hint="eastAsia" w:ascii="仿宋_GB2312" w:eastAsia="仿宋_GB2312"/>
          <w:color w:val="auto"/>
          <w:sz w:val="28"/>
          <w:szCs w:val="28"/>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6.2</w:t>
      </w:r>
      <w:r>
        <w:rPr>
          <w:rFonts w:hint="eastAsia" w:ascii="仿宋_GB2312" w:eastAsia="仿宋_GB2312"/>
          <w:color w:val="auto"/>
          <w:sz w:val="28"/>
          <w:szCs w:val="28"/>
          <w:highlight w:val="none"/>
        </w:rPr>
        <w:t>递交响应文件截止时间：</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2</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26</w:t>
      </w:r>
      <w:r>
        <w:rPr>
          <w:rFonts w:hint="eastAsia" w:ascii="仿宋_GB2312" w:eastAsia="仿宋_GB2312"/>
          <w:color w:val="auto"/>
          <w:sz w:val="28"/>
          <w:szCs w:val="28"/>
          <w:highlight w:val="none"/>
          <w:u w:val="none"/>
          <w:lang w:val="en-US" w:eastAsia="zh-CN"/>
        </w:rPr>
        <w:t>日</w:t>
      </w:r>
      <w:r>
        <w:rPr>
          <w:rFonts w:hint="eastAsia" w:ascii="仿宋_GB2312" w:eastAsia="仿宋_GB2312"/>
          <w:color w:val="auto"/>
          <w:sz w:val="28"/>
          <w:szCs w:val="28"/>
          <w:highlight w:val="none"/>
          <w:u w:val="single"/>
          <w:lang w:val="en-US" w:eastAsia="zh-CN"/>
        </w:rPr>
        <w:t>15</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递交地址：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5"/>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5"/>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pPr>
        <w:pStyle w:val="5"/>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（1）通过“广州净水公司”微信公众号或来访时扫码进行访客预约登记。</w:t>
      </w:r>
    </w:p>
    <w:p>
      <w:pPr>
        <w:pStyle w:val="5"/>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（2）“组织”选择“公司本部”，“部门”选择“招投标合同管理部”。</w:t>
      </w:r>
    </w:p>
    <w:p>
      <w:pPr>
        <w:pStyle w:val="5"/>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（3）“被访人员”选择“招标部”，“手机号”：“62315524”。</w:t>
      </w:r>
    </w:p>
    <w:p>
      <w:pPr>
        <w:pStyle w:val="5"/>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w:t>
      </w:r>
      <w:r>
        <w:rPr>
          <w:rFonts w:hint="eastAsia" w:ascii="仿宋_GB2312" w:hAnsi="仿宋" w:eastAsia="仿宋_GB2312"/>
          <w:color w:val="auto"/>
          <w:sz w:val="28"/>
          <w:szCs w:val="28"/>
          <w:highlight w:val="none"/>
          <w:lang w:eastAsia="zh-CN"/>
        </w:rPr>
        <w:t>，</w:t>
      </w:r>
      <w:r>
        <w:rPr>
          <w:rFonts w:hint="eastAsia" w:ascii="仿宋_GB2312" w:hAnsi="仿宋" w:eastAsia="仿宋_GB2312"/>
          <w:color w:val="auto"/>
          <w:sz w:val="28"/>
          <w:szCs w:val="28"/>
          <w:highlight w:val="none"/>
          <w:lang w:val="en-US" w:eastAsia="zh-CN"/>
        </w:rPr>
        <w:t>并由授权人亲自递交至净水公司</w:t>
      </w:r>
      <w:r>
        <w:rPr>
          <w:rFonts w:ascii="仿宋_GB2312" w:hAnsi="仿宋" w:eastAsia="仿宋_GB2312"/>
          <w:color w:val="auto"/>
          <w:sz w:val="28"/>
          <w:szCs w:val="28"/>
          <w:highlight w:val="none"/>
        </w:rPr>
        <w:t>。如潜在响应人或其他利害关系人对采购人答复仍持有异议的，可按相关规定进行投诉。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广州市净水有限公司招标部</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62315524</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 xml:space="preserve">林工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 xml:space="preserve">020-62315524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2240" w:firstLineChars="800"/>
              <w:jc w:val="left"/>
              <w:rPr>
                <w:rFonts w:ascii="仿宋_GB2312" w:eastAsia="仿宋_GB2312"/>
                <w:color w:val="auto"/>
                <w:sz w:val="28"/>
                <w:szCs w:val="28"/>
                <w:highlight w:val="none"/>
              </w:rPr>
            </w:pP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19 </w:t>
            </w:r>
            <w:r>
              <w:rPr>
                <w:rFonts w:hint="eastAsia" w:ascii="仿宋_GB2312" w:eastAsia="仿宋_GB2312"/>
                <w:color w:val="auto"/>
                <w:sz w:val="28"/>
                <w:szCs w:val="28"/>
                <w:highlight w:val="none"/>
              </w:rPr>
              <w:t>日</w:t>
            </w:r>
          </w:p>
        </w:tc>
      </w:tr>
    </w:tbl>
    <w:p>
      <w:pPr>
        <w:pStyle w:val="23"/>
        <w:ind w:firstLine="0"/>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3"/>
        <w:rPr>
          <w:rFonts w:hint="eastAsia" w:ascii="仿宋_GB2312" w:eastAsia="仿宋_GB2312" w:hAnsiTheme="majorEastAsia"/>
          <w:color w:val="auto"/>
          <w:sz w:val="28"/>
          <w:szCs w:val="28"/>
          <w:highlight w:val="none"/>
        </w:rPr>
      </w:pPr>
    </w:p>
    <w:p>
      <w:pPr>
        <w:pStyle w:val="23"/>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2"/>
        <w:rPr>
          <w:rFonts w:hint="eastAsia"/>
          <w:color w:val="auto"/>
          <w:highlight w:val="none"/>
        </w:rPr>
      </w:pPr>
      <w:bookmarkStart w:id="13" w:name="_Toc10891"/>
    </w:p>
    <w:p>
      <w:pPr>
        <w:pStyle w:val="2"/>
        <w:rPr>
          <w:rFonts w:hint="eastAsia"/>
          <w:color w:val="auto"/>
          <w:highlight w:val="none"/>
        </w:rPr>
      </w:pPr>
      <w:bookmarkStart w:id="14" w:name="_Toc19295"/>
      <w:bookmarkStart w:id="15" w:name="_Toc23749"/>
      <w:bookmarkStart w:id="16" w:name="_Toc25603"/>
      <w:bookmarkStart w:id="17" w:name="_Toc7340"/>
      <w:bookmarkStart w:id="18" w:name="_Toc32588"/>
      <w:bookmarkStart w:id="19" w:name="_Toc16557"/>
      <w:bookmarkStart w:id="20" w:name="_Toc2324"/>
      <w:bookmarkStart w:id="21" w:name="_Toc16705"/>
      <w:bookmarkStart w:id="22" w:name="_Toc9448"/>
      <w:bookmarkStart w:id="23" w:name="_Toc2331"/>
    </w:p>
    <w:p>
      <w:pPr>
        <w:pStyle w:val="2"/>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2348230</wp:posOffset>
                </wp:positionH>
                <wp:positionV relativeFrom="paragraph">
                  <wp:posOffset>554990</wp:posOffset>
                </wp:positionV>
                <wp:extent cx="958850" cy="0"/>
                <wp:effectExtent l="0" t="0" r="0" b="0"/>
                <wp:wrapNone/>
                <wp:docPr id="14" name="自选图形 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4" o:spid="_x0000_s1026" o:spt="32" type="#_x0000_t32" style="position:absolute;left:0pt;margin-left:184.9pt;margin-top:43.7pt;height:0pt;width:75.5pt;z-index:251673600;mso-width-relative:page;mso-height-relative:page;" filled="f" stroked="t" coordsize="21600,21600" o:gfxdata="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JdXIr1wAAAAkBAAAPAAAAAAAAAAEAIAAAACIAAABkcnMvZG93bnJldi54bWxQSwECFAAU&#10;AAAACACHTuJAEZ7bCv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2355850</wp:posOffset>
                </wp:positionH>
                <wp:positionV relativeFrom="paragraph">
                  <wp:posOffset>5715</wp:posOffset>
                </wp:positionV>
                <wp:extent cx="958850" cy="0"/>
                <wp:effectExtent l="0" t="0" r="0" b="0"/>
                <wp:wrapNone/>
                <wp:docPr id="13"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5.5pt;margin-top:0.45pt;height:0pt;width:75.5pt;z-index:251672576;mso-width-relative:page;mso-height-relative:page;" filled="f" stroked="t" coordsize="21600,21600" o:gfxdata="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vuQhLTAAAABQEAAA8AAAAAAAAAAQAgAAAAIgAAAGRycy9kb3ducmV2LnhtbFBLAQIUABQAAAAI&#10;AIdO4kD6Mnit8gEAAOMDAAAOAAAAAAAAAAEAIAAAACIBAABkcnMvZTJvRG9jLnhtbFBLBQYAAAAA&#10;BgAGAFkBAACG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3"/>
        <w:rPr>
          <w:rFonts w:hint="eastAsia"/>
          <w:color w:val="auto"/>
          <w:highlight w:val="none"/>
        </w:rPr>
      </w:pPr>
    </w:p>
    <w:p>
      <w:pPr>
        <w:pStyle w:val="3"/>
        <w:rPr>
          <w:color w:val="auto"/>
          <w:highlight w:val="none"/>
        </w:rPr>
      </w:pPr>
      <w:bookmarkStart w:id="24" w:name="_Toc2339"/>
      <w:bookmarkStart w:id="25" w:name="_Toc3416"/>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3"/>
        <w:rPr>
          <w:rFonts w:hint="eastAsia"/>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ind w:firstLine="0"/>
        <w:rPr>
          <w:rFonts w:hint="eastAsia"/>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3"/>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5"/>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详见采购公告（采购邀请书）；报价单位的下浮率若高于40%，必须在响应文件实质性响应一览表中说明报价理由，并提供相关证明材料对其进行说明。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lang w:val="en-US" w:eastAsia="zh-CN"/>
              </w:rPr>
              <w:t>不低于</w:t>
            </w:r>
            <w:r>
              <w:rPr>
                <w:rFonts w:hint="eastAsia" w:ascii="仿宋_GB2312" w:eastAsia="仿宋_GB2312" w:hAnsiTheme="minorEastAsia"/>
                <w:color w:val="auto"/>
                <w:sz w:val="24"/>
                <w:szCs w:val="24"/>
                <w:highlight w:val="none"/>
                <w:u w:val="single"/>
                <w:lang w:val="en-US" w:eastAsia="zh-CN"/>
              </w:rPr>
              <w:t>5</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单数。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ascii="仿宋_GB2312" w:eastAsia="仿宋_GB2312" w:hAnsiTheme="minorEastAsia"/>
                <w:color w:val="auto"/>
                <w:sz w:val="24"/>
                <w:szCs w:val="24"/>
                <w:highlight w:val="none"/>
              </w:rPr>
              <w:t>如采购文件内容与响应文件格式工程量清单存在不一致情形，则以响应文件格式工程量清单为准。如采购文件条款与合同存在不一致情形，则以合同为准。</w:t>
            </w: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spacing w:line="560" w:lineRule="exact"/>
        <w:ind w:firstLine="555"/>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（10）非法定代表人（单位负责人）或</w:t>
      </w:r>
      <w:r>
        <w:rPr>
          <w:rFonts w:hint="eastAsia" w:ascii="仿宋_GB2312" w:eastAsia="仿宋_GB2312" w:hAnsiTheme="minorHAnsi"/>
          <w:color w:val="auto"/>
          <w:sz w:val="28"/>
          <w:szCs w:val="28"/>
          <w:highlight w:val="none"/>
          <w:lang w:val="en-US" w:eastAsia="zh-CN"/>
        </w:rPr>
        <w:t>授权委托代理人</w:t>
      </w:r>
      <w:r>
        <w:rPr>
          <w:rFonts w:hint="eastAsia" w:ascii="仿宋_GB2312" w:eastAsia="仿宋_GB2312"/>
          <w:color w:val="auto"/>
          <w:sz w:val="28"/>
          <w:szCs w:val="28"/>
          <w:highlight w:val="none"/>
          <w:lang w:val="en-US" w:eastAsia="zh-CN"/>
        </w:rPr>
        <w:t>递交响应文件。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2.法定代表人</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单位负责人</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证明</w:t>
      </w:r>
      <w:r>
        <w:rPr>
          <w:rFonts w:hint="eastAsia" w:ascii="仿宋_GB2312" w:eastAsia="仿宋_GB2312"/>
          <w:color w:val="auto"/>
          <w:sz w:val="28"/>
          <w:szCs w:val="28"/>
          <w:highlight w:val="none"/>
          <w:lang w:val="en-US" w:eastAsia="zh-CN"/>
        </w:rPr>
        <w:t>或</w:t>
      </w:r>
      <w:r>
        <w:rPr>
          <w:rFonts w:hint="eastAsia" w:ascii="仿宋_GB2312" w:eastAsia="仿宋_GB2312"/>
          <w:color w:val="auto"/>
          <w:sz w:val="28"/>
          <w:szCs w:val="28"/>
          <w:highlight w:val="none"/>
        </w:rPr>
        <w:t>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5"/>
        <w:ind w:left="0" w:leftChars="0" w:firstLine="0" w:firstLineChars="0"/>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6"/>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5"/>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年费率%）</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adjustRightInd w:val="0"/>
        <w:snapToGrid w:val="0"/>
        <w:spacing w:line="600" w:lineRule="exact"/>
        <w:ind w:firstLine="0"/>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3"/>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w:t>
      </w:r>
      <w:r>
        <w:rPr>
          <w:rFonts w:hint="eastAsia" w:ascii="仿宋_GB2312" w:eastAsia="仿宋_GB2312" w:hAnsiTheme="majorEastAsia"/>
          <w:color w:val="auto"/>
          <w:sz w:val="28"/>
          <w:szCs w:val="28"/>
          <w:highlight w:val="none"/>
          <w:lang w:eastAsia="zh-CN"/>
        </w:rPr>
        <w:t>（</w:t>
      </w:r>
      <w:r>
        <w:rPr>
          <w:rFonts w:hint="eastAsia" w:ascii="仿宋_GB2312" w:eastAsia="仿宋_GB2312" w:hAnsiTheme="majorEastAsia"/>
          <w:color w:val="auto"/>
          <w:sz w:val="28"/>
          <w:szCs w:val="28"/>
          <w:highlight w:val="none"/>
          <w:lang w:val="en-US" w:eastAsia="zh-CN"/>
        </w:rPr>
        <w:t>单位负责人）</w:t>
      </w:r>
      <w:r>
        <w:rPr>
          <w:rFonts w:hint="eastAsia" w:ascii="仿宋_GB2312" w:eastAsia="仿宋_GB2312" w:hAnsiTheme="majorEastAsia"/>
          <w:color w:val="auto"/>
          <w:sz w:val="28"/>
          <w:szCs w:val="28"/>
          <w:highlight w:val="none"/>
        </w:rPr>
        <w:t>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6"/>
        <w:rPr>
          <w:color w:val="auto"/>
          <w:highlight w:val="none"/>
        </w:rPr>
      </w:pPr>
    </w:p>
    <w:p>
      <w:pPr>
        <w:pStyle w:val="36"/>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w:t>
      </w:r>
      <w:r>
        <w:rPr>
          <w:rFonts w:hint="eastAsia" w:ascii="仿宋_GB2312" w:eastAsia="仿宋_GB2312" w:hAnsiTheme="majorEastAsia"/>
          <w:color w:val="auto"/>
          <w:sz w:val="28"/>
          <w:szCs w:val="28"/>
          <w:highlight w:val="none"/>
          <w:lang w:val="en-US" w:eastAsia="zh-CN"/>
        </w:rPr>
        <w:t>价格</w:t>
      </w:r>
      <w:r>
        <w:rPr>
          <w:rFonts w:hint="eastAsia" w:ascii="仿宋_GB2312" w:eastAsia="仿宋_GB2312" w:hAnsiTheme="majorEastAsia"/>
          <w:color w:val="auto"/>
          <w:sz w:val="28"/>
          <w:szCs w:val="28"/>
          <w:highlight w:val="none"/>
        </w:rPr>
        <w:t>：</w:t>
      </w:r>
      <w:r>
        <w:rPr>
          <w:rFonts w:hint="eastAsia" w:ascii="仿宋_GB2312" w:eastAsia="仿宋_GB2312" w:hAnsiTheme="majorEastAsia"/>
          <w:color w:val="auto"/>
          <w:sz w:val="28"/>
          <w:szCs w:val="28"/>
          <w:highlight w:val="none"/>
          <w:lang w:val="en-US" w:eastAsia="zh-CN"/>
        </w:rPr>
        <w:t>企业年金受托管理年费率为</w:t>
      </w:r>
      <w:r>
        <w:rPr>
          <w:rFonts w:hint="eastAsia" w:ascii="仿宋_GB2312" w:eastAsia="仿宋_GB2312" w:hAnsiTheme="majorEastAsia"/>
          <w:color w:val="auto"/>
          <w:sz w:val="28"/>
          <w:szCs w:val="28"/>
          <w:highlight w:val="none"/>
          <w:u w:val="single"/>
          <w:lang w:val="en-US" w:eastAsia="zh-CN"/>
        </w:rPr>
        <w:t xml:space="preserve">   </w:t>
      </w:r>
      <w:r>
        <w:rPr>
          <w:rFonts w:hint="eastAsia" w:ascii="仿宋_GB2312" w:eastAsia="仿宋_GB2312" w:hAnsiTheme="majorEastAsia"/>
          <w:color w:val="auto"/>
          <w:sz w:val="28"/>
          <w:szCs w:val="28"/>
          <w:highlight w:val="none"/>
          <w:lang w:val="en-US" w:eastAsia="zh-CN"/>
        </w:rPr>
        <w:t>%</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eastAsia="zh-CN"/>
        </w:rPr>
        <w:t>（</w:t>
      </w:r>
      <w:r>
        <w:rPr>
          <w:rFonts w:hint="eastAsia" w:hAnsi="宋体" w:cs="仿宋_GB2312"/>
          <w:kern w:val="0"/>
          <w:sz w:val="28"/>
          <w:szCs w:val="28"/>
          <w:highlight w:val="none"/>
          <w:lang w:val="en-US" w:eastAsia="zh-CN"/>
        </w:rPr>
        <w:t>单位负责人）</w:t>
      </w:r>
      <w:r>
        <w:rPr>
          <w:rFonts w:hint="eastAsia" w:hAnsi="宋体" w:cs="仿宋_GB2312"/>
          <w:kern w:val="0"/>
          <w:sz w:val="28"/>
          <w:szCs w:val="28"/>
          <w:highlight w:val="none"/>
        </w:rPr>
        <w:t>：</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9" w:leftChars="47" w:firstLine="1960" w:firstLineChars="700"/>
        <w:jc w:val="left"/>
        <w:rPr>
          <w:rFonts w:hAnsi="宋体" w:cs="仿宋_GB2312"/>
          <w:kern w:val="0"/>
          <w:sz w:val="28"/>
          <w:szCs w:val="28"/>
          <w:highlight w:val="none"/>
        </w:rPr>
      </w:pPr>
    </w:p>
    <w:p>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9"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w:t>
      </w:r>
      <w:r>
        <w:rPr>
          <w:rFonts w:hint="eastAsia" w:hAnsi="仿宋"/>
          <w:sz w:val="24"/>
          <w:highlight w:val="none"/>
          <w:lang w:eastAsia="zh-CN"/>
        </w:rPr>
        <w:t>（</w:t>
      </w:r>
      <w:r>
        <w:rPr>
          <w:rFonts w:hint="eastAsia" w:hAnsi="仿宋"/>
          <w:sz w:val="24"/>
          <w:highlight w:val="none"/>
          <w:lang w:val="en-US" w:eastAsia="zh-CN"/>
        </w:rPr>
        <w:t>单位负责人）</w:t>
      </w:r>
      <w:r>
        <w:rPr>
          <w:rFonts w:hAnsi="仿宋"/>
          <w:sz w:val="24"/>
          <w:highlight w:val="none"/>
        </w:rPr>
        <w:t>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Pr>
        <w:rPr>
          <w:highlight w:val="none"/>
        </w:rPr>
      </w:pPr>
    </w:p>
    <w:p>
      <w:pPr>
        <w:pStyle w:val="23"/>
        <w:rPr>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rPr>
          <w:rFonts w:hint="eastAsia" w:asciiTheme="minorHAnsi" w:hAnsiTheme="minorHAnsi" w:cstheme="minorBidi"/>
          <w:color w:val="auto"/>
          <w:kern w:val="44"/>
          <w:sz w:val="44"/>
          <w:szCs w:val="44"/>
          <w:highlight w:val="none"/>
        </w:rPr>
      </w:pPr>
      <w:bookmarkStart w:id="26" w:name="_Toc2867"/>
      <w:bookmarkStart w:id="27" w:name="_Toc21455"/>
    </w:p>
    <w:p>
      <w:pPr>
        <w:pStyle w:val="5"/>
        <w:rPr>
          <w:rFonts w:hint="eastAsia" w:asciiTheme="minorHAnsi" w:hAnsiTheme="minorHAnsi" w:cstheme="minorBidi"/>
          <w:color w:val="auto"/>
          <w:kern w:val="44"/>
          <w:sz w:val="44"/>
          <w:szCs w:val="44"/>
          <w:highlight w:val="none"/>
        </w:rPr>
      </w:pPr>
    </w:p>
    <w:p>
      <w:pPr>
        <w:rPr>
          <w:rFonts w:hint="eastAsia" w:asciiTheme="minorHAnsi" w:hAnsiTheme="minorHAnsi" w:cstheme="minorBidi"/>
          <w:color w:val="auto"/>
          <w:kern w:val="44"/>
          <w:sz w:val="44"/>
          <w:szCs w:val="44"/>
          <w:highlight w:val="none"/>
        </w:rPr>
      </w:pPr>
    </w:p>
    <w:p>
      <w:pPr>
        <w:pStyle w:val="5"/>
        <w:rPr>
          <w:rFonts w:hint="eastAsia"/>
        </w:rPr>
      </w:pPr>
    </w:p>
    <w:p>
      <w:pPr>
        <w:pStyle w:val="3"/>
        <w:rPr>
          <w:rFonts w:hint="eastAsia" w:asciiTheme="minorHAnsi" w:hAnsiTheme="minorHAnsi" w:cstheme="minorBidi"/>
          <w:color w:val="auto"/>
          <w:kern w:val="44"/>
          <w:sz w:val="44"/>
          <w:szCs w:val="44"/>
          <w:highlight w:val="none"/>
        </w:rPr>
      </w:pP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2347595</wp:posOffset>
                </wp:positionH>
                <wp:positionV relativeFrom="paragraph">
                  <wp:posOffset>34925</wp:posOffset>
                </wp:positionV>
                <wp:extent cx="958850" cy="0"/>
                <wp:effectExtent l="0" t="0" r="0" b="0"/>
                <wp:wrapNone/>
                <wp:docPr id="1"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4.85pt;margin-top:2.75pt;height:0pt;width:75.5pt;z-index:251660288;mso-width-relative:page;mso-height-relative:page;" filled="f" stroked="t" coordsize="21600,21600" o:gfxdata="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wwvVXUAAAABwEAAA8AAAAAAAAAAQAgAAAAIgAAAGRycy9kb3ducmV2LnhtbFBLAQIUABQAAAAI&#10;AIdO4kA8v9cK8QEAAOIDAAAOAAAAAAAAAAEAIAAAACMBAABkcnMvZTJvRG9jLnhtbFBLBQYAAAAA&#10;BgAGAFkBAACG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2.55pt;margin-top:46.25pt;height:0pt;width:75.5pt;z-index:251661312;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lhFO3WAAAACQEAAA8AAAAAAAAAAQAgAAAAIgAAAGRycy9kb3ducmV2LnhtbFBLAQIUABQA&#10;AAAIAIdO4kB7xBu28gEAAOIDAAAOAAAAAAAAAAEAIAAAACU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6"/>
        <w:rPr>
          <w:color w:val="auto"/>
          <w:highlight w:val="none"/>
        </w:rPr>
      </w:pPr>
    </w:p>
    <w:p>
      <w:pPr>
        <w:pStyle w:val="3"/>
        <w:rPr>
          <w:color w:val="auto"/>
          <w:highlight w:val="none"/>
        </w:rPr>
      </w:pPr>
      <w:bookmarkStart w:id="28" w:name="_Toc7040"/>
      <w:bookmarkStart w:id="29" w:name="_Toc7303"/>
      <w:bookmarkStart w:id="30" w:name="_Toc88209934"/>
      <w:bookmarkStart w:id="31" w:name="_Toc87616371"/>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ind w:firstLine="0"/>
        <w:rPr>
          <w:rFonts w:ascii="方正小标宋简体" w:eastAsia="方正小标宋简体"/>
          <w:color w:val="auto"/>
          <w:sz w:val="44"/>
          <w:szCs w:val="44"/>
          <w:highlight w:val="none"/>
        </w:rPr>
      </w:pPr>
    </w:p>
    <w:p>
      <w:pPr>
        <w:pStyle w:val="23"/>
        <w:ind w:firstLine="0"/>
        <w:rPr>
          <w:rFonts w:ascii="方正小标宋简体" w:eastAsia="方正小标宋简体"/>
          <w:color w:val="auto"/>
          <w:sz w:val="44"/>
          <w:szCs w:val="44"/>
          <w:highlight w:val="none"/>
        </w:rPr>
      </w:pPr>
    </w:p>
    <w:p>
      <w:pPr>
        <w:pStyle w:val="3"/>
        <w:rPr>
          <w:color w:val="auto"/>
          <w:highlight w:val="none"/>
        </w:rPr>
      </w:pPr>
      <w:bookmarkStart w:id="32" w:name="_Toc24895"/>
      <w:bookmarkStart w:id="33" w:name="_Toc3789"/>
      <w:r>
        <w:rPr>
          <w:rFonts w:hint="eastAsia"/>
          <w:color w:val="auto"/>
          <w:highlight w:val="none"/>
        </w:rPr>
        <w:t>公开竞争性谈判、综合评分法采购</w:t>
      </w:r>
      <w:bookmarkEnd w:id="32"/>
      <w:bookmarkEnd w:id="33"/>
    </w:p>
    <w:tbl>
      <w:tblPr>
        <w:tblStyle w:val="25"/>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w:t>
            </w:r>
            <w:r>
              <w:rPr>
                <w:rFonts w:hint="eastAsia" w:ascii="仿宋_GB2312" w:eastAsia="仿宋_GB2312"/>
                <w:color w:val="auto"/>
                <w:sz w:val="24"/>
                <w:szCs w:val="24"/>
                <w:highlight w:val="none"/>
                <w:lang w:val="en-US" w:eastAsia="zh-CN"/>
              </w:rPr>
              <w:t>采购</w:t>
            </w:r>
            <w:r>
              <w:rPr>
                <w:rFonts w:hint="eastAsia" w:ascii="仿宋_GB2312" w:eastAsia="仿宋_GB2312"/>
                <w:color w:val="auto"/>
                <w:sz w:val="24"/>
                <w:szCs w:val="24"/>
                <w:highlight w:val="none"/>
              </w:rPr>
              <w:t>准备</w:t>
            </w:r>
          </w:p>
        </w:tc>
        <w:tc>
          <w:tcPr>
            <w:tcW w:w="7938" w:type="dxa"/>
            <w:tcBorders>
              <w:top w:val="single" w:color="auto" w:sz="4" w:space="0"/>
            </w:tcBorders>
            <w:vAlign w:val="center"/>
          </w:tcPr>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leftChars="0" w:hanging="480" w:hangingChars="200"/>
              <w:rPr>
                <w:rFonts w:hint="default"/>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w:t>
            </w:r>
            <w:r>
              <w:rPr>
                <w:rFonts w:hint="eastAsia" w:ascii="仿宋_GB2312" w:eastAsia="仿宋_GB2312" w:hAnsiTheme="minorEastAsia"/>
                <w:color w:val="auto"/>
                <w:sz w:val="24"/>
                <w:szCs w:val="24"/>
                <w:highlight w:val="none"/>
                <w:lang w:val="en-US" w:eastAsia="zh-CN"/>
              </w:rPr>
              <w:t>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w:t>
            </w:r>
            <w:r>
              <w:rPr>
                <w:rFonts w:hint="eastAsia" w:ascii="仿宋_GB2312" w:eastAsia="仿宋_GB2312"/>
                <w:color w:val="auto"/>
                <w:sz w:val="24"/>
                <w:szCs w:val="24"/>
                <w:highlight w:val="none"/>
                <w:lang w:val="en-US" w:eastAsia="zh-CN"/>
              </w:rPr>
              <w:t>评审</w:t>
            </w:r>
            <w:r>
              <w:rPr>
                <w:rFonts w:hint="eastAsia" w:ascii="仿宋_GB2312" w:eastAsia="仿宋_GB2312"/>
                <w:color w:val="auto"/>
                <w:sz w:val="24"/>
                <w:szCs w:val="24"/>
                <w:highlight w:val="none"/>
              </w:rPr>
              <w:t>规则</w:t>
            </w:r>
          </w:p>
        </w:tc>
        <w:tc>
          <w:tcPr>
            <w:tcW w:w="7938" w:type="dxa"/>
            <w:tcBorders>
              <w:bottom w:val="single" w:color="auto" w:sz="4" w:space="0"/>
            </w:tcBorders>
            <w:vAlign w:val="center"/>
          </w:tcPr>
          <w:p>
            <w:pPr>
              <w:adjustRightInd w:val="0"/>
              <w:snapToGrid w:val="0"/>
              <w:ind w:left="0" w:firstLine="0" w:firstLineChars="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0" w:firstLine="0" w:firstLineChars="0"/>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w:t>
            </w:r>
            <w:r>
              <w:rPr>
                <w:rFonts w:hint="eastAsia" w:ascii="仿宋_GB2312" w:eastAsia="仿宋_GB2312"/>
                <w:color w:val="auto"/>
                <w:sz w:val="24"/>
                <w:szCs w:val="24"/>
                <w:highlight w:val="none"/>
                <w:lang w:val="en-US" w:eastAsia="zh-CN"/>
              </w:rPr>
              <w:t>评审</w:t>
            </w:r>
            <w:r>
              <w:rPr>
                <w:rFonts w:hint="eastAsia" w:ascii="仿宋_GB2312" w:eastAsia="仿宋_GB2312"/>
                <w:color w:val="auto"/>
                <w:sz w:val="24"/>
                <w:szCs w:val="24"/>
                <w:highlight w:val="none"/>
              </w:rPr>
              <w:t xml:space="preserve">地址 </w:t>
            </w:r>
          </w:p>
          <w:p>
            <w:pPr>
              <w:adjustRightInd w:val="0"/>
              <w:snapToGrid w:val="0"/>
              <w:ind w:left="0" w:leftChars="0"/>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ind w:left="0" w:firstLine="0" w:firstLineChars="0"/>
              <w:rPr>
                <w:rFonts w:hint="eastAsia"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 xml:space="preserve">2.3 </w:t>
            </w:r>
            <w:r>
              <w:rPr>
                <w:rFonts w:hint="eastAsia" w:ascii="仿宋_GB2312" w:eastAsia="仿宋_GB2312" w:hAnsiTheme="minorEastAsia"/>
                <w:color w:val="auto"/>
                <w:sz w:val="24"/>
                <w:szCs w:val="24"/>
                <w:highlight w:val="none"/>
                <w:lang w:val="en-US" w:eastAsia="zh-CN"/>
              </w:rPr>
              <w:t>评审</w:t>
            </w:r>
            <w:r>
              <w:rPr>
                <w:rFonts w:hint="eastAsia" w:ascii="仿宋_GB2312" w:eastAsia="仿宋_GB2312" w:hAnsiTheme="minorEastAsia"/>
                <w:color w:val="auto"/>
                <w:sz w:val="24"/>
                <w:szCs w:val="24"/>
                <w:highlight w:val="none"/>
              </w:rPr>
              <w:t>开始时间（同响应文件截止时间）</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96" w:hRule="atLeast"/>
        </w:trPr>
        <w:tc>
          <w:tcPr>
            <w:tcW w:w="959" w:type="dxa"/>
            <w:tcBorders>
              <w:bottom w:val="single" w:color="auto" w:sz="4" w:space="0"/>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3.谈判程序</w:t>
            </w:r>
          </w:p>
        </w:tc>
        <w:tc>
          <w:tcPr>
            <w:tcW w:w="7938" w:type="dxa"/>
            <w:tcBorders>
              <w:bottom w:val="single" w:color="auto" w:sz="4" w:space="0"/>
            </w:tcBorders>
            <w:vAlign w:val="center"/>
          </w:tcPr>
          <w:p>
            <w:pPr>
              <w:adjustRightInd w:val="0"/>
              <w:snapToGrid w:val="0"/>
              <w:ind w:left="0" w:leftChars="0" w:firstLine="0" w:firstLineChars="0"/>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3.1本次谈判采用一轮谈判，两次报价形式进行。</w:t>
            </w:r>
          </w:p>
          <w:p>
            <w:pPr>
              <w:adjustRightInd w:val="0"/>
              <w:snapToGrid w:val="0"/>
              <w:ind w:left="0" w:leftChars="0" w:firstLine="0" w:firstLineChars="0"/>
              <w:rPr>
                <w:rFonts w:hint="eastAsia" w:ascii="仿宋_GB2312" w:hAnsi="Times New Roman" w:eastAsia="仿宋_GB2312" w:cs="Tahoma"/>
                <w:color w:val="auto"/>
                <w:kern w:val="0"/>
                <w:sz w:val="24"/>
                <w:szCs w:val="24"/>
                <w:highlight w:val="none"/>
                <w:lang w:val="en-US" w:eastAsia="zh-CN" w:bidi="ar-SA"/>
              </w:rPr>
            </w:pPr>
            <w:r>
              <w:rPr>
                <w:rFonts w:hint="eastAsia" w:ascii="仿宋_GB2312" w:eastAsia="仿宋_GB2312"/>
                <w:color w:val="auto"/>
                <w:sz w:val="24"/>
                <w:szCs w:val="24"/>
                <w:highlight w:val="none"/>
                <w:lang w:val="en-US" w:eastAsia="zh-CN"/>
              </w:rPr>
              <w:t>3.2评审小组对所有报名供应商进行资格审查，被谈判小组确定为响应文件无效的，其响应文件即被视为不能通过初审，不得参与谈判活动。参与最后报价的供应商不得少于2家，如少于2家时，评审小组宣布项目采购失败。</w:t>
            </w:r>
          </w:p>
          <w:p>
            <w:pPr>
              <w:adjustRightInd w:val="0"/>
              <w:snapToGrid w:val="0"/>
              <w:ind w:left="0" w:leftChars="0" w:firstLine="0" w:firstLineChars="0"/>
              <w:rPr>
                <w:rFonts w:hint="default"/>
                <w:lang w:val="en-US" w:eastAsia="zh-CN"/>
              </w:rPr>
            </w:pPr>
            <w:r>
              <w:rPr>
                <w:rFonts w:hint="eastAsia" w:ascii="仿宋_GB2312" w:hAnsi="Times New Roman" w:eastAsia="仿宋_GB2312" w:cs="Tahoma"/>
                <w:color w:val="auto"/>
                <w:kern w:val="0"/>
                <w:sz w:val="24"/>
                <w:szCs w:val="24"/>
                <w:highlight w:val="none"/>
                <w:lang w:val="en-US" w:eastAsia="zh-CN" w:bidi="ar-SA"/>
              </w:rPr>
              <w:t>3.3完成符合性审核后，谈判小组要求所有通过符合性审查的供应商在规定时间内提交第二次报价，供应商未在规定的时间进行二次报价的，视为其退出二次报价，其最终报价为其首次报价。在二次报价结束后，对供应商的最终报价进行价格评审。被评审委员会确定为二次报价无效的，取其初次报价为最终报价。</w:t>
            </w:r>
            <w:r>
              <w:rPr>
                <w:rFonts w:hint="eastAsia" w:ascii="仿宋_GB2312" w:eastAsia="仿宋_GB2312"/>
                <w:color w:val="auto"/>
                <w:sz w:val="24"/>
                <w:szCs w:val="24"/>
                <w:highlight w:val="none"/>
                <w:lang w:val="en-US" w:eastAsia="zh-CN"/>
              </w:rPr>
              <w:t>比照综合得分高低确定成交供应商。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959" w:type="dxa"/>
            <w:tcBorders>
              <w:bottom w:val="single" w:color="auto" w:sz="4" w:space="0"/>
            </w:tcBorders>
            <w:vAlign w:val="center"/>
          </w:tcPr>
          <w:p>
            <w:pPr>
              <w:adjustRightInd w:val="0"/>
              <w:snapToGrid w:val="0"/>
              <w:jc w:val="right"/>
              <w:rPr>
                <w:rFonts w:ascii="仿宋_GB2312" w:eastAsia="仿宋_GB2312"/>
                <w:sz w:val="24"/>
                <w:highlight w:val="none"/>
              </w:rPr>
            </w:pPr>
            <w:r>
              <w:rPr>
                <w:rFonts w:hint="eastAsia" w:ascii="仿宋_GB2312" w:eastAsia="仿宋_GB2312"/>
                <w:sz w:val="24"/>
                <w:highlight w:val="none"/>
                <w:lang w:val="en-US" w:eastAsia="zh-CN"/>
              </w:rPr>
              <w:t>4</w:t>
            </w:r>
            <w:r>
              <w:rPr>
                <w:rFonts w:hint="eastAsia" w:ascii="仿宋_GB2312" w:eastAsia="仿宋_GB2312"/>
                <w:sz w:val="24"/>
                <w:highlight w:val="none"/>
              </w:rPr>
              <w:t>.特别</w:t>
            </w:r>
          </w:p>
          <w:p>
            <w:pPr>
              <w:adjustRightInd w:val="0"/>
              <w:snapToGrid w:val="0"/>
              <w:jc w:val="right"/>
              <w:rPr>
                <w:rFonts w:hint="eastAsia" w:ascii="仿宋_GB2312" w:eastAsia="仿宋_GB2312" w:hAnsiTheme="minorHAnsi" w:cstheme="minorBidi"/>
                <w:kern w:val="2"/>
                <w:sz w:val="24"/>
                <w:szCs w:val="22"/>
                <w:highlight w:val="none"/>
                <w:lang w:val="en-US" w:eastAsia="zh-CN" w:bidi="ar-SA"/>
              </w:rPr>
            </w:pPr>
            <w:r>
              <w:rPr>
                <w:rFonts w:hint="eastAsia" w:ascii="仿宋_GB2312" w:eastAsia="仿宋_GB2312"/>
                <w:sz w:val="24"/>
                <w:highlight w:val="none"/>
              </w:rPr>
              <w:t>规定</w:t>
            </w:r>
          </w:p>
        </w:tc>
        <w:tc>
          <w:tcPr>
            <w:tcW w:w="7938" w:type="dxa"/>
            <w:tcBorders>
              <w:bottom w:val="single" w:color="auto" w:sz="4" w:space="0"/>
            </w:tcBorders>
            <w:vAlign w:val="center"/>
          </w:tcPr>
          <w:p>
            <w:pPr>
              <w:adjustRightInd w:val="0"/>
              <w:snapToGrid w:val="0"/>
              <w:jc w:val="left"/>
              <w:rPr>
                <w:rFonts w:ascii="仿宋_GB2312" w:hAnsi="宋体" w:eastAsia="仿宋_GB2312"/>
                <w:sz w:val="24"/>
                <w:highlight w:val="none"/>
              </w:rPr>
            </w:pPr>
            <w:r>
              <w:rPr>
                <w:rFonts w:hint="eastAsia" w:ascii="仿宋_GB2312" w:hAnsi="宋体" w:eastAsia="仿宋_GB2312"/>
                <w:sz w:val="24"/>
                <w:highlight w:val="none"/>
                <w:lang w:val="en-US" w:eastAsia="zh-CN"/>
              </w:rPr>
              <w:t>4</w:t>
            </w:r>
            <w:r>
              <w:rPr>
                <w:rFonts w:hint="eastAsia" w:ascii="仿宋_GB2312" w:hAnsi="宋体" w:eastAsia="仿宋_GB2312"/>
                <w:sz w:val="24"/>
                <w:highlight w:val="none"/>
              </w:rPr>
              <w:t>.1 在谈判活动中允许供应商退出谈判活动</w:t>
            </w:r>
          </w:p>
          <w:p>
            <w:pPr>
              <w:adjustRightInd w:val="0"/>
              <w:snapToGrid w:val="0"/>
              <w:jc w:val="left"/>
              <w:rPr>
                <w:rFonts w:ascii="仿宋_GB2312" w:hAnsi="宋体" w:eastAsia="仿宋_GB2312"/>
                <w:sz w:val="24"/>
                <w:highlight w:val="none"/>
              </w:rPr>
            </w:pPr>
            <w:r>
              <w:rPr>
                <w:rFonts w:hint="eastAsia" w:ascii="仿宋_GB2312" w:hAnsi="宋体" w:eastAsia="仿宋_GB2312"/>
                <w:sz w:val="24"/>
                <w:highlight w:val="none"/>
                <w:lang w:val="en-US" w:eastAsia="zh-CN"/>
              </w:rPr>
              <w:t>4</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2</w:t>
            </w:r>
            <w:r>
              <w:rPr>
                <w:rFonts w:hint="eastAsia" w:ascii="仿宋_GB2312" w:hAnsi="宋体" w:eastAsia="仿宋_GB2312"/>
                <w:sz w:val="24"/>
                <w:highlight w:val="none"/>
              </w:rPr>
              <w:t xml:space="preserve"> 采购人不得就供应商提出的最终报价与其进行谈判</w:t>
            </w:r>
          </w:p>
          <w:p>
            <w:pPr>
              <w:adjustRightInd w:val="0"/>
              <w:snapToGrid w:val="0"/>
              <w:ind w:left="480" w:leftChars="0" w:hanging="480" w:hangingChars="200"/>
              <w:jc w:val="left"/>
              <w:rPr>
                <w:rFonts w:hint="eastAsia" w:ascii="仿宋_GB2312" w:hAnsi="宋体" w:eastAsia="仿宋_GB2312" w:cstheme="minorBidi"/>
                <w:kern w:val="2"/>
                <w:sz w:val="24"/>
                <w:szCs w:val="22"/>
                <w:highlight w:val="none"/>
                <w:lang w:val="en-US" w:eastAsia="zh-CN" w:bidi="ar-SA"/>
              </w:rPr>
            </w:pPr>
            <w:r>
              <w:rPr>
                <w:rFonts w:hint="eastAsia" w:ascii="仿宋_GB2312" w:hAnsi="宋体" w:eastAsia="仿宋_GB2312"/>
                <w:sz w:val="24"/>
                <w:highlight w:val="none"/>
                <w:lang w:val="en-US" w:eastAsia="zh-CN"/>
              </w:rPr>
              <w:t>4</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3</w:t>
            </w:r>
            <w:r>
              <w:rPr>
                <w:rFonts w:hint="eastAsia" w:ascii="仿宋_GB2312" w:hAnsi="宋体" w:eastAsia="仿宋_GB2312"/>
                <w:sz w:val="24"/>
                <w:highlight w:val="none"/>
              </w:rPr>
              <w:t>如评审小组没有对采购文件作实质性变动增加新的需求，最后报价不得高于</w:t>
            </w:r>
            <w:r>
              <w:rPr>
                <w:rFonts w:hint="eastAsia" w:ascii="仿宋_GB2312" w:hAnsi="宋体" w:eastAsia="仿宋_GB2312"/>
                <w:sz w:val="24"/>
                <w:highlight w:val="none"/>
                <w:lang w:val="en-US" w:eastAsia="zh-CN"/>
              </w:rPr>
              <w:t>或等于</w:t>
            </w:r>
            <w:r>
              <w:rPr>
                <w:rFonts w:hint="eastAsia" w:ascii="仿宋_GB2312" w:hAnsi="宋体" w:eastAsia="仿宋_GB2312"/>
                <w:sz w:val="24"/>
                <w:highlight w:val="none"/>
              </w:rPr>
              <w:t>首次报价。</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5</w:t>
            </w:r>
            <w:r>
              <w:rPr>
                <w:rFonts w:hint="eastAsia" w:ascii="仿宋_GB2312" w:eastAsia="仿宋_GB2312"/>
                <w:color w:val="auto"/>
                <w:sz w:val="24"/>
                <w:szCs w:val="24"/>
                <w:highlight w:val="none"/>
              </w:rPr>
              <w:t>.成交规则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eastAsia"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如第一中</w:t>
            </w:r>
            <w:r>
              <w:rPr>
                <w:rFonts w:hint="eastAsia" w:ascii="仿宋_GB2312" w:eastAsia="仿宋_GB2312" w:hAnsiTheme="minorEastAsia"/>
                <w:color w:val="auto"/>
                <w:sz w:val="24"/>
                <w:szCs w:val="24"/>
                <w:highlight w:val="none"/>
                <w:lang w:val="en-US" w:eastAsia="zh-CN"/>
              </w:rPr>
              <w:t>选</w:t>
            </w:r>
            <w:r>
              <w:rPr>
                <w:rFonts w:hint="eastAsia" w:ascii="仿宋_GB2312" w:eastAsia="仿宋_GB2312" w:hAnsiTheme="minorEastAsia"/>
                <w:color w:val="auto"/>
                <w:sz w:val="24"/>
                <w:szCs w:val="24"/>
                <w:highlight w:val="none"/>
              </w:rPr>
              <w:t>候选人被取消中</w:t>
            </w:r>
            <w:r>
              <w:rPr>
                <w:rFonts w:hint="eastAsia" w:ascii="仿宋_GB2312" w:eastAsia="仿宋_GB2312" w:hAnsiTheme="minorEastAsia"/>
                <w:color w:val="auto"/>
                <w:sz w:val="24"/>
                <w:szCs w:val="24"/>
                <w:highlight w:val="none"/>
                <w:lang w:val="en-US" w:eastAsia="zh-CN"/>
              </w:rPr>
              <w:t>选</w:t>
            </w:r>
            <w:r>
              <w:rPr>
                <w:rFonts w:hint="eastAsia" w:ascii="仿宋_GB2312" w:eastAsia="仿宋_GB2312" w:hAnsiTheme="minorEastAsia"/>
                <w:color w:val="auto"/>
                <w:sz w:val="24"/>
                <w:szCs w:val="24"/>
                <w:highlight w:val="none"/>
              </w:rPr>
              <w:t>候选人资格，</w:t>
            </w:r>
            <w:r>
              <w:rPr>
                <w:rFonts w:hint="eastAsia" w:ascii="仿宋_GB2312" w:eastAsia="仿宋_GB2312" w:hAnsiTheme="minorEastAsia"/>
                <w:color w:val="auto"/>
                <w:sz w:val="24"/>
                <w:szCs w:val="24"/>
                <w:highlight w:val="none"/>
                <w:lang w:val="en-US" w:eastAsia="zh-CN"/>
              </w:rPr>
              <w:t>采购</w:t>
            </w:r>
            <w:r>
              <w:rPr>
                <w:rFonts w:hint="eastAsia" w:ascii="仿宋_GB2312" w:eastAsia="仿宋_GB2312" w:hAnsiTheme="minorEastAsia"/>
                <w:color w:val="auto"/>
                <w:sz w:val="24"/>
                <w:szCs w:val="24"/>
                <w:highlight w:val="none"/>
              </w:rPr>
              <w:t>人有权按</w:t>
            </w:r>
            <w:r>
              <w:rPr>
                <w:rFonts w:hint="eastAsia" w:ascii="仿宋_GB2312" w:eastAsia="仿宋_GB2312" w:hAnsiTheme="minorEastAsia"/>
                <w:color w:val="auto"/>
                <w:sz w:val="24"/>
                <w:szCs w:val="24"/>
                <w:highlight w:val="none"/>
                <w:lang w:val="en-US" w:eastAsia="zh-CN"/>
              </w:rPr>
              <w:t>中选</w:t>
            </w:r>
            <w:r>
              <w:rPr>
                <w:rFonts w:hint="eastAsia" w:ascii="仿宋_GB2312" w:eastAsia="仿宋_GB2312" w:hAnsiTheme="minorEastAsia"/>
                <w:color w:val="auto"/>
                <w:sz w:val="24"/>
                <w:szCs w:val="24"/>
                <w:highlight w:val="none"/>
              </w:rPr>
              <w:t>候选人的顺</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t>序依次确定其他中</w:t>
            </w:r>
            <w:r>
              <w:rPr>
                <w:rFonts w:hint="eastAsia" w:ascii="仿宋_GB2312" w:eastAsia="仿宋_GB2312" w:hAnsiTheme="minorEastAsia"/>
                <w:color w:val="auto"/>
                <w:sz w:val="24"/>
                <w:szCs w:val="24"/>
                <w:highlight w:val="none"/>
                <w:lang w:val="en-US" w:eastAsia="zh-CN"/>
              </w:rPr>
              <w:t>选</w:t>
            </w:r>
            <w:r>
              <w:rPr>
                <w:rFonts w:hint="eastAsia" w:ascii="仿宋_GB2312" w:eastAsia="仿宋_GB2312" w:hAnsiTheme="minorEastAsia"/>
                <w:color w:val="auto"/>
                <w:sz w:val="24"/>
                <w:szCs w:val="24"/>
                <w:highlight w:val="none"/>
              </w:rPr>
              <w:t>候选人为中</w:t>
            </w:r>
            <w:r>
              <w:rPr>
                <w:rFonts w:hint="eastAsia" w:ascii="仿宋_GB2312" w:eastAsia="仿宋_GB2312" w:hAnsiTheme="minorEastAsia"/>
                <w:color w:val="auto"/>
                <w:sz w:val="24"/>
                <w:szCs w:val="24"/>
                <w:highlight w:val="none"/>
                <w:lang w:val="en-US" w:eastAsia="zh-CN"/>
              </w:rPr>
              <w:t>选</w:t>
            </w:r>
            <w:r>
              <w:rPr>
                <w:rFonts w:hint="eastAsia" w:ascii="仿宋_GB2312" w:eastAsia="仿宋_GB2312" w:hAnsiTheme="minorEastAsia"/>
                <w:color w:val="auto"/>
                <w:sz w:val="24"/>
                <w:szCs w:val="24"/>
                <w:highlight w:val="none"/>
              </w:rPr>
              <w:t>人，或重新</w:t>
            </w:r>
            <w:r>
              <w:rPr>
                <w:rFonts w:hint="eastAsia" w:ascii="仿宋_GB2312" w:eastAsia="仿宋_GB2312" w:hAnsiTheme="minorEastAsia"/>
                <w:color w:val="auto"/>
                <w:sz w:val="24"/>
                <w:szCs w:val="24"/>
                <w:highlight w:val="none"/>
                <w:lang w:val="en-US" w:eastAsia="zh-CN"/>
              </w:rPr>
              <w:t>采购</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6</w:t>
            </w:r>
            <w:r>
              <w:rPr>
                <w:rFonts w:hint="eastAsia" w:ascii="仿宋_GB2312" w:eastAsia="仿宋_GB2312"/>
                <w:color w:val="auto"/>
                <w:sz w:val="24"/>
                <w:szCs w:val="24"/>
                <w:highlight w:val="none"/>
              </w:rPr>
              <w:t>.成交候选人公示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7</w:t>
            </w:r>
            <w:r>
              <w:rPr>
                <w:rFonts w:hint="eastAsia" w:ascii="仿宋_GB2312" w:eastAsia="仿宋_GB2312"/>
                <w:color w:val="auto"/>
                <w:sz w:val="24"/>
                <w:szCs w:val="24"/>
                <w:highlight w:val="none"/>
              </w:rPr>
              <w:t>.成交结果公告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8</w:t>
            </w:r>
            <w:r>
              <w:rPr>
                <w:rFonts w:hint="eastAsia" w:ascii="仿宋_GB2312" w:eastAsia="仿宋_GB2312"/>
                <w:color w:val="auto"/>
                <w:sz w:val="24"/>
                <w:szCs w:val="24"/>
                <w:highlight w:val="none"/>
              </w:rPr>
              <w:t>.成交通知书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9</w:t>
            </w:r>
            <w:r>
              <w:rPr>
                <w:rFonts w:hint="eastAsia" w:ascii="仿宋_GB2312" w:eastAsia="仿宋_GB2312"/>
                <w:color w:val="auto"/>
                <w:sz w:val="24"/>
                <w:szCs w:val="24"/>
                <w:highlight w:val="none"/>
              </w:rPr>
              <w:t>.签订采购合同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0" w:firstLineChars="0"/>
        <w:jc w:val="left"/>
        <w:rPr>
          <w:rFonts w:ascii="仿宋_GB2312" w:eastAsia="仿宋_GB2312"/>
          <w:color w:val="auto"/>
          <w:sz w:val="28"/>
          <w:szCs w:val="28"/>
          <w:highlight w:val="none"/>
        </w:rPr>
      </w:pPr>
    </w:p>
    <w:p>
      <w:pPr>
        <w:adjustRightInd w:val="0"/>
        <w:snapToGrid w:val="0"/>
        <w:spacing w:line="600" w:lineRule="exact"/>
        <w:ind w:firstLine="0" w:firstLineChars="0"/>
        <w:jc w:val="left"/>
        <w:rPr>
          <w:rFonts w:ascii="仿宋_GB2312" w:eastAsia="仿宋_GB2312"/>
          <w:color w:val="auto"/>
          <w:sz w:val="28"/>
          <w:szCs w:val="28"/>
          <w:highlight w:val="none"/>
        </w:rPr>
      </w:pPr>
    </w:p>
    <w:p>
      <w:pPr>
        <w:adjustRightInd w:val="0"/>
        <w:snapToGrid w:val="0"/>
        <w:spacing w:line="600" w:lineRule="exact"/>
        <w:ind w:firstLine="0" w:firstLineChars="0"/>
        <w:jc w:val="left"/>
        <w:rPr>
          <w:rFonts w:ascii="仿宋_GB2312" w:eastAsia="仿宋_GB2312"/>
          <w:color w:val="auto"/>
          <w:sz w:val="28"/>
          <w:szCs w:val="28"/>
          <w:highlight w:val="none"/>
        </w:rPr>
      </w:pPr>
    </w:p>
    <w:p>
      <w:pPr>
        <w:adjustRightInd w:val="0"/>
        <w:snapToGrid w:val="0"/>
        <w:spacing w:line="600" w:lineRule="exact"/>
        <w:ind w:firstLine="0" w:firstLineChars="0"/>
        <w:jc w:val="left"/>
        <w:rPr>
          <w:rFonts w:ascii="仿宋_GB2312" w:eastAsia="仿宋_GB2312"/>
          <w:color w:val="auto"/>
          <w:sz w:val="28"/>
          <w:szCs w:val="28"/>
          <w:highlight w:val="none"/>
        </w:rPr>
      </w:pPr>
    </w:p>
    <w:p>
      <w:pPr>
        <w:adjustRightInd w:val="0"/>
        <w:snapToGrid w:val="0"/>
        <w:spacing w:line="600" w:lineRule="exact"/>
        <w:ind w:firstLine="0" w:firstLineChars="0"/>
        <w:jc w:val="left"/>
        <w:rPr>
          <w:rFonts w:ascii="仿宋_GB2312" w:eastAsia="仿宋_GB2312"/>
          <w:color w:val="auto"/>
          <w:sz w:val="28"/>
          <w:szCs w:val="28"/>
          <w:highlight w:val="none"/>
        </w:rPr>
      </w:pPr>
    </w:p>
    <w:p>
      <w:pPr>
        <w:adjustRightInd w:val="0"/>
        <w:snapToGrid w:val="0"/>
        <w:spacing w:line="600" w:lineRule="exact"/>
        <w:ind w:firstLine="0" w:firstLineChars="0"/>
        <w:jc w:val="left"/>
        <w:rPr>
          <w:rFonts w:ascii="仿宋_GB2312" w:eastAsia="仿宋_GB2312"/>
          <w:color w:val="auto"/>
          <w:sz w:val="28"/>
          <w:szCs w:val="28"/>
          <w:highlight w:val="none"/>
        </w:rPr>
      </w:pPr>
    </w:p>
    <w:p>
      <w:pPr>
        <w:adjustRightInd w:val="0"/>
        <w:snapToGrid w:val="0"/>
        <w:spacing w:line="600" w:lineRule="exact"/>
        <w:ind w:firstLine="0" w:firstLineChars="0"/>
        <w:jc w:val="left"/>
        <w:rPr>
          <w:rFonts w:ascii="仿宋_GB2312" w:eastAsia="仿宋_GB2312"/>
          <w:color w:val="auto"/>
          <w:sz w:val="28"/>
          <w:szCs w:val="28"/>
          <w:highlight w:val="none"/>
        </w:rPr>
      </w:pPr>
    </w:p>
    <w:p>
      <w:pPr>
        <w:adjustRightInd w:val="0"/>
        <w:snapToGrid w:val="0"/>
        <w:spacing w:line="600" w:lineRule="exact"/>
        <w:ind w:firstLine="0" w:firstLineChars="0"/>
        <w:jc w:val="left"/>
        <w:rPr>
          <w:rFonts w:ascii="仿宋_GB2312" w:eastAsia="仿宋_GB2312"/>
          <w:color w:val="auto"/>
          <w:sz w:val="28"/>
          <w:szCs w:val="28"/>
          <w:highlight w:val="none"/>
        </w:rPr>
      </w:pPr>
    </w:p>
    <w:p>
      <w:pPr>
        <w:adjustRightInd w:val="0"/>
        <w:snapToGrid w:val="0"/>
        <w:spacing w:line="600" w:lineRule="exact"/>
        <w:ind w:firstLine="0" w:firstLineChars="0"/>
        <w:jc w:val="left"/>
        <w:rPr>
          <w:rFonts w:ascii="仿宋_GB2312" w:eastAsia="仿宋_GB2312"/>
          <w:color w:val="auto"/>
          <w:sz w:val="28"/>
          <w:szCs w:val="28"/>
          <w:highlight w:val="none"/>
        </w:rPr>
      </w:pPr>
    </w:p>
    <w:p>
      <w:pPr>
        <w:adjustRightInd w:val="0"/>
        <w:snapToGrid w:val="0"/>
        <w:spacing w:line="600" w:lineRule="exact"/>
        <w:ind w:firstLine="0" w:firstLineChars="0"/>
        <w:jc w:val="left"/>
        <w:rPr>
          <w:rFonts w:ascii="仿宋_GB2312" w:eastAsia="仿宋_GB2312"/>
          <w:color w:val="auto"/>
          <w:sz w:val="28"/>
          <w:szCs w:val="28"/>
          <w:highlight w:val="none"/>
        </w:rPr>
      </w:pPr>
    </w:p>
    <w:p>
      <w:pPr>
        <w:adjustRightInd w:val="0"/>
        <w:snapToGrid w:val="0"/>
        <w:spacing w:line="600" w:lineRule="exact"/>
        <w:ind w:firstLine="0" w:firstLineChars="0"/>
        <w:jc w:val="left"/>
        <w:rPr>
          <w:rFonts w:ascii="仿宋_GB2312" w:eastAsia="仿宋_GB2312"/>
          <w:color w:val="auto"/>
          <w:sz w:val="28"/>
          <w:szCs w:val="28"/>
          <w:highlight w:val="none"/>
        </w:rPr>
      </w:pPr>
    </w:p>
    <w:p>
      <w:pPr>
        <w:adjustRightInd w:val="0"/>
        <w:snapToGrid w:val="0"/>
        <w:spacing w:line="600" w:lineRule="exact"/>
        <w:ind w:firstLine="0" w:firstLineChars="0"/>
        <w:jc w:val="left"/>
        <w:rPr>
          <w:rFonts w:ascii="仿宋_GB2312" w:eastAsia="仿宋_GB2312"/>
          <w:color w:val="auto"/>
          <w:sz w:val="28"/>
          <w:szCs w:val="28"/>
          <w:highlight w:val="none"/>
        </w:rPr>
      </w:pPr>
    </w:p>
    <w:p>
      <w:pPr>
        <w:adjustRightInd w:val="0"/>
        <w:snapToGrid w:val="0"/>
        <w:spacing w:line="600" w:lineRule="exact"/>
        <w:ind w:firstLine="0" w:firstLineChars="0"/>
        <w:jc w:val="left"/>
        <w:rPr>
          <w:rFonts w:ascii="仿宋_GB2312" w:eastAsia="仿宋_GB2312"/>
          <w:color w:val="auto"/>
          <w:sz w:val="28"/>
          <w:szCs w:val="28"/>
          <w:highlight w:val="none"/>
        </w:rPr>
      </w:pPr>
    </w:p>
    <w:p>
      <w:pPr>
        <w:adjustRightInd w:val="0"/>
        <w:snapToGrid w:val="0"/>
        <w:spacing w:line="600" w:lineRule="exact"/>
        <w:ind w:firstLine="0" w:firstLineChars="0"/>
        <w:jc w:val="left"/>
        <w:rPr>
          <w:rFonts w:ascii="仿宋_GB2312" w:eastAsia="仿宋_GB2312"/>
          <w:color w:val="auto"/>
          <w:sz w:val="28"/>
          <w:szCs w:val="28"/>
          <w:highlight w:val="none"/>
        </w:rPr>
      </w:pPr>
    </w:p>
    <w:p>
      <w:pPr>
        <w:pStyle w:val="2"/>
        <w:rPr>
          <w:color w:val="auto"/>
          <w:highlight w:val="none"/>
        </w:rPr>
      </w:pPr>
      <w:bookmarkStart w:id="34" w:name="_Toc20594"/>
      <w:bookmarkStart w:id="35" w:name="_Toc14552"/>
      <w:bookmarkStart w:id="36" w:name="_Toc14870"/>
      <w:bookmarkStart w:id="37" w:name="_Toc3156"/>
      <w:bookmarkStart w:id="38" w:name="_Toc19759"/>
      <w:bookmarkStart w:id="39" w:name="_Toc10930"/>
      <w:bookmarkStart w:id="40" w:name="_Toc23581"/>
      <w:bookmarkStart w:id="41" w:name="_Toc4952"/>
      <w:bookmarkStart w:id="42" w:name="_Toc7437"/>
      <w:bookmarkStart w:id="43" w:name="_Toc19050"/>
      <w:bookmarkStart w:id="44" w:name="_Toc7118"/>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1.6pt;margin-top:56.7pt;height:0pt;width:75.5pt;z-index:25166336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CIk7Qa8gEAAOI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g1/zpkDSxd+&#10;9/n7r09fbr/+vP3xjc2zQn3AmgJXbhNPOwybmOke2mjzn4iwQ1H1eFZVHRITdPhyNp/PSG9x76oe&#10;8kLE9Fp5y7LRcEwR9K5LK+8cXZ2PkyIq7N9gosqUeJ+QixrH+gw/nRE40Ci2NAJk2kB00O1KLnqj&#10;5bU2Jmdg3G1XJrI95HEoX+ZHuH+F5SJrwG6IK65hUDoF8pWTLB0DCeXoffDcglWSM6PoOWWLAKFO&#10;oM0lkVTaOOogSzyImq2tl8eidTmnqy89nsY0z9af+5L98D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iJO0Gv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3.1pt;margin-top:21.3pt;height:0pt;width:75.5pt;z-index:25166233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Yz8Xvf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6"/>
        <w:rPr>
          <w:color w:val="auto"/>
          <w:highlight w:val="none"/>
        </w:rPr>
      </w:pPr>
    </w:p>
    <w:p>
      <w:pPr>
        <w:pStyle w:val="2"/>
        <w:rPr>
          <w:color w:val="auto"/>
          <w:highlight w:val="none"/>
        </w:rPr>
      </w:pPr>
      <w:bookmarkStart w:id="45" w:name="_Toc6308"/>
      <w:bookmarkStart w:id="46" w:name="_Toc12177"/>
      <w:bookmarkStart w:id="47" w:name="_Toc30530"/>
      <w:bookmarkStart w:id="48" w:name="_Toc7831"/>
      <w:bookmarkStart w:id="49" w:name="_Toc21079"/>
      <w:bookmarkStart w:id="50" w:name="_Toc88209941"/>
      <w:bookmarkStart w:id="51" w:name="_Toc29484"/>
      <w:bookmarkStart w:id="52" w:name="_Toc29345"/>
      <w:bookmarkStart w:id="53" w:name="_Toc13898"/>
      <w:bookmarkStart w:id="54" w:name="_Toc87616378"/>
      <w:bookmarkStart w:id="55" w:name="_Toc21840"/>
      <w:bookmarkStart w:id="56" w:name="_Toc32607"/>
      <w:bookmarkStart w:id="57" w:name="_Toc22212"/>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highlight w:val="none"/>
        </w:rPr>
      </w:pPr>
    </w:p>
    <w:p>
      <w:pPr>
        <w:pStyle w:val="23"/>
        <w:ind w:firstLine="0"/>
        <w:rPr>
          <w:rFonts w:ascii="方正小标宋简体" w:eastAsia="方正小标宋简体"/>
          <w:color w:val="auto"/>
          <w:sz w:val="44"/>
          <w:szCs w:val="44"/>
          <w:highlight w:val="none"/>
        </w:rPr>
      </w:pPr>
    </w:p>
    <w:p>
      <w:pPr>
        <w:adjustRightInd w:val="0"/>
        <w:snapToGrid w:val="0"/>
        <w:spacing w:line="600" w:lineRule="exact"/>
        <w:jc w:val="left"/>
        <w:rPr>
          <w:rFonts w:hint="eastAsia" w:asciiTheme="minorEastAsia" w:hAnsiTheme="minorEastAsia"/>
          <w:b/>
          <w:color w:val="auto"/>
          <w:sz w:val="28"/>
          <w:szCs w:val="28"/>
          <w:highlight w:val="none"/>
        </w:rPr>
      </w:pPr>
    </w:p>
    <w:p>
      <w:pPr>
        <w:adjustRightInd w:val="0"/>
        <w:snapToGrid w:val="0"/>
        <w:spacing w:line="600" w:lineRule="exact"/>
        <w:jc w:val="left"/>
        <w:rPr>
          <w:rFonts w:hint="eastAsia" w:asciiTheme="minorEastAsia" w:hAnsiTheme="minorEastAsia"/>
          <w:b/>
          <w:color w:val="auto"/>
          <w:sz w:val="28"/>
          <w:szCs w:val="28"/>
          <w:highlight w:val="none"/>
        </w:rPr>
      </w:pPr>
    </w:p>
    <w:p>
      <w:pPr>
        <w:adjustRightInd w:val="0"/>
        <w:snapToGrid w:val="0"/>
        <w:spacing w:line="600" w:lineRule="exact"/>
        <w:jc w:val="left"/>
        <w:rPr>
          <w:rFonts w:hint="eastAsia" w:asciiTheme="minorEastAsia" w:hAnsiTheme="minorEastAsia"/>
          <w:b/>
          <w:color w:val="auto"/>
          <w:sz w:val="28"/>
          <w:szCs w:val="28"/>
          <w:highlight w:val="none"/>
        </w:rPr>
      </w:pPr>
    </w:p>
    <w:p>
      <w:pPr>
        <w:adjustRightInd w:val="0"/>
        <w:snapToGrid w:val="0"/>
        <w:spacing w:line="600" w:lineRule="exact"/>
        <w:jc w:val="left"/>
        <w:rPr>
          <w:rFonts w:hint="eastAsia" w:asciiTheme="minorEastAsia" w:hAnsiTheme="minorEastAsia"/>
          <w:b/>
          <w:color w:val="auto"/>
          <w:sz w:val="28"/>
          <w:szCs w:val="28"/>
          <w:highlight w:val="none"/>
        </w:rPr>
      </w:pP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评审小组依据本文件要求，负责评审过程中的质疑</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rPr>
        <w:t>根据评审标准及答疑结果对供应商进行评分；确定拟选用成交</w:t>
      </w:r>
      <w:r>
        <w:rPr>
          <w:rFonts w:hint="eastAsia" w:ascii="仿宋_GB2312" w:eastAsia="仿宋_GB2312" w:hAnsiTheme="minorEastAsia"/>
          <w:color w:val="auto"/>
          <w:sz w:val="28"/>
          <w:szCs w:val="28"/>
          <w:highlight w:val="none"/>
          <w:lang w:val="en-US" w:eastAsia="zh-CN"/>
        </w:rPr>
        <w:t>供应商</w:t>
      </w:r>
      <w:r>
        <w:rPr>
          <w:rFonts w:hint="eastAsia" w:ascii="仿宋_GB2312" w:eastAsia="仿宋_GB2312" w:hAnsiTheme="minorEastAsia"/>
          <w:color w:val="auto"/>
          <w:sz w:val="28"/>
          <w:szCs w:val="28"/>
          <w:highlight w:val="none"/>
        </w:rPr>
        <w:t>。</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zh-CN" w:eastAsia="zh-CN"/>
              </w:rPr>
              <w:t>供应商必须为中华人民共和国境内注册成立并合法存续的法人或其分支机构或非法人组织，持有事业单位登记管理部门核发的事业单位法人证书或工商行政管理部门核发的营业执照，且在有效期内。若分支机构参加报价的，须取得加盖总公司公章的授权书，同时提供总公司营业执照复印件、分支机构营业执照复印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rPr>
        <w:t>2.2</w:t>
      </w:r>
      <w:r>
        <w:rPr>
          <w:rFonts w:hint="eastAsia" w:ascii="仿宋_GB2312" w:eastAsia="仿宋_GB2312" w:hAnsiTheme="minorEastAsia"/>
          <w:color w:val="auto"/>
          <w:sz w:val="28"/>
          <w:szCs w:val="28"/>
          <w:highlight w:val="none"/>
          <w:lang w:val="en-US" w:eastAsia="zh-CN"/>
        </w:rPr>
        <w:t>详细评审</w:t>
      </w:r>
    </w:p>
    <w:p>
      <w:pPr>
        <w:adjustRightInd w:val="0"/>
        <w:snapToGrid w:val="0"/>
        <w:spacing w:line="600" w:lineRule="exact"/>
        <w:ind w:firstLine="555"/>
        <w:jc w:val="left"/>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rPr>
        <w:t>对通过初步评审的响应文件进行详细评审。</w:t>
      </w:r>
    </w:p>
    <w:p>
      <w:pPr>
        <w:adjustRightInd w:val="0"/>
        <w:snapToGrid w:val="0"/>
        <w:spacing w:line="600" w:lineRule="exact"/>
        <w:ind w:firstLine="555"/>
        <w:jc w:val="center"/>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评审标准</w:t>
      </w:r>
    </w:p>
    <w:tbl>
      <w:tblPr>
        <w:tblStyle w:val="2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9"/>
        <w:gridCol w:w="1044"/>
        <w:gridCol w:w="962"/>
        <w:gridCol w:w="773"/>
        <w:gridCol w:w="56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序号</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评审项目</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分值</w:t>
            </w:r>
          </w:p>
        </w:tc>
        <w:tc>
          <w:tcPr>
            <w:tcW w:w="56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评分表要点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公司综合实力</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（25分）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受托管理经验</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w:t>
            </w:r>
          </w:p>
        </w:tc>
        <w:tc>
          <w:tcPr>
            <w:tcW w:w="56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auto"/>
                <w:kern w:val="2"/>
                <w:sz w:val="24"/>
                <w:szCs w:val="24"/>
                <w:highlight w:val="none"/>
                <w:u w:val="none"/>
                <w:lang w:val="en-US" w:eastAsia="zh-CN" w:bidi="ar"/>
              </w:rPr>
              <w:t>根据响应人</w:t>
            </w:r>
            <w:r>
              <w:rPr>
                <w:rFonts w:hint="eastAsia" w:ascii="仿宋_GB2312" w:hAnsi="仿宋_GB2312" w:eastAsia="仿宋_GB2312" w:cs="仿宋_GB2312"/>
                <w:color w:val="auto"/>
                <w:sz w:val="24"/>
                <w:szCs w:val="24"/>
                <w:highlight w:val="none"/>
              </w:rPr>
              <w:t>截至2023年末</w:t>
            </w:r>
            <w:r>
              <w:rPr>
                <w:rFonts w:hint="eastAsia" w:ascii="仿宋_GB2312" w:hAnsi="仿宋_GB2312" w:eastAsia="仿宋_GB2312" w:cs="仿宋_GB2312"/>
                <w:color w:val="auto"/>
                <w:sz w:val="24"/>
                <w:szCs w:val="24"/>
                <w:highlight w:val="none"/>
                <w:lang w:val="en-US" w:eastAsia="zh-CN"/>
              </w:rPr>
              <w:t>具有累计管理资金规模不低于100000万元年金受托服务经验，在此基础上</w:t>
            </w:r>
            <w:r>
              <w:rPr>
                <w:rFonts w:hint="eastAsia" w:ascii="仿宋_GB2312" w:hAnsi="仿宋_GB2312" w:eastAsia="仿宋_GB2312" w:cs="仿宋_GB2312"/>
                <w:color w:val="0000FF"/>
                <w:sz w:val="24"/>
                <w:szCs w:val="24"/>
                <w:highlight w:val="none"/>
                <w:lang w:val="en-US" w:eastAsia="zh-CN"/>
              </w:rPr>
              <w:t>，</w:t>
            </w:r>
            <w:r>
              <w:rPr>
                <w:rFonts w:hint="eastAsia" w:ascii="仿宋_GB2312" w:hAnsi="仿宋_GB2312" w:eastAsia="仿宋_GB2312" w:cs="仿宋_GB2312"/>
                <w:color w:val="auto"/>
                <w:sz w:val="24"/>
                <w:szCs w:val="24"/>
                <w:highlight w:val="none"/>
              </w:rPr>
              <w:t>根据响应人在全国企业年金客户受托服务经验进行评审，按照受托服务经验年限从大到小排序，排名第一得满分，每降低一名扣2分，扣完为止。注:提供包括但不限于《企业年金基金管理机构资格证书》、</w:t>
            </w:r>
            <w:r>
              <w:rPr>
                <w:rFonts w:hint="eastAsia" w:ascii="仿宋_GB2312" w:hAnsi="仿宋_GB2312" w:eastAsia="仿宋_GB2312" w:cs="仿宋_GB2312"/>
                <w:color w:val="auto"/>
                <w:sz w:val="24"/>
                <w:szCs w:val="24"/>
                <w:highlight w:val="none"/>
                <w:lang w:val="en-US" w:eastAsia="zh-CN"/>
              </w:rPr>
              <w:t>人社部《2022年全国企业年金基金业务数据摘要》截图、</w:t>
            </w:r>
            <w:r>
              <w:rPr>
                <w:rFonts w:hint="eastAsia" w:ascii="仿宋_GB2312" w:hAnsi="仿宋_GB2312" w:eastAsia="仿宋_GB2312" w:cs="仿宋_GB2312"/>
                <w:color w:val="auto"/>
                <w:sz w:val="24"/>
                <w:szCs w:val="24"/>
                <w:highlight w:val="none"/>
              </w:rPr>
              <w:t>首次与其他客户签订的受托管理合同首页和盖章签署页（日期）复印件作为证明材料。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年金受托实力</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15</w:t>
            </w:r>
          </w:p>
        </w:tc>
        <w:tc>
          <w:tcPr>
            <w:tcW w:w="56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根据响应人2020年-2022年受托管理的企业年金计划汇总年平均收益率进行评审：</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1.收益率＞4.32%，得15分；                                                         2.4.32%≥收益率＞2.75%的，得10分；</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3.2.75%≥收益率＞0%的，得5分；</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 xml:space="preserve">4.收益率≤0%或无收益率数据的，得0分。                                                                    </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注1：4.32%是参考2020年-2022年国家人社部每年披露的《全国企业年金基金业务数据摘要》集合计划收益年平均收益率，2020年集合计划收益8.44%；2021年集合计划收益5.29%，2022年集合计划收益-0.78%。</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注2：2.75%为同期中国人民银行公布的3年期定期存款基准利率。</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注3：提供收益数据报表和真实性说明承诺函作为证明材料。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受托管理能力（20分）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网上年金服务平台</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w:t>
            </w:r>
          </w:p>
        </w:tc>
        <w:tc>
          <w:tcPr>
            <w:tcW w:w="56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根据响应人提供的受托管理系统情况进行评审：</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1.响应人自主研发的受托IT系统，与其它机构</w:t>
            </w:r>
            <w:r>
              <w:rPr>
                <w:rFonts w:hint="eastAsia" w:ascii="仿宋_GB2312" w:hAnsi="仿宋_GB2312" w:eastAsia="仿宋_GB2312" w:cs="仿宋_GB2312"/>
                <w:color w:val="auto"/>
                <w:sz w:val="24"/>
                <w:szCs w:val="24"/>
                <w:highlight w:val="none"/>
                <w:lang w:val="en-US" w:eastAsia="zh-CN"/>
              </w:rPr>
              <w:t>(即其他年金管理人，主要指账户管理人，托管人和投资管理人)</w:t>
            </w:r>
            <w:r>
              <w:rPr>
                <w:rFonts w:hint="eastAsia" w:ascii="仿宋_GB2312" w:hAnsi="仿宋_GB2312" w:eastAsia="仿宋_GB2312" w:cs="仿宋_GB2312"/>
                <w:i w:val="0"/>
                <w:iCs w:val="0"/>
                <w:color w:val="000000"/>
                <w:kern w:val="0"/>
                <w:sz w:val="24"/>
                <w:szCs w:val="24"/>
                <w:highlight w:val="none"/>
                <w:u w:val="none"/>
                <w:lang w:val="en-US" w:eastAsia="zh-CN" w:bidi="ar"/>
              </w:rPr>
              <w:t>数据接口完善，流程监控到位的，得4分，其他情况不得分；</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2.平台能够提供在线缴费、待遇支付、人员变动等自助服务的得4分，其他情况不得分；</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3.响应人可提供面向员工的查询渠道的，得2分，其他情况不得分。</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注：提供响应人自主研发受托IT系统相关证明材料。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本项目服务团队</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56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根据响应人服务团队配置情况进行评审</w:t>
            </w:r>
            <w:r>
              <w:rPr>
                <w:rFonts w:hint="eastAsia" w:ascii="仿宋_GB2312" w:hAnsi="仿宋_GB2312" w:eastAsia="仿宋_GB2312" w:cs="仿宋_GB2312"/>
                <w:color w:val="auto"/>
                <w:sz w:val="24"/>
                <w:szCs w:val="24"/>
                <w:highlight w:val="none"/>
                <w:lang w:val="en-US" w:eastAsia="zh-CN"/>
              </w:rPr>
              <w:t>（团队服务人员至少5人）</w:t>
            </w:r>
            <w:r>
              <w:rPr>
                <w:rFonts w:hint="eastAsia" w:ascii="仿宋_GB2312" w:hAnsi="仿宋_GB2312" w:eastAsia="仿宋_GB2312" w:cs="仿宋_GB2312"/>
                <w:i w:val="0"/>
                <w:iCs w:val="0"/>
                <w:color w:val="000000"/>
                <w:kern w:val="0"/>
                <w:sz w:val="24"/>
                <w:szCs w:val="24"/>
                <w:highlight w:val="none"/>
                <w:u w:val="none"/>
                <w:lang w:val="en-US" w:eastAsia="zh-CN" w:bidi="ar"/>
              </w:rPr>
              <w:t>：</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1.团队服务人员平均从业年限达5年以上，评为优秀得5分；</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2.团队服务人员平均从业年限在3至5年之间，评为良好得3分，</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3.团队服务人员平均从业年限不满3年的，得1分。</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注：提供服务团队人员一览表及社保证明作为证明材料。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信息披露</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根据响应人信息披露情况进行评审：</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1.除了能提供法规要求的信息披露报告外，还能提供如月报、周报、绩效评估报告等个性化信息披露服务的，得5分；</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2.除了能提供法规要求的信息披露报告外，能额外提供如月报、周报、绩效评估报告等个性化信息披露服务的部分内容，得3分；</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3.仅能提供法规要求的信息披露报告的，得1分。</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注：提供承诺函，格式自拟。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风险管理能力（20分）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风险控制体系建设</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根据响应人提供的风险控制体系建设情况进行评审：</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1.具有风险评估与监督制度，得4分；</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2.具有风险控制流程及应急处置预案，得4分；</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3.具有风险管控组织架构及明确分工，得2分。</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注：提供响应人关于风险控制体系建设相关证明材料。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合规经营情况</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Style w:val="47"/>
                <w:rFonts w:hint="eastAsia" w:ascii="仿宋_GB2312" w:hAnsi="仿宋_GB2312" w:eastAsia="仿宋_GB2312" w:cs="仿宋_GB2312"/>
                <w:sz w:val="24"/>
                <w:szCs w:val="24"/>
                <w:highlight w:val="none"/>
                <w:lang w:val="en-US" w:eastAsia="zh-CN" w:bidi="ar"/>
              </w:rPr>
              <w:t>根据响应人提供的合规经营情况进行评审：</w:t>
            </w:r>
            <w:r>
              <w:rPr>
                <w:rStyle w:val="47"/>
                <w:rFonts w:hint="eastAsia" w:ascii="仿宋_GB2312" w:hAnsi="仿宋_GB2312" w:eastAsia="仿宋_GB2312" w:cs="仿宋_GB2312"/>
                <w:sz w:val="24"/>
                <w:szCs w:val="24"/>
                <w:highlight w:val="none"/>
                <w:lang w:val="en-US" w:eastAsia="zh-CN" w:bidi="ar"/>
              </w:rPr>
              <w:br w:type="textWrapping"/>
            </w:r>
            <w:r>
              <w:rPr>
                <w:rStyle w:val="48"/>
                <w:rFonts w:hint="eastAsia" w:ascii="仿宋_GB2312" w:hAnsi="仿宋_GB2312" w:eastAsia="仿宋_GB2312" w:cs="仿宋_GB2312"/>
                <w:sz w:val="24"/>
                <w:szCs w:val="24"/>
                <w:highlight w:val="none"/>
                <w:lang w:val="en-US" w:eastAsia="zh-CN" w:bidi="ar"/>
              </w:rPr>
              <w:t>1.</w:t>
            </w:r>
            <w:r>
              <w:rPr>
                <w:rStyle w:val="47"/>
                <w:rFonts w:hint="eastAsia" w:ascii="仿宋_GB2312" w:hAnsi="仿宋_GB2312" w:eastAsia="仿宋_GB2312" w:cs="仿宋_GB2312"/>
                <w:sz w:val="24"/>
                <w:szCs w:val="24"/>
                <w:highlight w:val="none"/>
                <w:lang w:val="en-US" w:eastAsia="zh-CN" w:bidi="ar"/>
              </w:rPr>
              <w:t>公司与广东属地机构近</w:t>
            </w:r>
            <w:r>
              <w:rPr>
                <w:rStyle w:val="48"/>
                <w:rFonts w:hint="eastAsia" w:ascii="仿宋_GB2312" w:hAnsi="仿宋_GB2312" w:eastAsia="仿宋_GB2312" w:cs="仿宋_GB2312"/>
                <w:sz w:val="24"/>
                <w:szCs w:val="24"/>
                <w:highlight w:val="none"/>
                <w:lang w:val="en-US" w:eastAsia="zh-CN" w:bidi="ar"/>
              </w:rPr>
              <w:t>5</w:t>
            </w:r>
            <w:r>
              <w:rPr>
                <w:rStyle w:val="47"/>
                <w:rFonts w:hint="eastAsia" w:ascii="仿宋_GB2312" w:hAnsi="仿宋_GB2312" w:eastAsia="仿宋_GB2312" w:cs="仿宋_GB2312"/>
                <w:sz w:val="24"/>
                <w:szCs w:val="24"/>
                <w:highlight w:val="none"/>
                <w:lang w:val="en-US" w:eastAsia="zh-CN" w:bidi="ar"/>
              </w:rPr>
              <w:t>年均未受到监管部门重大行政处罚的得10分。</w:t>
            </w:r>
            <w:r>
              <w:rPr>
                <w:rStyle w:val="47"/>
                <w:rFonts w:hint="eastAsia" w:ascii="仿宋_GB2312" w:hAnsi="仿宋_GB2312" w:eastAsia="仿宋_GB2312" w:cs="仿宋_GB2312"/>
                <w:sz w:val="24"/>
                <w:szCs w:val="24"/>
                <w:highlight w:val="none"/>
                <w:lang w:val="en-US" w:eastAsia="zh-CN" w:bidi="ar"/>
              </w:rPr>
              <w:br w:type="textWrapping"/>
            </w:r>
            <w:r>
              <w:rPr>
                <w:rStyle w:val="48"/>
                <w:rFonts w:hint="eastAsia" w:ascii="仿宋_GB2312" w:hAnsi="仿宋_GB2312" w:eastAsia="仿宋_GB2312" w:cs="仿宋_GB2312"/>
                <w:sz w:val="24"/>
                <w:szCs w:val="24"/>
                <w:highlight w:val="none"/>
                <w:lang w:val="en-US" w:eastAsia="zh-CN" w:bidi="ar"/>
              </w:rPr>
              <w:t>2.</w:t>
            </w:r>
            <w:r>
              <w:rPr>
                <w:rStyle w:val="47"/>
                <w:rFonts w:hint="eastAsia" w:ascii="仿宋_GB2312" w:hAnsi="仿宋_GB2312" w:eastAsia="仿宋_GB2312" w:cs="仿宋_GB2312"/>
                <w:sz w:val="24"/>
                <w:szCs w:val="24"/>
                <w:highlight w:val="none"/>
                <w:lang w:val="en-US" w:eastAsia="zh-CN" w:bidi="ar"/>
              </w:rPr>
              <w:t>公司或者广东属地机构近</w:t>
            </w:r>
            <w:r>
              <w:rPr>
                <w:rStyle w:val="48"/>
                <w:rFonts w:hint="eastAsia" w:ascii="仿宋_GB2312" w:hAnsi="仿宋_GB2312" w:eastAsia="仿宋_GB2312" w:cs="仿宋_GB2312"/>
                <w:sz w:val="24"/>
                <w:szCs w:val="24"/>
                <w:highlight w:val="none"/>
                <w:lang w:val="en-US" w:eastAsia="zh-CN" w:bidi="ar"/>
              </w:rPr>
              <w:t>5</w:t>
            </w:r>
            <w:r>
              <w:rPr>
                <w:rStyle w:val="47"/>
                <w:rFonts w:hint="eastAsia" w:ascii="仿宋_GB2312" w:hAnsi="仿宋_GB2312" w:eastAsia="仿宋_GB2312" w:cs="仿宋_GB2312"/>
                <w:sz w:val="24"/>
                <w:szCs w:val="24"/>
                <w:highlight w:val="none"/>
                <w:lang w:val="en-US" w:eastAsia="zh-CN" w:bidi="ar"/>
              </w:rPr>
              <w:t>年曾受到监管部门重大行政处罚的得</w:t>
            </w:r>
            <w:r>
              <w:rPr>
                <w:rStyle w:val="48"/>
                <w:rFonts w:hint="eastAsia" w:ascii="仿宋_GB2312" w:hAnsi="仿宋_GB2312" w:eastAsia="仿宋_GB2312" w:cs="仿宋_GB2312"/>
                <w:sz w:val="24"/>
                <w:szCs w:val="24"/>
                <w:highlight w:val="none"/>
                <w:lang w:val="en-US" w:eastAsia="zh-CN" w:bidi="ar"/>
              </w:rPr>
              <w:t>0</w:t>
            </w:r>
            <w:r>
              <w:rPr>
                <w:rStyle w:val="47"/>
                <w:rFonts w:hint="eastAsia" w:ascii="仿宋_GB2312" w:hAnsi="仿宋_GB2312" w:eastAsia="仿宋_GB2312" w:cs="仿宋_GB2312"/>
                <w:sz w:val="24"/>
                <w:szCs w:val="24"/>
                <w:highlight w:val="none"/>
                <w:lang w:val="en-US" w:eastAsia="zh-CN" w:bidi="ar"/>
              </w:rPr>
              <w:t>分。</w:t>
            </w:r>
            <w:r>
              <w:rPr>
                <w:rStyle w:val="47"/>
                <w:rFonts w:hint="eastAsia" w:ascii="仿宋_GB2312" w:hAnsi="仿宋_GB2312" w:eastAsia="仿宋_GB2312" w:cs="仿宋_GB2312"/>
                <w:sz w:val="24"/>
                <w:szCs w:val="24"/>
                <w:highlight w:val="none"/>
                <w:lang w:val="en-US" w:eastAsia="zh-CN" w:bidi="ar"/>
              </w:rPr>
              <w:br w:type="textWrapping"/>
            </w:r>
            <w:r>
              <w:rPr>
                <w:rStyle w:val="47"/>
                <w:rFonts w:hint="eastAsia" w:ascii="仿宋_GB2312" w:hAnsi="仿宋_GB2312" w:eastAsia="仿宋_GB2312" w:cs="仿宋_GB2312"/>
                <w:sz w:val="24"/>
                <w:szCs w:val="24"/>
                <w:highlight w:val="none"/>
                <w:lang w:val="en-US" w:eastAsia="zh-CN" w:bidi="ar"/>
              </w:rPr>
              <w:t>注：行政处罚以国家企业信用信息公示系统截图为准。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受托服务方案（25分）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年金计划服务方案及运作建议</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15</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Style w:val="47"/>
                <w:rFonts w:hint="eastAsia" w:ascii="仿宋_GB2312" w:hAnsi="仿宋_GB2312" w:eastAsia="仿宋_GB2312" w:cs="仿宋_GB2312"/>
                <w:sz w:val="24"/>
                <w:szCs w:val="24"/>
                <w:highlight w:val="none"/>
                <w:lang w:val="en-US" w:eastAsia="zh-CN" w:bidi="ar"/>
              </w:rPr>
              <w:t>根据响应人对采购单位年金计划的服务内容是否具体、详细以及满足采购单位实际需求，并对运作管理提出的建议是否切实合理、详尽得当，是否符合采购单位的实际情况，匹配未来发展预期情况进行评审（需根据单一计划和集合计划两种模式进行方案介绍）：</w:t>
            </w:r>
            <w:r>
              <w:rPr>
                <w:rStyle w:val="47"/>
                <w:rFonts w:hint="eastAsia" w:ascii="仿宋_GB2312" w:hAnsi="仿宋_GB2312" w:eastAsia="仿宋_GB2312" w:cs="仿宋_GB2312"/>
                <w:sz w:val="24"/>
                <w:szCs w:val="24"/>
                <w:highlight w:val="none"/>
                <w:lang w:val="en-US" w:eastAsia="zh-CN" w:bidi="ar"/>
              </w:rPr>
              <w:br w:type="textWrapping"/>
            </w:r>
            <w:r>
              <w:rPr>
                <w:rStyle w:val="47"/>
                <w:rFonts w:hint="eastAsia" w:ascii="仿宋_GB2312" w:hAnsi="仿宋_GB2312" w:eastAsia="仿宋_GB2312" w:cs="仿宋_GB2312"/>
                <w:sz w:val="24"/>
                <w:szCs w:val="24"/>
                <w:highlight w:val="none"/>
                <w:lang w:val="en-US" w:eastAsia="zh-CN" w:bidi="ar"/>
              </w:rPr>
              <w:t>优秀得</w:t>
            </w:r>
            <w:r>
              <w:rPr>
                <w:rStyle w:val="48"/>
                <w:rFonts w:hint="eastAsia" w:ascii="仿宋_GB2312" w:hAnsi="仿宋_GB2312" w:eastAsia="仿宋_GB2312" w:cs="仿宋_GB2312"/>
                <w:sz w:val="24"/>
                <w:szCs w:val="24"/>
                <w:highlight w:val="none"/>
                <w:lang w:val="en-US" w:eastAsia="zh-CN" w:bidi="ar"/>
              </w:rPr>
              <w:t>15</w:t>
            </w:r>
            <w:r>
              <w:rPr>
                <w:rStyle w:val="47"/>
                <w:rFonts w:hint="eastAsia" w:ascii="仿宋_GB2312" w:hAnsi="仿宋_GB2312" w:eastAsia="仿宋_GB2312" w:cs="仿宋_GB2312"/>
                <w:sz w:val="24"/>
                <w:szCs w:val="24"/>
                <w:highlight w:val="none"/>
                <w:lang w:val="en-US" w:eastAsia="zh-CN" w:bidi="ar"/>
              </w:rPr>
              <w:t>分，良好得</w:t>
            </w:r>
            <w:r>
              <w:rPr>
                <w:rStyle w:val="48"/>
                <w:rFonts w:hint="eastAsia" w:ascii="仿宋_GB2312" w:hAnsi="仿宋_GB2312" w:eastAsia="仿宋_GB2312" w:cs="仿宋_GB2312"/>
                <w:sz w:val="24"/>
                <w:szCs w:val="24"/>
                <w:highlight w:val="none"/>
                <w:lang w:val="en-US" w:eastAsia="zh-CN" w:bidi="ar"/>
              </w:rPr>
              <w:t>10</w:t>
            </w:r>
            <w:r>
              <w:rPr>
                <w:rStyle w:val="47"/>
                <w:rFonts w:hint="eastAsia" w:ascii="仿宋_GB2312" w:hAnsi="仿宋_GB2312" w:eastAsia="仿宋_GB2312" w:cs="仿宋_GB2312"/>
                <w:sz w:val="24"/>
                <w:szCs w:val="24"/>
                <w:highlight w:val="none"/>
                <w:lang w:val="en-US" w:eastAsia="zh-CN" w:bidi="ar"/>
              </w:rPr>
              <w:t>分，一般得</w:t>
            </w:r>
            <w:r>
              <w:rPr>
                <w:rStyle w:val="48"/>
                <w:rFonts w:hint="eastAsia" w:ascii="仿宋_GB2312" w:hAnsi="仿宋_GB2312" w:eastAsia="仿宋_GB2312" w:cs="仿宋_GB2312"/>
                <w:sz w:val="24"/>
                <w:szCs w:val="24"/>
                <w:highlight w:val="none"/>
                <w:lang w:val="en-US" w:eastAsia="zh-CN" w:bidi="ar"/>
              </w:rPr>
              <w:t>5</w:t>
            </w:r>
            <w:r>
              <w:rPr>
                <w:rStyle w:val="47"/>
                <w:rFonts w:hint="eastAsia" w:ascii="仿宋_GB2312" w:hAnsi="仿宋_GB2312" w:eastAsia="仿宋_GB2312" w:cs="仿宋_GB2312"/>
                <w:sz w:val="24"/>
                <w:szCs w:val="24"/>
                <w:highlight w:val="none"/>
                <w:lang w:val="en-US" w:eastAsia="zh-CN" w:bidi="ar"/>
              </w:rPr>
              <w:t>分，差得</w:t>
            </w:r>
            <w:r>
              <w:rPr>
                <w:rStyle w:val="48"/>
                <w:rFonts w:hint="eastAsia" w:ascii="仿宋_GB2312" w:hAnsi="仿宋_GB2312" w:eastAsia="仿宋_GB2312" w:cs="仿宋_GB2312"/>
                <w:sz w:val="24"/>
                <w:szCs w:val="24"/>
                <w:highlight w:val="none"/>
                <w:lang w:val="en-US" w:eastAsia="zh-CN" w:bidi="ar"/>
              </w:rPr>
              <w:t>0</w:t>
            </w:r>
            <w:r>
              <w:rPr>
                <w:rStyle w:val="47"/>
                <w:rFonts w:hint="eastAsia" w:ascii="仿宋_GB2312" w:hAnsi="仿宋_GB2312" w:eastAsia="仿宋_GB2312" w:cs="仿宋_GB2312"/>
                <w:sz w:val="24"/>
                <w:szCs w:val="24"/>
                <w:highlight w:val="none"/>
                <w:lang w:val="en-US" w:eastAsia="zh-CN" w:bidi="ar"/>
              </w:rPr>
              <w:t>分。</w:t>
            </w:r>
            <w:r>
              <w:rPr>
                <w:rStyle w:val="47"/>
                <w:rFonts w:hint="eastAsia" w:ascii="仿宋_GB2312" w:hAnsi="仿宋_GB2312" w:eastAsia="仿宋_GB2312" w:cs="仿宋_GB2312"/>
                <w:sz w:val="24"/>
                <w:szCs w:val="24"/>
                <w:highlight w:val="none"/>
                <w:lang w:val="en-US" w:eastAsia="zh-CN" w:bidi="ar"/>
              </w:rPr>
              <w:br w:type="textWrapping"/>
            </w:r>
            <w:r>
              <w:rPr>
                <w:rStyle w:val="47"/>
                <w:rFonts w:hint="eastAsia" w:ascii="仿宋_GB2312" w:hAnsi="仿宋_GB2312" w:eastAsia="仿宋_GB2312" w:cs="仿宋_GB2312"/>
                <w:sz w:val="24"/>
                <w:szCs w:val="24"/>
                <w:highlight w:val="none"/>
                <w:lang w:val="en-US" w:eastAsia="zh-CN" w:bidi="ar"/>
              </w:rPr>
              <w:t>注：提供对采购单位的年金计划服务方案及运作建议（单一计划和集合计划各一份）。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增值服务</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根据响应人提供的增值服务情况进行评审：</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增值服务内容丰富，且符合企业的员工需要，实用性强，每提供一项增值服务得2分，最多得10分。</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注：提供增值服务项目内容。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管理费报价（10分）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价格评分</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根据各响应人提供的受托管理费费率最低报价为基准价，报价等于基准价的得满分（10分），其他响应人的价格评分统一按照下列公式计算：价格评分=（基准价/报价）×10分。价格评分精确到小数点后2位。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合计</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100</w:t>
            </w:r>
          </w:p>
        </w:tc>
        <w:tc>
          <w:tcPr>
            <w:tcW w:w="56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i w:val="0"/>
                <w:iCs w:val="0"/>
                <w:color w:val="000000"/>
                <w:sz w:val="24"/>
                <w:szCs w:val="24"/>
                <w:highlight w:val="none"/>
                <w:u w:val="none"/>
              </w:rPr>
            </w:pPr>
          </w:p>
        </w:tc>
      </w:tr>
    </w:tbl>
    <w:p>
      <w:pPr>
        <w:adjustRightInd w:val="0"/>
        <w:snapToGrid w:val="0"/>
        <w:spacing w:line="600" w:lineRule="exact"/>
        <w:ind w:firstLine="555"/>
        <w:jc w:val="center"/>
        <w:rPr>
          <w:rFonts w:hint="default" w:ascii="仿宋_GB2312" w:eastAsia="仿宋_GB2312" w:hAnsiTheme="minorEastAsia"/>
          <w:color w:val="auto"/>
          <w:sz w:val="28"/>
          <w:szCs w:val="28"/>
          <w:highlight w:val="none"/>
          <w:lang w:val="en-US" w:eastAsia="zh-CN"/>
        </w:rPr>
      </w:pPr>
    </w:p>
    <w:p>
      <w:pPr>
        <w:adjustRightInd w:val="0"/>
        <w:snapToGrid w:val="0"/>
        <w:spacing w:line="600" w:lineRule="exact"/>
        <w:ind w:firstLine="555"/>
        <w:jc w:val="lef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w:t>
      </w:r>
      <w:r>
        <w:rPr>
          <w:rFonts w:hint="eastAsia" w:ascii="仿宋_GB2312" w:eastAsia="仿宋_GB2312" w:hAnsiTheme="minorEastAsia"/>
          <w:color w:val="auto"/>
          <w:sz w:val="28"/>
          <w:szCs w:val="28"/>
          <w:highlight w:val="none"/>
          <w:lang w:val="en-US" w:eastAsia="zh-CN"/>
        </w:rPr>
        <w:t>3</w:t>
      </w:r>
      <w:r>
        <w:rPr>
          <w:rFonts w:hint="eastAsia" w:ascii="仿宋_GB2312" w:eastAsia="仿宋_GB2312" w:hAnsiTheme="minorEastAsia"/>
          <w:color w:val="auto"/>
          <w:sz w:val="28"/>
          <w:szCs w:val="28"/>
          <w:highlight w:val="none"/>
        </w:rPr>
        <w:t>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w:t>
      </w:r>
      <w:r>
        <w:rPr>
          <w:rFonts w:hint="eastAsia" w:ascii="仿宋_GB2312" w:eastAsia="仿宋_GB2312" w:hAnsiTheme="minorEastAsia"/>
          <w:color w:val="auto"/>
          <w:sz w:val="28"/>
          <w:szCs w:val="28"/>
          <w:highlight w:val="none"/>
          <w:lang w:val="en-US" w:eastAsia="zh-CN"/>
        </w:rPr>
        <w:t>3</w:t>
      </w:r>
      <w:r>
        <w:rPr>
          <w:rFonts w:hint="eastAsia" w:ascii="仿宋_GB2312" w:eastAsia="仿宋_GB2312" w:hAnsiTheme="minorEastAsia"/>
          <w:color w:val="auto"/>
          <w:sz w:val="28"/>
          <w:szCs w:val="28"/>
          <w:highlight w:val="none"/>
        </w:rPr>
        <w:t>.1响应报价有算术错误的，评审小组按以下原则对响应报价进行修正，修正的价格经供应商书面确认后具有约束力。供应商不接受修正价格的，评审小组应当否决其响应。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w:t>
      </w:r>
      <w:r>
        <w:rPr>
          <w:rFonts w:hint="eastAsia" w:ascii="仿宋_GB2312" w:eastAsia="仿宋_GB2312" w:hAnsiTheme="minorEastAsia"/>
          <w:color w:val="auto"/>
          <w:sz w:val="28"/>
          <w:szCs w:val="28"/>
          <w:highlight w:val="none"/>
          <w:lang w:val="en-US" w:eastAsia="zh-CN"/>
        </w:rPr>
        <w:t>3</w:t>
      </w:r>
      <w:r>
        <w:rPr>
          <w:rFonts w:hint="eastAsia" w:ascii="仿宋_GB2312" w:eastAsia="仿宋_GB2312" w:hAnsiTheme="minorEastAsia"/>
          <w:color w:val="auto"/>
          <w:sz w:val="28"/>
          <w:szCs w:val="28"/>
          <w:highlight w:val="none"/>
        </w:rPr>
        <w:t>.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w:t>
      </w:r>
      <w:r>
        <w:rPr>
          <w:rFonts w:hint="eastAsia" w:ascii="仿宋_GB2312" w:eastAsia="仿宋_GB2312" w:hAnsiTheme="minorEastAsia"/>
          <w:color w:val="auto"/>
          <w:sz w:val="28"/>
          <w:szCs w:val="28"/>
          <w:highlight w:val="none"/>
          <w:lang w:val="en-US" w:eastAsia="zh-CN"/>
        </w:rPr>
        <w:t>4</w:t>
      </w:r>
      <w:r>
        <w:rPr>
          <w:rFonts w:hint="eastAsia" w:ascii="仿宋_GB2312" w:eastAsia="仿宋_GB2312" w:hAnsiTheme="minorEastAsia"/>
          <w:color w:val="auto"/>
          <w:sz w:val="28"/>
          <w:szCs w:val="28"/>
          <w:highlight w:val="none"/>
        </w:rPr>
        <w:t>评审结果评审后，评审</w:t>
      </w:r>
      <w:r>
        <w:rPr>
          <w:rFonts w:hint="eastAsia" w:ascii="仿宋_GB2312" w:eastAsia="仿宋_GB2312" w:hAnsiTheme="minorEastAsia"/>
          <w:color w:val="auto"/>
          <w:sz w:val="28"/>
          <w:szCs w:val="28"/>
          <w:highlight w:val="none"/>
          <w:lang w:val="en-US" w:eastAsia="zh-CN"/>
        </w:rPr>
        <w:t>分数最高</w:t>
      </w:r>
      <w:r>
        <w:rPr>
          <w:rFonts w:hint="eastAsia" w:ascii="仿宋_GB2312" w:eastAsia="仿宋_GB2312" w:hAnsiTheme="minorEastAsia"/>
          <w:color w:val="auto"/>
          <w:sz w:val="28"/>
          <w:szCs w:val="28"/>
          <w:highlight w:val="none"/>
        </w:rPr>
        <w:t>的供应商为成交供应商。如评审</w:t>
      </w:r>
      <w:r>
        <w:rPr>
          <w:rFonts w:hint="eastAsia" w:ascii="仿宋_GB2312" w:eastAsia="仿宋_GB2312" w:hAnsiTheme="minorEastAsia"/>
          <w:color w:val="auto"/>
          <w:sz w:val="28"/>
          <w:szCs w:val="28"/>
          <w:highlight w:val="none"/>
          <w:lang w:val="en-US" w:eastAsia="zh-CN"/>
        </w:rPr>
        <w:t>分数</w:t>
      </w:r>
      <w:r>
        <w:rPr>
          <w:rFonts w:hint="eastAsia" w:ascii="仿宋_GB2312" w:eastAsia="仿宋_GB2312" w:hAnsiTheme="minorEastAsia"/>
          <w:color w:val="auto"/>
          <w:sz w:val="28"/>
          <w:szCs w:val="28"/>
          <w:highlight w:val="none"/>
        </w:rPr>
        <w:t>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ind w:left="0" w:leftChars="0" w:firstLine="0" w:firstLineChars="0"/>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
        <w:rPr>
          <w:rFonts w:hint="eastAsia"/>
          <w:color w:val="auto"/>
          <w:szCs w:val="44"/>
          <w:highlight w:val="none"/>
        </w:rPr>
      </w:pPr>
      <w:bookmarkStart w:id="58" w:name="_Toc88209947"/>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M2AsR1wAAAAsBAAAPAAAAAAAAAAEAIAAAACIAAABkcnMvZG93bnJldi54bWxQSwECFAAU&#10;AAAACACHTuJAil+8CPIBAADk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8af+fz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DbLGg0BawrduJt42mG4iZnwoY02/4kKOxRdj2dd1SExQYcvFsvlghQX967q&#10;IS9ETK+UtywbDccUQXd92njn6PJ8nBVZYf8aE1WmxPuEXNQ4NmT4OfUugIaxpSEg0wYihK4rueiN&#10;ltfamJyBsdttTGR7yANRvsyPcP8Ky0W2gP0YV1zjqPQK5EsnWToGUsrRC+G5BaskZ0bRg8oWAUKd&#10;QJtLIqm0cdRBlngUNVs7L49F63JOl196PA1qnq4/9yX74XG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xp/5/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3"/>
        <w:pageBreakBefore w:val="0"/>
        <w:wordWrap/>
        <w:topLinePunct w:val="0"/>
        <w:bidi w:val="0"/>
        <w:spacing w:line="360" w:lineRule="auto"/>
        <w:ind w:firstLine="0" w:firstLineChars="0"/>
        <w:rPr>
          <w:rFonts w:hint="eastAsia" w:ascii="宋体" w:hAnsi="宋体" w:eastAsia="宋体" w:cs="宋体"/>
          <w:color w:val="auto"/>
          <w:sz w:val="24"/>
          <w:szCs w:val="24"/>
          <w:highlight w:val="none"/>
        </w:rPr>
      </w:pPr>
      <w:r>
        <w:rPr>
          <w:rFonts w:hint="eastAsia"/>
          <w:color w:val="auto"/>
          <w:szCs w:val="44"/>
          <w:highlight w:val="none"/>
        </w:rPr>
        <w:t>采购需求</w:t>
      </w: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ageBreakBefore w:val="0"/>
        <w:wordWrap/>
        <w:topLinePunct w:val="0"/>
        <w:bidi w:val="0"/>
        <w:spacing w:line="360" w:lineRule="auto"/>
        <w:rPr>
          <w:rFonts w:hint="eastAsia" w:ascii="宋体" w:hAnsi="宋体" w:eastAsia="宋体" w:cs="宋体"/>
          <w:color w:val="auto"/>
          <w:sz w:val="24"/>
          <w:szCs w:val="24"/>
          <w:highlight w:val="none"/>
        </w:rPr>
      </w:pPr>
    </w:p>
    <w:p>
      <w:pPr>
        <w:pageBreakBefore w:val="0"/>
        <w:wordWrap/>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1、供应商须对本项目为单位的服务进行整体响应，任何只对其中一部分内容进行的响应都被视为无效响应。 </w:t>
      </w:r>
    </w:p>
    <w:p>
      <w:pPr>
        <w:pageBreakBefore w:val="0"/>
        <w:wordWrap/>
        <w:topLinePunct w:val="0"/>
        <w:bidi w:val="0"/>
        <w:spacing w:line="360" w:lineRule="auto"/>
        <w:ind w:firstLine="470" w:firstLineChars="196"/>
        <w:rPr>
          <w:rFonts w:hint="eastAsia"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全文</w:t>
      </w:r>
      <w:r>
        <w:rPr>
          <w:rFonts w:hint="eastAsia" w:ascii="宋体" w:hAnsi="宋体" w:eastAsia="宋体" w:cs="宋体"/>
          <w:color w:val="auto"/>
          <w:sz w:val="24"/>
          <w:szCs w:val="24"/>
          <w:highlight w:val="none"/>
        </w:rPr>
        <w:t>所有要求均为实质性响应条款，供应商如有任何一条负偏离则导致</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val="en-US" w:eastAsia="zh-CN"/>
        </w:rPr>
        <w:t>（报价）文件</w:t>
      </w:r>
      <w:r>
        <w:rPr>
          <w:rFonts w:hint="eastAsia" w:ascii="宋体" w:hAnsi="宋体" w:eastAsia="宋体" w:cs="宋体"/>
          <w:color w:val="auto"/>
          <w:sz w:val="24"/>
          <w:szCs w:val="24"/>
          <w:highlight w:val="none"/>
        </w:rPr>
        <w:t>无效。</w:t>
      </w:r>
    </w:p>
    <w:p>
      <w:pPr>
        <w:pStyle w:val="23"/>
        <w:rPr>
          <w:rFonts w:hint="eastAsia" w:eastAsia="宋体" w:cs="宋体"/>
          <w:b/>
          <w:bCs/>
          <w:color w:val="auto"/>
          <w:sz w:val="24"/>
          <w:szCs w:val="24"/>
          <w:highlight w:val="none"/>
          <w:lang w:val="en-US" w:eastAsia="zh-CN"/>
        </w:rPr>
      </w:pPr>
      <w:r>
        <w:rPr>
          <w:rFonts w:hint="eastAsia" w:eastAsia="宋体" w:cs="宋体"/>
          <w:b/>
          <w:bCs/>
          <w:color w:val="auto"/>
          <w:sz w:val="24"/>
          <w:szCs w:val="24"/>
          <w:highlight w:val="none"/>
          <w:lang w:val="en-US" w:eastAsia="zh-CN"/>
        </w:rPr>
        <w:t>一、项目情况介绍</w:t>
      </w:r>
    </w:p>
    <w:p>
      <w:pPr>
        <w:pStyle w:val="23"/>
        <w:ind w:firstLine="480" w:firstLineChars="200"/>
        <w:rPr>
          <w:rFonts w:hint="eastAsia" w:eastAsia="宋体" w:cs="宋体"/>
          <w:b w:val="0"/>
          <w:bCs w:val="0"/>
          <w:color w:val="auto"/>
          <w:sz w:val="24"/>
          <w:szCs w:val="24"/>
          <w:highlight w:val="none"/>
          <w:lang w:val="en-US" w:eastAsia="zh-CN"/>
        </w:rPr>
      </w:pPr>
      <w:r>
        <w:rPr>
          <w:rFonts w:hint="eastAsia" w:eastAsia="宋体" w:cs="宋体"/>
          <w:b w:val="0"/>
          <w:bCs w:val="0"/>
          <w:color w:val="auto"/>
          <w:sz w:val="24"/>
          <w:szCs w:val="24"/>
          <w:highlight w:val="none"/>
          <w:lang w:val="en-US" w:eastAsia="zh-CN"/>
        </w:rPr>
        <w:t>（一）标的名称：广州市净水有限公司企业年金受托服务项目</w:t>
      </w:r>
    </w:p>
    <w:p>
      <w:pPr>
        <w:pStyle w:val="23"/>
        <w:ind w:firstLine="480" w:firstLineChars="200"/>
        <w:rPr>
          <w:rFonts w:hint="eastAsia" w:eastAsia="宋体" w:cs="宋体"/>
          <w:b/>
          <w:bCs/>
          <w:color w:val="auto"/>
          <w:sz w:val="24"/>
          <w:szCs w:val="24"/>
          <w:highlight w:val="none"/>
          <w:lang w:val="en-US" w:eastAsia="zh-CN"/>
        </w:rPr>
      </w:pPr>
      <w:r>
        <w:rPr>
          <w:rFonts w:hint="eastAsia" w:eastAsia="宋体" w:cs="宋体"/>
          <w:b w:val="0"/>
          <w:bCs w:val="0"/>
          <w:color w:val="auto"/>
          <w:sz w:val="24"/>
          <w:szCs w:val="24"/>
          <w:highlight w:val="none"/>
          <w:lang w:val="en-US" w:eastAsia="zh-CN"/>
        </w:rPr>
        <w:t>（二）项目内容：通过采用公开采购（公开竞争性谈判）、综合评分法的方式，对具有企业年金受托管理资质的公司从公司综合实力、受托管理能力、风险管理能力、受托服务方案及管理费报价五个方面进行评审，选取年金受托服务单位协助采购人做好企业年金各项服务工作。项目服务期为</w:t>
      </w:r>
      <w:r>
        <w:rPr>
          <w:rFonts w:hint="eastAsia" w:ascii="宋体" w:eastAsia="宋体" w:cs="宋体"/>
          <w:color w:val="auto"/>
          <w:sz w:val="24"/>
          <w:szCs w:val="24"/>
          <w:highlight w:val="none"/>
          <w:u w:val="none"/>
          <w:lang w:val="en-US" w:eastAsia="zh-CN"/>
        </w:rPr>
        <w:t>自合同签订之日起</w:t>
      </w:r>
      <w:r>
        <w:rPr>
          <w:rFonts w:hint="eastAsia" w:ascii="宋体" w:hAnsi="宋体" w:eastAsia="宋体" w:cs="宋体"/>
          <w:b w:val="0"/>
          <w:bCs w:val="0"/>
          <w:color w:val="auto"/>
          <w:sz w:val="24"/>
          <w:szCs w:val="24"/>
          <w:highlight w:val="none"/>
          <w:u w:val="none"/>
          <w:lang w:val="en-US" w:eastAsia="zh-CN"/>
        </w:rPr>
        <w:t>3年</w:t>
      </w:r>
      <w:r>
        <w:rPr>
          <w:rFonts w:hint="eastAsia" w:eastAsia="宋体" w:cs="宋体"/>
          <w:b w:val="0"/>
          <w:bCs w:val="0"/>
          <w:color w:val="auto"/>
          <w:sz w:val="24"/>
          <w:szCs w:val="24"/>
          <w:highlight w:val="none"/>
          <w:lang w:val="en-US" w:eastAsia="zh-CN"/>
        </w:rPr>
        <w:t>，预计年平均管理资金规模约23476万元。</w:t>
      </w:r>
    </w:p>
    <w:p>
      <w:pPr>
        <w:pStyle w:val="23"/>
        <w:rPr>
          <w:rFonts w:hint="eastAsia" w:eastAsia="宋体" w:cs="宋体"/>
          <w:b/>
          <w:bCs/>
          <w:color w:val="auto"/>
          <w:sz w:val="24"/>
          <w:szCs w:val="24"/>
          <w:highlight w:val="none"/>
          <w:lang w:val="en-US" w:eastAsia="zh-CN"/>
        </w:rPr>
      </w:pPr>
      <w:r>
        <w:rPr>
          <w:rFonts w:hint="eastAsia" w:eastAsia="宋体" w:cs="宋体"/>
          <w:b/>
          <w:bCs/>
          <w:color w:val="auto"/>
          <w:sz w:val="24"/>
          <w:szCs w:val="24"/>
          <w:highlight w:val="none"/>
          <w:lang w:val="en-US" w:eastAsia="zh-CN"/>
        </w:rPr>
        <w:t>二、项目要求</w:t>
      </w:r>
    </w:p>
    <w:p>
      <w:pPr>
        <w:pStyle w:val="23"/>
        <w:rPr>
          <w:rFonts w:hint="eastAsia" w:eastAsia="宋体" w:cs="宋体"/>
          <w:b w:val="0"/>
          <w:bCs w:val="0"/>
          <w:color w:val="auto"/>
          <w:sz w:val="24"/>
          <w:szCs w:val="24"/>
          <w:highlight w:val="none"/>
          <w:lang w:val="en-US" w:eastAsia="zh-CN"/>
        </w:rPr>
      </w:pPr>
      <w:r>
        <w:rPr>
          <w:rFonts w:hint="eastAsia" w:eastAsia="宋体" w:cs="宋体"/>
          <w:b w:val="0"/>
          <w:bCs w:val="0"/>
          <w:color w:val="auto"/>
          <w:sz w:val="24"/>
          <w:szCs w:val="24"/>
          <w:highlight w:val="none"/>
          <w:lang w:val="en-US" w:eastAsia="zh-CN"/>
        </w:rPr>
        <w:t>（一）受托人依靠受托管理人的专业能力和经验，协助采购人制订、修订企业年金方案，制定配套制度，制定企业年金基金战略资产配置策略；</w:t>
      </w:r>
    </w:p>
    <w:p>
      <w:pPr>
        <w:pStyle w:val="23"/>
        <w:rPr>
          <w:rFonts w:hint="eastAsia" w:eastAsia="宋体" w:cs="宋体"/>
          <w:b w:val="0"/>
          <w:bCs w:val="0"/>
          <w:color w:val="auto"/>
          <w:sz w:val="24"/>
          <w:szCs w:val="24"/>
          <w:highlight w:val="none"/>
          <w:lang w:val="en-US" w:eastAsia="zh-CN"/>
        </w:rPr>
      </w:pPr>
      <w:r>
        <w:rPr>
          <w:rFonts w:hint="eastAsia" w:eastAsia="宋体" w:cs="宋体"/>
          <w:b w:val="0"/>
          <w:bCs w:val="0"/>
          <w:color w:val="auto"/>
          <w:sz w:val="24"/>
          <w:szCs w:val="24"/>
          <w:highlight w:val="none"/>
          <w:lang w:val="en-US" w:eastAsia="zh-CN"/>
        </w:rPr>
        <w:t>（二）根据合同收取企业和职工缴费，向受益人支付企业年金待遇；</w:t>
      </w:r>
    </w:p>
    <w:p>
      <w:pPr>
        <w:pStyle w:val="23"/>
        <w:rPr>
          <w:rFonts w:hint="eastAsia" w:eastAsia="宋体" w:cs="宋体"/>
          <w:b w:val="0"/>
          <w:bCs w:val="0"/>
          <w:color w:val="auto"/>
          <w:sz w:val="24"/>
          <w:szCs w:val="24"/>
          <w:highlight w:val="none"/>
          <w:lang w:val="en-US" w:eastAsia="zh-CN"/>
        </w:rPr>
      </w:pPr>
      <w:r>
        <w:rPr>
          <w:rFonts w:hint="eastAsia" w:eastAsia="宋体" w:cs="宋体"/>
          <w:b w:val="0"/>
          <w:bCs w:val="0"/>
          <w:color w:val="auto"/>
          <w:sz w:val="24"/>
          <w:szCs w:val="24"/>
          <w:highlight w:val="none"/>
          <w:lang w:val="en-US" w:eastAsia="zh-CN"/>
        </w:rPr>
        <w:t>（三）依靠完善的风险控制体系，对各管理人进行持续性监督，使年金资产在控制风险、保证安全的前提下获得合理收益；</w:t>
      </w:r>
    </w:p>
    <w:p>
      <w:pPr>
        <w:pStyle w:val="23"/>
        <w:rPr>
          <w:rFonts w:hint="eastAsia" w:eastAsia="宋体" w:cs="宋体"/>
          <w:b w:val="0"/>
          <w:bCs w:val="0"/>
          <w:color w:val="auto"/>
          <w:sz w:val="24"/>
          <w:szCs w:val="24"/>
          <w:highlight w:val="none"/>
          <w:lang w:val="en-US" w:eastAsia="zh-CN"/>
        </w:rPr>
      </w:pPr>
      <w:r>
        <w:rPr>
          <w:rFonts w:hint="eastAsia" w:eastAsia="宋体" w:cs="宋体"/>
          <w:b w:val="0"/>
          <w:bCs w:val="0"/>
          <w:color w:val="auto"/>
          <w:sz w:val="24"/>
          <w:szCs w:val="24"/>
          <w:highlight w:val="none"/>
          <w:lang w:val="en-US" w:eastAsia="zh-CN"/>
        </w:rPr>
        <w:t>（四）确保企业年金运营和投资运作规范透明；</w:t>
      </w:r>
    </w:p>
    <w:p>
      <w:pPr>
        <w:pStyle w:val="23"/>
        <w:rPr>
          <w:rFonts w:hint="eastAsia" w:eastAsia="宋体" w:cs="宋体"/>
          <w:b w:val="0"/>
          <w:bCs w:val="0"/>
          <w:color w:val="auto"/>
          <w:sz w:val="24"/>
          <w:szCs w:val="24"/>
          <w:highlight w:val="none"/>
          <w:lang w:val="en-US" w:eastAsia="zh-CN"/>
        </w:rPr>
      </w:pPr>
      <w:r>
        <w:rPr>
          <w:rFonts w:hint="eastAsia" w:eastAsia="宋体" w:cs="宋体"/>
          <w:b w:val="0"/>
          <w:bCs w:val="0"/>
          <w:color w:val="auto"/>
          <w:sz w:val="24"/>
          <w:szCs w:val="24"/>
          <w:highlight w:val="none"/>
          <w:lang w:val="en-US" w:eastAsia="zh-CN"/>
        </w:rPr>
        <w:t>（五）接受采购人的查询及委派会计师事务所对基金进行审计，定期向采购人提交企业年金基金管理和财务会计报告，确保信息披露规范及时；</w:t>
      </w:r>
    </w:p>
    <w:p>
      <w:pPr>
        <w:pStyle w:val="23"/>
        <w:rPr>
          <w:rFonts w:hint="eastAsia" w:eastAsia="宋体" w:cs="宋体"/>
          <w:b w:val="0"/>
          <w:bCs w:val="0"/>
          <w:color w:val="auto"/>
          <w:sz w:val="24"/>
          <w:szCs w:val="24"/>
          <w:highlight w:val="none"/>
          <w:lang w:val="en-US" w:eastAsia="zh-CN"/>
        </w:rPr>
      </w:pPr>
      <w:r>
        <w:rPr>
          <w:rFonts w:hint="eastAsia" w:eastAsia="宋体" w:cs="宋体"/>
          <w:b w:val="0"/>
          <w:bCs w:val="0"/>
          <w:color w:val="auto"/>
          <w:sz w:val="24"/>
          <w:szCs w:val="24"/>
          <w:highlight w:val="none"/>
          <w:lang w:val="en-US" w:eastAsia="zh-CN"/>
        </w:rPr>
        <w:t>（六）受托人按照采购人意愿，为受益人利益进行管理，按照约定模式运作，力争实现企业年金基金保值增值；</w:t>
      </w:r>
    </w:p>
    <w:p>
      <w:pPr>
        <w:pStyle w:val="23"/>
        <w:rPr>
          <w:rFonts w:hint="eastAsia" w:eastAsia="宋体" w:cs="宋体"/>
          <w:b w:val="0"/>
          <w:bCs w:val="0"/>
          <w:color w:val="auto"/>
          <w:sz w:val="24"/>
          <w:szCs w:val="24"/>
          <w:highlight w:val="none"/>
          <w:lang w:val="en-US" w:eastAsia="zh-CN"/>
        </w:rPr>
      </w:pPr>
      <w:r>
        <w:rPr>
          <w:rFonts w:hint="eastAsia" w:eastAsia="宋体" w:cs="宋体"/>
          <w:b w:val="0"/>
          <w:bCs w:val="0"/>
          <w:color w:val="auto"/>
          <w:sz w:val="24"/>
          <w:szCs w:val="24"/>
          <w:highlight w:val="none"/>
          <w:lang w:val="en-US" w:eastAsia="zh-CN"/>
        </w:rPr>
        <w:t xml:space="preserve">（七）根据国家年金管理有关法律法规以及本项目招标人需求，中标受托人与采购人签订受托管理合同后，采购人与受托人共同确定本项目的账户管理人和托管人以及投资管理人（账户管理人、托管人和投资管理人直接与中标受托人签订合同，合同内容必须经采购人书面同意）。 </w:t>
      </w:r>
    </w:p>
    <w:p>
      <w:pPr>
        <w:pStyle w:val="23"/>
        <w:rPr>
          <w:rFonts w:hint="default" w:eastAsia="宋体" w:cs="宋体"/>
          <w:b/>
          <w:bCs/>
          <w:color w:val="auto"/>
          <w:sz w:val="24"/>
          <w:szCs w:val="24"/>
          <w:highlight w:val="none"/>
          <w:lang w:val="en-US" w:eastAsia="zh-CN"/>
        </w:rPr>
      </w:pPr>
      <w:r>
        <w:rPr>
          <w:rFonts w:hint="eastAsia" w:eastAsia="宋体" w:cs="宋体"/>
          <w:b w:val="0"/>
          <w:bCs w:val="0"/>
          <w:color w:val="auto"/>
          <w:sz w:val="24"/>
          <w:szCs w:val="24"/>
          <w:highlight w:val="none"/>
          <w:lang w:val="en-US" w:eastAsia="zh-CN"/>
        </w:rPr>
        <w:t xml:space="preserve">   </w:t>
      </w:r>
    </w:p>
    <w:bookmarkEnd w:id="58"/>
    <w:p>
      <w:pPr>
        <w:pStyle w:val="23"/>
        <w:ind w:left="0" w:leftChars="0" w:firstLine="0" w:firstLineChars="0"/>
        <w:rPr>
          <w:color w:val="auto"/>
          <w:highlight w:val="none"/>
        </w:rPr>
      </w:pPr>
    </w:p>
    <w:p>
      <w:pPr>
        <w:pStyle w:val="23"/>
        <w:rPr>
          <w:color w:val="auto"/>
          <w:highlight w:val="none"/>
        </w:rPr>
      </w:pPr>
    </w:p>
    <w:p>
      <w:pPr>
        <w:pStyle w:val="23"/>
        <w:ind w:left="0" w:leftChars="0" w:firstLine="0" w:firstLineChars="0"/>
        <w:rPr>
          <w:color w:val="auto"/>
          <w:highlight w:val="none"/>
        </w:rPr>
      </w:pPr>
    </w:p>
    <w:p>
      <w:pPr>
        <w:pStyle w:val="23"/>
        <w:ind w:left="0" w:leftChars="0" w:firstLine="0" w:firstLineChars="0"/>
        <w:rPr>
          <w:color w:val="auto"/>
          <w:highlight w:val="none"/>
        </w:rPr>
      </w:pPr>
    </w:p>
    <w:p>
      <w:pPr>
        <w:pStyle w:val="23"/>
        <w:rPr>
          <w:color w:val="auto"/>
          <w:highlight w:val="none"/>
        </w:rPr>
      </w:pPr>
    </w:p>
    <w:p>
      <w:pPr>
        <w:pStyle w:val="2"/>
        <w:rPr>
          <w:color w:val="auto"/>
          <w:highlight w:val="none"/>
        </w:rPr>
      </w:pPr>
      <w:bookmarkStart w:id="59" w:name="_Toc29835"/>
      <w:bookmarkStart w:id="60" w:name="_Toc15570"/>
      <w:bookmarkStart w:id="61" w:name="_Toc25925"/>
      <w:bookmarkStart w:id="62" w:name="_Toc4680"/>
      <w:bookmarkStart w:id="63" w:name="_Toc1496"/>
      <w:bookmarkStart w:id="64" w:name="_Toc23330"/>
      <w:bookmarkStart w:id="65" w:name="_Toc18538"/>
      <w:bookmarkStart w:id="66" w:name="_Toc537"/>
      <w:bookmarkStart w:id="67" w:name="_Toc1284"/>
      <w:bookmarkStart w:id="68" w:name="_Toc23353"/>
      <w:bookmarkStart w:id="69" w:name="_Toc12135"/>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12"/>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2"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NWbC+tcAAAALAQAADwAAAAAAAAABACAAAAAiAAAAZHJzL2Rvd25yZXYueG1sUEsBAhQA&#10;FAAAAAgAh07iQPLtLxrzAQAA4w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1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3"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HqOz18gEAAOMDAAAOAAAAZHJzL2Uyb0RvYy54bWytU72O&#10;EzEQ7pF4B8s92SQo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g2fcebA0oXf&#10;ff7+69OX268/b398Y5PnWaI+YE2RK7eJpx2GTcx8D220+U9M2KHIejzLqg6JCTp8OZvPZyS4uHdV&#10;D3khYnqtvGXZaDimCHrXpZV3ju7Ox0lRFfZvMFFlSrxPyEWNY32Gn1LvAmgWW5oBMm0gPuh2JRe9&#10;0fJaG5MzMO62KxPZHvI8lC/zI9y/wnKRNWA3xBXXMCmdAvnKSZaOgZRy9EB4bsEqyZlR9J6yRYBQ&#10;J9DmkkgqbRx1kCUeRM3W1stj0bqc092XHk9zmofrz33Jfniby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h6js9fIBAADj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第六章</w:t>
      </w:r>
      <w:bookmarkEnd w:id="59"/>
      <w:bookmarkEnd w:id="60"/>
      <w:bookmarkEnd w:id="61"/>
      <w:bookmarkEnd w:id="62"/>
      <w:bookmarkEnd w:id="63"/>
      <w:bookmarkEnd w:id="64"/>
      <w:bookmarkEnd w:id="65"/>
      <w:bookmarkEnd w:id="66"/>
      <w:bookmarkEnd w:id="67"/>
      <w:bookmarkEnd w:id="68"/>
      <w:bookmarkEnd w:id="69"/>
    </w:p>
    <w:p>
      <w:pPr>
        <w:pStyle w:val="36"/>
        <w:rPr>
          <w:color w:val="auto"/>
          <w:highlight w:val="none"/>
        </w:rPr>
      </w:pPr>
    </w:p>
    <w:p>
      <w:pPr>
        <w:pStyle w:val="2"/>
        <w:rPr>
          <w:color w:val="auto"/>
          <w:highlight w:val="none"/>
        </w:rPr>
      </w:pPr>
      <w:bookmarkStart w:id="70" w:name="_Toc12968"/>
      <w:bookmarkStart w:id="71" w:name="_Toc22501"/>
      <w:bookmarkStart w:id="72" w:name="_Toc12721"/>
      <w:bookmarkStart w:id="73" w:name="_Toc8183"/>
      <w:bookmarkStart w:id="74" w:name="_Toc13309"/>
      <w:bookmarkStart w:id="75" w:name="_Toc12980"/>
      <w:bookmarkStart w:id="76" w:name="_Toc22797"/>
      <w:bookmarkStart w:id="77" w:name="_Toc88209949"/>
      <w:bookmarkStart w:id="78" w:name="_Toc1375"/>
      <w:bookmarkStart w:id="79" w:name="_Toc19088"/>
      <w:bookmarkStart w:id="80" w:name="_Toc323"/>
      <w:bookmarkStart w:id="81" w:name="_Toc87616386"/>
      <w:bookmarkStart w:id="82" w:name="_Toc19686"/>
      <w:r>
        <w:rPr>
          <w:rFonts w:hint="eastAsia"/>
          <w:color w:val="auto"/>
          <w:highlight w:val="none"/>
        </w:rPr>
        <w:t>合同</w:t>
      </w:r>
      <w:bookmarkEnd w:id="70"/>
      <w:bookmarkEnd w:id="71"/>
      <w:bookmarkEnd w:id="72"/>
      <w:bookmarkEnd w:id="73"/>
      <w:bookmarkEnd w:id="74"/>
      <w:bookmarkEnd w:id="75"/>
      <w:bookmarkEnd w:id="76"/>
      <w:bookmarkEnd w:id="77"/>
      <w:bookmarkEnd w:id="78"/>
      <w:bookmarkEnd w:id="79"/>
      <w:bookmarkEnd w:id="80"/>
      <w:bookmarkEnd w:id="81"/>
      <w:bookmarkEnd w:id="82"/>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28"/>
          <w:szCs w:val="28"/>
          <w:highlight w:val="none"/>
        </w:rPr>
      </w:pPr>
      <w:r>
        <w:rPr>
          <w:rFonts w:hint="eastAsia" w:ascii="方正小标宋简体" w:eastAsia="方正小标宋简体"/>
          <w:color w:val="auto"/>
          <w:sz w:val="28"/>
          <w:szCs w:val="28"/>
          <w:highlight w:val="none"/>
          <w:lang w:val="en-US" w:eastAsia="zh-CN"/>
        </w:rPr>
        <w:t>具体以中选供应商确定</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rPr>
          <w:highlight w:val="none"/>
        </w:rPr>
      </w:pPr>
    </w:p>
    <w:p>
      <w:pPr>
        <w:pStyle w:val="2"/>
        <w:rPr>
          <w:color w:val="auto"/>
          <w:highlight w:val="none"/>
        </w:rPr>
      </w:pPr>
      <w:bookmarkStart w:id="83" w:name="_Toc23515"/>
      <w:bookmarkStart w:id="84" w:name="_Toc5129"/>
      <w:bookmarkStart w:id="85" w:name="_Toc30824"/>
      <w:bookmarkStart w:id="86" w:name="_Toc28358"/>
      <w:bookmarkStart w:id="87" w:name="_Toc12169"/>
      <w:bookmarkStart w:id="88" w:name="_Toc1563"/>
      <w:bookmarkStart w:id="89" w:name="_Toc21847"/>
      <w:bookmarkStart w:id="90" w:name="_Toc3723"/>
      <w:bookmarkStart w:id="91" w:name="_Toc6230"/>
      <w:bookmarkStart w:id="92" w:name="_Toc16552"/>
      <w:bookmarkStart w:id="93" w:name="_Toc8147"/>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4"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G/hMy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5"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TO3Kd8gEAAOM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g1/wZkDSxd+&#10;9/n7r09fbr/+vP3xjU1mWaI+YE2RK7eJpx2GTcx8D220+U9M2KHIejzLqg6JCTp8OZvPZyS4uHdV&#10;D3khYnqtvGXZaDimCHrXpZV3ju7Ox0lRFfZvMFFlSrxPyEWNY32Gn84IHGgWW5oBMm0gPuh2JRe9&#10;0fJaG5MzMO62KxPZHvI8lC/zI9y/wnKRNWA3xBXXMCmdAvnKSZaOgZRy9EB4bsEqyZlR9J6yRYBQ&#10;J9DmkkgqbRx1kCUeRM3W1stj0bqc092XHk9zmofrz33Jfniby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EztynfIBAADj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第七章</w:t>
      </w:r>
      <w:bookmarkEnd w:id="83"/>
      <w:bookmarkEnd w:id="84"/>
      <w:bookmarkEnd w:id="85"/>
      <w:bookmarkEnd w:id="86"/>
      <w:bookmarkEnd w:id="87"/>
      <w:bookmarkEnd w:id="88"/>
      <w:bookmarkEnd w:id="89"/>
      <w:bookmarkEnd w:id="90"/>
      <w:bookmarkEnd w:id="91"/>
      <w:bookmarkEnd w:id="92"/>
      <w:bookmarkEnd w:id="93"/>
    </w:p>
    <w:p>
      <w:pPr>
        <w:pStyle w:val="36"/>
        <w:rPr>
          <w:color w:val="auto"/>
          <w:highlight w:val="none"/>
        </w:rPr>
      </w:pPr>
    </w:p>
    <w:p>
      <w:pPr>
        <w:pStyle w:val="2"/>
        <w:rPr>
          <w:color w:val="auto"/>
          <w:highlight w:val="none"/>
        </w:rPr>
      </w:pPr>
      <w:bookmarkStart w:id="94" w:name="_Toc24490"/>
      <w:bookmarkStart w:id="95" w:name="_Toc31564"/>
      <w:bookmarkStart w:id="96" w:name="_Toc87616388"/>
      <w:bookmarkStart w:id="97" w:name="_Toc22764"/>
      <w:bookmarkStart w:id="98" w:name="_Toc24815"/>
      <w:bookmarkStart w:id="99" w:name="_Toc17119"/>
      <w:bookmarkStart w:id="100" w:name="_Toc10840"/>
      <w:bookmarkStart w:id="101" w:name="_Toc88209951"/>
      <w:bookmarkStart w:id="102" w:name="_Toc21675"/>
      <w:bookmarkStart w:id="103" w:name="_Toc12610"/>
      <w:bookmarkStart w:id="104" w:name="_Toc30157"/>
      <w:bookmarkStart w:id="105" w:name="_Toc5342"/>
      <w:bookmarkStart w:id="106" w:name="_Toc12769"/>
      <w:r>
        <w:rPr>
          <w:rFonts w:hint="eastAsia"/>
          <w:color w:val="auto"/>
          <w:highlight w:val="none"/>
        </w:rPr>
        <w:t>响应文件</w:t>
      </w:r>
      <w:r>
        <w:rPr>
          <w:rFonts w:hint="eastAsia"/>
          <w:color w:val="auto"/>
          <w:highlight w:val="none"/>
          <w:lang w:val="en-US" w:eastAsia="zh-CN"/>
        </w:rPr>
        <w:t>格式要求</w:t>
      </w:r>
      <w:bookmarkEnd w:id="94"/>
      <w:bookmarkEnd w:id="95"/>
      <w:bookmarkEnd w:id="96"/>
      <w:bookmarkEnd w:id="97"/>
      <w:bookmarkEnd w:id="98"/>
      <w:bookmarkEnd w:id="99"/>
      <w:bookmarkEnd w:id="100"/>
      <w:bookmarkEnd w:id="101"/>
      <w:bookmarkEnd w:id="102"/>
      <w:bookmarkEnd w:id="103"/>
      <w:bookmarkEnd w:id="104"/>
      <w:bookmarkEnd w:id="105"/>
      <w:bookmarkEnd w:id="106"/>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广州市净水有限公司企业年金受托服务项目</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jc w:val="center"/>
        <w:rPr>
          <w:rFonts w:hint="eastAsia" w:ascii="方正小标宋简体" w:eastAsia="方正小标宋简体"/>
          <w:color w:val="auto"/>
          <w:sz w:val="48"/>
          <w:szCs w:val="48"/>
          <w:highlight w:val="none"/>
        </w:rPr>
      </w:pPr>
    </w:p>
    <w:p>
      <w:pPr>
        <w:jc w:val="center"/>
        <w:rPr>
          <w:rFonts w:hint="eastAsia" w:ascii="方正小标宋简体" w:eastAsia="方正小标宋简体"/>
          <w:color w:val="auto"/>
          <w:sz w:val="48"/>
          <w:szCs w:val="48"/>
          <w:highlight w:val="none"/>
        </w:rPr>
      </w:pPr>
    </w:p>
    <w:p>
      <w:pPr>
        <w:jc w:val="center"/>
        <w:rPr>
          <w:rFonts w:hint="eastAsia" w:ascii="方正小标宋简体" w:eastAsia="方正小标宋简体"/>
          <w:color w:val="auto"/>
          <w:sz w:val="48"/>
          <w:szCs w:val="48"/>
          <w:highlight w:val="none"/>
        </w:rPr>
      </w:pPr>
    </w:p>
    <w:p>
      <w:pPr>
        <w:jc w:val="center"/>
        <w:rPr>
          <w:rFonts w:hint="eastAsia" w:ascii="方正小标宋简体" w:eastAsia="方正小标宋简体"/>
          <w:color w:val="auto"/>
          <w:sz w:val="48"/>
          <w:szCs w:val="48"/>
          <w:highlight w:val="none"/>
        </w:rPr>
      </w:pPr>
    </w:p>
    <w:p>
      <w:pPr>
        <w:jc w:val="center"/>
        <w:rPr>
          <w:rFonts w:hint="eastAsia" w:ascii="方正小标宋简体" w:eastAsia="方正小标宋简体"/>
          <w:color w:val="auto"/>
          <w:sz w:val="48"/>
          <w:szCs w:val="48"/>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beforeLines="-2147483648" w:afterLines="-2147483648" w:line="600" w:lineRule="exact"/>
        <w:ind w:left="1" w:right="560" w:firstLine="709" w:firstLineChars="197"/>
        <w:jc w:val="center"/>
        <w:rPr>
          <w:rFonts w:ascii="方正小标宋简体" w:eastAsia="方正小标宋简体"/>
          <w:color w:val="auto"/>
          <w:sz w:val="44"/>
          <w:szCs w:val="44"/>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07" w:name="_Toc88209952"/>
      <w:bookmarkStart w:id="108" w:name="_Toc87616389"/>
      <w:r>
        <w:rPr>
          <w:rFonts w:hint="eastAsia" w:ascii="仿宋_GB2312" w:eastAsia="仿宋_GB2312"/>
          <w:color w:val="auto"/>
          <w:sz w:val="28"/>
          <w:szCs w:val="28"/>
          <w:highlight w:val="none"/>
        </w:rPr>
        <w:t>1.响应函</w:t>
      </w:r>
      <w:bookmarkEnd w:id="107"/>
      <w:bookmarkEnd w:id="108"/>
    </w:p>
    <w:p>
      <w:pPr>
        <w:spacing w:line="600" w:lineRule="exact"/>
        <w:rPr>
          <w:rFonts w:hint="eastAsia" w:ascii="仿宋_GB2312" w:eastAsia="仿宋_GB2312"/>
          <w:color w:val="auto"/>
          <w:sz w:val="28"/>
          <w:szCs w:val="28"/>
          <w:highlight w:val="none"/>
        </w:rPr>
      </w:pPr>
      <w:bookmarkStart w:id="109" w:name="_Toc87616390"/>
      <w:bookmarkStart w:id="110" w:name="_Toc88209953"/>
      <w:r>
        <w:rPr>
          <w:rFonts w:hint="eastAsia" w:ascii="仿宋_GB2312" w:eastAsia="仿宋_GB2312"/>
          <w:color w:val="auto"/>
          <w:sz w:val="28"/>
          <w:szCs w:val="28"/>
          <w:highlight w:val="none"/>
        </w:rPr>
        <w:t>2.法定代表人</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单位负责人）</w:t>
      </w:r>
      <w:r>
        <w:rPr>
          <w:rFonts w:hint="eastAsia" w:ascii="仿宋_GB2312" w:eastAsia="仿宋_GB2312"/>
          <w:color w:val="auto"/>
          <w:sz w:val="28"/>
          <w:szCs w:val="28"/>
          <w:highlight w:val="none"/>
        </w:rPr>
        <w:t>证明或授权委托书</w:t>
      </w:r>
      <w:bookmarkEnd w:id="109"/>
      <w:bookmarkEnd w:id="110"/>
      <w:bookmarkStart w:id="111" w:name="_Toc87616393"/>
      <w:bookmarkStart w:id="112"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11"/>
      <w:bookmarkEnd w:id="112"/>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5"/>
        <w:rPr>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4"/>
        <w:rPr>
          <w:rFonts w:asciiTheme="minorEastAsia" w:hAnsiTheme="minorEastAsia" w:eastAsiaTheme="minorEastAsia"/>
          <w:color w:val="auto"/>
          <w:sz w:val="28"/>
          <w:szCs w:val="28"/>
          <w:highlight w:val="none"/>
        </w:rPr>
      </w:pPr>
      <w:bookmarkStart w:id="113" w:name="_Toc6313"/>
      <w:bookmarkStart w:id="114" w:name="_Toc28619645"/>
      <w:bookmarkStart w:id="115" w:name="_Toc88209957"/>
      <w:bookmarkStart w:id="116" w:name="_Toc12665"/>
      <w:bookmarkStart w:id="117" w:name="_Toc87616394"/>
      <w:r>
        <w:rPr>
          <w:rFonts w:hint="eastAsia" w:asciiTheme="minorEastAsia" w:hAnsiTheme="minorEastAsia" w:eastAsiaTheme="minorEastAsia"/>
          <w:color w:val="auto"/>
          <w:sz w:val="28"/>
          <w:szCs w:val="28"/>
          <w:highlight w:val="none"/>
        </w:rPr>
        <w:t>1.响应函</w:t>
      </w:r>
      <w:bookmarkEnd w:id="113"/>
      <w:bookmarkEnd w:id="114"/>
      <w:bookmarkEnd w:id="115"/>
      <w:bookmarkEnd w:id="116"/>
      <w:bookmarkEnd w:id="117"/>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w:t>
      </w:r>
      <w:r>
        <w:rPr>
          <w:rFonts w:hint="eastAsia" w:ascii="仿宋_GB2312" w:hAnsi="黑体" w:eastAsia="仿宋_GB2312"/>
          <w:color w:val="auto"/>
          <w:sz w:val="28"/>
          <w:szCs w:val="28"/>
          <w:highlight w:val="none"/>
          <w:lang w:val="en-US" w:eastAsia="zh-CN"/>
        </w:rPr>
        <w:t>企业年金受托管理年费率为</w:t>
      </w:r>
      <w:r>
        <w:rPr>
          <w:rFonts w:hint="eastAsia" w:ascii="仿宋_GB2312" w:hAnsi="黑体" w:eastAsia="仿宋_GB2312"/>
          <w:color w:val="auto"/>
          <w:sz w:val="28"/>
          <w:szCs w:val="28"/>
          <w:highlight w:val="none"/>
          <w:u w:val="single"/>
          <w:lang w:val="en-US" w:eastAsia="zh-CN"/>
        </w:rPr>
        <w:t xml:space="preserve">   </w:t>
      </w:r>
      <w:r>
        <w:rPr>
          <w:rFonts w:hint="eastAsia" w:ascii="仿宋_GB2312" w:hAnsi="黑体" w:eastAsia="仿宋_GB2312"/>
          <w:color w:val="auto"/>
          <w:sz w:val="28"/>
          <w:szCs w:val="28"/>
          <w:highlight w:val="none"/>
          <w:lang w:val="en-US" w:eastAsia="zh-CN"/>
        </w:rPr>
        <w:t>%</w:t>
      </w:r>
      <w:r>
        <w:rPr>
          <w:rFonts w:hint="eastAsia" w:ascii="仿宋_GB2312" w:hAnsi="黑体" w:eastAsia="仿宋_GB2312"/>
          <w:color w:val="auto"/>
          <w:sz w:val="28"/>
          <w:szCs w:val="28"/>
          <w:highlight w:val="none"/>
        </w:rPr>
        <w:t>的报价完成/提供本项目□工程 □货物</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单位负责人）</w:t>
      </w:r>
      <w:r>
        <w:rPr>
          <w:rFonts w:hint="eastAsia" w:ascii="仿宋_GB2312" w:hAnsi="黑体" w:eastAsia="仿宋_GB2312"/>
          <w:color w:val="auto"/>
          <w:sz w:val="28"/>
          <w:szCs w:val="28"/>
          <w:highlight w:val="none"/>
        </w:rPr>
        <w:t>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w:t>
      </w:r>
      <w:r>
        <w:rPr>
          <w:rFonts w:hint="eastAsia" w:ascii="仿宋_GB2312" w:hAnsi="黑体" w:eastAsia="仿宋_GB2312"/>
          <w:color w:val="auto"/>
          <w:sz w:val="28"/>
          <w:szCs w:val="28"/>
          <w:highlight w:val="none"/>
          <w:lang w:val="en-US" w:eastAsia="zh-CN"/>
        </w:rPr>
        <w:t>采购</w:t>
      </w:r>
      <w:r>
        <w:rPr>
          <w:rFonts w:hint="eastAsia" w:ascii="仿宋_GB2312" w:hAnsi="黑体" w:eastAsia="仿宋_GB2312"/>
          <w:color w:val="auto"/>
          <w:sz w:val="28"/>
          <w:szCs w:val="28"/>
          <w:highlight w:val="none"/>
        </w:rPr>
        <w:t>文件中所有要求均为实质性响应条款，如有任何一条负偏离或者不满足将导致</w:t>
      </w:r>
      <w:r>
        <w:rPr>
          <w:rFonts w:hint="eastAsia" w:ascii="仿宋_GB2312" w:hAnsi="黑体" w:eastAsia="仿宋_GB2312"/>
          <w:color w:val="auto"/>
          <w:sz w:val="28"/>
          <w:szCs w:val="28"/>
          <w:highlight w:val="none"/>
          <w:lang w:val="en-US" w:eastAsia="zh-CN"/>
        </w:rPr>
        <w:t>响应文件</w:t>
      </w:r>
      <w:r>
        <w:rPr>
          <w:rFonts w:hint="eastAsia" w:ascii="仿宋_GB2312" w:hAnsi="黑体" w:eastAsia="仿宋_GB2312"/>
          <w:color w:val="auto"/>
          <w:sz w:val="28"/>
          <w:szCs w:val="28"/>
          <w:highlight w:val="none"/>
        </w:rPr>
        <w:t>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3"/>
        <w:ind w:firstLine="560" w:firstLineChars="200"/>
        <w:rPr>
          <w:rFonts w:hint="eastAsia" w:eastAsia="仿宋_GB2312"/>
          <w:highlight w:val="none"/>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lang w:val="en-US" w:eastAsia="zh-CN"/>
        </w:rPr>
        <w:t>单位负责人）</w:t>
      </w:r>
      <w:r>
        <w:rPr>
          <w:rFonts w:hint="eastAsia" w:ascii="仿宋_GB2312" w:eastAsia="仿宋_GB2312" w:hAnsiTheme="minorEastAsia"/>
          <w:color w:val="auto"/>
          <w:sz w:val="28"/>
          <w:szCs w:val="28"/>
          <w:highlight w:val="none"/>
        </w:rPr>
        <w:t>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w:t>
      </w:r>
      <w:r>
        <w:rPr>
          <w:rFonts w:hint="eastAsia" w:ascii="仿宋_GB2312" w:eastAsia="仿宋_GB2312" w:hAnsiTheme="minorEastAsia"/>
          <w:color w:val="auto"/>
          <w:sz w:val="28"/>
          <w:szCs w:val="28"/>
          <w:highlight w:val="none"/>
          <w:lang w:val="en-US" w:eastAsia="zh-CN"/>
        </w:rPr>
        <w:t>私</w:t>
      </w:r>
      <w:r>
        <w:rPr>
          <w:rFonts w:hint="eastAsia" w:ascii="仿宋_GB2312" w:eastAsia="仿宋_GB2312" w:hAnsiTheme="minorEastAsia"/>
          <w:color w:val="auto"/>
          <w:sz w:val="28"/>
          <w:szCs w:val="28"/>
          <w:highlight w:val="none"/>
        </w:rPr>
        <w:t>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adjustRightInd/>
        <w:snapToGrid/>
        <w:spacing w:line="600" w:lineRule="exact"/>
        <w:ind w:left="1" w:firstLine="551" w:firstLineChars="197"/>
        <w:jc w:val="right"/>
        <w:rPr>
          <w:rFonts w:hint="eastAsia"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bookmarkStart w:id="118" w:name="_Toc88209958"/>
      <w:bookmarkStart w:id="119" w:name="_Toc22527"/>
      <w:bookmarkStart w:id="120" w:name="_Toc87616395"/>
      <w:bookmarkStart w:id="121" w:name="_Toc29833"/>
    </w:p>
    <w:p>
      <w:pPr>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br w:type="textWrapping"/>
      </w:r>
      <w:bookmarkEnd w:id="118"/>
      <w:bookmarkEnd w:id="119"/>
      <w:bookmarkEnd w:id="120"/>
      <w:bookmarkEnd w:id="121"/>
    </w:p>
    <w:p>
      <w:pPr>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olor w:val="auto"/>
          <w:sz w:val="28"/>
          <w:szCs w:val="28"/>
          <w:highlight w:val="none"/>
        </w:rPr>
      </w:pPr>
    </w:p>
    <w:p>
      <w:pPr>
        <w:pStyle w:val="4"/>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w:t>
      </w:r>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lang w:val="en-US" w:eastAsia="zh-CN"/>
        </w:rPr>
        <w:t>单位负责人）</w:t>
      </w:r>
      <w:r>
        <w:rPr>
          <w:rFonts w:hint="eastAsia" w:asciiTheme="minorEastAsia" w:hAnsiTheme="minorEastAsia" w:eastAsiaTheme="minorEastAsia"/>
          <w:color w:val="auto"/>
          <w:sz w:val="28"/>
          <w:szCs w:val="28"/>
          <w:highlight w:val="none"/>
        </w:rPr>
        <w:t>证明或授权委托书</w:t>
      </w:r>
    </w:p>
    <w:p>
      <w:pPr>
        <w:pageBreakBefore w:val="0"/>
        <w:widowControl w:val="0"/>
        <w:kinsoku/>
        <w:wordWrap/>
        <w:overflowPunct/>
        <w:topLinePunct w:val="0"/>
        <w:autoSpaceDE/>
        <w:autoSpaceDN/>
        <w:bidi w:val="0"/>
        <w:adjustRightInd/>
        <w:snapToGrid/>
        <w:spacing w:line="400" w:lineRule="exact"/>
        <w:textAlignment w:val="auto"/>
        <w:rPr>
          <w:rFonts w:hint="eastAsia" w:ascii="方正小标宋简体" w:hAnsi="Times New Roman" w:eastAsia="方正小标宋简体" w:cs="Tahoma"/>
          <w:color w:val="auto"/>
          <w:kern w:val="0"/>
          <w:sz w:val="44"/>
          <w:szCs w:val="44"/>
          <w:highlight w:val="none"/>
        </w:rPr>
      </w:pPr>
      <w:r>
        <w:rPr>
          <w:rFonts w:hint="eastAsia" w:ascii="仿宋_GB2312" w:hAnsi="黑体" w:eastAsia="仿宋_GB2312"/>
          <w:color w:val="auto"/>
          <w:sz w:val="28"/>
          <w:szCs w:val="28"/>
          <w:highlight w:val="none"/>
        </w:rPr>
        <w:t>2.1法定代表人</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单位负责人）</w:t>
      </w:r>
      <w:r>
        <w:rPr>
          <w:rFonts w:hint="eastAsia" w:ascii="仿宋_GB2312" w:hAnsi="黑体" w:eastAsia="仿宋_GB2312"/>
          <w:color w:val="auto"/>
          <w:sz w:val="28"/>
          <w:szCs w:val="28"/>
          <w:highlight w:val="none"/>
        </w:rPr>
        <w:t>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w:t>
      </w:r>
      <w:r>
        <w:rPr>
          <w:rFonts w:hint="eastAsia" w:ascii="方正小标宋简体" w:hAnsi="Times New Roman" w:eastAsia="方正小标宋简体" w:cs="Tahoma"/>
          <w:color w:val="auto"/>
          <w:kern w:val="0"/>
          <w:sz w:val="44"/>
          <w:szCs w:val="44"/>
          <w:highlight w:val="none"/>
          <w:lang w:eastAsia="zh-CN"/>
        </w:rPr>
        <w:t>（</w:t>
      </w:r>
      <w:r>
        <w:rPr>
          <w:rFonts w:hint="eastAsia" w:ascii="方正小标宋简体" w:hAnsi="Times New Roman" w:eastAsia="方正小标宋简体" w:cs="Tahoma"/>
          <w:color w:val="auto"/>
          <w:kern w:val="0"/>
          <w:sz w:val="44"/>
          <w:szCs w:val="44"/>
          <w:highlight w:val="none"/>
          <w:lang w:val="en-US" w:eastAsia="zh-CN"/>
        </w:rPr>
        <w:t>单位负责人）</w:t>
      </w:r>
      <w:r>
        <w:rPr>
          <w:rFonts w:hint="eastAsia" w:ascii="方正小标宋简体" w:hAnsi="Times New Roman" w:eastAsia="方正小标宋简体" w:cs="Tahoma"/>
          <w:color w:val="auto"/>
          <w:kern w:val="0"/>
          <w:sz w:val="44"/>
          <w:szCs w:val="44"/>
          <w:highlight w:val="none"/>
        </w:rPr>
        <w:t>证明书</w:t>
      </w:r>
    </w:p>
    <w:p>
      <w:pPr>
        <w:pStyle w:val="38"/>
        <w:keepNext w:val="0"/>
        <w:keepLines w:val="0"/>
        <w:pageBreakBefore w:val="0"/>
        <w:widowControl w:val="0"/>
        <w:kinsoku/>
        <w:wordWrap/>
        <w:overflowPunct/>
        <w:topLinePunct w:val="0"/>
        <w:bidi w:val="0"/>
        <w:adjustRightInd w:val="0"/>
        <w:snapToGrid w:val="0"/>
        <w:spacing w:after="0" w:line="560" w:lineRule="exact"/>
        <w:jc w:val="both"/>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4"/>
        <w:keepNext w:val="0"/>
        <w:keepLines w:val="0"/>
        <w:pageBreakBefore w:val="0"/>
        <w:widowControl w:val="0"/>
        <w:kinsoku/>
        <w:wordWrap/>
        <w:overflowPunct/>
        <w:topLinePunct w:val="0"/>
        <w:bidi w:val="0"/>
        <w:adjustRightInd w:val="0"/>
        <w:snapToGrid w:val="0"/>
        <w:spacing w:line="560" w:lineRule="exact"/>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7"/>
        <w:keepNext w:val="0"/>
        <w:keepLines w:val="0"/>
        <w:pageBreakBefore w:val="0"/>
        <w:widowControl w:val="0"/>
        <w:kinsoku/>
        <w:wordWrap/>
        <w:overflowPunct/>
        <w:topLinePunct w:val="0"/>
        <w:bidi w:val="0"/>
        <w:adjustRightInd w:val="0"/>
        <w:snapToGrid w:val="0"/>
        <w:spacing w:after="0" w:line="560" w:lineRule="exact"/>
        <w:ind w:firstLine="750" w:firstLineChars="250"/>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4"/>
        <w:keepNext w:val="0"/>
        <w:keepLines w:val="0"/>
        <w:pageBreakBefore w:val="0"/>
        <w:widowControl w:val="0"/>
        <w:kinsoku/>
        <w:wordWrap/>
        <w:overflowPunct/>
        <w:topLinePunct w:val="0"/>
        <w:bidi w:val="0"/>
        <w:adjustRightInd w:val="0"/>
        <w:snapToGrid w:val="0"/>
        <w:spacing w:line="560" w:lineRule="exact"/>
        <w:ind w:firstLine="771" w:firstLineChars="257"/>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4"/>
        <w:keepNext w:val="0"/>
        <w:keepLines w:val="0"/>
        <w:pageBreakBefore w:val="0"/>
        <w:widowControl w:val="0"/>
        <w:kinsoku/>
        <w:wordWrap/>
        <w:overflowPunct/>
        <w:topLinePunct w:val="0"/>
        <w:bidi w:val="0"/>
        <w:adjustRightInd w:val="0"/>
        <w:snapToGrid w:val="0"/>
        <w:spacing w:line="560" w:lineRule="exact"/>
        <w:ind w:firstLine="771" w:firstLineChars="257"/>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4"/>
        <w:keepNext w:val="0"/>
        <w:keepLines w:val="0"/>
        <w:pageBreakBefore w:val="0"/>
        <w:widowControl w:val="0"/>
        <w:kinsoku/>
        <w:wordWrap/>
        <w:overflowPunct/>
        <w:topLinePunct w:val="0"/>
        <w:bidi w:val="0"/>
        <w:adjustRightInd w:val="0"/>
        <w:snapToGrid w:val="0"/>
        <w:spacing w:line="560" w:lineRule="exact"/>
        <w:ind w:firstLine="771" w:firstLineChars="257"/>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4"/>
        <w:keepNext w:val="0"/>
        <w:keepLines w:val="0"/>
        <w:pageBreakBefore w:val="0"/>
        <w:widowControl w:val="0"/>
        <w:kinsoku/>
        <w:wordWrap/>
        <w:overflowPunct/>
        <w:topLinePunct w:val="0"/>
        <w:bidi w:val="0"/>
        <w:adjustRightInd w:val="0"/>
        <w:snapToGrid w:val="0"/>
        <w:spacing w:line="560" w:lineRule="exact"/>
        <w:ind w:firstLine="771" w:firstLineChars="257"/>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r>
        <w:rPr>
          <w:rFonts w:hint="eastAsia" w:ascii="仿宋_GB2312" w:hAnsi="宋体" w:eastAsia="仿宋_GB2312"/>
          <w:color w:val="auto"/>
          <w:sz w:val="30"/>
          <w:szCs w:val="30"/>
          <w:highlight w:val="none"/>
          <w:lang w:eastAsia="zh-CN"/>
        </w:rPr>
        <w:t>（</w:t>
      </w:r>
      <w:r>
        <w:rPr>
          <w:rFonts w:hint="eastAsia" w:ascii="仿宋_GB2312" w:hAnsi="宋体" w:eastAsia="仿宋_GB2312"/>
          <w:color w:val="auto"/>
          <w:sz w:val="30"/>
          <w:szCs w:val="30"/>
          <w:highlight w:val="none"/>
          <w:lang w:val="en-US" w:eastAsia="zh-CN"/>
        </w:rPr>
        <w:t>单位负责人）</w:t>
      </w:r>
      <w:r>
        <w:rPr>
          <w:rFonts w:hint="eastAsia" w:ascii="仿宋_GB2312" w:hAnsi="宋体" w:eastAsia="仿宋_GB2312" w:cs="Times New Roman"/>
          <w:color w:val="auto"/>
          <w:sz w:val="30"/>
          <w:szCs w:val="30"/>
          <w:highlight w:val="none"/>
        </w:rPr>
        <w:t>。</w:t>
      </w:r>
    </w:p>
    <w:p>
      <w:pPr>
        <w:pStyle w:val="14"/>
        <w:keepNext w:val="0"/>
        <w:keepLines w:val="0"/>
        <w:pageBreakBefore w:val="0"/>
        <w:widowControl w:val="0"/>
        <w:kinsoku/>
        <w:wordWrap/>
        <w:overflowPunct/>
        <w:topLinePunct w:val="0"/>
        <w:bidi w:val="0"/>
        <w:adjustRightInd w:val="0"/>
        <w:snapToGrid w:val="0"/>
        <w:spacing w:line="560" w:lineRule="exact"/>
        <w:ind w:firstLine="771" w:firstLineChars="257"/>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keepNext w:val="0"/>
        <w:keepLines w:val="0"/>
        <w:pageBreakBefore w:val="0"/>
        <w:widowControl w:val="0"/>
        <w:kinsoku/>
        <w:wordWrap/>
        <w:overflowPunct/>
        <w:topLinePunct w:val="0"/>
        <w:bidi w:val="0"/>
        <w:adjustRightInd w:val="0"/>
        <w:snapToGrid w:val="0"/>
        <w:spacing w:line="560" w:lineRule="exact"/>
        <w:ind w:firstLine="702" w:firstLineChars="234"/>
        <w:textAlignment w:val="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w:t>
      </w:r>
      <w:r>
        <w:rPr>
          <w:rFonts w:hint="eastAsia" w:ascii="仿宋_GB2312" w:hAnsi="宋体" w:eastAsia="仿宋_GB2312"/>
          <w:color w:val="auto"/>
          <w:sz w:val="30"/>
          <w:szCs w:val="30"/>
          <w:highlight w:val="none"/>
          <w:lang w:eastAsia="zh-CN"/>
        </w:rPr>
        <w:t>（</w:t>
      </w:r>
      <w:r>
        <w:rPr>
          <w:rFonts w:hint="eastAsia" w:ascii="仿宋_GB2312" w:hAnsi="宋体" w:eastAsia="仿宋_GB2312"/>
          <w:color w:val="auto"/>
          <w:sz w:val="30"/>
          <w:szCs w:val="30"/>
          <w:highlight w:val="none"/>
          <w:lang w:val="en-US" w:eastAsia="zh-CN"/>
        </w:rPr>
        <w:t>单位负责人）</w:t>
      </w:r>
      <w:r>
        <w:rPr>
          <w:rFonts w:hint="eastAsia" w:ascii="仿宋_GB2312" w:hAnsi="宋体" w:eastAsia="仿宋_GB2312"/>
          <w:color w:val="auto"/>
          <w:sz w:val="30"/>
          <w:szCs w:val="30"/>
          <w:highlight w:val="none"/>
        </w:rPr>
        <w:t>身份证(正反两面)复印件</w:t>
      </w:r>
    </w:p>
    <w:p>
      <w:pPr>
        <w:pStyle w:val="14"/>
        <w:snapToGrid w:val="0"/>
        <w:spacing w:line="600" w:lineRule="exact"/>
        <w:ind w:firstLine="3907" w:firstLineChars="1221"/>
        <w:rPr>
          <w:rFonts w:ascii="仿宋_GB2312" w:hAnsi="宋体" w:eastAsia="仿宋_GB2312" w:cs="Times New Roman"/>
          <w:color w:val="auto"/>
          <w:sz w:val="32"/>
          <w:szCs w:val="32"/>
          <w:highlight w:val="none"/>
        </w:rPr>
      </w:pPr>
    </w:p>
    <w:p>
      <w:pPr>
        <w:pStyle w:val="14"/>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2.2法人（单位负责人）授权委托书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w:t>
      </w:r>
      <w:r>
        <w:rPr>
          <w:rFonts w:hint="eastAsia" w:ascii="方正小标宋简体" w:hAnsi="Times New Roman" w:eastAsia="方正小标宋简体" w:cs="Tahoma"/>
          <w:color w:val="auto"/>
          <w:kern w:val="0"/>
          <w:sz w:val="44"/>
          <w:szCs w:val="44"/>
          <w:highlight w:val="none"/>
          <w:lang w:eastAsia="zh-CN"/>
        </w:rPr>
        <w:t>（</w:t>
      </w:r>
      <w:r>
        <w:rPr>
          <w:rFonts w:hint="eastAsia" w:ascii="方正小标宋简体" w:hAnsi="Times New Roman" w:eastAsia="方正小标宋简体" w:cs="Tahoma"/>
          <w:color w:val="auto"/>
          <w:kern w:val="0"/>
          <w:sz w:val="44"/>
          <w:szCs w:val="44"/>
          <w:highlight w:val="none"/>
          <w:lang w:val="en-US" w:eastAsia="zh-CN"/>
        </w:rPr>
        <w:t>单位负责人）</w:t>
      </w:r>
      <w:r>
        <w:rPr>
          <w:rFonts w:hint="eastAsia" w:ascii="方正小标宋简体" w:hAnsi="Times New Roman" w:eastAsia="方正小标宋简体" w:cs="Tahoma"/>
          <w:color w:val="auto"/>
          <w:kern w:val="0"/>
          <w:sz w:val="44"/>
          <w:szCs w:val="44"/>
          <w:highlight w:val="none"/>
        </w:rPr>
        <w:t>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pStyle w:val="36"/>
        <w:numPr>
          <w:ilvl w:val="0"/>
          <w:numId w:val="0"/>
        </w:numPr>
        <w:adjustRightInd w:val="0"/>
        <w:snapToGrid w:val="0"/>
        <w:spacing w:line="600" w:lineRule="exact"/>
        <w:ind w:firstLine="600" w:firstLineChars="200"/>
        <w:rPr>
          <w:rFonts w:hint="eastAsia" w:ascii="仿宋_GB2312" w:hAnsi="宋体" w:eastAsia="仿宋_GB2312"/>
          <w:color w:val="auto"/>
          <w:sz w:val="30"/>
          <w:szCs w:val="30"/>
          <w:highlight w:val="none"/>
          <w:lang w:eastAsia="zh-CN"/>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r>
        <w:rPr>
          <w:rFonts w:hint="eastAsia" w:ascii="仿宋_GB2312" w:hAnsi="宋体" w:eastAsia="仿宋_GB2312"/>
          <w:color w:val="auto"/>
          <w:sz w:val="30"/>
          <w:szCs w:val="30"/>
          <w:highlight w:val="none"/>
          <w:lang w:eastAsia="zh-CN"/>
        </w:rPr>
        <w:t>，</w:t>
      </w:r>
      <w:r>
        <w:rPr>
          <w:rFonts w:hint="eastAsia" w:ascii="仿宋_GB2312" w:hAnsi="宋体" w:eastAsia="仿宋_GB2312"/>
          <w:color w:val="auto"/>
          <w:sz w:val="30"/>
          <w:szCs w:val="30"/>
          <w:highlight w:val="none"/>
          <w:lang w:val="en-US" w:eastAsia="zh-CN"/>
        </w:rPr>
        <w:t>提供授权委托代理人身份证原件备查。</w:t>
      </w:r>
    </w:p>
    <w:p>
      <w:pPr>
        <w:pStyle w:val="36"/>
        <w:numPr>
          <w:ilvl w:val="-1"/>
          <w:numId w:val="0"/>
        </w:numPr>
        <w:ind w:left="0" w:leftChars="0" w:firstLine="600" w:firstLineChars="2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2.提供授权委托人自公告发布当月起在本单位近三个月社保记录（以加盖社会保险基金管理中心印章的《缴费历史明细表》或《社会保险参保人员证明》为准），否则为无效代理人，响应文件无效。</w:t>
      </w:r>
    </w:p>
    <w:p>
      <w:pPr>
        <w:pStyle w:val="36"/>
        <w:numPr>
          <w:ilvl w:val="-1"/>
          <w:numId w:val="0"/>
        </w:numPr>
        <w:ind w:left="0" w:leftChars="0" w:firstLine="0" w:firstLineChars="0"/>
        <w:rPr>
          <w:rFonts w:hint="eastAsia" w:ascii="仿宋_GB2312" w:hAnsi="宋体" w:eastAsia="仿宋_GB2312"/>
          <w:color w:val="auto"/>
          <w:sz w:val="30"/>
          <w:szCs w:val="30"/>
          <w:highlight w:val="none"/>
          <w:lang w:val="en-US" w:eastAsia="zh-CN"/>
        </w:rPr>
      </w:pPr>
    </w:p>
    <w:p>
      <w:pPr>
        <w:pStyle w:val="14"/>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4"/>
        <w:snapToGrid w:val="0"/>
        <w:spacing w:line="600" w:lineRule="exact"/>
        <w:ind w:firstLine="900" w:firstLineChars="3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lang w:eastAsia="zh-CN"/>
        </w:rPr>
        <w:t>（</w:t>
      </w:r>
      <w:r>
        <w:rPr>
          <w:rFonts w:hint="eastAsia" w:ascii="仿宋_GB2312" w:hAnsi="宋体" w:eastAsia="仿宋_GB2312" w:cs="Times New Roman"/>
          <w:color w:val="auto"/>
          <w:sz w:val="30"/>
          <w:szCs w:val="30"/>
          <w:highlight w:val="none"/>
          <w:lang w:val="en-US" w:eastAsia="zh-CN"/>
        </w:rPr>
        <w:t>单位负责人）</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(签字</w:t>
      </w:r>
      <w:r>
        <w:rPr>
          <w:rFonts w:hint="eastAsia" w:ascii="仿宋_GB2312" w:hAnsi="宋体" w:eastAsia="仿宋_GB2312" w:cs="Times New Roman"/>
          <w:color w:val="auto"/>
          <w:sz w:val="30"/>
          <w:szCs w:val="30"/>
          <w:highlight w:val="none"/>
          <w:u w:val="single"/>
          <w:lang w:val="en-US" w:eastAsia="zh-CN"/>
        </w:rPr>
        <w:t>或盖私章</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w:t>
      </w:r>
      <w:r>
        <w:rPr>
          <w:rFonts w:hint="eastAsia" w:ascii="仿宋_GB2312" w:hAnsi="宋体" w:eastAsia="仿宋_GB2312" w:cs="Times New Roman"/>
          <w:color w:val="auto"/>
          <w:sz w:val="30"/>
          <w:szCs w:val="30"/>
          <w:highlight w:val="none"/>
          <w:u w:val="single"/>
          <w:lang w:val="en-US" w:eastAsia="zh-CN"/>
        </w:rPr>
        <w:t>或盖私章</w:t>
      </w:r>
      <w:r>
        <w:rPr>
          <w:rFonts w:hint="eastAsia" w:ascii="仿宋_GB2312" w:hAnsi="宋体" w:eastAsia="仿宋_GB2312" w:cs="Times New Roman"/>
          <w:color w:val="auto"/>
          <w:sz w:val="30"/>
          <w:szCs w:val="30"/>
          <w:highlight w:val="none"/>
          <w:u w:val="single"/>
        </w:rPr>
        <w:t xml:space="preserve">)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3"/>
        <w:rPr>
          <w:rFonts w:hint="eastAsia" w:ascii="仿宋_GB2312" w:hAnsi="宋体" w:eastAsia="仿宋_GB2312"/>
          <w:color w:val="auto"/>
          <w:sz w:val="30"/>
          <w:szCs w:val="30"/>
          <w:highlight w:val="none"/>
        </w:rPr>
      </w:pPr>
    </w:p>
    <w:p>
      <w:pPr>
        <w:pStyle w:val="23"/>
        <w:rPr>
          <w:rFonts w:hint="eastAsia" w:ascii="仿宋_GB2312" w:hAnsi="宋体" w:eastAsia="仿宋_GB2312"/>
          <w:color w:val="auto"/>
          <w:sz w:val="30"/>
          <w:szCs w:val="30"/>
          <w:highlight w:val="none"/>
        </w:rPr>
      </w:pPr>
    </w:p>
    <w:p>
      <w:pPr>
        <w:pStyle w:val="23"/>
        <w:rPr>
          <w:rFonts w:hint="eastAsia" w:ascii="仿宋_GB2312" w:hAnsi="宋体" w:eastAsia="仿宋_GB2312"/>
          <w:color w:val="auto"/>
          <w:sz w:val="30"/>
          <w:szCs w:val="30"/>
          <w:highlight w:val="none"/>
        </w:rPr>
      </w:pPr>
    </w:p>
    <w:p>
      <w:pPr>
        <w:pStyle w:val="23"/>
        <w:rPr>
          <w:rFonts w:hint="eastAsia" w:ascii="仿宋_GB2312" w:hAnsi="宋体" w:eastAsia="仿宋_GB2312"/>
          <w:color w:val="auto"/>
          <w:sz w:val="30"/>
          <w:szCs w:val="30"/>
          <w:highlight w:val="none"/>
        </w:rPr>
      </w:pPr>
    </w:p>
    <w:p>
      <w:pPr>
        <w:pStyle w:val="5"/>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5"/>
        <w:spacing w:after="0" w:line="600" w:lineRule="exact"/>
        <w:rPr>
          <w:rFonts w:ascii="仿宋_GB2312" w:eastAsia="仿宋_GB2312"/>
          <w:color w:val="auto"/>
          <w:highlight w:val="none"/>
        </w:rPr>
      </w:pPr>
    </w:p>
    <w:p>
      <w:pPr>
        <w:pStyle w:val="5"/>
        <w:spacing w:after="0" w:line="600" w:lineRule="exact"/>
        <w:rPr>
          <w:rFonts w:ascii="仿宋_GB2312" w:eastAsia="仿宋_GB2312"/>
          <w:color w:val="auto"/>
          <w:highlight w:val="none"/>
        </w:rPr>
      </w:pPr>
    </w:p>
    <w:p>
      <w:pPr>
        <w:pStyle w:val="5"/>
        <w:spacing w:after="0" w:line="600" w:lineRule="exact"/>
        <w:ind w:firstLine="0"/>
        <w:rPr>
          <w:rFonts w:ascii="仿宋_GB2312" w:eastAsia="仿宋_GB2312"/>
          <w:color w:val="auto"/>
          <w:highlight w:val="none"/>
        </w:rPr>
      </w:pPr>
    </w:p>
    <w:p>
      <w:pPr>
        <w:pStyle w:val="5"/>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注：法人（单位负责人）授权委托书亦可采用工商行政管理局统一制订的格式。</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w:t>
            </w:r>
            <w:r>
              <w:rPr>
                <w:rFonts w:hint="eastAsia" w:ascii="宋体" w:hAnsi="宋体" w:cs="Times New Roman"/>
                <w:color w:val="auto"/>
                <w:sz w:val="24"/>
                <w:szCs w:val="24"/>
                <w:highlight w:val="none"/>
                <w:lang w:val="en-US" w:eastAsia="zh-CN"/>
              </w:rPr>
              <w:t>自公告发布当月起</w:t>
            </w:r>
            <w:r>
              <w:rPr>
                <w:rFonts w:hint="eastAsia" w:ascii="宋体" w:hAnsi="宋体" w:cs="Times New Roman"/>
                <w:color w:val="auto"/>
                <w:sz w:val="24"/>
                <w:szCs w:val="24"/>
                <w:highlight w:val="none"/>
                <w:lang w:eastAsia="zh-CN"/>
              </w:rPr>
              <w:t>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3"/>
        <w:rPr>
          <w:color w:val="auto"/>
          <w:highlight w:val="none"/>
        </w:rPr>
      </w:pPr>
    </w:p>
    <w:p>
      <w:pPr>
        <w:pStyle w:val="4"/>
        <w:rPr>
          <w:rFonts w:asciiTheme="minorEastAsia" w:hAnsiTheme="minorEastAsia" w:eastAsiaTheme="minorEastAsia"/>
          <w:color w:val="auto"/>
          <w:sz w:val="28"/>
          <w:szCs w:val="28"/>
          <w:highlight w:val="none"/>
        </w:rPr>
      </w:pPr>
      <w:bookmarkStart w:id="122" w:name="_Toc87616400"/>
      <w:bookmarkStart w:id="123" w:name="_Toc8086"/>
      <w:bookmarkStart w:id="124" w:name="_Toc19830"/>
      <w:bookmarkStart w:id="125" w:name="_Toc88209963"/>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22"/>
      <w:bookmarkEnd w:id="123"/>
      <w:bookmarkEnd w:id="124"/>
      <w:bookmarkEnd w:id="125"/>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5"/>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26"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26"/>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w:t>
      </w:r>
      <w:r>
        <w:rPr>
          <w:rFonts w:hint="eastAsia" w:ascii="宋体" w:hAnsi="宋体" w:cs="宋体"/>
          <w:color w:val="auto"/>
          <w:kern w:val="2"/>
          <w:sz w:val="24"/>
          <w:szCs w:val="24"/>
          <w:highlight w:val="none"/>
          <w:u w:val="single"/>
          <w:lang w:val="en-US" w:eastAsia="zh-CN"/>
        </w:rPr>
        <w:t xml:space="preserve">                 </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3"/>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3"/>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pStyle w:val="5"/>
        <w:rPr>
          <w:rFonts w:hint="eastAsia" w:cs="Times New Roman" w:asciiTheme="minorEastAsia" w:hAnsiTheme="minorEastAsia"/>
          <w:b/>
          <w:bCs/>
          <w:color w:val="auto"/>
          <w:sz w:val="28"/>
          <w:szCs w:val="28"/>
          <w:highlight w:val="none"/>
          <w:lang w:val="en-US" w:eastAsia="zh-CN"/>
        </w:rPr>
      </w:pPr>
    </w:p>
    <w:p>
      <w:pPr>
        <w:pStyle w:val="5"/>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3"/>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4"/>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lang w:val="en-US" w:eastAsia="zh-CN"/>
              </w:rPr>
              <w:t>起止</w:t>
            </w:r>
            <w:r>
              <w:rPr>
                <w:rFonts w:hint="eastAsia" w:ascii="仿宋" w:hAnsi="仿宋" w:eastAsia="仿宋" w:cs="仿宋_GB2312"/>
                <w:b/>
                <w:color w:val="auto"/>
                <w:sz w:val="28"/>
                <w:szCs w:val="28"/>
                <w:highlight w:val="none"/>
              </w:rPr>
              <w:t>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3"/>
        <w:rPr>
          <w:rFonts w:hint="default" w:ascii="仿宋_GB2312" w:eastAsia="仿宋_GB2312" w:hAnsiTheme="minorEastAsia"/>
          <w:color w:val="auto"/>
          <w:sz w:val="28"/>
          <w:szCs w:val="28"/>
          <w:highlight w:val="none"/>
          <w:lang w:val="en-US" w:eastAsia="zh-CN"/>
        </w:rPr>
      </w:pPr>
    </w:p>
    <w:p>
      <w:pPr>
        <w:pStyle w:val="23"/>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3"/>
        <w:rPr>
          <w:rFonts w:hint="default" w:ascii="仿宋_GB2312" w:eastAsia="仿宋_GB2312" w:hAnsiTheme="minorEastAsia"/>
          <w:color w:val="auto"/>
          <w:sz w:val="28"/>
          <w:szCs w:val="28"/>
          <w:highlight w:val="none"/>
          <w:lang w:val="en-US" w:eastAsia="zh-CN"/>
        </w:rPr>
      </w:pPr>
    </w:p>
    <w:p>
      <w:pPr>
        <w:pStyle w:val="23"/>
        <w:rPr>
          <w:rFonts w:hint="eastAsia" w:ascii="仿宋_GB2312" w:eastAsia="仿宋_GB2312" w:hAnsiTheme="minorEastAsia"/>
          <w:color w:val="auto"/>
          <w:sz w:val="28"/>
          <w:szCs w:val="28"/>
          <w:highlight w:val="none"/>
          <w:lang w:val="en-US" w:eastAsia="zh-CN"/>
        </w:rPr>
      </w:pPr>
    </w:p>
    <w:p>
      <w:pPr>
        <w:pStyle w:val="23"/>
        <w:rPr>
          <w:rFonts w:hint="eastAsia" w:ascii="仿宋_GB2312" w:eastAsia="仿宋_GB2312" w:hAnsiTheme="minorEastAsia"/>
          <w:color w:val="auto"/>
          <w:sz w:val="28"/>
          <w:szCs w:val="28"/>
          <w:highlight w:val="none"/>
          <w:lang w:val="en-US" w:eastAsia="zh-CN"/>
        </w:rPr>
      </w:pPr>
    </w:p>
    <w:p>
      <w:pPr>
        <w:pStyle w:val="4"/>
        <w:rPr>
          <w:rFonts w:hint="eastAsia" w:asciiTheme="minorEastAsia" w:hAnsiTheme="minorEastAsia" w:eastAsiaTheme="minorEastAsia"/>
          <w:color w:val="000000" w:themeColor="text1"/>
          <w:sz w:val="28"/>
          <w:szCs w:val="28"/>
          <w:highlight w:val="none"/>
          <w:lang w:eastAsia="zh-CN"/>
          <w14:textFill>
            <w14:solidFill>
              <w14:schemeClr w14:val="tx1"/>
            </w14:solidFill>
          </w14:textFill>
        </w:rPr>
      </w:pPr>
      <w:bookmarkStart w:id="127" w:name="_Toc32430"/>
      <w:bookmarkStart w:id="128" w:name="_Toc19423"/>
      <w:r>
        <w:rPr>
          <w:rFonts w:hint="eastAsia" w:ascii="仿宋_GB2312" w:eastAsia="仿宋_GB2312" w:hAnsiTheme="minorEastAsia"/>
          <w:color w:val="000000" w:themeColor="text1"/>
          <w:sz w:val="28"/>
          <w:szCs w:val="28"/>
          <w:highlight w:val="none"/>
          <w:lang w:val="en-US" w:eastAsia="zh-CN"/>
          <w14:textFill>
            <w14:solidFill>
              <w14:schemeClr w14:val="tx1"/>
            </w14:solidFill>
          </w14:textFill>
        </w:rPr>
        <w:t>5</w:t>
      </w:r>
      <w:r>
        <w:rPr>
          <w:rFonts w:hint="eastAsia" w:asciiTheme="minorEastAsia" w:hAnsiTheme="minorEastAsia" w:eastAsiaTheme="minorEastAsia"/>
          <w:color w:val="000000" w:themeColor="text1"/>
          <w:sz w:val="28"/>
          <w:szCs w:val="28"/>
          <w:highlight w:val="none"/>
          <w14:textFill>
            <w14:solidFill>
              <w14:schemeClr w14:val="tx1"/>
            </w14:solidFill>
          </w14:textFill>
        </w:rPr>
        <w:t>.报价表</w:t>
      </w:r>
      <w:bookmarkEnd w:id="127"/>
      <w:bookmarkEnd w:id="128"/>
    </w:p>
    <w:p>
      <w:pPr>
        <w:adjustRightInd w:val="0"/>
        <w:snapToGrid w:val="0"/>
        <w:spacing w:line="360" w:lineRule="auto"/>
        <w:jc w:val="both"/>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项目名称：广州市净水有限公司企业年金受托服务项目</w:t>
      </w:r>
    </w:p>
    <w:p>
      <w:pPr>
        <w:adjustRightInd w:val="0"/>
        <w:snapToGrid w:val="0"/>
        <w:spacing w:line="360" w:lineRule="auto"/>
        <w:jc w:val="both"/>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项目编号：******</w:t>
      </w:r>
    </w:p>
    <w:p>
      <w:pPr>
        <w:adjustRightInd w:val="0"/>
        <w:snapToGrid w:val="0"/>
        <w:spacing w:line="360" w:lineRule="auto"/>
        <w:jc w:val="both"/>
        <w:rPr>
          <w:rFonts w:hint="eastAsia" w:ascii="宋体" w:hAnsi="宋体" w:cs="宋体" w:eastAsiaTheme="minorEastAsia"/>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项目最高限价：</w:t>
      </w:r>
      <w:r>
        <w:rPr>
          <w:rFonts w:hint="eastAsia" w:ascii="宋体" w:hAnsi="宋体" w:cs="宋体"/>
          <w:bCs/>
          <w:color w:val="000000" w:themeColor="text1"/>
          <w:sz w:val="24"/>
          <w:szCs w:val="24"/>
          <w:highlight w:val="none"/>
          <w:lang w:val="en-US" w:eastAsia="zh-CN"/>
          <w14:textFill>
            <w14:solidFill>
              <w14:schemeClr w14:val="tx1"/>
            </w14:solidFill>
          </w14:textFill>
        </w:rPr>
        <w:t>企业年金</w:t>
      </w:r>
      <w:r>
        <w:rPr>
          <w:rFonts w:hint="eastAsia" w:ascii="宋体" w:hAnsi="宋体" w:cs="宋体" w:eastAsiaTheme="minorEastAsia"/>
          <w:bCs/>
          <w:color w:val="000000" w:themeColor="text1"/>
          <w:sz w:val="24"/>
          <w:szCs w:val="24"/>
          <w:highlight w:val="none"/>
          <w14:textFill>
            <w14:solidFill>
              <w14:schemeClr w14:val="tx1"/>
            </w14:solidFill>
          </w14:textFill>
        </w:rPr>
        <w:t>受托管理年费率</w:t>
      </w:r>
      <w:r>
        <w:rPr>
          <w:rFonts w:hint="eastAsia" w:ascii="宋体" w:hAnsi="宋体" w:cs="宋体"/>
          <w:bCs/>
          <w:color w:val="000000" w:themeColor="text1"/>
          <w:sz w:val="24"/>
          <w:szCs w:val="24"/>
          <w:highlight w:val="none"/>
          <w14:textFill>
            <w14:solidFill>
              <w14:schemeClr w14:val="tx1"/>
            </w14:solidFill>
          </w14:textFill>
        </w:rPr>
        <w:t>0.1%</w:t>
      </w:r>
    </w:p>
    <w:p>
      <w:pPr>
        <w:adjustRightInd w:val="0"/>
        <w:snapToGrid w:val="0"/>
        <w:spacing w:line="360" w:lineRule="auto"/>
        <w:rPr>
          <w:rFonts w:hint="eastAsia" w:ascii="宋体" w:hAnsi="宋体" w:cs="宋体"/>
          <w:b w:val="0"/>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 xml:space="preserve">供应商名称： </w:t>
      </w:r>
    </w:p>
    <w:p>
      <w:pPr>
        <w:pStyle w:val="13"/>
        <w:adjustRightInd w:val="0"/>
        <w:snapToGrid w:val="0"/>
        <w:spacing w:line="360" w:lineRule="auto"/>
        <w:ind w:right="480"/>
        <w:jc w:val="center"/>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                                           </w:t>
      </w:r>
    </w:p>
    <w:tbl>
      <w:tblPr>
        <w:tblStyle w:val="24"/>
        <w:tblW w:w="71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1"/>
        <w:gridCol w:w="2654"/>
        <w:gridCol w:w="3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321" w:type="dxa"/>
            <w:noWrap w:val="0"/>
            <w:vAlign w:val="center"/>
          </w:tcPr>
          <w:p>
            <w:pPr>
              <w:widowControl w:val="0"/>
              <w:snapToGrid w:val="0"/>
              <w:spacing w:line="500" w:lineRule="atLeast"/>
              <w:ind w:left="1205" w:right="-17" w:hanging="1205" w:hangingChars="500"/>
              <w:jc w:val="center"/>
              <w:rPr>
                <w:rFonts w:hint="default" w:ascii="宋体" w:hAnsi="宋体" w:cs="宋体" w:eastAsiaTheme="minorEastAsia"/>
                <w:b/>
                <w:color w:val="000000" w:themeColor="text1"/>
                <w:kern w:val="2"/>
                <w:sz w:val="24"/>
                <w:szCs w:val="24"/>
                <w:highlight w:val="none"/>
                <w:lang w:val="en-US" w:eastAsia="zh-CN"/>
                <w14:textFill>
                  <w14:solidFill>
                    <w14:schemeClr w14:val="tx1"/>
                  </w14:solidFill>
                </w14:textFill>
              </w:rPr>
            </w:pPr>
            <w:r>
              <w:rPr>
                <w:rFonts w:hint="eastAsia" w:ascii="宋体" w:hAnsi="宋体" w:cs="宋体"/>
                <w:b/>
                <w:color w:val="000000" w:themeColor="text1"/>
                <w:kern w:val="2"/>
                <w:sz w:val="24"/>
                <w:szCs w:val="24"/>
                <w:highlight w:val="none"/>
                <w:lang w:val="en-US" w:eastAsia="zh-CN"/>
                <w14:textFill>
                  <w14:solidFill>
                    <w14:schemeClr w14:val="tx1"/>
                  </w14:solidFill>
                </w14:textFill>
              </w:rPr>
              <w:t>序号</w:t>
            </w:r>
          </w:p>
        </w:tc>
        <w:tc>
          <w:tcPr>
            <w:tcW w:w="2654" w:type="dxa"/>
            <w:noWrap w:val="0"/>
            <w:vAlign w:val="center"/>
          </w:tcPr>
          <w:p>
            <w:pPr>
              <w:snapToGrid w:val="0"/>
              <w:spacing w:line="500" w:lineRule="atLeast"/>
              <w:ind w:left="1205" w:leftChars="0" w:right="-17" w:rightChars="0" w:hanging="1205" w:hangingChars="500"/>
              <w:jc w:val="center"/>
              <w:rPr>
                <w:rFonts w:hint="default" w:ascii="宋体" w:hAnsi="宋体" w:cs="宋体" w:eastAsiaTheme="minorEastAsia"/>
                <w:b/>
                <w:color w:val="000000" w:themeColor="text1"/>
                <w:kern w:val="2"/>
                <w:sz w:val="24"/>
                <w:szCs w:val="24"/>
                <w:highlight w:val="none"/>
                <w:lang w:val="en-US" w:eastAsia="zh-CN"/>
                <w14:textFill>
                  <w14:solidFill>
                    <w14:schemeClr w14:val="tx1"/>
                  </w14:solidFill>
                </w14:textFill>
              </w:rPr>
            </w:pPr>
            <w:r>
              <w:rPr>
                <w:rFonts w:hint="eastAsia" w:ascii="宋体" w:hAnsi="宋体" w:cs="宋体"/>
                <w:b/>
                <w:color w:val="000000" w:themeColor="text1"/>
                <w:kern w:val="2"/>
                <w:sz w:val="24"/>
                <w:szCs w:val="24"/>
                <w:highlight w:val="none"/>
                <w:lang w:val="en-US" w:eastAsia="zh-CN"/>
                <w14:textFill>
                  <w14:solidFill>
                    <w14:schemeClr w14:val="tx1"/>
                  </w14:solidFill>
                </w14:textFill>
              </w:rPr>
              <w:t>报价项目</w:t>
            </w:r>
          </w:p>
        </w:tc>
        <w:tc>
          <w:tcPr>
            <w:tcW w:w="3191" w:type="dxa"/>
            <w:noWrap w:val="0"/>
            <w:vAlign w:val="center"/>
          </w:tcPr>
          <w:p>
            <w:pPr>
              <w:snapToGrid w:val="0"/>
              <w:spacing w:line="500" w:lineRule="atLeast"/>
              <w:ind w:left="1205" w:leftChars="0" w:right="-17" w:rightChars="0" w:hanging="1205" w:hangingChars="500"/>
              <w:jc w:val="center"/>
              <w:rPr>
                <w:rFonts w:hint="default" w:ascii="宋体" w:hAnsi="宋体" w:cs="宋体" w:eastAsiaTheme="minorEastAsia"/>
                <w:b/>
                <w:color w:val="000000" w:themeColor="text1"/>
                <w:kern w:val="2"/>
                <w:sz w:val="24"/>
                <w:szCs w:val="24"/>
                <w:highlight w:val="none"/>
                <w:lang w:val="en-US" w:eastAsia="zh-CN"/>
                <w14:textFill>
                  <w14:solidFill>
                    <w14:schemeClr w14:val="tx1"/>
                  </w14:solidFill>
                </w14:textFill>
              </w:rPr>
            </w:pPr>
            <w:r>
              <w:rPr>
                <w:rFonts w:hint="eastAsia" w:ascii="宋体" w:hAnsi="宋体" w:cs="宋体"/>
                <w:b/>
                <w:color w:val="000000" w:themeColor="text1"/>
                <w:kern w:val="2"/>
                <w:sz w:val="24"/>
                <w:szCs w:val="24"/>
                <w:highlight w:val="none"/>
                <w:lang w:val="en-US" w:eastAsia="zh-CN"/>
                <w14:textFill>
                  <w14:solidFill>
                    <w14:schemeClr w14:val="tx1"/>
                  </w14:solidFill>
                </w14:textFill>
              </w:rPr>
              <w:t>费率/报价（年度）（含税）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5" w:hRule="atLeast"/>
          <w:jc w:val="center"/>
        </w:trPr>
        <w:tc>
          <w:tcPr>
            <w:tcW w:w="1321" w:type="dxa"/>
            <w:noWrap w:val="0"/>
            <w:vAlign w:val="center"/>
          </w:tcPr>
          <w:p>
            <w:pPr>
              <w:widowControl w:val="0"/>
              <w:jc w:val="center"/>
              <w:rPr>
                <w:rFonts w:hint="eastAsia" w:ascii="宋体" w:hAnsi="宋体" w:cs="宋体" w:eastAsiaTheme="minorEastAsia"/>
                <w:bCs/>
                <w:color w:val="000000" w:themeColor="text1"/>
                <w:kern w:val="2"/>
                <w:sz w:val="24"/>
                <w:szCs w:val="24"/>
                <w:highlight w:val="none"/>
                <w:lang w:val="en-US" w:eastAsia="zh-CN"/>
                <w14:textFill>
                  <w14:solidFill>
                    <w14:schemeClr w14:val="tx1"/>
                  </w14:solidFill>
                </w14:textFill>
              </w:rPr>
            </w:pPr>
            <w:r>
              <w:rPr>
                <w:rFonts w:hint="eastAsia" w:ascii="宋体" w:hAnsi="宋体" w:cs="宋体"/>
                <w:bCs/>
                <w:color w:val="000000" w:themeColor="text1"/>
                <w:kern w:val="2"/>
                <w:sz w:val="24"/>
                <w:szCs w:val="24"/>
                <w:highlight w:val="none"/>
                <w:lang w:val="en-US" w:eastAsia="zh-CN"/>
                <w14:textFill>
                  <w14:solidFill>
                    <w14:schemeClr w14:val="tx1"/>
                  </w14:solidFill>
                </w14:textFill>
              </w:rPr>
              <w:t>1</w:t>
            </w:r>
          </w:p>
        </w:tc>
        <w:tc>
          <w:tcPr>
            <w:tcW w:w="2654" w:type="dxa"/>
            <w:noWrap w:val="0"/>
            <w:vAlign w:val="center"/>
          </w:tcPr>
          <w:p>
            <w:pPr>
              <w:spacing w:line="300" w:lineRule="auto"/>
              <w:ind w:firstLine="240" w:firstLineChars="100"/>
              <w:jc w:val="both"/>
              <w:rPr>
                <w:rFonts w:hint="default" w:ascii="宋体" w:hAnsi="宋体" w:cs="宋体" w:eastAsiaTheme="minorEastAsia"/>
                <w:color w:val="000000" w:themeColor="text1"/>
                <w:kern w:val="2"/>
                <w:sz w:val="24"/>
                <w:szCs w:val="24"/>
                <w:highlight w:val="none"/>
                <w:lang w:val="en-US" w:eastAsia="zh-CN"/>
                <w14:textFill>
                  <w14:solidFill>
                    <w14:schemeClr w14:val="tx1"/>
                  </w14:solidFill>
                </w14:textFill>
              </w:rPr>
            </w:pPr>
            <w:r>
              <w:rPr>
                <w:rFonts w:hint="eastAsia" w:ascii="宋体" w:hAnsi="宋体" w:cs="宋体"/>
                <w:color w:val="000000" w:themeColor="text1"/>
                <w:kern w:val="2"/>
                <w:sz w:val="24"/>
                <w:szCs w:val="24"/>
                <w:highlight w:val="none"/>
                <w:lang w:val="en-US" w:eastAsia="zh-CN"/>
                <w14:textFill>
                  <w14:solidFill>
                    <w14:schemeClr w14:val="tx1"/>
                  </w14:solidFill>
                </w14:textFill>
              </w:rPr>
              <w:t>企业年金受托管理费</w:t>
            </w:r>
          </w:p>
        </w:tc>
        <w:tc>
          <w:tcPr>
            <w:tcW w:w="3191" w:type="dxa"/>
            <w:noWrap w:val="0"/>
            <w:vAlign w:val="top"/>
          </w:tcPr>
          <w:p>
            <w:pPr>
              <w:spacing w:line="300" w:lineRule="auto"/>
              <w:jc w:val="center"/>
              <w:rPr>
                <w:rFonts w:hint="eastAsia" w:ascii="宋体" w:hAnsi="宋体" w:cs="宋体" w:eastAsiaTheme="minorEastAsia"/>
                <w:bCs/>
                <w:color w:val="000000" w:themeColor="text1"/>
                <w:sz w:val="24"/>
                <w:szCs w:val="24"/>
                <w:highlight w:val="none"/>
                <w14:textFill>
                  <w14:solidFill>
                    <w14:schemeClr w14:val="tx1"/>
                  </w14:solidFill>
                </w14:textFill>
              </w:rPr>
            </w:pPr>
          </w:p>
          <w:p>
            <w:pPr>
              <w:spacing w:line="300" w:lineRule="auto"/>
              <w:jc w:val="center"/>
              <w:rPr>
                <w:rFonts w:hint="eastAsia" w:ascii="宋体" w:hAnsi="宋体" w:cs="宋体" w:eastAsiaTheme="minorEastAsia"/>
                <w:color w:val="000000" w:themeColor="text1"/>
                <w:kern w:val="2"/>
                <w:sz w:val="24"/>
                <w:szCs w:val="24"/>
                <w:highlight w:val="none"/>
                <w:lang w:eastAsia="zh-CN"/>
                <w14:textFill>
                  <w14:solidFill>
                    <w14:schemeClr w14:val="tx1"/>
                  </w14:solidFill>
                </w14:textFill>
              </w:rPr>
            </w:pPr>
            <w:r>
              <w:rPr>
                <w:rFonts w:hint="eastAsia" w:ascii="宋体" w:hAnsi="宋体" w:cs="宋体"/>
                <w:bCs/>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eastAsiaTheme="minorEastAsia"/>
                <w:bCs/>
                <w:color w:val="000000" w:themeColor="text1"/>
                <w:sz w:val="24"/>
                <w:szCs w:val="24"/>
                <w:highlight w:val="none"/>
                <w14:textFill>
                  <w14:solidFill>
                    <w14:schemeClr w14:val="tx1"/>
                  </w14:solidFill>
                </w14:textFill>
              </w:rPr>
              <w:t>%</w:t>
            </w:r>
          </w:p>
        </w:tc>
      </w:tr>
    </w:tbl>
    <w:p>
      <w:pPr>
        <w:widowControl w:val="0"/>
        <w:adjustRightInd w:val="0"/>
        <w:snapToGrid w:val="0"/>
        <w:spacing w:line="360" w:lineRule="auto"/>
        <w:jc w:val="both"/>
        <w:rPr>
          <w:rFonts w:ascii="宋体" w:hAnsi="宋体" w:cs="宋体"/>
          <w:color w:val="000000" w:themeColor="text1"/>
          <w:kern w:val="2"/>
          <w:sz w:val="28"/>
          <w:szCs w:val="28"/>
          <w:highlight w:val="none"/>
          <w14:textFill>
            <w14:solidFill>
              <w14:schemeClr w14:val="tx1"/>
            </w14:solidFill>
          </w14:textFill>
        </w:rPr>
      </w:pPr>
    </w:p>
    <w:p>
      <w:pPr>
        <w:widowControl w:val="0"/>
        <w:adjustRightInd w:val="0"/>
        <w:snapToGrid w:val="0"/>
        <w:spacing w:line="360" w:lineRule="auto"/>
        <w:jc w:val="both"/>
        <w:rPr>
          <w:rFonts w:hint="eastAsia" w:ascii="宋体" w:hAnsi="宋体" w:cs="宋体" w:eastAsiaTheme="minorEastAsia"/>
          <w:bCs/>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eastAsiaTheme="minorEastAsia"/>
          <w:bCs/>
          <w:color w:val="000000" w:themeColor="text1"/>
          <w:kern w:val="2"/>
          <w:sz w:val="24"/>
          <w:szCs w:val="24"/>
          <w:highlight w:val="none"/>
          <w:lang w:val="en-US" w:eastAsia="zh-CN" w:bidi="ar-SA"/>
          <w14:textFill>
            <w14:solidFill>
              <w14:schemeClr w14:val="tx1"/>
            </w14:solidFill>
          </w14:textFill>
        </w:rPr>
        <w:t>注：</w:t>
      </w:r>
    </w:p>
    <w:p>
      <w:pPr>
        <w:pStyle w:val="42"/>
        <w:adjustRightInd w:val="0"/>
        <w:snapToGrid w:val="0"/>
        <w:spacing w:line="360" w:lineRule="auto"/>
        <w:rPr>
          <w:rFonts w:hint="eastAsia" w:ascii="宋体" w:hAnsi="宋体" w:cs="宋体" w:eastAsiaTheme="minorEastAsia"/>
          <w:bCs/>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eastAsiaTheme="minorEastAsia"/>
          <w:bCs/>
          <w:color w:val="000000" w:themeColor="text1"/>
          <w:kern w:val="2"/>
          <w:sz w:val="24"/>
          <w:szCs w:val="24"/>
          <w:highlight w:val="none"/>
          <w:lang w:val="en-US" w:eastAsia="zh-CN" w:bidi="ar-SA"/>
          <w14:textFill>
            <w14:solidFill>
              <w14:schemeClr w14:val="tx1"/>
            </w14:solidFill>
          </w14:textFill>
        </w:rPr>
        <w:t>1. 响应报价的小数点后保留两位有效数</w:t>
      </w:r>
      <w:r>
        <w:rPr>
          <w:rFonts w:hint="eastAsia" w:hAnsi="宋体" w:cs="宋体"/>
          <w:bCs/>
          <w:color w:val="000000" w:themeColor="text1"/>
          <w:kern w:val="2"/>
          <w:sz w:val="24"/>
          <w:szCs w:val="24"/>
          <w:highlight w:val="none"/>
          <w:lang w:val="en-US" w:eastAsia="zh-CN" w:bidi="ar-SA"/>
          <w14:textFill>
            <w14:solidFill>
              <w14:schemeClr w14:val="tx1"/>
            </w14:solidFill>
          </w14:textFill>
        </w:rPr>
        <w:t>。</w:t>
      </w:r>
    </w:p>
    <w:p>
      <w:pPr>
        <w:pStyle w:val="42"/>
        <w:adjustRightInd w:val="0"/>
        <w:snapToGrid w:val="0"/>
        <w:spacing w:line="360" w:lineRule="auto"/>
        <w:rPr>
          <w:rFonts w:hint="eastAsia" w:ascii="宋体" w:hAnsi="宋体" w:cs="宋体" w:eastAsiaTheme="minorEastAsia"/>
          <w:bCs/>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eastAsiaTheme="minorEastAsia"/>
          <w:bCs/>
          <w:color w:val="000000" w:themeColor="text1"/>
          <w:kern w:val="2"/>
          <w:sz w:val="24"/>
          <w:szCs w:val="24"/>
          <w:highlight w:val="none"/>
          <w:lang w:val="en-US" w:eastAsia="zh-CN" w:bidi="ar-SA"/>
          <w14:textFill>
            <w14:solidFill>
              <w14:schemeClr w14:val="tx1"/>
            </w14:solidFill>
          </w14:textFill>
        </w:rPr>
        <w:t>2.</w:t>
      </w:r>
      <w:r>
        <w:rPr>
          <w:rFonts w:hint="eastAsia" w:hAnsi="宋体" w:cs="宋体"/>
          <w:bCs/>
          <w:color w:val="000000" w:themeColor="text1"/>
          <w:kern w:val="2"/>
          <w:sz w:val="24"/>
          <w:szCs w:val="24"/>
          <w:highlight w:val="none"/>
          <w:lang w:val="en-US" w:eastAsia="zh-CN" w:bidi="ar-SA"/>
          <w14:textFill>
            <w14:solidFill>
              <w14:schemeClr w14:val="tx1"/>
            </w14:solidFill>
          </w14:textFill>
        </w:rPr>
        <w:t xml:space="preserve"> </w:t>
      </w:r>
      <w:r>
        <w:rPr>
          <w:rFonts w:hint="eastAsia" w:ascii="宋体" w:hAnsi="宋体" w:cs="宋体" w:eastAsiaTheme="minorEastAsia"/>
          <w:bCs/>
          <w:color w:val="000000" w:themeColor="text1"/>
          <w:kern w:val="2"/>
          <w:sz w:val="24"/>
          <w:szCs w:val="24"/>
          <w:highlight w:val="none"/>
          <w:lang w:val="en-US" w:eastAsia="zh-CN" w:bidi="ar-SA"/>
          <w14:textFill>
            <w14:solidFill>
              <w14:schemeClr w14:val="tx1"/>
            </w14:solidFill>
          </w14:textFill>
        </w:rPr>
        <w:t>响应报价为最终价，响应文件内不得含有任何对本报价进行价格折扣的说明或资料，否则为响应无效。</w:t>
      </w:r>
    </w:p>
    <w:p>
      <w:pPr>
        <w:pStyle w:val="22"/>
        <w:numPr>
          <w:ilvl w:val="0"/>
          <w:numId w:val="0"/>
        </w:numPr>
        <w:ind w:firstLine="0" w:firstLineChars="0"/>
        <w:rPr>
          <w:rFonts w:hint="eastAsia" w:ascii="宋体" w:hAnsi="宋体" w:cs="宋体" w:eastAsiaTheme="minorEastAsia"/>
          <w:bCs/>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bCs/>
          <w:color w:val="000000" w:themeColor="text1"/>
          <w:kern w:val="2"/>
          <w:sz w:val="24"/>
          <w:szCs w:val="24"/>
          <w:highlight w:val="none"/>
          <w:lang w:val="en-US" w:eastAsia="zh-CN" w:bidi="ar-SA"/>
          <w14:textFill>
            <w14:solidFill>
              <w14:schemeClr w14:val="tx1"/>
            </w14:solidFill>
          </w14:textFill>
        </w:rPr>
        <w:t>3.</w:t>
      </w:r>
      <w:r>
        <w:rPr>
          <w:rFonts w:hint="eastAsia" w:ascii="宋体" w:hAnsi="宋体" w:cs="宋体" w:eastAsiaTheme="minorEastAsia"/>
          <w:bCs/>
          <w:color w:val="000000" w:themeColor="text1"/>
          <w:kern w:val="2"/>
          <w:sz w:val="24"/>
          <w:szCs w:val="24"/>
          <w:highlight w:val="none"/>
          <w:lang w:val="en-US" w:eastAsia="zh-CN" w:bidi="ar-SA"/>
          <w14:textFill>
            <w14:solidFill>
              <w14:schemeClr w14:val="tx1"/>
            </w14:solidFill>
          </w14:textFill>
        </w:rPr>
        <w:t xml:space="preserve"> 除响应文件中约定的收费项目外，本项目受托管理合同期内不增加其他针对企业或职工的收费。</w:t>
      </w:r>
    </w:p>
    <w:p>
      <w:pPr>
        <w:pStyle w:val="13"/>
        <w:adjustRightInd w:val="0"/>
        <w:snapToGrid w:val="0"/>
        <w:spacing w:line="360" w:lineRule="auto"/>
        <w:rPr>
          <w:rFonts w:hint="eastAsia"/>
          <w:color w:val="000000" w:themeColor="text1"/>
          <w:highlight w:val="none"/>
          <w14:textFill>
            <w14:solidFill>
              <w14:schemeClr w14:val="tx1"/>
            </w14:solidFill>
          </w14:textFill>
        </w:rPr>
      </w:pPr>
    </w:p>
    <w:p>
      <w:pPr>
        <w:pStyle w:val="7"/>
        <w:rPr>
          <w:color w:val="000000" w:themeColor="text1"/>
          <w:highlight w:val="none"/>
          <w:lang w:val="en-GB"/>
          <w14:textFill>
            <w14:solidFill>
              <w14:schemeClr w14:val="tx1"/>
            </w14:solidFill>
          </w14:textFill>
        </w:rPr>
      </w:pPr>
    </w:p>
    <w:p>
      <w:pPr>
        <w:pStyle w:val="7"/>
        <w:adjustRightInd w:val="0"/>
        <w:snapToGrid w:val="0"/>
        <w:spacing w:after="0" w:line="360" w:lineRule="auto"/>
        <w:rPr>
          <w:rFonts w:ascii="宋体" w:hAnsi="宋体" w:cs="宋体"/>
          <w:color w:val="000000" w:themeColor="text1"/>
          <w:highlight w:val="none"/>
          <w:lang w:val="en-GB"/>
          <w14:textFill>
            <w14:solidFill>
              <w14:schemeClr w14:val="tx1"/>
            </w14:solidFill>
          </w14:textFill>
        </w:rPr>
      </w:pPr>
    </w:p>
    <w:p>
      <w:pPr>
        <w:adjustRightInd w:val="0"/>
        <w:snapToGrid w:val="0"/>
        <w:spacing w:line="360" w:lineRule="auto"/>
        <w:ind w:left="4253" w:leftChars="2025" w:firstLine="720" w:firstLineChars="3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供应商名称（单位公章）：</w:t>
      </w:r>
    </w:p>
    <w:p>
      <w:pPr>
        <w:adjustRightInd w:val="0"/>
        <w:snapToGrid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日期：   年   月   日</w:t>
      </w:r>
    </w:p>
    <w:p>
      <w:pPr>
        <w:pStyle w:val="23"/>
        <w:rPr>
          <w:rFonts w:hint="default"/>
          <w:highlight w:val="none"/>
          <w:lang w:val="en-US" w:eastAsia="zh-CN"/>
        </w:rPr>
      </w:pPr>
    </w:p>
    <w:p>
      <w:pPr>
        <w:pStyle w:val="23"/>
        <w:rPr>
          <w:rFonts w:hint="default"/>
          <w:color w:val="auto"/>
          <w:highlight w:val="none"/>
          <w:lang w:val="en-US"/>
        </w:rPr>
      </w:pPr>
    </w:p>
    <w:p>
      <w:pPr>
        <w:pStyle w:val="4"/>
        <w:spacing w:line="240" w:lineRule="auto"/>
        <w:rPr>
          <w:rFonts w:hint="eastAsia" w:eastAsiaTheme="majorEastAsia"/>
          <w:color w:val="auto"/>
          <w:highlight w:val="none"/>
          <w:lang w:val="en-US" w:eastAsia="zh-CN"/>
        </w:rPr>
      </w:pPr>
      <w:bookmarkStart w:id="129" w:name="_Toc87616402"/>
      <w:bookmarkStart w:id="130" w:name="_Toc88209965"/>
      <w:bookmarkStart w:id="131" w:name="_Toc16386"/>
      <w:bookmarkStart w:id="132" w:name="_Toc6058"/>
    </w:p>
    <w:p>
      <w:pPr>
        <w:pStyle w:val="4"/>
        <w:spacing w:line="240" w:lineRule="auto"/>
        <w:rPr>
          <w:rFonts w:asciiTheme="majorEastAsia" w:hAnsiTheme="majorEastAsia" w:eastAsiaTheme="majorEastAsia"/>
          <w:color w:val="auto"/>
          <w:sz w:val="28"/>
          <w:szCs w:val="28"/>
          <w:highlight w:val="none"/>
        </w:rPr>
      </w:pPr>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29"/>
      <w:bookmarkEnd w:id="130"/>
      <w:bookmarkEnd w:id="131"/>
      <w:bookmarkEnd w:id="132"/>
    </w:p>
    <w:p>
      <w:pPr>
        <w:adjustRightInd/>
        <w:snapToGrid w:val="0"/>
        <w:spacing w:line="360" w:lineRule="auto"/>
        <w:ind w:firstLine="0"/>
        <w:rPr>
          <w:rFonts w:hint="eastAsia"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adjustRightInd w:val="0"/>
        <w:snapToGrid w:val="0"/>
        <w:spacing w:line="240" w:lineRule="auto"/>
        <w:ind w:firstLine="0"/>
        <w:rPr>
          <w:rFonts w:hint="eastAsia" w:ascii="仿宋_GB2312" w:eastAsia="仿宋_GB2312" w:hAnsiTheme="minorEastAsia"/>
          <w:color w:val="auto"/>
          <w:sz w:val="28"/>
          <w:szCs w:val="28"/>
          <w:highlight w:val="none"/>
        </w:rPr>
      </w:pPr>
    </w:p>
    <w:p>
      <w:pPr>
        <w:rPr>
          <w:color w:val="auto"/>
          <w:highlight w:val="none"/>
        </w:rPr>
      </w:pPr>
    </w:p>
    <w:sectPr>
      <w:footerReference r:id="rId6" w:type="first"/>
      <w:footerReference r:id="rId5" w:type="default"/>
      <w:pgSz w:w="11906" w:h="16838"/>
      <w:pgMar w:top="2098" w:right="1474" w:bottom="1985"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MingLiU-ExtB">
    <w:panose1 w:val="02020500000000000000"/>
    <w:charset w:val="88"/>
    <w:family w:val="auto"/>
    <w:pitch w:val="default"/>
    <w:sig w:usb0="8000002F" w:usb1="02000008" w:usb2="00000000" w:usb3="00000000" w:csb0="0010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CA+0MkBAACa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wID7QyQEAAJo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OMaicgBAACa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qMkjluc+OXH98vP35df30id&#10;9RkCNJh2HzAxjW/9iFuz+AGdmfaoos1fJEQwjlDnq7pyTETkR+t6va4wJDC2XBCfPTwPEdI76S3J&#10;Rksjjq+oyk8fIE2pS0qu5vydNqaM0Li/HIiZPSz3PvWYrTTux5nQ3ndn5DPg5FvqcNEpMe8dCov9&#10;pcWIi7FfjGOI+tCXLcr1ILw5Jmyi9JYrTLBzYRxZYTevV96Jx/eS9fBLbf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zjGonIAQAAmgMAAA4AAAAAAAAAAQAgAAAAHgEAAGRycy9lMm9Eb2Mu&#10;eG1sUEsFBgAAAAAGAAYAWQEAAFgFA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IWtvs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pJieMWJ375/u3y49fl51fy&#10;O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sha2+yQEAAJo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9ayf9yQEAAJoDAAAOAAAAAAAAAAEAIAAAAB4BAABkcnMvZTJvRG9j&#10;LnhtbFBLBQYAAAAABgAGAFkBAABZ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4734DCE6"/>
    <w:multiLevelType w:val="singleLevel"/>
    <w:tmpl w:val="4734DCE6"/>
    <w:lvl w:ilvl="0" w:tentative="0">
      <w:start w:val="1"/>
      <w:numFmt w:val="decimal"/>
      <w:lvlText w:val="%1."/>
      <w:lvlJc w:val="left"/>
      <w:pPr>
        <w:tabs>
          <w:tab w:val="left" w:pos="312"/>
        </w:tabs>
      </w:pPr>
    </w:lvl>
  </w:abstractNum>
  <w:abstractNum w:abstractNumId="2">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lOGE5YTI1NDY0YjI0MGQxODQ4NTliNGJhYzkxYTMifQ=="/>
  </w:docVars>
  <w:rsids>
    <w:rsidRoot w:val="00172A27"/>
    <w:rsid w:val="00025F8E"/>
    <w:rsid w:val="00332A3E"/>
    <w:rsid w:val="003D60BA"/>
    <w:rsid w:val="00411689"/>
    <w:rsid w:val="005D618A"/>
    <w:rsid w:val="00911ECD"/>
    <w:rsid w:val="009B6CB7"/>
    <w:rsid w:val="00A042E0"/>
    <w:rsid w:val="00B26BB1"/>
    <w:rsid w:val="00B26E21"/>
    <w:rsid w:val="00B741D7"/>
    <w:rsid w:val="00BA754F"/>
    <w:rsid w:val="00CB3927"/>
    <w:rsid w:val="00D4533C"/>
    <w:rsid w:val="00EA29DB"/>
    <w:rsid w:val="00F50C5E"/>
    <w:rsid w:val="00F83B64"/>
    <w:rsid w:val="013E3461"/>
    <w:rsid w:val="014B22A3"/>
    <w:rsid w:val="01BB0F13"/>
    <w:rsid w:val="01EA1863"/>
    <w:rsid w:val="02090C75"/>
    <w:rsid w:val="02A23A3C"/>
    <w:rsid w:val="02BA6060"/>
    <w:rsid w:val="02FB196F"/>
    <w:rsid w:val="03165F8F"/>
    <w:rsid w:val="03393105"/>
    <w:rsid w:val="035D130A"/>
    <w:rsid w:val="03762E16"/>
    <w:rsid w:val="039110A9"/>
    <w:rsid w:val="03AC246A"/>
    <w:rsid w:val="03AE6061"/>
    <w:rsid w:val="03B23056"/>
    <w:rsid w:val="03DA023E"/>
    <w:rsid w:val="03DC3EBA"/>
    <w:rsid w:val="03F9794D"/>
    <w:rsid w:val="046576C9"/>
    <w:rsid w:val="046A2461"/>
    <w:rsid w:val="048D6DEA"/>
    <w:rsid w:val="04AD2EF8"/>
    <w:rsid w:val="051C2970"/>
    <w:rsid w:val="057952D6"/>
    <w:rsid w:val="05A21F64"/>
    <w:rsid w:val="05B92B63"/>
    <w:rsid w:val="060C3611"/>
    <w:rsid w:val="061B0F5E"/>
    <w:rsid w:val="06C64829"/>
    <w:rsid w:val="070E7B6E"/>
    <w:rsid w:val="071D0F9E"/>
    <w:rsid w:val="071D62B7"/>
    <w:rsid w:val="077D16D2"/>
    <w:rsid w:val="07936671"/>
    <w:rsid w:val="082A69F3"/>
    <w:rsid w:val="08675FC8"/>
    <w:rsid w:val="08C10887"/>
    <w:rsid w:val="08FC7577"/>
    <w:rsid w:val="09B713FD"/>
    <w:rsid w:val="09D463C5"/>
    <w:rsid w:val="09EF6ACC"/>
    <w:rsid w:val="0A315056"/>
    <w:rsid w:val="0A3E3B7B"/>
    <w:rsid w:val="0A694621"/>
    <w:rsid w:val="0AA213B4"/>
    <w:rsid w:val="0ACF20EE"/>
    <w:rsid w:val="0AF61C7E"/>
    <w:rsid w:val="0AFB45AD"/>
    <w:rsid w:val="0B232647"/>
    <w:rsid w:val="0B351E9B"/>
    <w:rsid w:val="0B4C50D3"/>
    <w:rsid w:val="0B4F3871"/>
    <w:rsid w:val="0B515AE4"/>
    <w:rsid w:val="0B6744B6"/>
    <w:rsid w:val="0B806B92"/>
    <w:rsid w:val="0B827E94"/>
    <w:rsid w:val="0B842F76"/>
    <w:rsid w:val="0BD070E1"/>
    <w:rsid w:val="0BD65B6B"/>
    <w:rsid w:val="0C2361E7"/>
    <w:rsid w:val="0C247926"/>
    <w:rsid w:val="0C400B4B"/>
    <w:rsid w:val="0C4350D2"/>
    <w:rsid w:val="0CFB04E9"/>
    <w:rsid w:val="0D525BC6"/>
    <w:rsid w:val="0D794204"/>
    <w:rsid w:val="0D967772"/>
    <w:rsid w:val="0D99471A"/>
    <w:rsid w:val="0D9D13BC"/>
    <w:rsid w:val="0D9E4766"/>
    <w:rsid w:val="0DA90E87"/>
    <w:rsid w:val="0E2125D1"/>
    <w:rsid w:val="0E214211"/>
    <w:rsid w:val="0E5F2769"/>
    <w:rsid w:val="0EBE1F88"/>
    <w:rsid w:val="0EC73CBB"/>
    <w:rsid w:val="0ED8332F"/>
    <w:rsid w:val="0EFB7D37"/>
    <w:rsid w:val="0F4748A0"/>
    <w:rsid w:val="0F4D75A3"/>
    <w:rsid w:val="0F5B2DCA"/>
    <w:rsid w:val="0F714D08"/>
    <w:rsid w:val="0FA20605"/>
    <w:rsid w:val="0FD76269"/>
    <w:rsid w:val="0FED051E"/>
    <w:rsid w:val="0FEE4C29"/>
    <w:rsid w:val="0FFD33F6"/>
    <w:rsid w:val="10031608"/>
    <w:rsid w:val="10046082"/>
    <w:rsid w:val="102A76CF"/>
    <w:rsid w:val="104974DD"/>
    <w:rsid w:val="10605972"/>
    <w:rsid w:val="10CF50A9"/>
    <w:rsid w:val="11075D34"/>
    <w:rsid w:val="111703D2"/>
    <w:rsid w:val="112B101A"/>
    <w:rsid w:val="11877731"/>
    <w:rsid w:val="119B53FC"/>
    <w:rsid w:val="1215733B"/>
    <w:rsid w:val="123C1E0D"/>
    <w:rsid w:val="12424CDC"/>
    <w:rsid w:val="129A2738"/>
    <w:rsid w:val="12B56BF1"/>
    <w:rsid w:val="12C65142"/>
    <w:rsid w:val="12CB1A89"/>
    <w:rsid w:val="131840FB"/>
    <w:rsid w:val="132A1396"/>
    <w:rsid w:val="13467417"/>
    <w:rsid w:val="136E76CF"/>
    <w:rsid w:val="13BB2297"/>
    <w:rsid w:val="13E764B5"/>
    <w:rsid w:val="13ED1F50"/>
    <w:rsid w:val="1424395D"/>
    <w:rsid w:val="145F08C6"/>
    <w:rsid w:val="146E221C"/>
    <w:rsid w:val="14E43F59"/>
    <w:rsid w:val="15776308"/>
    <w:rsid w:val="15973CBB"/>
    <w:rsid w:val="15BC6B3C"/>
    <w:rsid w:val="15EC2C59"/>
    <w:rsid w:val="162177F5"/>
    <w:rsid w:val="16360A7B"/>
    <w:rsid w:val="164D40B0"/>
    <w:rsid w:val="167B3428"/>
    <w:rsid w:val="1694429A"/>
    <w:rsid w:val="16A668AC"/>
    <w:rsid w:val="16CC523F"/>
    <w:rsid w:val="17340D63"/>
    <w:rsid w:val="17592E04"/>
    <w:rsid w:val="17635326"/>
    <w:rsid w:val="178D4AD1"/>
    <w:rsid w:val="17B803EA"/>
    <w:rsid w:val="1815096B"/>
    <w:rsid w:val="18236EFD"/>
    <w:rsid w:val="18377249"/>
    <w:rsid w:val="185D743E"/>
    <w:rsid w:val="189D5B1F"/>
    <w:rsid w:val="18A34CD0"/>
    <w:rsid w:val="18C221A7"/>
    <w:rsid w:val="19A53EA8"/>
    <w:rsid w:val="19B64DBC"/>
    <w:rsid w:val="19EC6A4A"/>
    <w:rsid w:val="1A373ACF"/>
    <w:rsid w:val="1A7B10BA"/>
    <w:rsid w:val="1A895341"/>
    <w:rsid w:val="1B0D071F"/>
    <w:rsid w:val="1B4568CE"/>
    <w:rsid w:val="1B9015B7"/>
    <w:rsid w:val="1B950DA6"/>
    <w:rsid w:val="1BC82E79"/>
    <w:rsid w:val="1BDB3120"/>
    <w:rsid w:val="1BDC56E9"/>
    <w:rsid w:val="1BF54245"/>
    <w:rsid w:val="1BFC27CA"/>
    <w:rsid w:val="1C762AA7"/>
    <w:rsid w:val="1C8F7486"/>
    <w:rsid w:val="1CC16B28"/>
    <w:rsid w:val="1CCC4255"/>
    <w:rsid w:val="1CF22D64"/>
    <w:rsid w:val="1D056743"/>
    <w:rsid w:val="1D0E6976"/>
    <w:rsid w:val="1D5A79EE"/>
    <w:rsid w:val="1D897B1B"/>
    <w:rsid w:val="1DBF290A"/>
    <w:rsid w:val="1E0E2CD0"/>
    <w:rsid w:val="1E1214A4"/>
    <w:rsid w:val="1E164317"/>
    <w:rsid w:val="1E831280"/>
    <w:rsid w:val="1EBC4704"/>
    <w:rsid w:val="1EE522C8"/>
    <w:rsid w:val="1F172EB5"/>
    <w:rsid w:val="1F22070B"/>
    <w:rsid w:val="1F7519A1"/>
    <w:rsid w:val="1F94592D"/>
    <w:rsid w:val="1FAD2128"/>
    <w:rsid w:val="1FB860DE"/>
    <w:rsid w:val="203C5A02"/>
    <w:rsid w:val="207B0137"/>
    <w:rsid w:val="209D4C94"/>
    <w:rsid w:val="20B44FCD"/>
    <w:rsid w:val="20E84705"/>
    <w:rsid w:val="218400BA"/>
    <w:rsid w:val="21AB1E2F"/>
    <w:rsid w:val="21D40498"/>
    <w:rsid w:val="22493963"/>
    <w:rsid w:val="22767047"/>
    <w:rsid w:val="23214229"/>
    <w:rsid w:val="23257203"/>
    <w:rsid w:val="233B7B99"/>
    <w:rsid w:val="23A05588"/>
    <w:rsid w:val="23EF6F80"/>
    <w:rsid w:val="240476A1"/>
    <w:rsid w:val="243E6375"/>
    <w:rsid w:val="24E953B9"/>
    <w:rsid w:val="25431AEB"/>
    <w:rsid w:val="2574401A"/>
    <w:rsid w:val="25B875EB"/>
    <w:rsid w:val="25BE3BFB"/>
    <w:rsid w:val="25BF43FD"/>
    <w:rsid w:val="25F86BCD"/>
    <w:rsid w:val="2605748B"/>
    <w:rsid w:val="260B2287"/>
    <w:rsid w:val="26396D26"/>
    <w:rsid w:val="264544A6"/>
    <w:rsid w:val="267702FB"/>
    <w:rsid w:val="26894424"/>
    <w:rsid w:val="269E416A"/>
    <w:rsid w:val="26C11C6B"/>
    <w:rsid w:val="272100D3"/>
    <w:rsid w:val="272C72FC"/>
    <w:rsid w:val="274C2B57"/>
    <w:rsid w:val="275131CB"/>
    <w:rsid w:val="278F6521"/>
    <w:rsid w:val="27EB149D"/>
    <w:rsid w:val="27FD3E52"/>
    <w:rsid w:val="284130B3"/>
    <w:rsid w:val="28E11370"/>
    <w:rsid w:val="291711F9"/>
    <w:rsid w:val="29233D8C"/>
    <w:rsid w:val="294A756A"/>
    <w:rsid w:val="29781BF8"/>
    <w:rsid w:val="297939E2"/>
    <w:rsid w:val="299A3355"/>
    <w:rsid w:val="29AA0009"/>
    <w:rsid w:val="29C33ED0"/>
    <w:rsid w:val="29D5322D"/>
    <w:rsid w:val="29DF1C7C"/>
    <w:rsid w:val="2A025DD9"/>
    <w:rsid w:val="2A0C0E71"/>
    <w:rsid w:val="2A2619CB"/>
    <w:rsid w:val="2A5C56A5"/>
    <w:rsid w:val="2A7317D3"/>
    <w:rsid w:val="2A7C2231"/>
    <w:rsid w:val="2A9201A2"/>
    <w:rsid w:val="2A920E4F"/>
    <w:rsid w:val="2ABB753D"/>
    <w:rsid w:val="2AFE6EC4"/>
    <w:rsid w:val="2B345DDC"/>
    <w:rsid w:val="2B3A3F5A"/>
    <w:rsid w:val="2B4D50E5"/>
    <w:rsid w:val="2B7A49FA"/>
    <w:rsid w:val="2C154479"/>
    <w:rsid w:val="2C615D26"/>
    <w:rsid w:val="2CB360F7"/>
    <w:rsid w:val="2CB679ED"/>
    <w:rsid w:val="2CB73169"/>
    <w:rsid w:val="2CE83C37"/>
    <w:rsid w:val="2CEB2FFC"/>
    <w:rsid w:val="2D173C07"/>
    <w:rsid w:val="2D424A86"/>
    <w:rsid w:val="2DDA66B7"/>
    <w:rsid w:val="2E6F2D11"/>
    <w:rsid w:val="2E7B52DB"/>
    <w:rsid w:val="2ED60115"/>
    <w:rsid w:val="2F1C2DB2"/>
    <w:rsid w:val="2F324CFE"/>
    <w:rsid w:val="2F4A1527"/>
    <w:rsid w:val="2F883C65"/>
    <w:rsid w:val="2FBA09F1"/>
    <w:rsid w:val="2FEF2ACF"/>
    <w:rsid w:val="2FF6325E"/>
    <w:rsid w:val="2FF93D20"/>
    <w:rsid w:val="30375CF5"/>
    <w:rsid w:val="30540211"/>
    <w:rsid w:val="30BF59BF"/>
    <w:rsid w:val="30E45100"/>
    <w:rsid w:val="31112A0D"/>
    <w:rsid w:val="31137581"/>
    <w:rsid w:val="3118711F"/>
    <w:rsid w:val="311F4B20"/>
    <w:rsid w:val="312D7741"/>
    <w:rsid w:val="315D04A6"/>
    <w:rsid w:val="316F137F"/>
    <w:rsid w:val="31815AF3"/>
    <w:rsid w:val="319E4239"/>
    <w:rsid w:val="31DF525F"/>
    <w:rsid w:val="31EC162B"/>
    <w:rsid w:val="32324C2E"/>
    <w:rsid w:val="326B22CC"/>
    <w:rsid w:val="327171DF"/>
    <w:rsid w:val="32787B12"/>
    <w:rsid w:val="3391569E"/>
    <w:rsid w:val="33E765B8"/>
    <w:rsid w:val="341E3434"/>
    <w:rsid w:val="34201C10"/>
    <w:rsid w:val="348073C7"/>
    <w:rsid w:val="34BB4442"/>
    <w:rsid w:val="34E32288"/>
    <w:rsid w:val="34FE215B"/>
    <w:rsid w:val="35277C92"/>
    <w:rsid w:val="3584136B"/>
    <w:rsid w:val="35BD253C"/>
    <w:rsid w:val="35D31C94"/>
    <w:rsid w:val="35EE5A04"/>
    <w:rsid w:val="35FF5AA4"/>
    <w:rsid w:val="360B7EBA"/>
    <w:rsid w:val="360C6349"/>
    <w:rsid w:val="36416867"/>
    <w:rsid w:val="365400E2"/>
    <w:rsid w:val="36795502"/>
    <w:rsid w:val="367D5DD4"/>
    <w:rsid w:val="369C32FD"/>
    <w:rsid w:val="36C43821"/>
    <w:rsid w:val="37666E72"/>
    <w:rsid w:val="37A902A5"/>
    <w:rsid w:val="37E24962"/>
    <w:rsid w:val="37EF5F3E"/>
    <w:rsid w:val="38081EA3"/>
    <w:rsid w:val="38167A04"/>
    <w:rsid w:val="381C3783"/>
    <w:rsid w:val="38E47D4B"/>
    <w:rsid w:val="390D69C0"/>
    <w:rsid w:val="391C71CC"/>
    <w:rsid w:val="394B167A"/>
    <w:rsid w:val="39AD34EA"/>
    <w:rsid w:val="39CD410F"/>
    <w:rsid w:val="39DA2868"/>
    <w:rsid w:val="39DF6BF2"/>
    <w:rsid w:val="3A000621"/>
    <w:rsid w:val="3A055F4B"/>
    <w:rsid w:val="3A0A01C8"/>
    <w:rsid w:val="3A4E4336"/>
    <w:rsid w:val="3A6007FE"/>
    <w:rsid w:val="3A802587"/>
    <w:rsid w:val="3A852164"/>
    <w:rsid w:val="3AC12663"/>
    <w:rsid w:val="3AF93D6C"/>
    <w:rsid w:val="3AFD06C8"/>
    <w:rsid w:val="3B477B26"/>
    <w:rsid w:val="3B7C2CE4"/>
    <w:rsid w:val="3BAF716B"/>
    <w:rsid w:val="3BF44D66"/>
    <w:rsid w:val="3C0B5355"/>
    <w:rsid w:val="3C294ACB"/>
    <w:rsid w:val="3C7E7F35"/>
    <w:rsid w:val="3CD4176B"/>
    <w:rsid w:val="3D1F44D9"/>
    <w:rsid w:val="3D5C38CD"/>
    <w:rsid w:val="3E2919ED"/>
    <w:rsid w:val="3E5070F1"/>
    <w:rsid w:val="3E7569E0"/>
    <w:rsid w:val="3EC370CB"/>
    <w:rsid w:val="3F6C3589"/>
    <w:rsid w:val="3F850180"/>
    <w:rsid w:val="3F9004D6"/>
    <w:rsid w:val="3FCC1A09"/>
    <w:rsid w:val="3FCD6EB1"/>
    <w:rsid w:val="3FEE7CFA"/>
    <w:rsid w:val="400E4D5E"/>
    <w:rsid w:val="40481A37"/>
    <w:rsid w:val="40844A53"/>
    <w:rsid w:val="409C7AD7"/>
    <w:rsid w:val="40E1138C"/>
    <w:rsid w:val="40FB46C5"/>
    <w:rsid w:val="413814BA"/>
    <w:rsid w:val="41872511"/>
    <w:rsid w:val="41DF1251"/>
    <w:rsid w:val="424236D9"/>
    <w:rsid w:val="42466655"/>
    <w:rsid w:val="42582890"/>
    <w:rsid w:val="426E5B8F"/>
    <w:rsid w:val="42A153C7"/>
    <w:rsid w:val="42C82F57"/>
    <w:rsid w:val="43140DED"/>
    <w:rsid w:val="431600B7"/>
    <w:rsid w:val="435707E5"/>
    <w:rsid w:val="439927E1"/>
    <w:rsid w:val="43C04F0C"/>
    <w:rsid w:val="43C76AF7"/>
    <w:rsid w:val="43D54C8A"/>
    <w:rsid w:val="43E97E4A"/>
    <w:rsid w:val="44061228"/>
    <w:rsid w:val="440D65DA"/>
    <w:rsid w:val="446828F0"/>
    <w:rsid w:val="44C51DA9"/>
    <w:rsid w:val="45093E85"/>
    <w:rsid w:val="450B3BFA"/>
    <w:rsid w:val="4511183F"/>
    <w:rsid w:val="45C13B4D"/>
    <w:rsid w:val="46054BCA"/>
    <w:rsid w:val="463374B6"/>
    <w:rsid w:val="464C6AFC"/>
    <w:rsid w:val="46623710"/>
    <w:rsid w:val="466D7BB5"/>
    <w:rsid w:val="468B0091"/>
    <w:rsid w:val="46934B27"/>
    <w:rsid w:val="46A107C3"/>
    <w:rsid w:val="46B15CE2"/>
    <w:rsid w:val="46BE113D"/>
    <w:rsid w:val="46C04A60"/>
    <w:rsid w:val="46E44B13"/>
    <w:rsid w:val="4703508A"/>
    <w:rsid w:val="475023F8"/>
    <w:rsid w:val="47653056"/>
    <w:rsid w:val="477B6CF9"/>
    <w:rsid w:val="47894FD9"/>
    <w:rsid w:val="479A1E7B"/>
    <w:rsid w:val="479D361E"/>
    <w:rsid w:val="47B74789"/>
    <w:rsid w:val="47C87B80"/>
    <w:rsid w:val="48032A55"/>
    <w:rsid w:val="480F2B9D"/>
    <w:rsid w:val="48102176"/>
    <w:rsid w:val="48282920"/>
    <w:rsid w:val="483E1347"/>
    <w:rsid w:val="485321E0"/>
    <w:rsid w:val="48546AD3"/>
    <w:rsid w:val="48A11A3D"/>
    <w:rsid w:val="48CA4868"/>
    <w:rsid w:val="48EE7ABB"/>
    <w:rsid w:val="48F005D3"/>
    <w:rsid w:val="490732AB"/>
    <w:rsid w:val="49466522"/>
    <w:rsid w:val="49547ADD"/>
    <w:rsid w:val="49691E1F"/>
    <w:rsid w:val="496D0AFE"/>
    <w:rsid w:val="49732351"/>
    <w:rsid w:val="498F4AF1"/>
    <w:rsid w:val="499A23D5"/>
    <w:rsid w:val="49C05787"/>
    <w:rsid w:val="49CF518D"/>
    <w:rsid w:val="49D56585"/>
    <w:rsid w:val="49DA10E2"/>
    <w:rsid w:val="49E26C94"/>
    <w:rsid w:val="49F0735A"/>
    <w:rsid w:val="49F3363A"/>
    <w:rsid w:val="4A7F3979"/>
    <w:rsid w:val="4ADA1F63"/>
    <w:rsid w:val="4AE23D89"/>
    <w:rsid w:val="4B2038D0"/>
    <w:rsid w:val="4B296E7D"/>
    <w:rsid w:val="4B79394E"/>
    <w:rsid w:val="4B877F28"/>
    <w:rsid w:val="4C1441EE"/>
    <w:rsid w:val="4CD200BA"/>
    <w:rsid w:val="4D0A05B6"/>
    <w:rsid w:val="4D2044E7"/>
    <w:rsid w:val="4D7204C6"/>
    <w:rsid w:val="4D916BA6"/>
    <w:rsid w:val="4DC44169"/>
    <w:rsid w:val="4DE24E21"/>
    <w:rsid w:val="4E1B19A3"/>
    <w:rsid w:val="4E48787F"/>
    <w:rsid w:val="4E8D5680"/>
    <w:rsid w:val="4EF0709E"/>
    <w:rsid w:val="4F0469A4"/>
    <w:rsid w:val="4FBF5D0D"/>
    <w:rsid w:val="500E56F4"/>
    <w:rsid w:val="502E39EE"/>
    <w:rsid w:val="503B6FE2"/>
    <w:rsid w:val="50540C73"/>
    <w:rsid w:val="50752AF8"/>
    <w:rsid w:val="507E1724"/>
    <w:rsid w:val="508B3E41"/>
    <w:rsid w:val="513C6A7B"/>
    <w:rsid w:val="51634437"/>
    <w:rsid w:val="51656BE3"/>
    <w:rsid w:val="516964B0"/>
    <w:rsid w:val="517300C9"/>
    <w:rsid w:val="518D597A"/>
    <w:rsid w:val="519574CE"/>
    <w:rsid w:val="51B31D16"/>
    <w:rsid w:val="51D45552"/>
    <w:rsid w:val="51E508EF"/>
    <w:rsid w:val="51E5490A"/>
    <w:rsid w:val="523B3C37"/>
    <w:rsid w:val="52EC6EC2"/>
    <w:rsid w:val="532D486F"/>
    <w:rsid w:val="5333545B"/>
    <w:rsid w:val="53407459"/>
    <w:rsid w:val="538D0E89"/>
    <w:rsid w:val="5392732E"/>
    <w:rsid w:val="53E0348E"/>
    <w:rsid w:val="5450213C"/>
    <w:rsid w:val="546711F3"/>
    <w:rsid w:val="546C3825"/>
    <w:rsid w:val="54794D9A"/>
    <w:rsid w:val="54A0586E"/>
    <w:rsid w:val="54D062C6"/>
    <w:rsid w:val="54D24048"/>
    <w:rsid w:val="54D64CD5"/>
    <w:rsid w:val="54FE6203"/>
    <w:rsid w:val="5532287C"/>
    <w:rsid w:val="55887D69"/>
    <w:rsid w:val="55EE5D11"/>
    <w:rsid w:val="55FB0913"/>
    <w:rsid w:val="56122227"/>
    <w:rsid w:val="561A0928"/>
    <w:rsid w:val="56423872"/>
    <w:rsid w:val="569E06BC"/>
    <w:rsid w:val="56B279F0"/>
    <w:rsid w:val="56F20F86"/>
    <w:rsid w:val="579D710E"/>
    <w:rsid w:val="581F22F6"/>
    <w:rsid w:val="586E1E17"/>
    <w:rsid w:val="58862C35"/>
    <w:rsid w:val="58A312E9"/>
    <w:rsid w:val="58C14957"/>
    <w:rsid w:val="58CC23D2"/>
    <w:rsid w:val="58E460AB"/>
    <w:rsid w:val="58E66050"/>
    <w:rsid w:val="596B36B6"/>
    <w:rsid w:val="5991277D"/>
    <w:rsid w:val="59E63F07"/>
    <w:rsid w:val="59E73F45"/>
    <w:rsid w:val="59FC7994"/>
    <w:rsid w:val="5A883C5F"/>
    <w:rsid w:val="5AE83A50"/>
    <w:rsid w:val="5B353193"/>
    <w:rsid w:val="5B422AA9"/>
    <w:rsid w:val="5BAB2917"/>
    <w:rsid w:val="5BDA3271"/>
    <w:rsid w:val="5BFC33FA"/>
    <w:rsid w:val="5C3107A4"/>
    <w:rsid w:val="5C337866"/>
    <w:rsid w:val="5C3B1B93"/>
    <w:rsid w:val="5C6D1B57"/>
    <w:rsid w:val="5C9220DF"/>
    <w:rsid w:val="5D4920F8"/>
    <w:rsid w:val="5D4A15F3"/>
    <w:rsid w:val="5D5641BE"/>
    <w:rsid w:val="5D69542A"/>
    <w:rsid w:val="5D783B72"/>
    <w:rsid w:val="5D897581"/>
    <w:rsid w:val="5DD34EE2"/>
    <w:rsid w:val="5E0930EF"/>
    <w:rsid w:val="5E3B430B"/>
    <w:rsid w:val="5E3D4D53"/>
    <w:rsid w:val="5E4717E6"/>
    <w:rsid w:val="5E55774C"/>
    <w:rsid w:val="5E8A70FF"/>
    <w:rsid w:val="5F655C43"/>
    <w:rsid w:val="5FAB1E73"/>
    <w:rsid w:val="5FD955AA"/>
    <w:rsid w:val="5FE22855"/>
    <w:rsid w:val="5FFA53B2"/>
    <w:rsid w:val="60045F96"/>
    <w:rsid w:val="60104DDC"/>
    <w:rsid w:val="604D1A27"/>
    <w:rsid w:val="605C0804"/>
    <w:rsid w:val="60913E6F"/>
    <w:rsid w:val="60B45ED4"/>
    <w:rsid w:val="611F0045"/>
    <w:rsid w:val="61733C3E"/>
    <w:rsid w:val="6189617B"/>
    <w:rsid w:val="619747F0"/>
    <w:rsid w:val="61B52BB6"/>
    <w:rsid w:val="61B749C2"/>
    <w:rsid w:val="62133783"/>
    <w:rsid w:val="62280D20"/>
    <w:rsid w:val="627023E3"/>
    <w:rsid w:val="629C50CC"/>
    <w:rsid w:val="62B4786E"/>
    <w:rsid w:val="62CA2457"/>
    <w:rsid w:val="631303F2"/>
    <w:rsid w:val="634E4EFB"/>
    <w:rsid w:val="635F6D0E"/>
    <w:rsid w:val="638240A1"/>
    <w:rsid w:val="63833423"/>
    <w:rsid w:val="63A5257B"/>
    <w:rsid w:val="63AA2A1C"/>
    <w:rsid w:val="63BD3DCC"/>
    <w:rsid w:val="63C61741"/>
    <w:rsid w:val="63F0428F"/>
    <w:rsid w:val="64560967"/>
    <w:rsid w:val="649204C7"/>
    <w:rsid w:val="64B155BE"/>
    <w:rsid w:val="64E21E2A"/>
    <w:rsid w:val="65412E8C"/>
    <w:rsid w:val="655B3069"/>
    <w:rsid w:val="656142EF"/>
    <w:rsid w:val="656819FF"/>
    <w:rsid w:val="656B1D10"/>
    <w:rsid w:val="65B841F9"/>
    <w:rsid w:val="66022B28"/>
    <w:rsid w:val="664A38E2"/>
    <w:rsid w:val="66581E87"/>
    <w:rsid w:val="66633F9C"/>
    <w:rsid w:val="666A2AFF"/>
    <w:rsid w:val="666F1DE3"/>
    <w:rsid w:val="66766EBB"/>
    <w:rsid w:val="66C50D08"/>
    <w:rsid w:val="66FA11D5"/>
    <w:rsid w:val="674302C7"/>
    <w:rsid w:val="67CB09D8"/>
    <w:rsid w:val="67EE3B0F"/>
    <w:rsid w:val="680A5986"/>
    <w:rsid w:val="680D5F4B"/>
    <w:rsid w:val="68113F51"/>
    <w:rsid w:val="683C4C6E"/>
    <w:rsid w:val="68B272C7"/>
    <w:rsid w:val="68CF107E"/>
    <w:rsid w:val="68E94770"/>
    <w:rsid w:val="68EC1CEF"/>
    <w:rsid w:val="68F8454F"/>
    <w:rsid w:val="68F949C9"/>
    <w:rsid w:val="69037E15"/>
    <w:rsid w:val="692546D4"/>
    <w:rsid w:val="695A4290"/>
    <w:rsid w:val="69634098"/>
    <w:rsid w:val="696F3649"/>
    <w:rsid w:val="6A267606"/>
    <w:rsid w:val="6A334932"/>
    <w:rsid w:val="6A3353FF"/>
    <w:rsid w:val="6A5D63E6"/>
    <w:rsid w:val="6A5F24D1"/>
    <w:rsid w:val="6ACA70C4"/>
    <w:rsid w:val="6AE347EB"/>
    <w:rsid w:val="6B330365"/>
    <w:rsid w:val="6B434AF0"/>
    <w:rsid w:val="6B57675A"/>
    <w:rsid w:val="6B87098A"/>
    <w:rsid w:val="6B8A4F82"/>
    <w:rsid w:val="6BAA2385"/>
    <w:rsid w:val="6BCD1034"/>
    <w:rsid w:val="6BDD7B4D"/>
    <w:rsid w:val="6CA87DFD"/>
    <w:rsid w:val="6D52013C"/>
    <w:rsid w:val="6D534CB0"/>
    <w:rsid w:val="6E57359B"/>
    <w:rsid w:val="6EBC0B3A"/>
    <w:rsid w:val="6EED597D"/>
    <w:rsid w:val="6EF51C7D"/>
    <w:rsid w:val="6F07471C"/>
    <w:rsid w:val="6F7E7378"/>
    <w:rsid w:val="6F8363E5"/>
    <w:rsid w:val="6F841DCF"/>
    <w:rsid w:val="6FA80CCD"/>
    <w:rsid w:val="6FAC3CC5"/>
    <w:rsid w:val="6FC746F5"/>
    <w:rsid w:val="6FE33EF5"/>
    <w:rsid w:val="70317AC6"/>
    <w:rsid w:val="704B26F7"/>
    <w:rsid w:val="70697B21"/>
    <w:rsid w:val="70863262"/>
    <w:rsid w:val="70A76ED3"/>
    <w:rsid w:val="71276CD9"/>
    <w:rsid w:val="71453BB3"/>
    <w:rsid w:val="71860B17"/>
    <w:rsid w:val="71D34FE9"/>
    <w:rsid w:val="723B27CC"/>
    <w:rsid w:val="724B1AC3"/>
    <w:rsid w:val="72565C05"/>
    <w:rsid w:val="72576610"/>
    <w:rsid w:val="72687227"/>
    <w:rsid w:val="7274680B"/>
    <w:rsid w:val="72A03FD9"/>
    <w:rsid w:val="72DB2468"/>
    <w:rsid w:val="73406CFF"/>
    <w:rsid w:val="7383028C"/>
    <w:rsid w:val="738556A7"/>
    <w:rsid w:val="73A25E44"/>
    <w:rsid w:val="73B13A3B"/>
    <w:rsid w:val="73CD639B"/>
    <w:rsid w:val="741F68CF"/>
    <w:rsid w:val="748621E7"/>
    <w:rsid w:val="74991FFC"/>
    <w:rsid w:val="75252DF3"/>
    <w:rsid w:val="75621536"/>
    <w:rsid w:val="757545F4"/>
    <w:rsid w:val="758E6DD3"/>
    <w:rsid w:val="75BF3154"/>
    <w:rsid w:val="75DA4A2D"/>
    <w:rsid w:val="76400F7F"/>
    <w:rsid w:val="764A07CF"/>
    <w:rsid w:val="764F6B3D"/>
    <w:rsid w:val="768E1E11"/>
    <w:rsid w:val="76C959EF"/>
    <w:rsid w:val="76CD2B7B"/>
    <w:rsid w:val="76D80645"/>
    <w:rsid w:val="76E03371"/>
    <w:rsid w:val="771211AA"/>
    <w:rsid w:val="77736C04"/>
    <w:rsid w:val="778F2F45"/>
    <w:rsid w:val="779E40CB"/>
    <w:rsid w:val="77A71375"/>
    <w:rsid w:val="780E5898"/>
    <w:rsid w:val="782642CC"/>
    <w:rsid w:val="7894095E"/>
    <w:rsid w:val="78964555"/>
    <w:rsid w:val="78CF4963"/>
    <w:rsid w:val="79000679"/>
    <w:rsid w:val="7916258F"/>
    <w:rsid w:val="791724DC"/>
    <w:rsid w:val="791C0FE5"/>
    <w:rsid w:val="79A416F0"/>
    <w:rsid w:val="79B03EB6"/>
    <w:rsid w:val="79B61437"/>
    <w:rsid w:val="7A676211"/>
    <w:rsid w:val="7AA9063E"/>
    <w:rsid w:val="7AE15A5C"/>
    <w:rsid w:val="7AF37579"/>
    <w:rsid w:val="7AF87F64"/>
    <w:rsid w:val="7B1C0C84"/>
    <w:rsid w:val="7B5A62DF"/>
    <w:rsid w:val="7B7A04A8"/>
    <w:rsid w:val="7B8E4662"/>
    <w:rsid w:val="7B984513"/>
    <w:rsid w:val="7BB27568"/>
    <w:rsid w:val="7BE15C77"/>
    <w:rsid w:val="7BFC2EBA"/>
    <w:rsid w:val="7BFC5A6F"/>
    <w:rsid w:val="7C0C3F6D"/>
    <w:rsid w:val="7C185939"/>
    <w:rsid w:val="7C1C7EBF"/>
    <w:rsid w:val="7C22163C"/>
    <w:rsid w:val="7C3A2A38"/>
    <w:rsid w:val="7C457B4B"/>
    <w:rsid w:val="7C595075"/>
    <w:rsid w:val="7C6B07B2"/>
    <w:rsid w:val="7D133243"/>
    <w:rsid w:val="7D151452"/>
    <w:rsid w:val="7D945420"/>
    <w:rsid w:val="7D997857"/>
    <w:rsid w:val="7DD07A4B"/>
    <w:rsid w:val="7DD56578"/>
    <w:rsid w:val="7DFF1FC9"/>
    <w:rsid w:val="7E116857"/>
    <w:rsid w:val="7E24475D"/>
    <w:rsid w:val="7E394207"/>
    <w:rsid w:val="7E4007A2"/>
    <w:rsid w:val="7E791CAD"/>
    <w:rsid w:val="7EA50DFB"/>
    <w:rsid w:val="7EAD1BF6"/>
    <w:rsid w:val="7EC86878"/>
    <w:rsid w:val="7F16390D"/>
    <w:rsid w:val="7F2B74D1"/>
    <w:rsid w:val="7F430416"/>
    <w:rsid w:val="7F575AB6"/>
    <w:rsid w:val="7F752917"/>
    <w:rsid w:val="7F791ABB"/>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qFormat="1" w:uiPriority="0"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0"/>
    <w:qFormat/>
    <w:uiPriority w:val="9"/>
    <w:pPr>
      <w:keepNext/>
      <w:keepLines/>
      <w:spacing w:before="340" w:after="330" w:line="578" w:lineRule="auto"/>
      <w:jc w:val="center"/>
      <w:outlineLvl w:val="0"/>
    </w:pPr>
    <w:rPr>
      <w:rFonts w:eastAsia="方正小标宋简体"/>
      <w:bCs/>
      <w:kern w:val="44"/>
      <w:sz w:val="44"/>
      <w:szCs w:val="44"/>
    </w:rPr>
  </w:style>
  <w:style w:type="paragraph" w:styleId="3">
    <w:name w:val="heading 2"/>
    <w:basedOn w:val="1"/>
    <w:next w:val="1"/>
    <w:link w:val="3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4">
    <w:name w:val="heading 3"/>
    <w:basedOn w:val="1"/>
    <w:next w:val="1"/>
    <w:link w:val="32"/>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6">
    <w:name w:val="Default Paragraph Font"/>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Body Text 3"/>
    <w:basedOn w:val="1"/>
    <w:link w:val="40"/>
    <w:unhideWhenUsed/>
    <w:qFormat/>
    <w:uiPriority w:val="99"/>
    <w:pPr>
      <w:spacing w:after="120"/>
    </w:pPr>
    <w:rPr>
      <w:sz w:val="16"/>
      <w:szCs w:val="16"/>
    </w:rPr>
  </w:style>
  <w:style w:type="paragraph" w:styleId="7">
    <w:name w:val="Body Text"/>
    <w:basedOn w:val="1"/>
    <w:next w:val="8"/>
    <w:qFormat/>
    <w:uiPriority w:val="99"/>
    <w:pPr>
      <w:spacing w:after="120"/>
    </w:pPr>
  </w:style>
  <w:style w:type="paragraph" w:styleId="8">
    <w:name w:val="Body Text 2"/>
    <w:basedOn w:val="1"/>
    <w:qFormat/>
    <w:uiPriority w:val="0"/>
    <w:pPr>
      <w:spacing w:after="120" w:line="480" w:lineRule="auto"/>
    </w:pPr>
  </w:style>
  <w:style w:type="paragraph" w:styleId="9">
    <w:name w:val="Body Text Indent"/>
    <w:basedOn w:val="1"/>
    <w:next w:val="10"/>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0">
    <w:name w:val="envelope return"/>
    <w:basedOn w:val="1"/>
    <w:qFormat/>
    <w:uiPriority w:val="0"/>
    <w:pPr>
      <w:snapToGrid w:val="0"/>
    </w:pPr>
    <w:rPr>
      <w:rFonts w:ascii="Arial" w:hAnsi="Arial"/>
      <w:szCs w:val="24"/>
    </w:rPr>
  </w:style>
  <w:style w:type="paragraph" w:styleId="11">
    <w:name w:val="toc 5"/>
    <w:basedOn w:val="1"/>
    <w:next w:val="1"/>
    <w:unhideWhenUsed/>
    <w:qFormat/>
    <w:uiPriority w:val="0"/>
    <w:pPr>
      <w:widowControl w:val="0"/>
      <w:ind w:left="1680" w:leftChars="800"/>
      <w:jc w:val="both"/>
    </w:pPr>
    <w:rPr>
      <w:rFonts w:ascii="Calibri" w:hAnsi="Calibri"/>
      <w:kern w:val="2"/>
      <w:szCs w:val="22"/>
    </w:r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4"/>
    <w:qFormat/>
    <w:uiPriority w:val="0"/>
    <w:rPr>
      <w:rFonts w:ascii="宋体" w:hAnsi="Courier New"/>
      <w:szCs w:val="21"/>
    </w:rPr>
  </w:style>
  <w:style w:type="paragraph" w:customStyle="1" w:styleId="14">
    <w:name w:val="Default"/>
    <w:next w:val="15"/>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5">
    <w:name w:val="List"/>
    <w:basedOn w:val="1"/>
    <w:next w:val="1"/>
    <w:qFormat/>
    <w:uiPriority w:val="0"/>
    <w:pPr>
      <w:snapToGrid w:val="0"/>
    </w:pPr>
    <w:rPr>
      <w:szCs w:val="24"/>
    </w:rPr>
  </w:style>
  <w:style w:type="paragraph" w:styleId="16">
    <w:name w:val="Balloon Text"/>
    <w:basedOn w:val="1"/>
    <w:link w:val="35"/>
    <w:semiHidden/>
    <w:unhideWhenUsed/>
    <w:qFormat/>
    <w:uiPriority w:val="99"/>
    <w:rPr>
      <w:sz w:val="18"/>
      <w:szCs w:val="18"/>
    </w:rPr>
  </w:style>
  <w:style w:type="paragraph" w:styleId="17">
    <w:name w:val="footer"/>
    <w:basedOn w:val="1"/>
    <w:link w:val="29"/>
    <w:unhideWhenUsed/>
    <w:qFormat/>
    <w:uiPriority w:val="99"/>
    <w:pPr>
      <w:tabs>
        <w:tab w:val="center" w:pos="4153"/>
        <w:tab w:val="right" w:pos="8306"/>
      </w:tabs>
      <w:snapToGrid w:val="0"/>
      <w:jc w:val="left"/>
    </w:pPr>
    <w:rPr>
      <w:sz w:val="18"/>
      <w:szCs w:val="18"/>
    </w:rPr>
  </w:style>
  <w:style w:type="paragraph" w:styleId="18">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0"/>
    <w:pPr>
      <w:spacing w:before="100" w:beforeAutospacing="1" w:after="100" w:afterAutospacing="1"/>
    </w:pPr>
    <w:rPr>
      <w:rFonts w:ascii="宋体" w:hAnsi="宋体" w:cs="宋体"/>
      <w:sz w:val="24"/>
      <w:szCs w:val="24"/>
    </w:rPr>
  </w:style>
  <w:style w:type="paragraph" w:styleId="22">
    <w:name w:val="Body Text First Indent"/>
    <w:basedOn w:val="7"/>
    <w:qFormat/>
    <w:uiPriority w:val="0"/>
    <w:pPr>
      <w:ind w:firstLine="420"/>
    </w:pPr>
  </w:style>
  <w:style w:type="paragraph" w:styleId="23">
    <w:name w:val="Body Text First Indent 2"/>
    <w:basedOn w:val="9"/>
    <w:qFormat/>
    <w:uiPriority w:val="0"/>
    <w:pPr>
      <w:adjustRightInd w:val="0"/>
      <w:spacing w:line="360" w:lineRule="auto"/>
      <w:ind w:left="0" w:leftChars="0" w:firstLine="420"/>
      <w:textAlignment w:val="baseline"/>
    </w:pPr>
    <w:rPr>
      <w:rFonts w:eastAsia="等线" w:cs="Times New Roman"/>
      <w:color w:val="000000"/>
      <w:szCs w:val="24"/>
    </w:rPr>
  </w:style>
  <w:style w:type="table" w:styleId="25">
    <w:name w:val="Table Grid"/>
    <w:basedOn w:val="2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7">
    <w:name w:val="Hyperlink"/>
    <w:basedOn w:val="26"/>
    <w:unhideWhenUsed/>
    <w:qFormat/>
    <w:uiPriority w:val="99"/>
    <w:rPr>
      <w:color w:val="0000FF" w:themeColor="hyperlink"/>
      <w:u w:val="single"/>
      <w14:textFill>
        <w14:solidFill>
          <w14:schemeClr w14:val="hlink"/>
        </w14:solidFill>
      </w14:textFill>
    </w:rPr>
  </w:style>
  <w:style w:type="character" w:customStyle="1" w:styleId="28">
    <w:name w:val="页眉 Char"/>
    <w:basedOn w:val="26"/>
    <w:link w:val="18"/>
    <w:semiHidden/>
    <w:qFormat/>
    <w:uiPriority w:val="99"/>
    <w:rPr>
      <w:sz w:val="18"/>
      <w:szCs w:val="18"/>
    </w:rPr>
  </w:style>
  <w:style w:type="character" w:customStyle="1" w:styleId="29">
    <w:name w:val="页脚 Char"/>
    <w:basedOn w:val="26"/>
    <w:link w:val="17"/>
    <w:qFormat/>
    <w:uiPriority w:val="99"/>
    <w:rPr>
      <w:sz w:val="18"/>
      <w:szCs w:val="18"/>
    </w:rPr>
  </w:style>
  <w:style w:type="character" w:customStyle="1" w:styleId="30">
    <w:name w:val="标题 1 Char"/>
    <w:basedOn w:val="26"/>
    <w:link w:val="2"/>
    <w:qFormat/>
    <w:uiPriority w:val="9"/>
    <w:rPr>
      <w:rFonts w:eastAsia="方正小标宋简体"/>
      <w:bCs/>
      <w:kern w:val="44"/>
      <w:sz w:val="44"/>
      <w:szCs w:val="44"/>
    </w:rPr>
  </w:style>
  <w:style w:type="character" w:customStyle="1" w:styleId="31">
    <w:name w:val="标题 2 Char"/>
    <w:basedOn w:val="26"/>
    <w:link w:val="3"/>
    <w:qFormat/>
    <w:uiPriority w:val="9"/>
    <w:rPr>
      <w:rFonts w:eastAsia="方正小标宋简体" w:asciiTheme="majorHAnsi" w:hAnsiTheme="majorHAnsi" w:cstheme="majorBidi"/>
      <w:bCs/>
      <w:sz w:val="36"/>
      <w:szCs w:val="32"/>
    </w:rPr>
  </w:style>
  <w:style w:type="character" w:customStyle="1" w:styleId="32">
    <w:name w:val="标题 3 Char"/>
    <w:basedOn w:val="26"/>
    <w:link w:val="4"/>
    <w:qFormat/>
    <w:uiPriority w:val="9"/>
    <w:rPr>
      <w:rFonts w:ascii="Calibri" w:hAnsi="Calibri" w:eastAsia="宋体" w:cs="Times New Roman"/>
      <w:b/>
      <w:bCs/>
      <w:sz w:val="32"/>
      <w:szCs w:val="32"/>
    </w:rPr>
  </w:style>
  <w:style w:type="paragraph" w:styleId="33">
    <w:name w:val="List Paragraph"/>
    <w:basedOn w:val="1"/>
    <w:next w:val="1"/>
    <w:link w:val="41"/>
    <w:qFormat/>
    <w:uiPriority w:val="34"/>
    <w:pPr>
      <w:ind w:firstLine="420" w:firstLineChars="200"/>
    </w:pPr>
  </w:style>
  <w:style w:type="paragraph" w:customStyle="1" w:styleId="34">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Char"/>
    <w:basedOn w:val="26"/>
    <w:link w:val="16"/>
    <w:semiHidden/>
    <w:qFormat/>
    <w:uiPriority w:val="99"/>
    <w:rPr>
      <w:sz w:val="18"/>
      <w:szCs w:val="18"/>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CM97"/>
    <w:basedOn w:val="14"/>
    <w:next w:val="14"/>
    <w:qFormat/>
    <w:uiPriority w:val="0"/>
    <w:pPr>
      <w:spacing w:after="373"/>
    </w:pPr>
    <w:rPr>
      <w:color w:val="auto"/>
    </w:rPr>
  </w:style>
  <w:style w:type="paragraph" w:customStyle="1" w:styleId="38">
    <w:name w:val="CM91"/>
    <w:basedOn w:val="14"/>
    <w:next w:val="14"/>
    <w:qFormat/>
    <w:uiPriority w:val="0"/>
    <w:pPr>
      <w:spacing w:after="160"/>
    </w:pPr>
    <w:rPr>
      <w:color w:val="auto"/>
    </w:rPr>
  </w:style>
  <w:style w:type="character" w:customStyle="1" w:styleId="39">
    <w:name w:val="正文文本 3 Char"/>
    <w:link w:val="6"/>
    <w:qFormat/>
    <w:uiPriority w:val="99"/>
    <w:rPr>
      <w:sz w:val="16"/>
      <w:szCs w:val="16"/>
    </w:rPr>
  </w:style>
  <w:style w:type="character" w:customStyle="1" w:styleId="40">
    <w:name w:val="正文文本 3 Char1"/>
    <w:basedOn w:val="26"/>
    <w:link w:val="6"/>
    <w:semiHidden/>
    <w:qFormat/>
    <w:uiPriority w:val="99"/>
    <w:rPr>
      <w:sz w:val="16"/>
      <w:szCs w:val="16"/>
    </w:rPr>
  </w:style>
  <w:style w:type="character" w:customStyle="1" w:styleId="41">
    <w:name w:val="列出段落 Char"/>
    <w:link w:val="33"/>
    <w:qFormat/>
    <w:uiPriority w:val="34"/>
  </w:style>
  <w:style w:type="paragraph" w:customStyle="1" w:styleId="42">
    <w:name w:val="1"/>
    <w:basedOn w:val="1"/>
    <w:next w:val="13"/>
    <w:qFormat/>
    <w:uiPriority w:val="99"/>
    <w:pPr>
      <w:widowControl w:val="0"/>
      <w:jc w:val="both"/>
    </w:pPr>
    <w:rPr>
      <w:rFonts w:ascii="宋体" w:hAnsi="Courier New"/>
      <w:kern w:val="2"/>
    </w:rPr>
  </w:style>
  <w:style w:type="paragraph" w:customStyle="1" w:styleId="43">
    <w:name w:val="WPSOffice手动目录 1"/>
    <w:qFormat/>
    <w:uiPriority w:val="0"/>
    <w:pPr>
      <w:ind w:leftChars="0"/>
    </w:pPr>
    <w:rPr>
      <w:rFonts w:asciiTheme="minorHAnsi" w:hAnsiTheme="minorHAnsi" w:eastAsiaTheme="minorEastAsia" w:cstheme="minorBidi"/>
      <w:sz w:val="20"/>
      <w:szCs w:val="20"/>
    </w:rPr>
  </w:style>
  <w:style w:type="paragraph" w:customStyle="1" w:styleId="44">
    <w:name w:val="WPSOffice手动目录 2"/>
    <w:qFormat/>
    <w:uiPriority w:val="0"/>
    <w:pPr>
      <w:ind w:leftChars="200"/>
    </w:pPr>
    <w:rPr>
      <w:rFonts w:asciiTheme="minorHAnsi" w:hAnsiTheme="minorHAnsi" w:eastAsiaTheme="minorEastAsia" w:cstheme="minorBidi"/>
      <w:sz w:val="20"/>
      <w:szCs w:val="20"/>
    </w:rPr>
  </w:style>
  <w:style w:type="paragraph" w:customStyle="1" w:styleId="45">
    <w:name w:val="WPSOffice手动目录 3"/>
    <w:qFormat/>
    <w:uiPriority w:val="0"/>
    <w:pPr>
      <w:ind w:leftChars="400"/>
    </w:pPr>
    <w:rPr>
      <w:rFonts w:asciiTheme="minorHAnsi" w:hAnsiTheme="minorHAnsi" w:eastAsiaTheme="minorEastAsia" w:cstheme="minorBidi"/>
      <w:sz w:val="20"/>
      <w:szCs w:val="20"/>
    </w:rPr>
  </w:style>
  <w:style w:type="paragraph" w:customStyle="1" w:styleId="46">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47">
    <w:name w:val="font31"/>
    <w:basedOn w:val="26"/>
    <w:qFormat/>
    <w:uiPriority w:val="0"/>
    <w:rPr>
      <w:rFonts w:hint="eastAsia" w:ascii="宋体" w:hAnsi="宋体" w:eastAsia="宋体" w:cs="宋体"/>
      <w:color w:val="000000"/>
      <w:sz w:val="28"/>
      <w:szCs w:val="28"/>
      <w:u w:val="none"/>
    </w:rPr>
  </w:style>
  <w:style w:type="character" w:customStyle="1" w:styleId="48">
    <w:name w:val="font61"/>
    <w:basedOn w:val="26"/>
    <w:qFormat/>
    <w:uiPriority w:val="0"/>
    <w:rPr>
      <w:rFonts w:ascii="MingLiU-ExtB" w:hAnsi="MingLiU-ExtB" w:eastAsia="MingLiU-ExtB" w:cs="MingLiU-ExtB"/>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42</Pages>
  <Words>9148</Words>
  <Characters>9619</Characters>
  <Lines>300</Lines>
  <Paragraphs>84</Paragraphs>
  <TotalTime>6</TotalTime>
  <ScaleCrop>false</ScaleCrop>
  <LinksUpToDate>false</LinksUpToDate>
  <CharactersWithSpaces>11026</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cp:lastPrinted>2023-11-23T01:55:00Z</cp:lastPrinted>
  <dcterms:modified xsi:type="dcterms:W3CDTF">2024-02-19T07:53:14Z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A16D6DC8326945AC9168607D4B687526</vt:lpwstr>
  </property>
</Properties>
</file>