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13" w:name="_GoBack"/>
      <w:bookmarkEnd w:id="113"/>
    </w:p>
    <w:p>
      <w:pPr>
        <w:rPr>
          <w:highlight w:val="none"/>
        </w:rPr>
      </w:pPr>
    </w:p>
    <w:p>
      <w:pPr>
        <w:rPr>
          <w:highlight w:val="none"/>
        </w:rPr>
      </w:pPr>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广州市净水有限公司环城北净水厂</w:t>
      </w:r>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防洪评价技术咨询项目</w:t>
      </w:r>
    </w:p>
    <w:p>
      <w:pPr>
        <w:pStyle w:val="2"/>
        <w:ind w:left="0" w:leftChars="0" w:firstLine="0" w:firstLineChars="0"/>
        <w:rPr>
          <w:rFonts w:hint="eastAsia" w:ascii="方正小标宋简体" w:hAnsi="方正小标宋简体" w:eastAsia="方正小标宋简体" w:cs="方正小标宋简体"/>
          <w:sz w:val="48"/>
          <w:szCs w:val="48"/>
          <w:highlight w:val="none"/>
        </w:rPr>
      </w:pPr>
    </w:p>
    <w:p>
      <w:pPr>
        <w:jc w:val="center"/>
        <w:rPr>
          <w:rFonts w:hint="eastAsia" w:ascii="方正小标宋简体" w:hAnsi="方正小标宋简体" w:eastAsia="方正小标宋简体" w:cs="方正小标宋简体"/>
          <w:sz w:val="48"/>
          <w:szCs w:val="48"/>
          <w:highlight w:val="none"/>
        </w:rPr>
      </w:pPr>
      <w:r>
        <w:rPr>
          <w:rFonts w:hint="eastAsia" w:ascii="方正小标宋简体" w:hAnsi="方正小标宋简体" w:eastAsia="方正小标宋简体" w:cs="方正小标宋简体"/>
          <w:b/>
          <w:bCs/>
          <w:sz w:val="48"/>
          <w:szCs w:val="48"/>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四</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二</w:t>
      </w:r>
      <w:r>
        <w:rPr>
          <w:rFonts w:hint="eastAsia" w:ascii="黑体" w:hAnsi="黑体" w:eastAsia="黑体" w:cs="仿宋_GB2312"/>
          <w:sz w:val="32"/>
          <w:szCs w:val="32"/>
          <w:highlight w:val="none"/>
        </w:rPr>
        <w:t>月</w:t>
      </w:r>
    </w:p>
    <w:p>
      <w:pPr>
        <w:rPr>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
        <w:rPr>
          <w:highlight w:val="none"/>
        </w:rPr>
      </w:pPr>
    </w:p>
    <w:p>
      <w:pPr>
        <w:pStyle w:val="40"/>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0"/>
        <w:numPr>
          <w:ilvl w:val="0"/>
          <w:numId w:val="2"/>
        </w:numPr>
        <w:tabs>
          <w:tab w:val="right" w:pos="8844"/>
        </w:tabs>
        <w:rPr>
          <w:highlight w:val="none"/>
        </w:rPr>
      </w:pPr>
      <w:r>
        <w:rPr>
          <w:rFonts w:hint="eastAsia"/>
          <w:highlight w:val="none"/>
        </w:rPr>
        <w:t>采购公告（采购邀请书）</w:t>
      </w:r>
    </w:p>
    <w:p>
      <w:pPr>
        <w:pStyle w:val="20"/>
        <w:numPr>
          <w:ilvl w:val="0"/>
          <w:numId w:val="2"/>
        </w:numPr>
        <w:tabs>
          <w:tab w:val="right" w:pos="8844"/>
        </w:tabs>
        <w:rPr>
          <w:highlight w:val="none"/>
        </w:rPr>
      </w:pPr>
      <w:r>
        <w:rPr>
          <w:rFonts w:hint="eastAsia"/>
          <w:highlight w:val="none"/>
        </w:rPr>
        <w:t>供应商须知</w:t>
      </w:r>
    </w:p>
    <w:p>
      <w:pPr>
        <w:pStyle w:val="20"/>
        <w:numPr>
          <w:ilvl w:val="0"/>
          <w:numId w:val="2"/>
        </w:numPr>
        <w:tabs>
          <w:tab w:val="right" w:pos="8844"/>
        </w:tabs>
        <w:rPr>
          <w:highlight w:val="none"/>
        </w:rPr>
      </w:pPr>
      <w:r>
        <w:rPr>
          <w:rFonts w:hint="eastAsia"/>
          <w:highlight w:val="none"/>
        </w:rPr>
        <w:t>采购方法</w:t>
      </w:r>
    </w:p>
    <w:p>
      <w:pPr>
        <w:pStyle w:val="20"/>
        <w:numPr>
          <w:ilvl w:val="0"/>
          <w:numId w:val="2"/>
        </w:numPr>
        <w:tabs>
          <w:tab w:val="right" w:pos="8844"/>
        </w:tabs>
        <w:rPr>
          <w:highlight w:val="none"/>
        </w:rPr>
      </w:pPr>
      <w:r>
        <w:rPr>
          <w:rFonts w:hint="eastAsia"/>
          <w:highlight w:val="none"/>
        </w:rPr>
        <w:t>评审方法</w:t>
      </w:r>
    </w:p>
    <w:p>
      <w:pPr>
        <w:pStyle w:val="20"/>
        <w:numPr>
          <w:ilvl w:val="0"/>
          <w:numId w:val="2"/>
        </w:numPr>
        <w:tabs>
          <w:tab w:val="right" w:pos="8844"/>
        </w:tabs>
        <w:rPr>
          <w:highlight w:val="none"/>
        </w:rPr>
      </w:pPr>
      <w:r>
        <w:rPr>
          <w:rFonts w:hint="eastAsia"/>
          <w:highlight w:val="none"/>
          <w:lang w:val="en-US" w:eastAsia="zh-CN"/>
        </w:rPr>
        <w:t>采购需求</w:t>
      </w:r>
    </w:p>
    <w:p>
      <w:pPr>
        <w:pStyle w:val="20"/>
        <w:numPr>
          <w:ilvl w:val="0"/>
          <w:numId w:val="2"/>
        </w:numPr>
        <w:tabs>
          <w:tab w:val="right" w:pos="8844"/>
        </w:tabs>
        <w:rPr>
          <w:highlight w:val="none"/>
        </w:rPr>
      </w:pPr>
      <w:r>
        <w:rPr>
          <w:rFonts w:hint="eastAsia"/>
          <w:highlight w:val="none"/>
        </w:rPr>
        <w:t>合同草案</w:t>
      </w:r>
    </w:p>
    <w:p>
      <w:pPr>
        <w:pStyle w:val="20"/>
        <w:numPr>
          <w:ilvl w:val="0"/>
          <w:numId w:val="2"/>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5"/>
        <w:rPr>
          <w:highlight w:val="none"/>
        </w:rPr>
      </w:pPr>
      <w:bookmarkStart w:id="0" w:name="_Toc18145"/>
      <w:bookmarkStart w:id="1" w:name="_Toc26148"/>
    </w:p>
    <w:p>
      <w:pPr>
        <w:rPr>
          <w:highlight w:val="none"/>
        </w:rPr>
      </w:pPr>
    </w:p>
    <w:p>
      <w:pPr>
        <w:pStyle w:val="5"/>
        <w:rPr>
          <w:highlight w:val="none"/>
        </w:rPr>
      </w:pPr>
      <w:bookmarkStart w:id="2" w:name="_Toc17696"/>
      <w:bookmarkStart w:id="3" w:name="_Toc1711"/>
    </w:p>
    <w:p>
      <w:pPr>
        <w:rPr>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highlight w:val="none"/>
        </w:rPr>
      </w:pPr>
      <w:bookmarkStart w:id="4" w:name="_Toc11322"/>
      <w:bookmarkStart w:id="5" w:name="_Toc7519"/>
      <w:bookmarkStart w:id="6" w:name="_Toc17801"/>
      <w:bookmarkStart w:id="7" w:name="_Toc4275"/>
      <w:bookmarkStart w:id="8" w:name="_Toc1669"/>
      <w:bookmarkStart w:id="9" w:name="_Toc19609"/>
      <w:bookmarkStart w:id="10" w:name="_Toc31938"/>
    </w:p>
    <w:p>
      <w:pPr>
        <w:pStyle w:val="5"/>
        <w:rPr>
          <w:highlight w:val="none"/>
        </w:rPr>
      </w:pPr>
    </w:p>
    <w:p>
      <w:pPr>
        <w:pStyle w:val="5"/>
        <w:rPr>
          <w:highlight w:val="none"/>
        </w:rPr>
      </w:pPr>
    </w:p>
    <w:p>
      <w:pPr>
        <w:pStyle w:val="5"/>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73660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5.95pt;margin-top:5.8pt;height:0pt;width:75.5pt;z-index:251666432;mso-width-relative:page;mso-height-relative:page;" filled="f" stroked="t" coordsize="21600,21600" o:gfxdata="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6GWO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2360930</wp:posOffset>
                </wp:positionH>
                <wp:positionV relativeFrom="paragraph">
                  <wp:posOffset>534670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9pt;margin-top:42.1pt;height:0pt;width:75.5pt;z-index:251667456;mso-width-relative:page;mso-height-relative:page;" filled="f" stroked="t" coordsize="21600,21600" o:gfxdata="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svi6tYAAAAJAQAADwAAAAAAAAABACAAAAAi&#10;AAAAZHJzL2Rvd25yZXYueG1sUEsBAhQAFAAAAAgAh07iQHeIGpjTAQAAswMAAA4AAAAAAAAAAQAg&#10;AAAAJQEAAGRycy9lMm9Eb2MueG1sUEsFBgAAAAAGAAYAWQEAAGo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42"/>
        <w:rPr>
          <w:highlight w:val="none"/>
        </w:rPr>
      </w:pPr>
    </w:p>
    <w:p>
      <w:pPr>
        <w:pStyle w:val="5"/>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rPr>
          <w:highlight w:val="none"/>
        </w:rPr>
      </w:pPr>
      <w:bookmarkStart w:id="11" w:name="_Toc9680"/>
      <w:bookmarkStart w:id="12" w:name="_Toc21373"/>
      <w:r>
        <w:rPr>
          <w:rFonts w:hint="eastAsia"/>
          <w:highlight w:val="none"/>
        </w:rPr>
        <w:t>采购公告（采购邀请书）</w:t>
      </w:r>
    </w:p>
    <w:bookmarkEnd w:id="11"/>
    <w:bookmarkEnd w:id="12"/>
    <w:p>
      <w:pPr>
        <w:spacing w:line="360" w:lineRule="auto"/>
        <w:ind w:firstLine="560" w:firstLineChars="200"/>
        <w:rPr>
          <w:rFonts w:hint="eastAsia" w:ascii="仿宋" w:hAnsi="仿宋" w:eastAsia="仿宋" w:cs="仿宋"/>
          <w:b/>
          <w:sz w:val="36"/>
          <w:szCs w:val="36"/>
          <w:highlight w:val="none"/>
          <w:u w:val="single"/>
        </w:rPr>
      </w:pP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val="en-US" w:eastAsia="zh-CN"/>
        </w:rPr>
        <w:t>环城北净水厂防洪评价技术咨询项目</w:t>
      </w:r>
      <w:r>
        <w:rPr>
          <w:rFonts w:hint="eastAsia" w:ascii="仿宋" w:hAnsi="仿宋" w:eastAsia="仿宋" w:cs="仿宋"/>
          <w:sz w:val="28"/>
          <w:szCs w:val="28"/>
          <w:highlight w:val="none"/>
        </w:rPr>
        <w:t xml:space="preserve">已具备采购条件，现邀请合格单位参加本□施工  □货物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服务项目采购活动，采□</w:t>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single"/>
        </w:rPr>
        <w:t>公开询比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spacing w:line="360" w:lineRule="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val="en-US" w:eastAsia="zh-CN"/>
        </w:rPr>
        <w:t>环城北净水厂防洪评价技术咨询项目</w:t>
      </w:r>
    </w:p>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lang w:val="en-US" w:eastAsia="zh-CN"/>
        </w:rPr>
        <w:t xml:space="preserve"> XJ-20240202-1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1.3资金来源：</w:t>
      </w:r>
      <w:r>
        <w:rPr>
          <w:rFonts w:hint="eastAsia" w:ascii="仿宋" w:hAnsi="仿宋" w:eastAsia="仿宋" w:cs="仿宋"/>
          <w:sz w:val="28"/>
          <w:szCs w:val="28"/>
          <w:highlight w:val="none"/>
          <w:u w:val="single"/>
        </w:rPr>
        <w:t xml:space="preserve">自有资金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1.4最高限价（元）：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550427.4</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br w:type="textWrapping"/>
      </w:r>
      <w:r>
        <w:rPr>
          <w:rFonts w:hint="eastAsia" w:ascii="仿宋" w:hAnsi="仿宋" w:eastAsia="仿宋" w:cs="仿宋"/>
          <w:sz w:val="28"/>
          <w:szCs w:val="28"/>
          <w:highlight w:val="none"/>
        </w:rPr>
        <w:t>1.5标段划分：</w:t>
      </w:r>
      <w:r>
        <w:rPr>
          <w:rFonts w:hint="eastAsia" w:ascii="仿宋" w:hAnsi="仿宋" w:eastAsia="仿宋" w:cs="仿宋"/>
          <w:sz w:val="28"/>
          <w:szCs w:val="28"/>
          <w:highlight w:val="none"/>
          <w:u w:val="single"/>
        </w:rPr>
        <w:t xml:space="preserve"> ----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2.1采购内容和范围：</w:t>
      </w:r>
      <w:r>
        <w:rPr>
          <w:rFonts w:hint="eastAsia" w:ascii="仿宋" w:hAnsi="仿宋" w:eastAsia="仿宋" w:cs="仿宋"/>
          <w:sz w:val="28"/>
          <w:szCs w:val="28"/>
          <w:highlight w:val="none"/>
          <w:u w:val="single"/>
        </w:rPr>
        <w:t xml:space="preserve"> 环城北净水厂涉石井河排水口（共三处，一处尾水排水口，两处雨水排</w:t>
      </w:r>
      <w:r>
        <w:rPr>
          <w:rFonts w:hint="eastAsia" w:ascii="仿宋" w:hAnsi="仿宋" w:eastAsia="仿宋" w:cs="仿宋"/>
          <w:sz w:val="28"/>
          <w:szCs w:val="28"/>
          <w:highlight w:val="none"/>
          <w:u w:val="single"/>
          <w:lang w:val="en-US" w:eastAsia="zh-CN"/>
        </w:rPr>
        <w:t>水</w:t>
      </w:r>
      <w:r>
        <w:rPr>
          <w:rFonts w:hint="eastAsia" w:ascii="仿宋" w:hAnsi="仿宋" w:eastAsia="仿宋" w:cs="仿宋"/>
          <w:sz w:val="28"/>
          <w:szCs w:val="28"/>
          <w:highlight w:val="none"/>
          <w:u w:val="single"/>
        </w:rPr>
        <w:t>口）、涉卫生河钢便桥工程、涉松北一涌</w:t>
      </w:r>
      <w:r>
        <w:rPr>
          <w:rFonts w:hint="eastAsia" w:ascii="仿宋" w:hAnsi="仿宋" w:eastAsia="仿宋" w:cs="仿宋"/>
          <w:sz w:val="28"/>
          <w:szCs w:val="28"/>
          <w:highlight w:val="none"/>
          <w:u w:val="single"/>
          <w:lang w:val="en-US" w:eastAsia="zh-CN"/>
        </w:rPr>
        <w:t>基坑围护临时结构工程</w:t>
      </w:r>
      <w:r>
        <w:rPr>
          <w:rFonts w:hint="eastAsia" w:ascii="仿宋" w:hAnsi="仿宋" w:eastAsia="仿宋" w:cs="仿宋"/>
          <w:sz w:val="28"/>
          <w:szCs w:val="28"/>
          <w:highlight w:val="none"/>
          <w:u w:val="single"/>
        </w:rPr>
        <w:t>的河道管理范围内建设项目</w:t>
      </w:r>
      <w:r>
        <w:rPr>
          <w:rFonts w:hint="eastAsia" w:ascii="仿宋" w:hAnsi="仿宋" w:eastAsia="仿宋" w:cs="仿宋"/>
          <w:sz w:val="28"/>
          <w:szCs w:val="28"/>
          <w:highlight w:val="none"/>
          <w:u w:val="single"/>
          <w:lang w:val="en-US" w:eastAsia="zh-CN"/>
        </w:rPr>
        <w:t xml:space="preserve">防洪评价服务。    </w:t>
      </w:r>
      <w:r>
        <w:rPr>
          <w:rFonts w:hint="eastAsia" w:ascii="仿宋" w:hAnsi="仿宋" w:eastAsia="仿宋" w:cs="仿宋"/>
          <w:sz w:val="28"/>
          <w:szCs w:val="28"/>
          <w:highlight w:val="none"/>
          <w:u w:val="single"/>
        </w:rPr>
        <w:t xml:space="preserve">             </w:t>
      </w:r>
    </w:p>
    <w:p>
      <w:pPr>
        <w:adjustRightInd w:val="0"/>
        <w:snapToGrid w:val="0"/>
        <w:spacing w:line="600" w:lineRule="exact"/>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 xml:space="preserve">2.2项目工期：□计划工期   □交货期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服务期</w:t>
      </w:r>
      <w:r>
        <w:rPr>
          <w:rFonts w:hint="eastAsia" w:ascii="仿宋" w:hAnsi="仿宋" w:eastAsia="仿宋" w:cs="仿宋"/>
          <w:sz w:val="28"/>
          <w:szCs w:val="28"/>
          <w:highlight w:val="none"/>
          <w:u w:val="none"/>
        </w:rPr>
        <w:t>为</w:t>
      </w:r>
      <w:r>
        <w:rPr>
          <w:rFonts w:hint="eastAsia" w:ascii="仿宋" w:hAnsi="仿宋" w:eastAsia="仿宋" w:cs="仿宋"/>
          <w:sz w:val="28"/>
          <w:szCs w:val="28"/>
          <w:highlight w:val="none"/>
          <w:u w:val="single"/>
          <w:lang w:val="en-US" w:eastAsia="zh-CN"/>
        </w:rPr>
        <w:t xml:space="preserve">自合同签订之日起至合同约定履行完成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□交货地点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 xml:space="preserve"> 广州市         </w:t>
      </w:r>
    </w:p>
    <w:p>
      <w:pPr>
        <w:adjustRightInd w:val="0"/>
        <w:snapToGrid w:val="0"/>
        <w:spacing w:line="600" w:lineRule="exact"/>
        <w:ind w:left="420" w:right="-369" w:rightChars="-176" w:hanging="420" w:hangingChars="150"/>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lang w:val="en-US" w:eastAsia="zh-CN"/>
        </w:rPr>
        <w:t xml:space="preserve">取得有权审批的政府行政主管部门同意的批复文件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lang w:eastAsia="zh-CN"/>
        </w:rPr>
        <w:sym w:font="Wingdings 2" w:char="00A3"/>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无 </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（2）</w:t>
      </w:r>
      <w:r>
        <w:rPr>
          <w:rFonts w:hint="eastAsia" w:ascii="仿宋" w:hAnsi="仿宋" w:eastAsia="仿宋" w:cs="仿宋"/>
          <w:sz w:val="28"/>
          <w:szCs w:val="28"/>
          <w:highlight w:val="none"/>
          <w:u w:val="none"/>
          <w:lang w:val="en-US" w:eastAsia="zh-CN"/>
        </w:rPr>
        <w:t>报价单位拟派项目负责人须具备水利工程相关专业高级(或以上)技术职称，并提供自公告发布当月起在本单位近六个月社保记录，以加盖社会保险基金管理中心印章的《缴费历史明细表》或《社会保险参保人员证明》为准，加盖单位公章。</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（3）20</w:t>
      </w:r>
      <w:r>
        <w:rPr>
          <w:rFonts w:hint="eastAsia" w:ascii="仿宋" w:hAnsi="仿宋" w:eastAsia="仿宋" w:cs="仿宋"/>
          <w:sz w:val="28"/>
          <w:szCs w:val="28"/>
          <w:highlight w:val="none"/>
          <w:u w:val="none"/>
          <w:lang w:val="en-US" w:eastAsia="zh-CN"/>
        </w:rPr>
        <w:t>21</w:t>
      </w:r>
      <w:r>
        <w:rPr>
          <w:rFonts w:hint="eastAsia" w:ascii="仿宋" w:hAnsi="仿宋" w:eastAsia="仿宋" w:cs="仿宋"/>
          <w:sz w:val="28"/>
          <w:szCs w:val="28"/>
          <w:highlight w:val="none"/>
          <w:u w:val="none"/>
        </w:rPr>
        <w:t>年1月1日至今，</w:t>
      </w:r>
      <w:r>
        <w:rPr>
          <w:rFonts w:hint="eastAsia" w:ascii="仿宋" w:hAnsi="仿宋" w:eastAsia="仿宋" w:cs="仿宋"/>
          <w:sz w:val="28"/>
          <w:szCs w:val="28"/>
          <w:highlight w:val="none"/>
          <w:u w:val="none"/>
          <w:lang w:val="en-US" w:eastAsia="zh-CN"/>
        </w:rPr>
        <w:t>报价单位</w:t>
      </w:r>
      <w:r>
        <w:rPr>
          <w:rFonts w:hint="eastAsia" w:ascii="仿宋" w:hAnsi="仿宋" w:eastAsia="仿宋" w:cs="仿宋"/>
          <w:sz w:val="28"/>
          <w:szCs w:val="28"/>
          <w:highlight w:val="none"/>
          <w:u w:val="none"/>
        </w:rPr>
        <w:t>最少</w:t>
      </w:r>
      <w:r>
        <w:rPr>
          <w:rFonts w:hint="eastAsia" w:ascii="仿宋" w:hAnsi="仿宋" w:eastAsia="仿宋" w:cs="仿宋"/>
          <w:sz w:val="28"/>
          <w:szCs w:val="28"/>
          <w:highlight w:val="none"/>
          <w:u w:val="none"/>
          <w:lang w:val="en-US" w:eastAsia="zh-CN"/>
        </w:rPr>
        <w:t>完成</w:t>
      </w:r>
      <w:r>
        <w:rPr>
          <w:rFonts w:hint="eastAsia" w:ascii="仿宋" w:hAnsi="仿宋" w:eastAsia="仿宋" w:cs="仿宋"/>
          <w:sz w:val="28"/>
          <w:szCs w:val="28"/>
          <w:highlight w:val="none"/>
          <w:u w:val="none"/>
        </w:rPr>
        <w:t>一项</w:t>
      </w:r>
      <w:r>
        <w:rPr>
          <w:rFonts w:hint="eastAsia" w:ascii="仿宋" w:hAnsi="仿宋" w:eastAsia="仿宋" w:cs="仿宋"/>
          <w:sz w:val="28"/>
          <w:szCs w:val="28"/>
          <w:highlight w:val="none"/>
          <w:u w:val="none"/>
          <w:lang w:val="en-US" w:eastAsia="zh-CN"/>
        </w:rPr>
        <w:t>防洪评价报告编制业绩。</w:t>
      </w:r>
      <w:r>
        <w:rPr>
          <w:rFonts w:hint="eastAsia" w:ascii="仿宋" w:hAnsi="仿宋" w:eastAsia="仿宋" w:cs="仿宋"/>
          <w:sz w:val="28"/>
          <w:szCs w:val="28"/>
          <w:highlight w:val="none"/>
          <w:u w:val="none"/>
        </w:rPr>
        <w:t>（提供合同复印件证明，包括但不限于项目名称、金额及实施内容、合同盖章、签订日期</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相关行政主管部门审批通过意见</w:t>
      </w:r>
      <w:r>
        <w:rPr>
          <w:rFonts w:hint="eastAsia" w:ascii="仿宋" w:hAnsi="仿宋" w:eastAsia="仿宋" w:cs="仿宋"/>
          <w:sz w:val="28"/>
          <w:szCs w:val="28"/>
          <w:highlight w:val="none"/>
          <w:u w:val="none"/>
        </w:rPr>
        <w:t>，加盖单位公章</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3.2供应商在响应文件提交截止日期止不得存在下列情形之一（须出具</w:t>
      </w:r>
      <w:r>
        <w:rPr>
          <w:rFonts w:hint="eastAsia" w:ascii="仿宋" w:hAnsi="仿宋" w:eastAsia="仿宋" w:cs="仿宋"/>
          <w:sz w:val="28"/>
          <w:szCs w:val="28"/>
          <w:highlight w:val="none"/>
          <w:lang w:val="en-US" w:eastAsia="zh-CN"/>
        </w:rPr>
        <w:t>不得存在情形</w:t>
      </w:r>
      <w:r>
        <w:rPr>
          <w:rFonts w:hint="eastAsia" w:ascii="仿宋" w:hAnsi="仿宋" w:eastAsia="仿宋" w:cs="仿宋"/>
          <w:sz w:val="28"/>
          <w:szCs w:val="28"/>
          <w:highlight w:val="none"/>
        </w:rPr>
        <w:t>承诺函）：</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3.3本次项目</w:t>
      </w:r>
      <w:r>
        <w:rPr>
          <w:rFonts w:hint="eastAsia" w:ascii="仿宋" w:hAnsi="仿宋" w:eastAsia="仿宋" w:cs="仿宋"/>
          <w:sz w:val="28"/>
          <w:szCs w:val="28"/>
          <w:highlight w:val="none"/>
          <w:u w:val="single"/>
        </w:rPr>
        <w:t>不接受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ind w:firstLine="55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2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3</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 xml:space="preserve">2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7 </w:t>
      </w:r>
      <w:r>
        <w:rPr>
          <w:rFonts w:hint="eastAsia" w:ascii="仿宋" w:hAnsi="仿宋" w:eastAsia="仿宋" w:cs="仿宋"/>
          <w:sz w:val="28"/>
          <w:szCs w:val="28"/>
          <w:highlight w:val="none"/>
        </w:rPr>
        <w:t>日（北京时间）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月</w:t>
      </w:r>
      <w:r>
        <w:rPr>
          <w:rFonts w:hint="eastAsia" w:ascii="仿宋_GB2312" w:eastAsia="仿宋_GB2312"/>
          <w:sz w:val="28"/>
          <w:szCs w:val="28"/>
          <w:highlight w:val="none"/>
          <w:u w:val="single"/>
        </w:rPr>
        <w:t> </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 xml:space="preserve">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2</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2</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hint="eastAsia" w:ascii="仿宋" w:hAnsi="仿宋" w:eastAsia="仿宋" w:cs="仿宋"/>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62315524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56" w:beforeLines="50" w:after="156" w:afterLines="50"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800" w:firstLineChars="10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2</w:t>
            </w:r>
            <w:r>
              <w:rPr>
                <w:rFonts w:hint="eastAsia" w:ascii="仿宋" w:hAnsi="仿宋" w:eastAsia="仿宋" w:cs="仿宋"/>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sectPr>
          <w:footerReference r:id="rId6" w:type="default"/>
          <w:pgSz w:w="11906" w:h="16838"/>
          <w:pgMar w:top="1134" w:right="1134" w:bottom="1134" w:left="1701" w:header="851" w:footer="992" w:gutter="0"/>
          <w:pgNumType w:start="1"/>
          <w:cols w:space="720" w:num="1"/>
          <w:docGrid w:type="linesAndChars" w:linePitch="312" w:charSpace="0"/>
        </w:sect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5"/>
        <w:rPr>
          <w:highlight w:val="none"/>
        </w:rPr>
      </w:pPr>
      <w:bookmarkStart w:id="13" w:name="_Toc10891"/>
    </w:p>
    <w:p>
      <w:pPr>
        <w:pStyle w:val="5"/>
        <w:rPr>
          <w:highlight w:val="none"/>
        </w:rPr>
      </w:pPr>
      <w:bookmarkStart w:id="14" w:name="_Toc16557"/>
      <w:bookmarkStart w:id="15" w:name="_Toc2331"/>
      <w:bookmarkStart w:id="16" w:name="_Toc23749"/>
      <w:bookmarkStart w:id="17" w:name="_Toc25603"/>
      <w:bookmarkStart w:id="18" w:name="_Toc7340"/>
      <w:bookmarkStart w:id="19" w:name="_Toc32588"/>
      <w:bookmarkStart w:id="20" w:name="_Toc16705"/>
      <w:bookmarkStart w:id="21" w:name="_Toc2324"/>
      <w:bookmarkStart w:id="22" w:name="_Toc9448"/>
      <w:bookmarkStart w:id="23" w:name="_Toc19295"/>
    </w:p>
    <w:p>
      <w:pPr>
        <w:pStyle w:val="5"/>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2375535</wp:posOffset>
                </wp:positionH>
                <wp:positionV relativeFrom="paragraph">
                  <wp:posOffset>46990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7.05pt;margin-top:3.7pt;height:0pt;width:75.5pt;z-index:251668480;mso-width-relative:page;mso-height-relative:page;" filled="f" stroked="t" coordsize="21600,21600" o:gfxdata="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a/LJ1AAAAAcBAAAPAAAAAAAAAAEAIAAAACIA&#10;AABkcnMvZG93bnJldi54bWxQSwECFAAUAAAACACHTuJA6kTdMNQBAACzAwAADgAAAAAAAAABACAA&#10;AAAjAQAAZHJzL2Uyb0RvYy54bWxQSwUGAAAAAAYABgBZAQAAaQ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2374900</wp:posOffset>
                </wp:positionH>
                <wp:positionV relativeFrom="paragraph">
                  <wp:posOffset>521335</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7pt;margin-top:41.05pt;height:0pt;width:75.5pt;z-index:251669504;mso-width-relative:page;mso-height-relative:page;" filled="f" stroked="t" coordsize="21600,21600" o:gfxdata="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e2UxHXAAAACQ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6"/>
        <w:rPr>
          <w:highlight w:val="none"/>
        </w:rPr>
      </w:pPr>
    </w:p>
    <w:p>
      <w:pPr>
        <w:pStyle w:val="6"/>
        <w:rPr>
          <w:highlight w:val="none"/>
        </w:rPr>
      </w:pPr>
      <w:bookmarkStart w:id="24" w:name="_Toc2339"/>
      <w:bookmarkStart w:id="25" w:name="_Toc3416"/>
      <w:r>
        <w:rPr>
          <w:rFonts w:hint="eastAsia"/>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ind w:firstLine="0"/>
        <w:rPr>
          <w:highlight w:val="none"/>
        </w:rPr>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840" w:firstLineChars="300"/>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560" w:lineRule="exact"/>
        <w:ind w:firstLine="840" w:firstLineChars="300"/>
        <w:jc w:val="left"/>
        <w:rPr>
          <w:rFonts w:ascii="仿宋_GB2312" w:eastAsia="仿宋_GB2312"/>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42"/>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42"/>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42"/>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宋体" w:hAnsi="宋体" w:eastAsia="宋体" w:cs="宋体"/>
          <w:b/>
          <w:bCs/>
          <w:sz w:val="44"/>
          <w:szCs w:val="44"/>
          <w:highlight w:val="none"/>
        </w:rPr>
        <w:t>成交通知书</w:t>
      </w:r>
    </w:p>
    <w:p>
      <w:pPr>
        <w:pStyle w:val="42"/>
        <w:rPr>
          <w:highlight w:val="none"/>
        </w:rPr>
      </w:pPr>
    </w:p>
    <w:p>
      <w:pPr>
        <w:pStyle w:val="42"/>
        <w:ind w:firstLine="1400" w:firstLineChars="500"/>
        <w:rPr>
          <w:rFonts w:ascii="仿宋_GB2312" w:eastAsia="仿宋_GB2312"/>
          <w:highlight w:val="none"/>
        </w:rPr>
      </w:pPr>
      <w:r>
        <w:rPr>
          <w:rFonts w:hint="eastAsia" w:ascii="仿宋_GB2312" w:eastAsia="仿宋_GB2312" w:hAnsiTheme="majorEastAsia" w:cstheme="minorBidi"/>
          <w:kern w:val="2"/>
          <w:sz w:val="28"/>
          <w:szCs w:val="28"/>
          <w:highlight w:val="none"/>
          <w:lang w:val="en-US" w:eastAsia="zh-CN" w:bidi="ar-SA"/>
        </w:rPr>
        <w:t>（编号：广净（非公招询）字 [ ] 第 [ ] 号）</w:t>
      </w:r>
    </w:p>
    <w:p>
      <w:pPr>
        <w:adjustRightInd w:val="0"/>
        <w:snapToGrid w:val="0"/>
        <w:spacing w:line="600" w:lineRule="exact"/>
        <w:jc w:val="left"/>
        <w:rPr>
          <w:rFonts w:hint="eastAsia" w:ascii="仿宋_GB2312" w:eastAsia="仿宋_GB2312" w:hAnsiTheme="majorEastAsia"/>
          <w:sz w:val="28"/>
          <w:szCs w:val="28"/>
          <w:highlight w:val="none"/>
          <w:u w:val="single"/>
          <w:lang w:val="en-US" w:eastAsia="zh-CN"/>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lang w:val="en-US" w:eastAsia="zh-CN"/>
        </w:rPr>
        <w:t xml:space="preserve">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广州市净水有限公司环城北净水厂防洪评价技术咨询项目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lang w:val="en-US" w:eastAsia="zh-CN"/>
        </w:rPr>
        <w:t xml:space="preserve"> 元</w:t>
      </w:r>
      <w:r>
        <w:rPr>
          <w:rFonts w:hint="eastAsia" w:ascii="仿宋_GB2312" w:eastAsia="仿宋_GB2312" w:hAnsiTheme="majorEastAsia"/>
          <w:sz w:val="28"/>
          <w:szCs w:val="28"/>
          <w:highlight w:val="none"/>
        </w:rPr>
        <w:t>。</w:t>
      </w:r>
    </w:p>
    <w:p>
      <w:pPr>
        <w:adjustRightInd w:val="0"/>
        <w:snapToGrid w:val="0"/>
        <w:spacing w:line="600" w:lineRule="exact"/>
        <w:ind w:firstLine="560" w:firstLineChars="2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jc w:val="left"/>
        <w:rPr>
          <w:rFonts w:hint="eastAsia"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年</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rPr>
        <w:br w:type="textWrapping"/>
      </w: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6"/>
        <w:rPr>
          <w:rFonts w:hint="eastAsia" w:asciiTheme="minorHAnsi" w:hAnsiTheme="minorHAnsi" w:cstheme="minorBidi"/>
          <w:kern w:val="44"/>
          <w:sz w:val="44"/>
          <w:szCs w:val="44"/>
          <w:highlight w:val="none"/>
          <w:lang w:val="en-US" w:eastAsia="zh-CN"/>
        </w:rPr>
      </w:pPr>
      <w:bookmarkStart w:id="26" w:name="_Toc2867"/>
      <w:bookmarkStart w:id="27" w:name="_Toc21455"/>
    </w:p>
    <w:p>
      <w:pPr>
        <w:pStyle w:val="6"/>
        <w:ind w:firstLine="2640" w:firstLineChars="600"/>
        <w:jc w:val="both"/>
        <w:rPr>
          <w:rFonts w:asciiTheme="minorHAnsi" w:hAnsiTheme="minorHAnsi" w:cstheme="minorBidi"/>
          <w:kern w:val="44"/>
          <w:sz w:val="44"/>
          <w:szCs w:val="44"/>
          <w:highlight w:val="none"/>
        </w:rPr>
      </w:pPr>
      <w:r>
        <w:rPr>
          <w:rFonts w:asciiTheme="minorHAnsi" w:hAnsiTheme="minorHAnsi" w:cstheme="minorBidi"/>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2442210</wp:posOffset>
                </wp:positionH>
                <wp:positionV relativeFrom="paragraph">
                  <wp:posOffset>38100</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92.3pt;margin-top:3pt;height:0pt;width:75.5pt;z-index:251659264;mso-width-relative:page;mso-height-relative:page;" filled="f" stroked="t" coordsize="21600,21600" o:gfxdata="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zKYLyPPEv+wSFWnzM/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WhqNYAAAAJAQAADwAAAAAAAAABACAAAAAi&#10;AAAAZHJzL2Rvd25yZXYueG1sUEsBAhQAFAAAAAgAh07iQCrW/JHTAQAAsgMAAA4AAAAAAAAAAQAg&#10;AAAAJQ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2435860</wp:posOffset>
                </wp:positionH>
                <wp:positionV relativeFrom="paragraph">
                  <wp:posOffset>530860</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91.8pt;margin-top:41.8pt;height:0pt;width:75.5pt;z-index:251660288;mso-width-relative:page;mso-height-relative:page;" filled="f" stroked="t" coordsize="21600,21600" o:gfxdata="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H6UIyvPEv+wTFGqxyP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diSLXAAAACwEAAA8AAAAAAAAAAQAgAAAA&#10;IgAAAGRycy9kb3ducmV2LnhtbFBLAQIUABQAAAAIAIdO4kDNOxlE0wEAALIDAAAOAAAAAAAAAAEA&#10;IAAAACYBAABkcnMvZTJvRG9jLnhtbFBLBQYAAAAABgAGAFkBAABr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lang w:val="en-US" w:eastAsia="zh-CN"/>
        </w:rPr>
        <w:t xml:space="preserve">      </w:t>
      </w:r>
      <w:r>
        <w:rPr>
          <w:rFonts w:hint="eastAsia" w:asciiTheme="minorHAnsi" w:hAnsiTheme="minorHAnsi" w:cstheme="minorBidi"/>
          <w:kern w:val="44"/>
          <w:sz w:val="44"/>
          <w:szCs w:val="44"/>
          <w:highlight w:val="none"/>
        </w:rPr>
        <w:t>第三章</w:t>
      </w:r>
      <w:bookmarkEnd w:id="26"/>
      <w:bookmarkEnd w:id="27"/>
    </w:p>
    <w:p>
      <w:pPr>
        <w:pStyle w:val="42"/>
        <w:rPr>
          <w:highlight w:val="none"/>
        </w:rPr>
      </w:pPr>
    </w:p>
    <w:p>
      <w:pPr>
        <w:pStyle w:val="6"/>
        <w:rPr>
          <w:highlight w:val="none"/>
        </w:rPr>
      </w:pPr>
      <w:bookmarkStart w:id="28" w:name="_Toc87616371"/>
      <w:bookmarkStart w:id="29" w:name="_Toc7303"/>
      <w:bookmarkStart w:id="30" w:name="_Toc88209934"/>
      <w:bookmarkStart w:id="31" w:name="_Toc7040"/>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highlight w:val="none"/>
        </w:rPr>
      </w:pPr>
      <w:bookmarkStart w:id="32" w:name="_Toc24895"/>
      <w:bookmarkStart w:id="33" w:name="_Toc3789"/>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lang w:eastAsia="zh-CN"/>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ind w:firstLine="3960" w:firstLineChars="900"/>
        <w:jc w:val="both"/>
        <w:rPr>
          <w:highlight w:val="none"/>
        </w:rPr>
      </w:pPr>
      <w:bookmarkStart w:id="34" w:name="_Toc20594"/>
      <w:bookmarkStart w:id="35" w:name="_Toc10930"/>
      <w:bookmarkStart w:id="36" w:name="_Toc14552"/>
      <w:bookmarkStart w:id="37" w:name="_Toc19050"/>
      <w:bookmarkStart w:id="38" w:name="_Toc3156"/>
      <w:bookmarkStart w:id="39" w:name="_Toc7437"/>
      <w:bookmarkStart w:id="40" w:name="_Toc14870"/>
      <w:bookmarkStart w:id="41" w:name="_Toc7118"/>
      <w:bookmarkStart w:id="42" w:name="_Toc19759"/>
      <w:bookmarkStart w:id="43" w:name="_Toc23581"/>
      <w:bookmarkStart w:id="44" w:name="_Toc4952"/>
      <w:r>
        <w:rPr>
          <w:highlight w:val="none"/>
        </w:rPr>
        <mc:AlternateContent>
          <mc:Choice Requires="wps">
            <w:drawing>
              <wp:anchor distT="0" distB="0" distL="114300" distR="114300" simplePos="0" relativeHeight="251662336" behindDoc="0" locked="0" layoutInCell="1" allowOverlap="1">
                <wp:simplePos x="0" y="0"/>
                <wp:positionH relativeFrom="column">
                  <wp:posOffset>2435225</wp:posOffset>
                </wp:positionH>
                <wp:positionV relativeFrom="paragraph">
                  <wp:posOffset>713105</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91.75pt;margin-top:56.15pt;height:0pt;width:75.5pt;z-index:251662336;mso-width-relative:page;mso-height-relative:page;" filled="f" stroked="t" coordsize="21600,21600" o:gfxdata="UEsDBAoAAAAAAIdO4kAAAAAAAAAAAAAAAAAEAAAAZHJzL1BLAwQUAAAACACHTuJAl7m+D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WWM8pGkmYgmMizB1b2&#10;f4qsSvl/Q/UD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e5vg/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2420620</wp:posOffset>
                </wp:positionH>
                <wp:positionV relativeFrom="paragraph">
                  <wp:posOffset>277495</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90.6pt;margin-top:21.85pt;height:0pt;width:75.5pt;z-index:251661312;mso-width-relative:page;mso-height-relative:page;" filled="f" stroked="t" coordsize="21600,21600" o:gfxdata="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Ze6Od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42"/>
        <w:rPr>
          <w:highlight w:val="none"/>
        </w:rPr>
      </w:pPr>
    </w:p>
    <w:p>
      <w:pPr>
        <w:pStyle w:val="5"/>
        <w:rPr>
          <w:highlight w:val="none"/>
        </w:rPr>
      </w:pPr>
      <w:bookmarkStart w:id="45" w:name="_Toc21840"/>
      <w:bookmarkStart w:id="46" w:name="_Toc32607"/>
      <w:bookmarkStart w:id="47" w:name="_Toc30530"/>
      <w:bookmarkStart w:id="48" w:name="_Toc29345"/>
      <w:bookmarkStart w:id="49" w:name="_Toc22212"/>
      <w:bookmarkStart w:id="50" w:name="_Toc12177"/>
      <w:bookmarkStart w:id="51" w:name="_Toc21079"/>
      <w:bookmarkStart w:id="52" w:name="_Toc29484"/>
      <w:bookmarkStart w:id="53" w:name="_Toc87616378"/>
      <w:bookmarkStart w:id="54" w:name="_Toc6308"/>
      <w:bookmarkStart w:id="55" w:name="_Toc7831"/>
      <w:bookmarkStart w:id="56" w:name="_Toc88209941"/>
      <w:bookmarkStart w:id="57" w:name="_Toc13898"/>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highlight w:val="none"/>
        </w:rPr>
      </w:pPr>
      <w:bookmarkStart w:id="58" w:name="_Toc23033"/>
      <w:bookmarkStart w:id="59" w:name="_Toc26826"/>
      <w:r>
        <w:rPr>
          <w:rFonts w:hint="eastAsia" w:ascii="仿宋" w:hAnsi="仿宋" w:eastAsia="仿宋" w:cs="仿宋"/>
          <w:sz w:val="28"/>
          <w:szCs w:val="28"/>
          <w:highlight w:val="none"/>
          <w:lang w:eastAsia="zh-CN"/>
        </w:rPr>
        <w:t>☑</w:t>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2"/>
        <w:ind w:left="0" w:leftChars="0" w:firstLine="0" w:firstLineChars="0"/>
        <w:rPr>
          <w:rFonts w:ascii="仿宋_GB2312" w:eastAsia="仿宋_GB2312" w:hAnsiTheme="minorEastAsia"/>
          <w:color w:val="auto"/>
          <w:szCs w:val="21"/>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sectPr>
          <w:pgSz w:w="11906" w:h="16838"/>
          <w:pgMar w:top="1134" w:right="1134" w:bottom="1134" w:left="1701" w:header="851" w:footer="992" w:gutter="0"/>
          <w:cols w:space="720" w:num="1"/>
          <w:docGrid w:type="linesAndChars" w:linePitch="312" w:charSpace="0"/>
        </w:sect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rPr>
          <w:highlight w:val="none"/>
        </w:rPr>
      </w:pPr>
      <w:bookmarkStart w:id="60" w:name="_Toc88209947"/>
      <w:r>
        <w:rPr>
          <w:highlight w:val="none"/>
        </w:rPr>
        <mc:AlternateContent>
          <mc:Choice Requires="wps">
            <w:drawing>
              <wp:anchor distT="0" distB="0" distL="114300" distR="114300" simplePos="0" relativeHeight="251670528" behindDoc="0" locked="0" layoutInCell="1" allowOverlap="1">
                <wp:simplePos x="0" y="0"/>
                <wp:positionH relativeFrom="column">
                  <wp:posOffset>2355215</wp:posOffset>
                </wp:positionH>
                <wp:positionV relativeFrom="paragraph">
                  <wp:posOffset>257175</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5.45pt;margin-top:20.25pt;height:0pt;width:75.5pt;z-index:251670528;mso-width-relative:page;mso-height-relative:page;" filled="f" stroked="t" coordsize="21600,21600" o:gfxdata="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&#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2OTi1gAAAAkBAAAPAAAAAAAAAAEAIAAAACIAAABk&#10;cnMvZG93bnJldi54bWxQSwECFAAUAAAACACHTuJAKIQnX88BAACyAwAADgAAAAAAAAABACAAAAAl&#10;AQAAZHJzL2Uyb0RvYy54bWxQSwUGAAAAAAYABgBZAQAAZ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D7S8mT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第五章</w:t>
      </w:r>
    </w:p>
    <w:bookmarkEnd w:id="60"/>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p>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采购需求</w:t>
      </w:r>
    </w:p>
    <w:p>
      <w:pPr>
        <w:pStyle w:val="2"/>
        <w:ind w:firstLine="3840" w:firstLineChars="1200"/>
        <w:rPr>
          <w:rFonts w:eastAsia="宋体"/>
          <w:b/>
          <w:color w:val="auto"/>
          <w:sz w:val="32"/>
          <w:szCs w:val="32"/>
          <w:highlight w:val="none"/>
        </w:rPr>
      </w:pPr>
    </w:p>
    <w:p>
      <w:pPr>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一、咨询范围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bookmarkStart w:id="61" w:name="_Toc469057117"/>
      <w:bookmarkStart w:id="62" w:name="_Toc74111150"/>
      <w:r>
        <w:rPr>
          <w:rFonts w:hint="eastAsia" w:ascii="仿宋" w:hAnsi="仿宋" w:eastAsia="仿宋" w:cs="仿宋"/>
          <w:sz w:val="32"/>
          <w:szCs w:val="32"/>
        </w:rPr>
        <w:t>防洪评价报告要对环城北净水厂涉石井河排水口（共三处，一处尾水排水口，两处雨水排</w:t>
      </w:r>
      <w:r>
        <w:rPr>
          <w:rFonts w:hint="eastAsia" w:ascii="仿宋" w:hAnsi="仿宋" w:eastAsia="仿宋" w:cs="仿宋"/>
          <w:sz w:val="32"/>
          <w:szCs w:val="32"/>
          <w:lang w:val="en-US" w:eastAsia="zh-CN"/>
        </w:rPr>
        <w:t>水</w:t>
      </w:r>
      <w:r>
        <w:rPr>
          <w:rFonts w:hint="eastAsia" w:ascii="仿宋" w:hAnsi="仿宋" w:eastAsia="仿宋" w:cs="仿宋"/>
          <w:sz w:val="32"/>
          <w:szCs w:val="32"/>
        </w:rPr>
        <w:t>口）、涉卫生河钢便桥工程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涉松北一涌基坑围护临时结构工程</w:t>
      </w:r>
      <w:r>
        <w:rPr>
          <w:rFonts w:hint="eastAsia" w:ascii="仿宋" w:hAnsi="仿宋" w:eastAsia="仿宋" w:cs="仿宋"/>
          <w:sz w:val="32"/>
          <w:szCs w:val="32"/>
        </w:rPr>
        <w:t>的河道管理范围内建设项目作出防洪评价，并提出减小不利影响的防治和补救措施建议，供项目决策和为下阶段工作提供依据。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二、咨询内容</w:t>
      </w:r>
      <w:bookmarkEnd w:id="61"/>
      <w:r>
        <w:rPr>
          <w:rFonts w:hint="eastAsia" w:ascii="仿宋" w:hAnsi="仿宋" w:eastAsia="仿宋" w:cs="仿宋"/>
          <w:b/>
          <w:bCs/>
          <w:sz w:val="32"/>
          <w:szCs w:val="32"/>
          <w:lang w:val="en-US" w:eastAsia="zh-CN"/>
        </w:rPr>
        <w:t>及要求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根据《河道管理范围内建设项目防洪评价报告编制导则》（SL∕T 808-2021）和有关防洪评价标准，本项目主要工作内容包括但不限于如下：</w:t>
      </w:r>
    </w:p>
    <w:bookmarkEnd w:id="62"/>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（1）收集工程处的水文气象、地形地貌等基本资料；收集排水口及钢便桥所涉河道两侧堤防工程、各水闸和泵站等水利工程及设施资料。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（2）工程处河涌水文分析，包括运行期设计洪水、施工期防洪标准对应设计洪峰流量和相应设计水位。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（3）河床演变分析内容：进行河道深泓线变化分析、典型断面河床对比分析、分析工程河段前航道的河床的冲淤特性，对河床演变趋势进行预估分析。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（4）排水口工程、桥梁工程对河道壅水和行洪能力的分析计算：包括阻水比、壅水高度、壅水范围和工程建设前后河道行洪能力的变化。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桥梁工程对河道水动力计算:通过二维水流数学模型，进行钢便桥工程前、工程后、工程施工期的行洪水位、流量，据其洪水位的变化值评价拟建工程运行期、施工期对上游防洪、排涝的影响，分析对比工程前、工程后、工程施工期的水流流速特性，进行工程运行期和施工期的河势影响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排水口工程、桥梁工程处河道冲刷淤积计算与河势影响分析：采用综合单位线法、推理公式法及经验公式法进行项目区所在河段的河道一般冲刷值和局部冲刷值计算，研究工程附近水动力条件的改变，对附近河道河势稳定造成的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（7）拟建基坑围护临时结构工程、排水口工程对堤防渗透稳定、抗滑稳定分析计算。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防洪影响综合评价：对拟建工程与现有水利规划的关系与影响分析、与现有防洪标准、有关技术要求和管理要求的适应性分析、对河道泄洪的影响分析、对河势稳定的影响分析、工程对堤防及其他水利工程设施影响分析、对防汛抢险的影响分析、工程防御洪水的设防标准与措施分析、对第三人合法水事权益的影响分析进行防洪综合评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（9）结论与建议：根据防洪影响综合评价得出拟建工程可行的结论，并从水利防洪角度提出建议和补救措施。</w:t>
      </w: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sz w:val="28"/>
          <w:szCs w:val="28"/>
          <w:highlight w:val="none"/>
        </w:rPr>
        <w:sectPr>
          <w:pgSz w:w="11906" w:h="16838"/>
          <w:pgMar w:top="1134" w:right="1134" w:bottom="1134" w:left="1701" w:header="851" w:footer="992" w:gutter="0"/>
          <w:cols w:space="720" w:num="1"/>
          <w:docGrid w:type="linesAndChars" w:linePitch="312" w:charSpace="0"/>
        </w:sectPr>
      </w:pPr>
    </w:p>
    <w:p>
      <w:pPr>
        <w:pStyle w:val="5"/>
        <w:rPr>
          <w:rFonts w:hint="eastAsia"/>
          <w:highlight w:val="none"/>
        </w:rPr>
      </w:pPr>
      <w:bookmarkStart w:id="63" w:name="_Toc87616386"/>
      <w:bookmarkStart w:id="64" w:name="_Toc12721"/>
      <w:bookmarkStart w:id="65" w:name="_Toc1375"/>
      <w:bookmarkStart w:id="66" w:name="_Toc22501"/>
      <w:bookmarkStart w:id="67" w:name="_Toc8183"/>
      <w:bookmarkStart w:id="68" w:name="_Toc13309"/>
      <w:bookmarkStart w:id="69" w:name="_Toc12980"/>
      <w:bookmarkStart w:id="70" w:name="_Toc88209949"/>
      <w:bookmarkStart w:id="71" w:name="_Toc19088"/>
      <w:bookmarkStart w:id="72" w:name="_Toc22797"/>
      <w:bookmarkStart w:id="73" w:name="_Toc19686"/>
      <w:bookmarkStart w:id="74" w:name="_Toc323"/>
      <w:bookmarkStart w:id="75" w:name="_Toc12968"/>
      <w:r>
        <w:rPr>
          <w:highlight w:val="none"/>
        </w:rP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1242695</wp:posOffset>
                </wp:positionV>
                <wp:extent cx="958850" cy="0"/>
                <wp:effectExtent l="13335" t="13970" r="8890" b="5080"/>
                <wp:wrapNone/>
                <wp:docPr id="1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5.5pt;margin-top:97.85pt;height:0pt;width:75.5pt;z-index:251672576;mso-width-relative:page;mso-height-relative:page;" filled="f" stroked="t" coordsize="21600,21600" o:gfxdata="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3DL7XAAAACwEAAA8AAAAAAAAAAQAgAAAAIgAA&#10;AGRycy9kb3ducmV2LnhtbFBLAQIUABQAAAAIAIdO4kB8DWk10AEAALMDAAAOAAAAAAAAAAEAIAAA&#10;ACYBAABkcnMvZTJvRG9jLnhtbFBLBQYAAAAABgAGAFkBAABoBQAAAAA=&#10;">
                <v:fill on="f" focussize="0,0"/>
                <v:stroke color="#000000" joinstyle="round"/>
                <v:imagedata o:title=""/>
                <o:lock v:ext="edit" aspectratio="f"/>
              </v:shape>
            </w:pict>
          </mc:Fallback>
        </mc:AlternateContent>
      </w:r>
    </w:p>
    <w:p>
      <w:pPr>
        <w:pStyle w:val="5"/>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2395220</wp:posOffset>
                </wp:positionH>
                <wp:positionV relativeFrom="paragraph">
                  <wp:posOffset>412750</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8.6pt;margin-top:32.5pt;height:0pt;width:75.5pt;z-index:251673600;mso-width-relative:page;mso-height-relative:page;" filled="f" stroked="t" coordsize="21600,21600" o:gfxdata="UEsDBAoAAAAAAIdO4kAAAAAAAAAAAAAAAAAEAAAAZHJzL1BLAwQUAAAACACHTuJAX/hSZ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XtMGdWwVhkIBtJkxcHx&#10;N5BlIf9/UH4DUEsDBBQAAAAIAIdO4kCdd9Kv0wEAALIDAAAOAAAAZHJzL2Uyb0RvYy54bWytU01v&#10;2zAMvQ/YfxB0X5wEy5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UgTleeBf9gkKs5h/zP6MkWpO&#10;24RHzAr1MTzFB9C/SATYDCr0pmQ/nyIXz3JF9VdJPlBklt34DVrOUUxQ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4UmfXAAAACQEAAA8AAAAAAAAAAQAgAAAA&#10;IgAAAGRycy9kb3ducmV2LnhtbFBLAQIUABQAAAAIAIdO4kCdd9Kv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第六章</w:t>
      </w:r>
    </w:p>
    <w:p>
      <w:pPr>
        <w:pStyle w:val="5"/>
        <w:rPr>
          <w:highlight w:val="none"/>
        </w:rPr>
      </w:pPr>
      <w:r>
        <w:rPr>
          <w:rFonts w:hint="eastAsia"/>
          <w:highlight w:val="none"/>
          <w:lang w:val="en-US" w:eastAsia="zh-CN"/>
        </w:rPr>
        <w:t xml:space="preserve">  </w:t>
      </w:r>
      <w:r>
        <w:rPr>
          <w:rFonts w:hint="eastAsia"/>
          <w:highlight w:val="none"/>
        </w:rPr>
        <w:t>合同</w:t>
      </w:r>
      <w:bookmarkEnd w:id="63"/>
      <w:bookmarkEnd w:id="64"/>
      <w:bookmarkEnd w:id="65"/>
      <w:bookmarkEnd w:id="66"/>
      <w:bookmarkEnd w:id="67"/>
      <w:bookmarkEnd w:id="68"/>
      <w:bookmarkEnd w:id="69"/>
      <w:bookmarkEnd w:id="70"/>
      <w:bookmarkEnd w:id="71"/>
      <w:bookmarkEnd w:id="72"/>
      <w:bookmarkEnd w:id="73"/>
      <w:bookmarkEnd w:id="74"/>
      <w:bookmarkEnd w:id="75"/>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eastAsia="方正小标宋简体"/>
          <w:sz w:val="28"/>
          <w:szCs w:val="28"/>
          <w:highlight w:val="none"/>
        </w:rPr>
      </w:pPr>
      <w:r>
        <w:rPr>
          <w:rFonts w:ascii="方正小标宋简体" w:eastAsia="方正小标宋简体"/>
          <w:sz w:val="28"/>
          <w:szCs w:val="28"/>
          <w:highlight w:val="none"/>
        </w:rPr>
        <w:br w:type="page"/>
      </w:r>
    </w:p>
    <w:p>
      <w:pPr>
        <w:pStyle w:val="6"/>
        <w:rPr>
          <w:rFonts w:hint="eastAsia"/>
        </w:rPr>
      </w:pPr>
      <w:bookmarkStart w:id="76" w:name="_Toc87616388"/>
      <w:bookmarkStart w:id="77" w:name="_Toc21675"/>
      <w:bookmarkStart w:id="78" w:name="_Toc12610"/>
      <w:bookmarkStart w:id="79" w:name="_Toc17119"/>
      <w:bookmarkStart w:id="80" w:name="_Toc30157"/>
      <w:bookmarkStart w:id="81" w:name="_Toc24490"/>
      <w:bookmarkStart w:id="82" w:name="_Toc88209951"/>
      <w:bookmarkStart w:id="83" w:name="_Toc31564"/>
      <w:bookmarkStart w:id="84" w:name="_Toc12769"/>
      <w:bookmarkStart w:id="85" w:name="_Toc24815"/>
      <w:bookmarkStart w:id="86" w:name="_Toc10840"/>
      <w:bookmarkStart w:id="87" w:name="_Toc22764"/>
      <w:bookmarkStart w:id="88" w:name="_Toc5342"/>
    </w:p>
    <w:p>
      <w:pPr>
        <w:jc w:val="center"/>
        <w:rPr>
          <w:rFonts w:hint="eastAsia" w:eastAsia="黑体"/>
          <w:b/>
          <w:bCs/>
          <w:color w:val="000000"/>
          <w:sz w:val="72"/>
        </w:rPr>
      </w:pPr>
      <w:r>
        <w:rPr>
          <w:rFonts w:hint="eastAsia" w:eastAsia="黑体"/>
          <w:b/>
          <w:bCs/>
          <w:color w:val="000000"/>
          <w:sz w:val="72"/>
        </w:rPr>
        <w:t>技术咨询合同</w:t>
      </w:r>
    </w:p>
    <w:p>
      <w:pPr>
        <w:spacing w:line="600" w:lineRule="auto"/>
        <w:jc w:val="center"/>
        <w:rPr>
          <w:rFonts w:hint="eastAsia" w:ascii="宋体" w:hAnsi="宋体"/>
          <w:sz w:val="30"/>
          <w:szCs w:val="30"/>
        </w:rPr>
      </w:pPr>
      <w:r>
        <w:rPr>
          <w:rFonts w:hint="eastAsia" w:ascii="宋体" w:hAnsi="宋体"/>
          <w:sz w:val="30"/>
          <w:szCs w:val="30"/>
        </w:rPr>
        <w:t>（防洪评价）</w:t>
      </w:r>
    </w:p>
    <w:p>
      <w:pPr>
        <w:snapToGrid w:val="0"/>
        <w:spacing w:line="300" w:lineRule="auto"/>
        <w:rPr>
          <w:rFonts w:hint="eastAsia"/>
          <w:b/>
          <w:sz w:val="28"/>
        </w:rPr>
      </w:pPr>
    </w:p>
    <w:p>
      <w:pPr>
        <w:spacing w:line="600" w:lineRule="auto"/>
        <w:ind w:left="4652" w:hanging="4652" w:hangingChars="1000"/>
        <w:rPr>
          <w:rFonts w:hint="default" w:ascii="宋体" w:hAnsi="宋体" w:eastAsia="宋体" w:cs="宋体"/>
          <w:sz w:val="30"/>
          <w:szCs w:val="30"/>
          <w:u w:val="single"/>
          <w:lang w:val="en-US" w:eastAsia="zh-CN"/>
        </w:rPr>
      </w:pPr>
      <w:r>
        <w:rPr>
          <w:rFonts w:hint="eastAsia" w:ascii="宋体" w:hAnsi="宋体" w:cs="宋体"/>
          <w:b/>
          <w:bCs/>
          <w:color w:val="000000"/>
          <w:spacing w:val="82"/>
          <w:sz w:val="30"/>
        </w:rPr>
        <w:t>工程名称</w:t>
      </w:r>
      <w:r>
        <w:rPr>
          <w:rFonts w:hint="eastAsia" w:ascii="宋体" w:hAnsi="宋体" w:cs="宋体"/>
          <w:b/>
          <w:bCs/>
          <w:color w:val="000000"/>
          <w:spacing w:val="82"/>
          <w:sz w:val="30"/>
          <w:highlight w:val="none"/>
        </w:rPr>
        <w:t>：</w:t>
      </w:r>
      <w:r>
        <w:rPr>
          <w:rFonts w:hint="eastAsia" w:ascii="宋体" w:hAnsi="宋体" w:eastAsia="宋体" w:cs="宋体"/>
          <w:sz w:val="30"/>
          <w:szCs w:val="30"/>
          <w:u w:val="single"/>
          <w:lang w:eastAsia="zh-CN"/>
        </w:rPr>
        <w:t>环城北净水厂</w:t>
      </w:r>
    </w:p>
    <w:p>
      <w:pPr>
        <w:spacing w:line="360" w:lineRule="auto"/>
        <w:ind w:left="0" w:leftChars="0" w:firstLine="0" w:firstLineChars="0"/>
        <w:rPr>
          <w:rFonts w:ascii="宋体" w:hAnsi="宋体" w:cs="宋体"/>
          <w:b/>
          <w:bCs/>
          <w:color w:val="000000"/>
          <w:spacing w:val="82"/>
          <w:sz w:val="30"/>
        </w:rPr>
      </w:pPr>
    </w:p>
    <w:p>
      <w:pPr>
        <w:spacing w:line="600" w:lineRule="auto"/>
        <w:ind w:left="2326" w:hanging="2326" w:hangingChars="500"/>
        <w:rPr>
          <w:rFonts w:hint="default" w:ascii="宋体" w:hAnsi="宋体" w:eastAsia="宋体" w:cs="宋体"/>
          <w:sz w:val="30"/>
          <w:szCs w:val="30"/>
          <w:u w:val="single"/>
          <w:lang w:val="en-US" w:eastAsia="zh-CN"/>
        </w:rPr>
      </w:pPr>
      <w:r>
        <w:rPr>
          <w:rFonts w:hint="eastAsia" w:ascii="宋体" w:hAnsi="宋体" w:cs="宋体"/>
          <w:b/>
          <w:bCs/>
          <w:color w:val="000000"/>
          <w:spacing w:val="82"/>
          <w:sz w:val="30"/>
        </w:rPr>
        <w:t>合同名称：</w:t>
      </w:r>
      <w:r>
        <w:rPr>
          <w:rFonts w:hint="eastAsia" w:ascii="宋体" w:hAnsi="宋体" w:eastAsia="宋体" w:cs="宋体"/>
          <w:sz w:val="30"/>
          <w:szCs w:val="30"/>
          <w:u w:val="single"/>
        </w:rPr>
        <w:t>环城北净水厂涉石井河排水口、涉卫生河钢便桥工程</w:t>
      </w:r>
      <w:r>
        <w:rPr>
          <w:rFonts w:hint="eastAsia" w:ascii="宋体" w:hAnsi="宋体" w:eastAsia="宋体" w:cs="宋体"/>
          <w:sz w:val="30"/>
          <w:szCs w:val="30"/>
          <w:u w:val="single"/>
          <w:lang w:eastAsia="zh-CN"/>
        </w:rPr>
        <w:t>、</w:t>
      </w:r>
      <w:r>
        <w:rPr>
          <w:rFonts w:hint="eastAsia" w:ascii="宋体" w:hAnsi="宋体" w:eastAsia="宋体" w:cs="宋体"/>
          <w:sz w:val="30"/>
          <w:szCs w:val="30"/>
          <w:u w:val="single"/>
          <w:lang w:val="en-US" w:eastAsia="zh-CN"/>
        </w:rPr>
        <w:t>涉松北一涌基坑围护临时结构工程</w:t>
      </w:r>
      <w:r>
        <w:rPr>
          <w:rFonts w:hint="eastAsia" w:ascii="宋体" w:hAnsi="宋体" w:eastAsia="宋体" w:cs="宋体"/>
          <w:sz w:val="30"/>
          <w:szCs w:val="30"/>
          <w:u w:val="single"/>
          <w:lang w:eastAsia="zh-CN"/>
        </w:rPr>
        <w:t>防洪评价技术</w:t>
      </w:r>
      <w:r>
        <w:rPr>
          <w:rFonts w:hint="eastAsia" w:ascii="宋体" w:hAnsi="宋体" w:eastAsia="宋体" w:cs="宋体"/>
          <w:sz w:val="30"/>
          <w:szCs w:val="30"/>
          <w:u w:val="single"/>
          <w:lang w:val="en-US" w:eastAsia="zh-CN"/>
        </w:rPr>
        <w:t>咨询</w:t>
      </w:r>
      <w:r>
        <w:rPr>
          <w:rFonts w:hint="eastAsia" w:ascii="宋体" w:hAnsi="宋体" w:eastAsia="宋体" w:cs="宋体"/>
          <w:sz w:val="30"/>
          <w:szCs w:val="30"/>
          <w:u w:val="single"/>
          <w:lang w:eastAsia="zh-CN"/>
        </w:rPr>
        <w:t>合同</w:t>
      </w:r>
    </w:p>
    <w:p>
      <w:pPr>
        <w:spacing w:line="600" w:lineRule="auto"/>
        <w:rPr>
          <w:rFonts w:hint="eastAsia" w:ascii="宋体" w:hAnsi="宋体" w:cs="宋体"/>
          <w:b/>
          <w:bCs/>
          <w:color w:val="000000"/>
          <w:sz w:val="30"/>
          <w:u w:val="single"/>
        </w:rPr>
      </w:pPr>
      <w:r>
        <w:rPr>
          <w:rFonts w:hint="eastAsia" w:ascii="宋体" w:hAnsi="宋体" w:cs="宋体"/>
          <w:b/>
          <w:bCs/>
          <w:color w:val="000000"/>
          <w:spacing w:val="82"/>
          <w:sz w:val="30"/>
        </w:rPr>
        <w:t>工程地点：</w:t>
      </w:r>
      <w:r>
        <w:rPr>
          <w:rFonts w:hint="eastAsia" w:ascii="宋体" w:hAnsi="宋体" w:cs="宋体"/>
          <w:sz w:val="30"/>
          <w:szCs w:val="30"/>
          <w:u w:val="single"/>
        </w:rPr>
        <w:t>广州市</w:t>
      </w:r>
    </w:p>
    <w:p>
      <w:pPr>
        <w:spacing w:line="600" w:lineRule="auto"/>
        <w:rPr>
          <w:rFonts w:hint="eastAsia" w:ascii="宋体" w:hAnsi="宋体" w:cs="宋体"/>
          <w:b/>
          <w:bCs/>
          <w:color w:val="000000"/>
          <w:sz w:val="30"/>
        </w:rPr>
      </w:pPr>
      <w:r>
        <w:rPr>
          <w:rFonts w:hint="eastAsia" w:ascii="宋体" w:hAnsi="宋体" w:cs="宋体"/>
          <w:b/>
          <w:bCs/>
          <w:color w:val="000000"/>
          <w:spacing w:val="82"/>
          <w:sz w:val="30"/>
        </w:rPr>
        <w:t>合同编号：</w:t>
      </w:r>
      <w:r>
        <w:rPr>
          <w:rFonts w:hint="eastAsia" w:ascii="宋体" w:hAnsi="宋体" w:cs="宋体"/>
          <w:sz w:val="30"/>
          <w:szCs w:val="30"/>
          <w:u w:val="single"/>
        </w:rPr>
        <w:t>穗净水合[202</w:t>
      </w:r>
      <w:r>
        <w:rPr>
          <w:rFonts w:hint="eastAsia" w:ascii="宋体" w:hAnsi="宋体" w:cs="宋体"/>
          <w:sz w:val="30"/>
          <w:szCs w:val="30"/>
          <w:u w:val="single"/>
          <w:lang w:val="en-US" w:eastAsia="zh-CN"/>
        </w:rPr>
        <w:t>4</w:t>
      </w:r>
      <w:r>
        <w:rPr>
          <w:rFonts w:hint="eastAsia" w:ascii="宋体" w:hAnsi="宋体" w:cs="宋体"/>
          <w:sz w:val="30"/>
          <w:szCs w:val="30"/>
          <w:u w:val="single"/>
        </w:rPr>
        <w:t>]    号</w:t>
      </w:r>
    </w:p>
    <w:p>
      <w:pPr>
        <w:spacing w:line="600" w:lineRule="auto"/>
        <w:ind w:right="-334" w:rightChars="-159"/>
        <w:rPr>
          <w:rFonts w:hint="default" w:ascii="宋体" w:hAnsi="宋体" w:eastAsia="宋体" w:cs="宋体"/>
          <w:b/>
          <w:bCs/>
          <w:color w:val="000000"/>
          <w:sz w:val="30"/>
          <w:u w:val="single"/>
          <w:lang w:val="en-US" w:eastAsia="zh-CN"/>
        </w:rPr>
      </w:pPr>
      <w:r>
        <w:rPr>
          <w:rFonts w:hint="eastAsia" w:ascii="宋体" w:hAnsi="宋体" w:cs="宋体"/>
          <w:b/>
          <w:bCs/>
          <w:color w:val="000000"/>
          <w:spacing w:val="82"/>
          <w:sz w:val="30"/>
        </w:rPr>
        <w:t>资质证书：</w:t>
      </w:r>
      <w:r>
        <w:rPr>
          <w:rFonts w:hint="eastAsia" w:ascii="宋体" w:hAnsi="宋体" w:cs="宋体"/>
          <w:bCs/>
          <w:sz w:val="30"/>
          <w:szCs w:val="30"/>
          <w:highlight w:val="none"/>
          <w:u w:val="single"/>
          <w:lang w:val="en-US" w:eastAsia="zh-CN"/>
        </w:rPr>
        <w:t xml:space="preserve">                   </w:t>
      </w:r>
    </w:p>
    <w:p>
      <w:pPr>
        <w:spacing w:line="600" w:lineRule="auto"/>
        <w:rPr>
          <w:rFonts w:hint="eastAsia" w:ascii="宋体" w:hAnsi="宋体" w:cs="宋体"/>
          <w:b/>
          <w:bCs/>
          <w:color w:val="000000"/>
          <w:sz w:val="30"/>
        </w:rPr>
      </w:pPr>
      <w:r>
        <w:rPr>
          <w:rFonts w:hint="eastAsia" w:ascii="宋体" w:hAnsi="宋体" w:cs="宋体"/>
          <w:b/>
          <w:bCs/>
          <w:color w:val="000000"/>
          <w:spacing w:val="82"/>
          <w:sz w:val="30"/>
        </w:rPr>
        <w:t>甲</w:t>
      </w:r>
      <w:r>
        <w:rPr>
          <w:rFonts w:hint="eastAsia" w:ascii="宋体" w:hAnsi="宋体" w:cs="宋体"/>
          <w:b/>
          <w:bCs/>
          <w:color w:val="000000"/>
          <w:sz w:val="30"/>
        </w:rPr>
        <w:t xml:space="preserve">       方</w:t>
      </w:r>
      <w:r>
        <w:rPr>
          <w:rFonts w:hint="eastAsia" w:ascii="宋体" w:hAnsi="宋体" w:cs="宋体"/>
          <w:b/>
          <w:bCs/>
          <w:color w:val="000000"/>
          <w:spacing w:val="82"/>
          <w:sz w:val="30"/>
        </w:rPr>
        <w:t>：</w:t>
      </w:r>
      <w:r>
        <w:rPr>
          <w:rFonts w:hint="eastAsia" w:ascii="宋体" w:hAnsi="宋体" w:cs="宋体"/>
          <w:bCs/>
          <w:color w:val="000000"/>
          <w:sz w:val="30"/>
          <w:u w:val="single"/>
        </w:rPr>
        <w:t>广州市净水有限公司</w:t>
      </w:r>
    </w:p>
    <w:p>
      <w:pPr>
        <w:spacing w:line="600" w:lineRule="auto"/>
        <w:rPr>
          <w:rFonts w:hint="eastAsia" w:ascii="宋体" w:hAnsi="宋体" w:eastAsia="宋体" w:cs="宋体"/>
          <w:b w:val="0"/>
          <w:bCs/>
          <w:color w:val="000000"/>
          <w:spacing w:val="0"/>
          <w:sz w:val="30"/>
          <w:u w:val="single"/>
          <w:lang w:val="en-US" w:eastAsia="zh-CN"/>
        </w:rPr>
      </w:pPr>
      <w:r>
        <w:rPr>
          <w:rFonts w:hint="eastAsia" w:ascii="宋体" w:hAnsi="宋体" w:cs="宋体"/>
          <w:b/>
          <w:bCs/>
          <w:color w:val="000000"/>
          <w:spacing w:val="82"/>
          <w:sz w:val="30"/>
        </w:rPr>
        <w:t>乙</w:t>
      </w:r>
      <w:r>
        <w:rPr>
          <w:rFonts w:hint="eastAsia" w:ascii="宋体" w:hAnsi="宋体" w:cs="宋体"/>
          <w:b/>
          <w:bCs/>
          <w:color w:val="000000"/>
          <w:sz w:val="30"/>
        </w:rPr>
        <w:t xml:space="preserve">       方</w:t>
      </w:r>
      <w:r>
        <w:rPr>
          <w:rFonts w:hint="eastAsia" w:ascii="宋体" w:hAnsi="宋体" w:cs="宋体"/>
          <w:b/>
          <w:bCs/>
          <w:color w:val="000000"/>
          <w:spacing w:val="82"/>
          <w:sz w:val="30"/>
        </w:rPr>
        <w:t>：</w:t>
      </w:r>
      <w:r>
        <w:rPr>
          <w:rFonts w:hint="eastAsia" w:ascii="宋体" w:hAnsi="宋体" w:eastAsia="宋体" w:cs="宋体"/>
          <w:b w:val="0"/>
          <w:bCs/>
          <w:color w:val="000000"/>
          <w:spacing w:val="0"/>
          <w:sz w:val="30"/>
          <w:u w:val="single"/>
          <w:lang w:val="en-US" w:eastAsia="zh-CN"/>
        </w:rPr>
        <w:t xml:space="preserve">                        </w:t>
      </w:r>
    </w:p>
    <w:p>
      <w:pPr>
        <w:spacing w:line="600" w:lineRule="auto"/>
        <w:rPr>
          <w:rFonts w:hint="default" w:ascii="宋体" w:hAnsi="宋体" w:eastAsia="宋体" w:cs="宋体"/>
          <w:color w:val="000000"/>
          <w:lang w:val="en-US" w:eastAsia="zh-CN"/>
        </w:rPr>
      </w:pPr>
      <w:r>
        <w:rPr>
          <w:rFonts w:hint="eastAsia" w:ascii="宋体" w:hAnsi="宋体" w:cs="宋体"/>
          <w:b/>
          <w:bCs/>
          <w:color w:val="000000"/>
          <w:spacing w:val="82"/>
          <w:sz w:val="30"/>
        </w:rPr>
        <w:t>签订日期：</w:t>
      </w:r>
    </w:p>
    <w:p>
      <w:pPr>
        <w:spacing w:line="360" w:lineRule="auto"/>
        <w:jc w:val="center"/>
        <w:rPr>
          <w:rFonts w:hint="eastAsia" w:ascii="宋体" w:hAnsi="宋体" w:cs="宋体"/>
          <w:color w:val="000000"/>
          <w:sz w:val="44"/>
          <w:szCs w:val="44"/>
        </w:rPr>
      </w:pPr>
      <w:r>
        <w:rPr>
          <w:rFonts w:hint="eastAsia" w:ascii="宋体" w:hAnsi="宋体" w:cs="宋体"/>
          <w:color w:val="000000"/>
          <w:sz w:val="44"/>
          <w:szCs w:val="44"/>
        </w:rPr>
        <w:t>合同文件</w:t>
      </w:r>
    </w:p>
    <w:p>
      <w:pPr>
        <w:spacing w:line="360" w:lineRule="auto"/>
        <w:jc w:val="center"/>
        <w:rPr>
          <w:rFonts w:hint="eastAsia" w:ascii="宋体" w:hAnsi="宋体" w:cs="宋体"/>
          <w:color w:val="000000"/>
          <w:sz w:val="24"/>
        </w:rPr>
      </w:pPr>
    </w:p>
    <w:p>
      <w:pPr>
        <w:ind w:firstLine="480" w:firstLineChars="200"/>
        <w:rPr>
          <w:rFonts w:hint="eastAsia" w:ascii="宋体" w:hAnsi="宋体" w:cs="宋体"/>
          <w:color w:val="000000"/>
          <w:sz w:val="24"/>
          <w:u w:val="single"/>
        </w:rPr>
      </w:pPr>
      <w:r>
        <w:rPr>
          <w:rFonts w:hint="eastAsia" w:ascii="宋体" w:hAnsi="宋体" w:cs="宋体"/>
          <w:color w:val="000000"/>
          <w:sz w:val="24"/>
        </w:rPr>
        <w:t>甲方（发包人） ：</w:t>
      </w:r>
      <w:r>
        <w:rPr>
          <w:rFonts w:hint="eastAsia" w:ascii="宋体" w:hAnsi="宋体" w:cs="宋体"/>
          <w:color w:val="000000"/>
          <w:sz w:val="24"/>
          <w:u w:val="single"/>
        </w:rPr>
        <w:t>广州市净水有限公司</w:t>
      </w:r>
    </w:p>
    <w:p>
      <w:pPr>
        <w:ind w:firstLine="480" w:firstLineChars="200"/>
        <w:rPr>
          <w:rFonts w:hint="eastAsia" w:ascii="宋体" w:hAnsi="宋体" w:cs="宋体"/>
          <w:color w:val="000000"/>
          <w:sz w:val="24"/>
        </w:rPr>
      </w:pPr>
    </w:p>
    <w:p>
      <w:pPr>
        <w:ind w:firstLine="480" w:firstLineChars="200"/>
        <w:rPr>
          <w:rFonts w:hint="default" w:ascii="宋体" w:hAnsi="宋体" w:eastAsia="宋体" w:cs="宋体"/>
          <w:color w:val="000000"/>
          <w:sz w:val="24"/>
          <w:u w:val="single"/>
          <w:lang w:val="en-US" w:eastAsia="zh-CN"/>
        </w:rPr>
      </w:pPr>
      <w:r>
        <w:rPr>
          <w:rFonts w:hint="eastAsia" w:ascii="宋体" w:hAnsi="宋体" w:cs="宋体"/>
          <w:color w:val="000000"/>
          <w:sz w:val="24"/>
        </w:rPr>
        <w:t>乙方（承包人） ：</w:t>
      </w:r>
      <w:r>
        <w:rPr>
          <w:rFonts w:hint="eastAsia" w:ascii="宋体" w:hAnsi="宋体" w:cs="宋体"/>
          <w:color w:val="000000"/>
          <w:sz w:val="24"/>
          <w:u w:val="single"/>
          <w:lang w:val="en-US" w:eastAsia="zh-CN"/>
        </w:rPr>
        <w:t xml:space="preserve">                         </w:t>
      </w:r>
    </w:p>
    <w:p>
      <w:pPr>
        <w:ind w:firstLine="480" w:firstLineChars="200"/>
        <w:rPr>
          <w:rFonts w:hint="eastAsia" w:ascii="宋体" w:hAnsi="宋体" w:cs="宋体"/>
          <w:color w:val="000000"/>
          <w:sz w:val="24"/>
          <w:u w:val="single"/>
        </w:rPr>
      </w:pP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highlight w:val="none"/>
        </w:rPr>
        <w:t>甲方就</w:t>
      </w:r>
      <w:r>
        <w:rPr>
          <w:rFonts w:hint="eastAsia" w:ascii="宋体" w:hAnsi="宋体" w:eastAsia="宋体" w:cs="宋体"/>
          <w:color w:val="000000"/>
          <w:sz w:val="24"/>
          <w:szCs w:val="24"/>
          <w:u w:val="single"/>
        </w:rPr>
        <w:t>环城北净水厂涉石井河排水口、涉卫生河钢便桥工程、涉松北一涌</w:t>
      </w:r>
      <w:r>
        <w:rPr>
          <w:rFonts w:hint="eastAsia" w:ascii="宋体" w:hAnsi="宋体" w:eastAsia="宋体" w:cs="宋体"/>
          <w:color w:val="000000"/>
          <w:sz w:val="24"/>
          <w:szCs w:val="24"/>
          <w:u w:val="single"/>
          <w:lang w:val="en-US" w:eastAsia="zh-CN"/>
        </w:rPr>
        <w:t>基坑围护临时结构工程</w:t>
      </w:r>
      <w:r>
        <w:rPr>
          <w:rFonts w:hint="eastAsia" w:ascii="宋体" w:hAnsi="宋体" w:eastAsia="宋体" w:cs="宋体"/>
          <w:color w:val="000000"/>
          <w:sz w:val="24"/>
          <w:szCs w:val="24"/>
          <w:u w:val="single"/>
        </w:rPr>
        <w:t>防洪评价技术服务合同</w:t>
      </w:r>
      <w:r>
        <w:rPr>
          <w:rFonts w:hint="eastAsia" w:hAnsi="宋体" w:cs="宋体"/>
          <w:color w:val="000000"/>
          <w:sz w:val="24"/>
        </w:rPr>
        <w:t>委</w:t>
      </w:r>
      <w:r>
        <w:rPr>
          <w:rFonts w:hint="eastAsia" w:ascii="宋体" w:hAnsi="宋体" w:cs="宋体"/>
          <w:color w:val="000000"/>
          <w:sz w:val="24"/>
        </w:rPr>
        <w:t>托乙方提供相应</w:t>
      </w:r>
      <w:r>
        <w:rPr>
          <w:rFonts w:hint="eastAsia" w:hAnsi="宋体" w:cs="宋体"/>
          <w:color w:val="000000"/>
          <w:sz w:val="24"/>
        </w:rPr>
        <w:t>咨询服务</w:t>
      </w:r>
      <w:r>
        <w:rPr>
          <w:rFonts w:hint="eastAsia" w:ascii="宋体" w:hAnsi="宋体" w:cs="宋体"/>
          <w:color w:val="000000"/>
          <w:sz w:val="24"/>
        </w:rPr>
        <w:t>。</w:t>
      </w:r>
      <w:r>
        <w:rPr>
          <w:rFonts w:hint="eastAsia" w:hAnsi="宋体" w:cs="宋体"/>
          <w:color w:val="000000"/>
          <w:sz w:val="24"/>
        </w:rPr>
        <w:t>经</w:t>
      </w:r>
      <w:r>
        <w:rPr>
          <w:rFonts w:hint="eastAsia" w:ascii="宋体" w:hAnsi="宋体" w:cs="宋体"/>
          <w:color w:val="000000"/>
          <w:sz w:val="24"/>
        </w:rPr>
        <w:t>双方经协商一致，签订本合同。</w:t>
      </w:r>
    </w:p>
    <w:p>
      <w:pPr>
        <w:spacing w:line="360" w:lineRule="auto"/>
        <w:rPr>
          <w:rFonts w:hint="eastAsia" w:ascii="宋体" w:hAnsi="宋体" w:cs="宋体"/>
          <w:b/>
          <w:sz w:val="28"/>
          <w:szCs w:val="28"/>
          <w:highlight w:val="none"/>
        </w:rPr>
      </w:pPr>
      <w:r>
        <w:rPr>
          <w:rFonts w:hint="eastAsia" w:ascii="宋体" w:hAnsi="宋体" w:cs="宋体"/>
          <w:b/>
          <w:sz w:val="28"/>
          <w:szCs w:val="28"/>
          <w:highlight w:val="none"/>
        </w:rPr>
        <w:t xml:space="preserve">第一条 签订依据 </w:t>
      </w:r>
    </w:p>
    <w:p>
      <w:pPr>
        <w:spacing w:line="360" w:lineRule="auto"/>
        <w:ind w:firstLine="561"/>
        <w:rPr>
          <w:rFonts w:ascii="宋体" w:hAnsi="宋体"/>
          <w:sz w:val="24"/>
          <w:highlight w:val="none"/>
        </w:rPr>
      </w:pPr>
      <w:r>
        <w:rPr>
          <w:rFonts w:ascii="宋体" w:hAnsi="宋体"/>
          <w:sz w:val="24"/>
          <w:highlight w:val="none"/>
        </w:rPr>
        <w:t>1.1 《中华人民共和国</w:t>
      </w:r>
      <w:r>
        <w:rPr>
          <w:rFonts w:hint="eastAsia" w:ascii="宋体" w:hAnsi="宋体"/>
          <w:sz w:val="24"/>
          <w:highlight w:val="none"/>
        </w:rPr>
        <w:t>民法典</w:t>
      </w:r>
      <w:r>
        <w:rPr>
          <w:rFonts w:ascii="宋体" w:hAnsi="宋体"/>
          <w:sz w:val="24"/>
          <w:highlight w:val="none"/>
        </w:rPr>
        <w:t>》、</w:t>
      </w:r>
      <w:r>
        <w:rPr>
          <w:rFonts w:hint="eastAsia" w:ascii="宋体" w:hAnsi="宋体" w:cs="宋体"/>
          <w:sz w:val="24"/>
          <w:highlight w:val="none"/>
        </w:rPr>
        <w:t>《河道管理范围内建设项目技术规程》(DB44/T1661-2021）、《河道管理范围内建设项目防洪评价报告编制导则》</w:t>
      </w:r>
      <w:r>
        <w:rPr>
          <w:rFonts w:hint="eastAsia" w:ascii="宋体" w:hAnsi="宋体" w:eastAsia="宋体" w:cs="宋体"/>
          <w:sz w:val="24"/>
          <w:highlight w:val="none"/>
          <w:lang w:val="zu-ZA"/>
        </w:rPr>
        <w:t>（SL/T808—2021)</w:t>
      </w:r>
      <w:r>
        <w:rPr>
          <w:rFonts w:hint="eastAsia" w:ascii="宋体" w:hAnsi="宋体" w:eastAsia="宋体" w:cs="宋体"/>
          <w:color w:val="000000"/>
          <w:sz w:val="24"/>
          <w:highlight w:val="none"/>
        </w:rPr>
        <w:t>。</w:t>
      </w:r>
    </w:p>
    <w:p>
      <w:pPr>
        <w:spacing w:line="360" w:lineRule="auto"/>
        <w:ind w:firstLine="561"/>
        <w:rPr>
          <w:rFonts w:ascii="宋体" w:hAnsi="宋体"/>
          <w:sz w:val="24"/>
          <w:highlight w:val="none"/>
        </w:rPr>
      </w:pPr>
      <w:r>
        <w:rPr>
          <w:rFonts w:ascii="宋体" w:hAnsi="宋体"/>
          <w:sz w:val="24"/>
          <w:highlight w:val="none"/>
        </w:rPr>
        <w:t>1.2  国家及地方有关法规和规章。</w:t>
      </w:r>
    </w:p>
    <w:p>
      <w:pPr>
        <w:spacing w:line="360" w:lineRule="auto"/>
        <w:ind w:firstLine="561"/>
        <w:rPr>
          <w:rFonts w:ascii="宋体" w:hAnsi="宋体"/>
          <w:sz w:val="24"/>
          <w:highlight w:val="none"/>
        </w:rPr>
      </w:pPr>
      <w:r>
        <w:rPr>
          <w:rFonts w:ascii="宋体" w:hAnsi="宋体"/>
          <w:sz w:val="24"/>
          <w:highlight w:val="none"/>
        </w:rPr>
        <w:t>1.3  建设工程批准文件</w:t>
      </w:r>
      <w:r>
        <w:rPr>
          <w:rFonts w:hint="eastAsia" w:ascii="宋体" w:hAnsi="宋体"/>
          <w:sz w:val="24"/>
          <w:highlight w:val="none"/>
        </w:rPr>
        <w:t>等</w:t>
      </w:r>
      <w:r>
        <w:rPr>
          <w:rFonts w:ascii="宋体" w:hAnsi="宋体"/>
          <w:sz w:val="24"/>
          <w:highlight w:val="none"/>
        </w:rPr>
        <w:t>。</w:t>
      </w:r>
    </w:p>
    <w:p>
      <w:pPr>
        <w:spacing w:line="360" w:lineRule="auto"/>
        <w:ind w:firstLine="420"/>
        <w:rPr>
          <w:rFonts w:ascii="宋体" w:hAnsi="宋体"/>
          <w:color w:val="000000"/>
          <w:szCs w:val="21"/>
        </w:rPr>
      </w:pPr>
      <w:r>
        <w:rPr>
          <w:rFonts w:hint="eastAsia" w:ascii="宋体" w:hAnsi="宋体"/>
          <w:color w:val="000000"/>
          <w:sz w:val="24"/>
        </w:rPr>
        <w:t>上述规范如有更新的，以最新版本为准。</w:t>
      </w:r>
    </w:p>
    <w:p>
      <w:pPr>
        <w:spacing w:line="360" w:lineRule="auto"/>
        <w:rPr>
          <w:rFonts w:hint="eastAsia" w:ascii="宋体" w:hAnsi="宋体" w:cs="宋体"/>
          <w:b/>
          <w:sz w:val="24"/>
        </w:rPr>
      </w:pPr>
      <w:r>
        <w:rPr>
          <w:rFonts w:hint="eastAsia" w:ascii="宋体" w:hAnsi="宋体" w:cs="宋体"/>
          <w:b/>
          <w:sz w:val="28"/>
          <w:szCs w:val="28"/>
        </w:rPr>
        <w:t>第二条  乙方进行技术咨询的范围、内容、要求和方式：</w:t>
      </w:r>
    </w:p>
    <w:p>
      <w:pPr>
        <w:spacing w:line="360" w:lineRule="auto"/>
        <w:ind w:firstLine="482" w:firstLineChars="200"/>
        <w:rPr>
          <w:rFonts w:hint="eastAsia" w:ascii="宋体" w:hAnsi="宋体" w:cs="宋体"/>
          <w:b/>
          <w:bCs/>
          <w:sz w:val="24"/>
        </w:rPr>
      </w:pPr>
      <w:r>
        <w:rPr>
          <w:rFonts w:hint="eastAsia" w:ascii="宋体" w:hAnsi="宋体" w:cs="宋体"/>
          <w:b/>
          <w:bCs/>
          <w:sz w:val="24"/>
        </w:rPr>
        <w:t>2.1 咨询范围：</w:t>
      </w:r>
    </w:p>
    <w:p>
      <w:pPr>
        <w:overflowPunct w:val="0"/>
        <w:snapToGrid w:val="0"/>
        <w:spacing w:line="360" w:lineRule="auto"/>
        <w:ind w:firstLine="480" w:firstLineChars="200"/>
        <w:rPr>
          <w:rFonts w:hint="eastAsia" w:ascii="宋体" w:hAnsi="宋体" w:cs="宋体"/>
          <w:sz w:val="24"/>
        </w:rPr>
      </w:pPr>
      <w:r>
        <w:rPr>
          <w:rFonts w:hint="eastAsia" w:ascii="宋体" w:hAnsi="宋体" w:cs="宋体"/>
          <w:color w:val="000000"/>
          <w:sz w:val="24"/>
        </w:rPr>
        <w:t>工程名称：</w:t>
      </w:r>
      <w:r>
        <w:rPr>
          <w:rFonts w:hint="eastAsia" w:ascii="宋体" w:hAnsi="宋体" w:eastAsia="宋体" w:cs="宋体"/>
          <w:b w:val="0"/>
          <w:bCs w:val="0"/>
          <w:color w:val="000000"/>
          <w:spacing w:val="0"/>
          <w:sz w:val="24"/>
          <w:szCs w:val="24"/>
          <w:highlight w:val="none"/>
          <w:u w:val="single"/>
        </w:rPr>
        <w:t>环城北净水厂</w:t>
      </w:r>
      <w:r>
        <w:rPr>
          <w:rFonts w:hint="eastAsia" w:ascii="宋体" w:hAnsi="宋体" w:cs="宋体"/>
          <w:color w:val="000000"/>
          <w:sz w:val="24"/>
          <w:highlight w:val="none"/>
        </w:rPr>
        <w:t>，投资：</w:t>
      </w:r>
      <w:r>
        <w:rPr>
          <w:rFonts w:hint="eastAsia" w:ascii="宋体" w:hAnsi="宋体" w:cs="宋体"/>
          <w:color w:val="000000"/>
          <w:sz w:val="24"/>
          <w:highlight w:val="none"/>
          <w:u w:val="single"/>
        </w:rPr>
        <w:t>工程费约</w:t>
      </w:r>
      <w:r>
        <w:rPr>
          <w:rFonts w:hint="eastAsia" w:ascii="宋体" w:hAnsi="宋体" w:cs="宋体"/>
          <w:color w:val="000000"/>
          <w:sz w:val="24"/>
          <w:highlight w:val="none"/>
          <w:u w:val="single"/>
          <w:lang w:val="en-US" w:eastAsia="zh-CN"/>
        </w:rPr>
        <w:t>72991.02</w:t>
      </w:r>
      <w:r>
        <w:rPr>
          <w:rFonts w:hint="eastAsia" w:ascii="宋体" w:hAnsi="宋体" w:cs="宋体"/>
          <w:color w:val="000000"/>
          <w:sz w:val="24"/>
          <w:highlight w:val="none"/>
          <w:u w:val="single"/>
        </w:rPr>
        <w:t>万元</w:t>
      </w:r>
      <w:r>
        <w:rPr>
          <w:rFonts w:hint="eastAsia" w:ascii="宋体" w:hAnsi="宋体" w:cs="宋体"/>
          <w:color w:val="000000"/>
          <w:sz w:val="24"/>
          <w:highlight w:val="none"/>
        </w:rPr>
        <w:t>。本次</w:t>
      </w:r>
      <w:r>
        <w:rPr>
          <w:rFonts w:hint="eastAsia" w:ascii="宋体" w:hAnsi="宋体" w:cs="宋体"/>
          <w:sz w:val="24"/>
          <w:highlight w:val="none"/>
        </w:rPr>
        <w:t>工作的范围为</w:t>
      </w:r>
      <w:r>
        <w:rPr>
          <w:rFonts w:hint="eastAsia" w:ascii="宋体" w:hAnsi="宋体" w:cs="宋体"/>
          <w:sz w:val="24"/>
          <w:u w:val="single"/>
        </w:rPr>
        <w:t>环城北净水厂涉石井河</w:t>
      </w:r>
      <w:r>
        <w:rPr>
          <w:rFonts w:hint="eastAsia" w:ascii="宋体" w:hAnsi="宋体" w:eastAsia="宋体" w:cs="宋体"/>
          <w:sz w:val="24"/>
          <w:u w:val="single"/>
        </w:rPr>
        <w:t>排水口（共三处，一处尾水排水口，两处雨水排</w:t>
      </w:r>
      <w:r>
        <w:rPr>
          <w:rFonts w:hint="eastAsia" w:ascii="宋体" w:hAnsi="宋体" w:eastAsia="宋体" w:cs="宋体"/>
          <w:sz w:val="24"/>
          <w:u w:val="single"/>
          <w:lang w:val="en-US" w:eastAsia="zh-CN"/>
        </w:rPr>
        <w:t>水</w:t>
      </w:r>
      <w:r>
        <w:rPr>
          <w:rFonts w:hint="eastAsia" w:ascii="宋体" w:hAnsi="宋体" w:eastAsia="宋体" w:cs="宋体"/>
          <w:sz w:val="24"/>
          <w:u w:val="single"/>
        </w:rPr>
        <w:t>口）、涉卫生河钢</w:t>
      </w:r>
      <w:r>
        <w:rPr>
          <w:rFonts w:hint="eastAsia" w:ascii="宋体" w:hAnsi="宋体" w:cs="宋体"/>
          <w:sz w:val="24"/>
          <w:u w:val="single"/>
        </w:rPr>
        <w:t>便桥工程、涉松北</w:t>
      </w:r>
      <w:r>
        <w:rPr>
          <w:rFonts w:hint="eastAsia" w:ascii="宋体" w:hAnsi="宋体" w:eastAsia="宋体" w:cs="宋体"/>
          <w:sz w:val="24"/>
          <w:u w:val="single"/>
        </w:rPr>
        <w:t>一涌</w:t>
      </w:r>
      <w:r>
        <w:rPr>
          <w:rFonts w:hint="eastAsia" w:ascii="宋体" w:hAnsi="宋体" w:eastAsia="宋体" w:cs="宋体"/>
          <w:sz w:val="24"/>
          <w:u w:val="single"/>
          <w:lang w:val="en-US" w:eastAsia="zh-CN"/>
        </w:rPr>
        <w:t>基坑围护临时结构工程</w:t>
      </w:r>
      <w:r>
        <w:rPr>
          <w:rFonts w:hint="eastAsia" w:ascii="宋体" w:hAnsi="宋体" w:eastAsia="宋体" w:cs="宋体"/>
          <w:sz w:val="24"/>
          <w:u w:val="single"/>
        </w:rPr>
        <w:t>的河道</w:t>
      </w:r>
      <w:r>
        <w:rPr>
          <w:rFonts w:hint="eastAsia" w:ascii="宋体" w:hAnsi="宋体" w:cs="宋体"/>
          <w:sz w:val="24"/>
          <w:u w:val="single"/>
        </w:rPr>
        <w:t>管理范围内建设项目</w:t>
      </w:r>
      <w:r>
        <w:rPr>
          <w:rFonts w:hint="eastAsia" w:ascii="宋体" w:hAnsi="宋体" w:cs="宋体"/>
          <w:sz w:val="24"/>
          <w:u w:val="single"/>
          <w:lang w:val="en-US" w:eastAsia="zh-CN"/>
        </w:rPr>
        <w:t>防洪评价服务</w:t>
      </w:r>
      <w:r>
        <w:rPr>
          <w:rFonts w:hint="eastAsia" w:ascii="宋体" w:hAnsi="宋体" w:cs="宋体"/>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2.2 咨询内容及要求：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根据《河道管理范围内建设项目防洪评价报告编制导则》</w:t>
      </w:r>
      <w:r>
        <w:rPr>
          <w:rFonts w:hint="eastAsia" w:ascii="宋体" w:hAnsi="宋体" w:eastAsia="宋体" w:cs="宋体"/>
          <w:sz w:val="24"/>
          <w:highlight w:val="none"/>
          <w:lang w:val="zu-ZA"/>
        </w:rPr>
        <w:t>（SL/T808—2021)</w:t>
      </w:r>
      <w:r>
        <w:rPr>
          <w:rFonts w:hint="eastAsia" w:ascii="宋体" w:hAnsi="宋体" w:cs="宋体"/>
          <w:sz w:val="24"/>
          <w:highlight w:val="none"/>
        </w:rPr>
        <w:t>，主要工作内容包括但不限于如下：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（1）收集工程处的水文气象、地形地貌等基本资料；收集排水口及钢便桥所涉河道两侧堤防工程、各水闸和泵站等水利工程及设施资料。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（2）工程处河涌水文分析，包括运行期设计洪水、施工期防洪标准对应设计洪峰流量和相应设计水位。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（3）河床演变分析内容：进行河道深泓线变化分析、典型断面河床对比分析、分析工程河段前航道的河床的冲淤特性，对河床演变趋势进行预估分析。</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（4）排水口工程、桥梁工程对河道壅水和行洪能力的分析计算：包括阻水比、壅水高度、壅水范围和工程建设前后河道行洪能力的变化。</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桥梁工程对河道水动力计算:通过二维水流数学模型，进行钢便桥工程前、工程后、工程施工期的行洪水位、流量，据其洪水位的变化值评价拟建工程运行期、施工期对上游防洪、排涝的影响，分析对比工程前、工程后、工程施工期的水流流速特性，进行工程运行期和施工期的河势影响分析。</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排水口工程、桥梁工程处河道冲刷淤积计算与河势影响分析：采用综合单位线法、推理公式法及经验公式法进行项目区所在河段的河道一般冲刷值和局部冲刷值计算，研究工程附近水动力条件的改变，对附近河道河势稳定造成的影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（7）拟建基坑围护临时结构工程、排水口工程对堤防渗透稳定、抗滑稳定分析计算。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防洪影响综合评价：对拟建工程与现有水利规划的关系与影响分析、与现有防洪标准、有关技术要求和管理要求的适应性分析、对河道泄洪的影响分析、对河势稳定的影响分析、工程对堤防及其他水利工程设施影响分析、对防汛抢险的影响分析、工程防御洪水的设防标准与措施分析、对第三人合法水事权益的影响分析进行防洪综合评价。</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（9）结论与建议：根据防洪影响综合评价得出拟建工程可行的结论，并从水利防洪角度提出建议和补救措施。</w:t>
      </w:r>
    </w:p>
    <w:p>
      <w:pPr>
        <w:spacing w:line="360" w:lineRule="auto"/>
        <w:outlineLvl w:val="0"/>
        <w:rPr>
          <w:rFonts w:ascii="宋体" w:hAnsi="宋体" w:cs="宋体"/>
          <w:b/>
          <w:sz w:val="28"/>
          <w:szCs w:val="28"/>
        </w:rPr>
      </w:pPr>
      <w:r>
        <w:rPr>
          <w:rFonts w:hint="eastAsia" w:ascii="宋体" w:hAnsi="宋体" w:cs="宋体"/>
          <w:b/>
          <w:sz w:val="28"/>
          <w:szCs w:val="28"/>
        </w:rPr>
        <w:t>第三条 甲方向乙方提交的有关资料及文件</w:t>
      </w:r>
    </w:p>
    <w:p>
      <w:pPr>
        <w:spacing w:line="360" w:lineRule="auto"/>
        <w:ind w:firstLine="480" w:firstLineChars="200"/>
        <w:rPr>
          <w:rFonts w:hint="eastAsia" w:ascii="宋体" w:hAnsi="宋体" w:cs="宋体"/>
          <w:sz w:val="24"/>
        </w:rPr>
      </w:pPr>
      <w:r>
        <w:rPr>
          <w:rFonts w:hint="eastAsia" w:ascii="宋体" w:hAnsi="宋体" w:cs="宋体"/>
          <w:sz w:val="24"/>
        </w:rPr>
        <w:t>3.1技术资料：</w:t>
      </w:r>
    </w:p>
    <w:p>
      <w:pPr>
        <w:spacing w:line="360" w:lineRule="auto"/>
        <w:ind w:firstLine="480" w:firstLineChars="200"/>
        <w:jc w:val="left"/>
        <w:rPr>
          <w:rFonts w:hint="eastAsia" w:ascii="宋体" w:hAnsi="宋体" w:cs="宋体"/>
          <w:sz w:val="24"/>
        </w:rPr>
      </w:pPr>
      <w:r>
        <w:rPr>
          <w:rFonts w:hint="eastAsia" w:ascii="宋体" w:hAnsi="宋体" w:cs="宋体"/>
          <w:sz w:val="24"/>
        </w:rPr>
        <w:t>3.1.1项目基本资料和数据。</w:t>
      </w:r>
    </w:p>
    <w:p>
      <w:pPr>
        <w:spacing w:line="360" w:lineRule="auto"/>
        <w:ind w:firstLine="480" w:firstLineChars="200"/>
        <w:rPr>
          <w:rFonts w:hint="eastAsia" w:ascii="宋体" w:hAnsi="宋体" w:cs="宋体"/>
          <w:sz w:val="24"/>
        </w:rPr>
      </w:pPr>
      <w:r>
        <w:rPr>
          <w:rFonts w:hint="eastAsia" w:ascii="宋体" w:hAnsi="宋体" w:cs="宋体"/>
          <w:sz w:val="24"/>
        </w:rPr>
        <w:t>3.2甲方提供上述协作事项的时间及方式：根据项目的进度需要。</w:t>
      </w:r>
    </w:p>
    <w:p>
      <w:pPr>
        <w:spacing w:line="360" w:lineRule="auto"/>
        <w:outlineLvl w:val="0"/>
        <w:rPr>
          <w:rFonts w:hint="eastAsia" w:ascii="宋体" w:hAnsi="宋体" w:cs="宋体"/>
          <w:b/>
          <w:sz w:val="28"/>
          <w:szCs w:val="28"/>
        </w:rPr>
      </w:pPr>
      <w:r>
        <w:rPr>
          <w:rFonts w:hint="eastAsia" w:ascii="宋体" w:hAnsi="宋体" w:cs="宋体"/>
          <w:b/>
          <w:bCs/>
          <w:sz w:val="28"/>
          <w:szCs w:val="28"/>
        </w:rPr>
        <w:t>第四条 乙方向甲方交付资料及文件</w:t>
      </w:r>
    </w:p>
    <w:p>
      <w:pPr>
        <w:spacing w:line="360" w:lineRule="auto"/>
        <w:ind w:firstLine="480" w:firstLineChars="200"/>
        <w:jc w:val="left"/>
        <w:textAlignment w:val="baseline"/>
        <w:rPr>
          <w:rFonts w:hint="eastAsia" w:ascii="宋体" w:hAnsi="宋体" w:cs="宋体"/>
          <w:color w:val="000000"/>
          <w:sz w:val="24"/>
          <w:highlight w:val="none"/>
        </w:rPr>
      </w:pPr>
      <w:r>
        <w:rPr>
          <w:rFonts w:hint="eastAsia" w:ascii="宋体" w:hAnsi="宋体" w:cs="宋体"/>
          <w:color w:val="000000"/>
          <w:sz w:val="24"/>
        </w:rPr>
        <w:t>4.1本合同签订后，乙方应在3个工作日内提交编制计划及参编人员名单，报经甲方批准。</w:t>
      </w:r>
      <w:r>
        <w:rPr>
          <w:rFonts w:hint="eastAsia" w:ascii="宋体" w:hAnsi="宋体" w:cs="宋体"/>
          <w:sz w:val="24"/>
        </w:rPr>
        <w:t>合同执行中，乙方如需更换工作人员的，需征得甲方书面同意</w:t>
      </w:r>
      <w:r>
        <w:rPr>
          <w:rFonts w:ascii="宋体" w:hAnsi="宋体" w:cs="宋体"/>
          <w:sz w:val="24"/>
        </w:rPr>
        <w:t>，如有违反，甲方有权解除合同并要求乙方支付</w:t>
      </w:r>
      <w:r>
        <w:rPr>
          <w:rFonts w:hint="eastAsia" w:ascii="宋体" w:hAnsi="宋体" w:cs="宋体"/>
          <w:sz w:val="24"/>
        </w:rPr>
        <w:t>10000</w:t>
      </w:r>
      <w:r>
        <w:rPr>
          <w:rFonts w:ascii="宋体" w:hAnsi="宋体" w:cs="宋体"/>
          <w:sz w:val="24"/>
        </w:rPr>
        <w:t>元/人次作为违约金，以及赔偿由此造成的一切损失</w:t>
      </w:r>
      <w:r>
        <w:rPr>
          <w:rFonts w:hint="eastAsia" w:ascii="宋体" w:hAnsi="宋体" w:cs="宋体"/>
          <w:color w:val="000000"/>
          <w:sz w:val="24"/>
        </w:rPr>
        <w:t>。防洪评价报告</w:t>
      </w:r>
      <w:r>
        <w:rPr>
          <w:rFonts w:hint="eastAsia" w:ascii="宋体" w:hAnsi="宋体" w:cs="宋体"/>
          <w:color w:val="000000"/>
          <w:sz w:val="24"/>
          <w:lang w:val="en-US" w:eastAsia="zh-CN"/>
        </w:rPr>
        <w:t>初稿</w:t>
      </w:r>
      <w:r>
        <w:rPr>
          <w:rFonts w:hint="eastAsia" w:ascii="宋体" w:hAnsi="宋体" w:cs="宋体"/>
          <w:color w:val="000000"/>
          <w:sz w:val="24"/>
        </w:rPr>
        <w:t>应在提交编制计划后</w:t>
      </w:r>
      <w:r>
        <w:rPr>
          <w:rFonts w:hint="eastAsia" w:ascii="宋体" w:hAnsi="宋体" w:cs="宋体"/>
          <w:color w:val="000000"/>
          <w:sz w:val="24"/>
          <w:u w:val="single"/>
        </w:rPr>
        <w:t>5</w:t>
      </w:r>
      <w:r>
        <w:rPr>
          <w:rFonts w:hint="eastAsia" w:ascii="宋体" w:hAnsi="宋体" w:cs="宋体"/>
          <w:color w:val="000000"/>
          <w:sz w:val="24"/>
        </w:rPr>
        <w:t>个工作日内</w:t>
      </w:r>
      <w:r>
        <w:rPr>
          <w:rFonts w:hint="eastAsia" w:ascii="宋体" w:hAnsi="宋体" w:cs="宋体"/>
          <w:color w:val="000000"/>
          <w:sz w:val="24"/>
          <w:highlight w:val="none"/>
        </w:rPr>
        <w:t>提交甲方。</w:t>
      </w:r>
    </w:p>
    <w:p>
      <w:pPr>
        <w:topLinePunct/>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highlight w:val="none"/>
        </w:rPr>
        <w:t>4.2防洪评价</w:t>
      </w:r>
      <w:r>
        <w:rPr>
          <w:rFonts w:hint="eastAsia" w:ascii="宋体" w:hAnsi="宋体" w:cs="宋体"/>
          <w:sz w:val="24"/>
          <w:highlight w:val="none"/>
        </w:rPr>
        <w:t>报告初稿经</w:t>
      </w:r>
      <w:r>
        <w:rPr>
          <w:rFonts w:hint="eastAsia" w:ascii="宋体" w:hAnsi="宋体" w:cs="宋体"/>
          <w:sz w:val="24"/>
          <w:highlight w:val="none"/>
          <w:lang w:eastAsia="zh-CN"/>
        </w:rPr>
        <w:t>甲方组织的行业专家技术评审</w:t>
      </w:r>
      <w:r>
        <w:rPr>
          <w:rFonts w:hint="eastAsia" w:ascii="宋体" w:hAnsi="宋体" w:cs="宋体"/>
          <w:sz w:val="24"/>
          <w:highlight w:val="none"/>
        </w:rPr>
        <w:t>出具技术</w:t>
      </w:r>
      <w:r>
        <w:rPr>
          <w:rFonts w:hint="eastAsia" w:ascii="宋体" w:hAnsi="宋体" w:cs="宋体"/>
          <w:sz w:val="24"/>
          <w:highlight w:val="none"/>
          <w:lang w:eastAsia="zh-CN"/>
        </w:rPr>
        <w:t>评审</w:t>
      </w:r>
      <w:r>
        <w:rPr>
          <w:rFonts w:hint="eastAsia" w:ascii="宋体" w:hAnsi="宋体" w:cs="宋体"/>
          <w:sz w:val="24"/>
          <w:highlight w:val="none"/>
        </w:rPr>
        <w:t>意见</w:t>
      </w:r>
      <w:r>
        <w:rPr>
          <w:rFonts w:hint="eastAsia" w:ascii="宋体" w:hAnsi="宋体" w:cs="宋体"/>
          <w:sz w:val="24"/>
          <w:highlight w:val="none"/>
          <w:lang w:eastAsia="zh-CN"/>
        </w:rPr>
        <w:t>，</w:t>
      </w:r>
      <w:r>
        <w:rPr>
          <w:rFonts w:hint="eastAsia" w:ascii="宋体" w:hAnsi="宋体" w:cs="宋体"/>
          <w:sz w:val="24"/>
          <w:highlight w:val="none"/>
          <w:lang w:val="en-US" w:eastAsia="zh-CN"/>
        </w:rPr>
        <w:t>乙方应在</w:t>
      </w:r>
      <w:r>
        <w:rPr>
          <w:rFonts w:hint="eastAsia" w:ascii="宋体" w:hAnsi="宋体" w:cs="宋体"/>
          <w:sz w:val="24"/>
          <w:highlight w:val="none"/>
          <w:u w:val="single"/>
          <w:lang w:val="en-US" w:eastAsia="zh-CN"/>
        </w:rPr>
        <w:t>5</w:t>
      </w:r>
      <w:r>
        <w:rPr>
          <w:rFonts w:hint="eastAsia" w:ascii="宋体" w:hAnsi="宋体" w:cs="宋体"/>
          <w:sz w:val="24"/>
          <w:highlight w:val="none"/>
          <w:lang w:val="en-US" w:eastAsia="zh-CN"/>
        </w:rPr>
        <w:t>个工作日内按评审意见修改完善防洪评价报告，</w:t>
      </w:r>
      <w:r>
        <w:rPr>
          <w:rFonts w:hint="eastAsia" w:ascii="宋体" w:hAnsi="宋体" w:cs="宋体"/>
          <w:sz w:val="24"/>
          <w:highlight w:val="none"/>
        </w:rPr>
        <w:t>并经有关部门审批后10个工作日内，乙方</w:t>
      </w:r>
      <w:r>
        <w:rPr>
          <w:rFonts w:hint="eastAsia" w:ascii="宋体" w:hAnsi="宋体" w:cs="宋体"/>
          <w:sz w:val="24"/>
        </w:rPr>
        <w:t>向甲方交付正式的</w:t>
      </w:r>
      <w:r>
        <w:rPr>
          <w:rFonts w:hint="eastAsia" w:ascii="宋体" w:hAnsi="宋体" w:cs="宋体"/>
          <w:color w:val="000000"/>
          <w:sz w:val="24"/>
        </w:rPr>
        <w:t>防洪评价</w:t>
      </w:r>
      <w:r>
        <w:rPr>
          <w:rFonts w:hint="eastAsia" w:ascii="宋体" w:hAnsi="宋体" w:cs="宋体"/>
          <w:sz w:val="24"/>
        </w:rPr>
        <w:t>报告，</w:t>
      </w:r>
      <w:r>
        <w:rPr>
          <w:rFonts w:hint="eastAsia" w:ascii="宋体" w:hAnsi="宋体" w:cs="宋体"/>
          <w:color w:val="000000"/>
          <w:sz w:val="24"/>
        </w:rPr>
        <w:t>防洪评价</w:t>
      </w:r>
      <w:r>
        <w:rPr>
          <w:rFonts w:hint="eastAsia" w:ascii="宋体" w:hAnsi="宋体" w:cs="宋体"/>
          <w:sz w:val="24"/>
        </w:rPr>
        <w:t>成果报告一</w:t>
      </w:r>
      <w:r>
        <w:rPr>
          <w:rFonts w:hint="eastAsia" w:ascii="宋体" w:hAnsi="宋体" w:cs="宋体"/>
          <w:color w:val="000000"/>
          <w:sz w:val="24"/>
        </w:rPr>
        <w:t>式十份，电子光盘2份（未加密且可编辑格式）。</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4.3乙方应配合甲方开展结算工作并提交结算的相关资料,若乙方逾期超过30天未提交完整的结算资料和结算报告等，甲方有权单方自行结算，由此产生的一切责任由乙方承担。</w:t>
      </w:r>
    </w:p>
    <w:p>
      <w:pPr>
        <w:spacing w:line="360" w:lineRule="auto"/>
        <w:jc w:val="left"/>
        <w:textAlignment w:val="baseline"/>
        <w:rPr>
          <w:rFonts w:hint="eastAsia" w:ascii="宋体" w:hAnsi="宋体" w:cs="宋体"/>
          <w:b/>
          <w:bCs/>
          <w:color w:val="000000"/>
          <w:sz w:val="28"/>
          <w:szCs w:val="28"/>
        </w:rPr>
      </w:pPr>
      <w:r>
        <w:rPr>
          <w:rFonts w:hint="eastAsia" w:ascii="宋体" w:hAnsi="宋体" w:cs="宋体"/>
          <w:b/>
          <w:bCs/>
          <w:color w:val="000000"/>
          <w:sz w:val="28"/>
          <w:szCs w:val="28"/>
        </w:rPr>
        <w:t>第五条 成果验收</w:t>
      </w:r>
    </w:p>
    <w:p>
      <w:pPr>
        <w:topLinePunct/>
        <w:spacing w:line="360" w:lineRule="auto"/>
        <w:ind w:firstLine="480" w:firstLineChars="200"/>
        <w:jc w:val="left"/>
        <w:rPr>
          <w:rFonts w:hint="eastAsia" w:ascii="宋体" w:hAnsi="宋体" w:cs="宋体"/>
          <w:sz w:val="24"/>
        </w:rPr>
      </w:pPr>
      <w:r>
        <w:rPr>
          <w:rFonts w:hint="eastAsia" w:ascii="宋体" w:hAnsi="宋体" w:cs="宋体"/>
          <w:sz w:val="24"/>
        </w:rPr>
        <w:t>5.1乙方提交技术咨询工作成果的形式：</w:t>
      </w:r>
      <w:r>
        <w:rPr>
          <w:rFonts w:hint="eastAsia" w:ascii="宋体" w:hAnsi="宋体" w:cs="宋体"/>
          <w:color w:val="000000"/>
          <w:sz w:val="24"/>
          <w:highlight w:val="none"/>
        </w:rPr>
        <w:t>防洪评价</w:t>
      </w:r>
      <w:r>
        <w:rPr>
          <w:rFonts w:hint="eastAsia" w:ascii="宋体" w:hAnsi="宋体" w:cs="宋体"/>
          <w:sz w:val="24"/>
          <w:highlight w:val="none"/>
        </w:rPr>
        <w:t>报告</w:t>
      </w:r>
      <w:r>
        <w:rPr>
          <w:rFonts w:hint="eastAsia" w:ascii="宋体" w:hAnsi="宋体" w:cs="宋体"/>
          <w:sz w:val="24"/>
        </w:rPr>
        <w:t xml:space="preserve">。 </w:t>
      </w:r>
    </w:p>
    <w:p>
      <w:pPr>
        <w:topLinePunct/>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5.2技术咨询工作成果的验收标准：满足</w:t>
      </w:r>
      <w:r>
        <w:rPr>
          <w:rFonts w:hint="eastAsia" w:ascii="宋体" w:hAnsi="宋体" w:cs="宋体"/>
          <w:sz w:val="24"/>
          <w:highlight w:val="none"/>
          <w:lang w:eastAsia="zh-CN"/>
        </w:rPr>
        <w:t>甲方组织的行业专家</w:t>
      </w:r>
      <w:r>
        <w:rPr>
          <w:rFonts w:hint="eastAsia" w:ascii="宋体" w:hAnsi="宋体" w:cs="宋体"/>
          <w:sz w:val="24"/>
          <w:highlight w:val="none"/>
        </w:rPr>
        <w:t>技术</w:t>
      </w:r>
      <w:r>
        <w:rPr>
          <w:rFonts w:hint="eastAsia" w:ascii="宋体" w:hAnsi="宋体" w:cs="宋体"/>
          <w:sz w:val="24"/>
          <w:highlight w:val="none"/>
          <w:lang w:eastAsia="zh-CN"/>
        </w:rPr>
        <w:t>评审</w:t>
      </w:r>
      <w:r>
        <w:rPr>
          <w:rFonts w:hint="eastAsia" w:ascii="宋体" w:hAnsi="宋体" w:cs="宋体"/>
          <w:sz w:val="24"/>
          <w:highlight w:val="none"/>
        </w:rPr>
        <w:t>要求以及政府</w:t>
      </w:r>
      <w:r>
        <w:rPr>
          <w:rFonts w:hint="eastAsia" w:ascii="宋体" w:hAnsi="宋体" w:cs="宋体"/>
          <w:sz w:val="24"/>
          <w:highlight w:val="none"/>
          <w:lang w:val="en-US" w:eastAsia="zh-CN"/>
        </w:rPr>
        <w:t>行政</w:t>
      </w:r>
      <w:r>
        <w:rPr>
          <w:rFonts w:hint="eastAsia" w:ascii="宋体" w:hAnsi="宋体" w:cs="宋体"/>
          <w:sz w:val="24"/>
          <w:highlight w:val="none"/>
        </w:rPr>
        <w:t>主管部门的审批要求并得到批准，满足甲方项目建设需要。</w:t>
      </w:r>
    </w:p>
    <w:p>
      <w:pPr>
        <w:topLinePunct/>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5.3技术咨询工作成果的验收方法：由甲方组织行业专家对工作成果进行技术评审，</w:t>
      </w:r>
      <w:r>
        <w:rPr>
          <w:rFonts w:hint="eastAsia" w:ascii="宋体" w:hAnsi="宋体" w:cs="宋体"/>
          <w:sz w:val="24"/>
          <w:highlight w:val="none"/>
          <w:lang w:val="en-US" w:eastAsia="zh-CN"/>
        </w:rPr>
        <w:t>报告</w:t>
      </w:r>
      <w:r>
        <w:rPr>
          <w:rFonts w:hint="eastAsia" w:ascii="宋体" w:hAnsi="宋体" w:cs="宋体"/>
          <w:sz w:val="24"/>
          <w:highlight w:val="none"/>
        </w:rPr>
        <w:t>通过专家评审和</w:t>
      </w:r>
      <w:r>
        <w:rPr>
          <w:rFonts w:hint="eastAsia" w:ascii="宋体" w:hAnsi="宋体" w:cs="宋体"/>
          <w:color w:val="000000"/>
          <w:sz w:val="24"/>
          <w:highlight w:val="none"/>
        </w:rPr>
        <w:t>政府</w:t>
      </w:r>
      <w:r>
        <w:rPr>
          <w:rFonts w:hint="eastAsia" w:ascii="宋体" w:hAnsi="宋体" w:cs="宋体"/>
          <w:color w:val="000000"/>
          <w:sz w:val="24"/>
          <w:highlight w:val="none"/>
          <w:lang w:val="en-US" w:eastAsia="zh-CN"/>
        </w:rPr>
        <w:t>行政</w:t>
      </w:r>
      <w:r>
        <w:rPr>
          <w:rFonts w:hint="eastAsia" w:ascii="宋体" w:hAnsi="宋体" w:cs="宋体"/>
          <w:color w:val="000000"/>
          <w:sz w:val="24"/>
          <w:highlight w:val="none"/>
        </w:rPr>
        <w:t>主管部门</w:t>
      </w:r>
      <w:r>
        <w:rPr>
          <w:rFonts w:hint="eastAsia" w:ascii="宋体" w:hAnsi="宋体" w:cs="宋体"/>
          <w:sz w:val="24"/>
          <w:highlight w:val="none"/>
        </w:rPr>
        <w:t>审批视为满足验收标准。</w:t>
      </w:r>
    </w:p>
    <w:p>
      <w:pPr>
        <w:spacing w:line="360" w:lineRule="auto"/>
        <w:outlineLvl w:val="0"/>
        <w:rPr>
          <w:rFonts w:hint="eastAsia" w:ascii="宋体" w:hAnsi="宋体" w:cs="宋体"/>
          <w:b/>
          <w:bCs/>
          <w:sz w:val="28"/>
          <w:szCs w:val="28"/>
          <w:highlight w:val="none"/>
        </w:rPr>
      </w:pPr>
      <w:r>
        <w:rPr>
          <w:rFonts w:hint="eastAsia" w:ascii="宋体" w:hAnsi="宋体" w:cs="宋体"/>
          <w:b/>
          <w:bCs/>
          <w:sz w:val="28"/>
          <w:szCs w:val="28"/>
          <w:highlight w:val="none"/>
        </w:rPr>
        <w:t>第六条 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w:t>
      </w:r>
      <w:r>
        <w:rPr>
          <w:rFonts w:hint="eastAsia" w:ascii="宋体" w:hAnsi="宋体" w:cs="宋体"/>
          <w:sz w:val="24"/>
          <w:highlight w:val="none"/>
          <w:lang w:val="en-US" w:eastAsia="zh-CN"/>
        </w:rPr>
        <w:t>以</w:t>
      </w:r>
      <w:r>
        <w:rPr>
          <w:rFonts w:hint="eastAsia" w:ascii="宋体" w:hAnsi="宋体" w:cs="宋体"/>
          <w:b/>
          <w:bCs/>
          <w:sz w:val="24"/>
          <w:highlight w:val="none"/>
        </w:rPr>
        <w:t>总价包干</w:t>
      </w:r>
      <w:r>
        <w:rPr>
          <w:rFonts w:hint="eastAsia" w:ascii="宋体" w:hAnsi="宋体" w:cs="宋体"/>
          <w:b/>
          <w:bCs/>
          <w:sz w:val="24"/>
          <w:highlight w:val="none"/>
          <w:lang w:val="en-US" w:eastAsia="zh-CN"/>
        </w:rPr>
        <w:t>形式</w:t>
      </w:r>
      <w:r>
        <w:rPr>
          <w:rFonts w:hint="eastAsia" w:ascii="宋体" w:hAnsi="宋体" w:cs="宋体"/>
          <w:b/>
          <w:bCs/>
          <w:sz w:val="24"/>
          <w:highlight w:val="none"/>
        </w:rPr>
        <w:t>，</w:t>
      </w:r>
      <w:r>
        <w:rPr>
          <w:rFonts w:hint="eastAsia" w:ascii="宋体" w:hAnsi="宋体" w:cs="宋体"/>
          <w:b/>
          <w:bCs/>
          <w:sz w:val="24"/>
          <w:highlight w:val="none"/>
          <w:lang w:val="en-US" w:eastAsia="zh-CN"/>
        </w:rPr>
        <w:t>合同价格暂定</w:t>
      </w:r>
      <w:r>
        <w:rPr>
          <w:rFonts w:hint="eastAsia" w:ascii="宋体" w:hAnsi="宋体" w:cs="宋体"/>
          <w:sz w:val="24"/>
          <w:highlight w:val="none"/>
        </w:rPr>
        <w:t>为人民币</w:t>
      </w:r>
      <w:r>
        <w:rPr>
          <w:rFonts w:hint="eastAsia" w:ascii="宋体" w:hAnsi="宋体" w:cs="宋体"/>
          <w:b/>
          <w:bCs/>
          <w:sz w:val="24"/>
          <w:highlight w:val="none"/>
          <w:u w:val="single"/>
          <w:lang w:val="en-US" w:eastAsia="zh-CN"/>
        </w:rPr>
        <w:t xml:space="preserve">      </w:t>
      </w:r>
      <w:r>
        <w:rPr>
          <w:rFonts w:hint="eastAsia" w:ascii="宋体" w:hAnsi="宋体" w:cs="宋体"/>
          <w:b/>
          <w:sz w:val="24"/>
          <w:highlight w:val="none"/>
        </w:rPr>
        <w:t>万元</w:t>
      </w:r>
      <w:r>
        <w:rPr>
          <w:rFonts w:hint="eastAsia" w:ascii="宋体" w:hAnsi="宋体" w:cs="宋体"/>
          <w:sz w:val="24"/>
          <w:highlight w:val="none"/>
        </w:rPr>
        <w:t>（大写：</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r>
        <w:rPr>
          <w:rFonts w:hint="eastAsia" w:ascii="宋体" w:hAnsi="宋体" w:cs="宋体"/>
          <w:sz w:val="24"/>
          <w:highlight w:val="none"/>
          <w:u w:val="single"/>
        </w:rPr>
        <w:t>含税率</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r>
        <w:rPr>
          <w:rFonts w:hint="eastAsia" w:ascii="宋体" w:hAnsi="宋体" w:cs="宋体"/>
          <w:color w:val="000000"/>
          <w:sz w:val="24"/>
          <w:highlight w:val="none"/>
        </w:rPr>
        <w:t>。</w:t>
      </w:r>
      <w:r>
        <w:rPr>
          <w:rFonts w:hint="eastAsia" w:ascii="宋体" w:hAnsi="宋体" w:cs="宋体"/>
          <w:sz w:val="24"/>
          <w:highlight w:val="none"/>
        </w:rPr>
        <w:t>合同履行期间国家税率调整或乙方开票的实际税率与前述税率不一致的，不含税价不变，价税合</w:t>
      </w:r>
      <w:r>
        <w:rPr>
          <w:rFonts w:hint="eastAsia" w:ascii="宋体" w:hAnsi="宋体" w:cs="宋体"/>
          <w:sz w:val="24"/>
        </w:rPr>
        <w:t>计按实际税率相应调整，以开具</w:t>
      </w:r>
      <w:r>
        <w:rPr>
          <w:rFonts w:hint="eastAsia" w:ascii="宋体" w:hAnsi="宋体" w:cs="宋体"/>
          <w:sz w:val="24"/>
          <w:highlight w:val="none"/>
        </w:rPr>
        <w:t>发票时间为准。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本合同价</w:t>
      </w:r>
      <w:r>
        <w:rPr>
          <w:rFonts w:hint="eastAsia" w:ascii="宋体" w:hAnsi="宋体" w:cs="宋体"/>
          <w:sz w:val="24"/>
          <w:highlight w:val="none"/>
          <w:lang w:val="en-US" w:eastAsia="zh-CN"/>
        </w:rPr>
        <w:t>格</w:t>
      </w:r>
      <w:r>
        <w:rPr>
          <w:rFonts w:hint="eastAsia" w:ascii="宋体" w:hAnsi="宋体" w:cs="宋体"/>
          <w:sz w:val="24"/>
          <w:highlight w:val="none"/>
        </w:rPr>
        <w:t>包括完成本合同项下的所有工作内容所需要的直接和间接的一切费用</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w:t>
      </w:r>
      <w:r>
        <w:rPr>
          <w:rFonts w:hint="eastAsia"/>
          <w:sz w:val="24"/>
          <w:highlight w:val="none"/>
        </w:rPr>
        <w:t>现场踏勘费、报告编写费、专家评审费及税金等一切相关费用</w:t>
      </w:r>
      <w:r>
        <w:rPr>
          <w:rFonts w:hint="eastAsia" w:ascii="宋体" w:hAnsi="宋体" w:cs="宋体"/>
          <w:sz w:val="24"/>
          <w:highlight w:val="none"/>
        </w:rPr>
        <w:t>，不因人工、材料、设备的变化而作调整。</w:t>
      </w:r>
    </w:p>
    <w:p>
      <w:pPr>
        <w:spacing w:line="360" w:lineRule="auto"/>
        <w:outlineLvl w:val="0"/>
        <w:rPr>
          <w:rFonts w:hint="eastAsia" w:ascii="宋体" w:hAnsi="宋体" w:cs="宋体"/>
          <w:b/>
          <w:bCs/>
          <w:sz w:val="28"/>
          <w:szCs w:val="28"/>
        </w:rPr>
      </w:pPr>
      <w:r>
        <w:rPr>
          <w:rFonts w:hint="eastAsia" w:ascii="宋体" w:hAnsi="宋体" w:cs="宋体"/>
          <w:b/>
          <w:bCs/>
          <w:sz w:val="28"/>
          <w:szCs w:val="28"/>
        </w:rPr>
        <w:t>第七条 支付方式</w:t>
      </w:r>
    </w:p>
    <w:p>
      <w:pPr>
        <w:adjustRightInd w:val="0"/>
        <w:spacing w:line="360" w:lineRule="auto"/>
        <w:ind w:firstLine="480" w:firstLineChars="200"/>
        <w:jc w:val="left"/>
        <w:textAlignment w:val="baseline"/>
        <w:rPr>
          <w:rFonts w:hAnsi="宋体"/>
        </w:rPr>
      </w:pPr>
      <w:r>
        <w:rPr>
          <w:rFonts w:hint="eastAsia" w:ascii="宋体" w:hAnsi="宋体" w:cs="宋体"/>
          <w:sz w:val="24"/>
        </w:rPr>
        <w:t xml:space="preserve">7.1.1 </w:t>
      </w:r>
      <w:r>
        <w:rPr>
          <w:rFonts w:hint="eastAsia" w:hAnsi="宋体"/>
        </w:rPr>
        <w:t>乙方收款账号资料</w:t>
      </w:r>
    </w:p>
    <w:p>
      <w:pPr>
        <w:spacing w:line="384" w:lineRule="auto"/>
        <w:ind w:firstLine="720" w:firstLineChars="300"/>
        <w:rPr>
          <w:rFonts w:ascii="宋体" w:hAnsi="宋体" w:cs="宋体"/>
          <w:sz w:val="24"/>
          <w:highlight w:val="none"/>
        </w:rPr>
      </w:pPr>
      <w:r>
        <w:rPr>
          <w:rFonts w:hint="eastAsia" w:ascii="宋体" w:hAnsi="宋体" w:cs="宋体"/>
          <w:sz w:val="24"/>
          <w:highlight w:val="none"/>
        </w:rPr>
        <w:t>乙方收款账户：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720" w:firstLineChars="300"/>
        <w:rPr>
          <w:rFonts w:ascii="宋体" w:hAnsi="宋体" w:cs="宋体"/>
          <w:sz w:val="24"/>
        </w:rPr>
      </w:pPr>
      <w:r>
        <w:rPr>
          <w:rFonts w:hint="eastAsia" w:ascii="宋体" w:hAnsi="宋体" w:cs="宋体"/>
          <w:sz w:val="24"/>
          <w:highlight w:val="none"/>
        </w:rPr>
        <w:t>乙方在收款前需提交等额增值税专用发票给甲方。增值税</w:t>
      </w:r>
      <w:r>
        <w:rPr>
          <w:rFonts w:hint="eastAsia" w:ascii="宋体" w:hAnsi="宋体" w:cs="宋体"/>
          <w:sz w:val="24"/>
        </w:rPr>
        <w:t>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u w:val="single"/>
        </w:rPr>
      </w:pPr>
      <w:r>
        <w:rPr>
          <w:rFonts w:hint="eastAsia" w:ascii="宋体" w:hAnsi="宋体" w:cs="宋体"/>
          <w:sz w:val="24"/>
        </w:rPr>
        <w:t xml:space="preserve">税号：91440101755584729Q；            </w:t>
      </w:r>
    </w:p>
    <w:p>
      <w:pPr>
        <w:spacing w:line="384" w:lineRule="auto"/>
        <w:ind w:firstLine="960" w:firstLineChars="400"/>
        <w:rPr>
          <w:rFonts w:hint="eastAsia" w:ascii="宋体" w:hAnsi="宋体" w:cs="宋体"/>
          <w:sz w:val="24"/>
        </w:rPr>
      </w:pPr>
      <w:r>
        <w:rPr>
          <w:rFonts w:hint="eastAsia" w:ascii="宋体" w:hAnsi="宋体" w:cs="宋体"/>
          <w:sz w:val="24"/>
        </w:rPr>
        <w:t>地址：广州市天河区临江大道501号。</w:t>
      </w:r>
    </w:p>
    <w:p>
      <w:pPr>
        <w:spacing w:line="360" w:lineRule="auto"/>
        <w:ind w:firstLine="480" w:firstLineChars="200"/>
        <w:rPr>
          <w:rFonts w:ascii="宋体" w:hAnsi="宋体" w:cs="宋体"/>
          <w:sz w:val="24"/>
          <w:highlight w:val="none"/>
        </w:rPr>
      </w:pPr>
      <w:r>
        <w:rPr>
          <w:rFonts w:hint="eastAsia" w:ascii="宋体" w:hAnsi="宋体" w:cs="宋体"/>
          <w:sz w:val="24"/>
        </w:rPr>
        <w:t>7.1.</w:t>
      </w:r>
      <w:r>
        <w:rPr>
          <w:rFonts w:hint="eastAsia" w:ascii="宋体" w:hAnsi="宋体" w:cs="宋体"/>
          <w:sz w:val="24"/>
          <w:highlight w:val="none"/>
        </w:rPr>
        <w:t>2付款方式：</w:t>
      </w:r>
      <w:r>
        <w:rPr>
          <w:rFonts w:hint="eastAsia" w:ascii="宋体" w:hAnsi="宋体" w:cs="宋体"/>
          <w:sz w:val="24"/>
          <w:highlight w:val="none"/>
        </w:rPr>
        <w:sym w:font="Wingdings" w:char="00FE"/>
      </w:r>
      <w:r>
        <w:rPr>
          <w:rFonts w:hint="eastAsia" w:ascii="宋体" w:hAnsi="宋体" w:cs="宋体"/>
          <w:sz w:val="24"/>
          <w:highlight w:val="none"/>
        </w:rPr>
        <w:t>网银支付；</w:t>
      </w:r>
      <w:r>
        <w:rPr>
          <w:rFonts w:hint="eastAsia" w:ascii="宋体" w:hAnsi="宋体" w:cs="宋体"/>
          <w:sz w:val="24"/>
          <w:highlight w:val="none"/>
        </w:rPr>
        <w:sym w:font="Wingdings" w:char="00A8"/>
      </w:r>
      <w:r>
        <w:rPr>
          <w:rFonts w:hint="eastAsia" w:ascii="宋体" w:hAnsi="宋体" w:cs="宋体"/>
          <w:sz w:val="24"/>
          <w:highlight w:val="none"/>
        </w:rPr>
        <w:t>支票；</w:t>
      </w:r>
      <w:r>
        <w:rPr>
          <w:rFonts w:hint="eastAsia" w:ascii="宋体" w:hAnsi="宋体" w:cs="宋体"/>
          <w:sz w:val="24"/>
          <w:highlight w:val="none"/>
        </w:rPr>
        <w:sym w:font="Wingdings" w:char="00A8"/>
      </w:r>
      <w:r>
        <w:rPr>
          <w:rFonts w:hint="eastAsia" w:ascii="宋体" w:hAnsi="宋体" w:cs="宋体"/>
          <w:sz w:val="24"/>
          <w:highlight w:val="none"/>
        </w:rPr>
        <w:t>其他：/</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7.2.1乙方向甲方</w:t>
      </w:r>
      <w:r>
        <w:rPr>
          <w:rFonts w:hint="eastAsia" w:ascii="宋体" w:hAnsi="宋体" w:cs="宋体"/>
          <w:sz w:val="24"/>
          <w:highlight w:val="none"/>
          <w:lang w:val="en-US" w:eastAsia="zh-CN"/>
        </w:rPr>
        <w:t>提交</w:t>
      </w:r>
      <w:r>
        <w:rPr>
          <w:rFonts w:hint="eastAsia" w:ascii="宋体" w:hAnsi="宋体" w:cs="宋体"/>
          <w:sz w:val="24"/>
          <w:highlight w:val="none"/>
        </w:rPr>
        <w:t>防洪评价报告初稿，经甲方</w:t>
      </w:r>
      <w:r>
        <w:rPr>
          <w:rFonts w:hint="eastAsia" w:ascii="宋体" w:hAnsi="宋体" w:cs="宋体"/>
          <w:sz w:val="24"/>
        </w:rPr>
        <w:t>确认后，甲方向乙方支付至</w:t>
      </w:r>
      <w:r>
        <w:rPr>
          <w:rFonts w:hint="eastAsia" w:ascii="宋体" w:hAnsi="宋体" w:cs="宋体"/>
          <w:sz w:val="24"/>
          <w:highlight w:val="none"/>
        </w:rPr>
        <w:t>合同暂定价的60%；</w:t>
      </w:r>
    </w:p>
    <w:p>
      <w:pPr>
        <w:pStyle w:val="3"/>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highlight w:val="none"/>
        </w:rPr>
        <w:t xml:space="preserve">7.2.2 </w:t>
      </w:r>
      <w:r>
        <w:rPr>
          <w:rFonts w:hint="eastAsia" w:ascii="宋体" w:hAnsi="宋体" w:eastAsia="宋体" w:cs="宋体"/>
          <w:color w:val="000000"/>
          <w:sz w:val="24"/>
          <w:szCs w:val="24"/>
          <w:highlight w:val="none"/>
        </w:rPr>
        <w:t>防洪评价报告经</w:t>
      </w:r>
      <w:r>
        <w:rPr>
          <w:rFonts w:hint="eastAsia" w:ascii="宋体" w:hAnsi="宋体" w:eastAsia="宋体" w:cs="宋体"/>
          <w:color w:val="000000"/>
          <w:sz w:val="24"/>
          <w:szCs w:val="24"/>
          <w:highlight w:val="none"/>
          <w:lang w:eastAsia="zh-CN"/>
        </w:rPr>
        <w:t>专家</w:t>
      </w:r>
      <w:r>
        <w:rPr>
          <w:rFonts w:hint="eastAsia" w:ascii="宋体" w:hAnsi="宋体" w:eastAsia="宋体" w:cs="宋体"/>
          <w:color w:val="000000"/>
          <w:sz w:val="24"/>
          <w:szCs w:val="24"/>
          <w:highlight w:val="none"/>
        </w:rPr>
        <w:t>技术</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并按</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意见修改完善，上报政府</w:t>
      </w:r>
      <w:r>
        <w:rPr>
          <w:rFonts w:hint="eastAsia" w:ascii="宋体" w:hAnsi="宋体" w:eastAsia="宋体" w:cs="宋体"/>
          <w:color w:val="000000"/>
          <w:sz w:val="24"/>
          <w:szCs w:val="24"/>
          <w:highlight w:val="none"/>
          <w:lang w:val="en-US" w:eastAsia="zh-CN"/>
        </w:rPr>
        <w:t>行政</w:t>
      </w:r>
      <w:r>
        <w:rPr>
          <w:rFonts w:hint="eastAsia" w:ascii="宋体" w:hAnsi="宋体" w:eastAsia="宋体" w:cs="宋体"/>
          <w:color w:val="000000"/>
          <w:sz w:val="24"/>
          <w:szCs w:val="24"/>
          <w:highlight w:val="none"/>
        </w:rPr>
        <w:t>主管部门获得行政批复后，</w:t>
      </w:r>
      <w:r>
        <w:rPr>
          <w:rFonts w:ascii="宋体" w:hAnsi="宋体" w:eastAsia="宋体" w:cs="宋体"/>
          <w:sz w:val="24"/>
          <w:szCs w:val="24"/>
          <w:highlight w:val="none"/>
        </w:rPr>
        <w:t>乙方将工程支付申请书一式四份报送给甲方</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甲方向乙方支付至合同暂定</w:t>
      </w:r>
      <w:r>
        <w:rPr>
          <w:rFonts w:hint="eastAsia" w:ascii="宋体" w:hAnsi="宋体" w:eastAsia="宋体" w:cs="宋体"/>
          <w:sz w:val="24"/>
          <w:szCs w:val="24"/>
          <w:highlight w:val="none"/>
        </w:rPr>
        <w:t>价</w:t>
      </w:r>
      <w:r>
        <w:rPr>
          <w:rFonts w:hint="eastAsia" w:ascii="宋体" w:hAnsi="宋体" w:eastAsia="宋体" w:cs="宋体"/>
          <w:color w:val="000000"/>
          <w:sz w:val="24"/>
          <w:szCs w:val="24"/>
          <w:highlight w:val="none"/>
        </w:rPr>
        <w:t>的80%。</w:t>
      </w:r>
    </w:p>
    <w:p>
      <w:pPr>
        <w:overflowPunct w:val="0"/>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sz w:val="24"/>
          <w:highlight w:val="none"/>
        </w:rPr>
        <w:t>7.2.3</w:t>
      </w:r>
      <w:r>
        <w:rPr>
          <w:rFonts w:hint="eastAsia" w:ascii="宋体" w:hAnsi="宋体"/>
          <w:color w:val="000000"/>
          <w:sz w:val="24"/>
          <w:highlight w:val="none"/>
        </w:rPr>
        <w:t>经甲方或甲方委托第三方机构</w:t>
      </w:r>
      <w:r>
        <w:rPr>
          <w:rFonts w:hint="eastAsia" w:ascii="宋体" w:hAnsi="宋体"/>
          <w:sz w:val="24"/>
          <w:highlight w:val="none"/>
        </w:rPr>
        <w:t>审</w:t>
      </w:r>
      <w:r>
        <w:rPr>
          <w:rFonts w:hint="eastAsia" w:ascii="宋体" w:hAnsi="宋体"/>
          <w:sz w:val="24"/>
        </w:rPr>
        <w:t>核结算后，甲方支付至合同结算价的100%</w:t>
      </w:r>
      <w:r>
        <w:rPr>
          <w:rFonts w:hint="eastAsia" w:ascii="宋体" w:hAnsi="宋体"/>
          <w:color w:val="000000"/>
          <w:sz w:val="24"/>
        </w:rPr>
        <w:t>。如甲方实际支付的费用超过结算价的，乙方应当在收到结算评审结果之日起30日内向甲方退还超支</w:t>
      </w:r>
      <w:r>
        <w:rPr>
          <w:rFonts w:hint="eastAsia" w:ascii="宋体" w:hAnsi="宋体"/>
          <w:color w:val="000000"/>
          <w:sz w:val="24"/>
          <w:lang w:val="en-US" w:eastAsia="zh-CN"/>
        </w:rPr>
        <w:t>费用</w:t>
      </w:r>
      <w:r>
        <w:rPr>
          <w:rFonts w:hint="eastAsia" w:ascii="宋体" w:hAnsi="宋体"/>
          <w:color w:val="000000"/>
          <w:sz w:val="24"/>
        </w:rPr>
        <w:t>。乙方迟延退还的，每逾期一天按超支</w:t>
      </w:r>
      <w:r>
        <w:rPr>
          <w:rFonts w:hint="eastAsia" w:ascii="宋体" w:hAnsi="宋体"/>
          <w:color w:val="000000"/>
          <w:sz w:val="24"/>
          <w:lang w:val="en-US" w:eastAsia="zh-CN"/>
        </w:rPr>
        <w:t>费用</w:t>
      </w:r>
      <w:r>
        <w:rPr>
          <w:rFonts w:hint="eastAsia" w:ascii="宋体" w:hAnsi="宋体"/>
          <w:color w:val="000000"/>
          <w:sz w:val="24"/>
        </w:rPr>
        <w:t>的</w:t>
      </w:r>
      <w:r>
        <w:rPr>
          <w:rFonts w:hint="eastAsia" w:ascii="宋体" w:hAnsi="宋体" w:cs="宋体"/>
          <w:sz w:val="24"/>
        </w:rPr>
        <w:t>三倍全国银行间同业拆借中心公布的贷款市场报价利率</w:t>
      </w:r>
      <w:r>
        <w:rPr>
          <w:rFonts w:hint="eastAsia" w:ascii="宋体" w:hAnsi="宋体"/>
          <w:color w:val="000000"/>
          <w:sz w:val="24"/>
        </w:rPr>
        <w:t>向甲方支付利息。</w:t>
      </w:r>
      <w:r>
        <w:rPr>
          <w:rFonts w:hint="eastAsia" w:ascii="宋体" w:hAnsi="宋体" w:cs="宋体"/>
          <w:color w:val="000000"/>
          <w:sz w:val="24"/>
        </w:rPr>
        <w:t xml:space="preserve"> </w:t>
      </w:r>
    </w:p>
    <w:p>
      <w:pPr>
        <w:spacing w:line="360" w:lineRule="auto"/>
        <w:outlineLvl w:val="0"/>
        <w:rPr>
          <w:rFonts w:hint="eastAsia" w:ascii="宋体" w:hAnsi="宋体" w:cs="宋体"/>
          <w:b/>
          <w:bCs/>
          <w:sz w:val="28"/>
          <w:szCs w:val="28"/>
        </w:rPr>
      </w:pPr>
      <w:r>
        <w:rPr>
          <w:rFonts w:hint="eastAsia" w:ascii="宋体" w:hAnsi="宋体" w:cs="宋体"/>
          <w:b/>
          <w:bCs/>
          <w:sz w:val="28"/>
          <w:szCs w:val="28"/>
        </w:rPr>
        <w:t>第八条 双方的责任</w:t>
      </w:r>
    </w:p>
    <w:p>
      <w:pPr>
        <w:spacing w:line="360" w:lineRule="auto"/>
        <w:ind w:firstLine="480" w:firstLineChars="200"/>
        <w:rPr>
          <w:rFonts w:hint="eastAsia" w:ascii="宋体" w:hAnsi="宋体" w:cs="宋体"/>
          <w:sz w:val="24"/>
        </w:rPr>
      </w:pPr>
      <w:r>
        <w:rPr>
          <w:rFonts w:hint="eastAsia" w:ascii="宋体" w:hAnsi="宋体" w:cs="宋体"/>
          <w:sz w:val="24"/>
        </w:rPr>
        <w:t>8.1甲方责任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8.1.2在合同履行期间，已开始编制工作，非乙方原因，甲方要求终止或解除合同，甲方根据乙方已进行的实际工作量按实进行结算，最高支付至合同</w:t>
      </w:r>
      <w:r>
        <w:rPr>
          <w:rFonts w:hint="eastAsia" w:ascii="宋体" w:hAnsi="宋体" w:cs="宋体"/>
          <w:color w:val="000000"/>
          <w:sz w:val="24"/>
          <w:lang w:eastAsia="zh-CN"/>
        </w:rPr>
        <w:t>暂定总</w:t>
      </w:r>
      <w:r>
        <w:rPr>
          <w:rFonts w:hint="eastAsia" w:ascii="宋体" w:hAnsi="宋体" w:cs="宋体"/>
          <w:color w:val="000000"/>
          <w:sz w:val="24"/>
        </w:rPr>
        <w:t>价的六成。</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8.1.3甲方要求乙方比合同规定时间提前交付编制文件时，需征得乙方同意，不得严重背离合理编制周期。</w:t>
      </w:r>
    </w:p>
    <w:p>
      <w:pPr>
        <w:spacing w:line="360" w:lineRule="auto"/>
        <w:ind w:firstLine="480" w:firstLineChars="200"/>
        <w:rPr>
          <w:rFonts w:hint="eastAsia" w:ascii="宋体" w:hAnsi="宋体" w:cs="宋体"/>
          <w:sz w:val="24"/>
        </w:rPr>
      </w:pPr>
      <w:r>
        <w:rPr>
          <w:rFonts w:hint="eastAsia" w:ascii="宋体" w:hAnsi="宋体" w:cs="宋体"/>
          <w:sz w:val="24"/>
        </w:rPr>
        <w:t>8.2乙方责任</w:t>
      </w:r>
    </w:p>
    <w:p>
      <w:pPr>
        <w:spacing w:line="360" w:lineRule="auto"/>
        <w:ind w:firstLine="480" w:firstLineChars="200"/>
        <w:rPr>
          <w:rFonts w:hint="eastAsia" w:ascii="宋体" w:hAnsi="宋体" w:cs="宋体"/>
          <w:sz w:val="24"/>
        </w:rPr>
      </w:pPr>
      <w:r>
        <w:rPr>
          <w:rFonts w:hint="eastAsia" w:ascii="宋体" w:hAnsi="宋体" w:cs="宋体"/>
          <w:sz w:val="24"/>
        </w:rPr>
        <w:t>8.2.1乙方应在商定的时间内向甲方提交</w:t>
      </w:r>
      <w:r>
        <w:rPr>
          <w:rFonts w:hint="eastAsia" w:ascii="宋体" w:hAnsi="宋体" w:cs="宋体"/>
          <w:sz w:val="24"/>
          <w:lang w:val="en-US" w:eastAsia="zh-CN"/>
        </w:rPr>
        <w:t>工作成果</w:t>
      </w:r>
      <w:r>
        <w:rPr>
          <w:rFonts w:hint="eastAsia" w:ascii="宋体" w:hAnsi="宋体" w:cs="宋体"/>
          <w:sz w:val="24"/>
        </w:rPr>
        <w:t>，乙方保证具备相应的资质并对提交的文件、报告及所出的结论负责。</w:t>
      </w:r>
    </w:p>
    <w:p>
      <w:pPr>
        <w:spacing w:line="360" w:lineRule="auto"/>
        <w:ind w:firstLine="480" w:firstLineChars="200"/>
        <w:rPr>
          <w:rFonts w:hint="eastAsia" w:ascii="宋体" w:hAnsi="宋体" w:cs="宋体"/>
          <w:sz w:val="24"/>
        </w:rPr>
      </w:pPr>
      <w:r>
        <w:rPr>
          <w:rFonts w:hint="eastAsia" w:ascii="宋体" w:hAnsi="宋体" w:cs="宋体"/>
          <w:sz w:val="24"/>
        </w:rPr>
        <w:t>8.2.2因文件质量问题引起返工，除由乙方继续完善外，并视造成损失大小，减收直至免收编制费。</w:t>
      </w:r>
    </w:p>
    <w:p>
      <w:pPr>
        <w:spacing w:line="360" w:lineRule="auto"/>
        <w:ind w:firstLine="480" w:firstLineChars="200"/>
        <w:rPr>
          <w:rFonts w:ascii="宋体" w:hAnsi="宋体" w:cs="宋体"/>
          <w:sz w:val="24"/>
          <w:highlight w:val="none"/>
        </w:rPr>
      </w:pPr>
      <w:r>
        <w:rPr>
          <w:rFonts w:hint="eastAsia" w:ascii="宋体" w:hAnsi="宋体" w:cs="宋体"/>
          <w:sz w:val="24"/>
        </w:rPr>
        <w:t>8.2.3乙方提交的</w:t>
      </w:r>
      <w:r>
        <w:rPr>
          <w:rFonts w:hint="eastAsia" w:ascii="宋体" w:hAnsi="宋体" w:cs="宋体"/>
          <w:sz w:val="24"/>
          <w:lang w:val="en-US" w:eastAsia="zh-CN"/>
        </w:rPr>
        <w:t>工作成果</w:t>
      </w:r>
      <w:r>
        <w:rPr>
          <w:rFonts w:hint="eastAsia" w:ascii="宋体" w:hAnsi="宋体" w:cs="宋体"/>
          <w:sz w:val="24"/>
        </w:rPr>
        <w:t>不符合合同约定，经修改后仍未达到要求的，甲方有权解除合同，要求乙方赔偿损失并返还已收到的全部合同价款，如逾期未返还，</w:t>
      </w:r>
      <w:r>
        <w:rPr>
          <w:rFonts w:hint="eastAsia" w:ascii="宋体" w:hAnsi="宋体" w:cs="宋体"/>
          <w:sz w:val="24"/>
          <w:lang w:val="en-US" w:eastAsia="zh-CN"/>
        </w:rPr>
        <w:t>每逾期一天，</w:t>
      </w:r>
      <w:r>
        <w:rPr>
          <w:rFonts w:hint="eastAsia" w:ascii="宋体" w:hAnsi="宋体" w:cs="宋体"/>
          <w:sz w:val="24"/>
        </w:rPr>
        <w:t>应按全国银行间同业拆借中心公布的贷款市场报价利率支</w:t>
      </w:r>
      <w:r>
        <w:rPr>
          <w:rFonts w:hint="eastAsia" w:ascii="宋体" w:hAnsi="宋体" w:cs="宋体"/>
          <w:sz w:val="24"/>
          <w:highlight w:val="none"/>
        </w:rPr>
        <w:t>付相应利息。</w:t>
      </w:r>
    </w:p>
    <w:p>
      <w:pPr>
        <w:spacing w:line="360" w:lineRule="auto"/>
        <w:ind w:firstLine="480" w:firstLineChars="200"/>
        <w:rPr>
          <w:rFonts w:ascii="宋体" w:hAnsi="宋体" w:cs="宋体"/>
          <w:sz w:val="24"/>
        </w:rPr>
      </w:pPr>
      <w:r>
        <w:rPr>
          <w:rFonts w:hint="eastAsia" w:ascii="宋体" w:hAnsi="宋体" w:cs="宋体"/>
          <w:sz w:val="24"/>
          <w:highlight w:val="none"/>
        </w:rPr>
        <w:t>8.2.4由于乙方自身原因，延误了按本合同第</w:t>
      </w:r>
      <w:r>
        <w:rPr>
          <w:rFonts w:hint="eastAsia" w:ascii="宋体" w:hAnsi="宋体" w:cs="宋体"/>
          <w:sz w:val="24"/>
          <w:highlight w:val="none"/>
          <w:lang w:val="en-US" w:eastAsia="zh-CN"/>
        </w:rPr>
        <w:t>四</w:t>
      </w:r>
      <w:r>
        <w:rPr>
          <w:rFonts w:hint="eastAsia" w:ascii="宋体" w:hAnsi="宋体" w:cs="宋体"/>
          <w:sz w:val="24"/>
          <w:highlight w:val="none"/>
        </w:rPr>
        <w:t>条规定的防洪评价报</w:t>
      </w:r>
      <w:r>
        <w:rPr>
          <w:rFonts w:hint="eastAsia" w:ascii="宋体" w:hAnsi="宋体" w:cs="宋体"/>
          <w:sz w:val="24"/>
        </w:rPr>
        <w:t>告交付时间，</w:t>
      </w:r>
      <w:r>
        <w:rPr>
          <w:rFonts w:hint="eastAsia" w:ascii="宋体" w:hAnsi="宋体" w:cs="宋体"/>
          <w:color w:val="000000"/>
          <w:sz w:val="24"/>
        </w:rPr>
        <w:t>每延误一天应</w:t>
      </w:r>
      <w:r>
        <w:rPr>
          <w:rFonts w:hint="eastAsia" w:ascii="宋体" w:hAnsi="宋体" w:cs="宋体"/>
          <w:color w:val="000000"/>
          <w:sz w:val="24"/>
          <w:lang w:val="en-US" w:eastAsia="zh-CN"/>
        </w:rPr>
        <w:t>支付</w:t>
      </w:r>
      <w:r>
        <w:rPr>
          <w:rFonts w:hint="eastAsia" w:ascii="宋体" w:hAnsi="宋体" w:cs="宋体"/>
          <w:color w:val="000000"/>
          <w:sz w:val="24"/>
        </w:rPr>
        <w:t>合同</w:t>
      </w:r>
      <w:r>
        <w:rPr>
          <w:rFonts w:hint="eastAsia" w:ascii="宋体" w:hAnsi="宋体" w:cs="宋体"/>
          <w:color w:val="000000"/>
          <w:sz w:val="24"/>
          <w:lang w:eastAsia="zh-CN"/>
        </w:rPr>
        <w:t>暂定总</w:t>
      </w:r>
      <w:r>
        <w:rPr>
          <w:rFonts w:hint="eastAsia" w:ascii="宋体" w:hAnsi="宋体" w:cs="宋体"/>
          <w:color w:val="000000"/>
          <w:sz w:val="24"/>
        </w:rPr>
        <w:t>价的千分之三</w:t>
      </w:r>
      <w:r>
        <w:rPr>
          <w:rFonts w:hint="eastAsia" w:ascii="宋体" w:hAnsi="宋体" w:cs="宋体"/>
          <w:color w:val="000000"/>
          <w:sz w:val="24"/>
          <w:lang w:val="en-US" w:eastAsia="zh-CN"/>
        </w:rPr>
        <w:t>作为违约金</w:t>
      </w:r>
      <w:r>
        <w:rPr>
          <w:rFonts w:hint="eastAsia" w:ascii="宋体" w:hAnsi="宋体" w:cs="宋体"/>
          <w:sz w:val="24"/>
        </w:rPr>
        <w:t>，逾期超过30天，甲方有权解除合同</w:t>
      </w:r>
      <w:r>
        <w:rPr>
          <w:rFonts w:hint="eastAsia" w:ascii="宋体" w:hAnsi="宋体" w:cs="宋体"/>
          <w:sz w:val="24"/>
          <w:lang w:eastAsia="zh-CN"/>
        </w:rPr>
        <w:t>，</w:t>
      </w:r>
      <w:r>
        <w:rPr>
          <w:rFonts w:hint="eastAsia" w:ascii="宋体" w:hAnsi="宋体" w:cs="宋体"/>
          <w:sz w:val="24"/>
          <w:lang w:val="en-US" w:eastAsia="zh-CN"/>
        </w:rPr>
        <w:t>乙方应</w:t>
      </w:r>
      <w:r>
        <w:rPr>
          <w:rFonts w:hint="eastAsia" w:ascii="宋体" w:hAnsi="宋体" w:cs="宋体"/>
          <w:sz w:val="24"/>
        </w:rPr>
        <w:t>返还已收到的全部合同价款</w:t>
      </w:r>
      <w:r>
        <w:rPr>
          <w:rFonts w:hint="eastAsia" w:ascii="宋体" w:hAnsi="宋体" w:cs="宋体"/>
          <w:sz w:val="24"/>
          <w:lang w:eastAsia="zh-CN"/>
        </w:rPr>
        <w:t>，</w:t>
      </w:r>
      <w:r>
        <w:rPr>
          <w:rFonts w:hint="eastAsia" w:ascii="宋体" w:hAnsi="宋体" w:cs="宋体"/>
          <w:sz w:val="24"/>
          <w:lang w:val="en-US" w:eastAsia="zh-CN"/>
        </w:rPr>
        <w:t>并赔偿</w:t>
      </w:r>
      <w:r>
        <w:rPr>
          <w:rFonts w:hint="eastAsia" w:ascii="宋体" w:hAnsi="宋体" w:cs="宋体"/>
          <w:sz w:val="24"/>
        </w:rPr>
        <w:t>由此给甲方造成</w:t>
      </w:r>
      <w:r>
        <w:rPr>
          <w:rFonts w:hint="eastAsia" w:ascii="宋体" w:hAnsi="宋体" w:cs="宋体"/>
          <w:sz w:val="24"/>
          <w:lang w:val="en-US" w:eastAsia="zh-CN"/>
        </w:rPr>
        <w:t>的</w:t>
      </w:r>
      <w:r>
        <w:rPr>
          <w:rFonts w:hint="eastAsia" w:ascii="宋体" w:hAnsi="宋体" w:cs="宋体"/>
          <w:sz w:val="24"/>
        </w:rPr>
        <w:t>损失。</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8.2.5</w:t>
      </w:r>
      <w:r>
        <w:rPr>
          <w:rFonts w:hint="eastAsia" w:ascii="宋体" w:hAnsi="宋体" w:cs="宋体"/>
          <w:sz w:val="24"/>
          <w:highlight w:val="none"/>
          <w:lang w:val="en-US" w:eastAsia="zh-CN"/>
        </w:rPr>
        <w:t>乙方应协助甲方组织召开</w:t>
      </w:r>
      <w:r>
        <w:rPr>
          <w:rFonts w:hint="eastAsia" w:ascii="宋体" w:hAnsi="宋体" w:cs="宋体"/>
          <w:sz w:val="24"/>
          <w:highlight w:val="none"/>
          <w:lang w:eastAsia="zh-CN"/>
        </w:rPr>
        <w:t>行业专家</w:t>
      </w:r>
      <w:r>
        <w:rPr>
          <w:rFonts w:hint="eastAsia" w:ascii="宋体" w:hAnsi="宋体" w:cs="宋体"/>
          <w:sz w:val="24"/>
          <w:highlight w:val="none"/>
          <w:lang w:val="en-US" w:eastAsia="zh-CN"/>
        </w:rPr>
        <w:t>评审会，评审会议费用包含在本合同费用内。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8.2.6</w:t>
      </w:r>
      <w:r>
        <w:rPr>
          <w:rFonts w:hint="eastAsia" w:ascii="宋体" w:hAnsi="宋体" w:cs="宋体"/>
          <w:sz w:val="24"/>
          <w:highlight w:val="none"/>
        </w:rPr>
        <w:t>乙方应协助甲方办理防洪评价的报批工作，并取得相关批文。</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8.2.</w:t>
      </w:r>
      <w:r>
        <w:rPr>
          <w:rFonts w:hint="eastAsia" w:ascii="宋体" w:hAnsi="宋体" w:cs="宋体"/>
          <w:color w:val="000000"/>
          <w:sz w:val="24"/>
          <w:lang w:val="en-US" w:eastAsia="zh-CN"/>
        </w:rPr>
        <w:t>7</w:t>
      </w:r>
      <w:r>
        <w:rPr>
          <w:rFonts w:hint="eastAsia" w:ascii="宋体" w:hAnsi="宋体" w:cs="宋体"/>
          <w:color w:val="000000"/>
          <w:sz w:val="24"/>
        </w:rPr>
        <w:t>乙方有责任对甲方提供的资料保密，未经许可，不得提供给与本工程无关的单位和人员使用。乙方未尽保密义务，给甲方造成损失的，应该承担赔偿责任，并向甲方一次性支付合同</w:t>
      </w:r>
      <w:r>
        <w:rPr>
          <w:rFonts w:hint="eastAsia" w:ascii="宋体" w:hAnsi="宋体" w:cs="宋体"/>
          <w:color w:val="000000"/>
          <w:sz w:val="24"/>
          <w:lang w:eastAsia="zh-CN"/>
        </w:rPr>
        <w:t>暂定总</w:t>
      </w:r>
      <w:r>
        <w:rPr>
          <w:rFonts w:hint="eastAsia" w:ascii="宋体" w:hAnsi="宋体" w:cs="宋体"/>
          <w:color w:val="000000"/>
          <w:sz w:val="24"/>
        </w:rPr>
        <w:t>价1%的违约金。不论何种情况下保密内容失密的，乙方应当及时采取救济措施。若乙方怠于救济导致甲方损失扩大的，乙方对扩大部分承担赔偿责任。</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8.2.</w:t>
      </w:r>
      <w:r>
        <w:rPr>
          <w:rFonts w:hint="eastAsia" w:ascii="宋体" w:hAnsi="宋体" w:cs="宋体"/>
          <w:color w:val="000000"/>
          <w:sz w:val="24"/>
          <w:lang w:val="en-US" w:eastAsia="zh-CN"/>
        </w:rPr>
        <w:t>8</w:t>
      </w:r>
      <w:r>
        <w:rPr>
          <w:rFonts w:hint="eastAsia" w:ascii="宋体" w:hAnsi="宋体" w:cs="宋体"/>
          <w:color w:val="000000"/>
          <w:sz w:val="24"/>
        </w:rPr>
        <w:t>若标准或计划变更，经甲方同意，乙方可顺延期。</w:t>
      </w:r>
    </w:p>
    <w:p>
      <w:pPr>
        <w:spacing w:line="360" w:lineRule="auto"/>
        <w:ind w:firstLine="480" w:firstLineChars="200"/>
        <w:jc w:val="left"/>
        <w:textAlignment w:val="baseline"/>
        <w:rPr>
          <w:rFonts w:ascii="宋体"/>
          <w:sz w:val="24"/>
        </w:rPr>
      </w:pPr>
      <w:r>
        <w:rPr>
          <w:rFonts w:hint="eastAsia" w:ascii="宋体" w:hAnsi="宋体" w:cs="宋体"/>
          <w:sz w:val="24"/>
        </w:rPr>
        <w:t>8.2.</w:t>
      </w:r>
      <w:r>
        <w:rPr>
          <w:rFonts w:hint="eastAsia" w:ascii="宋体" w:hAnsi="宋体" w:cs="宋体"/>
          <w:sz w:val="24"/>
          <w:lang w:val="en-US" w:eastAsia="zh-CN"/>
        </w:rPr>
        <w:t>9</w:t>
      </w:r>
      <w:r>
        <w:rPr>
          <w:rFonts w:hint="eastAsia" w:ascii="宋体" w:hAnsi="宋体" w:cs="宋体"/>
          <w:sz w:val="24"/>
        </w:rPr>
        <w:t>非甲方原因，乙方要求解除合同的，应返还已支付的全部费用</w:t>
      </w:r>
      <w:r>
        <w:rPr>
          <w:rFonts w:hint="eastAsia" w:ascii="宋体" w:hAnsi="宋体" w:cs="宋体"/>
          <w:sz w:val="24"/>
          <w:lang w:val="en-US" w:eastAsia="zh-CN"/>
        </w:rPr>
        <w:t>、支付合同暂定总价20%的违约金</w:t>
      </w:r>
      <w:r>
        <w:rPr>
          <w:rFonts w:hint="eastAsia" w:ascii="宋体" w:hAnsi="宋体" w:cs="宋体"/>
          <w:sz w:val="24"/>
        </w:rPr>
        <w:t>，并赔偿由此带来的损失。</w:t>
      </w:r>
    </w:p>
    <w:p>
      <w:pPr>
        <w:spacing w:line="360" w:lineRule="auto"/>
        <w:jc w:val="left"/>
        <w:textAlignment w:val="baseline"/>
        <w:rPr>
          <w:rFonts w:hint="eastAsia" w:ascii="宋体" w:hAnsi="宋体" w:cs="宋体"/>
          <w:color w:val="000000"/>
          <w:sz w:val="24"/>
        </w:rPr>
      </w:pPr>
      <w:r>
        <w:rPr>
          <w:rFonts w:hint="eastAsia" w:ascii="宋体" w:hAnsi="宋体" w:cs="宋体"/>
          <w:b/>
          <w:bCs/>
          <w:color w:val="000000"/>
          <w:sz w:val="28"/>
          <w:szCs w:val="28"/>
        </w:rPr>
        <w:t>第九条 知识产权</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双方均应保护对方的知识产权，未经对方同意，任何一方均不得对对方的资料及文件擅自修改、复制或向第三人转让以及用于本合同项目外的项目。如发生以上情况，违约方承担一切由此引起的后果并承担赔偿责任。</w:t>
      </w:r>
    </w:p>
    <w:p>
      <w:pPr>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乙方应确保向甲方提交的成果不会侵犯第三方知识产权等权利，如因甲方使用乙方提交的成果侵犯第三方权利的，由乙方负责处理，并承担由此产生的一切费用、责任。同时，甲方有权单方面解除合同，并有权要求乙方支付合同暂定总额百分之十的违约金，且乙方应赔偿由此给甲方造成的一切损失。</w:t>
      </w:r>
    </w:p>
    <w:p>
      <w:pPr>
        <w:spacing w:line="360" w:lineRule="auto"/>
        <w:jc w:val="left"/>
        <w:textAlignment w:val="baseline"/>
        <w:rPr>
          <w:rFonts w:hint="eastAsia" w:ascii="宋体" w:hAnsi="宋体" w:cs="宋体"/>
          <w:b/>
          <w:bCs/>
          <w:color w:val="000000"/>
          <w:sz w:val="28"/>
          <w:szCs w:val="28"/>
          <w:lang w:val="en-US" w:eastAsia="zh-CN"/>
        </w:rPr>
      </w:pPr>
      <w:r>
        <w:rPr>
          <w:rFonts w:hint="eastAsia" w:ascii="宋体" w:hAnsi="宋体" w:cs="宋体"/>
          <w:b/>
          <w:bCs/>
          <w:color w:val="000000"/>
          <w:sz w:val="28"/>
          <w:szCs w:val="28"/>
        </w:rPr>
        <w:t xml:space="preserve">第十条 </w:t>
      </w:r>
      <w:r>
        <w:rPr>
          <w:rFonts w:hint="eastAsia" w:ascii="宋体" w:hAnsi="宋体" w:cs="宋体"/>
          <w:b/>
          <w:bCs/>
          <w:color w:val="000000"/>
          <w:sz w:val="28"/>
          <w:szCs w:val="28"/>
          <w:lang w:val="en-US" w:eastAsia="zh-CN"/>
        </w:rPr>
        <w:t>争议解决</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本合同履行过程中发生争议，由双方当事人协商解决。协商不成的依法向甲方所在地的人民法院起诉。</w:t>
      </w:r>
    </w:p>
    <w:p>
      <w:pPr>
        <w:spacing w:line="360" w:lineRule="auto"/>
        <w:jc w:val="left"/>
        <w:textAlignment w:val="baseline"/>
        <w:rPr>
          <w:rFonts w:hint="eastAsia" w:ascii="宋体" w:hAnsi="宋体" w:cs="宋体"/>
          <w:b/>
          <w:bCs/>
          <w:color w:val="000000"/>
          <w:sz w:val="28"/>
          <w:szCs w:val="28"/>
        </w:rPr>
      </w:pPr>
      <w:r>
        <w:rPr>
          <w:rFonts w:hint="eastAsia" w:ascii="宋体" w:hAnsi="宋体" w:cs="宋体"/>
          <w:b/>
          <w:bCs/>
          <w:color w:val="000000"/>
          <w:sz w:val="28"/>
          <w:szCs w:val="28"/>
        </w:rPr>
        <w:t>第十一条 合同生效及其他</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11.1合同生效的条件：合同签订盖章。</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11.2甲方委托乙方承担本合同内容以外的工作服务，需另行签订协议。</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11.3当项目的建设业主变更时，甲方应书面通知乙方并协商合同终止或变更事宜。</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11.4由于不可抗力因素致使合同无法履行时，双方应及时协商解决。</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11.5本合同正本一式</w:t>
      </w:r>
      <w:r>
        <w:rPr>
          <w:rFonts w:hint="eastAsia" w:ascii="宋体" w:hAnsi="宋体" w:cs="宋体"/>
          <w:color w:val="000000"/>
          <w:sz w:val="24"/>
          <w:u w:val="single"/>
        </w:rPr>
        <w:t>贰</w:t>
      </w:r>
      <w:r>
        <w:rPr>
          <w:rFonts w:hint="eastAsia" w:ascii="宋体" w:hAnsi="宋体" w:cs="宋体"/>
          <w:color w:val="000000"/>
          <w:sz w:val="24"/>
        </w:rPr>
        <w:t>份，甲方执</w:t>
      </w:r>
      <w:r>
        <w:rPr>
          <w:rFonts w:hint="eastAsia" w:ascii="宋体" w:hAnsi="宋体" w:cs="宋体"/>
          <w:color w:val="000000"/>
          <w:sz w:val="24"/>
          <w:u w:val="single"/>
        </w:rPr>
        <w:t>壹</w:t>
      </w:r>
      <w:r>
        <w:rPr>
          <w:rFonts w:hint="eastAsia" w:ascii="宋体" w:hAnsi="宋体" w:cs="宋体"/>
          <w:color w:val="000000"/>
          <w:sz w:val="24"/>
        </w:rPr>
        <w:t>份，乙方执</w:t>
      </w:r>
      <w:r>
        <w:rPr>
          <w:rFonts w:hint="eastAsia" w:ascii="宋体" w:hAnsi="宋体" w:cs="宋体"/>
          <w:color w:val="000000"/>
          <w:sz w:val="24"/>
          <w:u w:val="single"/>
        </w:rPr>
        <w:t>壹</w:t>
      </w:r>
      <w:r>
        <w:rPr>
          <w:rFonts w:hint="eastAsia" w:ascii="宋体" w:hAnsi="宋体" w:cs="宋体"/>
          <w:color w:val="000000"/>
          <w:sz w:val="24"/>
        </w:rPr>
        <w:t>份；副本一式</w:t>
      </w:r>
      <w:r>
        <w:rPr>
          <w:rFonts w:hint="eastAsia" w:ascii="宋体" w:hAnsi="宋体" w:cs="宋体"/>
          <w:color w:val="000000"/>
          <w:sz w:val="24"/>
          <w:u w:val="single"/>
        </w:rPr>
        <w:t>捌</w:t>
      </w:r>
      <w:r>
        <w:rPr>
          <w:rFonts w:hint="eastAsia" w:ascii="宋体" w:hAnsi="宋体" w:cs="宋体"/>
          <w:color w:val="000000"/>
          <w:sz w:val="24"/>
        </w:rPr>
        <w:t>份，甲方执</w:t>
      </w:r>
      <w:r>
        <w:rPr>
          <w:rFonts w:hint="eastAsia" w:ascii="宋体" w:hAnsi="宋体" w:cs="宋体"/>
          <w:color w:val="000000"/>
          <w:sz w:val="24"/>
          <w:u w:val="single"/>
        </w:rPr>
        <w:t>伍</w:t>
      </w:r>
      <w:r>
        <w:rPr>
          <w:rFonts w:hint="eastAsia" w:ascii="宋体" w:hAnsi="宋体" w:cs="宋体"/>
          <w:color w:val="000000"/>
          <w:sz w:val="24"/>
        </w:rPr>
        <w:t>份，乙方执</w:t>
      </w:r>
      <w:r>
        <w:rPr>
          <w:rFonts w:hint="eastAsia" w:ascii="宋体" w:hAnsi="宋体" w:cs="宋体"/>
          <w:color w:val="000000"/>
          <w:sz w:val="24"/>
          <w:u w:val="single"/>
        </w:rPr>
        <w:t>叁</w:t>
      </w:r>
      <w:r>
        <w:rPr>
          <w:rFonts w:hint="eastAsia" w:ascii="宋体" w:hAnsi="宋体" w:cs="宋体"/>
          <w:color w:val="000000"/>
          <w:sz w:val="24"/>
        </w:rPr>
        <w:t>份，双方所执合同具同等法律效力（若正本与副本有差异，以正本为准。）</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11.6双方履行完合同规定的义务后，本合同即行终止。</w:t>
      </w:r>
    </w:p>
    <w:p>
      <w:pPr>
        <w:spacing w:line="360" w:lineRule="auto"/>
        <w:ind w:firstLine="480" w:firstLineChars="200"/>
        <w:jc w:val="left"/>
        <w:textAlignment w:val="baseline"/>
        <w:rPr>
          <w:rFonts w:hint="eastAsia" w:ascii="宋体" w:hAnsi="宋体" w:cs="宋体"/>
          <w:color w:val="000000"/>
          <w:sz w:val="24"/>
        </w:rPr>
      </w:pPr>
      <w:r>
        <w:rPr>
          <w:rFonts w:hint="eastAsia" w:ascii="宋体" w:hAnsi="宋体" w:cs="宋体"/>
          <w:color w:val="000000"/>
          <w:sz w:val="24"/>
        </w:rPr>
        <w:t>11.7双方认可的来往传真、会议纪要等，均为合同的组成部分，与本合同具有同等法律效力。</w:t>
      </w:r>
    </w:p>
    <w:p>
      <w:pPr>
        <w:spacing w:line="360" w:lineRule="auto"/>
        <w:ind w:firstLine="480" w:firstLineChars="200"/>
        <w:textAlignment w:val="baseline"/>
        <w:outlineLvl w:val="0"/>
        <w:rPr>
          <w:rFonts w:hint="eastAsia" w:ascii="宋体" w:hAnsi="宋体" w:cs="宋体"/>
          <w:color w:val="000000"/>
          <w:sz w:val="24"/>
        </w:rPr>
      </w:pPr>
      <w:r>
        <w:rPr>
          <w:rFonts w:hint="eastAsia" w:ascii="宋体" w:hAnsi="宋体" w:cs="宋体"/>
          <w:color w:val="000000"/>
          <w:sz w:val="24"/>
        </w:rPr>
        <w:t>11.8未尽事宜，双方协商一致，可签订补充协议，补充协议与本合同具有同等效力。</w:t>
      </w:r>
    </w:p>
    <w:p>
      <w:pPr>
        <w:pStyle w:val="16"/>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11.9本合同附件是合同不可分割的一部分，具有相同的法律效力，具体附件如下：</w:t>
      </w:r>
    </w:p>
    <w:p>
      <w:pPr>
        <w:pStyle w:val="16"/>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附件1：廉洁协议</w:t>
      </w:r>
    </w:p>
    <w:p>
      <w:pPr>
        <w:pStyle w:val="16"/>
        <w:adjustRightInd w:val="0"/>
        <w:spacing w:after="0" w:line="360" w:lineRule="auto"/>
        <w:ind w:left="0" w:leftChars="0" w:firstLine="480" w:firstLineChars="200"/>
        <w:jc w:val="center"/>
        <w:textAlignment w:val="baseline"/>
        <w:rPr>
          <w:rFonts w:hint="eastAsia" w:ascii="宋体" w:hAnsi="宋体" w:cs="宋体"/>
          <w:color w:val="000000"/>
          <w:sz w:val="24"/>
        </w:rPr>
      </w:pPr>
      <w:r>
        <w:rPr>
          <w:rFonts w:hint="eastAsia" w:ascii="宋体" w:hAnsi="宋体" w:cs="宋体"/>
          <w:color w:val="000000"/>
          <w:sz w:val="24"/>
        </w:rPr>
        <w:t>（以下无正文）</w:t>
      </w:r>
    </w:p>
    <w:p>
      <w:pPr>
        <w:topLinePunct/>
        <w:spacing w:line="360" w:lineRule="auto"/>
        <w:jc w:val="left"/>
        <w:rPr>
          <w:rFonts w:hint="eastAsia" w:ascii="宋体" w:hAnsi="宋体" w:cs="宋体"/>
          <w:sz w:val="24"/>
        </w:rPr>
      </w:pPr>
      <w:r>
        <w:rPr>
          <w:rFonts w:hint="eastAsia" w:ascii="宋体" w:hAnsi="宋体" w:cs="宋体"/>
          <w:sz w:val="24"/>
        </w:rPr>
        <w:t xml:space="preserve"> </w:t>
      </w:r>
    </w:p>
    <w:p>
      <w:pPr>
        <w:topLinePunct/>
        <w:spacing w:line="360" w:lineRule="auto"/>
        <w:jc w:val="left"/>
        <w:rPr>
          <w:rFonts w:hint="eastAsia" w:ascii="宋体" w:hAnsi="宋体" w:cs="宋体"/>
          <w:sz w:val="24"/>
        </w:rPr>
      </w:pPr>
    </w:p>
    <w:p>
      <w:pPr>
        <w:topLinePunct/>
        <w:spacing w:line="360" w:lineRule="auto"/>
        <w:jc w:val="left"/>
        <w:rPr>
          <w:rFonts w:hint="eastAsia" w:ascii="宋体" w:hAnsi="宋体" w:cs="宋体"/>
          <w:sz w:val="24"/>
        </w:rPr>
      </w:pPr>
    </w:p>
    <w:p>
      <w:pPr>
        <w:topLinePunct/>
        <w:spacing w:line="360" w:lineRule="auto"/>
        <w:jc w:val="left"/>
        <w:rPr>
          <w:rFonts w:hint="eastAsia" w:ascii="宋体" w:hAnsi="宋体" w:cs="宋体"/>
          <w:sz w:val="24"/>
        </w:rPr>
      </w:pPr>
    </w:p>
    <w:tbl>
      <w:tblPr>
        <w:tblStyle w:val="26"/>
        <w:tblW w:w="9167" w:type="dxa"/>
        <w:jc w:val="center"/>
        <w:tblLayout w:type="fixed"/>
        <w:tblCellMar>
          <w:top w:w="0" w:type="dxa"/>
          <w:left w:w="28" w:type="dxa"/>
          <w:bottom w:w="0" w:type="dxa"/>
          <w:right w:w="28" w:type="dxa"/>
        </w:tblCellMar>
      </w:tblPr>
      <w:tblGrid>
        <w:gridCol w:w="4190"/>
        <w:gridCol w:w="4977"/>
      </w:tblGrid>
      <w:tr>
        <w:tblPrEx>
          <w:tblCellMar>
            <w:top w:w="0" w:type="dxa"/>
            <w:left w:w="28" w:type="dxa"/>
            <w:bottom w:w="0" w:type="dxa"/>
            <w:right w:w="28" w:type="dxa"/>
          </w:tblCellMar>
        </w:tblPrEx>
        <w:trPr>
          <w:trHeight w:val="310" w:hRule="atLeast"/>
          <w:jc w:val="center"/>
        </w:trPr>
        <w:tc>
          <w:tcPr>
            <w:tcW w:w="4190" w:type="dxa"/>
            <w:noWrap w:val="0"/>
            <w:vAlign w:val="center"/>
          </w:tcPr>
          <w:p>
            <w:pPr>
              <w:spacing w:line="360" w:lineRule="auto"/>
              <w:rPr>
                <w:rFonts w:hint="eastAsia" w:ascii="宋体" w:hAnsi="宋体" w:cs="宋体"/>
                <w:sz w:val="24"/>
              </w:rPr>
            </w:pPr>
            <w:r>
              <w:rPr>
                <w:rFonts w:hint="eastAsia" w:ascii="宋体" w:hAnsi="宋体" w:cs="宋体"/>
                <w:sz w:val="24"/>
              </w:rPr>
              <w:t>甲方：广州市净水有限公司</w:t>
            </w:r>
          </w:p>
        </w:tc>
        <w:tc>
          <w:tcPr>
            <w:tcW w:w="4977" w:type="dxa"/>
            <w:noWrap w:val="0"/>
            <w:vAlign w:val="top"/>
          </w:tcPr>
          <w:p>
            <w:pPr>
              <w:spacing w:line="360" w:lineRule="auto"/>
              <w:rPr>
                <w:rFonts w:hint="eastAsia" w:ascii="宋体" w:hAnsi="宋体" w:cs="宋体"/>
                <w:sz w:val="24"/>
              </w:rPr>
            </w:pPr>
            <w:r>
              <w:rPr>
                <w:rFonts w:hint="eastAsia" w:ascii="宋体" w:hAnsi="宋体" w:cs="宋体"/>
                <w:sz w:val="24"/>
              </w:rPr>
              <w:t>乙方：</w:t>
            </w:r>
          </w:p>
        </w:tc>
      </w:tr>
      <w:tr>
        <w:tblPrEx>
          <w:tblCellMar>
            <w:top w:w="0" w:type="dxa"/>
            <w:left w:w="28" w:type="dxa"/>
            <w:bottom w:w="0" w:type="dxa"/>
            <w:right w:w="28" w:type="dxa"/>
          </w:tblCellMar>
        </w:tblPrEx>
        <w:trPr>
          <w:trHeight w:val="620"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（盖章）</w:t>
            </w:r>
          </w:p>
          <w:p>
            <w:pPr>
              <w:spacing w:line="360" w:lineRule="auto"/>
              <w:rPr>
                <w:rFonts w:hint="eastAsia" w:ascii="宋体" w:hAnsi="宋体" w:cs="宋体"/>
                <w:sz w:val="24"/>
                <w:highlight w:val="none"/>
              </w:rPr>
            </w:pP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（盖章）</w:t>
            </w:r>
          </w:p>
          <w:p>
            <w:pPr>
              <w:spacing w:line="360" w:lineRule="auto"/>
              <w:rPr>
                <w:rFonts w:hint="eastAsia" w:ascii="宋体" w:hAnsi="宋体" w:cs="宋体"/>
                <w:sz w:val="24"/>
                <w:highlight w:val="none"/>
              </w:rPr>
            </w:pPr>
          </w:p>
        </w:tc>
      </w:tr>
      <w:tr>
        <w:tblPrEx>
          <w:tblCellMar>
            <w:top w:w="0" w:type="dxa"/>
            <w:left w:w="28" w:type="dxa"/>
            <w:bottom w:w="0" w:type="dxa"/>
            <w:right w:w="28" w:type="dxa"/>
          </w:tblCellMar>
        </w:tblPrEx>
        <w:trPr>
          <w:trHeight w:val="930"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法定代表人/授权代理人：</w:t>
            </w:r>
          </w:p>
          <w:p>
            <w:pPr>
              <w:spacing w:line="360" w:lineRule="auto"/>
              <w:rPr>
                <w:rFonts w:hint="eastAsia" w:ascii="宋体" w:hAnsi="宋体" w:cs="宋体"/>
                <w:sz w:val="24"/>
                <w:highlight w:val="none"/>
              </w:rPr>
            </w:pP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法定代表人/授权代理人：</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keepNext w:val="0"/>
              <w:keepLines w:val="0"/>
              <w:widowControl/>
              <w:suppressLineNumbers w:val="0"/>
              <w:jc w:val="left"/>
            </w:pPr>
            <w:r>
              <w:rPr>
                <w:rFonts w:hint="eastAsia" w:ascii="宋体" w:hAnsi="宋体" w:cs="宋体"/>
                <w:sz w:val="24"/>
                <w:highlight w:val="none"/>
              </w:rPr>
              <w:t>联系人：</w:t>
            </w:r>
            <w:r>
              <w:rPr>
                <w:rFonts w:hint="eastAsia" w:ascii="宋体" w:hAnsi="宋体" w:eastAsia="宋体" w:cs="宋体"/>
                <w:sz w:val="24"/>
                <w:highlight w:val="none"/>
                <w:lang w:val="en-US" w:eastAsia="zh-CN"/>
              </w:rPr>
              <w:t xml:space="preserve">陈杰文 </w:t>
            </w:r>
            <w:r>
              <w:rPr>
                <w:rFonts w:hint="eastAsia" w:ascii="宋体" w:hAnsi="宋体" w:eastAsia="宋体" w:cs="宋体"/>
                <w:color w:val="000000"/>
                <w:kern w:val="2"/>
                <w:sz w:val="24"/>
                <w:szCs w:val="24"/>
                <w:highlight w:val="none"/>
                <w:lang w:val="en-US" w:eastAsia="zh-CN" w:bidi="ar"/>
              </w:rPr>
              <w:t>32038940</w:t>
            </w:r>
          </w:p>
          <w:p>
            <w:pPr>
              <w:spacing w:line="360" w:lineRule="auto"/>
              <w:rPr>
                <w:rFonts w:hint="eastAsia" w:ascii="宋体" w:hAnsi="宋体" w:cs="宋体"/>
                <w:sz w:val="24"/>
                <w:highlight w:val="none"/>
              </w:rPr>
            </w:pPr>
          </w:p>
        </w:tc>
        <w:tc>
          <w:tcPr>
            <w:tcW w:w="4977" w:type="dxa"/>
            <w:noWrap w:val="0"/>
            <w:vAlign w:val="top"/>
          </w:tcPr>
          <w:p>
            <w:pPr>
              <w:widowControl/>
              <w:jc w:val="left"/>
              <w:rPr>
                <w:rFonts w:hint="eastAsia" w:ascii="宋体" w:hAnsi="宋体" w:cs="宋体"/>
                <w:sz w:val="24"/>
                <w:highlight w:val="none"/>
              </w:rPr>
            </w:pPr>
            <w:r>
              <w:rPr>
                <w:rFonts w:hint="eastAsia" w:ascii="宋体" w:hAnsi="宋体" w:cs="宋体"/>
                <w:sz w:val="24"/>
                <w:highlight w:val="none"/>
              </w:rPr>
              <w:t>联系人：</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地址：广州市临江大道501号</w:t>
            </w:r>
          </w:p>
        </w:tc>
        <w:tc>
          <w:tcPr>
            <w:tcW w:w="4977" w:type="dxa"/>
            <w:noWrap w:val="0"/>
            <w:vAlign w:val="top"/>
          </w:tcPr>
          <w:p>
            <w:pPr>
              <w:spacing w:line="360" w:lineRule="auto"/>
              <w:ind w:left="742" w:hanging="741" w:hangingChars="309"/>
              <w:rPr>
                <w:rFonts w:hint="eastAsia" w:ascii="宋体" w:hAnsi="宋体" w:cs="宋体"/>
                <w:sz w:val="24"/>
                <w:highlight w:val="none"/>
              </w:rPr>
            </w:pPr>
            <w:r>
              <w:rPr>
                <w:rFonts w:hint="eastAsia" w:ascii="宋体" w:hAnsi="宋体" w:cs="宋体"/>
                <w:sz w:val="24"/>
                <w:highlight w:val="none"/>
              </w:rPr>
              <w:t>地址：</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邮政编码：510655</w:t>
            </w:r>
            <w:r>
              <w:rPr>
                <w:rFonts w:hint="eastAsia" w:ascii="宋体" w:hAnsi="宋体" w:cs="宋体"/>
                <w:sz w:val="24"/>
                <w:highlight w:val="none"/>
              </w:rPr>
              <w:tab/>
            </w:r>
          </w:p>
        </w:tc>
        <w:tc>
          <w:tcPr>
            <w:tcW w:w="4977" w:type="dxa"/>
            <w:noWrap w:val="0"/>
            <w:vAlign w:val="top"/>
          </w:tcPr>
          <w:p>
            <w:pPr>
              <w:spacing w:line="360" w:lineRule="auto"/>
              <w:rPr>
                <w:rFonts w:ascii="宋体" w:hAnsi="宋体" w:cs="宋体"/>
                <w:sz w:val="24"/>
                <w:highlight w:val="none"/>
              </w:rPr>
            </w:pPr>
            <w:r>
              <w:rPr>
                <w:rFonts w:hint="eastAsia" w:ascii="宋体" w:hAnsi="宋体" w:cs="宋体"/>
                <w:sz w:val="24"/>
                <w:highlight w:val="none"/>
              </w:rPr>
              <w:t>邮政编码：</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ascii="宋体" w:hAnsi="宋体" w:cs="宋体"/>
                <w:sz w:val="24"/>
                <w:highlight w:val="none"/>
              </w:rPr>
            </w:pPr>
            <w:r>
              <w:rPr>
                <w:rFonts w:hint="eastAsia" w:ascii="宋体" w:hAnsi="宋体" w:cs="宋体"/>
                <w:sz w:val="24"/>
                <w:highlight w:val="none"/>
              </w:rPr>
              <w:t>电话：</w:t>
            </w: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电话：</w:t>
            </w:r>
          </w:p>
        </w:tc>
      </w:tr>
      <w:tr>
        <w:tblPrEx>
          <w:tblCellMar>
            <w:top w:w="0" w:type="dxa"/>
            <w:left w:w="28" w:type="dxa"/>
            <w:bottom w:w="0" w:type="dxa"/>
            <w:right w:w="28" w:type="dxa"/>
          </w:tblCellMar>
        </w:tblPrEx>
        <w:trPr>
          <w:trHeight w:val="465"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传真：</w:t>
            </w: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传真：</w:t>
            </w:r>
          </w:p>
        </w:tc>
      </w:tr>
      <w:tr>
        <w:tblPrEx>
          <w:tblCellMar>
            <w:top w:w="0" w:type="dxa"/>
            <w:left w:w="28" w:type="dxa"/>
            <w:bottom w:w="0" w:type="dxa"/>
            <w:right w:w="28" w:type="dxa"/>
          </w:tblCellMar>
        </w:tblPrEx>
        <w:trPr>
          <w:trHeight w:val="414" w:hRule="atLeast"/>
          <w:jc w:val="center"/>
        </w:trPr>
        <w:tc>
          <w:tcPr>
            <w:tcW w:w="4190"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 xml:space="preserve">签定日期： </w:t>
            </w:r>
          </w:p>
        </w:tc>
        <w:tc>
          <w:tcPr>
            <w:tcW w:w="4977" w:type="dxa"/>
            <w:noWrap w:val="0"/>
            <w:vAlign w:val="top"/>
          </w:tcPr>
          <w:p>
            <w:pPr>
              <w:spacing w:line="360" w:lineRule="auto"/>
              <w:rPr>
                <w:rFonts w:hint="eastAsia" w:ascii="宋体" w:hAnsi="宋体" w:cs="宋体"/>
                <w:sz w:val="24"/>
                <w:highlight w:val="none"/>
              </w:rPr>
            </w:pPr>
            <w:r>
              <w:rPr>
                <w:rFonts w:hint="eastAsia" w:ascii="宋体" w:hAnsi="宋体" w:cs="宋体"/>
                <w:sz w:val="24"/>
                <w:highlight w:val="none"/>
              </w:rPr>
              <w:t>签定日期：</w:t>
            </w:r>
          </w:p>
        </w:tc>
      </w:tr>
    </w:tbl>
    <w:p>
      <w:pPr>
        <w:tabs>
          <w:tab w:val="left" w:pos="-420"/>
          <w:tab w:val="left" w:pos="1200"/>
          <w:tab w:val="left" w:pos="4200"/>
          <w:tab w:val="left" w:pos="4800"/>
          <w:tab w:val="left" w:pos="5400"/>
        </w:tabs>
        <w:spacing w:line="360" w:lineRule="auto"/>
        <w:ind w:left="-420" w:leftChars="-200" w:right="-506" w:rightChars="-241"/>
        <w:jc w:val="center"/>
        <w:rPr>
          <w:rFonts w:hint="eastAsia" w:ascii="宋体" w:hAnsi="宋体" w:cs="宋体"/>
          <w:sz w:val="24"/>
        </w:rPr>
        <w:sectPr>
          <w:headerReference r:id="rId7" w:type="default"/>
          <w:footerReference r:id="rId8" w:type="default"/>
          <w:pgSz w:w="11906" w:h="16838"/>
          <w:pgMar w:top="1440" w:right="1797" w:bottom="1440" w:left="1797" w:header="851" w:footer="992" w:gutter="0"/>
          <w:cols w:space="720" w:num="1"/>
          <w:docGrid w:linePitch="312" w:charSpace="0"/>
        </w:sectPr>
      </w:pPr>
    </w:p>
    <w:p>
      <w:pPr>
        <w:pStyle w:val="6"/>
        <w:adjustRightInd w:val="0"/>
        <w:snapToGrid w:val="0"/>
        <w:spacing w:before="0" w:after="0" w:line="360" w:lineRule="auto"/>
        <w:ind w:left="0" w:firstLine="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附件1.廉洁协议</w:t>
      </w:r>
    </w:p>
    <w:p>
      <w:pPr>
        <w:spacing w:line="5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廉洁协议</w:t>
      </w:r>
    </w:p>
    <w:p>
      <w:pPr>
        <w:spacing w:line="520" w:lineRule="exact"/>
        <w:ind w:firstLine="630" w:firstLineChars="225"/>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000000"/>
          <w:sz w:val="28"/>
          <w:szCs w:val="28"/>
          <w:u w:val="single"/>
        </w:rPr>
        <w:t>广州市净水有限公司</w:t>
      </w:r>
      <w:r>
        <w:rPr>
          <w:rFonts w:hint="eastAsia" w:ascii="仿宋_GB2312" w:hAnsi="仿宋_GB2312" w:eastAsia="仿宋_GB2312" w:cs="仿宋_GB2312"/>
          <w:bCs/>
          <w:color w:val="000000"/>
          <w:sz w:val="28"/>
          <w:szCs w:val="28"/>
        </w:rPr>
        <w:t>(以下称甲方)与</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color w:val="000000"/>
          <w:sz w:val="28"/>
          <w:szCs w:val="28"/>
        </w:rPr>
        <w:t>(以下称乙方)，特此订立本协议共同遵照执行。</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第一条 甲乙双方的权利和义务</w:t>
      </w:r>
    </w:p>
    <w:p>
      <w:pPr>
        <w:spacing w:line="520" w:lineRule="exact"/>
        <w:ind w:firstLine="420" w:firstLineChars="15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（二）严格执行</w:t>
      </w:r>
      <w:r>
        <w:rPr>
          <w:rFonts w:hint="eastAsia" w:ascii="仿宋_GB2312" w:hAnsi="仿宋_GB2312" w:eastAsia="仿宋_GB2312" w:cs="仿宋_GB2312"/>
          <w:bCs/>
          <w:color w:val="000000"/>
          <w:sz w:val="28"/>
          <w:szCs w:val="28"/>
          <w:u w:val="single"/>
          <w:lang w:val="en-US" w:eastAsia="zh-CN"/>
        </w:rPr>
        <w:t>环城北净水厂涉石井河排水口、涉卫生河钢便桥工程、涉松北一涌基坑围护临时结构工程防洪评价技术咨询</w:t>
      </w:r>
      <w:r>
        <w:rPr>
          <w:rFonts w:hint="eastAsia" w:ascii="仿宋_GB2312" w:hAnsi="仿宋_GB2312" w:eastAsia="仿宋_GB2312" w:cs="仿宋_GB2312"/>
          <w:bCs/>
          <w:color w:val="000000"/>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第二条甲方的义务</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第三条乙方的义务</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（三）乙方不得以任何理由安排甲方工作人员参加可能影响相关业务公开、公正、公平性的宴请及娱乐活动。</w:t>
      </w:r>
    </w:p>
    <w:p>
      <w:pPr>
        <w:pStyle w:val="16"/>
        <w:spacing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第四条违约责任</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甲方举报投诉联系部门：广州市净水有限公司</w:t>
      </w:r>
      <w:r>
        <w:rPr>
          <w:rFonts w:hint="eastAsia" w:ascii="仿宋_GB2312" w:hAnsi="仿宋_GB2312" w:eastAsia="仿宋_GB2312" w:cs="仿宋_GB2312"/>
          <w:bCs/>
          <w:color w:val="000000"/>
          <w:sz w:val="28"/>
          <w:szCs w:val="28"/>
          <w:u w:val="single"/>
        </w:rPr>
        <w:t>纪检室</w:t>
      </w:r>
      <w:r>
        <w:rPr>
          <w:rFonts w:hint="eastAsia" w:ascii="仿宋_GB2312" w:hAnsi="仿宋_GB2312" w:eastAsia="仿宋_GB2312" w:cs="仿宋_GB2312"/>
          <w:bCs/>
          <w:color w:val="000000"/>
          <w:sz w:val="28"/>
          <w:szCs w:val="28"/>
        </w:rPr>
        <w:t>，联系电话：</w:t>
      </w:r>
      <w:r>
        <w:rPr>
          <w:rFonts w:hint="eastAsia" w:ascii="仿宋_GB2312" w:hAnsi="仿宋_GB2312" w:eastAsia="仿宋_GB2312" w:cs="仿宋_GB2312"/>
          <w:bCs/>
          <w:color w:val="000000"/>
          <w:sz w:val="28"/>
          <w:szCs w:val="28"/>
          <w:u w:val="single"/>
        </w:rPr>
        <w:t xml:space="preserve"> 020-38890265 </w:t>
      </w:r>
      <w:r>
        <w:rPr>
          <w:rFonts w:hint="eastAsia" w:ascii="仿宋_GB2312" w:hAnsi="仿宋_GB2312" w:eastAsia="仿宋_GB2312" w:cs="仿宋_GB2312"/>
          <w:bCs/>
          <w:color w:val="000000"/>
          <w:sz w:val="28"/>
          <w:szCs w:val="28"/>
        </w:rPr>
        <w:t>。</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4"/>
        <w:spacing w:beforeAutospacing="0"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1、扣除主合同的全部履约保证金；</w:t>
      </w:r>
    </w:p>
    <w:p>
      <w:pPr>
        <w:pStyle w:val="24"/>
        <w:spacing w:beforeAutospacing="0"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2、解除主合同；</w:t>
      </w:r>
    </w:p>
    <w:p>
      <w:pPr>
        <w:pStyle w:val="24"/>
        <w:spacing w:beforeAutospacing="0"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3、追究乙方其他违约责任；</w:t>
      </w:r>
    </w:p>
    <w:p>
      <w:pPr>
        <w:pStyle w:val="24"/>
        <w:spacing w:beforeAutospacing="0"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4、根据甲方的有关规章制度，在一定时间内暂停乙方参与甲方及下属单位所有项目的交易资格；</w:t>
      </w:r>
    </w:p>
    <w:p>
      <w:pPr>
        <w:pStyle w:val="24"/>
        <w:spacing w:beforeAutospacing="0"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5、根据甲方的有关规章制度，将乙方清退出甲方相关企业库；</w:t>
      </w:r>
    </w:p>
    <w:p>
      <w:pPr>
        <w:pStyle w:val="24"/>
        <w:spacing w:beforeAutospacing="0"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6、根据甲方上级单位、行政主管部门的意见、决定执行；</w:t>
      </w:r>
    </w:p>
    <w:p>
      <w:pPr>
        <w:pStyle w:val="24"/>
        <w:spacing w:beforeAutospacing="0"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sz w:val="28"/>
          <w:szCs w:val="28"/>
        </w:rPr>
        <w:t xml:space="preserve">第五条 </w:t>
      </w:r>
      <w:r>
        <w:rPr>
          <w:rFonts w:hint="eastAsia" w:ascii="仿宋_GB2312" w:hAnsi="仿宋_GB2312" w:eastAsia="仿宋_GB2312" w:cs="仿宋_GB2312"/>
          <w:bCs/>
          <w:color w:val="000000"/>
          <w:kern w:val="0"/>
          <w:sz w:val="28"/>
          <w:szCs w:val="28"/>
        </w:rPr>
        <w:t xml:space="preserve">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第六条本协议作为</w:t>
      </w:r>
      <w:r>
        <w:rPr>
          <w:rFonts w:hint="eastAsia" w:ascii="仿宋_GB2312" w:hAnsi="仿宋_GB2312" w:eastAsia="仿宋_GB2312" w:cs="仿宋_GB2312"/>
          <w:bCs/>
          <w:color w:val="000000"/>
          <w:sz w:val="28"/>
          <w:szCs w:val="28"/>
          <w:u w:val="single"/>
          <w:lang w:val="en-US" w:eastAsia="zh-CN"/>
        </w:rPr>
        <w:t>环城北净水厂涉石井河排水口、涉卫生河钢便桥工程、涉松北一涌基坑围护临时结构工程防洪评价技术咨询合同</w:t>
      </w:r>
      <w:r>
        <w:rPr>
          <w:rFonts w:hint="eastAsia" w:ascii="仿宋_GB2312" w:hAnsi="仿宋_GB2312" w:eastAsia="仿宋_GB2312" w:cs="仿宋_GB2312"/>
          <w:bCs/>
          <w:color w:val="000000"/>
          <w:sz w:val="28"/>
          <w:szCs w:val="28"/>
          <w:highlight w:val="none"/>
          <w:u w:val="single"/>
        </w:rPr>
        <w:t>（穗净水合[202</w:t>
      </w:r>
      <w:r>
        <w:rPr>
          <w:rFonts w:hint="eastAsia" w:ascii="仿宋_GB2312" w:hAnsi="仿宋_GB2312" w:eastAsia="仿宋_GB2312" w:cs="仿宋_GB2312"/>
          <w:bCs/>
          <w:color w:val="000000"/>
          <w:sz w:val="28"/>
          <w:szCs w:val="28"/>
          <w:highlight w:val="none"/>
          <w:u w:val="single"/>
          <w:lang w:val="en-US" w:eastAsia="zh-CN"/>
        </w:rPr>
        <w:t>4</w:t>
      </w:r>
      <w:r>
        <w:rPr>
          <w:rFonts w:hint="eastAsia" w:ascii="仿宋_GB2312" w:hAnsi="仿宋_GB2312" w:eastAsia="仿宋_GB2312" w:cs="仿宋_GB2312"/>
          <w:bCs/>
          <w:color w:val="000000"/>
          <w:sz w:val="28"/>
          <w:szCs w:val="28"/>
          <w:highlight w:val="none"/>
          <w:u w:val="single"/>
        </w:rPr>
        <w:t>]    号）</w:t>
      </w:r>
      <w:r>
        <w:rPr>
          <w:rFonts w:hint="eastAsia" w:ascii="仿宋_GB2312" w:hAnsi="仿宋_GB2312" w:eastAsia="仿宋_GB2312" w:cs="仿宋_GB2312"/>
          <w:bCs/>
          <w:color w:val="000000"/>
          <w:sz w:val="28"/>
          <w:szCs w:val="28"/>
          <w:highlight w:val="none"/>
        </w:rPr>
        <w:t>合同的附件，并具有同等的法</w:t>
      </w:r>
      <w:r>
        <w:rPr>
          <w:rFonts w:hint="eastAsia" w:ascii="仿宋_GB2312" w:hAnsi="仿宋_GB2312" w:eastAsia="仿宋_GB2312" w:cs="仿宋_GB2312"/>
          <w:bCs/>
          <w:color w:val="000000"/>
          <w:sz w:val="28"/>
          <w:szCs w:val="28"/>
        </w:rPr>
        <w:t>律效力，本协议自双方签字盖章之日起生效，与主合同同时终止。</w:t>
      </w:r>
    </w:p>
    <w:p>
      <w:pPr>
        <w:spacing w:line="52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第七条本协议甲乙双方所执份数与主合同一致。</w:t>
      </w:r>
    </w:p>
    <w:p>
      <w:pPr>
        <w:spacing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br w:type="textWrapping"/>
      </w:r>
      <w:r>
        <w:rPr>
          <w:rFonts w:hint="eastAsia" w:ascii="仿宋_GB2312" w:hAnsi="仿宋_GB2312" w:eastAsia="仿宋_GB2312" w:cs="仿宋_GB2312"/>
          <w:bCs/>
          <w:color w:val="000000"/>
          <w:sz w:val="28"/>
          <w:szCs w:val="28"/>
        </w:rPr>
        <w:t>甲方（盖章）：                     乙方（盖章）：</w:t>
      </w:r>
    </w:p>
    <w:p>
      <w:pPr>
        <w:pStyle w:val="39"/>
        <w:tabs>
          <w:tab w:val="left" w:pos="5100"/>
        </w:tabs>
        <w:spacing w:line="520" w:lineRule="exact"/>
        <w:ind w:left="7200" w:firstLine="0" w:firstLineChars="0"/>
        <w:jc w:val="left"/>
        <w:rPr>
          <w:rFonts w:hint="eastAsia" w:ascii="仿宋_GB2312" w:hAnsi="仿宋_GB2312" w:eastAsia="仿宋_GB2312" w:cs="仿宋_GB2312"/>
          <w:bCs/>
          <w:color w:val="000000"/>
          <w:sz w:val="28"/>
          <w:szCs w:val="28"/>
        </w:rPr>
      </w:pPr>
    </w:p>
    <w:p>
      <w:pPr>
        <w:tabs>
          <w:tab w:val="left" w:pos="5100"/>
        </w:tabs>
        <w:spacing w:line="520" w:lineRule="exact"/>
        <w:ind w:left="8400" w:hanging="8400" w:hangingChars="30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签约代表：                         签约代表：</w:t>
      </w:r>
    </w:p>
    <w:p>
      <w:pPr>
        <w:tabs>
          <w:tab w:val="left" w:pos="4170"/>
        </w:tabs>
        <w:spacing w:line="520" w:lineRule="exac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日期:    </w:t>
      </w:r>
      <w:r>
        <w:rPr>
          <w:rFonts w:hint="eastAsia" w:ascii="仿宋_GB2312" w:hAnsi="仿宋_GB2312" w:eastAsia="仿宋_GB2312" w:cs="仿宋_GB2312"/>
          <w:bCs/>
          <w:color w:val="000000"/>
          <w:sz w:val="28"/>
          <w:szCs w:val="28"/>
        </w:rPr>
        <w:tab/>
      </w:r>
      <w:r>
        <w:rPr>
          <w:rFonts w:hint="eastAsia" w:ascii="仿宋_GB2312" w:hAnsi="仿宋_GB2312" w:eastAsia="仿宋_GB2312" w:cs="仿宋_GB2312"/>
          <w:bCs/>
          <w:color w:val="000000"/>
          <w:sz w:val="28"/>
          <w:szCs w:val="28"/>
        </w:rPr>
        <w:t xml:space="preserve">     日期：  </w:t>
      </w:r>
    </w:p>
    <w:p>
      <w:pPr>
        <w:rPr>
          <w:rFonts w:hint="eastAsia" w:ascii="仿宋_GB2312" w:hAnsi="仿宋_GB2312" w:eastAsia="仿宋_GB2312" w:cs="仿宋_GB2312"/>
          <w:bCs/>
          <w:color w:val="000000"/>
          <w:sz w:val="30"/>
          <w:szCs w:val="30"/>
        </w:rPr>
      </w:pPr>
    </w:p>
    <w:p>
      <w:pPr>
        <w:snapToGrid w:val="0"/>
        <w:rPr>
          <w:color w:val="000000"/>
          <w:sz w:val="24"/>
        </w:rPr>
      </w:pPr>
    </w:p>
    <w:p>
      <w:pPr>
        <w:rPr>
          <w:color w:val="000000"/>
          <w:sz w:val="24"/>
        </w:rPr>
      </w:pPr>
    </w:p>
    <w:p>
      <w:pPr>
        <w:autoSpaceDE w:val="0"/>
        <w:autoSpaceDN w:val="0"/>
        <w:adjustRightInd w:val="0"/>
        <w:jc w:val="left"/>
        <w:rPr>
          <w:rFonts w:ascii="宋体" w:cs="宋体"/>
          <w:color w:val="000000"/>
          <w:kern w:val="0"/>
          <w:sz w:val="24"/>
        </w:rPr>
      </w:pPr>
    </w:p>
    <w:p>
      <w:pPr>
        <w:widowControl/>
        <w:jc w:val="left"/>
        <w:rPr>
          <w:rFonts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985" w:left="1588" w:header="851" w:footer="992" w:gutter="0"/>
          <w:cols w:space="425" w:num="1"/>
          <w:titlePg/>
          <w:docGrid w:type="lines" w:linePitch="312" w:charSpace="0"/>
        </w:sectPr>
      </w:pPr>
    </w:p>
    <w:p>
      <w:pPr>
        <w:pStyle w:val="2"/>
        <w:rPr>
          <w:rFonts w:hint="eastAsia"/>
          <w:highlight w:val="none"/>
        </w:rPr>
      </w:pPr>
    </w:p>
    <w:p>
      <w:pPr>
        <w:pStyle w:val="2"/>
        <w:rPr>
          <w:rFonts w:hint="eastAsia"/>
          <w:highlight w:val="none"/>
        </w:rPr>
      </w:pPr>
    </w:p>
    <w:p>
      <w:pPr>
        <w:pStyle w:val="2"/>
        <w:rPr>
          <w:rFonts w:hint="eastAsia" w:eastAsia="方正小标宋简体" w:asciiTheme="minorHAnsi" w:hAnsiTheme="minorHAnsi" w:cstheme="minorBidi"/>
          <w:bCs/>
          <w:color w:val="auto"/>
          <w:kern w:val="44"/>
          <w:sz w:val="44"/>
          <w:szCs w:val="44"/>
          <w:highlight w:val="none"/>
          <w:lang w:val="en-US" w:eastAsia="zh-CN" w:bidi="ar-SA"/>
        </w:rPr>
      </w:pPr>
      <w:r>
        <w:rPr>
          <w:sz w:val="44"/>
        </w:rPr>
        <mc:AlternateContent>
          <mc:Choice Requires="wps">
            <w:drawing>
              <wp:anchor distT="0" distB="0" distL="114300" distR="114300" simplePos="0" relativeHeight="251674624" behindDoc="0" locked="0" layoutInCell="1" allowOverlap="1">
                <wp:simplePos x="0" y="0"/>
                <wp:positionH relativeFrom="column">
                  <wp:posOffset>2406015</wp:posOffset>
                </wp:positionH>
                <wp:positionV relativeFrom="paragraph">
                  <wp:posOffset>462915</wp:posOffset>
                </wp:positionV>
                <wp:extent cx="1163320" cy="6985"/>
                <wp:effectExtent l="0" t="0" r="0" b="0"/>
                <wp:wrapNone/>
                <wp:docPr id="2" name="直接连接符 2"/>
                <wp:cNvGraphicFramePr/>
                <a:graphic xmlns:a="http://schemas.openxmlformats.org/drawingml/2006/main">
                  <a:graphicData uri="http://schemas.microsoft.com/office/word/2010/wordprocessingShape">
                    <wps:wsp>
                      <wps:cNvCnPr/>
                      <wps:spPr>
                        <a:xfrm flipV="1">
                          <a:off x="3328670" y="2190750"/>
                          <a:ext cx="11633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9.45pt;margin-top:36.45pt;height:0.55pt;width:91.6pt;z-index:251674624;mso-width-relative:page;mso-height-relative:page;" filled="f" stroked="t" coordsize="21600,21600" o:gfxdata="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&#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Qoce2AAAAAkBAAAPAAAAAAAAAAEAIAAAACIAAABk&#10;cnMvZG93bnJldi54bWxQSwECFAAUAAAACACHTuJA3FVl2AYCAADsAwAADgAAAAAAAAABACAAAAAn&#10;AQAAZHJzL2Uyb0RvYy54bWxQSwUGAAAAAAYABgBZAQAAnwUAAAAA&#10;">
                <v:fill on="f" focussize="0,0"/>
                <v:stroke color="#000000 [3200]" joinstyle="round"/>
                <v:imagedata o:title=""/>
                <o:lock v:ext="edit" aspectratio="f"/>
              </v:line>
            </w:pict>
          </mc:Fallback>
        </mc:AlternateContent>
      </w:r>
    </w:p>
    <w:p>
      <w:pPr>
        <w:pStyle w:val="2"/>
        <w:ind w:firstLine="3960" w:firstLineChars="900"/>
        <w:jc w:val="both"/>
        <w:rPr>
          <w:rFonts w:hint="eastAsia" w:eastAsia="方正小标宋简体" w:asciiTheme="minorHAnsi" w:hAnsiTheme="minorHAnsi" w:cstheme="minorBidi"/>
          <w:bCs/>
          <w:color w:val="auto"/>
          <w:kern w:val="44"/>
          <w:sz w:val="44"/>
          <w:szCs w:val="44"/>
          <w:highlight w:val="none"/>
          <w:lang w:val="en-US" w:eastAsia="zh-CN" w:bidi="ar-SA"/>
        </w:rPr>
      </w:pPr>
      <w:r>
        <w:rPr>
          <w:sz w:val="44"/>
        </w:rPr>
        <mc:AlternateContent>
          <mc:Choice Requires="wps">
            <w:drawing>
              <wp:anchor distT="0" distB="0" distL="114300" distR="114300" simplePos="0" relativeHeight="251675648" behindDoc="0" locked="0" layoutInCell="1" allowOverlap="1">
                <wp:simplePos x="0" y="0"/>
                <wp:positionH relativeFrom="column">
                  <wp:posOffset>2386965</wp:posOffset>
                </wp:positionH>
                <wp:positionV relativeFrom="paragraph">
                  <wp:posOffset>457835</wp:posOffset>
                </wp:positionV>
                <wp:extent cx="1224915" cy="0"/>
                <wp:effectExtent l="0" t="0" r="0" b="0"/>
                <wp:wrapNone/>
                <wp:docPr id="3" name="直接连接符 3"/>
                <wp:cNvGraphicFramePr/>
                <a:graphic xmlns:a="http://schemas.openxmlformats.org/drawingml/2006/main">
                  <a:graphicData uri="http://schemas.microsoft.com/office/word/2010/wordprocessingShape">
                    <wps:wsp>
                      <wps:cNvCnPr/>
                      <wps:spPr>
                        <a:xfrm>
                          <a:off x="3294380" y="2844165"/>
                          <a:ext cx="1224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7.95pt;margin-top:36.05pt;height:0pt;width:96.45pt;z-index:251675648;mso-width-relative:page;mso-height-relative:page;" filled="f" stroked="t" coordsize="21600,21600" o:gfxdata="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8VJ+41wAA&#10;AAkBAAAPAAAAAAAAAAEAIAAAACIAAABkcnMvZG93bnJldi54bWxQSwECFAAUAAAACACHTuJAmZX6&#10;fOYBAACmAwAADgAAAAAAAAABACAAAAAmAQAAZHJzL2Uyb0RvYy54bWxQSwUGAAAAAAYABgBZAQAA&#10;fgUAAAAA&#10;">
                <v:fill on="f" focussize="0,0"/>
                <v:stroke color="#000000 [3213]" joinstyle="round"/>
                <v:imagedata o:title=""/>
                <o:lock v:ext="edit" aspectratio="f"/>
              </v:line>
            </w:pict>
          </mc:Fallback>
        </mc:AlternateContent>
      </w:r>
      <w:r>
        <w:rPr>
          <w:rFonts w:hint="eastAsia" w:eastAsia="方正小标宋简体" w:asciiTheme="minorHAnsi" w:hAnsiTheme="minorHAnsi" w:cstheme="minorBidi"/>
          <w:bCs/>
          <w:color w:val="auto"/>
          <w:kern w:val="44"/>
          <w:sz w:val="44"/>
          <w:szCs w:val="44"/>
          <w:highlight w:val="none"/>
          <w:lang w:val="en-US" w:eastAsia="zh-CN" w:bidi="ar-SA"/>
        </w:rPr>
        <w:t>第七章</w:t>
      </w:r>
    </w:p>
    <w:p>
      <w:pPr>
        <w:pStyle w:val="5"/>
        <w:rPr>
          <w:rFonts w:ascii="方正小标宋简体" w:eastAsia="方正小标宋简体"/>
          <w:sz w:val="44"/>
          <w:szCs w:val="44"/>
          <w:highlight w:val="none"/>
        </w:rPr>
      </w:pPr>
      <w:r>
        <w:rPr>
          <w:rFonts w:hint="eastAsia"/>
          <w:highlight w:val="none"/>
        </w:rPr>
        <w:t>响应文件格式要求</w:t>
      </w:r>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before="156" w:beforeLines="50" w:after="156" w:afterLines="50" w:line="600" w:lineRule="exact"/>
        <w:jc w:val="both"/>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8"/>
          <w:szCs w:val="48"/>
          <w:highlight w:val="none"/>
        </w:rPr>
      </w:pPr>
      <w:r>
        <w:rPr>
          <w:rFonts w:hint="eastAsia" w:ascii="仿宋_GB2312" w:eastAsia="仿宋_GB2312"/>
          <w:sz w:val="30"/>
          <w:szCs w:val="30"/>
          <w:highlight w:val="none"/>
        </w:rPr>
        <w:t>（项目编号：   ）</w:t>
      </w: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89" w:name="_Toc87616389"/>
      <w:bookmarkStart w:id="90" w:name="_Toc88209952"/>
      <w:r>
        <w:rPr>
          <w:rFonts w:hint="eastAsia" w:ascii="仿宋_GB2312" w:eastAsia="仿宋_GB2312"/>
          <w:sz w:val="28"/>
          <w:szCs w:val="28"/>
          <w:highlight w:val="none"/>
        </w:rPr>
        <w:t>1.响应函</w:t>
      </w:r>
      <w:bookmarkEnd w:id="89"/>
      <w:bookmarkEnd w:id="90"/>
    </w:p>
    <w:p>
      <w:pPr>
        <w:spacing w:line="600" w:lineRule="exact"/>
        <w:rPr>
          <w:rFonts w:ascii="仿宋_GB2312" w:eastAsia="仿宋_GB2312"/>
          <w:sz w:val="28"/>
          <w:szCs w:val="28"/>
          <w:highlight w:val="none"/>
        </w:rPr>
      </w:pPr>
      <w:bookmarkStart w:id="91" w:name="_Toc87616390"/>
      <w:bookmarkStart w:id="92" w:name="_Toc88209953"/>
      <w:r>
        <w:rPr>
          <w:rFonts w:hint="eastAsia" w:ascii="仿宋_GB2312" w:eastAsia="仿宋_GB2312"/>
          <w:sz w:val="28"/>
          <w:szCs w:val="28"/>
          <w:highlight w:val="none"/>
        </w:rPr>
        <w:t>2.法定代表人证明或授权委托书</w:t>
      </w:r>
      <w:bookmarkEnd w:id="91"/>
      <w:bookmarkEnd w:id="92"/>
      <w:bookmarkStart w:id="93" w:name="_Toc88209956"/>
      <w:bookmarkStart w:id="94"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93"/>
      <w:bookmarkEnd w:id="94"/>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8"/>
        <w:rPr>
          <w:rFonts w:asciiTheme="minorEastAsia" w:hAnsiTheme="minorEastAsia" w:eastAsiaTheme="minorEastAsia"/>
          <w:sz w:val="28"/>
          <w:szCs w:val="28"/>
          <w:highlight w:val="none"/>
        </w:rPr>
      </w:pPr>
      <w:bookmarkStart w:id="95" w:name="_Toc87616394"/>
      <w:bookmarkStart w:id="96" w:name="_Toc28619645"/>
      <w:bookmarkStart w:id="97" w:name="_Toc88209957"/>
      <w:bookmarkStart w:id="98" w:name="_Toc12665"/>
      <w:bookmarkStart w:id="99" w:name="_Toc6313"/>
      <w:r>
        <w:rPr>
          <w:rFonts w:hint="eastAsia" w:asciiTheme="minorEastAsia" w:hAnsiTheme="minorEastAsia" w:eastAsiaTheme="minorEastAsia"/>
          <w:sz w:val="28"/>
          <w:szCs w:val="28"/>
          <w:highlight w:val="none"/>
        </w:rPr>
        <w:t>1.响应函</w:t>
      </w:r>
      <w:bookmarkEnd w:id="95"/>
      <w:bookmarkEnd w:id="96"/>
      <w:bookmarkEnd w:id="97"/>
      <w:bookmarkEnd w:id="98"/>
      <w:bookmarkEnd w:id="99"/>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 w:hAnsi="仿宋" w:eastAsia="仿宋" w:cs="仿宋"/>
          <w:sz w:val="28"/>
          <w:szCs w:val="28"/>
          <w:highlight w:val="none"/>
          <w:lang w:eastAsia="zh-CN"/>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00" w:name="_Toc88209958"/>
      <w:bookmarkStart w:id="101" w:name="_Toc22527"/>
      <w:bookmarkStart w:id="102" w:name="_Toc87616395"/>
      <w:bookmarkStart w:id="103" w:name="_Toc29833"/>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8"/>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00"/>
      <w:bookmarkEnd w:id="101"/>
      <w:bookmarkEnd w:id="102"/>
      <w:bookmarkEnd w:id="103"/>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3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3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33"/>
        <w:snapToGrid w:val="0"/>
        <w:spacing w:line="600" w:lineRule="exact"/>
        <w:ind w:firstLine="3907" w:firstLineChars="1221"/>
        <w:rPr>
          <w:rFonts w:ascii="仿宋_GB2312" w:hAnsi="宋体" w:eastAsia="仿宋_GB2312" w:cs="Times New Roman"/>
          <w:color w:val="auto"/>
          <w:sz w:val="32"/>
          <w:szCs w:val="32"/>
          <w:highlight w:val="none"/>
        </w:rPr>
      </w:pPr>
    </w:p>
    <w:p>
      <w:pPr>
        <w:pStyle w:val="3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42"/>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w:t>
      </w:r>
      <w:r>
        <w:rPr>
          <w:rFonts w:hint="eastAsia" w:ascii="仿宋_GB2312" w:hAnsi="宋体" w:eastAsia="仿宋_GB2312"/>
          <w:sz w:val="30"/>
          <w:szCs w:val="30"/>
          <w:highlight w:val="none"/>
          <w:lang w:val="en-US" w:eastAsia="zh-CN"/>
        </w:rPr>
        <w:t>自公告发布当月起</w:t>
      </w:r>
      <w:r>
        <w:rPr>
          <w:rFonts w:hint="eastAsia" w:ascii="仿宋_GB2312" w:hAnsi="宋体" w:eastAsia="仿宋_GB2312"/>
          <w:sz w:val="30"/>
          <w:szCs w:val="30"/>
          <w:highlight w:val="none"/>
        </w:rPr>
        <w:t>在本单位近三个月社保记录（以加盖社会保险基金管理中心印章的《缴费历史明细表》或《社会保险参保人员证明》为准），否则为无效代理人，询价响应文件无效。</w:t>
      </w:r>
    </w:p>
    <w:p>
      <w:pPr>
        <w:pStyle w:val="3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highlight w:val="none"/>
        </w:rPr>
      </w:pPr>
    </w:p>
    <w:p>
      <w:pPr>
        <w:pStyle w:val="7"/>
        <w:spacing w:after="0" w:line="600" w:lineRule="exact"/>
        <w:ind w:left="0" w:leftChars="0" w:firstLine="0" w:firstLineChars="0"/>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w:t>
            </w:r>
            <w:r>
              <w:rPr>
                <w:rFonts w:hint="eastAsia" w:ascii="宋体" w:hAnsi="宋体" w:cs="Times New Roman"/>
                <w:sz w:val="24"/>
                <w:szCs w:val="24"/>
                <w:highlight w:val="none"/>
                <w:lang w:val="en-US" w:eastAsia="zh-CN"/>
              </w:rPr>
              <w:t>自公告发布当月起</w:t>
            </w:r>
            <w:r>
              <w:rPr>
                <w:rFonts w:hint="eastAsia" w:ascii="宋体" w:hAnsi="宋体" w:cs="Times New Roman"/>
                <w:sz w:val="24"/>
                <w:szCs w:val="24"/>
                <w:highlight w:val="none"/>
              </w:rPr>
              <w:t>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8"/>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04" w:name="_Toc87616400"/>
      <w:bookmarkStart w:id="105" w:name="_Toc88209963"/>
      <w:bookmarkStart w:id="106" w:name="_Toc8086"/>
      <w:bookmarkStart w:id="107" w:name="_Toc1983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04"/>
      <w:bookmarkEnd w:id="105"/>
      <w:bookmarkEnd w:id="106"/>
      <w:bookmarkEnd w:id="10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ascii="宋体" w:hAnsi="宋体" w:eastAsia="宋体" w:cs="宋体"/>
          <w:sz w:val="24"/>
          <w:szCs w:val="24"/>
          <w:highlight w:val="none"/>
          <w:lang w:val="en-GB"/>
        </w:rPr>
      </w:pPr>
      <w:bookmarkStart w:id="108" w:name="_Hlk59025866"/>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sz w:val="28"/>
          <w:szCs w:val="28"/>
          <w:highlight w:val="none"/>
        </w:rPr>
      </w:pPr>
      <w:r>
        <w:rPr>
          <w:rFonts w:hint="eastAsia" w:ascii="宋体" w:hAnsi="宋体" w:eastAsia="宋体" w:cs="宋体"/>
          <w:sz w:val="24"/>
          <w:szCs w:val="24"/>
          <w:highlight w:val="none"/>
          <w:lang w:val="en-GB"/>
        </w:rPr>
        <w:t>年  月  日</w:t>
      </w:r>
    </w:p>
    <w:p>
      <w:pPr>
        <w:adjustRightInd w:val="0"/>
        <w:snapToGrid w:val="0"/>
        <w:spacing w:line="360" w:lineRule="auto"/>
        <w:jc w:val="left"/>
        <w:rPr>
          <w:rFonts w:hint="eastAsia" w:cs="Times New Roman" w:asciiTheme="minorEastAsia" w:hAnsiTheme="minorEastAsia"/>
          <w:b/>
          <w:bCs/>
          <w:sz w:val="28"/>
          <w:szCs w:val="28"/>
          <w:highlight w:val="none"/>
        </w:rPr>
      </w:pPr>
    </w:p>
    <w:p>
      <w:pPr>
        <w:pStyle w:val="2"/>
        <w:rPr>
          <w:rFonts w:hint="eastAsia"/>
        </w:rPr>
      </w:pP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08"/>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w:t>
      </w:r>
      <w:r>
        <w:rPr>
          <w:rFonts w:hint="eastAsia" w:ascii="宋体" w:hAnsi="宋体" w:eastAsia="宋体" w:cs="宋体"/>
          <w:sz w:val="24"/>
          <w:szCs w:val="24"/>
          <w:highlight w:val="none"/>
          <w:u w:val="single"/>
          <w:lang w:val="en-US" w:eastAsia="zh-CN"/>
        </w:rPr>
        <w:t>环城北净水厂防洪评价技术咨询项目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采购期间，未被列入下列情形之一：</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（10）其他违法违纪行为，经审查认为不宜被邀请参加采购活动的。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（11）其他禁止情形：</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
        <w:ind w:firstLine="6720" w:firstLineChars="2800"/>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600" w:lineRule="exact"/>
        <w:ind w:firstLine="0"/>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8"/>
        <w:numPr>
          <w:ilvl w:val="-1"/>
          <w:numId w:val="0"/>
        </w:numPr>
        <w:rPr>
          <w:rFonts w:hint="eastAsia" w:ascii="宋体" w:hAnsi="宋体" w:eastAsia="宋体" w:cs="宋体"/>
          <w:b/>
          <w:bCs/>
          <w:color w:val="auto"/>
          <w:sz w:val="24"/>
          <w:szCs w:val="24"/>
          <w:highlight w:val="none"/>
        </w:rPr>
      </w:pP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pStyle w:val="33"/>
        <w:rPr>
          <w:rFonts w:hint="eastAsia"/>
        </w:rPr>
      </w:pPr>
    </w:p>
    <w:p>
      <w:pPr>
        <w:pStyle w:val="15"/>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1704"/>
        <w:gridCol w:w="568"/>
        <w:gridCol w:w="1408"/>
        <w:gridCol w:w="509"/>
        <w:gridCol w:w="1011"/>
        <w:gridCol w:w="1011"/>
        <w:gridCol w:w="2852"/>
        <w:tblGridChange w:id="0">
          <w:tblGrid>
            <w:gridCol w:w="93"/>
            <w:gridCol w:w="416"/>
            <w:gridCol w:w="169"/>
            <w:gridCol w:w="1535"/>
            <w:gridCol w:w="535"/>
            <w:gridCol w:w="33"/>
            <w:gridCol w:w="987"/>
            <w:gridCol w:w="421"/>
            <w:gridCol w:w="509"/>
            <w:gridCol w:w="1011"/>
            <w:gridCol w:w="1011"/>
            <w:gridCol w:w="2852"/>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广州市净水有限公司环城北净水厂防洪评价技术咨询项目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计费范围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设计洪水计算分析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河涌 卫生河、石井河、松北一涌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施工洪水计算分析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河涌 卫生河、石井河、松北一涌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河床演变分析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河涌 卫生河、石井河、松北一涌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冲刷淤积计算分析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河涌 卫生河、石井河、松北一涌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工程对河道水动力影响分析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按运行期工程前后、两种不同频率洪水和施工期工程前后、两种频率洪水计，共6种工况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综合评价及报告编制技术工作费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7</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 元</w:t>
            </w:r>
            <w:r>
              <w:rPr>
                <w:rFonts w:hint="eastAsia" w:ascii="宋体" w:hAnsi="宋体" w:eastAsia="宋体" w:cs="宋体"/>
                <w:i w:val="0"/>
                <w:iCs w:val="0"/>
                <w:color w:val="000000"/>
                <w:kern w:val="0"/>
                <w:sz w:val="21"/>
                <w:szCs w:val="21"/>
                <w:u w:val="single"/>
                <w:lang w:val="en-US" w:eastAsia="zh-CN" w:bidi="ar"/>
              </w:rPr>
              <w:t>（含税： %）</w:t>
            </w:r>
          </w:p>
        </w:tc>
        <w:tc>
          <w:tcPr>
            <w:tcW w:w="0" w:type="auto"/>
            <w:gridSpan w:val="5"/>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auto" w:sz="4" w:space="0"/>
              <w:left w:val="single" w:color="000000"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60" w:hRule="atLeast"/>
        </w:trPr>
        <w:tc>
          <w:tcPr>
            <w:tcW w:w="0" w:type="auto"/>
            <w:gridSpan w:val="8"/>
            <w:tcBorders>
              <w:top w:val="single" w:color="auto" w:sz="4" w:space="0"/>
              <w:left w:val="nil"/>
              <w:bottom w:val="nil"/>
              <w:right w:val="nil"/>
            </w:tcBorders>
            <w:shd w:val="clear" w:color="auto" w:fill="auto"/>
            <w:vAlign w:val="center"/>
          </w:tcPr>
          <w:p>
            <w:pPr>
              <w:ind w:firstLine="600" w:firstLineChars="200"/>
              <w:rPr>
                <w:rFonts w:hint="default" w:ascii="宋体" w:hAnsi="宋体" w:eastAsia="宋体" w:cs="宋体"/>
                <w:i w:val="0"/>
                <w:iCs w:val="0"/>
                <w:color w:val="000000"/>
                <w:sz w:val="21"/>
                <w:szCs w:val="21"/>
                <w:u w:val="single"/>
                <w:lang w:val="en-US" w:eastAsia="zh-CN"/>
              </w:rPr>
            </w:pPr>
            <w:r>
              <w:rPr>
                <w:rFonts w:hint="eastAsia" w:ascii="宋体" w:hAnsi="宋体" w:eastAsia="宋体" w:cs="宋体"/>
                <w:i w:val="0"/>
                <w:iCs w:val="0"/>
                <w:color w:val="000000"/>
                <w:sz w:val="30"/>
                <w:szCs w:val="30"/>
                <w:u w:val="none"/>
                <w:lang w:val="en-US" w:eastAsia="zh-CN"/>
              </w:rPr>
              <w:t>下浮率：</w:t>
            </w:r>
            <w:r>
              <w:rPr>
                <w:rFonts w:hint="eastAsia" w:ascii="宋体" w:hAnsi="宋体" w:eastAsia="宋体" w:cs="宋体"/>
                <w:i w:val="0"/>
                <w:iCs w:val="0"/>
                <w:color w:val="000000"/>
                <w:sz w:val="30"/>
                <w:szCs w:val="30"/>
                <w:u w:val="single"/>
                <w:lang w:val="en-US" w:eastAsia="zh-CN"/>
              </w:rPr>
              <w:t xml:space="preserve">             </w:t>
            </w:r>
          </w:p>
        </w:tc>
      </w:tr>
    </w:tbl>
    <w:p>
      <w:pPr>
        <w:pStyle w:val="24"/>
        <w:pageBreakBefore w:val="0"/>
        <w:wordWrap/>
        <w:topLinePunct w:val="0"/>
        <w:bidi w:val="0"/>
        <w:adjustRightInd w:val="0"/>
        <w:snapToGrid w:val="0"/>
        <w:spacing w:before="0" w:beforeAutospacing="0" w:after="0" w:afterAutospacing="0" w:line="360" w:lineRule="auto"/>
        <w:jc w:val="both"/>
        <w:rPr>
          <w:rFonts w:hint="eastAsia" w:ascii="宋体" w:hAnsi="宋体" w:eastAsia="宋体" w:cs="宋体"/>
          <w:b/>
          <w:bCs/>
          <w:color w:val="auto"/>
          <w:sz w:val="24"/>
          <w:szCs w:val="24"/>
          <w:highlight w:val="none"/>
          <w:lang w:val="en-GB"/>
        </w:rPr>
      </w:pPr>
    </w:p>
    <w:p>
      <w:pPr>
        <w:pStyle w:val="24"/>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color w:val="auto"/>
          <w:highlight w:val="none"/>
          <w:lang w:val="en-GB"/>
        </w:rPr>
      </w:pPr>
      <w:r>
        <w:rPr>
          <w:rFonts w:hint="eastAsia" w:ascii="宋体" w:hAnsi="宋体" w:eastAsia="宋体" w:cs="宋体"/>
          <w:b/>
          <w:bCs/>
          <w:color w:val="auto"/>
          <w:sz w:val="28"/>
          <w:szCs w:val="28"/>
          <w:highlight w:val="none"/>
          <w:lang w:val="en-GB"/>
        </w:rPr>
        <w:t>注：</w:t>
      </w:r>
      <w:r>
        <w:rPr>
          <w:rFonts w:ascii="宋体" w:hAnsi="宋体" w:eastAsia="宋体" w:cs="宋体"/>
          <w:b/>
          <w:bCs/>
          <w:sz w:val="28"/>
          <w:szCs w:val="28"/>
        </w:rPr>
        <w:t>下浮率=（</w:t>
      </w:r>
      <w:r>
        <w:rPr>
          <w:rFonts w:hint="eastAsia" w:cs="宋体"/>
          <w:b/>
          <w:bCs/>
          <w:sz w:val="28"/>
          <w:szCs w:val="28"/>
          <w:lang w:val="en-US" w:eastAsia="zh-CN"/>
        </w:rPr>
        <w:t>项目</w:t>
      </w:r>
      <w:r>
        <w:rPr>
          <w:rFonts w:ascii="宋体" w:hAnsi="宋体" w:eastAsia="宋体" w:cs="宋体"/>
          <w:b/>
          <w:bCs/>
          <w:sz w:val="28"/>
          <w:szCs w:val="28"/>
        </w:rPr>
        <w:t>最高限价</w:t>
      </w:r>
      <w:r>
        <w:rPr>
          <w:rFonts w:hint="eastAsia" w:cs="宋体"/>
          <w:b/>
          <w:bCs/>
          <w:sz w:val="28"/>
          <w:szCs w:val="28"/>
          <w:lang w:val="en-US" w:eastAsia="zh-CN"/>
        </w:rPr>
        <w:t xml:space="preserve"> - 供应商</w:t>
      </w:r>
      <w:r>
        <w:rPr>
          <w:rFonts w:ascii="宋体" w:hAnsi="宋体" w:eastAsia="宋体" w:cs="宋体"/>
          <w:b/>
          <w:bCs/>
          <w:sz w:val="28"/>
          <w:szCs w:val="28"/>
        </w:rPr>
        <w:t>报价总价）/</w:t>
      </w:r>
      <w:r>
        <w:rPr>
          <w:rFonts w:hint="eastAsia" w:cs="宋体"/>
          <w:b/>
          <w:bCs/>
          <w:sz w:val="28"/>
          <w:szCs w:val="28"/>
          <w:lang w:val="en-US" w:eastAsia="zh-CN"/>
        </w:rPr>
        <w:t>项目</w:t>
      </w:r>
      <w:r>
        <w:rPr>
          <w:rFonts w:ascii="宋体" w:hAnsi="宋体" w:eastAsia="宋体" w:cs="宋体"/>
          <w:b/>
          <w:bCs/>
          <w:sz w:val="28"/>
          <w:szCs w:val="28"/>
        </w:rPr>
        <w:t>最高限价。超过</w:t>
      </w:r>
      <w:r>
        <w:rPr>
          <w:rFonts w:hint="eastAsia" w:cs="宋体"/>
          <w:b/>
          <w:bCs/>
          <w:sz w:val="28"/>
          <w:szCs w:val="28"/>
          <w:lang w:val="en-US" w:eastAsia="zh-CN"/>
        </w:rPr>
        <w:t>项目</w:t>
      </w:r>
      <w:r>
        <w:rPr>
          <w:rFonts w:ascii="宋体" w:hAnsi="宋体" w:eastAsia="宋体" w:cs="宋体"/>
          <w:b/>
          <w:bCs/>
          <w:sz w:val="28"/>
          <w:szCs w:val="28"/>
        </w:rPr>
        <w:t>最高限价的报价为无效</w:t>
      </w:r>
      <w:r>
        <w:rPr>
          <w:rFonts w:hint="eastAsia" w:cs="宋体"/>
          <w:b/>
          <w:bCs/>
          <w:sz w:val="28"/>
          <w:szCs w:val="28"/>
          <w:lang w:val="en-US" w:eastAsia="zh-CN"/>
        </w:rPr>
        <w:t>报价</w:t>
      </w:r>
      <w:r>
        <w:rPr>
          <w:rFonts w:ascii="宋体" w:hAnsi="宋体" w:eastAsia="宋体" w:cs="宋体"/>
          <w:b/>
          <w:bCs/>
          <w:sz w:val="28"/>
          <w:szCs w:val="28"/>
        </w:rPr>
        <w:t>。</w:t>
      </w: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eastAsia"/>
          <w:lang w:val="en-US" w:eastAsia="zh-CN"/>
        </w:rPr>
        <w:sectPr>
          <w:pgSz w:w="11850" w:h="16783"/>
          <w:pgMar w:top="1418" w:right="1247" w:bottom="993" w:left="1247" w:header="851" w:footer="684" w:gutter="0"/>
          <w:pgNumType w:fmt="decimal"/>
          <w:cols w:space="720" w:num="1"/>
          <w:titlePg/>
          <w:docGrid w:type="lines" w:linePitch="312" w:charSpace="0"/>
        </w:sectPr>
      </w:pPr>
      <w:bookmarkStart w:id="109" w:name="_Toc88209965"/>
      <w:bookmarkStart w:id="110" w:name="_Toc87616402"/>
      <w:bookmarkStart w:id="111" w:name="_Toc16386"/>
      <w:bookmarkStart w:id="112" w:name="_Toc6058"/>
    </w:p>
    <w:p>
      <w:pPr>
        <w:pStyle w:val="8"/>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6</w:t>
      </w:r>
      <w:r>
        <w:rPr>
          <w:rFonts w:hint="eastAsia" w:asciiTheme="majorEastAsia" w:hAnsiTheme="majorEastAsia" w:eastAsiaTheme="majorEastAsia"/>
          <w:color w:val="auto"/>
          <w:sz w:val="28"/>
          <w:szCs w:val="28"/>
          <w:highlight w:val="none"/>
        </w:rPr>
        <w:t>.其他资料</w:t>
      </w:r>
      <w:bookmarkEnd w:id="109"/>
      <w:bookmarkEnd w:id="110"/>
      <w:bookmarkEnd w:id="111"/>
      <w:bookmarkEnd w:id="11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pStyle w:val="2"/>
        <w:ind w:left="0" w:leftChars="0" w:firstLine="0" w:firstLineChars="0"/>
        <w:rPr>
          <w:rFonts w:ascii="仿宋_GB2312" w:eastAsia="仿宋_GB2312" w:hAnsiTheme="minorEastAsia"/>
          <w:sz w:val="28"/>
          <w:szCs w:val="28"/>
          <w:highlight w:val="none"/>
        </w:rPr>
      </w:pPr>
    </w:p>
    <w:sectPr>
      <w:footerReference r:id="rId12" w:type="first"/>
      <w:footerReference r:id="rId11" w:type="default"/>
      <w:pgSz w:w="11906" w:h="16838"/>
      <w:pgMar w:top="141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60"/>
        <w:tab w:val="clear" w:pos="4153"/>
      </w:tabs>
      <w:rPr>
        <w:rStyle w:val="30"/>
      </w:rPr>
    </w:pPr>
    <w:r>
      <w:rPr>
        <w:rFonts w:hint="eastAsia"/>
      </w:rPr>
      <w:tab/>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60"/>
        <w:tab w:val="clear" w:pos="4153"/>
      </w:tabs>
      <w:rPr>
        <w:rStyle w:val="3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6</w:t>
    </w:r>
    <w:r>
      <w:fldChar w:fldCharType="end"/>
    </w:r>
  </w:p>
  <w:p>
    <w:pPr>
      <w:pStyle w:val="18"/>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sdt>
        <w:sdtPr>
          <w:id w:val="425155585"/>
        </w:sdtPr>
        <w:sdtContent>
          <w:p>
            <w:pPr>
              <w:pStyle w:val="18"/>
              <w:jc w:val="center"/>
            </w:pPr>
            <w:r>
              <w:fldChar w:fldCharType="begin"/>
            </w:r>
            <w:r>
              <w:instrText xml:space="preserve">PAGE   \* MERGEFORMAT</w:instrText>
            </w:r>
            <w:r>
              <w:fldChar w:fldCharType="separate"/>
            </w:r>
            <w:r>
              <w:rPr>
                <w:lang w:val="zh-CN"/>
              </w:rPr>
              <w:t>23</w:t>
            </w:r>
            <w:r>
              <w:fldChar w:fldCharType="end"/>
            </w:r>
          </w:p>
        </w:sdtContent>
      </w:sdt>
    </w:sdtContent>
  </w:sdt>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8"/>
          <w:jc w:val="center"/>
        </w:pPr>
        <w:r>
          <w:fldChar w:fldCharType="begin"/>
        </w:r>
        <w:r>
          <w:instrText xml:space="preserve">PAGE   \* MERGEFORMAT</w:instrText>
        </w:r>
        <w:r>
          <w:fldChar w:fldCharType="separate"/>
        </w:r>
        <w:r>
          <w:rPr>
            <w:lang w:val="zh-CN"/>
          </w:rPr>
          <w:t>23</w:t>
        </w:r>
        <w:r>
          <w:fldChar w:fldCharType="end"/>
        </w:r>
      </w:p>
    </w:sdtContent>
  </w:sdt>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sdt>
        <w:sdtPr>
          <w:id w:val="425155585"/>
        </w:sdtPr>
        <w:sdtContent>
          <w:p>
            <w:pPr>
              <w:pStyle w:val="18"/>
              <w:jc w:val="center"/>
            </w:pPr>
            <w:r>
              <w:fldChar w:fldCharType="begin"/>
            </w:r>
            <w:r>
              <w:instrText xml:space="preserve">PAGE   \* MERGEFORMAT</w:instrText>
            </w:r>
            <w:r>
              <w:fldChar w:fldCharType="separate"/>
            </w:r>
            <w:r>
              <w:rPr>
                <w:lang w:val="zh-CN"/>
              </w:rPr>
              <w:t>23</w:t>
            </w:r>
            <w:r>
              <w:fldChar w:fldCharType="end"/>
            </w:r>
          </w:p>
        </w:sdtContent>
      </w:sdt>
    </w:sdtContent>
  </w:sdt>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8"/>
          <w:jc w:val="center"/>
        </w:pPr>
        <w:r>
          <w:fldChar w:fldCharType="begin"/>
        </w:r>
        <w:r>
          <w:instrText xml:space="preserve">PAGE   \* MERGEFORMAT</w:instrText>
        </w:r>
        <w:r>
          <w:fldChar w:fldCharType="separate"/>
        </w:r>
        <w:r>
          <w:rPr>
            <w:lang w:val="zh-CN"/>
          </w:rPr>
          <w:t>23</w:t>
        </w:r>
        <w:r>
          <w:fldChar w:fldCharType="end"/>
        </w:r>
      </w:p>
    </w:sdtContent>
  </w:sdt>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325F2470"/>
    <w:multiLevelType w:val="multilevel"/>
    <w:tmpl w:val="325F2470"/>
    <w:lvl w:ilvl="0" w:tentative="0">
      <w:start w:val="1"/>
      <w:numFmt w:val="decimal"/>
      <w:pStyle w:val="5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8A"/>
    <w:rsid w:val="00013124"/>
    <w:rsid w:val="00147CBF"/>
    <w:rsid w:val="001548A7"/>
    <w:rsid w:val="0019004F"/>
    <w:rsid w:val="001B74CE"/>
    <w:rsid w:val="00200BF5"/>
    <w:rsid w:val="002F4E7B"/>
    <w:rsid w:val="003749F3"/>
    <w:rsid w:val="003D60BA"/>
    <w:rsid w:val="00411689"/>
    <w:rsid w:val="00470313"/>
    <w:rsid w:val="004856D8"/>
    <w:rsid w:val="00553A15"/>
    <w:rsid w:val="005733FA"/>
    <w:rsid w:val="005C5E51"/>
    <w:rsid w:val="005D618A"/>
    <w:rsid w:val="005E7F32"/>
    <w:rsid w:val="006A16B3"/>
    <w:rsid w:val="006A4FAF"/>
    <w:rsid w:val="006B31D4"/>
    <w:rsid w:val="006B3C68"/>
    <w:rsid w:val="006C4EA0"/>
    <w:rsid w:val="006D4295"/>
    <w:rsid w:val="006D613A"/>
    <w:rsid w:val="006E6AAF"/>
    <w:rsid w:val="00723B7E"/>
    <w:rsid w:val="00733049"/>
    <w:rsid w:val="007409F8"/>
    <w:rsid w:val="00755C4A"/>
    <w:rsid w:val="00766978"/>
    <w:rsid w:val="007C0032"/>
    <w:rsid w:val="007C03D4"/>
    <w:rsid w:val="007F7AD8"/>
    <w:rsid w:val="008510D7"/>
    <w:rsid w:val="008B2A07"/>
    <w:rsid w:val="00906C57"/>
    <w:rsid w:val="00911ECD"/>
    <w:rsid w:val="0095020F"/>
    <w:rsid w:val="009A4C4B"/>
    <w:rsid w:val="009B3CF8"/>
    <w:rsid w:val="009D1785"/>
    <w:rsid w:val="009D40BF"/>
    <w:rsid w:val="00A02DDD"/>
    <w:rsid w:val="00A042E0"/>
    <w:rsid w:val="00A06D4E"/>
    <w:rsid w:val="00A366DA"/>
    <w:rsid w:val="00AC74B3"/>
    <w:rsid w:val="00AD2464"/>
    <w:rsid w:val="00B15CDC"/>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344A3"/>
    <w:rsid w:val="00D645C3"/>
    <w:rsid w:val="00DA530B"/>
    <w:rsid w:val="00DB3944"/>
    <w:rsid w:val="00DB4685"/>
    <w:rsid w:val="00E41CA4"/>
    <w:rsid w:val="00E80084"/>
    <w:rsid w:val="00EB49AB"/>
    <w:rsid w:val="00EF4E5B"/>
    <w:rsid w:val="00F15611"/>
    <w:rsid w:val="00F83B64"/>
    <w:rsid w:val="00F86C17"/>
    <w:rsid w:val="00FC00B1"/>
    <w:rsid w:val="00FD3425"/>
    <w:rsid w:val="00FD3864"/>
    <w:rsid w:val="00FD3959"/>
    <w:rsid w:val="00FE07B6"/>
    <w:rsid w:val="00FE4EC1"/>
    <w:rsid w:val="013E3461"/>
    <w:rsid w:val="01A324E9"/>
    <w:rsid w:val="02040F47"/>
    <w:rsid w:val="02090C75"/>
    <w:rsid w:val="020A3667"/>
    <w:rsid w:val="020F28FF"/>
    <w:rsid w:val="02361A48"/>
    <w:rsid w:val="02A23A3C"/>
    <w:rsid w:val="02D377D8"/>
    <w:rsid w:val="033912DB"/>
    <w:rsid w:val="035D130A"/>
    <w:rsid w:val="039110A9"/>
    <w:rsid w:val="03AC246A"/>
    <w:rsid w:val="03B23056"/>
    <w:rsid w:val="03DC3EBA"/>
    <w:rsid w:val="03F9794D"/>
    <w:rsid w:val="04014900"/>
    <w:rsid w:val="046A2461"/>
    <w:rsid w:val="051C2970"/>
    <w:rsid w:val="055A62F1"/>
    <w:rsid w:val="060C3611"/>
    <w:rsid w:val="06483EEA"/>
    <w:rsid w:val="06C64829"/>
    <w:rsid w:val="070E7B6E"/>
    <w:rsid w:val="07766E4B"/>
    <w:rsid w:val="077D16D2"/>
    <w:rsid w:val="082A69F3"/>
    <w:rsid w:val="08675FC8"/>
    <w:rsid w:val="086F6DCE"/>
    <w:rsid w:val="09B713FD"/>
    <w:rsid w:val="09C76704"/>
    <w:rsid w:val="09ED4357"/>
    <w:rsid w:val="09EF6ACC"/>
    <w:rsid w:val="0A315056"/>
    <w:rsid w:val="0A693BDD"/>
    <w:rsid w:val="0AA213B4"/>
    <w:rsid w:val="0AF61C7E"/>
    <w:rsid w:val="0AFB45AD"/>
    <w:rsid w:val="0B351E9B"/>
    <w:rsid w:val="0B4C50D3"/>
    <w:rsid w:val="0B806B92"/>
    <w:rsid w:val="0B827E94"/>
    <w:rsid w:val="0B842F76"/>
    <w:rsid w:val="0BD070E1"/>
    <w:rsid w:val="0C247926"/>
    <w:rsid w:val="0CAA5A01"/>
    <w:rsid w:val="0D794204"/>
    <w:rsid w:val="0E2125D1"/>
    <w:rsid w:val="0E214211"/>
    <w:rsid w:val="0E5F2769"/>
    <w:rsid w:val="0F4D75A3"/>
    <w:rsid w:val="0F5B2DCA"/>
    <w:rsid w:val="0F99494A"/>
    <w:rsid w:val="0FD36447"/>
    <w:rsid w:val="0FED051E"/>
    <w:rsid w:val="0FEE4C29"/>
    <w:rsid w:val="0FF4627E"/>
    <w:rsid w:val="10031608"/>
    <w:rsid w:val="10046082"/>
    <w:rsid w:val="104974DD"/>
    <w:rsid w:val="105155C5"/>
    <w:rsid w:val="10870E3D"/>
    <w:rsid w:val="108F41A5"/>
    <w:rsid w:val="111703D2"/>
    <w:rsid w:val="112B101A"/>
    <w:rsid w:val="11502337"/>
    <w:rsid w:val="117735CB"/>
    <w:rsid w:val="119B53FC"/>
    <w:rsid w:val="11B7334F"/>
    <w:rsid w:val="120644D5"/>
    <w:rsid w:val="1215733B"/>
    <w:rsid w:val="122438E1"/>
    <w:rsid w:val="12424CDC"/>
    <w:rsid w:val="12802328"/>
    <w:rsid w:val="129A2738"/>
    <w:rsid w:val="129A5607"/>
    <w:rsid w:val="12B56BF1"/>
    <w:rsid w:val="12CB1A89"/>
    <w:rsid w:val="131840FB"/>
    <w:rsid w:val="13467417"/>
    <w:rsid w:val="136A5BAE"/>
    <w:rsid w:val="136E76CF"/>
    <w:rsid w:val="145F08C6"/>
    <w:rsid w:val="147F1D96"/>
    <w:rsid w:val="15776308"/>
    <w:rsid w:val="15BC6B3C"/>
    <w:rsid w:val="16360A7B"/>
    <w:rsid w:val="164D40B0"/>
    <w:rsid w:val="1694429A"/>
    <w:rsid w:val="16EA37F9"/>
    <w:rsid w:val="1732369B"/>
    <w:rsid w:val="1733598B"/>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C91651B"/>
    <w:rsid w:val="1CCA21D4"/>
    <w:rsid w:val="1CD21B97"/>
    <w:rsid w:val="1D077A33"/>
    <w:rsid w:val="1D0E6976"/>
    <w:rsid w:val="1D5A79EE"/>
    <w:rsid w:val="1E0E2CD0"/>
    <w:rsid w:val="1E831280"/>
    <w:rsid w:val="1EBC4704"/>
    <w:rsid w:val="1F172EB5"/>
    <w:rsid w:val="1F431670"/>
    <w:rsid w:val="1F94592D"/>
    <w:rsid w:val="1FB860DE"/>
    <w:rsid w:val="20344F72"/>
    <w:rsid w:val="203C5A02"/>
    <w:rsid w:val="209D4C94"/>
    <w:rsid w:val="20BE643C"/>
    <w:rsid w:val="20E84705"/>
    <w:rsid w:val="218400BA"/>
    <w:rsid w:val="21AB1E2F"/>
    <w:rsid w:val="21D40498"/>
    <w:rsid w:val="21EC3A0B"/>
    <w:rsid w:val="22767047"/>
    <w:rsid w:val="23110016"/>
    <w:rsid w:val="234A308C"/>
    <w:rsid w:val="23A05588"/>
    <w:rsid w:val="23D034C4"/>
    <w:rsid w:val="240476A1"/>
    <w:rsid w:val="24DB3341"/>
    <w:rsid w:val="25431AEB"/>
    <w:rsid w:val="25BE3BFB"/>
    <w:rsid w:val="25BF43FD"/>
    <w:rsid w:val="25D935E3"/>
    <w:rsid w:val="25F86BCD"/>
    <w:rsid w:val="2605748B"/>
    <w:rsid w:val="26391C9D"/>
    <w:rsid w:val="264544A6"/>
    <w:rsid w:val="268E2070"/>
    <w:rsid w:val="269E416A"/>
    <w:rsid w:val="26C11C6B"/>
    <w:rsid w:val="26DD6AEC"/>
    <w:rsid w:val="272100D3"/>
    <w:rsid w:val="272C72FC"/>
    <w:rsid w:val="275131CB"/>
    <w:rsid w:val="276E1182"/>
    <w:rsid w:val="27EB149D"/>
    <w:rsid w:val="27FD3E52"/>
    <w:rsid w:val="28A14A6A"/>
    <w:rsid w:val="28E11370"/>
    <w:rsid w:val="294A756A"/>
    <w:rsid w:val="29781BF8"/>
    <w:rsid w:val="29C33ED0"/>
    <w:rsid w:val="29D5322D"/>
    <w:rsid w:val="2A025DD9"/>
    <w:rsid w:val="2A2619CB"/>
    <w:rsid w:val="2A530B57"/>
    <w:rsid w:val="2A7C2231"/>
    <w:rsid w:val="2A93327D"/>
    <w:rsid w:val="2ABB753D"/>
    <w:rsid w:val="2AFE6EC4"/>
    <w:rsid w:val="2B390705"/>
    <w:rsid w:val="2B5430CC"/>
    <w:rsid w:val="2B7A49FA"/>
    <w:rsid w:val="2C615D26"/>
    <w:rsid w:val="2CAC7FCD"/>
    <w:rsid w:val="2CB679ED"/>
    <w:rsid w:val="2D173C07"/>
    <w:rsid w:val="2D424A86"/>
    <w:rsid w:val="2D6F2706"/>
    <w:rsid w:val="2DA91BA1"/>
    <w:rsid w:val="2DDA66B7"/>
    <w:rsid w:val="2E0F40CF"/>
    <w:rsid w:val="2E5A3435"/>
    <w:rsid w:val="2E7B52DB"/>
    <w:rsid w:val="2EA10DA9"/>
    <w:rsid w:val="2ED60115"/>
    <w:rsid w:val="2F324CFE"/>
    <w:rsid w:val="2F7022F7"/>
    <w:rsid w:val="2FBA09F1"/>
    <w:rsid w:val="2FEF2ACF"/>
    <w:rsid w:val="30540211"/>
    <w:rsid w:val="30F140F9"/>
    <w:rsid w:val="30FC01F6"/>
    <w:rsid w:val="31112A0D"/>
    <w:rsid w:val="311F4B20"/>
    <w:rsid w:val="312D7741"/>
    <w:rsid w:val="316F137F"/>
    <w:rsid w:val="31DF525F"/>
    <w:rsid w:val="31EC162B"/>
    <w:rsid w:val="32324C2E"/>
    <w:rsid w:val="327171DF"/>
    <w:rsid w:val="32A73244"/>
    <w:rsid w:val="331D573E"/>
    <w:rsid w:val="341E3434"/>
    <w:rsid w:val="34306758"/>
    <w:rsid w:val="348D75A5"/>
    <w:rsid w:val="34BB4442"/>
    <w:rsid w:val="34C254DB"/>
    <w:rsid w:val="360B7EBA"/>
    <w:rsid w:val="36416867"/>
    <w:rsid w:val="367E14EA"/>
    <w:rsid w:val="369C32FD"/>
    <w:rsid w:val="36CD6060"/>
    <w:rsid w:val="36D02AE0"/>
    <w:rsid w:val="37666E72"/>
    <w:rsid w:val="37AB66A2"/>
    <w:rsid w:val="37FF010A"/>
    <w:rsid w:val="38081EA3"/>
    <w:rsid w:val="38167A04"/>
    <w:rsid w:val="3819114E"/>
    <w:rsid w:val="381C3783"/>
    <w:rsid w:val="38972801"/>
    <w:rsid w:val="393012B1"/>
    <w:rsid w:val="39387FF1"/>
    <w:rsid w:val="394B167A"/>
    <w:rsid w:val="39B25B7D"/>
    <w:rsid w:val="39DA2868"/>
    <w:rsid w:val="3A055F4B"/>
    <w:rsid w:val="3A16781B"/>
    <w:rsid w:val="3A1D055D"/>
    <w:rsid w:val="3A4E4336"/>
    <w:rsid w:val="3A6007FE"/>
    <w:rsid w:val="3AF93D6C"/>
    <w:rsid w:val="3B6B467F"/>
    <w:rsid w:val="3B7C2CE4"/>
    <w:rsid w:val="3BAE5737"/>
    <w:rsid w:val="3BAF716B"/>
    <w:rsid w:val="3C0B5355"/>
    <w:rsid w:val="3C3511EC"/>
    <w:rsid w:val="3C3624F1"/>
    <w:rsid w:val="3CBB4EEA"/>
    <w:rsid w:val="3CD4176B"/>
    <w:rsid w:val="3D1F44D9"/>
    <w:rsid w:val="3D5C38CD"/>
    <w:rsid w:val="3E5070F1"/>
    <w:rsid w:val="3E8C38FC"/>
    <w:rsid w:val="3EC370CB"/>
    <w:rsid w:val="3EEE35A0"/>
    <w:rsid w:val="3F6C3589"/>
    <w:rsid w:val="3F850180"/>
    <w:rsid w:val="3F9004D6"/>
    <w:rsid w:val="400E4D5E"/>
    <w:rsid w:val="408410F2"/>
    <w:rsid w:val="40E1138C"/>
    <w:rsid w:val="413814BA"/>
    <w:rsid w:val="413927A4"/>
    <w:rsid w:val="41872511"/>
    <w:rsid w:val="41DF1251"/>
    <w:rsid w:val="424236D9"/>
    <w:rsid w:val="42466655"/>
    <w:rsid w:val="42C82F57"/>
    <w:rsid w:val="435707E5"/>
    <w:rsid w:val="43B555D9"/>
    <w:rsid w:val="43C76AF7"/>
    <w:rsid w:val="43E97E4A"/>
    <w:rsid w:val="43EB3A41"/>
    <w:rsid w:val="43F0383B"/>
    <w:rsid w:val="443E0514"/>
    <w:rsid w:val="446828F0"/>
    <w:rsid w:val="45093E85"/>
    <w:rsid w:val="45111167"/>
    <w:rsid w:val="45BA5499"/>
    <w:rsid w:val="45C13B4D"/>
    <w:rsid w:val="45D4223E"/>
    <w:rsid w:val="46054BCA"/>
    <w:rsid w:val="464C6AFC"/>
    <w:rsid w:val="468B0091"/>
    <w:rsid w:val="46A107C3"/>
    <w:rsid w:val="46B15CE2"/>
    <w:rsid w:val="46BE113D"/>
    <w:rsid w:val="46E44B13"/>
    <w:rsid w:val="4703508A"/>
    <w:rsid w:val="475023F8"/>
    <w:rsid w:val="479D361E"/>
    <w:rsid w:val="47B74789"/>
    <w:rsid w:val="47DE75A5"/>
    <w:rsid w:val="480F2B9D"/>
    <w:rsid w:val="48282920"/>
    <w:rsid w:val="485321E0"/>
    <w:rsid w:val="48546AD3"/>
    <w:rsid w:val="485803AE"/>
    <w:rsid w:val="486E0E2D"/>
    <w:rsid w:val="48786BB2"/>
    <w:rsid w:val="48CA4868"/>
    <w:rsid w:val="48EF7FF1"/>
    <w:rsid w:val="48F005D3"/>
    <w:rsid w:val="49034EF2"/>
    <w:rsid w:val="49547ADD"/>
    <w:rsid w:val="49732351"/>
    <w:rsid w:val="498F4AF1"/>
    <w:rsid w:val="49C05787"/>
    <w:rsid w:val="49CF518D"/>
    <w:rsid w:val="4A5A140A"/>
    <w:rsid w:val="4A7632DC"/>
    <w:rsid w:val="4A771D53"/>
    <w:rsid w:val="4A8423CD"/>
    <w:rsid w:val="4ADA1F63"/>
    <w:rsid w:val="4AE23D89"/>
    <w:rsid w:val="4AF23953"/>
    <w:rsid w:val="4B2038D0"/>
    <w:rsid w:val="4B296E7D"/>
    <w:rsid w:val="4B79394E"/>
    <w:rsid w:val="4B877F28"/>
    <w:rsid w:val="4C2255E9"/>
    <w:rsid w:val="4C915B1B"/>
    <w:rsid w:val="4D443C0E"/>
    <w:rsid w:val="4D916BA6"/>
    <w:rsid w:val="4DC44169"/>
    <w:rsid w:val="4DE24E21"/>
    <w:rsid w:val="4E1B19A3"/>
    <w:rsid w:val="4E48787F"/>
    <w:rsid w:val="4EB60BDD"/>
    <w:rsid w:val="4EF0709E"/>
    <w:rsid w:val="4F0469A4"/>
    <w:rsid w:val="4F603795"/>
    <w:rsid w:val="50540C73"/>
    <w:rsid w:val="50E7351D"/>
    <w:rsid w:val="513C6A7B"/>
    <w:rsid w:val="51D365C4"/>
    <w:rsid w:val="520F474D"/>
    <w:rsid w:val="532D486F"/>
    <w:rsid w:val="5333545B"/>
    <w:rsid w:val="535B783A"/>
    <w:rsid w:val="538D0E89"/>
    <w:rsid w:val="5450213C"/>
    <w:rsid w:val="54D24048"/>
    <w:rsid w:val="54D64CD5"/>
    <w:rsid w:val="55887D69"/>
    <w:rsid w:val="561A0928"/>
    <w:rsid w:val="56423872"/>
    <w:rsid w:val="56590EFD"/>
    <w:rsid w:val="569E06BC"/>
    <w:rsid w:val="56B279F0"/>
    <w:rsid w:val="56F20F86"/>
    <w:rsid w:val="579575AF"/>
    <w:rsid w:val="579D710E"/>
    <w:rsid w:val="581E7844"/>
    <w:rsid w:val="581F22F6"/>
    <w:rsid w:val="582A0AF0"/>
    <w:rsid w:val="5844536A"/>
    <w:rsid w:val="584A0A6A"/>
    <w:rsid w:val="586E1E17"/>
    <w:rsid w:val="58862C35"/>
    <w:rsid w:val="58905FBE"/>
    <w:rsid w:val="58C14957"/>
    <w:rsid w:val="58CC23D2"/>
    <w:rsid w:val="58D10B43"/>
    <w:rsid w:val="58E66050"/>
    <w:rsid w:val="58F33A79"/>
    <w:rsid w:val="59D101A8"/>
    <w:rsid w:val="5A7A6E3F"/>
    <w:rsid w:val="5AE83A50"/>
    <w:rsid w:val="5B353193"/>
    <w:rsid w:val="5B5D75DF"/>
    <w:rsid w:val="5BAB2917"/>
    <w:rsid w:val="5BEE5893"/>
    <w:rsid w:val="5BFC33FA"/>
    <w:rsid w:val="5C04609D"/>
    <w:rsid w:val="5C3107A4"/>
    <w:rsid w:val="5C332B87"/>
    <w:rsid w:val="5C3B1B93"/>
    <w:rsid w:val="5C7241CF"/>
    <w:rsid w:val="5C9220DF"/>
    <w:rsid w:val="5C9D5397"/>
    <w:rsid w:val="5D4A15F3"/>
    <w:rsid w:val="5D69542A"/>
    <w:rsid w:val="5D783B72"/>
    <w:rsid w:val="5DF71BF7"/>
    <w:rsid w:val="5E0930EF"/>
    <w:rsid w:val="5E3D4D53"/>
    <w:rsid w:val="5E4717E6"/>
    <w:rsid w:val="5E55774C"/>
    <w:rsid w:val="5E8A70FF"/>
    <w:rsid w:val="5F33238B"/>
    <w:rsid w:val="5FD17356"/>
    <w:rsid w:val="5FD853F2"/>
    <w:rsid w:val="60045F96"/>
    <w:rsid w:val="60104DDC"/>
    <w:rsid w:val="605C0804"/>
    <w:rsid w:val="6189617B"/>
    <w:rsid w:val="61B52BB6"/>
    <w:rsid w:val="61B749C2"/>
    <w:rsid w:val="62280D20"/>
    <w:rsid w:val="62687DF8"/>
    <w:rsid w:val="62CA2457"/>
    <w:rsid w:val="638240A1"/>
    <w:rsid w:val="63833423"/>
    <w:rsid w:val="63A5257B"/>
    <w:rsid w:val="63BD3DCC"/>
    <w:rsid w:val="63C61741"/>
    <w:rsid w:val="64560967"/>
    <w:rsid w:val="64590086"/>
    <w:rsid w:val="656B1D10"/>
    <w:rsid w:val="65A94287"/>
    <w:rsid w:val="65B841F9"/>
    <w:rsid w:val="66022B28"/>
    <w:rsid w:val="6616283E"/>
    <w:rsid w:val="664A38E2"/>
    <w:rsid w:val="66581E87"/>
    <w:rsid w:val="66F85F40"/>
    <w:rsid w:val="66FA11D5"/>
    <w:rsid w:val="67410217"/>
    <w:rsid w:val="674302C7"/>
    <w:rsid w:val="680A5986"/>
    <w:rsid w:val="680D5F4B"/>
    <w:rsid w:val="68113F51"/>
    <w:rsid w:val="684828EC"/>
    <w:rsid w:val="68E94770"/>
    <w:rsid w:val="68F26CEC"/>
    <w:rsid w:val="68F949C9"/>
    <w:rsid w:val="695A4290"/>
    <w:rsid w:val="69A04276"/>
    <w:rsid w:val="69E234FB"/>
    <w:rsid w:val="6A334932"/>
    <w:rsid w:val="6A3353FF"/>
    <w:rsid w:val="6A5D63E6"/>
    <w:rsid w:val="6A5F24D1"/>
    <w:rsid w:val="6A863E32"/>
    <w:rsid w:val="6ACA70C4"/>
    <w:rsid w:val="6AE347EB"/>
    <w:rsid w:val="6B330365"/>
    <w:rsid w:val="6B434AF0"/>
    <w:rsid w:val="6B57675A"/>
    <w:rsid w:val="6B87098A"/>
    <w:rsid w:val="6BA91B5F"/>
    <w:rsid w:val="6BDD7B4D"/>
    <w:rsid w:val="6C26359C"/>
    <w:rsid w:val="6C372907"/>
    <w:rsid w:val="6D0362F3"/>
    <w:rsid w:val="6D6431E7"/>
    <w:rsid w:val="6D6A523E"/>
    <w:rsid w:val="6D9415A6"/>
    <w:rsid w:val="6EBC0B3A"/>
    <w:rsid w:val="6EED5F0B"/>
    <w:rsid w:val="6EF51C7D"/>
    <w:rsid w:val="6F55072F"/>
    <w:rsid w:val="6F8363E5"/>
    <w:rsid w:val="6FA80CCD"/>
    <w:rsid w:val="6FAC3CC5"/>
    <w:rsid w:val="6FC746F5"/>
    <w:rsid w:val="70317AC6"/>
    <w:rsid w:val="704B26F7"/>
    <w:rsid w:val="70697B21"/>
    <w:rsid w:val="70863262"/>
    <w:rsid w:val="70A41B8B"/>
    <w:rsid w:val="70A76ED3"/>
    <w:rsid w:val="70B323BE"/>
    <w:rsid w:val="71860B17"/>
    <w:rsid w:val="723B27CC"/>
    <w:rsid w:val="72687227"/>
    <w:rsid w:val="72872912"/>
    <w:rsid w:val="72A03FD9"/>
    <w:rsid w:val="72E70308"/>
    <w:rsid w:val="73406CFF"/>
    <w:rsid w:val="7383028C"/>
    <w:rsid w:val="73A25E44"/>
    <w:rsid w:val="741F68CF"/>
    <w:rsid w:val="74373C1B"/>
    <w:rsid w:val="751A0A9E"/>
    <w:rsid w:val="75252DF3"/>
    <w:rsid w:val="75621536"/>
    <w:rsid w:val="75BF3154"/>
    <w:rsid w:val="764A07CF"/>
    <w:rsid w:val="764F6B3D"/>
    <w:rsid w:val="76CD2B7B"/>
    <w:rsid w:val="76D80645"/>
    <w:rsid w:val="76E03371"/>
    <w:rsid w:val="774973F9"/>
    <w:rsid w:val="775F4B7F"/>
    <w:rsid w:val="776908A2"/>
    <w:rsid w:val="77B7487E"/>
    <w:rsid w:val="7807081C"/>
    <w:rsid w:val="780E5898"/>
    <w:rsid w:val="782642CC"/>
    <w:rsid w:val="7894095E"/>
    <w:rsid w:val="78964555"/>
    <w:rsid w:val="78CF4963"/>
    <w:rsid w:val="78EB37E2"/>
    <w:rsid w:val="79000679"/>
    <w:rsid w:val="791C0FE5"/>
    <w:rsid w:val="79A416F0"/>
    <w:rsid w:val="79B03EB6"/>
    <w:rsid w:val="7AE15A5C"/>
    <w:rsid w:val="7AE61ECD"/>
    <w:rsid w:val="7AF37579"/>
    <w:rsid w:val="7AF87F64"/>
    <w:rsid w:val="7B1C0C84"/>
    <w:rsid w:val="7B5A62DF"/>
    <w:rsid w:val="7B7A04A8"/>
    <w:rsid w:val="7C0C3F6D"/>
    <w:rsid w:val="7C22163C"/>
    <w:rsid w:val="7C457B4B"/>
    <w:rsid w:val="7C52060D"/>
    <w:rsid w:val="7C595075"/>
    <w:rsid w:val="7C647E50"/>
    <w:rsid w:val="7C6B07B2"/>
    <w:rsid w:val="7C8810B1"/>
    <w:rsid w:val="7D133243"/>
    <w:rsid w:val="7D945420"/>
    <w:rsid w:val="7E394207"/>
    <w:rsid w:val="7E4007A2"/>
    <w:rsid w:val="7E5A608D"/>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7"/>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8">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9">
    <w:name w:val="heading 4"/>
    <w:basedOn w:val="1"/>
    <w:next w:val="1"/>
    <w:link w:val="6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next w:val="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szCs w:val="24"/>
    </w:r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semiHidden/>
    <w:unhideWhenUsed/>
    <w:qFormat/>
    <w:uiPriority w:val="99"/>
    <w:pPr>
      <w:jc w:val="left"/>
    </w:pPr>
  </w:style>
  <w:style w:type="paragraph" w:styleId="11">
    <w:name w:val="Body Text 3"/>
    <w:basedOn w:val="1"/>
    <w:link w:val="46"/>
    <w:unhideWhenUsed/>
    <w:qFormat/>
    <w:uiPriority w:val="99"/>
    <w:pPr>
      <w:spacing w:after="120"/>
    </w:pPr>
    <w:rPr>
      <w:sz w:val="16"/>
      <w:szCs w:val="16"/>
    </w:rPr>
  </w:style>
  <w:style w:type="paragraph" w:styleId="12">
    <w:name w:val="Body Text"/>
    <w:basedOn w:val="1"/>
    <w:next w:val="13"/>
    <w:qFormat/>
    <w:uiPriority w:val="99"/>
    <w:pPr>
      <w:spacing w:after="120"/>
    </w:pPr>
  </w:style>
  <w:style w:type="paragraph" w:styleId="13">
    <w:name w:val="Body Text 2"/>
    <w:basedOn w:val="1"/>
    <w:qFormat/>
    <w:uiPriority w:val="0"/>
    <w:pPr>
      <w:spacing w:after="120" w:line="480" w:lineRule="auto"/>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
    <w:link w:val="55"/>
    <w:qFormat/>
    <w:uiPriority w:val="0"/>
    <w:rPr>
      <w:rFonts w:ascii="宋体" w:hAnsi="Courier New"/>
      <w:szCs w:val="21"/>
    </w:rPr>
  </w:style>
  <w:style w:type="paragraph" w:styleId="16">
    <w:name w:val="Body Text Indent 2"/>
    <w:basedOn w:val="1"/>
    <w:link w:val="52"/>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7">
    <w:name w:val="Balloon Text"/>
    <w:basedOn w:val="1"/>
    <w:link w:val="41"/>
    <w:semiHidden/>
    <w:unhideWhenUsed/>
    <w:qFormat/>
    <w:uiPriority w:val="99"/>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List"/>
    <w:basedOn w:val="1"/>
    <w:next w:val="1"/>
    <w:qFormat/>
    <w:uiPriority w:val="0"/>
    <w:pPr>
      <w:snapToGrid w:val="0"/>
    </w:pPr>
    <w:rPr>
      <w:szCs w:val="24"/>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5">
    <w:name w:val="Body Text First Indent"/>
    <w:basedOn w:val="12"/>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rPr>
      <w:kern w:val="2"/>
      <w:sz w:val="24"/>
      <w:szCs w:val="24"/>
    </w:rPr>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paragraph" w:customStyle="1" w:styleId="33">
    <w:name w:val="Default"/>
    <w:next w:val="2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4">
    <w:name w:val="页眉 字符"/>
    <w:basedOn w:val="28"/>
    <w:link w:val="19"/>
    <w:qFormat/>
    <w:uiPriority w:val="99"/>
    <w:rPr>
      <w:sz w:val="18"/>
      <w:szCs w:val="18"/>
    </w:rPr>
  </w:style>
  <w:style w:type="character" w:customStyle="1" w:styleId="35">
    <w:name w:val="页脚 字符"/>
    <w:basedOn w:val="28"/>
    <w:link w:val="18"/>
    <w:qFormat/>
    <w:uiPriority w:val="99"/>
    <w:rPr>
      <w:sz w:val="18"/>
      <w:szCs w:val="18"/>
    </w:rPr>
  </w:style>
  <w:style w:type="character" w:customStyle="1" w:styleId="36">
    <w:name w:val="标题 1 字符"/>
    <w:basedOn w:val="28"/>
    <w:link w:val="5"/>
    <w:qFormat/>
    <w:uiPriority w:val="9"/>
    <w:rPr>
      <w:rFonts w:eastAsia="方正小标宋简体"/>
      <w:bCs/>
      <w:kern w:val="44"/>
      <w:sz w:val="44"/>
      <w:szCs w:val="44"/>
    </w:rPr>
  </w:style>
  <w:style w:type="character" w:customStyle="1" w:styleId="37">
    <w:name w:val="标题 2 字符"/>
    <w:basedOn w:val="28"/>
    <w:link w:val="6"/>
    <w:qFormat/>
    <w:uiPriority w:val="9"/>
    <w:rPr>
      <w:rFonts w:eastAsia="方正小标宋简体" w:asciiTheme="majorHAnsi" w:hAnsiTheme="majorHAnsi" w:cstheme="majorBidi"/>
      <w:bCs/>
      <w:sz w:val="36"/>
      <w:szCs w:val="32"/>
    </w:rPr>
  </w:style>
  <w:style w:type="character" w:customStyle="1" w:styleId="38">
    <w:name w:val="标题 3 字符"/>
    <w:basedOn w:val="28"/>
    <w:link w:val="8"/>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8"/>
    <w:link w:val="17"/>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33"/>
    <w:next w:val="33"/>
    <w:qFormat/>
    <w:uiPriority w:val="0"/>
    <w:pPr>
      <w:spacing w:after="373"/>
    </w:pPr>
    <w:rPr>
      <w:color w:val="auto"/>
    </w:rPr>
  </w:style>
  <w:style w:type="paragraph" w:customStyle="1" w:styleId="44">
    <w:name w:val="CM91"/>
    <w:basedOn w:val="33"/>
    <w:next w:val="33"/>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字符"/>
    <w:basedOn w:val="28"/>
    <w:link w:val="11"/>
    <w:semiHidden/>
    <w:qFormat/>
    <w:uiPriority w:val="99"/>
    <w:rPr>
      <w:sz w:val="16"/>
      <w:szCs w:val="16"/>
    </w:rPr>
  </w:style>
  <w:style w:type="character" w:customStyle="1" w:styleId="47">
    <w:name w:val="列出段落 字符"/>
    <w:link w:val="39"/>
    <w:qFormat/>
    <w:uiPriority w:val="34"/>
  </w:style>
  <w:style w:type="paragraph" w:customStyle="1" w:styleId="48">
    <w:name w:val="1"/>
    <w:basedOn w:val="1"/>
    <w:next w:val="15"/>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2">
    <w:name w:val="正文文本缩进 2 字符"/>
    <w:basedOn w:val="28"/>
    <w:link w:val="16"/>
    <w:semiHidden/>
    <w:qFormat/>
    <w:uiPriority w:val="99"/>
    <w:rPr>
      <w:rFonts w:ascii="Times New Roman" w:hAnsi="Times New Roman" w:eastAsia="宋体" w:cs="Times New Roman"/>
      <w:kern w:val="2"/>
      <w:sz w:val="21"/>
      <w:szCs w:val="24"/>
    </w:rPr>
  </w:style>
  <w:style w:type="paragraph" w:customStyle="1" w:styleId="5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4">
    <w:name w:val="列出段落3"/>
    <w:basedOn w:val="1"/>
    <w:qFormat/>
    <w:uiPriority w:val="0"/>
    <w:pPr>
      <w:ind w:firstLine="420" w:firstLineChars="200"/>
    </w:pPr>
    <w:rPr>
      <w:rFonts w:ascii="Calibri" w:hAnsi="Calibri" w:eastAsia="宋体" w:cs="Times New Roman"/>
    </w:rPr>
  </w:style>
  <w:style w:type="character" w:customStyle="1" w:styleId="55">
    <w:name w:val="纯文本 字符"/>
    <w:basedOn w:val="28"/>
    <w:link w:val="15"/>
    <w:qFormat/>
    <w:uiPriority w:val="0"/>
    <w:rPr>
      <w:rFonts w:ascii="宋体" w:hAnsi="Courier New"/>
      <w:kern w:val="2"/>
      <w:sz w:val="21"/>
      <w:szCs w:val="21"/>
    </w:rPr>
  </w:style>
  <w:style w:type="paragraph" w:customStyle="1" w:styleId="56">
    <w:name w:val="_Style 4"/>
    <w:basedOn w:val="5"/>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7">
    <w:name w:val="标题3 字符"/>
    <w:link w:val="58"/>
    <w:qFormat/>
    <w:uiPriority w:val="0"/>
    <w:rPr>
      <w:rFonts w:eastAsia="仿宋"/>
      <w:bCs/>
      <w:kern w:val="2"/>
      <w:sz w:val="32"/>
      <w:szCs w:val="32"/>
    </w:rPr>
  </w:style>
  <w:style w:type="paragraph" w:customStyle="1" w:styleId="58">
    <w:name w:val="标题3"/>
    <w:basedOn w:val="8"/>
    <w:next w:val="9"/>
    <w:link w:val="57"/>
    <w:qFormat/>
    <w:uiPriority w:val="0"/>
    <w:pPr>
      <w:numPr>
        <w:ilvl w:val="0"/>
        <w:numId w:val="1"/>
      </w:numPr>
    </w:pPr>
    <w:rPr>
      <w:rFonts w:eastAsia="仿宋" w:asciiTheme="minorHAnsi" w:hAnsiTheme="minorHAnsi" w:cstheme="minorBidi"/>
      <w:b w:val="0"/>
    </w:rPr>
  </w:style>
  <w:style w:type="character" w:customStyle="1" w:styleId="59">
    <w:name w:val="页脚 Char"/>
    <w:qFormat/>
    <w:uiPriority w:val="99"/>
    <w:rPr>
      <w:kern w:val="2"/>
      <w:sz w:val="18"/>
      <w:szCs w:val="24"/>
    </w:rPr>
  </w:style>
  <w:style w:type="character" w:customStyle="1" w:styleId="60">
    <w:name w:val="标题 4 字符"/>
    <w:basedOn w:val="28"/>
    <w:link w:val="9"/>
    <w:semiHidden/>
    <w:qFormat/>
    <w:uiPriority w:val="9"/>
    <w:rPr>
      <w:rFonts w:asciiTheme="majorHAnsi" w:hAnsiTheme="majorHAnsi" w:eastAsiaTheme="majorEastAsia" w:cstheme="majorBidi"/>
      <w:b/>
      <w:bCs/>
      <w:kern w:val="2"/>
      <w:sz w:val="28"/>
      <w:szCs w:val="28"/>
    </w:rPr>
  </w:style>
  <w:style w:type="table" w:customStyle="1" w:styleId="61">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3864</Words>
  <Characters>22027</Characters>
  <Lines>183</Lines>
  <Paragraphs>51</Paragraphs>
  <TotalTime>48</TotalTime>
  <ScaleCrop>false</ScaleCrop>
  <LinksUpToDate>false</LinksUpToDate>
  <CharactersWithSpaces>25840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陈义春</dc:creator>
  <cp:lastModifiedBy>琳</cp:lastModifiedBy>
  <cp:lastPrinted>2024-01-04T02:33:00Z</cp:lastPrinted>
  <dcterms:modified xsi:type="dcterms:W3CDTF">2024-02-02T06:37:14Z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89013B13E8C847B39EBED560A77D202D</vt:lpwstr>
  </property>
</Properties>
</file>