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bookmarkStart w:id="129" w:name="_GoBack"/>
      <w:bookmarkEnd w:id="129"/>
    </w:p>
    <w:p>
      <w:pPr>
        <w:jc w:val="center"/>
        <w:rPr>
          <w:rFonts w:hint="default"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w:t>
      </w:r>
      <w:r>
        <w:rPr>
          <w:rFonts w:hint="default" w:ascii="方正小标宋简体" w:eastAsia="方正小标宋简体"/>
          <w:color w:val="auto"/>
          <w:sz w:val="52"/>
          <w:szCs w:val="52"/>
          <w:highlight w:val="none"/>
          <w:lang w:val="en-US" w:eastAsia="zh-CN"/>
        </w:rPr>
        <w:t>2024-2025年度WPS办公软件授权租赁服务项目</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公开竞争性谈判</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ind w:left="0" w:leftChars="0" w:firstLine="0" w:firstLineChars="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一</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1418" w:right="1474" w:bottom="1985" w:left="1588" w:header="851" w:footer="992" w:gutter="0"/>
          <w:cols w:space="425" w:num="1"/>
          <w:titlePg/>
          <w:docGrid w:type="lines" w:linePitch="312" w:charSpace="0"/>
        </w:sectPr>
      </w:pPr>
    </w:p>
    <w:p>
      <w:pPr>
        <w:pStyle w:val="2"/>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2"/>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2"/>
        <w:numPr>
          <w:ilvl w:val="0"/>
          <w:numId w:val="1"/>
        </w:numPr>
        <w:tabs>
          <w:tab w:val="right" w:pos="8844"/>
        </w:tabs>
        <w:rPr>
          <w:color w:val="auto"/>
          <w:highlight w:val="none"/>
        </w:rPr>
      </w:pPr>
      <w:r>
        <w:rPr>
          <w:rFonts w:hint="eastAsia"/>
          <w:color w:val="auto"/>
          <w:highlight w:val="none"/>
          <w:lang w:val="en-US" w:eastAsia="zh-CN"/>
        </w:rPr>
        <w:t>供应商须知</w:t>
      </w:r>
    </w:p>
    <w:p>
      <w:pPr>
        <w:pStyle w:val="22"/>
        <w:numPr>
          <w:ilvl w:val="0"/>
          <w:numId w:val="1"/>
        </w:numPr>
        <w:tabs>
          <w:tab w:val="right" w:pos="8844"/>
        </w:tabs>
        <w:rPr>
          <w:color w:val="auto"/>
          <w:highlight w:val="none"/>
        </w:rPr>
      </w:pPr>
      <w:r>
        <w:rPr>
          <w:rFonts w:hint="eastAsia"/>
          <w:color w:val="auto"/>
          <w:highlight w:val="none"/>
          <w:lang w:val="en-US" w:eastAsia="zh-CN"/>
        </w:rPr>
        <w:t>采购方法</w:t>
      </w:r>
    </w:p>
    <w:p>
      <w:pPr>
        <w:pStyle w:val="22"/>
        <w:numPr>
          <w:ilvl w:val="0"/>
          <w:numId w:val="1"/>
        </w:numPr>
        <w:tabs>
          <w:tab w:val="right" w:pos="8844"/>
        </w:tabs>
        <w:rPr>
          <w:color w:val="auto"/>
          <w:highlight w:val="none"/>
        </w:rPr>
      </w:pPr>
      <w:r>
        <w:rPr>
          <w:rFonts w:hint="eastAsia"/>
          <w:color w:val="auto"/>
          <w:highlight w:val="none"/>
          <w:lang w:val="en-US" w:eastAsia="zh-CN"/>
        </w:rPr>
        <w:t>评审方法</w:t>
      </w:r>
    </w:p>
    <w:p>
      <w:pPr>
        <w:pStyle w:val="22"/>
        <w:numPr>
          <w:ilvl w:val="0"/>
          <w:numId w:val="1"/>
        </w:numPr>
        <w:tabs>
          <w:tab w:val="right" w:pos="8844"/>
        </w:tabs>
        <w:rPr>
          <w:color w:val="auto"/>
          <w:highlight w:val="none"/>
        </w:rPr>
      </w:pPr>
      <w:r>
        <w:rPr>
          <w:rFonts w:hint="eastAsia"/>
          <w:color w:val="auto"/>
          <w:highlight w:val="none"/>
          <w:lang w:val="en-US" w:eastAsia="zh-CN"/>
        </w:rPr>
        <w:t>采购需求</w:t>
      </w:r>
    </w:p>
    <w:p>
      <w:pPr>
        <w:pStyle w:val="22"/>
        <w:numPr>
          <w:ilvl w:val="0"/>
          <w:numId w:val="1"/>
        </w:numPr>
        <w:tabs>
          <w:tab w:val="right" w:pos="8844"/>
        </w:tabs>
        <w:rPr>
          <w:color w:val="auto"/>
          <w:highlight w:val="none"/>
        </w:rPr>
      </w:pPr>
      <w:r>
        <w:rPr>
          <w:rFonts w:hint="eastAsia"/>
          <w:color w:val="auto"/>
          <w:highlight w:val="none"/>
        </w:rPr>
        <w:t>合同草案</w:t>
      </w:r>
    </w:p>
    <w:p>
      <w:pPr>
        <w:pStyle w:val="22"/>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2"/>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color w:val="auto"/>
          <w:highlight w:val="none"/>
        </w:rPr>
      </w:pPr>
      <w:bookmarkStart w:id="0" w:name="_Toc18145"/>
      <w:bookmarkStart w:id="1" w:name="_Toc26148"/>
    </w:p>
    <w:p>
      <w:pPr>
        <w:rPr>
          <w:rFonts w:hint="eastAsia"/>
          <w:color w:val="auto"/>
          <w:highlight w:val="none"/>
        </w:rPr>
      </w:pPr>
    </w:p>
    <w:p>
      <w:pPr>
        <w:pStyle w:val="5"/>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5"/>
        <w:rPr>
          <w:rFonts w:hint="eastAsia"/>
          <w:color w:val="auto"/>
          <w:highlight w:val="none"/>
        </w:rPr>
      </w:pPr>
      <w:bookmarkStart w:id="4" w:name="_Toc17801"/>
      <w:bookmarkStart w:id="5" w:name="_Toc4275"/>
      <w:bookmarkStart w:id="6" w:name="_Toc1669"/>
      <w:bookmarkStart w:id="7" w:name="_Toc11322"/>
      <w:bookmarkStart w:id="8" w:name="_Toc7519"/>
      <w:bookmarkStart w:id="9" w:name="_Toc19609"/>
      <w:bookmarkStart w:id="10" w:name="_Toc31938"/>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2332355</wp:posOffset>
                </wp:positionH>
                <wp:positionV relativeFrom="paragraph">
                  <wp:posOffset>69215</wp:posOffset>
                </wp:positionV>
                <wp:extent cx="958850" cy="0"/>
                <wp:effectExtent l="0" t="0" r="0" b="0"/>
                <wp:wrapNone/>
                <wp:docPr id="1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65pt;margin-top:5.45pt;height:0pt;width:75.5pt;z-index:251672576;mso-width-relative:page;mso-height-relative:page;" filled="f" stroked="t" coordsize="21600,21600" o:gfxdata="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E84cWLrx&#10;u8/ff336cvv15+2Pb+x5lqgPWFPkym3iaYdhEzPfQxtt/hMTdiiyHs+yqkNigg5fzubzGQku7l3V&#10;Q16ImF4rb1k2Go4pgt51aeWdo7vzcVJUhf0bTFSZEu8TclHjWJ/hpzMCB5rFlmaATBuID7pdyUVv&#10;tLzWxuQMjLvtykS2hzwP5cv8CPevsFxkDdgNccU1TEqnQL5ykqVjIKEcPRCeW7BKcmYUvadsESDU&#10;CbS5JJJKG0cdZIkHUbO19fJYtC7ndPelx9Oc5uH6c1+yH97m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9w+fa1wAAAAkBAAAPAAAAAAAAAAEAIAAAACIAAABkcnMvZG93bnJldi54bWxQSwECFAAU&#10;AAAACACHTuJAsors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481965</wp:posOffset>
                </wp:positionV>
                <wp:extent cx="958850" cy="0"/>
                <wp:effectExtent l="0" t="0" r="0" b="0"/>
                <wp:wrapNone/>
                <wp:docPr id="12" name="自选图形 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185.5pt;margin-top:37.95pt;height:0pt;width:75.5pt;z-index:251673600;mso-width-relative:page;mso-height-relative:page;" filled="f" stroked="t" coordsize="21600,21600" o:gfxdata="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OWcOLN34&#10;z0/ffn38fPflx933r2yeJRoC1hS5cTfxtMNwEzPfQxtt/hMTdiiyHs+yqkNigg5fLJbLBQku7l3V&#10;Q16ImF4pb1k2Go4pgu76tPHO0d35OCuqwv41JqpMifcJuahxbMjw8wWBA81iSzNApg3EB11XctEb&#10;La+1MTkDY7fbmMj2kOehfJkf4f4VlotsAfsxrrjGSekVyJdOsnQMJJSjB8JzC1ZJzoyi95QtAoQ6&#10;gTaXRFJp46iDLPEoarZ2Xh6L1uWc7r70eJrTPFx/7kv2w9tc/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oLVwU1wAAAAkBAAAPAAAAAAAAAAEAIAAAACIAAABkcnMvZG93bnJldi54bWxQSwECFAAU&#10;AAAACACHTuJA9fEgG/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5"/>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5"/>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2024-2025年度WPS办公软件授权租赁服务</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lang w:val="en-US" w:eastAsia="zh-CN"/>
        </w:rPr>
        <w:t>公开竞争性谈判</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2024-2025年度WPS办公软件授权租赁服务</w:t>
      </w:r>
      <w:r>
        <w:rPr>
          <w:rFonts w:hint="eastAsia" w:ascii="仿宋_GB2312" w:eastAsia="仿宋_GB2312"/>
          <w:color w:val="auto"/>
          <w:sz w:val="28"/>
          <w:szCs w:val="28"/>
          <w:highlight w:val="none"/>
          <w:u w:val="single"/>
        </w:rPr>
        <w:t>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XJ-20240125-1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 w:hAnsi="仿宋" w:eastAsia="仿宋_GB2312" w:cs="仿宋"/>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u w:val="single"/>
          <w:lang w:val="en-US" w:eastAsia="zh-CN"/>
        </w:rPr>
        <w:t>600000</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根据公司及所属单位的办公需求，我公司需要租赁正版金山WPS+云办公套装授权，为期两年，租赁服务内容包括如下：金山WPS Office 2019专业增强版(电脑端)、金山WPS Office移动增强版(手机端)、金山WPS+协作专享版服务(支持50人在线操作)，上述功能使用授权2年。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服务期</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cstheme="minorBidi"/>
          <w:b w:val="0"/>
          <w:bCs w:val="0"/>
          <w:color w:val="auto"/>
          <w:sz w:val="28"/>
          <w:szCs w:val="28"/>
          <w:highlight w:val="none"/>
          <w:u w:val="single"/>
          <w:lang w:val="en-US" w:eastAsia="zh-CN"/>
        </w:rPr>
        <w:t>2</w:t>
      </w:r>
      <w:r>
        <w:rPr>
          <w:rFonts w:hint="eastAsia" w:ascii="仿宋_GB2312" w:eastAsia="仿宋_GB2312" w:hAnsiTheme="minorHAnsi" w:cstheme="minorBidi"/>
          <w:b w:val="0"/>
          <w:bCs w:val="0"/>
          <w:color w:val="auto"/>
          <w:sz w:val="28"/>
          <w:szCs w:val="28"/>
          <w:highlight w:val="none"/>
          <w:u w:val="single"/>
          <w:lang w:val="en-US" w:eastAsia="zh-CN"/>
        </w:rPr>
        <w:t>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服务地点</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广州市净水有限公司及所属二级单位。</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p>
    <w:p>
      <w:pPr>
        <w:adjustRightInd/>
        <w:snapToGrid/>
        <w:spacing w:line="240" w:lineRule="auto"/>
        <w:ind w:left="0" w:right="0" w:rightChars="0" w:firstLine="0" w:firstLineChars="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详见采购需求。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zh-CN" w:eastAsia="zh-CN"/>
        </w:rPr>
        <w:t>供应商必须为中华人民共和国境内注册成立并合法存续的法人或其分支机构，</w:t>
      </w:r>
      <w:r>
        <w:rPr>
          <w:rFonts w:hint="eastAsia" w:ascii="仿宋_GB2312" w:eastAsia="仿宋_GB2312"/>
          <w:color w:val="auto"/>
          <w:sz w:val="28"/>
          <w:szCs w:val="28"/>
          <w:highlight w:val="none"/>
          <w:lang w:eastAsia="zh-CN"/>
        </w:rPr>
        <w:t>持有事业单位登记管理部门核发的事业单位法人证书或工商行政管理部门核发的营业执照，且在有效期内。</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zh-CN" w:eastAsia="zh-CN"/>
        </w:rPr>
        <w:t>202</w:t>
      </w:r>
      <w:r>
        <w:rPr>
          <w:rFonts w:hint="eastAsia" w:ascii="仿宋_GB2312" w:eastAsia="仿宋_GB2312"/>
          <w:color w:val="auto"/>
          <w:sz w:val="28"/>
          <w:szCs w:val="28"/>
          <w:highlight w:val="none"/>
          <w:u w:val="none"/>
          <w:lang w:val="en-US" w:eastAsia="zh-CN"/>
        </w:rPr>
        <w:t>1</w:t>
      </w:r>
      <w:r>
        <w:rPr>
          <w:rFonts w:hint="eastAsia" w:ascii="仿宋_GB2312" w:eastAsia="仿宋_GB2312"/>
          <w:color w:val="auto"/>
          <w:sz w:val="28"/>
          <w:szCs w:val="28"/>
          <w:highlight w:val="none"/>
          <w:u w:val="none"/>
          <w:lang w:val="zh-CN" w:eastAsia="zh-CN"/>
        </w:rPr>
        <w:t>年1月1日至今，供应商最少具有一项</w:t>
      </w:r>
      <w:r>
        <w:rPr>
          <w:rFonts w:hint="eastAsia" w:ascii="仿宋_GB2312" w:eastAsia="仿宋_GB2312"/>
          <w:color w:val="auto"/>
          <w:sz w:val="28"/>
          <w:szCs w:val="28"/>
          <w:highlight w:val="none"/>
          <w:u w:val="none"/>
          <w:lang w:val="en-US" w:eastAsia="zh-CN"/>
        </w:rPr>
        <w:t>单项合同金额不低于40万元</w:t>
      </w:r>
      <w:r>
        <w:rPr>
          <w:rFonts w:hint="eastAsia" w:ascii="仿宋_GB2312" w:hAnsi="仿宋_GB2312" w:eastAsia="仿宋_GB2312" w:cs="仿宋_GB2312"/>
          <w:color w:val="auto"/>
          <w:sz w:val="28"/>
          <w:szCs w:val="28"/>
          <w:highlight w:val="none"/>
          <w:u w:val="none"/>
        </w:rPr>
        <w:t>WPS软件销售实</w:t>
      </w:r>
      <w:r>
        <w:rPr>
          <w:rFonts w:hint="eastAsia" w:ascii="仿宋_GB2312" w:hAnsi="仿宋_GB2312" w:eastAsia="仿宋_GB2312" w:cs="仿宋_GB2312"/>
          <w:color w:val="auto"/>
          <w:sz w:val="28"/>
          <w:szCs w:val="28"/>
          <w:highlight w:val="none"/>
          <w:u w:val="none"/>
        </w:rPr>
        <w:t>施业绩</w:t>
      </w:r>
      <w:r>
        <w:rPr>
          <w:rFonts w:hint="eastAsia" w:ascii="仿宋_GB2312" w:eastAsia="仿宋_GB2312"/>
          <w:color w:val="auto"/>
          <w:sz w:val="28"/>
          <w:szCs w:val="28"/>
          <w:highlight w:val="none"/>
          <w:u w:val="none"/>
          <w:lang w:val="zh-CN" w:eastAsia="zh-CN"/>
        </w:rPr>
        <w:t>。（提供合同复印件证明，包括但不限于项目名称、金额及实施内容、合同盖章、签订日期，加盖单位公章）</w:t>
      </w:r>
      <w:r>
        <w:rPr>
          <w:rFonts w:hint="eastAsia" w:ascii="仿宋_GB2312" w:eastAsia="仿宋_GB2312"/>
          <w:color w:val="auto"/>
          <w:sz w:val="28"/>
          <w:szCs w:val="28"/>
          <w:highlight w:val="none"/>
          <w:u w:val="none"/>
          <w:lang w:val="en-US" w:eastAsia="zh-CN"/>
        </w:rPr>
        <w:t>。</w:t>
      </w:r>
    </w:p>
    <w:p>
      <w:pPr>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u w:val="none"/>
          <w:lang w:eastAsia="zh-CN"/>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报价单位</w:t>
      </w:r>
      <w:r>
        <w:rPr>
          <w:rFonts w:hint="eastAsia" w:ascii="仿宋_GB2312" w:hAnsi="仿宋_GB2312" w:eastAsia="仿宋_GB2312" w:cs="仿宋_GB2312"/>
          <w:color w:val="auto"/>
          <w:sz w:val="28"/>
          <w:szCs w:val="28"/>
          <w:highlight w:val="none"/>
          <w:u w:val="none"/>
          <w:lang w:val="en-US" w:eastAsia="zh-CN"/>
        </w:rPr>
        <w:t>递交响应文件时须</w:t>
      </w:r>
      <w:r>
        <w:rPr>
          <w:rFonts w:hint="eastAsia" w:ascii="仿宋_GB2312" w:hAnsi="仿宋_GB2312" w:eastAsia="仿宋_GB2312" w:cs="仿宋_GB2312"/>
          <w:color w:val="auto"/>
          <w:sz w:val="28"/>
          <w:szCs w:val="28"/>
          <w:highlight w:val="none"/>
          <w:u w:val="none"/>
        </w:rPr>
        <w:t>提供武汉金山办公软件有限公司针对本项目授权函（原厂售后服务保障要求）</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并出具</w:t>
      </w:r>
      <w:r>
        <w:rPr>
          <w:rFonts w:hint="eastAsia" w:ascii="仿宋_GB2312" w:hAnsi="仿宋_GB2312" w:eastAsia="仿宋_GB2312" w:cs="仿宋_GB2312"/>
          <w:color w:val="auto"/>
          <w:sz w:val="28"/>
          <w:szCs w:val="28"/>
          <w:highlight w:val="none"/>
          <w:u w:val="none"/>
          <w:lang w:val="en-US" w:eastAsia="zh-CN"/>
        </w:rPr>
        <w:t>承诺</w:t>
      </w:r>
      <w:r>
        <w:rPr>
          <w:rFonts w:hint="eastAsia" w:ascii="仿宋_GB2312" w:hAnsi="仿宋_GB2312" w:eastAsia="仿宋_GB2312" w:cs="仿宋_GB2312"/>
          <w:color w:val="auto"/>
          <w:sz w:val="28"/>
          <w:szCs w:val="28"/>
          <w:highlight w:val="none"/>
          <w:u w:val="none"/>
        </w:rPr>
        <w:t>函，承诺所提供或授权的产品均为原装产品</w:t>
      </w:r>
      <w:r>
        <w:rPr>
          <w:rFonts w:hint="eastAsia" w:ascii="仿宋_GB2312" w:eastAsia="仿宋_GB2312"/>
          <w:color w:val="auto"/>
          <w:sz w:val="28"/>
          <w:szCs w:val="28"/>
          <w:highlight w:val="none"/>
          <w:lang w:val="zh-CN"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26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30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lang w:val="en-US" w:eastAsia="zh-CN"/>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31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8"/>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林工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020-62315524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120" w:firstLineChars="4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5"/>
        <w:rPr>
          <w:rFonts w:hint="eastAsia"/>
          <w:color w:val="auto"/>
          <w:highlight w:val="none"/>
        </w:rPr>
      </w:pPr>
      <w:bookmarkStart w:id="13" w:name="_Toc10891"/>
    </w:p>
    <w:p>
      <w:pPr>
        <w:pStyle w:val="5"/>
        <w:rPr>
          <w:rFonts w:hint="eastAsia"/>
          <w:color w:val="auto"/>
          <w:highlight w:val="none"/>
        </w:rPr>
      </w:pPr>
      <w:bookmarkStart w:id="14" w:name="_Toc25603"/>
      <w:bookmarkStart w:id="15" w:name="_Toc9448"/>
      <w:bookmarkStart w:id="16" w:name="_Toc7340"/>
      <w:bookmarkStart w:id="17" w:name="_Toc23749"/>
      <w:bookmarkStart w:id="18" w:name="_Toc2331"/>
      <w:bookmarkStart w:id="19" w:name="_Toc2324"/>
      <w:bookmarkStart w:id="20" w:name="_Toc16557"/>
      <w:bookmarkStart w:id="21" w:name="_Toc19295"/>
      <w:bookmarkStart w:id="22" w:name="_Toc16705"/>
      <w:bookmarkStart w:id="23" w:name="_Toc32588"/>
    </w:p>
    <w:p>
      <w:pPr>
        <w:pStyle w:val="5"/>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528955</wp:posOffset>
                </wp:positionV>
                <wp:extent cx="958850" cy="0"/>
                <wp:effectExtent l="0" t="0" r="0" b="0"/>
                <wp:wrapNone/>
                <wp:docPr id="14" name="自选图形 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84.3pt;margin-top:41.6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EZ7bCv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oyeK3yAQAA4w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VmWqA9YU+TKbeJph2ETM99DG23+ExN2KLIez7KqQ2KCDl/O5vMZCS7uXdVD&#10;XoiYXitvWTYajimC3nVp5Z2ju/NxUlSF/RtMVJkS7xNyUeNYn+GnMwIHmsWWZoBMG4gPul3JRW+0&#10;vNbG5AyMu+3KRLaHPA/ly/wI96+wXGQN2A1xxTVMSqdAvnKSpWMgoRw9EJ5bsEpyZhS9p2wRINQJ&#10;tLkkkkobRx1kiQdRs7X18li0Lud096XH05zm4fpzX7If3ub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D6Mnit8gEAAOM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6"/>
        <w:rPr>
          <w:rFonts w:hint="eastAsia"/>
          <w:color w:val="auto"/>
          <w:highlight w:val="none"/>
        </w:rPr>
      </w:pPr>
    </w:p>
    <w:p>
      <w:pPr>
        <w:pStyle w:val="6"/>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8"/>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详见采购公告（采购邀请书）；报价单位的报价若低于限价60%，必须在响应文件实质性响应一览表中说明报价理由。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lang w:val="en-US" w:eastAsia="zh-CN"/>
              </w:rPr>
              <w:t>5</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8"/>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0"/>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w:t>
      </w:r>
      <w:r>
        <w:rPr>
          <w:rFonts w:hint="eastAsia" w:ascii="仿宋_GB2312" w:eastAsia="仿宋_GB2312" w:hAnsiTheme="majorEastAsia"/>
          <w:color w:val="auto"/>
          <w:sz w:val="28"/>
          <w:szCs w:val="28"/>
          <w:highlight w:val="none"/>
          <w:lang w:val="en-US" w:eastAsia="zh-CN"/>
        </w:rPr>
        <w:t>价格</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rPr>
          <w:rFonts w:hint="eastAsia" w:asciiTheme="minorHAnsi" w:hAnsiTheme="minorHAnsi" w:cstheme="minorBidi"/>
          <w:color w:val="auto"/>
          <w:kern w:val="44"/>
          <w:sz w:val="44"/>
          <w:szCs w:val="44"/>
          <w:highlight w:val="none"/>
        </w:rPr>
      </w:pPr>
      <w:bookmarkStart w:id="26" w:name="_Toc21455"/>
      <w:bookmarkStart w:id="27" w:name="_Toc2867"/>
    </w:p>
    <w:p>
      <w:pPr>
        <w:pStyle w:val="8"/>
        <w:rPr>
          <w:rFonts w:hint="eastAsia" w:asciiTheme="minorHAnsi" w:hAnsiTheme="minorHAnsi" w:cstheme="minorBidi"/>
          <w:color w:val="auto"/>
          <w:kern w:val="44"/>
          <w:sz w:val="44"/>
          <w:szCs w:val="44"/>
          <w:highlight w:val="none"/>
        </w:rPr>
      </w:pPr>
    </w:p>
    <w:p>
      <w:pPr>
        <w:rPr>
          <w:rFonts w:hint="eastAsia" w:asciiTheme="minorHAnsi" w:hAnsiTheme="minorHAnsi" w:cstheme="minorBidi"/>
          <w:color w:val="auto"/>
          <w:kern w:val="44"/>
          <w:sz w:val="44"/>
          <w:szCs w:val="44"/>
          <w:highlight w:val="none"/>
        </w:rPr>
      </w:pPr>
    </w:p>
    <w:p>
      <w:pPr>
        <w:pStyle w:val="8"/>
        <w:rPr>
          <w:rFonts w:hint="eastAsia"/>
          <w:color w:val="auto"/>
          <w:highlight w:val="none"/>
        </w:rPr>
      </w:pPr>
    </w:p>
    <w:p>
      <w:pPr>
        <w:pStyle w:val="6"/>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91440</wp:posOffset>
                </wp:positionV>
                <wp:extent cx="958850" cy="0"/>
                <wp:effectExtent l="0" t="0" r="0" b="0"/>
                <wp:wrapNone/>
                <wp:docPr id="1"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3.1pt;margin-top:7.2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Dy/1wrxAQAA4g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mcObB04Xef&#10;v//69OX268/bH9/Yi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Dy/1wr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HvEG7byAQAA4g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rPmUMweWLvzX&#10;5+/3n77cff159+Mbu8oK9QEXFLh223jaYdjGTPfQRJv/RIQdiqrHs6rqkJigw5ez+XxGeosHV/WY&#10;FyKm18pblo2aY4qg2y6tvXN0dT5Oiqiwf4OJKlPiQ0IuahzrM/x0RuBAo9jQCJBpA9FB15Zc9EbL&#10;G21MzsDY7tYmsj3kcShf5ke4f4XlIhvAbogrrmFQOgXylZMsHQMJ5eh98NyCVZIzo+g5ZYsAYZFA&#10;m0siqbRx1EGWeBA1Wzsvj0Xrck5XX3o8jWmerT/3Jfvxa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7xBu2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6"/>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6"/>
        <w:rPr>
          <w:rFonts w:hint="default" w:eastAsia="方正小标宋简体"/>
          <w:color w:val="auto"/>
          <w:highlight w:val="none"/>
          <w:lang w:val="en-US" w:eastAsia="zh-CN"/>
        </w:rPr>
      </w:pPr>
      <w:r>
        <w:rPr>
          <w:rFonts w:hint="eastAsia"/>
          <w:color w:val="auto"/>
          <w:highlight w:val="none"/>
          <w:lang w:val="en-US" w:eastAsia="zh-CN"/>
        </w:rPr>
        <w:t>竞争性谈判</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8"/>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w:t>
            </w:r>
            <w:r>
              <w:rPr>
                <w:rFonts w:hint="eastAsia" w:ascii="仿宋_GB2312" w:eastAsia="仿宋_GB2312"/>
                <w:color w:val="auto"/>
                <w:sz w:val="24"/>
                <w:szCs w:val="24"/>
                <w:highlight w:val="none"/>
                <w:lang w:val="en-US" w:eastAsia="zh-CN"/>
              </w:rPr>
              <w:t>谈判</w:t>
            </w:r>
            <w:r>
              <w:rPr>
                <w:rFonts w:hint="eastAsia" w:ascii="仿宋_GB2312" w:eastAsia="仿宋_GB2312"/>
                <w:color w:val="auto"/>
                <w:sz w:val="24"/>
                <w:szCs w:val="24"/>
                <w:highlight w:val="none"/>
              </w:rPr>
              <w:t>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2.4 </w:t>
            </w:r>
            <w:r>
              <w:rPr>
                <w:rFonts w:hint="eastAsia" w:ascii="仿宋_GB2312" w:eastAsia="仿宋_GB2312"/>
                <w:color w:val="auto"/>
                <w:sz w:val="24"/>
                <w:szCs w:val="24"/>
                <w:highlight w:val="none"/>
                <w:lang w:val="zh-CN" w:eastAsia="zh-CN"/>
              </w:rPr>
              <w:t>本次谈判采用一轮谈判，两次报价形式进行。</w:t>
            </w:r>
            <w:r>
              <w:rPr>
                <w:rFonts w:hint="eastAsia" w:ascii="仿宋_GB2312" w:eastAsia="仿宋_GB2312"/>
                <w:color w:val="auto"/>
                <w:sz w:val="24"/>
                <w:szCs w:val="24"/>
                <w:highlight w:val="none"/>
                <w:lang w:eastAsia="zh-CN"/>
              </w:rPr>
              <w:t>比照</w:t>
            </w:r>
            <w:r>
              <w:rPr>
                <w:rFonts w:hint="eastAsia" w:ascii="仿宋_GB2312" w:eastAsia="仿宋_GB2312"/>
                <w:color w:val="auto"/>
                <w:sz w:val="24"/>
                <w:szCs w:val="24"/>
                <w:highlight w:val="none"/>
                <w:lang w:val="en-US" w:eastAsia="zh-CN"/>
              </w:rPr>
              <w:t>报价高低</w:t>
            </w:r>
            <w:r>
              <w:rPr>
                <w:rFonts w:hint="eastAsia" w:ascii="仿宋_GB2312" w:eastAsia="仿宋_GB2312"/>
                <w:color w:val="auto"/>
                <w:sz w:val="24"/>
                <w:szCs w:val="24"/>
                <w:highlight w:val="none"/>
                <w:lang w:eastAsia="zh-CN"/>
              </w:rPr>
              <w:t>确定成交供应商。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如第一中选候选人被取消中选候选人资格，采购人有权按中选候选人的顺</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序依次确定其他中选候选人为中选人，或重新采购。</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color w:val="auto"/>
          <w:highlight w:val="none"/>
        </w:rPr>
      </w:pPr>
      <w:bookmarkStart w:id="32" w:name="_Toc20594"/>
      <w:bookmarkStart w:id="33" w:name="_Toc3156"/>
      <w:bookmarkStart w:id="34" w:name="_Toc7118"/>
      <w:bookmarkStart w:id="35" w:name="_Toc14552"/>
      <w:bookmarkStart w:id="36" w:name="_Toc10930"/>
      <w:bookmarkStart w:id="37" w:name="_Toc19759"/>
      <w:bookmarkStart w:id="38" w:name="_Toc14870"/>
      <w:bookmarkStart w:id="39" w:name="_Toc23581"/>
      <w:bookmarkStart w:id="40" w:name="_Toc19050"/>
      <w:bookmarkStart w:id="41" w:name="_Toc7437"/>
      <w:bookmarkStart w:id="42" w:name="_Toc49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Ik7Qa8gEAAOI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1/zp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iJO0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Pxe98gEAAOI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g1/zpkDSxf+&#10;89O3Xx8/3335cff9K7vKCvUBawpcuU087TBsYqZ7aKPNfyLCDkXV41lVdUhM0OHV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Yz8Xv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2"/>
      <w:bookmarkEnd w:id="33"/>
      <w:bookmarkEnd w:id="34"/>
      <w:bookmarkEnd w:id="35"/>
      <w:bookmarkEnd w:id="36"/>
      <w:bookmarkEnd w:id="37"/>
      <w:bookmarkEnd w:id="38"/>
      <w:bookmarkEnd w:id="39"/>
      <w:bookmarkEnd w:id="40"/>
      <w:bookmarkEnd w:id="41"/>
      <w:bookmarkEnd w:id="42"/>
    </w:p>
    <w:p>
      <w:pPr>
        <w:pStyle w:val="40"/>
        <w:rPr>
          <w:color w:val="auto"/>
          <w:highlight w:val="none"/>
        </w:rPr>
      </w:pPr>
    </w:p>
    <w:p>
      <w:pPr>
        <w:pStyle w:val="5"/>
        <w:rPr>
          <w:color w:val="auto"/>
          <w:highlight w:val="none"/>
        </w:rPr>
      </w:pPr>
      <w:bookmarkStart w:id="43" w:name="_Toc13898"/>
      <w:bookmarkStart w:id="44" w:name="_Toc88209941"/>
      <w:bookmarkStart w:id="45" w:name="_Toc32607"/>
      <w:bookmarkStart w:id="46" w:name="_Toc29484"/>
      <w:bookmarkStart w:id="47" w:name="_Toc87616378"/>
      <w:bookmarkStart w:id="48" w:name="_Toc12177"/>
      <w:bookmarkStart w:id="49" w:name="_Toc29345"/>
      <w:bookmarkStart w:id="50" w:name="_Toc22212"/>
      <w:bookmarkStart w:id="51" w:name="_Toc6308"/>
      <w:bookmarkStart w:id="52" w:name="_Toc21079"/>
      <w:bookmarkStart w:id="53" w:name="_Toc21840"/>
      <w:bookmarkStart w:id="54" w:name="_Toc30530"/>
      <w:bookmarkStart w:id="55" w:name="_Toc7831"/>
      <w:r>
        <w:rPr>
          <w:rFonts w:hint="eastAsia"/>
          <w:color w:val="auto"/>
          <w:highlight w:val="none"/>
        </w:rPr>
        <w:t>评审办法</w:t>
      </w:r>
      <w:bookmarkEnd w:id="43"/>
      <w:bookmarkEnd w:id="44"/>
      <w:bookmarkEnd w:id="45"/>
      <w:bookmarkEnd w:id="46"/>
      <w:bookmarkEnd w:id="47"/>
      <w:bookmarkEnd w:id="48"/>
      <w:bookmarkEnd w:id="49"/>
      <w:bookmarkEnd w:id="50"/>
      <w:bookmarkEnd w:id="51"/>
      <w:bookmarkEnd w:id="52"/>
      <w:bookmarkEnd w:id="53"/>
      <w:bookmarkEnd w:id="54"/>
      <w:bookmarkEnd w:id="5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pStyle w:val="2"/>
        <w:rPr>
          <w:color w:val="auto"/>
          <w:highlight w:val="none"/>
        </w:rPr>
      </w:pPr>
    </w:p>
    <w:p>
      <w:pPr>
        <w:pStyle w:val="2"/>
        <w:ind w:firstLine="0"/>
        <w:rPr>
          <w:rFonts w:ascii="方正小标宋简体" w:eastAsia="方正小标宋简体"/>
          <w:color w:val="auto"/>
          <w:sz w:val="44"/>
          <w:szCs w:val="44"/>
          <w:highlight w:val="none"/>
        </w:rPr>
      </w:pPr>
    </w:p>
    <w:p>
      <w:pPr>
        <w:pStyle w:val="6"/>
        <w:rPr>
          <w:color w:val="auto"/>
          <w:highlight w:val="none"/>
        </w:rPr>
      </w:pPr>
      <w:bookmarkStart w:id="56" w:name="_Toc26826"/>
      <w:bookmarkStart w:id="57" w:name="_Toc23033"/>
      <w:r>
        <w:rPr>
          <w:rFonts w:hint="eastAsia"/>
          <w:color w:val="auto"/>
          <w:highlight w:val="none"/>
        </w:rPr>
        <w:sym w:font="Wingdings 2" w:char="0052"/>
      </w:r>
      <w:r>
        <w:rPr>
          <w:rFonts w:hint="eastAsia"/>
          <w:color w:val="auto"/>
          <w:highlight w:val="none"/>
        </w:rPr>
        <w:t>经评审的最低价法</w:t>
      </w:r>
      <w:bookmarkEnd w:id="56"/>
      <w:bookmarkEnd w:id="57"/>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3.谈判</w:t>
      </w:r>
    </w:p>
    <w:p>
      <w:pPr>
        <w:pStyle w:val="2"/>
        <w:ind w:left="0" w:leftChars="0" w:firstLine="280" w:firstLineChars="100"/>
        <w:rPr>
          <w:rFonts w:hint="default" w:eastAsia="仿宋_GB2312"/>
          <w:color w:val="auto"/>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val="zh-CN" w:eastAsia="zh-CN"/>
        </w:rPr>
        <w:t>本次谈判采用一轮谈判，两次报价形式进行。</w:t>
      </w:r>
      <w:r>
        <w:rPr>
          <w:rFonts w:hint="eastAsia" w:ascii="仿宋_GB2312" w:eastAsia="仿宋_GB2312" w:hAnsiTheme="minorEastAsia"/>
          <w:color w:val="auto"/>
          <w:sz w:val="28"/>
          <w:szCs w:val="28"/>
          <w:highlight w:val="none"/>
          <w:lang w:eastAsia="zh-CN"/>
        </w:rPr>
        <w:t>比照</w:t>
      </w:r>
      <w:r>
        <w:rPr>
          <w:rFonts w:hint="eastAsia" w:ascii="仿宋_GB2312" w:eastAsia="仿宋_GB2312" w:hAnsiTheme="minorEastAsia"/>
          <w:color w:val="auto"/>
          <w:sz w:val="28"/>
          <w:szCs w:val="28"/>
          <w:highlight w:val="none"/>
          <w:lang w:val="en-US" w:eastAsia="zh-CN"/>
        </w:rPr>
        <w:t>综合得分高低</w:t>
      </w:r>
      <w:r>
        <w:rPr>
          <w:rFonts w:hint="eastAsia" w:ascii="仿宋_GB2312" w:eastAsia="仿宋_GB2312" w:hAnsiTheme="minorEastAsia"/>
          <w:color w:val="auto"/>
          <w:sz w:val="28"/>
          <w:szCs w:val="28"/>
          <w:highlight w:val="none"/>
          <w:lang w:eastAsia="zh-CN"/>
        </w:rPr>
        <w:t>确定成交供应商。</w:t>
      </w:r>
      <w:r>
        <w:rPr>
          <w:rFonts w:hint="eastAsia" w:ascii="仿宋_GB2312" w:eastAsia="仿宋_GB2312" w:hAnsiTheme="minorEastAsia"/>
          <w:color w:val="auto"/>
          <w:sz w:val="28"/>
          <w:szCs w:val="28"/>
          <w:highlight w:val="none"/>
          <w:lang w:eastAsia="zh-CN"/>
        </w:rPr>
        <w:br w:type="textWrapping"/>
      </w:r>
      <w:r>
        <w:rPr>
          <w:rFonts w:hint="eastAsia" w:ascii="仿宋_GB2312" w:eastAsia="仿宋_GB2312" w:hAnsiTheme="minorEastAsia"/>
          <w:color w:val="auto"/>
          <w:sz w:val="28"/>
          <w:szCs w:val="28"/>
          <w:highlight w:val="none"/>
          <w:lang w:val="en-US" w:eastAsia="zh-CN"/>
        </w:rPr>
        <w:t xml:space="preserve">  2）</w:t>
      </w:r>
      <w:r>
        <w:rPr>
          <w:rFonts w:hint="eastAsia" w:ascii="仿宋_GB2312" w:eastAsia="仿宋_GB2312" w:hAnsiTheme="minorEastAsia"/>
          <w:color w:val="auto"/>
          <w:sz w:val="28"/>
          <w:szCs w:val="28"/>
          <w:highlight w:val="none"/>
          <w:lang w:eastAsia="zh-CN"/>
        </w:rPr>
        <w:t>如谈判小组没有对谈判文件作实质性变动增加新的需求，最后报价不得高于或者等于首次报价。</w:t>
      </w:r>
      <w:r>
        <w:rPr>
          <w:rFonts w:hint="eastAsia" w:ascii="仿宋_GB2312" w:eastAsia="仿宋_GB2312" w:hAnsiTheme="minorEastAsia"/>
          <w:color w:val="auto"/>
          <w:sz w:val="28"/>
          <w:szCs w:val="28"/>
          <w:highlight w:val="none"/>
          <w:lang w:eastAsia="zh-CN"/>
        </w:rPr>
        <w:br w:type="textWrapping"/>
      </w:r>
      <w:r>
        <w:rPr>
          <w:rFonts w:hint="eastAsia" w:ascii="仿宋_GB2312" w:eastAsia="仿宋_GB2312" w:hAnsiTheme="minorEastAsia"/>
          <w:color w:val="auto"/>
          <w:sz w:val="28"/>
          <w:szCs w:val="28"/>
          <w:highlight w:val="none"/>
          <w:lang w:val="en-US" w:eastAsia="zh-CN"/>
        </w:rPr>
        <w:t xml:space="preserve">  3）被谈判小组确定为响应文件无效的，其响应文件即被视为不能通过初审，不得参与谈判活动。参与</w:t>
      </w:r>
      <w:r>
        <w:rPr>
          <w:rFonts w:hint="eastAsia" w:ascii="仿宋_GB2312" w:eastAsia="仿宋_GB2312" w:hAnsiTheme="minorEastAsia"/>
          <w:color w:val="auto"/>
          <w:sz w:val="28"/>
          <w:szCs w:val="28"/>
          <w:highlight w:val="none"/>
          <w:lang w:eastAsia="zh-CN"/>
        </w:rPr>
        <w:t>最后报价的供应商不得少于</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家，如少于2家时，谈判小组宣布项目采购失败。</w:t>
      </w:r>
      <w:r>
        <w:rPr>
          <w:rFonts w:hint="eastAsia" w:ascii="仿宋_GB2312" w:eastAsia="仿宋_GB2312" w:hAnsiTheme="minorEastAsia"/>
          <w:color w:val="auto"/>
          <w:sz w:val="28"/>
          <w:szCs w:val="28"/>
          <w:highlight w:val="none"/>
          <w:lang w:eastAsia="zh-CN"/>
        </w:rPr>
        <w:br w:type="textWrapping"/>
      </w:r>
      <w:r>
        <w:rPr>
          <w:rFonts w:hint="eastAsia" w:ascii="仿宋_GB2312" w:eastAsia="仿宋_GB2312" w:hAnsiTheme="minorEastAsia"/>
          <w:color w:val="auto"/>
          <w:sz w:val="28"/>
          <w:szCs w:val="28"/>
          <w:highlight w:val="none"/>
          <w:lang w:val="en-US" w:eastAsia="zh-CN"/>
        </w:rPr>
        <w:t xml:space="preserve">  4）完成符合性审核后，谈判小组要求所有通过符合性审查的供应商在规定时间内提交第二次报价，供应商未在规定的时间进行二次报价的，视为其退出二次报价，其最终报价为其初次报价。在二次报价结束后，对供应商的最终报价进行价格评审。被评审委员会确定为二次报价无效的，取其初次报价为最终报价。</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ind w:left="0" w:leftChars="0" w:firstLine="0" w:firstLineChars="0"/>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5"/>
        <w:rPr>
          <w:rFonts w:hint="eastAsia"/>
          <w:color w:val="auto"/>
          <w:highlight w:val="none"/>
        </w:rPr>
      </w:pPr>
      <w:bookmarkStart w:id="58"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2332990</wp:posOffset>
                </wp:positionH>
                <wp:positionV relativeFrom="paragraph">
                  <wp:posOffset>247650</wp:posOffset>
                </wp:positionV>
                <wp:extent cx="958850" cy="0"/>
                <wp:effectExtent l="0" t="0" r="0" b="0"/>
                <wp:wrapNone/>
                <wp:docPr id="15"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7pt;margin-top:19.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8af+f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DbLGg0BawrduJt42mG4iZnwoY02/4kKOxRdj2dd1SExQYcvFsvlghQX967q&#10;IS9ETK+UtywbDccUQXd92njn6PJ8nBVZYf8aE1WmxPuEXNQ4NmT4OfUu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xp/5/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M2AsR1wAAAAsBAAAPAAAAAAAAAAEAIAAAACIAAABkcnMvZG93bnJldi54bWxQSwECFAAU&#10;AAAACACHTuJAil+8CPIBAADk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6"/>
        <w:rPr>
          <w:rFonts w:hint="eastAsia"/>
          <w:color w:val="auto"/>
          <w:szCs w:val="44"/>
          <w:highlight w:val="none"/>
        </w:rPr>
      </w:pPr>
    </w:p>
    <w:p>
      <w:pPr>
        <w:pStyle w:val="6"/>
        <w:pageBreakBefore w:val="0"/>
        <w:wordWrap/>
        <w:topLinePunct w:val="0"/>
        <w:bidi w:val="0"/>
        <w:spacing w:line="360" w:lineRule="auto"/>
        <w:ind w:firstLine="3585" w:firstLineChars="996"/>
        <w:jc w:val="both"/>
        <w:rPr>
          <w:rFonts w:hint="eastAsia" w:ascii="宋体" w:hAnsi="宋体" w:eastAsia="宋体" w:cs="宋体"/>
          <w:color w:val="auto"/>
          <w:sz w:val="24"/>
          <w:szCs w:val="24"/>
          <w:highlight w:val="none"/>
        </w:rPr>
      </w:pPr>
      <w:r>
        <w:rPr>
          <w:rFonts w:hint="eastAsia"/>
          <w:color w:val="auto"/>
          <w:szCs w:val="44"/>
          <w:highlight w:val="none"/>
        </w:rPr>
        <w:t>采购需求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pStyle w:val="2"/>
        <w:ind w:firstLine="0"/>
        <w:rPr>
          <w:rFonts w:hint="eastAsia" w:eastAsia="宋体" w:cs="宋体"/>
          <w:color w:val="auto"/>
          <w:sz w:val="24"/>
          <w:szCs w:val="24"/>
          <w:highlight w:val="none"/>
          <w:lang w:val="en-US" w:eastAsia="zh-CN"/>
        </w:rPr>
      </w:pPr>
    </w:p>
    <w:p>
      <w:pPr>
        <w:pStyle w:val="2"/>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一、项目情况介绍</w:t>
      </w:r>
    </w:p>
    <w:p>
      <w:pPr>
        <w:pStyle w:val="2"/>
        <w:ind w:firstLine="480" w:firstLineChars="200"/>
        <w:rPr>
          <w:rFonts w:hint="eastAsia"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（一）标的名称：广州市净水有限公司2024-2025年度WPS办公软件授权租赁服务项目</w:t>
      </w:r>
    </w:p>
    <w:p>
      <w:pPr>
        <w:pStyle w:val="2"/>
        <w:ind w:firstLine="480" w:firstLineChars="200"/>
        <w:rPr>
          <w:rFonts w:hint="eastAsia" w:eastAsia="宋体" w:cs="宋体"/>
          <w:b/>
          <w:bCs/>
          <w:color w:val="auto"/>
          <w:sz w:val="24"/>
          <w:szCs w:val="24"/>
          <w:highlight w:val="none"/>
          <w:lang w:val="en-US" w:eastAsia="zh-CN"/>
        </w:rPr>
      </w:pPr>
      <w:r>
        <w:rPr>
          <w:rFonts w:hint="eastAsia" w:eastAsia="宋体" w:cs="宋体"/>
          <w:b w:val="0"/>
          <w:bCs w:val="0"/>
          <w:color w:val="auto"/>
          <w:sz w:val="24"/>
          <w:szCs w:val="24"/>
          <w:highlight w:val="none"/>
          <w:lang w:val="en-US" w:eastAsia="zh-CN"/>
        </w:rPr>
        <w:t>（二）项目内容：提供WPS+云办公套装软件安装包和激活场地授权，针对该产品提供2年技术服务支持和最新版本升级服务，授权服务期内可不限量使用。</w:t>
      </w:r>
    </w:p>
    <w:p>
      <w:pPr>
        <w:pStyle w:val="2"/>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二、项目要求</w:t>
      </w:r>
    </w:p>
    <w:p>
      <w:pPr>
        <w:spacing w:line="360" w:lineRule="auto"/>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（一）产品要求：</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续费产品名称：</w:t>
      </w:r>
      <w:r>
        <w:rPr>
          <w:rFonts w:hint="eastAsia" w:ascii="宋体" w:hAnsi="宋体" w:cs="宋体"/>
          <w:color w:val="auto"/>
          <w:szCs w:val="21"/>
          <w:highlight w:val="none"/>
        </w:rPr>
        <w:t xml:space="preserve">  </w:t>
      </w:r>
      <w:r>
        <w:rPr>
          <w:rFonts w:hint="eastAsia" w:ascii="宋体" w:hAnsi="宋体" w:cs="宋体"/>
          <w:color w:val="auto"/>
          <w:szCs w:val="21"/>
          <w:highlight w:val="none"/>
        </w:rPr>
        <w:t>WPS+云办公套装软件</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rPr>
        <w:t>授权性质：</w:t>
      </w:r>
      <w:r>
        <w:rPr>
          <w:rFonts w:hint="eastAsia" w:ascii="宋体" w:hAnsi="宋体" w:cs="宋体"/>
          <w:color w:val="auto"/>
          <w:szCs w:val="21"/>
          <w:highlight w:val="none"/>
        </w:rPr>
        <w:t>年场地授权</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授权使用数量：</w:t>
      </w:r>
      <w:r>
        <w:rPr>
          <w:rFonts w:hint="eastAsia" w:ascii="宋体" w:hAnsi="宋体" w:cs="宋体"/>
          <w:color w:val="auto"/>
          <w:szCs w:val="21"/>
          <w:highlight w:val="none"/>
        </w:rPr>
        <w:t>授权服务期内可不限数量使用</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授权服务期：二</w:t>
      </w:r>
      <w:r>
        <w:rPr>
          <w:rFonts w:hint="eastAsia" w:ascii="宋体" w:hAnsi="宋体" w:cs="宋体"/>
          <w:color w:val="auto"/>
          <w:szCs w:val="21"/>
          <w:highlight w:val="none"/>
        </w:rPr>
        <w:t>年</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升级服务期：二</w:t>
      </w:r>
      <w:r>
        <w:rPr>
          <w:rFonts w:hint="eastAsia" w:ascii="宋体" w:hAnsi="宋体" w:cs="宋体"/>
          <w:color w:val="auto"/>
          <w:szCs w:val="21"/>
          <w:highlight w:val="none"/>
        </w:rPr>
        <w:t>年</w:t>
      </w:r>
    </w:p>
    <w:p>
      <w:pPr>
        <w:spacing w:line="360" w:lineRule="auto"/>
        <w:rPr>
          <w:rFonts w:hint="eastAsia" w:ascii="宋体" w:hAnsi="宋体" w:cs="宋体"/>
          <w:color w:val="auto"/>
          <w:szCs w:val="21"/>
          <w:highlight w:val="none"/>
        </w:rPr>
      </w:pPr>
      <w:r>
        <w:rPr>
          <w:rFonts w:hint="eastAsia" w:ascii="宋体" w:hAnsi="宋体" w:cs="宋体"/>
          <w:b/>
          <w:bCs/>
          <w:color w:val="auto"/>
          <w:szCs w:val="21"/>
          <w:highlight w:val="none"/>
        </w:rPr>
        <w:t>获得授权主体：</w:t>
      </w:r>
      <w:r>
        <w:rPr>
          <w:rFonts w:hint="eastAsia" w:ascii="宋体" w:hAnsi="宋体" w:cs="宋体"/>
          <w:color w:val="auto"/>
          <w:szCs w:val="21"/>
          <w:highlight w:val="none"/>
        </w:rPr>
        <w:t>广州市净水有限公司</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续费产品WPS+云办公套装软件详细产品规格及组成如下表：</w:t>
      </w:r>
    </w:p>
    <w:tbl>
      <w:tblPr>
        <w:tblStyle w:val="27"/>
        <w:tblW w:w="824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602"/>
        <w:gridCol w:w="1611"/>
        <w:gridCol w:w="2160"/>
        <w:gridCol w:w="38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90" w:hRule="atLeast"/>
        </w:trPr>
        <w:tc>
          <w:tcPr>
            <w:tcW w:w="602" w:type="dxa"/>
            <w:shd w:val="clear" w:color="auto" w:fill="D7D7D7"/>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序号</w:t>
            </w:r>
          </w:p>
        </w:tc>
        <w:tc>
          <w:tcPr>
            <w:tcW w:w="1611" w:type="dxa"/>
            <w:shd w:val="clear" w:color="auto" w:fill="D7D7D7"/>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产品/服务简称</w:t>
            </w:r>
          </w:p>
        </w:tc>
        <w:tc>
          <w:tcPr>
            <w:tcW w:w="2160" w:type="dxa"/>
            <w:shd w:val="clear" w:color="auto" w:fill="D7D7D7"/>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规格</w:t>
            </w:r>
          </w:p>
        </w:tc>
        <w:tc>
          <w:tcPr>
            <w:tcW w:w="3868" w:type="dxa"/>
            <w:shd w:val="clear" w:color="auto" w:fill="D7D7D7"/>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857" w:hRule="atLeast"/>
        </w:trPr>
        <w:tc>
          <w:tcPr>
            <w:tcW w:w="602" w:type="dxa"/>
            <w:vMerge w:val="restart"/>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1</w:t>
            </w:r>
          </w:p>
        </w:tc>
        <w:tc>
          <w:tcPr>
            <w:tcW w:w="1611" w:type="dxa"/>
            <w:vMerge w:val="restart"/>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WPS+云办公套装软件</w:t>
            </w:r>
          </w:p>
        </w:tc>
        <w:tc>
          <w:tcPr>
            <w:tcW w:w="2160" w:type="dxa"/>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WPS Office 2019增强版</w:t>
            </w:r>
          </w:p>
        </w:tc>
        <w:tc>
          <w:tcPr>
            <w:tcW w:w="3868" w:type="dxa"/>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文字</w:t>
            </w:r>
          </w:p>
          <w:p>
            <w:pPr>
              <w:rPr>
                <w:rFonts w:hint="eastAsia"/>
                <w:color w:val="auto"/>
                <w:highlight w:val="none"/>
              </w:rPr>
            </w:pPr>
            <w:r>
              <w:rPr>
                <w:rFonts w:hint="eastAsia"/>
                <w:color w:val="auto"/>
                <w:highlight w:val="none"/>
              </w:rPr>
              <w:t>表格</w:t>
            </w:r>
          </w:p>
          <w:p>
            <w:pPr>
              <w:rPr>
                <w:rFonts w:hint="eastAsia"/>
                <w:color w:val="auto"/>
                <w:highlight w:val="none"/>
              </w:rPr>
            </w:pPr>
            <w:r>
              <w:rPr>
                <w:rFonts w:hint="eastAsia"/>
                <w:color w:val="auto"/>
                <w:highlight w:val="none"/>
              </w:rPr>
              <w:t>演示</w:t>
            </w:r>
          </w:p>
          <w:p>
            <w:pPr>
              <w:rPr>
                <w:rFonts w:hint="eastAsia"/>
                <w:color w:val="auto"/>
                <w:highlight w:val="none"/>
              </w:rPr>
            </w:pPr>
            <w:r>
              <w:rPr>
                <w:rFonts w:hint="eastAsia"/>
                <w:color w:val="auto"/>
                <w:highlight w:val="none"/>
              </w:rPr>
              <w:t>PDF阅读</w:t>
            </w:r>
          </w:p>
          <w:p>
            <w:pPr>
              <w:rPr>
                <w:color w:val="auto"/>
                <w:highlight w:val="none"/>
              </w:rPr>
            </w:pPr>
            <w:r>
              <w:rPr>
                <w:rFonts w:hint="eastAsia"/>
                <w:color w:val="auto"/>
                <w:highlight w:val="none"/>
              </w:rPr>
              <w:t>VBA宏运行环境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344" w:hRule="atLeast"/>
        </w:trPr>
        <w:tc>
          <w:tcPr>
            <w:tcW w:w="602" w:type="dxa"/>
            <w:vMerge w:val="continue"/>
            <w:noWrap w:val="0"/>
            <w:tcMar>
              <w:top w:w="0" w:type="dxa"/>
              <w:left w:w="0" w:type="dxa"/>
              <w:bottom w:w="0" w:type="dxa"/>
              <w:right w:w="0" w:type="dxa"/>
            </w:tcMar>
            <w:vAlign w:val="center"/>
          </w:tcPr>
          <w:p>
            <w:pPr>
              <w:rPr>
                <w:rFonts w:hint="eastAsia"/>
                <w:color w:val="auto"/>
                <w:highlight w:val="none"/>
              </w:rPr>
            </w:pPr>
          </w:p>
        </w:tc>
        <w:tc>
          <w:tcPr>
            <w:tcW w:w="1611" w:type="dxa"/>
            <w:vMerge w:val="continue"/>
            <w:noWrap w:val="0"/>
            <w:tcMar>
              <w:top w:w="0" w:type="dxa"/>
              <w:left w:w="0" w:type="dxa"/>
              <w:bottom w:w="0" w:type="dxa"/>
              <w:right w:w="0" w:type="dxa"/>
            </w:tcMar>
            <w:vAlign w:val="center"/>
          </w:tcPr>
          <w:p>
            <w:pPr>
              <w:rPr>
                <w:rFonts w:hint="eastAsia"/>
                <w:color w:val="auto"/>
                <w:highlight w:val="none"/>
              </w:rPr>
            </w:pPr>
          </w:p>
        </w:tc>
        <w:tc>
          <w:tcPr>
            <w:tcW w:w="2160" w:type="dxa"/>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WPS Office移动增强版</w:t>
            </w:r>
          </w:p>
        </w:tc>
        <w:tc>
          <w:tcPr>
            <w:tcW w:w="3868" w:type="dxa"/>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for Android&amp;iOS</w:t>
            </w:r>
          </w:p>
          <w:p>
            <w:pPr>
              <w:rPr>
                <w:color w:val="auto"/>
                <w:highlight w:val="none"/>
              </w:rPr>
            </w:pPr>
            <w:r>
              <w:rPr>
                <w:rFonts w:hint="eastAsia"/>
                <w:color w:val="auto"/>
                <w:highlight w:val="none"/>
              </w:rPr>
              <w:t>二次开发调用接口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trHeight w:val="260" w:hRule="atLeast"/>
        </w:trPr>
        <w:tc>
          <w:tcPr>
            <w:tcW w:w="602" w:type="dxa"/>
            <w:vMerge w:val="continue"/>
            <w:noWrap w:val="0"/>
            <w:tcMar>
              <w:top w:w="0" w:type="dxa"/>
              <w:left w:w="0" w:type="dxa"/>
              <w:bottom w:w="0" w:type="dxa"/>
              <w:right w:w="0" w:type="dxa"/>
            </w:tcMar>
            <w:vAlign w:val="center"/>
          </w:tcPr>
          <w:p>
            <w:pPr>
              <w:rPr>
                <w:rFonts w:hint="eastAsia"/>
                <w:color w:val="auto"/>
                <w:highlight w:val="none"/>
              </w:rPr>
            </w:pPr>
          </w:p>
        </w:tc>
        <w:tc>
          <w:tcPr>
            <w:tcW w:w="1611" w:type="dxa"/>
            <w:vMerge w:val="continue"/>
            <w:noWrap w:val="0"/>
            <w:tcMar>
              <w:top w:w="0" w:type="dxa"/>
              <w:left w:w="0" w:type="dxa"/>
              <w:bottom w:w="0" w:type="dxa"/>
              <w:right w:w="0" w:type="dxa"/>
            </w:tcMar>
            <w:vAlign w:val="center"/>
          </w:tcPr>
          <w:p>
            <w:pPr>
              <w:rPr>
                <w:rFonts w:hint="eastAsia"/>
                <w:color w:val="auto"/>
                <w:highlight w:val="none"/>
              </w:rPr>
            </w:pPr>
          </w:p>
        </w:tc>
        <w:tc>
          <w:tcPr>
            <w:tcW w:w="2160" w:type="dxa"/>
            <w:noWrap w:val="0"/>
            <w:tcMar>
              <w:top w:w="0" w:type="dxa"/>
              <w:left w:w="0" w:type="dxa"/>
              <w:bottom w:w="0" w:type="dxa"/>
              <w:right w:w="0" w:type="dxa"/>
            </w:tcMar>
            <w:vAlign w:val="center"/>
          </w:tcPr>
          <w:p>
            <w:pPr>
              <w:rPr>
                <w:rFonts w:hint="eastAsia"/>
                <w:color w:val="auto"/>
                <w:highlight w:val="none"/>
              </w:rPr>
            </w:pPr>
            <w:r>
              <w:rPr>
                <w:rFonts w:hint="eastAsia" w:ascii="宋体" w:hAnsi="宋体" w:cs="宋体"/>
                <w:color w:val="auto"/>
                <w:szCs w:val="21"/>
                <w:highlight w:val="none"/>
              </w:rPr>
              <w:t>WPS企业协作版（公网</w:t>
            </w:r>
            <w:r>
              <w:rPr>
                <w:rFonts w:hint="eastAsia"/>
                <w:color w:val="auto"/>
                <w:highlight w:val="none"/>
              </w:rPr>
              <w:t>服务）</w:t>
            </w:r>
          </w:p>
        </w:tc>
        <w:tc>
          <w:tcPr>
            <w:tcW w:w="3868" w:type="dxa"/>
            <w:noWrap w:val="0"/>
            <w:tcMar>
              <w:top w:w="0" w:type="dxa"/>
              <w:left w:w="0" w:type="dxa"/>
              <w:bottom w:w="0" w:type="dxa"/>
              <w:right w:w="0" w:type="dxa"/>
            </w:tcMar>
            <w:vAlign w:val="center"/>
          </w:tcPr>
          <w:p>
            <w:pPr>
              <w:rPr>
                <w:rFonts w:hint="eastAsia"/>
                <w:color w:val="auto"/>
                <w:highlight w:val="none"/>
              </w:rPr>
            </w:pPr>
            <w:r>
              <w:rPr>
                <w:rFonts w:hint="eastAsia"/>
                <w:color w:val="auto"/>
                <w:highlight w:val="none"/>
              </w:rPr>
              <w:t>文件存储：</w:t>
            </w:r>
          </w:p>
          <w:p>
            <w:pPr>
              <w:rPr>
                <w:rFonts w:hint="eastAsia"/>
                <w:color w:val="auto"/>
                <w:highlight w:val="none"/>
              </w:rPr>
            </w:pPr>
            <w:r>
              <w:rPr>
                <w:rFonts w:hint="eastAsia"/>
                <w:color w:val="auto"/>
                <w:highlight w:val="none"/>
              </w:rPr>
              <w:t>企业存储空间：购买人数*100GB/人</w:t>
            </w:r>
          </w:p>
          <w:p>
            <w:pPr>
              <w:rPr>
                <w:rFonts w:hint="eastAsia"/>
                <w:color w:val="auto"/>
                <w:highlight w:val="none"/>
              </w:rPr>
            </w:pPr>
            <w:r>
              <w:rPr>
                <w:rFonts w:hint="eastAsia"/>
                <w:color w:val="auto"/>
                <w:highlight w:val="none"/>
              </w:rPr>
              <w:t>文件上传大小上限：1G</w:t>
            </w:r>
          </w:p>
          <w:p>
            <w:pPr>
              <w:rPr>
                <w:rFonts w:hint="eastAsia"/>
                <w:color w:val="auto"/>
                <w:highlight w:val="none"/>
              </w:rPr>
            </w:pPr>
            <w:r>
              <w:rPr>
                <w:rFonts w:hint="eastAsia"/>
                <w:color w:val="auto"/>
                <w:highlight w:val="none"/>
              </w:rPr>
              <w:t>文档漫游</w:t>
            </w:r>
          </w:p>
          <w:p>
            <w:pPr>
              <w:rPr>
                <w:rFonts w:hint="eastAsia"/>
                <w:color w:val="auto"/>
                <w:highlight w:val="none"/>
              </w:rPr>
            </w:pPr>
            <w:r>
              <w:rPr>
                <w:rFonts w:hint="eastAsia"/>
                <w:color w:val="auto"/>
                <w:highlight w:val="none"/>
              </w:rPr>
              <w:t>文件批量下载</w:t>
            </w:r>
          </w:p>
          <w:p>
            <w:pPr>
              <w:rPr>
                <w:rFonts w:hint="eastAsia"/>
                <w:color w:val="auto"/>
                <w:highlight w:val="none"/>
              </w:rPr>
            </w:pPr>
            <w:r>
              <w:rPr>
                <w:rFonts w:hint="eastAsia"/>
                <w:color w:val="auto"/>
                <w:highlight w:val="none"/>
              </w:rPr>
              <w:t>文件批量下载数量上限：500个/次</w:t>
            </w:r>
          </w:p>
          <w:p>
            <w:pPr>
              <w:rPr>
                <w:rFonts w:hint="eastAsia"/>
                <w:color w:val="auto"/>
                <w:highlight w:val="none"/>
              </w:rPr>
            </w:pPr>
            <w:r>
              <w:rPr>
                <w:rFonts w:hint="eastAsia"/>
                <w:color w:val="auto"/>
                <w:highlight w:val="none"/>
              </w:rPr>
              <w:t>文件批量下载大小上限</w:t>
            </w:r>
          </w:p>
          <w:p>
            <w:pPr>
              <w:rPr>
                <w:rFonts w:hint="eastAsia"/>
                <w:color w:val="auto"/>
                <w:highlight w:val="none"/>
              </w:rPr>
            </w:pPr>
            <w:r>
              <w:rPr>
                <w:rFonts w:hint="eastAsia"/>
                <w:color w:val="auto"/>
                <w:highlight w:val="none"/>
              </w:rPr>
              <w:t>全文检索</w:t>
            </w:r>
          </w:p>
          <w:p>
            <w:pPr>
              <w:rPr>
                <w:rFonts w:hint="eastAsia"/>
                <w:color w:val="auto"/>
                <w:highlight w:val="none"/>
              </w:rPr>
            </w:pPr>
            <w:r>
              <w:rPr>
                <w:rFonts w:hint="eastAsia"/>
                <w:color w:val="auto"/>
                <w:highlight w:val="none"/>
              </w:rPr>
              <w:t>在线解压</w:t>
            </w:r>
          </w:p>
          <w:p>
            <w:pPr>
              <w:rPr>
                <w:rFonts w:hint="eastAsia"/>
                <w:color w:val="auto"/>
                <w:highlight w:val="none"/>
              </w:rPr>
            </w:pPr>
            <w:r>
              <w:rPr>
                <w:rFonts w:hint="eastAsia"/>
                <w:color w:val="auto"/>
                <w:highlight w:val="none"/>
              </w:rPr>
              <w:t>加速下载</w:t>
            </w:r>
          </w:p>
          <w:p>
            <w:pPr>
              <w:rPr>
                <w:rFonts w:hint="eastAsia"/>
                <w:color w:val="auto"/>
                <w:highlight w:val="none"/>
              </w:rPr>
            </w:pPr>
            <w:r>
              <w:rPr>
                <w:rFonts w:hint="eastAsia"/>
                <w:color w:val="auto"/>
                <w:highlight w:val="none"/>
              </w:rPr>
              <w:t>私密文件夹</w:t>
            </w:r>
          </w:p>
          <w:p>
            <w:pPr>
              <w:rPr>
                <w:rFonts w:hint="eastAsia"/>
                <w:color w:val="auto"/>
                <w:highlight w:val="none"/>
              </w:rPr>
            </w:pPr>
          </w:p>
          <w:p>
            <w:pPr>
              <w:rPr>
                <w:rFonts w:hint="eastAsia"/>
                <w:color w:val="auto"/>
                <w:highlight w:val="none"/>
              </w:rPr>
            </w:pPr>
            <w:r>
              <w:rPr>
                <w:rFonts w:hint="eastAsia"/>
                <w:color w:val="auto"/>
                <w:highlight w:val="none"/>
              </w:rPr>
              <w:t>文件协作：</w:t>
            </w:r>
          </w:p>
          <w:p>
            <w:pPr>
              <w:rPr>
                <w:rFonts w:hint="eastAsia"/>
                <w:color w:val="auto"/>
                <w:highlight w:val="none"/>
              </w:rPr>
            </w:pPr>
            <w:r>
              <w:rPr>
                <w:rFonts w:hint="eastAsia"/>
                <w:color w:val="auto"/>
                <w:highlight w:val="none"/>
              </w:rPr>
              <w:t>在线协同编辑</w:t>
            </w:r>
          </w:p>
          <w:p>
            <w:pPr>
              <w:rPr>
                <w:rFonts w:hint="eastAsia"/>
                <w:color w:val="auto"/>
                <w:highlight w:val="none"/>
              </w:rPr>
            </w:pPr>
            <w:r>
              <w:rPr>
                <w:rFonts w:hint="eastAsia"/>
                <w:color w:val="auto"/>
                <w:highlight w:val="none"/>
              </w:rPr>
              <w:t>企业成员数量</w:t>
            </w:r>
          </w:p>
          <w:p>
            <w:pPr>
              <w:rPr>
                <w:rFonts w:hint="eastAsia"/>
                <w:color w:val="auto"/>
                <w:highlight w:val="none"/>
              </w:rPr>
            </w:pPr>
            <w:r>
              <w:rPr>
                <w:rFonts w:hint="eastAsia"/>
                <w:color w:val="auto"/>
                <w:highlight w:val="none"/>
              </w:rPr>
              <w:t>创建团队数量上限：200个/人</w:t>
            </w:r>
          </w:p>
          <w:p>
            <w:pPr>
              <w:rPr>
                <w:rFonts w:hint="eastAsia"/>
                <w:color w:val="auto"/>
                <w:highlight w:val="none"/>
              </w:rPr>
            </w:pPr>
          </w:p>
          <w:p>
            <w:pPr>
              <w:rPr>
                <w:rFonts w:hint="eastAsia"/>
                <w:color w:val="auto"/>
                <w:highlight w:val="none"/>
              </w:rPr>
            </w:pPr>
            <w:r>
              <w:rPr>
                <w:rFonts w:hint="eastAsia"/>
                <w:color w:val="auto"/>
                <w:highlight w:val="none"/>
              </w:rPr>
              <w:t>企业管理：</w:t>
            </w:r>
          </w:p>
          <w:p>
            <w:pPr>
              <w:rPr>
                <w:rFonts w:hint="eastAsia"/>
                <w:color w:val="auto"/>
                <w:highlight w:val="none"/>
              </w:rPr>
            </w:pPr>
            <w:r>
              <w:rPr>
                <w:rFonts w:hint="eastAsia"/>
                <w:color w:val="auto"/>
                <w:highlight w:val="none"/>
              </w:rPr>
              <w:t>组织架构管理</w:t>
            </w:r>
          </w:p>
          <w:p>
            <w:pPr>
              <w:rPr>
                <w:rFonts w:hint="eastAsia"/>
                <w:color w:val="auto"/>
                <w:highlight w:val="none"/>
              </w:rPr>
            </w:pPr>
            <w:r>
              <w:rPr>
                <w:rFonts w:hint="eastAsia"/>
                <w:color w:val="auto"/>
                <w:highlight w:val="none"/>
              </w:rPr>
              <w:t>使用数据概况</w:t>
            </w:r>
          </w:p>
          <w:p>
            <w:pPr>
              <w:rPr>
                <w:rFonts w:hint="eastAsia"/>
                <w:color w:val="auto"/>
                <w:highlight w:val="none"/>
              </w:rPr>
            </w:pPr>
            <w:r>
              <w:rPr>
                <w:rFonts w:hint="eastAsia"/>
                <w:color w:val="auto"/>
                <w:highlight w:val="none"/>
              </w:rPr>
              <w:t>成员活跃详情</w:t>
            </w:r>
          </w:p>
          <w:p>
            <w:pPr>
              <w:rPr>
                <w:rFonts w:hint="eastAsia"/>
                <w:color w:val="auto"/>
                <w:highlight w:val="none"/>
              </w:rPr>
            </w:pPr>
            <w:r>
              <w:rPr>
                <w:rFonts w:hint="eastAsia"/>
                <w:color w:val="auto"/>
                <w:highlight w:val="none"/>
              </w:rPr>
              <w:t>后台日志报表时长：最近6个月</w:t>
            </w:r>
          </w:p>
          <w:p>
            <w:pPr>
              <w:rPr>
                <w:rFonts w:hint="eastAsia"/>
                <w:color w:val="auto"/>
                <w:highlight w:val="none"/>
              </w:rPr>
            </w:pPr>
            <w:r>
              <w:rPr>
                <w:rFonts w:hint="eastAsia"/>
                <w:color w:val="auto"/>
                <w:highlight w:val="none"/>
              </w:rPr>
              <w:t>团队拥有者变更管理</w:t>
            </w:r>
          </w:p>
          <w:p>
            <w:pPr>
              <w:rPr>
                <w:rFonts w:hint="eastAsia"/>
                <w:color w:val="auto"/>
                <w:highlight w:val="none"/>
              </w:rPr>
            </w:pPr>
            <w:r>
              <w:rPr>
                <w:rFonts w:hint="eastAsia"/>
                <w:color w:val="auto"/>
                <w:highlight w:val="none"/>
              </w:rPr>
              <w:t>团队恢复管理</w:t>
            </w:r>
          </w:p>
          <w:p>
            <w:pPr>
              <w:rPr>
                <w:rFonts w:hint="eastAsia"/>
                <w:color w:val="auto"/>
                <w:highlight w:val="none"/>
              </w:rPr>
            </w:pPr>
            <w:r>
              <w:rPr>
                <w:rFonts w:hint="eastAsia"/>
                <w:color w:val="auto"/>
                <w:highlight w:val="none"/>
              </w:rPr>
              <w:t>离职员工文档转让</w:t>
            </w:r>
          </w:p>
          <w:p>
            <w:pPr>
              <w:rPr>
                <w:rFonts w:hint="eastAsia"/>
                <w:color w:val="auto"/>
                <w:highlight w:val="none"/>
              </w:rPr>
            </w:pPr>
            <w:r>
              <w:rPr>
                <w:rFonts w:hint="eastAsia"/>
                <w:color w:val="auto"/>
                <w:highlight w:val="none"/>
              </w:rPr>
              <w:t>文档分享范围管控（禁止分享到企业外）</w:t>
            </w:r>
          </w:p>
          <w:p>
            <w:pPr>
              <w:rPr>
                <w:rFonts w:hint="eastAsia"/>
                <w:color w:val="auto"/>
                <w:highlight w:val="none"/>
              </w:rPr>
            </w:pPr>
            <w:r>
              <w:rPr>
                <w:rFonts w:hint="eastAsia"/>
                <w:color w:val="auto"/>
                <w:highlight w:val="none"/>
              </w:rPr>
              <w:t>文档安全管控（禁止移动到企业外）</w:t>
            </w:r>
          </w:p>
          <w:p>
            <w:pPr>
              <w:rPr>
                <w:rFonts w:hint="eastAsia"/>
                <w:color w:val="auto"/>
                <w:highlight w:val="none"/>
              </w:rPr>
            </w:pPr>
            <w:r>
              <w:rPr>
                <w:rFonts w:hint="eastAsia"/>
                <w:color w:val="auto"/>
                <w:highlight w:val="none"/>
              </w:rPr>
              <w:t>自定义后台管理权限</w:t>
            </w:r>
          </w:p>
          <w:p>
            <w:pPr>
              <w:rPr>
                <w:rFonts w:hint="eastAsia"/>
                <w:color w:val="auto"/>
                <w:highlight w:val="none"/>
              </w:rPr>
            </w:pPr>
            <w:r>
              <w:rPr>
                <w:rFonts w:hint="eastAsia"/>
                <w:color w:val="auto"/>
                <w:highlight w:val="none"/>
              </w:rPr>
              <w:t>二级回收站已删除文件恢复时长：最近1年</w:t>
            </w:r>
          </w:p>
          <w:p>
            <w:pPr>
              <w:rPr>
                <w:rFonts w:hint="eastAsia"/>
                <w:color w:val="auto"/>
                <w:highlight w:val="none"/>
              </w:rPr>
            </w:pPr>
            <w:r>
              <w:rPr>
                <w:rFonts w:hint="eastAsia"/>
                <w:color w:val="auto"/>
                <w:highlight w:val="none"/>
              </w:rPr>
              <w:t>企业空间分配管理</w:t>
            </w:r>
          </w:p>
        </w:tc>
      </w:tr>
    </w:tbl>
    <w:p>
      <w:pPr>
        <w:spacing w:line="360" w:lineRule="auto"/>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（二）服务内容要求：</w:t>
      </w:r>
    </w:p>
    <w:p>
      <w:pPr>
        <w:rPr>
          <w:rFonts w:hint="eastAsia" w:ascii="宋体" w:hAnsi="宋体" w:cs="宋体"/>
          <w:b/>
          <w:bCs/>
          <w:color w:val="auto"/>
          <w:szCs w:val="21"/>
          <w:highlight w:val="none"/>
        </w:rPr>
      </w:pPr>
      <w:r>
        <w:rPr>
          <w:rFonts w:hint="eastAsia" w:ascii="宋体" w:hAnsi="宋体" w:cs="宋体"/>
          <w:b/>
          <w:bCs/>
          <w:color w:val="auto"/>
          <w:szCs w:val="21"/>
          <w:highlight w:val="none"/>
        </w:rPr>
        <w:t>年场地授权服务内容：</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3450"/>
        <w:gridCol w:w="1380"/>
        <w:gridCol w:w="2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内容</w:t>
            </w:r>
          </w:p>
        </w:tc>
        <w:tc>
          <w:tcPr>
            <w:tcW w:w="3450" w:type="dxa"/>
            <w:noWrap w:val="0"/>
            <w:vAlign w:val="center"/>
          </w:tcPr>
          <w:p>
            <w:pPr>
              <w:widowControl/>
              <w:spacing w:line="288"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服务范围</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服务方式</w:t>
            </w:r>
          </w:p>
        </w:tc>
        <w:tc>
          <w:tcPr>
            <w:tcW w:w="2618" w:type="dxa"/>
            <w:noWrap w:val="0"/>
            <w:vAlign w:val="center"/>
          </w:tcPr>
          <w:p>
            <w:pPr>
              <w:widowControl/>
              <w:spacing w:line="288"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响应范围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升级服务</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为用户提供大、小版本升级程序。</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现场/远程</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在升级服务期内免费提供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1"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在线服务</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通过 产品主页、 产品论坛 、 在线客服的方式在互联网上提供用户查询产品资料、技巧及对用户问题的解答 </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互联网</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提供5 X 8 小时服务：</w:t>
            </w:r>
          </w:p>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产品主页：http://www.wps.cn/</w:t>
            </w:r>
          </w:p>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产品论坛：http://bbs.wps.cn</w:t>
            </w:r>
          </w:p>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在线客服：http://kefu.kingsoft.com</w:t>
            </w:r>
          </w:p>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二次开发专栏：</w:t>
            </w: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"http://bbs.wps.cn/" </w:instrText>
            </w:r>
            <w:r>
              <w:rPr>
                <w:rFonts w:hint="eastAsia" w:ascii="宋体" w:hAnsi="宋体" w:cs="宋体"/>
                <w:color w:val="auto"/>
                <w:kern w:val="0"/>
                <w:szCs w:val="21"/>
                <w:highlight w:val="none"/>
              </w:rPr>
              <w:fldChar w:fldCharType="separate"/>
            </w:r>
            <w:r>
              <w:rPr>
                <w:rFonts w:hint="eastAsia" w:ascii="宋体" w:hAnsi="宋体" w:cs="宋体"/>
                <w:color w:val="auto"/>
                <w:kern w:val="0"/>
                <w:szCs w:val="21"/>
                <w:highlight w:val="none"/>
              </w:rPr>
              <w:t>http://bbs.wps.cn/</w:t>
            </w:r>
            <w:r>
              <w:rPr>
                <w:rFonts w:hint="eastAsia" w:ascii="宋体" w:hAnsi="宋体" w:cs="宋体"/>
                <w:color w:val="auto"/>
                <w:kern w:val="0"/>
                <w:szCs w:val="21"/>
                <w:highlight w:val="none"/>
              </w:rPr>
              <w:fldChar w:fldCharType="end"/>
            </w:r>
            <w:r>
              <w:rPr>
                <w:rFonts w:hint="eastAsia" w:ascii="宋体" w:hAnsi="宋体" w:cs="宋体"/>
                <w:color w:val="auto"/>
                <w:kern w:val="0"/>
                <w:szCs w:val="21"/>
                <w:highlight w:val="none"/>
              </w:rPr>
              <w:t xml:space="preserve"> 中“WPS二次开发区”栏目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3"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邮件服务</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提供用户产品使用问题及二次开发技术问题的解答 </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远程</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提供5 X 8 小时服务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WPS 技术支持专用邮箱</w:t>
            </w:r>
          </w:p>
          <w:p>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"mailto:wps_techsupport@kingsoft.com"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wps@kingsoft.com</w:t>
            </w:r>
            <w:r>
              <w:rPr>
                <w:rFonts w:hint="eastAsia" w:ascii="宋体" w:hAnsi="宋体" w:cs="宋体"/>
                <w:color w:val="auto"/>
                <w:szCs w:val="21"/>
                <w:highlight w:val="none"/>
              </w:rPr>
              <w:fldChar w:fldCharType="end"/>
            </w:r>
            <w:r>
              <w:rPr>
                <w:rFonts w:hint="eastAsia" w:ascii="宋体" w:hAnsi="宋体" w:cs="宋体"/>
                <w:color w:val="auto"/>
                <w:szCs w:val="21"/>
                <w:highlight w:val="none"/>
              </w:rPr>
              <w:t xml:space="preserve"> </w:t>
            </w:r>
          </w:p>
          <w:p>
            <w:pPr>
              <w:widowControl/>
              <w:spacing w:line="288" w:lineRule="auto"/>
              <w:jc w:val="left"/>
              <w:rPr>
                <w:rFonts w:ascii="宋体" w:hAnsi="宋体" w:cs="宋体"/>
                <w:color w:val="auto"/>
                <w:szCs w:val="21"/>
                <w:highlight w:val="none"/>
              </w:rPr>
            </w:pPr>
            <w:r>
              <w:rPr>
                <w:rFonts w:hint="eastAsia" w:ascii="宋体" w:hAnsi="宋体" w:cs="宋体"/>
                <w:color w:val="auto"/>
                <w:szCs w:val="21"/>
                <w:highlight w:val="none"/>
              </w:rPr>
              <w:t>kf@yunda-info.com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电话服务</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提供用户产品使用问题及二次开发技术问题的解答 </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远程</w:t>
            </w:r>
          </w:p>
        </w:tc>
        <w:tc>
          <w:tcPr>
            <w:tcW w:w="2618" w:type="dxa"/>
            <w:noWrap w:val="0"/>
            <w:vAlign w:val="center"/>
          </w:tcPr>
          <w:p>
            <w:pPr>
              <w:spacing w:line="288" w:lineRule="auto"/>
              <w:rPr>
                <w:rFonts w:hint="eastAsia" w:ascii="宋体" w:hAnsi="宋体" w:cs="宋体"/>
                <w:color w:val="auto"/>
                <w:szCs w:val="21"/>
                <w:highlight w:val="none"/>
              </w:rPr>
            </w:pPr>
            <w:r>
              <w:rPr>
                <w:rFonts w:hint="eastAsia" w:ascii="宋体" w:hAnsi="宋体" w:cs="宋体"/>
                <w:color w:val="auto"/>
                <w:kern w:val="0"/>
                <w:szCs w:val="21"/>
                <w:highlight w:val="none"/>
              </w:rPr>
              <w:t>提供5 X 8小时服务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400－677－5005</w:t>
            </w:r>
            <w:r>
              <w:rPr>
                <w:rFonts w:hint="eastAsia" w:ascii="宋体" w:hAnsi="宋体" w:cs="宋体"/>
                <w:color w:val="auto"/>
                <w:szCs w:val="21"/>
                <w:highlight w:val="none"/>
              </w:rPr>
              <w:t xml:space="preserve"> </w:t>
            </w:r>
          </w:p>
          <w:p>
            <w:pPr>
              <w:spacing w:line="288" w:lineRule="auto"/>
              <w:rPr>
                <w:rFonts w:hint="eastAsia" w:ascii="宋体" w:hAnsi="宋体" w:cs="宋体"/>
                <w:color w:val="auto"/>
                <w:szCs w:val="21"/>
                <w:highlight w:val="none"/>
              </w:rPr>
            </w:pPr>
            <w:r>
              <w:rPr>
                <w:rFonts w:hint="eastAsia" w:ascii="宋体" w:hAnsi="宋体"/>
                <w:color w:val="auto"/>
                <w:szCs w:val="21"/>
                <w:highlight w:val="none"/>
              </w:rPr>
              <w:t>020-85600726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定期电话回访</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主动回访用户，收集用户的产品使用意见 ，并进行建档跟踪入库。</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远程</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每个月进行一次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定制培训</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为用户提供</w:t>
            </w:r>
            <w:r>
              <w:rPr>
                <w:rFonts w:hint="eastAsia" w:ascii="宋体" w:hAnsi="宋体" w:cs="宋体"/>
                <w:color w:val="auto"/>
                <w:szCs w:val="21"/>
                <w:highlight w:val="none"/>
              </w:rPr>
              <w:t xml:space="preserve"> WPS+云办公套装</w:t>
            </w:r>
            <w:r>
              <w:rPr>
                <w:rFonts w:hint="eastAsia" w:ascii="宋体" w:hAnsi="宋体" w:cs="宋体"/>
                <w:color w:val="auto"/>
                <w:kern w:val="0"/>
                <w:szCs w:val="21"/>
                <w:highlight w:val="none"/>
              </w:rPr>
              <w:t xml:space="preserve">现场培训 </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根据采购人需要可为其进行1次现场免费培训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5" w:hRule="atLeast"/>
        </w:trPr>
        <w:tc>
          <w:tcPr>
            <w:tcW w:w="1074"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资料提供</w:t>
            </w:r>
          </w:p>
        </w:tc>
        <w:tc>
          <w:tcPr>
            <w:tcW w:w="345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为用户提供关于WPS 使用技巧文档、Flash格式教程、办公效率手册等资料 </w:t>
            </w:r>
          </w:p>
        </w:tc>
        <w:tc>
          <w:tcPr>
            <w:tcW w:w="1380"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远程</w:t>
            </w:r>
          </w:p>
        </w:tc>
        <w:tc>
          <w:tcPr>
            <w:tcW w:w="2618" w:type="dxa"/>
            <w:noWrap w:val="0"/>
            <w:vAlign w:val="center"/>
          </w:tcPr>
          <w:p>
            <w:pPr>
              <w:widowControl/>
              <w:spacing w:line="288"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根据采购人的需求提供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0" w:hRule="atLeast"/>
        </w:trPr>
        <w:tc>
          <w:tcPr>
            <w:tcW w:w="1074"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二次开发与系统集成</w:t>
            </w:r>
          </w:p>
        </w:tc>
        <w:tc>
          <w:tcPr>
            <w:tcW w:w="3450" w:type="dxa"/>
            <w:noWrap w:val="0"/>
            <w:vAlign w:val="top"/>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1、提供和采购人现有OA系统集成：派专人到现场分析现有系统和WPS集成的可行性并提出最佳的系统改造方案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2、提供其他业务系统和WPS的集成服务：</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1)针对要集成的系统提供和WPS最佳的集成方案</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2)为系统开发商提供集成WPS的DEMO样例</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3)可以派专人现场参与系统改造的代码编写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4)针对系统的特殊需求，WPS可以提供定制化的API接口</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5)可以派专人现场参与系统改造完成后的整体测试</w:t>
            </w:r>
          </w:p>
        </w:tc>
        <w:tc>
          <w:tcPr>
            <w:tcW w:w="1380"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w:t>
            </w:r>
          </w:p>
        </w:tc>
        <w:tc>
          <w:tcPr>
            <w:tcW w:w="2618" w:type="dxa"/>
            <w:noWrap w:val="0"/>
            <w:vAlign w:val="top"/>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集成服务包括OA及采购人其他可能与WPS集成的所有业务系统，如涉及到广州地区外的需要技术人员上门二次开发支持，将按3500元/人天收费。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rPr>
        <w:tc>
          <w:tcPr>
            <w:tcW w:w="1074"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上门回访</w:t>
            </w:r>
          </w:p>
        </w:tc>
        <w:tc>
          <w:tcPr>
            <w:tcW w:w="3450" w:type="dxa"/>
            <w:noWrap w:val="0"/>
            <w:vAlign w:val="top"/>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主动现场回访用户，收集用户的产品使用意见及现场辅导用户解决</w:t>
            </w:r>
          </w:p>
        </w:tc>
        <w:tc>
          <w:tcPr>
            <w:tcW w:w="1380" w:type="dxa"/>
            <w:noWrap w:val="0"/>
            <w:vAlign w:val="center"/>
          </w:tcPr>
          <w:p>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现场</w:t>
            </w:r>
          </w:p>
        </w:tc>
        <w:tc>
          <w:tcPr>
            <w:tcW w:w="2618" w:type="dxa"/>
            <w:noWrap w:val="0"/>
            <w:vAlign w:val="top"/>
          </w:tcPr>
          <w:p>
            <w:pPr>
              <w:widowControl/>
              <w:spacing w:line="360" w:lineRule="auto"/>
              <w:jc w:val="left"/>
              <w:rPr>
                <w:rFonts w:hint="eastAsia" w:ascii="宋体" w:hAnsi="宋体" w:cs="宋体"/>
                <w:color w:val="auto"/>
                <w:kern w:val="0"/>
                <w:szCs w:val="21"/>
                <w:highlight w:val="none"/>
              </w:rPr>
            </w:pPr>
          </w:p>
        </w:tc>
      </w:tr>
      <w:bookmarkEnd w:id="58"/>
    </w:tbl>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rFonts w:hint="eastAsia"/>
          <w:color w:val="auto"/>
          <w:highlight w:val="none"/>
        </w:rPr>
      </w:pPr>
      <w:bookmarkStart w:id="59" w:name="_Toc18538"/>
      <w:bookmarkStart w:id="60" w:name="_Toc23353"/>
      <w:bookmarkStart w:id="61" w:name="_Toc15570"/>
      <w:bookmarkStart w:id="62" w:name="_Toc1284"/>
      <w:bookmarkStart w:id="63" w:name="_Toc29835"/>
      <w:bookmarkStart w:id="64" w:name="_Toc1496"/>
      <w:bookmarkStart w:id="65" w:name="_Toc25925"/>
      <w:bookmarkStart w:id="66" w:name="_Toc4680"/>
      <w:bookmarkStart w:id="67" w:name="_Toc537"/>
      <w:bookmarkStart w:id="68" w:name="_Toc12135"/>
      <w:bookmarkStart w:id="69" w:name="_Toc23330"/>
    </w:p>
    <w:p>
      <w:pPr>
        <w:pStyle w:val="5"/>
        <w:rPr>
          <w:rFonts w:hint="eastAsia"/>
          <w:color w:val="auto"/>
          <w:highlight w:val="none"/>
        </w:rPr>
      </w:pPr>
    </w:p>
    <w:p>
      <w:pPr>
        <w:pStyle w:val="5"/>
        <w:rPr>
          <w:rFonts w:hint="eastAsia"/>
          <w:color w:val="auto"/>
          <w:highlight w:val="none"/>
        </w:rPr>
      </w:pPr>
    </w:p>
    <w:p>
      <w:pPr>
        <w:pStyle w:val="5"/>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2321560</wp:posOffset>
                </wp:positionH>
                <wp:positionV relativeFrom="paragraph">
                  <wp:posOffset>549910</wp:posOffset>
                </wp:positionV>
                <wp:extent cx="958850" cy="0"/>
                <wp:effectExtent l="0" t="0" r="0" b="0"/>
                <wp:wrapNone/>
                <wp:docPr id="6" name="自选图形 12"/>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 o:spid="_x0000_s1026" o:spt="32" type="#_x0000_t32" style="position:absolute;left:0pt;margin-left:182.8pt;margin-top:43.3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y7S8a8wEAAOM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FWcOLF34&#10;r8/f7z99ufv68+7HNzaZZon6gAuKXLttPO0wbGPme2iizX9iwg5F1uNZVnVITNDhy9l8PiPBxYOr&#10;eswLEdNr5S3LRs0xRdBtl9beObo7HydFVdi/wUSVKfEhIRc1jvUZfjojcKBZbGgGyLSB+KBrSy56&#10;o+WNNiZnYGx3axPZHvI8lC/zI9y/wnKRDWA3xBXXMCmdAvnKSZaOgZRy9EB4bsEqyZlR9J6yRYCw&#10;SKDNJZFU2jjqIEs8iJqtnZfHonU5p7svPZ7mNA/Xn/uS/fg2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PLtLxr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38100</wp:posOffset>
                </wp:positionV>
                <wp:extent cx="958850" cy="0"/>
                <wp:effectExtent l="0" t="0" r="0" b="0"/>
                <wp:wrapNone/>
                <wp:docPr id="5" name="自选图形 1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3" o:spid="_x0000_s1026" o:spt="32" type="#_x0000_t32" style="position:absolute;left:0pt;margin-left:183.1pt;margin-top: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HqOz18gEAAOM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g2fcebA0oXf&#10;ff7+69OX268/b398Y5PnWaI+YE2RK7eJpx2GTcx8D220+U9M2KHIejzLqg6JCTp8OZvPZyS4uHdV&#10;D3khYnqtvGXZaDimCHrXpZV3ju7Ox0lRFfZvMFFlSrxPyEWNY32Gn1LvAm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h6js9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40"/>
        <w:rPr>
          <w:color w:val="auto"/>
          <w:highlight w:val="none"/>
        </w:rPr>
      </w:pPr>
    </w:p>
    <w:p>
      <w:pPr>
        <w:pStyle w:val="5"/>
        <w:rPr>
          <w:color w:val="auto"/>
          <w:highlight w:val="none"/>
        </w:rPr>
      </w:pPr>
      <w:bookmarkStart w:id="70" w:name="_Toc19686"/>
      <w:bookmarkStart w:id="71" w:name="_Toc19088"/>
      <w:bookmarkStart w:id="72" w:name="_Toc12980"/>
      <w:bookmarkStart w:id="73" w:name="_Toc1375"/>
      <w:bookmarkStart w:id="74" w:name="_Toc22501"/>
      <w:bookmarkStart w:id="75" w:name="_Toc12721"/>
      <w:bookmarkStart w:id="76" w:name="_Toc87616386"/>
      <w:bookmarkStart w:id="77" w:name="_Toc22797"/>
      <w:bookmarkStart w:id="78" w:name="_Toc323"/>
      <w:bookmarkStart w:id="79" w:name="_Toc13309"/>
      <w:bookmarkStart w:id="80" w:name="_Toc88209949"/>
      <w:bookmarkStart w:id="81" w:name="_Toc12968"/>
      <w:bookmarkStart w:id="82" w:name="_Toc8183"/>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p>
    <w:p>
      <w:pPr>
        <w:pStyle w:val="8"/>
        <w:rPr>
          <w:rFonts w:ascii="方正小标宋简体" w:eastAsia="方正小标宋简体"/>
          <w:color w:val="auto"/>
          <w:sz w:val="44"/>
          <w:szCs w:val="44"/>
          <w:highlight w:val="none"/>
        </w:rPr>
      </w:pPr>
    </w:p>
    <w:p>
      <w:pPr>
        <w:rPr>
          <w:color w:val="auto"/>
          <w:highlight w:val="none"/>
        </w:rPr>
      </w:pPr>
    </w:p>
    <w:p>
      <w:pPr>
        <w:pStyle w:val="8"/>
        <w:rPr>
          <w:color w:val="auto"/>
          <w:highlight w:val="none"/>
        </w:rPr>
      </w:pPr>
    </w:p>
    <w:p>
      <w:pPr>
        <w:rPr>
          <w:color w:val="auto"/>
          <w:highlight w:val="none"/>
        </w:rPr>
      </w:pPr>
      <w:r>
        <w:rPr>
          <w:color w:val="auto"/>
          <w:highlight w:val="none"/>
        </w:rPr>
        <w:br w:type="page"/>
      </w: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hint="eastAsia" w:ascii="宋体" w:hAnsi="宋体" w:cs="宋体"/>
          <w:b/>
          <w:bCs/>
          <w:color w:val="auto"/>
          <w:sz w:val="44"/>
          <w:szCs w:val="44"/>
          <w:highlight w:val="none"/>
          <w:lang w:val="en-US" w:eastAsia="zh-CN"/>
        </w:rPr>
      </w:pPr>
      <w:r>
        <w:rPr>
          <w:rFonts w:hint="eastAsia" w:ascii="宋体" w:hAnsi="宋体" w:cs="宋体"/>
          <w:b/>
          <w:bCs/>
          <w:color w:val="auto"/>
          <w:sz w:val="44"/>
          <w:szCs w:val="44"/>
          <w:highlight w:val="none"/>
          <w:lang w:val="en-US" w:eastAsia="zh-CN"/>
        </w:rPr>
        <w:t>2024-2025年度WPS办公软件授权租赁服务</w:t>
      </w: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4"/>
          <w:szCs w:val="44"/>
          <w:highlight w:val="none"/>
        </w:rPr>
        <w:t>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项目名称</w:t>
      </w:r>
      <w:r>
        <w:rPr>
          <w:rFonts w:ascii="宋体" w:hAnsi="宋体" w:cs="宋体"/>
          <w:b/>
          <w:color w:val="auto"/>
          <w:sz w:val="30"/>
          <w:szCs w:val="30"/>
          <w:highlight w:val="none"/>
        </w:rPr>
        <w:t>:</w:t>
      </w:r>
      <w:r>
        <w:rPr>
          <w:rFonts w:hint="eastAsia" w:ascii="宋体" w:hAnsi="宋体" w:cs="宋体"/>
          <w:b/>
          <w:color w:val="auto"/>
          <w:sz w:val="30"/>
          <w:szCs w:val="30"/>
          <w:highlight w:val="none"/>
          <w:lang w:val="en-US" w:eastAsia="zh-CN"/>
        </w:rPr>
        <w:t>2024-2025年度WPS办公软件授权租赁服务</w:t>
      </w:r>
      <w:r>
        <w:rPr>
          <w:rFonts w:hint="eastAsia" w:ascii="宋体" w:hAnsi="宋体" w:cs="宋体"/>
          <w:b/>
          <w:color w:val="auto"/>
          <w:sz w:val="30"/>
          <w:szCs w:val="30"/>
          <w:highlight w:val="none"/>
        </w:rPr>
        <w:t>项目</w:t>
      </w:r>
    </w:p>
    <w:p>
      <w:pPr>
        <w:pStyle w:val="2"/>
        <w:rPr>
          <w:rFonts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项目编号：</w:t>
      </w:r>
      <w:r>
        <w:rPr>
          <w:rFonts w:ascii="宋体" w:hAnsi="宋体" w:cs="宋体"/>
          <w:b/>
          <w:color w:val="auto"/>
          <w:sz w:val="30"/>
          <w:szCs w:val="30"/>
          <w:highlight w:val="none"/>
        </w:rPr>
        <w:t xml:space="preserve"> </w:t>
      </w:r>
    </w:p>
    <w:p>
      <w:pPr>
        <w:spacing w:line="400" w:lineRule="atLeast"/>
        <w:rPr>
          <w:rFonts w:ascii="宋体" w:hAnsi="宋体" w:cs="宋体"/>
          <w:b/>
          <w:color w:val="auto"/>
          <w:sz w:val="30"/>
          <w:szCs w:val="30"/>
          <w:highlight w:val="none"/>
        </w:rPr>
      </w:pPr>
    </w:p>
    <w:p>
      <w:pPr>
        <w:spacing w:line="480" w:lineRule="auto"/>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spacing w:line="400" w:lineRule="atLeast"/>
        <w:ind w:firstLine="602" w:firstLineChars="200"/>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 广州市净水有限公司</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color w:val="auto"/>
          <w:sz w:val="30"/>
          <w:szCs w:val="30"/>
          <w:highlight w:val="none"/>
        </w:rPr>
        <w:t xml:space="preserve"> </w:t>
      </w:r>
    </w:p>
    <w:p>
      <w:pPr>
        <w:rPr>
          <w:rFonts w:ascii="仿宋_GB2312" w:eastAsia="仿宋_GB2312"/>
          <w:bCs/>
          <w:color w:val="auto"/>
          <w:sz w:val="28"/>
          <w:szCs w:val="28"/>
          <w:highlight w:val="none"/>
        </w:rPr>
      </w:pPr>
    </w:p>
    <w:p>
      <w:pPr>
        <w:rPr>
          <w:rFonts w:ascii="仿宋_GB2312" w:eastAsia="仿宋_GB2312"/>
          <w:bCs/>
          <w:color w:val="auto"/>
          <w:sz w:val="28"/>
          <w:szCs w:val="28"/>
          <w:highlight w:val="none"/>
        </w:rPr>
      </w:pPr>
    </w:p>
    <w:p>
      <w:pPr>
        <w:rPr>
          <w:rFonts w:ascii="宋体" w:hAnsi="宋体" w:cs="宋体"/>
          <w:color w:val="auto"/>
          <w:sz w:val="24"/>
          <w:highlight w:val="none"/>
          <w:u w:val="single"/>
        </w:rPr>
      </w:pPr>
    </w:p>
    <w:p>
      <w:pPr>
        <w:rPr>
          <w:rFonts w:ascii="宋体" w:hAnsi="宋体" w:cs="宋体"/>
          <w:color w:val="auto"/>
          <w:sz w:val="24"/>
          <w:highlight w:val="none"/>
          <w:u w:val="single"/>
        </w:rPr>
      </w:pPr>
    </w:p>
    <w:p>
      <w:pPr>
        <w:ind w:firstLine="480" w:firstLineChars="200"/>
        <w:rPr>
          <w:rFonts w:ascii="宋体" w:hAnsi="宋体" w:cs="宋体"/>
          <w:color w:val="auto"/>
          <w:sz w:val="24"/>
          <w:highlight w:val="none"/>
          <w:u w:val="single"/>
        </w:rPr>
      </w:pPr>
    </w:p>
    <w:p>
      <w:pPr>
        <w:ind w:firstLine="480" w:firstLineChars="200"/>
        <w:rPr>
          <w:rFonts w:ascii="宋体" w:hAnsi="宋体" w:cs="宋体"/>
          <w:color w:val="auto"/>
          <w:sz w:val="24"/>
          <w:highlight w:val="none"/>
          <w:u w:val="single"/>
        </w:rPr>
      </w:pPr>
    </w:p>
    <w:p>
      <w:pPr>
        <w:ind w:firstLine="480" w:firstLineChars="200"/>
        <w:rPr>
          <w:rFonts w:ascii="宋体" w:hAnsi="宋体" w:cs="宋体"/>
          <w:color w:val="auto"/>
          <w:sz w:val="24"/>
          <w:highlight w:val="none"/>
          <w:u w:val="single"/>
        </w:rPr>
      </w:pPr>
    </w:p>
    <w:p>
      <w:pPr>
        <w:ind w:firstLine="480" w:firstLineChars="200"/>
        <w:rPr>
          <w:rFonts w:ascii="宋体" w:hAnsi="宋体" w:cs="宋体"/>
          <w:color w:val="auto"/>
          <w:sz w:val="24"/>
          <w:highlight w:val="none"/>
        </w:rPr>
      </w:pP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（以下简称“甲方”）与</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（以下简称“乙</w:t>
      </w:r>
    </w:p>
    <w:p>
      <w:pPr>
        <w:spacing w:line="0" w:lineRule="atLeast"/>
        <w:ind w:left="1"/>
        <w:rPr>
          <w:rFonts w:ascii="宋体" w:hAnsi="宋体" w:cs="宋体"/>
          <w:color w:val="auto"/>
          <w:sz w:val="24"/>
          <w:highlight w:val="none"/>
        </w:rPr>
      </w:pPr>
      <w:r>
        <w:rPr>
          <w:rFonts w:hint="eastAsia" w:ascii="宋体" w:hAnsi="宋体" w:cs="宋体"/>
          <w:color w:val="auto"/>
          <w:sz w:val="24"/>
          <w:highlight w:val="none"/>
        </w:rPr>
        <w:t>方”）依照</w:t>
      </w:r>
      <w:r>
        <w:rPr>
          <w:rFonts w:hint="eastAsia" w:ascii="宋体" w:hAnsi="宋体" w:cs="Arial"/>
          <w:color w:val="auto"/>
          <w:sz w:val="24"/>
          <w:highlight w:val="none"/>
          <w:shd w:val="clear" w:color="auto" w:fill="FFFFFF"/>
        </w:rPr>
        <w:t>《中华人民共和国网络安全法》及相关</w:t>
      </w:r>
      <w:r>
        <w:rPr>
          <w:rFonts w:hint="eastAsia" w:ascii="宋体" w:hAnsi="宋体" w:cs="宋体"/>
          <w:color w:val="auto"/>
          <w:sz w:val="24"/>
          <w:highlight w:val="none"/>
        </w:rPr>
        <w:t>法律法规，就</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2024-2025年度WPS办公软件授权租赁服务</w:t>
      </w:r>
      <w:r>
        <w:rPr>
          <w:rFonts w:hint="eastAsia" w:ascii="宋体" w:hAnsi="宋体"/>
          <w:color w:val="auto"/>
          <w:sz w:val="24"/>
          <w:highlight w:val="none"/>
          <w:u w:val="single"/>
        </w:rPr>
        <w:t>项目</w:t>
      </w:r>
      <w:r>
        <w:rPr>
          <w:rFonts w:hint="eastAsia" w:ascii="宋体" w:hAnsi="宋体" w:cs="宋体"/>
          <w:color w:val="auto"/>
          <w:sz w:val="24"/>
          <w:highlight w:val="none"/>
        </w:rPr>
        <w:t>遵循平等、自愿、公平和诚实信用的原则，经双方协商一致，特订立本合同。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一、组成合同的文件及优先顺序</w:t>
      </w:r>
    </w:p>
    <w:p>
      <w:pPr>
        <w:spacing w:line="500" w:lineRule="exact"/>
        <w:ind w:firstLine="482"/>
        <w:rPr>
          <w:rFonts w:ascii="宋体" w:hAnsi="宋体" w:cs="宋体"/>
          <w:bCs/>
          <w:color w:val="auto"/>
          <w:sz w:val="24"/>
          <w:highlight w:val="none"/>
        </w:rPr>
      </w:pPr>
      <w:r>
        <w:rPr>
          <w:rFonts w:ascii="宋体" w:hAnsi="宋体" w:cs="宋体"/>
          <w:bCs/>
          <w:color w:val="auto"/>
          <w:sz w:val="24"/>
          <w:highlight w:val="none"/>
        </w:rPr>
        <w:t xml:space="preserve"> 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Theme="minorEastAsia" w:hAnsiTheme="minorEastAsia" w:cstheme="minorEastAsia"/>
          <w:bCs/>
          <w:color w:val="auto"/>
          <w:sz w:val="24"/>
          <w:highlight w:val="none"/>
        </w:rPr>
        <w:t>中标通知书/发包通知书/成交通知书/委托函；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技术需求</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二、</w:t>
      </w:r>
      <w:r>
        <w:rPr>
          <w:rFonts w:ascii="宋体" w:hAnsi="宋体" w:cs="宋体"/>
          <w:b/>
          <w:bCs/>
          <w:color w:val="auto"/>
          <w:sz w:val="24"/>
          <w:highlight w:val="none"/>
        </w:rPr>
        <w:t xml:space="preserve"> </w:t>
      </w:r>
      <w:r>
        <w:rPr>
          <w:rFonts w:hint="eastAsia" w:ascii="宋体" w:hAnsi="宋体" w:cs="宋体"/>
          <w:b/>
          <w:bCs/>
          <w:color w:val="auto"/>
          <w:sz w:val="24"/>
          <w:highlight w:val="none"/>
        </w:rPr>
        <w:t>维护概况及内容</w:t>
      </w:r>
    </w:p>
    <w:p>
      <w:pPr>
        <w:spacing w:line="50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2.1服务地点：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广州市</w:t>
      </w:r>
      <w:r>
        <w:rPr>
          <w:rFonts w:hint="eastAsia" w:ascii="宋体" w:hAnsi="宋体" w:cs="宋体"/>
          <w:color w:val="auto"/>
          <w:sz w:val="24"/>
          <w:highlight w:val="none"/>
          <w:u w:val="single"/>
          <w:lang w:val="en-US" w:eastAsia="zh-CN"/>
        </w:rPr>
        <w:t>净水有限公司及所属二级单位</w:t>
      </w:r>
      <w:r>
        <w:rPr>
          <w:rFonts w:ascii="宋体" w:hAnsi="宋体" w:cs="宋体"/>
          <w:color w:val="auto"/>
          <w:sz w:val="24"/>
          <w:highlight w:val="none"/>
          <w:u w:val="single"/>
        </w:rPr>
        <w:t>。</w:t>
      </w:r>
    </w:p>
    <w:p>
      <w:pPr>
        <w:spacing w:line="360" w:lineRule="auto"/>
        <w:ind w:left="420" w:leftChars="200"/>
        <w:rPr>
          <w:color w:val="auto"/>
          <w:highlight w:val="none"/>
        </w:rPr>
      </w:pPr>
      <w:r>
        <w:rPr>
          <w:rFonts w:ascii="宋体" w:hAnsi="宋体" w:cs="宋体"/>
          <w:color w:val="auto"/>
          <w:sz w:val="24"/>
          <w:highlight w:val="none"/>
        </w:rPr>
        <w:t>2.2服务内容：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根据公司及所属单位的办公需求，我公司需要租赁正版金山WPS+云办公套装授权，为期两年，租赁服务内容包括如下：金山WPS Office 2019专业增强版(电脑端)、金山WPS Office移动增强版(手机端)、金山WPS+协作专享版服务(支持50人在线操作)，上述功能使用授权2年</w:t>
      </w:r>
      <w:r>
        <w:rPr>
          <w:rFonts w:hint="eastAsia" w:ascii="宋体" w:hAnsi="宋体" w:cs="宋体"/>
          <w:color w:val="auto"/>
          <w:sz w:val="24"/>
          <w:highlight w:val="none"/>
          <w:u w:val="single"/>
          <w:lang w:eastAsia="zh-CN"/>
        </w:rPr>
        <w:t>。</w:t>
      </w:r>
    </w:p>
    <w:p>
      <w:pPr>
        <w:spacing w:line="50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2.3维护目标：</w:t>
      </w:r>
      <w:r>
        <w:rPr>
          <w:rFonts w:ascii="宋体" w:hAnsi="宋体" w:cs="宋体"/>
          <w:color w:val="auto"/>
          <w:sz w:val="24"/>
          <w:highlight w:val="none"/>
          <w:u w:val="single"/>
        </w:rPr>
        <w:t xml:space="preserve"> </w:t>
      </w:r>
      <w:r>
        <w:rPr>
          <w:rFonts w:hint="eastAsia" w:ascii="宋体" w:hAnsi="宋体" w:eastAsia="宋体"/>
          <w:color w:val="auto"/>
          <w:sz w:val="24"/>
          <w:szCs w:val="24"/>
          <w:highlight w:val="none"/>
          <w:u w:val="single"/>
        </w:rPr>
        <w:t>本项目目的为保障</w:t>
      </w:r>
      <w:r>
        <w:rPr>
          <w:rFonts w:hint="eastAsia" w:ascii="宋体" w:hAnsi="宋体" w:eastAsia="宋体"/>
          <w:color w:val="auto"/>
          <w:sz w:val="24"/>
          <w:szCs w:val="24"/>
          <w:highlight w:val="none"/>
          <w:u w:val="single"/>
          <w:lang w:val="en-US" w:eastAsia="zh-CN"/>
        </w:rPr>
        <w:t>公司满足省版权局、市版权局、集团公司软件正版化要求</w:t>
      </w:r>
      <w:r>
        <w:rPr>
          <w:rFonts w:hint="eastAsia" w:ascii="宋体" w:hAnsi="宋体" w:eastAsia="宋体"/>
          <w:color w:val="auto"/>
          <w:sz w:val="24"/>
          <w:szCs w:val="24"/>
          <w:highlight w:val="none"/>
          <w:u w:val="single"/>
        </w:rPr>
        <w:t>；保障公司</w:t>
      </w:r>
      <w:r>
        <w:rPr>
          <w:rFonts w:hint="eastAsia" w:ascii="宋体" w:hAnsi="宋体" w:eastAsia="宋体"/>
          <w:color w:val="auto"/>
          <w:sz w:val="24"/>
          <w:szCs w:val="24"/>
          <w:highlight w:val="none"/>
          <w:u w:val="single"/>
          <w:lang w:val="en-US" w:eastAsia="zh-CN"/>
        </w:rPr>
        <w:t>日常办公需求</w:t>
      </w:r>
      <w:r>
        <w:rPr>
          <w:rFonts w:hint="eastAsia" w:ascii="宋体" w:hAnsi="宋体" w:eastAsia="宋体"/>
          <w:color w:val="auto"/>
          <w:sz w:val="24"/>
          <w:szCs w:val="24"/>
          <w:highlight w:val="none"/>
          <w:u w:val="single"/>
        </w:rPr>
        <w:t>；保证</w:t>
      </w:r>
      <w:r>
        <w:rPr>
          <w:rFonts w:hint="eastAsia" w:ascii="宋体" w:hAnsi="宋体" w:eastAsia="宋体"/>
          <w:color w:val="auto"/>
          <w:sz w:val="24"/>
          <w:szCs w:val="24"/>
          <w:highlight w:val="none"/>
          <w:u w:val="single"/>
          <w:lang w:val="en-US" w:eastAsia="zh-CN"/>
        </w:rPr>
        <w:t>公司不受到侵权的风险</w:t>
      </w:r>
      <w:r>
        <w:rPr>
          <w:rFonts w:ascii="宋体" w:hAnsi="宋体" w:cs="宋体"/>
          <w:color w:val="auto"/>
          <w:sz w:val="24"/>
          <w:highlight w:val="none"/>
          <w:u w:val="single"/>
        </w:rPr>
        <w:t>。</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rPr>
        <w:t>乙方须向甲方提供以下资料：</w:t>
      </w:r>
    </w:p>
    <w:p>
      <w:pPr>
        <w:spacing w:line="500" w:lineRule="exact"/>
        <w:ind w:firstLine="560"/>
        <w:rPr>
          <w:rFonts w:ascii="宋体" w:hAnsi="宋体"/>
          <w:color w:val="auto"/>
          <w:sz w:val="24"/>
          <w:highlight w:val="none"/>
          <w:u w:val="single"/>
        </w:rPr>
      </w:pPr>
      <w:r>
        <w:rPr>
          <w:rFonts w:hint="eastAsia" w:ascii="宋体" w:hAnsi="宋体"/>
          <w:color w:val="auto"/>
          <w:sz w:val="24"/>
          <w:highlight w:val="none"/>
          <w:u w:val="single"/>
        </w:rPr>
        <w:t>合同签订后3日内提供</w:t>
      </w:r>
      <w:r>
        <w:rPr>
          <w:rFonts w:hint="eastAsia" w:ascii="宋体" w:hAnsi="宋体" w:cs="宋体"/>
          <w:color w:val="auto"/>
          <w:sz w:val="24"/>
          <w:highlight w:val="none"/>
          <w:u w:val="single"/>
        </w:rPr>
        <w:t>软件安装包、软件厂家出具的授权书</w:t>
      </w:r>
      <w:r>
        <w:rPr>
          <w:rFonts w:hint="eastAsia" w:ascii="宋体" w:hAnsi="宋体"/>
          <w:color w:val="auto"/>
          <w:sz w:val="24"/>
          <w:highlight w:val="none"/>
          <w:u w:val="single"/>
        </w:rPr>
        <w:t>，包括不限于：技术服务人员名单，7×24小时联系电话等。</w:t>
      </w:r>
    </w:p>
    <w:p>
      <w:pPr>
        <w:pStyle w:val="2"/>
        <w:ind w:left="0" w:leftChars="0" w:firstLine="0" w:firstLineChars="0"/>
        <w:rPr>
          <w:color w:val="auto"/>
          <w:highlight w:val="none"/>
        </w:rPr>
      </w:pPr>
    </w:p>
    <w:p>
      <w:pPr>
        <w:spacing w:line="500" w:lineRule="exact"/>
        <w:ind w:firstLine="562"/>
        <w:outlineLvl w:val="0"/>
        <w:rPr>
          <w:rFonts w:ascii="宋体" w:hAnsi="宋体"/>
          <w:b/>
          <w:color w:val="auto"/>
          <w:sz w:val="24"/>
          <w:highlight w:val="none"/>
        </w:rPr>
      </w:pPr>
      <w:r>
        <w:rPr>
          <w:rFonts w:hint="eastAsia" w:ascii="宋体" w:hAnsi="宋体"/>
          <w:color w:val="auto"/>
          <w:sz w:val="24"/>
          <w:highlight w:val="none"/>
        </w:rPr>
        <w:t>三、</w:t>
      </w:r>
      <w:r>
        <w:rPr>
          <w:rFonts w:hint="eastAsia" w:ascii="宋体" w:hAnsi="宋体"/>
          <w:b/>
          <w:color w:val="auto"/>
          <w:sz w:val="24"/>
          <w:highlight w:val="none"/>
        </w:rPr>
        <w:t>服务期限：</w:t>
      </w:r>
      <w:r>
        <w:rPr>
          <w:rFonts w:hint="eastAsia" w:ascii="宋体" w:hAnsi="宋体"/>
          <w:b/>
          <w:color w:val="auto"/>
          <w:sz w:val="24"/>
          <w:highlight w:val="none"/>
          <w:u w:val="single"/>
        </w:rPr>
        <w:t xml:space="preserve">    年   月   日至   年   月   日止。</w:t>
      </w:r>
    </w:p>
    <w:p>
      <w:pPr>
        <w:spacing w:line="500" w:lineRule="exact"/>
        <w:ind w:firstLine="602" w:firstLineChars="250"/>
        <w:outlineLvl w:val="0"/>
        <w:rPr>
          <w:rFonts w:ascii="宋体" w:hAnsi="宋体"/>
          <w:b/>
          <w:color w:val="auto"/>
          <w:sz w:val="24"/>
          <w:highlight w:val="none"/>
        </w:rPr>
      </w:pPr>
      <w:r>
        <w:rPr>
          <w:rFonts w:hint="eastAsia" w:ascii="宋体" w:hAnsi="宋体"/>
          <w:b/>
          <w:color w:val="auto"/>
          <w:sz w:val="24"/>
          <w:highlight w:val="none"/>
        </w:rPr>
        <w:t>四、合同价及支付方式</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4.1合同暂定总价为：</w:t>
      </w:r>
      <w:r>
        <w:rPr>
          <w:rFonts w:hint="eastAsia" w:ascii="宋体" w:hAnsi="宋体" w:cs="宋体"/>
          <w:b/>
          <w:color w:val="auto"/>
          <w:sz w:val="24"/>
          <w:highlight w:val="none"/>
          <w:u w:val="single"/>
        </w:rPr>
        <w:t>人民币        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此费用在项目实施期间费用均不得调整（如项目实施内容变更，需调整合同暂定价，双方另行协商签订补充协议）。</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500" w:lineRule="exact"/>
        <w:ind w:firstLine="490" w:firstLineChars="200"/>
        <w:rPr>
          <w:rFonts w:ascii="宋体" w:hAnsi="宋体"/>
          <w:b/>
          <w:color w:val="auto"/>
          <w:spacing w:val="2"/>
          <w:kern w:val="36"/>
          <w:position w:val="2"/>
          <w:sz w:val="24"/>
          <w:highlight w:val="none"/>
        </w:rPr>
      </w:pPr>
      <w:r>
        <w:rPr>
          <w:rFonts w:hint="eastAsia" w:ascii="宋体" w:hAnsi="宋体"/>
          <w:b/>
          <w:color w:val="auto"/>
          <w:spacing w:val="2"/>
          <w:kern w:val="36"/>
          <w:position w:val="2"/>
          <w:sz w:val="24"/>
          <w:highlight w:val="none"/>
        </w:rPr>
        <w:t>五、付款及履约担保：</w:t>
      </w:r>
    </w:p>
    <w:p>
      <w:pPr>
        <w:spacing w:line="360" w:lineRule="auto"/>
        <w:ind w:firstLine="488" w:firstLineChars="200"/>
        <w:rPr>
          <w:rFonts w:ascii="宋体" w:hAnsi="宋体" w:cs="宋体"/>
          <w:bCs/>
          <w:color w:val="auto"/>
          <w:sz w:val="24"/>
          <w:highlight w:val="none"/>
          <w:u w:val="single"/>
        </w:rPr>
      </w:pPr>
      <w:r>
        <w:rPr>
          <w:rFonts w:ascii="宋体" w:hAnsi="宋体" w:eastAsia="宋体"/>
          <w:bCs/>
          <w:color w:val="auto"/>
          <w:spacing w:val="2"/>
          <w:kern w:val="36"/>
          <w:position w:val="2"/>
          <w:sz w:val="24"/>
          <w:highlight w:val="none"/>
        </w:rPr>
        <w:t>5.1</w:t>
      </w:r>
      <w:r>
        <w:rPr>
          <w:rFonts w:hint="eastAsia" w:ascii="宋体" w:hAnsi="宋体" w:eastAsia="宋体" w:cs="宋体"/>
          <w:bCs/>
          <w:color w:val="auto"/>
          <w:sz w:val="24"/>
          <w:highlight w:val="none"/>
        </w:rPr>
        <w:t>预付款的支付：</w:t>
      </w:r>
      <w:r>
        <w:rPr>
          <w:rFonts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无；</w:t>
      </w:r>
      <w:r>
        <w:rPr>
          <w:rFonts w:ascii="宋体" w:hAnsi="宋体" w:eastAsia="宋体" w:cs="宋体"/>
          <w:bCs/>
          <w:color w:val="auto"/>
          <w:sz w:val="24"/>
          <w:highlight w:val="none"/>
        </w:rPr>
        <w:t xml:space="preserve"> </w:t>
      </w:r>
      <w:r>
        <w:rPr>
          <w:rFonts w:ascii="宋体" w:hAnsi="宋体" w:eastAsia="宋体" w:cs="宋体"/>
          <w:bCs/>
          <w:color w:val="auto"/>
          <w:sz w:val="24"/>
          <w:highlight w:val="none"/>
        </w:rPr>
        <w:sym w:font="Wingdings" w:char="F0A8"/>
      </w:r>
      <w:r>
        <w:rPr>
          <w:rFonts w:hint="eastAsia" w:ascii="宋体" w:hAnsi="宋体" w:eastAsia="宋体" w:cs="宋体"/>
          <w:bCs/>
          <w:color w:val="auto"/>
          <w:sz w:val="24"/>
          <w:highlight w:val="none"/>
        </w:rPr>
        <w:t>有，</w:t>
      </w:r>
      <w:r>
        <w:rPr>
          <w:rFonts w:hint="eastAsia" w:ascii="宋体" w:hAnsi="宋体" w:cs="宋体"/>
          <w:bCs/>
          <w:color w:val="auto"/>
          <w:sz w:val="24"/>
          <w:highlight w:val="none"/>
        </w:rPr>
        <w:t>合同签订后乙方开具等额的增值税专用发票及提交履约担保担保（如有）</w:t>
      </w:r>
      <w:r>
        <w:rPr>
          <w:rFonts w:hint="eastAsia" w:ascii="宋体" w:hAnsi="宋体" w:eastAsia="宋体" w:cs="宋体"/>
          <w:bCs/>
          <w:color w:val="auto"/>
          <w:sz w:val="24"/>
          <w:highlight w:val="none"/>
        </w:rPr>
        <w:t>，由乙方提交</w:t>
      </w:r>
      <w:r>
        <w:rPr>
          <w:rFonts w:hint="eastAsia" w:ascii="宋体" w:hAnsi="宋体" w:eastAsia="宋体" w:cs="宋体"/>
          <w:bCs/>
          <w:color w:val="auto"/>
          <w:sz w:val="24"/>
          <w:highlight w:val="none"/>
          <w:u w:val="single"/>
        </w:rPr>
        <w:t>申请支付资料</w:t>
      </w:r>
      <w:r>
        <w:rPr>
          <w:rFonts w:hint="eastAsia" w:ascii="宋体" w:hAnsi="宋体" w:eastAsia="宋体" w:cs="宋体"/>
          <w:bCs/>
          <w:color w:val="auto"/>
          <w:sz w:val="24"/>
          <w:highlight w:val="none"/>
        </w:rPr>
        <w:t>及开具等额的增值税专用发票后</w:t>
      </w:r>
      <w:r>
        <w:rPr>
          <w:rFonts w:ascii="宋体" w:hAnsi="宋体" w:eastAsia="宋体" w:cs="宋体"/>
          <w:bCs/>
          <w:color w:val="auto"/>
          <w:sz w:val="24"/>
          <w:highlight w:val="none"/>
          <w:u w:val="single"/>
        </w:rPr>
        <w:t>15</w:t>
      </w:r>
      <w:r>
        <w:rPr>
          <w:rFonts w:hint="eastAsia" w:ascii="宋体" w:hAnsi="宋体" w:eastAsia="宋体" w:cs="宋体"/>
          <w:bCs/>
          <w:color w:val="auto"/>
          <w:sz w:val="24"/>
          <w:highlight w:val="none"/>
          <w:u w:val="single"/>
        </w:rPr>
        <w:t>个</w:t>
      </w:r>
      <w:r>
        <w:rPr>
          <w:rFonts w:hint="eastAsia" w:ascii="宋体" w:hAnsi="宋体" w:eastAsia="宋体" w:cs="宋体"/>
          <w:bCs/>
          <w:color w:val="auto"/>
          <w:sz w:val="24"/>
          <w:highlight w:val="none"/>
        </w:rPr>
        <w:t>工作日内，甲方支付合同</w:t>
      </w:r>
      <w:r>
        <w:rPr>
          <w:rFonts w:hint="eastAsia" w:ascii="宋体" w:hAnsi="宋体" w:eastAsia="宋体" w:cs="宋体"/>
          <w:color w:val="auto"/>
          <w:sz w:val="24"/>
          <w:highlight w:val="none"/>
        </w:rPr>
        <w:t>暂定总价</w:t>
      </w:r>
      <w:r>
        <w:rPr>
          <w:rFonts w:hint="eastAsia" w:ascii="宋体" w:hAnsi="宋体" w:eastAsia="宋体" w:cs="宋体"/>
          <w:bCs/>
          <w:color w:val="auto"/>
          <w:sz w:val="24"/>
          <w:highlight w:val="none"/>
        </w:rPr>
        <w:t>的</w:t>
      </w:r>
      <w:r>
        <w:rPr>
          <w:rFonts w:ascii="宋体" w:hAnsi="宋体" w:eastAsia="宋体" w:cs="宋体"/>
          <w:bCs/>
          <w:color w:val="auto"/>
          <w:sz w:val="24"/>
          <w:highlight w:val="none"/>
          <w:u w:val="single"/>
        </w:rPr>
        <w:t xml:space="preserve"> （不得超过30%）</w:t>
      </w:r>
      <w:r>
        <w:rPr>
          <w:rFonts w:hint="eastAsia" w:ascii="宋体" w:hAnsi="宋体" w:eastAsia="宋体" w:cs="宋体"/>
          <w:color w:val="auto"/>
          <w:sz w:val="24"/>
          <w:highlight w:val="none"/>
        </w:rPr>
        <w:t>即</w:t>
      </w:r>
      <w:r>
        <w:rPr>
          <w:rFonts w:ascii="宋体" w:hAnsi="宋体" w:eastAsia="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eastAsia="宋体" w:cs="宋体"/>
          <w:color w:val="auto"/>
          <w:sz w:val="24"/>
          <w:highlight w:val="none"/>
          <w:u w:val="single"/>
        </w:rPr>
        <w:t>，（大写：…）</w:t>
      </w:r>
      <w:r>
        <w:rPr>
          <w:rFonts w:ascii="宋体" w:hAnsi="宋体" w:eastAsia="宋体" w:cs="宋体"/>
          <w:color w:val="auto"/>
          <w:sz w:val="24"/>
          <w:highlight w:val="none"/>
        </w:rPr>
        <w:t xml:space="preserve"> </w:t>
      </w:r>
      <w:r>
        <w:rPr>
          <w:rFonts w:hint="eastAsia" w:ascii="宋体" w:hAnsi="宋体" w:eastAsia="宋体" w:cs="宋体"/>
          <w:bCs/>
          <w:color w:val="auto"/>
          <w:sz w:val="24"/>
          <w:highlight w:val="none"/>
        </w:rPr>
        <w:t>。</w:t>
      </w:r>
    </w:p>
    <w:p>
      <w:pPr>
        <w:pStyle w:val="16"/>
        <w:spacing w:line="360" w:lineRule="auto"/>
        <w:ind w:firstLine="480" w:firstLineChars="200"/>
        <w:rPr>
          <w:rFonts w:hAnsi="宋体"/>
          <w:color w:val="auto"/>
          <w:highlight w:val="none"/>
        </w:rPr>
      </w:pPr>
      <w:r>
        <w:rPr>
          <w:rFonts w:hAnsi="宋体"/>
          <w:color w:val="auto"/>
          <w:highlight w:val="none"/>
        </w:rPr>
        <w:t>5.2</w:t>
      </w:r>
      <w:r>
        <w:rPr>
          <w:rFonts w:hint="eastAsia" w:hAnsi="宋体" w:cs="宋体"/>
          <w:color w:val="auto"/>
          <w:sz w:val="24"/>
          <w:szCs w:val="24"/>
          <w:highlight w:val="none"/>
          <w:u w:val="single"/>
        </w:rPr>
        <w:t>合同生效之日起5个工作日内，乙方按时提供软件安装包、软件厂家出具的授权书，甲方验收合格并经甲方或甲方委托有资质第三方机构结算审核后，由乙方提交申请支付资料及等额增值税专用发票后15个工作日内，甲方向乙方支付至合同结算价的95%。</w:t>
      </w:r>
      <w:r>
        <w:rPr>
          <w:rFonts w:hint="eastAsia" w:hAnsi="宋体"/>
          <w:color w:val="auto"/>
          <w:highlight w:val="none"/>
        </w:rPr>
        <w:t>即￥</w:t>
      </w:r>
      <w:r>
        <w:rPr>
          <w:rFonts w:hint="eastAsia" w:hAnsi="宋体"/>
          <w:color w:val="auto"/>
          <w:highlight w:val="none"/>
          <w:u w:val="single"/>
        </w:rPr>
        <w:t>…</w:t>
      </w:r>
      <w:r>
        <w:rPr>
          <w:rFonts w:hint="eastAsia" w:hAnsi="宋体"/>
          <w:color w:val="auto"/>
          <w:highlight w:val="none"/>
        </w:rPr>
        <w:t>。</w:t>
      </w:r>
    </w:p>
    <w:p>
      <w:pPr>
        <w:spacing w:line="360" w:lineRule="auto"/>
        <w:ind w:firstLine="480" w:firstLineChars="200"/>
        <w:outlineLvl w:val="1"/>
        <w:rPr>
          <w:rFonts w:ascii="宋体" w:hAnsi="宋体" w:cs="宋体"/>
          <w:color w:val="auto"/>
          <w:sz w:val="24"/>
          <w:highlight w:val="none"/>
          <w:u w:val="single"/>
        </w:rPr>
      </w:pPr>
      <w:r>
        <w:rPr>
          <w:rFonts w:ascii="宋体" w:hAnsi="宋体" w:eastAsia="宋体" w:cs="宋体"/>
          <w:color w:val="auto"/>
          <w:sz w:val="24"/>
          <w:highlight w:val="none"/>
        </w:rPr>
        <w:t>5.</w:t>
      </w:r>
      <w:r>
        <w:rPr>
          <w:rFonts w:hint="eastAsia" w:ascii="宋体" w:hAnsi="宋体" w:eastAsia="宋体" w:cs="宋体"/>
          <w:color w:val="auto"/>
          <w:sz w:val="24"/>
          <w:highlight w:val="none"/>
        </w:rPr>
        <w:t>3</w:t>
      </w:r>
      <w:r>
        <w:rPr>
          <w:rFonts w:ascii="宋体" w:hAnsi="宋体" w:eastAsia="宋体" w:cs="宋体"/>
          <w:color w:val="auto"/>
          <w:sz w:val="24"/>
          <w:highlight w:val="none"/>
        </w:rPr>
        <w:t>合同履约完毕</w:t>
      </w:r>
      <w:r>
        <w:rPr>
          <w:rFonts w:hint="eastAsia" w:ascii="宋体" w:hAnsi="宋体" w:eastAsia="宋体" w:cs="宋体"/>
          <w:color w:val="auto"/>
          <w:sz w:val="24"/>
          <w:highlight w:val="none"/>
        </w:rPr>
        <w:t>并经甲方验收合格后</w:t>
      </w:r>
      <w:r>
        <w:rPr>
          <w:rFonts w:ascii="宋体" w:hAnsi="宋体" w:eastAsia="宋体" w:cs="宋体"/>
          <w:color w:val="auto"/>
          <w:sz w:val="24"/>
          <w:highlight w:val="none"/>
        </w:rPr>
        <w:t>5日内</w:t>
      </w:r>
      <w:r>
        <w:rPr>
          <w:rFonts w:hint="eastAsia" w:ascii="宋体" w:hAnsi="宋体" w:eastAsia="宋体" w:cs="宋体"/>
          <w:color w:val="auto"/>
          <w:sz w:val="24"/>
          <w:highlight w:val="none"/>
        </w:rPr>
        <w:t>，乙方提交工作总结报告。经甲方或甲方委托有资质第三方机构结算审核后，由乙方提交申请支付资料及等额发票后</w:t>
      </w:r>
      <w:r>
        <w:rPr>
          <w:rFonts w:ascii="宋体" w:hAnsi="宋体" w:eastAsia="宋体" w:cs="宋体"/>
          <w:color w:val="auto"/>
          <w:sz w:val="24"/>
          <w:highlight w:val="none"/>
          <w:u w:val="single"/>
        </w:rPr>
        <w:t xml:space="preserve"> 15 </w:t>
      </w:r>
      <w:r>
        <w:rPr>
          <w:rFonts w:hint="eastAsia" w:ascii="宋体" w:hAnsi="宋体" w:eastAsia="宋体" w:cs="宋体"/>
          <w:color w:val="auto"/>
          <w:sz w:val="24"/>
          <w:highlight w:val="none"/>
        </w:rPr>
        <w:t>个工作日内，甲方支付至合同结算价的</w:t>
      </w:r>
      <w:r>
        <w:rPr>
          <w:rFonts w:hint="eastAsia" w:ascii="宋体" w:hAnsi="宋体" w:cs="宋体"/>
          <w:color w:val="auto"/>
          <w:sz w:val="24"/>
          <w:highlight w:val="none"/>
          <w:u w:val="single"/>
        </w:rPr>
        <w:t>100%。</w:t>
      </w:r>
    </w:p>
    <w:p>
      <w:pPr>
        <w:spacing w:line="360" w:lineRule="auto"/>
        <w:ind w:firstLine="560"/>
        <w:rPr>
          <w:rFonts w:ascii="宋体" w:hAnsi="宋体" w:cs="宋体"/>
          <w:color w:val="auto"/>
          <w:sz w:val="24"/>
          <w:highlight w:val="none"/>
        </w:rPr>
      </w:pPr>
      <w:r>
        <w:rPr>
          <w:rFonts w:hint="eastAsia" w:ascii="宋体" w:hAnsi="宋体" w:cs="宋体"/>
          <w:color w:val="auto"/>
          <w:sz w:val="24"/>
          <w:highlight w:val="none"/>
        </w:rPr>
        <w:t>5.4</w:t>
      </w:r>
      <w:r>
        <w:rPr>
          <w:rFonts w:hint="eastAsia" w:ascii="宋体" w:hAnsi="宋体" w:cs="宋体"/>
          <w:color w:val="auto"/>
          <w:sz w:val="24"/>
          <w:szCs w:val="24"/>
          <w:highlight w:val="none"/>
        </w:rPr>
        <w:t>如乙方应向甲方支付违约金、赔偿款或者其他款项，应当在接到甲方通知后</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日内付清，甲方有权直接从应付款项中抵扣。</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5.5乙方收款账户：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50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500" w:lineRule="exact"/>
        <w:ind w:firstLine="840" w:firstLineChars="350"/>
        <w:rPr>
          <w:rFonts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5.6乙方在收款前需提交等额增值税专用发票给甲方。</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增值税专用发票信息：</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5.7履约担保：</w:t>
      </w:r>
      <w:r>
        <w:rPr>
          <w:rFonts w:ascii="宋体" w:hAnsi="宋体" w:eastAsia="宋体" w:cs="宋体"/>
          <w:bCs/>
          <w:color w:val="auto"/>
          <w:sz w:val="24"/>
          <w:highlight w:val="none"/>
        </w:rPr>
        <w:sym w:font="Wingdings" w:char="00FE"/>
      </w:r>
      <w:r>
        <w:rPr>
          <w:rFonts w:hint="eastAsia" w:ascii="宋体" w:hAnsi="宋体" w:eastAsia="宋体" w:cs="宋体"/>
          <w:bCs/>
          <w:color w:val="auto"/>
          <w:sz w:val="24"/>
          <w:highlight w:val="none"/>
        </w:rPr>
        <w:t>无</w:t>
      </w:r>
      <w:r>
        <w:rPr>
          <w:rFonts w:hint="eastAsia" w:ascii="宋体" w:hAnsi="宋体" w:cs="宋体"/>
          <w:bCs/>
          <w:color w:val="auto"/>
          <w:sz w:val="24"/>
          <w:highlight w:val="none"/>
        </w:rPr>
        <w:t xml:space="preserve">；     </w:t>
      </w:r>
      <w:r>
        <w:rPr>
          <w:rFonts w:hint="eastAsia" w:ascii="宋体" w:hAnsi="宋体" w:cs="宋体"/>
          <w:color w:val="auto"/>
          <w:sz w:val="24"/>
          <w:highlight w:val="none"/>
        </w:rPr>
        <w:t>□有，乙方于本合同签订后</w:t>
      </w:r>
      <w:r>
        <w:rPr>
          <w:rFonts w:hint="eastAsia" w:ascii="宋体" w:hAnsi="宋体" w:cs="宋体"/>
          <w:color w:val="auto"/>
          <w:sz w:val="24"/>
          <w:highlight w:val="none"/>
          <w:u w:val="single"/>
        </w:rPr>
        <w:t>10</w:t>
      </w:r>
      <w:r>
        <w:rPr>
          <w:rFonts w:hint="eastAsia" w:ascii="宋体" w:hAnsi="宋体" w:cs="宋体"/>
          <w:color w:val="auto"/>
          <w:sz w:val="24"/>
          <w:highlight w:val="none"/>
        </w:rPr>
        <w:t>日内按照</w:t>
      </w:r>
      <w:r>
        <w:rPr>
          <w:rFonts w:hint="eastAsia" w:ascii="宋体" w:hAnsi="宋体" w:cs="宋体"/>
          <w:color w:val="auto"/>
          <w:sz w:val="24"/>
          <w:highlight w:val="none"/>
          <w:u w:val="single"/>
        </w:rPr>
        <w:t>合同暂定总价的10%提供履约保证金，</w:t>
      </w:r>
      <w:r>
        <w:rPr>
          <w:rFonts w:hint="eastAsia" w:ascii="宋体" w:hAnsi="宋体" w:cs="宋体"/>
          <w:color w:val="auto"/>
          <w:sz w:val="24"/>
          <w:highlight w:val="none"/>
        </w:rPr>
        <w:t>金额：</w:t>
      </w:r>
      <w:r>
        <w:rPr>
          <w:rFonts w:hint="eastAsia" w:ascii="宋体" w:hAnsi="宋体" w:cs="宋体"/>
          <w:color w:val="auto"/>
          <w:sz w:val="24"/>
          <w:highlight w:val="none"/>
          <w:u w:val="single"/>
        </w:rPr>
        <w:t>…（大写人民币：…），</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合同暂定总价20%</w:t>
      </w:r>
      <w:r>
        <w:rPr>
          <w:rFonts w:hint="eastAsia" w:ascii="宋体" w:hAnsi="宋体" w:cs="宋体"/>
          <w:color w:val="auto"/>
          <w:sz w:val="24"/>
          <w:highlight w:val="none"/>
        </w:rPr>
        <w:t>作为违约金。</w:t>
      </w:r>
    </w:p>
    <w:p>
      <w:pPr>
        <w:pStyle w:val="24"/>
        <w:spacing w:before="156" w:beforeAutospacing="0" w:after="156" w:afterAutospacing="0" w:line="500" w:lineRule="exact"/>
        <w:ind w:firstLine="480" w:firstLineChars="200"/>
        <w:rPr>
          <w:rFonts w:cs="宋体"/>
          <w:color w:val="auto"/>
          <w:highlight w:val="none"/>
        </w:rPr>
      </w:pPr>
      <w:r>
        <w:rPr>
          <w:rFonts w:hint="eastAsia" w:cs="宋体"/>
          <w:color w:val="auto"/>
          <w:highlight w:val="none"/>
        </w:rPr>
        <w:t>5.7.1履约担保按以下任一种形式提供：</w:t>
      </w:r>
    </w:p>
    <w:p>
      <w:pPr>
        <w:pStyle w:val="24"/>
        <w:spacing w:before="156" w:beforeAutospacing="0" w:after="156" w:afterAutospacing="0" w:line="500" w:lineRule="exact"/>
        <w:ind w:firstLine="480"/>
        <w:rPr>
          <w:rFonts w:cs="宋体"/>
          <w:color w:val="auto"/>
          <w:highlight w:val="none"/>
        </w:rPr>
      </w:pPr>
      <w:r>
        <w:rPr>
          <w:rFonts w:hint="eastAsia" w:cs="宋体"/>
          <w:color w:val="auto"/>
          <w:highlight w:val="none"/>
        </w:rPr>
        <w:t>（1）符合甲方要求（详见附件8保函格式）的银行独立保函，</w:t>
      </w:r>
    </w:p>
    <w:p>
      <w:pPr>
        <w:pStyle w:val="24"/>
        <w:spacing w:before="156" w:beforeAutospacing="0" w:after="156" w:afterAutospacing="0" w:line="500" w:lineRule="exact"/>
        <w:ind w:firstLine="480"/>
        <w:rPr>
          <w:rFonts w:cs="宋体"/>
          <w:color w:val="auto"/>
          <w:highlight w:val="none"/>
        </w:rPr>
      </w:pPr>
      <w:r>
        <w:rPr>
          <w:rFonts w:hint="eastAsia" w:cs="宋体"/>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5.7.2履约担保的担保期限和返还</w:t>
      </w:r>
    </w:p>
    <w:p>
      <w:pPr>
        <w:spacing w:line="500" w:lineRule="exact"/>
        <w:ind w:firstLine="480"/>
        <w:outlineLvl w:val="0"/>
        <w:rPr>
          <w:rFonts w:ascii="宋体" w:hAnsi="宋体" w:cs="宋体"/>
          <w:color w:val="auto"/>
          <w:sz w:val="24"/>
          <w:highlight w:val="none"/>
        </w:rPr>
      </w:pPr>
      <w:r>
        <w:rPr>
          <w:rFonts w:hint="eastAsia" w:ascii="宋体" w:hAnsi="宋体" w:cs="宋体"/>
          <w:color w:val="auto"/>
          <w:sz w:val="24"/>
          <w:highlight w:val="none"/>
        </w:rPr>
        <w:t xml:space="preserve"> ⑴ 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⑵ 履约银行保函在合同履行完成后，由乙方提出申请，甲方在28日内返还，不支付利息： </w:t>
      </w:r>
    </w:p>
    <w:p>
      <w:pPr>
        <w:spacing w:line="500" w:lineRule="exact"/>
        <w:ind w:firstLine="600" w:firstLineChars="250"/>
        <w:outlineLvl w:val="0"/>
        <w:rPr>
          <w:rFonts w:ascii="宋体" w:hAnsi="宋体" w:cs="宋体"/>
          <w:color w:val="auto"/>
          <w:sz w:val="24"/>
          <w:highlight w:val="none"/>
        </w:rPr>
      </w:pPr>
      <w:r>
        <w:rPr>
          <w:rFonts w:hint="eastAsia" w:ascii="宋体" w:hAnsi="宋体" w:cs="宋体"/>
          <w:color w:val="auto"/>
          <w:sz w:val="24"/>
          <w:highlight w:val="none"/>
        </w:rPr>
        <w:t>⑶ 延长担保期限。乙方以履约银行保函形式提交履约保证金的，在银行保函到期前，乙方应提前</w:t>
      </w:r>
      <w:r>
        <w:rPr>
          <w:rFonts w:hint="eastAsia"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
        <w:rPr>
          <w:color w:val="auto"/>
          <w:highlight w:val="none"/>
        </w:rPr>
      </w:pPr>
    </w:p>
    <w:p>
      <w:pPr>
        <w:pStyle w:val="24"/>
        <w:spacing w:before="156" w:beforeAutospacing="0" w:after="156" w:afterAutospacing="0" w:line="500" w:lineRule="exact"/>
        <w:ind w:left="199" w:leftChars="95" w:firstLine="360" w:firstLineChars="150"/>
        <w:rPr>
          <w:rFonts w:cs="宋体"/>
          <w:color w:val="auto"/>
          <w:highlight w:val="none"/>
          <w:u w:val="single"/>
        </w:rPr>
      </w:pPr>
      <w:r>
        <w:rPr>
          <w:rFonts w:hint="eastAsia" w:cs="宋体"/>
          <w:color w:val="auto"/>
          <w:highlight w:val="none"/>
        </w:rPr>
        <w:t>（4）现金履约保证金的退还：合同履行完成后，由乙方提出申请，甲方在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5.7.3甲方按本合同规定提取履约担保金额后，乙方应在收到甲方通知后</w:t>
      </w:r>
    </w:p>
    <w:p>
      <w:pPr>
        <w:spacing w:line="500" w:lineRule="exact"/>
        <w:rPr>
          <w:rFonts w:ascii="宋体" w:hAnsi="宋体" w:cs="宋体"/>
          <w:color w:val="auto"/>
          <w:sz w:val="24"/>
          <w:highlight w:val="none"/>
        </w:rPr>
      </w:pPr>
      <w:r>
        <w:rPr>
          <w:rFonts w:hint="eastAsia" w:ascii="宋体" w:hAnsi="宋体" w:cs="宋体"/>
          <w:color w:val="auto"/>
          <w:sz w:val="24"/>
          <w:highlight w:val="none"/>
          <w:u w:val="single"/>
        </w:rPr>
        <w:t>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宋体" w:hAnsi="宋体" w:cs="宋体"/>
          <w:color w:val="auto"/>
          <w:sz w:val="24"/>
          <w:highlight w:val="none"/>
          <w:u w:val="single"/>
        </w:rPr>
      </w:pPr>
      <w:r>
        <w:rPr>
          <w:rFonts w:hint="eastAsia" w:ascii="宋体" w:hAnsi="宋体" w:cs="宋体"/>
          <w:color w:val="auto"/>
          <w:sz w:val="24"/>
          <w:highlight w:val="none"/>
        </w:rPr>
        <w:t>5.8付款方式：</w:t>
      </w:r>
      <w:r>
        <w:rPr>
          <w:rFonts w:hint="eastAsia" w:ascii="宋体" w:hAnsi="宋体" w:cs="宋体"/>
          <w:color w:val="auto"/>
          <w:sz w:val="24"/>
          <w:szCs w:val="24"/>
          <w:highlight w:val="none"/>
        </w:rPr>
        <w:sym w:font="Wingdings" w:char="00FE"/>
      </w:r>
      <w:r>
        <w:rPr>
          <w:rFonts w:hint="eastAsia" w:ascii="宋体" w:hAnsi="宋体" w:cs="宋体"/>
          <w:color w:val="auto"/>
          <w:sz w:val="24"/>
          <w:highlight w:val="none"/>
        </w:rPr>
        <w:t xml:space="preserve">网银支付；  </w:t>
      </w:r>
      <w:r>
        <w:rPr>
          <w:rFonts w:hint="eastAsia" w:ascii="宋体" w:hAnsi="宋体" w:cs="宋体"/>
          <w:color w:val="auto"/>
          <w:sz w:val="24"/>
          <w:highlight w:val="none"/>
        </w:rPr>
        <w:sym w:font="Wingdings" w:char="00A8"/>
      </w:r>
      <w:r>
        <w:rPr>
          <w:rFonts w:hint="eastAsia" w:ascii="宋体" w:hAnsi="宋体" w:cs="宋体"/>
          <w:color w:val="auto"/>
          <w:sz w:val="24"/>
          <w:highlight w:val="none"/>
        </w:rPr>
        <w:t xml:space="preserve">支票；   </w:t>
      </w:r>
      <w:r>
        <w:rPr>
          <w:rFonts w:hint="eastAsia" w:ascii="宋体" w:hAnsi="宋体" w:cs="宋体"/>
          <w:color w:val="auto"/>
          <w:sz w:val="24"/>
          <w:highlight w:val="none"/>
        </w:rPr>
        <w:sym w:font="Wingdings" w:char="00A8"/>
      </w: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 </w:t>
      </w:r>
    </w:p>
    <w:p>
      <w:pPr>
        <w:spacing w:line="5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5.9结算价超过合同暂定总价时，暂停合同的工程款支付程序，签订补充协议后支付。</w:t>
      </w:r>
    </w:p>
    <w:p>
      <w:pPr>
        <w:spacing w:line="500" w:lineRule="exact"/>
        <w:ind w:firstLine="562"/>
        <w:outlineLvl w:val="0"/>
        <w:rPr>
          <w:rFonts w:ascii="宋体" w:hAnsi="宋体"/>
          <w:b/>
          <w:color w:val="auto"/>
          <w:sz w:val="24"/>
          <w:highlight w:val="none"/>
        </w:rPr>
      </w:pPr>
      <w:r>
        <w:rPr>
          <w:rFonts w:hint="eastAsia" w:ascii="宋体" w:hAnsi="宋体"/>
          <w:b/>
          <w:color w:val="auto"/>
          <w:sz w:val="24"/>
          <w:highlight w:val="none"/>
        </w:rPr>
        <w:t>六、双方责任</w:t>
      </w:r>
    </w:p>
    <w:p>
      <w:pPr>
        <w:pStyle w:val="51"/>
        <w:spacing w:line="500" w:lineRule="exact"/>
        <w:ind w:firstLineChars="0"/>
        <w:rPr>
          <w:rFonts w:ascii="宋体" w:hAnsi="宋体" w:eastAsia="宋体"/>
          <w:color w:val="auto"/>
          <w:sz w:val="24"/>
          <w:szCs w:val="24"/>
          <w:highlight w:val="none"/>
        </w:rPr>
      </w:pPr>
      <w:r>
        <w:rPr>
          <w:rFonts w:ascii="宋体" w:hAnsi="宋体" w:eastAsia="宋体"/>
          <w:color w:val="auto"/>
          <w:sz w:val="24"/>
          <w:szCs w:val="24"/>
          <w:highlight w:val="none"/>
        </w:rPr>
        <w:t xml:space="preserve"> 6.1</w:t>
      </w:r>
      <w:r>
        <w:rPr>
          <w:rFonts w:hint="eastAsia" w:ascii="宋体" w:hAnsi="宋体" w:eastAsia="宋体"/>
          <w:color w:val="auto"/>
          <w:sz w:val="24"/>
          <w:szCs w:val="24"/>
          <w:highlight w:val="none"/>
        </w:rPr>
        <w:t>乙方不得传播公司内部网络、服务器、应用系统等有关的资料。</w:t>
      </w:r>
    </w:p>
    <w:p>
      <w:pPr>
        <w:spacing w:line="500" w:lineRule="exact"/>
        <w:ind w:left="542"/>
        <w:rPr>
          <w:rFonts w:hint="eastAsia" w:ascii="宋体" w:hAnsi="宋体" w:eastAsia="宋体"/>
          <w:color w:val="auto"/>
          <w:sz w:val="24"/>
          <w:highlight w:val="none"/>
        </w:rPr>
      </w:pPr>
      <w:r>
        <w:rPr>
          <w:rFonts w:hint="eastAsia" w:ascii="宋体" w:hAnsi="宋体" w:eastAsia="宋体"/>
          <w:color w:val="auto"/>
          <w:sz w:val="24"/>
          <w:highlight w:val="none"/>
        </w:rPr>
        <w:t>6.2乙方履行合同时，应严格遵守国家法律法规和甲方相关的各项规章制</w:t>
      </w:r>
    </w:p>
    <w:p>
      <w:pPr>
        <w:spacing w:line="500" w:lineRule="exact"/>
        <w:ind w:left="0"/>
        <w:rPr>
          <w:rFonts w:ascii="宋体" w:hAnsi="宋体" w:eastAsia="宋体"/>
          <w:color w:val="auto"/>
          <w:sz w:val="24"/>
          <w:highlight w:val="none"/>
        </w:rPr>
      </w:pPr>
      <w:r>
        <w:rPr>
          <w:rFonts w:hint="eastAsia" w:ascii="宋体" w:hAnsi="宋体" w:eastAsia="宋体"/>
          <w:color w:val="auto"/>
          <w:sz w:val="24"/>
          <w:highlight w:val="none"/>
        </w:rPr>
        <w:t>度，服从甲方管理指挥。乙方不按规范作业或者乙方原因造成的财产损失、人员伤亡，由乙方自行承担责任。</w:t>
      </w:r>
    </w:p>
    <w:p>
      <w:pPr>
        <w:spacing w:line="500" w:lineRule="exact"/>
        <w:ind w:firstLine="480" w:firstLineChars="200"/>
        <w:rPr>
          <w:rFonts w:ascii="宋体" w:hAnsi="宋体" w:eastAsia="宋体"/>
          <w:color w:val="auto"/>
          <w:sz w:val="24"/>
          <w:highlight w:val="none"/>
        </w:rPr>
      </w:pPr>
      <w:r>
        <w:rPr>
          <w:rFonts w:hint="eastAsia" w:ascii="宋体" w:hAnsi="宋体" w:eastAsia="宋体"/>
          <w:color w:val="auto"/>
          <w:sz w:val="24"/>
          <w:highlight w:val="none"/>
        </w:rPr>
        <w:t>6.3乙方需在甲方机房内作业，应提前告知甲方，且在约定时间、区域内进行，不得在机房内随意走动，随意翻看资料，随意使用其它计算机及附属设备，禁止进行与作业无关的任何其它（包括且不限于携带无关设备、工具、器材、人员等）事情。</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6.4</w:t>
      </w:r>
      <w:r>
        <w:rPr>
          <w:rFonts w:hint="eastAsia" w:ascii="宋体" w:hAnsi="宋体" w:eastAsia="宋体"/>
          <w:color w:val="auto"/>
          <w:sz w:val="24"/>
          <w:highlight w:val="none"/>
        </w:rPr>
        <w:t xml:space="preserve">乙方严禁对甲方机房物理空间结构、计算机设备、消防设施、文档资料等进行拍照或摄像，严禁将涉密的各种资料或介质私自携带出去。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6.5</w:t>
      </w:r>
      <w:r>
        <w:rPr>
          <w:rFonts w:hint="eastAsia" w:ascii="宋体" w:hAnsi="宋体" w:eastAsia="宋体"/>
          <w:color w:val="auto"/>
          <w:sz w:val="24"/>
          <w:highlight w:val="none"/>
        </w:rPr>
        <w:t xml:space="preserve">乙方严禁擅自安装、拆卸、调整、挪动任何设备。 </w:t>
      </w:r>
    </w:p>
    <w:p>
      <w:pPr>
        <w:spacing w:line="500" w:lineRule="exact"/>
        <w:ind w:firstLine="480" w:firstLineChars="200"/>
        <w:rPr>
          <w:rFonts w:ascii="宋体" w:hAnsi="宋体" w:eastAsia="宋体"/>
          <w:color w:val="auto"/>
          <w:sz w:val="24"/>
          <w:highlight w:val="none"/>
        </w:rPr>
      </w:pPr>
      <w:r>
        <w:rPr>
          <w:rFonts w:ascii="宋体" w:hAnsi="宋体" w:eastAsia="宋体"/>
          <w:color w:val="auto"/>
          <w:sz w:val="24"/>
          <w:highlight w:val="none"/>
        </w:rPr>
        <w:t>6.6乙方人员在甲方机房内进行设备安装调试，必须严格按照甲方有关规定、流程、项目要求进行。设备必须安装在甲方指定位置，设备摆置及接线走向必须符合机房标准。设备安装过程中产生的废弃物应及时妥善处理，不得存留甲方机房。</w:t>
      </w:r>
    </w:p>
    <w:p>
      <w:pPr>
        <w:adjustRightInd w:val="0"/>
        <w:spacing w:line="480" w:lineRule="exact"/>
        <w:ind w:firstLine="560"/>
        <w:textAlignment w:val="baseline"/>
        <w:rPr>
          <w:rFonts w:ascii="宋体" w:hAnsi="宋体" w:cs="宋体"/>
          <w:color w:val="auto"/>
          <w:sz w:val="24"/>
          <w:szCs w:val="24"/>
          <w:highlight w:val="none"/>
          <w:u w:val="single"/>
        </w:rPr>
      </w:pPr>
      <w:r>
        <w:rPr>
          <w:rFonts w:ascii="宋体" w:hAnsi="宋体" w:eastAsia="宋体"/>
          <w:color w:val="auto"/>
          <w:sz w:val="24"/>
          <w:highlight w:val="none"/>
        </w:rPr>
        <w:t>6.7</w:t>
      </w:r>
      <w:r>
        <w:rPr>
          <w:rFonts w:hint="eastAsia" w:ascii="宋体" w:hAnsi="宋体" w:cs="宋体"/>
          <w:color w:val="auto"/>
          <w:sz w:val="24"/>
          <w:szCs w:val="24"/>
          <w:highlight w:val="none"/>
          <w:u w:val="none"/>
        </w:rPr>
        <w:t>驻场服务</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single"/>
        </w:rPr>
        <w:t>乙方应派人提供驻场服务，且驻场人员不得少于 …名。</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6.8乙方应及时做好软件、数据备份，防止数据丢失。</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6.9甲方发现故障时及时通知乙方，乙方在收到通知</w:t>
      </w:r>
      <w:r>
        <w:rPr>
          <w:rFonts w:ascii="宋体" w:hAnsi="宋体" w:eastAsia="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eastAsia="宋体"/>
          <w:color w:val="auto"/>
          <w:sz w:val="24"/>
          <w:highlight w:val="none"/>
        </w:rPr>
        <w:t xml:space="preserve"> 小时内提供维护，并排除故障。</w:t>
      </w:r>
      <w:r>
        <w:rPr>
          <w:rFonts w:hint="eastAsia" w:ascii="宋体" w:hAnsi="宋体" w:eastAsia="宋体"/>
          <w:color w:val="auto"/>
          <w:sz w:val="24"/>
          <w:highlight w:val="none"/>
        </w:rPr>
        <w:t>如现场无法解决的，应同步出具应急方案，并配合甲方启动应急方案，确保甲方网络、软件数据正常运行。</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6.10甲方保证所涉及的</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处于良好运行环境。</w:t>
      </w:r>
    </w:p>
    <w:p>
      <w:pPr>
        <w:adjustRightInd w:val="0"/>
        <w:spacing w:line="500" w:lineRule="exact"/>
        <w:ind w:firstLine="560"/>
        <w:textAlignment w:val="baseline"/>
        <w:rPr>
          <w:rFonts w:ascii="宋体" w:hAnsi="宋体" w:eastAsia="宋体"/>
          <w:color w:val="auto"/>
          <w:sz w:val="24"/>
          <w:highlight w:val="none"/>
        </w:rPr>
      </w:pPr>
      <w:r>
        <w:rPr>
          <w:rFonts w:hint="eastAsia" w:ascii="宋体" w:hAnsi="宋体" w:eastAsia="宋体"/>
          <w:color w:val="auto"/>
          <w:sz w:val="24"/>
          <w:highlight w:val="none"/>
        </w:rPr>
        <w:t>6.11甲方对本合同所保修的</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进行系统升级扩容等变更时，应及时通知乙方派工程师到场协助，便于乙方掌握设备变化情况。</w:t>
      </w:r>
    </w:p>
    <w:p>
      <w:pPr>
        <w:adjustRightInd w:val="0"/>
        <w:spacing w:line="500" w:lineRule="exact"/>
        <w:ind w:firstLine="560"/>
        <w:textAlignment w:val="baseline"/>
        <w:rPr>
          <w:rFonts w:hint="eastAsia" w:eastAsia="宋体" w:cs="宋体"/>
          <w:color w:val="auto"/>
          <w:highlight w:val="none"/>
        </w:rPr>
      </w:pPr>
      <w:r>
        <w:rPr>
          <w:rFonts w:hint="eastAsia" w:ascii="宋体" w:hAnsi="宋体" w:eastAsia="宋体"/>
          <w:color w:val="auto"/>
          <w:sz w:val="24"/>
          <w:highlight w:val="none"/>
        </w:rPr>
        <w:t>6.12乙方负责对甲方涉及</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管理技术人员进行</w:t>
      </w:r>
      <w:r>
        <w:rPr>
          <w:rFonts w:hint="eastAsia" w:ascii="宋体" w:hAnsi="宋体" w:eastAsia="宋体"/>
          <w:color w:val="auto"/>
          <w:sz w:val="24"/>
          <w:highlight w:val="none"/>
          <w:u w:val="single"/>
        </w:rPr>
        <w:t>系统或设备</w:t>
      </w:r>
      <w:r>
        <w:rPr>
          <w:rFonts w:hint="eastAsia" w:ascii="宋体" w:hAnsi="宋体" w:eastAsia="宋体"/>
          <w:color w:val="auto"/>
          <w:sz w:val="24"/>
          <w:highlight w:val="none"/>
        </w:rPr>
        <w:t>使用方法的专项培训。</w:t>
      </w:r>
    </w:p>
    <w:p>
      <w:pPr>
        <w:spacing w:line="500" w:lineRule="exact"/>
        <w:ind w:firstLine="562"/>
        <w:outlineLvl w:val="0"/>
        <w:rPr>
          <w:rFonts w:ascii="宋体" w:hAnsi="宋体"/>
          <w:b/>
          <w:color w:val="auto"/>
          <w:sz w:val="24"/>
          <w:highlight w:val="none"/>
        </w:rPr>
      </w:pPr>
      <w:r>
        <w:rPr>
          <w:rFonts w:hint="eastAsia" w:ascii="宋体" w:hAnsi="宋体"/>
          <w:b/>
          <w:color w:val="auto"/>
          <w:sz w:val="24"/>
          <w:highlight w:val="none"/>
        </w:rPr>
        <w:t>七、违约责任</w:t>
      </w:r>
    </w:p>
    <w:p>
      <w:pPr>
        <w:spacing w:line="500" w:lineRule="exact"/>
        <w:ind w:firstLine="560"/>
        <w:rPr>
          <w:rFonts w:ascii="宋体" w:hAnsi="宋体" w:eastAsia="宋体" w:cs="宋体"/>
          <w:bCs/>
          <w:color w:val="auto"/>
          <w:sz w:val="24"/>
          <w:highlight w:val="none"/>
        </w:rPr>
      </w:pPr>
      <w:r>
        <w:rPr>
          <w:rFonts w:ascii="宋体" w:hAnsi="宋体" w:eastAsia="宋体"/>
          <w:color w:val="auto"/>
          <w:sz w:val="24"/>
          <w:highlight w:val="none"/>
        </w:rPr>
        <w:t>7.1</w:t>
      </w:r>
      <w:r>
        <w:rPr>
          <w:rFonts w:hint="eastAsia" w:ascii="宋体" w:hAnsi="宋体" w:eastAsia="宋体" w:cs="宋体"/>
          <w:bCs/>
          <w:color w:val="auto"/>
          <w:sz w:val="24"/>
          <w:highlight w:val="none"/>
        </w:rPr>
        <w:t>乙方不履行合同义务、或履行合同义务不符合合同约定、或违反国家、省、市行业标准的，甲方有权要求乙方限期整改。乙方逾期未完成整改的，每项每超过</w:t>
      </w:r>
      <w:r>
        <w:rPr>
          <w:rFonts w:ascii="宋体" w:hAnsi="宋体" w:eastAsia="宋体" w:cs="宋体"/>
          <w:bCs/>
          <w:color w:val="auto"/>
          <w:sz w:val="24"/>
          <w:highlight w:val="none"/>
        </w:rPr>
        <w:t>1日支付违约金人民币</w:t>
      </w:r>
      <w:r>
        <w:rPr>
          <w:rFonts w:ascii="宋体" w:hAnsi="宋体" w:eastAsia="宋体" w:cs="宋体"/>
          <w:bCs/>
          <w:color w:val="auto"/>
          <w:sz w:val="24"/>
          <w:highlight w:val="none"/>
          <w:u w:val="single"/>
        </w:rPr>
        <w:t>1万元</w:t>
      </w:r>
      <w:r>
        <w:rPr>
          <w:rFonts w:hint="eastAsia" w:ascii="宋体" w:hAnsi="宋体" w:eastAsia="宋体" w:cs="宋体"/>
          <w:bCs/>
          <w:color w:val="auto"/>
          <w:sz w:val="24"/>
          <w:highlight w:val="none"/>
        </w:rPr>
        <w:t>，超过</w:t>
      </w:r>
      <w:r>
        <w:rPr>
          <w:rFonts w:hint="eastAsia" w:ascii="宋体" w:hAnsi="宋体" w:eastAsia="宋体" w:cs="宋体"/>
          <w:bCs/>
          <w:color w:val="auto"/>
          <w:sz w:val="24"/>
          <w:highlight w:val="none"/>
          <w:u w:val="single"/>
        </w:rPr>
        <w:t>…</w:t>
      </w:r>
      <w:r>
        <w:rPr>
          <w:rFonts w:hint="eastAsia" w:ascii="宋体" w:hAnsi="宋体" w:eastAsia="宋体" w:cs="宋体"/>
          <w:bCs/>
          <w:color w:val="auto"/>
          <w:sz w:val="24"/>
          <w:highlight w:val="none"/>
        </w:rPr>
        <w:t>日，甲方有权解除合同并要求乙方支付</w:t>
      </w:r>
      <w:r>
        <w:rPr>
          <w:rFonts w:hint="eastAsia" w:ascii="宋体" w:hAnsi="宋体" w:eastAsia="宋体" w:cs="宋体"/>
          <w:bCs/>
          <w:color w:val="auto"/>
          <w:sz w:val="24"/>
          <w:highlight w:val="none"/>
          <w:u w:val="single"/>
        </w:rPr>
        <w:t>合同暂定总价的</w:t>
      </w:r>
      <w:r>
        <w:rPr>
          <w:rFonts w:ascii="宋体" w:hAnsi="宋体" w:eastAsia="宋体" w:cs="宋体"/>
          <w:bCs/>
          <w:color w:val="auto"/>
          <w:sz w:val="24"/>
          <w:highlight w:val="none"/>
          <w:u w:val="single"/>
        </w:rPr>
        <w:t>20%</w:t>
      </w:r>
      <w:r>
        <w:rPr>
          <w:rFonts w:hint="eastAsia" w:ascii="宋体" w:hAnsi="宋体" w:eastAsia="宋体" w:cs="宋体"/>
          <w:bCs/>
          <w:color w:val="auto"/>
          <w:sz w:val="24"/>
          <w:highlight w:val="none"/>
        </w:rPr>
        <w:t>作为违约金，由此造成的责任及损失由乙方承担。</w:t>
      </w:r>
      <w:r>
        <w:rPr>
          <w:rFonts w:hint="eastAsia" w:ascii="宋体" w:hAnsi="宋体" w:eastAsia="宋体"/>
          <w:bCs/>
          <w:color w:val="auto"/>
          <w:sz w:val="24"/>
          <w:highlight w:val="none"/>
        </w:rPr>
        <w:t>（</w:t>
      </w:r>
      <w:r>
        <w:rPr>
          <w:rFonts w:hint="eastAsia" w:ascii="宋体" w:hAnsi="宋体" w:eastAsia="宋体" w:cs="宋体"/>
          <w:color w:val="auto"/>
          <w:sz w:val="24"/>
          <w:highlight w:val="none"/>
        </w:rPr>
        <w:t>如合同另行约定违约责任，从其约定</w:t>
      </w:r>
      <w:r>
        <w:rPr>
          <w:rFonts w:hint="eastAsia" w:ascii="宋体" w:hAnsi="宋体" w:eastAsia="宋体"/>
          <w:bCs/>
          <w:color w:val="auto"/>
          <w:sz w:val="24"/>
          <w:highlight w:val="none"/>
        </w:rPr>
        <w:t>）</w:t>
      </w:r>
      <w:r>
        <w:rPr>
          <w:rFonts w:hint="eastAsia" w:ascii="宋体" w:hAnsi="宋体" w:eastAsia="宋体" w:cs="宋体"/>
          <w:bCs/>
          <w:color w:val="auto"/>
          <w:sz w:val="24"/>
          <w:highlight w:val="none"/>
        </w:rPr>
        <w:t>。</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7.2由于乙方原因造成甲方设备及其他硬件损坏，乙方按照损坏设备的原价赔偿并负责恢复设备使用。</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7.3乙方未能及时处理故障，每延误故障处理1日，甲方有权要求乙方支付</w:t>
      </w:r>
      <w:r>
        <w:rPr>
          <w:rFonts w:hint="eastAsia" w:ascii="宋体" w:hAnsi="宋体" w:eastAsia="宋体"/>
          <w:color w:val="auto"/>
          <w:sz w:val="24"/>
          <w:highlight w:val="none"/>
          <w:u w:val="single"/>
        </w:rPr>
        <w:t xml:space="preserve">合同暂定总价的 </w:t>
      </w:r>
      <w:r>
        <w:rPr>
          <w:rFonts w:ascii="宋体" w:hAnsi="宋体" w:eastAsia="宋体" w:cs="Arial Unicode MS"/>
          <w:color w:val="auto"/>
          <w:sz w:val="24"/>
          <w:highlight w:val="none"/>
          <w:u w:val="single"/>
        </w:rPr>
        <w:t xml:space="preserve">10 </w:t>
      </w:r>
      <w:r>
        <w:rPr>
          <w:rFonts w:hint="eastAsia" w:ascii="宋体" w:hAnsi="宋体" w:eastAsia="宋体"/>
          <w:color w:val="auto"/>
          <w:sz w:val="24"/>
          <w:highlight w:val="none"/>
          <w:u w:val="single"/>
        </w:rPr>
        <w:t>‰</w:t>
      </w:r>
      <w:r>
        <w:rPr>
          <w:rFonts w:ascii="宋体" w:hAnsi="宋体" w:eastAsia="宋体"/>
          <w:color w:val="auto"/>
          <w:sz w:val="24"/>
          <w:highlight w:val="none"/>
          <w:u w:val="single"/>
        </w:rPr>
        <w:t>/日</w:t>
      </w:r>
      <w:r>
        <w:rPr>
          <w:rFonts w:hint="eastAsia" w:ascii="宋体" w:hAnsi="宋体" w:eastAsia="宋体"/>
          <w:color w:val="auto"/>
          <w:sz w:val="24"/>
          <w:highlight w:val="none"/>
        </w:rPr>
        <w:t>作为违约金。</w:t>
      </w:r>
    </w:p>
    <w:p>
      <w:pPr>
        <w:spacing w:line="500" w:lineRule="exact"/>
        <w:ind w:firstLine="560"/>
        <w:rPr>
          <w:rFonts w:ascii="宋体" w:hAnsi="宋体" w:eastAsia="宋体"/>
          <w:color w:val="auto"/>
          <w:sz w:val="24"/>
          <w:highlight w:val="none"/>
        </w:rPr>
      </w:pPr>
      <w:r>
        <w:rPr>
          <w:rFonts w:hint="eastAsia" w:ascii="宋体" w:hAnsi="宋体" w:eastAsia="宋体"/>
          <w:color w:val="auto"/>
          <w:sz w:val="24"/>
          <w:highlight w:val="none"/>
        </w:rPr>
        <w:t>7.4乙方无正当理由终止合同，双方按实际工作量结算后，乙方向甲方支付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spacing w:line="500" w:lineRule="exact"/>
        <w:ind w:firstLine="560"/>
        <w:rPr>
          <w:rFonts w:hint="eastAsia" w:ascii="宋体" w:hAnsi="宋体" w:eastAsia="宋体"/>
          <w:color w:val="auto"/>
          <w:sz w:val="24"/>
          <w:highlight w:val="none"/>
        </w:rPr>
      </w:pPr>
      <w:r>
        <w:rPr>
          <w:rFonts w:hint="eastAsia" w:ascii="宋体" w:hAnsi="宋体" w:eastAsia="宋体"/>
          <w:color w:val="auto"/>
          <w:sz w:val="24"/>
          <w:highlight w:val="none"/>
        </w:rPr>
        <w:t>7.5甲方无正当理由终止合同，双方按实际工作量结算后，甲方向乙方支付</w:t>
      </w:r>
      <w:r>
        <w:rPr>
          <w:rFonts w:hint="eastAsia" w:ascii="宋体" w:hAnsi="宋体" w:eastAsia="宋体"/>
          <w:color w:val="auto"/>
          <w:sz w:val="24"/>
          <w:highlight w:val="none"/>
          <w:u w:val="single"/>
        </w:rPr>
        <w:t>合同暂定总价的10%</w:t>
      </w:r>
      <w:r>
        <w:rPr>
          <w:rFonts w:hint="eastAsia" w:ascii="宋体" w:hAnsi="宋体" w:eastAsia="宋体"/>
          <w:color w:val="auto"/>
          <w:sz w:val="24"/>
          <w:highlight w:val="none"/>
        </w:rPr>
        <w:t>作为违约金。</w:t>
      </w:r>
    </w:p>
    <w:p>
      <w:pPr>
        <w:topLinePunct/>
        <w:spacing w:line="500" w:lineRule="exact"/>
        <w:ind w:firstLine="480" w:firstLineChars="200"/>
        <w:rPr>
          <w:rFonts w:ascii="宋体" w:hAnsi="宋体" w:cs="宋体"/>
          <w:color w:val="auto"/>
          <w:sz w:val="24"/>
          <w:szCs w:val="24"/>
          <w:highlight w:val="none"/>
        </w:rPr>
      </w:pPr>
      <w:r>
        <w:rPr>
          <w:rFonts w:hint="eastAsia" w:ascii="宋体" w:hAnsi="宋体"/>
          <w:color w:val="auto"/>
          <w:sz w:val="24"/>
          <w:highlight w:val="none"/>
          <w:lang w:val="en-US" w:eastAsia="zh-CN"/>
        </w:rPr>
        <w:t>7.6</w:t>
      </w:r>
      <w:r>
        <w:rPr>
          <w:rFonts w:hint="eastAsia" w:ascii="宋体" w:hAnsi="宋体" w:eastAsia="宋体" w:cs="宋体"/>
          <w:color w:val="auto"/>
          <w:sz w:val="24"/>
          <w:szCs w:val="24"/>
          <w:highlight w:val="none"/>
        </w:rPr>
        <w:t>在合同有效期内，若乙方发生不诚信行为情形的，乙方自愿接受甲方按《广州市净水有限公司经营建设项目参建企业不诚信行为管理办法》处理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具体处罚标准详见附件7。</w:t>
      </w:r>
    </w:p>
    <w:p>
      <w:pPr>
        <w:spacing w:line="500" w:lineRule="exact"/>
        <w:ind w:firstLine="480" w:firstLineChars="200"/>
        <w:rPr>
          <w:rFonts w:ascii="宋体" w:hAnsi="宋体"/>
          <w:color w:val="auto"/>
          <w:sz w:val="24"/>
          <w:highlight w:val="none"/>
        </w:rPr>
      </w:pPr>
      <w:r>
        <w:rPr>
          <w:rFonts w:hint="eastAsia" w:ascii="宋体" w:hAnsi="宋体"/>
          <w:color w:val="auto"/>
          <w:sz w:val="24"/>
          <w:highlight w:val="none"/>
          <w:lang w:val="en-US" w:eastAsia="zh-CN"/>
        </w:rPr>
        <w:t xml:space="preserve">    7.7</w:t>
      </w:r>
      <w:r>
        <w:rPr>
          <w:rFonts w:hint="eastAsia" w:ascii="宋体" w:hAnsi="宋体" w:eastAsia="宋体"/>
          <w:color w:val="auto"/>
          <w:sz w:val="24"/>
          <w:highlight w:val="none"/>
        </w:rPr>
        <w:t>因不可抗力因素引起合同不能按期履行，由双方另行协商解决</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八、不可抗力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8.1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bCs/>
          <w:color w:val="auto"/>
          <w:sz w:val="24"/>
          <w:highlight w:val="none"/>
        </w:rPr>
        <w:t>地震、火山爆发、滑坡、暴雨（橙色预警及以上）、台风（黄色预警及以上）、海啸、龙卷风、大面积流行病或瘟疫；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8.2 </w:t>
      </w:r>
      <w:r>
        <w:rPr>
          <w:rFonts w:hint="eastAsia" w:ascii="宋体" w:hAnsi="宋体" w:cs="宋体"/>
          <w:bCs/>
          <w:color w:val="auto"/>
          <w:sz w:val="24"/>
          <w:highlight w:val="none"/>
        </w:rPr>
        <w:t>声称受到不可抗力影响的一方，应在发生不可抗力或知道发生不可抗力之后</w:t>
      </w:r>
      <w:r>
        <w:rPr>
          <w:rFonts w:ascii="宋体" w:hAnsi="宋体" w:cs="宋体"/>
          <w:bCs/>
          <w:color w:val="auto"/>
          <w:sz w:val="24"/>
          <w:highlight w:val="none"/>
        </w:rPr>
        <w:t>5日内书面通知另一方，详细描述不可抗力的发生情况和对该方履行在本合同项</w:t>
      </w:r>
      <w:r>
        <w:rPr>
          <w:rFonts w:hint="eastAsia" w:ascii="宋体" w:hAnsi="宋体" w:cs="宋体"/>
          <w:bCs/>
          <w:color w:val="auto"/>
          <w:sz w:val="24"/>
          <w:highlight w:val="none"/>
        </w:rPr>
        <w:t>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8.3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8.4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九、</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line="500" w:lineRule="exact"/>
        <w:ind w:firstLine="482"/>
        <w:rPr>
          <w:rFonts w:ascii="宋体" w:hAnsi="宋体" w:cs="宋体"/>
          <w:bCs/>
          <w:color w:val="auto"/>
          <w:sz w:val="24"/>
          <w:highlight w:val="none"/>
        </w:rPr>
      </w:pPr>
      <w:r>
        <w:rPr>
          <w:rFonts w:ascii="宋体" w:hAnsi="宋体" w:cs="宋体"/>
          <w:bCs/>
          <w:color w:val="auto"/>
          <w:sz w:val="24"/>
          <w:highlight w:val="none"/>
        </w:rPr>
        <w:t>9.1甲乙双方应通过友好协商，解决在执行本合同所发生的或与本合同有关的一切争议。如协商不能解决争议，任何一方均可依法向甲方所在地人民法院提起诉讼。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color w:val="auto"/>
          <w:sz w:val="24"/>
          <w:highlight w:val="none"/>
        </w:rPr>
      </w:pPr>
      <w:r>
        <w:rPr>
          <w:rFonts w:ascii="宋体" w:hAnsi="宋体" w:cs="宋体"/>
          <w:bCs/>
          <w:color w:val="auto"/>
          <w:sz w:val="24"/>
          <w:highlight w:val="none"/>
        </w:rPr>
        <w:t xml:space="preserve">9.2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十、合同生效及其他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10.1本合同经双方法定代表人或授权代表签字并加盖双方公章后生效.</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10.2本合同正文一式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u w:val="single"/>
        </w:rPr>
      </w:pPr>
      <w:r>
        <w:rPr>
          <w:rFonts w:ascii="宋体" w:hAnsi="宋体" w:cs="宋体"/>
          <w:color w:val="auto"/>
          <w:sz w:val="24"/>
          <w:highlight w:val="none"/>
        </w:rPr>
        <w:t>10.3</w:t>
      </w:r>
      <w:r>
        <w:rPr>
          <w:rFonts w:hint="eastAsia" w:ascii="宋体" w:hAnsi="宋体" w:cs="宋体"/>
          <w:color w:val="auto"/>
          <w:sz w:val="24"/>
          <w:highlight w:val="none"/>
        </w:rPr>
        <w:t>补</w:t>
      </w:r>
      <w:r>
        <w:rPr>
          <w:rFonts w:ascii="宋体" w:hAnsi="宋体" w:cs="宋体"/>
          <w:color w:val="auto"/>
          <w:sz w:val="24"/>
          <w:highlight w:val="none"/>
        </w:rPr>
        <w:t>充条款</w:t>
      </w:r>
      <w:r>
        <w:rPr>
          <w:rFonts w:hint="eastAsia" w:ascii="宋体" w:hAnsi="宋体" w:cs="宋体"/>
          <w:color w:val="auto"/>
          <w:sz w:val="24"/>
          <w:highlight w:val="none"/>
          <w:u w:val="single"/>
        </w:rPr>
        <w:t>：/。</w:t>
      </w:r>
    </w:p>
    <w:p>
      <w:pPr>
        <w:pStyle w:val="2"/>
        <w:rPr>
          <w:rFonts w:eastAsia="宋体" w:cs="宋体"/>
          <w:color w:val="auto"/>
          <w:highlight w:val="none"/>
          <w:u w:val="single"/>
        </w:rPr>
      </w:pPr>
    </w:p>
    <w:p>
      <w:pPr>
        <w:spacing w:line="500" w:lineRule="exact"/>
        <w:ind w:firstLine="560"/>
        <w:rPr>
          <w:rFonts w:ascii="宋体" w:hAnsi="宋体"/>
          <w:color w:val="auto"/>
          <w:sz w:val="24"/>
          <w:highlight w:val="none"/>
        </w:rPr>
      </w:pPr>
      <w:r>
        <w:rPr>
          <w:rFonts w:hint="eastAsia" w:ascii="宋体" w:hAnsi="宋体"/>
          <w:color w:val="auto"/>
          <w:sz w:val="24"/>
          <w:highlight w:val="none"/>
        </w:rPr>
        <w:t>附件：</w:t>
      </w:r>
      <w:r>
        <w:rPr>
          <w:rFonts w:hint="eastAsia" w:ascii="宋体" w:hAnsi="宋体" w:cs="宋体"/>
          <w:color w:val="auto"/>
          <w:sz w:val="24"/>
          <w:highlight w:val="none"/>
        </w:rPr>
        <w:t>1.</w:t>
      </w:r>
      <w:r>
        <w:rPr>
          <w:rFonts w:hint="eastAsia" w:ascii="宋体" w:hAnsi="宋体" w:cs="宋体"/>
          <w:bCs/>
          <w:color w:val="auto"/>
          <w:sz w:val="24"/>
          <w:highlight w:val="none"/>
        </w:rPr>
        <w:t>中标通知书/发包通知书/成交通知书/委托函；</w:t>
      </w:r>
      <w:r>
        <w:rPr>
          <w:rFonts w:hint="eastAsia" w:ascii="宋体" w:hAnsi="宋体" w:cs="宋体"/>
          <w:color w:val="auto"/>
          <w:sz w:val="24"/>
          <w:highlight w:val="none"/>
        </w:rPr>
        <w:t>（如有）</w:t>
      </w:r>
    </w:p>
    <w:p>
      <w:pPr>
        <w:spacing w:line="500" w:lineRule="exact"/>
        <w:ind w:firstLine="1320" w:firstLineChars="550"/>
        <w:rPr>
          <w:rFonts w:ascii="宋体" w:hAnsi="宋体"/>
          <w:color w:val="auto"/>
          <w:sz w:val="24"/>
          <w:highlight w:val="none"/>
        </w:rPr>
      </w:pPr>
      <w:r>
        <w:rPr>
          <w:rFonts w:hint="eastAsia" w:ascii="宋体" w:hAnsi="宋体"/>
          <w:color w:val="auto"/>
          <w:sz w:val="24"/>
          <w:highlight w:val="none"/>
        </w:rPr>
        <w:t>2. 廉洁协议</w:t>
      </w:r>
    </w:p>
    <w:p>
      <w:pPr>
        <w:spacing w:line="500" w:lineRule="exact"/>
        <w:ind w:firstLine="1320" w:firstLineChars="550"/>
        <w:rPr>
          <w:rFonts w:ascii="宋体" w:hAnsi="宋体"/>
          <w:color w:val="auto"/>
          <w:sz w:val="24"/>
          <w:highlight w:val="none"/>
        </w:rPr>
      </w:pPr>
      <w:r>
        <w:rPr>
          <w:rFonts w:hint="eastAsia" w:ascii="宋体" w:hAnsi="宋体"/>
          <w:color w:val="auto"/>
          <w:sz w:val="24"/>
          <w:highlight w:val="none"/>
        </w:rPr>
        <w:t>3. 保密协议</w:t>
      </w:r>
    </w:p>
    <w:p>
      <w:pPr>
        <w:spacing w:line="500" w:lineRule="exact"/>
        <w:ind w:firstLine="1320" w:firstLineChars="550"/>
        <w:rPr>
          <w:rFonts w:ascii="宋体" w:hAnsi="宋体"/>
          <w:color w:val="auto"/>
          <w:sz w:val="24"/>
          <w:highlight w:val="none"/>
        </w:rPr>
      </w:pPr>
      <w:r>
        <w:rPr>
          <w:rFonts w:ascii="宋体" w:hAnsi="宋体"/>
          <w:color w:val="auto"/>
          <w:sz w:val="24"/>
          <w:highlight w:val="none"/>
        </w:rPr>
        <w:t xml:space="preserve">4. </w:t>
      </w:r>
      <w:r>
        <w:rPr>
          <w:rFonts w:hint="eastAsia" w:ascii="宋体" w:hAnsi="宋体"/>
          <w:color w:val="auto"/>
          <w:sz w:val="24"/>
          <w:highlight w:val="none"/>
        </w:rPr>
        <w:t>安全管理协议书（具体以安全办通知为准）</w:t>
      </w:r>
    </w:p>
    <w:p>
      <w:pPr>
        <w:spacing w:line="500" w:lineRule="exact"/>
        <w:ind w:firstLine="1320" w:firstLineChars="550"/>
        <w:rPr>
          <w:rFonts w:ascii="宋体" w:hAnsi="宋体"/>
          <w:color w:val="auto"/>
          <w:sz w:val="24"/>
          <w:highlight w:val="none"/>
        </w:rPr>
      </w:pPr>
      <w:r>
        <w:rPr>
          <w:rFonts w:ascii="宋体" w:hAnsi="宋体"/>
          <w:color w:val="auto"/>
          <w:sz w:val="24"/>
          <w:highlight w:val="none"/>
        </w:rPr>
        <w:t xml:space="preserve">5. </w:t>
      </w:r>
      <w:r>
        <w:rPr>
          <w:rFonts w:hint="eastAsia" w:ascii="宋体" w:hAnsi="宋体"/>
          <w:color w:val="auto"/>
          <w:sz w:val="24"/>
          <w:highlight w:val="none"/>
        </w:rPr>
        <w:t>服务内容/技术需求</w:t>
      </w:r>
    </w:p>
    <w:p>
      <w:pPr>
        <w:spacing w:line="500" w:lineRule="exact"/>
        <w:ind w:firstLine="1320" w:firstLineChars="550"/>
        <w:rPr>
          <w:rFonts w:ascii="宋体" w:hAnsi="宋体"/>
          <w:color w:val="auto"/>
          <w:sz w:val="24"/>
          <w:highlight w:val="none"/>
        </w:rPr>
      </w:pPr>
      <w:r>
        <w:rPr>
          <w:rFonts w:hint="eastAsia" w:ascii="宋体" w:hAnsi="宋体"/>
          <w:color w:val="auto"/>
          <w:sz w:val="24"/>
          <w:highlight w:val="none"/>
        </w:rPr>
        <w:t>6.项目投入人员架构表</w:t>
      </w:r>
    </w:p>
    <w:p>
      <w:pPr>
        <w:spacing w:line="500" w:lineRule="exact"/>
        <w:ind w:firstLine="1320" w:firstLineChars="550"/>
        <w:rPr>
          <w:rFonts w:ascii="宋体" w:hAnsi="宋体"/>
          <w:color w:val="auto"/>
          <w:sz w:val="24"/>
          <w:highlight w:val="none"/>
        </w:rPr>
      </w:pPr>
      <w:r>
        <w:rPr>
          <w:rFonts w:hint="eastAsia" w:ascii="宋体" w:hAnsi="宋体"/>
          <w:color w:val="auto"/>
          <w:sz w:val="24"/>
          <w:highlight w:val="none"/>
        </w:rPr>
        <w:t>7授权委托证明（如需）</w:t>
      </w:r>
    </w:p>
    <w:p>
      <w:pPr>
        <w:spacing w:line="500" w:lineRule="exact"/>
        <w:ind w:firstLine="1320" w:firstLineChars="550"/>
        <w:rPr>
          <w:rFonts w:ascii="宋体" w:hAnsi="宋体"/>
          <w:color w:val="auto"/>
          <w:sz w:val="24"/>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乙方：（盖章）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spacing w:line="500" w:lineRule="exact"/>
        <w:rPr>
          <w:rFonts w:ascii="宋体" w:hAnsi="宋体" w:cs="宋体"/>
          <w:color w:val="auto"/>
          <w:sz w:val="24"/>
          <w:highlight w:val="none"/>
        </w:rPr>
      </w:pPr>
      <w:r>
        <w:rPr>
          <w:rFonts w:hint="eastAsia" w:ascii="宋体" w:hAnsi="宋体" w:cs="宋体"/>
          <w:color w:val="auto"/>
          <w:sz w:val="24"/>
          <w:highlight w:val="none"/>
        </w:rPr>
        <w:t>地址：</w:t>
      </w:r>
      <w:r>
        <w:rPr>
          <w:rFonts w:ascii="宋体" w:hAnsi="宋体" w:cs="宋体"/>
          <w:color w:val="auto"/>
          <w:sz w:val="24"/>
          <w:highlight w:val="none"/>
        </w:rPr>
        <w:t xml:space="preserve">                               </w:t>
      </w:r>
      <w:r>
        <w:rPr>
          <w:rFonts w:hint="eastAsia" w:ascii="宋体" w:hAnsi="宋体" w:cs="宋体"/>
          <w:color w:val="auto"/>
          <w:sz w:val="24"/>
          <w:highlight w:val="none"/>
        </w:rPr>
        <w:t>地址：</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ascii="宋体" w:hAnsi="宋体" w:cs="宋体"/>
          <w:color w:val="auto"/>
          <w:sz w:val="24"/>
          <w:highlight w:val="none"/>
        </w:rPr>
      </w:pPr>
      <w:r>
        <w:rPr>
          <w:rFonts w:hint="eastAsia" w:ascii="宋体" w:hAnsi="宋体" w:cs="宋体"/>
          <w:color w:val="auto"/>
          <w:sz w:val="24"/>
          <w:highlight w:val="none"/>
        </w:rPr>
        <w:t>联系电话：</w:t>
      </w:r>
      <w:r>
        <w:rPr>
          <w:rFonts w:ascii="宋体" w:hAnsi="宋体" w:cs="宋体"/>
          <w:color w:val="auto"/>
          <w:sz w:val="24"/>
          <w:highlight w:val="none"/>
        </w:rPr>
        <w:t xml:space="preserve">                           </w:t>
      </w:r>
      <w:r>
        <w:rPr>
          <w:rFonts w:hint="eastAsia" w:ascii="宋体" w:hAnsi="宋体" w:cs="宋体"/>
          <w:color w:val="auto"/>
          <w:sz w:val="24"/>
          <w:highlight w:val="none"/>
        </w:rPr>
        <w:t>联系电话：</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48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年    月    日         签署日期：    年    月    日  </w:t>
      </w: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pPr>
    </w:p>
    <w:p>
      <w:pPr>
        <w:widowControl/>
        <w:jc w:val="left"/>
        <w:rPr>
          <w:rFonts w:ascii="宋体" w:hAnsi="宋体" w:cs="宋体"/>
          <w:b/>
          <w:bCs/>
          <w:color w:val="auto"/>
          <w:szCs w:val="21"/>
          <w:highlight w:val="none"/>
        </w:rPr>
        <w:sectPr>
          <w:footerReference r:id="rId6" w:type="first"/>
          <w:footerReference r:id="rId5" w:type="default"/>
          <w:pgSz w:w="11906" w:h="16838"/>
          <w:pgMar w:top="1418" w:right="1474" w:bottom="1985" w:left="1588" w:header="851" w:footer="992" w:gutter="0"/>
          <w:pgNumType w:start="1"/>
          <w:cols w:space="425" w:num="1"/>
          <w:docGrid w:type="lines" w:linePitch="312" w:charSpace="0"/>
        </w:sectPr>
      </w:pP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附件1</w:t>
      </w:r>
    </w:p>
    <w:p>
      <w:pPr>
        <w:widowControl/>
        <w:jc w:val="left"/>
        <w:rPr>
          <w:rFonts w:ascii="宋体" w:hAnsi="宋体" w:cs="宋体"/>
          <w:b/>
          <w:bCs/>
          <w:color w:val="auto"/>
          <w:szCs w:val="21"/>
          <w:highlight w:val="none"/>
        </w:rPr>
      </w:pPr>
      <w:r>
        <w:rPr>
          <w:rFonts w:hint="eastAsia" w:ascii="宋体" w:hAnsi="宋体" w:cs="宋体"/>
          <w:b/>
          <w:bCs/>
          <w:color w:val="auto"/>
          <w:szCs w:val="21"/>
          <w:highlight w:val="none"/>
        </w:rPr>
        <w:t>附件2</w:t>
      </w:r>
    </w:p>
    <w:p>
      <w:pPr>
        <w:spacing w:line="520" w:lineRule="exact"/>
        <w:jc w:val="center"/>
        <w:rPr>
          <w:rFonts w:ascii="宋体" w:hAnsi="宋体" w:eastAsia="宋体" w:cs="宋体"/>
          <w:bCs/>
          <w:color w:val="auto"/>
          <w:szCs w:val="21"/>
          <w:highlight w:val="none"/>
        </w:rPr>
      </w:pPr>
      <w:r>
        <w:rPr>
          <w:rFonts w:hint="eastAsia" w:ascii="宋体" w:hAnsi="宋体" w:cs="宋体"/>
          <w:b/>
          <w:color w:val="auto"/>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bCs/>
          <w:color w:val="auto"/>
          <w:szCs w:val="21"/>
          <w:highlight w:val="none"/>
        </w:rPr>
        <w:t>廉洁协议</w:t>
      </w:r>
    </w:p>
    <w:p>
      <w:pPr>
        <w:spacing w:line="520" w:lineRule="exact"/>
        <w:ind w:firstLine="472" w:firstLineChars="225"/>
        <w:rPr>
          <w:rFonts w:ascii="宋体" w:hAnsi="宋体" w:eastAsia="宋体" w:cs="宋体"/>
          <w:bCs/>
          <w:color w:val="auto"/>
          <w:szCs w:val="21"/>
          <w:highlight w:val="none"/>
        </w:rPr>
      </w:pPr>
      <w:r>
        <w:rPr>
          <w:rFonts w:hint="eastAsia" w:ascii="宋体" w:hAnsi="宋体" w:eastAsia="宋体" w:cs="宋体"/>
          <w:bCs/>
          <w:color w:val="auto"/>
          <w:szCs w:val="21"/>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Cs w:val="21"/>
          <w:highlight w:val="none"/>
          <w:u w:val="single"/>
        </w:rPr>
        <w:t>广州市净水有限公司</w:t>
      </w:r>
      <w:r>
        <w:rPr>
          <w:rFonts w:hint="eastAsia" w:ascii="宋体" w:hAnsi="宋体" w:eastAsia="宋体" w:cs="宋体"/>
          <w:bCs/>
          <w:color w:val="auto"/>
          <w:szCs w:val="21"/>
          <w:highlight w:val="none"/>
        </w:rPr>
        <w:t>(以下称甲方)与(以下称乙方)，特此订立本协议共同遵照执行。</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第一条 甲乙双方的权利和义务</w:t>
      </w:r>
    </w:p>
    <w:p>
      <w:pPr>
        <w:spacing w:line="520" w:lineRule="exact"/>
        <w:ind w:firstLine="315" w:firstLine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（一）甲乙双方严格遵守国家关于市场准入、项目招标投标、市场经营活动等有关法律、法规相关政策及廉政建设的各项规定。</w:t>
      </w:r>
    </w:p>
    <w:p>
      <w:pPr>
        <w:spacing w:line="520" w:lineRule="exact"/>
        <w:ind w:firstLine="315" w:firstLine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（二）严格执行</w:t>
      </w:r>
      <w:r>
        <w:rPr>
          <w:rFonts w:hint="eastAsia" w:ascii="宋体" w:hAnsi="宋体" w:eastAsia="宋体" w:cs="宋体"/>
          <w:bCs/>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合同名</w:t>
      </w:r>
      <w:r>
        <w:rPr>
          <w:rFonts w:hint="eastAsia" w:ascii="宋体" w:hAnsi="宋体" w:eastAsia="宋体" w:cs="宋体"/>
          <w:bCs/>
          <w:color w:val="auto"/>
          <w:sz w:val="21"/>
          <w:szCs w:val="21"/>
          <w:highlight w:val="none"/>
          <w:u w:val="single"/>
          <w:lang w:val="en-US" w:eastAsia="zh-CN"/>
        </w:rPr>
        <w:t>称（</w:t>
      </w:r>
      <w:r>
        <w:rPr>
          <w:rFonts w:hint="eastAsia" w:ascii="宋体" w:hAnsi="宋体" w:eastAsia="宋体" w:cs="宋体"/>
          <w:b w:val="0"/>
          <w:bCs/>
          <w:color w:val="auto"/>
          <w:sz w:val="21"/>
          <w:szCs w:val="21"/>
          <w:highlight w:val="none"/>
          <w:u w:val="single"/>
        </w:rPr>
        <w:t>穗净水合[    ]   号</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合同（以下简称：主合同），自觉履行合同约定的相关义务。</w:t>
      </w:r>
    </w:p>
    <w:p>
      <w:pPr>
        <w:spacing w:line="520" w:lineRule="exact"/>
        <w:ind w:firstLine="315" w:firstLine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（三）在业务活动中坚持公开、公正、诚信、透明的原则，不得损害国家、集体利益。</w:t>
      </w:r>
    </w:p>
    <w:p>
      <w:pPr>
        <w:spacing w:line="520" w:lineRule="exact"/>
        <w:ind w:firstLine="315" w:firstLine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（四）建立健全廉洁从业制度，开展廉洁教育，公布举报电话，监督并认真查处不廉洁及违法违纪行为。</w:t>
      </w:r>
    </w:p>
    <w:p>
      <w:pPr>
        <w:spacing w:line="520" w:lineRule="exact"/>
        <w:ind w:firstLine="315" w:firstLineChars="150"/>
        <w:rPr>
          <w:rFonts w:ascii="宋体" w:hAnsi="宋体" w:eastAsia="宋体" w:cs="宋体"/>
          <w:bCs/>
          <w:color w:val="auto"/>
          <w:szCs w:val="21"/>
          <w:highlight w:val="none"/>
        </w:rPr>
      </w:pPr>
      <w:r>
        <w:rPr>
          <w:rFonts w:hint="eastAsia" w:ascii="宋体" w:hAnsi="宋体" w:eastAsia="宋体" w:cs="宋体"/>
          <w:bCs/>
          <w:color w:val="auto"/>
          <w:szCs w:val="21"/>
          <w:highlight w:val="none"/>
        </w:rPr>
        <w:t>（五）发现对方在业务活动中有不廉洁行为，应及时提醒对方纠正。情节严重的，应向其有关监督部门检举。</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第二条甲方的义务</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（一）甲方及其工作人员不得索要或接受乙方的礼金、有价证券和贵重物品，不得在乙方报销任何应由甲方或个人支付的费用等。</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（三）甲方及其工作人员不得要求或者接受乙方为其住房装修、婚丧嫁娶活动、配偶子女工作安排以及出国出境、旅游等提供方便等。</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（四）甲方工作人员不得在乙方或与乙方有股权关联的企业兼职，不得向乙方介绍家属或者亲友从事与甲方业务有关的经济活动。</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（六）甲方工作人员不得利用职务之便收受乙方以回扣、手续费、加班费、咨询费、劳务费、协调费、辛苦费等各种名义给予或赠送的钱物。</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（七）甲方工作人员不得接受乙方给予或赠送的干股或红利。</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(八）不得存在其他违反廉洁规定的行为。</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第三条乙方的义务</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（一）乙方不得以任何理由向甲方及其工作人员行贿或馈赠礼金、有价证券、贵重礼品。</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（二)乙方不得以任何名义为甲方及其工作人员报销应由甲方单位或个人支付的任何费用。</w:t>
      </w:r>
    </w:p>
    <w:p>
      <w:pPr>
        <w:spacing w:line="520" w:lineRule="exact"/>
        <w:ind w:left="25" w:leftChars="12"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（三）乙方不得以任何理由安排甲方工作人员参加可能影响相关业务公开、公正、公平性的宴请及娱乐活动。</w:t>
      </w:r>
    </w:p>
    <w:p>
      <w:pPr>
        <w:pStyle w:val="18"/>
        <w:spacing w:line="520" w:lineRule="exact"/>
        <w:rPr>
          <w:rFonts w:ascii="宋体" w:hAnsi="宋体" w:cs="宋体"/>
          <w:bCs/>
          <w:color w:val="auto"/>
          <w:szCs w:val="21"/>
          <w:highlight w:val="none"/>
        </w:rPr>
      </w:pPr>
      <w:r>
        <w:rPr>
          <w:rFonts w:hint="eastAsia" w:ascii="宋体" w:hAnsi="宋体" w:cs="宋体"/>
          <w:bCs/>
          <w:color w:val="auto"/>
          <w:szCs w:val="21"/>
          <w:highlight w:val="none"/>
        </w:rPr>
        <w:t>（四）乙方不得为甲方单位和个人购置或提供通讯工具和高档办公用品等物品，也不得为甲方提供与工作无关的房屋、汽车等。</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（五）乙方不得擅自与甲方工作人员就主合同中的质量、数量、价格、工程量、验收等条款进行私下商谈或者达成默契。</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（六）乙方不得以回扣、手续费、加班费、咨询费、劳务费、协调费、辛苦费等各种名义向甲方工作人员给予或赠送钱物。</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（七）乙方不得向甲方工作人员提供干股或红利。</w:t>
      </w:r>
    </w:p>
    <w:p>
      <w:pPr>
        <w:spacing w:line="520" w:lineRule="exact"/>
        <w:ind w:left="15" w:leftChars="7"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(八）不得存在其他违反廉洁规定的行为。</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第四条违约责任</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甲方举报投诉联系部门：广州市净水有限公司</w:t>
      </w:r>
      <w:r>
        <w:rPr>
          <w:rFonts w:hint="eastAsia" w:ascii="宋体" w:hAnsi="宋体" w:eastAsia="宋体" w:cs="宋体"/>
          <w:bCs/>
          <w:color w:val="auto"/>
          <w:szCs w:val="21"/>
          <w:highlight w:val="none"/>
          <w:u w:val="single"/>
        </w:rPr>
        <w:t>纪检室</w:t>
      </w:r>
      <w:r>
        <w:rPr>
          <w:rFonts w:hint="eastAsia" w:ascii="宋体" w:hAnsi="宋体" w:eastAsia="宋体" w:cs="宋体"/>
          <w:bCs/>
          <w:color w:val="auto"/>
          <w:szCs w:val="21"/>
          <w:highlight w:val="none"/>
        </w:rPr>
        <w:t>，联系电话：</w:t>
      </w:r>
      <w:r>
        <w:rPr>
          <w:rFonts w:hint="eastAsia" w:ascii="宋体" w:hAnsi="宋体" w:eastAsia="宋体" w:cs="宋体"/>
          <w:bCs/>
          <w:color w:val="auto"/>
          <w:szCs w:val="21"/>
          <w:highlight w:val="none"/>
          <w:u w:val="single"/>
        </w:rPr>
        <w:t xml:space="preserve"> 020-38890265 </w:t>
      </w:r>
      <w:r>
        <w:rPr>
          <w:rFonts w:hint="eastAsia" w:ascii="宋体" w:hAnsi="宋体" w:eastAsia="宋体" w:cs="宋体"/>
          <w:bCs/>
          <w:color w:val="auto"/>
          <w:szCs w:val="21"/>
          <w:highlight w:val="none"/>
        </w:rPr>
        <w:t>。</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1、扣除主合同的全部履约保证金；</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2、解除主合同；</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3、追究乙方其他违约责任；</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4、根据甲方的有关规章制度，在一定时间内暂停乙方参与甲方及下属单位所有项目的交易资格；</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5、根据甲方的有关规章制度，将乙方清退出甲方相关企业库；</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6、根据甲方上级单位、行政主管部门的意见、决定执行；</w:t>
      </w:r>
    </w:p>
    <w:p>
      <w:pPr>
        <w:pStyle w:val="24"/>
        <w:spacing w:beforeAutospacing="0" w:line="520" w:lineRule="exact"/>
        <w:rPr>
          <w:rFonts w:cs="宋体"/>
          <w:bCs/>
          <w:color w:val="auto"/>
          <w:sz w:val="21"/>
          <w:szCs w:val="21"/>
          <w:highlight w:val="none"/>
        </w:rPr>
      </w:pPr>
      <w:r>
        <w:rPr>
          <w:rFonts w:hint="eastAsia" w:cs="宋体"/>
          <w:bCs/>
          <w:color w:val="auto"/>
          <w:sz w:val="21"/>
          <w:szCs w:val="21"/>
          <w:highlight w:val="none"/>
        </w:rPr>
        <w:t>7、按规定向有关行政监督部门、乙方业务管理部门进行投诉、报告。</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乙方无条件接受甲方的处理决定并承担给甲方造成的损失，全额返还通过不正当手段获取的非法所得，并承担相应的法律责任。</w:t>
      </w:r>
    </w:p>
    <w:p>
      <w:pPr>
        <w:spacing w:line="520" w:lineRule="exact"/>
        <w:ind w:firstLine="420" w:firstLineChars="200"/>
        <w:rPr>
          <w:rFonts w:ascii="宋体" w:hAnsi="宋体" w:eastAsia="宋体" w:cs="宋体"/>
          <w:bCs/>
          <w:color w:val="auto"/>
          <w:kern w:val="0"/>
          <w:szCs w:val="21"/>
          <w:highlight w:val="none"/>
        </w:rPr>
      </w:pPr>
      <w:r>
        <w:rPr>
          <w:rFonts w:hint="eastAsia" w:ascii="宋体" w:hAnsi="宋体" w:eastAsia="宋体" w:cs="宋体"/>
          <w:bCs/>
          <w:color w:val="auto"/>
          <w:szCs w:val="21"/>
          <w:highlight w:val="none"/>
        </w:rPr>
        <w:t xml:space="preserve">第五条 </w:t>
      </w:r>
      <w:r>
        <w:rPr>
          <w:rFonts w:hint="eastAsia" w:ascii="宋体" w:hAnsi="宋体" w:eastAsia="宋体" w:cs="宋体"/>
          <w:bCs/>
          <w:color w:val="auto"/>
          <w:kern w:val="0"/>
          <w:szCs w:val="21"/>
          <w:highlight w:val="none"/>
        </w:rPr>
        <w:t xml:space="preserve">本协议执行情况，接受有管辖权的纪检、监察部门的监督，双方应予以配合检查调查。 </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第六条本协议作为</w:t>
      </w:r>
      <w:r>
        <w:rPr>
          <w:rFonts w:hint="eastAsia" w:ascii="宋体" w:hAnsi="宋体" w:eastAsia="宋体" w:cs="宋体"/>
          <w:color w:val="auto"/>
          <w:sz w:val="21"/>
          <w:szCs w:val="21"/>
          <w:highlight w:val="none"/>
          <w:u w:val="single"/>
          <w:lang w:val="en-US" w:eastAsia="zh-CN"/>
        </w:rPr>
        <w:t>合同名</w:t>
      </w:r>
      <w:r>
        <w:rPr>
          <w:rFonts w:hint="eastAsia" w:ascii="宋体" w:hAnsi="宋体" w:eastAsia="宋体" w:cs="宋体"/>
          <w:bCs/>
          <w:color w:val="auto"/>
          <w:sz w:val="21"/>
          <w:szCs w:val="21"/>
          <w:highlight w:val="none"/>
          <w:u w:val="single"/>
          <w:lang w:val="en-US" w:eastAsia="zh-CN"/>
        </w:rPr>
        <w:t>称（</w:t>
      </w:r>
      <w:r>
        <w:rPr>
          <w:rFonts w:hint="eastAsia" w:ascii="宋体" w:hAnsi="宋体" w:eastAsia="宋体" w:cs="宋体"/>
          <w:b w:val="0"/>
          <w:bCs/>
          <w:color w:val="auto"/>
          <w:sz w:val="21"/>
          <w:szCs w:val="21"/>
          <w:highlight w:val="none"/>
          <w:u w:val="single"/>
        </w:rPr>
        <w:t>穗净水合[    ]   号</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Cs/>
          <w:color w:val="auto"/>
          <w:szCs w:val="21"/>
          <w:highlight w:val="none"/>
        </w:rPr>
        <w:t>合同的附件，并具有同等的法律效力，本协议自双方签字盖章之日起生效，与主合同同时终止。</w:t>
      </w:r>
    </w:p>
    <w:p>
      <w:pPr>
        <w:spacing w:line="520" w:lineRule="exact"/>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第七条本协议一式</w:t>
      </w:r>
      <w:r>
        <w:rPr>
          <w:rFonts w:hint="eastAsia" w:ascii="宋体" w:hAnsi="宋体" w:eastAsia="宋体" w:cs="宋体"/>
          <w:bCs/>
          <w:color w:val="auto"/>
          <w:szCs w:val="21"/>
          <w:highlight w:val="none"/>
          <w:u w:val="single"/>
        </w:rPr>
        <w:t>6</w:t>
      </w:r>
      <w:r>
        <w:rPr>
          <w:rFonts w:hint="eastAsia" w:ascii="宋体" w:hAnsi="宋体" w:eastAsia="宋体" w:cs="宋体"/>
          <w:bCs/>
          <w:color w:val="auto"/>
          <w:szCs w:val="21"/>
          <w:highlight w:val="none"/>
        </w:rPr>
        <w:t>份，甲方</w:t>
      </w:r>
      <w:r>
        <w:rPr>
          <w:rFonts w:hint="eastAsia" w:ascii="宋体" w:hAnsi="宋体" w:eastAsia="宋体" w:cs="宋体"/>
          <w:bCs/>
          <w:color w:val="auto"/>
          <w:szCs w:val="21"/>
          <w:highlight w:val="none"/>
          <w:u w:val="single"/>
        </w:rPr>
        <w:t>4</w:t>
      </w:r>
      <w:r>
        <w:rPr>
          <w:rFonts w:hint="eastAsia" w:ascii="宋体" w:hAnsi="宋体" w:eastAsia="宋体" w:cs="宋体"/>
          <w:bCs/>
          <w:color w:val="auto"/>
          <w:szCs w:val="21"/>
          <w:highlight w:val="none"/>
        </w:rPr>
        <w:t>份，乙方</w:t>
      </w:r>
      <w:r>
        <w:rPr>
          <w:rFonts w:hint="eastAsia" w:ascii="宋体" w:hAnsi="宋体" w:eastAsia="宋体" w:cs="宋体"/>
          <w:bCs/>
          <w:color w:val="auto"/>
          <w:szCs w:val="21"/>
          <w:highlight w:val="none"/>
          <w:u w:val="single"/>
        </w:rPr>
        <w:t>2</w:t>
      </w:r>
      <w:r>
        <w:rPr>
          <w:rFonts w:hint="eastAsia" w:ascii="宋体" w:hAnsi="宋体" w:eastAsia="宋体" w:cs="宋体"/>
          <w:bCs/>
          <w:color w:val="auto"/>
          <w:szCs w:val="21"/>
          <w:highlight w:val="none"/>
        </w:rPr>
        <w:t>份。</w:t>
      </w:r>
    </w:p>
    <w:p>
      <w:pPr>
        <w:spacing w:line="52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甲方（盖章）：                     乙方（盖章）：</w:t>
      </w:r>
    </w:p>
    <w:p>
      <w:pPr>
        <w:tabs>
          <w:tab w:val="left" w:pos="5100"/>
        </w:tabs>
        <w:spacing w:line="520" w:lineRule="exact"/>
        <w:ind w:left="6300" w:hanging="6300" w:hangingChars="3000"/>
        <w:rPr>
          <w:rFonts w:ascii="宋体" w:hAnsi="宋体" w:eastAsia="宋体" w:cs="宋体"/>
          <w:bCs/>
          <w:color w:val="auto"/>
          <w:szCs w:val="21"/>
          <w:highlight w:val="none"/>
        </w:rPr>
      </w:pPr>
      <w:r>
        <w:rPr>
          <w:rFonts w:hint="eastAsia" w:ascii="宋体" w:hAnsi="宋体" w:eastAsia="宋体" w:cs="宋体"/>
          <w:bCs/>
          <w:color w:val="auto"/>
          <w:szCs w:val="21"/>
          <w:highlight w:val="none"/>
        </w:rPr>
        <w:t>签约代表：                         签约代表：</w:t>
      </w:r>
    </w:p>
    <w:p>
      <w:pPr>
        <w:tabs>
          <w:tab w:val="left" w:pos="4170"/>
        </w:tabs>
        <w:spacing w:line="520" w:lineRule="exact"/>
        <w:rPr>
          <w:rFonts w:ascii="宋体" w:hAnsi="宋体" w:eastAsia="宋体" w:cs="宋体"/>
          <w:bCs/>
          <w:color w:val="auto"/>
          <w:szCs w:val="21"/>
          <w:highlight w:val="none"/>
        </w:rPr>
      </w:pPr>
      <w:r>
        <w:rPr>
          <w:rFonts w:hint="eastAsia" w:ascii="宋体" w:hAnsi="宋体" w:eastAsia="宋体" w:cs="宋体"/>
          <w:bCs/>
          <w:color w:val="auto"/>
          <w:szCs w:val="21"/>
          <w:highlight w:val="none"/>
        </w:rPr>
        <w:t>日期:    年  月  日</w:t>
      </w:r>
      <w:r>
        <w:rPr>
          <w:rFonts w:hint="eastAsia" w:ascii="宋体" w:hAnsi="宋体" w:eastAsia="宋体" w:cs="宋体"/>
          <w:bCs/>
          <w:color w:val="auto"/>
          <w:szCs w:val="21"/>
          <w:highlight w:val="none"/>
        </w:rPr>
        <w:tab/>
      </w:r>
      <w:r>
        <w:rPr>
          <w:rFonts w:hint="eastAsia" w:ascii="宋体" w:hAnsi="宋体" w:eastAsia="宋体" w:cs="宋体"/>
          <w:bCs/>
          <w:color w:val="auto"/>
          <w:szCs w:val="21"/>
          <w:highlight w:val="none"/>
        </w:rPr>
        <w:t>日期：  年  月  日</w:t>
      </w:r>
    </w:p>
    <w:p>
      <w:pPr>
        <w:spacing w:line="540" w:lineRule="exact"/>
        <w:rPr>
          <w:rFonts w:ascii="宋体" w:hAnsi="宋体" w:eastAsia="宋体" w:cs="宋体"/>
          <w:color w:val="auto"/>
          <w:szCs w:val="21"/>
          <w:highlight w:val="none"/>
        </w:rPr>
        <w:sectPr>
          <w:pgSz w:w="11906" w:h="16838"/>
          <w:pgMar w:top="1418" w:right="1474" w:bottom="1985" w:left="1588" w:header="851" w:footer="992" w:gutter="0"/>
          <w:cols w:space="425" w:num="1"/>
          <w:titlePg/>
          <w:docGrid w:type="lines" w:linePitch="312" w:charSpace="0"/>
        </w:sectPr>
      </w:pPr>
    </w:p>
    <w:p>
      <w:pPr>
        <w:spacing w:line="540" w:lineRule="exact"/>
        <w:rPr>
          <w:rFonts w:ascii="宋体" w:hAnsi="宋体" w:cs="宋体"/>
          <w:color w:val="auto"/>
          <w:szCs w:val="21"/>
          <w:highlight w:val="none"/>
        </w:rPr>
      </w:pPr>
      <w:r>
        <w:rPr>
          <w:rFonts w:hint="eastAsia" w:ascii="宋体" w:hAnsi="宋体" w:cs="宋体"/>
          <w:color w:val="auto"/>
          <w:szCs w:val="21"/>
          <w:highlight w:val="none"/>
        </w:rPr>
        <w:t>附件3</w:t>
      </w:r>
    </w:p>
    <w:p>
      <w:pPr>
        <w:spacing w:line="560" w:lineRule="exact"/>
        <w:jc w:val="center"/>
        <w:rPr>
          <w:rFonts w:ascii="宋体" w:hAnsi="宋体" w:cs="宋体"/>
          <w:b/>
          <w:color w:val="auto"/>
          <w:szCs w:val="21"/>
          <w:highlight w:val="none"/>
        </w:rPr>
      </w:pP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保密协议</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甲方：广州市净水有限公司</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乙方： </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甲乙双方就</w:t>
      </w:r>
      <w:r>
        <w:rPr>
          <w:rFonts w:hint="eastAsia" w:ascii="宋体" w:hAnsi="宋体" w:cs="宋体"/>
          <w:color w:val="auto"/>
          <w:szCs w:val="21"/>
          <w:highlight w:val="none"/>
          <w:u w:val="single"/>
        </w:rPr>
        <w:t xml:space="preserve"> 广州市净水有限公司2024年度</w:t>
      </w:r>
      <w:r>
        <w:rPr>
          <w:rFonts w:hint="eastAsia" w:ascii="宋体" w:hAnsi="宋体" w:cs="宋体"/>
          <w:color w:val="auto"/>
          <w:szCs w:val="21"/>
          <w:highlight w:val="none"/>
          <w:u w:val="single"/>
          <w:lang w:eastAsia="zh-CN"/>
        </w:rPr>
        <w:t>网络信息设备运维及安全服务项目</w:t>
      </w:r>
      <w:r>
        <w:rPr>
          <w:rFonts w:hint="eastAsia" w:ascii="宋体" w:hAnsi="宋体" w:eastAsia="宋体" w:cs="宋体"/>
          <w:bCs/>
          <w:color w:val="auto"/>
          <w:sz w:val="21"/>
          <w:szCs w:val="21"/>
          <w:highlight w:val="none"/>
          <w:u w:val="single"/>
          <w:lang w:val="en-US" w:eastAsia="zh-CN"/>
        </w:rPr>
        <w:t>（</w:t>
      </w:r>
      <w:r>
        <w:rPr>
          <w:rFonts w:hint="eastAsia" w:ascii="宋体" w:hAnsi="宋体" w:eastAsia="宋体" w:cs="宋体"/>
          <w:b w:val="0"/>
          <w:bCs/>
          <w:color w:val="auto"/>
          <w:sz w:val="21"/>
          <w:szCs w:val="21"/>
          <w:highlight w:val="none"/>
          <w:u w:val="single"/>
        </w:rPr>
        <w:t>穗净水合[    ]   号</w:t>
      </w:r>
      <w:r>
        <w:rPr>
          <w:rFonts w:hint="eastAsia" w:ascii="宋体" w:hAnsi="宋体" w:eastAsia="宋体" w:cs="宋体"/>
          <w:bCs/>
          <w:color w:val="auto"/>
          <w:sz w:val="21"/>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（以下简称“项目”）实施及合作过程中，提供有关的保密信息，经双方协商一致，签订本协议。</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一、保密信息内容</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 在合作过程中，乙方从甲方（或者子公司、关联公司）获得与合作有关或因合作产生的商业、技术、生产、运营数据或其他性质的资料。保密信息传递形式包括且不限于口头、图像、光盘、软件、书面等。</w:t>
      </w:r>
    </w:p>
    <w:p>
      <w:pPr>
        <w:pStyle w:val="37"/>
        <w:kinsoku w:val="0"/>
        <w:overflowPunct w:val="0"/>
        <w:autoSpaceDE w:val="0"/>
        <w:autoSpaceDN w:val="0"/>
        <w:spacing w:line="440" w:lineRule="exact"/>
        <w:ind w:left="420" w:firstLine="0" w:firstLineChars="0"/>
        <w:jc w:val="left"/>
        <w:textAlignment w:val="baseline"/>
        <w:rPr>
          <w:rFonts w:ascii="宋体" w:hAnsi="宋体" w:cs="宋体"/>
          <w:color w:val="auto"/>
          <w:szCs w:val="21"/>
          <w:highlight w:val="none"/>
        </w:rPr>
      </w:pPr>
      <w:r>
        <w:rPr>
          <w:rFonts w:hint="eastAsia" w:ascii="宋体" w:hAnsi="宋体" w:cs="宋体"/>
          <w:color w:val="auto"/>
          <w:szCs w:val="21"/>
          <w:highlight w:val="none"/>
        </w:rPr>
        <w:t>二、保密义务</w:t>
      </w:r>
    </w:p>
    <w:p>
      <w:pPr>
        <w:pStyle w:val="37"/>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1.甲方向乙方提供所有资料，仅供该项目合作使用，乙方应妥善保</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管，不得遗失、转借、复印。</w:t>
      </w:r>
    </w:p>
    <w:p>
      <w:pPr>
        <w:pStyle w:val="37"/>
        <w:kinsoku w:val="0"/>
        <w:overflowPunct w:val="0"/>
        <w:autoSpaceDE w:val="0"/>
        <w:autoSpaceDN w:val="0"/>
        <w:spacing w:line="440" w:lineRule="exact"/>
        <w:ind w:left="420" w:firstLine="105" w:firstLineChars="50"/>
        <w:jc w:val="left"/>
        <w:textAlignment w:val="baseline"/>
        <w:rPr>
          <w:rFonts w:ascii="宋体" w:hAnsi="宋体" w:cs="宋体"/>
          <w:color w:val="auto"/>
          <w:szCs w:val="21"/>
          <w:highlight w:val="none"/>
        </w:rPr>
      </w:pPr>
      <w:r>
        <w:rPr>
          <w:rFonts w:hint="eastAsia" w:ascii="宋体" w:hAnsi="宋体" w:cs="宋体"/>
          <w:color w:val="auto"/>
          <w:szCs w:val="21"/>
          <w:highlight w:val="none"/>
        </w:rPr>
        <w:t>2.所有甲方提供给乙方的材料和乙方在为甲方提供信息技术服务</w:t>
      </w:r>
    </w:p>
    <w:p>
      <w:pPr>
        <w:kinsoku w:val="0"/>
        <w:overflowPunct w:val="0"/>
        <w:autoSpaceDE w:val="0"/>
        <w:autoSpaceDN w:val="0"/>
        <w:spacing w:line="440" w:lineRule="exact"/>
        <w:jc w:val="left"/>
        <w:textAlignment w:val="baseline"/>
        <w:rPr>
          <w:rFonts w:ascii="宋体" w:hAnsi="宋体" w:cs="宋体"/>
          <w:color w:val="auto"/>
          <w:szCs w:val="21"/>
          <w:highlight w:val="none"/>
        </w:rPr>
      </w:pPr>
      <w:r>
        <w:rPr>
          <w:rFonts w:hint="eastAsia" w:ascii="宋体" w:hAnsi="宋体" w:cs="宋体"/>
          <w:color w:val="auto"/>
          <w:szCs w:val="21"/>
          <w:highlight w:val="none"/>
        </w:rPr>
        <w:t>过程中获得的甲方的保密信息，在甲方要求时应立即归还并删除存储于乙方电脑、服务器或其他存储介质的有关信息。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3.乙方应自觉维护甲方的利益，严格遵守保密规定，不得向任何单位或个人泄露甲方的任何资料和信息。</w:t>
      </w:r>
    </w:p>
    <w:p>
      <w:pPr>
        <w:kinsoku w:val="0"/>
        <w:overflowPunct w:val="0"/>
        <w:autoSpaceDE w:val="0"/>
        <w:autoSpaceDN w:val="0"/>
        <w:spacing w:line="440" w:lineRule="exact"/>
        <w:ind w:firstLine="420" w:firstLineChars="200"/>
        <w:jc w:val="left"/>
        <w:textAlignment w:val="baseline"/>
        <w:rPr>
          <w:rFonts w:ascii="宋体" w:hAnsi="宋体" w:cs="宋体"/>
          <w:color w:val="auto"/>
          <w:szCs w:val="21"/>
          <w:highlight w:val="none"/>
        </w:rPr>
      </w:pPr>
      <w:r>
        <w:rPr>
          <w:rFonts w:hint="eastAsia" w:ascii="宋体" w:hAnsi="宋体" w:cs="宋体"/>
          <w:color w:val="auto"/>
          <w:szCs w:val="21"/>
          <w:highlight w:val="none"/>
        </w:rPr>
        <w:t>4. 乙方同意并承诺，如保密信息未经甲方许可泄露给他人，一经证实，乙方承担因此造成的一切保密、经济、法律责任，同时赔偿给甲方造成的一切损失。</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三、本协议作为</w:t>
      </w:r>
      <w:r>
        <w:rPr>
          <w:rFonts w:hint="eastAsia" w:ascii="宋体" w:hAnsi="宋体" w:eastAsia="宋体" w:cs="宋体"/>
          <w:color w:val="auto"/>
          <w:sz w:val="21"/>
          <w:szCs w:val="21"/>
          <w:highlight w:val="none"/>
          <w:u w:val="single"/>
          <w:lang w:val="en-US" w:eastAsia="zh-CN"/>
        </w:rPr>
        <w:t>合同名</w:t>
      </w:r>
      <w:r>
        <w:rPr>
          <w:rFonts w:hint="eastAsia" w:ascii="宋体" w:hAnsi="宋体" w:eastAsia="宋体" w:cs="宋体"/>
          <w:bCs/>
          <w:color w:val="auto"/>
          <w:sz w:val="21"/>
          <w:szCs w:val="21"/>
          <w:highlight w:val="none"/>
          <w:u w:val="single"/>
          <w:lang w:val="en-US" w:eastAsia="zh-CN"/>
        </w:rPr>
        <w:t>称（</w:t>
      </w:r>
      <w:r>
        <w:rPr>
          <w:rFonts w:hint="eastAsia" w:ascii="宋体" w:hAnsi="宋体" w:eastAsia="宋体" w:cs="宋体"/>
          <w:b w:val="0"/>
          <w:bCs/>
          <w:color w:val="auto"/>
          <w:sz w:val="21"/>
          <w:szCs w:val="21"/>
          <w:highlight w:val="none"/>
          <w:u w:val="single"/>
        </w:rPr>
        <w:t>穗净水合[    ]   号</w:t>
      </w:r>
      <w:r>
        <w:rPr>
          <w:rFonts w:hint="eastAsia" w:ascii="宋体" w:hAnsi="宋体" w:eastAsia="宋体" w:cs="宋体"/>
          <w:bCs/>
          <w:color w:val="auto"/>
          <w:sz w:val="21"/>
          <w:szCs w:val="21"/>
          <w:highlight w:val="none"/>
          <w:u w:val="single"/>
          <w:lang w:val="en-US" w:eastAsia="zh-CN"/>
        </w:rPr>
        <w:t>）</w:t>
      </w:r>
      <w:r>
        <w:rPr>
          <w:rFonts w:hint="eastAsia" w:ascii="宋体" w:hAnsi="宋体" w:cs="宋体"/>
          <w:color w:val="auto"/>
          <w:szCs w:val="21"/>
          <w:highlight w:val="none"/>
        </w:rPr>
        <w:t>合同的附件，并具有同等的法律效力，本协议自双方签字盖章之日起生效，与主合同同时终止。</w:t>
      </w:r>
    </w:p>
    <w:p>
      <w:pPr>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四、本协议一式</w:t>
      </w:r>
      <w:r>
        <w:rPr>
          <w:rFonts w:hint="eastAsia" w:ascii="宋体" w:hAnsi="宋体" w:cs="宋体"/>
          <w:color w:val="auto"/>
          <w:szCs w:val="21"/>
          <w:highlight w:val="none"/>
          <w:u w:val="single"/>
        </w:rPr>
        <w:t xml:space="preserve"> 6  </w:t>
      </w:r>
      <w:r>
        <w:rPr>
          <w:rFonts w:hint="eastAsia" w:ascii="宋体" w:hAnsi="宋体" w:cs="宋体"/>
          <w:color w:val="auto"/>
          <w:szCs w:val="21"/>
          <w:highlight w:val="none"/>
        </w:rPr>
        <w:t>份，甲方执</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份，乙方执</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份。</w:t>
      </w: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p>
    <w:p>
      <w:pPr>
        <w:kinsoku w:val="0"/>
        <w:overflowPunct w:val="0"/>
        <w:autoSpaceDE w:val="0"/>
        <w:autoSpaceDN w:val="0"/>
        <w:spacing w:line="440" w:lineRule="exact"/>
        <w:ind w:left="4410" w:leftChars="200" w:hanging="3990" w:hangingChars="190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甲方（盖章）：               乙方（盖章）：       </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签约代表：                   签约代表：</w:t>
      </w:r>
    </w:p>
    <w:p>
      <w:pPr>
        <w:kinsoku w:val="0"/>
        <w:overflowPunct w:val="0"/>
        <w:autoSpaceDE w:val="0"/>
        <w:autoSpaceDN w:val="0"/>
        <w:spacing w:line="440" w:lineRule="exact"/>
        <w:ind w:firstLine="315" w:firstLineChars="150"/>
        <w:jc w:val="left"/>
        <w:textAlignment w:val="baseline"/>
        <w:rPr>
          <w:rFonts w:ascii="宋体" w:hAnsi="宋体" w:cs="宋体"/>
          <w:color w:val="auto"/>
          <w:szCs w:val="21"/>
          <w:highlight w:val="none"/>
        </w:rPr>
      </w:pPr>
      <w:r>
        <w:rPr>
          <w:rFonts w:hint="eastAsia" w:ascii="宋体" w:hAnsi="宋体" w:cs="宋体"/>
          <w:color w:val="auto"/>
          <w:szCs w:val="21"/>
          <w:highlight w:val="none"/>
        </w:rPr>
        <w:t xml:space="preserve">日期：                       日期：  </w:t>
      </w:r>
    </w:p>
    <w:p>
      <w:pPr>
        <w:spacing w:line="560" w:lineRule="exact"/>
        <w:rPr>
          <w:rFonts w:ascii="宋体" w:hAnsi="宋体" w:cs="宋体"/>
          <w:color w:val="auto"/>
          <w:szCs w:val="21"/>
          <w:highlight w:val="none"/>
        </w:rPr>
        <w:sectPr>
          <w:footerReference r:id="rId8" w:type="first"/>
          <w:footerReference r:id="rId7" w:type="default"/>
          <w:pgSz w:w="11906" w:h="16838"/>
          <w:pgMar w:top="1418" w:right="1474" w:bottom="1985" w:left="1588" w:header="851" w:footer="992" w:gutter="0"/>
          <w:cols w:space="425" w:num="1"/>
          <w:titlePg/>
          <w:docGrid w:type="lines" w:linePitch="312" w:charSpace="0"/>
        </w:sectPr>
      </w:pPr>
    </w:p>
    <w:p>
      <w:pPr>
        <w:spacing w:line="560" w:lineRule="exact"/>
        <w:rPr>
          <w:rFonts w:ascii="宋体" w:hAnsi="宋体" w:cs="宋体"/>
          <w:b/>
          <w:color w:val="auto"/>
          <w:szCs w:val="21"/>
          <w:highlight w:val="none"/>
        </w:rPr>
      </w:pPr>
      <w:r>
        <w:rPr>
          <w:rFonts w:hint="eastAsia" w:ascii="宋体" w:hAnsi="宋体" w:cs="宋体"/>
          <w:color w:val="auto"/>
          <w:szCs w:val="21"/>
          <w:highlight w:val="none"/>
        </w:rPr>
        <w:t>附件4</w:t>
      </w:r>
      <w:r>
        <w:rPr>
          <w:rFonts w:hint="eastAsia" w:ascii="宋体" w:hAnsi="宋体" w:cs="宋体"/>
          <w:b/>
          <w:color w:val="auto"/>
          <w:szCs w:val="21"/>
          <w:highlight w:val="none"/>
        </w:rPr>
        <w:t>安全管理协议书</w:t>
      </w:r>
    </w:p>
    <w:p>
      <w:pPr>
        <w:spacing w:line="440" w:lineRule="exact"/>
        <w:jc w:val="center"/>
        <w:rPr>
          <w:rFonts w:ascii="宋体" w:hAnsi="宋体" w:cs="宋体"/>
          <w:b/>
          <w:bCs/>
          <w:color w:val="auto"/>
          <w:szCs w:val="21"/>
          <w:highlight w:val="none"/>
        </w:rPr>
      </w:pPr>
    </w:p>
    <w:p>
      <w:pPr>
        <w:spacing w:line="44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安全管理协议书</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广州市净水有限公司</w:t>
      </w:r>
    </w:p>
    <w:p>
      <w:pPr>
        <w:adjustRightInd w:val="0"/>
        <w:snapToGrid w:val="0"/>
        <w:spacing w:line="440" w:lineRule="exact"/>
        <w:ind w:firstLine="420" w:firstLineChars="200"/>
        <w:jc w:val="left"/>
        <w:rPr>
          <w:rStyle w:val="30"/>
          <w:rFonts w:ascii="宋体" w:hAnsi="宋体" w:cs="宋体"/>
          <w:b w:val="0"/>
          <w:color w:val="auto"/>
          <w:szCs w:val="21"/>
          <w:highlight w:val="none"/>
          <w:u w:val="single"/>
        </w:rPr>
      </w:pPr>
      <w:r>
        <w:rPr>
          <w:rFonts w:hint="eastAsia" w:ascii="宋体" w:hAnsi="宋体" w:cs="宋体"/>
          <w:color w:val="auto"/>
          <w:szCs w:val="21"/>
          <w:highlight w:val="none"/>
        </w:rPr>
        <w:t xml:space="preserve">承包人: </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根据《中华人民共和国安全生产法》《中华人民共和国建筑法》《建设工程安全生产管理条例》《生产安全事故报告和调查处理条例》《中华人民共和国职业病防治法》《</w:t>
      </w:r>
      <w:r>
        <w:rPr>
          <w:rFonts w:hint="eastAsia" w:ascii="宋体" w:hAnsi="宋体" w:cs="宋体"/>
          <w:color w:val="auto"/>
          <w:sz w:val="24"/>
          <w:highlight w:val="none"/>
        </w:rPr>
        <w:t>工作场所职业卫生管理规定</w:t>
      </w:r>
      <w:r>
        <w:rPr>
          <w:rFonts w:hint="eastAsia" w:ascii="宋体" w:hAnsi="宋体" w:cs="宋体"/>
          <w:color w:val="auto"/>
          <w:szCs w:val="21"/>
          <w:highlight w:val="none"/>
        </w:rPr>
        <w:t>》《用人单位职业健康监护监督管理办法》《广州市职业卫生监督管理规定》等法律法规, 经双方协商，签订本协议书，以明确各自的安全生产、职业卫生责任并共同遵守。</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一、本协议与主合同的关系</w:t>
      </w:r>
    </w:p>
    <w:p>
      <w:pPr>
        <w:adjustRightInd w:val="0"/>
        <w:snapToGrid w:val="0"/>
        <w:spacing w:line="440" w:lineRule="exact"/>
        <w:ind w:left="105"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本协议作为</w:t>
      </w:r>
      <w:r>
        <w:rPr>
          <w:rFonts w:hint="eastAsia" w:ascii="宋体" w:hAnsi="宋体" w:cs="宋体"/>
          <w:color w:val="auto"/>
          <w:szCs w:val="21"/>
          <w:highlight w:val="none"/>
          <w:u w:val="single"/>
        </w:rPr>
        <w:t xml:space="preserve">  </w:t>
      </w:r>
      <w:r>
        <w:rPr>
          <w:rFonts w:hint="eastAsia" w:ascii="宋体" w:hAnsi="宋体" w:eastAsia="宋体" w:cs="宋体"/>
          <w:color w:val="auto"/>
          <w:sz w:val="21"/>
          <w:szCs w:val="21"/>
          <w:highlight w:val="none"/>
          <w:u w:val="single"/>
          <w:lang w:val="en-US" w:eastAsia="zh-CN"/>
        </w:rPr>
        <w:t>合同名</w:t>
      </w:r>
      <w:r>
        <w:rPr>
          <w:rFonts w:hint="eastAsia" w:ascii="宋体" w:hAnsi="宋体" w:eastAsia="宋体" w:cs="宋体"/>
          <w:bCs/>
          <w:color w:val="auto"/>
          <w:sz w:val="21"/>
          <w:szCs w:val="21"/>
          <w:highlight w:val="none"/>
          <w:u w:val="single"/>
          <w:lang w:val="en-US" w:eastAsia="zh-CN"/>
        </w:rPr>
        <w:t>称（</w:t>
      </w:r>
      <w:r>
        <w:rPr>
          <w:rFonts w:hint="eastAsia" w:ascii="宋体" w:hAnsi="宋体" w:eastAsia="宋体" w:cs="宋体"/>
          <w:b w:val="0"/>
          <w:bCs/>
          <w:color w:val="auto"/>
          <w:sz w:val="21"/>
          <w:szCs w:val="21"/>
          <w:highlight w:val="none"/>
          <w:u w:val="single"/>
        </w:rPr>
        <w:t>穗净水合[    ]   号</w:t>
      </w:r>
      <w:r>
        <w:rPr>
          <w:rFonts w:hint="eastAsia" w:ascii="宋体" w:hAnsi="宋体" w:eastAsia="宋体" w:cs="宋体"/>
          <w:bCs/>
          <w:color w:val="auto"/>
          <w:sz w:val="21"/>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的组成部分，与主合同具有同等法律。</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二、发包人、承包人双方的责任、权利和义务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（一）发包人的责任、权利和义务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1.贯彻落实国家、地方及发包人有关安全生产、职业卫生的法律法规和规章制度，对承包人承包作业的安全管理、职业卫生管理工作进行监督管理。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2.审查承包人安全资质以及承包内容所要求具备的资质条件。</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3.监督承包人严格落实《广州市净水有限公司工程项目安全管理标准化手册》（以下简称“标准化手册”）。</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4.对承包人技术服务过程的安全管理进行监督检查；及时纠正承包人生产作业人员违章指挥、违章作业、违反劳动纪律等行为，对承包人生产区域内的事故隐患，开具隐患通知单，责令限期整改。</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（二）承包人的责任、权利和义务</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1.对技术服务范围内的安全管理工作负主体责任。贯彻落实国家有关安全管理的法律法规和管理规定，遵守并执行发包人的各项管理制度，建立健全安全生产责任制及各项安全管理制度，并严格贯彻落实。</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 贯彻落实国家、地方及发包人有关职业卫生管理的法律法规和规章制度，按要求落实各项职位卫生防治工作。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3.严格按照资质范围进行作业，不得进行超资质范围的技术服务作业，不得将所承担的承包项目再次转包。</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4.接受发包人对安全管理工作的监督检查，服从发包人管理，对发包人口头提出或书面签发提出的隐患整改通知单应按照规定要求进行处理。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5.承包人必须统一组织、严格管理，不得随意换人、加人和顶替，若需换人、加人必须事先征得发包人同意。</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对承包人人员的安全培训、劳动保护用品的配发和使用以及危险告知工作提出指导意见，监督落实情况，并对承包人管理人员及主要作业人员进行安全教育培训，告知承包人发包人的安全管理制度，对承包人提出的安全生产请求积极提供帮助。</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三、协议内容                                                </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 发包人、承包人双方均具有独立法人资格，按照责任权利对等的原则，承包人对承包的技术服务工作实行自主管理，负主体责任，发包人对承包人承包的工作实施监督管理。</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2.承包人须严格按照发包人制定的《标准化手册》的要求落实各项安全生产管理工作。</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3.发包人参照《标准化手册》等承包商考核办法对承包人进行定期考核，并有权根据考核结果对承包人采取经济处罚、诚信扣分及限制其继续承揽发包人发包的工程。</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4.承包人应严格履行本安全管理协议，遵守发包人各项管理规定，服从管理，否则视为违约，违约金缴纳标准及形式参照发包人管理制度相关标准执行。</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四、事故责任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1.在承包人承包范围内，由于承包人责任发生生产安全事故时，造成的发包人、承包人或者第三方人身伤害事故，承包人负全部责任。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2.承包人人员在非承包区域遭受意外伤害的，承包人负全部责任。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3.承包人人员违规进入发包人或第三方承包区域，造成事故的，承包人负全部事故责任；承包人人员遭受人身伤害的，承包人负全部责任。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5.承包人在发包人生产区域内发生生产安全事故后，必须在第一时间向发包人报告，迟报或者隐瞒不报生产安全事故，承担事故的全部责任。</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6.承包人各类人员在发包人生产区域内发生人身伤害事故和其他事故，由承包人负责调查、处理和统计上报，并报发包人安全监督部门备案。</w:t>
      </w:r>
    </w:p>
    <w:p>
      <w:pPr>
        <w:adjustRightInd w:val="0"/>
        <w:snapToGrid w:val="0"/>
        <w:spacing w:line="440" w:lineRule="exact"/>
        <w:jc w:val="left"/>
        <w:rPr>
          <w:rFonts w:ascii="宋体" w:hAnsi="宋体" w:cs="宋体"/>
          <w:color w:val="auto"/>
          <w:szCs w:val="21"/>
          <w:highlight w:val="none"/>
        </w:rPr>
      </w:pPr>
      <w:r>
        <w:rPr>
          <w:rFonts w:hint="eastAsia" w:ascii="宋体" w:hAnsi="宋体" w:cs="宋体"/>
          <w:color w:val="auto"/>
          <w:szCs w:val="21"/>
          <w:highlight w:val="none"/>
        </w:rPr>
        <w:t>7.本协议未尽事宜，依据有关法规。规章处理，法规、规章没有明确规定的，经双方协商处理解决。</w:t>
      </w:r>
    </w:p>
    <w:p>
      <w:pPr>
        <w:adjustRightInd w:val="0"/>
        <w:snapToGrid w:val="0"/>
        <w:spacing w:line="440" w:lineRule="exact"/>
        <w:jc w:val="left"/>
        <w:rPr>
          <w:rFonts w:ascii="宋体" w:hAnsi="宋体" w:cs="宋体"/>
          <w:color w:val="auto"/>
          <w:szCs w:val="21"/>
          <w:highlight w:val="none"/>
        </w:rPr>
      </w:pPr>
    </w:p>
    <w:p>
      <w:pPr>
        <w:pStyle w:val="40"/>
        <w:spacing w:line="440" w:lineRule="exact"/>
        <w:rPr>
          <w:rFonts w:ascii="宋体" w:hAnsi="宋体" w:cs="宋体"/>
          <w:color w:val="auto"/>
          <w:szCs w:val="21"/>
          <w:highlight w:val="none"/>
        </w:rPr>
      </w:pPr>
      <w:r>
        <w:rPr>
          <w:rFonts w:hint="eastAsia" w:ascii="宋体" w:hAnsi="宋体" w:cs="宋体"/>
          <w:b/>
          <w:color w:val="auto"/>
          <w:szCs w:val="21"/>
          <w:highlight w:val="none"/>
        </w:rPr>
        <w:t>五、补充条款：</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adjustRightInd w:val="0"/>
        <w:snapToGrid w:val="0"/>
        <w:spacing w:line="440" w:lineRule="exact"/>
        <w:jc w:val="left"/>
        <w:rPr>
          <w:rFonts w:ascii="宋体" w:hAnsi="宋体" w:cs="宋体"/>
          <w:b/>
          <w:color w:val="auto"/>
          <w:szCs w:val="21"/>
          <w:highlight w:val="none"/>
        </w:rPr>
      </w:pPr>
      <w:r>
        <w:rPr>
          <w:rFonts w:hint="eastAsia" w:ascii="宋体" w:hAnsi="宋体" w:cs="宋体"/>
          <w:b/>
          <w:color w:val="auto"/>
          <w:szCs w:val="21"/>
          <w:highlight w:val="none"/>
        </w:rPr>
        <w:t>六、附则</w:t>
      </w:r>
    </w:p>
    <w:p>
      <w:pPr>
        <w:adjustRightInd w:val="0"/>
        <w:snapToGrid w:val="0"/>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本协议与主合同同时签订、同时终止、同时生效，具有相同的法律效力，自发包人、承包人双方签字、盖章生效，发包人执</w:t>
      </w:r>
      <w:r>
        <w:rPr>
          <w:rFonts w:hint="eastAsia" w:ascii="宋体" w:hAnsi="宋体" w:cs="宋体"/>
          <w:color w:val="auto"/>
          <w:szCs w:val="21"/>
          <w:highlight w:val="none"/>
          <w:u w:val="single"/>
        </w:rPr>
        <w:t xml:space="preserve"> 4 </w:t>
      </w:r>
      <w:r>
        <w:rPr>
          <w:rFonts w:hint="eastAsia" w:ascii="宋体" w:hAnsi="宋体" w:cs="宋体"/>
          <w:color w:val="auto"/>
          <w:szCs w:val="21"/>
          <w:highlight w:val="none"/>
        </w:rPr>
        <w:t>份，承包人执</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份。</w:t>
      </w:r>
    </w:p>
    <w:p>
      <w:pPr>
        <w:adjustRightInd w:val="0"/>
        <w:snapToGrid w:val="0"/>
        <w:spacing w:line="440" w:lineRule="exact"/>
        <w:rPr>
          <w:rFonts w:ascii="宋体" w:hAnsi="宋体" w:cs="宋体"/>
          <w:color w:val="auto"/>
          <w:szCs w:val="21"/>
          <w:highlight w:val="none"/>
        </w:rPr>
      </w:pPr>
    </w:p>
    <w:p>
      <w:pPr>
        <w:adjustRightInd w:val="0"/>
        <w:snapToGrid w:val="0"/>
        <w:spacing w:line="440" w:lineRule="exact"/>
        <w:ind w:left="1165" w:leftChars="5" w:hanging="1155" w:hangingChars="550"/>
        <w:rPr>
          <w:rFonts w:ascii="宋体" w:hAnsi="宋体" w:cs="宋体"/>
          <w:color w:val="auto"/>
          <w:szCs w:val="21"/>
          <w:highlight w:val="none"/>
        </w:rPr>
      </w:pPr>
      <w:r>
        <w:rPr>
          <w:rFonts w:hint="eastAsia" w:ascii="宋体" w:hAnsi="宋体" w:cs="宋体"/>
          <w:color w:val="auto"/>
          <w:szCs w:val="21"/>
          <w:highlight w:val="none"/>
        </w:rPr>
        <w:t xml:space="preserve">   发包人代表 （章）：                             承包人代表（章）：                                                           　　              　　　　　　　</w:t>
      </w:r>
    </w:p>
    <w:p>
      <w:pPr>
        <w:adjustRightInd w:val="0"/>
        <w:snapToGrid w:val="0"/>
        <w:spacing w:line="440" w:lineRule="exact"/>
        <w:rPr>
          <w:rFonts w:ascii="宋体" w:hAnsi="宋体" w:cs="宋体"/>
          <w:color w:val="auto"/>
          <w:szCs w:val="21"/>
          <w:highlight w:val="none"/>
        </w:rPr>
      </w:pPr>
      <w:r>
        <w:rPr>
          <w:rFonts w:hint="eastAsia" w:ascii="宋体" w:hAnsi="宋体" w:cs="宋体"/>
          <w:color w:val="auto"/>
          <w:szCs w:val="21"/>
          <w:highlight w:val="none"/>
        </w:rPr>
        <w:t xml:space="preserve">      年 　月　  日　　　　　                 年   月  　日</w:t>
      </w:r>
    </w:p>
    <w:p>
      <w:pPr>
        <w:adjustRightInd w:val="0"/>
        <w:snapToGrid w:val="0"/>
        <w:jc w:val="left"/>
        <w:rPr>
          <w:rFonts w:ascii="仿宋_GB2312" w:hAnsi="仿宋_GB2312" w:eastAsia="仿宋_GB2312" w:cs="仿宋_GB2312"/>
          <w:color w:val="auto"/>
          <w:sz w:val="24"/>
          <w:highlight w:val="none"/>
        </w:rPr>
      </w:pPr>
    </w:p>
    <w:p>
      <w:pPr>
        <w:spacing w:line="560" w:lineRule="exact"/>
        <w:rPr>
          <w:rFonts w:ascii="宋体" w:hAnsi="宋体" w:cs="宋体"/>
          <w:color w:val="auto"/>
          <w:szCs w:val="21"/>
          <w:highlight w:val="none"/>
        </w:rPr>
        <w:sectPr>
          <w:footerReference r:id="rId10" w:type="first"/>
          <w:footerReference r:id="rId9" w:type="default"/>
          <w:pgSz w:w="11906" w:h="16838"/>
          <w:pgMar w:top="1418" w:right="1474" w:bottom="1985" w:left="1588" w:header="851" w:footer="992" w:gutter="0"/>
          <w:cols w:space="425" w:num="1"/>
          <w:titlePg/>
          <w:docGrid w:type="lines" w:linePitch="312" w:charSpace="0"/>
        </w:sectPr>
      </w:pPr>
    </w:p>
    <w:p>
      <w:pPr>
        <w:rPr>
          <w:rFonts w:hint="eastAsia" w:eastAsiaTheme="minorEastAsia"/>
          <w:color w:val="auto"/>
          <w:highlight w:val="none"/>
          <w:lang w:eastAsia="zh-CN"/>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5"/>
        <w:rPr>
          <w:color w:val="auto"/>
          <w:highlight w:val="none"/>
        </w:rPr>
      </w:pPr>
      <w:bookmarkStart w:id="83" w:name="_Toc21847"/>
      <w:bookmarkStart w:id="84" w:name="_Toc16552"/>
      <w:bookmarkStart w:id="85" w:name="_Toc23515"/>
      <w:bookmarkStart w:id="86" w:name="_Toc5129"/>
      <w:bookmarkStart w:id="87" w:name="_Toc6230"/>
      <w:bookmarkStart w:id="88" w:name="_Toc8147"/>
      <w:bookmarkStart w:id="89" w:name="_Toc12169"/>
      <w:bookmarkStart w:id="90" w:name="_Toc30824"/>
      <w:bookmarkStart w:id="91" w:name="_Toc1563"/>
      <w:bookmarkStart w:id="92" w:name="_Toc3723"/>
      <w:bookmarkStart w:id="93"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b+EzI8gEAAOM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jac2u7AUsPv&#10;Pn//9enL7deftz++scnzLFEfsCbPldvE0w7DJma+hzba/Ccm7FBkPZ5lVYfEBB2+nM3nMxJc3F9V&#10;D3EhYnqtvGXZaDimCHrXpZV3jnrn46SoCvs3mCgzBd4H5KTGsT7DT2cEDjSLLc0AmTYQH3S7Eove&#10;aHmtjckRGHfblYlsD3keypf5Ee5fbjnJGrAb/MrVMCmdAvnKSZaOgZRy9EB4LsEqyZlR9J6yRYBQ&#10;J9DmEk9KbRxVkCUeRM3W1stj0bqcU+9Ljac5zcP1575EP7zN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G/hMy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TO3Kd8gEAAOM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U1mWaI+YE2RK7eJpx2GTcx8D220+U9M2KHIejzLqg6JCTp8OZvPZyS4uHdV&#10;D3khYnqtvGXZaDimCHrXpZV3ju7Ox0lRFfZvMFFlSrxPyEWNY32Gn84IHGgWW5oBMm0gPuh2JRe9&#10;0fJaG5MzMO62KxPZHvI8lC/zI9y/wnKRNWA3xBXXMCmdAvnKSZaOgZRy9EB4bsEqyZlR9J6yRYBQ&#10;J9DmkkgqbRx1kCUeRM3W1stj0bqc092XHk9zmofrz33Jfnib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Eztynf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83"/>
      <w:bookmarkEnd w:id="84"/>
      <w:bookmarkEnd w:id="85"/>
      <w:bookmarkEnd w:id="86"/>
      <w:bookmarkEnd w:id="87"/>
      <w:bookmarkEnd w:id="88"/>
      <w:bookmarkEnd w:id="89"/>
      <w:bookmarkEnd w:id="90"/>
      <w:bookmarkEnd w:id="91"/>
      <w:bookmarkEnd w:id="92"/>
      <w:bookmarkEnd w:id="93"/>
    </w:p>
    <w:p>
      <w:pPr>
        <w:pStyle w:val="40"/>
        <w:rPr>
          <w:color w:val="auto"/>
          <w:highlight w:val="none"/>
        </w:rPr>
      </w:pPr>
    </w:p>
    <w:p>
      <w:pPr>
        <w:pStyle w:val="5"/>
        <w:rPr>
          <w:color w:val="auto"/>
          <w:highlight w:val="none"/>
        </w:rPr>
      </w:pPr>
      <w:bookmarkStart w:id="94" w:name="_Toc10840"/>
      <w:bookmarkStart w:id="95" w:name="_Toc5342"/>
      <w:bookmarkStart w:id="96" w:name="_Toc12769"/>
      <w:bookmarkStart w:id="97" w:name="_Toc87616388"/>
      <w:bookmarkStart w:id="98" w:name="_Toc17119"/>
      <w:bookmarkStart w:id="99" w:name="_Toc88209951"/>
      <w:bookmarkStart w:id="100" w:name="_Toc22764"/>
      <w:bookmarkStart w:id="101" w:name="_Toc30157"/>
      <w:bookmarkStart w:id="102" w:name="_Toc24815"/>
      <w:bookmarkStart w:id="103" w:name="_Toc21675"/>
      <w:bookmarkStart w:id="104" w:name="_Toc12610"/>
      <w:bookmarkStart w:id="105" w:name="_Toc31564"/>
      <w:bookmarkStart w:id="106" w:name="_Toc24490"/>
      <w:r>
        <w:rPr>
          <w:rFonts w:hint="eastAsia"/>
          <w:color w:val="auto"/>
          <w:highlight w:val="none"/>
        </w:rPr>
        <w:t>响应文件</w:t>
      </w:r>
      <w:r>
        <w:rPr>
          <w:rFonts w:hint="eastAsia"/>
          <w:color w:val="auto"/>
          <w:highlight w:val="none"/>
          <w:lang w:val="en-US" w:eastAsia="zh-CN"/>
        </w:rPr>
        <w:t>格式要求</w:t>
      </w:r>
      <w:bookmarkEnd w:id="94"/>
      <w:bookmarkEnd w:id="95"/>
      <w:bookmarkEnd w:id="96"/>
      <w:bookmarkEnd w:id="97"/>
      <w:bookmarkEnd w:id="98"/>
      <w:bookmarkEnd w:id="99"/>
      <w:bookmarkEnd w:id="100"/>
      <w:bookmarkEnd w:id="101"/>
      <w:bookmarkEnd w:id="102"/>
      <w:bookmarkEnd w:id="103"/>
      <w:bookmarkEnd w:id="104"/>
      <w:bookmarkEnd w:id="105"/>
      <w:bookmarkEnd w:id="10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ind w:left="0" w:leftChars="0" w:firstLine="0" w:firstLineChars="0"/>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beforeLines="-2147483648" w:afterLines="-2147483648" w:line="600" w:lineRule="exact"/>
        <w:ind w:left="1" w:right="560" w:firstLine="709" w:firstLineChars="197"/>
        <w:jc w:val="center"/>
        <w:rPr>
          <w:rFonts w:ascii="方正小标宋简体" w:eastAsia="方正小标宋简体"/>
          <w:color w:val="auto"/>
          <w:sz w:val="44"/>
          <w:szCs w:val="44"/>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7" w:name="_Toc87616389"/>
      <w:bookmarkStart w:id="108" w:name="_Toc88209952"/>
      <w:r>
        <w:rPr>
          <w:rFonts w:hint="eastAsia" w:ascii="仿宋_GB2312" w:eastAsia="仿宋_GB2312"/>
          <w:color w:val="auto"/>
          <w:sz w:val="28"/>
          <w:szCs w:val="28"/>
          <w:highlight w:val="none"/>
        </w:rPr>
        <w:t>1.响应函</w:t>
      </w:r>
      <w:bookmarkEnd w:id="107"/>
      <w:bookmarkEnd w:id="108"/>
    </w:p>
    <w:p>
      <w:pPr>
        <w:spacing w:line="600" w:lineRule="exact"/>
        <w:rPr>
          <w:rFonts w:hint="eastAsia" w:ascii="仿宋_GB2312" w:eastAsia="仿宋_GB2312"/>
          <w:color w:val="auto"/>
          <w:sz w:val="28"/>
          <w:szCs w:val="28"/>
          <w:highlight w:val="none"/>
        </w:rPr>
      </w:pPr>
      <w:bookmarkStart w:id="109" w:name="_Toc87616390"/>
      <w:bookmarkStart w:id="110" w:name="_Toc88209953"/>
      <w:r>
        <w:rPr>
          <w:rFonts w:hint="eastAsia" w:ascii="仿宋_GB2312" w:eastAsia="仿宋_GB2312"/>
          <w:color w:val="auto"/>
          <w:sz w:val="28"/>
          <w:szCs w:val="28"/>
          <w:highlight w:val="none"/>
        </w:rPr>
        <w:t>2.法定代表人证明或授权委托书</w:t>
      </w:r>
      <w:bookmarkEnd w:id="109"/>
      <w:bookmarkEnd w:id="110"/>
      <w:bookmarkStart w:id="111" w:name="_Toc87616393"/>
      <w:bookmarkStart w:id="11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val="en-US" w:eastAsia="zh-CN"/>
        </w:rPr>
        <w:t>6.承诺函</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11"/>
      <w:bookmarkEnd w:id="11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8"/>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7"/>
        <w:rPr>
          <w:rFonts w:asciiTheme="minorEastAsia" w:hAnsiTheme="minorEastAsia" w:eastAsiaTheme="minorEastAsia"/>
          <w:color w:val="auto"/>
          <w:sz w:val="28"/>
          <w:szCs w:val="28"/>
          <w:highlight w:val="none"/>
        </w:rPr>
      </w:pPr>
      <w:bookmarkStart w:id="113" w:name="_Toc87616394"/>
      <w:bookmarkStart w:id="114" w:name="_Toc28619645"/>
      <w:bookmarkStart w:id="115" w:name="_Toc12665"/>
      <w:bookmarkStart w:id="116" w:name="_Toc6313"/>
      <w:bookmarkStart w:id="117" w:name="_Toc88209957"/>
      <w:r>
        <w:rPr>
          <w:rFonts w:hint="eastAsia" w:asciiTheme="minorEastAsia" w:hAnsiTheme="minorEastAsia" w:eastAsiaTheme="minorEastAsia"/>
          <w:color w:val="auto"/>
          <w:sz w:val="28"/>
          <w:szCs w:val="28"/>
          <w:highlight w:val="none"/>
        </w:rPr>
        <w:t>1.响应函</w:t>
      </w:r>
      <w:bookmarkEnd w:id="113"/>
      <w:bookmarkEnd w:id="114"/>
      <w:bookmarkEnd w:id="115"/>
      <w:bookmarkEnd w:id="116"/>
      <w:bookmarkEnd w:id="11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w:t>
      </w:r>
      <w:r>
        <w:rPr>
          <w:rFonts w:hint="eastAsia" w:ascii="仿宋_GB2312" w:hAnsi="黑体" w:eastAsia="仿宋_GB2312"/>
          <w:color w:val="auto"/>
          <w:sz w:val="28"/>
          <w:szCs w:val="28"/>
          <w:highlight w:val="none"/>
        </w:rPr>
        <w:t>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rPr>
        <w:t>完成/提供本项目□工程 □货物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118" w:name="_Toc22527"/>
      <w:bookmarkStart w:id="119" w:name="_Toc87616395"/>
      <w:bookmarkStart w:id="120" w:name="_Toc29833"/>
      <w:bookmarkStart w:id="121" w:name="_Toc88209958"/>
    </w:p>
    <w:p>
      <w:pPr>
        <w:pStyle w:val="7"/>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18"/>
      <w:bookmarkEnd w:id="119"/>
      <w:bookmarkEnd w:id="120"/>
      <w:bookmarkEnd w:id="12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keepNext w:val="0"/>
        <w:keepLines w:val="0"/>
        <w:pageBreakBefore w:val="0"/>
        <w:widowControl w:val="0"/>
        <w:kinsoku/>
        <w:wordWrap/>
        <w:overflowPunct/>
        <w:topLinePunct w:val="0"/>
        <w:bidi w:val="0"/>
        <w:adjustRightInd w:val="0"/>
        <w:snapToGrid w:val="0"/>
        <w:spacing w:after="0" w:line="520" w:lineRule="exact"/>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bidi w:val="0"/>
        <w:adjustRightInd w:val="0"/>
        <w:snapToGrid w:val="0"/>
        <w:spacing w:line="520" w:lineRule="exact"/>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520" w:lineRule="exact"/>
        <w:ind w:firstLine="750" w:firstLineChars="25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6"/>
        <w:keepNext w:val="0"/>
        <w:keepLines w:val="0"/>
        <w:pageBreakBefore w:val="0"/>
        <w:widowControl w:val="0"/>
        <w:kinsoku/>
        <w:wordWrap/>
        <w:overflowPunct/>
        <w:topLinePunct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6"/>
        <w:keepNext w:val="0"/>
        <w:keepLines w:val="0"/>
        <w:pageBreakBefore w:val="0"/>
        <w:widowControl w:val="0"/>
        <w:kinsoku/>
        <w:wordWrap/>
        <w:overflowPunct/>
        <w:topLinePunct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6"/>
        <w:keepNext w:val="0"/>
        <w:keepLines w:val="0"/>
        <w:pageBreakBefore w:val="0"/>
        <w:widowControl w:val="0"/>
        <w:kinsoku/>
        <w:wordWrap/>
        <w:overflowPunct/>
        <w:topLinePunct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6"/>
        <w:keepNext w:val="0"/>
        <w:keepLines w:val="0"/>
        <w:pageBreakBefore w:val="0"/>
        <w:widowControl w:val="0"/>
        <w:kinsoku/>
        <w:wordWrap/>
        <w:overflowPunct/>
        <w:topLinePunct w:val="0"/>
        <w:bidi w:val="0"/>
        <w:adjustRightInd w:val="0"/>
        <w:snapToGrid w:val="0"/>
        <w:spacing w:line="520" w:lineRule="exact"/>
        <w:ind w:firstLine="771" w:firstLineChars="257"/>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20" w:lineRule="exact"/>
        <w:ind w:firstLine="702" w:firstLineChars="234"/>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6"/>
        <w:snapToGrid w:val="0"/>
        <w:spacing w:line="600" w:lineRule="exact"/>
        <w:ind w:firstLine="3907" w:firstLineChars="1221"/>
        <w:rPr>
          <w:rFonts w:ascii="仿宋_GB2312" w:hAnsi="宋体" w:eastAsia="仿宋_GB2312" w:cs="Times New Roman"/>
          <w:color w:val="auto"/>
          <w:sz w:val="32"/>
          <w:szCs w:val="32"/>
          <w:highlight w:val="none"/>
        </w:rPr>
      </w:pPr>
    </w:p>
    <w:p>
      <w:pPr>
        <w:pStyle w:val="1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4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4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2.提供授权委托人自公告发布当月起在本单位近三个月社保记录（以加盖社会保险基金管理中心印章的《缴费历史明细表》或《社会保险参保人员证明》为准），否则为无效代理人，响应文件无效。</w:t>
      </w:r>
    </w:p>
    <w:p>
      <w:pPr>
        <w:pStyle w:val="4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ind w:left="0" w:leftChars="0" w:firstLine="0" w:firstLineChars="0"/>
        <w:rPr>
          <w:rFonts w:hint="eastAsia" w:ascii="仿宋_GB2312" w:hAnsi="宋体" w:eastAsia="仿宋_GB2312"/>
          <w:color w:val="auto"/>
          <w:sz w:val="30"/>
          <w:szCs w:val="30"/>
          <w:highlight w:val="none"/>
        </w:rPr>
      </w:pPr>
    </w:p>
    <w:p>
      <w:pPr>
        <w:pStyle w:val="8"/>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8"/>
        <w:spacing w:after="0" w:line="600" w:lineRule="exact"/>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pStyle w:val="8"/>
        <w:spacing w:after="0" w:line="600" w:lineRule="exact"/>
        <w:ind w:firstLine="0"/>
        <w:rPr>
          <w:rFonts w:ascii="仿宋_GB2312" w:eastAsia="仿宋_GB2312"/>
          <w:color w:val="auto"/>
          <w:highlight w:val="none"/>
        </w:rPr>
      </w:pPr>
    </w:p>
    <w:p>
      <w:pPr>
        <w:pStyle w:val="8"/>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注：法人（单位负责人）授权委托书亦可采用工商行政管理局统一制订的格式。</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7"/>
        <w:rPr>
          <w:rFonts w:asciiTheme="minorEastAsia" w:hAnsiTheme="minorEastAsia" w:eastAsiaTheme="minorEastAsia"/>
          <w:color w:val="auto"/>
          <w:sz w:val="28"/>
          <w:szCs w:val="28"/>
          <w:highlight w:val="none"/>
        </w:rPr>
      </w:pPr>
      <w:bookmarkStart w:id="122" w:name="_Toc88209963"/>
      <w:bookmarkStart w:id="123" w:name="_Toc19830"/>
      <w:bookmarkStart w:id="124" w:name="_Toc8086"/>
      <w:bookmarkStart w:id="125"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2"/>
      <w:bookmarkEnd w:id="123"/>
      <w:bookmarkEnd w:id="124"/>
      <w:bookmarkEnd w:id="12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8"/>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pStyle w:val="8"/>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7"/>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7"/>
        <w:rPr>
          <w:rFonts w:hint="eastAsia" w:asciiTheme="minorEastAsia" w:hAnsiTheme="minorEastAsia" w:eastAsiaTheme="minorEastAsia"/>
          <w:color w:val="auto"/>
          <w:sz w:val="28"/>
          <w:szCs w:val="28"/>
          <w:highlight w:val="none"/>
          <w:lang w:eastAsia="zh-CN"/>
        </w:rPr>
      </w:pPr>
      <w:bookmarkStart w:id="127" w:name="_Toc32430"/>
      <w:bookmarkStart w:id="128"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27"/>
      <w:bookmarkEnd w:id="128"/>
    </w:p>
    <w:p>
      <w:pPr>
        <w:adjustRightInd w:val="0"/>
        <w:snapToGrid w:val="0"/>
        <w:spacing w:line="360" w:lineRule="auto"/>
        <w:jc w:val="both"/>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项目名称：广州市净水有限公司</w:t>
      </w:r>
      <w:r>
        <w:rPr>
          <w:rFonts w:hint="eastAsia" w:ascii="宋体" w:hAnsi="宋体" w:cs="宋体"/>
          <w:bCs/>
          <w:color w:val="auto"/>
          <w:sz w:val="24"/>
          <w:szCs w:val="24"/>
          <w:highlight w:val="none"/>
          <w:lang w:val="en-US" w:eastAsia="zh-CN"/>
        </w:rPr>
        <w:t>2024-2025年度WPS办公软件授权租赁服务</w:t>
      </w:r>
      <w:r>
        <w:rPr>
          <w:rFonts w:hint="eastAsia" w:ascii="宋体" w:hAnsi="宋体" w:cs="宋体"/>
          <w:bCs/>
          <w:color w:val="auto"/>
          <w:sz w:val="24"/>
          <w:szCs w:val="24"/>
          <w:highlight w:val="none"/>
        </w:rPr>
        <w:t>项目</w:t>
      </w:r>
    </w:p>
    <w:p>
      <w:pPr>
        <w:adjustRightInd w:val="0"/>
        <w:snapToGrid w:val="0"/>
        <w:spacing w:line="360" w:lineRule="auto"/>
        <w:jc w:val="both"/>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项目编号：******</w:t>
      </w:r>
    </w:p>
    <w:p>
      <w:pPr>
        <w:adjustRightInd w:val="0"/>
        <w:snapToGrid w:val="0"/>
        <w:spacing w:line="360" w:lineRule="auto"/>
        <w:jc w:val="both"/>
        <w:rPr>
          <w:rFonts w:hint="default" w:ascii="宋体" w:hAnsi="宋体" w:cs="宋体" w:eastAsiaTheme="minorEastAsia"/>
          <w:bCs/>
          <w:color w:val="auto"/>
          <w:sz w:val="24"/>
          <w:szCs w:val="24"/>
          <w:highlight w:val="none"/>
          <w:lang w:val="en-US" w:eastAsia="zh-CN"/>
        </w:rPr>
      </w:pPr>
      <w:r>
        <w:rPr>
          <w:rFonts w:hint="eastAsia" w:ascii="宋体" w:hAnsi="宋体" w:cs="宋体"/>
          <w:bCs/>
          <w:color w:val="auto"/>
          <w:sz w:val="24"/>
          <w:szCs w:val="24"/>
          <w:highlight w:val="none"/>
        </w:rPr>
        <w:t>项目最高限价：</w:t>
      </w:r>
      <w:r>
        <w:rPr>
          <w:rFonts w:hint="eastAsia" w:ascii="宋体" w:hAnsi="宋体" w:cs="宋体"/>
          <w:bCs/>
          <w:color w:val="auto"/>
          <w:sz w:val="24"/>
          <w:szCs w:val="24"/>
          <w:highlight w:val="none"/>
          <w:lang w:val="en-US" w:eastAsia="zh-CN"/>
        </w:rPr>
        <w:t>600000</w:t>
      </w:r>
    </w:p>
    <w:p>
      <w:pPr>
        <w:adjustRightInd w:val="0"/>
        <w:snapToGrid w:val="0"/>
        <w:spacing w:line="360" w:lineRule="auto"/>
        <w:rPr>
          <w:rFonts w:hint="eastAsia" w:ascii="宋体" w:hAnsi="宋体" w:cs="宋体"/>
          <w:b w:val="0"/>
          <w:bCs/>
          <w:color w:val="auto"/>
          <w:sz w:val="24"/>
          <w:szCs w:val="24"/>
          <w:highlight w:val="none"/>
        </w:rPr>
      </w:pPr>
      <w:r>
        <w:rPr>
          <w:rFonts w:hint="eastAsia" w:ascii="宋体" w:hAnsi="宋体" w:cs="宋体"/>
          <w:bCs/>
          <w:color w:val="auto"/>
          <w:sz w:val="24"/>
          <w:szCs w:val="24"/>
          <w:highlight w:val="none"/>
        </w:rPr>
        <w:t xml:space="preserve">供应商名称： </w:t>
      </w:r>
    </w:p>
    <w:p>
      <w:pPr>
        <w:pStyle w:val="15"/>
        <w:adjustRightInd w:val="0"/>
        <w:snapToGrid w:val="0"/>
        <w:spacing w:line="360" w:lineRule="auto"/>
        <w:ind w:right="480"/>
        <w:jc w:val="center"/>
        <w:rPr>
          <w:rFonts w:hAnsi="宋体" w:cs="宋体"/>
          <w:color w:val="auto"/>
          <w:sz w:val="24"/>
          <w:szCs w:val="24"/>
          <w:highlight w:val="none"/>
        </w:rPr>
      </w:pPr>
      <w:r>
        <w:rPr>
          <w:rFonts w:hint="eastAsia" w:hAnsi="宋体" w:cs="宋体"/>
          <w:color w:val="auto"/>
          <w:sz w:val="24"/>
          <w:szCs w:val="24"/>
          <w:highlight w:val="none"/>
        </w:rPr>
        <w:t xml:space="preserve">                                           </w:t>
      </w:r>
    </w:p>
    <w:tbl>
      <w:tblPr>
        <w:tblStyle w:val="27"/>
        <w:tblW w:w="8274" w:type="dxa"/>
        <w:tblInd w:w="25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0"/>
        <w:gridCol w:w="3128"/>
        <w:gridCol w:w="1687"/>
        <w:gridCol w:w="19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470"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eastAsia="宋体" w:cs="宋体"/>
                <w:b/>
                <w:bCs/>
                <w:color w:val="auto"/>
                <w:kern w:val="0"/>
                <w:sz w:val="24"/>
                <w:szCs w:val="24"/>
                <w:highlight w:val="none"/>
                <w:lang w:eastAsia="zh-CN" w:bidi="ar"/>
              </w:rPr>
              <w:t>产品名称</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color w:val="auto"/>
                <w:szCs w:val="21"/>
                <w:highlight w:val="none"/>
              </w:rPr>
            </w:pPr>
            <w:r>
              <w:rPr>
                <w:rFonts w:hint="eastAsia" w:ascii="宋体" w:hAnsi="宋体" w:eastAsia="宋体" w:cs="宋体"/>
                <w:b/>
                <w:bCs/>
                <w:color w:val="auto"/>
                <w:kern w:val="0"/>
                <w:sz w:val="24"/>
                <w:szCs w:val="24"/>
                <w:highlight w:val="none"/>
                <w:lang w:eastAsia="zh-CN" w:bidi="ar"/>
              </w:rPr>
              <w:t>内容说明</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eastAsiaTheme="minorEastAsia"/>
                <w:color w:val="auto"/>
                <w:szCs w:val="21"/>
                <w:highlight w:val="none"/>
                <w:lang w:eastAsia="zh-CN"/>
              </w:rPr>
            </w:pPr>
            <w:r>
              <w:rPr>
                <w:rFonts w:hint="eastAsia" w:ascii="宋体" w:hAnsi="宋体" w:eastAsia="宋体" w:cs="宋体"/>
                <w:b/>
                <w:bCs/>
                <w:color w:val="auto"/>
                <w:kern w:val="0"/>
                <w:sz w:val="24"/>
                <w:szCs w:val="24"/>
                <w:highlight w:val="none"/>
                <w:lang w:eastAsia="zh-CN" w:bidi="ar"/>
              </w:rPr>
              <w:t>含税单价（元）</w:t>
            </w:r>
          </w:p>
        </w:tc>
        <w:tc>
          <w:tcPr>
            <w:tcW w:w="198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color w:val="auto"/>
                <w:szCs w:val="21"/>
                <w:highlight w:val="none"/>
              </w:rPr>
            </w:pPr>
            <w:r>
              <w:rPr>
                <w:rFonts w:hint="eastAsia" w:ascii="宋体" w:hAnsi="宋体" w:eastAsia="宋体" w:cs="宋体"/>
                <w:b/>
                <w:bCs/>
                <w:color w:val="auto"/>
                <w:kern w:val="0"/>
                <w:sz w:val="24"/>
                <w:szCs w:val="24"/>
                <w:highlight w:val="none"/>
                <w:lang w:bidi="ar"/>
              </w:rPr>
              <w:t>含税总价（元）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70" w:type="dxa"/>
            <w:tcBorders>
              <w:top w:val="single" w:color="auto" w:sz="4" w:space="0"/>
              <w:left w:val="single" w:color="auto" w:sz="4" w:space="0"/>
              <w:right w:val="single" w:color="auto" w:sz="4" w:space="0"/>
            </w:tcBorders>
            <w:noWrap w:val="0"/>
            <w:vAlign w:val="center"/>
          </w:tcPr>
          <w:p>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WPS+云办公套装软件(年场地授权许可）</w:t>
            </w:r>
          </w:p>
        </w:tc>
        <w:tc>
          <w:tcPr>
            <w:tcW w:w="31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color w:val="auto"/>
                <w:szCs w:val="21"/>
                <w:highlight w:val="none"/>
              </w:rPr>
            </w:pPr>
            <w:r>
              <w:rPr>
                <w:rFonts w:hint="eastAsia" w:ascii="宋体" w:hAnsi="宋体" w:cs="宋体"/>
                <w:bCs/>
                <w:color w:val="auto"/>
                <w:szCs w:val="21"/>
                <w:highlight w:val="none"/>
              </w:rPr>
              <w:t>授权主体：</w:t>
            </w:r>
            <w:r>
              <w:rPr>
                <w:rFonts w:hint="eastAsia" w:ascii="宋体" w:hAnsi="宋体" w:cs="宋体"/>
                <w:color w:val="auto"/>
                <w:szCs w:val="21"/>
                <w:highlight w:val="none"/>
              </w:rPr>
              <w:t>广州市净水有限公司</w:t>
            </w:r>
            <w:r>
              <w:rPr>
                <w:rFonts w:hint="eastAsia" w:ascii="宋体" w:hAnsi="宋体" w:cs="宋体"/>
                <w:bCs/>
                <w:color w:val="auto"/>
                <w:szCs w:val="21"/>
                <w:highlight w:val="none"/>
              </w:rPr>
              <w:t>；</w:t>
            </w:r>
          </w:p>
          <w:p>
            <w:pPr>
              <w:jc w:val="center"/>
              <w:rPr>
                <w:rFonts w:hint="eastAsia" w:ascii="宋体" w:hAnsi="宋体" w:cs="宋体"/>
                <w:bCs/>
                <w:color w:val="auto"/>
                <w:szCs w:val="21"/>
                <w:highlight w:val="none"/>
              </w:rPr>
            </w:pPr>
            <w:r>
              <w:rPr>
                <w:rFonts w:hint="eastAsia" w:ascii="宋体" w:hAnsi="宋体" w:cs="宋体"/>
                <w:bCs/>
                <w:color w:val="auto"/>
                <w:szCs w:val="21"/>
                <w:highlight w:val="none"/>
              </w:rPr>
              <w:t>年场地授权时限:2年</w:t>
            </w:r>
          </w:p>
        </w:tc>
        <w:tc>
          <w:tcPr>
            <w:tcW w:w="1687"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 xml:space="preserve">      </w:t>
            </w:r>
          </w:p>
        </w:tc>
        <w:tc>
          <w:tcPr>
            <w:tcW w:w="1989" w:type="dxa"/>
            <w:tcBorders>
              <w:top w:val="single" w:color="auto" w:sz="4" w:space="0"/>
              <w:left w:val="single" w:color="auto" w:sz="4" w:space="0"/>
              <w:right w:val="single" w:color="auto" w:sz="4" w:space="0"/>
            </w:tcBorders>
            <w:noWrap w:val="0"/>
            <w:vAlign w:val="center"/>
          </w:tcPr>
          <w:p>
            <w:pPr>
              <w:snapToGrid w:val="0"/>
              <w:spacing w:line="360" w:lineRule="auto"/>
              <w:rPr>
                <w:rFonts w:hint="eastAsia"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7" w:hRule="atLeast"/>
        </w:trPr>
        <w:tc>
          <w:tcPr>
            <w:tcW w:w="8274"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注：签订WPS</w:t>
            </w:r>
            <w:r>
              <w:rPr>
                <w:rFonts w:hint="eastAsia" w:ascii="宋体" w:hAnsi="宋体" w:cs="宋体"/>
                <w:color w:val="auto"/>
                <w:szCs w:val="21"/>
                <w:highlight w:val="none"/>
              </w:rPr>
              <w:t>年</w:t>
            </w:r>
            <w:r>
              <w:rPr>
                <w:rFonts w:hint="eastAsia" w:ascii="宋体" w:hAnsi="宋体" w:cs="宋体"/>
                <w:color w:val="auto"/>
                <w:szCs w:val="21"/>
                <w:highlight w:val="none"/>
              </w:rPr>
              <w:t>场地授权采购服务合同，合同约定采购年场地授权服务2年，一次性支付年场地授权费用</w:t>
            </w:r>
            <w:r>
              <w:rPr>
                <w:rFonts w:hint="eastAsia" w:ascii="宋体" w:hAnsi="宋体" w:cs="宋体"/>
                <w:color w:val="auto"/>
                <w:szCs w:val="21"/>
                <w:highlight w:val="none"/>
              </w:rPr>
              <w:t>。</w:t>
            </w:r>
            <w:r>
              <w:rPr>
                <w:rFonts w:hint="eastAsia" w:ascii="宋体" w:hAnsi="宋体" w:cs="宋体"/>
                <w:b/>
                <w:bCs/>
                <w:color w:val="auto"/>
                <w:szCs w:val="21"/>
                <w:highlight w:val="none"/>
              </w:rPr>
              <w:t xml:space="preserve"> </w:t>
            </w:r>
            <w:r>
              <w:rPr>
                <w:rFonts w:hint="eastAsia" w:ascii="宋体" w:hAnsi="宋体" w:cs="宋体"/>
                <w:color w:val="auto"/>
                <w:szCs w:val="21"/>
                <w:highlight w:val="none"/>
              </w:rPr>
              <w:t>提供自产品交付日期起原厂的2年年场地授权，在年场地授权期限内，被授权主体可在其现有及新增的拥有所有权的计算机上(满足运行环境要求)，在中华人民共和国范围内（中华人民共和国香港及澳门特别行政区、台湾地区除外）的办公场所内为办公目的不限数量使用授权软件。2年场地授权期届满即停止用户授权使用，甲方需续采年场地授权。</w:t>
            </w:r>
          </w:p>
        </w:tc>
      </w:tr>
    </w:tbl>
    <w:p>
      <w:pPr>
        <w:widowControl w:val="0"/>
        <w:adjustRightInd w:val="0"/>
        <w:snapToGrid w:val="0"/>
        <w:spacing w:line="360" w:lineRule="auto"/>
        <w:jc w:val="both"/>
        <w:rPr>
          <w:rFonts w:ascii="宋体" w:hAnsi="宋体" w:cs="宋体"/>
          <w:color w:val="auto"/>
          <w:kern w:val="2"/>
          <w:sz w:val="28"/>
          <w:szCs w:val="28"/>
          <w:highlight w:val="none"/>
        </w:rPr>
      </w:pPr>
    </w:p>
    <w:p>
      <w:pPr>
        <w:pStyle w:val="11"/>
        <w:adjustRightInd w:val="0"/>
        <w:snapToGrid w:val="0"/>
        <w:spacing w:after="0" w:line="360" w:lineRule="auto"/>
        <w:rPr>
          <w:rFonts w:ascii="宋体" w:hAnsi="宋体" w:cs="宋体"/>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p>
    <w:p>
      <w:pPr>
        <w:pStyle w:val="2"/>
        <w:rPr>
          <w:rFonts w:hint="default"/>
          <w:color w:val="auto"/>
          <w:highlight w:val="none"/>
          <w:lang w:val="en-US" w:eastAsia="zh-CN"/>
        </w:rPr>
      </w:pPr>
    </w:p>
    <w:p>
      <w:pPr>
        <w:pStyle w:val="2"/>
        <w:rPr>
          <w:rFonts w:hint="default"/>
          <w:color w:val="auto"/>
          <w:highlight w:val="none"/>
          <w:lang w:val="en-US"/>
        </w:rPr>
      </w:pPr>
    </w:p>
    <w:p>
      <w:pP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br w:type="page"/>
      </w:r>
    </w:p>
    <w:p>
      <w:pPr>
        <w:jc w:val="center"/>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6 承诺函</w:t>
      </w:r>
    </w:p>
    <w:p>
      <w:pPr>
        <w:pStyle w:val="25"/>
        <w:jc w:val="both"/>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广州市净水有限公司：</w:t>
      </w:r>
    </w:p>
    <w:p>
      <w:pPr>
        <w:pStyle w:val="25"/>
        <w:jc w:val="left"/>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w:t>
      </w:r>
      <w:r>
        <w:rPr>
          <w:rFonts w:hint="eastAsia" w:ascii="仿宋_GB2312" w:hAnsi="仿宋_GB2312" w:eastAsia="仿宋_GB2312" w:cs="仿宋_GB2312"/>
          <w:b w:val="0"/>
          <w:bCs w:val="0"/>
          <w:color w:val="auto"/>
          <w:sz w:val="28"/>
          <w:szCs w:val="28"/>
          <w:highlight w:val="none"/>
          <w:lang w:val="en-GB" w:eastAsia="zh-CN"/>
        </w:rPr>
        <w:t>我司</w:t>
      </w:r>
      <w:r>
        <w:rPr>
          <w:rFonts w:hint="eastAsia" w:ascii="仿宋_GB2312" w:hAnsi="仿宋_GB2312" w:eastAsia="仿宋_GB2312" w:cs="仿宋_GB2312"/>
          <w:b w:val="0"/>
          <w:bCs w:val="0"/>
          <w:color w:val="auto"/>
          <w:sz w:val="28"/>
          <w:szCs w:val="28"/>
          <w:highlight w:val="none"/>
          <w:lang w:val="en-GB"/>
        </w:rPr>
        <w:t>承诺所提供或授权的产品均为原装产品</w:t>
      </w:r>
      <w:r>
        <w:rPr>
          <w:rFonts w:hint="eastAsia" w:ascii="仿宋_GB2312" w:hAnsi="仿宋_GB2312" w:eastAsia="仿宋_GB2312" w:cs="仿宋_GB2312"/>
          <w:b w:val="0"/>
          <w:bCs w:val="0"/>
          <w:color w:val="auto"/>
          <w:sz w:val="28"/>
          <w:szCs w:val="28"/>
          <w:highlight w:val="none"/>
          <w:lang w:val="en-GB" w:eastAsia="zh-CN"/>
        </w:rPr>
        <w:t>，</w:t>
      </w:r>
      <w:r>
        <w:rPr>
          <w:rFonts w:hint="eastAsia" w:ascii="仿宋_GB2312" w:hAnsi="仿宋_GB2312" w:eastAsia="仿宋_GB2312" w:cs="仿宋_GB2312"/>
          <w:b w:val="0"/>
          <w:bCs w:val="0"/>
          <w:color w:val="auto"/>
          <w:sz w:val="28"/>
          <w:szCs w:val="28"/>
          <w:highlight w:val="none"/>
          <w:lang w:val="en-US" w:eastAsia="zh-CN"/>
        </w:rPr>
        <w:t>完全符合采购需求所有内容，</w:t>
      </w:r>
      <w:r>
        <w:rPr>
          <w:rFonts w:hint="eastAsia" w:ascii="仿宋_GB2312" w:hAnsi="仿宋_GB2312" w:eastAsia="仿宋_GB2312" w:cs="仿宋_GB2312"/>
          <w:b w:val="0"/>
          <w:bCs w:val="0"/>
          <w:color w:val="auto"/>
          <w:sz w:val="28"/>
          <w:szCs w:val="28"/>
          <w:highlight w:val="none"/>
        </w:rPr>
        <w:t>由于我方提供资料不实或与需求书中所有条款不符而造成的责任和后果由我方承担。</w:t>
      </w:r>
    </w:p>
    <w:p>
      <w:pPr>
        <w:pStyle w:val="25"/>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供应商名称（单位公章）：</w:t>
      </w:r>
    </w:p>
    <w:p>
      <w:pPr>
        <w:pStyle w:val="25"/>
        <w:rPr>
          <w:rFonts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 xml:space="preserve">                                      年  月  日</w:t>
      </w:r>
    </w:p>
    <w:p>
      <w:pPr>
        <w:rPr>
          <w:color w:val="auto"/>
          <w:highlight w:val="none"/>
        </w:rPr>
      </w:pPr>
      <w:r>
        <w:rPr>
          <w:color w:val="auto"/>
          <w:highlight w:val="none"/>
        </w:rPr>
        <w:br w:type="page"/>
      </w:r>
    </w:p>
    <w:p>
      <w:pPr>
        <w:pStyle w:val="7"/>
        <w:rPr>
          <w:rFonts w:asciiTheme="majorEastAsia" w:hAnsiTheme="majorEastAsia" w:eastAsiaTheme="majorEastAsia"/>
          <w:color w:val="auto"/>
          <w:sz w:val="28"/>
          <w:szCs w:val="28"/>
          <w:highlight w:val="none"/>
        </w:rPr>
      </w:pPr>
      <w:r>
        <w:rPr>
          <w:rFonts w:hint="eastAsia" w:eastAsiaTheme="majorEastAsia"/>
          <w:color w:val="auto"/>
          <w:highlight w:val="none"/>
        </w:rPr>
        <w:t>7</w:t>
      </w:r>
      <w:r>
        <w:rPr>
          <w:rFonts w:hint="eastAsia" w:asciiTheme="majorEastAsia" w:hAnsiTheme="majorEastAsia" w:eastAsiaTheme="majorEastAsia"/>
          <w:color w:val="auto"/>
          <w:sz w:val="28"/>
          <w:szCs w:val="28"/>
          <w:highlight w:val="none"/>
        </w:rPr>
        <w:t>.其他资料</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pStyle w:val="2"/>
        <w:rPr>
          <w:color w:val="auto"/>
          <w:highlight w:val="none"/>
        </w:rPr>
      </w:pPr>
    </w:p>
    <w:sectPr>
      <w:footerReference r:id="rId13" w:type="first"/>
      <w:footerReference r:id="rId11" w:type="default"/>
      <w:footerReference r:id="rId12"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20"/>
          <w:jc w:val="center"/>
        </w:pPr>
      </w:p>
    </w:sdtContent>
  </w:sdt>
  <w:p>
    <w:pPr>
      <w:pStyle w:val="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20"/>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2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20"/>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5136429"/>
    </w:sdtPr>
    <w:sdtContent>
      <w:p>
        <w:pPr>
          <w:pStyle w:val="20"/>
          <w:jc w:val="center"/>
        </w:pPr>
      </w:p>
    </w:sdtContent>
  </w:sdt>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5155585"/>
    </w:sdtPr>
    <w:sdtContent>
      <w:p>
        <w:pPr>
          <w:pStyle w:val="20"/>
          <w:jc w:val="center"/>
        </w:pPr>
        <w:r>
          <w:fldChar w:fldCharType="begin"/>
        </w:r>
        <w:r>
          <w:instrText xml:space="preserve">PAGE   \* MERGEFORMAT</w:instrText>
        </w:r>
        <w:r>
          <w:fldChar w:fldCharType="separate"/>
        </w:r>
        <w:r>
          <w:rPr>
            <w:lang w:val="zh-CN"/>
          </w:rPr>
          <w:t>28</w:t>
        </w:r>
        <w:r>
          <w:fldChar w:fldCharType="end"/>
        </w:r>
      </w:p>
    </w:sdtContent>
  </w:sdt>
  <w:p>
    <w:pPr>
      <w:pStyle w:val="2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6481360"/>
    </w:sdtPr>
    <w:sdtContent>
      <w:p>
        <w:pPr>
          <w:pStyle w:val="20"/>
          <w:jc w:val="center"/>
        </w:pPr>
      </w:p>
    </w:sdtContent>
  </w:sdt>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2214610"/>
    </w:sdtPr>
    <w:sdtContent>
      <w:p>
        <w:pPr>
          <w:pStyle w:val="20"/>
          <w:jc w:val="center"/>
        </w:pPr>
        <w:r>
          <w:fldChar w:fldCharType="begin"/>
        </w:r>
        <w:r>
          <w:instrText xml:space="preserve">PAGE   \* MERGEFORMAT</w:instrText>
        </w:r>
        <w:r>
          <w:fldChar w:fldCharType="separate"/>
        </w:r>
        <w:r>
          <w:rPr>
            <w:lang w:val="zh-CN"/>
          </w:rPr>
          <w:t>56</w:t>
        </w:r>
        <w:r>
          <w:fldChar w:fldCharType="end"/>
        </w:r>
      </w:p>
    </w:sdtContent>
  </w:sdt>
  <w:p>
    <w:pPr>
      <w:pStyle w:val="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11105"/>
    </w:sdtPr>
    <w:sdtContent>
      <w:p>
        <w:pPr>
          <w:pStyle w:val="20"/>
          <w:jc w:val="center"/>
        </w:pPr>
      </w:p>
    </w:sdtContent>
  </w:sdt>
  <w:p>
    <w:pPr>
      <w:pStyle w:val="2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9307164"/>
    </w:sdtPr>
    <w:sdtContent>
      <w:p>
        <w:pPr>
          <w:pStyle w:val="20"/>
          <w:jc w:val="center"/>
        </w:pPr>
        <w:r>
          <w:fldChar w:fldCharType="begin"/>
        </w:r>
        <w:r>
          <w:instrText xml:space="preserve">PAGE   \* MERGEFORMAT</w:instrText>
        </w:r>
        <w:r>
          <w:fldChar w:fldCharType="separate"/>
        </w:r>
        <w:r>
          <w:rPr>
            <w:lang w:val="zh-CN"/>
          </w:rPr>
          <w:t>60</w:t>
        </w:r>
        <w:r>
          <w:fldChar w:fldCharType="end"/>
        </w:r>
      </w:p>
    </w:sdtContent>
  </w:sdt>
  <w:p>
    <w:pPr>
      <w:pStyle w:val="2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Rlnc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J&#10;MuvTB6gx7TFgYhre+gFzZz+gM9MeVLT5i4QIxlHd00VdOSQi8qPVcrWqMCQwNl8Qnz09DxHSg/SW&#10;ZKOhEcdXVOXH95DG1DklV3P+XhtTRmjcXw7EzB6Wex97zFYadsNEaOfbE/LpcfINdbjolJh3DoXN&#10;SzIbcTZ2s3EIUe+7skW5HoQ3h4RNlN5yhRF2KowjK+ym9co78ee9ZD39Up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60ZZ3IAQAAmg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CA+0MkBAACa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wID7QyQEAAJoDAAAOAAAAAAAAAAEAIAAAAB4BAABkcnMvZTJvRG9j&#10;LnhtbFBLBQYAAAAABgAGAFkBAABZBQAAAAA=&#10;">
              <v:fill on="f" focussize="0,0"/>
              <v:stroke on="f"/>
              <v:imagedata o:title=""/>
              <o:lock v:ext="edit" aspectratio="f"/>
              <v:textbox inset="0mm,0mm,0mm,0mm" style="mso-fit-shape-to-text:t;">
                <w:txbxContent>
                  <w:p>
                    <w:pPr>
                      <w:pStyle w:val="20"/>
                    </w:pPr>
                  </w:p>
                  <w:p/>
                </w:txbxContent>
              </v:textbox>
            </v:shape>
          </w:pict>
        </mc:Fallback>
      </mc:AlternateContent>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iZGJmYzQxMzdlZjdhYjRmZWY1MGYyMjRlNDUzMmYifQ=="/>
  </w:docVars>
  <w:rsids>
    <w:rsidRoot w:val="00172A27"/>
    <w:rsid w:val="003D60BA"/>
    <w:rsid w:val="00411689"/>
    <w:rsid w:val="005D618A"/>
    <w:rsid w:val="00911ECD"/>
    <w:rsid w:val="009162C0"/>
    <w:rsid w:val="00A042E0"/>
    <w:rsid w:val="00B26BB1"/>
    <w:rsid w:val="00B26E21"/>
    <w:rsid w:val="00B741D7"/>
    <w:rsid w:val="00BA754F"/>
    <w:rsid w:val="00CB3927"/>
    <w:rsid w:val="00D4533C"/>
    <w:rsid w:val="00EA29DB"/>
    <w:rsid w:val="00F50C5E"/>
    <w:rsid w:val="00F83B64"/>
    <w:rsid w:val="013E3461"/>
    <w:rsid w:val="01BB0F13"/>
    <w:rsid w:val="01E17EF0"/>
    <w:rsid w:val="02090C75"/>
    <w:rsid w:val="02A23A3C"/>
    <w:rsid w:val="02FB196F"/>
    <w:rsid w:val="03165F8F"/>
    <w:rsid w:val="03393105"/>
    <w:rsid w:val="035D130A"/>
    <w:rsid w:val="039110A9"/>
    <w:rsid w:val="03AC246A"/>
    <w:rsid w:val="03AE6061"/>
    <w:rsid w:val="03B23056"/>
    <w:rsid w:val="03DA023E"/>
    <w:rsid w:val="03DC3EBA"/>
    <w:rsid w:val="03F9794D"/>
    <w:rsid w:val="046576C9"/>
    <w:rsid w:val="046A2461"/>
    <w:rsid w:val="048D6DEA"/>
    <w:rsid w:val="049235B1"/>
    <w:rsid w:val="051C2970"/>
    <w:rsid w:val="060C3611"/>
    <w:rsid w:val="06C64829"/>
    <w:rsid w:val="070E7B6E"/>
    <w:rsid w:val="071D0F9E"/>
    <w:rsid w:val="071D62B7"/>
    <w:rsid w:val="077D16D2"/>
    <w:rsid w:val="082A69F3"/>
    <w:rsid w:val="08675FC8"/>
    <w:rsid w:val="08C10887"/>
    <w:rsid w:val="08EA3AE5"/>
    <w:rsid w:val="08FC7577"/>
    <w:rsid w:val="09B713FD"/>
    <w:rsid w:val="09D463C5"/>
    <w:rsid w:val="09EF6ACC"/>
    <w:rsid w:val="0A315056"/>
    <w:rsid w:val="0A3E3B7B"/>
    <w:rsid w:val="0A694621"/>
    <w:rsid w:val="0A8F123B"/>
    <w:rsid w:val="0AA213B4"/>
    <w:rsid w:val="0ACF20EE"/>
    <w:rsid w:val="0AF61C7E"/>
    <w:rsid w:val="0AFB45AD"/>
    <w:rsid w:val="0B232647"/>
    <w:rsid w:val="0B351E9B"/>
    <w:rsid w:val="0B4C50D3"/>
    <w:rsid w:val="0B6744B6"/>
    <w:rsid w:val="0B806B92"/>
    <w:rsid w:val="0B827E94"/>
    <w:rsid w:val="0B842F76"/>
    <w:rsid w:val="0BD070E1"/>
    <w:rsid w:val="0BD65B6B"/>
    <w:rsid w:val="0C2361E7"/>
    <w:rsid w:val="0C247926"/>
    <w:rsid w:val="0C400B4B"/>
    <w:rsid w:val="0C4350D2"/>
    <w:rsid w:val="0D794204"/>
    <w:rsid w:val="0D9D13BC"/>
    <w:rsid w:val="0D9E4766"/>
    <w:rsid w:val="0DA90E87"/>
    <w:rsid w:val="0E2125D1"/>
    <w:rsid w:val="0E214211"/>
    <w:rsid w:val="0E5F2769"/>
    <w:rsid w:val="0ED8332F"/>
    <w:rsid w:val="0F4748A0"/>
    <w:rsid w:val="0F4D75A3"/>
    <w:rsid w:val="0F5B2DCA"/>
    <w:rsid w:val="0F714D08"/>
    <w:rsid w:val="0FA20605"/>
    <w:rsid w:val="0FED051E"/>
    <w:rsid w:val="0FEE4C29"/>
    <w:rsid w:val="0FFD33F6"/>
    <w:rsid w:val="10031608"/>
    <w:rsid w:val="10046082"/>
    <w:rsid w:val="102A76CF"/>
    <w:rsid w:val="104974DD"/>
    <w:rsid w:val="10CF50A9"/>
    <w:rsid w:val="111703D2"/>
    <w:rsid w:val="112B101A"/>
    <w:rsid w:val="11877731"/>
    <w:rsid w:val="119B53FC"/>
    <w:rsid w:val="1215733B"/>
    <w:rsid w:val="121E0A1B"/>
    <w:rsid w:val="12424CDC"/>
    <w:rsid w:val="129A2738"/>
    <w:rsid w:val="12B56BF1"/>
    <w:rsid w:val="12C65142"/>
    <w:rsid w:val="12CB1A89"/>
    <w:rsid w:val="131840FB"/>
    <w:rsid w:val="13467417"/>
    <w:rsid w:val="136E76CF"/>
    <w:rsid w:val="13BB2297"/>
    <w:rsid w:val="1424395D"/>
    <w:rsid w:val="145F08C6"/>
    <w:rsid w:val="146E221C"/>
    <w:rsid w:val="14E43F59"/>
    <w:rsid w:val="15776308"/>
    <w:rsid w:val="15973CBB"/>
    <w:rsid w:val="15BC6B3C"/>
    <w:rsid w:val="15EC2C59"/>
    <w:rsid w:val="16360A7B"/>
    <w:rsid w:val="164D40B0"/>
    <w:rsid w:val="167B3428"/>
    <w:rsid w:val="1694429A"/>
    <w:rsid w:val="17592E04"/>
    <w:rsid w:val="17635326"/>
    <w:rsid w:val="178D4AD1"/>
    <w:rsid w:val="17B803EA"/>
    <w:rsid w:val="1815096B"/>
    <w:rsid w:val="18236EFD"/>
    <w:rsid w:val="18377249"/>
    <w:rsid w:val="185D743E"/>
    <w:rsid w:val="189D5B1F"/>
    <w:rsid w:val="18A34CD0"/>
    <w:rsid w:val="19A53EA8"/>
    <w:rsid w:val="19A679E0"/>
    <w:rsid w:val="19B64DBC"/>
    <w:rsid w:val="19EC6A4A"/>
    <w:rsid w:val="1A373ACF"/>
    <w:rsid w:val="1A7B10BA"/>
    <w:rsid w:val="1A895341"/>
    <w:rsid w:val="1B0D071F"/>
    <w:rsid w:val="1B4568CE"/>
    <w:rsid w:val="1B9015B7"/>
    <w:rsid w:val="1B950DA6"/>
    <w:rsid w:val="1BDC56E9"/>
    <w:rsid w:val="1BF54245"/>
    <w:rsid w:val="1BFC27CA"/>
    <w:rsid w:val="1C5E7636"/>
    <w:rsid w:val="1C762AA7"/>
    <w:rsid w:val="1D056743"/>
    <w:rsid w:val="1D0E6976"/>
    <w:rsid w:val="1D5A79EE"/>
    <w:rsid w:val="1D897B1B"/>
    <w:rsid w:val="1E0E2CD0"/>
    <w:rsid w:val="1E164317"/>
    <w:rsid w:val="1E831280"/>
    <w:rsid w:val="1EBC4704"/>
    <w:rsid w:val="1EE522C8"/>
    <w:rsid w:val="1F172EB5"/>
    <w:rsid w:val="1F22070B"/>
    <w:rsid w:val="1F7519A1"/>
    <w:rsid w:val="1F94592D"/>
    <w:rsid w:val="1FAD2128"/>
    <w:rsid w:val="1FB860DE"/>
    <w:rsid w:val="203C5A02"/>
    <w:rsid w:val="207B0137"/>
    <w:rsid w:val="209D4C94"/>
    <w:rsid w:val="20B44FCD"/>
    <w:rsid w:val="20E84705"/>
    <w:rsid w:val="218400BA"/>
    <w:rsid w:val="21AB1E2F"/>
    <w:rsid w:val="21D40498"/>
    <w:rsid w:val="22493963"/>
    <w:rsid w:val="22767047"/>
    <w:rsid w:val="23054204"/>
    <w:rsid w:val="23257203"/>
    <w:rsid w:val="235A402F"/>
    <w:rsid w:val="23A05588"/>
    <w:rsid w:val="240476A1"/>
    <w:rsid w:val="24E953B9"/>
    <w:rsid w:val="25431AEB"/>
    <w:rsid w:val="25B875EB"/>
    <w:rsid w:val="25BE3BFB"/>
    <w:rsid w:val="25BF43FD"/>
    <w:rsid w:val="25F86BCD"/>
    <w:rsid w:val="2605748B"/>
    <w:rsid w:val="260B2287"/>
    <w:rsid w:val="26396D26"/>
    <w:rsid w:val="264544A6"/>
    <w:rsid w:val="267702FB"/>
    <w:rsid w:val="26797BCB"/>
    <w:rsid w:val="26894424"/>
    <w:rsid w:val="269E416A"/>
    <w:rsid w:val="26A0475C"/>
    <w:rsid w:val="26C11C6B"/>
    <w:rsid w:val="272100D3"/>
    <w:rsid w:val="272C72FC"/>
    <w:rsid w:val="275131CB"/>
    <w:rsid w:val="278F6521"/>
    <w:rsid w:val="27EB149D"/>
    <w:rsid w:val="27FD3E52"/>
    <w:rsid w:val="284130B3"/>
    <w:rsid w:val="28E11370"/>
    <w:rsid w:val="290F17C5"/>
    <w:rsid w:val="294A756A"/>
    <w:rsid w:val="29781BF8"/>
    <w:rsid w:val="297939E2"/>
    <w:rsid w:val="299A3355"/>
    <w:rsid w:val="29C33ED0"/>
    <w:rsid w:val="29D5322D"/>
    <w:rsid w:val="29DF1C7C"/>
    <w:rsid w:val="2A025DD9"/>
    <w:rsid w:val="2A2619CB"/>
    <w:rsid w:val="2A5C56A5"/>
    <w:rsid w:val="2A7317D3"/>
    <w:rsid w:val="2A7C2231"/>
    <w:rsid w:val="2A920E4F"/>
    <w:rsid w:val="2ABB753D"/>
    <w:rsid w:val="2AFE6EC4"/>
    <w:rsid w:val="2B345DDC"/>
    <w:rsid w:val="2B4D50E5"/>
    <w:rsid w:val="2B7A49FA"/>
    <w:rsid w:val="2C154479"/>
    <w:rsid w:val="2C615D26"/>
    <w:rsid w:val="2CB679ED"/>
    <w:rsid w:val="2CB73169"/>
    <w:rsid w:val="2CE83C37"/>
    <w:rsid w:val="2CEB2FFC"/>
    <w:rsid w:val="2D173C07"/>
    <w:rsid w:val="2D424A86"/>
    <w:rsid w:val="2DDA66B7"/>
    <w:rsid w:val="2E6F2D11"/>
    <w:rsid w:val="2E7B52DB"/>
    <w:rsid w:val="2E8651EA"/>
    <w:rsid w:val="2ED60115"/>
    <w:rsid w:val="2F324CFE"/>
    <w:rsid w:val="2FBA09F1"/>
    <w:rsid w:val="2FE604D9"/>
    <w:rsid w:val="2FEF2ACF"/>
    <w:rsid w:val="2FF93D20"/>
    <w:rsid w:val="30375CF5"/>
    <w:rsid w:val="30540211"/>
    <w:rsid w:val="30E45100"/>
    <w:rsid w:val="31112A0D"/>
    <w:rsid w:val="3118711F"/>
    <w:rsid w:val="311F4B20"/>
    <w:rsid w:val="312D7741"/>
    <w:rsid w:val="316F137F"/>
    <w:rsid w:val="31815AF3"/>
    <w:rsid w:val="31DF525F"/>
    <w:rsid w:val="31EC162B"/>
    <w:rsid w:val="32324C2E"/>
    <w:rsid w:val="327171DF"/>
    <w:rsid w:val="3391569E"/>
    <w:rsid w:val="33E765B8"/>
    <w:rsid w:val="341E3434"/>
    <w:rsid w:val="34BB4442"/>
    <w:rsid w:val="34E32288"/>
    <w:rsid w:val="3584136B"/>
    <w:rsid w:val="35BD253C"/>
    <w:rsid w:val="35EE5A04"/>
    <w:rsid w:val="35FF5AA4"/>
    <w:rsid w:val="360B7EBA"/>
    <w:rsid w:val="36416867"/>
    <w:rsid w:val="367D5DD4"/>
    <w:rsid w:val="369C32FD"/>
    <w:rsid w:val="37666E72"/>
    <w:rsid w:val="37A9431E"/>
    <w:rsid w:val="37E24962"/>
    <w:rsid w:val="38081EA3"/>
    <w:rsid w:val="38167A04"/>
    <w:rsid w:val="381C3783"/>
    <w:rsid w:val="38E47D4B"/>
    <w:rsid w:val="391C71CC"/>
    <w:rsid w:val="394B167A"/>
    <w:rsid w:val="39AD34EA"/>
    <w:rsid w:val="39DA2868"/>
    <w:rsid w:val="39DF6BF2"/>
    <w:rsid w:val="3A000621"/>
    <w:rsid w:val="3A055F4B"/>
    <w:rsid w:val="3A3D4326"/>
    <w:rsid w:val="3A4E4336"/>
    <w:rsid w:val="3A6007FE"/>
    <w:rsid w:val="3A802587"/>
    <w:rsid w:val="3A852164"/>
    <w:rsid w:val="3AF93D6C"/>
    <w:rsid w:val="3AFD06C8"/>
    <w:rsid w:val="3B477B26"/>
    <w:rsid w:val="3B7C2CE4"/>
    <w:rsid w:val="3BAF716B"/>
    <w:rsid w:val="3C0B5355"/>
    <w:rsid w:val="3C294ACB"/>
    <w:rsid w:val="3C7E7F35"/>
    <w:rsid w:val="3CD4176B"/>
    <w:rsid w:val="3D1F44D9"/>
    <w:rsid w:val="3D5C38CD"/>
    <w:rsid w:val="3E5070F1"/>
    <w:rsid w:val="3E7569E0"/>
    <w:rsid w:val="3EC370CB"/>
    <w:rsid w:val="3F6C3589"/>
    <w:rsid w:val="3F850180"/>
    <w:rsid w:val="3F9004D6"/>
    <w:rsid w:val="3FCC1A09"/>
    <w:rsid w:val="3FEE7CFA"/>
    <w:rsid w:val="400E4D5E"/>
    <w:rsid w:val="40481A37"/>
    <w:rsid w:val="40E1138C"/>
    <w:rsid w:val="413814BA"/>
    <w:rsid w:val="41872511"/>
    <w:rsid w:val="41C339A5"/>
    <w:rsid w:val="41DF1251"/>
    <w:rsid w:val="424236D9"/>
    <w:rsid w:val="42466655"/>
    <w:rsid w:val="42582890"/>
    <w:rsid w:val="428A6C1F"/>
    <w:rsid w:val="42C82F57"/>
    <w:rsid w:val="431600B7"/>
    <w:rsid w:val="435707E5"/>
    <w:rsid w:val="439927E1"/>
    <w:rsid w:val="43C76AF7"/>
    <w:rsid w:val="43D54C8A"/>
    <w:rsid w:val="43E97E4A"/>
    <w:rsid w:val="44061228"/>
    <w:rsid w:val="440D65DA"/>
    <w:rsid w:val="446828F0"/>
    <w:rsid w:val="44FF0C4E"/>
    <w:rsid w:val="45093E85"/>
    <w:rsid w:val="450B3BFA"/>
    <w:rsid w:val="4511183F"/>
    <w:rsid w:val="45C13B4D"/>
    <w:rsid w:val="46054BCA"/>
    <w:rsid w:val="463374B6"/>
    <w:rsid w:val="464C6AFC"/>
    <w:rsid w:val="46623710"/>
    <w:rsid w:val="466D7BB5"/>
    <w:rsid w:val="468B0091"/>
    <w:rsid w:val="46934B27"/>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CC750F"/>
    <w:rsid w:val="48EE7ABB"/>
    <w:rsid w:val="48F005D3"/>
    <w:rsid w:val="49466522"/>
    <w:rsid w:val="49547ADD"/>
    <w:rsid w:val="49732351"/>
    <w:rsid w:val="498F4AF1"/>
    <w:rsid w:val="499A23D5"/>
    <w:rsid w:val="49BC0A6C"/>
    <w:rsid w:val="49C05787"/>
    <w:rsid w:val="49CF518D"/>
    <w:rsid w:val="49D56585"/>
    <w:rsid w:val="49E26C94"/>
    <w:rsid w:val="49F22C2E"/>
    <w:rsid w:val="49F3363A"/>
    <w:rsid w:val="4A7F3979"/>
    <w:rsid w:val="4ADA1F63"/>
    <w:rsid w:val="4AE23D89"/>
    <w:rsid w:val="4B2038D0"/>
    <w:rsid w:val="4B296E7D"/>
    <w:rsid w:val="4B79394E"/>
    <w:rsid w:val="4B877F28"/>
    <w:rsid w:val="4BA84285"/>
    <w:rsid w:val="4BC70878"/>
    <w:rsid w:val="4C6D4A29"/>
    <w:rsid w:val="4CD200BA"/>
    <w:rsid w:val="4D0A05B6"/>
    <w:rsid w:val="4D2044E7"/>
    <w:rsid w:val="4D916BA6"/>
    <w:rsid w:val="4DC44169"/>
    <w:rsid w:val="4DE24E21"/>
    <w:rsid w:val="4E1B19A3"/>
    <w:rsid w:val="4E48787F"/>
    <w:rsid w:val="4E8D5680"/>
    <w:rsid w:val="4EF0709E"/>
    <w:rsid w:val="4F0469A4"/>
    <w:rsid w:val="4F186D99"/>
    <w:rsid w:val="4FBF5D0D"/>
    <w:rsid w:val="500E56F4"/>
    <w:rsid w:val="50540C73"/>
    <w:rsid w:val="50752AF8"/>
    <w:rsid w:val="513C6A7B"/>
    <w:rsid w:val="51433925"/>
    <w:rsid w:val="514520EB"/>
    <w:rsid w:val="51656BE3"/>
    <w:rsid w:val="517300C9"/>
    <w:rsid w:val="519574CE"/>
    <w:rsid w:val="51B31D16"/>
    <w:rsid w:val="51E508EF"/>
    <w:rsid w:val="51E5490A"/>
    <w:rsid w:val="523B3C37"/>
    <w:rsid w:val="52EC6EC2"/>
    <w:rsid w:val="532D486F"/>
    <w:rsid w:val="5333545B"/>
    <w:rsid w:val="53407459"/>
    <w:rsid w:val="538D0E89"/>
    <w:rsid w:val="5450213C"/>
    <w:rsid w:val="546711F3"/>
    <w:rsid w:val="546C3825"/>
    <w:rsid w:val="549C09D4"/>
    <w:rsid w:val="54A0586E"/>
    <w:rsid w:val="54D062C6"/>
    <w:rsid w:val="54D24048"/>
    <w:rsid w:val="54D64CD5"/>
    <w:rsid w:val="5532287C"/>
    <w:rsid w:val="55887D69"/>
    <w:rsid w:val="55EE5D11"/>
    <w:rsid w:val="561A0928"/>
    <w:rsid w:val="56423872"/>
    <w:rsid w:val="569E06BC"/>
    <w:rsid w:val="56B279F0"/>
    <w:rsid w:val="56F20F86"/>
    <w:rsid w:val="579D710E"/>
    <w:rsid w:val="57D66C43"/>
    <w:rsid w:val="57FD6170"/>
    <w:rsid w:val="581F22F6"/>
    <w:rsid w:val="586E1E17"/>
    <w:rsid w:val="58862C35"/>
    <w:rsid w:val="58A312E9"/>
    <w:rsid w:val="58C14957"/>
    <w:rsid w:val="58CC23D2"/>
    <w:rsid w:val="58E66050"/>
    <w:rsid w:val="596B36B6"/>
    <w:rsid w:val="59E63F07"/>
    <w:rsid w:val="59E73F45"/>
    <w:rsid w:val="59FC7994"/>
    <w:rsid w:val="5AE83A50"/>
    <w:rsid w:val="5B353193"/>
    <w:rsid w:val="5BAB2917"/>
    <w:rsid w:val="5BFC33FA"/>
    <w:rsid w:val="5C3107A4"/>
    <w:rsid w:val="5C337866"/>
    <w:rsid w:val="5C3B1B93"/>
    <w:rsid w:val="5C6D1B57"/>
    <w:rsid w:val="5C9220DF"/>
    <w:rsid w:val="5D4920F8"/>
    <w:rsid w:val="5D4A15F3"/>
    <w:rsid w:val="5D69542A"/>
    <w:rsid w:val="5D783B72"/>
    <w:rsid w:val="5DD34EE2"/>
    <w:rsid w:val="5E0930EF"/>
    <w:rsid w:val="5E3D4D53"/>
    <w:rsid w:val="5E4717E6"/>
    <w:rsid w:val="5E55774C"/>
    <w:rsid w:val="5E8A70FF"/>
    <w:rsid w:val="5EBC4EFA"/>
    <w:rsid w:val="5F655C43"/>
    <w:rsid w:val="5FAB1E73"/>
    <w:rsid w:val="5FD955AA"/>
    <w:rsid w:val="5FE22855"/>
    <w:rsid w:val="60045F96"/>
    <w:rsid w:val="60104DDC"/>
    <w:rsid w:val="605C0804"/>
    <w:rsid w:val="60913E6F"/>
    <w:rsid w:val="611F0045"/>
    <w:rsid w:val="61733C3E"/>
    <w:rsid w:val="6189617B"/>
    <w:rsid w:val="619747F0"/>
    <w:rsid w:val="61B52BB6"/>
    <w:rsid w:val="61B749C2"/>
    <w:rsid w:val="62280D20"/>
    <w:rsid w:val="629C50CC"/>
    <w:rsid w:val="62B4786E"/>
    <w:rsid w:val="62CA2457"/>
    <w:rsid w:val="631303F2"/>
    <w:rsid w:val="638240A1"/>
    <w:rsid w:val="63833423"/>
    <w:rsid w:val="63A5257B"/>
    <w:rsid w:val="63BD3DCC"/>
    <w:rsid w:val="63C61741"/>
    <w:rsid w:val="63ED1B66"/>
    <w:rsid w:val="64560967"/>
    <w:rsid w:val="64B155BE"/>
    <w:rsid w:val="64E12E8B"/>
    <w:rsid w:val="65412E8C"/>
    <w:rsid w:val="655B3069"/>
    <w:rsid w:val="656142EF"/>
    <w:rsid w:val="656B1D10"/>
    <w:rsid w:val="65B841F9"/>
    <w:rsid w:val="66022B28"/>
    <w:rsid w:val="664A38E2"/>
    <w:rsid w:val="66581E87"/>
    <w:rsid w:val="66633F9C"/>
    <w:rsid w:val="666F1DE3"/>
    <w:rsid w:val="66766EBB"/>
    <w:rsid w:val="668425A6"/>
    <w:rsid w:val="66FA11D5"/>
    <w:rsid w:val="674302C7"/>
    <w:rsid w:val="67CB09D8"/>
    <w:rsid w:val="67EE3B0F"/>
    <w:rsid w:val="680A5986"/>
    <w:rsid w:val="680D5F4B"/>
    <w:rsid w:val="68113F51"/>
    <w:rsid w:val="68B272C7"/>
    <w:rsid w:val="68C71580"/>
    <w:rsid w:val="68CF107E"/>
    <w:rsid w:val="68E94770"/>
    <w:rsid w:val="68EC1CEF"/>
    <w:rsid w:val="68F8454F"/>
    <w:rsid w:val="68F949C9"/>
    <w:rsid w:val="69037E15"/>
    <w:rsid w:val="692546D4"/>
    <w:rsid w:val="695A4290"/>
    <w:rsid w:val="696F3649"/>
    <w:rsid w:val="6A267606"/>
    <w:rsid w:val="6A334932"/>
    <w:rsid w:val="6A3353FF"/>
    <w:rsid w:val="6A5D63E6"/>
    <w:rsid w:val="6A5F24D1"/>
    <w:rsid w:val="6ACA70C4"/>
    <w:rsid w:val="6AE347EB"/>
    <w:rsid w:val="6B330365"/>
    <w:rsid w:val="6B434AF0"/>
    <w:rsid w:val="6B57675A"/>
    <w:rsid w:val="6B87098A"/>
    <w:rsid w:val="6BDD7B4D"/>
    <w:rsid w:val="6D52013C"/>
    <w:rsid w:val="6E2D78FA"/>
    <w:rsid w:val="6EBC0B3A"/>
    <w:rsid w:val="6EED597D"/>
    <w:rsid w:val="6EF51C7D"/>
    <w:rsid w:val="6F07471C"/>
    <w:rsid w:val="6F7E7378"/>
    <w:rsid w:val="6F8363E5"/>
    <w:rsid w:val="6F841DCF"/>
    <w:rsid w:val="6FA80CCD"/>
    <w:rsid w:val="6FAC3CC5"/>
    <w:rsid w:val="6FC746F5"/>
    <w:rsid w:val="6FE10041"/>
    <w:rsid w:val="6FE33EF5"/>
    <w:rsid w:val="70317AC6"/>
    <w:rsid w:val="704B26F7"/>
    <w:rsid w:val="70697B21"/>
    <w:rsid w:val="70863262"/>
    <w:rsid w:val="70A76ED3"/>
    <w:rsid w:val="71860B17"/>
    <w:rsid w:val="723B27CC"/>
    <w:rsid w:val="724B1AC3"/>
    <w:rsid w:val="72565C05"/>
    <w:rsid w:val="72576610"/>
    <w:rsid w:val="72687227"/>
    <w:rsid w:val="72A03FD9"/>
    <w:rsid w:val="73406CFF"/>
    <w:rsid w:val="7383028C"/>
    <w:rsid w:val="73A25E44"/>
    <w:rsid w:val="73CD639B"/>
    <w:rsid w:val="741F68CF"/>
    <w:rsid w:val="748621E7"/>
    <w:rsid w:val="75252DF3"/>
    <w:rsid w:val="75621536"/>
    <w:rsid w:val="75BF3154"/>
    <w:rsid w:val="75DA4A2D"/>
    <w:rsid w:val="76400F7F"/>
    <w:rsid w:val="764A07CF"/>
    <w:rsid w:val="764F6B3D"/>
    <w:rsid w:val="76CD2B7B"/>
    <w:rsid w:val="76D80645"/>
    <w:rsid w:val="76E03371"/>
    <w:rsid w:val="770951ED"/>
    <w:rsid w:val="771211AA"/>
    <w:rsid w:val="77736C04"/>
    <w:rsid w:val="778F2F45"/>
    <w:rsid w:val="779E40CB"/>
    <w:rsid w:val="780E5898"/>
    <w:rsid w:val="782642CC"/>
    <w:rsid w:val="7894095E"/>
    <w:rsid w:val="78964555"/>
    <w:rsid w:val="78CF4963"/>
    <w:rsid w:val="79000679"/>
    <w:rsid w:val="7916258F"/>
    <w:rsid w:val="791C0FE5"/>
    <w:rsid w:val="795C113D"/>
    <w:rsid w:val="79A416F0"/>
    <w:rsid w:val="79B03EB6"/>
    <w:rsid w:val="79B61437"/>
    <w:rsid w:val="7A676211"/>
    <w:rsid w:val="7A90305E"/>
    <w:rsid w:val="7AA9063E"/>
    <w:rsid w:val="7AE15A5C"/>
    <w:rsid w:val="7AF37579"/>
    <w:rsid w:val="7AF87F64"/>
    <w:rsid w:val="7B1C0C84"/>
    <w:rsid w:val="7B5A62DF"/>
    <w:rsid w:val="7B7A04A8"/>
    <w:rsid w:val="7B8E4662"/>
    <w:rsid w:val="7BB27568"/>
    <w:rsid w:val="7BFC5A6F"/>
    <w:rsid w:val="7C0C3F6D"/>
    <w:rsid w:val="7C185939"/>
    <w:rsid w:val="7C1C7EBF"/>
    <w:rsid w:val="7C22163C"/>
    <w:rsid w:val="7C457B4B"/>
    <w:rsid w:val="7C595075"/>
    <w:rsid w:val="7C6B07B2"/>
    <w:rsid w:val="7D133243"/>
    <w:rsid w:val="7D151452"/>
    <w:rsid w:val="7D945420"/>
    <w:rsid w:val="7D997857"/>
    <w:rsid w:val="7DD07A4B"/>
    <w:rsid w:val="7E394207"/>
    <w:rsid w:val="7E4007A2"/>
    <w:rsid w:val="7E791CAD"/>
    <w:rsid w:val="7EA50DFB"/>
    <w:rsid w:val="7EC86878"/>
    <w:rsid w:val="7F16390D"/>
    <w:rsid w:val="7F2C0EFE"/>
    <w:rsid w:val="7F430416"/>
    <w:rsid w:val="7F752917"/>
    <w:rsid w:val="7F791ABB"/>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0"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6">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7">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next w:val="4"/>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4">
    <w:name w:val="envelope return"/>
    <w:basedOn w:val="1"/>
    <w:qFormat/>
    <w:uiPriority w:val="0"/>
    <w:pPr>
      <w:snapToGrid w:val="0"/>
    </w:pPr>
    <w:rPr>
      <w:rFonts w:ascii="Arial" w:hAnsi="Arial"/>
      <w:szCs w:val="24"/>
    </w:rPr>
  </w:style>
  <w:style w:type="paragraph" w:styleId="8">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9">
    <w:name w:val="annotation text"/>
    <w:basedOn w:val="1"/>
    <w:semiHidden/>
    <w:unhideWhenUsed/>
    <w:qFormat/>
    <w:uiPriority w:val="99"/>
    <w:pPr>
      <w:jc w:val="left"/>
    </w:pPr>
  </w:style>
  <w:style w:type="paragraph" w:styleId="10">
    <w:name w:val="Body Text 3"/>
    <w:basedOn w:val="1"/>
    <w:link w:val="44"/>
    <w:unhideWhenUsed/>
    <w:qFormat/>
    <w:uiPriority w:val="99"/>
    <w:pPr>
      <w:spacing w:after="120"/>
    </w:pPr>
    <w:rPr>
      <w:sz w:val="16"/>
      <w:szCs w:val="16"/>
    </w:rPr>
  </w:style>
  <w:style w:type="paragraph" w:styleId="11">
    <w:name w:val="Body Text"/>
    <w:basedOn w:val="1"/>
    <w:next w:val="12"/>
    <w:qFormat/>
    <w:uiPriority w:val="99"/>
    <w:pPr>
      <w:spacing w:after="120"/>
    </w:pPr>
  </w:style>
  <w:style w:type="paragraph" w:styleId="12">
    <w:name w:val="Body Text 2"/>
    <w:basedOn w:val="1"/>
    <w:qFormat/>
    <w:uiPriority w:val="0"/>
    <w:pPr>
      <w:spacing w:after="120" w:line="480" w:lineRule="auto"/>
    </w:pPr>
  </w:style>
  <w:style w:type="paragraph" w:styleId="13">
    <w:name w:val="toc 5"/>
    <w:basedOn w:val="1"/>
    <w:next w:val="1"/>
    <w:unhideWhenUsed/>
    <w:qFormat/>
    <w:uiPriority w:val="0"/>
    <w:pPr>
      <w:widowControl w:val="0"/>
      <w:ind w:left="1680" w:leftChars="800"/>
      <w:jc w:val="both"/>
    </w:pPr>
    <w:rPr>
      <w:rFonts w:ascii="Calibri" w:hAnsi="Calibri"/>
      <w:kern w:val="2"/>
      <w:szCs w:val="22"/>
    </w:rPr>
  </w:style>
  <w:style w:type="paragraph" w:styleId="14">
    <w:name w:val="toc 3"/>
    <w:basedOn w:val="1"/>
    <w:next w:val="1"/>
    <w:unhideWhenUsed/>
    <w:qFormat/>
    <w:uiPriority w:val="39"/>
    <w:pPr>
      <w:widowControl/>
      <w:spacing w:after="100" w:line="276" w:lineRule="auto"/>
      <w:ind w:left="440"/>
      <w:jc w:val="left"/>
    </w:pPr>
    <w:rPr>
      <w:kern w:val="0"/>
      <w:sz w:val="22"/>
    </w:rPr>
  </w:style>
  <w:style w:type="paragraph" w:styleId="15">
    <w:name w:val="Plain Text"/>
    <w:basedOn w:val="1"/>
    <w:next w:val="16"/>
    <w:qFormat/>
    <w:uiPriority w:val="0"/>
    <w:rPr>
      <w:rFonts w:ascii="宋体" w:hAnsi="Courier New"/>
      <w:szCs w:val="21"/>
    </w:rPr>
  </w:style>
  <w:style w:type="paragraph" w:customStyle="1" w:styleId="16">
    <w:name w:val="Default"/>
    <w:next w:val="17"/>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7">
    <w:name w:val="List"/>
    <w:basedOn w:val="1"/>
    <w:next w:val="1"/>
    <w:qFormat/>
    <w:uiPriority w:val="0"/>
    <w:pPr>
      <w:snapToGrid w:val="0"/>
    </w:pPr>
    <w:rPr>
      <w:szCs w:val="24"/>
    </w:rPr>
  </w:style>
  <w:style w:type="paragraph" w:styleId="18">
    <w:name w:val="Body Text Indent 2"/>
    <w:basedOn w:val="1"/>
    <w:semiHidden/>
    <w:unhideWhenUsed/>
    <w:qFormat/>
    <w:uiPriority w:val="99"/>
    <w:pPr>
      <w:spacing w:after="120" w:line="480" w:lineRule="auto"/>
      <w:ind w:left="420" w:leftChars="200"/>
    </w:pPr>
    <w:rPr>
      <w:rFonts w:ascii="Times New Roman" w:hAnsi="Times New Roman" w:eastAsia="宋体" w:cs="Times New Roman"/>
      <w:szCs w:val="24"/>
    </w:rPr>
  </w:style>
  <w:style w:type="paragraph" w:styleId="19">
    <w:name w:val="Balloon Text"/>
    <w:basedOn w:val="1"/>
    <w:link w:val="39"/>
    <w:semiHidden/>
    <w:unhideWhenUsed/>
    <w:qFormat/>
    <w:uiPriority w:val="99"/>
    <w:rPr>
      <w:sz w:val="18"/>
      <w:szCs w:val="18"/>
    </w:rPr>
  </w:style>
  <w:style w:type="paragraph" w:styleId="20">
    <w:name w:val="footer"/>
    <w:basedOn w:val="1"/>
    <w:link w:val="33"/>
    <w:unhideWhenUsed/>
    <w:qFormat/>
    <w:uiPriority w:val="99"/>
    <w:pPr>
      <w:tabs>
        <w:tab w:val="center" w:pos="4153"/>
        <w:tab w:val="right" w:pos="8306"/>
      </w:tabs>
      <w:snapToGrid w:val="0"/>
      <w:jc w:val="left"/>
    </w:pPr>
    <w:rPr>
      <w:sz w:val="18"/>
      <w:szCs w:val="18"/>
    </w:rPr>
  </w:style>
  <w:style w:type="paragraph" w:styleId="21">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widowControl/>
      <w:spacing w:after="100" w:line="276" w:lineRule="auto"/>
      <w:jc w:val="left"/>
    </w:pPr>
    <w:rPr>
      <w:kern w:val="0"/>
      <w:sz w:val="22"/>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Normal (Web)"/>
    <w:basedOn w:val="1"/>
    <w:qFormat/>
    <w:uiPriority w:val="0"/>
    <w:pPr>
      <w:spacing w:before="100" w:beforeAutospacing="1" w:after="100" w:afterAutospacing="1"/>
    </w:pPr>
    <w:rPr>
      <w:rFonts w:ascii="宋体" w:hAnsi="宋体" w:cs="宋体"/>
      <w:sz w:val="24"/>
      <w:szCs w:val="24"/>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w:basedOn w:val="11"/>
    <w:qFormat/>
    <w:uiPriority w:val="0"/>
    <w:pPr>
      <w:ind w:firstLine="420"/>
    </w:p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0">
    <w:name w:val="Strong"/>
    <w:qFormat/>
    <w:uiPriority w:val="22"/>
    <w:rPr>
      <w:rFonts w:eastAsia="宋体"/>
      <w:b/>
      <w:bCs/>
      <w:kern w:val="2"/>
      <w:sz w:val="24"/>
      <w:szCs w:val="24"/>
      <w:lang w:val="en-US" w:eastAsia="zh-CN" w:bidi="ar-SA"/>
    </w:rPr>
  </w:style>
  <w:style w:type="character" w:styleId="31">
    <w:name w:val="Hyperlink"/>
    <w:basedOn w:val="29"/>
    <w:unhideWhenUsed/>
    <w:qFormat/>
    <w:uiPriority w:val="99"/>
    <w:rPr>
      <w:color w:val="0000FF" w:themeColor="hyperlink"/>
      <w:u w:val="single"/>
      <w14:textFill>
        <w14:solidFill>
          <w14:schemeClr w14:val="hlink"/>
        </w14:solidFill>
      </w14:textFill>
    </w:rPr>
  </w:style>
  <w:style w:type="character" w:customStyle="1" w:styleId="32">
    <w:name w:val="页眉 Char"/>
    <w:basedOn w:val="29"/>
    <w:link w:val="21"/>
    <w:semiHidden/>
    <w:qFormat/>
    <w:uiPriority w:val="99"/>
    <w:rPr>
      <w:sz w:val="18"/>
      <w:szCs w:val="18"/>
    </w:rPr>
  </w:style>
  <w:style w:type="character" w:customStyle="1" w:styleId="33">
    <w:name w:val="页脚 Char"/>
    <w:basedOn w:val="29"/>
    <w:link w:val="20"/>
    <w:qFormat/>
    <w:uiPriority w:val="99"/>
    <w:rPr>
      <w:sz w:val="18"/>
      <w:szCs w:val="18"/>
    </w:rPr>
  </w:style>
  <w:style w:type="character" w:customStyle="1" w:styleId="34">
    <w:name w:val="标题 1 Char"/>
    <w:basedOn w:val="29"/>
    <w:link w:val="5"/>
    <w:qFormat/>
    <w:uiPriority w:val="9"/>
    <w:rPr>
      <w:rFonts w:eastAsia="方正小标宋简体"/>
      <w:bCs/>
      <w:kern w:val="44"/>
      <w:sz w:val="44"/>
      <w:szCs w:val="44"/>
    </w:rPr>
  </w:style>
  <w:style w:type="character" w:customStyle="1" w:styleId="35">
    <w:name w:val="标题 2 Char"/>
    <w:basedOn w:val="29"/>
    <w:link w:val="6"/>
    <w:qFormat/>
    <w:uiPriority w:val="9"/>
    <w:rPr>
      <w:rFonts w:eastAsia="方正小标宋简体" w:asciiTheme="majorHAnsi" w:hAnsiTheme="majorHAnsi" w:cstheme="majorBidi"/>
      <w:bCs/>
      <w:sz w:val="36"/>
      <w:szCs w:val="32"/>
    </w:rPr>
  </w:style>
  <w:style w:type="character" w:customStyle="1" w:styleId="36">
    <w:name w:val="标题 3 Char"/>
    <w:basedOn w:val="29"/>
    <w:link w:val="7"/>
    <w:qFormat/>
    <w:uiPriority w:val="9"/>
    <w:rPr>
      <w:rFonts w:ascii="Calibri" w:hAnsi="Calibri" w:eastAsia="宋体" w:cs="Times New Roman"/>
      <w:b/>
      <w:bCs/>
      <w:sz w:val="32"/>
      <w:szCs w:val="32"/>
    </w:rPr>
  </w:style>
  <w:style w:type="paragraph" w:styleId="37">
    <w:name w:val="List Paragraph"/>
    <w:basedOn w:val="1"/>
    <w:next w:val="1"/>
    <w:link w:val="45"/>
    <w:qFormat/>
    <w:uiPriority w:val="34"/>
    <w:pPr>
      <w:ind w:firstLine="420" w:firstLineChars="200"/>
    </w:pPr>
  </w:style>
  <w:style w:type="paragraph" w:customStyle="1" w:styleId="38">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9"/>
    <w:link w:val="19"/>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6"/>
    <w:next w:val="16"/>
    <w:qFormat/>
    <w:uiPriority w:val="0"/>
    <w:pPr>
      <w:spacing w:after="373"/>
    </w:pPr>
    <w:rPr>
      <w:color w:val="auto"/>
    </w:rPr>
  </w:style>
  <w:style w:type="paragraph" w:customStyle="1" w:styleId="42">
    <w:name w:val="CM91"/>
    <w:basedOn w:val="16"/>
    <w:next w:val="16"/>
    <w:qFormat/>
    <w:uiPriority w:val="0"/>
    <w:pPr>
      <w:spacing w:after="160"/>
    </w:pPr>
    <w:rPr>
      <w:color w:val="auto"/>
    </w:rPr>
  </w:style>
  <w:style w:type="character" w:customStyle="1" w:styleId="43">
    <w:name w:val="正文文本 3 Char"/>
    <w:link w:val="10"/>
    <w:qFormat/>
    <w:uiPriority w:val="99"/>
    <w:rPr>
      <w:sz w:val="16"/>
      <w:szCs w:val="16"/>
    </w:rPr>
  </w:style>
  <w:style w:type="character" w:customStyle="1" w:styleId="44">
    <w:name w:val="正文文本 3 Char1"/>
    <w:basedOn w:val="29"/>
    <w:link w:val="10"/>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5"/>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列出段落3"/>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9148</Words>
  <Characters>9619</Characters>
  <Lines>300</Lines>
  <Paragraphs>84</Paragraphs>
  <TotalTime>14</TotalTime>
  <ScaleCrop>false</ScaleCrop>
  <LinksUpToDate>false</LinksUpToDate>
  <CharactersWithSpaces>11026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2023-11-23T01:55:00Z</cp:lastPrinted>
  <dcterms:modified xsi:type="dcterms:W3CDTF">2024-01-25T08:03:56Z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C989EAB178E44E9789342C9DE43EDD77</vt:lpwstr>
  </property>
</Properties>
</file>