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
      <w:pPr>
        <w:jc w:val="center"/>
        <w:rPr>
          <w:rFonts w:hint="eastAsia" w:ascii="方正小标宋简体" w:eastAsia="方正小标宋简体"/>
          <w:sz w:val="52"/>
          <w:szCs w:val="52"/>
          <w:lang w:val="en-US" w:eastAsia="zh-CN"/>
        </w:rPr>
      </w:pPr>
      <w:r>
        <w:rPr>
          <w:rFonts w:hint="eastAsia" w:ascii="方正小标宋简体" w:eastAsia="方正小标宋简体"/>
          <w:sz w:val="52"/>
          <w:szCs w:val="52"/>
          <w:lang w:val="en-US" w:eastAsia="zh-CN"/>
        </w:rPr>
        <w:t>广州市净水有限公司在线监测系统</w:t>
      </w:r>
    </w:p>
    <w:p>
      <w:pPr>
        <w:jc w:val="center"/>
        <w:rPr>
          <w:rFonts w:hint="eastAsia" w:ascii="方正小标宋简体" w:eastAsia="方正小标宋简体"/>
          <w:sz w:val="52"/>
          <w:szCs w:val="52"/>
        </w:rPr>
      </w:pPr>
      <w:r>
        <w:rPr>
          <w:rFonts w:hint="eastAsia" w:ascii="方正小标宋简体" w:eastAsia="方正小标宋简体"/>
          <w:sz w:val="52"/>
          <w:szCs w:val="52"/>
          <w:lang w:val="en-US" w:eastAsia="zh-CN"/>
        </w:rPr>
        <w:t>自动标样核查模块采购项目</w:t>
      </w:r>
    </w:p>
    <w:p>
      <w:pPr>
        <w:pStyle w:val="2"/>
        <w:rPr>
          <w:rFonts w:hint="eastAsia"/>
        </w:rPr>
      </w:pP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jc w:val="cente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广州市净水有限公司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w:t>
      </w:r>
      <w:r>
        <w:rPr>
          <w:rFonts w:hint="eastAsia" w:ascii="黑体" w:hAnsi="黑体" w:eastAsia="黑体" w:cs="仿宋_GB2312"/>
          <w:sz w:val="32"/>
          <w:szCs w:val="32"/>
          <w:lang w:val="en-US" w:eastAsia="zh-CN"/>
        </w:rPr>
        <w:t>四</w:t>
      </w:r>
      <w:r>
        <w:rPr>
          <w:rFonts w:hint="eastAsia" w:ascii="黑体" w:hAnsi="黑体" w:eastAsia="黑体" w:cs="仿宋_GB2312"/>
          <w:sz w:val="32"/>
          <w:szCs w:val="32"/>
        </w:rPr>
        <w:t>年</w:t>
      </w:r>
      <w:r>
        <w:rPr>
          <w:rFonts w:hint="eastAsia" w:ascii="黑体" w:hAnsi="黑体" w:eastAsia="黑体" w:cs="仿宋_GB2312"/>
          <w:sz w:val="32"/>
          <w:szCs w:val="32"/>
          <w:lang w:val="en-US" w:eastAsia="zh-CN"/>
        </w:rPr>
        <w:t>一</w:t>
      </w:r>
      <w:r>
        <w:rPr>
          <w:rFonts w:hint="eastAsia" w:ascii="黑体" w:hAnsi="黑体" w:eastAsia="黑体" w:cs="仿宋_GB2312"/>
          <w:sz w:val="32"/>
          <w:szCs w:val="32"/>
        </w:rPr>
        <w:t>月</w:t>
      </w:r>
    </w:p>
    <w:p>
      <w:pPr>
        <w:sectPr>
          <w:footerReference r:id="rId5" w:type="first"/>
          <w:footerReference r:id="rId3" w:type="default"/>
          <w:footerReference r:id="rId4" w:type="even"/>
          <w:pgSz w:w="11906" w:h="16838"/>
          <w:pgMar w:top="2098" w:right="1474" w:bottom="1984" w:left="1587" w:header="851" w:footer="992" w:gutter="0"/>
          <w:pgNumType w:fmt="decimal" w:start="1"/>
          <w:cols w:space="425" w:num="1"/>
          <w:titlePg/>
          <w:docGrid w:type="lines" w:linePitch="312" w:charSpace="0"/>
        </w:sectPr>
      </w:pPr>
    </w:p>
    <w:p>
      <w:pPr>
        <w:pStyle w:val="13"/>
      </w:pPr>
    </w:p>
    <w:p>
      <w:pPr>
        <w:pStyle w:val="36"/>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19"/>
        <w:numPr>
          <w:ilvl w:val="0"/>
          <w:numId w:val="1"/>
        </w:numPr>
        <w:tabs>
          <w:tab w:val="right" w:pos="8844"/>
        </w:tabs>
      </w:pPr>
      <w:r>
        <w:rPr>
          <w:rFonts w:hint="eastAsia"/>
        </w:rPr>
        <w:t>采购公告（采购邀请书）</w:t>
      </w:r>
    </w:p>
    <w:p>
      <w:pPr>
        <w:pStyle w:val="19"/>
        <w:numPr>
          <w:ilvl w:val="0"/>
          <w:numId w:val="1"/>
        </w:numPr>
        <w:tabs>
          <w:tab w:val="right" w:pos="8844"/>
        </w:tabs>
      </w:pPr>
      <w:r>
        <w:rPr>
          <w:rFonts w:hint="eastAsia"/>
        </w:rPr>
        <w:t>供应商须知</w:t>
      </w:r>
    </w:p>
    <w:p>
      <w:pPr>
        <w:pStyle w:val="19"/>
        <w:numPr>
          <w:ilvl w:val="0"/>
          <w:numId w:val="1"/>
        </w:numPr>
        <w:tabs>
          <w:tab w:val="right" w:pos="8844"/>
        </w:tabs>
      </w:pPr>
      <w:r>
        <w:rPr>
          <w:rFonts w:hint="eastAsia"/>
        </w:rPr>
        <w:t>采购方法</w:t>
      </w:r>
    </w:p>
    <w:p>
      <w:pPr>
        <w:pStyle w:val="19"/>
        <w:numPr>
          <w:ilvl w:val="0"/>
          <w:numId w:val="1"/>
        </w:numPr>
        <w:tabs>
          <w:tab w:val="right" w:pos="8844"/>
        </w:tabs>
      </w:pPr>
      <w:r>
        <w:rPr>
          <w:rFonts w:hint="eastAsia"/>
        </w:rPr>
        <w:t>评审方法</w:t>
      </w:r>
    </w:p>
    <w:p>
      <w:pPr>
        <w:pStyle w:val="19"/>
        <w:numPr>
          <w:ilvl w:val="0"/>
          <w:numId w:val="1"/>
        </w:numPr>
        <w:tabs>
          <w:tab w:val="right" w:pos="8844"/>
        </w:tabs>
      </w:pPr>
      <w:r>
        <w:rPr>
          <w:rFonts w:hint="eastAsia"/>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p>
    <w:p>
      <w:pPr>
        <w:pStyle w:val="2"/>
        <w:rPr>
          <w:color w:val="auto"/>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0" w:name="_Toc26148"/>
      <w:bookmarkStart w:id="1" w:name="_Toc18145"/>
    </w:p>
    <w:p/>
    <w:p>
      <w:pPr>
        <w:pStyle w:val="4"/>
      </w:pPr>
      <w:bookmarkStart w:id="2" w:name="_Toc17696"/>
      <w:bookmarkStart w:id="3" w:name="_Toc1711"/>
    </w:p>
    <w:p/>
    <w:p>
      <w:pPr>
        <w:pStyle w:val="2"/>
        <w:rPr>
          <w:color w:val="auto"/>
        </w:rPr>
      </w:pPr>
    </w:p>
    <w:p>
      <w:pPr>
        <w:pStyle w:val="2"/>
        <w:rPr>
          <w:color w:val="auto"/>
        </w:rPr>
      </w:pPr>
    </w:p>
    <w:p>
      <w:pPr>
        <w:pStyle w:val="2"/>
        <w:rPr>
          <w:color w:val="auto"/>
        </w:rPr>
      </w:pPr>
    </w:p>
    <w:p>
      <w:pPr>
        <w:pStyle w:val="2"/>
        <w:rPr>
          <w:color w:val="auto"/>
        </w:rPr>
      </w:pPr>
    </w:p>
    <w:p>
      <w:pPr>
        <w:pStyle w:val="4"/>
      </w:pPr>
      <w:bookmarkStart w:id="4" w:name="_Toc11322"/>
      <w:bookmarkStart w:id="5" w:name="_Toc17801"/>
      <w:bookmarkStart w:id="6" w:name="_Toc4275"/>
      <w:bookmarkStart w:id="7" w:name="_Toc1669"/>
      <w:bookmarkStart w:id="8" w:name="_Toc7519"/>
      <w:bookmarkStart w:id="9" w:name="_Toc19609"/>
      <w:bookmarkStart w:id="10" w:name="_Toc31938"/>
    </w:p>
    <w:bookmarkEnd w:id="0"/>
    <w:bookmarkEnd w:id="1"/>
    <w:bookmarkEnd w:id="2"/>
    <w:bookmarkEnd w:id="3"/>
    <w:bookmarkEnd w:id="4"/>
    <w:bookmarkEnd w:id="5"/>
    <w:bookmarkEnd w:id="6"/>
    <w:bookmarkEnd w:id="7"/>
    <w:bookmarkEnd w:id="8"/>
    <w:bookmarkEnd w:id="9"/>
    <w:bookmarkEnd w:id="10"/>
    <w:p>
      <w:pPr>
        <w:pStyle w:val="4"/>
        <w:jc w:val="both"/>
      </w:pPr>
    </w:p>
    <w:p>
      <w:pPr>
        <w:pStyle w:val="4"/>
        <w:tabs>
          <w:tab w:val="left" w:pos="7012"/>
        </w:tabs>
        <w:jc w:val="left"/>
        <w:rPr>
          <w:rFonts w:hint="eastAsia" w:eastAsia="方正小标宋简体"/>
          <w:lang w:eastAsia="zh-CN"/>
        </w:rPr>
      </w:pPr>
      <w:r>
        <w:rPr>
          <w:rFonts w:hint="eastAsia"/>
          <w:lang w:eastAsia="zh-CN"/>
        </w:rPr>
        <w:tab/>
      </w:r>
    </w:p>
    <w:p>
      <w:pPr>
        <w:pStyle w:val="4"/>
      </w:pPr>
      <w:r>
        <mc:AlternateContent>
          <mc:Choice Requires="wps">
            <w:drawing>
              <wp:anchor distT="0" distB="0" distL="114300" distR="114300" simplePos="0" relativeHeight="251676672" behindDoc="0" locked="0" layoutInCell="1" allowOverlap="1">
                <wp:simplePos x="0" y="0"/>
                <wp:positionH relativeFrom="column">
                  <wp:posOffset>2390140</wp:posOffset>
                </wp:positionH>
                <wp:positionV relativeFrom="paragraph">
                  <wp:posOffset>638175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8.2pt;margin-top:50.25pt;height:0pt;width:75.5pt;z-index:251676672;mso-width-relative:page;mso-height-relative:page;" filled="f" stroked="t" coordsize="21600,21600" o:gfxdata="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ledOi9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2380615</wp:posOffset>
                </wp:positionH>
                <wp:positionV relativeFrom="paragraph">
                  <wp:posOffset>635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7.45pt;margin-top:0.05pt;height:0pt;width:75.5pt;z-index:251675648;mso-width-relative:page;mso-height-relative:page;" filled="f" stroked="t" coordsize="21600,21600" o:gfxdata="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JX57SAAAABQEAAA8AAAAAAAAAAQAgAAAAIgAAAGRycy9kb3ducmV2LnhtbFBLAQIUABQAAAAI&#10;AIdO4kAPrIeI8wEAAOQDAAAOAAAAAAAAAAEAIAAAACEBAABkcnMvZTJvRG9jLnhtbFBLBQYAAAAA&#10;BgAGAFkBAACGBQAAAAA=&#10;">
                <v:fill on="f" focussize="0,0"/>
                <v:stroke color="#000000" joinstyle="round"/>
                <v:imagedata o:title=""/>
                <o:lock v:ext="edit" aspectratio="f"/>
              </v:shape>
            </w:pict>
          </mc:Fallback>
        </mc:AlternateContent>
      </w:r>
      <w:r>
        <w:rPr>
          <w:rFonts w:hint="eastAsia"/>
        </w:rPr>
        <w:t>第一章</w:t>
      </w:r>
    </w:p>
    <w:p>
      <w:pPr>
        <w:pStyle w:val="38"/>
      </w:pPr>
    </w:p>
    <w:p>
      <w:pPr>
        <w:pStyle w:val="38"/>
      </w:pPr>
    </w:p>
    <w:p>
      <w:pPr>
        <w:pStyle w:val="4"/>
      </w:pPr>
      <w:r>
        <w:rPr>
          <w:rFonts w:hint="eastAsia"/>
        </w:rPr>
        <w:t>采购公告（采购邀请书）</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ind w:left="0" w:leftChars="0" w:firstLine="0" w:firstLineChars="0"/>
        <w:rPr>
          <w:rFonts w:ascii="方正小标宋简体" w:eastAsia="方正小标宋简体"/>
          <w:color w:val="auto"/>
          <w:sz w:val="44"/>
          <w:szCs w:val="44"/>
        </w:rPr>
      </w:pPr>
    </w:p>
    <w:p>
      <w:pPr>
        <w:pStyle w:val="2"/>
        <w:ind w:left="0" w:leftChars="0" w:firstLine="0" w:firstLineChars="0"/>
        <w:rPr>
          <w:rFonts w:ascii="方正小标宋简体" w:eastAsia="方正小标宋简体"/>
          <w:color w:val="auto"/>
          <w:sz w:val="44"/>
          <w:szCs w:val="44"/>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adjustRightInd w:val="0"/>
        <w:snapToGrid w:val="0"/>
        <w:spacing w:before="156" w:beforeLines="50" w:after="156" w:afterLines="50" w:line="600" w:lineRule="exact"/>
        <w:jc w:val="left"/>
      </w:pPr>
      <w:r>
        <w:rPr>
          <w:rFonts w:hint="eastAsia" w:asciiTheme="minorEastAsia" w:hAnsiTheme="minorEastAsia"/>
          <w:sz w:val="24"/>
          <w:szCs w:val="24"/>
        </w:rPr>
        <w:t>适用于纸质评审的公开采购方式</w:t>
      </w:r>
    </w:p>
    <w:p>
      <w:pPr>
        <w:pStyle w:val="4"/>
      </w:pPr>
      <w:bookmarkStart w:id="11" w:name="_Toc21373"/>
      <w:bookmarkStart w:id="12" w:name="_Toc9680"/>
      <w:r>
        <w:rPr>
          <w:rFonts w:hint="eastAsia"/>
        </w:rPr>
        <w:t>采购公告（采购邀请书）</w:t>
      </w:r>
    </w:p>
    <w:bookmarkEnd w:id="11"/>
    <w:bookmarkEnd w:id="12"/>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lang w:val="en-US" w:eastAsia="zh-CN"/>
        </w:rPr>
        <w:t>广州市净水有限公司在线监测系统自动标样核查模块采购项目</w:t>
      </w:r>
      <w:r>
        <w:rPr>
          <w:rFonts w:hint="eastAsia" w:ascii="仿宋_GB2312" w:eastAsia="仿宋_GB2312"/>
          <w:sz w:val="28"/>
          <w:szCs w:val="28"/>
        </w:rPr>
        <w:t xml:space="preserve">已具备采购条件，现邀请合格单位参加本□施工  </w:t>
      </w:r>
      <w:r>
        <w:rPr>
          <w:rFonts w:hint="eastAsia" w:ascii="仿宋_GB2312" w:eastAsia="仿宋_GB2312"/>
          <w:sz w:val="28"/>
          <w:szCs w:val="28"/>
        </w:rPr>
        <w:sym w:font="Wingdings" w:char="00FE"/>
      </w:r>
      <w:r>
        <w:rPr>
          <w:rFonts w:hint="eastAsia" w:ascii="仿宋_GB2312" w:eastAsia="仿宋_GB2312"/>
          <w:sz w:val="28"/>
          <w:szCs w:val="28"/>
        </w:rPr>
        <w:t>货物 □服务项目采购活动，采用</w:t>
      </w:r>
      <w:r>
        <w:rPr>
          <w:rFonts w:hint="eastAsia" w:ascii="仿宋_GB2312" w:eastAsia="仿宋_GB2312"/>
          <w:sz w:val="28"/>
          <w:szCs w:val="28"/>
          <w:u w:val="single"/>
        </w:rPr>
        <w:sym w:font="Wingdings" w:char="00FE"/>
      </w:r>
      <w:r>
        <w:rPr>
          <w:rFonts w:hint="eastAsia" w:ascii="仿宋_GB2312" w:eastAsia="仿宋_GB2312"/>
          <w:sz w:val="28"/>
          <w:szCs w:val="28"/>
          <w:u w:val="single"/>
        </w:rPr>
        <w:t>公开</w:t>
      </w:r>
      <w:r>
        <w:rPr>
          <w:rFonts w:hint="eastAsia" w:ascii="仿宋_GB2312" w:eastAsia="仿宋_GB2312"/>
          <w:sz w:val="28"/>
          <w:szCs w:val="28"/>
          <w:u w:val="single"/>
          <w:lang w:val="en-US" w:eastAsia="zh-CN"/>
        </w:rPr>
        <w:t>采购</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lang w:val="en-US" w:eastAsia="zh-CN"/>
        </w:rPr>
        <w:t>广州市净水有限公司在线监测系统自动标样核查模块采购项目</w:t>
      </w:r>
      <w:r>
        <w:rPr>
          <w:rFonts w:hint="eastAsia" w:ascii="仿宋_GB2312" w:eastAsia="仿宋_GB2312"/>
          <w:sz w:val="28"/>
          <w:szCs w:val="28"/>
        </w:rPr>
        <w:t xml:space="preserve">  </w:t>
      </w:r>
    </w:p>
    <w:p>
      <w:pPr>
        <w:adjustRightInd w:val="0"/>
        <w:snapToGrid w:val="0"/>
        <w:spacing w:line="600" w:lineRule="exact"/>
        <w:jc w:val="left"/>
        <w:rPr>
          <w:rFonts w:hint="default" w:ascii="仿宋_GB2312" w:eastAsia="仿宋_GB2312"/>
          <w:sz w:val="28"/>
          <w:szCs w:val="28"/>
          <w:u w:val="single"/>
          <w:lang w:val="en-US" w:eastAsia="zh-CN"/>
        </w:rPr>
      </w:pPr>
      <w:r>
        <w:rPr>
          <w:rFonts w:hint="eastAsia" w:ascii="仿宋_GB2312" w:eastAsia="仿宋_GB2312"/>
          <w:sz w:val="28"/>
          <w:szCs w:val="28"/>
        </w:rPr>
        <w:t>1.2项目编号：</w:t>
      </w:r>
      <w:r>
        <w:rPr>
          <w:rFonts w:hint="eastAsia" w:ascii="仿宋_GB2312" w:eastAsia="仿宋_GB2312"/>
          <w:sz w:val="28"/>
          <w:szCs w:val="28"/>
          <w:u w:val="single"/>
          <w:lang w:val="en-US" w:eastAsia="zh-CN"/>
        </w:rPr>
        <w:t>XJ-20240118-1</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 xml:space="preserve">自有资金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1.4最高限价（元）：</w:t>
      </w:r>
      <w:r>
        <w:rPr>
          <w:rFonts w:hint="eastAsia" w:ascii="仿宋_GB2312" w:eastAsia="仿宋_GB2312"/>
          <w:sz w:val="28"/>
          <w:szCs w:val="28"/>
          <w:u w:val="single"/>
          <w:lang w:val="en-US" w:eastAsia="zh-CN"/>
        </w:rPr>
        <w:t>233243.00</w:t>
      </w:r>
      <w:r>
        <w:rPr>
          <w:rFonts w:hint="eastAsia" w:ascii="仿宋_GB2312" w:eastAsia="仿宋_GB2312"/>
          <w:sz w:val="28"/>
          <w:szCs w:val="28"/>
          <w:u w:val="single"/>
        </w:rPr>
        <w:t>元（人民币）</w:t>
      </w: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rPr>
        <w:t>1.5标段划分：</w:t>
      </w:r>
      <w:r>
        <w:rPr>
          <w:rFonts w:hint="eastAsia" w:ascii="仿宋_GB2312" w:eastAsia="仿宋_GB2312"/>
          <w:sz w:val="28"/>
          <w:szCs w:val="28"/>
          <w:u w:val="single"/>
        </w:rPr>
        <w:t xml:space="preserve"> 无</w:t>
      </w: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2.1采购内容和范围：</w:t>
      </w:r>
      <w:r>
        <w:rPr>
          <w:rFonts w:hint="eastAsia" w:ascii="仿宋_GB2312" w:eastAsia="仿宋_GB2312"/>
          <w:sz w:val="28"/>
          <w:szCs w:val="28"/>
          <w:u w:val="single"/>
        </w:rPr>
        <w:t>项目拟定采购22个自动标样核查模块及对3台岛津TNP-4200设备软件升级，实现猎德、大坦沙、沥滘、龙归、西朗、石井净、竹料在线监测设备自动标样核查功能，并对猎德、沥滘、健康城、竹料、石井净12台在线监测设备软件升级，可实现直接在设备查询12个月数据功能。</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2.2项目工期：□计划工期   </w:t>
      </w:r>
      <w:r>
        <w:rPr>
          <w:rFonts w:hint="eastAsia" w:ascii="仿宋_GB2312" w:eastAsia="仿宋_GB2312"/>
          <w:sz w:val="28"/>
          <w:szCs w:val="28"/>
        </w:rPr>
        <w:sym w:font="Wingdings" w:char="00FE"/>
      </w:r>
      <w:r>
        <w:rPr>
          <w:rFonts w:hint="eastAsia" w:ascii="仿宋_GB2312" w:eastAsia="仿宋_GB2312"/>
          <w:sz w:val="28"/>
          <w:szCs w:val="28"/>
        </w:rPr>
        <w:t>交货期  □服务期为</w:t>
      </w:r>
      <w:r>
        <w:rPr>
          <w:rFonts w:hint="eastAsia" w:ascii="仿宋_GB2312" w:eastAsia="仿宋_GB2312"/>
          <w:sz w:val="28"/>
          <w:szCs w:val="28"/>
          <w:u w:val="single"/>
          <w:lang w:val="en-US" w:eastAsia="zh-CN"/>
        </w:rPr>
        <w:t>自合同签订之日起45天内。</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2.3地点：□建设地点  </w:t>
      </w:r>
      <w:r>
        <w:rPr>
          <w:rFonts w:hint="eastAsia" w:ascii="仿宋_GB2312" w:eastAsia="仿宋_GB2312"/>
          <w:sz w:val="28"/>
          <w:szCs w:val="28"/>
        </w:rPr>
        <w:sym w:font="Wingdings" w:char="00FE"/>
      </w:r>
      <w:r>
        <w:rPr>
          <w:rFonts w:hint="eastAsia" w:ascii="仿宋_GB2312" w:eastAsia="仿宋_GB2312"/>
          <w:sz w:val="28"/>
          <w:szCs w:val="28"/>
        </w:rPr>
        <w:t>交货地点  □服务地点位于</w:t>
      </w:r>
      <w:r>
        <w:rPr>
          <w:rFonts w:hint="eastAsia" w:ascii="仿宋_GB2312" w:eastAsia="仿宋_GB2312"/>
          <w:sz w:val="28"/>
          <w:szCs w:val="28"/>
          <w:u w:val="single"/>
        </w:rPr>
        <w:t>广州市净水有限公司下属分公司。</w:t>
      </w:r>
    </w:p>
    <w:p>
      <w:pPr>
        <w:adjustRightInd w:val="0"/>
        <w:snapToGrid w:val="0"/>
        <w:spacing w:line="600" w:lineRule="exact"/>
        <w:ind w:left="420" w:right="-370" w:rightChars="-176" w:hanging="420" w:hangingChars="150"/>
        <w:jc w:val="left"/>
        <w:rPr>
          <w:rFonts w:ascii="仿宋_GB2312" w:eastAsia="仿宋_GB2312"/>
          <w:sz w:val="28"/>
          <w:szCs w:val="28"/>
          <w:u w:val="single"/>
        </w:rPr>
      </w:pPr>
      <w:r>
        <w:rPr>
          <w:rFonts w:hint="eastAsia" w:ascii="仿宋_GB2312" w:eastAsia="仿宋_GB2312"/>
          <w:sz w:val="28"/>
          <w:szCs w:val="28"/>
        </w:rPr>
        <w:t xml:space="preserve">2.4质量要求：□施工质量要求   </w:t>
      </w:r>
      <w:r>
        <w:rPr>
          <w:rFonts w:hint="eastAsia" w:ascii="仿宋_GB2312" w:eastAsia="仿宋_GB2312"/>
          <w:sz w:val="28"/>
          <w:szCs w:val="28"/>
        </w:rPr>
        <w:sym w:font="Wingdings" w:char="00FE"/>
      </w:r>
      <w:r>
        <w:rPr>
          <w:rFonts w:hint="eastAsia" w:ascii="仿宋_GB2312" w:eastAsia="仿宋_GB2312"/>
          <w:sz w:val="28"/>
          <w:szCs w:val="28"/>
        </w:rPr>
        <w:t>货物质量标准或主要技术性能指标  □服务质量要求或服务标准如下：</w:t>
      </w:r>
      <w:r>
        <w:rPr>
          <w:rFonts w:hint="eastAsia" w:ascii="仿宋_GB2312" w:eastAsia="仿宋_GB2312"/>
          <w:sz w:val="28"/>
          <w:szCs w:val="28"/>
          <w:u w:val="single"/>
        </w:rPr>
        <w:t xml:space="preserve"> 所提供报价仪器/设备均为制造商全新原装产品，且符合本项目仪器设备的技术参数及功能要求。</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（2）供应商应当具备</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w:t>
      </w:r>
      <w:r>
        <w:rPr>
          <w:rFonts w:hint="eastAsia" w:ascii="仿宋_GB2312" w:eastAsia="仿宋_GB2312"/>
          <w:sz w:val="28"/>
          <w:szCs w:val="28"/>
          <w:u w:val="single"/>
        </w:rPr>
        <w:t xml:space="preserve">                    </w:t>
      </w:r>
      <w:r>
        <w:rPr>
          <w:rFonts w:hint="eastAsia" w:ascii="仿宋_GB2312" w:eastAsia="仿宋_GB2312"/>
          <w:sz w:val="28"/>
          <w:szCs w:val="28"/>
        </w:rPr>
        <w:t>资质。</w:t>
      </w:r>
    </w:p>
    <w:p>
      <w:pPr>
        <w:adjustRightInd w:val="0"/>
        <w:snapToGrid w:val="0"/>
        <w:spacing w:line="600" w:lineRule="exact"/>
        <w:jc w:val="left"/>
        <w:rPr>
          <w:rFonts w:ascii="仿宋_GB2312" w:eastAsia="仿宋_GB2312"/>
          <w:sz w:val="28"/>
          <w:szCs w:val="28"/>
          <w:highlight w:val="yellow"/>
        </w:rPr>
      </w:pPr>
      <w:r>
        <w:rPr>
          <w:rFonts w:hint="eastAsia" w:ascii="仿宋_GB2312" w:eastAsia="仿宋_GB2312"/>
          <w:sz w:val="28"/>
          <w:szCs w:val="28"/>
        </w:rPr>
        <w:sym w:font="Wingdings 2" w:char="0052"/>
      </w:r>
      <w:r>
        <w:rPr>
          <w:rFonts w:hint="eastAsia" w:ascii="仿宋_GB2312" w:eastAsia="仿宋_GB2312"/>
          <w:sz w:val="28"/>
          <w:szCs w:val="28"/>
        </w:rPr>
        <w:t>（</w:t>
      </w:r>
      <w:r>
        <w:rPr>
          <w:rFonts w:hint="eastAsia" w:ascii="仿宋_GB2312" w:eastAsia="仿宋_GB2312"/>
          <w:sz w:val="28"/>
          <w:szCs w:val="28"/>
          <w:lang w:val="en-US" w:eastAsia="zh-CN"/>
        </w:rPr>
        <w:t>3</w:t>
      </w:r>
      <w:r>
        <w:rPr>
          <w:rFonts w:hint="eastAsia" w:ascii="仿宋_GB2312" w:eastAsia="仿宋_GB2312"/>
          <w:sz w:val="28"/>
          <w:szCs w:val="28"/>
        </w:rPr>
        <w:t>）</w:t>
      </w:r>
      <w:r>
        <w:rPr>
          <w:rFonts w:hint="eastAsia" w:ascii="仿宋_GB2312" w:eastAsia="仿宋_GB2312"/>
          <w:sz w:val="28"/>
          <w:szCs w:val="28"/>
          <w:highlight w:val="none"/>
          <w:u w:val="single"/>
          <w:lang w:val="en-US" w:eastAsia="zh-CN"/>
        </w:rPr>
        <w:t>2</w:t>
      </w:r>
      <w:r>
        <w:rPr>
          <w:rFonts w:hint="eastAsia" w:ascii="仿宋_GB2312" w:eastAsia="仿宋_GB2312"/>
          <w:sz w:val="28"/>
          <w:szCs w:val="28"/>
          <w:highlight w:val="none"/>
          <w:u w:val="single"/>
        </w:rPr>
        <w:t>0</w:t>
      </w:r>
      <w:r>
        <w:rPr>
          <w:rFonts w:hint="eastAsia" w:ascii="仿宋_GB2312" w:eastAsia="仿宋_GB2312"/>
          <w:sz w:val="28"/>
          <w:szCs w:val="28"/>
          <w:highlight w:val="none"/>
          <w:u w:val="single"/>
          <w:lang w:val="en-US" w:eastAsia="zh-CN"/>
        </w:rPr>
        <w:t>21</w:t>
      </w:r>
      <w:r>
        <w:rPr>
          <w:rFonts w:hint="eastAsia" w:ascii="仿宋_GB2312" w:eastAsia="仿宋_GB2312"/>
          <w:sz w:val="28"/>
          <w:szCs w:val="28"/>
          <w:highlight w:val="none"/>
        </w:rPr>
        <w:t>年1月1日至今，供应商最少具有一项</w:t>
      </w:r>
      <w:r>
        <w:rPr>
          <w:rFonts w:hint="eastAsia" w:ascii="仿宋_GB2312" w:eastAsia="仿宋_GB2312"/>
          <w:sz w:val="28"/>
          <w:szCs w:val="28"/>
          <w:highlight w:val="none"/>
          <w:lang w:val="en-US" w:eastAsia="zh-CN"/>
        </w:rPr>
        <w:t>本次所采购货物品牌之一的供货</w:t>
      </w:r>
      <w:r>
        <w:rPr>
          <w:rFonts w:hint="eastAsia" w:ascii="仿宋_GB2312" w:eastAsia="仿宋_GB2312"/>
          <w:sz w:val="28"/>
          <w:szCs w:val="28"/>
          <w:highlight w:val="none"/>
        </w:rPr>
        <w:t>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（4）项目负责人应当具备</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w:t>
      </w:r>
      <w:r>
        <w:rPr>
          <w:rFonts w:hint="eastAsia" w:ascii="仿宋_GB2312" w:eastAsia="仿宋_GB2312"/>
          <w:sz w:val="28"/>
          <w:szCs w:val="28"/>
          <w:u w:val="single"/>
        </w:rPr>
        <w:t xml:space="preserve">            </w:t>
      </w:r>
      <w:r>
        <w:rPr>
          <w:rFonts w:hint="eastAsia" w:ascii="仿宋_GB2312" w:eastAsia="仿宋_GB2312"/>
          <w:sz w:val="28"/>
          <w:szCs w:val="28"/>
        </w:rPr>
        <w:t>资格条件。</w:t>
      </w:r>
    </w:p>
    <w:p>
      <w:pPr>
        <w:pStyle w:val="2"/>
        <w:spacing w:line="600" w:lineRule="exact"/>
        <w:ind w:firstLine="0"/>
        <w:jc w:val="left"/>
        <w:rPr>
          <w:rFonts w:ascii="仿宋_GB2312" w:eastAsia="仿宋_GB2312"/>
          <w:color w:val="auto"/>
          <w:sz w:val="28"/>
          <w:szCs w:val="28"/>
          <w:u w:val="single"/>
        </w:rPr>
      </w:pPr>
      <w:r>
        <w:rPr>
          <w:rFonts w:hint="eastAsia" w:ascii="仿宋_GB2312" w:eastAsia="仿宋_GB2312"/>
          <w:color w:val="auto"/>
          <w:sz w:val="28"/>
          <w:szCs w:val="28"/>
        </w:rPr>
        <w:sym w:font="Wingdings 2" w:char="0052"/>
      </w:r>
      <w:r>
        <w:rPr>
          <w:rFonts w:hint="eastAsia" w:ascii="仿宋_GB2312" w:eastAsia="仿宋_GB2312"/>
          <w:color w:val="auto"/>
          <w:sz w:val="28"/>
          <w:szCs w:val="28"/>
        </w:rPr>
        <w:t>（5）</w:t>
      </w:r>
      <w:r>
        <w:rPr>
          <w:rFonts w:hint="eastAsia" w:ascii="仿宋_GB2312" w:hAnsi="仿宋_GB2312" w:eastAsia="仿宋_GB2312" w:cs="仿宋_GB2312"/>
          <w:color w:val="auto"/>
          <w:sz w:val="28"/>
          <w:szCs w:val="28"/>
        </w:rPr>
        <w:t>其他要求：</w:t>
      </w:r>
      <w:r>
        <w:rPr>
          <w:rFonts w:hint="eastAsia" w:ascii="仿宋_GB2312" w:hAnsi="仿宋_GB2312" w:eastAsia="仿宋_GB2312" w:cs="仿宋_GB2312"/>
          <w:color w:val="auto"/>
          <w:sz w:val="28"/>
          <w:szCs w:val="28"/>
          <w:u w:val="single"/>
        </w:rPr>
        <w:t>供应商须出具承诺函，承诺所提供报价货物/设备均为制造商全新原装产品。</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sz w:val="28"/>
          <w:szCs w:val="28"/>
        </w:rPr>
        <w:t>3.2供应商在响应文件提交截止日期止不得存在下列情形之一（须出具</w:t>
      </w:r>
      <w:r>
        <w:rPr>
          <w:rFonts w:hint="eastAsia" w:ascii="仿宋_GB2312" w:eastAsia="仿宋_GB2312"/>
          <w:color w:val="auto"/>
          <w:sz w:val="28"/>
          <w:szCs w:val="28"/>
          <w:highlight w:val="none"/>
          <w:lang w:val="en-US" w:eastAsia="zh-CN"/>
        </w:rPr>
        <w:t>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从</w:t>
      </w:r>
      <w:r>
        <w:rPr>
          <w:rFonts w:hint="eastAsia" w:ascii="仿宋_GB2312" w:eastAsia="仿宋_GB2312"/>
          <w:sz w:val="28"/>
          <w:szCs w:val="28"/>
          <w:highlight w:val="none"/>
          <w:u w:val="single"/>
          <w:lang w:val="en-US" w:eastAsia="zh-CN"/>
        </w:rPr>
        <w:t xml:space="preserve"> 2024 </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1</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19 </w:t>
      </w:r>
      <w:r>
        <w:rPr>
          <w:rFonts w:hint="eastAsia" w:ascii="仿宋_GB2312" w:eastAsia="仿宋_GB2312"/>
          <w:sz w:val="28"/>
          <w:szCs w:val="28"/>
          <w:highlight w:val="none"/>
        </w:rPr>
        <w:t>日至</w:t>
      </w:r>
      <w:r>
        <w:rPr>
          <w:rFonts w:hint="eastAsia" w:ascii="仿宋_GB2312" w:eastAsia="仿宋_GB2312"/>
          <w:sz w:val="28"/>
          <w:szCs w:val="28"/>
          <w:highlight w:val="none"/>
          <w:u w:val="single"/>
          <w:lang w:val="en-US" w:eastAsia="zh-CN"/>
        </w:rPr>
        <w:t xml:space="preserve"> 2024 </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1</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23</w:t>
      </w:r>
      <w:r>
        <w:rPr>
          <w:rFonts w:hint="eastAsia" w:ascii="仿宋_GB2312" w:eastAsia="仿宋_GB2312"/>
          <w:sz w:val="28"/>
          <w:szCs w:val="28"/>
          <w:highlight w:val="none"/>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不组织</w:t>
      </w:r>
    </w:p>
    <w:p>
      <w:pPr>
        <w:adjustRightInd w:val="0"/>
        <w:snapToGrid w:val="0"/>
        <w:spacing w:line="360" w:lineRule="auto"/>
        <w:jc w:val="left"/>
        <w:rPr>
          <w:rFonts w:asciiTheme="minorEastAsia" w:hAnsiTheme="minorEastAsia"/>
          <w:b/>
          <w:sz w:val="32"/>
          <w:szCs w:val="32"/>
        </w:rPr>
      </w:pPr>
      <w:r>
        <w:rPr>
          <w:rFonts w:hint="eastAsia" w:ascii="仿宋_GB2312" w:eastAsia="仿宋_GB2312"/>
          <w:sz w:val="28"/>
          <w:szCs w:val="28"/>
        </w:rPr>
        <w:t>□组织：</w:t>
      </w:r>
      <w:r>
        <w:rPr>
          <w:rFonts w:hint="eastAsia" w:ascii="仿宋_GB2312" w:hAnsi="仿宋" w:eastAsia="仿宋_GB2312" w:cs="仿宋_GB2312"/>
          <w:color w:val="000000" w:themeColor="text1"/>
          <w:sz w:val="28"/>
          <w:szCs w:val="28"/>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eastAsia="仿宋_GB2312"/>
          <w:sz w:val="28"/>
          <w:szCs w:val="28"/>
        </w:rPr>
        <w:t xml:space="preserve">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ind w:left="280" w:hanging="280" w:hangingChars="100"/>
        <w:jc w:val="left"/>
        <w:rPr>
          <w:rFonts w:ascii="仿宋_GB2312" w:eastAsia="仿宋_GB2312"/>
          <w:sz w:val="28"/>
          <w:szCs w:val="28"/>
        </w:rPr>
      </w:pPr>
      <w:r>
        <w:rPr>
          <w:rFonts w:hint="eastAsia" w:ascii="仿宋_GB2312" w:eastAsia="仿宋_GB2312"/>
          <w:sz w:val="28"/>
          <w:szCs w:val="28"/>
        </w:rPr>
        <w:t>6.1递交响应文件集合时间：</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4</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1</w:t>
      </w:r>
      <w:r>
        <w:rPr>
          <w:rFonts w:hint="eastAsia" w:ascii="仿宋_GB2312" w:eastAsia="仿宋_GB2312"/>
          <w:sz w:val="28"/>
          <w:szCs w:val="28"/>
          <w:u w:val="single"/>
        </w:rPr>
        <w:t> </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24 </w:t>
      </w:r>
      <w:r>
        <w:rPr>
          <w:rFonts w:hint="eastAsia" w:ascii="仿宋_GB2312" w:eastAsia="仿宋_GB2312"/>
          <w:sz w:val="28"/>
          <w:szCs w:val="28"/>
        </w:rPr>
        <w:t>日</w:t>
      </w:r>
      <w:r>
        <w:rPr>
          <w:rFonts w:hint="eastAsia" w:ascii="仿宋_GB2312" w:eastAsia="仿宋_GB2312"/>
          <w:sz w:val="28"/>
          <w:szCs w:val="28"/>
          <w:u w:val="single"/>
          <w:lang w:val="en-US" w:eastAsia="zh-CN"/>
        </w:rPr>
        <w:t xml:space="preserve"> 14</w:t>
      </w:r>
      <w:r>
        <w:rPr>
          <w:rFonts w:hint="eastAsia" w:ascii="仿宋_GB2312" w:eastAsia="仿宋_GB2312"/>
          <w:sz w:val="28"/>
          <w:szCs w:val="28"/>
        </w:rPr>
        <w:t>时</w:t>
      </w:r>
      <w:r>
        <w:rPr>
          <w:rFonts w:hint="eastAsia" w:ascii="仿宋_GB2312" w:eastAsia="仿宋_GB2312"/>
          <w:sz w:val="28"/>
          <w:szCs w:val="28"/>
          <w:u w:val="single"/>
          <w:lang w:val="en-US" w:eastAsia="zh-CN"/>
        </w:rPr>
        <w:t>30</w:t>
      </w:r>
      <w:r>
        <w:rPr>
          <w:rFonts w:hint="eastAsia" w:ascii="仿宋_GB2312" w:eastAsia="仿宋_GB2312"/>
          <w:sz w:val="28"/>
          <w:szCs w:val="28"/>
        </w:rPr>
        <w:t>分至</w:t>
      </w:r>
      <w:r>
        <w:rPr>
          <w:rFonts w:hint="eastAsia" w:ascii="仿宋_GB2312" w:eastAsia="仿宋_GB2312"/>
          <w:sz w:val="28"/>
          <w:szCs w:val="28"/>
          <w:u w:val="single"/>
        </w:rPr>
        <w:t>20</w:t>
      </w:r>
      <w:r>
        <w:rPr>
          <w:rFonts w:hint="eastAsia" w:ascii="仿宋_GB2312" w:eastAsia="仿宋_GB2312"/>
          <w:sz w:val="28"/>
          <w:szCs w:val="28"/>
          <w:u w:val="single"/>
          <w:lang w:val="en-US" w:eastAsia="zh-CN"/>
        </w:rPr>
        <w:t>24</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1 </w:t>
      </w:r>
      <w:r>
        <w:rPr>
          <w:rFonts w:hint="eastAsia" w:ascii="仿宋_GB2312" w:eastAsia="仿宋_GB2312"/>
          <w:sz w:val="28"/>
          <w:szCs w:val="28"/>
        </w:rPr>
        <w:t>月</w:t>
      </w:r>
      <w:r>
        <w:rPr>
          <w:rFonts w:hint="eastAsia" w:ascii="仿宋_GB2312" w:eastAsia="仿宋_GB2312"/>
          <w:sz w:val="28"/>
          <w:szCs w:val="28"/>
          <w:u w:val="single"/>
          <w:lang w:val="en-US" w:eastAsia="zh-CN"/>
        </w:rPr>
        <w:t>24</w:t>
      </w:r>
      <w:r>
        <w:rPr>
          <w:rFonts w:hint="eastAsia" w:ascii="仿宋_GB2312" w:eastAsia="仿宋_GB2312"/>
          <w:sz w:val="28"/>
          <w:szCs w:val="28"/>
        </w:rPr>
        <w:t>日</w:t>
      </w:r>
      <w:r>
        <w:rPr>
          <w:rFonts w:hint="eastAsia" w:ascii="仿宋_GB2312" w:eastAsia="仿宋_GB2312"/>
          <w:sz w:val="28"/>
          <w:szCs w:val="28"/>
          <w:u w:val="single"/>
          <w:lang w:val="en-US" w:eastAsia="zh-CN"/>
        </w:rPr>
        <w:t>15</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分（北京时间）。截止时间：</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4</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1 </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24</w:t>
      </w:r>
      <w:r>
        <w:rPr>
          <w:rFonts w:hint="eastAsia" w:ascii="仿宋_GB2312" w:eastAsia="仿宋_GB2312"/>
          <w:sz w:val="28"/>
          <w:szCs w:val="28"/>
        </w:rPr>
        <w:t>日</w:t>
      </w:r>
      <w:r>
        <w:rPr>
          <w:rFonts w:hint="eastAsia" w:ascii="仿宋_GB2312" w:eastAsia="仿宋_GB2312"/>
          <w:sz w:val="28"/>
          <w:szCs w:val="28"/>
          <w:u w:val="single"/>
          <w:lang w:val="en-US" w:eastAsia="zh-CN"/>
        </w:rPr>
        <w:t>15</w:t>
      </w:r>
      <w:bookmarkStart w:id="135" w:name="_GoBack"/>
      <w:bookmarkEnd w:id="135"/>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分（北京时间）</w:t>
      </w:r>
      <w:r>
        <w:rPr>
          <w:rFonts w:hint="eastAsia" w:ascii="仿宋_GB2312" w:eastAsia="仿宋_GB2312"/>
          <w:sz w:val="28"/>
          <w:szCs w:val="28"/>
          <w:lang w:eastAsia="zh-CN"/>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sz w:val="28"/>
          <w:szCs w:val="28"/>
        </w:rPr>
        <w:t>6.2递交地址：广州市天河区临江大道501号广州市净水有限公司6楼招标部。</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响应文件递交预约信息填写：</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（1）通过“广州净水公司”微信公众号或来访时扫码进行访客预约登记。</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（2）“组织”选择“公司本部”，“部门”选择“招投标合同管理部”。</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（3）“被访人员”选择“招标部”，“手机号”：“62315524”。</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color w:val="auto"/>
          <w:sz w:val="28"/>
          <w:szCs w:val="28"/>
        </w:rPr>
        <w:t>（4）“详细描述”：找XX，递交XX项目响应文件。</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本项目采购公告（采购邀请书）、公告补充及修改同步在广州净水公司门户网站及阳光平台上发布。</w:t>
      </w:r>
      <w:r>
        <w:rPr>
          <w:rFonts w:hint="eastAsia" w:ascii="仿宋_GB2312" w:hAnsi="Calibri" w:eastAsia="仿宋_GB2312" w:cs="Times New Roman"/>
          <w:sz w:val="28"/>
          <w:szCs w:val="28"/>
        </w:rPr>
        <w:t>本公告在各媒体发布的文本如有不同之处，以广州净水公司门户网站为准。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sz w:val="28"/>
          <w:szCs w:val="28"/>
        </w:rPr>
      </w:pPr>
      <w:r>
        <w:rPr>
          <w:rFonts w:ascii="仿宋_GB2312" w:hAnsi="仿宋" w:eastAsia="仿宋_GB2312"/>
          <w:sz w:val="28"/>
          <w:szCs w:val="28"/>
        </w:rPr>
        <w:t>潜在供应商或利害关系人对本</w:t>
      </w:r>
      <w:r>
        <w:rPr>
          <w:rFonts w:hint="eastAsia" w:ascii="仿宋_GB2312" w:hAnsi="仿宋" w:eastAsia="仿宋_GB2312"/>
          <w:sz w:val="28"/>
          <w:szCs w:val="28"/>
        </w:rPr>
        <w:t>采购</w:t>
      </w:r>
      <w:r>
        <w:rPr>
          <w:rFonts w:ascii="仿宋_GB2312" w:hAnsi="仿宋" w:eastAsia="仿宋_GB2312"/>
          <w:sz w:val="28"/>
          <w:szCs w:val="28"/>
        </w:rPr>
        <w:t>公告及采购文件中任何违法及不公平内容有异议的，可以在提交</w:t>
      </w:r>
      <w:r>
        <w:rPr>
          <w:rFonts w:hint="eastAsia" w:ascii="仿宋_GB2312" w:hAnsi="仿宋" w:eastAsia="仿宋_GB2312"/>
          <w:sz w:val="28"/>
          <w:szCs w:val="28"/>
        </w:rPr>
        <w:t>响应文件截止之日</w:t>
      </w:r>
      <w:r>
        <w:rPr>
          <w:rFonts w:hint="eastAsia" w:ascii="仿宋_GB2312" w:hAnsi="仿宋" w:eastAsia="仿宋_GB2312"/>
          <w:sz w:val="28"/>
          <w:szCs w:val="28"/>
          <w:u w:val="single"/>
        </w:rPr>
        <w:t>2</w:t>
      </w:r>
      <w:r>
        <w:rPr>
          <w:rFonts w:hint="eastAsia" w:ascii="仿宋_GB2312" w:hAnsi="仿宋" w:eastAsia="仿宋_GB2312"/>
          <w:sz w:val="28"/>
          <w:szCs w:val="28"/>
        </w:rPr>
        <w:t>个工作日前</w:t>
      </w:r>
      <w:r>
        <w:rPr>
          <w:rFonts w:ascii="仿宋_GB2312" w:hAnsi="仿宋" w:eastAsia="仿宋_GB2312"/>
          <w:sz w:val="28"/>
          <w:szCs w:val="28"/>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sz w:val="28"/>
          <w:szCs w:val="28"/>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异议受理部门：</w:t>
      </w:r>
      <w:r>
        <w:rPr>
          <w:rFonts w:hint="eastAsia" w:ascii="仿宋_GB2312" w:hAnsi="仿宋" w:eastAsia="仿宋_GB2312"/>
          <w:sz w:val="28"/>
          <w:szCs w:val="28"/>
          <w:u w:val="single"/>
        </w:rPr>
        <w:t>广州市净水有限公司</w:t>
      </w:r>
      <w:r>
        <w:rPr>
          <w:rFonts w:ascii="仿宋_GB2312" w:hAnsi="仿宋" w:eastAsia="仿宋_GB2312"/>
          <w:sz w:val="28"/>
          <w:szCs w:val="28"/>
        </w:rPr>
        <w:t>，电话：</w:t>
      </w:r>
      <w:r>
        <w:rPr>
          <w:rFonts w:hint="eastAsia" w:ascii="仿宋_GB2312" w:hAnsi="仿宋" w:eastAsia="仿宋_GB2312"/>
          <w:sz w:val="28"/>
          <w:szCs w:val="28"/>
          <w:u w:val="single"/>
        </w:rPr>
        <w:t>38890841</w:t>
      </w:r>
      <w:r>
        <w:rPr>
          <w:rFonts w:ascii="仿宋_GB2312" w:hAnsi="仿宋" w:eastAsia="仿宋_GB2312"/>
          <w:sz w:val="28"/>
          <w:szCs w:val="28"/>
        </w:rPr>
        <w:t>。</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地址：</w:t>
      </w:r>
      <w:r>
        <w:rPr>
          <w:rFonts w:hint="eastAsia" w:ascii="仿宋_GB2312" w:hAnsi="仿宋" w:eastAsia="仿宋_GB2312"/>
          <w:sz w:val="28"/>
          <w:szCs w:val="28"/>
          <w:u w:val="single"/>
        </w:rPr>
        <w:t>广州市天河区临江大道501号广州市净水有限公司</w:t>
      </w:r>
      <w:r>
        <w:rPr>
          <w:rFonts w:hint="eastAsia" w:ascii="仿宋_GB2312" w:hAnsi="仿宋" w:eastAsia="仿宋_GB2312"/>
          <w:sz w:val="28"/>
          <w:szCs w:val="28"/>
        </w:rPr>
        <w:t xml:space="preserve"> </w:t>
      </w:r>
      <w:r>
        <w:rPr>
          <w:rFonts w:ascii="仿宋_GB2312" w:hAnsi="仿宋" w:eastAsia="仿宋_GB2312"/>
          <w:sz w:val="28"/>
          <w:szCs w:val="28"/>
        </w:rPr>
        <w:t>。</w:t>
      </w:r>
    </w:p>
    <w:p>
      <w:pPr>
        <w:adjustRightInd w:val="0"/>
        <w:snapToGrid w:val="0"/>
        <w:spacing w:before="156" w:beforeLines="50" w:after="156" w:afterLines="50"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9</w:t>
      </w:r>
      <w:r>
        <w:rPr>
          <w:rFonts w:hint="eastAsia" w:asciiTheme="minorEastAsia" w:hAnsiTheme="minorEastAsia"/>
          <w:b/>
          <w:sz w:val="32"/>
          <w:szCs w:val="32"/>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0" w:type="dxa"/>
          </w:tcPr>
          <w:p>
            <w:pPr>
              <w:adjustRightInd w:val="0"/>
              <w:snapToGrid w:val="0"/>
              <w:spacing w:line="6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0" w:type="dxa"/>
          </w:tcPr>
          <w:p>
            <w:pPr>
              <w:adjustRightInd w:val="0"/>
              <w:snapToGrid w:val="0"/>
              <w:spacing w:line="6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  址：广州市天河区临江大道501号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0" w:type="dxa"/>
          </w:tcPr>
          <w:p>
            <w:pPr>
              <w:adjustRightInd w:val="0"/>
              <w:snapToGrid w:val="0"/>
              <w:spacing w:line="6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val="en-US" w:eastAsia="zh-CN"/>
              </w:rPr>
              <w:t>黄</w:t>
            </w:r>
            <w:r>
              <w:rPr>
                <w:rFonts w:hint="eastAsia" w:ascii="仿宋_GB2312" w:hAnsi="仿宋_GB2312" w:eastAsia="仿宋_GB2312" w:cs="仿宋_GB2312"/>
                <w:sz w:val="28"/>
                <w:szCs w:val="28"/>
              </w:rPr>
              <w:t>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0" w:type="dxa"/>
          </w:tcPr>
          <w:p>
            <w:pPr>
              <w:adjustRightInd w:val="0"/>
              <w:snapToGrid w:val="0"/>
              <w:spacing w:line="600" w:lineRule="exac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电  话：020-</w:t>
            </w:r>
            <w:r>
              <w:rPr>
                <w:rFonts w:hint="eastAsia" w:ascii="仿宋_GB2312" w:hAnsi="仿宋_GB2312" w:eastAsia="仿宋_GB2312" w:cs="仿宋_GB2312"/>
                <w:sz w:val="28"/>
                <w:szCs w:val="28"/>
                <w:lang w:val="en-US" w:eastAsia="zh-CN"/>
              </w:rPr>
              <w:t>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0" w:type="dxa"/>
          </w:tcPr>
          <w:p>
            <w:pPr>
              <w:adjustRightInd w:val="0"/>
              <w:snapToGrid w:val="0"/>
              <w:spacing w:line="6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2024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1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18 </w:t>
            </w:r>
            <w:r>
              <w:rPr>
                <w:rFonts w:hint="eastAsia" w:ascii="仿宋_GB2312" w:hAnsi="仿宋_GB2312" w:eastAsia="仿宋_GB2312" w:cs="仿宋_GB2312"/>
                <w:sz w:val="28"/>
                <w:szCs w:val="28"/>
              </w:rPr>
              <w:t>日</w:t>
            </w:r>
          </w:p>
        </w:tc>
      </w:tr>
    </w:tbl>
    <w:p>
      <w:pPr>
        <w:pStyle w:val="2"/>
        <w:ind w:left="0" w:leftChars="0" w:firstLine="0" w:firstLineChars="0"/>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bookmarkStart w:id="13" w:name="_Toc10891"/>
    </w:p>
    <w:p/>
    <w:p>
      <w:bookmarkStart w:id="14" w:name="_Toc16557"/>
      <w:bookmarkStart w:id="15" w:name="_Toc16705"/>
      <w:bookmarkStart w:id="16" w:name="_Toc23749"/>
      <w:bookmarkStart w:id="17" w:name="_Toc19295"/>
      <w:bookmarkStart w:id="18" w:name="_Toc9448"/>
      <w:bookmarkStart w:id="19" w:name="_Toc7340"/>
      <w:bookmarkStart w:id="20" w:name="_Toc32588"/>
      <w:bookmarkStart w:id="21" w:name="_Toc2331"/>
      <w:bookmarkStart w:id="22" w:name="_Toc2324"/>
      <w:bookmarkStart w:id="23" w:name="_Toc25603"/>
    </w:p>
    <w:p/>
    <w:p>
      <w:pPr>
        <w:pStyle w:val="4"/>
      </w:pPr>
      <w:r>
        <mc:AlternateContent>
          <mc:Choice Requires="wps">
            <w:drawing>
              <wp:anchor distT="0" distB="0" distL="114300" distR="114300" simplePos="0" relativeHeight="251668480" behindDoc="0" locked="0" layoutInCell="1" allowOverlap="1">
                <wp:simplePos x="0" y="0"/>
                <wp:positionH relativeFrom="column">
                  <wp:posOffset>2382520</wp:posOffset>
                </wp:positionH>
                <wp:positionV relativeFrom="paragraph">
                  <wp:posOffset>727710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7.6pt;margin-top:57.3pt;height:0pt;width:75.5pt;z-index:251668480;mso-width-relative:page;mso-height-relative:page;" filled="f" stroked="t" coordsize="21600,21600" o:gfxdata="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l1WDsN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2382520</wp:posOffset>
                </wp:positionH>
                <wp:positionV relativeFrom="paragraph">
                  <wp:posOffset>191770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7.6pt;margin-top:15.1pt;height:0pt;width:75.5pt;z-index:251667456;mso-width-relative:page;mso-height-relative:page;" filled="f" stroked="t" coordsize="21600,21600" o:gfxdata="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aDd9K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rPr>
        <w:t>第二章</w:t>
      </w:r>
      <w:bookmarkEnd w:id="13"/>
      <w:bookmarkEnd w:id="14"/>
      <w:bookmarkEnd w:id="15"/>
      <w:bookmarkEnd w:id="16"/>
      <w:bookmarkEnd w:id="17"/>
      <w:bookmarkEnd w:id="18"/>
      <w:bookmarkEnd w:id="19"/>
      <w:bookmarkEnd w:id="20"/>
      <w:bookmarkEnd w:id="21"/>
      <w:bookmarkEnd w:id="22"/>
      <w:bookmarkEnd w:id="23"/>
    </w:p>
    <w:p>
      <w:pPr>
        <w:pStyle w:val="5"/>
      </w:pPr>
    </w:p>
    <w:p>
      <w:pPr>
        <w:pStyle w:val="5"/>
      </w:pPr>
      <w:bookmarkStart w:id="24" w:name="_Toc3416"/>
      <w:bookmarkStart w:id="25" w:name="_Toc2339"/>
      <w:r>
        <w:rPr>
          <w:rFonts w:hint="eastAsia"/>
        </w:rPr>
        <w:t>供应商须知</w:t>
      </w:r>
      <w:bookmarkEnd w:id="24"/>
      <w:bookmarkEnd w:id="25"/>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pStyle w:val="2"/>
        <w:rPr>
          <w:rFonts w:asciiTheme="minorEastAsia" w:hAnsiTheme="minorEastAsia"/>
          <w:b/>
          <w:color w:val="auto"/>
          <w:sz w:val="32"/>
          <w:szCs w:val="32"/>
        </w:rPr>
      </w:pPr>
    </w:p>
    <w:p>
      <w:pPr>
        <w:pStyle w:val="2"/>
        <w:rPr>
          <w:rFonts w:asciiTheme="minorEastAsia" w:hAnsiTheme="minorEastAsia"/>
          <w:b/>
          <w:color w:val="auto"/>
          <w:sz w:val="32"/>
          <w:szCs w:val="32"/>
        </w:rPr>
      </w:pPr>
    </w:p>
    <w:p>
      <w:pPr>
        <w:pStyle w:val="2"/>
        <w:rPr>
          <w:rFonts w:asciiTheme="minorEastAsia" w:hAnsiTheme="minorEastAsia"/>
          <w:b/>
          <w:color w:val="auto"/>
          <w:sz w:val="32"/>
          <w:szCs w:val="32"/>
        </w:rPr>
      </w:pPr>
    </w:p>
    <w:p>
      <w:pPr>
        <w:pStyle w:val="2"/>
        <w:rPr>
          <w:rFonts w:asciiTheme="minorEastAsia" w:hAnsiTheme="minorEastAsia"/>
          <w:b/>
          <w:color w:val="auto"/>
          <w:sz w:val="32"/>
          <w:szCs w:val="32"/>
        </w:rPr>
      </w:pPr>
    </w:p>
    <w:p>
      <w:pPr>
        <w:pStyle w:val="2"/>
        <w:rPr>
          <w:rFonts w:asciiTheme="minorEastAsia" w:hAnsiTheme="minorEastAsia"/>
          <w:b/>
          <w:color w:val="auto"/>
          <w:sz w:val="32"/>
          <w:szCs w:val="32"/>
        </w:rPr>
      </w:pPr>
    </w:p>
    <w:p>
      <w:pPr>
        <w:pStyle w:val="2"/>
        <w:rPr>
          <w:rFonts w:asciiTheme="minorEastAsia" w:hAnsiTheme="minorEastAsia"/>
          <w:b/>
          <w:color w:val="auto"/>
          <w:sz w:val="32"/>
          <w:szCs w:val="32"/>
        </w:rPr>
      </w:pPr>
    </w:p>
    <w:p>
      <w:pPr>
        <w:pStyle w:val="2"/>
        <w:rPr>
          <w:rFonts w:asciiTheme="minorEastAsia" w:hAnsiTheme="minorEastAsia"/>
          <w:b/>
          <w:color w:val="auto"/>
          <w:sz w:val="32"/>
          <w:szCs w:val="32"/>
        </w:rPr>
      </w:pPr>
    </w:p>
    <w:p>
      <w:pPr>
        <w:pStyle w:val="2"/>
        <w:rPr>
          <w:rFonts w:asciiTheme="minorEastAsia" w:hAnsiTheme="minorEastAsia"/>
          <w:b/>
          <w:color w:val="auto"/>
          <w:sz w:val="32"/>
          <w:szCs w:val="32"/>
        </w:rPr>
      </w:pPr>
    </w:p>
    <w:p>
      <w:pPr>
        <w:pStyle w:val="2"/>
        <w:rPr>
          <w:rFonts w:asciiTheme="minorEastAsia" w:hAnsiTheme="minorEastAsia"/>
          <w:b/>
          <w:color w:val="auto"/>
          <w:sz w:val="32"/>
          <w:szCs w:val="32"/>
        </w:rPr>
      </w:pPr>
    </w:p>
    <w:p>
      <w:pPr>
        <w:pStyle w:val="2"/>
        <w:ind w:firstLine="0"/>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如采购文件内容与响应文件格式工程量清单存在不一致情形，则以响应文件格式工程量清单为准。如采购文件条款与合同存在不一致情形，则以合同为准。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263" w:type="dxa"/>
            <w:vAlign w:val="center"/>
          </w:tcPr>
          <w:p>
            <w:pPr>
              <w:adjustRightInd w:val="0"/>
              <w:snapToGrid w:val="0"/>
              <w:jc w:val="center"/>
              <w:rPr>
                <w:rFonts w:hint="eastAsia" w:ascii="仿宋_GB2312" w:eastAsia="仿宋_GB2312"/>
                <w:color w:val="auto"/>
                <w:sz w:val="24"/>
                <w:szCs w:val="24"/>
                <w:highlight w:val="none"/>
              </w:rPr>
            </w:pP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8"/>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8"/>
        <w:rPr>
          <w:color w:val="auto"/>
          <w:highlight w:val="none"/>
        </w:rPr>
      </w:pPr>
    </w:p>
    <w:p>
      <w:pPr>
        <w:pStyle w:val="3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hint="eastAsia" w:asciiTheme="minorHAnsi" w:hAnsiTheme="minorHAnsi" w:cstheme="minorBidi"/>
          <w:kern w:val="44"/>
          <w:sz w:val="44"/>
          <w:szCs w:val="44"/>
        </w:rPr>
      </w:pPr>
      <w:bookmarkStart w:id="26" w:name="_Toc21455"/>
      <w:bookmarkStart w:id="27" w:name="_Toc2867"/>
    </w:p>
    <w:p>
      <w:pPr>
        <w:rPr>
          <w:rFonts w:hint="eastAsia" w:asciiTheme="minorHAnsi" w:hAnsiTheme="minorHAnsi" w:cstheme="minorBidi"/>
          <w:kern w:val="44"/>
          <w:sz w:val="44"/>
          <w:szCs w:val="44"/>
        </w:rPr>
      </w:pPr>
    </w:p>
    <w:p>
      <w:pPr>
        <w:pStyle w:val="2"/>
        <w:rPr>
          <w:rFonts w:hint="eastAsia" w:asciiTheme="minorHAnsi" w:hAnsiTheme="minorHAnsi" w:cstheme="minorBidi"/>
          <w:kern w:val="44"/>
          <w:sz w:val="44"/>
          <w:szCs w:val="44"/>
        </w:rPr>
      </w:pPr>
    </w:p>
    <w:p>
      <w:pPr>
        <w:pStyle w:val="2"/>
        <w:rPr>
          <w:rFonts w:hint="eastAsia" w:asciiTheme="minorHAnsi" w:hAnsiTheme="minorHAnsi" w:cstheme="minorBidi"/>
          <w:kern w:val="44"/>
          <w:sz w:val="44"/>
          <w:szCs w:val="44"/>
        </w:rPr>
      </w:pPr>
    </w:p>
    <w:p>
      <w:pPr>
        <w:pStyle w:val="2"/>
        <w:rPr>
          <w:rFonts w:hint="eastAsia" w:asciiTheme="minorHAnsi" w:hAnsiTheme="minorHAnsi" w:cstheme="minorBidi"/>
          <w:kern w:val="44"/>
          <w:sz w:val="44"/>
          <w:szCs w:val="44"/>
        </w:rPr>
      </w:pPr>
    </w:p>
    <w:p>
      <w:pPr>
        <w:pStyle w:val="2"/>
        <w:rPr>
          <w:rFonts w:hint="eastAsia" w:asciiTheme="minorHAnsi" w:hAnsiTheme="minorHAnsi" w:cstheme="minorBidi"/>
          <w:kern w:val="44"/>
          <w:sz w:val="44"/>
          <w:szCs w:val="44"/>
        </w:rPr>
      </w:pPr>
    </w:p>
    <w:p>
      <w:pPr>
        <w:pStyle w:val="2"/>
        <w:rPr>
          <w:rFonts w:hint="eastAsia" w:asciiTheme="minorHAnsi" w:hAnsiTheme="minorHAnsi" w:cstheme="minorBidi"/>
          <w:kern w:val="44"/>
          <w:sz w:val="44"/>
          <w:szCs w:val="44"/>
        </w:rPr>
      </w:pPr>
    </w:p>
    <w:p>
      <w:pPr>
        <w:pStyle w:val="2"/>
        <w:rPr>
          <w:rFonts w:hint="eastAsia" w:asciiTheme="minorHAnsi" w:hAnsiTheme="minorHAnsi" w:cstheme="minorBidi"/>
          <w:kern w:val="44"/>
          <w:sz w:val="44"/>
          <w:szCs w:val="44"/>
        </w:rPr>
      </w:pPr>
    </w:p>
    <w:p>
      <w:pPr>
        <w:pStyle w:val="2"/>
        <w:rPr>
          <w:rFonts w:hint="eastAsia" w:asciiTheme="minorHAnsi" w:hAnsiTheme="minorHAnsi" w:cstheme="minorBidi"/>
          <w:kern w:val="44"/>
          <w:sz w:val="44"/>
          <w:szCs w:val="44"/>
        </w:rPr>
      </w:pPr>
    </w:p>
    <w:p>
      <w:pPr>
        <w:pStyle w:val="5"/>
        <w:rPr>
          <w:rFonts w:hint="eastAsia" w:asciiTheme="minorHAnsi" w:hAnsiTheme="minorHAnsi" w:cstheme="minorBidi"/>
          <w:kern w:val="44"/>
          <w:sz w:val="44"/>
          <w:szCs w:val="44"/>
        </w:rPr>
      </w:pPr>
    </w:p>
    <w:p>
      <w:pPr>
        <w:pStyle w:val="5"/>
        <w:rPr>
          <w:rFonts w:asciiTheme="minorHAnsi" w:hAnsiTheme="minorHAnsi" w:cstheme="minorBidi"/>
          <w:kern w:val="44"/>
          <w:sz w:val="44"/>
          <w:szCs w:val="44"/>
        </w:rPr>
      </w:pPr>
      <w:r>
        <w:rPr>
          <w:rFonts w:hint="eastAsia" w:asciiTheme="minorHAnsi" w:hAnsiTheme="minorHAnsi" w:cstheme="minorBidi"/>
          <w:kern w:val="44"/>
          <w:sz w:val="44"/>
          <w:szCs w:val="44"/>
        </w:rPr>
        <mc:AlternateContent>
          <mc:Choice Requires="wps">
            <w:drawing>
              <wp:anchor distT="0" distB="0" distL="114300" distR="114300" simplePos="0" relativeHeight="251660288" behindDoc="0" locked="0" layoutInCell="1" allowOverlap="1">
                <wp:simplePos x="0" y="0"/>
                <wp:positionH relativeFrom="column">
                  <wp:posOffset>2394585</wp:posOffset>
                </wp:positionH>
                <wp:positionV relativeFrom="paragraph">
                  <wp:posOffset>52070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8.55pt;margin-top:4.1pt;height:0pt;width:75.5pt;z-index:251660288;mso-width-relative:page;mso-height-relative:page;" filled="f" stroked="t" coordsize="21600,21600" o:gfxdata="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JFDczUAAAABwEAAA8AAAAAAAAAAQAgAAAAIgAAAGRycy9kb3ducmV2LnhtbFBLAQIUABQAAAAI&#10;AIdO4kAXIMW58QEAAOIDAAAOAAAAAAAAAAEAIAAAACMBAABkcnMvZTJvRG9jLnhtbFBLBQYAAAAA&#10;BgAGAFkBAACGBQ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1312" behindDoc="0" locked="0" layoutInCell="1" allowOverlap="1">
                <wp:simplePos x="0" y="0"/>
                <wp:positionH relativeFrom="column">
                  <wp:posOffset>2399665</wp:posOffset>
                </wp:positionH>
                <wp:positionV relativeFrom="paragraph">
                  <wp:posOffset>540385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8.95pt;margin-top:42.55pt;height:0pt;width:75.5pt;z-index:251661312;mso-width-relative:page;mso-height-relative:page;" filled="f" stroked="t" coordsize="21600,21600" o:gfxdata="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fWNf3XAAAACQ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26"/>
      <w:bookmarkEnd w:id="27"/>
    </w:p>
    <w:p>
      <w:pPr>
        <w:pStyle w:val="38"/>
      </w:pPr>
    </w:p>
    <w:p>
      <w:pPr>
        <w:pStyle w:val="5"/>
      </w:pPr>
      <w:bookmarkStart w:id="28" w:name="_Toc88209934"/>
      <w:bookmarkStart w:id="29" w:name="_Toc87616371"/>
      <w:bookmarkStart w:id="30" w:name="_Toc7040"/>
      <w:bookmarkStart w:id="31" w:name="_Toc7303"/>
      <w:r>
        <w:rPr>
          <w:rFonts w:hint="eastAsia"/>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9"/>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rPr>
          <w:rFonts w:ascii="方正小标宋简体" w:eastAsia="方正小标宋简体"/>
          <w:color w:val="auto"/>
          <w:sz w:val="44"/>
          <w:szCs w:val="44"/>
        </w:rPr>
      </w:pPr>
      <w:r>
        <w:rPr>
          <w:rFonts w:ascii="方正小标宋简体" w:eastAsia="方正小标宋简体"/>
          <w:color w:val="auto"/>
          <w:sz w:val="44"/>
          <w:szCs w:val="44"/>
        </w:rPr>
        <w:br w:type="page"/>
      </w:r>
    </w:p>
    <w:p>
      <w:pPr>
        <w:pStyle w:val="5"/>
      </w:pPr>
      <w:bookmarkStart w:id="32" w:name="_Toc3789"/>
      <w:bookmarkStart w:id="33" w:name="_Toc24895"/>
      <w:r>
        <w:rPr>
          <w:rFonts w:hint="eastAsia"/>
        </w:rPr>
        <w:t>询比采购</w:t>
      </w:r>
      <w:bookmarkEnd w:id="32"/>
      <w:bookmarkEnd w:id="33"/>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询比</w:t>
      </w:r>
    </w:p>
    <w:tbl>
      <w:tblPr>
        <w:tblStyle w:val="2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 </w:t>
            </w:r>
            <w:r>
              <w:rPr>
                <w:rFonts w:hint="eastAsia" w:ascii="仿宋_GB2312" w:eastAsia="仿宋_GB2312" w:hAnsiTheme="minorEastAsia"/>
                <w:sz w:val="24"/>
                <w:szCs w:val="24"/>
                <w:u w:val="single"/>
              </w:rPr>
              <w:t xml:space="preserve"> </w:t>
            </w: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响应文件提交截止后，递交响应文件供应商不足3家的或有效响应文件供应商不足两家，应分析原因并重新发出采购公告（邀请书）或采取其他采购方式。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r>
              <w:rPr>
                <w:rFonts w:hint="eastAsia" w:ascii="仿宋_GB2312" w:eastAsia="仿宋_GB2312"/>
                <w:sz w:val="24"/>
                <w:szCs w:val="24"/>
              </w:rPr>
              <w:t xml:space="preserve"> </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6" w:leftChars="217"/>
              <w:rPr>
                <w:rFonts w:ascii="仿宋_GB2312" w:eastAsia="仿宋_GB2312"/>
                <w:sz w:val="24"/>
                <w:szCs w:val="24"/>
                <w:u w:val="single"/>
              </w:rPr>
            </w:pPr>
            <w:r>
              <w:rPr>
                <w:rFonts w:hint="eastAsia" w:ascii="仿宋_GB2312" w:eastAsia="仿宋_GB2312" w:hAnsiTheme="minorEastAsia"/>
                <w:sz w:val="24"/>
                <w:szCs w:val="24"/>
                <w:u w:val="single"/>
              </w:rPr>
              <w:t>广州市天河区临江大道501号广州市净水有限公司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vAlign w:val="center"/>
          </w:tcPr>
          <w:p>
            <w:pPr>
              <w:adjustRightInd w:val="0"/>
              <w:snapToGrid w:val="0"/>
              <w:ind w:left="360" w:hanging="360" w:hangingChars="15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sym w:font="Wingdings 2" w:char="0052"/>
            </w:r>
            <w:r>
              <w:rPr>
                <w:rFonts w:hint="eastAsia" w:ascii="仿宋_GB2312" w:eastAsia="仿宋_GB2312" w:hAnsiTheme="minorEastAsia"/>
                <w:sz w:val="24"/>
                <w:szCs w:val="24"/>
                <w:highlight w:val="none"/>
              </w:rPr>
              <w:t>采购人确定满足采购文件资格性、响应性要求，并且经评审的报价最低的为成交供应商</w:t>
            </w:r>
          </w:p>
          <w:p>
            <w:pPr>
              <w:adjustRightInd w:val="0"/>
              <w:snapToGrid w:val="0"/>
              <w:ind w:left="360" w:hanging="360" w:hangingChars="150"/>
              <w:rPr>
                <w:rFonts w:hint="eastAsia" w:ascii="仿宋_GB2312" w:eastAsia="仿宋_GB2312" w:hAnsiTheme="minorEastAsia"/>
                <w:sz w:val="24"/>
                <w:szCs w:val="24"/>
                <w:highlight w:val="none"/>
              </w:rPr>
            </w:pPr>
            <w:r>
              <w:rPr>
                <w:rFonts w:hint="eastAsia" w:ascii="仿宋_GB2312" w:eastAsia="仿宋_GB2312" w:hAnsiTheme="minorEastAsia"/>
                <w:sz w:val="24"/>
                <w:szCs w:val="24"/>
                <w:highlight w:val="none"/>
              </w:rPr>
              <w:sym w:font="Wingdings 2" w:char="00A3"/>
            </w:r>
            <w:r>
              <w:rPr>
                <w:rFonts w:hint="eastAsia" w:ascii="仿宋_GB2312" w:eastAsia="仿宋_GB2312" w:hAnsiTheme="minorEastAsia"/>
                <w:sz w:val="24"/>
                <w:szCs w:val="24"/>
                <w:highlight w:val="none"/>
              </w:rPr>
              <w:t>评审小组按照采购文件确定的标准排序，采购人确定排名第一的供应商为成交供应商。</w:t>
            </w:r>
          </w:p>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13"/>
        <w:rPr>
          <w:rFonts w:ascii="仿宋_GB2312" w:eastAsia="仿宋_GB2312"/>
          <w:sz w:val="28"/>
          <w:szCs w:val="28"/>
        </w:rPr>
      </w:pPr>
    </w:p>
    <w:p>
      <w:pPr>
        <w:pStyle w:val="14"/>
        <w:rPr>
          <w:rFonts w:ascii="仿宋_GB2312" w:eastAsia="仿宋_GB2312"/>
          <w:sz w:val="28"/>
          <w:szCs w:val="28"/>
        </w:rPr>
      </w:pPr>
    </w:p>
    <w:p>
      <w:pPr>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14"/>
      </w:pPr>
    </w:p>
    <w:p>
      <w:pPr>
        <w:pStyle w:val="4"/>
      </w:pPr>
      <w:bookmarkStart w:id="34" w:name="_Toc14552"/>
      <w:bookmarkStart w:id="35" w:name="_Toc19050"/>
      <w:bookmarkStart w:id="36" w:name="_Toc4952"/>
      <w:bookmarkStart w:id="37" w:name="_Toc3156"/>
      <w:bookmarkStart w:id="38" w:name="_Toc23581"/>
      <w:bookmarkStart w:id="39" w:name="_Toc19759"/>
      <w:bookmarkStart w:id="40" w:name="_Toc7437"/>
      <w:bookmarkStart w:id="41" w:name="_Toc7118"/>
      <w:bookmarkStart w:id="42" w:name="_Toc14870"/>
      <w:bookmarkStart w:id="43" w:name="_Toc10930"/>
      <w:bookmarkStart w:id="44" w:name="_Toc20594"/>
      <w:r>
        <mc:AlternateContent>
          <mc:Choice Requires="wps">
            <w:drawing>
              <wp:anchor distT="0" distB="0" distL="114300" distR="114300" simplePos="0" relativeHeight="251663360" behindDoc="0" locked="0" layoutInCell="1" allowOverlap="1">
                <wp:simplePos x="0" y="0"/>
                <wp:positionH relativeFrom="column">
                  <wp:posOffset>2388235</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8.05pt;margin-top:56.7pt;height:0pt;width:75.5pt;z-index:251663360;mso-width-relative:page;mso-height-relative:page;" filled="f" stroked="t" coordsize="21600,21600" o:gfxdata="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T7Kz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2390140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8.2pt;margin-top:21.3pt;height:0pt;width:75.5pt;z-index:251662336;mso-width-relative:page;mso-height-relative:page;" filled="f" stroked="t" coordsize="21600,21600" o:gfxdata="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rMtCK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rPr>
        <w:t>第四章</w:t>
      </w:r>
      <w:bookmarkEnd w:id="34"/>
      <w:bookmarkEnd w:id="35"/>
      <w:bookmarkEnd w:id="36"/>
      <w:bookmarkEnd w:id="37"/>
      <w:bookmarkEnd w:id="38"/>
      <w:bookmarkEnd w:id="39"/>
      <w:bookmarkEnd w:id="40"/>
      <w:bookmarkEnd w:id="41"/>
      <w:bookmarkEnd w:id="42"/>
      <w:bookmarkEnd w:id="43"/>
      <w:bookmarkEnd w:id="44"/>
    </w:p>
    <w:p>
      <w:pPr>
        <w:pStyle w:val="38"/>
      </w:pPr>
    </w:p>
    <w:p>
      <w:pPr>
        <w:pStyle w:val="4"/>
      </w:pPr>
      <w:bookmarkStart w:id="45" w:name="_Toc21840"/>
      <w:bookmarkStart w:id="46" w:name="_Toc22212"/>
      <w:bookmarkStart w:id="47" w:name="_Toc13898"/>
      <w:bookmarkStart w:id="48" w:name="_Toc29345"/>
      <w:bookmarkStart w:id="49" w:name="_Toc87616378"/>
      <w:bookmarkStart w:id="50" w:name="_Toc32607"/>
      <w:bookmarkStart w:id="51" w:name="_Toc29484"/>
      <w:bookmarkStart w:id="52" w:name="_Toc12177"/>
      <w:bookmarkStart w:id="53" w:name="_Toc7831"/>
      <w:bookmarkStart w:id="54" w:name="_Toc6308"/>
      <w:bookmarkStart w:id="55" w:name="_Toc21079"/>
      <w:bookmarkStart w:id="56" w:name="_Toc30530"/>
      <w:bookmarkStart w:id="57" w:name="_Toc88209941"/>
      <w:r>
        <w:rPr>
          <w:rFonts w:hint="eastAsia"/>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ind w:firstLine="0"/>
        <w:rPr>
          <w:rFonts w:ascii="方正小标宋简体" w:eastAsia="方正小标宋简体"/>
          <w:color w:val="auto"/>
          <w:sz w:val="44"/>
          <w:szCs w:val="44"/>
        </w:rPr>
      </w:pPr>
    </w:p>
    <w:p>
      <w:pPr>
        <w:pStyle w:val="5"/>
        <w:rPr>
          <w:highlight w:val="none"/>
        </w:rPr>
      </w:pPr>
      <w:bookmarkStart w:id="58" w:name="_Toc23033"/>
      <w:bookmarkStart w:id="59" w:name="_Toc26826"/>
      <w:r>
        <w:rPr>
          <w:rFonts w:hint="eastAsia"/>
          <w:highlight w:val="none"/>
        </w:rPr>
        <w:sym w:font="Wingdings 2" w:char="0052"/>
      </w:r>
      <w:r>
        <w:rPr>
          <w:rFonts w:hint="eastAsia"/>
          <w:highlight w:val="none"/>
        </w:rPr>
        <w:t>经评审的最低价法</w:t>
      </w:r>
      <w:bookmarkEnd w:id="58"/>
      <w:bookmarkEnd w:id="59"/>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Cs w:val="21"/>
        </w:rPr>
      </w:pPr>
      <w:r>
        <w:rPr>
          <w:rFonts w:hint="eastAsia" w:ascii="仿宋_GB2312" w:eastAsia="仿宋_GB2312" w:hAnsiTheme="minorEastAsia"/>
          <w:sz w:val="28"/>
          <w:szCs w:val="28"/>
        </w:rPr>
        <w:t>2.3评审结果评审后，评审价格最低的供应商为成交供应商。如评审价格相同，可由评审小组根据评审情况以记名投票方式确定供应商排名，并将推荐理由写入评审报告。</w:t>
      </w:r>
    </w:p>
    <w:p>
      <w:pPr>
        <w:rPr>
          <w:rFonts w:ascii="仿宋_GB2312" w:eastAsia="仿宋_GB2312" w:hAnsiTheme="minorEastAsia"/>
          <w:color w:val="auto"/>
          <w:szCs w:val="21"/>
        </w:rPr>
      </w:pPr>
      <w:r>
        <w:rPr>
          <w:rFonts w:ascii="仿宋_GB2312" w:eastAsia="仿宋_GB2312" w:hAnsiTheme="minorEastAsia"/>
          <w:color w:val="auto"/>
          <w:szCs w:val="21"/>
        </w:rPr>
        <w:br w:type="page"/>
      </w: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ind w:left="0" w:leftChars="0" w:firstLine="0" w:firstLineChars="0"/>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4"/>
      </w:pPr>
      <w:bookmarkStart w:id="60" w:name="_Toc88209947"/>
      <w:r>
        <mc:AlternateContent>
          <mc:Choice Requires="wps">
            <w:drawing>
              <wp:anchor distT="0" distB="0" distL="114300" distR="114300" simplePos="0" relativeHeight="251669504" behindDoc="0" locked="0" layoutInCell="1" allowOverlap="1">
                <wp:simplePos x="0" y="0"/>
                <wp:positionH relativeFrom="column">
                  <wp:posOffset>2389505</wp:posOffset>
                </wp:positionH>
                <wp:positionV relativeFrom="paragraph">
                  <wp:posOffset>179070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8.15pt;margin-top:14.1pt;height:0pt;width:75.5pt;z-index:251669504;mso-width-relative:page;mso-height-relative:page;" filled="f" stroked="t" coordsize="21600,21600" o:gfxdata="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yBoNAWsK3bibeNphuImZ8KGNNv+JCjsUXY9nXdUhMUGHLxbL5YIUF/eu&#10;6iEvREyvlLcsGw3HFEF3fdp45+jyfJwVWWH/GhNVpsT7hFzUODZkeGqSCaBhbGkIyLSBCKHrSi56&#10;o+W1NiZnYOx2GxPZHvJAlC/zI9y/wnKRLWA/xhXXOCq9AvnSSZaOgZRy9EJ4bsEqyZlR9KCyRYBQ&#10;J9DmkkgqbRx1kCUeRc3Wzstj0bqc0+WXHk+Dmqfrz33Jfnic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BqCpj1wAAAAkBAAAPAAAAAAAAAAEAIAAAACIAAABkcnMvZG93bnJldi54bWxQSwECFAAU&#10;AAAACACHTuJAXMu1X/IBAADk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2396490</wp:posOffset>
                </wp:positionH>
                <wp:positionV relativeFrom="paragraph">
                  <wp:posOffset>759460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8.7pt;margin-top:59.8pt;height:0pt;width:75.5pt;z-index:251670528;mso-width-relative:page;mso-height-relative:page;" filled="f" stroked="t" coordsize="21600,21600" o:gfxdata="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H7vFTYAAAACwEAAA8AAAAAAAAAAQAgAAAAIgAAAGRycy9kb3ducmV2LnhtbFBLAQIU&#10;ABQAAAAIAIdO4kApjnaw8wEAAOQDAAAOAAAAAAAAAAEAIAAAACcBAABkcnMvZTJvRG9jLnhtbFBL&#10;BQYAAAAABgAGAFkBAACMBQAAAAA=&#10;">
                <v:fill on="f" focussize="0,0"/>
                <v:stroke color="#000000" joinstyle="round"/>
                <v:imagedata o:title=""/>
                <o:lock v:ext="edit" aspectratio="f"/>
              </v:shape>
            </w:pict>
          </mc:Fallback>
        </mc:AlternateContent>
      </w:r>
      <w:r>
        <w:rPr>
          <w:rFonts w:hint="eastAsia"/>
        </w:rPr>
        <w:t>第五章</w:t>
      </w:r>
    </w:p>
    <w:p>
      <w:pPr>
        <w:pStyle w:val="5"/>
      </w:pPr>
    </w:p>
    <w:p>
      <w:pPr>
        <w:pStyle w:val="5"/>
        <w:rPr>
          <w:szCs w:val="44"/>
        </w:rPr>
      </w:pPr>
      <w:r>
        <w:rPr>
          <w:rFonts w:hint="eastAsia"/>
          <w:szCs w:val="44"/>
        </w:rPr>
        <w:t>采购需求</w:t>
      </w:r>
    </w:p>
    <w:p>
      <w:pPr>
        <w:rPr>
          <w:szCs w:val="44"/>
        </w:rPr>
      </w:pPr>
    </w:p>
    <w:p>
      <w:pPr>
        <w:pStyle w:val="29"/>
        <w:rPr>
          <w:color w:val="auto"/>
          <w:szCs w:val="44"/>
        </w:rPr>
      </w:pPr>
    </w:p>
    <w:p>
      <w:pPr>
        <w:pStyle w:val="29"/>
        <w:rPr>
          <w:color w:val="auto"/>
          <w:szCs w:val="44"/>
        </w:rPr>
      </w:pPr>
    </w:p>
    <w:p>
      <w:pPr>
        <w:pStyle w:val="29"/>
        <w:rPr>
          <w:color w:val="auto"/>
          <w:szCs w:val="44"/>
        </w:rPr>
      </w:pPr>
    </w:p>
    <w:p>
      <w:pPr>
        <w:pStyle w:val="29"/>
        <w:rPr>
          <w:color w:val="auto"/>
          <w:szCs w:val="44"/>
        </w:rPr>
      </w:pPr>
    </w:p>
    <w:p>
      <w:pPr>
        <w:pStyle w:val="29"/>
        <w:rPr>
          <w:color w:val="auto"/>
          <w:szCs w:val="44"/>
        </w:rPr>
      </w:pPr>
    </w:p>
    <w:p>
      <w:pPr>
        <w:pStyle w:val="29"/>
        <w:rPr>
          <w:color w:val="auto"/>
          <w:szCs w:val="44"/>
        </w:rPr>
      </w:pPr>
    </w:p>
    <w:p>
      <w:pPr>
        <w:pStyle w:val="29"/>
        <w:rPr>
          <w:color w:val="auto"/>
          <w:szCs w:val="44"/>
        </w:rPr>
      </w:pPr>
    </w:p>
    <w:p>
      <w:pPr>
        <w:pStyle w:val="29"/>
        <w:rPr>
          <w:color w:val="auto"/>
          <w:szCs w:val="44"/>
        </w:rPr>
      </w:pPr>
    </w:p>
    <w:p>
      <w:pPr>
        <w:pStyle w:val="29"/>
        <w:rPr>
          <w:color w:val="auto"/>
          <w:szCs w:val="44"/>
        </w:rPr>
      </w:pPr>
    </w:p>
    <w:p>
      <w:pPr>
        <w:pStyle w:val="29"/>
        <w:rPr>
          <w:color w:val="auto"/>
          <w:szCs w:val="44"/>
        </w:rPr>
      </w:pPr>
    </w:p>
    <w:p>
      <w:pPr>
        <w:pStyle w:val="29"/>
        <w:rPr>
          <w:color w:val="auto"/>
          <w:szCs w:val="44"/>
        </w:rPr>
      </w:pPr>
    </w:p>
    <w:p>
      <w:pPr>
        <w:pStyle w:val="29"/>
        <w:rPr>
          <w:color w:val="auto"/>
          <w:szCs w:val="44"/>
        </w:rPr>
      </w:pPr>
    </w:p>
    <w:p>
      <w:pPr>
        <w:pStyle w:val="29"/>
        <w:rPr>
          <w:color w:val="auto"/>
          <w:szCs w:val="44"/>
        </w:rPr>
      </w:pPr>
    </w:p>
    <w:p>
      <w:pPr>
        <w:pStyle w:val="29"/>
        <w:rPr>
          <w:color w:val="auto"/>
          <w:szCs w:val="44"/>
        </w:rPr>
      </w:pPr>
    </w:p>
    <w:p>
      <w:pPr>
        <w:pStyle w:val="29"/>
        <w:rPr>
          <w:color w:val="auto"/>
          <w:szCs w:val="44"/>
        </w:rPr>
      </w:pPr>
    </w:p>
    <w:p>
      <w:pPr>
        <w:pStyle w:val="29"/>
        <w:rPr>
          <w:color w:val="auto"/>
          <w:szCs w:val="44"/>
        </w:rPr>
      </w:pPr>
    </w:p>
    <w:p>
      <w:pPr>
        <w:pStyle w:val="29"/>
        <w:rPr>
          <w:color w:val="auto"/>
          <w:szCs w:val="44"/>
        </w:rPr>
      </w:pPr>
    </w:p>
    <w:p>
      <w:pPr>
        <w:pStyle w:val="29"/>
        <w:rPr>
          <w:color w:val="auto"/>
          <w:szCs w:val="44"/>
        </w:rPr>
      </w:pPr>
    </w:p>
    <w:p>
      <w:pPr>
        <w:pStyle w:val="29"/>
        <w:rPr>
          <w:color w:val="auto"/>
          <w:szCs w:val="44"/>
        </w:rPr>
      </w:pPr>
    </w:p>
    <w:p>
      <w:pPr>
        <w:pStyle w:val="29"/>
        <w:rPr>
          <w:color w:val="auto"/>
          <w:szCs w:val="44"/>
        </w:rPr>
      </w:pPr>
    </w:p>
    <w:p>
      <w:pPr>
        <w:pStyle w:val="12"/>
        <w:adjustRightInd w:val="0"/>
        <w:snapToGrid w:val="0"/>
        <w:spacing w:line="300" w:lineRule="auto"/>
        <w:rPr>
          <w:rFonts w:ascii="仿宋_GB2312" w:hAnsi="仿宋_GB2312" w:eastAsia="仿宋_GB2312" w:cs="仿宋_GB2312"/>
          <w:bCs/>
          <w:color w:val="000000"/>
          <w:sz w:val="30"/>
          <w:szCs w:val="30"/>
        </w:rPr>
      </w:pPr>
      <w:r>
        <w:rPr>
          <w:rFonts w:hint="eastAsia" w:ascii="仿宋_GB2312" w:hAnsi="仿宋_GB2312" w:eastAsia="仿宋_GB2312" w:cs="仿宋_GB2312"/>
          <w:b/>
          <w:color w:val="000000"/>
          <w:sz w:val="28"/>
          <w:szCs w:val="28"/>
          <w:lang w:val="zh-CN"/>
        </w:rPr>
        <w:t>一、项目情况介绍</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本项目为广州市净水有限公司在线监测系统自动标样核查模块采购项目，拟定采购22个自动标样核查模块及对3台岛津TNP-4200设备软件升级，实现猎德、大坦沙、沥滘、龙归、西朗、石井净、竹料在线监测设备自动标样核查功能，并对猎德、沥滘、健康城、竹料、石井净12台在线监测设备软件升级，可实现直接在设备查询12个月数据功能。 </w:t>
      </w:r>
    </w:p>
    <w:p>
      <w:pPr>
        <w:pStyle w:val="12"/>
        <w:widowControl/>
        <w:numPr>
          <w:ilvl w:val="0"/>
          <w:numId w:val="4"/>
        </w:numPr>
        <w:adjustRightInd w:val="0"/>
        <w:snapToGrid w:val="0"/>
        <w:spacing w:line="300" w:lineRule="auto"/>
        <w:rPr>
          <w:rFonts w:ascii="仿宋_GB2312" w:hAnsi="仿宋_GB2312" w:eastAsia="仿宋_GB2312" w:cs="仿宋_GB2312"/>
          <w:bCs/>
          <w:color w:val="000000"/>
          <w:sz w:val="28"/>
          <w:szCs w:val="28"/>
        </w:rPr>
      </w:pPr>
      <w:r>
        <w:rPr>
          <w:rFonts w:hint="eastAsia" w:ascii="仿宋_GB2312" w:hAnsi="仿宋_GB2312" w:eastAsia="仿宋_GB2312" w:cs="仿宋_GB2312"/>
          <w:b/>
          <w:color w:val="000000"/>
          <w:sz w:val="28"/>
          <w:szCs w:val="28"/>
          <w:lang w:val="zh-CN"/>
        </w:rPr>
        <w:t>项目技术要求</w:t>
      </w:r>
    </w:p>
    <w:p>
      <w:pPr>
        <w:pStyle w:val="13"/>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工程量清单：</w:t>
      </w:r>
    </w:p>
    <w:p>
      <w:pPr>
        <w:pStyle w:val="13"/>
        <w:numPr>
          <w:ilvl w:val="0"/>
          <w:numId w:val="5"/>
        </w:num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自动标样核查模块采购清单</w:t>
      </w:r>
    </w:p>
    <w:p>
      <w:pPr>
        <w:pStyle w:val="13"/>
        <w:numPr>
          <w:ilvl w:val="0"/>
          <w:numId w:val="0"/>
        </w:numPr>
        <w:jc w:val="center"/>
        <w:rPr>
          <w:rFonts w:hint="default"/>
          <w:sz w:val="28"/>
          <w:szCs w:val="28"/>
          <w:lang w:val="en-US" w:eastAsia="zh-CN"/>
        </w:rPr>
      </w:pPr>
      <w:r>
        <w:rPr>
          <w:rFonts w:hint="eastAsia" w:ascii="仿宋_GB2312" w:hAnsi="仿宋_GB2312" w:eastAsia="仿宋_GB2312" w:cs="仿宋_GB2312"/>
          <w:sz w:val="28"/>
          <w:szCs w:val="28"/>
          <w:lang w:val="en-US" w:eastAsia="zh-CN"/>
        </w:rPr>
        <w:t>水质自动采样器采购清单</w:t>
      </w:r>
    </w:p>
    <w:tbl>
      <w:tblPr>
        <w:tblStyle w:val="24"/>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4"/>
        <w:gridCol w:w="1474"/>
        <w:gridCol w:w="1474"/>
        <w:gridCol w:w="226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474" w:type="dxa"/>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厂区</w:t>
            </w:r>
          </w:p>
        </w:tc>
        <w:tc>
          <w:tcPr>
            <w:tcW w:w="1474" w:type="dxa"/>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站点</w:t>
            </w:r>
          </w:p>
        </w:tc>
        <w:tc>
          <w:tcPr>
            <w:tcW w:w="1474" w:type="dxa"/>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设备品牌</w:t>
            </w:r>
          </w:p>
        </w:tc>
        <w:tc>
          <w:tcPr>
            <w:tcW w:w="2268" w:type="dxa"/>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hAnsi="仿宋_GB2312" w:cs="仿宋_GB2312"/>
                <w:sz w:val="21"/>
                <w:szCs w:val="21"/>
                <w:vertAlign w:val="baseline"/>
                <w:lang w:val="en-US" w:eastAsia="zh-CN"/>
              </w:rPr>
              <w:t>在用</w:t>
            </w:r>
            <w:r>
              <w:rPr>
                <w:rFonts w:hint="eastAsia" w:ascii="仿宋_GB2312" w:hAnsi="仿宋_GB2312" w:eastAsia="仿宋_GB2312" w:cs="仿宋_GB2312"/>
                <w:sz w:val="21"/>
                <w:szCs w:val="21"/>
                <w:vertAlign w:val="baseline"/>
                <w:lang w:val="en-US" w:eastAsia="zh-CN"/>
              </w:rPr>
              <w:t>设备型号</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标样核查模块</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  采购数量（个）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74" w:type="dxa"/>
            <w:vMerge w:val="restart"/>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猎德</w:t>
            </w:r>
          </w:p>
        </w:tc>
        <w:tc>
          <w:tcPr>
            <w:tcW w:w="1474" w:type="dxa"/>
            <w:vMerge w:val="restart"/>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一二期出水</w:t>
            </w:r>
          </w:p>
        </w:tc>
        <w:tc>
          <w:tcPr>
            <w:tcW w:w="1474" w:type="dxa"/>
            <w:vMerge w:val="restart"/>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哈希</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COD</w:t>
            </w:r>
            <w:r>
              <w:rPr>
                <w:rFonts w:hint="eastAsia" w:ascii="仿宋_GB2312" w:hAnsi="仿宋_GB2312" w:eastAsia="仿宋_GB2312" w:cs="仿宋_GB2312"/>
                <w:sz w:val="21"/>
                <w:szCs w:val="21"/>
                <w:vertAlign w:val="subscript"/>
                <w:lang w:val="en-US" w:eastAsia="zh-CN"/>
              </w:rPr>
              <w:t>Cr</w:t>
            </w:r>
            <w:r>
              <w:rPr>
                <w:rFonts w:hint="eastAsia" w:ascii="仿宋_GB2312" w:hAnsi="仿宋_GB2312" w:eastAsia="仿宋_GB2312" w:cs="仿宋_GB2312"/>
                <w:sz w:val="21"/>
                <w:szCs w:val="21"/>
                <w:vertAlign w:val="baseline"/>
                <w:lang w:val="en-US" w:eastAsia="zh-CN"/>
              </w:rPr>
              <w:t>：CODmaxⅡ</w:t>
            </w:r>
          </w:p>
        </w:tc>
        <w:tc>
          <w:tcPr>
            <w:tcW w:w="1701" w:type="dxa"/>
            <w:vMerge w:val="restart"/>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NH</w:t>
            </w:r>
            <w:r>
              <w:rPr>
                <w:rFonts w:hint="eastAsia" w:ascii="仿宋_GB2312" w:hAnsi="仿宋_GB2312" w:eastAsia="仿宋_GB2312" w:cs="仿宋_GB2312"/>
                <w:sz w:val="21"/>
                <w:szCs w:val="21"/>
                <w:vertAlign w:val="subscript"/>
                <w:lang w:val="en-US" w:eastAsia="zh-CN"/>
              </w:rPr>
              <w:t>3</w:t>
            </w:r>
            <w:r>
              <w:rPr>
                <w:rFonts w:hint="eastAsia" w:ascii="仿宋_GB2312" w:hAnsi="仿宋_GB2312" w:eastAsia="仿宋_GB2312" w:cs="仿宋_GB2312"/>
                <w:sz w:val="21"/>
                <w:szCs w:val="21"/>
                <w:vertAlign w:val="baseline"/>
                <w:lang w:val="en-US" w:eastAsia="zh-CN"/>
              </w:rPr>
              <w:t>-N：AmtaxNA8000</w:t>
            </w:r>
          </w:p>
        </w:tc>
        <w:tc>
          <w:tcPr>
            <w:tcW w:w="1701"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1474" w:type="dxa"/>
            <w:vMerge w:val="restart"/>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三期出水</w:t>
            </w:r>
          </w:p>
        </w:tc>
        <w:tc>
          <w:tcPr>
            <w:tcW w:w="1474" w:type="dxa"/>
            <w:vMerge w:val="restart"/>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哈希</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COD</w:t>
            </w:r>
            <w:r>
              <w:rPr>
                <w:rFonts w:hint="eastAsia" w:ascii="仿宋_GB2312" w:hAnsi="仿宋_GB2312" w:eastAsia="仿宋_GB2312" w:cs="仿宋_GB2312"/>
                <w:sz w:val="21"/>
                <w:szCs w:val="21"/>
                <w:vertAlign w:val="subscript"/>
                <w:lang w:val="en-US" w:eastAsia="zh-CN"/>
              </w:rPr>
              <w:t>Cr</w:t>
            </w:r>
            <w:r>
              <w:rPr>
                <w:rFonts w:hint="eastAsia" w:ascii="仿宋_GB2312" w:hAnsi="仿宋_GB2312" w:eastAsia="仿宋_GB2312" w:cs="仿宋_GB2312"/>
                <w:sz w:val="21"/>
                <w:szCs w:val="21"/>
                <w:vertAlign w:val="baseline"/>
                <w:lang w:val="en-US" w:eastAsia="zh-CN"/>
              </w:rPr>
              <w:t>：CODmaxⅡ</w:t>
            </w:r>
          </w:p>
        </w:tc>
        <w:tc>
          <w:tcPr>
            <w:tcW w:w="1701" w:type="dxa"/>
            <w:vMerge w:val="restart"/>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NH</w:t>
            </w:r>
            <w:r>
              <w:rPr>
                <w:rFonts w:hint="eastAsia" w:ascii="仿宋_GB2312" w:hAnsi="仿宋_GB2312" w:eastAsia="仿宋_GB2312" w:cs="仿宋_GB2312"/>
                <w:sz w:val="21"/>
                <w:szCs w:val="21"/>
                <w:vertAlign w:val="subscript"/>
                <w:lang w:val="en-US" w:eastAsia="zh-CN"/>
              </w:rPr>
              <w:t>3</w:t>
            </w:r>
            <w:r>
              <w:rPr>
                <w:rFonts w:hint="eastAsia" w:ascii="仿宋_GB2312" w:hAnsi="仿宋_GB2312" w:eastAsia="仿宋_GB2312" w:cs="仿宋_GB2312"/>
                <w:sz w:val="21"/>
                <w:szCs w:val="21"/>
                <w:vertAlign w:val="baseline"/>
                <w:lang w:val="en-US" w:eastAsia="zh-CN"/>
              </w:rPr>
              <w:t>-N：AmtaxNA8000</w:t>
            </w:r>
          </w:p>
        </w:tc>
        <w:tc>
          <w:tcPr>
            <w:tcW w:w="1701"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74" w:type="dxa"/>
            <w:vMerge w:val="restart"/>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大坦沙</w:t>
            </w:r>
          </w:p>
        </w:tc>
        <w:tc>
          <w:tcPr>
            <w:tcW w:w="1474" w:type="dxa"/>
            <w:vMerge w:val="restart"/>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一期出水</w:t>
            </w:r>
          </w:p>
        </w:tc>
        <w:tc>
          <w:tcPr>
            <w:tcW w:w="1474" w:type="dxa"/>
            <w:vMerge w:val="restart"/>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哈希</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COD</w:t>
            </w:r>
            <w:r>
              <w:rPr>
                <w:rFonts w:hint="eastAsia" w:ascii="仿宋_GB2312" w:hAnsi="仿宋_GB2312" w:eastAsia="仿宋_GB2312" w:cs="仿宋_GB2312"/>
                <w:sz w:val="21"/>
                <w:szCs w:val="21"/>
                <w:vertAlign w:val="subscript"/>
                <w:lang w:val="en-US" w:eastAsia="zh-CN"/>
              </w:rPr>
              <w:t>Cr</w:t>
            </w:r>
            <w:r>
              <w:rPr>
                <w:rFonts w:hint="eastAsia" w:ascii="仿宋_GB2312" w:hAnsi="仿宋_GB2312" w:eastAsia="仿宋_GB2312" w:cs="仿宋_GB2312"/>
                <w:sz w:val="21"/>
                <w:szCs w:val="21"/>
                <w:vertAlign w:val="baseline"/>
                <w:lang w:val="en-US" w:eastAsia="zh-CN"/>
              </w:rPr>
              <w:t>：CODmaxⅡ</w:t>
            </w:r>
          </w:p>
        </w:tc>
        <w:tc>
          <w:tcPr>
            <w:tcW w:w="1701" w:type="dxa"/>
            <w:vMerge w:val="restart"/>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NH</w:t>
            </w:r>
            <w:r>
              <w:rPr>
                <w:rFonts w:hint="eastAsia" w:ascii="仿宋_GB2312" w:hAnsi="仿宋_GB2312" w:eastAsia="仿宋_GB2312" w:cs="仿宋_GB2312"/>
                <w:sz w:val="21"/>
                <w:szCs w:val="21"/>
                <w:vertAlign w:val="subscript"/>
                <w:lang w:val="en-US" w:eastAsia="zh-CN"/>
              </w:rPr>
              <w:t>3</w:t>
            </w:r>
            <w:r>
              <w:rPr>
                <w:rFonts w:hint="eastAsia" w:ascii="仿宋_GB2312" w:hAnsi="仿宋_GB2312" w:eastAsia="仿宋_GB2312" w:cs="仿宋_GB2312"/>
                <w:sz w:val="21"/>
                <w:szCs w:val="21"/>
                <w:vertAlign w:val="baseline"/>
                <w:lang w:val="en-US" w:eastAsia="zh-CN"/>
              </w:rPr>
              <w:t>-N：AmtaxNA8000</w:t>
            </w:r>
          </w:p>
        </w:tc>
        <w:tc>
          <w:tcPr>
            <w:tcW w:w="1701"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1474" w:type="dxa"/>
            <w:vMerge w:val="restart"/>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二期出水</w:t>
            </w:r>
          </w:p>
        </w:tc>
        <w:tc>
          <w:tcPr>
            <w:tcW w:w="1474" w:type="dxa"/>
            <w:vMerge w:val="restart"/>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哈希</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COD</w:t>
            </w:r>
            <w:r>
              <w:rPr>
                <w:rFonts w:hint="eastAsia" w:ascii="仿宋_GB2312" w:hAnsi="仿宋_GB2312" w:eastAsia="仿宋_GB2312" w:cs="仿宋_GB2312"/>
                <w:sz w:val="21"/>
                <w:szCs w:val="21"/>
                <w:vertAlign w:val="subscript"/>
                <w:lang w:val="en-US" w:eastAsia="zh-CN"/>
              </w:rPr>
              <w:t>Cr</w:t>
            </w:r>
            <w:r>
              <w:rPr>
                <w:rFonts w:hint="eastAsia" w:ascii="仿宋_GB2312" w:hAnsi="仿宋_GB2312" w:eastAsia="仿宋_GB2312" w:cs="仿宋_GB2312"/>
                <w:sz w:val="21"/>
                <w:szCs w:val="21"/>
                <w:vertAlign w:val="baseline"/>
                <w:lang w:val="en-US" w:eastAsia="zh-CN"/>
              </w:rPr>
              <w:t>：CODmaxⅡ</w:t>
            </w:r>
          </w:p>
        </w:tc>
        <w:tc>
          <w:tcPr>
            <w:tcW w:w="1701" w:type="dxa"/>
            <w:vMerge w:val="restart"/>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NH</w:t>
            </w:r>
            <w:r>
              <w:rPr>
                <w:rFonts w:hint="eastAsia" w:ascii="仿宋_GB2312" w:hAnsi="仿宋_GB2312" w:eastAsia="仿宋_GB2312" w:cs="仿宋_GB2312"/>
                <w:sz w:val="21"/>
                <w:szCs w:val="21"/>
                <w:vertAlign w:val="subscript"/>
                <w:lang w:val="en-US" w:eastAsia="zh-CN"/>
              </w:rPr>
              <w:t>3</w:t>
            </w:r>
            <w:r>
              <w:rPr>
                <w:rFonts w:hint="eastAsia" w:ascii="仿宋_GB2312" w:hAnsi="仿宋_GB2312" w:eastAsia="仿宋_GB2312" w:cs="仿宋_GB2312"/>
                <w:sz w:val="21"/>
                <w:szCs w:val="21"/>
                <w:vertAlign w:val="baseline"/>
                <w:lang w:val="en-US" w:eastAsia="zh-CN"/>
              </w:rPr>
              <w:t>-N：AmtaxNA8000</w:t>
            </w:r>
          </w:p>
        </w:tc>
        <w:tc>
          <w:tcPr>
            <w:tcW w:w="1701"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74" w:type="dxa"/>
            <w:vMerge w:val="restart"/>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沥滘</w:t>
            </w:r>
          </w:p>
        </w:tc>
        <w:tc>
          <w:tcPr>
            <w:tcW w:w="1474" w:type="dxa"/>
            <w:vMerge w:val="restart"/>
            <w:vAlign w:val="center"/>
          </w:tcPr>
          <w:p>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一期出水</w:t>
            </w:r>
          </w:p>
        </w:tc>
        <w:tc>
          <w:tcPr>
            <w:tcW w:w="1474" w:type="dxa"/>
            <w:vMerge w:val="restart"/>
            <w:vAlign w:val="center"/>
          </w:tcPr>
          <w:p>
            <w:pPr>
              <w:spacing w:line="360" w:lineRule="auto"/>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哈希</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COD</w:t>
            </w:r>
            <w:r>
              <w:rPr>
                <w:rFonts w:hint="eastAsia" w:ascii="仿宋_GB2312" w:hAnsi="仿宋_GB2312" w:eastAsia="仿宋_GB2312" w:cs="仿宋_GB2312"/>
                <w:sz w:val="21"/>
                <w:szCs w:val="21"/>
                <w:highlight w:val="none"/>
                <w:vertAlign w:val="subscript"/>
                <w:lang w:val="en-US" w:eastAsia="zh-CN"/>
              </w:rPr>
              <w:t>Cr</w:t>
            </w:r>
            <w:r>
              <w:rPr>
                <w:rFonts w:hint="eastAsia" w:ascii="仿宋_GB2312" w:hAnsi="仿宋_GB2312" w:eastAsia="仿宋_GB2312" w:cs="仿宋_GB2312"/>
                <w:sz w:val="21"/>
                <w:szCs w:val="21"/>
                <w:highlight w:val="none"/>
                <w:vertAlign w:val="baseline"/>
                <w:lang w:val="en-US" w:eastAsia="zh-CN"/>
              </w:rPr>
              <w:t>：CODmaxⅡ</w:t>
            </w:r>
          </w:p>
        </w:tc>
        <w:tc>
          <w:tcPr>
            <w:tcW w:w="1701" w:type="dxa"/>
            <w:vMerge w:val="restart"/>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NH</w:t>
            </w:r>
            <w:r>
              <w:rPr>
                <w:rFonts w:hint="eastAsia" w:ascii="仿宋_GB2312" w:hAnsi="仿宋_GB2312" w:eastAsia="仿宋_GB2312" w:cs="仿宋_GB2312"/>
                <w:sz w:val="21"/>
                <w:szCs w:val="21"/>
                <w:highlight w:val="none"/>
                <w:vertAlign w:val="subscript"/>
                <w:lang w:val="en-US" w:eastAsia="zh-CN"/>
              </w:rPr>
              <w:t>3</w:t>
            </w:r>
            <w:r>
              <w:rPr>
                <w:rFonts w:hint="eastAsia" w:ascii="仿宋_GB2312" w:hAnsi="仿宋_GB2312" w:eastAsia="仿宋_GB2312" w:cs="仿宋_GB2312"/>
                <w:sz w:val="21"/>
                <w:szCs w:val="21"/>
                <w:highlight w:val="none"/>
                <w:vertAlign w:val="baseline"/>
                <w:lang w:val="en-US" w:eastAsia="zh-CN"/>
              </w:rPr>
              <w:t>-N：AmtaxNA8000</w:t>
            </w:r>
          </w:p>
        </w:tc>
        <w:tc>
          <w:tcPr>
            <w:tcW w:w="1701"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TP：PhosphaxSigma</w:t>
            </w:r>
          </w:p>
        </w:tc>
        <w:tc>
          <w:tcPr>
            <w:tcW w:w="1701"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1474" w:type="dxa"/>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岛津</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TN：TNP-4200</w:t>
            </w:r>
          </w:p>
        </w:tc>
        <w:tc>
          <w:tcPr>
            <w:tcW w:w="1701" w:type="dxa"/>
            <w:vAlign w:val="center"/>
          </w:tcPr>
          <w:p>
            <w:pPr>
              <w:spacing w:line="360" w:lineRule="auto"/>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74" w:type="dxa"/>
            <w:vMerge w:val="restart"/>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沥滘</w:t>
            </w:r>
          </w:p>
        </w:tc>
        <w:tc>
          <w:tcPr>
            <w:tcW w:w="1474" w:type="dxa"/>
            <w:vMerge w:val="restart"/>
            <w:vAlign w:val="center"/>
          </w:tcPr>
          <w:p>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二期出水</w:t>
            </w:r>
          </w:p>
        </w:tc>
        <w:tc>
          <w:tcPr>
            <w:tcW w:w="1474" w:type="dxa"/>
            <w:vMerge w:val="restart"/>
            <w:vAlign w:val="center"/>
          </w:tcPr>
          <w:p>
            <w:pPr>
              <w:spacing w:line="360" w:lineRule="auto"/>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哈希</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COD</w:t>
            </w:r>
            <w:r>
              <w:rPr>
                <w:rFonts w:hint="eastAsia" w:ascii="仿宋_GB2312" w:hAnsi="仿宋_GB2312" w:eastAsia="仿宋_GB2312" w:cs="仿宋_GB2312"/>
                <w:sz w:val="21"/>
                <w:szCs w:val="21"/>
                <w:highlight w:val="none"/>
                <w:vertAlign w:val="subscript"/>
                <w:lang w:val="en-US" w:eastAsia="zh-CN"/>
              </w:rPr>
              <w:t>Cr</w:t>
            </w:r>
            <w:r>
              <w:rPr>
                <w:rFonts w:hint="eastAsia" w:ascii="仿宋_GB2312" w:hAnsi="仿宋_GB2312" w:eastAsia="仿宋_GB2312" w:cs="仿宋_GB2312"/>
                <w:sz w:val="21"/>
                <w:szCs w:val="21"/>
                <w:highlight w:val="none"/>
                <w:vertAlign w:val="baseline"/>
                <w:lang w:val="en-US" w:eastAsia="zh-CN"/>
              </w:rPr>
              <w:t>：CODmaxⅡ</w:t>
            </w:r>
          </w:p>
        </w:tc>
        <w:tc>
          <w:tcPr>
            <w:tcW w:w="1701" w:type="dxa"/>
            <w:vMerge w:val="restart"/>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NH</w:t>
            </w:r>
            <w:r>
              <w:rPr>
                <w:rFonts w:hint="eastAsia" w:ascii="仿宋_GB2312" w:hAnsi="仿宋_GB2312" w:eastAsia="仿宋_GB2312" w:cs="仿宋_GB2312"/>
                <w:sz w:val="21"/>
                <w:szCs w:val="21"/>
                <w:highlight w:val="none"/>
                <w:vertAlign w:val="subscript"/>
                <w:lang w:val="en-US" w:eastAsia="zh-CN"/>
              </w:rPr>
              <w:t>3</w:t>
            </w:r>
            <w:r>
              <w:rPr>
                <w:rFonts w:hint="eastAsia" w:ascii="仿宋_GB2312" w:hAnsi="仿宋_GB2312" w:eastAsia="仿宋_GB2312" w:cs="仿宋_GB2312"/>
                <w:sz w:val="21"/>
                <w:szCs w:val="21"/>
                <w:highlight w:val="none"/>
                <w:vertAlign w:val="baseline"/>
                <w:lang w:val="en-US" w:eastAsia="zh-CN"/>
              </w:rPr>
              <w:t>-N：AmtaxNA8000</w:t>
            </w:r>
          </w:p>
        </w:tc>
        <w:tc>
          <w:tcPr>
            <w:tcW w:w="1701"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TP：PhosphaxSigma</w:t>
            </w:r>
          </w:p>
        </w:tc>
        <w:tc>
          <w:tcPr>
            <w:tcW w:w="1701"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1474" w:type="dxa"/>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岛津</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TN：TNP-4200</w:t>
            </w:r>
          </w:p>
        </w:tc>
        <w:tc>
          <w:tcPr>
            <w:tcW w:w="1701" w:type="dxa"/>
            <w:vAlign w:val="center"/>
          </w:tcPr>
          <w:p>
            <w:pPr>
              <w:spacing w:line="360" w:lineRule="auto"/>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74" w:type="dxa"/>
            <w:vAlign w:val="center"/>
          </w:tcPr>
          <w:p>
            <w:pPr>
              <w:spacing w:line="360" w:lineRule="auto"/>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龙归</w:t>
            </w:r>
          </w:p>
        </w:tc>
        <w:tc>
          <w:tcPr>
            <w:tcW w:w="1474" w:type="dxa"/>
            <w:vAlign w:val="center"/>
          </w:tcPr>
          <w:p>
            <w:pPr>
              <w:spacing w:line="360" w:lineRule="auto"/>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二期出水</w:t>
            </w:r>
          </w:p>
        </w:tc>
        <w:tc>
          <w:tcPr>
            <w:tcW w:w="1474" w:type="dxa"/>
            <w:vAlign w:val="center"/>
          </w:tcPr>
          <w:p>
            <w:pPr>
              <w:spacing w:line="360" w:lineRule="auto"/>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岛津</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highlight w:val="none"/>
                <w:vertAlign w:val="baseline"/>
                <w:lang w:val="en-US" w:eastAsia="zh-CN"/>
              </w:rPr>
              <w:t>TN：TNP-4200</w:t>
            </w:r>
          </w:p>
        </w:tc>
        <w:tc>
          <w:tcPr>
            <w:tcW w:w="1701" w:type="dxa"/>
            <w:vAlign w:val="center"/>
          </w:tcPr>
          <w:p>
            <w:pPr>
              <w:spacing w:line="360" w:lineRule="auto"/>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74" w:type="dxa"/>
            <w:vMerge w:val="restart"/>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西朗</w:t>
            </w:r>
          </w:p>
        </w:tc>
        <w:tc>
          <w:tcPr>
            <w:tcW w:w="1474" w:type="dxa"/>
            <w:vMerge w:val="restart"/>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一期进水</w:t>
            </w:r>
          </w:p>
        </w:tc>
        <w:tc>
          <w:tcPr>
            <w:tcW w:w="1474" w:type="dxa"/>
            <w:vMerge w:val="restart"/>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哈希</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COD</w:t>
            </w:r>
            <w:r>
              <w:rPr>
                <w:rFonts w:hint="eastAsia" w:ascii="仿宋_GB2312" w:hAnsi="仿宋_GB2312" w:eastAsia="仿宋_GB2312" w:cs="仿宋_GB2312"/>
                <w:sz w:val="21"/>
                <w:szCs w:val="21"/>
                <w:vertAlign w:val="subscript"/>
                <w:lang w:val="en-US" w:eastAsia="zh-CN"/>
              </w:rPr>
              <w:t>Cr</w:t>
            </w:r>
            <w:r>
              <w:rPr>
                <w:rFonts w:hint="eastAsia" w:ascii="仿宋_GB2312" w:hAnsi="仿宋_GB2312" w:eastAsia="仿宋_GB2312" w:cs="仿宋_GB2312"/>
                <w:sz w:val="21"/>
                <w:szCs w:val="21"/>
                <w:vertAlign w:val="baseline"/>
                <w:lang w:val="en-US" w:eastAsia="zh-CN"/>
              </w:rPr>
              <w:t>：CODmaxⅡ</w:t>
            </w:r>
          </w:p>
        </w:tc>
        <w:tc>
          <w:tcPr>
            <w:tcW w:w="1701" w:type="dxa"/>
            <w:vMerge w:val="restart"/>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NH</w:t>
            </w:r>
            <w:r>
              <w:rPr>
                <w:rFonts w:hint="eastAsia" w:ascii="仿宋_GB2312" w:hAnsi="仿宋_GB2312" w:eastAsia="仿宋_GB2312" w:cs="仿宋_GB2312"/>
                <w:sz w:val="21"/>
                <w:szCs w:val="21"/>
                <w:vertAlign w:val="subscript"/>
                <w:lang w:val="en-US" w:eastAsia="zh-CN"/>
              </w:rPr>
              <w:t>3</w:t>
            </w:r>
            <w:r>
              <w:rPr>
                <w:rFonts w:hint="eastAsia" w:ascii="仿宋_GB2312" w:hAnsi="仿宋_GB2312" w:eastAsia="仿宋_GB2312" w:cs="仿宋_GB2312"/>
                <w:sz w:val="21"/>
                <w:szCs w:val="21"/>
                <w:vertAlign w:val="baseline"/>
                <w:lang w:val="en-US" w:eastAsia="zh-CN"/>
              </w:rPr>
              <w:t>-N：AmtaxNA8000</w:t>
            </w:r>
          </w:p>
        </w:tc>
        <w:tc>
          <w:tcPr>
            <w:tcW w:w="1701"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74" w:type="dxa"/>
            <w:vMerge w:val="restart"/>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石井净</w:t>
            </w:r>
          </w:p>
        </w:tc>
        <w:tc>
          <w:tcPr>
            <w:tcW w:w="1474" w:type="dxa"/>
            <w:vMerge w:val="restart"/>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进水</w:t>
            </w:r>
          </w:p>
        </w:tc>
        <w:tc>
          <w:tcPr>
            <w:tcW w:w="1474" w:type="dxa"/>
            <w:vMerge w:val="restart"/>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哈希</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COD</w:t>
            </w:r>
            <w:r>
              <w:rPr>
                <w:rFonts w:hint="eastAsia" w:ascii="仿宋_GB2312" w:hAnsi="仿宋_GB2312" w:eastAsia="仿宋_GB2312" w:cs="仿宋_GB2312"/>
                <w:sz w:val="21"/>
                <w:szCs w:val="21"/>
                <w:vertAlign w:val="subscript"/>
                <w:lang w:val="en-US" w:eastAsia="zh-CN"/>
              </w:rPr>
              <w:t>Cr</w:t>
            </w:r>
            <w:r>
              <w:rPr>
                <w:rFonts w:hint="eastAsia" w:ascii="仿宋_GB2312" w:hAnsi="仿宋_GB2312" w:eastAsia="仿宋_GB2312" w:cs="仿宋_GB2312"/>
                <w:sz w:val="21"/>
                <w:szCs w:val="21"/>
                <w:vertAlign w:val="baseline"/>
                <w:lang w:val="en-US" w:eastAsia="zh-CN"/>
              </w:rPr>
              <w:t>：CODmaxⅡ</w:t>
            </w:r>
          </w:p>
        </w:tc>
        <w:tc>
          <w:tcPr>
            <w:tcW w:w="1701" w:type="dxa"/>
            <w:vMerge w:val="restart"/>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NH</w:t>
            </w:r>
            <w:r>
              <w:rPr>
                <w:rFonts w:hint="eastAsia" w:ascii="仿宋_GB2312" w:hAnsi="仿宋_GB2312" w:eastAsia="仿宋_GB2312" w:cs="仿宋_GB2312"/>
                <w:sz w:val="21"/>
                <w:szCs w:val="21"/>
                <w:vertAlign w:val="subscript"/>
                <w:lang w:val="en-US" w:eastAsia="zh-CN"/>
              </w:rPr>
              <w:t>3</w:t>
            </w:r>
            <w:r>
              <w:rPr>
                <w:rFonts w:hint="eastAsia" w:ascii="仿宋_GB2312" w:hAnsi="仿宋_GB2312" w:eastAsia="仿宋_GB2312" w:cs="仿宋_GB2312"/>
                <w:sz w:val="21"/>
                <w:szCs w:val="21"/>
                <w:vertAlign w:val="baseline"/>
                <w:lang w:val="en-US" w:eastAsia="zh-CN"/>
              </w:rPr>
              <w:t>-N：AmtaxNA8000</w:t>
            </w:r>
          </w:p>
        </w:tc>
        <w:tc>
          <w:tcPr>
            <w:tcW w:w="1701"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1474" w:type="dxa"/>
            <w:vMerge w:val="restart"/>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一期出水</w:t>
            </w:r>
          </w:p>
        </w:tc>
        <w:tc>
          <w:tcPr>
            <w:tcW w:w="1474" w:type="dxa"/>
            <w:vMerge w:val="restart"/>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哈希</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COD</w:t>
            </w:r>
            <w:r>
              <w:rPr>
                <w:rFonts w:hint="eastAsia" w:ascii="仿宋_GB2312" w:hAnsi="仿宋_GB2312" w:eastAsia="仿宋_GB2312" w:cs="仿宋_GB2312"/>
                <w:sz w:val="21"/>
                <w:szCs w:val="21"/>
                <w:vertAlign w:val="subscript"/>
                <w:lang w:val="en-US" w:eastAsia="zh-CN"/>
              </w:rPr>
              <w:t>Cr</w:t>
            </w:r>
            <w:r>
              <w:rPr>
                <w:rFonts w:hint="eastAsia" w:ascii="仿宋_GB2312" w:hAnsi="仿宋_GB2312" w:eastAsia="仿宋_GB2312" w:cs="仿宋_GB2312"/>
                <w:sz w:val="21"/>
                <w:szCs w:val="21"/>
                <w:vertAlign w:val="baseline"/>
                <w:lang w:val="en-US" w:eastAsia="zh-CN"/>
              </w:rPr>
              <w:t>：CODmaxⅡ</w:t>
            </w:r>
          </w:p>
        </w:tc>
        <w:tc>
          <w:tcPr>
            <w:tcW w:w="1701" w:type="dxa"/>
            <w:vMerge w:val="restart"/>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NH</w:t>
            </w:r>
            <w:r>
              <w:rPr>
                <w:rFonts w:hint="eastAsia" w:ascii="仿宋_GB2312" w:hAnsi="仿宋_GB2312" w:eastAsia="仿宋_GB2312" w:cs="仿宋_GB2312"/>
                <w:sz w:val="21"/>
                <w:szCs w:val="21"/>
                <w:vertAlign w:val="subscript"/>
                <w:lang w:val="en-US" w:eastAsia="zh-CN"/>
              </w:rPr>
              <w:t>3</w:t>
            </w:r>
            <w:r>
              <w:rPr>
                <w:rFonts w:hint="eastAsia" w:ascii="仿宋_GB2312" w:hAnsi="仿宋_GB2312" w:eastAsia="仿宋_GB2312" w:cs="仿宋_GB2312"/>
                <w:sz w:val="21"/>
                <w:szCs w:val="21"/>
                <w:vertAlign w:val="baseline"/>
                <w:lang w:val="en-US" w:eastAsia="zh-CN"/>
              </w:rPr>
              <w:t>-N：AmtaxNA8000</w:t>
            </w:r>
          </w:p>
        </w:tc>
        <w:tc>
          <w:tcPr>
            <w:tcW w:w="1701"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74" w:type="dxa"/>
            <w:vMerge w:val="restart"/>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竹料</w:t>
            </w:r>
          </w:p>
        </w:tc>
        <w:tc>
          <w:tcPr>
            <w:tcW w:w="1474" w:type="dxa"/>
            <w:vMerge w:val="restart"/>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出水</w:t>
            </w:r>
          </w:p>
        </w:tc>
        <w:tc>
          <w:tcPr>
            <w:tcW w:w="1474" w:type="dxa"/>
            <w:vMerge w:val="restart"/>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哈希</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COD</w:t>
            </w:r>
            <w:r>
              <w:rPr>
                <w:rFonts w:hint="eastAsia" w:ascii="仿宋_GB2312" w:hAnsi="仿宋_GB2312" w:eastAsia="仿宋_GB2312" w:cs="仿宋_GB2312"/>
                <w:sz w:val="21"/>
                <w:szCs w:val="21"/>
                <w:vertAlign w:val="subscript"/>
                <w:lang w:val="en-US" w:eastAsia="zh-CN"/>
              </w:rPr>
              <w:t>Cr</w:t>
            </w:r>
            <w:r>
              <w:rPr>
                <w:rFonts w:hint="eastAsia" w:ascii="仿宋_GB2312" w:hAnsi="仿宋_GB2312" w:eastAsia="仿宋_GB2312" w:cs="仿宋_GB2312"/>
                <w:sz w:val="21"/>
                <w:szCs w:val="21"/>
                <w:vertAlign w:val="baseline"/>
                <w:lang w:val="en-US" w:eastAsia="zh-CN"/>
              </w:rPr>
              <w:t>：CODmaxⅡ</w:t>
            </w:r>
          </w:p>
        </w:tc>
        <w:tc>
          <w:tcPr>
            <w:tcW w:w="1701" w:type="dxa"/>
            <w:vMerge w:val="restart"/>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1474"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NH</w:t>
            </w:r>
            <w:r>
              <w:rPr>
                <w:rFonts w:hint="eastAsia" w:ascii="仿宋_GB2312" w:hAnsi="仿宋_GB2312" w:eastAsia="仿宋_GB2312" w:cs="仿宋_GB2312"/>
                <w:sz w:val="21"/>
                <w:szCs w:val="21"/>
                <w:vertAlign w:val="subscript"/>
                <w:lang w:val="en-US" w:eastAsia="zh-CN"/>
              </w:rPr>
              <w:t>3</w:t>
            </w:r>
            <w:r>
              <w:rPr>
                <w:rFonts w:hint="eastAsia" w:ascii="仿宋_GB2312" w:hAnsi="仿宋_GB2312" w:eastAsia="仿宋_GB2312" w:cs="仿宋_GB2312"/>
                <w:sz w:val="21"/>
                <w:szCs w:val="21"/>
                <w:vertAlign w:val="baseline"/>
                <w:lang w:val="en-US" w:eastAsia="zh-CN"/>
              </w:rPr>
              <w:t>-N：Inter2C</w:t>
            </w:r>
          </w:p>
        </w:tc>
        <w:tc>
          <w:tcPr>
            <w:tcW w:w="1701" w:type="dxa"/>
            <w:vMerge w:val="continue"/>
            <w:vAlign w:val="center"/>
          </w:tcPr>
          <w:p>
            <w:pPr>
              <w:spacing w:line="360" w:lineRule="auto"/>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69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合计数量（个）</w:t>
            </w:r>
          </w:p>
        </w:tc>
        <w:tc>
          <w:tcPr>
            <w:tcW w:w="1701" w:type="dxa"/>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r>
    </w:tbl>
    <w:p>
      <w:pPr>
        <w:numPr>
          <w:ilvl w:val="0"/>
          <w:numId w:val="0"/>
        </w:numPr>
        <w:ind w:firstLine="480" w:firstLineChars="200"/>
        <w:rPr>
          <w:rFonts w:hint="eastAsia" w:ascii="仿宋_GB2312" w:hAnsi="Calibri" w:eastAsia="仿宋_GB2312" w:cs="Times New Roman"/>
          <w:sz w:val="24"/>
          <w:szCs w:val="24"/>
          <w:vertAlign w:val="baseline"/>
          <w:lang w:val="en-US" w:eastAsia="zh-CN"/>
        </w:rPr>
      </w:pPr>
      <w:r>
        <w:rPr>
          <w:rFonts w:hint="eastAsia" w:ascii="仿宋_GB2312" w:hAnsi="Calibri" w:eastAsia="仿宋_GB2312" w:cs="Times New Roman"/>
          <w:sz w:val="24"/>
          <w:szCs w:val="24"/>
          <w:vertAlign w:val="baseline"/>
          <w:lang w:val="en-US" w:eastAsia="zh-CN"/>
        </w:rPr>
        <w:t>备注：1.本项目对沥滘一期出水、二期出水、龙归二期出水岛津TNP-4200设备进行软件升级，可实现自动标样核查功能，无需增加自动标样核查模块。</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firstLine="960" w:firstLineChars="400"/>
        <w:jc w:val="both"/>
        <w:textAlignment w:val="auto"/>
        <w:rPr>
          <w:rFonts w:hint="eastAsia" w:ascii="仿宋_GB2312" w:hAnsi="Calibri" w:eastAsia="仿宋_GB2312" w:cs="Times New Roman"/>
          <w:sz w:val="24"/>
          <w:szCs w:val="24"/>
          <w:vertAlign w:val="baseline"/>
          <w:lang w:val="en-US" w:eastAsia="zh-CN"/>
        </w:rPr>
      </w:pPr>
      <w:r>
        <w:rPr>
          <w:rFonts w:hint="eastAsia" w:ascii="仿宋_GB2312" w:hAnsi="Calibri" w:eastAsia="仿宋_GB2312" w:cs="Times New Roman"/>
          <w:sz w:val="24"/>
          <w:szCs w:val="24"/>
          <w:vertAlign w:val="baseline"/>
          <w:lang w:val="en-US" w:eastAsia="zh-CN"/>
        </w:rPr>
        <w:t>2.自通过验收后质保期1年，质保期间提供免费保修服务。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92" w:beforeLines="50" w:line="360" w:lineRule="auto"/>
        <w:ind w:leftChars="-200" w:firstLine="480" w:firstLineChars="200"/>
        <w:jc w:val="both"/>
        <w:textAlignment w:val="auto"/>
        <w:rPr>
          <w:rFonts w:ascii="宋体" w:hAnsi="宋体" w:cs="宋体"/>
          <w:bCs/>
          <w:kern w:val="2"/>
          <w:sz w:val="24"/>
          <w:szCs w:val="24"/>
        </w:rPr>
      </w:pPr>
      <w:r>
        <w:rPr>
          <w:rFonts w:hint="eastAsia" w:ascii="宋体" w:hAnsi="宋体" w:cs="宋体"/>
          <w:bCs/>
          <w:kern w:val="2"/>
          <w:sz w:val="24"/>
          <w:szCs w:val="24"/>
        </w:rPr>
        <w:t>（</w:t>
      </w:r>
      <w:r>
        <w:rPr>
          <w:rFonts w:hint="eastAsia" w:ascii="宋体" w:hAnsi="宋体" w:cs="宋体"/>
          <w:bCs/>
          <w:kern w:val="2"/>
          <w:sz w:val="24"/>
          <w:szCs w:val="24"/>
          <w:lang w:val="en-US" w:eastAsia="zh-CN"/>
        </w:rPr>
        <w:t>二</w:t>
      </w:r>
      <w:r>
        <w:rPr>
          <w:rFonts w:hint="eastAsia" w:ascii="宋体" w:hAnsi="宋体" w:cs="宋体"/>
          <w:bCs/>
          <w:kern w:val="2"/>
          <w:sz w:val="24"/>
          <w:szCs w:val="24"/>
        </w:rPr>
        <w:t>）软件升级清单</w:t>
      </w:r>
    </w:p>
    <w:tbl>
      <w:tblPr>
        <w:tblStyle w:val="23"/>
        <w:tblW w:w="84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5"/>
        <w:gridCol w:w="1455"/>
        <w:gridCol w:w="1455"/>
        <w:gridCol w:w="1020"/>
        <w:gridCol w:w="1733"/>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jc w:val="center"/>
        </w:trPr>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厂名</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站点</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设备名称</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品牌</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hAnsi="仿宋_GB2312" w:cs="仿宋_GB2312"/>
                <w:sz w:val="21"/>
                <w:szCs w:val="21"/>
                <w:vertAlign w:val="baseline"/>
                <w:lang w:val="en-US" w:eastAsia="zh-CN"/>
              </w:rPr>
              <w:t>在用</w:t>
            </w:r>
            <w:r>
              <w:rPr>
                <w:rFonts w:hint="eastAsia" w:ascii="仿宋_GB2312" w:hAnsi="仿宋_GB2312" w:eastAsia="仿宋_GB2312" w:cs="仿宋_GB2312"/>
                <w:sz w:val="21"/>
                <w:szCs w:val="21"/>
                <w:vertAlign w:val="baseline"/>
                <w:lang w:val="en-US" w:eastAsia="zh-CN"/>
              </w:rPr>
              <w:t>设备型号</w:t>
            </w: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升级数量（台）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猎德</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一二期出水</w:t>
            </w:r>
          </w:p>
        </w:tc>
        <w:tc>
          <w:tcPr>
            <w:tcW w:w="1455" w:type="dxa"/>
            <w:tcBorders>
              <w:top w:val="single" w:color="000000" w:sz="4" w:space="0"/>
              <w:left w:val="nil"/>
              <w:bottom w:val="single" w:color="000000" w:sz="4" w:space="0"/>
              <w:right w:val="single" w:color="000000" w:sz="4" w:space="0"/>
            </w:tcBorders>
            <w:shd w:val="clear" w:color="auto" w:fill="auto"/>
            <w:vAlign w:val="center"/>
          </w:tcPr>
          <w:p>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TP/TN分析仪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哈希</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NPW-160</w:t>
            </w: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kern w:val="2"/>
                <w:sz w:val="21"/>
                <w:szCs w:val="21"/>
                <w:vertAlign w:val="baseli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三期出水</w:t>
            </w:r>
          </w:p>
        </w:tc>
        <w:tc>
          <w:tcPr>
            <w:tcW w:w="145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TP/TN分析仪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哈希</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NPW-160H</w:t>
            </w: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沥滘</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一期出水</w:t>
            </w:r>
          </w:p>
        </w:tc>
        <w:tc>
          <w:tcPr>
            <w:tcW w:w="1455" w:type="dxa"/>
            <w:tcBorders>
              <w:top w:val="single" w:color="000000" w:sz="4" w:space="0"/>
              <w:left w:val="nil"/>
              <w:bottom w:val="single" w:color="000000" w:sz="4" w:space="0"/>
              <w:right w:val="single" w:color="000000" w:sz="4" w:space="0"/>
            </w:tcBorders>
            <w:shd w:val="clear" w:color="auto" w:fill="auto"/>
            <w:vAlign w:val="center"/>
          </w:tcPr>
          <w:p>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TP分析仪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哈希</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PhosphaxSigma</w:t>
            </w:r>
          </w:p>
        </w:tc>
        <w:tc>
          <w:tcPr>
            <w:tcW w:w="1531" w:type="dxa"/>
            <w:vMerge w:val="restart"/>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kern w:val="2"/>
                <w:sz w:val="21"/>
                <w:szCs w:val="21"/>
                <w:vertAlign w:val="baseli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二期出水</w:t>
            </w:r>
          </w:p>
        </w:tc>
        <w:tc>
          <w:tcPr>
            <w:tcW w:w="145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TP分析仪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哈希</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PhosphaxSigma</w:t>
            </w:r>
          </w:p>
        </w:tc>
        <w:tc>
          <w:tcPr>
            <w:tcW w:w="153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kern w:val="2"/>
                <w:sz w:val="21"/>
                <w:szCs w:val="21"/>
                <w:vertAlign w:val="baseline"/>
                <w:lang w:val="en-US" w:eastAsia="zh-CN" w:bidi="ar-SA"/>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三期进水</w:t>
            </w:r>
          </w:p>
        </w:tc>
        <w:tc>
          <w:tcPr>
            <w:tcW w:w="145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TP分析仪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哈希</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PhosphaxSigma</w:t>
            </w:r>
          </w:p>
        </w:tc>
        <w:tc>
          <w:tcPr>
            <w:tcW w:w="153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kern w:val="2"/>
                <w:sz w:val="21"/>
                <w:szCs w:val="21"/>
                <w:vertAlign w:val="baseline"/>
                <w:lang w:val="en-US" w:eastAsia="zh-CN" w:bidi="ar-SA"/>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kern w:val="2"/>
                <w:sz w:val="21"/>
                <w:szCs w:val="21"/>
                <w:vertAlign w:val="baseline"/>
                <w:lang w:val="en-US" w:eastAsia="zh-CN" w:bidi="ar-SA"/>
              </w:rPr>
            </w:pPr>
          </w:p>
        </w:tc>
        <w:tc>
          <w:tcPr>
            <w:tcW w:w="145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TN分析仪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哈希</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NPW-160</w:t>
            </w:r>
          </w:p>
        </w:tc>
        <w:tc>
          <w:tcPr>
            <w:tcW w:w="153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kern w:val="2"/>
                <w:sz w:val="21"/>
                <w:szCs w:val="21"/>
                <w:vertAlign w:val="baseline"/>
                <w:lang w:val="en-US" w:eastAsia="zh-CN" w:bidi="ar-SA"/>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三期出水</w:t>
            </w:r>
          </w:p>
        </w:tc>
        <w:tc>
          <w:tcPr>
            <w:tcW w:w="145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TP分析仪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哈希</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PhosphaxSigma</w:t>
            </w:r>
          </w:p>
        </w:tc>
        <w:tc>
          <w:tcPr>
            <w:tcW w:w="153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kern w:val="2"/>
                <w:sz w:val="21"/>
                <w:szCs w:val="21"/>
                <w:vertAlign w:val="baseline"/>
                <w:lang w:val="en-US" w:eastAsia="zh-CN" w:bidi="ar-SA"/>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kern w:val="2"/>
                <w:sz w:val="21"/>
                <w:szCs w:val="21"/>
                <w:vertAlign w:val="baseline"/>
                <w:lang w:val="en-US" w:eastAsia="zh-CN" w:bidi="ar-SA"/>
              </w:rPr>
            </w:pPr>
          </w:p>
        </w:tc>
        <w:tc>
          <w:tcPr>
            <w:tcW w:w="145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TN分析仪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哈希</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NPW-160</w:t>
            </w:r>
          </w:p>
        </w:tc>
        <w:tc>
          <w:tcPr>
            <w:tcW w:w="153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健康城</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进水</w:t>
            </w:r>
          </w:p>
        </w:tc>
        <w:tc>
          <w:tcPr>
            <w:tcW w:w="1455" w:type="dxa"/>
            <w:tcBorders>
              <w:top w:val="single" w:color="000000" w:sz="4" w:space="0"/>
              <w:left w:val="nil"/>
              <w:bottom w:val="single" w:color="000000" w:sz="4" w:space="0"/>
              <w:right w:val="single" w:color="000000" w:sz="4" w:space="0"/>
            </w:tcBorders>
            <w:shd w:val="clear" w:color="auto" w:fill="auto"/>
            <w:vAlign w:val="center"/>
          </w:tcPr>
          <w:p>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TP/TN分析仪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哈希</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NPW-160H</w:t>
            </w:r>
          </w:p>
        </w:tc>
        <w:tc>
          <w:tcPr>
            <w:tcW w:w="1531" w:type="dxa"/>
            <w:vMerge w:val="restart"/>
            <w:tcBorders>
              <w:top w:val="single" w:color="000000" w:sz="4" w:space="0"/>
              <w:left w:val="single" w:color="000000" w:sz="4" w:space="0"/>
              <w:right w:val="single" w:color="000000" w:sz="4" w:space="0"/>
            </w:tcBorders>
            <w:shd w:val="clear" w:color="auto" w:fill="auto"/>
            <w:noWrap/>
            <w:vAlign w:val="center"/>
          </w:tcPr>
          <w:p>
            <w:pPr>
              <w:spacing w:line="360" w:lineRule="auto"/>
              <w:jc w:val="center"/>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kern w:val="2"/>
                <w:sz w:val="21"/>
                <w:szCs w:val="21"/>
                <w:vertAlign w:val="baseli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出水</w:t>
            </w:r>
          </w:p>
        </w:tc>
        <w:tc>
          <w:tcPr>
            <w:tcW w:w="145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TP/TN分析仪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哈希</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NPW-160H</w:t>
            </w:r>
          </w:p>
        </w:tc>
        <w:tc>
          <w:tcPr>
            <w:tcW w:w="1531"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竹料</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出水</w:t>
            </w:r>
          </w:p>
        </w:tc>
        <w:tc>
          <w:tcPr>
            <w:tcW w:w="1455" w:type="dxa"/>
            <w:tcBorders>
              <w:top w:val="single" w:color="000000" w:sz="4" w:space="0"/>
              <w:left w:val="nil"/>
              <w:bottom w:val="single" w:color="000000" w:sz="4" w:space="0"/>
              <w:right w:val="single" w:color="000000" w:sz="4" w:space="0"/>
            </w:tcBorders>
            <w:shd w:val="clear" w:color="auto" w:fill="auto"/>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TP/TN分析仪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哈希</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NPW-160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石井净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进水</w:t>
            </w:r>
          </w:p>
        </w:tc>
        <w:tc>
          <w:tcPr>
            <w:tcW w:w="1455" w:type="dxa"/>
            <w:tcBorders>
              <w:top w:val="single" w:color="000000" w:sz="4" w:space="0"/>
              <w:left w:val="nil"/>
              <w:bottom w:val="single" w:color="000000" w:sz="4" w:space="0"/>
              <w:right w:val="single" w:color="000000" w:sz="4" w:space="0"/>
            </w:tcBorders>
            <w:shd w:val="clear" w:color="auto" w:fill="auto"/>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TP/TN分析仪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哈希</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NPW-160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合计（台）</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12</w:t>
            </w:r>
          </w:p>
        </w:tc>
      </w:tr>
    </w:tbl>
    <w:p>
      <w:pPr>
        <w:numPr>
          <w:ilvl w:val="0"/>
          <w:numId w:val="0"/>
        </w:numPr>
        <w:ind w:firstLine="480" w:firstLineChars="200"/>
        <w:rPr>
          <w:rFonts w:hint="default" w:ascii="仿宋_GB2312" w:hAnsi="Calibri" w:eastAsia="仿宋_GB2312" w:cs="Times New Roman"/>
          <w:sz w:val="24"/>
          <w:szCs w:val="24"/>
          <w:vertAlign w:val="baseline"/>
          <w:lang w:val="en-US" w:eastAsia="zh-CN"/>
        </w:rPr>
      </w:pPr>
    </w:p>
    <w:p>
      <w:pPr>
        <w:pStyle w:val="13"/>
        <w:numPr>
          <w:ilvl w:val="0"/>
          <w:numId w:val="0"/>
        </w:num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（三）自动标样核查模块及软件升级功能要求</w:t>
      </w:r>
    </w:p>
    <w:p>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jc w:val="left"/>
        <w:textAlignment w:val="auto"/>
        <w:rPr>
          <w:rFonts w:hint="eastAsia" w:ascii="仿宋_GB2312" w:hAnsi="仿宋_GB2312" w:eastAsia="仿宋_GB2312" w:cs="仿宋_GB2312"/>
          <w:bCs/>
          <w:color w:val="000000"/>
          <w:kern w:val="0"/>
          <w:sz w:val="28"/>
          <w:szCs w:val="28"/>
          <w:lang w:val="en-US" w:eastAsia="zh-CN" w:bidi="ar-SA"/>
        </w:rPr>
      </w:pPr>
      <w:r>
        <w:rPr>
          <w:rFonts w:hint="eastAsia" w:ascii="仿宋_GB2312" w:hAnsi="仿宋_GB2312" w:eastAsia="仿宋_GB2312" w:cs="仿宋_GB2312"/>
          <w:bCs/>
          <w:color w:val="000000"/>
          <w:kern w:val="0"/>
          <w:sz w:val="28"/>
          <w:szCs w:val="28"/>
          <w:lang w:val="en-US" w:eastAsia="zh-CN" w:bidi="ar-SA"/>
        </w:rPr>
        <w:t>本项目采购的22个自动标样核查模块及3台岛津TNP-4200设备软件升级须满足《水污染源在线监测系统（COD</w:t>
      </w:r>
      <w:r>
        <w:rPr>
          <w:rFonts w:hint="eastAsia" w:ascii="仿宋_GB2312" w:hAnsi="仿宋_GB2312" w:eastAsia="仿宋_GB2312" w:cs="仿宋_GB2312"/>
          <w:bCs/>
          <w:color w:val="000000"/>
          <w:kern w:val="0"/>
          <w:sz w:val="28"/>
          <w:szCs w:val="28"/>
          <w:vertAlign w:val="subscript"/>
          <w:lang w:val="en-US" w:eastAsia="zh-CN" w:bidi="ar-SA"/>
        </w:rPr>
        <w:t>Cr</w:t>
      </w:r>
      <w:r>
        <w:rPr>
          <w:rFonts w:hint="eastAsia" w:ascii="仿宋_GB2312" w:hAnsi="仿宋_GB2312" w:eastAsia="仿宋_GB2312" w:cs="仿宋_GB2312"/>
          <w:bCs/>
          <w:color w:val="000000"/>
          <w:kern w:val="0"/>
          <w:sz w:val="28"/>
          <w:szCs w:val="28"/>
          <w:lang w:val="en-US" w:eastAsia="zh-CN" w:bidi="ar-SA"/>
        </w:rPr>
        <w:t>、NH</w:t>
      </w:r>
      <w:r>
        <w:rPr>
          <w:rFonts w:hint="eastAsia" w:ascii="仿宋_GB2312" w:hAnsi="仿宋_GB2312" w:eastAsia="仿宋_GB2312" w:cs="仿宋_GB2312"/>
          <w:bCs/>
          <w:color w:val="000000"/>
          <w:kern w:val="0"/>
          <w:sz w:val="28"/>
          <w:szCs w:val="28"/>
          <w:vertAlign w:val="subscript"/>
          <w:lang w:val="en-US" w:eastAsia="zh-CN" w:bidi="ar-SA"/>
        </w:rPr>
        <w:t>3</w:t>
      </w:r>
      <w:r>
        <w:rPr>
          <w:rFonts w:hint="eastAsia" w:ascii="仿宋_GB2312" w:hAnsi="仿宋_GB2312" w:eastAsia="仿宋_GB2312" w:cs="仿宋_GB2312"/>
          <w:bCs/>
          <w:color w:val="000000"/>
          <w:kern w:val="0"/>
          <w:sz w:val="28"/>
          <w:szCs w:val="28"/>
          <w:lang w:val="en-US" w:eastAsia="zh-CN" w:bidi="ar-SA"/>
        </w:rPr>
        <w:t>-N 等）运行技术规范》（HJ 355-2019）要求，可定期进行自动标样核查，自动标样核查周期间隔可设置不超过24h。并对猎德、沥滘、健康城、竹料、石井净12台在线监测设备软件升级，实现直接在设备查询12个月数据功能。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Cs/>
          <w:color w:val="000000"/>
          <w:kern w:val="0"/>
          <w:sz w:val="28"/>
          <w:szCs w:val="28"/>
          <w:lang w:val="en-US" w:eastAsia="zh-CN" w:bidi="ar-SA"/>
        </w:rPr>
      </w:pPr>
      <w:r>
        <w:rPr>
          <w:rFonts w:hint="eastAsia" w:ascii="仿宋_GB2312" w:hAnsi="仿宋_GB2312" w:eastAsia="仿宋_GB2312" w:cs="仿宋_GB2312"/>
          <w:bCs/>
          <w:color w:val="000000"/>
          <w:kern w:val="0"/>
          <w:sz w:val="28"/>
          <w:szCs w:val="28"/>
          <w:lang w:val="en-US" w:eastAsia="zh-CN" w:bidi="ar-SA"/>
        </w:rPr>
        <w:t>报价人必须在报价明细表中列明所投货物的品牌、型号，如报价响应时无列明品牌，则中选后履行合同时须按照询价人指定的品牌、型号、技术参数及报价人的中选价进行供货，不予增加任何费用。</w:t>
      </w:r>
    </w:p>
    <w:p>
      <w:pPr>
        <w:pStyle w:val="13"/>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三、项目商务要求</w:t>
      </w:r>
    </w:p>
    <w:p>
      <w:pPr>
        <w:pStyle w:val="2"/>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1.包装、运输、安装、调试及保管、保险：</w:t>
      </w:r>
    </w:p>
    <w:p>
      <w:pPr>
        <w:pStyle w:val="2"/>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（1）报价人所供货物应为制造商原装出厂包装，包装须符合同等相关标准，因包装不良造成的损失由报价人负责。</w:t>
      </w:r>
    </w:p>
    <w:p>
      <w:pPr>
        <w:pStyle w:val="2"/>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（2）报价人负责将产品送到现场过程中的全部运输，包括装卸车、货物现场的搬运等。</w:t>
      </w:r>
    </w:p>
    <w:p>
      <w:pPr>
        <w:pStyle w:val="2"/>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（3）供货期：</w:t>
      </w:r>
      <w:r>
        <w:rPr>
          <w:rFonts w:hint="eastAsia" w:ascii="仿宋_GB2312" w:hAnsi="仿宋_GB2312" w:eastAsia="仿宋_GB2312" w:cs="仿宋_GB2312"/>
          <w:bCs/>
          <w:color w:val="000000"/>
          <w:sz w:val="28"/>
          <w:szCs w:val="28"/>
          <w:lang w:val="en-US" w:eastAsia="zh-CN"/>
        </w:rPr>
        <w:t>自</w:t>
      </w:r>
      <w:r>
        <w:rPr>
          <w:rFonts w:hint="eastAsia" w:ascii="仿宋_GB2312" w:hAnsi="仿宋_GB2312" w:eastAsia="仿宋_GB2312" w:cs="仿宋_GB2312"/>
          <w:bCs/>
          <w:color w:val="000000"/>
          <w:sz w:val="28"/>
          <w:szCs w:val="28"/>
        </w:rPr>
        <w:t>合同签订</w:t>
      </w:r>
      <w:r>
        <w:rPr>
          <w:rFonts w:hint="eastAsia" w:ascii="仿宋_GB2312" w:hAnsi="仿宋_GB2312" w:eastAsia="仿宋_GB2312" w:cs="仿宋_GB2312"/>
          <w:bCs/>
          <w:color w:val="000000"/>
          <w:sz w:val="28"/>
          <w:szCs w:val="28"/>
          <w:lang w:val="en-US" w:eastAsia="zh-CN"/>
        </w:rPr>
        <w:t>之日起45个日历日</w:t>
      </w:r>
      <w:r>
        <w:rPr>
          <w:rFonts w:hint="eastAsia" w:ascii="仿宋_GB2312" w:hAnsi="仿宋_GB2312" w:eastAsia="仿宋_GB2312" w:cs="仿宋_GB2312"/>
          <w:bCs/>
          <w:color w:val="000000"/>
          <w:sz w:val="28"/>
          <w:szCs w:val="28"/>
        </w:rPr>
        <w:t>；</w:t>
      </w:r>
    </w:p>
    <w:p>
      <w:pPr>
        <w:pStyle w:val="2"/>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交货地点：广州市净水有限公司</w:t>
      </w:r>
      <w:r>
        <w:rPr>
          <w:rFonts w:hint="eastAsia" w:ascii="仿宋_GB2312" w:hAnsi="仿宋_GB2312" w:eastAsia="仿宋_GB2312" w:cs="仿宋_GB2312"/>
          <w:bCs/>
          <w:color w:val="000000"/>
          <w:sz w:val="28"/>
          <w:szCs w:val="28"/>
          <w:lang w:val="en-US" w:eastAsia="zh-CN"/>
        </w:rPr>
        <w:t>猎德分公司、大坦沙分公司、西朗分公司</w:t>
      </w:r>
      <w:r>
        <w:rPr>
          <w:rFonts w:hint="eastAsia" w:ascii="仿宋_GB2312" w:hAnsi="仿宋_GB2312" w:eastAsia="仿宋_GB2312" w:cs="仿宋_GB2312"/>
          <w:bCs/>
          <w:color w:val="000000"/>
          <w:sz w:val="28"/>
          <w:szCs w:val="28"/>
        </w:rPr>
        <w:t>。</w:t>
      </w:r>
    </w:p>
    <w:p>
      <w:pPr>
        <w:pStyle w:val="13"/>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2.质量保证及售后服务：</w:t>
      </w:r>
    </w:p>
    <w:p>
      <w:pPr>
        <w:pStyle w:val="13"/>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（1）确保货物为原装未拆封或未使用的合格产品，交货时须出具厂家出厂合格证明；</w:t>
      </w:r>
    </w:p>
    <w:p>
      <w:pPr>
        <w:pStyle w:val="13"/>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（2）货物在质保期为自供货验收合格之日起1年内免费提供维保服务。</w:t>
      </w:r>
    </w:p>
    <w:p>
      <w:pPr>
        <w:pStyle w:val="13"/>
        <w:ind w:firstLine="560" w:firstLineChars="200"/>
      </w:pPr>
      <w:r>
        <w:rPr>
          <w:rFonts w:hint="eastAsia" w:ascii="仿宋_GB2312" w:hAnsi="仿宋_GB2312" w:eastAsia="仿宋_GB2312" w:cs="仿宋_GB2312"/>
          <w:bCs/>
          <w:color w:val="000000"/>
          <w:sz w:val="28"/>
          <w:szCs w:val="28"/>
        </w:rPr>
        <w:t>（3）质保期如有质量问题，报价人必须24小时内派技术人员免费到现场进行维修。</w:t>
      </w:r>
    </w:p>
    <w:p>
      <w:pPr>
        <w:pStyle w:val="13"/>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3.总包及分包规定：</w:t>
      </w:r>
    </w:p>
    <w:p>
      <w:pPr>
        <w:pStyle w:val="13"/>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乙方不得转包、分包。否则，甲方有权单方面终止合同，拒收其货物，由此而造成的经济损失由乙方负责赔偿。</w:t>
      </w:r>
    </w:p>
    <w:p>
      <w:pPr>
        <w:pStyle w:val="13"/>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4.询价人将自承包商履行完合同义务之日起15个工作日内组织验收，审定报价人供货的货物合格情况，进行结算审核。</w:t>
      </w:r>
    </w:p>
    <w:p>
      <w:pPr>
        <w:pStyle w:val="13"/>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5.付款方式：</w:t>
      </w:r>
    </w:p>
    <w:p>
      <w:pPr>
        <w:pStyle w:val="13"/>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（1）网银支付。</w:t>
      </w:r>
    </w:p>
    <w:p>
      <w:pPr>
        <w:pStyle w:val="13"/>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（2）报价人在收款前需提交相应金额增值税专用发票给需求单位。</w:t>
      </w:r>
    </w:p>
    <w:p>
      <w:pPr>
        <w:pStyle w:val="13"/>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6.承包方式：单价包干。</w:t>
      </w:r>
      <w:bookmarkEnd w:id="60"/>
    </w:p>
    <w:p>
      <w:pP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br w:type="page"/>
      </w:r>
    </w:p>
    <w:p>
      <w:pPr>
        <w:pStyle w:val="2"/>
        <w:rPr>
          <w:rFonts w:hint="eastAsia" w:ascii="仿宋_GB2312" w:hAnsi="仿宋_GB2312" w:eastAsia="仿宋_GB2312" w:cs="仿宋_GB2312"/>
          <w:bCs/>
          <w:sz w:val="28"/>
          <w:szCs w:val="28"/>
        </w:rPr>
      </w:pPr>
    </w:p>
    <w:p>
      <w:pPr>
        <w:pStyle w:val="2"/>
        <w:rPr>
          <w:rFonts w:hint="eastAsia" w:ascii="仿宋_GB2312" w:hAnsi="仿宋_GB2312" w:eastAsia="仿宋_GB2312" w:cs="仿宋_GB2312"/>
          <w:bCs/>
          <w:sz w:val="28"/>
          <w:szCs w:val="28"/>
        </w:rPr>
      </w:pPr>
    </w:p>
    <w:p>
      <w:pPr>
        <w:pStyle w:val="2"/>
        <w:rPr>
          <w:rFonts w:hint="eastAsia" w:ascii="仿宋_GB2312" w:hAnsi="仿宋_GB2312" w:eastAsia="仿宋_GB2312" w:cs="仿宋_GB2312"/>
          <w:bCs/>
          <w:sz w:val="28"/>
          <w:szCs w:val="28"/>
        </w:rPr>
      </w:pPr>
    </w:p>
    <w:p>
      <w:pPr>
        <w:pStyle w:val="2"/>
        <w:rPr>
          <w:rFonts w:hint="eastAsia" w:ascii="仿宋_GB2312" w:hAnsi="仿宋_GB2312" w:eastAsia="仿宋_GB2312" w:cs="仿宋_GB2312"/>
          <w:bCs/>
          <w:sz w:val="28"/>
          <w:szCs w:val="28"/>
        </w:rPr>
      </w:pPr>
    </w:p>
    <w:p>
      <w:pPr>
        <w:pStyle w:val="2"/>
        <w:ind w:firstLine="0"/>
        <w:rPr>
          <w:rFonts w:hint="eastAsia" w:ascii="仿宋_GB2312" w:hAnsi="仿宋_GB2312" w:eastAsia="仿宋_GB2312" w:cs="仿宋_GB2312"/>
          <w:bCs/>
          <w:sz w:val="28"/>
          <w:szCs w:val="28"/>
        </w:rPr>
      </w:pPr>
    </w:p>
    <w:p>
      <w:pPr>
        <w:pStyle w:val="2"/>
        <w:rPr>
          <w:rFonts w:hint="eastAsia" w:ascii="仿宋_GB2312" w:hAnsi="仿宋_GB2312" w:eastAsia="仿宋_GB2312" w:cs="仿宋_GB2312"/>
          <w:bCs/>
          <w:sz w:val="28"/>
          <w:szCs w:val="28"/>
        </w:rPr>
      </w:pPr>
    </w:p>
    <w:p>
      <w:pPr>
        <w:pStyle w:val="4"/>
        <w:ind w:firstLine="3960" w:firstLineChars="900"/>
        <w:jc w:val="both"/>
      </w:pPr>
      <w:bookmarkStart w:id="61" w:name="_Toc29835"/>
      <w:bookmarkStart w:id="62" w:name="_Toc23353"/>
      <w:bookmarkStart w:id="63" w:name="_Toc1284"/>
      <w:bookmarkStart w:id="64" w:name="_Toc18538"/>
      <w:bookmarkStart w:id="65" w:name="_Toc537"/>
      <w:bookmarkStart w:id="66" w:name="_Toc12135"/>
      <w:bookmarkStart w:id="67" w:name="_Toc15570"/>
      <w:bookmarkStart w:id="68" w:name="_Toc1496"/>
      <w:bookmarkStart w:id="69" w:name="_Toc25925"/>
      <w:bookmarkStart w:id="70" w:name="_Toc4680"/>
      <w:bookmarkStart w:id="71" w:name="_Toc23330"/>
      <w:r>
        <mc:AlternateContent>
          <mc:Choice Requires="wps">
            <w:drawing>
              <wp:anchor distT="0" distB="0" distL="114300" distR="114300" simplePos="0" relativeHeight="251665408" behindDoc="0" locked="0" layoutInCell="1" allowOverlap="1">
                <wp:simplePos x="0" y="0"/>
                <wp:positionH relativeFrom="column">
                  <wp:posOffset>2436495</wp:posOffset>
                </wp:positionH>
                <wp:positionV relativeFrom="paragraph">
                  <wp:posOffset>228600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91.85pt;margin-top:18pt;height:0pt;width:75.5pt;z-index:251665408;mso-width-relative:page;mso-height-relative:page;" filled="f" stroked="t" coordsize="21600,21600" o:gfxdata="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tJAaB1wAAAAk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2410460</wp:posOffset>
                </wp:positionH>
                <wp:positionV relativeFrom="paragraph">
                  <wp:posOffset>762635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9.8pt;margin-top:60.05pt;height:0pt;width:75.5pt;z-index:251664384;mso-width-relative:page;mso-height-relative:page;" filled="f" stroked="t" coordsize="21600,21600" o:gfxdata="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7saX/XAAAACw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rPr>
        <w:t>第六章</w:t>
      </w:r>
      <w:bookmarkEnd w:id="61"/>
      <w:bookmarkEnd w:id="62"/>
      <w:bookmarkEnd w:id="63"/>
      <w:bookmarkEnd w:id="64"/>
      <w:bookmarkEnd w:id="65"/>
      <w:bookmarkEnd w:id="66"/>
      <w:bookmarkEnd w:id="67"/>
      <w:bookmarkEnd w:id="68"/>
      <w:bookmarkEnd w:id="69"/>
      <w:bookmarkEnd w:id="70"/>
      <w:bookmarkEnd w:id="71"/>
    </w:p>
    <w:p>
      <w:pPr>
        <w:pStyle w:val="4"/>
        <w:rPr>
          <w:color w:val="auto"/>
        </w:rPr>
      </w:pPr>
      <w:bookmarkStart w:id="72" w:name="_Toc19088"/>
      <w:bookmarkStart w:id="73" w:name="_Toc22797"/>
      <w:bookmarkStart w:id="74" w:name="_Toc19686"/>
      <w:bookmarkStart w:id="75" w:name="_Toc12980"/>
      <w:bookmarkStart w:id="76" w:name="_Toc22501"/>
      <w:bookmarkStart w:id="77" w:name="_Toc12721"/>
      <w:bookmarkStart w:id="78" w:name="_Toc88209949"/>
      <w:bookmarkStart w:id="79" w:name="_Toc323"/>
      <w:bookmarkStart w:id="80" w:name="_Toc8183"/>
      <w:bookmarkStart w:id="81" w:name="_Toc12968"/>
      <w:bookmarkStart w:id="82" w:name="_Toc1375"/>
      <w:bookmarkStart w:id="83" w:name="_Toc87616386"/>
      <w:bookmarkStart w:id="84" w:name="_Toc13309"/>
      <w:r>
        <w:rPr>
          <w:rFonts w:hint="eastAsia"/>
        </w:rPr>
        <w:t>合同</w:t>
      </w:r>
      <w:bookmarkEnd w:id="72"/>
      <w:bookmarkEnd w:id="73"/>
      <w:bookmarkEnd w:id="74"/>
      <w:bookmarkEnd w:id="75"/>
      <w:bookmarkEnd w:id="76"/>
      <w:bookmarkEnd w:id="77"/>
      <w:bookmarkEnd w:id="78"/>
      <w:bookmarkEnd w:id="79"/>
      <w:bookmarkEnd w:id="80"/>
      <w:bookmarkEnd w:id="81"/>
      <w:bookmarkEnd w:id="82"/>
      <w:bookmarkEnd w:id="83"/>
      <w:bookmarkEnd w:id="84"/>
    </w:p>
    <w:p>
      <w:pPr>
        <w:rPr>
          <w:rFonts w:ascii="宋体" w:hAnsi="宋体" w:cs="Times New Roman"/>
          <w:b/>
          <w:sz w:val="44"/>
        </w:rPr>
      </w:pPr>
    </w:p>
    <w:p>
      <w:pPr>
        <w:jc w:val="center"/>
        <w:rPr>
          <w:rFonts w:hint="eastAsia"/>
          <w:b/>
          <w:bCs w:val="0"/>
          <w:color w:val="000000" w:themeColor="text1"/>
          <w:sz w:val="48"/>
          <w:szCs w:val="48"/>
          <w14:textFill>
            <w14:solidFill>
              <w14:schemeClr w14:val="tx1"/>
            </w14:solidFill>
          </w14:textFill>
        </w:rPr>
      </w:pPr>
    </w:p>
    <w:p>
      <w:pPr>
        <w:jc w:val="center"/>
        <w:rPr>
          <w:rFonts w:hint="eastAsia"/>
          <w:b/>
          <w:bCs w:val="0"/>
          <w:color w:val="000000" w:themeColor="text1"/>
          <w:sz w:val="48"/>
          <w:szCs w:val="48"/>
          <w14:textFill>
            <w14:solidFill>
              <w14:schemeClr w14:val="tx1"/>
            </w14:solidFill>
          </w14:textFill>
        </w:rPr>
      </w:pPr>
    </w:p>
    <w:p>
      <w:pPr>
        <w:pStyle w:val="2"/>
        <w:rPr>
          <w:rFonts w:hint="eastAsia"/>
          <w:b/>
          <w:bCs w:val="0"/>
          <w:color w:val="000000" w:themeColor="text1"/>
          <w:sz w:val="48"/>
          <w:szCs w:val="48"/>
          <w14:textFill>
            <w14:solidFill>
              <w14:schemeClr w14:val="tx1"/>
            </w14:solidFill>
          </w14:textFill>
        </w:rPr>
      </w:pPr>
    </w:p>
    <w:p>
      <w:pPr>
        <w:pStyle w:val="2"/>
        <w:rPr>
          <w:rFonts w:hint="eastAsia"/>
          <w:b/>
          <w:bCs w:val="0"/>
          <w:color w:val="000000" w:themeColor="text1"/>
          <w:sz w:val="48"/>
          <w:szCs w:val="48"/>
          <w14:textFill>
            <w14:solidFill>
              <w14:schemeClr w14:val="tx1"/>
            </w14:solidFill>
          </w14:textFill>
        </w:rPr>
      </w:pPr>
    </w:p>
    <w:p>
      <w:pPr>
        <w:pStyle w:val="2"/>
        <w:rPr>
          <w:rFonts w:hint="eastAsia"/>
          <w:b/>
          <w:bCs w:val="0"/>
          <w:color w:val="000000" w:themeColor="text1"/>
          <w:sz w:val="48"/>
          <w:szCs w:val="48"/>
          <w14:textFill>
            <w14:solidFill>
              <w14:schemeClr w14:val="tx1"/>
            </w14:solidFill>
          </w14:textFill>
        </w:rPr>
      </w:pPr>
    </w:p>
    <w:p>
      <w:pPr>
        <w:pStyle w:val="2"/>
        <w:rPr>
          <w:rFonts w:hint="eastAsia"/>
          <w:b/>
          <w:bCs w:val="0"/>
          <w:color w:val="000000" w:themeColor="text1"/>
          <w:sz w:val="48"/>
          <w:szCs w:val="48"/>
          <w14:textFill>
            <w14:solidFill>
              <w14:schemeClr w14:val="tx1"/>
            </w14:solidFill>
          </w14:textFill>
        </w:rPr>
      </w:pPr>
    </w:p>
    <w:p>
      <w:pPr>
        <w:pStyle w:val="2"/>
        <w:rPr>
          <w:rFonts w:hint="eastAsia"/>
          <w:b/>
          <w:bCs w:val="0"/>
          <w:color w:val="000000" w:themeColor="text1"/>
          <w:sz w:val="48"/>
          <w:szCs w:val="48"/>
          <w14:textFill>
            <w14:solidFill>
              <w14:schemeClr w14:val="tx1"/>
            </w14:solidFill>
          </w14:textFill>
        </w:rPr>
      </w:pPr>
    </w:p>
    <w:p>
      <w:pPr>
        <w:pStyle w:val="2"/>
        <w:rPr>
          <w:rFonts w:hint="eastAsia"/>
          <w:b/>
          <w:bCs w:val="0"/>
          <w:color w:val="000000" w:themeColor="text1"/>
          <w:sz w:val="48"/>
          <w:szCs w:val="48"/>
          <w14:textFill>
            <w14:solidFill>
              <w14:schemeClr w14:val="tx1"/>
            </w14:solidFill>
          </w14:textFill>
        </w:rPr>
      </w:pPr>
    </w:p>
    <w:p>
      <w:pPr>
        <w:pStyle w:val="2"/>
        <w:rPr>
          <w:rFonts w:hint="eastAsia"/>
          <w:b/>
          <w:bCs w:val="0"/>
          <w:color w:val="000000" w:themeColor="text1"/>
          <w:sz w:val="48"/>
          <w:szCs w:val="48"/>
          <w14:textFill>
            <w14:solidFill>
              <w14:schemeClr w14:val="tx1"/>
            </w14:solidFill>
          </w14:textFill>
        </w:rPr>
      </w:pPr>
    </w:p>
    <w:p>
      <w:pPr>
        <w:pStyle w:val="2"/>
        <w:rPr>
          <w:rFonts w:hint="eastAsia"/>
          <w:b/>
          <w:bCs w:val="0"/>
          <w:color w:val="000000" w:themeColor="text1"/>
          <w:sz w:val="48"/>
          <w:szCs w:val="48"/>
          <w14:textFill>
            <w14:solidFill>
              <w14:schemeClr w14:val="tx1"/>
            </w14:solidFill>
          </w14:textFill>
        </w:rPr>
      </w:pPr>
    </w:p>
    <w:p>
      <w:pPr>
        <w:jc w:val="center"/>
        <w:rPr>
          <w:b/>
          <w:bCs w:val="0"/>
          <w:color w:val="000000" w:themeColor="text1"/>
          <w:sz w:val="48"/>
          <w:szCs w:val="48"/>
          <w14:textFill>
            <w14:solidFill>
              <w14:schemeClr w14:val="tx1"/>
            </w14:solidFill>
          </w14:textFill>
        </w:rPr>
      </w:pPr>
      <w:r>
        <w:rPr>
          <w:rFonts w:hint="eastAsia"/>
          <w:b/>
          <w:bCs w:val="0"/>
          <w:color w:val="000000" w:themeColor="text1"/>
          <w:sz w:val="48"/>
          <w:szCs w:val="48"/>
          <w14:textFill>
            <w14:solidFill>
              <w14:schemeClr w14:val="tx1"/>
            </w14:solidFill>
          </w14:textFill>
        </w:rPr>
        <w:t>广州市净水有限公司</w:t>
      </w:r>
    </w:p>
    <w:p>
      <w:pPr>
        <w:jc w:val="center"/>
        <w:rPr>
          <w:rFonts w:hint="default"/>
          <w:b/>
          <w:bCs w:val="0"/>
          <w:color w:val="000000" w:themeColor="text1"/>
          <w:sz w:val="48"/>
          <w:szCs w:val="48"/>
          <w:u w:val="single"/>
          <w:lang w:val="en-US" w:eastAsia="zh-CN"/>
          <w14:textFill>
            <w14:solidFill>
              <w14:schemeClr w14:val="tx1"/>
            </w14:solidFill>
          </w14:textFill>
        </w:rPr>
      </w:pPr>
      <w:r>
        <w:rPr>
          <w:rFonts w:hint="eastAsia"/>
          <w:b/>
          <w:bCs w:val="0"/>
          <w:color w:val="000000" w:themeColor="text1"/>
          <w:sz w:val="48"/>
          <w:szCs w:val="48"/>
          <w:u w:val="single"/>
          <w:lang w:val="en-US" w:eastAsia="zh-CN"/>
          <w14:textFill>
            <w14:solidFill>
              <w14:schemeClr w14:val="tx1"/>
            </w14:solidFill>
          </w14:textFill>
        </w:rPr>
        <w:t>在线监测系统自动标样核查模块采购项目</w:t>
      </w:r>
    </w:p>
    <w:p>
      <w:pPr>
        <w:widowControl/>
        <w:spacing w:after="0" w:line="240" w:lineRule="auto"/>
        <w:jc w:val="center"/>
        <w:rPr>
          <w:rFonts w:ascii="宋体" w:hAnsi="宋体" w:cs="宋体"/>
          <w:color w:val="000000" w:themeColor="text1"/>
          <w:sz w:val="28"/>
          <w:szCs w:val="28"/>
          <w14:textFill>
            <w14:solidFill>
              <w14:schemeClr w14:val="tx1"/>
            </w14:solidFill>
          </w14:textFill>
        </w:rPr>
      </w:pPr>
      <w:r>
        <w:rPr>
          <w:rFonts w:hint="eastAsia"/>
          <w:b/>
          <w:bCs w:val="0"/>
          <w:color w:val="000000" w:themeColor="text1"/>
          <w:sz w:val="48"/>
          <w:szCs w:val="48"/>
          <w14:textFill>
            <w14:solidFill>
              <w14:schemeClr w14:val="tx1"/>
            </w14:solidFill>
          </w14:textFill>
        </w:rPr>
        <w:t>采购合同</w:t>
      </w:r>
    </w:p>
    <w:p>
      <w:pPr>
        <w:jc w:val="center"/>
        <w:rPr>
          <w:rFonts w:hint="default" w:eastAsiaTheme="minorEastAsia"/>
          <w:b/>
          <w:bCs w:val="0"/>
          <w:color w:val="000000" w:themeColor="text1"/>
          <w:sz w:val="28"/>
          <w:szCs w:val="28"/>
          <w:lang w:val="en-US" w:eastAsia="zh-CN"/>
          <w14:textFill>
            <w14:solidFill>
              <w14:schemeClr w14:val="tx1"/>
            </w14:solidFill>
          </w14:textFill>
        </w:rPr>
      </w:pPr>
    </w:p>
    <w:p>
      <w:pPr>
        <w:jc w:val="center"/>
        <w:rPr>
          <w:b/>
          <w:bCs w:val="0"/>
          <w:color w:val="000000" w:themeColor="text1"/>
          <w:sz w:val="30"/>
          <w14:textFill>
            <w14:solidFill>
              <w14:schemeClr w14:val="tx1"/>
            </w14:solidFill>
          </w14:textFill>
        </w:rPr>
      </w:pPr>
    </w:p>
    <w:p>
      <w:pPr>
        <w:jc w:val="left"/>
        <w:rPr>
          <w:rFonts w:hint="eastAsia"/>
          <w:b/>
          <w:bCs w:val="0"/>
          <w:color w:val="000000" w:themeColor="text1"/>
          <w:sz w:val="30"/>
          <w14:textFill>
            <w14:solidFill>
              <w14:schemeClr w14:val="tx1"/>
            </w14:solidFill>
          </w14:textFill>
        </w:rPr>
      </w:pPr>
      <w:r>
        <w:rPr>
          <w:rFonts w:hint="eastAsia"/>
          <w:b/>
          <w:bCs w:val="0"/>
          <w:color w:val="000000" w:themeColor="text1"/>
          <w:sz w:val="30"/>
          <w14:textFill>
            <w14:solidFill>
              <w14:schemeClr w14:val="tx1"/>
            </w14:solidFill>
          </w14:textFill>
        </w:rPr>
        <w:t>项目名称：广州市净水有限公司在线监测系统自动标样核查模块采购项目</w:t>
      </w:r>
    </w:p>
    <w:p>
      <w:pPr>
        <w:rPr>
          <w:rFonts w:hint="eastAsia"/>
          <w:b/>
          <w:bCs w:val="0"/>
          <w:color w:val="000000" w:themeColor="text1"/>
          <w:sz w:val="30"/>
          <w:lang w:val="en-US" w:eastAsia="zh-CN"/>
          <w14:textFill>
            <w14:solidFill>
              <w14:schemeClr w14:val="tx1"/>
            </w14:solidFill>
          </w14:textFill>
        </w:rPr>
      </w:pPr>
    </w:p>
    <w:p>
      <w:pPr>
        <w:rPr>
          <w:rFonts w:hint="eastAsia"/>
          <w:b/>
          <w:bCs w:val="0"/>
          <w:color w:val="000000" w:themeColor="text1"/>
          <w:sz w:val="30"/>
          <w:lang w:val="en-US" w:eastAsia="zh-CN"/>
          <w14:textFill>
            <w14:solidFill>
              <w14:schemeClr w14:val="tx1"/>
            </w14:solidFill>
          </w14:textFill>
        </w:rPr>
      </w:pPr>
      <w:r>
        <w:rPr>
          <w:rFonts w:hint="eastAsia"/>
          <w:b/>
          <w:bCs w:val="0"/>
          <w:color w:val="000000" w:themeColor="text1"/>
          <w:sz w:val="30"/>
          <w:lang w:val="en-US" w:eastAsia="zh-CN"/>
          <w14:textFill>
            <w14:solidFill>
              <w14:schemeClr w14:val="tx1"/>
            </w14:solidFill>
          </w14:textFill>
        </w:rPr>
        <w:t>项目编号：</w:t>
      </w:r>
    </w:p>
    <w:p>
      <w:pPr>
        <w:rPr>
          <w:rFonts w:hint="eastAsia"/>
          <w:b/>
          <w:bCs w:val="0"/>
          <w:color w:val="000000" w:themeColor="text1"/>
          <w:sz w:val="30"/>
          <w:lang w:val="en-US" w:eastAsia="zh-CN"/>
          <w14:textFill>
            <w14:solidFill>
              <w14:schemeClr w14:val="tx1"/>
            </w14:solidFill>
          </w14:textFill>
        </w:rPr>
      </w:pPr>
    </w:p>
    <w:p>
      <w:pPr>
        <w:rPr>
          <w:b/>
          <w:bCs w:val="0"/>
          <w:color w:val="000000" w:themeColor="text1"/>
          <w:sz w:val="30"/>
          <w:szCs w:val="30"/>
          <w14:textFill>
            <w14:solidFill>
              <w14:schemeClr w14:val="tx1"/>
            </w14:solidFill>
          </w14:textFill>
        </w:rPr>
      </w:pPr>
      <w:r>
        <w:rPr>
          <w:rFonts w:hint="eastAsia"/>
          <w:b/>
          <w:bCs w:val="0"/>
          <w:color w:val="000000" w:themeColor="text1"/>
          <w:sz w:val="30"/>
          <w14:textFill>
            <w14:solidFill>
              <w14:schemeClr w14:val="tx1"/>
            </w14:solidFill>
          </w14:textFill>
        </w:rPr>
        <w:t>合同编号：</w:t>
      </w:r>
      <w:r>
        <w:rPr>
          <w:rFonts w:hint="eastAsia" w:ascii="宋体" w:hAnsi="宋体" w:cs="宋体"/>
          <w:b/>
          <w:bCs w:val="0"/>
          <w:color w:val="000000" w:themeColor="text1"/>
          <w:sz w:val="30"/>
          <w:szCs w:val="30"/>
          <w14:textFill>
            <w14:solidFill>
              <w14:schemeClr w14:val="tx1"/>
            </w14:solidFill>
          </w14:textFill>
        </w:rPr>
        <w:t>穗净水合</w:t>
      </w:r>
      <w:r>
        <w:rPr>
          <w:rFonts w:ascii="宋体" w:hAnsi="宋体" w:cs="宋体"/>
          <w:b/>
          <w:bCs w:val="0"/>
          <w:color w:val="000000" w:themeColor="text1"/>
          <w:sz w:val="30"/>
          <w:szCs w:val="30"/>
          <w14:textFill>
            <w14:solidFill>
              <w14:schemeClr w14:val="tx1"/>
            </w14:solidFill>
          </w14:textFill>
        </w:rPr>
        <w:t xml:space="preserve">[     ]    </w:t>
      </w:r>
      <w:r>
        <w:rPr>
          <w:rFonts w:hint="eastAsia" w:ascii="宋体" w:hAnsi="宋体" w:cs="宋体"/>
          <w:b/>
          <w:bCs w:val="0"/>
          <w:color w:val="000000" w:themeColor="text1"/>
          <w:sz w:val="30"/>
          <w:szCs w:val="30"/>
          <w14:textFill>
            <w14:solidFill>
              <w14:schemeClr w14:val="tx1"/>
            </w14:solidFill>
          </w14:textFill>
        </w:rPr>
        <w:t>号</w:t>
      </w:r>
    </w:p>
    <w:p>
      <w:pPr>
        <w:rPr>
          <w:b/>
          <w:bCs w:val="0"/>
          <w:color w:val="000000" w:themeColor="text1"/>
          <w:sz w:val="30"/>
          <w:szCs w:val="30"/>
          <w14:textFill>
            <w14:solidFill>
              <w14:schemeClr w14:val="tx1"/>
            </w14:solidFill>
          </w14:textFill>
        </w:rPr>
      </w:pPr>
    </w:p>
    <w:p>
      <w:pPr>
        <w:rPr>
          <w:b/>
          <w:bCs w:val="0"/>
          <w:color w:val="000000" w:themeColor="text1"/>
          <w:sz w:val="30"/>
          <w:u w:val="single"/>
          <w14:textFill>
            <w14:solidFill>
              <w14:schemeClr w14:val="tx1"/>
            </w14:solidFill>
          </w14:textFill>
        </w:rPr>
      </w:pPr>
      <w:r>
        <w:rPr>
          <w:rFonts w:hint="eastAsia"/>
          <w:b/>
          <w:bCs w:val="0"/>
          <w:color w:val="000000" w:themeColor="text1"/>
          <w:sz w:val="30"/>
          <w14:textFill>
            <w14:solidFill>
              <w14:schemeClr w14:val="tx1"/>
            </w14:solidFill>
          </w14:textFill>
        </w:rPr>
        <w:t>甲方（买方）：</w:t>
      </w:r>
      <w:r>
        <w:rPr>
          <w:rFonts w:hint="eastAsia"/>
          <w:b/>
          <w:bCs w:val="0"/>
          <w:color w:val="000000" w:themeColor="text1"/>
          <w:sz w:val="30"/>
          <w:u w:val="none"/>
          <w14:textFill>
            <w14:solidFill>
              <w14:schemeClr w14:val="tx1"/>
            </w14:solidFill>
          </w14:textFill>
        </w:rPr>
        <w:t>广州市净水有限公司</w:t>
      </w:r>
    </w:p>
    <w:p>
      <w:pPr>
        <w:rPr>
          <w:rFonts w:hint="eastAsia"/>
          <w:b/>
          <w:bCs w:val="0"/>
          <w:color w:val="000000" w:themeColor="text1"/>
          <w:sz w:val="30"/>
          <w14:textFill>
            <w14:solidFill>
              <w14:schemeClr w14:val="tx1"/>
            </w14:solidFill>
          </w14:textFill>
        </w:rPr>
      </w:pPr>
    </w:p>
    <w:p>
      <w:pPr>
        <w:rPr>
          <w:b/>
          <w:bCs w:val="0"/>
          <w:color w:val="000000" w:themeColor="text1"/>
          <w:sz w:val="30"/>
          <w:u w:val="single"/>
          <w14:textFill>
            <w14:solidFill>
              <w14:schemeClr w14:val="tx1"/>
            </w14:solidFill>
          </w14:textFill>
        </w:rPr>
      </w:pPr>
      <w:r>
        <w:rPr>
          <w:rFonts w:hint="eastAsia"/>
          <w:b/>
          <w:bCs w:val="0"/>
          <w:color w:val="000000" w:themeColor="text1"/>
          <w:sz w:val="30"/>
          <w14:textFill>
            <w14:solidFill>
              <w14:schemeClr w14:val="tx1"/>
            </w14:solidFill>
          </w14:textFill>
        </w:rPr>
        <w:t>乙方（卖方）：</w:t>
      </w:r>
      <w:r>
        <w:rPr>
          <w:rFonts w:hint="eastAsia"/>
          <w:b/>
          <w:bCs w:val="0"/>
          <w:color w:val="000000" w:themeColor="text1"/>
          <w:sz w:val="30"/>
          <w:u w:val="none"/>
          <w14:textFill>
            <w14:solidFill>
              <w14:schemeClr w14:val="tx1"/>
            </w14:solidFill>
          </w14:textFill>
        </w:rPr>
        <w:t xml:space="preserve">       </w:t>
      </w:r>
      <w:r>
        <w:rPr>
          <w:b/>
          <w:bCs w:val="0"/>
          <w:color w:val="000000" w:themeColor="text1"/>
          <w:sz w:val="30"/>
          <w:u w:val="none"/>
          <w14:textFill>
            <w14:solidFill>
              <w14:schemeClr w14:val="tx1"/>
            </w14:solidFill>
          </w14:textFill>
        </w:rPr>
        <w:t xml:space="preserve">           </w:t>
      </w:r>
    </w:p>
    <w:p>
      <w:pPr>
        <w:pStyle w:val="2"/>
        <w:rPr>
          <w:rFonts w:hint="eastAsia"/>
          <w:b/>
          <w:bCs w:val="0"/>
          <w:color w:val="000000" w:themeColor="text1"/>
          <w14:textFill>
            <w14:solidFill>
              <w14:schemeClr w14:val="tx1"/>
            </w14:solidFill>
          </w14:textFill>
        </w:rPr>
      </w:pPr>
    </w:p>
    <w:p>
      <w:pPr>
        <w:spacing w:line="500" w:lineRule="exact"/>
        <w:jc w:val="both"/>
        <w:rPr>
          <w:rFonts w:hint="eastAsia"/>
          <w:b/>
          <w:bCs w:val="0"/>
          <w:color w:val="000000" w:themeColor="text1"/>
          <w:sz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 xml:space="preserve">签订日期：    年   月   日   </w:t>
      </w:r>
    </w:p>
    <w:p>
      <w:pPr>
        <w:spacing w:line="500" w:lineRule="exact"/>
        <w:jc w:val="left"/>
        <w:rPr>
          <w:rFonts w:hint="eastAsia"/>
          <w:b/>
          <w:bCs w:val="0"/>
          <w:color w:val="000000" w:themeColor="text1"/>
          <w:sz w:val="30"/>
          <w14:textFill>
            <w14:solidFill>
              <w14:schemeClr w14:val="tx1"/>
            </w14:solidFill>
          </w14:textFill>
        </w:rPr>
      </w:pPr>
    </w:p>
    <w:p>
      <w:pPr>
        <w:spacing w:line="500" w:lineRule="exact"/>
        <w:jc w:val="left"/>
        <w:rPr>
          <w:rFonts w:hint="eastAsia" w:ascii="宋体" w:hAnsi="宋体" w:cs="宋体"/>
          <w:b/>
          <w:bCs w:val="0"/>
          <w:color w:val="000000" w:themeColor="text1"/>
          <w:sz w:val="24"/>
          <w:szCs w:val="24"/>
          <w14:textFill>
            <w14:solidFill>
              <w14:schemeClr w14:val="tx1"/>
            </w14:solidFill>
          </w14:textFill>
        </w:rPr>
      </w:pPr>
      <w:r>
        <w:rPr>
          <w:rFonts w:hint="eastAsia"/>
          <w:b/>
          <w:bCs w:val="0"/>
          <w:color w:val="000000" w:themeColor="text1"/>
          <w:sz w:val="30"/>
          <w14:textFill>
            <w14:solidFill>
              <w14:schemeClr w14:val="tx1"/>
            </w14:solidFill>
          </w14:textFill>
        </w:rPr>
        <w:t>签约地点：广州市</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pPr>
        <w:pStyle w:val="7"/>
        <w:rPr>
          <w:rFonts w:hint="eastAsia" w:ascii="宋体" w:hAnsi="宋体" w:eastAsia="宋体" w:cs="宋体"/>
          <w:color w:val="000000" w:themeColor="text1"/>
          <w:sz w:val="24"/>
          <w:szCs w:val="24"/>
          <w14:textFill>
            <w14:solidFill>
              <w14:schemeClr w14:val="tx1"/>
            </w14:solidFill>
          </w14:textFill>
        </w:rPr>
      </w:pPr>
    </w:p>
    <w:p>
      <w:pPr>
        <w:pStyle w:val="7"/>
        <w:rPr>
          <w:rFonts w:hint="eastAsia" w:ascii="宋体" w:hAnsi="宋体" w:eastAsia="宋体" w:cs="宋体"/>
          <w:color w:val="000000" w:themeColor="text1"/>
          <w:sz w:val="24"/>
          <w:szCs w:val="24"/>
          <w14:textFill>
            <w14:solidFill>
              <w14:schemeClr w14:val="tx1"/>
            </w14:solidFill>
          </w14:textFill>
        </w:rPr>
      </w:pPr>
    </w:p>
    <w:p>
      <w:pPr>
        <w:pStyle w:val="7"/>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sectPr>
          <w:headerReference r:id="rId6" w:type="default"/>
          <w:footerReference r:id="rId7" w:type="default"/>
          <w:pgSz w:w="11906" w:h="16838"/>
          <w:pgMar w:top="1134" w:right="1417" w:bottom="1134" w:left="1417" w:header="851" w:footer="992" w:gutter="0"/>
          <w:pgNumType w:fmt="decimal" w:start="1"/>
          <w:cols w:space="425" w:num="1"/>
          <w:docGrid w:type="lines" w:linePitch="312" w:charSpace="0"/>
        </w:sectPr>
      </w:pP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根据《中华人民共和国</w:t>
      </w:r>
      <w:r>
        <w:rPr>
          <w:rFonts w:hint="eastAsia" w:ascii="宋体" w:hAnsi="宋体" w:eastAsia="宋体" w:cs="宋体"/>
          <w:color w:val="000000" w:themeColor="text1"/>
          <w:sz w:val="24"/>
          <w:szCs w:val="24"/>
          <w:lang w:val="en-US" w:eastAsia="zh-CN"/>
          <w14:textFill>
            <w14:solidFill>
              <w14:schemeClr w14:val="tx1"/>
            </w14:solidFill>
          </w14:textFill>
        </w:rPr>
        <w:t>民法典</w:t>
      </w:r>
      <w:r>
        <w:rPr>
          <w:rFonts w:hint="eastAsia" w:ascii="宋体" w:hAnsi="宋体" w:eastAsia="宋体" w:cs="宋体"/>
          <w:color w:val="000000" w:themeColor="text1"/>
          <w:sz w:val="24"/>
          <w:szCs w:val="24"/>
          <w14:textFill>
            <w14:solidFill>
              <w14:schemeClr w14:val="tx1"/>
            </w14:solidFill>
          </w14:textFill>
        </w:rPr>
        <w:t>》及其他有关法律、行政法规，</w:t>
      </w:r>
      <w:r>
        <w:rPr>
          <w:rFonts w:hint="eastAsia" w:ascii="宋体" w:hAnsi="宋体" w:eastAsia="宋体" w:cs="宋体"/>
          <w:color w:val="000000" w:themeColor="text1"/>
          <w:sz w:val="24"/>
          <w:szCs w:val="24"/>
          <w:u w:val="single"/>
          <w14:textFill>
            <w14:solidFill>
              <w14:schemeClr w14:val="tx1"/>
            </w14:solidFill>
          </w14:textFill>
        </w:rPr>
        <w:t>广州市净水有限公司</w:t>
      </w:r>
      <w:r>
        <w:rPr>
          <w:rFonts w:hint="eastAsia" w:ascii="宋体" w:hAnsi="宋体" w:eastAsia="宋体" w:cs="宋体"/>
          <w:color w:val="000000" w:themeColor="text1"/>
          <w:sz w:val="24"/>
          <w:szCs w:val="24"/>
          <w14:textFill>
            <w14:solidFill>
              <w14:schemeClr w14:val="tx1"/>
            </w14:solidFill>
          </w14:textFill>
        </w:rPr>
        <w:t xml:space="preserve"> （以下简称“甲方”）与</w:t>
      </w:r>
      <w:r>
        <w:rPr>
          <w:rFonts w:hint="eastAsia" w:ascii="宋体" w:hAnsi="宋体" w:cs="宋体"/>
          <w:sz w:val="24"/>
          <w:szCs w:val="24"/>
          <w:u w:val="single"/>
          <w:lang w:val="en-US" w:eastAsia="zh-CN"/>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（以下简称“乙方”）就</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广州市净水有限公司在线监测系统自动标样核查模块采购项目</w:t>
      </w:r>
      <w:r>
        <w:rPr>
          <w:rFonts w:hint="eastAsia" w:ascii="宋体" w:hAnsi="宋体" w:eastAsia="宋体" w:cs="宋体"/>
          <w:color w:val="000000" w:themeColor="text1"/>
          <w:sz w:val="24"/>
          <w:szCs w:val="24"/>
          <w:u w:val="none"/>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和相应技术服务事宜，遵循平等、自愿、公平和诚实信用的原则，双方协商一致，订立本合同。</w:t>
      </w:r>
    </w:p>
    <w:p>
      <w:pPr>
        <w:keepNext w:val="0"/>
        <w:keepLines w:val="0"/>
        <w:pageBreakBefore w:val="0"/>
        <w:kinsoku/>
        <w:wordWrap/>
        <w:overflowPunct/>
        <w:topLinePunct w:val="0"/>
        <w:bidi w:val="0"/>
        <w:snapToGrid/>
        <w:spacing w:line="360" w:lineRule="auto"/>
        <w:ind w:firstLine="54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第一条 组成合同的文件及优先顺序</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下列文件（如有）均为本合同的组成部分，可视为能相互说明和补充的，如果合同文件存在歧义或相矛盾的地方，则根据以下次序判断：</w:t>
      </w:r>
    </w:p>
    <w:p>
      <w:pPr>
        <w:keepNext w:val="0"/>
        <w:keepLines w:val="0"/>
        <w:pageBreakBefore w:val="0"/>
        <w:kinsoku/>
        <w:wordWrap/>
        <w:overflowPunct/>
        <w:topLinePunct w:val="0"/>
        <w:bidi w:val="0"/>
        <w:snapToGrid/>
        <w:spacing w:line="360" w:lineRule="auto"/>
        <w:ind w:firstLine="482"/>
        <w:textAlignment w:val="auto"/>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 xml:space="preserve">⑴ </w:t>
      </w:r>
      <w:r>
        <w:rPr>
          <w:rFonts w:hint="eastAsia" w:asciiTheme="minorEastAsia" w:hAnsiTheme="minorEastAsia" w:eastAsiaTheme="minorEastAsia" w:cstheme="minorEastAsia"/>
          <w:color w:val="000000" w:themeColor="text1"/>
          <w:sz w:val="24"/>
          <w:szCs w:val="24"/>
          <w14:textFill>
            <w14:solidFill>
              <w14:schemeClr w14:val="tx1"/>
            </w14:solidFill>
          </w14:textFill>
        </w:rPr>
        <w:t>在本合同实施过程双方签署的补充与修正文件</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w:t>
      </w:r>
    </w:p>
    <w:p>
      <w:pPr>
        <w:keepNext w:val="0"/>
        <w:keepLines w:val="0"/>
        <w:pageBreakBefore w:val="0"/>
        <w:kinsoku/>
        <w:wordWrap/>
        <w:overflowPunct/>
        <w:topLinePunct w:val="0"/>
        <w:bidi w:val="0"/>
        <w:snapToGrid/>
        <w:spacing w:line="360" w:lineRule="auto"/>
        <w:ind w:firstLine="482"/>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⑵ 本合同书</w:t>
      </w: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及附件</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bidi w:val="0"/>
        <w:snapToGrid/>
        <w:spacing w:line="360" w:lineRule="auto"/>
        <w:ind w:firstLine="482"/>
        <w:textAlignment w:val="auto"/>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 xml:space="preserve">⑶ </w:t>
      </w: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成交通知书</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w:t>
      </w:r>
    </w:p>
    <w:p>
      <w:pPr>
        <w:keepNext w:val="0"/>
        <w:keepLines w:val="0"/>
        <w:pageBreakBefore w:val="0"/>
        <w:kinsoku/>
        <w:wordWrap/>
        <w:overflowPunct/>
        <w:topLinePunct w:val="0"/>
        <w:bidi w:val="0"/>
        <w:snapToGrid/>
        <w:spacing w:line="360" w:lineRule="auto"/>
        <w:ind w:firstLine="482"/>
        <w:textAlignment w:val="auto"/>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⑷ 询价文件；</w:t>
      </w:r>
    </w:p>
    <w:p>
      <w:pPr>
        <w:keepNext w:val="0"/>
        <w:keepLines w:val="0"/>
        <w:pageBreakBefore w:val="0"/>
        <w:kinsoku/>
        <w:wordWrap/>
        <w:overflowPunct/>
        <w:topLinePunct w:val="0"/>
        <w:bidi w:val="0"/>
        <w:snapToGrid/>
        <w:spacing w:line="360" w:lineRule="auto"/>
        <w:ind w:firstLine="482"/>
        <w:textAlignment w:val="auto"/>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⑸ 响应文件；</w:t>
      </w:r>
    </w:p>
    <w:p>
      <w:pPr>
        <w:keepNext w:val="0"/>
        <w:keepLines w:val="0"/>
        <w:pageBreakBefore w:val="0"/>
        <w:kinsoku/>
        <w:wordWrap/>
        <w:overflowPunct/>
        <w:topLinePunct w:val="0"/>
        <w:bidi w:val="0"/>
        <w:snapToGrid/>
        <w:spacing w:line="360" w:lineRule="auto"/>
        <w:ind w:firstLine="482"/>
        <w:textAlignment w:val="auto"/>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⑹ 标准、规范及有关技术性文件；</w:t>
      </w:r>
    </w:p>
    <w:p>
      <w:pPr>
        <w:keepNext w:val="0"/>
        <w:keepLines w:val="0"/>
        <w:pageBreakBefore w:val="0"/>
        <w:kinsoku/>
        <w:wordWrap/>
        <w:overflowPunct/>
        <w:topLinePunct w:val="0"/>
        <w:bidi w:val="0"/>
        <w:snapToGrid/>
        <w:spacing w:line="360" w:lineRule="auto"/>
        <w:ind w:firstLine="482"/>
        <w:textAlignment w:val="auto"/>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⑺ 图纸；</w:t>
      </w:r>
    </w:p>
    <w:p>
      <w:pPr>
        <w:keepNext w:val="0"/>
        <w:keepLines w:val="0"/>
        <w:pageBreakBefore w:val="0"/>
        <w:kinsoku/>
        <w:wordWrap/>
        <w:overflowPunct/>
        <w:topLinePunct w:val="0"/>
        <w:bidi w:val="0"/>
        <w:snapToGrid/>
        <w:spacing w:line="360" w:lineRule="auto"/>
        <w:ind w:firstLine="482"/>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⑻ 工程量清单/</w:t>
      </w:r>
      <w:r>
        <w:rPr>
          <w:rFonts w:hint="eastAsia" w:ascii="宋体" w:hAnsi="宋体" w:eastAsia="宋体" w:cs="宋体"/>
          <w:color w:val="000000" w:themeColor="text1"/>
          <w:sz w:val="24"/>
          <w:szCs w:val="24"/>
          <w14:textFill>
            <w14:solidFill>
              <w14:schemeClr w14:val="tx1"/>
            </w14:solidFill>
          </w14:textFill>
        </w:rPr>
        <w:t>工程报价单或预算书；</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 xml:space="preserve"> 第二条 </w:t>
      </w:r>
      <w:r>
        <w:rPr>
          <w:rFonts w:hint="eastAsia" w:ascii="宋体" w:hAnsi="宋体" w:eastAsia="宋体" w:cs="宋体"/>
          <w:b/>
          <w:color w:val="000000" w:themeColor="text1"/>
          <w:sz w:val="24"/>
          <w:szCs w:val="24"/>
          <w14:textFill>
            <w14:solidFill>
              <w14:schemeClr w14:val="tx1"/>
            </w14:solidFill>
          </w14:textFill>
        </w:rPr>
        <w:t>合同标的</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本合同所指</w:t>
      </w:r>
      <w:r>
        <w:rPr>
          <w:rFonts w:hint="eastAsia" w:ascii="宋体" w:hAnsi="宋体" w:eastAsia="宋体" w:cs="宋体"/>
          <w:color w:val="000000" w:themeColor="text1"/>
          <w:kern w:val="0"/>
          <w:sz w:val="24"/>
          <w:szCs w:val="24"/>
          <w:lang w:val="en-US" w:eastAsia="zh-CN"/>
          <w14:textFill>
            <w14:solidFill>
              <w14:schemeClr w14:val="tx1"/>
            </w14:solidFill>
          </w14:textFill>
        </w:rPr>
        <w:t>货物</w:t>
      </w:r>
      <w:r>
        <w:rPr>
          <w:rFonts w:hint="eastAsia" w:ascii="宋体" w:hAnsi="宋体" w:eastAsia="宋体" w:cs="宋体"/>
          <w:color w:val="000000" w:themeColor="text1"/>
          <w:kern w:val="0"/>
          <w:sz w:val="24"/>
          <w:szCs w:val="24"/>
          <w:lang w:val="zh-CN"/>
          <w14:textFill>
            <w14:solidFill>
              <w14:schemeClr w14:val="tx1"/>
            </w14:solidFill>
          </w14:textFill>
        </w:rPr>
        <w:t>为</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4"/>
          <w:u w:val="single"/>
          <w:lang w:val="en-US" w:eastAsia="zh-CN"/>
          <w14:textFill>
            <w14:solidFill>
              <w14:schemeClr w14:val="tx1"/>
            </w14:solidFill>
          </w14:textFill>
        </w:rPr>
        <w:t xml:space="preserve">在线监测系统自动标样核查模块 </w:t>
      </w:r>
      <w:r>
        <w:rPr>
          <w:rFonts w:hint="eastAsia" w:ascii="宋体" w:hAnsi="宋体" w:eastAsia="宋体" w:cs="宋体"/>
          <w:color w:val="000000" w:themeColor="text1"/>
          <w:kern w:val="0"/>
          <w:sz w:val="24"/>
          <w:szCs w:val="24"/>
          <w:lang w:val="zh-CN"/>
          <w14:textFill>
            <w14:solidFill>
              <w14:schemeClr w14:val="tx1"/>
            </w14:solidFill>
          </w14:textFill>
        </w:rPr>
        <w:t>全新的原装产品，</w:t>
      </w:r>
      <w:r>
        <w:rPr>
          <w:rFonts w:hint="eastAsia" w:ascii="宋体" w:hAnsi="宋体" w:eastAsia="宋体" w:cs="宋体"/>
          <w:color w:val="000000" w:themeColor="text1"/>
          <w:kern w:val="0"/>
          <w:sz w:val="24"/>
          <w:szCs w:val="24"/>
          <w14:textFill>
            <w14:solidFill>
              <w14:schemeClr w14:val="tx1"/>
            </w14:solidFill>
          </w14:textFill>
        </w:rPr>
        <w:t>其</w:t>
      </w:r>
      <w:r>
        <w:rPr>
          <w:rFonts w:hint="eastAsia" w:ascii="宋体" w:hAnsi="宋体" w:eastAsia="宋体" w:cs="宋体"/>
          <w:color w:val="000000" w:themeColor="text1"/>
          <w:kern w:val="0"/>
          <w:sz w:val="24"/>
          <w:szCs w:val="24"/>
          <w:lang w:val="zh-CN"/>
          <w14:textFill>
            <w14:solidFill>
              <w14:schemeClr w14:val="tx1"/>
            </w14:solidFill>
          </w14:textFill>
        </w:rPr>
        <w:t>名称、型号、规格、数量、</w:t>
      </w:r>
      <w:r>
        <w:rPr>
          <w:rFonts w:hint="eastAsia" w:ascii="宋体" w:hAnsi="宋体" w:eastAsia="宋体" w:cs="宋体"/>
          <w:color w:val="000000" w:themeColor="text1"/>
          <w:kern w:val="0"/>
          <w:sz w:val="24"/>
          <w:szCs w:val="24"/>
          <w:lang w:val="en-US" w:eastAsia="zh-CN"/>
          <w14:textFill>
            <w14:solidFill>
              <w14:schemeClr w14:val="tx1"/>
            </w14:solidFill>
          </w14:textFill>
        </w:rPr>
        <w:t>品牌</w:t>
      </w:r>
      <w:r>
        <w:rPr>
          <w:rFonts w:hint="eastAsia" w:ascii="宋体" w:hAnsi="宋体" w:eastAsia="宋体" w:cs="宋体"/>
          <w:color w:val="000000" w:themeColor="text1"/>
          <w:kern w:val="0"/>
          <w:sz w:val="24"/>
          <w:szCs w:val="24"/>
          <w:lang w:val="zh-CN"/>
          <w14:textFill>
            <w14:solidFill>
              <w14:schemeClr w14:val="tx1"/>
            </w14:solidFill>
          </w14:textFill>
        </w:rPr>
        <w:t>详见</w:t>
      </w:r>
      <w:r>
        <w:rPr>
          <w:rFonts w:hint="eastAsia" w:ascii="宋体" w:hAnsi="宋体" w:eastAsia="宋体" w:cs="宋体"/>
          <w:color w:val="000000" w:themeColor="text1"/>
          <w:kern w:val="0"/>
          <w:sz w:val="24"/>
          <w:szCs w:val="24"/>
          <w:lang w:val="en-US" w:eastAsia="zh-CN"/>
          <w14:textFill>
            <w14:solidFill>
              <w14:schemeClr w14:val="tx1"/>
            </w14:solidFill>
          </w14:textFill>
        </w:rPr>
        <w:t>附件报价清单。</w:t>
      </w:r>
    </w:p>
    <w:p>
      <w:pPr>
        <w:keepNext w:val="0"/>
        <w:keepLines w:val="0"/>
        <w:pageBreakBefore w:val="0"/>
        <w:kinsoku/>
        <w:wordWrap/>
        <w:overflowPunct/>
        <w:topLinePunct w:val="0"/>
        <w:bidi w:val="0"/>
        <w:snapToGrid/>
        <w:spacing w:after="12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第三条 交货日期及地点</w:t>
      </w:r>
    </w:p>
    <w:p>
      <w:pPr>
        <w:keepNext w:val="0"/>
        <w:keepLines w:val="0"/>
        <w:pageBreakBefore w:val="0"/>
        <w:widowControl/>
        <w:kinsoku/>
        <w:wordWrap/>
        <w:overflowPunct/>
        <w:topLinePunct w:val="0"/>
        <w:autoSpaceDE/>
        <w:autoSpaceDN/>
        <w:bidi w:val="0"/>
        <w:adjustRightInd/>
        <w:snapToGrid/>
        <w:spacing w:after="120" w:afterLines="50" w:line="240" w:lineRule="auto"/>
        <w:ind w:firstLine="480" w:firstLineChars="200"/>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w:t>
      </w:r>
      <w:r>
        <w:rPr>
          <w:rFonts w:hint="eastAsia" w:ascii="宋体" w:hAnsi="宋体" w:eastAsia="宋体" w:cs="宋体"/>
          <w:color w:val="000000" w:themeColor="text1"/>
          <w:sz w:val="24"/>
          <w:szCs w:val="24"/>
          <w:lang w:val="en-US" w:eastAsia="zh-CN"/>
          <w14:textFill>
            <w14:solidFill>
              <w14:schemeClr w14:val="tx1"/>
            </w14:solidFill>
          </w14:textFill>
        </w:rPr>
        <w:t>交货日期：</w:t>
      </w:r>
      <w:r>
        <w:rPr>
          <w:rFonts w:hint="eastAsia" w:ascii="宋体" w:hAnsi="宋体" w:cs="宋体"/>
          <w:color w:val="000000" w:themeColor="text1"/>
          <w:sz w:val="24"/>
          <w:szCs w:val="24"/>
          <w:u w:val="single"/>
          <w:lang w:val="en-US" w:eastAsia="zh-CN"/>
          <w14:textFill>
            <w14:solidFill>
              <w14:schemeClr w14:val="tx1"/>
            </w14:solidFill>
          </w14:textFill>
        </w:rPr>
        <w:t>自合同签订之日起45天内完成供货。</w:t>
      </w:r>
    </w:p>
    <w:p>
      <w:pPr>
        <w:keepNext w:val="0"/>
        <w:keepLines w:val="0"/>
        <w:pageBreakBefore w:val="0"/>
        <w:kinsoku/>
        <w:wordWrap/>
        <w:overflowPunct/>
        <w:topLinePunct w:val="0"/>
        <w:bidi w:val="0"/>
        <w:snapToGrid/>
        <w:spacing w:after="0" w:line="360" w:lineRule="auto"/>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3.2交货地点：</w:t>
      </w:r>
      <w:r>
        <w:rPr>
          <w:rFonts w:hint="eastAsia" w:ascii="宋体" w:hAnsi="宋体" w:eastAsia="宋体" w:cs="宋体"/>
          <w:bCs/>
          <w:color w:val="000000" w:themeColor="text1"/>
          <w:sz w:val="24"/>
          <w:szCs w:val="24"/>
          <w:u w:val="single"/>
          <w14:textFill>
            <w14:solidFill>
              <w14:schemeClr w14:val="tx1"/>
            </w14:solidFill>
          </w14:textFill>
        </w:rPr>
        <w:t>广州市净水有限公司下属分公司</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u w:val="none"/>
          <w:lang w:val="en-US"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最终具体交货地点以甲方通知为准。</w:t>
      </w:r>
    </w:p>
    <w:p>
      <w:pPr>
        <w:keepNext w:val="0"/>
        <w:keepLines w:val="0"/>
        <w:pageBreakBefore w:val="0"/>
        <w:kinsoku/>
        <w:wordWrap/>
        <w:overflowPunct/>
        <w:topLinePunct w:val="0"/>
        <w:bidi w:val="0"/>
        <w:snapToGrid/>
        <w:spacing w:after="120" w:afterLines="50" w:line="360" w:lineRule="auto"/>
        <w:ind w:firstLine="480" w:firstLineChars="200"/>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3.3 其他：</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cs="宋体"/>
          <w:bCs/>
          <w:color w:val="000000" w:themeColor="text1"/>
          <w:sz w:val="24"/>
          <w:szCs w:val="24"/>
          <w:u w:val="single"/>
          <w:lang w:val="en-US" w:eastAsia="zh-CN"/>
          <w14:textFill>
            <w14:solidFill>
              <w14:schemeClr w14:val="tx1"/>
            </w14:solidFill>
          </w14:textFill>
        </w:rPr>
        <w:t>无</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p>
    <w:p>
      <w:pPr>
        <w:keepNext w:val="0"/>
        <w:keepLines w:val="0"/>
        <w:pageBreakBefore w:val="0"/>
        <w:kinsoku/>
        <w:wordWrap/>
        <w:overflowPunct/>
        <w:topLinePunct w:val="0"/>
        <w:bidi w:val="0"/>
        <w:snapToGrid/>
        <w:spacing w:after="0" w:line="360" w:lineRule="auto"/>
        <w:ind w:firstLine="480" w:firstLineChars="200"/>
        <w:textAlignment w:val="auto"/>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第四条 合同价格</w:t>
      </w:r>
    </w:p>
    <w:p>
      <w:pPr>
        <w:keepNext w:val="0"/>
        <w:keepLines w:val="0"/>
        <w:pageBreakBefore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4.1 </w:t>
      </w:r>
      <w:r>
        <w:rPr>
          <w:rFonts w:hint="eastAsia" w:ascii="宋体" w:hAnsi="宋体" w:eastAsia="宋体" w:cs="宋体"/>
          <w:color w:val="000000" w:themeColor="text1"/>
          <w:kern w:val="0"/>
          <w:sz w:val="24"/>
          <w:szCs w:val="24"/>
          <w:lang w:val="zh-CN"/>
          <w14:textFill>
            <w14:solidFill>
              <w14:schemeClr w14:val="tx1"/>
            </w14:solidFill>
          </w14:textFill>
        </w:rPr>
        <w:t>本合同</w:t>
      </w:r>
      <w:r>
        <w:rPr>
          <w:rFonts w:hint="eastAsia" w:ascii="宋体" w:hAnsi="宋体" w:eastAsia="宋体" w:cs="宋体"/>
          <w:color w:val="000000" w:themeColor="text1"/>
          <w:kern w:val="0"/>
          <w:sz w:val="24"/>
          <w:szCs w:val="24"/>
          <w14:textFill>
            <w14:solidFill>
              <w14:schemeClr w14:val="tx1"/>
            </w14:solidFill>
          </w14:textFill>
        </w:rPr>
        <w:t>暂定</w:t>
      </w:r>
      <w:r>
        <w:rPr>
          <w:rFonts w:hint="eastAsia" w:ascii="宋体" w:hAnsi="宋体" w:eastAsia="宋体" w:cs="宋体"/>
          <w:color w:val="000000" w:themeColor="text1"/>
          <w:kern w:val="0"/>
          <w:sz w:val="24"/>
          <w:szCs w:val="24"/>
          <w:lang w:val="zh-CN"/>
          <w14:textFill>
            <w14:solidFill>
              <w14:schemeClr w14:val="tx1"/>
            </w14:solidFill>
          </w14:textFill>
        </w:rPr>
        <w:t>总价为</w:t>
      </w:r>
      <w:r>
        <w:rPr>
          <w:rFonts w:hint="eastAsia" w:ascii="宋体" w:hAnsi="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zh-CN"/>
          <w14:textFill>
            <w14:solidFill>
              <w14:schemeClr w14:val="tx1"/>
            </w14:solidFill>
          </w14:textFill>
        </w:rPr>
        <w:t>万元，（人民币）大写：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4"/>
          <w:u w:val="none"/>
          <w:lang w:val="en-US" w:eastAsia="zh-CN"/>
          <w14:textFill>
            <w14:solidFill>
              <w14:schemeClr w14:val="tx1"/>
            </w14:solidFill>
          </w14:textFill>
        </w:rPr>
        <w:t>元整</w:t>
      </w:r>
      <w:r>
        <w:rPr>
          <w:rFonts w:hint="eastAsia" w:ascii="宋体" w:hAnsi="宋体" w:eastAsia="宋体" w:cs="宋体"/>
          <w:color w:val="000000" w:themeColor="text1"/>
          <w:kern w:val="0"/>
          <w:sz w:val="24"/>
          <w:szCs w:val="24"/>
          <w:lang w:val="zh-CN"/>
          <w14:textFill>
            <w14:solidFill>
              <w14:schemeClr w14:val="tx1"/>
            </w14:solidFill>
          </w14:textFill>
        </w:rPr>
        <w:t xml:space="preserve">。 </w:t>
      </w:r>
    </w:p>
    <w:p>
      <w:pPr>
        <w:keepNext w:val="0"/>
        <w:keepLines w:val="0"/>
        <w:pageBreakBefore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r>
        <w:rPr>
          <w:rFonts w:hint="eastAsia" w:ascii="宋体" w:hAnsi="宋体" w:eastAsia="宋体" w:cs="宋体"/>
          <w:color w:val="000000" w:themeColor="text1"/>
          <w:kern w:val="0"/>
          <w:sz w:val="24"/>
          <w:szCs w:val="24"/>
          <w:lang w:val="zh-CN"/>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lang w:val="zh-CN"/>
          <w14:textFill>
            <w14:solidFill>
              <w14:schemeClr w14:val="tx1"/>
            </w14:solidFill>
          </w14:textFill>
        </w:rPr>
        <w:t>合同单价为综合单价，指货物运到甲方指定地点的交货价，该价格包括但不限于：货物的生产、产品检验（含出厂及到货验收）、运输（含转运）、包装、装卸（含卸车费用）、</w:t>
      </w:r>
      <w:r>
        <w:rPr>
          <w:rFonts w:hint="eastAsia" w:ascii="宋体" w:hAnsi="宋体" w:eastAsia="宋体" w:cs="宋体"/>
          <w:color w:val="000000" w:themeColor="text1"/>
          <w:kern w:val="0"/>
          <w:sz w:val="24"/>
          <w:szCs w:val="24"/>
          <w:highlight w:val="none"/>
          <w:u w:val="single"/>
          <w:lang w:val="zh-CN"/>
          <w14:textFill>
            <w14:solidFill>
              <w14:schemeClr w14:val="tx1"/>
            </w14:solidFill>
          </w14:textFill>
        </w:rPr>
        <w:t>指导安装调试运行</w:t>
      </w:r>
      <w:r>
        <w:rPr>
          <w:rFonts w:hint="eastAsia" w:ascii="宋体" w:hAnsi="宋体" w:eastAsia="宋体" w:cs="宋体"/>
          <w:color w:val="000000" w:themeColor="text1"/>
          <w:kern w:val="0"/>
          <w:sz w:val="24"/>
          <w:szCs w:val="24"/>
          <w:u w:val="none"/>
          <w:lang w:val="zh-CN"/>
          <w14:textFill>
            <w14:solidFill>
              <w14:schemeClr w14:val="tx1"/>
            </w14:solidFill>
          </w14:textFill>
        </w:rPr>
        <w:t>（</w:t>
      </w:r>
      <w:r>
        <w:rPr>
          <w:rFonts w:hint="eastAsia" w:ascii="宋体" w:hAnsi="宋体" w:eastAsia="宋体" w:cs="宋体"/>
          <w:color w:val="000000" w:themeColor="text1"/>
          <w:kern w:val="0"/>
          <w:sz w:val="24"/>
          <w:szCs w:val="24"/>
          <w:lang w:val="zh-CN"/>
          <w14:textFill>
            <w14:solidFill>
              <w14:schemeClr w14:val="tx1"/>
            </w14:solidFill>
          </w14:textFill>
        </w:rPr>
        <w:t>具体按“采购需求”）、</w:t>
      </w:r>
      <w:r>
        <w:rPr>
          <w:rFonts w:hint="eastAsia" w:ascii="宋体" w:hAnsi="宋体" w:cs="宋体"/>
          <w:color w:val="000000" w:themeColor="text1"/>
          <w:kern w:val="0"/>
          <w:sz w:val="24"/>
          <w:szCs w:val="24"/>
          <w:lang w:val="en-US" w:eastAsia="zh-CN"/>
          <w14:textFill>
            <w14:solidFill>
              <w14:schemeClr w14:val="tx1"/>
            </w14:solidFill>
          </w14:textFill>
        </w:rPr>
        <w:t>设备软件升级、</w:t>
      </w:r>
      <w:r>
        <w:rPr>
          <w:rFonts w:hint="eastAsia" w:ascii="宋体" w:hAnsi="宋体" w:eastAsia="宋体" w:cs="宋体"/>
          <w:color w:val="000000" w:themeColor="text1"/>
          <w:kern w:val="0"/>
          <w:sz w:val="24"/>
          <w:szCs w:val="24"/>
          <w:lang w:val="zh-CN"/>
          <w14:textFill>
            <w14:solidFill>
              <w14:schemeClr w14:val="tx1"/>
            </w14:solidFill>
          </w14:textFill>
        </w:rPr>
        <w:t>质量抽检、培训、相关税费、保险费、物货伴随服务（包括安装使用说明书、图纸的提供、质保期服务）等全部费用。</w:t>
      </w:r>
    </w:p>
    <w:p>
      <w:pPr>
        <w:keepNext w:val="0"/>
        <w:keepLines w:val="0"/>
        <w:pageBreakBefore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tabs>
          <w:tab w:val="left" w:pos="851"/>
        </w:tabs>
        <w:kinsoku/>
        <w:wordWrap/>
        <w:overflowPunct/>
        <w:topLinePunct w:val="0"/>
        <w:bidi w:val="0"/>
        <w:adjustRightInd w:val="0"/>
        <w:snapToGrid/>
        <w:spacing w:after="0" w:line="360" w:lineRule="auto"/>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r>
        <w:rPr>
          <w:rFonts w:hint="eastAsia" w:ascii="宋体" w:hAnsi="宋体" w:eastAsia="宋体" w:cs="宋体"/>
          <w:color w:val="000000" w:themeColor="text1"/>
          <w:kern w:val="0"/>
          <w:sz w:val="24"/>
          <w:szCs w:val="24"/>
          <w:lang w:val="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 xml:space="preserve"> 本合同约定的价格为含税价价格</w:t>
      </w:r>
      <w:r>
        <w:rPr>
          <w:rFonts w:hint="eastAsia" w:ascii="宋体" w:hAnsi="宋体" w:eastAsia="宋体" w:cs="宋体"/>
          <w:color w:val="000000" w:themeColor="text1"/>
          <w:sz w:val="24"/>
          <w:szCs w:val="24"/>
          <w14:textFill>
            <w14:solidFill>
              <w14:schemeClr w14:val="tx1"/>
            </w14:solidFill>
          </w14:textFill>
        </w:rPr>
        <w:t>（税率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13</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），合同履行期间国家税率调整或乙方开票的实际税率与前述税率不一致的，不含税价不变，价税合计按实际税率相应调整，以开具发票时间为准。</w:t>
      </w:r>
    </w:p>
    <w:p>
      <w:pPr>
        <w:keepNext w:val="0"/>
        <w:keepLines w:val="0"/>
        <w:pageBreakBefore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第五条 支付方式</w:t>
      </w:r>
    </w:p>
    <w:p>
      <w:pPr>
        <w:keepNext w:val="0"/>
        <w:keepLines w:val="0"/>
        <w:pageBreakBefore w:val="0"/>
        <w:tabs>
          <w:tab w:val="left" w:pos="851"/>
        </w:tabs>
        <w:kinsoku/>
        <w:wordWrap/>
        <w:overflowPunct/>
        <w:topLinePunct w:val="0"/>
        <w:bidi w:val="0"/>
        <w:adjustRightInd w:val="0"/>
        <w:snapToGrid/>
        <w:spacing w:after="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w:t>
      </w:r>
      <w:r>
        <w:rPr>
          <w:rFonts w:hint="eastAsia" w:ascii="宋体" w:hAnsi="宋体" w:eastAsia="宋体" w:cs="宋体"/>
          <w:bCs/>
          <w:color w:val="000000" w:themeColor="text1"/>
          <w:sz w:val="24"/>
          <w:szCs w:val="24"/>
          <w14:textFill>
            <w14:solidFill>
              <w14:schemeClr w14:val="tx1"/>
            </w14:solidFill>
          </w14:textFill>
        </w:rPr>
        <w:t>预付款的支付：</w:t>
      </w: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hint="eastAsia" w:ascii="宋体" w:hAnsi="宋体" w:eastAsia="宋体" w:cs="宋体"/>
          <w:bCs/>
          <w:color w:val="000000" w:themeColor="text1"/>
          <w:sz w:val="24"/>
          <w:szCs w:val="24"/>
          <w:highlight w:val="none"/>
          <w14:textFill>
            <w14:solidFill>
              <w14:schemeClr w14:val="tx1"/>
            </w14:solidFill>
          </w14:textFill>
        </w:rPr>
        <w:t xml:space="preserve">无；   </w:t>
      </w:r>
    </w:p>
    <w:p>
      <w:pPr>
        <w:keepNext w:val="0"/>
        <w:keepLines w:val="0"/>
        <w:pageBreakBefore w:val="0"/>
        <w:tabs>
          <w:tab w:val="left" w:pos="851"/>
        </w:tabs>
        <w:kinsoku/>
        <w:wordWrap/>
        <w:overflowPunct/>
        <w:topLinePunct w:val="0"/>
        <w:bidi w:val="0"/>
        <w:adjustRightInd w:val="0"/>
        <w:snapToGrid/>
        <w:spacing w:after="0" w:line="360" w:lineRule="auto"/>
        <w:ind w:left="478" w:leftChars="228" w:firstLine="0" w:firstLine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 支付方式</w:t>
      </w:r>
    </w:p>
    <w:p>
      <w:pPr>
        <w:keepNext w:val="0"/>
        <w:keepLines w:val="0"/>
        <w:pageBreakBefore w:val="0"/>
        <w:tabs>
          <w:tab w:val="left" w:pos="851"/>
        </w:tabs>
        <w:kinsoku/>
        <w:wordWrap/>
        <w:overflowPunct/>
        <w:topLinePunct w:val="0"/>
        <w:bidi w:val="0"/>
        <w:adjustRightInd w:val="0"/>
        <w:snapToGrid/>
        <w:spacing w:after="0"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乙方</w:t>
      </w:r>
      <w:r>
        <w:rPr>
          <w:rFonts w:hint="eastAsia" w:ascii="宋体" w:hAnsi="宋体" w:eastAsia="宋体" w:cs="宋体"/>
          <w:color w:val="auto"/>
          <w:sz w:val="24"/>
          <w:highlight w:val="none"/>
        </w:rPr>
        <w:t>按甲方要求将</w:t>
      </w:r>
      <w:r>
        <w:rPr>
          <w:rFonts w:hint="eastAsia" w:ascii="宋体" w:hAnsi="宋体" w:cs="宋体"/>
          <w:color w:val="auto"/>
          <w:sz w:val="24"/>
          <w:highlight w:val="none"/>
          <w:lang w:val="en-US" w:eastAsia="zh-CN"/>
        </w:rPr>
        <w:t>全部</w:t>
      </w:r>
      <w:r>
        <w:rPr>
          <w:rFonts w:hint="eastAsia" w:ascii="宋体" w:hAnsi="宋体" w:eastAsia="宋体" w:cs="宋体"/>
          <w:color w:val="auto"/>
          <w:sz w:val="24"/>
          <w:highlight w:val="none"/>
        </w:rPr>
        <w:t>货物送至指定地点</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u w:val="single"/>
        </w:rPr>
        <w:t>开箱</w:t>
      </w:r>
      <w:r>
        <w:rPr>
          <w:rFonts w:hint="eastAsia" w:ascii="宋体" w:hAnsi="宋体" w:eastAsia="宋体" w:cs="宋体"/>
          <w:color w:val="auto"/>
          <w:sz w:val="24"/>
          <w:highlight w:val="none"/>
        </w:rPr>
        <w:t>验收合格</w:t>
      </w:r>
      <w:r>
        <w:rPr>
          <w:rFonts w:hint="eastAsia" w:ascii="宋体" w:hAnsi="宋体" w:cs="宋体"/>
          <w:color w:val="000000" w:themeColor="text1"/>
          <w:sz w:val="24"/>
          <w:szCs w:val="24"/>
          <w:lang w:val="en-US" w:eastAsia="zh-CN"/>
          <w14:textFill>
            <w14:solidFill>
              <w14:schemeClr w14:val="tx1"/>
            </w14:solidFill>
          </w14:textFill>
        </w:rPr>
        <w:t>及完成软件升级服务，实现自动标样核查功能及直接在设备查询 12个月数据功能后</w:t>
      </w:r>
      <w:r>
        <w:rPr>
          <w:rFonts w:hint="eastAsia" w:ascii="宋体" w:hAnsi="宋体" w:cs="宋体"/>
          <w:color w:val="000000" w:themeColor="text1"/>
          <w:sz w:val="24"/>
          <w:szCs w:val="24"/>
          <w:highlight w:val="none"/>
          <w:lang w:val="en-US" w:eastAsia="zh-CN"/>
          <w14:textFill>
            <w14:solidFill>
              <w14:schemeClr w14:val="tx1"/>
            </w14:solidFill>
          </w14:textFill>
        </w:rPr>
        <w:t>(详见附件4)，</w:t>
      </w:r>
      <w:r>
        <w:rPr>
          <w:rFonts w:hint="eastAsia" w:ascii="宋体" w:hAnsi="宋体" w:eastAsia="宋体" w:cs="宋体"/>
          <w:i w:val="0"/>
          <w:iCs w:val="0"/>
          <w:color w:val="000000" w:themeColor="text1"/>
          <w:sz w:val="24"/>
          <w:szCs w:val="24"/>
          <w:u w:val="single"/>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收到等额的增值税专用发票</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经甲方结算审核</w:t>
      </w:r>
      <w:r>
        <w:rPr>
          <w:rFonts w:hint="eastAsia" w:ascii="宋体" w:hAnsi="宋体" w:cs="宋体"/>
          <w:color w:val="000000" w:themeColor="text1"/>
          <w:sz w:val="24"/>
          <w:szCs w:val="24"/>
          <w:lang w:val="en-US" w:eastAsia="zh-CN"/>
          <w14:textFill>
            <w14:solidFill>
              <w14:schemeClr w14:val="tx1"/>
            </w14:solidFill>
          </w14:textFill>
        </w:rPr>
        <w:t>后</w:t>
      </w:r>
      <w:r>
        <w:rPr>
          <w:rFonts w:hint="eastAsia" w:ascii="宋体" w:hAnsi="宋体" w:eastAsia="宋体" w:cs="宋体"/>
          <w:color w:val="000000" w:themeColor="text1"/>
          <w:sz w:val="24"/>
          <w:szCs w:val="24"/>
          <w:u w:val="single"/>
          <w14:textFill>
            <w14:solidFill>
              <w14:schemeClr w14:val="tx1"/>
            </w14:solidFill>
          </w14:textFill>
        </w:rPr>
        <w:t> 15 </w:t>
      </w:r>
      <w:r>
        <w:rPr>
          <w:rFonts w:hint="eastAsia" w:ascii="宋体" w:hAnsi="宋体" w:eastAsia="宋体" w:cs="宋体"/>
          <w:color w:val="000000" w:themeColor="text1"/>
          <w:sz w:val="24"/>
          <w:szCs w:val="24"/>
          <w14:textFill>
            <w14:solidFill>
              <w14:schemeClr w14:val="tx1"/>
            </w14:solidFill>
          </w14:textFill>
        </w:rPr>
        <w:t>个工作日内，支付至合同结算</w:t>
      </w:r>
      <w:r>
        <w:rPr>
          <w:rFonts w:hint="eastAsia" w:ascii="宋体" w:hAnsi="宋体" w:eastAsia="宋体" w:cs="宋体"/>
          <w:color w:val="000000" w:themeColor="text1"/>
          <w:sz w:val="24"/>
          <w:szCs w:val="24"/>
          <w:lang w:val="en-US" w:eastAsia="zh-CN"/>
          <w14:textFill>
            <w14:solidFill>
              <w14:schemeClr w14:val="tx1"/>
            </w14:solidFill>
          </w14:textFill>
        </w:rPr>
        <w:t>审定</w:t>
      </w:r>
      <w:r>
        <w:rPr>
          <w:rFonts w:hint="eastAsia" w:ascii="宋体" w:hAnsi="宋体" w:eastAsia="宋体" w:cs="宋体"/>
          <w:color w:val="000000" w:themeColor="text1"/>
          <w:sz w:val="24"/>
          <w:szCs w:val="24"/>
          <w14:textFill>
            <w14:solidFill>
              <w14:schemeClr w14:val="tx1"/>
            </w14:solidFill>
          </w14:textFill>
        </w:rPr>
        <w:t>价的95%（若</w:t>
      </w:r>
      <w:r>
        <w:rPr>
          <w:rFonts w:hint="eastAsia" w:ascii="宋体" w:hAnsi="宋体" w:eastAsia="宋体" w:cs="宋体"/>
          <w:color w:val="000000" w:themeColor="text1"/>
          <w:sz w:val="24"/>
          <w:szCs w:val="24"/>
          <w:lang w:val="en-US" w:eastAsia="zh-CN"/>
          <w14:textFill>
            <w14:solidFill>
              <w14:schemeClr w14:val="tx1"/>
            </w14:solidFill>
          </w14:textFill>
        </w:rPr>
        <w:t>结算</w:t>
      </w:r>
      <w:r>
        <w:rPr>
          <w:rFonts w:hint="eastAsia" w:ascii="宋体" w:hAnsi="宋体" w:eastAsia="宋体" w:cs="宋体"/>
          <w:color w:val="000000" w:themeColor="text1"/>
          <w:sz w:val="24"/>
          <w:szCs w:val="24"/>
          <w14:textFill>
            <w14:solidFill>
              <w14:schemeClr w14:val="tx1"/>
            </w14:solidFill>
          </w14:textFill>
        </w:rPr>
        <w:t>审核价低于合同暂定总价，则以</w:t>
      </w:r>
      <w:r>
        <w:rPr>
          <w:rFonts w:hint="eastAsia" w:ascii="宋体" w:hAnsi="宋体" w:eastAsia="宋体" w:cs="宋体"/>
          <w:color w:val="000000" w:themeColor="text1"/>
          <w:sz w:val="24"/>
          <w:szCs w:val="24"/>
          <w:lang w:val="en-US" w:eastAsia="zh-CN"/>
          <w14:textFill>
            <w14:solidFill>
              <w14:schemeClr w14:val="tx1"/>
            </w14:solidFill>
          </w14:textFill>
        </w:rPr>
        <w:t>结算</w:t>
      </w:r>
      <w:r>
        <w:rPr>
          <w:rFonts w:hint="eastAsia" w:ascii="宋体" w:hAnsi="宋体" w:eastAsia="宋体" w:cs="宋体"/>
          <w:color w:val="000000" w:themeColor="text1"/>
          <w:sz w:val="24"/>
          <w:szCs w:val="24"/>
          <w14:textFill>
            <w14:solidFill>
              <w14:schemeClr w14:val="tx1"/>
            </w14:solidFill>
          </w14:textFill>
        </w:rPr>
        <w:t>审核价作为合同结算价，否则以合同暂定总价为合同结算价），合同结算价的5%作为质保金留存。</w:t>
      </w:r>
    </w:p>
    <w:p>
      <w:pPr>
        <w:keepNext w:val="0"/>
        <w:keepLines w:val="0"/>
        <w:pageBreakBefore w:val="0"/>
        <w:tabs>
          <w:tab w:val="left" w:pos="851"/>
        </w:tabs>
        <w:kinsoku/>
        <w:wordWrap/>
        <w:overflowPunct/>
        <w:topLinePunct w:val="0"/>
        <w:bidi w:val="0"/>
        <w:adjustRightInd w:val="0"/>
        <w:snapToGrid/>
        <w:spacing w:after="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质保期按合同规定执行，质保期满且乙方不存在违约情形，乙方提交请款资料，甲方审核无误后在</w:t>
      </w:r>
      <w:r>
        <w:rPr>
          <w:rFonts w:hint="eastAsia" w:ascii="宋体" w:hAnsi="宋体" w:eastAsia="宋体" w:cs="宋体"/>
          <w:color w:val="000000" w:themeColor="text1"/>
          <w:sz w:val="24"/>
          <w:szCs w:val="24"/>
          <w:u w:val="single"/>
          <w14:textFill>
            <w14:solidFill>
              <w14:schemeClr w14:val="tx1"/>
            </w14:solidFill>
          </w14:textFill>
        </w:rPr>
        <w:t> 15 </w:t>
      </w:r>
      <w:r>
        <w:rPr>
          <w:rFonts w:hint="eastAsia" w:ascii="宋体" w:hAnsi="宋体" w:eastAsia="宋体" w:cs="宋体"/>
          <w:color w:val="000000" w:themeColor="text1"/>
          <w:sz w:val="24"/>
          <w:szCs w:val="24"/>
          <w14:textFill>
            <w14:solidFill>
              <w14:schemeClr w14:val="tx1"/>
            </w14:solidFill>
          </w14:textFill>
        </w:rPr>
        <w:t>个工作日内支付合同结算价的5％（质保金）给乙方(无息)。</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乙方收款账户：</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cs="宋体"/>
          <w:sz w:val="24"/>
          <w:szCs w:val="24"/>
          <w:u w:val="single"/>
          <w:lang w:val="en-US" w:eastAsia="zh-CN"/>
        </w:rPr>
        <w:t xml:space="preserve">                    </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kinsoku/>
        <w:wordWrap/>
        <w:overflowPunct/>
        <w:topLinePunct w:val="0"/>
        <w:bidi w:val="0"/>
        <w:snapToGrid/>
        <w:spacing w:line="360" w:lineRule="auto"/>
        <w:ind w:firstLine="1200" w:firstLineChars="5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收款账号：</w:t>
      </w:r>
      <w:r>
        <w:rPr>
          <w:rFonts w:hint="eastAsia" w:ascii="宋体" w:hAnsi="宋体" w:cs="宋体"/>
          <w:sz w:val="24"/>
          <w:szCs w:val="24"/>
          <w:u w:val="single"/>
          <w:lang w:val="en-US" w:eastAsia="zh-CN"/>
        </w:rPr>
        <w:t xml:space="preserve">                   </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kinsoku/>
        <w:wordWrap/>
        <w:overflowPunct/>
        <w:topLinePunct w:val="0"/>
        <w:bidi w:val="0"/>
        <w:snapToGrid/>
        <w:spacing w:line="360" w:lineRule="auto"/>
        <w:ind w:firstLine="1200" w:firstLineChars="5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开户行：</w:t>
      </w:r>
      <w:r>
        <w:rPr>
          <w:rFonts w:hint="eastAsia" w:ascii="宋体" w:hAnsi="宋体" w:cs="宋体"/>
          <w:sz w:val="24"/>
          <w:szCs w:val="24"/>
          <w:u w:val="single"/>
          <w:lang w:val="en-US" w:eastAsia="zh-CN"/>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乙方在收款前需向甲方提交等额增值税专用发票，增值税专用发票信息：</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名称：广州市净水有限公司</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税号：</w:t>
      </w:r>
      <w:r>
        <w:rPr>
          <w:rFonts w:hint="eastAsia" w:ascii="宋体" w:hAnsi="宋体" w:eastAsia="宋体" w:cs="宋体"/>
          <w:color w:val="000000" w:themeColor="text1"/>
          <w:sz w:val="24"/>
          <w:szCs w:val="24"/>
          <w:u w:val="single"/>
          <w14:textFill>
            <w14:solidFill>
              <w14:schemeClr w14:val="tx1"/>
            </w14:solidFill>
          </w14:textFill>
        </w:rPr>
        <w:t>91440101755584729Q</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地址及电话：</w:t>
      </w:r>
      <w:r>
        <w:rPr>
          <w:rFonts w:hint="eastAsia" w:ascii="宋体" w:hAnsi="宋体" w:eastAsia="宋体" w:cs="宋体"/>
          <w:color w:val="000000" w:themeColor="text1"/>
          <w:sz w:val="24"/>
          <w:szCs w:val="24"/>
          <w:u w:val="single"/>
          <w14:textFill>
            <w14:solidFill>
              <w14:schemeClr w14:val="tx1"/>
            </w14:solidFill>
          </w14:textFill>
        </w:rPr>
        <w:t>广州市天河区临江大道501号 020-38890283</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开户行/账号：</w:t>
      </w:r>
      <w:r>
        <w:rPr>
          <w:rFonts w:hint="eastAsia" w:ascii="宋体" w:hAnsi="宋体" w:eastAsia="宋体" w:cs="宋体"/>
          <w:color w:val="000000" w:themeColor="text1"/>
          <w:sz w:val="24"/>
          <w:szCs w:val="24"/>
          <w:u w:val="single"/>
          <w14:textFill>
            <w14:solidFill>
              <w14:schemeClr w14:val="tx1"/>
            </w14:solidFill>
          </w14:textFill>
        </w:rPr>
        <w:t>民生银行广州分行0301014140006932</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tabs>
          <w:tab w:val="left" w:pos="851"/>
        </w:tabs>
        <w:kinsoku/>
        <w:wordWrap/>
        <w:overflowPunct/>
        <w:topLinePunct w:val="0"/>
        <w:bidi w:val="0"/>
        <w:adjustRightInd w:val="0"/>
        <w:snapToGrid/>
        <w:spacing w:line="360" w:lineRule="auto"/>
        <w:ind w:firstLine="480" w:firstLineChars="200"/>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5.3付款方式： </w:t>
      </w:r>
      <w:r>
        <w:rPr>
          <w:rFonts w:hint="eastAsia" w:ascii="宋体" w:hAnsi="宋体" w:eastAsia="宋体" w:cs="宋体"/>
          <w:color w:val="000000" w:themeColor="text1"/>
          <w:sz w:val="24"/>
          <w:szCs w:val="24"/>
          <w14:textFill>
            <w14:solidFill>
              <w14:schemeClr w14:val="tx1"/>
            </w14:solidFill>
          </w14:textFill>
        </w:rPr>
        <w:sym w:font="Wingdings" w:char="00FE"/>
      </w:r>
      <w:r>
        <w:rPr>
          <w:rFonts w:hint="eastAsia" w:ascii="宋体" w:hAnsi="宋体" w:eastAsia="宋体" w:cs="宋体"/>
          <w:color w:val="000000" w:themeColor="text1"/>
          <w:sz w:val="24"/>
          <w:szCs w:val="24"/>
          <w14:textFill>
            <w14:solidFill>
              <w14:schemeClr w14:val="tx1"/>
            </w14:solidFill>
          </w14:textFill>
        </w:rPr>
        <w:t xml:space="preserve">网银支付；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支票；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其他：       </w:t>
      </w:r>
    </w:p>
    <w:p>
      <w:pPr>
        <w:keepNext w:val="0"/>
        <w:keepLines w:val="0"/>
        <w:pageBreakBefore w:val="0"/>
        <w:numPr>
          <w:ilvl w:val="0"/>
          <w:numId w:val="6"/>
        </w:numPr>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履约担保</w:t>
      </w:r>
      <w:r>
        <w:rPr>
          <w:rFonts w:hint="eastAsia" w:ascii="宋体" w:hAnsi="宋体" w:eastAsia="宋体" w:cs="宋体"/>
          <w:b/>
          <w:color w:val="000000" w:themeColor="text1"/>
          <w:sz w:val="24"/>
          <w:szCs w:val="24"/>
          <w:lang w:val="en-US" w:eastAsia="zh-CN"/>
          <w14:textFill>
            <w14:solidFill>
              <w14:schemeClr w14:val="tx1"/>
            </w14:solidFill>
          </w14:textFill>
        </w:rPr>
        <w:t>及预付款保函</w:t>
      </w:r>
    </w:p>
    <w:p>
      <w:pPr>
        <w:pStyle w:val="7"/>
        <w:spacing w:line="360" w:lineRule="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履约担保：</w:t>
      </w:r>
      <w:r>
        <w:rPr>
          <w:rFonts w:hint="eastAsia" w:ascii="宋体" w:hAnsi="宋体" w:eastAsia="宋体" w:cs="宋体"/>
          <w:color w:val="000000" w:themeColor="text1"/>
          <w:sz w:val="24"/>
          <w:szCs w:val="24"/>
          <w14:textFill>
            <w14:solidFill>
              <w14:schemeClr w14:val="tx1"/>
            </w14:solidFill>
          </w14:textFill>
        </w:rPr>
        <w:sym w:font="Wingdings" w:char="00FE"/>
      </w:r>
      <w:r>
        <w:rPr>
          <w:rFonts w:hint="eastAsia" w:ascii="宋体" w:hAnsi="宋体" w:eastAsia="宋体" w:cs="宋体"/>
          <w:bCs/>
          <w:color w:val="000000" w:themeColor="text1"/>
          <w:sz w:val="24"/>
          <w:szCs w:val="24"/>
          <w:highlight w:val="none"/>
          <w14:textFill>
            <w14:solidFill>
              <w14:schemeClr w14:val="tx1"/>
            </w14:solidFill>
          </w14:textFill>
        </w:rPr>
        <w:t xml:space="preserve">无；   </w:t>
      </w:r>
    </w:p>
    <w:p>
      <w:pPr>
        <w:keepNext w:val="0"/>
        <w:keepLines w:val="0"/>
        <w:pageBreakBefore w:val="0"/>
        <w:kinsoku/>
        <w:wordWrap/>
        <w:overflowPunct/>
        <w:topLinePunct w:val="0"/>
        <w:bidi w:val="0"/>
        <w:snapToGrid/>
        <w:spacing w:after="0" w:line="360" w:lineRule="auto"/>
        <w:ind w:firstLine="480"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 xml:space="preserve">第七条 </w:t>
      </w:r>
      <w:r>
        <w:rPr>
          <w:rFonts w:hint="eastAsia" w:ascii="宋体" w:hAnsi="宋体" w:eastAsia="宋体" w:cs="宋体"/>
          <w:b/>
          <w:color w:val="000000" w:themeColor="text1"/>
          <w:sz w:val="24"/>
          <w:szCs w:val="24"/>
          <w14:textFill>
            <w14:solidFill>
              <w14:schemeClr w14:val="tx1"/>
            </w14:solidFill>
          </w14:textFill>
        </w:rPr>
        <w:t>交货及检验要求</w:t>
      </w:r>
    </w:p>
    <w:p>
      <w:pPr>
        <w:keepNext w:val="0"/>
        <w:keepLines w:val="0"/>
        <w:pageBreakBefore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7.1</w:t>
      </w:r>
      <w:r>
        <w:rPr>
          <w:rFonts w:hint="eastAsia" w:ascii="宋体" w:hAnsi="宋体" w:eastAsia="宋体" w:cs="宋体"/>
          <w:bCs/>
          <w:color w:val="000000" w:themeColor="text1"/>
          <w:sz w:val="24"/>
          <w:szCs w:val="24"/>
          <w:highlight w:val="none"/>
          <w14:textFill>
            <w14:solidFill>
              <w14:schemeClr w14:val="tx1"/>
            </w14:solidFill>
          </w14:textFill>
        </w:rPr>
        <w:t xml:space="preserve"> 交货要求：乙方应在交货时向甲方提供出厂合格证、</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厂家品牌授权、</w:t>
      </w:r>
      <w:r>
        <w:rPr>
          <w:rFonts w:hint="eastAsia" w:ascii="宋体" w:hAnsi="宋体" w:eastAsia="宋体" w:cs="宋体"/>
          <w:bCs/>
          <w:color w:val="000000" w:themeColor="text1"/>
          <w:sz w:val="24"/>
          <w:szCs w:val="24"/>
          <w:highlight w:val="none"/>
          <w14:textFill>
            <w14:solidFill>
              <w14:schemeClr w14:val="tx1"/>
            </w14:solidFill>
          </w14:textFill>
        </w:rPr>
        <w:t>产品质量证明文件、操作维修手册等（手册应包含</w:t>
      </w:r>
      <w:r>
        <w:rPr>
          <w:rFonts w:hint="eastAsia" w:ascii="宋体" w:hAnsi="宋体" w:eastAsia="宋体" w:cs="宋体"/>
          <w:bCs/>
          <w:color w:val="000000" w:themeColor="text1"/>
          <w:sz w:val="24"/>
          <w:szCs w:val="24"/>
          <w:highlight w:val="none"/>
          <w:lang w:eastAsia="zh-CN"/>
          <w14:textFill>
            <w14:solidFill>
              <w14:schemeClr w14:val="tx1"/>
            </w14:solidFill>
          </w14:textFill>
        </w:rPr>
        <w:t>货物</w:t>
      </w:r>
      <w:r>
        <w:rPr>
          <w:rFonts w:hint="eastAsia" w:ascii="宋体" w:hAnsi="宋体" w:eastAsia="宋体" w:cs="宋体"/>
          <w:bCs/>
          <w:color w:val="000000" w:themeColor="text1"/>
          <w:sz w:val="24"/>
          <w:szCs w:val="24"/>
          <w:highlight w:val="none"/>
          <w14:textFill>
            <w14:solidFill>
              <w14:schemeClr w14:val="tx1"/>
            </w14:solidFill>
          </w14:textFill>
        </w:rPr>
        <w:t>情况、系统和主要部件常见故障、保养要求、紧急维修电话等内容）。</w:t>
      </w:r>
    </w:p>
    <w:p>
      <w:pPr>
        <w:keepNext w:val="0"/>
        <w:keepLines w:val="0"/>
        <w:pageBreakBefore w:val="0"/>
        <w:kinsoku/>
        <w:wordWrap/>
        <w:overflowPunct/>
        <w:topLinePunct w:val="0"/>
        <w:bidi w:val="0"/>
        <w:snapToGrid/>
        <w:spacing w:after="0" w:line="360" w:lineRule="auto"/>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7.2外观验收：</w:t>
      </w:r>
      <w:r>
        <w:rPr>
          <w:rFonts w:hint="eastAsia" w:ascii="宋体" w:hAnsi="宋体" w:eastAsia="宋体" w:cs="宋体"/>
          <w:bCs/>
          <w:color w:val="000000" w:themeColor="text1"/>
          <w:sz w:val="24"/>
          <w:szCs w:val="24"/>
          <w:lang w:eastAsia="zh-CN"/>
          <w14:textFill>
            <w14:solidFill>
              <w14:schemeClr w14:val="tx1"/>
            </w14:solidFill>
          </w14:textFill>
        </w:rPr>
        <w:t>货物</w:t>
      </w:r>
      <w:r>
        <w:rPr>
          <w:rFonts w:hint="eastAsia" w:ascii="宋体" w:hAnsi="宋体" w:eastAsia="宋体" w:cs="宋体"/>
          <w:bCs/>
          <w:color w:val="000000" w:themeColor="text1"/>
          <w:sz w:val="24"/>
          <w:szCs w:val="24"/>
          <w14:textFill>
            <w14:solidFill>
              <w14:schemeClr w14:val="tx1"/>
            </w14:solidFill>
          </w14:textFill>
        </w:rPr>
        <w:t>运抵交货地点后，甲乙双方根据合同约定对合同</w:t>
      </w:r>
      <w:r>
        <w:rPr>
          <w:rFonts w:hint="eastAsia" w:ascii="宋体" w:hAnsi="宋体" w:eastAsia="宋体" w:cs="宋体"/>
          <w:bCs/>
          <w:color w:val="000000" w:themeColor="text1"/>
          <w:sz w:val="24"/>
          <w:szCs w:val="24"/>
          <w:lang w:eastAsia="zh-CN"/>
          <w14:textFill>
            <w14:solidFill>
              <w14:schemeClr w14:val="tx1"/>
            </w14:solidFill>
          </w14:textFill>
        </w:rPr>
        <w:t>货物</w:t>
      </w:r>
      <w:r>
        <w:rPr>
          <w:rFonts w:hint="eastAsia" w:ascii="宋体" w:hAnsi="宋体" w:eastAsia="宋体" w:cs="宋体"/>
          <w:bCs/>
          <w:color w:val="000000" w:themeColor="text1"/>
          <w:sz w:val="24"/>
          <w:szCs w:val="24"/>
          <w14:textFill>
            <w14:solidFill>
              <w14:schemeClr w14:val="tx1"/>
            </w14:solidFill>
          </w14:textFill>
        </w:rPr>
        <w:t>的包装、外观与件数进行清点检查，并共同签署合同</w:t>
      </w:r>
      <w:r>
        <w:rPr>
          <w:rFonts w:hint="eastAsia" w:ascii="宋体" w:hAnsi="宋体" w:eastAsia="宋体" w:cs="宋体"/>
          <w:bCs/>
          <w:color w:val="000000" w:themeColor="text1"/>
          <w:sz w:val="24"/>
          <w:szCs w:val="24"/>
          <w:lang w:eastAsia="zh-CN"/>
          <w14:textFill>
            <w14:solidFill>
              <w14:schemeClr w14:val="tx1"/>
            </w14:solidFill>
          </w14:textFill>
        </w:rPr>
        <w:t>货物</w:t>
      </w:r>
      <w:r>
        <w:rPr>
          <w:rFonts w:hint="eastAsia" w:ascii="宋体" w:hAnsi="宋体" w:eastAsia="宋体" w:cs="宋体"/>
          <w:bCs/>
          <w:color w:val="000000" w:themeColor="text1"/>
          <w:sz w:val="24"/>
          <w:szCs w:val="24"/>
          <w14:textFill>
            <w14:solidFill>
              <w14:schemeClr w14:val="tx1"/>
            </w14:solidFill>
          </w14:textFill>
        </w:rPr>
        <w:t>外观检查记录。</w:t>
      </w:r>
    </w:p>
    <w:p>
      <w:pPr>
        <w:keepNext w:val="0"/>
        <w:keepLines w:val="0"/>
        <w:pageBreakBefore w:val="0"/>
        <w:kinsoku/>
        <w:wordWrap/>
        <w:overflowPunct/>
        <w:topLinePunct w:val="0"/>
        <w:bidi w:val="0"/>
        <w:snapToGrid/>
        <w:spacing w:after="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7.3 开箱验收：开箱检验在合同</w:t>
      </w:r>
      <w:r>
        <w:rPr>
          <w:rFonts w:hint="eastAsia" w:ascii="宋体" w:hAnsi="宋体" w:eastAsia="宋体" w:cs="宋体"/>
          <w:bCs/>
          <w:color w:val="000000" w:themeColor="text1"/>
          <w:sz w:val="24"/>
          <w:szCs w:val="24"/>
          <w:lang w:eastAsia="zh-CN"/>
          <w14:textFill>
            <w14:solidFill>
              <w14:schemeClr w14:val="tx1"/>
            </w14:solidFill>
          </w14:textFill>
        </w:rPr>
        <w:t>货物</w:t>
      </w:r>
      <w:r>
        <w:rPr>
          <w:rFonts w:hint="eastAsia" w:ascii="宋体" w:hAnsi="宋体" w:eastAsia="宋体" w:cs="宋体"/>
          <w:bCs/>
          <w:color w:val="000000" w:themeColor="text1"/>
          <w:sz w:val="24"/>
          <w:szCs w:val="24"/>
          <w14:textFill>
            <w14:solidFill>
              <w14:schemeClr w14:val="tx1"/>
            </w14:solidFill>
          </w14:textFill>
        </w:rPr>
        <w:t>交付地点进行，</w:t>
      </w:r>
      <w:r>
        <w:rPr>
          <w:rFonts w:hint="eastAsia" w:ascii="宋体" w:hAnsi="宋体" w:eastAsia="宋体" w:cs="宋体"/>
          <w:color w:val="000000" w:themeColor="text1"/>
          <w:sz w:val="24"/>
          <w:szCs w:val="24"/>
          <w14:textFill>
            <w14:solidFill>
              <w14:schemeClr w14:val="tx1"/>
            </w14:solidFill>
          </w14:textFill>
        </w:rPr>
        <w:t>包括但不限于对合同</w:t>
      </w:r>
      <w:r>
        <w:rPr>
          <w:rFonts w:hint="eastAsia" w:ascii="宋体" w:hAnsi="宋体" w:eastAsia="宋体" w:cs="宋体"/>
          <w:color w:val="000000" w:themeColor="text1"/>
          <w:sz w:val="24"/>
          <w:szCs w:val="24"/>
          <w:lang w:eastAsia="zh-CN"/>
          <w14:textFill>
            <w14:solidFill>
              <w14:schemeClr w14:val="tx1"/>
            </w14:solidFill>
          </w14:textFill>
        </w:rPr>
        <w:t>货物</w:t>
      </w:r>
      <w:r>
        <w:rPr>
          <w:rFonts w:hint="eastAsia" w:ascii="宋体" w:hAnsi="宋体" w:eastAsia="宋体" w:cs="宋体"/>
          <w:color w:val="000000" w:themeColor="text1"/>
          <w:sz w:val="24"/>
          <w:szCs w:val="24"/>
          <w14:textFill>
            <w14:solidFill>
              <w14:schemeClr w14:val="tx1"/>
            </w14:solidFill>
          </w14:textFill>
        </w:rPr>
        <w:t>数量、规格、外观完好性进行检验。经验收合格后，甲方签发开箱检验合格证明。开箱验收合格前，</w:t>
      </w:r>
      <w:r>
        <w:rPr>
          <w:rFonts w:hint="eastAsia" w:ascii="宋体" w:hAnsi="宋体" w:eastAsia="宋体" w:cs="宋体"/>
          <w:color w:val="000000" w:themeColor="text1"/>
          <w:sz w:val="24"/>
          <w:szCs w:val="24"/>
          <w:lang w:eastAsia="zh-CN"/>
          <w14:textFill>
            <w14:solidFill>
              <w14:schemeClr w14:val="tx1"/>
            </w14:solidFill>
          </w14:textFill>
        </w:rPr>
        <w:t>货物</w:t>
      </w:r>
      <w:r>
        <w:rPr>
          <w:rFonts w:hint="eastAsia" w:ascii="宋体" w:hAnsi="宋体" w:eastAsia="宋体" w:cs="宋体"/>
          <w:color w:val="000000" w:themeColor="text1"/>
          <w:sz w:val="24"/>
          <w:szCs w:val="24"/>
          <w14:textFill>
            <w14:solidFill>
              <w14:schemeClr w14:val="tx1"/>
            </w14:solidFill>
          </w14:textFill>
        </w:rPr>
        <w:t>的损坏风险由乙方承担。</w:t>
      </w:r>
    </w:p>
    <w:p>
      <w:pPr>
        <w:keepNext w:val="0"/>
        <w:keepLines w:val="0"/>
        <w:pageBreakBefore w:val="0"/>
        <w:kinsoku/>
        <w:wordWrap/>
        <w:overflowPunct/>
        <w:topLinePunct w:val="0"/>
        <w:bidi w:val="0"/>
        <w:adjustRightInd w:val="0"/>
        <w:snapToGrid/>
        <w:spacing w:after="0"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7.4如双方对合同</w:t>
      </w:r>
      <w:r>
        <w:rPr>
          <w:rFonts w:hint="eastAsia" w:ascii="宋体" w:hAnsi="宋体" w:eastAsia="宋体" w:cs="宋体"/>
          <w:color w:val="000000" w:themeColor="text1"/>
          <w:sz w:val="24"/>
          <w:szCs w:val="24"/>
          <w:lang w:eastAsia="zh-CN"/>
          <w14:textFill>
            <w14:solidFill>
              <w14:schemeClr w14:val="tx1"/>
            </w14:solidFill>
          </w14:textFill>
        </w:rPr>
        <w:t>货物</w:t>
      </w:r>
      <w:r>
        <w:rPr>
          <w:rFonts w:hint="eastAsia" w:ascii="宋体" w:hAnsi="宋体" w:eastAsia="宋体" w:cs="宋体"/>
          <w:color w:val="000000" w:themeColor="text1"/>
          <w:sz w:val="24"/>
          <w:szCs w:val="24"/>
          <w14:textFill>
            <w14:solidFill>
              <w14:schemeClr w14:val="tx1"/>
            </w14:solidFill>
          </w14:textFill>
        </w:rPr>
        <w:t>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7.5对</w:t>
      </w:r>
      <w:r>
        <w:rPr>
          <w:rFonts w:hint="eastAsia" w:ascii="宋体" w:hAnsi="宋体" w:eastAsia="宋体" w:cs="宋体"/>
          <w:color w:val="000000" w:themeColor="text1"/>
          <w:sz w:val="24"/>
          <w:szCs w:val="24"/>
          <w:lang w:eastAsia="zh-CN"/>
          <w14:textFill>
            <w14:solidFill>
              <w14:schemeClr w14:val="tx1"/>
            </w14:solidFill>
          </w14:textFill>
        </w:rPr>
        <w:t>货物</w:t>
      </w:r>
      <w:r>
        <w:rPr>
          <w:rFonts w:hint="eastAsia" w:ascii="宋体" w:hAnsi="宋体" w:eastAsia="宋体" w:cs="宋体"/>
          <w:color w:val="000000" w:themeColor="text1"/>
          <w:sz w:val="24"/>
          <w:szCs w:val="24"/>
          <w14:textFill>
            <w14:solidFill>
              <w14:schemeClr w14:val="tx1"/>
            </w14:solidFill>
          </w14:textFill>
        </w:rPr>
        <w:t>外观检查与开箱检查发现的问题，如数量、规格、外表质量等与合同约定不符，</w:t>
      </w:r>
      <w:r>
        <w:rPr>
          <w:rFonts w:hint="eastAsia" w:ascii="宋体" w:hAnsi="宋体" w:eastAsia="宋体" w:cs="宋体"/>
          <w:color w:val="000000" w:themeColor="text1"/>
          <w:sz w:val="24"/>
          <w:szCs w:val="24"/>
          <w:lang w:eastAsia="zh-CN"/>
          <w14:textFill>
            <w14:solidFill>
              <w14:schemeClr w14:val="tx1"/>
            </w14:solidFill>
          </w14:textFill>
        </w:rPr>
        <w:t>货物或部件</w:t>
      </w:r>
      <w:r>
        <w:rPr>
          <w:rFonts w:hint="eastAsia" w:ascii="宋体" w:hAnsi="宋体" w:eastAsia="宋体" w:cs="宋体"/>
          <w:color w:val="000000" w:themeColor="text1"/>
          <w:sz w:val="24"/>
          <w:szCs w:val="24"/>
          <w14:textFill>
            <w14:solidFill>
              <w14:schemeClr w14:val="tx1"/>
            </w14:solidFill>
          </w14:textFill>
        </w:rPr>
        <w:t>因包装、运输、装卸问题造成的任何损坏、丢失，装箱文件短缺等，乙方应在不影响甲方生产运营的前提下，在甲方规定期限内消除合同</w:t>
      </w:r>
      <w:r>
        <w:rPr>
          <w:rFonts w:hint="eastAsia" w:ascii="宋体" w:hAnsi="宋体" w:eastAsia="宋体" w:cs="宋体"/>
          <w:color w:val="000000" w:themeColor="text1"/>
          <w:sz w:val="24"/>
          <w:szCs w:val="24"/>
          <w:lang w:eastAsia="zh-CN"/>
          <w14:textFill>
            <w14:solidFill>
              <w14:schemeClr w14:val="tx1"/>
            </w14:solidFill>
          </w14:textFill>
        </w:rPr>
        <w:t>货物</w:t>
      </w:r>
      <w:r>
        <w:rPr>
          <w:rFonts w:hint="eastAsia" w:ascii="宋体" w:hAnsi="宋体" w:eastAsia="宋体" w:cs="宋体"/>
          <w:color w:val="000000" w:themeColor="text1"/>
          <w:sz w:val="24"/>
          <w:szCs w:val="24"/>
          <w14:textFill>
            <w14:solidFill>
              <w14:schemeClr w14:val="tx1"/>
            </w14:solidFill>
          </w14:textFill>
        </w:rPr>
        <w:t>中存在的缺陷，用合格的新</w:t>
      </w:r>
      <w:r>
        <w:rPr>
          <w:rFonts w:hint="eastAsia" w:ascii="宋体" w:hAnsi="宋体" w:eastAsia="宋体" w:cs="宋体"/>
          <w:color w:val="000000" w:themeColor="text1"/>
          <w:sz w:val="24"/>
          <w:szCs w:val="24"/>
          <w:lang w:eastAsia="zh-CN"/>
          <w14:textFill>
            <w14:solidFill>
              <w14:schemeClr w14:val="tx1"/>
            </w14:solidFill>
          </w14:textFill>
        </w:rPr>
        <w:t>货物</w:t>
      </w:r>
      <w:r>
        <w:rPr>
          <w:rFonts w:hint="eastAsia" w:ascii="宋体" w:hAnsi="宋体" w:eastAsia="宋体" w:cs="宋体"/>
          <w:color w:val="000000" w:themeColor="text1"/>
          <w:sz w:val="24"/>
          <w:szCs w:val="24"/>
          <w14:textFill>
            <w14:solidFill>
              <w14:schemeClr w14:val="tx1"/>
            </w14:solidFill>
          </w14:textFill>
        </w:rPr>
        <w:t>更换有缺陷的</w:t>
      </w:r>
      <w:r>
        <w:rPr>
          <w:rFonts w:hint="eastAsia" w:ascii="宋体" w:hAnsi="宋体" w:eastAsia="宋体" w:cs="宋体"/>
          <w:color w:val="000000" w:themeColor="text1"/>
          <w:sz w:val="24"/>
          <w:szCs w:val="24"/>
          <w:lang w:eastAsia="zh-CN"/>
          <w14:textFill>
            <w14:solidFill>
              <w14:schemeClr w14:val="tx1"/>
            </w14:solidFill>
          </w14:textFill>
        </w:rPr>
        <w:t>货物</w:t>
      </w:r>
      <w:r>
        <w:rPr>
          <w:rFonts w:hint="eastAsia" w:ascii="宋体" w:hAnsi="宋体" w:eastAsia="宋体" w:cs="宋体"/>
          <w:color w:val="000000" w:themeColor="text1"/>
          <w:sz w:val="24"/>
          <w:szCs w:val="24"/>
          <w14:textFill>
            <w14:solidFill>
              <w14:schemeClr w14:val="tx1"/>
            </w14:solidFill>
          </w14:textFill>
        </w:rPr>
        <w:t>、退货或补发，并自行承担费用。甲方有权在</w:t>
      </w:r>
      <w:r>
        <w:rPr>
          <w:rFonts w:hint="eastAsia" w:ascii="宋体" w:hAnsi="宋体" w:eastAsia="宋体" w:cs="宋体"/>
          <w:color w:val="000000" w:themeColor="text1"/>
          <w:sz w:val="24"/>
          <w:szCs w:val="24"/>
          <w:lang w:eastAsia="zh-CN"/>
          <w14:textFill>
            <w14:solidFill>
              <w14:schemeClr w14:val="tx1"/>
            </w14:solidFill>
          </w14:textFill>
        </w:rPr>
        <w:t>货物</w:t>
      </w:r>
      <w:r>
        <w:rPr>
          <w:rFonts w:hint="eastAsia" w:ascii="宋体" w:hAnsi="宋体" w:eastAsia="宋体" w:cs="宋体"/>
          <w:color w:val="000000" w:themeColor="text1"/>
          <w:sz w:val="24"/>
          <w:szCs w:val="24"/>
          <w14:textFill>
            <w14:solidFill>
              <w14:schemeClr w14:val="tx1"/>
            </w14:solidFill>
          </w14:textFill>
        </w:rPr>
        <w:t>缺陷消除或</w:t>
      </w:r>
      <w:r>
        <w:rPr>
          <w:rFonts w:hint="eastAsia" w:ascii="宋体" w:hAnsi="宋体" w:eastAsia="宋体" w:cs="宋体"/>
          <w:color w:val="000000" w:themeColor="text1"/>
          <w:sz w:val="24"/>
          <w:szCs w:val="24"/>
          <w:lang w:eastAsia="zh-CN"/>
          <w14:textFill>
            <w14:solidFill>
              <w14:schemeClr w14:val="tx1"/>
            </w14:solidFill>
          </w14:textFill>
        </w:rPr>
        <w:t>货物</w:t>
      </w:r>
      <w:r>
        <w:rPr>
          <w:rFonts w:hint="eastAsia" w:ascii="宋体" w:hAnsi="宋体" w:eastAsia="宋体" w:cs="宋体"/>
          <w:color w:val="000000" w:themeColor="text1"/>
          <w:sz w:val="24"/>
          <w:szCs w:val="24"/>
          <w14:textFill>
            <w14:solidFill>
              <w14:schemeClr w14:val="tx1"/>
            </w14:solidFill>
          </w14:textFill>
        </w:rPr>
        <w:t>更换后，委托第三方检测机构进行检测，检测结果及费用承担按本合同第7.4条执行，交货时间不顺延。</w:t>
      </w:r>
    </w:p>
    <w:p>
      <w:pPr>
        <w:keepNext w:val="0"/>
        <w:keepLines w:val="0"/>
        <w:pageBreakBefore w:val="0"/>
        <w:kinsoku/>
        <w:wordWrap/>
        <w:overflowPunct/>
        <w:topLinePunct w:val="0"/>
        <w:bidi w:val="0"/>
        <w:snapToGrid/>
        <w:spacing w:after="0"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7.6 甲方有权对合同</w:t>
      </w:r>
      <w:r>
        <w:rPr>
          <w:rFonts w:hint="eastAsia" w:ascii="宋体" w:hAnsi="宋体" w:eastAsia="宋体" w:cs="宋体"/>
          <w:color w:val="000000" w:themeColor="text1"/>
          <w:sz w:val="24"/>
          <w:szCs w:val="24"/>
          <w:lang w:eastAsia="zh-CN"/>
          <w14:textFill>
            <w14:solidFill>
              <w14:schemeClr w14:val="tx1"/>
            </w14:solidFill>
          </w14:textFill>
        </w:rPr>
        <w:t>货物</w:t>
      </w:r>
      <w:r>
        <w:rPr>
          <w:rFonts w:hint="eastAsia" w:ascii="宋体" w:hAnsi="宋体" w:eastAsia="宋体" w:cs="宋体"/>
          <w:color w:val="000000" w:themeColor="text1"/>
          <w:sz w:val="24"/>
          <w:szCs w:val="24"/>
          <w14:textFill>
            <w14:solidFill>
              <w14:schemeClr w14:val="tx1"/>
            </w14:solidFill>
          </w14:textFill>
        </w:rPr>
        <w:t>进行原厂正品验证，若合同</w:t>
      </w:r>
      <w:r>
        <w:rPr>
          <w:rFonts w:hint="eastAsia" w:ascii="宋体" w:hAnsi="宋体" w:eastAsia="宋体" w:cs="宋体"/>
          <w:color w:val="000000" w:themeColor="text1"/>
          <w:sz w:val="24"/>
          <w:szCs w:val="24"/>
          <w:lang w:eastAsia="zh-CN"/>
          <w14:textFill>
            <w14:solidFill>
              <w14:schemeClr w14:val="tx1"/>
            </w14:solidFill>
          </w14:textFill>
        </w:rPr>
        <w:t>货物</w:t>
      </w:r>
      <w:r>
        <w:rPr>
          <w:rFonts w:hint="eastAsia" w:ascii="宋体" w:hAnsi="宋体" w:eastAsia="宋体" w:cs="宋体"/>
          <w:color w:val="000000" w:themeColor="text1"/>
          <w:sz w:val="24"/>
          <w:szCs w:val="24"/>
          <w14:textFill>
            <w14:solidFill>
              <w14:schemeClr w14:val="tx1"/>
            </w14:solidFill>
          </w14:textFill>
        </w:rPr>
        <w:t>无法获原厂验证，甲方有权退回</w:t>
      </w:r>
      <w:r>
        <w:rPr>
          <w:rFonts w:hint="eastAsia" w:ascii="宋体" w:hAnsi="宋体" w:eastAsia="宋体" w:cs="宋体"/>
          <w:color w:val="000000" w:themeColor="text1"/>
          <w:sz w:val="24"/>
          <w:szCs w:val="24"/>
          <w:lang w:eastAsia="zh-CN"/>
          <w14:textFill>
            <w14:solidFill>
              <w14:schemeClr w14:val="tx1"/>
            </w14:solidFill>
          </w14:textFill>
        </w:rPr>
        <w:t>货物</w:t>
      </w:r>
      <w:r>
        <w:rPr>
          <w:rFonts w:hint="eastAsia" w:ascii="宋体" w:hAnsi="宋体" w:eastAsia="宋体" w:cs="宋体"/>
          <w:color w:val="000000" w:themeColor="text1"/>
          <w:sz w:val="24"/>
          <w:szCs w:val="24"/>
          <w14:textFill>
            <w14:solidFill>
              <w14:schemeClr w14:val="tx1"/>
            </w14:solidFill>
          </w14:textFill>
        </w:rPr>
        <w:t>，要求乙方在</w:t>
      </w:r>
      <w:r>
        <w:rPr>
          <w:rFonts w:hint="eastAsia" w:ascii="宋体" w:hAnsi="宋体" w:eastAsia="宋体" w:cs="宋体"/>
          <w:color w:val="000000" w:themeColor="text1"/>
          <w:sz w:val="24"/>
          <w:szCs w:val="24"/>
          <w:u w:val="single"/>
          <w14:textFill>
            <w14:solidFill>
              <w14:schemeClr w14:val="tx1"/>
            </w14:solidFill>
          </w14:textFill>
        </w:rPr>
        <w:t xml:space="preserve"> 5 </w:t>
      </w:r>
      <w:r>
        <w:rPr>
          <w:rFonts w:hint="eastAsia" w:ascii="宋体" w:hAnsi="宋体" w:eastAsia="宋体" w:cs="宋体"/>
          <w:color w:val="000000" w:themeColor="text1"/>
          <w:sz w:val="24"/>
          <w:szCs w:val="24"/>
          <w14:textFill>
            <w14:solidFill>
              <w14:schemeClr w14:val="tx1"/>
            </w14:solidFill>
          </w14:textFill>
        </w:rPr>
        <w:t>个工作日内退回</w:t>
      </w:r>
      <w:r>
        <w:rPr>
          <w:rFonts w:hint="eastAsia" w:ascii="宋体" w:hAnsi="宋体" w:cs="宋体"/>
          <w:color w:val="000000" w:themeColor="text1"/>
          <w:sz w:val="24"/>
          <w:szCs w:val="24"/>
          <w:lang w:val="en-US"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已支付款项并按</w:t>
      </w:r>
      <w:r>
        <w:rPr>
          <w:rFonts w:hint="eastAsia" w:ascii="宋体" w:hAnsi="宋体" w:eastAsia="宋体" w:cs="宋体"/>
          <w:color w:val="000000" w:themeColor="text1"/>
          <w:sz w:val="24"/>
          <w:szCs w:val="24"/>
          <w:lang w:eastAsia="zh-CN"/>
          <w14:textFill>
            <w14:solidFill>
              <w14:schemeClr w14:val="tx1"/>
            </w14:solidFill>
          </w14:textFill>
        </w:rPr>
        <w:t>货物</w:t>
      </w:r>
      <w:r>
        <w:rPr>
          <w:rFonts w:hint="eastAsia" w:ascii="宋体" w:hAnsi="宋体" w:eastAsia="宋体" w:cs="宋体"/>
          <w:color w:val="000000" w:themeColor="text1"/>
          <w:sz w:val="24"/>
          <w:szCs w:val="24"/>
          <w14:textFill>
            <w14:solidFill>
              <w14:schemeClr w14:val="tx1"/>
            </w14:solidFill>
          </w14:textFill>
        </w:rPr>
        <w:t>价格的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支付违约金。</w:t>
      </w:r>
    </w:p>
    <w:p>
      <w:pPr>
        <w:keepNext w:val="0"/>
        <w:keepLines w:val="0"/>
        <w:pageBreakBefore w:val="0"/>
        <w:kinsoku/>
        <w:wordWrap/>
        <w:overflowPunct/>
        <w:topLinePunct w:val="0"/>
        <w:bidi w:val="0"/>
        <w:snapToGrid/>
        <w:spacing w:after="0" w:line="360" w:lineRule="auto"/>
        <w:ind w:firstLine="480" w:firstLineChars="200"/>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第八条 包装、标示及运输要求</w:t>
      </w:r>
    </w:p>
    <w:p>
      <w:pPr>
        <w:keepNext w:val="0"/>
        <w:keepLines w:val="0"/>
        <w:pageBreakBefore w:val="0"/>
        <w:kinsoku/>
        <w:wordWrap/>
        <w:overflowPunct/>
        <w:topLinePunct w:val="0"/>
        <w:bidi w:val="0"/>
        <w:snapToGrid/>
        <w:spacing w:line="360" w:lineRule="auto"/>
        <w:ind w:firstLine="482"/>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8.1 包装</w:t>
      </w:r>
    </w:p>
    <w:p>
      <w:pPr>
        <w:keepNext w:val="0"/>
        <w:keepLines w:val="0"/>
        <w:pageBreakBefore w:val="0"/>
        <w:kinsoku/>
        <w:wordWrap/>
        <w:overflowPunct/>
        <w:topLinePunct w:val="0"/>
        <w:bidi w:val="0"/>
        <w:snapToGrid/>
        <w:spacing w:line="360" w:lineRule="auto"/>
        <w:ind w:firstLine="482"/>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8.1.1乙方根据</w:t>
      </w:r>
      <w:r>
        <w:rPr>
          <w:rFonts w:hint="eastAsia" w:ascii="宋体" w:hAnsi="宋体" w:eastAsia="宋体" w:cs="宋体"/>
          <w:bCs/>
          <w:color w:val="000000" w:themeColor="text1"/>
          <w:sz w:val="24"/>
          <w:szCs w:val="24"/>
          <w:lang w:eastAsia="zh-CN"/>
          <w14:textFill>
            <w14:solidFill>
              <w14:schemeClr w14:val="tx1"/>
            </w14:solidFill>
          </w14:textFill>
        </w:rPr>
        <w:t>货物</w:t>
      </w:r>
      <w:r>
        <w:rPr>
          <w:rFonts w:hint="eastAsia" w:ascii="宋体" w:hAnsi="宋体" w:eastAsia="宋体" w:cs="宋体"/>
          <w:bCs/>
          <w:color w:val="000000" w:themeColor="text1"/>
          <w:sz w:val="24"/>
          <w:szCs w:val="24"/>
          <w14:textFill>
            <w14:solidFill>
              <w14:schemeClr w14:val="tx1"/>
            </w14:solidFill>
          </w14:textFill>
        </w:rPr>
        <w:t>的特点，按照有关国家、行业标准要求，对</w:t>
      </w:r>
      <w:r>
        <w:rPr>
          <w:rFonts w:hint="eastAsia" w:ascii="宋体" w:hAnsi="宋体" w:eastAsia="宋体" w:cs="宋体"/>
          <w:bCs/>
          <w:color w:val="000000" w:themeColor="text1"/>
          <w:sz w:val="24"/>
          <w:szCs w:val="24"/>
          <w:lang w:eastAsia="zh-CN"/>
          <w14:textFill>
            <w14:solidFill>
              <w14:schemeClr w14:val="tx1"/>
            </w14:solidFill>
          </w14:textFill>
        </w:rPr>
        <w:t>货物</w:t>
      </w:r>
      <w:r>
        <w:rPr>
          <w:rFonts w:hint="eastAsia" w:ascii="宋体" w:hAnsi="宋体" w:eastAsia="宋体" w:cs="宋体"/>
          <w:bCs/>
          <w:color w:val="000000" w:themeColor="text1"/>
          <w:sz w:val="24"/>
          <w:szCs w:val="24"/>
          <w14:textFill>
            <w14:solidFill>
              <w14:schemeClr w14:val="tx1"/>
            </w14:solidFill>
          </w14:textFill>
        </w:rPr>
        <w:t>及其零配件进行适合长途运输、多次搬运与装卸、防震、防水、防潮、防霉、防锈、防腐蚀等的坚固可靠包装，确保</w:t>
      </w:r>
      <w:r>
        <w:rPr>
          <w:rFonts w:hint="eastAsia" w:ascii="宋体" w:hAnsi="宋体" w:eastAsia="宋体" w:cs="宋体"/>
          <w:bCs/>
          <w:color w:val="000000" w:themeColor="text1"/>
          <w:sz w:val="24"/>
          <w:szCs w:val="24"/>
          <w:lang w:eastAsia="zh-CN"/>
          <w14:textFill>
            <w14:solidFill>
              <w14:schemeClr w14:val="tx1"/>
            </w14:solidFill>
          </w14:textFill>
        </w:rPr>
        <w:t>货物</w:t>
      </w:r>
      <w:r>
        <w:rPr>
          <w:rFonts w:hint="eastAsia" w:ascii="宋体" w:hAnsi="宋体" w:eastAsia="宋体" w:cs="宋体"/>
          <w:bCs/>
          <w:color w:val="000000" w:themeColor="text1"/>
          <w:sz w:val="24"/>
          <w:szCs w:val="24"/>
          <w14:textFill>
            <w14:solidFill>
              <w14:schemeClr w14:val="tx1"/>
            </w14:solidFill>
          </w14:textFill>
        </w:rPr>
        <w:t>能适应高温、雨淋、潮湿环境下的长途运输、多次装卸与现场存放。</w:t>
      </w:r>
    </w:p>
    <w:p>
      <w:pPr>
        <w:keepNext w:val="0"/>
        <w:keepLines w:val="0"/>
        <w:pageBreakBefore w:val="0"/>
        <w:kinsoku/>
        <w:wordWrap/>
        <w:overflowPunct/>
        <w:topLinePunct w:val="0"/>
        <w:bidi w:val="0"/>
        <w:snapToGrid/>
        <w:spacing w:line="360" w:lineRule="auto"/>
        <w:ind w:firstLine="482"/>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8.1.2超限</w:t>
      </w:r>
      <w:r>
        <w:rPr>
          <w:rFonts w:hint="eastAsia" w:ascii="宋体" w:hAnsi="宋体" w:eastAsia="宋体" w:cs="宋体"/>
          <w:bCs/>
          <w:color w:val="000000" w:themeColor="text1"/>
          <w:sz w:val="24"/>
          <w:szCs w:val="24"/>
          <w:lang w:eastAsia="zh-CN"/>
          <w14:textFill>
            <w14:solidFill>
              <w14:schemeClr w14:val="tx1"/>
            </w14:solidFill>
          </w14:textFill>
        </w:rPr>
        <w:t>货物</w:t>
      </w:r>
      <w:r>
        <w:rPr>
          <w:rFonts w:hint="eastAsia" w:ascii="宋体" w:hAnsi="宋体" w:eastAsia="宋体" w:cs="宋体"/>
          <w:bCs/>
          <w:color w:val="000000" w:themeColor="text1"/>
          <w:sz w:val="24"/>
          <w:szCs w:val="24"/>
          <w14:textFill>
            <w14:solidFill>
              <w14:schemeClr w14:val="tx1"/>
            </w14:solidFill>
          </w14:textFill>
        </w:rPr>
        <w:t>的包装要求：</w:t>
      </w:r>
      <w:r>
        <w:rPr>
          <w:rFonts w:hint="eastAsia" w:ascii="宋体" w:hAnsi="宋体" w:eastAsia="宋体" w:cs="宋体"/>
          <w:bCs/>
          <w:color w:val="000000" w:themeColor="text1"/>
          <w:sz w:val="24"/>
          <w:szCs w:val="24"/>
          <w:u w:val="single"/>
          <w14:textFill>
            <w14:solidFill>
              <w14:schemeClr w14:val="tx1"/>
            </w14:solidFill>
          </w14:textFill>
        </w:rPr>
        <w:t xml:space="preserve">  /  </w:t>
      </w:r>
      <w:r>
        <w:rPr>
          <w:rFonts w:hint="eastAsia" w:ascii="宋体" w:hAnsi="宋体" w:eastAsia="宋体" w:cs="宋体"/>
          <w:bCs/>
          <w:color w:val="000000" w:themeColor="text1"/>
          <w:sz w:val="24"/>
          <w:szCs w:val="24"/>
          <w14:textFill>
            <w14:solidFill>
              <w14:schemeClr w14:val="tx1"/>
            </w14:solidFill>
          </w14:textFill>
        </w:rPr>
        <w:t>。</w:t>
      </w:r>
    </w:p>
    <w:p>
      <w:pPr>
        <w:keepNext w:val="0"/>
        <w:keepLines w:val="0"/>
        <w:pageBreakBefore w:val="0"/>
        <w:kinsoku/>
        <w:wordWrap/>
        <w:overflowPunct/>
        <w:topLinePunct w:val="0"/>
        <w:bidi w:val="0"/>
        <w:snapToGrid/>
        <w:spacing w:line="360" w:lineRule="auto"/>
        <w:ind w:firstLine="482"/>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8.2 标志</w:t>
      </w:r>
    </w:p>
    <w:p>
      <w:pPr>
        <w:keepNext w:val="0"/>
        <w:keepLines w:val="0"/>
        <w:pageBreakBefore w:val="0"/>
        <w:kinsoku/>
        <w:wordWrap/>
        <w:overflowPunct/>
        <w:topLinePunct w:val="0"/>
        <w:bidi w:val="0"/>
        <w:snapToGrid/>
        <w:spacing w:line="360" w:lineRule="auto"/>
        <w:ind w:firstLine="482"/>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8.2.1乙方应按照国家标准对</w:t>
      </w:r>
      <w:r>
        <w:rPr>
          <w:rFonts w:hint="eastAsia" w:ascii="宋体" w:hAnsi="宋体" w:eastAsia="宋体" w:cs="宋体"/>
          <w:bCs/>
          <w:color w:val="000000" w:themeColor="text1"/>
          <w:sz w:val="24"/>
          <w:szCs w:val="24"/>
          <w:lang w:eastAsia="zh-CN"/>
          <w14:textFill>
            <w14:solidFill>
              <w14:schemeClr w14:val="tx1"/>
            </w14:solidFill>
          </w14:textFill>
        </w:rPr>
        <w:t>货物</w:t>
      </w:r>
      <w:r>
        <w:rPr>
          <w:rFonts w:hint="eastAsia" w:ascii="宋体" w:hAnsi="宋体" w:eastAsia="宋体" w:cs="宋体"/>
          <w:bCs/>
          <w:color w:val="000000" w:themeColor="text1"/>
          <w:sz w:val="24"/>
          <w:szCs w:val="24"/>
          <w14:textFill>
            <w14:solidFill>
              <w14:schemeClr w14:val="tx1"/>
            </w14:solidFill>
          </w14:textFill>
        </w:rPr>
        <w:t>的外包装进行标志。</w:t>
      </w:r>
    </w:p>
    <w:p>
      <w:pPr>
        <w:keepNext w:val="0"/>
        <w:keepLines w:val="0"/>
        <w:pageBreakBefore w:val="0"/>
        <w:kinsoku/>
        <w:wordWrap/>
        <w:overflowPunct/>
        <w:topLinePunct w:val="0"/>
        <w:bidi w:val="0"/>
        <w:adjustRightInd w:val="0"/>
        <w:snapToGrid/>
        <w:spacing w:after="0" w:line="360" w:lineRule="auto"/>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8.2.2根据合同</w:t>
      </w:r>
      <w:r>
        <w:rPr>
          <w:rFonts w:hint="eastAsia" w:ascii="宋体" w:hAnsi="宋体" w:eastAsia="宋体" w:cs="宋体"/>
          <w:color w:val="000000" w:themeColor="text1"/>
          <w:sz w:val="24"/>
          <w:szCs w:val="24"/>
          <w:lang w:eastAsia="zh-CN"/>
          <w14:textFill>
            <w14:solidFill>
              <w14:schemeClr w14:val="tx1"/>
            </w14:solidFill>
          </w14:textFill>
        </w:rPr>
        <w:t>货物</w:t>
      </w:r>
      <w:r>
        <w:rPr>
          <w:rFonts w:hint="eastAsia" w:ascii="宋体" w:hAnsi="宋体" w:eastAsia="宋体" w:cs="宋体"/>
          <w:color w:val="000000" w:themeColor="text1"/>
          <w:sz w:val="24"/>
          <w:szCs w:val="24"/>
          <w14:textFill>
            <w14:solidFill>
              <w14:schemeClr w14:val="tx1"/>
            </w14:solidFill>
          </w14:textFill>
        </w:rPr>
        <w:t>的特点和运输、保管的不同要求，乙方应在包装箱上清楚地标注“小心轻放”、“此端朝上，请勿倒置”、“保持干燥”等字样和其他适当标记。对于超大超重件，乙方应在包装箱两侧标注“重心”和“起吊点”以便装卸和搬运。如</w:t>
      </w:r>
      <w:r>
        <w:rPr>
          <w:rFonts w:hint="eastAsia" w:ascii="宋体" w:hAnsi="宋体" w:eastAsia="宋体" w:cs="宋体"/>
          <w:color w:val="000000" w:themeColor="text1"/>
          <w:sz w:val="24"/>
          <w:szCs w:val="24"/>
          <w:lang w:eastAsia="zh-CN"/>
          <w14:textFill>
            <w14:solidFill>
              <w14:schemeClr w14:val="tx1"/>
            </w14:solidFill>
          </w14:textFill>
        </w:rPr>
        <w:t>货物</w:t>
      </w:r>
      <w:r>
        <w:rPr>
          <w:rFonts w:hint="eastAsia" w:ascii="宋体" w:hAnsi="宋体" w:eastAsia="宋体" w:cs="宋体"/>
          <w:color w:val="000000" w:themeColor="text1"/>
          <w:sz w:val="24"/>
          <w:szCs w:val="24"/>
          <w14:textFill>
            <w14:solidFill>
              <w14:schemeClr w14:val="tx1"/>
            </w14:solidFill>
          </w14:textFill>
        </w:rPr>
        <w:t>中含有易燃易爆物品、腐蚀物品、放射性物质等危险品，则应在包装箱上标明危险品标志。</w:t>
      </w:r>
    </w:p>
    <w:p>
      <w:pPr>
        <w:keepNext w:val="0"/>
        <w:keepLines w:val="0"/>
        <w:pageBreakBefore w:val="0"/>
        <w:kinsoku/>
        <w:wordWrap/>
        <w:overflowPunct/>
        <w:topLinePunct w:val="0"/>
        <w:bidi w:val="0"/>
        <w:adjustRightInd w:val="0"/>
        <w:snapToGrid/>
        <w:spacing w:after="0" w:line="360" w:lineRule="auto"/>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8.2.3  如由于包装不当或包装箱内部保护措施不符合要求而导致在装车或运输中发生</w:t>
      </w:r>
      <w:r>
        <w:rPr>
          <w:rFonts w:hint="eastAsia" w:ascii="宋体" w:hAnsi="宋体" w:eastAsia="宋体" w:cs="宋体"/>
          <w:bCs/>
          <w:color w:val="000000" w:themeColor="text1"/>
          <w:sz w:val="24"/>
          <w:szCs w:val="24"/>
          <w:lang w:eastAsia="zh-CN"/>
          <w14:textFill>
            <w14:solidFill>
              <w14:schemeClr w14:val="tx1"/>
            </w14:solidFill>
          </w14:textFill>
        </w:rPr>
        <w:t>货物</w:t>
      </w:r>
      <w:r>
        <w:rPr>
          <w:rFonts w:hint="eastAsia" w:ascii="宋体" w:hAnsi="宋体" w:eastAsia="宋体" w:cs="宋体"/>
          <w:bCs/>
          <w:color w:val="000000" w:themeColor="text1"/>
          <w:sz w:val="24"/>
          <w:szCs w:val="24"/>
          <w14:textFill>
            <w14:solidFill>
              <w14:schemeClr w14:val="tx1"/>
            </w14:solidFill>
          </w14:textFill>
        </w:rPr>
        <w:t>或其任何部件的损坏或遗失，乙方应自费对缺损的</w:t>
      </w:r>
      <w:r>
        <w:rPr>
          <w:rFonts w:hint="eastAsia" w:ascii="宋体" w:hAnsi="宋体" w:eastAsia="宋体" w:cs="宋体"/>
          <w:bCs/>
          <w:color w:val="000000" w:themeColor="text1"/>
          <w:sz w:val="24"/>
          <w:szCs w:val="24"/>
          <w:lang w:eastAsia="zh-CN"/>
          <w14:textFill>
            <w14:solidFill>
              <w14:schemeClr w14:val="tx1"/>
            </w14:solidFill>
          </w14:textFill>
        </w:rPr>
        <w:t>货物</w:t>
      </w:r>
      <w:r>
        <w:rPr>
          <w:rFonts w:hint="eastAsia" w:ascii="宋体" w:hAnsi="宋体" w:eastAsia="宋体" w:cs="宋体"/>
          <w:bCs/>
          <w:color w:val="000000" w:themeColor="text1"/>
          <w:sz w:val="24"/>
          <w:szCs w:val="24"/>
          <w14:textFill>
            <w14:solidFill>
              <w14:schemeClr w14:val="tx1"/>
            </w14:solidFill>
          </w14:textFill>
        </w:rPr>
        <w:t>、部件进行修理、更换或补供。</w:t>
      </w:r>
    </w:p>
    <w:p>
      <w:pPr>
        <w:keepNext w:val="0"/>
        <w:keepLines w:val="0"/>
        <w:pageBreakBefore w:val="0"/>
        <w:kinsoku/>
        <w:wordWrap/>
        <w:overflowPunct/>
        <w:topLinePunct w:val="0"/>
        <w:bidi w:val="0"/>
        <w:adjustRightInd w:val="0"/>
        <w:snapToGrid/>
        <w:spacing w:after="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8.3运输</w:t>
      </w:r>
    </w:p>
    <w:p>
      <w:pPr>
        <w:keepNext w:val="0"/>
        <w:keepLines w:val="0"/>
        <w:pageBreakBefore w:val="0"/>
        <w:kinsoku/>
        <w:wordWrap/>
        <w:overflowPunct/>
        <w:topLinePunct w:val="0"/>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8.3.1乙方应自行选择适宜的运输工具及线路安排合同</w:t>
      </w:r>
      <w:r>
        <w:rPr>
          <w:rFonts w:hint="eastAsia" w:ascii="宋体" w:hAnsi="宋体" w:eastAsia="宋体" w:cs="宋体"/>
          <w:color w:val="000000" w:themeColor="text1"/>
          <w:sz w:val="24"/>
          <w:szCs w:val="24"/>
          <w:lang w:eastAsia="zh-CN"/>
          <w14:textFill>
            <w14:solidFill>
              <w14:schemeClr w14:val="tx1"/>
            </w14:solidFill>
          </w14:textFill>
        </w:rPr>
        <w:t>货物</w:t>
      </w:r>
      <w:r>
        <w:rPr>
          <w:rFonts w:hint="eastAsia" w:ascii="宋体" w:hAnsi="宋体" w:eastAsia="宋体" w:cs="宋体"/>
          <w:color w:val="000000" w:themeColor="text1"/>
          <w:sz w:val="24"/>
          <w:szCs w:val="24"/>
          <w14:textFill>
            <w14:solidFill>
              <w14:schemeClr w14:val="tx1"/>
            </w14:solidFill>
          </w14:textFill>
        </w:rPr>
        <w:t>运输。</w:t>
      </w:r>
    </w:p>
    <w:p>
      <w:pPr>
        <w:keepNext w:val="0"/>
        <w:keepLines w:val="0"/>
        <w:pageBreakBefore w:val="0"/>
        <w:kinsoku/>
        <w:wordWrap/>
        <w:overflowPunct/>
        <w:topLinePunct w:val="0"/>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8.3.2 除合同条款另有约定外，每件</w:t>
      </w:r>
      <w:r>
        <w:rPr>
          <w:rFonts w:hint="eastAsia" w:ascii="宋体" w:hAnsi="宋体" w:eastAsia="宋体" w:cs="宋体"/>
          <w:color w:val="000000" w:themeColor="text1"/>
          <w:sz w:val="24"/>
          <w:szCs w:val="24"/>
          <w:lang w:eastAsia="zh-CN"/>
          <w14:textFill>
            <w14:solidFill>
              <w14:schemeClr w14:val="tx1"/>
            </w14:solidFill>
          </w14:textFill>
        </w:rPr>
        <w:t>货物</w:t>
      </w:r>
      <w:r>
        <w:rPr>
          <w:rFonts w:hint="eastAsia" w:ascii="宋体" w:hAnsi="宋体" w:eastAsia="宋体" w:cs="宋体"/>
          <w:color w:val="000000" w:themeColor="text1"/>
          <w:sz w:val="24"/>
          <w:szCs w:val="24"/>
          <w14:textFill>
            <w14:solidFill>
              <w14:schemeClr w14:val="tx1"/>
            </w14:solidFill>
          </w14:textFill>
        </w:rPr>
        <w:t>的备品备件应整套装运。</w:t>
      </w:r>
    </w:p>
    <w:p>
      <w:pPr>
        <w:keepNext w:val="0"/>
        <w:keepLines w:val="0"/>
        <w:pageBreakBefore w:val="0"/>
        <w:kinsoku/>
        <w:wordWrap/>
        <w:overflowPunct/>
        <w:topLinePunct w:val="0"/>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8.3.3 除合同条款另有约定外，乙方应在合同</w:t>
      </w:r>
      <w:r>
        <w:rPr>
          <w:rFonts w:hint="eastAsia" w:ascii="宋体" w:hAnsi="宋体" w:eastAsia="宋体" w:cs="宋体"/>
          <w:color w:val="000000" w:themeColor="text1"/>
          <w:sz w:val="24"/>
          <w:szCs w:val="24"/>
          <w:lang w:eastAsia="zh-CN"/>
          <w14:textFill>
            <w14:solidFill>
              <w14:schemeClr w14:val="tx1"/>
            </w14:solidFill>
          </w14:textFill>
        </w:rPr>
        <w:t>货物</w:t>
      </w:r>
      <w:r>
        <w:rPr>
          <w:rFonts w:hint="eastAsia" w:ascii="宋体" w:hAnsi="宋体" w:eastAsia="宋体" w:cs="宋体"/>
          <w:color w:val="000000" w:themeColor="text1"/>
          <w:sz w:val="24"/>
          <w:szCs w:val="24"/>
          <w14:textFill>
            <w14:solidFill>
              <w14:schemeClr w14:val="tx1"/>
            </w14:solidFill>
          </w14:textFill>
        </w:rPr>
        <w:t>预计启运7日前，将合同</w:t>
      </w:r>
      <w:r>
        <w:rPr>
          <w:rFonts w:hint="eastAsia" w:ascii="宋体" w:hAnsi="宋体" w:eastAsia="宋体" w:cs="宋体"/>
          <w:color w:val="000000" w:themeColor="text1"/>
          <w:sz w:val="24"/>
          <w:szCs w:val="24"/>
          <w:lang w:eastAsia="zh-CN"/>
          <w14:textFill>
            <w14:solidFill>
              <w14:schemeClr w14:val="tx1"/>
            </w14:solidFill>
          </w14:textFill>
        </w:rPr>
        <w:t>货物</w:t>
      </w:r>
      <w:r>
        <w:rPr>
          <w:rFonts w:hint="eastAsia" w:ascii="宋体" w:hAnsi="宋体" w:eastAsia="宋体" w:cs="宋体"/>
          <w:color w:val="000000" w:themeColor="text1"/>
          <w:sz w:val="24"/>
          <w:szCs w:val="24"/>
          <w14:textFill>
            <w14:solidFill>
              <w14:schemeClr w14:val="tx1"/>
            </w14:solidFill>
          </w14:textFill>
        </w:rPr>
        <w:t>名称、数量、箱数、总毛重、每箱尺寸、装运合同</w:t>
      </w:r>
      <w:r>
        <w:rPr>
          <w:rFonts w:hint="eastAsia" w:ascii="宋体" w:hAnsi="宋体" w:eastAsia="宋体" w:cs="宋体"/>
          <w:color w:val="000000" w:themeColor="text1"/>
          <w:sz w:val="24"/>
          <w:szCs w:val="24"/>
          <w:lang w:eastAsia="zh-CN"/>
          <w14:textFill>
            <w14:solidFill>
              <w14:schemeClr w14:val="tx1"/>
            </w14:solidFill>
          </w14:textFill>
        </w:rPr>
        <w:t>货物</w:t>
      </w:r>
      <w:r>
        <w:rPr>
          <w:rFonts w:hint="eastAsia" w:ascii="宋体" w:hAnsi="宋体" w:eastAsia="宋体" w:cs="宋体"/>
          <w:color w:val="000000" w:themeColor="text1"/>
          <w:sz w:val="24"/>
          <w:szCs w:val="24"/>
          <w14:textFill>
            <w14:solidFill>
              <w14:schemeClr w14:val="tx1"/>
            </w14:solidFill>
          </w14:textFill>
        </w:rPr>
        <w:t>总金额、运输方式、预计交付日期和合同</w:t>
      </w:r>
      <w:r>
        <w:rPr>
          <w:rFonts w:hint="eastAsia" w:ascii="宋体" w:hAnsi="宋体" w:eastAsia="宋体" w:cs="宋体"/>
          <w:color w:val="000000" w:themeColor="text1"/>
          <w:sz w:val="24"/>
          <w:szCs w:val="24"/>
          <w:lang w:eastAsia="zh-CN"/>
          <w14:textFill>
            <w14:solidFill>
              <w14:schemeClr w14:val="tx1"/>
            </w14:solidFill>
          </w14:textFill>
        </w:rPr>
        <w:t>货物</w:t>
      </w:r>
      <w:r>
        <w:rPr>
          <w:rFonts w:hint="eastAsia" w:ascii="宋体" w:hAnsi="宋体" w:eastAsia="宋体" w:cs="宋体"/>
          <w:color w:val="000000" w:themeColor="text1"/>
          <w:sz w:val="24"/>
          <w:szCs w:val="24"/>
          <w14:textFill>
            <w14:solidFill>
              <w14:schemeClr w14:val="tx1"/>
            </w14:solidFill>
          </w14:textFill>
        </w:rPr>
        <w:t>在运输、装卸、保管中的注意事项等预通知甲方（如涉及易燃易爆物品、腐蚀物品、放射性物质等危险品，应告知危险品的品名、性质、在运输、装卸、保管方面的特殊要求、注意事项和意外情况的处理方法），并在合同</w:t>
      </w:r>
      <w:r>
        <w:rPr>
          <w:rFonts w:hint="eastAsia" w:ascii="宋体" w:hAnsi="宋体" w:eastAsia="宋体" w:cs="宋体"/>
          <w:color w:val="000000" w:themeColor="text1"/>
          <w:sz w:val="24"/>
          <w:szCs w:val="24"/>
          <w:lang w:eastAsia="zh-CN"/>
          <w14:textFill>
            <w14:solidFill>
              <w14:schemeClr w14:val="tx1"/>
            </w14:solidFill>
          </w14:textFill>
        </w:rPr>
        <w:t>货物</w:t>
      </w:r>
      <w:r>
        <w:rPr>
          <w:rFonts w:hint="eastAsia" w:ascii="宋体" w:hAnsi="宋体" w:eastAsia="宋体" w:cs="宋体"/>
          <w:color w:val="000000" w:themeColor="text1"/>
          <w:sz w:val="24"/>
          <w:szCs w:val="24"/>
          <w14:textFill>
            <w14:solidFill>
              <w14:schemeClr w14:val="tx1"/>
            </w14:solidFill>
          </w14:textFill>
        </w:rPr>
        <w:t>启运后 24 小时之内正式通知甲方。</w:t>
      </w:r>
    </w:p>
    <w:p>
      <w:pPr>
        <w:keepNext w:val="0"/>
        <w:keepLines w:val="0"/>
        <w:pageBreakBefore w:val="0"/>
        <w:kinsoku/>
        <w:wordWrap/>
        <w:overflowPunct/>
        <w:topLinePunct w:val="0"/>
        <w:bidi w:val="0"/>
        <w:snapToGrid/>
        <w:spacing w:after="0" w:line="360" w:lineRule="auto"/>
        <w:ind w:firstLine="480" w:firstLineChars="200"/>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第九条 技术服务</w:t>
      </w:r>
    </w:p>
    <w:p>
      <w:pPr>
        <w:keepNext w:val="0"/>
        <w:keepLines w:val="0"/>
        <w:pageBreakBefore w:val="0"/>
        <w:kinsoku/>
        <w:wordWrap/>
        <w:overflowPunct/>
        <w:topLinePunct w:val="0"/>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9.1  乙方应按甲方需求，派遣技术熟练、称职的技术人员到现场为甲方提供</w:t>
      </w:r>
      <w:r>
        <w:rPr>
          <w:rFonts w:hint="eastAsia" w:ascii="宋体" w:hAnsi="宋体" w:eastAsia="宋体" w:cs="宋体"/>
          <w:color w:val="000000" w:themeColor="text1"/>
          <w:sz w:val="24"/>
          <w:szCs w:val="24"/>
          <w:lang w:eastAsia="zh-CN"/>
          <w14:textFill>
            <w14:solidFill>
              <w14:schemeClr w14:val="tx1"/>
            </w14:solidFill>
          </w14:textFill>
        </w:rPr>
        <w:t>货物</w:t>
      </w:r>
      <w:r>
        <w:rPr>
          <w:rFonts w:hint="eastAsia" w:ascii="宋体" w:hAnsi="宋体" w:eastAsia="宋体" w:cs="宋体"/>
          <w:color w:val="000000" w:themeColor="text1"/>
          <w:sz w:val="24"/>
          <w:szCs w:val="24"/>
          <w14:textFill>
            <w14:solidFill>
              <w14:schemeClr w14:val="tx1"/>
            </w14:solidFill>
          </w14:textFill>
        </w:rPr>
        <w:t>调试运行等技术服务。</w:t>
      </w:r>
    </w:p>
    <w:p>
      <w:pPr>
        <w:keepNext w:val="0"/>
        <w:keepLines w:val="0"/>
        <w:pageBreakBefore w:val="0"/>
        <w:kinsoku/>
        <w:wordWrap/>
        <w:overflowPunct/>
        <w:topLinePunct w:val="0"/>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9.2  甲方为乙方技术人员提供工作条件及便利，包括但不限于必要的办公场所、技术资料及出入许可等。除合同另有约定外，乙方技术人员的交通、食宿费用由乙方承担。</w:t>
      </w:r>
    </w:p>
    <w:p>
      <w:pPr>
        <w:keepNext w:val="0"/>
        <w:keepLines w:val="0"/>
        <w:pageBreakBefore w:val="0"/>
        <w:kinsoku/>
        <w:wordWrap/>
        <w:overflowPunct/>
        <w:topLinePunct w:val="0"/>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9.3  乙方技术人员应遵守甲方施工现场的各项规章制度和安全操作规程，并服从甲方的现场管理。</w:t>
      </w:r>
    </w:p>
    <w:p>
      <w:pPr>
        <w:keepNext w:val="0"/>
        <w:keepLines w:val="0"/>
        <w:pageBreakBefore w:val="0"/>
        <w:kinsoku/>
        <w:wordWrap/>
        <w:overflowPunct/>
        <w:topLinePunct w:val="0"/>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9.4  如果乙方技术人员提供的服务达不到合同和甲方要求的，甲方有权要求乙方撤换，因撤换而产生的费用应由乙方承担。在不影响技术服务并且征得甲方同意的条件下，乙方也可自负费用更换其技术人员。</w:t>
      </w:r>
    </w:p>
    <w:p>
      <w:pPr>
        <w:keepNext w:val="0"/>
        <w:keepLines w:val="0"/>
        <w:pageBreakBefore w:val="0"/>
        <w:kinsoku/>
        <w:wordWrap/>
        <w:overflowPunct/>
        <w:topLinePunct w:val="0"/>
        <w:bidi w:val="0"/>
        <w:snapToGrid/>
        <w:spacing w:after="0" w:line="360" w:lineRule="auto"/>
        <w:ind w:firstLine="480" w:firstLineChars="200"/>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第十条 质量保修</w:t>
      </w:r>
    </w:p>
    <w:p>
      <w:pPr>
        <w:keepNext w:val="0"/>
        <w:keepLines w:val="0"/>
        <w:pageBreakBefore w:val="0"/>
        <w:tabs>
          <w:tab w:val="left" w:pos="851"/>
        </w:tabs>
        <w:kinsoku/>
        <w:wordWrap/>
        <w:overflowPunct/>
        <w:topLinePunct w:val="0"/>
        <w:bidi w:val="0"/>
        <w:adjustRightInd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10.1保修期：</w:t>
      </w:r>
      <w:r>
        <w:rPr>
          <w:rFonts w:hint="eastAsia" w:ascii="宋体" w:hAnsi="宋体" w:eastAsia="宋体" w:cs="宋体"/>
          <w:color w:val="000000" w:themeColor="text1"/>
          <w:sz w:val="24"/>
          <w:szCs w:val="24"/>
          <w:highlight w:val="none"/>
          <w14:textFill>
            <w14:solidFill>
              <w14:schemeClr w14:val="tx1"/>
            </w14:solidFill>
          </w14:textFill>
        </w:rPr>
        <w:t>自</w:t>
      </w:r>
      <w:r>
        <w:rPr>
          <w:rFonts w:hint="eastAsia" w:ascii="宋体" w:hAnsi="宋体" w:eastAsia="宋体" w:cs="宋体"/>
          <w:color w:val="000000" w:themeColor="text1"/>
          <w:kern w:val="0"/>
          <w:sz w:val="24"/>
          <w:szCs w:val="24"/>
          <w:highlight w:val="none"/>
          <w:lang w:val="zh-CN"/>
          <w14:textFill>
            <w14:solidFill>
              <w14:schemeClr w14:val="tx1"/>
            </w14:solidFill>
          </w14:textFill>
        </w:rPr>
        <w:t>货物</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安装调试</w:t>
      </w:r>
      <w:r>
        <w:rPr>
          <w:rFonts w:hint="eastAsia" w:ascii="宋体" w:hAnsi="宋体" w:cs="宋体"/>
          <w:color w:val="000000" w:themeColor="text1"/>
          <w:kern w:val="0"/>
          <w:sz w:val="24"/>
          <w:szCs w:val="24"/>
          <w:highlight w:val="none"/>
          <w:lang w:val="en-US" w:eastAsia="zh-CN"/>
          <w14:textFill>
            <w14:solidFill>
              <w14:schemeClr w14:val="tx1"/>
            </w14:solidFill>
          </w14:textFill>
        </w:rPr>
        <w:t>及软件升级功能</w:t>
      </w:r>
      <w:r>
        <w:rPr>
          <w:rFonts w:hint="eastAsia" w:ascii="宋体" w:hAnsi="宋体" w:eastAsia="宋体" w:cs="宋体"/>
          <w:color w:val="000000" w:themeColor="text1"/>
          <w:kern w:val="0"/>
          <w:sz w:val="24"/>
          <w:szCs w:val="24"/>
          <w:highlight w:val="none"/>
          <w:lang w:val="zh-CN"/>
          <w14:textFill>
            <w14:solidFill>
              <w14:schemeClr w14:val="tx1"/>
            </w14:solidFill>
          </w14:textFill>
        </w:rPr>
        <w:t>验收合格之日起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none"/>
          <w14:textFill>
            <w14:solidFill>
              <w14:schemeClr w14:val="tx1"/>
            </w14:solidFill>
          </w14:textFill>
        </w:rPr>
        <w:t>年</w:t>
      </w:r>
      <w:r>
        <w:rPr>
          <w:rFonts w:hint="eastAsia" w:ascii="宋体" w:hAnsi="宋体" w:eastAsia="宋体" w:cs="宋体"/>
          <w:color w:val="000000" w:themeColor="text1"/>
          <w:sz w:val="24"/>
          <w:szCs w:val="24"/>
          <w:highlight w:val="none"/>
          <w:u w:val="none"/>
          <w:lang w:eastAsia="zh-CN"/>
          <w14:textFill>
            <w14:solidFill>
              <w14:schemeClr w14:val="tx1"/>
            </w14:solidFill>
          </w14:textFill>
        </w:rPr>
        <w:t>且不得低于法定规定保修时间</w:t>
      </w:r>
      <w:r>
        <w:rPr>
          <w:rFonts w:hint="eastAsia" w:ascii="宋体" w:hAnsi="宋体" w:eastAsia="宋体" w:cs="宋体"/>
          <w:color w:val="000000" w:themeColor="text1"/>
          <w:sz w:val="24"/>
          <w:szCs w:val="24"/>
          <w:highlight w:val="none"/>
          <w14:textFill>
            <w14:solidFill>
              <w14:schemeClr w14:val="tx1"/>
            </w14:solidFill>
          </w14:textFill>
        </w:rPr>
        <w:t>。保修期内乙方应免费对</w:t>
      </w:r>
      <w:r>
        <w:rPr>
          <w:rFonts w:hint="eastAsia" w:ascii="宋体" w:hAnsi="宋体" w:eastAsia="宋体" w:cs="宋体"/>
          <w:color w:val="000000" w:themeColor="text1"/>
          <w:sz w:val="24"/>
          <w:szCs w:val="24"/>
          <w:highlight w:val="none"/>
          <w:lang w:eastAsia="zh-CN"/>
          <w14:textFill>
            <w14:solidFill>
              <w14:schemeClr w14:val="tx1"/>
            </w14:solidFill>
          </w14:textFill>
        </w:rPr>
        <w:t>货物</w:t>
      </w:r>
      <w:r>
        <w:rPr>
          <w:rFonts w:hint="eastAsia" w:ascii="宋体" w:hAnsi="宋体" w:eastAsia="宋体" w:cs="宋体"/>
          <w:color w:val="000000" w:themeColor="text1"/>
          <w:sz w:val="24"/>
          <w:szCs w:val="24"/>
          <w:highlight w:val="none"/>
          <w14:textFill>
            <w14:solidFill>
              <w14:schemeClr w14:val="tx1"/>
            </w14:solidFill>
          </w14:textFill>
        </w:rPr>
        <w:t xml:space="preserve">进行日常维护保养及质量缺陷修复。                                          </w:t>
      </w:r>
    </w:p>
    <w:p>
      <w:pPr>
        <w:keepNext w:val="0"/>
        <w:keepLines w:val="0"/>
        <w:pageBreakBefore w:val="0"/>
        <w:tabs>
          <w:tab w:val="left" w:pos="851"/>
        </w:tabs>
        <w:kinsoku/>
        <w:wordWrap/>
        <w:overflowPunct/>
        <w:topLinePunct w:val="0"/>
        <w:bidi w:val="0"/>
        <w:adjustRightInd w:val="0"/>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10.2</w:t>
      </w:r>
      <w:r>
        <w:rPr>
          <w:rFonts w:hint="eastAsia" w:ascii="宋体" w:hAnsi="宋体" w:eastAsia="宋体" w:cs="宋体"/>
          <w:color w:val="000000" w:themeColor="text1"/>
          <w:kern w:val="0"/>
          <w:sz w:val="24"/>
          <w:szCs w:val="24"/>
          <w:highlight w:val="none"/>
          <w14:textFill>
            <w14:solidFill>
              <w14:schemeClr w14:val="tx1"/>
            </w14:solidFill>
          </w14:textFill>
        </w:rPr>
        <w:t>保修</w:t>
      </w:r>
      <w:r>
        <w:rPr>
          <w:rFonts w:hint="eastAsia" w:ascii="宋体" w:hAnsi="宋体" w:eastAsia="宋体" w:cs="宋体"/>
          <w:color w:val="000000" w:themeColor="text1"/>
          <w:kern w:val="0"/>
          <w:sz w:val="24"/>
          <w:szCs w:val="24"/>
          <w:highlight w:val="none"/>
          <w:lang w:val="zh-CN"/>
          <w14:textFill>
            <w14:solidFill>
              <w14:schemeClr w14:val="tx1"/>
            </w14:solidFill>
          </w14:textFill>
        </w:rPr>
        <w:t>期内，乙方应对货物质量问题负责。如货物</w:t>
      </w:r>
      <w:r>
        <w:rPr>
          <w:rFonts w:hint="eastAsia" w:ascii="宋体" w:hAnsi="宋体" w:cs="宋体"/>
          <w:color w:val="000000" w:themeColor="text1"/>
          <w:kern w:val="0"/>
          <w:sz w:val="24"/>
          <w:szCs w:val="24"/>
          <w:highlight w:val="none"/>
          <w:lang w:val="en-US" w:eastAsia="zh-CN"/>
          <w14:textFill>
            <w14:solidFill>
              <w14:schemeClr w14:val="tx1"/>
            </w14:solidFill>
          </w14:textFill>
        </w:rPr>
        <w:t>出现质量问题</w:t>
      </w:r>
      <w:r>
        <w:rPr>
          <w:rFonts w:hint="eastAsia" w:ascii="宋体" w:hAnsi="宋体" w:eastAsia="宋体" w:cs="宋体"/>
          <w:color w:val="000000" w:themeColor="text1"/>
          <w:kern w:val="0"/>
          <w:sz w:val="24"/>
          <w:szCs w:val="24"/>
          <w:highlight w:val="none"/>
          <w:lang w:val="zh-CN"/>
          <w14:textFill>
            <w14:solidFill>
              <w14:schemeClr w14:val="tx1"/>
            </w14:solidFill>
          </w14:textFill>
        </w:rPr>
        <w:t>，乙方需无条件免费更换货物并支付</w:t>
      </w:r>
      <w:r>
        <w:rPr>
          <w:rFonts w:hint="eastAsia" w:ascii="宋体" w:hAnsi="宋体" w:eastAsia="宋体" w:cs="宋体"/>
          <w:color w:val="000000" w:themeColor="text1"/>
          <w:kern w:val="0"/>
          <w:sz w:val="24"/>
          <w:szCs w:val="24"/>
          <w:highlight w:val="none"/>
          <w:u w:val="single"/>
          <w:lang w:val="zh-CN"/>
          <w14:textFill>
            <w14:solidFill>
              <w14:schemeClr w14:val="tx1"/>
            </w14:solidFill>
          </w14:textFill>
        </w:rPr>
        <w:t>合同暂定总价的10%作为</w:t>
      </w:r>
      <w:r>
        <w:rPr>
          <w:rFonts w:hint="eastAsia" w:ascii="宋体" w:hAnsi="宋体" w:eastAsia="宋体" w:cs="宋体"/>
          <w:color w:val="000000" w:themeColor="text1"/>
          <w:kern w:val="0"/>
          <w:sz w:val="24"/>
          <w:szCs w:val="24"/>
          <w:highlight w:val="none"/>
          <w:lang w:val="zh-CN"/>
          <w14:textFill>
            <w14:solidFill>
              <w14:schemeClr w14:val="tx1"/>
            </w14:solidFill>
          </w14:textFill>
        </w:rPr>
        <w:t>违约金，</w:t>
      </w:r>
      <w:r>
        <w:rPr>
          <w:rFonts w:hint="eastAsia" w:ascii="宋体" w:hAnsi="宋体" w:eastAsia="宋体" w:cs="宋体"/>
          <w:color w:val="000000" w:themeColor="text1"/>
          <w:kern w:val="0"/>
          <w:sz w:val="24"/>
          <w:szCs w:val="24"/>
          <w:highlight w:val="none"/>
          <w14:textFill>
            <w14:solidFill>
              <w14:schemeClr w14:val="tx1"/>
            </w14:solidFill>
          </w14:textFill>
        </w:rPr>
        <w:t>由此产生的</w:t>
      </w:r>
      <w:r>
        <w:rPr>
          <w:rFonts w:hint="eastAsia" w:ascii="宋体" w:hAnsi="宋体" w:eastAsia="宋体" w:cs="宋体"/>
          <w:color w:val="000000" w:themeColor="text1"/>
          <w:kern w:val="0"/>
          <w:sz w:val="24"/>
          <w:szCs w:val="24"/>
          <w:highlight w:val="none"/>
          <w:lang w:val="zh-CN"/>
          <w14:textFill>
            <w14:solidFill>
              <w14:schemeClr w14:val="tx1"/>
            </w14:solidFill>
          </w14:textFill>
        </w:rPr>
        <w:t>费用由乙方承担。</w:t>
      </w:r>
    </w:p>
    <w:p>
      <w:pPr>
        <w:keepNext w:val="0"/>
        <w:keepLines w:val="0"/>
        <w:pageBreakBefore w:val="0"/>
        <w:tabs>
          <w:tab w:val="left" w:pos="851"/>
        </w:tabs>
        <w:kinsoku/>
        <w:wordWrap/>
        <w:overflowPunct/>
        <w:topLinePunct w:val="0"/>
        <w:bidi w:val="0"/>
        <w:adjustRightInd w:val="0"/>
        <w:snapToGrid/>
        <w:spacing w:line="360" w:lineRule="auto"/>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10.3 保修期间由于</w:t>
      </w:r>
      <w:r>
        <w:rPr>
          <w:rFonts w:hint="eastAsia" w:ascii="宋体" w:hAnsi="宋体" w:eastAsia="宋体" w:cs="宋体"/>
          <w:bCs/>
          <w:color w:val="000000" w:themeColor="text1"/>
          <w:sz w:val="24"/>
          <w:szCs w:val="24"/>
          <w:highlight w:val="none"/>
          <w:lang w:eastAsia="zh-CN"/>
          <w14:textFill>
            <w14:solidFill>
              <w14:schemeClr w14:val="tx1"/>
            </w14:solidFill>
          </w14:textFill>
        </w:rPr>
        <w:t>货物</w:t>
      </w:r>
      <w:r>
        <w:rPr>
          <w:rFonts w:hint="eastAsia" w:ascii="宋体" w:hAnsi="宋体" w:eastAsia="宋体" w:cs="宋体"/>
          <w:bCs/>
          <w:color w:val="000000" w:themeColor="text1"/>
          <w:sz w:val="24"/>
          <w:szCs w:val="24"/>
          <w:highlight w:val="none"/>
          <w14:textFill>
            <w14:solidFill>
              <w14:schemeClr w14:val="tx1"/>
            </w14:solidFill>
          </w14:textFill>
        </w:rPr>
        <w:t>本身原因产生的故障仍属质保范围，对更换或维修过的零部件从更换或维修完成并验收合格之日起，质量保修期重新计算。</w:t>
      </w:r>
    </w:p>
    <w:p>
      <w:pPr>
        <w:keepNext w:val="0"/>
        <w:keepLines w:val="0"/>
        <w:pageBreakBefore w:val="0"/>
        <w:kinsoku/>
        <w:wordWrap/>
        <w:overflowPunct/>
        <w:topLinePunct w:val="0"/>
        <w:bidi w:val="0"/>
        <w:snapToGrid/>
        <w:spacing w:line="360" w:lineRule="auto"/>
        <w:ind w:firstLine="482"/>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10.4 质量保修期间，如合同</w:t>
      </w:r>
      <w:r>
        <w:rPr>
          <w:rFonts w:hint="eastAsia" w:ascii="宋体" w:hAnsi="宋体" w:eastAsia="宋体" w:cs="宋体"/>
          <w:bCs/>
          <w:color w:val="000000" w:themeColor="text1"/>
          <w:sz w:val="24"/>
          <w:szCs w:val="24"/>
          <w:highlight w:val="none"/>
          <w:lang w:eastAsia="zh-CN"/>
          <w14:textFill>
            <w14:solidFill>
              <w14:schemeClr w14:val="tx1"/>
            </w14:solidFill>
          </w14:textFill>
        </w:rPr>
        <w:t>货物</w:t>
      </w:r>
      <w:r>
        <w:rPr>
          <w:rFonts w:hint="eastAsia" w:ascii="宋体" w:hAnsi="宋体" w:eastAsia="宋体" w:cs="宋体"/>
          <w:bCs/>
          <w:color w:val="000000" w:themeColor="text1"/>
          <w:sz w:val="24"/>
          <w:szCs w:val="24"/>
          <w:highlight w:val="none"/>
          <w14:textFill>
            <w14:solidFill>
              <w14:schemeClr w14:val="tx1"/>
            </w14:solidFill>
          </w14:textFill>
        </w:rPr>
        <w:t>出现故障，乙方应在接到甲方通知后</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12</w:t>
      </w:r>
      <w:r>
        <w:rPr>
          <w:rFonts w:hint="eastAsia" w:ascii="宋体" w:hAnsi="宋体" w:eastAsia="宋体" w:cs="宋体"/>
          <w:bCs/>
          <w:color w:val="000000" w:themeColor="text1"/>
          <w:sz w:val="24"/>
          <w:szCs w:val="24"/>
          <w:highlight w:val="none"/>
          <w14:textFill>
            <w14:solidFill>
              <w14:schemeClr w14:val="tx1"/>
            </w14:solidFill>
          </w14:textFill>
        </w:rPr>
        <w:t xml:space="preserve"> 小时内通过电话、网络等提供远程技术指导，如甲方需要乙方到场的，乙方应在收到甲方通知后</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eastAsia="zh-CN"/>
          <w14:textFill>
            <w14:solidFill>
              <w14:schemeClr w14:val="tx1"/>
            </w14:solidFill>
          </w14:textFill>
        </w:rPr>
        <w:t>2</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小时内派专业技术人员到场负责解决及维修故障。如果乙方不按时到场维修或到场后不能修复的，甲方有权委托他人予以维修，乙方承担由此发生的费用并支付</w:t>
      </w:r>
      <w:r>
        <w:rPr>
          <w:rFonts w:hint="eastAsia" w:ascii="宋体" w:hAnsi="宋体" w:eastAsia="宋体" w:cs="宋体"/>
          <w:bCs/>
          <w:color w:val="000000" w:themeColor="text1"/>
          <w:sz w:val="24"/>
          <w:szCs w:val="24"/>
          <w:u w:val="single"/>
          <w14:textFill>
            <w14:solidFill>
              <w14:schemeClr w14:val="tx1"/>
            </w14:solidFill>
          </w14:textFill>
        </w:rPr>
        <w:t>合同暂定总价10%/次</w:t>
      </w:r>
      <w:r>
        <w:rPr>
          <w:rFonts w:hint="eastAsia" w:ascii="宋体" w:hAnsi="宋体" w:eastAsia="宋体" w:cs="宋体"/>
          <w:bCs/>
          <w:color w:val="000000" w:themeColor="text1"/>
          <w:sz w:val="24"/>
          <w:szCs w:val="24"/>
          <w14:textFill>
            <w14:solidFill>
              <w14:schemeClr w14:val="tx1"/>
            </w14:solidFill>
          </w14:textFill>
        </w:rPr>
        <w:t>作为违约金。</w:t>
      </w:r>
    </w:p>
    <w:p>
      <w:pPr>
        <w:keepNext w:val="0"/>
        <w:keepLines w:val="0"/>
        <w:pageBreakBefore w:val="0"/>
        <w:kinsoku/>
        <w:wordWrap/>
        <w:overflowPunct/>
        <w:topLinePunct w:val="0"/>
        <w:bidi w:val="0"/>
        <w:snapToGrid/>
        <w:spacing w:line="360" w:lineRule="auto"/>
        <w:ind w:firstLine="482"/>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第十一条 违约责任</w:t>
      </w:r>
    </w:p>
    <w:p>
      <w:pPr>
        <w:keepNext w:val="0"/>
        <w:keepLines w:val="0"/>
        <w:pageBreakBefore w:val="0"/>
        <w:kinsoku/>
        <w:wordWrap/>
        <w:overflowPunct/>
        <w:topLinePunct w:val="0"/>
        <w:bidi w:val="0"/>
        <w:snapToGrid/>
        <w:spacing w:line="360" w:lineRule="auto"/>
        <w:ind w:firstLine="482"/>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11.1 延期交货的违约责任</w:t>
      </w:r>
    </w:p>
    <w:p>
      <w:pPr>
        <w:keepNext w:val="0"/>
        <w:keepLines w:val="0"/>
        <w:pageBreakBefore w:val="0"/>
        <w:kinsoku/>
        <w:wordWrap/>
        <w:overflowPunct/>
        <w:topLinePunct w:val="0"/>
        <w:bidi w:val="0"/>
        <w:snapToGrid/>
        <w:spacing w:line="360" w:lineRule="auto"/>
        <w:ind w:firstLine="482"/>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11.1.1 乙方应按照本合同约定的时间交货。如乙方因客观情况导致无法按时交货，乙方应在交货期前</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eastAsia="zh-CN"/>
          <w14:textFill>
            <w14:solidFill>
              <w14:schemeClr w14:val="tx1"/>
            </w14:solidFill>
          </w14:textFill>
        </w:rPr>
        <w:t>1</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日，以书面形式将原因及预计拖延的时间通知甲方。经甲方同意后，交货期顺延。</w:t>
      </w:r>
    </w:p>
    <w:p>
      <w:pPr>
        <w:keepNext w:val="0"/>
        <w:keepLines w:val="0"/>
        <w:pageBreakBefore w:val="0"/>
        <w:kinsoku/>
        <w:wordWrap/>
        <w:overflowPunct/>
        <w:topLinePunct w:val="0"/>
        <w:bidi w:val="0"/>
        <w:snapToGrid/>
        <w:spacing w:line="360" w:lineRule="auto"/>
        <w:ind w:firstLine="482"/>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11.1.2乙方未能在合同规定期限内交货并交付完整技术资料的，每逾期一天，甲方有权按迟</w:t>
      </w:r>
      <w:r>
        <w:rPr>
          <w:rFonts w:hint="eastAsia" w:ascii="宋体" w:hAnsi="宋体" w:eastAsia="宋体" w:cs="宋体"/>
          <w:bCs/>
          <w:color w:val="000000" w:themeColor="text1"/>
          <w:sz w:val="24"/>
          <w:szCs w:val="24"/>
          <w:highlight w:val="none"/>
          <w:u w:val="single"/>
          <w14:textFill>
            <w14:solidFill>
              <w14:schemeClr w14:val="tx1"/>
            </w14:solidFill>
          </w14:textFill>
        </w:rPr>
        <w:t>交货</w:t>
      </w:r>
      <w:r>
        <w:rPr>
          <w:rFonts w:hint="eastAsia" w:ascii="宋体" w:hAnsi="宋体" w:eastAsia="宋体" w:cs="宋体"/>
          <w:bCs/>
          <w:color w:val="000000" w:themeColor="text1"/>
          <w:sz w:val="24"/>
          <w:szCs w:val="24"/>
          <w:highlight w:val="none"/>
          <w:u w:val="single"/>
          <w:lang w:eastAsia="zh-CN"/>
          <w14:textFill>
            <w14:solidFill>
              <w14:schemeClr w14:val="tx1"/>
            </w14:solidFill>
          </w14:textFill>
        </w:rPr>
        <w:t>货物</w:t>
      </w:r>
      <w:r>
        <w:rPr>
          <w:rFonts w:hint="eastAsia" w:ascii="宋体" w:hAnsi="宋体" w:eastAsia="宋体" w:cs="宋体"/>
          <w:bCs/>
          <w:color w:val="000000" w:themeColor="text1"/>
          <w:sz w:val="24"/>
          <w:szCs w:val="24"/>
          <w:highlight w:val="none"/>
          <w:u w:val="single"/>
          <w14:textFill>
            <w14:solidFill>
              <w14:schemeClr w14:val="tx1"/>
            </w14:solidFill>
          </w14:textFill>
        </w:rPr>
        <w:t>价格的1%/天</w:t>
      </w:r>
      <w:r>
        <w:rPr>
          <w:rFonts w:hint="eastAsia" w:ascii="宋体" w:hAnsi="宋体" w:eastAsia="宋体" w:cs="宋体"/>
          <w:bCs/>
          <w:color w:val="000000" w:themeColor="text1"/>
          <w:sz w:val="24"/>
          <w:szCs w:val="24"/>
          <w:highlight w:val="none"/>
          <w14:textFill>
            <w14:solidFill>
              <w14:schemeClr w14:val="tx1"/>
            </w14:solidFill>
          </w14:textFill>
        </w:rPr>
        <w:t>要求乙方支付违约金。逾期超过</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15 </w:t>
      </w:r>
      <w:r>
        <w:rPr>
          <w:rFonts w:hint="eastAsia" w:ascii="宋体" w:hAnsi="宋体" w:eastAsia="宋体" w:cs="宋体"/>
          <w:bCs/>
          <w:color w:val="000000" w:themeColor="text1"/>
          <w:sz w:val="24"/>
          <w:szCs w:val="24"/>
          <w:highlight w:val="none"/>
          <w14:textFill>
            <w14:solidFill>
              <w14:schemeClr w14:val="tx1"/>
            </w14:solidFill>
          </w14:textFill>
        </w:rPr>
        <w:t>天，甲方有权解除合同，要求乙方支付迟延违约金并在3天内退回预付款及利息（如有），且扣除乙方履约担保全部金额（如有）。如由于乙方逾期交货对甲方生产造成影响，甲方有权要求乙方赔偿损失。</w:t>
      </w:r>
    </w:p>
    <w:p>
      <w:pPr>
        <w:keepNext w:val="0"/>
        <w:keepLines w:val="0"/>
        <w:pageBreakBefore w:val="0"/>
        <w:kinsoku/>
        <w:wordWrap/>
        <w:overflowPunct/>
        <w:topLinePunct w:val="0"/>
        <w:bidi w:val="0"/>
        <w:snapToGrid/>
        <w:spacing w:line="360" w:lineRule="auto"/>
        <w:ind w:firstLine="482"/>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11.2 质量问题的违约责任</w:t>
      </w:r>
    </w:p>
    <w:p>
      <w:pPr>
        <w:keepNext w:val="0"/>
        <w:keepLines w:val="0"/>
        <w:pageBreakBefore w:val="0"/>
        <w:kinsoku/>
        <w:wordWrap/>
        <w:overflowPunct/>
        <w:topLinePunct w:val="0"/>
        <w:bidi w:val="0"/>
        <w:snapToGrid/>
        <w:spacing w:line="360" w:lineRule="auto"/>
        <w:ind w:firstLine="482"/>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11.2.1 自乙方交货后至质量保修期满的期间内，甲方经检查发现或合同</w:t>
      </w:r>
      <w:r>
        <w:rPr>
          <w:rFonts w:hint="eastAsia" w:ascii="宋体" w:hAnsi="宋体" w:eastAsia="宋体" w:cs="宋体"/>
          <w:bCs/>
          <w:color w:val="000000" w:themeColor="text1"/>
          <w:sz w:val="24"/>
          <w:szCs w:val="24"/>
          <w:highlight w:val="none"/>
          <w:lang w:eastAsia="zh-CN"/>
          <w14:textFill>
            <w14:solidFill>
              <w14:schemeClr w14:val="tx1"/>
            </w14:solidFill>
          </w14:textFill>
        </w:rPr>
        <w:t>货物</w:t>
      </w:r>
      <w:r>
        <w:rPr>
          <w:rFonts w:hint="eastAsia" w:ascii="宋体" w:hAnsi="宋体" w:eastAsia="宋体" w:cs="宋体"/>
          <w:bCs/>
          <w:color w:val="000000" w:themeColor="text1"/>
          <w:sz w:val="24"/>
          <w:szCs w:val="24"/>
          <w:highlight w:val="none"/>
          <w14:textFill>
            <w14:solidFill>
              <w14:schemeClr w14:val="tx1"/>
            </w14:solidFill>
          </w14:textFill>
        </w:rPr>
        <w:t>经安装、调试、试车或运行显示，合同</w:t>
      </w:r>
      <w:r>
        <w:rPr>
          <w:rFonts w:hint="eastAsia" w:ascii="宋体" w:hAnsi="宋体" w:eastAsia="宋体" w:cs="宋体"/>
          <w:bCs/>
          <w:color w:val="000000" w:themeColor="text1"/>
          <w:sz w:val="24"/>
          <w:szCs w:val="24"/>
          <w:highlight w:val="none"/>
          <w:lang w:eastAsia="zh-CN"/>
          <w14:textFill>
            <w14:solidFill>
              <w14:schemeClr w14:val="tx1"/>
            </w14:solidFill>
          </w14:textFill>
        </w:rPr>
        <w:t>货物</w:t>
      </w:r>
      <w:r>
        <w:rPr>
          <w:rFonts w:hint="eastAsia" w:ascii="宋体" w:hAnsi="宋体" w:eastAsia="宋体" w:cs="宋体"/>
          <w:bCs/>
          <w:color w:val="000000" w:themeColor="text1"/>
          <w:sz w:val="24"/>
          <w:szCs w:val="24"/>
          <w:highlight w:val="none"/>
          <w14:textFill>
            <w14:solidFill>
              <w14:schemeClr w14:val="tx1"/>
            </w14:solidFill>
          </w14:textFill>
        </w:rPr>
        <w:t>或其任何部件存在质量问题，达不到本合同技术要求。甲方有权要求乙方采取下列一种或多种方式予以解决：</w:t>
      </w:r>
    </w:p>
    <w:p>
      <w:pPr>
        <w:keepNext w:val="0"/>
        <w:keepLines w:val="0"/>
        <w:pageBreakBefore w:val="0"/>
        <w:kinsoku/>
        <w:wordWrap/>
        <w:overflowPunct/>
        <w:topLinePunct w:val="0"/>
        <w:bidi w:val="0"/>
        <w:snapToGrid/>
        <w:spacing w:line="360" w:lineRule="auto"/>
        <w:ind w:firstLine="482"/>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（1）乙方承担费用，用合格的新</w:t>
      </w:r>
      <w:r>
        <w:rPr>
          <w:rFonts w:hint="eastAsia" w:ascii="宋体" w:hAnsi="宋体" w:eastAsia="宋体" w:cs="宋体"/>
          <w:bCs/>
          <w:color w:val="000000" w:themeColor="text1"/>
          <w:sz w:val="24"/>
          <w:szCs w:val="24"/>
          <w:highlight w:val="none"/>
          <w:lang w:eastAsia="zh-CN"/>
          <w14:textFill>
            <w14:solidFill>
              <w14:schemeClr w14:val="tx1"/>
            </w14:solidFill>
          </w14:textFill>
        </w:rPr>
        <w:t>货物</w:t>
      </w:r>
      <w:r>
        <w:rPr>
          <w:rFonts w:hint="eastAsia" w:ascii="宋体" w:hAnsi="宋体" w:eastAsia="宋体" w:cs="宋体"/>
          <w:bCs/>
          <w:color w:val="000000" w:themeColor="text1"/>
          <w:sz w:val="24"/>
          <w:szCs w:val="24"/>
          <w:highlight w:val="none"/>
          <w14:textFill>
            <w14:solidFill>
              <w14:schemeClr w14:val="tx1"/>
            </w14:solidFill>
          </w14:textFill>
        </w:rPr>
        <w:t>更换有缺陷的</w:t>
      </w:r>
      <w:r>
        <w:rPr>
          <w:rFonts w:hint="eastAsia" w:ascii="宋体" w:hAnsi="宋体" w:eastAsia="宋体" w:cs="宋体"/>
          <w:bCs/>
          <w:color w:val="000000" w:themeColor="text1"/>
          <w:sz w:val="24"/>
          <w:szCs w:val="24"/>
          <w:highlight w:val="none"/>
          <w:lang w:eastAsia="zh-CN"/>
          <w14:textFill>
            <w14:solidFill>
              <w14:schemeClr w14:val="tx1"/>
            </w14:solidFill>
          </w14:textFill>
        </w:rPr>
        <w:t>货物</w:t>
      </w:r>
      <w:r>
        <w:rPr>
          <w:rFonts w:hint="eastAsia" w:ascii="宋体" w:hAnsi="宋体" w:eastAsia="宋体" w:cs="宋体"/>
          <w:bCs/>
          <w:color w:val="000000" w:themeColor="text1"/>
          <w:sz w:val="24"/>
          <w:szCs w:val="24"/>
          <w:highlight w:val="none"/>
          <w14:textFill>
            <w14:solidFill>
              <w14:schemeClr w14:val="tx1"/>
            </w14:solidFill>
          </w14:textFill>
        </w:rPr>
        <w:t>或修补缺陷部分；</w:t>
      </w:r>
    </w:p>
    <w:p>
      <w:pPr>
        <w:keepNext w:val="0"/>
        <w:keepLines w:val="0"/>
        <w:pageBreakBefore w:val="0"/>
        <w:kinsoku/>
        <w:wordWrap/>
        <w:overflowPunct/>
        <w:topLinePunct w:val="0"/>
        <w:bidi w:val="0"/>
        <w:snapToGrid/>
        <w:spacing w:line="360" w:lineRule="auto"/>
        <w:ind w:firstLine="482"/>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（2）退还</w:t>
      </w:r>
      <w:r>
        <w:rPr>
          <w:rFonts w:hint="eastAsia" w:ascii="宋体" w:hAnsi="宋体" w:eastAsia="宋体" w:cs="宋体"/>
          <w:bCs/>
          <w:color w:val="000000" w:themeColor="text1"/>
          <w:sz w:val="24"/>
          <w:szCs w:val="24"/>
          <w:highlight w:val="none"/>
          <w:lang w:eastAsia="zh-CN"/>
          <w14:textFill>
            <w14:solidFill>
              <w14:schemeClr w14:val="tx1"/>
            </w14:solidFill>
          </w14:textFill>
        </w:rPr>
        <w:t>货物</w:t>
      </w:r>
      <w:r>
        <w:rPr>
          <w:rFonts w:hint="eastAsia" w:ascii="宋体" w:hAnsi="宋体" w:eastAsia="宋体" w:cs="宋体"/>
          <w:bCs/>
          <w:color w:val="000000" w:themeColor="text1"/>
          <w:sz w:val="24"/>
          <w:szCs w:val="24"/>
          <w:highlight w:val="none"/>
          <w14:textFill>
            <w14:solidFill>
              <w14:schemeClr w14:val="tx1"/>
            </w14:solidFill>
          </w14:textFill>
        </w:rPr>
        <w:t>，同时将甲方已经支付的合同价款全额退还甲方，并承担甲方因履行本合同而支出的一切费用，包括但不限于利息、银行手续费、仓储费、卸货费以及因退回</w:t>
      </w:r>
      <w:r>
        <w:rPr>
          <w:rFonts w:hint="eastAsia" w:ascii="宋体" w:hAnsi="宋体" w:eastAsia="宋体" w:cs="宋体"/>
          <w:bCs/>
          <w:color w:val="000000" w:themeColor="text1"/>
          <w:sz w:val="24"/>
          <w:szCs w:val="24"/>
          <w:highlight w:val="none"/>
          <w:lang w:eastAsia="zh-CN"/>
          <w14:textFill>
            <w14:solidFill>
              <w14:schemeClr w14:val="tx1"/>
            </w14:solidFill>
          </w14:textFill>
        </w:rPr>
        <w:t>货物</w:t>
      </w:r>
      <w:r>
        <w:rPr>
          <w:rFonts w:hint="eastAsia" w:ascii="宋体" w:hAnsi="宋体" w:eastAsia="宋体" w:cs="宋体"/>
          <w:bCs/>
          <w:color w:val="000000" w:themeColor="text1"/>
          <w:sz w:val="24"/>
          <w:szCs w:val="24"/>
          <w:highlight w:val="none"/>
          <w14:textFill>
            <w14:solidFill>
              <w14:schemeClr w14:val="tx1"/>
            </w14:solidFill>
          </w14:textFill>
        </w:rPr>
        <w:t>所需的其他费用。</w:t>
      </w:r>
    </w:p>
    <w:p>
      <w:pPr>
        <w:keepNext w:val="0"/>
        <w:keepLines w:val="0"/>
        <w:pageBreakBefore w:val="0"/>
        <w:kinsoku/>
        <w:wordWrap/>
        <w:overflowPunct/>
        <w:topLinePunct w:val="0"/>
        <w:bidi w:val="0"/>
        <w:snapToGrid/>
        <w:spacing w:line="360" w:lineRule="auto"/>
        <w:ind w:firstLine="482"/>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（3）按不合格</w:t>
      </w:r>
      <w:r>
        <w:rPr>
          <w:rFonts w:hint="eastAsia" w:ascii="宋体" w:hAnsi="宋体" w:eastAsia="宋体" w:cs="宋体"/>
          <w:bCs/>
          <w:color w:val="000000" w:themeColor="text1"/>
          <w:sz w:val="24"/>
          <w:szCs w:val="24"/>
          <w:highlight w:val="none"/>
          <w:lang w:eastAsia="zh-CN"/>
          <w14:textFill>
            <w14:solidFill>
              <w14:schemeClr w14:val="tx1"/>
            </w14:solidFill>
          </w14:textFill>
        </w:rPr>
        <w:t>货物</w:t>
      </w:r>
      <w:r>
        <w:rPr>
          <w:rFonts w:hint="eastAsia" w:ascii="宋体" w:hAnsi="宋体" w:eastAsia="宋体" w:cs="宋体"/>
          <w:bCs/>
          <w:color w:val="000000" w:themeColor="text1"/>
          <w:sz w:val="24"/>
          <w:szCs w:val="24"/>
          <w:highlight w:val="none"/>
          <w14:textFill>
            <w14:solidFill>
              <w14:schemeClr w14:val="tx1"/>
            </w14:solidFill>
          </w14:textFill>
        </w:rPr>
        <w:t>价格的</w:t>
      </w:r>
      <w:r>
        <w:rPr>
          <w:rFonts w:hint="eastAsia" w:ascii="宋体" w:hAnsi="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14:textFill>
            <w14:solidFill>
              <w14:schemeClr w14:val="tx1"/>
            </w14:solidFill>
          </w14:textFill>
        </w:rPr>
        <w:t>50%</w:t>
      </w:r>
      <w:r>
        <w:rPr>
          <w:rFonts w:hint="eastAsia" w:ascii="宋体" w:hAnsi="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支付违约金。</w:t>
      </w:r>
    </w:p>
    <w:p>
      <w:pPr>
        <w:keepNext w:val="0"/>
        <w:keepLines w:val="0"/>
        <w:pageBreakBefore w:val="0"/>
        <w:numPr>
          <w:ilvl w:val="255"/>
          <w:numId w:val="0"/>
        </w:numPr>
        <w:kinsoku/>
        <w:wordWrap/>
        <w:overflowPunct/>
        <w:topLinePunct w:val="0"/>
        <w:bidi w:val="0"/>
        <w:snapToGrid/>
        <w:spacing w:line="360" w:lineRule="auto"/>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（4）赔偿甲方因</w:t>
      </w:r>
      <w:r>
        <w:rPr>
          <w:rFonts w:hint="eastAsia" w:ascii="宋体" w:hAnsi="宋体" w:eastAsia="宋体" w:cs="宋体"/>
          <w:bCs/>
          <w:color w:val="000000" w:themeColor="text1"/>
          <w:sz w:val="24"/>
          <w:szCs w:val="24"/>
          <w:highlight w:val="none"/>
          <w:lang w:eastAsia="zh-CN"/>
          <w14:textFill>
            <w14:solidFill>
              <w14:schemeClr w14:val="tx1"/>
            </w14:solidFill>
          </w14:textFill>
        </w:rPr>
        <w:t>货物</w:t>
      </w:r>
      <w:r>
        <w:rPr>
          <w:rFonts w:hint="eastAsia" w:ascii="宋体" w:hAnsi="宋体" w:eastAsia="宋体" w:cs="宋体"/>
          <w:bCs/>
          <w:color w:val="000000" w:themeColor="text1"/>
          <w:sz w:val="24"/>
          <w:szCs w:val="24"/>
          <w:highlight w:val="none"/>
          <w14:textFill>
            <w14:solidFill>
              <w14:schemeClr w14:val="tx1"/>
            </w14:solidFill>
          </w14:textFill>
        </w:rPr>
        <w:t>质量问题导致的一切损失。</w:t>
      </w:r>
    </w:p>
    <w:p>
      <w:pPr>
        <w:keepNext w:val="0"/>
        <w:keepLines w:val="0"/>
        <w:pageBreakBefore w:val="0"/>
        <w:kinsoku/>
        <w:wordWrap/>
        <w:overflowPunct/>
        <w:topLinePunct w:val="0"/>
        <w:bidi w:val="0"/>
        <w:snapToGrid/>
        <w:spacing w:line="360" w:lineRule="auto"/>
        <w:ind w:firstLine="482"/>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11.2.2 如果乙方提供的技术资料有错误，或者由于乙方技术人员原因造成</w:t>
      </w:r>
      <w:r>
        <w:rPr>
          <w:rFonts w:hint="eastAsia" w:ascii="宋体" w:hAnsi="宋体" w:eastAsia="宋体" w:cs="宋体"/>
          <w:bCs/>
          <w:color w:val="000000" w:themeColor="text1"/>
          <w:sz w:val="24"/>
          <w:szCs w:val="24"/>
          <w:highlight w:val="none"/>
          <w:lang w:eastAsia="zh-CN"/>
          <w14:textFill>
            <w14:solidFill>
              <w14:schemeClr w14:val="tx1"/>
            </w14:solidFill>
          </w14:textFill>
        </w:rPr>
        <w:t>货物</w:t>
      </w:r>
      <w:r>
        <w:rPr>
          <w:rFonts w:hint="eastAsia" w:ascii="宋体" w:hAnsi="宋体" w:eastAsia="宋体" w:cs="宋体"/>
          <w:bCs/>
          <w:color w:val="000000" w:themeColor="text1"/>
          <w:sz w:val="24"/>
          <w:szCs w:val="24"/>
          <w:highlight w:val="none"/>
          <w14:textFill>
            <w14:solidFill>
              <w14:schemeClr w14:val="tx1"/>
            </w14:solidFill>
          </w14:textFill>
        </w:rPr>
        <w:t>安装、调试不成功和（或）造成合同</w:t>
      </w:r>
      <w:r>
        <w:rPr>
          <w:rFonts w:hint="eastAsia" w:ascii="宋体" w:hAnsi="宋体" w:eastAsia="宋体" w:cs="宋体"/>
          <w:bCs/>
          <w:color w:val="000000" w:themeColor="text1"/>
          <w:sz w:val="24"/>
          <w:szCs w:val="24"/>
          <w:highlight w:val="none"/>
          <w:lang w:eastAsia="zh-CN"/>
          <w14:textFill>
            <w14:solidFill>
              <w14:schemeClr w14:val="tx1"/>
            </w14:solidFill>
          </w14:textFill>
        </w:rPr>
        <w:t>货物</w:t>
      </w:r>
      <w:r>
        <w:rPr>
          <w:rFonts w:hint="eastAsia" w:ascii="宋体" w:hAnsi="宋体" w:eastAsia="宋体" w:cs="宋体"/>
          <w:bCs/>
          <w:color w:val="000000" w:themeColor="text1"/>
          <w:sz w:val="24"/>
          <w:szCs w:val="24"/>
          <w:highlight w:val="none"/>
          <w14:textFill>
            <w14:solidFill>
              <w14:schemeClr w14:val="tx1"/>
            </w14:solidFill>
          </w14:textFill>
        </w:rPr>
        <w:t>损坏的情况，乙方应在</w:t>
      </w:r>
      <w:r>
        <w:rPr>
          <w:rFonts w:hint="eastAsia" w:ascii="宋体" w:hAnsi="宋体" w:eastAsia="宋体" w:cs="宋体"/>
          <w:bCs/>
          <w:color w:val="000000" w:themeColor="text1"/>
          <w:sz w:val="24"/>
          <w:szCs w:val="24"/>
          <w:highlight w:val="none"/>
          <w:u w:val="single"/>
          <w:lang w:eastAsia="zh-CN"/>
          <w14:textFill>
            <w14:solidFill>
              <w14:schemeClr w14:val="tx1"/>
            </w14:solidFill>
          </w14:textFill>
        </w:rPr>
        <w:t>2</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cs="宋体"/>
          <w:bCs/>
          <w:color w:val="000000" w:themeColor="text1"/>
          <w:sz w:val="24"/>
          <w:szCs w:val="24"/>
          <w:highlight w:val="none"/>
          <w14:textFill>
            <w14:solidFill>
              <w14:schemeClr w14:val="tx1"/>
            </w14:solidFill>
          </w14:textFill>
        </w:rPr>
        <w:t>小时内采取修理、更换、退货等补救措施并负担因此发生的费用，同时需向甲方支付</w:t>
      </w:r>
      <w:r>
        <w:rPr>
          <w:rFonts w:hint="eastAsia" w:ascii="宋体" w:hAnsi="宋体" w:eastAsia="宋体" w:cs="宋体"/>
          <w:bCs/>
          <w:color w:val="000000" w:themeColor="text1"/>
          <w:sz w:val="24"/>
          <w:szCs w:val="24"/>
          <w:highlight w:val="none"/>
          <w:u w:val="single"/>
          <w14:textFill>
            <w14:solidFill>
              <w14:schemeClr w14:val="tx1"/>
            </w14:solidFill>
          </w14:textFill>
        </w:rPr>
        <w:t>不合格</w:t>
      </w:r>
      <w:r>
        <w:rPr>
          <w:rFonts w:hint="eastAsia" w:ascii="宋体" w:hAnsi="宋体" w:eastAsia="宋体" w:cs="宋体"/>
          <w:bCs/>
          <w:color w:val="000000" w:themeColor="text1"/>
          <w:sz w:val="24"/>
          <w:szCs w:val="24"/>
          <w:highlight w:val="none"/>
          <w:u w:val="single"/>
          <w:lang w:eastAsia="zh-CN"/>
          <w14:textFill>
            <w14:solidFill>
              <w14:schemeClr w14:val="tx1"/>
            </w14:solidFill>
          </w14:textFill>
        </w:rPr>
        <w:t>货物</w:t>
      </w:r>
      <w:r>
        <w:rPr>
          <w:rFonts w:hint="eastAsia" w:ascii="宋体" w:hAnsi="宋体" w:eastAsia="宋体" w:cs="宋体"/>
          <w:bCs/>
          <w:color w:val="000000" w:themeColor="text1"/>
          <w:sz w:val="24"/>
          <w:szCs w:val="24"/>
          <w:u w:val="single"/>
          <w14:textFill>
            <w14:solidFill>
              <w14:schemeClr w14:val="tx1"/>
            </w14:solidFill>
          </w14:textFill>
        </w:rPr>
        <w:t xml:space="preserve">价格的 50 </w:t>
      </w:r>
      <w:r>
        <w:rPr>
          <w:rFonts w:hint="eastAsia" w:ascii="宋体" w:hAnsi="宋体" w:eastAsia="宋体" w:cs="宋体"/>
          <w:bCs/>
          <w:color w:val="000000" w:themeColor="text1"/>
          <w:sz w:val="24"/>
          <w:szCs w:val="24"/>
          <w14:textFill>
            <w14:solidFill>
              <w14:schemeClr w14:val="tx1"/>
            </w14:solidFill>
          </w14:textFill>
        </w:rPr>
        <w:t>%作为违约金。</w:t>
      </w:r>
    </w:p>
    <w:p>
      <w:pPr>
        <w:keepNext w:val="0"/>
        <w:keepLines w:val="0"/>
        <w:pageBreakBefore w:val="0"/>
        <w:kinsoku/>
        <w:wordWrap/>
        <w:overflowPunct/>
        <w:topLinePunct w:val="0"/>
        <w:bidi w:val="0"/>
        <w:snapToGrid/>
        <w:spacing w:line="360" w:lineRule="auto"/>
        <w:ind w:firstLine="482"/>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11.2.3 在开箱检验、或使用过程中发现乙方提交的合同</w:t>
      </w:r>
      <w:r>
        <w:rPr>
          <w:rFonts w:hint="eastAsia" w:ascii="宋体" w:hAnsi="宋体" w:eastAsia="宋体" w:cs="宋体"/>
          <w:bCs/>
          <w:color w:val="000000" w:themeColor="text1"/>
          <w:sz w:val="24"/>
          <w:szCs w:val="24"/>
          <w:lang w:eastAsia="zh-CN"/>
          <w14:textFill>
            <w14:solidFill>
              <w14:schemeClr w14:val="tx1"/>
            </w14:solidFill>
          </w14:textFill>
        </w:rPr>
        <w:t>货物</w:t>
      </w:r>
      <w:r>
        <w:rPr>
          <w:rFonts w:hint="eastAsia" w:ascii="宋体" w:hAnsi="宋体" w:eastAsia="宋体" w:cs="宋体"/>
          <w:bCs/>
          <w:color w:val="000000" w:themeColor="text1"/>
          <w:sz w:val="24"/>
          <w:szCs w:val="24"/>
          <w14:textFill>
            <w14:solidFill>
              <w14:schemeClr w14:val="tx1"/>
            </w14:solidFill>
          </w14:textFill>
        </w:rPr>
        <w:t>为贴牌、假冒、伪劣、翻新产品，或生产组成合同</w:t>
      </w:r>
      <w:r>
        <w:rPr>
          <w:rFonts w:hint="eastAsia" w:ascii="宋体" w:hAnsi="宋体" w:eastAsia="宋体" w:cs="宋体"/>
          <w:bCs/>
          <w:color w:val="000000" w:themeColor="text1"/>
          <w:sz w:val="24"/>
          <w:szCs w:val="24"/>
          <w:lang w:eastAsia="zh-CN"/>
          <w14:textFill>
            <w14:solidFill>
              <w14:schemeClr w14:val="tx1"/>
            </w14:solidFill>
          </w14:textFill>
        </w:rPr>
        <w:t>货物</w:t>
      </w:r>
      <w:r>
        <w:rPr>
          <w:rFonts w:hint="eastAsia" w:ascii="宋体" w:hAnsi="宋体" w:eastAsia="宋体" w:cs="宋体"/>
          <w:bCs/>
          <w:color w:val="000000" w:themeColor="text1"/>
          <w:sz w:val="24"/>
          <w:szCs w:val="24"/>
          <w14:textFill>
            <w14:solidFill>
              <w14:schemeClr w14:val="tx1"/>
            </w14:solidFill>
          </w14:textFill>
        </w:rPr>
        <w:t>的原材料、配件是贴牌、假冒、伪劣货物时，乙方应在甲方通知之日自行收回</w:t>
      </w:r>
      <w:r>
        <w:rPr>
          <w:rFonts w:hint="eastAsia" w:ascii="宋体" w:hAnsi="宋体" w:eastAsia="宋体" w:cs="宋体"/>
          <w:bCs/>
          <w:color w:val="000000" w:themeColor="text1"/>
          <w:sz w:val="24"/>
          <w:szCs w:val="24"/>
          <w:lang w:eastAsia="zh-CN"/>
          <w14:textFill>
            <w14:solidFill>
              <w14:schemeClr w14:val="tx1"/>
            </w14:solidFill>
          </w14:textFill>
        </w:rPr>
        <w:t>货物</w:t>
      </w:r>
      <w:r>
        <w:rPr>
          <w:rFonts w:hint="eastAsia" w:ascii="宋体" w:hAnsi="宋体" w:eastAsia="宋体" w:cs="宋体"/>
          <w:bCs/>
          <w:color w:val="000000" w:themeColor="text1"/>
          <w:sz w:val="24"/>
          <w:szCs w:val="24"/>
          <w14:textFill>
            <w14:solidFill>
              <w14:schemeClr w14:val="tx1"/>
            </w14:solidFill>
          </w14:textFill>
        </w:rPr>
        <w:t>，甲方不负保管责任，</w:t>
      </w:r>
      <w:r>
        <w:rPr>
          <w:rFonts w:hint="eastAsia" w:ascii="宋体" w:hAnsi="宋体" w:eastAsia="宋体" w:cs="宋体"/>
          <w:bCs/>
          <w:color w:val="000000" w:themeColor="text1"/>
          <w:sz w:val="24"/>
          <w:szCs w:val="24"/>
          <w:lang w:eastAsia="zh-CN"/>
          <w14:textFill>
            <w14:solidFill>
              <w14:schemeClr w14:val="tx1"/>
            </w14:solidFill>
          </w14:textFill>
        </w:rPr>
        <w:t>货物</w:t>
      </w:r>
      <w:r>
        <w:rPr>
          <w:rFonts w:hint="eastAsia" w:ascii="宋体" w:hAnsi="宋体" w:eastAsia="宋体" w:cs="宋体"/>
          <w:bCs/>
          <w:color w:val="000000" w:themeColor="text1"/>
          <w:sz w:val="24"/>
          <w:szCs w:val="24"/>
          <w14:textFill>
            <w14:solidFill>
              <w14:schemeClr w14:val="tx1"/>
            </w14:solidFill>
          </w14:textFill>
        </w:rPr>
        <w:t>毁损灭失风险自甲方通知之时起由乙方承担，乙方将</w:t>
      </w:r>
      <w:r>
        <w:rPr>
          <w:rFonts w:hint="eastAsia" w:ascii="宋体" w:hAnsi="宋体" w:cs="宋体"/>
          <w:bCs/>
          <w:color w:val="000000" w:themeColor="text1"/>
          <w:sz w:val="24"/>
          <w:szCs w:val="24"/>
          <w:lang w:val="en-US" w:eastAsia="zh-CN"/>
          <w14:textFill>
            <w14:solidFill>
              <w14:schemeClr w14:val="tx1"/>
            </w14:solidFill>
          </w14:textFill>
        </w:rPr>
        <w:t>甲方</w:t>
      </w:r>
      <w:r>
        <w:rPr>
          <w:rFonts w:hint="eastAsia" w:ascii="宋体" w:hAnsi="宋体" w:eastAsia="宋体" w:cs="宋体"/>
          <w:bCs/>
          <w:color w:val="000000" w:themeColor="text1"/>
          <w:sz w:val="24"/>
          <w:szCs w:val="24"/>
          <w14:textFill>
            <w14:solidFill>
              <w14:schemeClr w14:val="tx1"/>
            </w14:solidFill>
          </w14:textFill>
        </w:rPr>
        <w:t>已支付款项（含预付款）退还甲方，并按</w:t>
      </w:r>
      <w:r>
        <w:rPr>
          <w:rFonts w:hint="eastAsia" w:ascii="宋体" w:hAnsi="宋体" w:eastAsia="宋体" w:cs="宋体"/>
          <w:bCs/>
          <w:color w:val="000000" w:themeColor="text1"/>
          <w:sz w:val="24"/>
          <w:szCs w:val="24"/>
          <w:u w:val="single"/>
          <w14:textFill>
            <w14:solidFill>
              <w14:schemeClr w14:val="tx1"/>
            </w14:solidFill>
          </w14:textFill>
        </w:rPr>
        <w:t>合同暂定总价的 100 %</w:t>
      </w:r>
      <w:r>
        <w:rPr>
          <w:rFonts w:hint="eastAsia" w:ascii="宋体" w:hAnsi="宋体" w:eastAsia="宋体" w:cs="宋体"/>
          <w:bCs/>
          <w:color w:val="000000" w:themeColor="text1"/>
          <w:sz w:val="24"/>
          <w:szCs w:val="24"/>
          <w14:textFill>
            <w14:solidFill>
              <w14:schemeClr w14:val="tx1"/>
            </w14:solidFill>
          </w14:textFill>
        </w:rPr>
        <w:t>支付违约金。</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11.2.4 在合同</w:t>
      </w:r>
      <w:r>
        <w:rPr>
          <w:rFonts w:hint="eastAsia" w:ascii="宋体" w:hAnsi="宋体" w:eastAsia="宋体" w:cs="宋体"/>
          <w:color w:val="000000" w:themeColor="text1"/>
          <w:sz w:val="24"/>
          <w:szCs w:val="24"/>
          <w:lang w:eastAsia="zh-CN"/>
          <w14:textFill>
            <w14:solidFill>
              <w14:schemeClr w14:val="tx1"/>
            </w14:solidFill>
          </w14:textFill>
        </w:rPr>
        <w:t>货物</w:t>
      </w:r>
      <w:r>
        <w:rPr>
          <w:rFonts w:hint="eastAsia" w:ascii="宋体" w:hAnsi="宋体" w:eastAsia="宋体" w:cs="宋体"/>
          <w:color w:val="000000" w:themeColor="text1"/>
          <w:sz w:val="24"/>
          <w:szCs w:val="24"/>
          <w14:textFill>
            <w14:solidFill>
              <w14:schemeClr w14:val="tx1"/>
            </w14:solidFill>
          </w14:textFill>
        </w:rPr>
        <w:t>设计使用寿命期内，如果乙方发现合同</w:t>
      </w:r>
      <w:r>
        <w:rPr>
          <w:rFonts w:hint="eastAsia" w:ascii="宋体" w:hAnsi="宋体" w:eastAsia="宋体" w:cs="宋体"/>
          <w:color w:val="000000" w:themeColor="text1"/>
          <w:sz w:val="24"/>
          <w:szCs w:val="24"/>
          <w:lang w:eastAsia="zh-CN"/>
          <w14:textFill>
            <w14:solidFill>
              <w14:schemeClr w14:val="tx1"/>
            </w14:solidFill>
          </w14:textFill>
        </w:rPr>
        <w:t>货物</w:t>
      </w:r>
      <w:r>
        <w:rPr>
          <w:rFonts w:hint="eastAsia" w:ascii="宋体" w:hAnsi="宋体" w:eastAsia="宋体" w:cs="宋体"/>
          <w:color w:val="000000" w:themeColor="text1"/>
          <w:sz w:val="24"/>
          <w:szCs w:val="24"/>
          <w14:textFill>
            <w14:solidFill>
              <w14:schemeClr w14:val="tx1"/>
            </w14:solidFill>
          </w14:textFill>
        </w:rPr>
        <w:t>由于设计、制造、标识等原因存在足以危及人身、财产安全的缺陷，应及时通知甲方并采取修正或者补充标识、修理、更换等措施消除缺陷，因</w:t>
      </w:r>
      <w:r>
        <w:rPr>
          <w:rFonts w:hint="eastAsia" w:ascii="宋体" w:hAnsi="宋体" w:eastAsia="宋体" w:cs="宋体"/>
          <w:color w:val="000000" w:themeColor="text1"/>
          <w:sz w:val="24"/>
          <w:szCs w:val="24"/>
          <w:lang w:eastAsia="zh-CN"/>
          <w14:textFill>
            <w14:solidFill>
              <w14:schemeClr w14:val="tx1"/>
            </w14:solidFill>
          </w14:textFill>
        </w:rPr>
        <w:t>货物</w:t>
      </w:r>
      <w:r>
        <w:rPr>
          <w:rFonts w:hint="eastAsia" w:ascii="宋体" w:hAnsi="宋体" w:eastAsia="宋体" w:cs="宋体"/>
          <w:color w:val="000000" w:themeColor="text1"/>
          <w:sz w:val="24"/>
          <w:szCs w:val="24"/>
          <w14:textFill>
            <w14:solidFill>
              <w14:schemeClr w14:val="tx1"/>
            </w14:solidFill>
          </w14:textFill>
        </w:rPr>
        <w:t>缺陷造成的一切损害，乙方应承担全部赔偿责任。</w:t>
      </w:r>
    </w:p>
    <w:p>
      <w:pPr>
        <w:keepNext w:val="0"/>
        <w:keepLines w:val="0"/>
        <w:pageBreakBefore w:val="0"/>
        <w:kinsoku/>
        <w:wordWrap/>
        <w:overflowPunct/>
        <w:topLinePunct w:val="0"/>
        <w:bidi w:val="0"/>
        <w:snapToGrid/>
        <w:spacing w:line="360" w:lineRule="auto"/>
        <w:ind w:firstLine="482"/>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11.</w:t>
      </w:r>
      <w:r>
        <w:rPr>
          <w:rFonts w:hint="eastAsia" w:ascii="宋体" w:hAnsi="宋体" w:cs="宋体"/>
          <w:bCs/>
          <w:color w:val="000000" w:themeColor="text1"/>
          <w:sz w:val="24"/>
          <w:szCs w:val="24"/>
          <w:lang w:val="en-US" w:eastAsia="zh-CN"/>
          <w14:textFill>
            <w14:solidFill>
              <w14:schemeClr w14:val="tx1"/>
            </w14:solidFill>
          </w14:textFill>
        </w:rPr>
        <w:t>3</w:t>
      </w:r>
      <w:r>
        <w:rPr>
          <w:rFonts w:hint="eastAsia" w:ascii="宋体" w:hAnsi="宋体" w:eastAsia="宋体" w:cs="宋体"/>
          <w:bCs/>
          <w:color w:val="000000" w:themeColor="text1"/>
          <w:sz w:val="24"/>
          <w:szCs w:val="24"/>
          <w14:textFill>
            <w14:solidFill>
              <w14:schemeClr w14:val="tx1"/>
            </w14:solidFill>
          </w14:textFill>
        </w:rPr>
        <w:t xml:space="preserve"> 如双方对质量责任认定有争议，</w:t>
      </w:r>
      <w:r>
        <w:rPr>
          <w:rFonts w:hint="eastAsia" w:ascii="宋体" w:hAnsi="宋体" w:eastAsia="宋体" w:cs="宋体"/>
          <w:color w:val="000000" w:themeColor="text1"/>
          <w:sz w:val="24"/>
          <w:szCs w:val="24"/>
          <w14:textFill>
            <w14:solidFill>
              <w14:schemeClr w14:val="tx1"/>
            </w14:solidFill>
          </w14:textFill>
        </w:rPr>
        <w:t>由甲方委托具备相关资质的第三方质检机构出具质检报告。因第三方质检机构产生的费用先由乙方支付，如果检验结果为不合格，则该费用由乙方承担，如果检验结果为合格，则该费用由甲方承担。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360" w:lineRule="auto"/>
        <w:ind w:firstLine="482"/>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11.</w:t>
      </w:r>
      <w:r>
        <w:rPr>
          <w:rFonts w:hint="eastAsia" w:ascii="宋体" w:hAnsi="宋体" w:cs="宋体"/>
          <w:bCs/>
          <w:color w:val="000000" w:themeColor="text1"/>
          <w:sz w:val="24"/>
          <w:szCs w:val="24"/>
          <w:lang w:val="en-US" w:eastAsia="zh-CN"/>
          <w14:textFill>
            <w14:solidFill>
              <w14:schemeClr w14:val="tx1"/>
            </w14:solidFill>
          </w14:textFill>
        </w:rPr>
        <w:t>4</w:t>
      </w:r>
      <w:r>
        <w:rPr>
          <w:rFonts w:hint="eastAsia" w:ascii="宋体" w:hAnsi="宋体" w:eastAsia="宋体" w:cs="宋体"/>
          <w:bCs/>
          <w:color w:val="000000" w:themeColor="text1"/>
          <w:sz w:val="24"/>
          <w:szCs w:val="24"/>
          <w14:textFill>
            <w14:solidFill>
              <w14:schemeClr w14:val="tx1"/>
            </w14:solidFill>
          </w14:textFill>
        </w:rPr>
        <w:t>乙方不履行合同义务、或履行合同义务不符合合同约定、或违反国家、省、市行业标准的，甲方有权要</w:t>
      </w:r>
      <w:r>
        <w:rPr>
          <w:rFonts w:hint="eastAsia" w:ascii="宋体" w:hAnsi="宋体" w:eastAsia="宋体" w:cs="宋体"/>
          <w:bCs/>
          <w:color w:val="000000" w:themeColor="text1"/>
          <w:sz w:val="24"/>
          <w:szCs w:val="24"/>
          <w:highlight w:val="none"/>
          <w14:textFill>
            <w14:solidFill>
              <w14:schemeClr w14:val="tx1"/>
            </w14:solidFill>
          </w14:textFill>
        </w:rPr>
        <w:t>求乙方限期整改。乙方逾期未完成整改的，每项每超过1日支付违约金人民币1万元，超过</w:t>
      </w:r>
      <w:r>
        <w:rPr>
          <w:rFonts w:hint="eastAsia" w:ascii="宋体" w:hAnsi="宋体" w:eastAsia="宋体" w:cs="宋体"/>
          <w:bCs/>
          <w:color w:val="000000" w:themeColor="text1"/>
          <w:sz w:val="24"/>
          <w:szCs w:val="24"/>
          <w:highlight w:val="none"/>
          <w:u w:val="single"/>
          <w:lang w:eastAsia="zh-CN"/>
          <w14:textFill>
            <w14:solidFill>
              <w14:schemeClr w14:val="tx1"/>
            </w14:solidFill>
          </w14:textFill>
        </w:rPr>
        <w:t>1</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14:textFill>
            <w14:solidFill>
              <w14:schemeClr w14:val="tx1"/>
            </w14:solidFill>
          </w14:textFill>
        </w:rPr>
        <w:t>日</w:t>
      </w:r>
      <w:r>
        <w:rPr>
          <w:rFonts w:hint="eastAsia" w:ascii="宋体" w:hAnsi="宋体" w:eastAsia="宋体" w:cs="宋体"/>
          <w:bCs/>
          <w:color w:val="000000" w:themeColor="text1"/>
          <w:sz w:val="24"/>
          <w:szCs w:val="24"/>
          <w14:textFill>
            <w14:solidFill>
              <w14:schemeClr w14:val="tx1"/>
            </w14:solidFill>
          </w14:textFill>
        </w:rPr>
        <w:t>，甲方有权解除合同并要求乙方支付</w:t>
      </w:r>
      <w:r>
        <w:rPr>
          <w:rFonts w:hint="eastAsia" w:ascii="宋体" w:hAnsi="宋体" w:eastAsia="宋体" w:cs="宋体"/>
          <w:bCs/>
          <w:color w:val="000000" w:themeColor="text1"/>
          <w:sz w:val="24"/>
          <w:szCs w:val="24"/>
          <w:u w:val="single"/>
          <w14:textFill>
            <w14:solidFill>
              <w14:schemeClr w14:val="tx1"/>
            </w14:solidFill>
          </w14:textFill>
        </w:rPr>
        <w:t>合同暂定总价的20%</w:t>
      </w:r>
      <w:r>
        <w:rPr>
          <w:rFonts w:hint="eastAsia" w:ascii="宋体" w:hAnsi="宋体" w:eastAsia="宋体" w:cs="宋体"/>
          <w:bCs/>
          <w:color w:val="000000" w:themeColor="text1"/>
          <w:sz w:val="24"/>
          <w:szCs w:val="24"/>
          <w14:textFill>
            <w14:solidFill>
              <w14:schemeClr w14:val="tx1"/>
            </w14:solidFill>
          </w14:textFill>
        </w:rPr>
        <w:t>作为违约金（</w:t>
      </w:r>
      <w:r>
        <w:rPr>
          <w:rFonts w:hint="eastAsia" w:ascii="宋体" w:hAnsi="宋体" w:eastAsia="宋体" w:cs="宋体"/>
          <w:color w:val="000000" w:themeColor="text1"/>
          <w:sz w:val="24"/>
          <w:szCs w:val="24"/>
          <w14:textFill>
            <w14:solidFill>
              <w14:schemeClr w14:val="tx1"/>
            </w14:solidFill>
          </w14:textFill>
        </w:rPr>
        <w:t>如合同另行约定违约责任，从其约定</w:t>
      </w:r>
      <w:r>
        <w:rPr>
          <w:rFonts w:hint="eastAsia" w:ascii="宋体" w:hAnsi="宋体" w:eastAsia="宋体" w:cs="宋体"/>
          <w:bCs/>
          <w:color w:val="000000" w:themeColor="text1"/>
          <w:sz w:val="24"/>
          <w:szCs w:val="24"/>
          <w14:textFill>
            <w14:solidFill>
              <w14:schemeClr w14:val="tx1"/>
            </w14:solidFill>
          </w14:textFill>
        </w:rPr>
        <w:t xml:space="preserve">）。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第十二条 变更或解除</w:t>
      </w:r>
    </w:p>
    <w:p>
      <w:pPr>
        <w:keepNext w:val="0"/>
        <w:keepLines w:val="0"/>
        <w:pageBreakBefore w:val="0"/>
        <w:kinsoku/>
        <w:wordWrap/>
        <w:overflowPunct/>
        <w:topLinePunct w:val="0"/>
        <w:bidi w:val="0"/>
        <w:snapToGrid/>
        <w:spacing w:line="360" w:lineRule="auto"/>
        <w:ind w:firstLine="482"/>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12.1 甲方解除合同</w:t>
      </w:r>
    </w:p>
    <w:p>
      <w:pPr>
        <w:keepNext w:val="0"/>
        <w:keepLines w:val="0"/>
        <w:pageBreakBefore w:val="0"/>
        <w:kinsoku/>
        <w:wordWrap/>
        <w:overflowPunct/>
        <w:topLinePunct w:val="0"/>
        <w:bidi w:val="0"/>
        <w:snapToGrid/>
        <w:spacing w:line="360" w:lineRule="auto"/>
        <w:ind w:firstLine="482"/>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如乙方存在下述情况之一，甲方有权向乙方发出书面通知，全部或部分解除本合同：</w:t>
      </w:r>
    </w:p>
    <w:p>
      <w:pPr>
        <w:keepNext w:val="0"/>
        <w:keepLines w:val="0"/>
        <w:pageBreakBefore w:val="0"/>
        <w:kinsoku/>
        <w:wordWrap/>
        <w:overflowPunct/>
        <w:topLinePunct w:val="0"/>
        <w:bidi w:val="0"/>
        <w:snapToGrid/>
        <w:spacing w:line="360" w:lineRule="auto"/>
        <w:ind w:firstLine="482"/>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12.1.1 乙方未能在本合同约定或甲方另行指定的期限内提供部分或全部</w:t>
      </w:r>
      <w:r>
        <w:rPr>
          <w:rFonts w:hint="eastAsia" w:ascii="宋体" w:hAnsi="宋体" w:eastAsia="宋体" w:cs="宋体"/>
          <w:bCs/>
          <w:color w:val="000000" w:themeColor="text1"/>
          <w:sz w:val="24"/>
          <w:szCs w:val="24"/>
          <w:lang w:eastAsia="zh-CN"/>
          <w14:textFill>
            <w14:solidFill>
              <w14:schemeClr w14:val="tx1"/>
            </w14:solidFill>
          </w14:textFill>
        </w:rPr>
        <w:t>货物</w:t>
      </w:r>
      <w:r>
        <w:rPr>
          <w:rFonts w:hint="eastAsia" w:ascii="宋体" w:hAnsi="宋体" w:eastAsia="宋体" w:cs="宋体"/>
          <w:bCs/>
          <w:color w:val="000000" w:themeColor="text1"/>
          <w:sz w:val="24"/>
          <w:szCs w:val="24"/>
          <w14:textFill>
            <w14:solidFill>
              <w14:schemeClr w14:val="tx1"/>
            </w14:solidFill>
          </w14:textFill>
        </w:rPr>
        <w:t xml:space="preserve">或提供技术服务，并经甲方催告后仍未提供；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12.1.2乙方交付的</w:t>
      </w:r>
      <w:r>
        <w:rPr>
          <w:rFonts w:hint="eastAsia" w:ascii="宋体" w:hAnsi="宋体" w:eastAsia="宋体" w:cs="宋体"/>
          <w:bCs/>
          <w:color w:val="000000" w:themeColor="text1"/>
          <w:sz w:val="24"/>
          <w:szCs w:val="24"/>
          <w:lang w:eastAsia="zh-CN"/>
          <w14:textFill>
            <w14:solidFill>
              <w14:schemeClr w14:val="tx1"/>
            </w14:solidFill>
          </w14:textFill>
        </w:rPr>
        <w:t>货物</w:t>
      </w:r>
      <w:r>
        <w:rPr>
          <w:rFonts w:hint="eastAsia" w:ascii="宋体" w:hAnsi="宋体" w:eastAsia="宋体" w:cs="宋体"/>
          <w:bCs/>
          <w:color w:val="000000" w:themeColor="text1"/>
          <w:sz w:val="24"/>
          <w:szCs w:val="24"/>
          <w14:textFill>
            <w14:solidFill>
              <w14:schemeClr w14:val="tx1"/>
            </w14:solidFill>
          </w14:textFill>
        </w:rPr>
        <w:t>存在严重的质量问题，导致本合同目的不能实现；</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12.1.3 乙方存在违反合同义务的其他情形，经甲方催告后仍未作出补救或完成整改；</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12.1.4 乙方投标时提交的资料不真实，或任何时候发现乙方有违反投标时的承诺和（或）声明的情况；</w:t>
      </w:r>
    </w:p>
    <w:p>
      <w:pPr>
        <w:keepNext w:val="0"/>
        <w:keepLines w:val="0"/>
        <w:pageBreakBefore w:val="0"/>
        <w:kinsoku/>
        <w:wordWrap/>
        <w:overflowPunct/>
        <w:topLinePunct w:val="0"/>
        <w:bidi w:val="0"/>
        <w:snapToGrid/>
        <w:spacing w:line="360" w:lineRule="auto"/>
        <w:ind w:firstLine="482"/>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12.2 乙方解除合同</w:t>
      </w:r>
    </w:p>
    <w:p>
      <w:pPr>
        <w:keepNext w:val="0"/>
        <w:keepLines w:val="0"/>
        <w:pageBreakBefore w:val="0"/>
        <w:kinsoku/>
        <w:wordWrap/>
        <w:overflowPunct/>
        <w:topLinePunct w:val="0"/>
        <w:bidi w:val="0"/>
        <w:snapToGrid/>
        <w:spacing w:line="360" w:lineRule="auto"/>
        <w:ind w:firstLine="482"/>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如甲方无正当理由未能按本合同约定期限向乙方支付合同款，并经乙方催告后超过</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val="en-US" w:eastAsia="zh-CN"/>
          <w14:textFill>
            <w14:solidFill>
              <w14:schemeClr w14:val="tx1"/>
            </w14:solidFill>
          </w14:textFill>
        </w:rPr>
        <w:t>30</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天仍未支付，乙方有权以书面通知解除本合同。</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12.3甲乙双方经协商一致后解除合同。</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第十三条 不可抗力</w:t>
      </w:r>
    </w:p>
    <w:p>
      <w:pPr>
        <w:keepNext w:val="0"/>
        <w:keepLines w:val="0"/>
        <w:pageBreakBefore w:val="0"/>
        <w:widowControl w:val="0"/>
        <w:numPr>
          <w:ilvl w:val="255"/>
          <w:numId w:val="0"/>
        </w:numPr>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（2）战争行为、入侵、武装冲突或外敌行为、封锁、暴乱、恐怖行为或军事演习；</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第十四条 争议解决方式：</w:t>
      </w:r>
    </w:p>
    <w:p>
      <w:pPr>
        <w:keepNext w:val="0"/>
        <w:keepLines w:val="0"/>
        <w:pageBreakBefore w:val="0"/>
        <w:kinsoku/>
        <w:wordWrap/>
        <w:overflowPunct/>
        <w:topLinePunct w:val="0"/>
        <w:bidi w:val="0"/>
        <w:snapToGrid/>
        <w:spacing w:line="360" w:lineRule="auto"/>
        <w:ind w:firstLine="600" w:firstLine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14.1 因本合同引起的或与本合同有关的任何争议，甲乙双方应友好协商解决，如协商不成，任何一方均可依法向</w:t>
      </w:r>
      <w:r>
        <w:rPr>
          <w:rFonts w:hint="eastAsia" w:ascii="宋体" w:hAnsi="宋体" w:eastAsia="宋体" w:cs="宋体"/>
          <w:color w:val="000000" w:themeColor="text1"/>
          <w:sz w:val="24"/>
          <w:szCs w:val="24"/>
          <w:u w:val="single"/>
          <w14:textFill>
            <w14:solidFill>
              <w14:schemeClr w14:val="tx1"/>
            </w14:solidFill>
          </w14:textFill>
        </w:rPr>
        <w:t>甲方所在地人民法院</w:t>
      </w:r>
      <w:r>
        <w:rPr>
          <w:rFonts w:hint="eastAsia" w:ascii="宋体" w:hAnsi="宋体" w:eastAsia="宋体" w:cs="宋体"/>
          <w:color w:val="000000" w:themeColor="text1"/>
          <w:sz w:val="24"/>
          <w:szCs w:val="24"/>
          <w14:textFill>
            <w14:solidFill>
              <w14:schemeClr w14:val="tx1"/>
            </w14:solidFill>
          </w14:textFill>
        </w:rPr>
        <w:t>提起诉讼。</w:t>
      </w:r>
    </w:p>
    <w:p>
      <w:pPr>
        <w:keepNext w:val="0"/>
        <w:keepLines w:val="0"/>
        <w:pageBreakBefore w:val="0"/>
        <w:kinsoku/>
        <w:wordWrap/>
        <w:overflowPunct/>
        <w:topLinePunct w:val="0"/>
        <w:bidi w:val="0"/>
        <w:snapToGrid/>
        <w:spacing w:line="360" w:lineRule="auto"/>
        <w:ind w:firstLine="600" w:firstLine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14.2 在甲方同意的情况下，除有争端之外的合同其它部分在争端解决前应继续执行。</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第十五条 其他：</w:t>
      </w:r>
    </w:p>
    <w:p>
      <w:pPr>
        <w:keepNext w:val="0"/>
        <w:keepLines w:val="0"/>
        <w:pageBreakBefore w:val="0"/>
        <w:kinsoku/>
        <w:wordWrap/>
        <w:overflowPunct/>
        <w:topLinePunct w:val="0"/>
        <w:bidi w:val="0"/>
        <w:snapToGrid/>
        <w:spacing w:line="360" w:lineRule="auto"/>
        <w:ind w:firstLine="595" w:firstLineChars="248"/>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15.1</w:t>
      </w:r>
      <w:r>
        <w:rPr>
          <w:rFonts w:hint="eastAsia" w:ascii="宋体" w:hAnsi="宋体" w:eastAsia="宋体" w:cs="宋体"/>
          <w:color w:val="000000" w:themeColor="text1"/>
          <w:sz w:val="24"/>
          <w:szCs w:val="24"/>
          <w14:textFill>
            <w14:solidFill>
              <w14:schemeClr w14:val="tx1"/>
            </w14:solidFill>
          </w14:textFill>
        </w:rPr>
        <w:t>本合同未尽事宜，可由甲乙双方另行签订补充协议。补充协议与本合同具有同等法律效力。</w:t>
      </w:r>
    </w:p>
    <w:p>
      <w:pPr>
        <w:keepNext w:val="0"/>
        <w:keepLines w:val="0"/>
        <w:pageBreakBefore w:val="0"/>
        <w:kinsoku/>
        <w:wordWrap/>
        <w:overflowPunct/>
        <w:topLinePunct w:val="0"/>
        <w:bidi w:val="0"/>
        <w:snapToGrid/>
        <w:spacing w:line="360" w:lineRule="auto"/>
        <w:ind w:firstLine="600" w:firstLine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15.2本合同自甲乙双方法定代表人或授权代理人签字并盖章之日起生效。</w:t>
      </w:r>
    </w:p>
    <w:p>
      <w:pPr>
        <w:keepNext w:val="0"/>
        <w:keepLines w:val="0"/>
        <w:pageBreakBefore w:val="0"/>
        <w:kinsoku/>
        <w:wordWrap/>
        <w:overflowPunct/>
        <w:topLinePunct w:val="0"/>
        <w:bidi w:val="0"/>
        <w:snapToGrid/>
        <w:spacing w:line="360" w:lineRule="auto"/>
        <w:ind w:firstLine="600" w:firstLine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15.3本合同一式</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份，甲方执</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肆</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份，乙方执</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壹</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份。均具有同等法律效力。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15.4补充条款：</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无</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none"/>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     </w:t>
      </w:r>
    </w:p>
    <w:p>
      <w:pPr>
        <w:keepNext w:val="0"/>
        <w:keepLines w:val="0"/>
        <w:pageBreakBefore w:val="0"/>
        <w:kinsoku/>
        <w:wordWrap/>
        <w:overflowPunct/>
        <w:topLinePunct w:val="0"/>
        <w:bidi w:val="0"/>
        <w:snapToGrid/>
        <w:spacing w:line="360" w:lineRule="auto"/>
        <w:ind w:firstLine="480"/>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kinsoku/>
        <w:wordWrap/>
        <w:overflowPunct/>
        <w:topLinePunct w:val="0"/>
        <w:bidi w:val="0"/>
        <w:snapToGrid/>
        <w:spacing w:line="360" w:lineRule="auto"/>
        <w:ind w:firstLine="48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附件：1.</w:t>
      </w:r>
      <w:r>
        <w:rPr>
          <w:rFonts w:hint="eastAsia" w:ascii="宋体" w:hAnsi="宋体" w:eastAsia="宋体" w:cs="宋体"/>
          <w:color w:val="000000" w:themeColor="text1"/>
          <w:sz w:val="24"/>
          <w:szCs w:val="24"/>
          <w:lang w:val="en-US" w:eastAsia="zh-CN"/>
          <w14:textFill>
            <w14:solidFill>
              <w14:schemeClr w14:val="tx1"/>
            </w14:solidFill>
          </w14:textFill>
        </w:rPr>
        <w:t>成交通知书</w:t>
      </w:r>
    </w:p>
    <w:p>
      <w:pPr>
        <w:keepNext w:val="0"/>
        <w:keepLines w:val="0"/>
        <w:pageBreakBefore w:val="0"/>
        <w:numPr>
          <w:ilvl w:val="0"/>
          <w:numId w:val="0"/>
        </w:numPr>
        <w:kinsoku/>
        <w:wordWrap/>
        <w:overflowPunct/>
        <w:topLinePunct w:val="0"/>
        <w:bidi w:val="0"/>
        <w:snapToGrid/>
        <w:spacing w:line="360" w:lineRule="auto"/>
        <w:ind w:firstLine="1200" w:firstLineChars="5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廉洁协议</w:t>
      </w:r>
    </w:p>
    <w:p>
      <w:pPr>
        <w:keepNext w:val="0"/>
        <w:keepLines w:val="0"/>
        <w:pageBreakBefore w:val="0"/>
        <w:kinsoku/>
        <w:wordWrap/>
        <w:overflowPunct/>
        <w:topLinePunct w:val="0"/>
        <w:bidi w:val="0"/>
        <w:snapToGrid/>
        <w:spacing w:line="360" w:lineRule="auto"/>
        <w:ind w:firstLine="1200" w:firstLineChars="5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物品采购</w:t>
      </w:r>
      <w:r>
        <w:rPr>
          <w:rFonts w:hint="eastAsia" w:ascii="宋体" w:hAnsi="宋体" w:eastAsia="宋体" w:cs="宋体"/>
          <w:color w:val="000000" w:themeColor="text1"/>
          <w:sz w:val="24"/>
          <w:szCs w:val="24"/>
          <w14:textFill>
            <w14:solidFill>
              <w14:schemeClr w14:val="tx1"/>
            </w14:solidFill>
          </w14:textFill>
        </w:rPr>
        <w:t>安全协议书</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需求</w:t>
      </w:r>
      <w:r>
        <w:rPr>
          <w:rFonts w:hint="eastAsia" w:ascii="宋体" w:hAnsi="宋体" w:eastAsia="宋体" w:cs="宋体"/>
          <w:color w:val="000000" w:themeColor="text1"/>
          <w:kern w:val="0"/>
          <w:sz w:val="24"/>
          <w:szCs w:val="24"/>
          <w:lang w:val="en-US" w:eastAsia="zh-CN"/>
          <w14:textFill>
            <w14:solidFill>
              <w14:schemeClr w14:val="tx1"/>
            </w14:solidFill>
          </w14:textFill>
        </w:rPr>
        <w:t>清单</w:t>
      </w:r>
    </w:p>
    <w:p>
      <w:pPr>
        <w:keepNext w:val="0"/>
        <w:keepLines w:val="0"/>
        <w:pageBreakBefore w:val="0"/>
        <w:numPr>
          <w:ilvl w:val="0"/>
          <w:numId w:val="0"/>
        </w:numPr>
        <w:kinsoku/>
        <w:wordWrap/>
        <w:overflowPunct/>
        <w:topLinePunct w:val="0"/>
        <w:bidi w:val="0"/>
        <w:snapToGrid/>
        <w:spacing w:line="360" w:lineRule="auto"/>
        <w:ind w:firstLine="1200" w:firstLineChars="5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kern w:val="2"/>
          <w:sz w:val="24"/>
          <w:szCs w:val="24"/>
          <w:lang w:val="en-US" w:eastAsia="zh-CN" w:bidi="ar-SA"/>
          <w14:textFill>
            <w14:solidFill>
              <w14:schemeClr w14:val="tx1"/>
            </w14:solidFill>
          </w14:textFill>
        </w:rPr>
        <w:t>报价清单</w:t>
      </w:r>
    </w:p>
    <w:p>
      <w:pPr>
        <w:pStyle w:val="2"/>
        <w:rPr>
          <w:rFonts w:hint="eastAsia" w:ascii="宋体" w:hAnsi="宋体" w:eastAsia="宋体" w:cs="宋体"/>
          <w:color w:val="000000" w:themeColor="text1"/>
          <w:kern w:val="0"/>
          <w:sz w:val="24"/>
          <w:szCs w:val="24"/>
          <w:lang w:val="en-US" w:eastAsia="zh-CN"/>
          <w14:textFill>
            <w14:solidFill>
              <w14:schemeClr w14:val="tx1"/>
            </w14:solidFill>
          </w14:textFill>
        </w:rPr>
      </w:pPr>
    </w:p>
    <w:tbl>
      <w:tblPr>
        <w:tblStyle w:val="23"/>
        <w:tblpPr w:leftFromText="180" w:rightFromText="180" w:vertAnchor="text" w:horzAnchor="page" w:tblpX="1571" w:tblpY="443"/>
        <w:tblOverlap w:val="never"/>
        <w:tblW w:w="103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4"/>
        <w:gridCol w:w="5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184" w:type="dxa"/>
            <w:tcBorders>
              <w:top w:val="nil"/>
              <w:left w:val="nil"/>
              <w:bottom w:val="nil"/>
              <w:right w:val="nil"/>
            </w:tcBorders>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：（章）广州市净水有限公司</w:t>
            </w:r>
          </w:p>
        </w:tc>
        <w:tc>
          <w:tcPr>
            <w:tcW w:w="5168" w:type="dxa"/>
            <w:tcBorders>
              <w:top w:val="nil"/>
              <w:left w:val="nil"/>
              <w:bottom w:val="nil"/>
              <w:right w:val="nil"/>
            </w:tcBorders>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5184" w:type="dxa"/>
            <w:tcBorders>
              <w:top w:val="nil"/>
              <w:left w:val="nil"/>
              <w:bottom w:val="nil"/>
              <w:right w:val="nil"/>
            </w:tcBorders>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法定代表人或授权代理人：</w:t>
            </w:r>
          </w:p>
        </w:tc>
        <w:tc>
          <w:tcPr>
            <w:tcW w:w="5168" w:type="dxa"/>
            <w:tcBorders>
              <w:top w:val="nil"/>
              <w:left w:val="nil"/>
              <w:bottom w:val="nil"/>
              <w:right w:val="nil"/>
            </w:tcBorders>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5184" w:type="dxa"/>
            <w:tcBorders>
              <w:top w:val="nil"/>
              <w:left w:val="nil"/>
              <w:bottom w:val="nil"/>
              <w:right w:val="nil"/>
            </w:tcBorders>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经办人：</w:t>
            </w:r>
          </w:p>
        </w:tc>
        <w:tc>
          <w:tcPr>
            <w:tcW w:w="5168" w:type="dxa"/>
            <w:tcBorders>
              <w:top w:val="nil"/>
              <w:left w:val="nil"/>
              <w:bottom w:val="nil"/>
              <w:right w:val="nil"/>
            </w:tcBorders>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5184" w:type="dxa"/>
            <w:tcBorders>
              <w:top w:val="nil"/>
              <w:left w:val="nil"/>
              <w:bottom w:val="nil"/>
              <w:right w:val="nil"/>
            </w:tcBorders>
            <w:vAlign w:val="center"/>
          </w:tcPr>
          <w:p>
            <w:pPr>
              <w:keepNext w:val="0"/>
              <w:keepLines w:val="0"/>
              <w:pageBreakBefore w:val="0"/>
              <w:kinsoku/>
              <w:wordWrap/>
              <w:overflowPunct/>
              <w:topLinePunct w:val="0"/>
              <w:bidi w:val="0"/>
              <w:adjustRightInd w:val="0"/>
              <w:snapToGrid/>
              <w:spacing w:line="360" w:lineRule="auto"/>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r>
              <w:rPr>
                <w:rFonts w:hint="eastAsia" w:ascii="宋体" w:hAnsi="宋体" w:cs="宋体"/>
                <w:color w:val="000000" w:themeColor="text1"/>
                <w:sz w:val="24"/>
                <w:szCs w:val="24"/>
                <w:lang w:val="en-US" w:eastAsia="zh-CN"/>
                <w14:textFill>
                  <w14:solidFill>
                    <w14:schemeClr w14:val="tx1"/>
                  </w14:solidFill>
                </w14:textFill>
              </w:rPr>
              <w:t>020-81970501</w:t>
            </w:r>
          </w:p>
        </w:tc>
        <w:tc>
          <w:tcPr>
            <w:tcW w:w="5168" w:type="dxa"/>
            <w:tcBorders>
              <w:top w:val="nil"/>
              <w:left w:val="nil"/>
              <w:bottom w:val="nil"/>
              <w:right w:val="nil"/>
            </w:tcBorders>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5184" w:type="dxa"/>
            <w:tcBorders>
              <w:top w:val="nil"/>
              <w:left w:val="nil"/>
              <w:bottom w:val="nil"/>
              <w:right w:val="nil"/>
            </w:tcBorders>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传真：</w:t>
            </w:r>
          </w:p>
        </w:tc>
        <w:tc>
          <w:tcPr>
            <w:tcW w:w="5168" w:type="dxa"/>
            <w:tcBorders>
              <w:top w:val="nil"/>
              <w:left w:val="nil"/>
              <w:bottom w:val="nil"/>
              <w:right w:val="nil"/>
            </w:tcBorders>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5184" w:type="dxa"/>
            <w:tcBorders>
              <w:top w:val="nil"/>
              <w:left w:val="nil"/>
              <w:bottom w:val="nil"/>
              <w:right w:val="nil"/>
            </w:tcBorders>
            <w:vAlign w:val="center"/>
          </w:tcPr>
          <w:p>
            <w:pPr>
              <w:keepNext w:val="0"/>
              <w:keepLines w:val="0"/>
              <w:pageBreakBefore w:val="0"/>
              <w:kinsoku/>
              <w:wordWrap/>
              <w:overflowPunct/>
              <w:topLinePunct w:val="0"/>
              <w:bidi w:val="0"/>
              <w:adjustRightInd w:val="0"/>
              <w:snapToGrid/>
              <w:spacing w:line="360" w:lineRule="auto"/>
              <w:ind w:left="240" w:hanging="240" w:hangingChars="1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签订日期：                                                     </w:t>
            </w:r>
          </w:p>
        </w:tc>
        <w:tc>
          <w:tcPr>
            <w:tcW w:w="5168" w:type="dxa"/>
            <w:tcBorders>
              <w:top w:val="nil"/>
              <w:left w:val="nil"/>
              <w:bottom w:val="nil"/>
              <w:right w:val="nil"/>
            </w:tcBorders>
            <w:vAlign w:val="center"/>
          </w:tcPr>
          <w:p>
            <w:pPr>
              <w:keepNext w:val="0"/>
              <w:keepLines w:val="0"/>
              <w:pageBreakBefore w:val="0"/>
              <w:kinsoku/>
              <w:wordWrap/>
              <w:overflowPunct/>
              <w:topLinePunct w:val="0"/>
              <w:bidi w:val="0"/>
              <w:adjustRightInd w:val="0"/>
              <w:snapToGrid/>
              <w:spacing w:line="360" w:lineRule="auto"/>
              <w:ind w:left="4181" w:hanging="4180" w:hangingChars="1742"/>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签订日期:</w:t>
            </w:r>
          </w:p>
        </w:tc>
      </w:tr>
    </w:tbl>
    <w:p>
      <w:pPr>
        <w:pStyle w:val="2"/>
        <w:rPr>
          <w:rFonts w:hint="eastAsia" w:ascii="宋体" w:hAnsi="宋体" w:eastAsia="宋体" w:cs="宋体"/>
          <w:color w:val="000000" w:themeColor="text1"/>
          <w:kern w:val="0"/>
          <w:sz w:val="24"/>
          <w:szCs w:val="24"/>
          <w:lang w:val="en-US" w:eastAsia="zh-CN"/>
          <w14:textFill>
            <w14:solidFill>
              <w14:schemeClr w14:val="tx1"/>
            </w14:solidFill>
          </w14:textFill>
        </w:rPr>
      </w:pPr>
    </w:p>
    <w:p>
      <w:pPr>
        <w:spacing w:line="360" w:lineRule="auto"/>
        <w:rPr>
          <w:rFonts w:hint="eastAsia" w:ascii="宋体" w:hAnsi="宋体" w:cs="宋体"/>
          <w:b/>
          <w:bCs/>
          <w:color w:val="000000" w:themeColor="text1"/>
          <w:szCs w:val="21"/>
          <w14:textFill>
            <w14:solidFill>
              <w14:schemeClr w14:val="tx1"/>
            </w14:solidFill>
          </w14:textFill>
        </w:rPr>
      </w:pPr>
    </w:p>
    <w:p>
      <w:pPr>
        <w:spacing w:line="360" w:lineRule="auto"/>
        <w:rPr>
          <w:rFonts w:hint="eastAsia" w:ascii="黑体" w:hAnsi="黑体" w:eastAsia="黑体" w:cs="黑体"/>
          <w:b/>
          <w:bCs/>
          <w:color w:val="000000" w:themeColor="text1"/>
          <w:sz w:val="28"/>
          <w:szCs w:val="28"/>
          <w14:textFill>
            <w14:solidFill>
              <w14:schemeClr w14:val="tx1"/>
            </w14:solidFill>
          </w14:textFill>
        </w:rPr>
      </w:pPr>
    </w:p>
    <w:p>
      <w:pPr>
        <w:pStyle w:val="2"/>
        <w:ind w:left="0" w:leftChars="0" w:firstLine="0" w:firstLineChars="0"/>
        <w:rPr>
          <w:rFonts w:hint="eastAsia"/>
        </w:rPr>
      </w:pPr>
    </w:p>
    <w:p>
      <w:pPr>
        <w:spacing w:line="360" w:lineRule="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附件1  </w:t>
      </w:r>
      <w:r>
        <w:rPr>
          <w:rFonts w:hint="eastAsia" w:ascii="宋体" w:hAnsi="宋体" w:eastAsia="宋体" w:cs="宋体"/>
          <w:b/>
          <w:bCs/>
          <w:color w:val="000000" w:themeColor="text1"/>
          <w:sz w:val="21"/>
          <w:szCs w:val="21"/>
          <w:lang w:val="en-US" w:eastAsia="zh-CN"/>
          <w14:textFill>
            <w14:solidFill>
              <w14:schemeClr w14:val="tx1"/>
            </w14:solidFill>
          </w14:textFill>
        </w:rPr>
        <w:t>成交</w:t>
      </w:r>
      <w:r>
        <w:rPr>
          <w:rFonts w:hint="eastAsia" w:ascii="宋体" w:hAnsi="宋体" w:eastAsia="宋体" w:cs="宋体"/>
          <w:b/>
          <w:bCs/>
          <w:color w:val="000000" w:themeColor="text1"/>
          <w:sz w:val="21"/>
          <w:szCs w:val="21"/>
          <w14:textFill>
            <w14:solidFill>
              <w14:schemeClr w14:val="tx1"/>
            </w14:solidFill>
          </w14:textFill>
        </w:rPr>
        <w:t>通知书</w:t>
      </w:r>
    </w:p>
    <w:p>
      <w:pPr>
        <w:keepNext w:val="0"/>
        <w:keepLines w:val="0"/>
        <w:pageBreakBefore w:val="0"/>
        <w:kinsoku/>
        <w:wordWrap/>
        <w:overflowPunct/>
        <w:topLinePunct w:val="0"/>
        <w:autoSpaceDE/>
        <w:autoSpaceDN/>
        <w:bidi w:val="0"/>
        <w:snapToGrid/>
        <w:spacing w:line="520" w:lineRule="exact"/>
        <w:jc w:val="left"/>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 xml:space="preserve">附件2  </w:t>
      </w:r>
      <w:r>
        <w:rPr>
          <w:rFonts w:hint="eastAsia" w:ascii="宋体" w:hAnsi="宋体" w:eastAsia="宋体" w:cs="宋体"/>
          <w:b/>
          <w:bCs/>
          <w:color w:val="000000" w:themeColor="text1"/>
          <w:sz w:val="21"/>
          <w:szCs w:val="21"/>
          <w14:textFill>
            <w14:solidFill>
              <w14:schemeClr w14:val="tx1"/>
            </w14:solidFill>
          </w14:textFill>
        </w:rPr>
        <w:t>廉洁协议</w:t>
      </w:r>
      <w:r>
        <w:rPr>
          <w:rFonts w:hint="eastAsia" w:ascii="宋体" w:hAnsi="宋体" w:eastAsia="宋体" w:cs="宋体"/>
          <w:b/>
          <w:bCs/>
          <w:color w:val="000000" w:themeColor="text1"/>
          <w:sz w:val="21"/>
          <w:szCs w:val="21"/>
          <w:lang w:val="en-US" w:eastAsia="zh-CN"/>
          <w14:textFill>
            <w14:solidFill>
              <w14:schemeClr w14:val="tx1"/>
            </w14:solidFill>
          </w14:textFill>
        </w:rPr>
        <w:t xml:space="preserve"> </w:t>
      </w:r>
      <w:r>
        <w:rPr>
          <w:rFonts w:hint="eastAsia" w:ascii="黑体" w:hAnsi="黑体" w:eastAsia="黑体" w:cs="黑体"/>
          <w:b/>
          <w:bCs/>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000000" w:themeColor="text1"/>
          <w:sz w:val="32"/>
          <w:szCs w:val="32"/>
          <w:highlight w:val="none"/>
          <w14:textFill>
            <w14:solidFill>
              <w14:schemeClr w14:val="tx1"/>
            </w14:solidFill>
          </w14:textFill>
        </w:rPr>
      </w:pPr>
      <w:r>
        <w:rPr>
          <w:rFonts w:hint="eastAsia" w:ascii="宋体" w:hAnsi="宋体" w:eastAsia="宋体" w:cs="宋体"/>
          <w:b/>
          <w:bCs w:val="0"/>
          <w:color w:val="000000" w:themeColor="text1"/>
          <w:sz w:val="32"/>
          <w:szCs w:val="32"/>
          <w:highlight w:val="none"/>
          <w14:textFill>
            <w14:solidFill>
              <w14:schemeClr w14:val="tx1"/>
            </w14:solidFill>
          </w14:textFill>
        </w:rPr>
        <w:t>廉洁协议</w:t>
      </w:r>
    </w:p>
    <w:p>
      <w:pPr>
        <w:keepNext w:val="0"/>
        <w:keepLines w:val="0"/>
        <w:pageBreakBefore w:val="0"/>
        <w:widowControl/>
        <w:kinsoku/>
        <w:wordWrap/>
        <w:overflowPunct/>
        <w:topLinePunct w:val="0"/>
        <w:autoSpaceDE/>
        <w:autoSpaceDN/>
        <w:bidi w:val="0"/>
        <w:adjustRightInd w:val="0"/>
        <w:snapToGrid w:val="0"/>
        <w:spacing w:line="360" w:lineRule="auto"/>
        <w:ind w:firstLine="540" w:firstLineChars="225"/>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为促进双方诚信经营、廉洁从业，防范商业贿赂，保护国家、集体和当事人的合法权益，根据国家有关法律法规和广东省、广州市廉政建设的规定，</w:t>
      </w:r>
      <w:r>
        <w:rPr>
          <w:rFonts w:hint="eastAsia" w:ascii="宋体" w:hAnsi="宋体" w:eastAsia="宋体" w:cs="宋体"/>
          <w:b w:val="0"/>
          <w:bCs/>
          <w:color w:val="000000" w:themeColor="text1"/>
          <w:sz w:val="24"/>
          <w:szCs w:val="24"/>
          <w:highlight w:val="none"/>
          <w:u w:val="single"/>
          <w14:textFill>
            <w14:solidFill>
              <w14:schemeClr w14:val="tx1"/>
            </w14:solidFill>
          </w14:textFill>
        </w:rPr>
        <w:t>广州市净水有限公司</w:t>
      </w:r>
      <w:r>
        <w:rPr>
          <w:rFonts w:hint="eastAsia" w:ascii="宋体" w:hAnsi="宋体" w:eastAsia="宋体" w:cs="宋体"/>
          <w:b w:val="0"/>
          <w:bCs/>
          <w:color w:val="000000" w:themeColor="text1"/>
          <w:sz w:val="24"/>
          <w:szCs w:val="24"/>
          <w:highlight w:val="none"/>
          <w14:textFill>
            <w14:solidFill>
              <w14:schemeClr w14:val="tx1"/>
            </w14:solidFill>
          </w14:textFill>
        </w:rPr>
        <w:t>(以下称甲方)与</w:t>
      </w:r>
      <w:r>
        <w:rPr>
          <w:rFonts w:hint="eastAsia" w:ascii="宋体" w:hAnsi="宋体" w:cs="宋体"/>
          <w:sz w:val="24"/>
          <w:szCs w:val="24"/>
          <w:u w:val="single"/>
          <w:lang w:val="en-US" w:eastAsia="zh-CN"/>
        </w:rPr>
        <w:t xml:space="preserve">                      </w:t>
      </w:r>
      <w:r>
        <w:rPr>
          <w:rFonts w:hint="eastAsia" w:ascii="宋体" w:hAnsi="宋体" w:eastAsia="宋体" w:cs="宋体"/>
          <w:b w:val="0"/>
          <w:bCs/>
          <w:color w:val="000000" w:themeColor="text1"/>
          <w:sz w:val="24"/>
          <w:szCs w:val="24"/>
          <w:highlight w:val="none"/>
          <w14:textFill>
            <w14:solidFill>
              <w14:schemeClr w14:val="tx1"/>
            </w14:solidFill>
          </w14:textFill>
        </w:rPr>
        <w:t>(以下称乙方)，特此订立本协议共同遵照执行。</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第一条 甲乙双方的权利和义务</w:t>
      </w:r>
    </w:p>
    <w:p>
      <w:pPr>
        <w:keepNext w:val="0"/>
        <w:keepLines w:val="0"/>
        <w:pageBreakBefore w:val="0"/>
        <w:widowControl/>
        <w:kinsoku/>
        <w:wordWrap/>
        <w:overflowPunct/>
        <w:topLinePunct w:val="0"/>
        <w:autoSpaceDE/>
        <w:autoSpaceDN/>
        <w:bidi w:val="0"/>
        <w:adjustRightInd w:val="0"/>
        <w:snapToGrid w:val="0"/>
        <w:spacing w:line="360" w:lineRule="auto"/>
        <w:ind w:firstLine="360" w:firstLineChars="15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（一）甲乙双方严格遵守国家关于市场准入、项目招标投标、市场经营活动等有关法律、法规相关政策及廉政建设的各项规定。</w:t>
      </w:r>
    </w:p>
    <w:p>
      <w:pPr>
        <w:keepNext w:val="0"/>
        <w:keepLines w:val="0"/>
        <w:pageBreakBefore w:val="0"/>
        <w:widowControl/>
        <w:kinsoku/>
        <w:wordWrap/>
        <w:overflowPunct/>
        <w:topLinePunct w:val="0"/>
        <w:autoSpaceDE/>
        <w:autoSpaceDN/>
        <w:bidi w:val="0"/>
        <w:adjustRightInd w:val="0"/>
        <w:snapToGrid w:val="0"/>
        <w:spacing w:line="360" w:lineRule="auto"/>
        <w:ind w:firstLine="360" w:firstLineChars="15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（二）严格执行</w:t>
      </w:r>
      <w:r>
        <w:rPr>
          <w:rFonts w:hint="eastAsia" w:ascii="宋体" w:hAnsi="宋体" w:eastAsia="宋体" w:cs="宋体"/>
          <w:b w:val="0"/>
          <w:bCs/>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广州市净水有限公司在线监测系统自动标样核查模块采购项目</w:t>
      </w:r>
      <w:r>
        <w:rPr>
          <w:rFonts w:hint="eastAsia" w:ascii="宋体" w:hAnsi="宋体" w:eastAsia="宋体" w:cs="宋体"/>
          <w:b w:val="0"/>
          <w:bCs/>
          <w:color w:val="000000" w:themeColor="text1"/>
          <w:sz w:val="24"/>
          <w:szCs w:val="24"/>
          <w:highlight w:val="none"/>
          <w:u w:val="single"/>
          <w14:textFill>
            <w14:solidFill>
              <w14:schemeClr w14:val="tx1"/>
            </w14:solidFill>
          </w14:textFill>
        </w:rPr>
        <w:t xml:space="preserve">  穗净水合[     ]   </w:t>
      </w:r>
      <w:r>
        <w:rPr>
          <w:rFonts w:hint="eastAsia" w:ascii="宋体" w:hAnsi="宋体" w:cs="宋体"/>
          <w:b w:val="0"/>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highlight w:val="none"/>
          <w:u w:val="single"/>
          <w14:textFill>
            <w14:solidFill>
              <w14:schemeClr w14:val="tx1"/>
            </w14:solidFill>
          </w14:textFill>
        </w:rPr>
        <w:t>号</w:t>
      </w:r>
      <w:r>
        <w:rPr>
          <w:rFonts w:hint="eastAsia" w:ascii="宋体" w:hAnsi="宋体" w:cs="宋体"/>
          <w:b w:val="0"/>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highlight w:val="none"/>
          <w14:textFill>
            <w14:solidFill>
              <w14:schemeClr w14:val="tx1"/>
            </w14:solidFill>
          </w14:textFill>
        </w:rPr>
        <w:t>合同（以下简称：主合同），自觉履行合同约定的相关义务。</w:t>
      </w:r>
    </w:p>
    <w:p>
      <w:pPr>
        <w:keepNext w:val="0"/>
        <w:keepLines w:val="0"/>
        <w:pageBreakBefore w:val="0"/>
        <w:widowControl/>
        <w:kinsoku/>
        <w:wordWrap/>
        <w:overflowPunct/>
        <w:topLinePunct w:val="0"/>
        <w:autoSpaceDE/>
        <w:autoSpaceDN/>
        <w:bidi w:val="0"/>
        <w:adjustRightInd w:val="0"/>
        <w:snapToGrid w:val="0"/>
        <w:spacing w:line="360" w:lineRule="auto"/>
        <w:ind w:firstLine="360" w:firstLineChars="15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（三）在业务活动中坚持公开、公正、诚信、透明的原则，不得损害国家、集体利益。</w:t>
      </w:r>
    </w:p>
    <w:p>
      <w:pPr>
        <w:keepNext w:val="0"/>
        <w:keepLines w:val="0"/>
        <w:pageBreakBefore w:val="0"/>
        <w:widowControl/>
        <w:kinsoku/>
        <w:wordWrap/>
        <w:overflowPunct/>
        <w:topLinePunct w:val="0"/>
        <w:autoSpaceDE/>
        <w:autoSpaceDN/>
        <w:bidi w:val="0"/>
        <w:adjustRightInd w:val="0"/>
        <w:snapToGrid w:val="0"/>
        <w:spacing w:line="360" w:lineRule="auto"/>
        <w:ind w:firstLine="360" w:firstLineChars="15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（四）建立健全廉洁从业制度，开展廉洁教育，公布举报电话，监督并认真查处不廉洁及违法违纪行为。</w:t>
      </w:r>
    </w:p>
    <w:p>
      <w:pPr>
        <w:keepNext w:val="0"/>
        <w:keepLines w:val="0"/>
        <w:pageBreakBefore w:val="0"/>
        <w:widowControl/>
        <w:kinsoku/>
        <w:wordWrap/>
        <w:overflowPunct/>
        <w:topLinePunct w:val="0"/>
        <w:autoSpaceDE/>
        <w:autoSpaceDN/>
        <w:bidi w:val="0"/>
        <w:adjustRightInd w:val="0"/>
        <w:snapToGrid w:val="0"/>
        <w:spacing w:line="360" w:lineRule="auto"/>
        <w:ind w:firstLine="360" w:firstLineChars="15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（五）发现对方在业务活动中有不廉洁行为，应及时提醒对方纠正。情节严重的，应向其有关监督部门</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检举。</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第二条甲方的义务</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（一）甲方及其工作人员不得索要或接受乙方的礼金、有价证券和贵重物品，不得在乙方报销任何应由甲方或个人支付的费用等。</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widowControl/>
        <w:kinsoku/>
        <w:wordWrap/>
        <w:overflowPunct/>
        <w:topLinePunct w:val="0"/>
        <w:autoSpaceDE/>
        <w:autoSpaceDN/>
        <w:bidi w:val="0"/>
        <w:adjustRightInd w:val="0"/>
        <w:snapToGrid w:val="0"/>
        <w:spacing w:line="360" w:lineRule="auto"/>
        <w:ind w:left="14" w:leftChars="7"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（三）甲方及其工作人员不得要求或者接受乙方为其住房装修、婚丧嫁娶活动、配偶子女工作安排以及出国出境、旅游等提供方便等。</w:t>
      </w:r>
    </w:p>
    <w:p>
      <w:pPr>
        <w:keepNext w:val="0"/>
        <w:keepLines w:val="0"/>
        <w:pageBreakBefore w:val="0"/>
        <w:widowControl/>
        <w:kinsoku/>
        <w:wordWrap/>
        <w:overflowPunct/>
        <w:topLinePunct w:val="0"/>
        <w:autoSpaceDE/>
        <w:autoSpaceDN/>
        <w:bidi w:val="0"/>
        <w:adjustRightInd w:val="0"/>
        <w:snapToGrid w:val="0"/>
        <w:spacing w:line="360" w:lineRule="auto"/>
        <w:ind w:left="14" w:leftChars="7"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（四）甲方工作人员不得在乙方或与乙方有股权关联的企业兼职，不得向乙方介绍家属或者亲友从事与甲方业务有关的经济活动。</w:t>
      </w:r>
    </w:p>
    <w:p>
      <w:pPr>
        <w:keepNext w:val="0"/>
        <w:keepLines w:val="0"/>
        <w:pageBreakBefore w:val="0"/>
        <w:widowControl/>
        <w:kinsoku/>
        <w:wordWrap/>
        <w:overflowPunct/>
        <w:topLinePunct w:val="0"/>
        <w:autoSpaceDE/>
        <w:autoSpaceDN/>
        <w:bidi w:val="0"/>
        <w:adjustRightInd w:val="0"/>
        <w:snapToGrid w:val="0"/>
        <w:spacing w:line="360" w:lineRule="auto"/>
        <w:ind w:left="14" w:leftChars="7"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widowControl/>
        <w:kinsoku/>
        <w:wordWrap/>
        <w:overflowPunct/>
        <w:topLinePunct w:val="0"/>
        <w:autoSpaceDE/>
        <w:autoSpaceDN/>
        <w:bidi w:val="0"/>
        <w:adjustRightInd w:val="0"/>
        <w:snapToGrid w:val="0"/>
        <w:spacing w:line="360" w:lineRule="auto"/>
        <w:ind w:left="14" w:leftChars="7"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（六）甲方工作人员不得利用职务之便收受乙方以回扣、手续费、加班费、咨询费、劳务费、协调费、辛苦费等各种名义给予或赠送的钱物。</w:t>
      </w:r>
    </w:p>
    <w:p>
      <w:pPr>
        <w:keepNext w:val="0"/>
        <w:keepLines w:val="0"/>
        <w:pageBreakBefore w:val="0"/>
        <w:widowControl/>
        <w:kinsoku/>
        <w:wordWrap/>
        <w:overflowPunct/>
        <w:topLinePunct w:val="0"/>
        <w:autoSpaceDE/>
        <w:autoSpaceDN/>
        <w:bidi w:val="0"/>
        <w:adjustRightInd w:val="0"/>
        <w:snapToGrid w:val="0"/>
        <w:spacing w:line="360" w:lineRule="auto"/>
        <w:ind w:left="14" w:leftChars="7"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14:textFill>
            <w14:solidFill>
              <w14:schemeClr w14:val="tx1"/>
            </w14:solidFill>
          </w14:textFill>
        </w:rPr>
        <w:t>七</w:t>
      </w:r>
      <w:r>
        <w:rPr>
          <w:rFonts w:hint="eastAsia" w:ascii="宋体" w:hAnsi="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14:textFill>
            <w14:solidFill>
              <w14:schemeClr w14:val="tx1"/>
            </w14:solidFill>
          </w14:textFill>
        </w:rPr>
        <w:t>甲方工作人员不得接受乙方给予或赠送的干股或红利。</w:t>
      </w:r>
    </w:p>
    <w:p>
      <w:pPr>
        <w:keepNext w:val="0"/>
        <w:keepLines w:val="0"/>
        <w:pageBreakBefore w:val="0"/>
        <w:widowControl/>
        <w:kinsoku/>
        <w:wordWrap/>
        <w:overflowPunct/>
        <w:topLinePunct w:val="0"/>
        <w:autoSpaceDE/>
        <w:autoSpaceDN/>
        <w:bidi w:val="0"/>
        <w:adjustRightInd w:val="0"/>
        <w:snapToGrid w:val="0"/>
        <w:spacing w:line="360" w:lineRule="auto"/>
        <w:ind w:left="14" w:leftChars="7"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八</w:t>
      </w:r>
      <w:r>
        <w:rPr>
          <w:rFonts w:hint="eastAsia" w:ascii="宋体" w:hAnsi="宋体" w:cs="宋体"/>
          <w:b w:val="0"/>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不得存在其他违反廉洁规定的行为。</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第三条乙方的义务</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（一）乙方不得以任何理由向甲方及其工作人员行贿或馈赠礼金、有价证券、贵重礼品。</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（二)乙方不得以任何名义为甲方及其工作人员报销应由甲方单位或个人支付的任何费用。</w:t>
      </w:r>
    </w:p>
    <w:p>
      <w:pPr>
        <w:keepNext w:val="0"/>
        <w:keepLines w:val="0"/>
        <w:pageBreakBefore w:val="0"/>
        <w:widowControl/>
        <w:kinsoku/>
        <w:wordWrap/>
        <w:overflowPunct/>
        <w:topLinePunct w:val="0"/>
        <w:autoSpaceDE/>
        <w:autoSpaceDN/>
        <w:bidi w:val="0"/>
        <w:adjustRightInd w:val="0"/>
        <w:snapToGrid w:val="0"/>
        <w:spacing w:line="360" w:lineRule="auto"/>
        <w:ind w:left="25" w:leftChars="12"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（三）乙方不得以任何理由安排甲方工作人员参加可能影响相关业务公开、公正、公平性的宴请及娱乐活动。</w:t>
      </w:r>
    </w:p>
    <w:p>
      <w:pPr>
        <w:pStyle w:val="15"/>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（四）乙方不得为甲方单位和个人购置或提供通讯工具和高档办公用品等物品，也不得为甲方提供与工作无关的房屋、汽车等。</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（五）乙方不得擅自与甲方工作人员就</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主</w:t>
      </w:r>
      <w:r>
        <w:rPr>
          <w:rFonts w:hint="eastAsia" w:ascii="宋体" w:hAnsi="宋体" w:eastAsia="宋体" w:cs="宋体"/>
          <w:b w:val="0"/>
          <w:bCs/>
          <w:color w:val="000000" w:themeColor="text1"/>
          <w:sz w:val="24"/>
          <w:szCs w:val="24"/>
          <w:highlight w:val="none"/>
          <w14:textFill>
            <w14:solidFill>
              <w14:schemeClr w14:val="tx1"/>
            </w14:solidFill>
          </w14:textFill>
        </w:rPr>
        <w:t>合同中的质量、数量、价格、工程量、验收等条款进行私下商谈或者达成默契。</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（六）乙方不得以回扣、手续费、加班费、咨询费、劳务费、协调费、辛苦费等各种名义向甲方工作人员给予或赠送钱物。</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（七）乙方不得向甲方工作人员提供干股或红利。</w:t>
      </w:r>
    </w:p>
    <w:p>
      <w:pPr>
        <w:keepNext w:val="0"/>
        <w:keepLines w:val="0"/>
        <w:pageBreakBefore w:val="0"/>
        <w:widowControl/>
        <w:kinsoku/>
        <w:wordWrap/>
        <w:overflowPunct/>
        <w:topLinePunct w:val="0"/>
        <w:autoSpaceDE/>
        <w:autoSpaceDN/>
        <w:bidi w:val="0"/>
        <w:adjustRightInd w:val="0"/>
        <w:snapToGrid w:val="0"/>
        <w:spacing w:line="360" w:lineRule="auto"/>
        <w:ind w:left="14" w:leftChars="7"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(八）不得存在其他违反廉洁规定的行为。</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第四条违约责任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甲方举报投诉联系部门：广州市净水有限公司</w:t>
      </w:r>
      <w:r>
        <w:rPr>
          <w:rFonts w:hint="eastAsia" w:ascii="宋体" w:hAnsi="宋体" w:eastAsia="宋体" w:cs="宋体"/>
          <w:b w:val="0"/>
          <w:bCs/>
          <w:color w:val="000000" w:themeColor="text1"/>
          <w:sz w:val="24"/>
          <w:szCs w:val="24"/>
          <w:highlight w:val="none"/>
          <w:u w:val="single"/>
          <w14:textFill>
            <w14:solidFill>
              <w14:schemeClr w14:val="tx1"/>
            </w14:solidFill>
          </w14:textFill>
        </w:rPr>
        <w:t>纪检室</w:t>
      </w:r>
      <w:r>
        <w:rPr>
          <w:rFonts w:hint="eastAsia" w:ascii="宋体" w:hAnsi="宋体" w:eastAsia="宋体" w:cs="宋体"/>
          <w:b w:val="0"/>
          <w:bCs/>
          <w:color w:val="000000" w:themeColor="text1"/>
          <w:sz w:val="24"/>
          <w:szCs w:val="24"/>
          <w:highlight w:val="none"/>
          <w14:textFill>
            <w14:solidFill>
              <w14:schemeClr w14:val="tx1"/>
            </w14:solidFill>
          </w14:textFill>
        </w:rPr>
        <w:t>，联系电话：</w:t>
      </w:r>
      <w:r>
        <w:rPr>
          <w:rFonts w:hint="eastAsia" w:ascii="宋体" w:hAnsi="宋体" w:eastAsia="宋体" w:cs="宋体"/>
          <w:b w:val="0"/>
          <w:bCs/>
          <w:color w:val="000000" w:themeColor="text1"/>
          <w:sz w:val="24"/>
          <w:szCs w:val="24"/>
          <w:highlight w:val="none"/>
          <w:u w:val="single"/>
          <w14:textFill>
            <w14:solidFill>
              <w14:schemeClr w14:val="tx1"/>
            </w14:solidFill>
          </w14:textFill>
        </w:rPr>
        <w:t xml:space="preserve">020-38890265 </w:t>
      </w:r>
      <w:r>
        <w:rPr>
          <w:rFonts w:hint="eastAsia" w:ascii="宋体" w:hAnsi="宋体" w:eastAsia="宋体" w:cs="宋体"/>
          <w:b w:val="0"/>
          <w:bCs/>
          <w:color w:val="000000" w:themeColor="text1"/>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t>（二）乙方及其工作人员</w:t>
      </w:r>
      <w:r>
        <w:rPr>
          <w:rFonts w:hint="eastAsia" w:ascii="宋体" w:hAnsi="宋体" w:eastAsia="宋体" w:cs="宋体"/>
          <w:b w:val="0"/>
          <w:bCs/>
          <w:i w:val="0"/>
          <w:iCs w:val="0"/>
          <w:caps w:val="0"/>
          <w:color w:val="000000" w:themeColor="text1"/>
          <w:spacing w:val="0"/>
          <w:sz w:val="24"/>
          <w:szCs w:val="24"/>
          <w:highlight w:val="none"/>
          <w:lang w:val="en-US" w:eastAsia="zh-CN"/>
          <w14:textFill>
            <w14:solidFill>
              <w14:schemeClr w14:val="tx1"/>
            </w14:solidFill>
          </w14:textFill>
        </w:rPr>
        <w:t>存在</w:t>
      </w:r>
      <w:r>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t>违反本协议第一、三条规定、或在甲方招标、询价等过程中违反法律法规中的廉洁规定</w:t>
      </w:r>
      <w:r>
        <w:rPr>
          <w:rFonts w:hint="eastAsia" w:ascii="宋体" w:hAnsi="宋体" w:eastAsia="宋体" w:cs="宋体"/>
          <w:b w:val="0"/>
          <w:bCs/>
          <w:i w:val="0"/>
          <w:iCs w:val="0"/>
          <w:caps w:val="0"/>
          <w:color w:val="000000" w:themeColor="text1"/>
          <w:spacing w:val="0"/>
          <w:sz w:val="24"/>
          <w:szCs w:val="24"/>
          <w:highlight w:val="none"/>
          <w:lang w:val="en-US" w:eastAsia="zh-CN"/>
          <w14:textFill>
            <w14:solidFill>
              <w14:schemeClr w14:val="tx1"/>
            </w14:solidFill>
          </w14:textFill>
        </w:rPr>
        <w:t>的行为</w:t>
      </w:r>
      <w:r>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t>，</w:t>
      </w:r>
      <w:r>
        <w:rPr>
          <w:rFonts w:hint="eastAsia" w:ascii="宋体" w:hAnsi="宋体" w:eastAsia="宋体" w:cs="宋体"/>
          <w:b w:val="0"/>
          <w:bCs/>
          <w:i w:val="0"/>
          <w:iCs w:val="0"/>
          <w:caps w:val="0"/>
          <w:color w:val="000000" w:themeColor="text1"/>
          <w:spacing w:val="0"/>
          <w:sz w:val="24"/>
          <w:szCs w:val="24"/>
          <w:highlight w:val="none"/>
          <w:lang w:val="en-US" w:eastAsia="zh-CN"/>
          <w14:textFill>
            <w14:solidFill>
              <w14:schemeClr w14:val="tx1"/>
            </w14:solidFill>
          </w14:textFill>
        </w:rPr>
        <w:t>无论该行为是否与主合同有关，</w:t>
      </w:r>
      <w:r>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t>甲方</w:t>
      </w:r>
      <w:r>
        <w:rPr>
          <w:rFonts w:hint="eastAsia" w:ascii="宋体" w:hAnsi="宋体" w:eastAsia="宋体" w:cs="宋体"/>
          <w:b w:val="0"/>
          <w:bCs/>
          <w:i w:val="0"/>
          <w:iCs w:val="0"/>
          <w:caps w:val="0"/>
          <w:color w:val="000000" w:themeColor="text1"/>
          <w:spacing w:val="0"/>
          <w:sz w:val="24"/>
          <w:szCs w:val="24"/>
          <w:highlight w:val="none"/>
          <w:lang w:val="en-US" w:eastAsia="zh-CN"/>
          <w14:textFill>
            <w14:solidFill>
              <w14:schemeClr w14:val="tx1"/>
            </w14:solidFill>
          </w14:textFill>
        </w:rPr>
        <w:t>均</w:t>
      </w:r>
      <w:r>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t>有权根据具体情节和造成的后果，对乙方采取以下处理</w:t>
      </w:r>
      <w:r>
        <w:rPr>
          <w:rFonts w:hint="eastAsia" w:ascii="宋体" w:hAnsi="宋体" w:eastAsia="宋体" w:cs="宋体"/>
          <w:b w:val="0"/>
          <w:bCs/>
          <w:i w:val="0"/>
          <w:iCs w:val="0"/>
          <w:caps w:val="0"/>
          <w:color w:val="000000" w:themeColor="text1"/>
          <w:spacing w:val="0"/>
          <w:sz w:val="24"/>
          <w:szCs w:val="24"/>
          <w:highlight w:val="none"/>
          <w:lang w:val="en-US" w:eastAsia="zh-CN"/>
          <w14:textFill>
            <w14:solidFill>
              <w14:schemeClr w14:val="tx1"/>
            </w14:solidFill>
          </w14:textFill>
        </w:rPr>
        <w:t>方式</w:t>
      </w:r>
      <w:r>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t>：</w:t>
      </w:r>
    </w:p>
    <w:p>
      <w:pPr>
        <w:pStyle w:val="2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480" w:firstLineChars="200"/>
        <w:textAlignment w:val="auto"/>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pPr>
      <w:r>
        <w:rPr>
          <w:rFonts w:hint="eastAsia" w:cs="宋体"/>
          <w:b w:val="0"/>
          <w:bCs/>
          <w:i w:val="0"/>
          <w:iCs w:val="0"/>
          <w:caps w:val="0"/>
          <w:color w:val="000000" w:themeColor="text1"/>
          <w:spacing w:val="0"/>
          <w:sz w:val="24"/>
          <w:szCs w:val="24"/>
          <w:highlight w:val="none"/>
          <w:lang w:val="en-US" w:eastAsia="zh-CN"/>
          <w14:textFill>
            <w14:solidFill>
              <w14:schemeClr w14:val="tx1"/>
            </w14:solidFill>
          </w14:textFill>
        </w:rPr>
        <w:t>1.</w:t>
      </w:r>
      <w:r>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t>扣除主合同的全部履约保证金；</w:t>
      </w:r>
    </w:p>
    <w:p>
      <w:pPr>
        <w:pStyle w:val="2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480" w:firstLineChars="200"/>
        <w:textAlignment w:val="auto"/>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pPr>
      <w:r>
        <w:rPr>
          <w:rFonts w:hint="eastAsia" w:cs="宋体"/>
          <w:b w:val="0"/>
          <w:bCs/>
          <w:i w:val="0"/>
          <w:iCs w:val="0"/>
          <w:caps w:val="0"/>
          <w:color w:val="000000" w:themeColor="text1"/>
          <w:spacing w:val="0"/>
          <w:sz w:val="24"/>
          <w:szCs w:val="24"/>
          <w:highlight w:val="none"/>
          <w:lang w:val="en-US" w:eastAsia="zh-CN"/>
          <w14:textFill>
            <w14:solidFill>
              <w14:schemeClr w14:val="tx1"/>
            </w14:solidFill>
          </w14:textFill>
        </w:rPr>
        <w:t>2.</w:t>
      </w:r>
      <w:r>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t>解除</w:t>
      </w:r>
      <w:r>
        <w:rPr>
          <w:rFonts w:hint="eastAsia" w:ascii="宋体" w:hAnsi="宋体" w:eastAsia="宋体" w:cs="宋体"/>
          <w:b w:val="0"/>
          <w:bCs/>
          <w:i w:val="0"/>
          <w:iCs w:val="0"/>
          <w:caps w:val="0"/>
          <w:color w:val="000000" w:themeColor="text1"/>
          <w:spacing w:val="0"/>
          <w:sz w:val="24"/>
          <w:szCs w:val="24"/>
          <w:highlight w:val="none"/>
          <w:lang w:val="en-US" w:eastAsia="zh-CN"/>
          <w14:textFill>
            <w14:solidFill>
              <w14:schemeClr w14:val="tx1"/>
            </w14:solidFill>
          </w14:textFill>
        </w:rPr>
        <w:t>主合同</w:t>
      </w:r>
      <w:r>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t>；</w:t>
      </w:r>
    </w:p>
    <w:p>
      <w:pPr>
        <w:pStyle w:val="2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480" w:firstLineChars="200"/>
        <w:textAlignment w:val="auto"/>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t>3</w:t>
      </w:r>
      <w:r>
        <w:rPr>
          <w:rFonts w:hint="eastAsia" w:cs="宋体"/>
          <w:b w:val="0"/>
          <w:bCs/>
          <w:i w:val="0"/>
          <w:iCs w:val="0"/>
          <w:caps w:val="0"/>
          <w:color w:val="000000" w:themeColor="text1"/>
          <w:spacing w:val="0"/>
          <w:sz w:val="24"/>
          <w:szCs w:val="24"/>
          <w:highlight w:val="none"/>
          <w:lang w:val="en-US" w:eastAsia="zh-CN"/>
          <w14:textFill>
            <w14:solidFill>
              <w14:schemeClr w14:val="tx1"/>
            </w14:solidFill>
          </w14:textFill>
        </w:rPr>
        <w:t>.</w:t>
      </w:r>
      <w:r>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t>追究乙方其他违约责任；</w:t>
      </w:r>
    </w:p>
    <w:p>
      <w:pPr>
        <w:pStyle w:val="2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480" w:firstLineChars="200"/>
        <w:textAlignment w:val="auto"/>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t>4</w:t>
      </w:r>
      <w:r>
        <w:rPr>
          <w:rFonts w:hint="eastAsia" w:cs="宋体"/>
          <w:b w:val="0"/>
          <w:bCs/>
          <w:i w:val="0"/>
          <w:iCs w:val="0"/>
          <w:caps w:val="0"/>
          <w:color w:val="000000" w:themeColor="text1"/>
          <w:spacing w:val="0"/>
          <w:sz w:val="24"/>
          <w:szCs w:val="24"/>
          <w:highlight w:val="none"/>
          <w:lang w:val="en-US" w:eastAsia="zh-CN"/>
          <w14:textFill>
            <w14:solidFill>
              <w14:schemeClr w14:val="tx1"/>
            </w14:solidFill>
          </w14:textFill>
        </w:rPr>
        <w:t>.</w:t>
      </w:r>
      <w:r>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t>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480" w:firstLineChars="200"/>
        <w:textAlignment w:val="auto"/>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t>5</w:t>
      </w:r>
      <w:r>
        <w:rPr>
          <w:rFonts w:hint="eastAsia" w:cs="宋体"/>
          <w:b w:val="0"/>
          <w:bCs/>
          <w:i w:val="0"/>
          <w:iCs w:val="0"/>
          <w:caps w:val="0"/>
          <w:color w:val="000000" w:themeColor="text1"/>
          <w:spacing w:val="0"/>
          <w:sz w:val="24"/>
          <w:szCs w:val="24"/>
          <w:highlight w:val="none"/>
          <w:lang w:val="en-US" w:eastAsia="zh-CN"/>
          <w14:textFill>
            <w14:solidFill>
              <w14:schemeClr w14:val="tx1"/>
            </w14:solidFill>
          </w14:textFill>
        </w:rPr>
        <w:t>.</w:t>
      </w:r>
      <w:r>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t>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480" w:firstLineChars="200"/>
        <w:textAlignment w:val="auto"/>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t>6</w:t>
      </w:r>
      <w:r>
        <w:rPr>
          <w:rFonts w:hint="eastAsia" w:cs="宋体"/>
          <w:b w:val="0"/>
          <w:bCs/>
          <w:i w:val="0"/>
          <w:iCs w:val="0"/>
          <w:caps w:val="0"/>
          <w:color w:val="000000" w:themeColor="text1"/>
          <w:spacing w:val="0"/>
          <w:sz w:val="24"/>
          <w:szCs w:val="24"/>
          <w:highlight w:val="none"/>
          <w:lang w:val="en-US" w:eastAsia="zh-CN"/>
          <w14:textFill>
            <w14:solidFill>
              <w14:schemeClr w14:val="tx1"/>
            </w14:solidFill>
          </w14:textFill>
        </w:rPr>
        <w:t>.</w:t>
      </w:r>
      <w:r>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t>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480" w:firstLineChars="200"/>
        <w:textAlignment w:val="auto"/>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t>7</w:t>
      </w:r>
      <w:r>
        <w:rPr>
          <w:rFonts w:hint="eastAsia" w:cs="宋体"/>
          <w:b w:val="0"/>
          <w:bCs/>
          <w:i w:val="0"/>
          <w:iCs w:val="0"/>
          <w:caps w:val="0"/>
          <w:color w:val="000000" w:themeColor="text1"/>
          <w:spacing w:val="0"/>
          <w:sz w:val="24"/>
          <w:szCs w:val="24"/>
          <w:highlight w:val="none"/>
          <w:lang w:val="en-US" w:eastAsia="zh-CN"/>
          <w14:textFill>
            <w14:solidFill>
              <w14:schemeClr w14:val="tx1"/>
            </w14:solidFill>
          </w14:textFill>
        </w:rPr>
        <w:t>.</w:t>
      </w:r>
      <w:r>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t>按规定向有关行政监督部门、乙方业务管理部门进行投诉、报告。</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t>乙方无条件接受甲方的处理决定并承担给甲方造成的损失，全额返还通过不正当手段获取的非法所得，并承担相应的法律责任。</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 xml:space="preserve">第五条 </w:t>
      </w:r>
      <w:r>
        <w:rPr>
          <w:rFonts w:hint="eastAsia" w:ascii="宋体" w:hAnsi="宋体" w:eastAsia="宋体" w:cs="宋体"/>
          <w:b w:val="0"/>
          <w:bCs/>
          <w:color w:val="000000" w:themeColor="text1"/>
          <w:kern w:val="0"/>
          <w:sz w:val="24"/>
          <w:szCs w:val="24"/>
          <w:highlight w:val="none"/>
          <w14:textFill>
            <w14:solidFill>
              <w14:schemeClr w14:val="tx1"/>
            </w14:solidFill>
          </w14:textFill>
        </w:rPr>
        <w:t xml:space="preserve">本协议执行情况，接受有管辖权的纪检、监察部门的监督，双方应予以配合检查调查。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第六条本协议作为</w:t>
      </w:r>
      <w:r>
        <w:rPr>
          <w:rFonts w:hint="eastAsia" w:ascii="宋体" w:hAnsi="宋体" w:cs="宋体"/>
          <w:b w:val="0"/>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广州市净水有限公司在线监测系统自动标样核查模块采购项目</w:t>
      </w:r>
      <w:r>
        <w:rPr>
          <w:rFonts w:hint="eastAsia" w:ascii="宋体" w:hAnsi="宋体" w:eastAsia="宋体" w:cs="宋体"/>
          <w:b w:val="0"/>
          <w:bCs/>
          <w:color w:val="000000" w:themeColor="text1"/>
          <w:sz w:val="24"/>
          <w:szCs w:val="24"/>
          <w:highlight w:val="none"/>
          <w:u w:val="single"/>
          <w14:textFill>
            <w14:solidFill>
              <w14:schemeClr w14:val="tx1"/>
            </w14:solidFill>
          </w14:textFill>
        </w:rPr>
        <w:t xml:space="preserve">  穗净水合[     ]   </w:t>
      </w:r>
      <w:r>
        <w:rPr>
          <w:rFonts w:hint="eastAsia" w:ascii="宋体" w:hAnsi="宋体" w:cs="宋体"/>
          <w:b w:val="0"/>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highlight w:val="none"/>
          <w:u w:val="single"/>
          <w14:textFill>
            <w14:solidFill>
              <w14:schemeClr w14:val="tx1"/>
            </w14:solidFill>
          </w14:textFill>
        </w:rPr>
        <w:t>号</w:t>
      </w:r>
      <w:r>
        <w:rPr>
          <w:rFonts w:hint="eastAsia" w:ascii="宋体" w:hAnsi="宋体" w:eastAsia="宋体" w:cs="宋体"/>
          <w:b w:val="0"/>
          <w:bCs/>
          <w:color w:val="000000" w:themeColor="text1"/>
          <w:sz w:val="24"/>
          <w:szCs w:val="24"/>
          <w:highlight w:val="none"/>
          <w14:textFill>
            <w14:solidFill>
              <w14:schemeClr w14:val="tx1"/>
            </w14:solidFill>
          </w14:textFill>
        </w:rPr>
        <w:t>合同的附件，并具有同等的法律效力，本协议自双方签字盖章之日起生效，与主合同同时终止。</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第七条本协议一式</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伍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份，甲方执</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肆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份，乙方执</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壹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w:t>
      </w:r>
      <w:r>
        <w:rPr>
          <w:rFonts w:hint="eastAsia" w:ascii="宋体" w:hAnsi="宋体" w:eastAsia="宋体" w:cs="宋体"/>
          <w:b w:val="0"/>
          <w:bCs/>
          <w:color w:val="000000" w:themeColor="text1"/>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p>
    <w:p>
      <w:pPr>
        <w:pStyle w:val="7"/>
        <w:rPr>
          <w:rFonts w:hint="eastAsia" w:ascii="宋体" w:hAnsi="宋体" w:eastAsia="宋体" w:cs="宋体"/>
          <w:b w:val="0"/>
          <w:bCs/>
          <w:color w:val="000000" w:themeColor="text1"/>
          <w:sz w:val="24"/>
          <w:szCs w:val="24"/>
          <w:highlight w:val="none"/>
          <w14:textFill>
            <w14:solidFill>
              <w14:schemeClr w14:val="tx1"/>
            </w14:solidFill>
          </w14:textFill>
        </w:rPr>
      </w:pPr>
    </w:p>
    <w:p>
      <w:pPr>
        <w:pStyle w:val="7"/>
        <w:rPr>
          <w:rFonts w:hint="eastAsia" w:ascii="宋体" w:hAnsi="宋体" w:eastAsia="宋体" w:cs="宋体"/>
          <w:b w:val="0"/>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60" w:lineRule="auto"/>
        <w:ind w:left="6720" w:hanging="6720" w:hangingChars="28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甲方（盖章）：</w:t>
      </w:r>
      <w:r>
        <w:rPr>
          <w:rFonts w:hint="eastAsia" w:ascii="宋体" w:hAnsi="宋体" w:eastAsia="宋体" w:cs="宋体"/>
          <w:b w:val="0"/>
          <w:bCs/>
          <w:color w:val="000000" w:themeColor="text1"/>
          <w:sz w:val="24"/>
          <w:szCs w:val="24"/>
          <w:highlight w:val="none"/>
          <w:u w:val="none"/>
          <w14:textFill>
            <w14:solidFill>
              <w14:schemeClr w14:val="tx1"/>
            </w14:solidFill>
          </w14:textFill>
        </w:rPr>
        <w:t xml:space="preserve">广州市净水有限公司 </w:t>
      </w:r>
      <w:r>
        <w:rPr>
          <w:rFonts w:hint="eastAsia" w:ascii="宋体" w:hAnsi="宋体" w:eastAsia="宋体" w:cs="宋体"/>
          <w:b w:val="0"/>
          <w:bCs/>
          <w:color w:val="000000" w:themeColor="text1"/>
          <w:sz w:val="24"/>
          <w:szCs w:val="24"/>
          <w:highlight w:val="none"/>
          <w14:textFill>
            <w14:solidFill>
              <w14:schemeClr w14:val="tx1"/>
            </w14:solidFill>
          </w14:textFill>
        </w:rPr>
        <w:t xml:space="preserve">   </w:t>
      </w:r>
      <w:r>
        <w:rPr>
          <w:rFonts w:hint="eastAsia" w:ascii="宋体" w:hAnsi="宋体" w:cs="宋体"/>
          <w:b w:val="0"/>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highlight w:val="none"/>
          <w14:textFill>
            <w14:solidFill>
              <w14:schemeClr w14:val="tx1"/>
            </w14:solidFill>
          </w14:textFill>
        </w:rPr>
        <w:t>乙方（盖章）：</w:t>
      </w:r>
    </w:p>
    <w:p>
      <w:pPr>
        <w:pStyle w:val="35"/>
        <w:keepNext w:val="0"/>
        <w:keepLines w:val="0"/>
        <w:pageBreakBefore w:val="0"/>
        <w:widowControl/>
        <w:tabs>
          <w:tab w:val="left" w:pos="5100"/>
        </w:tabs>
        <w:kinsoku/>
        <w:wordWrap/>
        <w:overflowPunct/>
        <w:topLinePunct w:val="0"/>
        <w:autoSpaceDE/>
        <w:autoSpaceDN/>
        <w:bidi w:val="0"/>
        <w:adjustRightInd w:val="0"/>
        <w:snapToGrid w:val="0"/>
        <w:spacing w:line="360" w:lineRule="auto"/>
        <w:ind w:left="7200" w:firstLine="0" w:firstLineChars="0"/>
        <w:jc w:val="lef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p>
    <w:p>
      <w:pPr>
        <w:keepNext w:val="0"/>
        <w:keepLines w:val="0"/>
        <w:pageBreakBefore w:val="0"/>
        <w:widowControl/>
        <w:tabs>
          <w:tab w:val="left" w:pos="5100"/>
        </w:tabs>
        <w:kinsoku/>
        <w:wordWrap/>
        <w:overflowPunct/>
        <w:topLinePunct w:val="0"/>
        <w:autoSpaceDE/>
        <w:autoSpaceDN/>
        <w:bidi w:val="0"/>
        <w:adjustRightInd w:val="0"/>
        <w:snapToGrid w:val="0"/>
        <w:spacing w:line="360" w:lineRule="auto"/>
        <w:ind w:left="7200" w:hanging="7200" w:hangingChars="30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 xml:space="preserve">签约代表：                        </w:t>
      </w:r>
      <w:r>
        <w:rPr>
          <w:rFonts w:hint="eastAsia" w:ascii="宋体" w:hAnsi="宋体" w:cs="宋体"/>
          <w:b w:val="0"/>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highlight w:val="none"/>
          <w14:textFill>
            <w14:solidFill>
              <w14:schemeClr w14:val="tx1"/>
            </w14:solidFill>
          </w14:textFill>
        </w:rPr>
        <w:t xml:space="preserve"> 签约代表：</w:t>
      </w:r>
    </w:p>
    <w:p>
      <w:pPr>
        <w:keepNext w:val="0"/>
        <w:keepLines w:val="0"/>
        <w:pageBreakBefore w:val="0"/>
        <w:widowControl/>
        <w:tabs>
          <w:tab w:val="left" w:pos="4170"/>
        </w:tabs>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p>
    <w:p>
      <w:pPr>
        <w:keepNext w:val="0"/>
        <w:keepLines w:val="0"/>
        <w:pageBreakBefore w:val="0"/>
        <w:widowControl/>
        <w:tabs>
          <w:tab w:val="left" w:pos="4170"/>
        </w:tabs>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 xml:space="preserve">日期:   </w:t>
      </w:r>
      <w:r>
        <w:rPr>
          <w:rFonts w:hint="eastAsia" w:ascii="宋体" w:hAnsi="宋体" w:eastAsia="宋体" w:cs="宋体"/>
          <w:b w:val="0"/>
          <w:bCs/>
          <w:color w:val="000000" w:themeColor="text1"/>
          <w:sz w:val="24"/>
          <w:szCs w:val="24"/>
          <w:highlight w:val="none"/>
          <w14:textFill>
            <w14:solidFill>
              <w14:schemeClr w14:val="tx1"/>
            </w14:solidFill>
          </w14:textFill>
        </w:rPr>
        <w:tab/>
      </w:r>
      <w:r>
        <w:rPr>
          <w:rFonts w:hint="eastAsia" w:ascii="宋体" w:hAnsi="宋体" w:cs="宋体"/>
          <w:b w:val="0"/>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highlight w:val="none"/>
          <w14:textFill>
            <w14:solidFill>
              <w14:schemeClr w14:val="tx1"/>
            </w14:solidFill>
          </w14:textFill>
        </w:rPr>
        <w:t xml:space="preserve">日期： </w:t>
      </w:r>
      <w:r>
        <w:rPr>
          <w:rFonts w:hint="eastAsia" w:ascii="宋体" w:hAnsi="宋体" w:cs="宋体"/>
          <w:b w:val="0"/>
          <w:bCs/>
          <w:color w:val="000000" w:themeColor="text1"/>
          <w:sz w:val="24"/>
          <w:szCs w:val="24"/>
          <w:highlight w:val="none"/>
          <w:lang w:val="en-US" w:eastAsia="zh-CN"/>
          <w14:textFill>
            <w14:solidFill>
              <w14:schemeClr w14:val="tx1"/>
            </w14:solidFill>
          </w14:textFill>
        </w:rPr>
        <w:t xml:space="preserve"> </w:t>
      </w:r>
    </w:p>
    <w:p>
      <w:pPr>
        <w:pStyle w:val="2"/>
        <w:ind w:firstLine="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
        <w:ind w:firstLine="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
        <w:ind w:firstLine="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
        <w:ind w:firstLine="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
        <w:ind w:firstLine="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
        <w:ind w:firstLine="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
        <w:ind w:firstLine="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
        <w:ind w:firstLine="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
        <w:ind w:firstLine="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2"/>
        <w:ind w:firstLine="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widowControl w:val="0"/>
        <w:spacing w:line="360" w:lineRule="auto"/>
        <w:jc w:val="both"/>
        <w:rPr>
          <w:rFonts w:hint="eastAsia" w:ascii="宋体" w:hAnsi="宋体" w:cs="宋体"/>
          <w:b/>
          <w:bCs/>
          <w:color w:val="000000" w:themeColor="text1"/>
          <w:kern w:val="2"/>
          <w:szCs w:val="21"/>
          <w14:textFill>
            <w14:solidFill>
              <w14:schemeClr w14:val="tx1"/>
            </w14:solidFill>
          </w14:textFill>
        </w:rPr>
      </w:pPr>
      <w:r>
        <w:rPr>
          <w:rFonts w:hint="eastAsia" w:ascii="宋体" w:hAnsi="宋体" w:cs="宋体"/>
          <w:b/>
          <w:bCs/>
          <w:color w:val="000000" w:themeColor="text1"/>
          <w:kern w:val="2"/>
          <w:szCs w:val="21"/>
          <w:lang w:val="en-US" w:eastAsia="zh-CN"/>
          <w14:textFill>
            <w14:solidFill>
              <w14:schemeClr w14:val="tx1"/>
            </w14:solidFill>
          </w14:textFill>
        </w:rPr>
        <w:t>附件3：物品采购安全协议书</w:t>
      </w:r>
    </w:p>
    <w:p>
      <w:pPr>
        <w:keepNext w:val="0"/>
        <w:keepLines w:val="0"/>
        <w:pageBreakBefore w:val="0"/>
        <w:kinsoku/>
        <w:wordWrap/>
        <w:overflowPunct/>
        <w:topLinePunct w:val="0"/>
        <w:autoSpaceDE/>
        <w:autoSpaceDN/>
        <w:bidi w:val="0"/>
        <w:spacing w:line="520" w:lineRule="exact"/>
        <w:jc w:val="center"/>
        <w:rPr>
          <w:rFonts w:ascii="宋体" w:hAnsi="宋体" w:cs="Arial"/>
          <w:color w:val="000000" w:themeColor="text1"/>
          <w:kern w:val="0"/>
          <w:sz w:val="24"/>
          <w14:textFill>
            <w14:solidFill>
              <w14:schemeClr w14:val="tx1"/>
            </w14:solidFill>
          </w14:textFill>
        </w:rPr>
      </w:pPr>
      <w:r>
        <w:rPr>
          <w:rFonts w:hint="eastAsia" w:ascii="黑体" w:hAnsi="宋体" w:eastAsia="黑体" w:cs="宋体"/>
          <w:bCs/>
          <w:color w:val="000000" w:themeColor="text1"/>
          <w:kern w:val="0"/>
          <w:sz w:val="44"/>
          <w:szCs w:val="44"/>
          <w14:textFill>
            <w14:solidFill>
              <w14:schemeClr w14:val="tx1"/>
            </w14:solidFill>
          </w14:textFill>
        </w:rPr>
        <w:t>物品采购</w:t>
      </w:r>
      <w:r>
        <w:rPr>
          <w:rFonts w:hint="eastAsia" w:ascii="黑体" w:hAnsi="Batang" w:eastAsia="黑体" w:cs="Batang"/>
          <w:bCs/>
          <w:color w:val="000000" w:themeColor="text1"/>
          <w:kern w:val="0"/>
          <w:sz w:val="44"/>
          <w:szCs w:val="44"/>
          <w14:textFill>
            <w14:solidFill>
              <w14:schemeClr w14:val="tx1"/>
            </w14:solidFill>
          </w14:textFill>
        </w:rPr>
        <w:t>安全协议</w:t>
      </w:r>
      <w:r>
        <w:rPr>
          <w:rFonts w:hint="eastAsia" w:ascii="黑体" w:hAnsi="宋体" w:eastAsia="黑体" w:cs="宋体"/>
          <w:bCs/>
          <w:color w:val="000000" w:themeColor="text1"/>
          <w:kern w:val="0"/>
          <w:sz w:val="44"/>
          <w:szCs w:val="44"/>
          <w14:textFill>
            <w14:solidFill>
              <w14:schemeClr w14:val="tx1"/>
            </w14:solidFill>
          </w14:textFill>
        </w:rPr>
        <w:t>书</w:t>
      </w:r>
    </w:p>
    <w:p>
      <w:pPr>
        <w:keepNext w:val="0"/>
        <w:keepLines w:val="0"/>
        <w:pageBreakBefore w:val="0"/>
        <w:kinsoku/>
        <w:wordWrap/>
        <w:overflowPunct/>
        <w:topLinePunct w:val="0"/>
        <w:autoSpaceDE/>
        <w:autoSpaceDN/>
        <w:bidi w:val="0"/>
        <w:spacing w:line="520" w:lineRule="exact"/>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甲方：</w:t>
      </w:r>
      <w:r>
        <w:rPr>
          <w:rFonts w:hint="eastAsia"/>
          <w:color w:val="000000" w:themeColor="text1"/>
          <w:sz w:val="24"/>
          <w14:textFill>
            <w14:solidFill>
              <w14:schemeClr w14:val="tx1"/>
            </w14:solidFill>
          </w14:textFill>
        </w:rPr>
        <w:t>广州市净水有限公司</w:t>
      </w:r>
    </w:p>
    <w:p>
      <w:pPr>
        <w:keepNext w:val="0"/>
        <w:keepLines w:val="0"/>
        <w:pageBreakBefore w:val="0"/>
        <w:kinsoku/>
        <w:wordWrap/>
        <w:overflowPunct/>
        <w:topLinePunct w:val="0"/>
        <w:autoSpaceDE/>
        <w:autoSpaceDN/>
        <w:bidi w:val="0"/>
        <w:spacing w:line="520" w:lineRule="exact"/>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乙方：</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为加强物品采购过程安全管理，根据《中华人民共和国安全生产法》、《生产安全事故报告和调查处理条例》等国家及地方有关安全生产法律法规</w:t>
      </w:r>
      <w:r>
        <w:rPr>
          <w:rFonts w:ascii="宋体" w:hAnsi="宋体" w:cs="Arial"/>
          <w:color w:val="000000" w:themeColor="text1"/>
          <w:kern w:val="0"/>
          <w:sz w:val="24"/>
          <w14:textFill>
            <w14:solidFill>
              <w14:schemeClr w14:val="tx1"/>
            </w14:solidFill>
          </w14:textFill>
        </w:rPr>
        <w:t>，甲乙双方就</w:t>
      </w:r>
      <w:r>
        <w:rPr>
          <w:rFonts w:hint="eastAsia" w:ascii="宋体" w:hAnsi="宋体" w:cs="Arial"/>
          <w:color w:val="000000" w:themeColor="text1"/>
          <w:kern w:val="0"/>
          <w:sz w:val="24"/>
          <w14:textFill>
            <w14:solidFill>
              <w14:schemeClr w14:val="tx1"/>
            </w14:solidFill>
          </w14:textFill>
        </w:rPr>
        <w:t>物品采购的安全</w:t>
      </w:r>
      <w:r>
        <w:rPr>
          <w:rFonts w:ascii="宋体" w:hAnsi="宋体" w:cs="Arial"/>
          <w:color w:val="000000" w:themeColor="text1"/>
          <w:kern w:val="0"/>
          <w:sz w:val="24"/>
          <w14:textFill>
            <w14:solidFill>
              <w14:schemeClr w14:val="tx1"/>
            </w14:solidFill>
          </w14:textFill>
        </w:rPr>
        <w:t>事宜，</w:t>
      </w:r>
      <w:r>
        <w:rPr>
          <w:rFonts w:ascii="宋体" w:hAnsi="宋体" w:cs="Arial"/>
          <w:color w:val="000000" w:themeColor="text1"/>
          <w:sz w:val="24"/>
          <w14:textFill>
            <w14:solidFill>
              <w14:schemeClr w14:val="tx1"/>
            </w14:solidFill>
          </w14:textFill>
        </w:rPr>
        <w:t>经双方友好协商，达成如下协议</w:t>
      </w:r>
      <w:r>
        <w:rPr>
          <w:rFonts w:ascii="宋体" w:hAnsi="宋体" w:cs="Arial"/>
          <w:color w:val="000000" w:themeColor="text1"/>
          <w:kern w:val="0"/>
          <w:sz w:val="24"/>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一、本协议与主合同的关系</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本协议作为</w:t>
      </w:r>
      <w:r>
        <w:rPr>
          <w:rFonts w:hint="eastAsia" w:ascii="宋体" w:hAnsi="宋体" w:cs="宋体"/>
          <w:color w:val="000000" w:themeColor="text1"/>
          <w:sz w:val="24"/>
          <w:szCs w:val="24"/>
          <w:u w:val="single"/>
          <w:lang w:val="en-US" w:eastAsia="zh-CN"/>
          <w14:textFill>
            <w14:solidFill>
              <w14:schemeClr w14:val="tx1"/>
            </w14:solidFill>
          </w14:textFill>
        </w:rPr>
        <w:t>广州市净水有限公司在线监测系统自动标样核查模块采购项目</w:t>
      </w:r>
      <w:r>
        <w:rPr>
          <w:rFonts w:hint="eastAsia" w:asciiTheme="minorEastAsia" w:hAnsiTheme="minorEastAsia" w:eastAsiaTheme="minorEastAsia"/>
          <w:color w:val="000000" w:themeColor="text1"/>
          <w:sz w:val="24"/>
          <w:u w:val="single"/>
          <w14:textFill>
            <w14:solidFill>
              <w14:schemeClr w14:val="tx1"/>
            </w14:solidFill>
          </w14:textFill>
        </w:rPr>
        <w:t xml:space="preserve">  穗净水合[     ]      号</w:t>
      </w:r>
      <w:r>
        <w:rPr>
          <w:rFonts w:hint="eastAsia" w:asciiTheme="minorEastAsia" w:hAnsiTheme="minorEastAsia" w:eastAsiaTheme="minorEastAsia"/>
          <w:color w:val="000000" w:themeColor="text1"/>
          <w:sz w:val="24"/>
          <w:u w:val="none"/>
          <w:lang w:val="en-US" w:eastAsia="zh-CN"/>
          <w14:textFill>
            <w14:solidFill>
              <w14:schemeClr w14:val="tx1"/>
            </w14:solidFill>
          </w14:textFill>
        </w:rPr>
        <w:t>合同</w:t>
      </w:r>
      <w:r>
        <w:rPr>
          <w:rFonts w:hint="eastAsia" w:asciiTheme="minorEastAsia" w:hAnsiTheme="minorEastAsia" w:eastAsiaTheme="minorEastAsia"/>
          <w:color w:val="000000" w:themeColor="text1"/>
          <w:sz w:val="24"/>
          <w14:textFill>
            <w14:solidFill>
              <w14:schemeClr w14:val="tx1"/>
            </w14:solidFill>
          </w14:textFill>
        </w:rPr>
        <w:t>的组成部分，与主合同具有同等法律效力。</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b/>
          <w:color w:val="000000" w:themeColor="text1"/>
          <w:kern w:val="0"/>
          <w:sz w:val="24"/>
          <w14:textFill>
            <w14:solidFill>
              <w14:schemeClr w14:val="tx1"/>
            </w14:solidFill>
          </w14:textFill>
        </w:rPr>
      </w:pPr>
      <w:r>
        <w:rPr>
          <w:rFonts w:hint="eastAsia" w:ascii="宋体" w:hAnsi="宋体" w:cs="Arial"/>
          <w:b/>
          <w:color w:val="000000" w:themeColor="text1"/>
          <w:kern w:val="0"/>
          <w:sz w:val="24"/>
          <w14:textFill>
            <w14:solidFill>
              <w14:schemeClr w14:val="tx1"/>
            </w14:solidFill>
          </w14:textFill>
        </w:rPr>
        <w:t>二、甲方权责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（一）甲方进行物品采购时，应贯彻落实国家、地方有关安全管理的法律法规和规章制度。</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（四）乙方对存在问题拒不整改的，视为违约，甲方有权对乙方按主合同相关条款进行违约金扣罚。如乙方拒不缴纳违约金的，甲方有权在履约保证金中扣除。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（五）告知乙方在甲方应当遵守的安全管理要求。</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b/>
          <w:color w:val="000000" w:themeColor="text1"/>
          <w:kern w:val="0"/>
          <w:sz w:val="24"/>
          <w14:textFill>
            <w14:solidFill>
              <w14:schemeClr w14:val="tx1"/>
            </w14:solidFill>
          </w14:textFill>
        </w:rPr>
      </w:pPr>
      <w:r>
        <w:rPr>
          <w:rFonts w:hint="eastAsia" w:ascii="宋体" w:hAnsi="宋体" w:cs="Arial"/>
          <w:b/>
          <w:color w:val="000000" w:themeColor="text1"/>
          <w:kern w:val="0"/>
          <w:sz w:val="24"/>
          <w14:textFill>
            <w14:solidFill>
              <w14:schemeClr w14:val="tx1"/>
            </w14:solidFill>
          </w14:textFill>
        </w:rPr>
        <w:t>三、乙方权责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（一）乙方应承诺具备所售物品的许可资质，并提供相关证明材料。若乙方非所售物品的直销厂家，应提供物品的完整供应链，物品的销售、运输、装卸全过程须严格遵守国家及地方的法律的有关规定。</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（二）</w:t>
      </w:r>
      <w:r>
        <w:rPr>
          <w:rFonts w:hint="eastAsia" w:ascii="宋体" w:hAnsi="宋体" w:cs="宋体"/>
          <w:color w:val="000000" w:themeColor="text1"/>
          <w:kern w:val="0"/>
          <w:sz w:val="24"/>
          <w14:textFill>
            <w14:solidFill>
              <w14:schemeClr w14:val="tx1"/>
            </w14:solidFill>
          </w14:textFill>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安全运输责任人，负责安全运输和装卸及安全教育工作，同时督促检查，确保</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的安全送运。</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（三）乙方应承诺所售</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质量符合现行国家规范要求，保证</w:t>
      </w:r>
      <w:r>
        <w:rPr>
          <w:rFonts w:hint="eastAsia" w:ascii="宋体" w:hAnsi="宋体" w:cs="Arial"/>
          <w:color w:val="000000" w:themeColor="text1"/>
          <w:kern w:val="0"/>
          <w:sz w:val="24"/>
          <w14:textFill>
            <w14:solidFill>
              <w14:schemeClr w14:val="tx1"/>
            </w14:solidFill>
          </w14:textFill>
        </w:rPr>
        <w:t>所售物品为正品。</w:t>
      </w:r>
      <w:r>
        <w:rPr>
          <w:rFonts w:hint="eastAsia" w:ascii="宋体" w:hAnsi="宋体" w:cs="Arial"/>
          <w:color w:val="000000" w:themeColor="text1"/>
          <w:kern w:val="0"/>
          <w:sz w:val="24"/>
          <w:lang w:eastAsia="zh-CN"/>
          <w14:textFill>
            <w14:solidFill>
              <w14:schemeClr w14:val="tx1"/>
            </w14:solidFill>
          </w14:textFill>
        </w:rPr>
        <w:t>货物</w:t>
      </w:r>
      <w:r>
        <w:rPr>
          <w:rFonts w:hint="eastAsia" w:ascii="宋体" w:hAnsi="宋体" w:cs="Arial"/>
          <w:color w:val="000000" w:themeColor="text1"/>
          <w:kern w:val="0"/>
          <w:sz w:val="24"/>
          <w14:textFill>
            <w14:solidFill>
              <w14:schemeClr w14:val="tx1"/>
            </w14:solidFill>
          </w14:textFill>
        </w:rPr>
        <w:t>类物品应提供与</w:t>
      </w:r>
      <w:r>
        <w:rPr>
          <w:rFonts w:hint="eastAsia" w:ascii="宋体" w:hAnsi="宋体" w:cs="Arial"/>
          <w:color w:val="000000" w:themeColor="text1"/>
          <w:kern w:val="0"/>
          <w:sz w:val="24"/>
          <w:lang w:eastAsia="zh-CN"/>
          <w14:textFill>
            <w14:solidFill>
              <w14:schemeClr w14:val="tx1"/>
            </w14:solidFill>
          </w14:textFill>
        </w:rPr>
        <w:t>货物</w:t>
      </w:r>
      <w:r>
        <w:rPr>
          <w:rFonts w:hint="eastAsia" w:ascii="宋体" w:hAnsi="宋体" w:cs="Arial"/>
          <w:color w:val="000000" w:themeColor="text1"/>
          <w:kern w:val="0"/>
          <w:sz w:val="24"/>
          <w14:textFill>
            <w14:solidFill>
              <w14:schemeClr w14:val="tx1"/>
            </w14:solidFill>
          </w14:textFill>
        </w:rPr>
        <w:t>型号一致的使用说明书（进口</w:t>
      </w:r>
      <w:r>
        <w:rPr>
          <w:rFonts w:hint="eastAsia" w:ascii="宋体" w:hAnsi="宋体" w:cs="Arial"/>
          <w:color w:val="000000" w:themeColor="text1"/>
          <w:kern w:val="0"/>
          <w:sz w:val="24"/>
          <w:lang w:eastAsia="zh-CN"/>
          <w14:textFill>
            <w14:solidFill>
              <w14:schemeClr w14:val="tx1"/>
            </w14:solidFill>
          </w14:textFill>
        </w:rPr>
        <w:t>货物</w:t>
      </w:r>
      <w:r>
        <w:rPr>
          <w:rFonts w:hint="eastAsia" w:ascii="宋体" w:hAnsi="宋体" w:cs="Arial"/>
          <w:color w:val="000000" w:themeColor="text1"/>
          <w:kern w:val="0"/>
          <w:sz w:val="24"/>
          <w14:textFill>
            <w14:solidFill>
              <w14:schemeClr w14:val="tx1"/>
            </w14:solidFill>
          </w14:textFill>
        </w:rPr>
        <w:t>应有中文说明书），如物品有保质期要求的应在保质期范围内，</w:t>
      </w:r>
      <w:r>
        <w:rPr>
          <w:rFonts w:hint="eastAsia" w:ascii="宋体" w:hAnsi="宋体" w:cs="宋体"/>
          <w:color w:val="000000" w:themeColor="text1"/>
          <w:kern w:val="0"/>
          <w:sz w:val="24"/>
          <w14:textFill>
            <w14:solidFill>
              <w14:schemeClr w14:val="tx1"/>
            </w14:solidFill>
          </w14:textFill>
        </w:rPr>
        <w:t>特殊</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应在运输前做好定检工作，包装要完整完好。</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（四）乙方对</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的运输、装卸、</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的安装和调试过程的安全工作负责。对乙方内部的运输车队，乙方用于运输物品的车辆应取得合法证照资质。对乙方聘请的运输车队，乙方应严格审核其运输车队、驾驶员资质证照及车队运输相关的管理制度。</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（五）乙方须加强物品运输车辆的安全管理，用于运输</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的车辆必须车况良好、外观整洁、证照齐全，严格执行车辆安全检验制度，确保车辆性能符合安全技术标准。</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（六）人员管理</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乙方必须严格按照国家相关规定雇佣人员，加强承运车辆驾驶员的道路安全交通法、相关安全管理制度、操作技能等的培训教育，确保安全运输。禁止病车上路、超速行驶、超限超载行驶，严禁酒后驾车和疲劳驾车等。乙方聘请其他单位运输的，乙方应对运输单位的安全管理负责。</w:t>
      </w:r>
    </w:p>
    <w:p>
      <w:pPr>
        <w:keepNext w:val="0"/>
        <w:keepLines w:val="0"/>
        <w:pageBreakBefore w:val="0"/>
        <w:widowControl/>
        <w:numPr>
          <w:ilvl w:val="0"/>
          <w:numId w:val="7"/>
        </w:numPr>
        <w:kinsoku/>
        <w:wordWrap/>
        <w:overflowPunct/>
        <w:topLinePunct w:val="0"/>
        <w:autoSpaceDE/>
        <w:autoSpaceDN/>
        <w:bidi w:val="0"/>
        <w:spacing w:line="5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u w:val="single"/>
          <w:lang w:val="en-US" w:eastAsia="zh-CN"/>
          <w14:textFill>
            <w14:solidFill>
              <w14:schemeClr w14:val="tx1"/>
            </w14:solidFill>
          </w14:textFill>
        </w:rPr>
        <w:t>1000</w:t>
      </w:r>
      <w:r>
        <w:rPr>
          <w:rFonts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元/次。</w:t>
      </w:r>
    </w:p>
    <w:p>
      <w:pPr>
        <w:keepNext w:val="0"/>
        <w:keepLines w:val="0"/>
        <w:pageBreakBefore w:val="0"/>
        <w:widowControl/>
        <w:numPr>
          <w:ilvl w:val="0"/>
          <w:numId w:val="0"/>
        </w:numPr>
        <w:kinsoku/>
        <w:wordWrap/>
        <w:overflowPunct/>
        <w:topLinePunct w:val="0"/>
        <w:autoSpaceDE/>
        <w:autoSpaceDN/>
        <w:bidi w:val="0"/>
        <w:spacing w:line="5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keepNext w:val="0"/>
        <w:keepLines w:val="0"/>
        <w:pageBreakBefore w:val="0"/>
        <w:widowControl/>
        <w:kinsoku/>
        <w:wordWrap/>
        <w:overflowPunct/>
        <w:topLinePunct w:val="0"/>
        <w:autoSpaceDE/>
        <w:autoSpaceDN/>
        <w:bidi w:val="0"/>
        <w:spacing w:line="5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4.如</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类物品需进行安装、调试，乙方应安排熟悉</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或有</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操作相关资质的专业人员与甲方进行</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验收及培训等工作，确保操作</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过程安全。</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（七）发生事故时，乙方须立即报警处理，乙方在力所能及范围内采取补救措施，并在30分钟内将情况报告甲方。</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（十）乙方委托的第三方运输单位或个人，违反本协议的，全部责任均由乙方承担。</w:t>
      </w:r>
    </w:p>
    <w:p>
      <w:pPr>
        <w:pStyle w:val="38"/>
        <w:keepNext w:val="0"/>
        <w:keepLines w:val="0"/>
        <w:pageBreakBefore w:val="0"/>
        <w:kinsoku/>
        <w:wordWrap/>
        <w:overflowPunct/>
        <w:topLinePunct w:val="0"/>
        <w:autoSpaceDE/>
        <w:autoSpaceDN/>
        <w:bidi w:val="0"/>
        <w:spacing w:line="52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四、补充条款：</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五、附则</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（二）本协议与主合同同时签订、同时终止、同时生效，具有相同的法律效力，自甲方、乙方双方签字、盖章生效，甲方、乙方双方执持数量与主合同一致。</w:t>
      </w:r>
    </w:p>
    <w:tbl>
      <w:tblPr>
        <w:tblStyle w:val="24"/>
        <w:tblpPr w:leftFromText="180" w:rightFromText="180" w:vertAnchor="text" w:horzAnchor="page" w:tblpXSpec="center" w:tblpY="221"/>
        <w:tblOverlap w:val="never"/>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0"/>
        <w:gridCol w:w="4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45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甲方：</w:t>
            </w:r>
            <w:r>
              <w:rPr>
                <w:rFonts w:hint="eastAsia"/>
                <w:color w:val="000000" w:themeColor="text1"/>
                <w:sz w:val="24"/>
                <w14:textFill>
                  <w14:solidFill>
                    <w14:schemeClr w14:val="tx1"/>
                  </w14:solidFill>
                </w14:textFill>
              </w:rPr>
              <w:t>广州市净水有限公司</w:t>
            </w:r>
          </w:p>
        </w:tc>
        <w:tc>
          <w:tcPr>
            <w:tcW w:w="45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45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baseline"/>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签约代表：</w:t>
            </w:r>
          </w:p>
        </w:tc>
        <w:tc>
          <w:tcPr>
            <w:tcW w:w="45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签约代表：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45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baseline"/>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tc>
        <w:tc>
          <w:tcPr>
            <w:tcW w:w="45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4540"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签订日期：</w:t>
            </w:r>
          </w:p>
        </w:tc>
        <w:tc>
          <w:tcPr>
            <w:tcW w:w="4540"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签订日期：</w:t>
            </w:r>
          </w:p>
        </w:tc>
      </w:tr>
    </w:tbl>
    <w:p>
      <w:pPr>
        <w:keepNext w:val="0"/>
        <w:keepLines w:val="0"/>
        <w:pageBreakBefore w:val="0"/>
        <w:kinsoku/>
        <w:wordWrap/>
        <w:overflowPunct/>
        <w:topLinePunct w:val="0"/>
        <w:bidi w:val="0"/>
        <w:snapToGrid/>
        <w:spacing w:line="360" w:lineRule="auto"/>
        <w:ind w:firstLine="0" w:firstLineChars="0"/>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p>
    <w:p>
      <w:pPr>
        <w:keepNext w:val="0"/>
        <w:keepLines w:val="0"/>
        <w:pageBreakBefore w:val="0"/>
        <w:kinsoku/>
        <w:wordWrap/>
        <w:overflowPunct/>
        <w:topLinePunct w:val="0"/>
        <w:bidi w:val="0"/>
        <w:snapToGrid/>
        <w:spacing w:line="360" w:lineRule="auto"/>
        <w:ind w:firstLine="0" w:firstLineChars="0"/>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p>
    <w:p>
      <w:pPr>
        <w:keepNext w:val="0"/>
        <w:keepLines w:val="0"/>
        <w:pageBreakBefore w:val="0"/>
        <w:kinsoku/>
        <w:wordWrap/>
        <w:overflowPunct/>
        <w:topLinePunct w:val="0"/>
        <w:bidi w:val="0"/>
        <w:snapToGrid/>
        <w:spacing w:line="360" w:lineRule="auto"/>
        <w:ind w:firstLine="0" w:firstLineChars="0"/>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p>
    <w:p>
      <w:pPr>
        <w:keepNext w:val="0"/>
        <w:keepLines w:val="0"/>
        <w:pageBreakBefore w:val="0"/>
        <w:kinsoku/>
        <w:wordWrap/>
        <w:overflowPunct/>
        <w:topLinePunct w:val="0"/>
        <w:bidi w:val="0"/>
        <w:snapToGrid/>
        <w:spacing w:line="360" w:lineRule="auto"/>
        <w:ind w:firstLine="0" w:firstLineChars="0"/>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p>
    <w:p>
      <w:pPr>
        <w:widowControl/>
        <w:spacing w:line="240" w:lineRule="auto"/>
        <w:jc w:val="left"/>
        <w:rPr>
          <w:rFonts w:hint="eastAsia" w:ascii="宋体" w:hAnsi="宋体" w:cs="宋体"/>
          <w:b/>
          <w:bCs/>
          <w:color w:val="000000" w:themeColor="text1"/>
          <w:kern w:val="2"/>
          <w:szCs w:val="21"/>
          <w:lang w:val="en-US" w:eastAsia="zh-CN"/>
          <w14:textFill>
            <w14:solidFill>
              <w14:schemeClr w14:val="tx1"/>
            </w14:solidFill>
          </w14:textFill>
        </w:rPr>
      </w:pPr>
    </w:p>
    <w:p>
      <w:pPr>
        <w:rPr>
          <w:rFonts w:hint="eastAsia" w:ascii="宋体" w:hAnsi="宋体" w:cs="宋体"/>
          <w:b/>
          <w:bCs/>
          <w:color w:val="000000" w:themeColor="text1"/>
          <w:kern w:val="2"/>
          <w:szCs w:val="21"/>
          <w:lang w:val="en-US" w:eastAsia="zh-CN"/>
          <w14:textFill>
            <w14:solidFill>
              <w14:schemeClr w14:val="tx1"/>
            </w14:solidFill>
          </w14:textFill>
        </w:rPr>
      </w:pPr>
      <w:r>
        <w:rPr>
          <w:rFonts w:hint="eastAsia" w:ascii="宋体" w:hAnsi="宋体" w:cs="宋体"/>
          <w:b/>
          <w:bCs/>
          <w:color w:val="000000" w:themeColor="text1"/>
          <w:kern w:val="2"/>
          <w:szCs w:val="21"/>
          <w:lang w:val="en-US" w:eastAsia="zh-CN"/>
          <w14:textFill>
            <w14:solidFill>
              <w14:schemeClr w14:val="tx1"/>
            </w14:solidFill>
          </w14:textFill>
        </w:rPr>
        <w:br w:type="page"/>
      </w:r>
    </w:p>
    <w:p>
      <w:pPr>
        <w:widowControl w:val="0"/>
        <w:spacing w:line="360" w:lineRule="auto"/>
        <w:jc w:val="both"/>
        <w:rPr>
          <w:rFonts w:hint="eastAsia" w:ascii="宋体" w:hAnsi="宋体" w:cs="宋体"/>
          <w:b/>
          <w:bCs/>
          <w:color w:val="000000" w:themeColor="text1"/>
          <w:kern w:val="2"/>
          <w:szCs w:val="21"/>
          <w:lang w:val="en-US" w:eastAsia="zh-CN"/>
          <w14:textFill>
            <w14:solidFill>
              <w14:schemeClr w14:val="tx1"/>
            </w14:solidFill>
          </w14:textFill>
        </w:rPr>
      </w:pPr>
      <w:r>
        <w:rPr>
          <w:rFonts w:hint="eastAsia" w:ascii="宋体" w:hAnsi="宋体" w:cs="宋体"/>
          <w:b/>
          <w:bCs/>
          <w:color w:val="000000" w:themeColor="text1"/>
          <w:kern w:val="2"/>
          <w:szCs w:val="21"/>
          <w:lang w:val="en-US" w:eastAsia="zh-CN"/>
          <w14:textFill>
            <w14:solidFill>
              <w14:schemeClr w14:val="tx1"/>
            </w14:solidFill>
          </w14:textFill>
        </w:rPr>
        <w:t>附件4  需求清单</w:t>
      </w:r>
    </w:p>
    <w:p>
      <w:pPr>
        <w:pStyle w:val="29"/>
        <w:tabs>
          <w:tab w:val="left" w:pos="8400"/>
        </w:tabs>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 xml:space="preserve">表1 </w:t>
      </w:r>
      <w:r>
        <w:rPr>
          <w:rFonts w:hint="eastAsia" w:ascii="宋体" w:hAnsi="宋体" w:eastAsia="宋体" w:cs="宋体"/>
          <w:sz w:val="28"/>
          <w:szCs w:val="28"/>
          <w:highlight w:val="none"/>
          <w:lang w:val="en-US" w:eastAsia="zh-CN"/>
        </w:rPr>
        <w:t>自动标样核查模块需求清单</w:t>
      </w:r>
    </w:p>
    <w:tbl>
      <w:tblPr>
        <w:tblStyle w:val="24"/>
        <w:tblW w:w="9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587"/>
        <w:gridCol w:w="1587"/>
        <w:gridCol w:w="255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587" w:type="dxa"/>
            <w:vAlign w:val="center"/>
          </w:tcPr>
          <w:p>
            <w:pPr>
              <w:spacing w:line="360" w:lineRule="auto"/>
              <w:jc w:val="center"/>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厂区</w:t>
            </w:r>
          </w:p>
        </w:tc>
        <w:tc>
          <w:tcPr>
            <w:tcW w:w="1587" w:type="dxa"/>
            <w:vAlign w:val="center"/>
          </w:tcPr>
          <w:p>
            <w:pPr>
              <w:spacing w:line="360" w:lineRule="auto"/>
              <w:jc w:val="center"/>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站点</w:t>
            </w:r>
          </w:p>
        </w:tc>
        <w:tc>
          <w:tcPr>
            <w:tcW w:w="1587" w:type="dxa"/>
            <w:vAlign w:val="center"/>
          </w:tcPr>
          <w:p>
            <w:pPr>
              <w:spacing w:line="360" w:lineRule="auto"/>
              <w:jc w:val="center"/>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设备品牌</w:t>
            </w:r>
          </w:p>
        </w:tc>
        <w:tc>
          <w:tcPr>
            <w:tcW w:w="2551" w:type="dxa"/>
            <w:vAlign w:val="center"/>
          </w:tcPr>
          <w:p>
            <w:pPr>
              <w:spacing w:line="360" w:lineRule="auto"/>
              <w:jc w:val="center"/>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在用设备型号</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标样核查模块</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 xml:space="preserve">  采购数量（个）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7" w:type="dxa"/>
            <w:vMerge w:val="restart"/>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猎德</w:t>
            </w:r>
          </w:p>
        </w:tc>
        <w:tc>
          <w:tcPr>
            <w:tcW w:w="1587" w:type="dxa"/>
            <w:vMerge w:val="restart"/>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一二期出水</w:t>
            </w:r>
          </w:p>
        </w:tc>
        <w:tc>
          <w:tcPr>
            <w:tcW w:w="1587" w:type="dxa"/>
            <w:vMerge w:val="restart"/>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哈希</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COD</w:t>
            </w:r>
            <w:r>
              <w:rPr>
                <w:rFonts w:hint="eastAsia" w:ascii="宋体" w:hAnsi="宋体" w:eastAsia="宋体" w:cs="宋体"/>
                <w:sz w:val="18"/>
                <w:szCs w:val="18"/>
                <w:vertAlign w:val="subscript"/>
                <w:lang w:val="en-US" w:eastAsia="zh-CN"/>
              </w:rPr>
              <w:t>Cr</w:t>
            </w:r>
            <w:r>
              <w:rPr>
                <w:rFonts w:hint="eastAsia" w:ascii="宋体" w:hAnsi="宋体" w:eastAsia="宋体" w:cs="宋体"/>
                <w:sz w:val="18"/>
                <w:szCs w:val="18"/>
                <w:vertAlign w:val="baseline"/>
                <w:lang w:val="en-US" w:eastAsia="zh-CN"/>
              </w:rPr>
              <w:t>：CODmaxⅡ</w:t>
            </w:r>
          </w:p>
        </w:tc>
        <w:tc>
          <w:tcPr>
            <w:tcW w:w="1701" w:type="dxa"/>
            <w:vMerge w:val="restart"/>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NH</w:t>
            </w:r>
            <w:r>
              <w:rPr>
                <w:rFonts w:hint="eastAsia" w:ascii="宋体" w:hAnsi="宋体" w:eastAsia="宋体" w:cs="宋体"/>
                <w:sz w:val="18"/>
                <w:szCs w:val="18"/>
                <w:vertAlign w:val="subscript"/>
                <w:lang w:val="en-US" w:eastAsia="zh-CN"/>
              </w:rPr>
              <w:t>3</w:t>
            </w:r>
            <w:r>
              <w:rPr>
                <w:rFonts w:hint="eastAsia" w:ascii="宋体" w:hAnsi="宋体" w:eastAsia="宋体" w:cs="宋体"/>
                <w:sz w:val="18"/>
                <w:szCs w:val="18"/>
                <w:vertAlign w:val="baseline"/>
                <w:lang w:val="en-US" w:eastAsia="zh-CN"/>
              </w:rPr>
              <w:t>-N：AmtaxNA8000</w:t>
            </w:r>
          </w:p>
        </w:tc>
        <w:tc>
          <w:tcPr>
            <w:tcW w:w="1701"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1587" w:type="dxa"/>
            <w:vMerge w:val="restart"/>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三期出水</w:t>
            </w:r>
          </w:p>
        </w:tc>
        <w:tc>
          <w:tcPr>
            <w:tcW w:w="1587" w:type="dxa"/>
            <w:vMerge w:val="restart"/>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哈希</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COD</w:t>
            </w:r>
            <w:r>
              <w:rPr>
                <w:rFonts w:hint="eastAsia" w:ascii="宋体" w:hAnsi="宋体" w:eastAsia="宋体" w:cs="宋体"/>
                <w:sz w:val="18"/>
                <w:szCs w:val="18"/>
                <w:vertAlign w:val="subscript"/>
                <w:lang w:val="en-US" w:eastAsia="zh-CN"/>
              </w:rPr>
              <w:t>Cr</w:t>
            </w:r>
            <w:r>
              <w:rPr>
                <w:rFonts w:hint="eastAsia" w:ascii="宋体" w:hAnsi="宋体" w:eastAsia="宋体" w:cs="宋体"/>
                <w:sz w:val="18"/>
                <w:szCs w:val="18"/>
                <w:vertAlign w:val="baseline"/>
                <w:lang w:val="en-US" w:eastAsia="zh-CN"/>
              </w:rPr>
              <w:t>：CODmaxⅡ</w:t>
            </w:r>
          </w:p>
        </w:tc>
        <w:tc>
          <w:tcPr>
            <w:tcW w:w="1701" w:type="dxa"/>
            <w:vMerge w:val="restart"/>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NH</w:t>
            </w:r>
            <w:r>
              <w:rPr>
                <w:rFonts w:hint="eastAsia" w:ascii="宋体" w:hAnsi="宋体" w:eastAsia="宋体" w:cs="宋体"/>
                <w:sz w:val="18"/>
                <w:szCs w:val="18"/>
                <w:vertAlign w:val="subscript"/>
                <w:lang w:val="en-US" w:eastAsia="zh-CN"/>
              </w:rPr>
              <w:t>3</w:t>
            </w:r>
            <w:r>
              <w:rPr>
                <w:rFonts w:hint="eastAsia" w:ascii="宋体" w:hAnsi="宋体" w:eastAsia="宋体" w:cs="宋体"/>
                <w:sz w:val="18"/>
                <w:szCs w:val="18"/>
                <w:vertAlign w:val="baseline"/>
                <w:lang w:val="en-US" w:eastAsia="zh-CN"/>
              </w:rPr>
              <w:t>-N：AmtaxNA8000</w:t>
            </w:r>
          </w:p>
        </w:tc>
        <w:tc>
          <w:tcPr>
            <w:tcW w:w="1701"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7" w:type="dxa"/>
            <w:vMerge w:val="restart"/>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大坦沙</w:t>
            </w:r>
          </w:p>
        </w:tc>
        <w:tc>
          <w:tcPr>
            <w:tcW w:w="1587" w:type="dxa"/>
            <w:vMerge w:val="restart"/>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一期出水</w:t>
            </w:r>
          </w:p>
        </w:tc>
        <w:tc>
          <w:tcPr>
            <w:tcW w:w="1587" w:type="dxa"/>
            <w:vMerge w:val="restart"/>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哈希</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COD</w:t>
            </w:r>
            <w:r>
              <w:rPr>
                <w:rFonts w:hint="eastAsia" w:ascii="宋体" w:hAnsi="宋体" w:eastAsia="宋体" w:cs="宋体"/>
                <w:sz w:val="18"/>
                <w:szCs w:val="18"/>
                <w:vertAlign w:val="subscript"/>
                <w:lang w:val="en-US" w:eastAsia="zh-CN"/>
              </w:rPr>
              <w:t>Cr</w:t>
            </w:r>
            <w:r>
              <w:rPr>
                <w:rFonts w:hint="eastAsia" w:ascii="宋体" w:hAnsi="宋体" w:eastAsia="宋体" w:cs="宋体"/>
                <w:sz w:val="18"/>
                <w:szCs w:val="18"/>
                <w:vertAlign w:val="baseline"/>
                <w:lang w:val="en-US" w:eastAsia="zh-CN"/>
              </w:rPr>
              <w:t>：CODmaxⅡ</w:t>
            </w:r>
          </w:p>
        </w:tc>
        <w:tc>
          <w:tcPr>
            <w:tcW w:w="1701" w:type="dxa"/>
            <w:vMerge w:val="restart"/>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NH</w:t>
            </w:r>
            <w:r>
              <w:rPr>
                <w:rFonts w:hint="eastAsia" w:ascii="宋体" w:hAnsi="宋体" w:eastAsia="宋体" w:cs="宋体"/>
                <w:sz w:val="18"/>
                <w:szCs w:val="18"/>
                <w:vertAlign w:val="subscript"/>
                <w:lang w:val="en-US" w:eastAsia="zh-CN"/>
              </w:rPr>
              <w:t>3</w:t>
            </w:r>
            <w:r>
              <w:rPr>
                <w:rFonts w:hint="eastAsia" w:ascii="宋体" w:hAnsi="宋体" w:eastAsia="宋体" w:cs="宋体"/>
                <w:sz w:val="18"/>
                <w:szCs w:val="18"/>
                <w:vertAlign w:val="baseline"/>
                <w:lang w:val="en-US" w:eastAsia="zh-CN"/>
              </w:rPr>
              <w:t>-N：AmtaxNA8000</w:t>
            </w:r>
          </w:p>
        </w:tc>
        <w:tc>
          <w:tcPr>
            <w:tcW w:w="1701"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1587" w:type="dxa"/>
            <w:vMerge w:val="restart"/>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二期出水</w:t>
            </w:r>
          </w:p>
        </w:tc>
        <w:tc>
          <w:tcPr>
            <w:tcW w:w="1587" w:type="dxa"/>
            <w:vMerge w:val="restart"/>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哈希</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COD</w:t>
            </w:r>
            <w:r>
              <w:rPr>
                <w:rFonts w:hint="eastAsia" w:ascii="宋体" w:hAnsi="宋体" w:eastAsia="宋体" w:cs="宋体"/>
                <w:sz w:val="18"/>
                <w:szCs w:val="18"/>
                <w:vertAlign w:val="subscript"/>
                <w:lang w:val="en-US" w:eastAsia="zh-CN"/>
              </w:rPr>
              <w:t>Cr</w:t>
            </w:r>
            <w:r>
              <w:rPr>
                <w:rFonts w:hint="eastAsia" w:ascii="宋体" w:hAnsi="宋体" w:eastAsia="宋体" w:cs="宋体"/>
                <w:sz w:val="18"/>
                <w:szCs w:val="18"/>
                <w:vertAlign w:val="baseline"/>
                <w:lang w:val="en-US" w:eastAsia="zh-CN"/>
              </w:rPr>
              <w:t>：CODmaxⅡ</w:t>
            </w:r>
          </w:p>
        </w:tc>
        <w:tc>
          <w:tcPr>
            <w:tcW w:w="1701" w:type="dxa"/>
            <w:vMerge w:val="restart"/>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NH</w:t>
            </w:r>
            <w:r>
              <w:rPr>
                <w:rFonts w:hint="eastAsia" w:ascii="宋体" w:hAnsi="宋体" w:eastAsia="宋体" w:cs="宋体"/>
                <w:sz w:val="18"/>
                <w:szCs w:val="18"/>
                <w:vertAlign w:val="subscript"/>
                <w:lang w:val="en-US" w:eastAsia="zh-CN"/>
              </w:rPr>
              <w:t>3</w:t>
            </w:r>
            <w:r>
              <w:rPr>
                <w:rFonts w:hint="eastAsia" w:ascii="宋体" w:hAnsi="宋体" w:eastAsia="宋体" w:cs="宋体"/>
                <w:sz w:val="18"/>
                <w:szCs w:val="18"/>
                <w:vertAlign w:val="baseline"/>
                <w:lang w:val="en-US" w:eastAsia="zh-CN"/>
              </w:rPr>
              <w:t>-N：AmtaxNA8000</w:t>
            </w:r>
          </w:p>
        </w:tc>
        <w:tc>
          <w:tcPr>
            <w:tcW w:w="1701"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7" w:type="dxa"/>
            <w:vMerge w:val="restart"/>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沥滘</w:t>
            </w:r>
          </w:p>
        </w:tc>
        <w:tc>
          <w:tcPr>
            <w:tcW w:w="1587" w:type="dxa"/>
            <w:vMerge w:val="restart"/>
            <w:vAlign w:val="center"/>
          </w:tcPr>
          <w:p>
            <w:pPr>
              <w:spacing w:line="360" w:lineRule="auto"/>
              <w:jc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一期出水</w:t>
            </w:r>
          </w:p>
        </w:tc>
        <w:tc>
          <w:tcPr>
            <w:tcW w:w="1587" w:type="dxa"/>
            <w:vMerge w:val="restart"/>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哈希</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COD</w:t>
            </w:r>
            <w:r>
              <w:rPr>
                <w:rFonts w:hint="eastAsia" w:ascii="宋体" w:hAnsi="宋体" w:eastAsia="宋体" w:cs="宋体"/>
                <w:sz w:val="18"/>
                <w:szCs w:val="18"/>
                <w:highlight w:val="none"/>
                <w:vertAlign w:val="subscript"/>
                <w:lang w:val="en-US" w:eastAsia="zh-CN"/>
              </w:rPr>
              <w:t>Cr</w:t>
            </w:r>
            <w:r>
              <w:rPr>
                <w:rFonts w:hint="eastAsia" w:ascii="宋体" w:hAnsi="宋体" w:eastAsia="宋体" w:cs="宋体"/>
                <w:sz w:val="18"/>
                <w:szCs w:val="18"/>
                <w:highlight w:val="none"/>
                <w:vertAlign w:val="baseline"/>
                <w:lang w:val="en-US" w:eastAsia="zh-CN"/>
              </w:rPr>
              <w:t>：CODmaxⅡ</w:t>
            </w:r>
          </w:p>
        </w:tc>
        <w:tc>
          <w:tcPr>
            <w:tcW w:w="1701" w:type="dxa"/>
            <w:vMerge w:val="restart"/>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NH</w:t>
            </w:r>
            <w:r>
              <w:rPr>
                <w:rFonts w:hint="eastAsia" w:ascii="宋体" w:hAnsi="宋体" w:eastAsia="宋体" w:cs="宋体"/>
                <w:sz w:val="18"/>
                <w:szCs w:val="18"/>
                <w:highlight w:val="none"/>
                <w:vertAlign w:val="subscript"/>
                <w:lang w:val="en-US" w:eastAsia="zh-CN"/>
              </w:rPr>
              <w:t>3</w:t>
            </w:r>
            <w:r>
              <w:rPr>
                <w:rFonts w:hint="eastAsia" w:ascii="宋体" w:hAnsi="宋体" w:eastAsia="宋体" w:cs="宋体"/>
                <w:sz w:val="18"/>
                <w:szCs w:val="18"/>
                <w:highlight w:val="none"/>
                <w:vertAlign w:val="baseline"/>
                <w:lang w:val="en-US" w:eastAsia="zh-CN"/>
              </w:rPr>
              <w:t>-N：AmtaxNA8000</w:t>
            </w:r>
          </w:p>
        </w:tc>
        <w:tc>
          <w:tcPr>
            <w:tcW w:w="1701"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TP：PhosphaxSigma</w:t>
            </w:r>
          </w:p>
        </w:tc>
        <w:tc>
          <w:tcPr>
            <w:tcW w:w="1701"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1587" w:type="dxa"/>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岛津</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TN：TNP-4200</w:t>
            </w:r>
          </w:p>
        </w:tc>
        <w:tc>
          <w:tcPr>
            <w:tcW w:w="1701" w:type="dxa"/>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7" w:type="dxa"/>
            <w:vMerge w:val="restart"/>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沥滘</w:t>
            </w:r>
          </w:p>
        </w:tc>
        <w:tc>
          <w:tcPr>
            <w:tcW w:w="1587" w:type="dxa"/>
            <w:vMerge w:val="restart"/>
            <w:vAlign w:val="center"/>
          </w:tcPr>
          <w:p>
            <w:pPr>
              <w:spacing w:line="360" w:lineRule="auto"/>
              <w:jc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二期出水</w:t>
            </w:r>
          </w:p>
        </w:tc>
        <w:tc>
          <w:tcPr>
            <w:tcW w:w="1587" w:type="dxa"/>
            <w:vMerge w:val="restart"/>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哈希</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COD</w:t>
            </w:r>
            <w:r>
              <w:rPr>
                <w:rFonts w:hint="eastAsia" w:ascii="宋体" w:hAnsi="宋体" w:eastAsia="宋体" w:cs="宋体"/>
                <w:sz w:val="18"/>
                <w:szCs w:val="18"/>
                <w:highlight w:val="none"/>
                <w:vertAlign w:val="subscript"/>
                <w:lang w:val="en-US" w:eastAsia="zh-CN"/>
              </w:rPr>
              <w:t>Cr</w:t>
            </w:r>
            <w:r>
              <w:rPr>
                <w:rFonts w:hint="eastAsia" w:ascii="宋体" w:hAnsi="宋体" w:eastAsia="宋体" w:cs="宋体"/>
                <w:sz w:val="18"/>
                <w:szCs w:val="18"/>
                <w:highlight w:val="none"/>
                <w:vertAlign w:val="baseline"/>
                <w:lang w:val="en-US" w:eastAsia="zh-CN"/>
              </w:rPr>
              <w:t>：CODmaxⅡ</w:t>
            </w:r>
          </w:p>
        </w:tc>
        <w:tc>
          <w:tcPr>
            <w:tcW w:w="1701" w:type="dxa"/>
            <w:vMerge w:val="restart"/>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NH</w:t>
            </w:r>
            <w:r>
              <w:rPr>
                <w:rFonts w:hint="eastAsia" w:ascii="宋体" w:hAnsi="宋体" w:eastAsia="宋体" w:cs="宋体"/>
                <w:sz w:val="18"/>
                <w:szCs w:val="18"/>
                <w:highlight w:val="none"/>
                <w:vertAlign w:val="subscript"/>
                <w:lang w:val="en-US" w:eastAsia="zh-CN"/>
              </w:rPr>
              <w:t>3</w:t>
            </w:r>
            <w:r>
              <w:rPr>
                <w:rFonts w:hint="eastAsia" w:ascii="宋体" w:hAnsi="宋体" w:eastAsia="宋体" w:cs="宋体"/>
                <w:sz w:val="18"/>
                <w:szCs w:val="18"/>
                <w:highlight w:val="none"/>
                <w:vertAlign w:val="baseline"/>
                <w:lang w:val="en-US" w:eastAsia="zh-CN"/>
              </w:rPr>
              <w:t>-N：AmtaxNA8000</w:t>
            </w:r>
          </w:p>
        </w:tc>
        <w:tc>
          <w:tcPr>
            <w:tcW w:w="1701"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TP：PhosphaxSigma</w:t>
            </w:r>
          </w:p>
        </w:tc>
        <w:tc>
          <w:tcPr>
            <w:tcW w:w="1701"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1587" w:type="dxa"/>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岛津</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TN：TNP-4200</w:t>
            </w:r>
          </w:p>
        </w:tc>
        <w:tc>
          <w:tcPr>
            <w:tcW w:w="1701" w:type="dxa"/>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7" w:type="dxa"/>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龙归</w:t>
            </w:r>
          </w:p>
        </w:tc>
        <w:tc>
          <w:tcPr>
            <w:tcW w:w="1587" w:type="dxa"/>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二期出水</w:t>
            </w:r>
          </w:p>
        </w:tc>
        <w:tc>
          <w:tcPr>
            <w:tcW w:w="1587" w:type="dxa"/>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岛津</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highlight w:val="none"/>
                <w:vertAlign w:val="baseline"/>
                <w:lang w:val="en-US" w:eastAsia="zh-CN"/>
              </w:rPr>
              <w:t>TN：TNP-4200</w:t>
            </w:r>
          </w:p>
        </w:tc>
        <w:tc>
          <w:tcPr>
            <w:tcW w:w="1701" w:type="dxa"/>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7" w:type="dxa"/>
            <w:vMerge w:val="restart"/>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西朗</w:t>
            </w:r>
          </w:p>
        </w:tc>
        <w:tc>
          <w:tcPr>
            <w:tcW w:w="1587" w:type="dxa"/>
            <w:vMerge w:val="restart"/>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一期进水</w:t>
            </w:r>
          </w:p>
        </w:tc>
        <w:tc>
          <w:tcPr>
            <w:tcW w:w="1587" w:type="dxa"/>
            <w:vMerge w:val="restart"/>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哈希</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COD</w:t>
            </w:r>
            <w:r>
              <w:rPr>
                <w:rFonts w:hint="eastAsia" w:ascii="宋体" w:hAnsi="宋体" w:eastAsia="宋体" w:cs="宋体"/>
                <w:sz w:val="18"/>
                <w:szCs w:val="18"/>
                <w:vertAlign w:val="subscript"/>
                <w:lang w:val="en-US" w:eastAsia="zh-CN"/>
              </w:rPr>
              <w:t>Cr</w:t>
            </w:r>
            <w:r>
              <w:rPr>
                <w:rFonts w:hint="eastAsia" w:ascii="宋体" w:hAnsi="宋体" w:eastAsia="宋体" w:cs="宋体"/>
                <w:sz w:val="18"/>
                <w:szCs w:val="18"/>
                <w:vertAlign w:val="baseline"/>
                <w:lang w:val="en-US" w:eastAsia="zh-CN"/>
              </w:rPr>
              <w:t>：CODmaxⅡ</w:t>
            </w:r>
          </w:p>
        </w:tc>
        <w:tc>
          <w:tcPr>
            <w:tcW w:w="1701" w:type="dxa"/>
            <w:vMerge w:val="restart"/>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NH</w:t>
            </w:r>
            <w:r>
              <w:rPr>
                <w:rFonts w:hint="eastAsia" w:ascii="宋体" w:hAnsi="宋体" w:eastAsia="宋体" w:cs="宋体"/>
                <w:sz w:val="18"/>
                <w:szCs w:val="18"/>
                <w:vertAlign w:val="subscript"/>
                <w:lang w:val="en-US" w:eastAsia="zh-CN"/>
              </w:rPr>
              <w:t>3</w:t>
            </w:r>
            <w:r>
              <w:rPr>
                <w:rFonts w:hint="eastAsia" w:ascii="宋体" w:hAnsi="宋体" w:eastAsia="宋体" w:cs="宋体"/>
                <w:sz w:val="18"/>
                <w:szCs w:val="18"/>
                <w:vertAlign w:val="baseline"/>
                <w:lang w:val="en-US" w:eastAsia="zh-CN"/>
              </w:rPr>
              <w:t>-N：AmtaxNA8000</w:t>
            </w:r>
          </w:p>
        </w:tc>
        <w:tc>
          <w:tcPr>
            <w:tcW w:w="1701"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7" w:type="dxa"/>
            <w:vMerge w:val="restart"/>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石井净</w:t>
            </w:r>
          </w:p>
        </w:tc>
        <w:tc>
          <w:tcPr>
            <w:tcW w:w="1587" w:type="dxa"/>
            <w:vMerge w:val="restart"/>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进水</w:t>
            </w:r>
          </w:p>
        </w:tc>
        <w:tc>
          <w:tcPr>
            <w:tcW w:w="1587" w:type="dxa"/>
            <w:vMerge w:val="restart"/>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哈希</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COD</w:t>
            </w:r>
            <w:r>
              <w:rPr>
                <w:rFonts w:hint="eastAsia" w:ascii="宋体" w:hAnsi="宋体" w:eastAsia="宋体" w:cs="宋体"/>
                <w:sz w:val="18"/>
                <w:szCs w:val="18"/>
                <w:vertAlign w:val="subscript"/>
                <w:lang w:val="en-US" w:eastAsia="zh-CN"/>
              </w:rPr>
              <w:t>Cr</w:t>
            </w:r>
            <w:r>
              <w:rPr>
                <w:rFonts w:hint="eastAsia" w:ascii="宋体" w:hAnsi="宋体" w:eastAsia="宋体" w:cs="宋体"/>
                <w:sz w:val="18"/>
                <w:szCs w:val="18"/>
                <w:vertAlign w:val="baseline"/>
                <w:lang w:val="en-US" w:eastAsia="zh-CN"/>
              </w:rPr>
              <w:t>：CODmaxⅡ</w:t>
            </w:r>
          </w:p>
        </w:tc>
        <w:tc>
          <w:tcPr>
            <w:tcW w:w="1701" w:type="dxa"/>
            <w:vMerge w:val="restart"/>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NH</w:t>
            </w:r>
            <w:r>
              <w:rPr>
                <w:rFonts w:hint="eastAsia" w:ascii="宋体" w:hAnsi="宋体" w:eastAsia="宋体" w:cs="宋体"/>
                <w:sz w:val="18"/>
                <w:szCs w:val="18"/>
                <w:vertAlign w:val="subscript"/>
                <w:lang w:val="en-US" w:eastAsia="zh-CN"/>
              </w:rPr>
              <w:t>3</w:t>
            </w:r>
            <w:r>
              <w:rPr>
                <w:rFonts w:hint="eastAsia" w:ascii="宋体" w:hAnsi="宋体" w:eastAsia="宋体" w:cs="宋体"/>
                <w:sz w:val="18"/>
                <w:szCs w:val="18"/>
                <w:vertAlign w:val="baseline"/>
                <w:lang w:val="en-US" w:eastAsia="zh-CN"/>
              </w:rPr>
              <w:t>-N：AmtaxNA8000</w:t>
            </w:r>
          </w:p>
        </w:tc>
        <w:tc>
          <w:tcPr>
            <w:tcW w:w="1701"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1587" w:type="dxa"/>
            <w:vMerge w:val="restart"/>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一期出水</w:t>
            </w:r>
          </w:p>
        </w:tc>
        <w:tc>
          <w:tcPr>
            <w:tcW w:w="1587" w:type="dxa"/>
            <w:vMerge w:val="restart"/>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哈希</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COD</w:t>
            </w:r>
            <w:r>
              <w:rPr>
                <w:rFonts w:hint="eastAsia" w:ascii="宋体" w:hAnsi="宋体" w:eastAsia="宋体" w:cs="宋体"/>
                <w:sz w:val="18"/>
                <w:szCs w:val="18"/>
                <w:vertAlign w:val="subscript"/>
                <w:lang w:val="en-US" w:eastAsia="zh-CN"/>
              </w:rPr>
              <w:t>Cr</w:t>
            </w:r>
            <w:r>
              <w:rPr>
                <w:rFonts w:hint="eastAsia" w:ascii="宋体" w:hAnsi="宋体" w:eastAsia="宋体" w:cs="宋体"/>
                <w:sz w:val="18"/>
                <w:szCs w:val="18"/>
                <w:vertAlign w:val="baseline"/>
                <w:lang w:val="en-US" w:eastAsia="zh-CN"/>
              </w:rPr>
              <w:t>：CODmaxⅡ</w:t>
            </w:r>
          </w:p>
        </w:tc>
        <w:tc>
          <w:tcPr>
            <w:tcW w:w="1701" w:type="dxa"/>
            <w:vMerge w:val="restart"/>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NH</w:t>
            </w:r>
            <w:r>
              <w:rPr>
                <w:rFonts w:hint="eastAsia" w:ascii="宋体" w:hAnsi="宋体" w:eastAsia="宋体" w:cs="宋体"/>
                <w:sz w:val="18"/>
                <w:szCs w:val="18"/>
                <w:vertAlign w:val="subscript"/>
                <w:lang w:val="en-US" w:eastAsia="zh-CN"/>
              </w:rPr>
              <w:t>3</w:t>
            </w:r>
            <w:r>
              <w:rPr>
                <w:rFonts w:hint="eastAsia" w:ascii="宋体" w:hAnsi="宋体" w:eastAsia="宋体" w:cs="宋体"/>
                <w:sz w:val="18"/>
                <w:szCs w:val="18"/>
                <w:vertAlign w:val="baseline"/>
                <w:lang w:val="en-US" w:eastAsia="zh-CN"/>
              </w:rPr>
              <w:t>-N：AmtaxNA8000</w:t>
            </w:r>
          </w:p>
        </w:tc>
        <w:tc>
          <w:tcPr>
            <w:tcW w:w="1701"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7" w:type="dxa"/>
            <w:vMerge w:val="restart"/>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竹料</w:t>
            </w:r>
          </w:p>
        </w:tc>
        <w:tc>
          <w:tcPr>
            <w:tcW w:w="1587" w:type="dxa"/>
            <w:vMerge w:val="restart"/>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出水</w:t>
            </w:r>
          </w:p>
        </w:tc>
        <w:tc>
          <w:tcPr>
            <w:tcW w:w="1587" w:type="dxa"/>
            <w:vMerge w:val="restart"/>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哈希</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COD</w:t>
            </w:r>
            <w:r>
              <w:rPr>
                <w:rFonts w:hint="eastAsia" w:ascii="宋体" w:hAnsi="宋体" w:eastAsia="宋体" w:cs="宋体"/>
                <w:sz w:val="18"/>
                <w:szCs w:val="18"/>
                <w:vertAlign w:val="subscript"/>
                <w:lang w:val="en-US" w:eastAsia="zh-CN"/>
              </w:rPr>
              <w:t>Cr</w:t>
            </w:r>
            <w:r>
              <w:rPr>
                <w:rFonts w:hint="eastAsia" w:ascii="宋体" w:hAnsi="宋体" w:eastAsia="宋体" w:cs="宋体"/>
                <w:sz w:val="18"/>
                <w:szCs w:val="18"/>
                <w:vertAlign w:val="baseline"/>
                <w:lang w:val="en-US" w:eastAsia="zh-CN"/>
              </w:rPr>
              <w:t>：CODmaxⅡ</w:t>
            </w:r>
          </w:p>
        </w:tc>
        <w:tc>
          <w:tcPr>
            <w:tcW w:w="1701" w:type="dxa"/>
            <w:vMerge w:val="restart"/>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1587"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NH</w:t>
            </w:r>
            <w:r>
              <w:rPr>
                <w:rFonts w:hint="eastAsia" w:ascii="宋体" w:hAnsi="宋体" w:eastAsia="宋体" w:cs="宋体"/>
                <w:sz w:val="18"/>
                <w:szCs w:val="18"/>
                <w:vertAlign w:val="subscript"/>
                <w:lang w:val="en-US" w:eastAsia="zh-CN"/>
              </w:rPr>
              <w:t>3</w:t>
            </w:r>
            <w:r>
              <w:rPr>
                <w:rFonts w:hint="eastAsia" w:ascii="宋体" w:hAnsi="宋体" w:eastAsia="宋体" w:cs="宋体"/>
                <w:sz w:val="18"/>
                <w:szCs w:val="18"/>
                <w:vertAlign w:val="baseline"/>
                <w:lang w:val="en-US" w:eastAsia="zh-CN"/>
              </w:rPr>
              <w:t>-N：Int</w:t>
            </w:r>
            <w:r>
              <w:rPr>
                <w:rFonts w:hint="eastAsia" w:ascii="宋体" w:hAnsi="宋体" w:cs="宋体"/>
                <w:sz w:val="18"/>
                <w:szCs w:val="18"/>
                <w:vertAlign w:val="baseline"/>
                <w:lang w:val="en-US" w:eastAsia="zh-CN"/>
              </w:rPr>
              <w:t>e</w:t>
            </w:r>
            <w:r>
              <w:rPr>
                <w:rFonts w:hint="eastAsia" w:ascii="宋体" w:hAnsi="宋体" w:cs="宋体"/>
                <w:sz w:val="18"/>
                <w:szCs w:val="18"/>
                <w:u w:val="none"/>
                <w:vertAlign w:val="baseline"/>
                <w:lang w:val="en-US" w:eastAsia="zh-CN"/>
              </w:rPr>
              <w:t>r</w:t>
            </w:r>
            <w:r>
              <w:rPr>
                <w:rFonts w:hint="eastAsia" w:ascii="宋体" w:hAnsi="宋体" w:eastAsia="宋体" w:cs="宋体"/>
                <w:sz w:val="18"/>
                <w:szCs w:val="18"/>
                <w:vertAlign w:val="baseline"/>
                <w:lang w:val="en-US" w:eastAsia="zh-CN"/>
              </w:rPr>
              <w:t>2C</w:t>
            </w:r>
          </w:p>
        </w:tc>
        <w:tc>
          <w:tcPr>
            <w:tcW w:w="1701" w:type="dxa"/>
            <w:vMerge w:val="continue"/>
            <w:vAlign w:val="center"/>
          </w:tcPr>
          <w:p>
            <w:pPr>
              <w:spacing w:line="360" w:lineRule="auto"/>
              <w:jc w:val="center"/>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12"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合计数量（个）</w:t>
            </w:r>
          </w:p>
        </w:tc>
        <w:tc>
          <w:tcPr>
            <w:tcW w:w="1701" w:type="dxa"/>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22</w:t>
            </w:r>
          </w:p>
        </w:tc>
      </w:tr>
    </w:tbl>
    <w:p>
      <w:pPr>
        <w:pStyle w:val="29"/>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备注：乙方</w:t>
      </w:r>
      <w:r>
        <w:rPr>
          <w:rFonts w:hint="eastAsia" w:hAnsi="宋体" w:eastAsia="宋体"/>
          <w:sz w:val="24"/>
          <w:szCs w:val="24"/>
          <w:highlight w:val="none"/>
          <w:lang w:val="en-US" w:eastAsia="zh-CN"/>
        </w:rPr>
        <w:t>通过安装自动标样核查模块及软件升级调试，实现猎德、大坦沙、沥滘、龙归、西朗、石井净、竹料25台在线监测设备自动标样核查功能，其中</w:t>
      </w:r>
      <w:r>
        <w:rPr>
          <w:rFonts w:hint="eastAsia" w:ascii="宋体" w:hAnsi="宋体" w:eastAsia="宋体" w:cs="宋体"/>
          <w:sz w:val="24"/>
          <w:szCs w:val="24"/>
          <w:lang w:val="en-US" w:eastAsia="zh-CN"/>
        </w:rPr>
        <w:t>沥滘一期出水、二期出水、龙归二期出水岛津TNP-4200设备进行软件升级，实现自动标样核查功能，无需增加自动标样核查模块。</w:t>
      </w:r>
    </w:p>
    <w:p>
      <w:pPr>
        <w:pStyle w:val="29"/>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表</w:t>
      </w:r>
      <w:r>
        <w:rPr>
          <w:rFonts w:hint="eastAsia" w:hAnsi="宋体" w:eastAsia="宋体" w:cs="宋体"/>
          <w:sz w:val="28"/>
          <w:szCs w:val="28"/>
          <w:highlight w:val="none"/>
          <w:lang w:val="en-US" w:eastAsia="zh-CN"/>
        </w:rPr>
        <w:t>2</w:t>
      </w:r>
      <w:r>
        <w:rPr>
          <w:rFonts w:hint="eastAsia" w:ascii="宋体" w:hAnsi="宋体" w:eastAsia="宋体" w:cs="宋体"/>
          <w:sz w:val="28"/>
          <w:szCs w:val="28"/>
          <w:highlight w:val="none"/>
          <w:lang w:val="en-US" w:eastAsia="zh-CN"/>
        </w:rPr>
        <w:t xml:space="preserve"> </w:t>
      </w:r>
      <w:r>
        <w:rPr>
          <w:rFonts w:hint="eastAsia" w:hAnsi="宋体" w:eastAsia="宋体" w:cs="宋体"/>
          <w:sz w:val="28"/>
          <w:szCs w:val="28"/>
          <w:highlight w:val="none"/>
          <w:lang w:val="en-US" w:eastAsia="zh-CN"/>
        </w:rPr>
        <w:t>软件升级需求</w:t>
      </w:r>
      <w:r>
        <w:rPr>
          <w:rFonts w:hint="eastAsia" w:ascii="宋体" w:hAnsi="宋体" w:eastAsia="宋体" w:cs="宋体"/>
          <w:sz w:val="28"/>
          <w:szCs w:val="28"/>
          <w:highlight w:val="none"/>
          <w:lang w:val="en-US" w:eastAsia="zh-CN"/>
        </w:rPr>
        <w:t>清单</w:t>
      </w:r>
    </w:p>
    <w:tbl>
      <w:tblPr>
        <w:tblStyle w:val="23"/>
        <w:tblW w:w="102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5"/>
        <w:gridCol w:w="1757"/>
        <w:gridCol w:w="1984"/>
        <w:gridCol w:w="1304"/>
        <w:gridCol w:w="2268"/>
        <w:gridCol w:w="1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blHeader/>
          <w:jc w:val="center"/>
        </w:trPr>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厂区</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站点</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设备名称</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b/>
                <w:bCs/>
                <w:kern w:val="2"/>
                <w:sz w:val="18"/>
                <w:szCs w:val="18"/>
                <w:vertAlign w:val="baseline"/>
                <w:lang w:val="en-US" w:eastAsia="zh-CN" w:bidi="ar-SA"/>
              </w:rPr>
            </w:pPr>
            <w:r>
              <w:rPr>
                <w:rFonts w:hint="eastAsia" w:ascii="宋体" w:hAnsi="宋体" w:eastAsia="宋体" w:cs="宋体"/>
                <w:b/>
                <w:bCs/>
                <w:sz w:val="18"/>
                <w:szCs w:val="18"/>
                <w:vertAlign w:val="baseline"/>
                <w:lang w:val="en-US" w:eastAsia="zh-CN"/>
              </w:rPr>
              <w:t>品牌</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b/>
                <w:bCs/>
                <w:kern w:val="2"/>
                <w:sz w:val="18"/>
                <w:szCs w:val="18"/>
                <w:vertAlign w:val="baseline"/>
                <w:lang w:val="en-US" w:eastAsia="zh-CN" w:bidi="ar-SA"/>
              </w:rPr>
            </w:pPr>
            <w:r>
              <w:rPr>
                <w:rFonts w:hint="eastAsia" w:ascii="宋体" w:hAnsi="宋体" w:eastAsia="宋体" w:cs="宋体"/>
                <w:b/>
                <w:bCs/>
                <w:sz w:val="18"/>
                <w:szCs w:val="18"/>
                <w:vertAlign w:val="baseline"/>
                <w:lang w:val="en-US" w:eastAsia="zh-CN"/>
              </w:rPr>
              <w:t>在用设备型号</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2"/>
                <w:sz w:val="18"/>
                <w:szCs w:val="18"/>
                <w:vertAlign w:val="baseline"/>
                <w:lang w:val="en-US" w:eastAsia="zh-CN" w:bidi="ar-SA"/>
              </w:rPr>
            </w:pPr>
            <w:r>
              <w:rPr>
                <w:rFonts w:hint="eastAsia" w:ascii="宋体" w:hAnsi="宋体" w:eastAsia="宋体" w:cs="宋体"/>
                <w:b/>
                <w:bCs/>
                <w:sz w:val="18"/>
                <w:szCs w:val="18"/>
                <w:vertAlign w:val="baseline"/>
                <w:lang w:val="en-US" w:eastAsia="zh-CN"/>
              </w:rPr>
              <w:t>升级数量（台）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猎德</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一二期出水</w:t>
            </w:r>
          </w:p>
        </w:tc>
        <w:tc>
          <w:tcPr>
            <w:tcW w:w="1984" w:type="dxa"/>
            <w:tcBorders>
              <w:top w:val="single" w:color="000000" w:sz="4" w:space="0"/>
              <w:left w:val="nil"/>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TP/TN水质自动分析仪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哈希</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NPW-160</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2"/>
                <w:sz w:val="18"/>
                <w:szCs w:val="18"/>
                <w:vertAlign w:val="baseline"/>
                <w:lang w:val="en-US" w:eastAsia="zh-CN" w:bidi="ar-SA"/>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三期出水</w:t>
            </w:r>
          </w:p>
        </w:tc>
        <w:tc>
          <w:tcPr>
            <w:tcW w:w="198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TP/TN分析仪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哈希</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NPW-160H</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沥滘</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一期出水</w:t>
            </w:r>
          </w:p>
        </w:tc>
        <w:tc>
          <w:tcPr>
            <w:tcW w:w="1984" w:type="dxa"/>
            <w:tcBorders>
              <w:top w:val="single" w:color="000000" w:sz="4" w:space="0"/>
              <w:left w:val="nil"/>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TP分析仪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哈希</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PhosphaxSigma</w:t>
            </w:r>
          </w:p>
        </w:tc>
        <w:tc>
          <w:tcPr>
            <w:tcW w:w="1701" w:type="dxa"/>
            <w:vMerge w:val="restart"/>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2"/>
                <w:sz w:val="18"/>
                <w:szCs w:val="18"/>
                <w:vertAlign w:val="baseline"/>
                <w:lang w:val="en-US" w:eastAsia="zh-CN" w:bidi="ar-SA"/>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二期出水</w:t>
            </w:r>
          </w:p>
        </w:tc>
        <w:tc>
          <w:tcPr>
            <w:tcW w:w="198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TP分析仪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哈希</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PhosphaxSigma</w:t>
            </w:r>
          </w:p>
        </w:tc>
        <w:tc>
          <w:tcPr>
            <w:tcW w:w="170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2"/>
                <w:sz w:val="18"/>
                <w:szCs w:val="18"/>
                <w:vertAlign w:val="baseline"/>
                <w:lang w:val="en-US" w:eastAsia="zh-CN" w:bidi="ar-SA"/>
              </w:rPr>
            </w:pPr>
          </w:p>
        </w:tc>
        <w:tc>
          <w:tcPr>
            <w:tcW w:w="1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三期进水</w:t>
            </w:r>
          </w:p>
        </w:tc>
        <w:tc>
          <w:tcPr>
            <w:tcW w:w="198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TP分析仪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哈希</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PhosphaxSigma</w:t>
            </w:r>
          </w:p>
        </w:tc>
        <w:tc>
          <w:tcPr>
            <w:tcW w:w="170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2"/>
                <w:sz w:val="18"/>
                <w:szCs w:val="18"/>
                <w:vertAlign w:val="baseline"/>
                <w:lang w:val="en-US" w:eastAsia="zh-CN" w:bidi="ar-SA"/>
              </w:rPr>
            </w:pPr>
          </w:p>
        </w:tc>
        <w:tc>
          <w:tcPr>
            <w:tcW w:w="1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2"/>
                <w:sz w:val="18"/>
                <w:szCs w:val="18"/>
                <w:vertAlign w:val="baseline"/>
                <w:lang w:val="en-US" w:eastAsia="zh-CN" w:bidi="ar-SA"/>
              </w:rPr>
            </w:pPr>
          </w:p>
        </w:tc>
        <w:tc>
          <w:tcPr>
            <w:tcW w:w="198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TN分析仪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哈希</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NPW-160</w:t>
            </w:r>
          </w:p>
        </w:tc>
        <w:tc>
          <w:tcPr>
            <w:tcW w:w="170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2"/>
                <w:sz w:val="18"/>
                <w:szCs w:val="18"/>
                <w:vertAlign w:val="baseline"/>
                <w:lang w:val="en-US" w:eastAsia="zh-CN" w:bidi="ar-SA"/>
              </w:rPr>
            </w:pPr>
          </w:p>
        </w:tc>
        <w:tc>
          <w:tcPr>
            <w:tcW w:w="1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三期出水</w:t>
            </w:r>
          </w:p>
        </w:tc>
        <w:tc>
          <w:tcPr>
            <w:tcW w:w="198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TP分析仪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哈希</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PhosphaxSigma</w:t>
            </w:r>
          </w:p>
        </w:tc>
        <w:tc>
          <w:tcPr>
            <w:tcW w:w="170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2"/>
                <w:sz w:val="18"/>
                <w:szCs w:val="18"/>
                <w:vertAlign w:val="baseline"/>
                <w:lang w:val="en-US" w:eastAsia="zh-CN" w:bidi="ar-SA"/>
              </w:rPr>
            </w:pPr>
          </w:p>
        </w:tc>
        <w:tc>
          <w:tcPr>
            <w:tcW w:w="1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2"/>
                <w:sz w:val="18"/>
                <w:szCs w:val="18"/>
                <w:vertAlign w:val="baseline"/>
                <w:lang w:val="en-US" w:eastAsia="zh-CN" w:bidi="ar-SA"/>
              </w:rPr>
            </w:pPr>
          </w:p>
        </w:tc>
        <w:tc>
          <w:tcPr>
            <w:tcW w:w="198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TN分析仪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哈希</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NPW-160</w:t>
            </w:r>
          </w:p>
        </w:tc>
        <w:tc>
          <w:tcPr>
            <w:tcW w:w="170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健康城</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进水</w:t>
            </w:r>
          </w:p>
        </w:tc>
        <w:tc>
          <w:tcPr>
            <w:tcW w:w="1984" w:type="dxa"/>
            <w:tcBorders>
              <w:top w:val="single" w:color="000000" w:sz="4" w:space="0"/>
              <w:left w:val="nil"/>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TP/TN分析仪</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哈希</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NPW-160H</w:t>
            </w:r>
          </w:p>
        </w:tc>
        <w:tc>
          <w:tcPr>
            <w:tcW w:w="1701" w:type="dxa"/>
            <w:vMerge w:val="restart"/>
            <w:tcBorders>
              <w:top w:val="single" w:color="000000" w:sz="4" w:space="0"/>
              <w:left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2"/>
                <w:sz w:val="18"/>
                <w:szCs w:val="18"/>
                <w:vertAlign w:val="baseline"/>
                <w:lang w:val="en-US" w:eastAsia="zh-CN" w:bidi="ar-SA"/>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出水</w:t>
            </w:r>
          </w:p>
        </w:tc>
        <w:tc>
          <w:tcPr>
            <w:tcW w:w="198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TP/TN分析仪</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哈希</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NPW-160H</w:t>
            </w:r>
          </w:p>
        </w:tc>
        <w:tc>
          <w:tcPr>
            <w:tcW w:w="1701"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竹料</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出水</w:t>
            </w:r>
          </w:p>
        </w:tc>
        <w:tc>
          <w:tcPr>
            <w:tcW w:w="1984" w:type="dxa"/>
            <w:tcBorders>
              <w:top w:val="single" w:color="000000" w:sz="4" w:space="0"/>
              <w:left w:val="nil"/>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TP/TN分析仪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哈希</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NPW-160</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石井净</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进水</w:t>
            </w:r>
          </w:p>
        </w:tc>
        <w:tc>
          <w:tcPr>
            <w:tcW w:w="1984" w:type="dxa"/>
            <w:tcBorders>
              <w:top w:val="single" w:color="000000" w:sz="4" w:space="0"/>
              <w:left w:val="nil"/>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TP/TN分析仪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哈希</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NPW-160</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合计（台）</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12</w:t>
            </w:r>
          </w:p>
        </w:tc>
      </w:tr>
    </w:tbl>
    <w:p>
      <w:pPr>
        <w:pStyle w:val="29"/>
        <w:keepNext w:val="0"/>
        <w:keepLines w:val="0"/>
        <w:pageBreakBefore w:val="0"/>
        <w:widowControl w:val="0"/>
        <w:kinsoku/>
        <w:wordWrap/>
        <w:overflowPunct/>
        <w:topLinePunct w:val="0"/>
        <w:autoSpaceDE w:val="0"/>
        <w:autoSpaceDN w:val="0"/>
        <w:bidi w:val="0"/>
        <w:adjustRightInd w:val="0"/>
        <w:snapToGrid/>
        <w:spacing w:before="157" w:beforeLines="50"/>
        <w:ind w:firstLine="480" w:firstLineChars="200"/>
        <w:jc w:val="left"/>
        <w:textAlignment w:val="auto"/>
        <w:rPr>
          <w:color w:val="auto"/>
        </w:rPr>
        <w:sectPr>
          <w:footerReference r:id="rId9" w:type="default"/>
          <w:headerReference r:id="rId8" w:type="even"/>
          <w:footerReference r:id="rId10" w:type="even"/>
          <w:pgSz w:w="11905" w:h="16838"/>
          <w:pgMar w:top="992" w:right="1247" w:bottom="850" w:left="1247" w:header="851" w:footer="737" w:gutter="0"/>
          <w:pgNumType w:fmt="decimal"/>
          <w:cols w:space="0" w:num="1"/>
          <w:rtlGutter w:val="0"/>
          <w:docGrid w:type="linesAndChars" w:linePitch="389" w:charSpace="0"/>
        </w:sectPr>
      </w:pPr>
      <w:r>
        <w:rPr>
          <w:rFonts w:hint="eastAsia" w:hAnsi="宋体" w:eastAsia="宋体"/>
          <w:sz w:val="24"/>
          <w:szCs w:val="24"/>
          <w:highlight w:val="none"/>
          <w:lang w:val="en-US" w:eastAsia="zh-CN"/>
        </w:rPr>
        <w:t>备注：乙方对猎德、沥滘、健康城、竹料、石井净12台在线监测设备软件升级，实现直接在设备查询12个月数据功能。</w:t>
      </w:r>
    </w:p>
    <w:p>
      <w:pPr>
        <w:widowControl w:val="0"/>
        <w:spacing w:line="360" w:lineRule="auto"/>
        <w:jc w:val="both"/>
        <w:rPr>
          <w:rFonts w:hint="eastAsia"/>
          <w:lang w:val="en-US" w:eastAsia="zh-CN"/>
        </w:rPr>
      </w:pPr>
      <w:r>
        <w:rPr>
          <w:rFonts w:hint="eastAsia" w:ascii="宋体" w:hAnsi="宋体" w:cs="宋体"/>
          <w:b/>
          <w:bCs/>
          <w:color w:val="000000" w:themeColor="text1"/>
          <w:kern w:val="2"/>
          <w:szCs w:val="21"/>
          <w:lang w:val="en-US" w:eastAsia="zh-CN"/>
          <w14:textFill>
            <w14:solidFill>
              <w14:schemeClr w14:val="tx1"/>
            </w14:solidFill>
          </w14:textFill>
        </w:rPr>
        <w:t>附件5  报价清单</w:t>
      </w:r>
    </w:p>
    <w:p>
      <w:pPr>
        <w:pStyle w:val="29"/>
        <w:tabs>
          <w:tab w:val="left" w:pos="8400"/>
        </w:tabs>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表2 自动标样核查模块报价清单</w:t>
      </w:r>
    </w:p>
    <w:tbl>
      <w:tblPr>
        <w:tblStyle w:val="23"/>
        <w:tblW w:w="112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1361"/>
        <w:gridCol w:w="1417"/>
        <w:gridCol w:w="1701"/>
        <w:gridCol w:w="1143"/>
        <w:gridCol w:w="454"/>
        <w:gridCol w:w="454"/>
        <w:gridCol w:w="1057"/>
        <w:gridCol w:w="1057"/>
        <w:gridCol w:w="1057"/>
        <w:gridCol w:w="10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5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在用</w:t>
            </w:r>
            <w:r>
              <w:rPr>
                <w:rFonts w:hint="eastAsia" w:ascii="宋体" w:hAnsi="宋体" w:eastAsia="宋体" w:cs="宋体"/>
                <w:b/>
                <w:bCs/>
                <w:i w:val="0"/>
                <w:iCs w:val="0"/>
                <w:color w:val="000000"/>
                <w:kern w:val="0"/>
                <w:sz w:val="18"/>
                <w:szCs w:val="18"/>
                <w:u w:val="none"/>
                <w:lang w:val="en-US" w:eastAsia="zh-CN" w:bidi="ar"/>
              </w:rPr>
              <w:t>设备名称</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品牌型号</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标样核查模块</w:t>
            </w:r>
            <w:r>
              <w:rPr>
                <w:rFonts w:hint="eastAsia" w:ascii="宋体" w:hAnsi="宋体" w:eastAsia="宋体" w:cs="宋体"/>
                <w:b/>
                <w:bCs/>
                <w:i w:val="0"/>
                <w:iCs w:val="0"/>
                <w:color w:val="000000"/>
                <w:kern w:val="0"/>
                <w:sz w:val="18"/>
                <w:szCs w:val="18"/>
                <w:u w:val="none"/>
                <w:lang w:val="en-US" w:eastAsia="zh-CN" w:bidi="ar"/>
              </w:rPr>
              <w:t>名称</w:t>
            </w: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型号/货号</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数量</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单价(元)</w:t>
            </w:r>
          </w:p>
        </w:tc>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含税</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不含税</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含税</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不含税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COD</w:t>
            </w:r>
            <w:r>
              <w:rPr>
                <w:rFonts w:hint="eastAsia" w:ascii="宋体" w:hAnsi="宋体" w:eastAsia="宋体" w:cs="宋体"/>
                <w:i w:val="0"/>
                <w:iCs w:val="0"/>
                <w:color w:val="000000"/>
                <w:kern w:val="0"/>
                <w:sz w:val="18"/>
                <w:szCs w:val="18"/>
                <w:u w:val="none"/>
                <w:vertAlign w:val="subscript"/>
                <w:lang w:val="en-US" w:eastAsia="zh-CN" w:bidi="ar"/>
              </w:rPr>
              <w:t>Cr</w:t>
            </w:r>
            <w:r>
              <w:rPr>
                <w:rFonts w:hint="eastAsia" w:ascii="宋体" w:hAnsi="宋体" w:eastAsia="宋体" w:cs="宋体"/>
                <w:i w:val="0"/>
                <w:iCs w:val="0"/>
                <w:color w:val="000000"/>
                <w:kern w:val="0"/>
                <w:sz w:val="18"/>
                <w:szCs w:val="18"/>
                <w:u w:val="none"/>
                <w:lang w:val="en-US" w:eastAsia="zh-CN" w:bidi="ar"/>
              </w:rPr>
              <w:t>水质自动分析仪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HACH</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CODmaxII</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50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1361" w:type="dxa"/>
            <w:vMerge w:val="restart"/>
            <w:tcBorders>
              <w:top w:val="single" w:color="000000" w:sz="4" w:space="0"/>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NH</w:t>
            </w:r>
            <w:r>
              <w:rPr>
                <w:rFonts w:hint="eastAsia" w:ascii="宋体" w:hAnsi="宋体" w:eastAsia="宋体" w:cs="宋体"/>
                <w:i w:val="0"/>
                <w:iCs w:val="0"/>
                <w:color w:val="000000"/>
                <w:kern w:val="0"/>
                <w:sz w:val="18"/>
                <w:szCs w:val="18"/>
                <w:u w:val="none"/>
                <w:vertAlign w:val="subscript"/>
                <w:lang w:val="en-US" w:eastAsia="zh-CN" w:bidi="ar"/>
              </w:rPr>
              <w:t>3</w:t>
            </w:r>
            <w:r>
              <w:rPr>
                <w:rFonts w:hint="eastAsia" w:ascii="宋体" w:hAnsi="宋体" w:eastAsia="宋体" w:cs="宋体"/>
                <w:i w:val="0"/>
                <w:iCs w:val="0"/>
                <w:color w:val="000000"/>
                <w:kern w:val="0"/>
                <w:sz w:val="18"/>
                <w:szCs w:val="18"/>
                <w:u w:val="none"/>
                <w:lang w:val="en-US" w:eastAsia="zh-CN" w:bidi="ar"/>
              </w:rPr>
              <w:t>-N水质自动分析仪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HACH </w:t>
            </w:r>
            <w:r>
              <w:rPr>
                <w:rFonts w:hint="eastAsia" w:ascii="宋体" w:hAnsi="宋体" w:eastAsia="宋体" w:cs="宋体"/>
                <w:sz w:val="18"/>
                <w:szCs w:val="18"/>
                <w:vertAlign w:val="baseline"/>
                <w:lang w:val="en-US" w:eastAsia="zh-CN"/>
              </w:rPr>
              <w:t>Amtax</w:t>
            </w:r>
            <w:r>
              <w:rPr>
                <w:rFonts w:hint="eastAsia" w:ascii="宋体" w:hAnsi="宋体" w:eastAsia="宋体" w:cs="宋体"/>
                <w:i w:val="0"/>
                <w:iCs w:val="0"/>
                <w:color w:val="000000"/>
                <w:kern w:val="0"/>
                <w:sz w:val="18"/>
                <w:szCs w:val="18"/>
                <w:u w:val="none"/>
                <w:lang w:val="en-US" w:eastAsia="zh-CN" w:bidi="ar"/>
              </w:rPr>
              <w:t>NA8000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50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61"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HACH</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Inter2C</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TP水质自动分析仪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HACH PhosphaxSigma</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70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合计（含税：  %）</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pStyle w:val="29"/>
        <w:keepNext w:val="0"/>
        <w:keepLines w:val="0"/>
        <w:pageBreakBefore w:val="0"/>
        <w:widowControl w:val="0"/>
        <w:kinsoku/>
        <w:wordWrap/>
        <w:overflowPunct/>
        <w:topLinePunct w:val="0"/>
        <w:autoSpaceDE w:val="0"/>
        <w:autoSpaceDN w:val="0"/>
        <w:bidi w:val="0"/>
        <w:adjustRightInd w:val="0"/>
        <w:snapToGrid/>
        <w:spacing w:before="157" w:beforeLines="50"/>
        <w:jc w:val="both"/>
        <w:textAlignment w:val="auto"/>
        <w:rPr>
          <w:rFonts w:hint="default" w:hAnsi="宋体" w:eastAsia="宋体"/>
          <w:sz w:val="24"/>
          <w:szCs w:val="24"/>
          <w:highlight w:val="none"/>
          <w:lang w:val="en-US" w:eastAsia="zh-CN"/>
        </w:rPr>
      </w:pPr>
    </w:p>
    <w:p>
      <w:pPr>
        <w:pStyle w:val="2"/>
        <w:ind w:firstLine="0"/>
        <w:rPr>
          <w:rFonts w:ascii="仿宋_GB2312" w:eastAsia="仿宋_GB2312"/>
          <w:color w:val="auto"/>
          <w:sz w:val="28"/>
          <w:szCs w:val="28"/>
        </w:rPr>
      </w:pPr>
    </w:p>
    <w:p>
      <w:pPr>
        <w:pStyle w:val="4"/>
        <w:rPr>
          <w:rFonts w:hint="eastAsia"/>
        </w:rPr>
      </w:pPr>
      <w:bookmarkStart w:id="85" w:name="_Toc6230"/>
      <w:bookmarkStart w:id="86" w:name="_Toc23515"/>
      <w:bookmarkStart w:id="87" w:name="_Toc8147"/>
      <w:bookmarkStart w:id="88" w:name="_Toc5129"/>
      <w:bookmarkStart w:id="89" w:name="_Toc16552"/>
      <w:bookmarkStart w:id="90" w:name="_Toc28358"/>
      <w:bookmarkStart w:id="91" w:name="_Toc3723"/>
      <w:bookmarkStart w:id="92" w:name="_Toc12169"/>
      <w:bookmarkStart w:id="93" w:name="_Toc30824"/>
      <w:bookmarkStart w:id="94" w:name="_Toc1563"/>
      <w:bookmarkStart w:id="95" w:name="_Toc21847"/>
    </w:p>
    <w:p>
      <w:pPr>
        <w:pStyle w:val="4"/>
        <w:rPr>
          <w:rFonts w:hint="eastAsia"/>
        </w:rPr>
      </w:pPr>
    </w:p>
    <w:p>
      <w:pPr>
        <w:pStyle w:val="4"/>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pPr>
      <w:r>
        <mc:AlternateContent>
          <mc:Choice Requires="wps">
            <w:drawing>
              <wp:anchor distT="0" distB="0" distL="114300" distR="114300" simplePos="0" relativeHeight="251671552" behindDoc="0" locked="0" layoutInCell="1" allowOverlap="1">
                <wp:simplePos x="0" y="0"/>
                <wp:positionH relativeFrom="column">
                  <wp:posOffset>2443480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92.4pt;margin-top:21.3pt;height:0pt;width:75.5pt;z-index:251671552;mso-width-relative:page;mso-height-relative:page;" filled="f" stroked="t" coordsize="21600,21600" o:gfxdata="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jKERv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2451735</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93.05pt;margin-top:56.7pt;height:0pt;width:75.5pt;z-index:251672576;mso-width-relative:page;mso-height-relative:page;" filled="f" stroked="t" coordsize="21600,21600" o:gfxdata="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CSjkJ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rFonts w:hint="eastAsia"/>
        </w:rPr>
        <w:t>第七章</w:t>
      </w:r>
      <w:bookmarkEnd w:id="85"/>
      <w:bookmarkEnd w:id="86"/>
      <w:bookmarkEnd w:id="87"/>
      <w:bookmarkEnd w:id="88"/>
      <w:bookmarkEnd w:id="89"/>
      <w:bookmarkEnd w:id="90"/>
      <w:bookmarkEnd w:id="91"/>
      <w:bookmarkEnd w:id="92"/>
      <w:bookmarkEnd w:id="93"/>
      <w:bookmarkEnd w:id="94"/>
      <w:bookmarkEnd w:id="95"/>
    </w:p>
    <w:p>
      <w:pPr>
        <w:pStyle w:val="38"/>
      </w:pPr>
    </w:p>
    <w:p>
      <w:pPr>
        <w:pStyle w:val="4"/>
      </w:pPr>
      <w:bookmarkStart w:id="96" w:name="_Toc10840"/>
      <w:bookmarkStart w:id="97" w:name="_Toc12610"/>
      <w:bookmarkStart w:id="98" w:name="_Toc21675"/>
      <w:bookmarkStart w:id="99" w:name="_Toc12769"/>
      <w:bookmarkStart w:id="100" w:name="_Toc22764"/>
      <w:bookmarkStart w:id="101" w:name="_Toc87616388"/>
      <w:bookmarkStart w:id="102" w:name="_Toc88209951"/>
      <w:bookmarkStart w:id="103" w:name="_Toc17119"/>
      <w:bookmarkStart w:id="104" w:name="_Toc24815"/>
      <w:bookmarkStart w:id="105" w:name="_Toc31564"/>
      <w:bookmarkStart w:id="106" w:name="_Toc5342"/>
      <w:bookmarkStart w:id="107" w:name="_Toc30157"/>
      <w:bookmarkStart w:id="108" w:name="_Toc24490"/>
      <w:r>
        <w:rPr>
          <w:rFonts w:hint="eastAsia"/>
        </w:rPr>
        <w:t>响应文件格式要求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rPr>
      </w:pPr>
    </w:p>
    <w:p>
      <w:pPr>
        <w:adjustRightInd w:val="0"/>
        <w:snapToGrid w:val="0"/>
        <w:spacing w:before="156" w:beforeLines="50" w:after="156"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156" w:beforeLines="50" w:after="156" w:afterLines="50" w:line="600" w:lineRule="exact"/>
        <w:jc w:val="center"/>
        <w:rPr>
          <w:rFonts w:ascii="方正小标宋简体" w:eastAsia="方正小标宋简体"/>
          <w:sz w:val="44"/>
          <w:szCs w:val="44"/>
        </w:rPr>
      </w:pPr>
    </w:p>
    <w:p>
      <w:pPr>
        <w:jc w:val="center"/>
        <w:rPr>
          <w:rFonts w:ascii="方正小标宋简体" w:eastAsia="方正小标宋简体"/>
          <w:sz w:val="48"/>
          <w:szCs w:val="48"/>
        </w:rPr>
      </w:pPr>
    </w:p>
    <w:p>
      <w:pPr>
        <w:pStyle w:val="2"/>
        <w:rPr>
          <w:rFonts w:ascii="方正小标宋简体" w:eastAsia="方正小标宋简体"/>
          <w:sz w:val="48"/>
          <w:szCs w:val="48"/>
        </w:rPr>
      </w:pPr>
    </w:p>
    <w:p>
      <w:pPr>
        <w:pStyle w:val="2"/>
        <w:rPr>
          <w:rFonts w:ascii="方正小标宋简体" w:eastAsia="方正小标宋简体"/>
          <w:sz w:val="48"/>
          <w:szCs w:val="48"/>
        </w:rPr>
      </w:pPr>
    </w:p>
    <w:p>
      <w:pPr>
        <w:pStyle w:val="2"/>
        <w:rPr>
          <w:rFonts w:ascii="方正小标宋简体" w:eastAsia="方正小标宋简体"/>
          <w:sz w:val="48"/>
          <w:szCs w:val="48"/>
        </w:rPr>
      </w:pPr>
    </w:p>
    <w:p>
      <w:pPr>
        <w:pStyle w:val="2"/>
        <w:rPr>
          <w:rFonts w:ascii="方正小标宋简体" w:eastAsia="方正小标宋简体"/>
          <w:sz w:val="48"/>
          <w:szCs w:val="48"/>
        </w:rPr>
      </w:pPr>
    </w:p>
    <w:p>
      <w:pPr>
        <w:pStyle w:val="2"/>
        <w:rPr>
          <w:rFonts w:ascii="方正小标宋简体" w:eastAsia="方正小标宋简体"/>
          <w:sz w:val="48"/>
          <w:szCs w:val="48"/>
        </w:rPr>
      </w:pPr>
    </w:p>
    <w:p>
      <w:pPr>
        <w:pStyle w:val="2"/>
        <w:rPr>
          <w:rFonts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rPr>
          <w:rFonts w:ascii="方正小标宋简体" w:eastAsia="方正小标宋简体"/>
          <w:sz w:val="30"/>
          <w:szCs w:val="30"/>
        </w:rPr>
      </w:pPr>
    </w:p>
    <w:p>
      <w:pPr>
        <w:pStyle w:val="13"/>
      </w:pPr>
    </w:p>
    <w:p>
      <w:pPr>
        <w:adjustRightInd w:val="0"/>
        <w:snapToGrid w:val="0"/>
        <w:spacing w:before="156" w:beforeLines="50" w:after="156"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09" w:name="_Toc88209952"/>
      <w:bookmarkStart w:id="110" w:name="_Toc87616389"/>
      <w:r>
        <w:rPr>
          <w:rFonts w:hint="eastAsia" w:ascii="仿宋_GB2312" w:eastAsia="仿宋_GB2312"/>
          <w:sz w:val="28"/>
          <w:szCs w:val="28"/>
        </w:rPr>
        <w:t>1.响应函</w:t>
      </w:r>
      <w:bookmarkEnd w:id="109"/>
      <w:bookmarkEnd w:id="110"/>
    </w:p>
    <w:p>
      <w:pPr>
        <w:spacing w:line="600" w:lineRule="exact"/>
        <w:rPr>
          <w:rFonts w:ascii="仿宋_GB2312" w:eastAsia="仿宋_GB2312"/>
          <w:sz w:val="28"/>
          <w:szCs w:val="28"/>
        </w:rPr>
      </w:pPr>
      <w:bookmarkStart w:id="111" w:name="_Toc88209953"/>
      <w:bookmarkStart w:id="112" w:name="_Toc87616390"/>
      <w:r>
        <w:rPr>
          <w:rFonts w:hint="eastAsia" w:ascii="仿宋_GB2312" w:eastAsia="仿宋_GB2312"/>
          <w:sz w:val="28"/>
          <w:szCs w:val="28"/>
        </w:rPr>
        <w:t>2.法定代表人证明或授权委托书</w:t>
      </w:r>
      <w:bookmarkEnd w:id="111"/>
      <w:bookmarkEnd w:id="112"/>
      <w:bookmarkStart w:id="113" w:name="_Toc87616393"/>
      <w:bookmarkStart w:id="114" w:name="_Toc88209956"/>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hint="eastAsia" w:ascii="仿宋_GB2312" w:eastAsia="仿宋_GB2312"/>
          <w:sz w:val="28"/>
          <w:szCs w:val="28"/>
        </w:rPr>
      </w:pPr>
      <w:r>
        <w:rPr>
          <w:rFonts w:hint="eastAsia" w:ascii="仿宋_GB2312" w:eastAsia="仿宋_GB2312"/>
          <w:sz w:val="28"/>
          <w:szCs w:val="28"/>
        </w:rPr>
        <w:t>5.报价表</w:t>
      </w:r>
    </w:p>
    <w:p>
      <w:pPr>
        <w:spacing w:line="600" w:lineRule="exact"/>
        <w:rPr>
          <w:rFonts w:ascii="仿宋_GB2312" w:eastAsia="仿宋_GB2312"/>
          <w:sz w:val="28"/>
          <w:szCs w:val="28"/>
        </w:rPr>
      </w:pPr>
      <w:r>
        <w:rPr>
          <w:rFonts w:hint="eastAsia" w:ascii="仿宋_GB2312" w:eastAsia="仿宋_GB2312"/>
          <w:sz w:val="28"/>
          <w:szCs w:val="28"/>
          <w:lang w:val="en-US" w:eastAsia="zh-CN"/>
        </w:rPr>
        <w:t>6.承诺函</w:t>
      </w:r>
      <w:r>
        <w:rPr>
          <w:rFonts w:hint="eastAsia" w:ascii="仿宋_GB2312" w:eastAsia="仿宋_GB2312"/>
          <w:sz w:val="28"/>
          <w:szCs w:val="28"/>
        </w:rPr>
        <w:cr/>
      </w:r>
      <w:r>
        <w:rPr>
          <w:rFonts w:hint="eastAsia" w:ascii="仿宋_GB2312" w:eastAsia="仿宋_GB2312"/>
          <w:sz w:val="28"/>
          <w:szCs w:val="28"/>
          <w:lang w:val="en-US" w:eastAsia="zh-CN"/>
        </w:rPr>
        <w:t>7</w:t>
      </w:r>
      <w:r>
        <w:rPr>
          <w:rFonts w:hint="eastAsia" w:ascii="仿宋_GB2312" w:eastAsia="仿宋_GB2312"/>
          <w:sz w:val="28"/>
          <w:szCs w:val="28"/>
        </w:rPr>
        <w:t>.其他资料</w:t>
      </w:r>
      <w:bookmarkEnd w:id="113"/>
      <w:bookmarkEnd w:id="114"/>
      <w:r>
        <w:rPr>
          <w:rFonts w:hint="eastAsia" w:ascii="仿宋_GB2312" w:eastAsia="仿宋_GB2312"/>
          <w:sz w:val="28"/>
          <w:szCs w:val="28"/>
        </w:rPr>
        <w:cr/>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color w:val="auto"/>
        </w:rPr>
      </w:pPr>
    </w:p>
    <w:p>
      <w:pPr>
        <w:adjustRightInd w:val="0"/>
        <w:snapToGrid w:val="0"/>
        <w:spacing w:before="156" w:beforeLines="50" w:after="156" w:afterLines="50" w:line="600" w:lineRule="exact"/>
        <w:rPr>
          <w:rFonts w:ascii="方正小标宋简体" w:eastAsia="方正小标宋简体"/>
          <w:sz w:val="44"/>
          <w:szCs w:val="44"/>
        </w:rPr>
      </w:pPr>
    </w:p>
    <w:p>
      <w:pPr>
        <w:pStyle w:val="10"/>
      </w:pPr>
    </w:p>
    <w:p>
      <w:pPr>
        <w:adjustRightInd w:val="0"/>
        <w:snapToGrid w:val="0"/>
        <w:spacing w:before="156" w:beforeLines="50" w:after="156" w:afterLines="50" w:line="600" w:lineRule="exact"/>
        <w:rPr>
          <w:rFonts w:ascii="方正小标宋简体" w:eastAsia="方正小标宋简体"/>
          <w:sz w:val="44"/>
          <w:szCs w:val="44"/>
        </w:rPr>
      </w:pPr>
    </w:p>
    <w:p>
      <w:pPr>
        <w:pStyle w:val="6"/>
        <w:rPr>
          <w:rFonts w:asciiTheme="minorEastAsia" w:hAnsiTheme="minorEastAsia" w:eastAsiaTheme="minorEastAsia"/>
          <w:sz w:val="28"/>
          <w:szCs w:val="28"/>
        </w:rPr>
      </w:pPr>
      <w:bookmarkStart w:id="115" w:name="_Toc6313"/>
      <w:bookmarkStart w:id="116" w:name="_Toc12665"/>
      <w:bookmarkStart w:id="117" w:name="_Toc88209957"/>
      <w:bookmarkStart w:id="118" w:name="_Toc28619645"/>
      <w:bookmarkStart w:id="119" w:name="_Toc87616394"/>
      <w:r>
        <w:rPr>
          <w:rFonts w:hint="eastAsia" w:asciiTheme="minorEastAsia" w:hAnsiTheme="minorEastAsia" w:eastAsiaTheme="minorEastAsia"/>
          <w:sz w:val="28"/>
          <w:szCs w:val="28"/>
        </w:rPr>
        <w:t>1.响应函</w:t>
      </w:r>
      <w:bookmarkEnd w:id="115"/>
      <w:bookmarkEnd w:id="116"/>
      <w:bookmarkEnd w:id="117"/>
      <w:bookmarkEnd w:id="118"/>
      <w:bookmarkEnd w:id="119"/>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lang w:eastAsia="zh-CN"/>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hint="eastAsia" w:ascii="仿宋_GB2312" w:hAnsi="黑体" w:eastAsia="仿宋_GB2312"/>
          <w:sz w:val="28"/>
          <w:szCs w:val="28"/>
          <w:lang w:val="en-US" w:eastAsia="zh-CN"/>
        </w:rPr>
      </w:pPr>
      <w:r>
        <w:rPr>
          <w:rFonts w:hint="eastAsia" w:ascii="仿宋_GB2312" w:hAnsi="黑体" w:eastAsia="仿宋_GB2312"/>
          <w:sz w:val="28"/>
          <w:szCs w:val="28"/>
        </w:rPr>
        <w:t>（6）</w:t>
      </w:r>
      <w:r>
        <w:rPr>
          <w:rFonts w:hint="eastAsia" w:ascii="仿宋_GB2312" w:hAnsi="黑体" w:eastAsia="仿宋_GB2312"/>
          <w:sz w:val="28"/>
          <w:szCs w:val="28"/>
          <w:lang w:val="en-US" w:eastAsia="zh-CN"/>
        </w:rPr>
        <w:t>承诺函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7</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left="558" w:leftChars="266" w:firstLine="0" w:firstLineChars="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r>
        <w:rPr>
          <w:rFonts w:ascii="仿宋_GB2312" w:hAnsi="黑体" w:eastAsia="仿宋_GB2312"/>
          <w:sz w:val="28"/>
          <w:szCs w:val="28"/>
        </w:rPr>
        <w:br w:type="textWrapping"/>
      </w: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bookmarkStart w:id="120" w:name="_Toc29833"/>
      <w:bookmarkStart w:id="121" w:name="_Toc87616395"/>
      <w:bookmarkStart w:id="122" w:name="_Toc22527"/>
      <w:bookmarkStart w:id="123" w:name="_Toc88209958"/>
      <w:r>
        <w:rPr>
          <w:rFonts w:asciiTheme="minorEastAsia" w:hAnsiTheme="minorEastAsia"/>
          <w:sz w:val="28"/>
          <w:szCs w:val="28"/>
        </w:rPr>
        <w:br w:type="page"/>
      </w:r>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20"/>
      <w:bookmarkEnd w:id="121"/>
      <w:bookmarkEnd w:id="122"/>
      <w:bookmarkEnd w:id="123"/>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0"/>
        <w:snapToGrid w:val="0"/>
        <w:spacing w:after="0" w:line="600" w:lineRule="exact"/>
        <w:jc w:val="both"/>
        <w:rPr>
          <w:rFonts w:ascii="仿宋_GB2312" w:hAnsi="宋体" w:eastAsia="仿宋_GB2312" w:cs="Times New Roman"/>
          <w:sz w:val="30"/>
          <w:szCs w:val="30"/>
          <w:u w:val="single"/>
        </w:rPr>
      </w:pPr>
      <w:r>
        <w:rPr>
          <w:rFonts w:hint="eastAsia" w:ascii="仿宋_GB2312" w:hAnsi="宋体" w:eastAsia="仿宋_GB2312" w:cs="Times New Roman"/>
          <w:sz w:val="32"/>
          <w:szCs w:val="32"/>
        </w:rPr>
        <w:t xml:space="preserve">     </w:t>
      </w:r>
      <w:r>
        <w:rPr>
          <w:rFonts w:hint="eastAsia" w:ascii="仿宋_GB2312" w:hAnsi="宋体" w:eastAsia="仿宋_GB2312" w:cs="Times New Roman"/>
          <w:sz w:val="30"/>
          <w:szCs w:val="30"/>
        </w:rPr>
        <w:t>供应商名称：</w:t>
      </w:r>
      <w:r>
        <w:rPr>
          <w:rFonts w:hint="eastAsia" w:ascii="仿宋_GB2312" w:hAnsi="宋体" w:eastAsia="仿宋_GB2312" w:cs="Times New Roman"/>
          <w:sz w:val="30"/>
          <w:szCs w:val="30"/>
          <w:u w:val="single"/>
        </w:rPr>
        <w:t xml:space="preserve">                          </w:t>
      </w:r>
    </w:p>
    <w:p>
      <w:pPr>
        <w:pStyle w:val="13"/>
        <w:snapToGrid w:val="0"/>
        <w:spacing w:line="600" w:lineRule="exact"/>
        <w:rPr>
          <w:rFonts w:ascii="仿宋_GB2312" w:hAnsi="宋体" w:eastAsia="仿宋_GB2312" w:cs="Times New Roman"/>
          <w:color w:val="auto"/>
          <w:sz w:val="30"/>
          <w:szCs w:val="30"/>
          <w:u w:val="single"/>
        </w:rPr>
      </w:pPr>
      <w:r>
        <w:rPr>
          <w:rFonts w:hint="eastAsia" w:ascii="仿宋_GB2312" w:hAnsi="宋体" w:eastAsia="仿宋_GB2312" w:cs="Times New Roman"/>
          <w:color w:val="auto"/>
          <w:sz w:val="30"/>
          <w:szCs w:val="30"/>
        </w:rPr>
        <w:t xml:space="preserve">     单位性质：</w:t>
      </w:r>
      <w:r>
        <w:rPr>
          <w:rFonts w:hint="eastAsia" w:ascii="仿宋_GB2312" w:hAnsi="宋体" w:eastAsia="仿宋_GB2312" w:cs="Times New Roman"/>
          <w:color w:val="auto"/>
          <w:sz w:val="30"/>
          <w:szCs w:val="30"/>
          <w:u w:val="single"/>
        </w:rPr>
        <w:t xml:space="preserve">                            </w:t>
      </w:r>
    </w:p>
    <w:p>
      <w:pPr>
        <w:pStyle w:val="39"/>
        <w:snapToGrid w:val="0"/>
        <w:spacing w:after="0" w:line="600" w:lineRule="exact"/>
        <w:ind w:firstLine="750" w:firstLineChars="250"/>
        <w:rPr>
          <w:rFonts w:ascii="仿宋_GB2312" w:hAnsi="宋体" w:eastAsia="仿宋_GB2312" w:cs="Times New Roman"/>
          <w:sz w:val="30"/>
          <w:szCs w:val="30"/>
          <w:u w:val="single"/>
        </w:rPr>
      </w:pPr>
      <w:r>
        <w:rPr>
          <w:rFonts w:hint="eastAsia" w:ascii="仿宋_GB2312" w:hAnsi="宋体" w:eastAsia="仿宋_GB2312" w:cs="Times New Roman"/>
          <w:sz w:val="30"/>
          <w:szCs w:val="30"/>
        </w:rPr>
        <w:t>地    址：</w:t>
      </w:r>
      <w:r>
        <w:rPr>
          <w:rFonts w:hint="eastAsia" w:ascii="仿宋_GB2312" w:hAnsi="宋体" w:eastAsia="仿宋_GB2312" w:cs="Times New Roman"/>
          <w:sz w:val="30"/>
          <w:szCs w:val="30"/>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成立时间：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月</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日</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经营期限：</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姓名：</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性别：</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年龄：</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身份证号码：</w:t>
      </w:r>
      <w:r>
        <w:rPr>
          <w:rFonts w:hint="eastAsia" w:ascii="仿宋_GB2312" w:hAnsi="宋体" w:eastAsia="仿宋_GB2312" w:cs="Times New Roman"/>
          <w:color w:val="auto"/>
          <w:sz w:val="30"/>
          <w:szCs w:val="30"/>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职务：</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系</w:t>
      </w:r>
      <w:r>
        <w:rPr>
          <w:rFonts w:hint="eastAsia" w:ascii="仿宋_GB2312" w:hAnsi="宋体" w:eastAsia="仿宋_GB2312" w:cs="Times New Roman"/>
          <w:color w:val="auto"/>
          <w:sz w:val="30"/>
          <w:szCs w:val="30"/>
          <w:u w:val="single"/>
        </w:rPr>
        <w:t xml:space="preserve">     (供应商名称)       </w:t>
      </w:r>
      <w:r>
        <w:rPr>
          <w:rFonts w:hint="eastAsia" w:ascii="仿宋_GB2312" w:hAnsi="宋体" w:eastAsia="仿宋_GB2312" w:cs="Times New Roman"/>
          <w:color w:val="auto"/>
          <w:sz w:val="30"/>
          <w:szCs w:val="30"/>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特此证明。</w:t>
      </w:r>
    </w:p>
    <w:p>
      <w:pPr>
        <w:adjustRightInd w:val="0"/>
        <w:snapToGrid w:val="0"/>
        <w:spacing w:line="600" w:lineRule="exact"/>
        <w:ind w:firstLine="702" w:firstLineChars="234"/>
        <w:rPr>
          <w:rFonts w:ascii="仿宋_GB2312" w:hAnsi="宋体" w:eastAsia="仿宋_GB2312"/>
          <w:sz w:val="30"/>
          <w:szCs w:val="30"/>
        </w:rPr>
      </w:pPr>
      <w:r>
        <w:rPr>
          <w:rFonts w:hint="eastAsia" w:ascii="仿宋_GB2312" w:hAnsi="宋体" w:eastAsia="仿宋_GB2312"/>
          <w:sz w:val="30"/>
          <w:szCs w:val="30"/>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rPr>
      </w:pPr>
    </w:p>
    <w:p>
      <w:pPr>
        <w:pStyle w:val="13"/>
        <w:snapToGrid w:val="0"/>
        <w:spacing w:line="600" w:lineRule="exact"/>
        <w:ind w:firstLine="3663" w:firstLineChars="1221"/>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widowControl/>
        <w:adjustRightInd w:val="0"/>
        <w:snapToGrid w:val="0"/>
        <w:spacing w:line="600" w:lineRule="exact"/>
        <w:jc w:val="right"/>
        <w:rPr>
          <w:rFonts w:ascii="仿宋_GB2312" w:hAnsi="宋体" w:eastAsia="仿宋_GB2312"/>
          <w:sz w:val="30"/>
          <w:szCs w:val="30"/>
        </w:rPr>
      </w:pPr>
      <w:r>
        <w:rPr>
          <w:rFonts w:hint="eastAsia" w:ascii="仿宋_GB2312" w:hAnsi="宋体" w:eastAsia="仿宋_GB2312"/>
          <w:sz w:val="30"/>
          <w:szCs w:val="30"/>
        </w:rPr>
        <w:t>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widowControl/>
        <w:adjustRightInd w:val="0"/>
        <w:snapToGrid w:val="0"/>
        <w:spacing w:line="600" w:lineRule="exact"/>
        <w:jc w:val="left"/>
        <w:rPr>
          <w:rFonts w:ascii="仿宋_GB2312" w:hAnsi="宋体" w:eastAsia="仿宋_GB2312" w:cs="宋体"/>
          <w:kern w:val="0"/>
          <w:sz w:val="28"/>
          <w:szCs w:val="28"/>
        </w:rPr>
      </w:pPr>
      <w:r>
        <w:rPr>
          <w:rFonts w:ascii="仿宋_GB2312" w:hAnsi="宋体" w:eastAsia="仿宋_GB2312" w:cs="宋体"/>
          <w:kern w:val="0"/>
          <w:sz w:val="28"/>
          <w:szCs w:val="28"/>
        </w:rPr>
        <mc:AlternateContent>
          <mc:Choice Requires="wps">
            <w:drawing>
              <wp:anchor distT="0" distB="0" distL="114300" distR="114300" simplePos="0" relativeHeight="25167360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360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adjustRightInd w:val="0"/>
        <w:snapToGrid w:val="0"/>
        <w:spacing w:line="600" w:lineRule="exact"/>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rPr>
          <w:rFonts w:hint="eastAsia" w:ascii="方正小标宋简体" w:hAnsi="Times New Roman" w:eastAsia="方正小标宋简体" w:cs="Tahoma"/>
          <w:kern w:val="0"/>
          <w:sz w:val="44"/>
          <w:szCs w:val="44"/>
        </w:rPr>
      </w:pPr>
      <w:r>
        <w:rPr>
          <w:rFonts w:hint="eastAsia"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hint="eastAsia" w:ascii="方正小标宋简体" w:hAnsi="Times New Roman" w:eastAsia="方正小标宋简体" w:cs="Tahoma"/>
          <w:kern w:val="0"/>
          <w:sz w:val="44"/>
          <w:szCs w:val="44"/>
        </w:rPr>
      </w:pP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系</w:t>
      </w:r>
      <w:r>
        <w:rPr>
          <w:rFonts w:hint="eastAsia" w:ascii="仿宋_GB2312" w:hAnsi="宋体" w:eastAsia="仿宋_GB2312"/>
          <w:sz w:val="30"/>
          <w:szCs w:val="30"/>
          <w:u w:val="single"/>
        </w:rPr>
        <w:t xml:space="preserve">        (供应商名称)          </w:t>
      </w:r>
      <w:r>
        <w:rPr>
          <w:rFonts w:hint="eastAsia" w:ascii="仿宋_GB2312" w:hAnsi="宋体" w:eastAsia="仿宋_GB2312"/>
          <w:sz w:val="30"/>
          <w:szCs w:val="30"/>
        </w:rPr>
        <w:t>的法定代表人，现授权</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为我方代理人。代理人根据授权，以我方名义签署、澄清、说明、提交、撤回、修改</w:t>
      </w:r>
      <w:r>
        <w:rPr>
          <w:rFonts w:hint="eastAsia" w:ascii="仿宋_GB2312" w:hAnsi="宋体" w:eastAsia="仿宋_GB2312"/>
          <w:sz w:val="30"/>
          <w:szCs w:val="30"/>
          <w:u w:val="single"/>
        </w:rPr>
        <w:t xml:space="preserve"> （项目名称、项目编号、标段/标包号）  </w:t>
      </w:r>
      <w:r>
        <w:rPr>
          <w:rFonts w:hint="eastAsia" w:ascii="仿宋_GB2312" w:hAnsi="宋体" w:eastAsia="仿宋_GB2312"/>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委托期限：</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代理人无转委托权。</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附：1.委托代理人身份证(正反两面)复印件</w:t>
      </w:r>
    </w:p>
    <w:p>
      <w:pPr>
        <w:pStyle w:val="38"/>
        <w:ind w:firstLine="1200" w:firstLineChars="400"/>
        <w:rPr>
          <w:rFonts w:ascii="仿宋_GB2312" w:hAnsi="宋体" w:eastAsia="仿宋_GB2312"/>
          <w:sz w:val="30"/>
          <w:szCs w:val="30"/>
        </w:rPr>
      </w:pPr>
      <w:r>
        <w:rPr>
          <w:rFonts w:hint="eastAsia" w:ascii="仿宋_GB2312" w:hAnsi="宋体" w:eastAsia="仿宋_GB2312"/>
          <w:sz w:val="30"/>
          <w:szCs w:val="30"/>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rPr>
      </w:pPr>
      <w:r>
        <w:rPr>
          <w:rFonts w:hint="eastAsia" w:ascii="仿宋_GB2312" w:hAnsi="宋体" w:eastAsia="仿宋_GB2312" w:cs="Times New Roman"/>
          <w:color w:val="auto"/>
          <w:spacing w:val="30"/>
          <w:sz w:val="30"/>
          <w:szCs w:val="30"/>
        </w:rPr>
        <w:t>供应商</w:t>
      </w:r>
      <w:r>
        <w:rPr>
          <w:rFonts w:hint="eastAsia" w:ascii="仿宋_GB2312" w:hAnsi="宋体" w:eastAsia="仿宋_GB2312" w:cs="Times New Roman"/>
          <w:color w:val="auto"/>
          <w:sz w:val="30"/>
          <w:szCs w:val="30"/>
        </w:rPr>
        <w:t>：</w:t>
      </w:r>
      <w:r>
        <w:rPr>
          <w:rFonts w:hint="eastAsia" w:ascii="仿宋_GB2312" w:hAnsi="宋体" w:eastAsia="仿宋_GB2312" w:cs="Times New Roman"/>
          <w:color w:val="auto"/>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法定代表人：</w:t>
      </w:r>
      <w:r>
        <w:rPr>
          <w:rFonts w:hint="eastAsia" w:ascii="仿宋_GB2312" w:hAnsi="宋体" w:eastAsia="仿宋_GB2312" w:cs="Times New Roman"/>
          <w:color w:val="auto"/>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委托代理人：</w:t>
      </w:r>
      <w:r>
        <w:rPr>
          <w:rFonts w:hint="eastAsia" w:ascii="仿宋_GB2312" w:hAnsi="宋体" w:eastAsia="仿宋_GB2312" w:cs="Times New Roman"/>
          <w:color w:val="auto"/>
          <w:sz w:val="30"/>
          <w:szCs w:val="30"/>
          <w:u w:val="single"/>
        </w:rPr>
        <w:t xml:space="preserve">       (签字)            </w:t>
      </w:r>
    </w:p>
    <w:p>
      <w:pPr>
        <w:widowControl/>
        <w:adjustRightInd w:val="0"/>
        <w:snapToGrid w:val="0"/>
        <w:spacing w:line="600" w:lineRule="exact"/>
        <w:rPr>
          <w:rFonts w:ascii="仿宋_GB2312" w:hAnsi="宋体" w:eastAsia="仿宋_GB2312"/>
          <w:sz w:val="30"/>
          <w:szCs w:val="30"/>
        </w:rPr>
      </w:pPr>
      <w:r>
        <w:rPr>
          <w:rFonts w:hint="eastAsia" w:ascii="仿宋_GB2312" w:hAnsi="宋体" w:eastAsia="仿宋_GB2312"/>
          <w:sz w:val="30"/>
          <w:szCs w:val="30"/>
        </w:rPr>
        <w:t xml:space="preserve">                        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pStyle w:val="2"/>
        <w:ind w:left="0" w:leftChars="0" w:firstLine="0" w:firstLineChars="0"/>
        <w:rPr>
          <w:rFonts w:ascii="仿宋_GB2312" w:eastAsia="仿宋_GB2312"/>
          <w:color w:val="auto"/>
          <w:sz w:val="30"/>
          <w:szCs w:val="30"/>
        </w:rPr>
      </w:pPr>
    </w:p>
    <w:p>
      <w:pPr>
        <w:pStyle w:val="2"/>
        <w:rPr>
          <w:rFonts w:ascii="仿宋_GB2312" w:eastAsia="仿宋_GB2312"/>
          <w:color w:val="auto"/>
          <w:sz w:val="30"/>
          <w:szCs w:val="30"/>
        </w:rPr>
      </w:pPr>
    </w:p>
    <w:p>
      <w:pPr>
        <w:pStyle w:val="7"/>
        <w:spacing w:after="0" w:line="600" w:lineRule="exact"/>
        <w:rPr>
          <w:rFonts w:ascii="仿宋_GB2312" w:eastAsia="仿宋_GB2312"/>
        </w:rPr>
      </w:pPr>
      <w:r>
        <w:rPr>
          <w:rFonts w:ascii="仿宋_GB2312" w:eastAsia="仿宋_GB2312"/>
          <w:sz w:val="44"/>
          <w:szCs w:val="44"/>
          <w:u w:val="single"/>
        </w:rPr>
        <mc:AlternateContent>
          <mc:Choice Requires="wps">
            <w:drawing>
              <wp:anchor distT="0" distB="0" distL="114300" distR="114300" simplePos="0" relativeHeight="25167462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462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0" w:firstLineChars="300"/>
        <w:rPr>
          <w:rFonts w:ascii="仿宋" w:hAnsi="仿宋" w:eastAsia="仿宋" w:cs="仿宋_GB2312"/>
          <w:b/>
          <w:sz w:val="28"/>
          <w:szCs w:val="28"/>
        </w:rPr>
      </w:pPr>
    </w:p>
    <w:p>
      <w:pPr>
        <w:pStyle w:val="2"/>
        <w:rPr>
          <w:color w:val="auto"/>
        </w:rPr>
      </w:pPr>
    </w:p>
    <w:p>
      <w:pPr>
        <w:pStyle w:val="2"/>
        <w:ind w:left="0" w:leftChars="0" w:firstLine="0" w:firstLineChars="0"/>
        <w:rPr>
          <w:color w:val="auto"/>
        </w:rPr>
      </w:pPr>
    </w:p>
    <w:p>
      <w:pPr>
        <w:pStyle w:val="6"/>
        <w:rPr>
          <w:rFonts w:hint="eastAsia" w:ascii="仿宋_GB2312" w:eastAsia="仿宋_GB2312" w:hAnsiTheme="minorEastAsia"/>
          <w:sz w:val="28"/>
          <w:szCs w:val="28"/>
        </w:rPr>
      </w:pPr>
      <w:r>
        <w:rPr>
          <w:rFonts w:hint="eastAsia" w:ascii="仿宋_GB2312" w:eastAsia="仿宋_GB2312" w:hAnsiTheme="minorEastAsia"/>
          <w:sz w:val="28"/>
          <w:szCs w:val="28"/>
        </w:rPr>
        <w:t xml:space="preserve"> </w:t>
      </w:r>
      <w:bookmarkStart w:id="124" w:name="_Toc88209963"/>
      <w:bookmarkStart w:id="125" w:name="_Toc87616400"/>
      <w:bookmarkStart w:id="126" w:name="_Toc19830"/>
      <w:bookmarkStart w:id="127" w:name="_Toc8086"/>
    </w:p>
    <w:p>
      <w:pPr>
        <w:rPr>
          <w:rFonts w:hint="eastAsia" w:ascii="仿宋_GB2312" w:eastAsia="仿宋_GB2312" w:hAnsiTheme="minorEastAsia"/>
          <w:sz w:val="28"/>
          <w:szCs w:val="28"/>
        </w:rPr>
      </w:pPr>
      <w:r>
        <w:rPr>
          <w:rFonts w:hint="eastAsia" w:ascii="仿宋_GB2312" w:eastAsia="仿宋_GB2312" w:hAnsiTheme="minorEastAsia"/>
          <w:sz w:val="28"/>
          <w:szCs w:val="28"/>
        </w:rPr>
        <w:br w:type="page"/>
      </w: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24"/>
      <w:bookmarkEnd w:id="125"/>
      <w:bookmarkEnd w:id="126"/>
      <w:bookmarkEnd w:id="127"/>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4"/>
        <w:tblW w:w="926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jc w:val="center"/>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jc w:val="center"/>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left"/>
        <w:rPr>
          <w:rFonts w:cs="Times New Roman" w:asciiTheme="minorEastAsia" w:hAnsiTheme="minorEastAsia"/>
          <w:b/>
          <w:bCs/>
          <w:sz w:val="28"/>
          <w:szCs w:val="28"/>
        </w:rPr>
      </w:pPr>
      <w:bookmarkStart w:id="128" w:name="_Hlk59025866"/>
    </w:p>
    <w:p>
      <w:pPr>
        <w:rPr>
          <w:rFonts w:hint="eastAsia" w:cs="Times New Roman" w:asciiTheme="minorEastAsia" w:hAnsiTheme="minorEastAsia"/>
          <w:b/>
          <w:bCs/>
          <w:sz w:val="28"/>
          <w:szCs w:val="28"/>
        </w:rPr>
      </w:pPr>
      <w:r>
        <w:rPr>
          <w:rFonts w:hint="eastAsia" w:cs="Times New Roman" w:asciiTheme="minorEastAsia" w:hAnsiTheme="minorEastAsia"/>
          <w:b/>
          <w:bCs/>
          <w:sz w:val="28"/>
          <w:szCs w:val="28"/>
        </w:rPr>
        <w:br w:type="page"/>
      </w:r>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128"/>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宋体" w:hAnsi="宋体" w:cs="宋体"/>
          <w:color w:val="000000" w:themeColor="text1"/>
          <w:sz w:val="24"/>
          <w:szCs w:val="24"/>
          <w:u w:val="single"/>
          <w:lang w:val="en-US" w:eastAsia="zh-CN"/>
          <w14:textFill>
            <w14:solidFill>
              <w14:schemeClr w14:val="tx1"/>
            </w14:solidFill>
          </w14:textFill>
        </w:rPr>
        <w:t>广州市净水有限公司在线监测系统自动标样核查模块采购项目</w:t>
      </w:r>
      <w:r>
        <w:rPr>
          <w:rFonts w:hint="eastAsia" w:ascii="宋体" w:hAnsi="宋体" w:eastAsia="宋体" w:cs="宋体"/>
          <w:sz w:val="24"/>
          <w:szCs w:val="24"/>
          <w:u w:val="single"/>
          <w:lang w:val="en-GB"/>
        </w:rPr>
        <w:t>（项目编号： ******）</w:t>
      </w:r>
      <w:r>
        <w:rPr>
          <w:rFonts w:hint="eastAsia" w:ascii="宋体" w:hAnsi="宋体" w:eastAsia="宋体" w:cs="宋体"/>
          <w:sz w:val="24"/>
          <w:szCs w:val="24"/>
          <w:lang w:val="en-GB"/>
        </w:rPr>
        <w:t>采购期间，未被</w:t>
      </w:r>
      <w:r>
        <w:rPr>
          <w:rFonts w:hint="eastAsia" w:ascii="仿宋_GB2312" w:eastAsia="仿宋_GB2312"/>
          <w:sz w:val="28"/>
          <w:szCs w:val="28"/>
        </w:rPr>
        <w:t>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（3）与本项目其他供应商存在管理关系。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w:t>
      </w:r>
      <w:r>
        <w:rPr>
          <w:rFonts w:hint="eastAsia" w:ascii="宋体" w:hAnsi="宋体" w:cs="宋体"/>
          <w:sz w:val="24"/>
          <w:szCs w:val="24"/>
          <w:lang w:val="en-US" w:eastAsia="zh-CN"/>
        </w:rPr>
        <w:t>0</w:t>
      </w:r>
      <w:r>
        <w:rPr>
          <w:rFonts w:hint="eastAsia" w:ascii="宋体" w:hAnsi="宋体" w:cs="宋体"/>
          <w:sz w:val="24"/>
          <w:szCs w:val="24"/>
          <w:lang w:val="en-GB"/>
        </w:rPr>
        <w:t>）其他违法违纪行为，经审查认为不宜被邀请参加采购活动的。</w:t>
      </w:r>
    </w:p>
    <w:p>
      <w:pPr>
        <w:adjustRightInd w:val="0"/>
        <w:snapToGrid w:val="0"/>
        <w:spacing w:line="360" w:lineRule="auto"/>
        <w:jc w:val="right"/>
        <w:rPr>
          <w:rFonts w:ascii="宋体" w:hAnsi="宋体" w:eastAsia="宋体" w:cs="宋体"/>
          <w:sz w:val="24"/>
          <w:szCs w:val="24"/>
          <w:lang w:val="en-GB"/>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hint="eastAsia" w:ascii="宋体" w:hAnsi="宋体" w:eastAsia="宋体" w:cs="宋体"/>
          <w:sz w:val="24"/>
          <w:szCs w:val="24"/>
          <w:lang w:val="en-GB"/>
        </w:rPr>
      </w:pPr>
      <w:r>
        <w:rPr>
          <w:rFonts w:hint="eastAsia" w:ascii="宋体" w:hAnsi="宋体" w:eastAsia="宋体" w:cs="宋体"/>
          <w:sz w:val="24"/>
          <w:szCs w:val="24"/>
          <w:lang w:val="en-GB"/>
        </w:rPr>
        <w:t>年  月  日</w:t>
      </w:r>
    </w:p>
    <w:p>
      <w:r>
        <w:rPr>
          <w:rFonts w:hint="eastAsia" w:ascii="宋体" w:hAnsi="宋体" w:eastAsia="宋体" w:cs="宋体"/>
          <w:sz w:val="24"/>
          <w:szCs w:val="24"/>
          <w:lang w:val="en-GB"/>
        </w:rPr>
        <w:br w:type="page"/>
      </w:r>
    </w:p>
    <w:p>
      <w:pPr>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
        <w:rPr>
          <w:rFonts w:ascii="仿宋_GB2312" w:eastAsia="仿宋_GB2312" w:hAnsiTheme="minorEastAsia"/>
          <w:color w:val="auto"/>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3"/>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tcPr>
          <w:p>
            <w:pPr>
              <w:jc w:val="center"/>
              <w:rPr>
                <w:rFonts w:ascii="仿宋" w:hAnsi="仿宋" w:eastAsia="仿宋" w:cs="仿宋_GB2312"/>
                <w:b/>
                <w:sz w:val="28"/>
                <w:szCs w:val="28"/>
              </w:rPr>
            </w:pPr>
          </w:p>
        </w:tc>
        <w:tc>
          <w:tcPr>
            <w:tcW w:w="161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8"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8"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5"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bl>
    <w:p>
      <w:pPr>
        <w:pStyle w:val="2"/>
        <w:rPr>
          <w:rFonts w:ascii="仿宋_GB2312" w:eastAsia="仿宋_GB2312" w:hAnsiTheme="minorEastAsia"/>
          <w:color w:val="auto"/>
          <w:sz w:val="28"/>
          <w:szCs w:val="28"/>
        </w:rPr>
      </w:pPr>
    </w:p>
    <w:p>
      <w:pPr>
        <w:pStyle w:val="13"/>
        <w:snapToGrid w:val="0"/>
        <w:spacing w:line="600" w:lineRule="exact"/>
        <w:ind w:firstLine="0" w:firstLineChars="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pStyle w:val="2"/>
        <w:ind w:left="0" w:leftChars="0" w:firstLine="0" w:firstLineChars="0"/>
        <w:rPr>
          <w:rFonts w:ascii="仿宋_GB2312" w:eastAsia="仿宋_GB2312" w:hAnsiTheme="minorEastAsia"/>
          <w:color w:val="auto"/>
          <w:sz w:val="28"/>
          <w:szCs w:val="28"/>
        </w:rPr>
      </w:pPr>
      <w:r>
        <w:rPr>
          <w:rFonts w:hint="eastAsia" w:ascii="仿宋_GB2312" w:hAnsi="宋体" w:eastAsia="仿宋_GB2312"/>
          <w:sz w:val="30"/>
          <w:szCs w:val="30"/>
        </w:rPr>
        <w:t>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pStyle w:val="2"/>
        <w:ind w:left="0" w:leftChars="0" w:firstLine="0" w:firstLineChars="0"/>
        <w:rPr>
          <w:rFonts w:ascii="仿宋_GB2312" w:eastAsia="仿宋_GB2312" w:hAnsiTheme="minorEastAsia"/>
          <w:color w:val="auto"/>
          <w:sz w:val="28"/>
          <w:szCs w:val="28"/>
        </w:rPr>
      </w:pPr>
    </w:p>
    <w:p>
      <w:pPr>
        <w:pStyle w:val="2"/>
        <w:ind w:left="0" w:leftChars="0" w:firstLine="0" w:firstLineChars="0"/>
        <w:rPr>
          <w:rFonts w:ascii="仿宋_GB2312" w:eastAsia="仿宋_GB2312" w:hAnsiTheme="minorEastAsia"/>
          <w:color w:val="auto"/>
          <w:sz w:val="28"/>
          <w:szCs w:val="28"/>
        </w:rPr>
      </w:pPr>
    </w:p>
    <w:p>
      <w:pPr>
        <w:pStyle w:val="2"/>
        <w:ind w:left="0" w:leftChars="0" w:firstLine="0" w:firstLineChars="0"/>
        <w:rPr>
          <w:rFonts w:ascii="仿宋_GB2312" w:eastAsia="仿宋_GB2312" w:hAnsiTheme="minorEastAsia"/>
          <w:color w:val="auto"/>
          <w:sz w:val="28"/>
          <w:szCs w:val="28"/>
        </w:rPr>
      </w:pPr>
    </w:p>
    <w:p>
      <w:pPr>
        <w:rPr>
          <w:rFonts w:hint="eastAsia" w:ascii="仿宋_GB2312" w:eastAsia="仿宋_GB2312" w:hAnsiTheme="minorEastAsia"/>
          <w:sz w:val="28"/>
          <w:szCs w:val="28"/>
        </w:rPr>
      </w:pPr>
      <w:bookmarkStart w:id="129" w:name="_Toc32430"/>
      <w:bookmarkStart w:id="130" w:name="_Toc19423"/>
      <w:r>
        <w:rPr>
          <w:rFonts w:hint="eastAsia" w:ascii="仿宋_GB2312" w:eastAsia="仿宋_GB2312" w:hAnsiTheme="minorEastAsia"/>
          <w:sz w:val="28"/>
          <w:szCs w:val="28"/>
        </w:rPr>
        <w:br w:type="page"/>
      </w:r>
    </w:p>
    <w:p>
      <w:pPr>
        <w:pStyle w:val="6"/>
        <w:numPr>
          <w:ilvl w:val="0"/>
          <w:numId w:val="8"/>
        </w:numPr>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报价表</w:t>
      </w:r>
      <w:bookmarkEnd w:id="129"/>
      <w:bookmarkEnd w:id="130"/>
    </w:p>
    <w:p>
      <w:pPr>
        <w:numPr>
          <w:ilvl w:val="0"/>
          <w:numId w:val="0"/>
        </w:numPr>
        <w:rPr>
          <w:highlight w:val="yellow"/>
        </w:rPr>
      </w:pPr>
    </w:p>
    <w:p>
      <w:pPr>
        <w:pStyle w:val="13"/>
        <w:rPr>
          <w:highlight w:val="yellow"/>
        </w:rPr>
      </w:pPr>
    </w:p>
    <w:tbl>
      <w:tblPr>
        <w:tblStyle w:val="23"/>
        <w:tblW w:w="112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1361"/>
        <w:gridCol w:w="1417"/>
        <w:gridCol w:w="1701"/>
        <w:gridCol w:w="1143"/>
        <w:gridCol w:w="454"/>
        <w:gridCol w:w="454"/>
        <w:gridCol w:w="1057"/>
        <w:gridCol w:w="1057"/>
        <w:gridCol w:w="1057"/>
        <w:gridCol w:w="10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5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在用</w:t>
            </w:r>
            <w:r>
              <w:rPr>
                <w:rFonts w:hint="eastAsia" w:ascii="宋体" w:hAnsi="宋体" w:eastAsia="宋体" w:cs="宋体"/>
                <w:b/>
                <w:bCs/>
                <w:i w:val="0"/>
                <w:iCs w:val="0"/>
                <w:color w:val="000000"/>
                <w:kern w:val="0"/>
                <w:sz w:val="18"/>
                <w:szCs w:val="18"/>
                <w:u w:val="none"/>
                <w:lang w:val="en-US" w:eastAsia="zh-CN" w:bidi="ar"/>
              </w:rPr>
              <w:t>设备名称</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品牌型号</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标样核查模块</w:t>
            </w:r>
            <w:r>
              <w:rPr>
                <w:rFonts w:hint="eastAsia" w:ascii="宋体" w:hAnsi="宋体" w:eastAsia="宋体" w:cs="宋体"/>
                <w:b/>
                <w:bCs/>
                <w:i w:val="0"/>
                <w:iCs w:val="0"/>
                <w:color w:val="000000"/>
                <w:kern w:val="0"/>
                <w:sz w:val="18"/>
                <w:szCs w:val="18"/>
                <w:u w:val="none"/>
                <w:lang w:val="en-US" w:eastAsia="zh-CN" w:bidi="ar"/>
              </w:rPr>
              <w:t>名称</w:t>
            </w: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型号/货号</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数量</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单价(元)</w:t>
            </w:r>
          </w:p>
        </w:tc>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jc w:val="center"/>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含税</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不含税</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含税</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不含税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COD</w:t>
            </w:r>
            <w:r>
              <w:rPr>
                <w:rFonts w:hint="eastAsia" w:ascii="宋体" w:hAnsi="宋体" w:eastAsia="宋体" w:cs="宋体"/>
                <w:i w:val="0"/>
                <w:iCs w:val="0"/>
                <w:color w:val="000000"/>
                <w:kern w:val="0"/>
                <w:sz w:val="18"/>
                <w:szCs w:val="18"/>
                <w:u w:val="none"/>
                <w:vertAlign w:val="subscript"/>
                <w:lang w:val="en-US" w:eastAsia="zh-CN" w:bidi="ar"/>
              </w:rPr>
              <w:t>Cr</w:t>
            </w:r>
            <w:r>
              <w:rPr>
                <w:rFonts w:hint="eastAsia" w:ascii="宋体" w:hAnsi="宋体" w:eastAsia="宋体" w:cs="宋体"/>
                <w:i w:val="0"/>
                <w:iCs w:val="0"/>
                <w:color w:val="000000"/>
                <w:kern w:val="0"/>
                <w:sz w:val="18"/>
                <w:szCs w:val="18"/>
                <w:u w:val="none"/>
                <w:lang w:val="en-US" w:eastAsia="zh-CN" w:bidi="ar"/>
              </w:rPr>
              <w:t>水质自动分析仪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HACH</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CODmaxII</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50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1361" w:type="dxa"/>
            <w:vMerge w:val="restart"/>
            <w:tcBorders>
              <w:top w:val="single" w:color="000000" w:sz="4" w:space="0"/>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NH</w:t>
            </w:r>
            <w:r>
              <w:rPr>
                <w:rFonts w:hint="eastAsia" w:ascii="宋体" w:hAnsi="宋体" w:eastAsia="宋体" w:cs="宋体"/>
                <w:i w:val="0"/>
                <w:iCs w:val="0"/>
                <w:color w:val="000000"/>
                <w:kern w:val="0"/>
                <w:sz w:val="18"/>
                <w:szCs w:val="18"/>
                <w:u w:val="none"/>
                <w:vertAlign w:val="subscript"/>
                <w:lang w:val="en-US" w:eastAsia="zh-CN" w:bidi="ar"/>
              </w:rPr>
              <w:t>3</w:t>
            </w:r>
            <w:r>
              <w:rPr>
                <w:rFonts w:hint="eastAsia" w:ascii="宋体" w:hAnsi="宋体" w:eastAsia="宋体" w:cs="宋体"/>
                <w:i w:val="0"/>
                <w:iCs w:val="0"/>
                <w:color w:val="000000"/>
                <w:kern w:val="0"/>
                <w:sz w:val="18"/>
                <w:szCs w:val="18"/>
                <w:u w:val="none"/>
                <w:lang w:val="en-US" w:eastAsia="zh-CN" w:bidi="ar"/>
              </w:rPr>
              <w:t>-N水质自动分析仪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HACH </w:t>
            </w:r>
            <w:r>
              <w:rPr>
                <w:rFonts w:hint="eastAsia" w:ascii="宋体" w:hAnsi="宋体" w:eastAsia="宋体" w:cs="宋体"/>
                <w:sz w:val="18"/>
                <w:szCs w:val="18"/>
                <w:vertAlign w:val="baseline"/>
                <w:lang w:val="en-US" w:eastAsia="zh-CN"/>
              </w:rPr>
              <w:t>Amtax</w:t>
            </w:r>
            <w:r>
              <w:rPr>
                <w:rFonts w:hint="eastAsia" w:ascii="宋体" w:hAnsi="宋体" w:eastAsia="宋体" w:cs="宋体"/>
                <w:i w:val="0"/>
                <w:iCs w:val="0"/>
                <w:color w:val="000000"/>
                <w:kern w:val="0"/>
                <w:sz w:val="18"/>
                <w:szCs w:val="18"/>
                <w:u w:val="none"/>
                <w:lang w:val="en-US" w:eastAsia="zh-CN" w:bidi="ar"/>
              </w:rPr>
              <w:t>NA8000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50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61"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HACH</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Inter2C</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TP水质自动分析仪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HACH PhosphaxSigma</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0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合计（含税：  %）</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pStyle w:val="14"/>
        <w:rPr>
          <w:highlight w:val="yellow"/>
        </w:rPr>
      </w:pPr>
    </w:p>
    <w:p>
      <w:pPr>
        <w:pStyle w:val="13"/>
        <w:snapToGrid w:val="0"/>
        <w:spacing w:line="600" w:lineRule="exact"/>
        <w:ind w:firstLine="0" w:firstLineChars="0"/>
        <w:rPr>
          <w:rFonts w:hint="eastAsia" w:ascii="仿宋_GB2312" w:hAnsi="宋体" w:eastAsia="仿宋_GB2312" w:cs="Times New Roman"/>
          <w:color w:val="auto"/>
          <w:sz w:val="30"/>
          <w:szCs w:val="30"/>
        </w:rPr>
      </w:pPr>
      <w:bookmarkStart w:id="131" w:name="_Toc16386"/>
      <w:bookmarkStart w:id="132" w:name="_Toc87616402"/>
      <w:bookmarkStart w:id="133" w:name="_Toc88209965"/>
      <w:bookmarkStart w:id="134" w:name="_Toc6058"/>
    </w:p>
    <w:p>
      <w:pPr>
        <w:pStyle w:val="13"/>
        <w:snapToGrid w:val="0"/>
        <w:spacing w:line="600" w:lineRule="exact"/>
        <w:ind w:firstLine="0" w:firstLineChars="0"/>
        <w:rPr>
          <w:rFonts w:hint="eastAsia" w:ascii="仿宋_GB2312" w:hAnsi="宋体" w:eastAsia="仿宋_GB2312" w:cs="Times New Roman"/>
          <w:color w:val="auto"/>
          <w:sz w:val="30"/>
          <w:szCs w:val="30"/>
        </w:rPr>
      </w:pPr>
    </w:p>
    <w:p>
      <w:pPr>
        <w:pStyle w:val="13"/>
        <w:snapToGrid w:val="0"/>
        <w:spacing w:line="600" w:lineRule="exact"/>
        <w:ind w:firstLine="0" w:firstLineChars="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pStyle w:val="6"/>
        <w:rPr>
          <w:rFonts w:hint="eastAsia" w:eastAsiaTheme="majorEastAsia"/>
        </w:rPr>
      </w:pPr>
      <w:r>
        <w:rPr>
          <w:rFonts w:hint="eastAsia" w:ascii="仿宋_GB2312" w:hAnsi="宋体" w:eastAsia="仿宋_GB2312"/>
          <w:sz w:val="30"/>
          <w:szCs w:val="30"/>
        </w:rPr>
        <w:t>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r>
        <w:rPr>
          <w:rFonts w:hint="eastAsia" w:eastAsiaTheme="majorEastAsia"/>
        </w:rPr>
        <w:br w:type="page"/>
      </w:r>
      <w:bookmarkEnd w:id="131"/>
      <w:bookmarkEnd w:id="132"/>
      <w:bookmarkEnd w:id="133"/>
      <w:bookmarkEnd w:id="134"/>
    </w:p>
    <w:p>
      <w:pPr>
        <w:pStyle w:val="6"/>
        <w:rPr>
          <w:rFonts w:hint="eastAsia"/>
          <w:sz w:val="28"/>
          <w:szCs w:val="28"/>
          <w:lang w:val="en-US" w:eastAsia="zh-CN"/>
        </w:rPr>
      </w:pPr>
      <w:r>
        <w:rPr>
          <w:rFonts w:hint="eastAsia" w:asciiTheme="minorEastAsia" w:hAnsiTheme="minorEastAsia" w:eastAsiaTheme="minorEastAsia"/>
          <w:sz w:val="28"/>
          <w:szCs w:val="28"/>
          <w:lang w:val="en-US" w:eastAsia="zh-CN"/>
        </w:rPr>
        <w:t>6</w:t>
      </w:r>
      <w:r>
        <w:rPr>
          <w:rFonts w:hint="eastAsia" w:asciiTheme="minorEastAsia" w:hAnsiTheme="minorEastAsia" w:eastAsiaTheme="minorEastAsia"/>
          <w:sz w:val="28"/>
          <w:szCs w:val="28"/>
        </w:rPr>
        <w:t>.</w:t>
      </w:r>
      <w:r>
        <w:rPr>
          <w:rFonts w:hint="eastAsia"/>
          <w:sz w:val="28"/>
          <w:szCs w:val="28"/>
          <w:lang w:val="en-US" w:eastAsia="zh-CN"/>
        </w:rPr>
        <w:t>承诺函</w:t>
      </w:r>
    </w:p>
    <w:p>
      <w:pPr>
        <w:rPr>
          <w:rFonts w:hint="default"/>
          <w:lang w:val="en-US" w:eastAsia="zh-CN"/>
        </w:rPr>
      </w:pPr>
    </w:p>
    <w:p>
      <w:pPr>
        <w:pStyle w:val="13"/>
        <w:rPr>
          <w:rFonts w:hint="default"/>
          <w:sz w:val="28"/>
          <w:szCs w:val="28"/>
          <w:lang w:val="en-US" w:eastAsia="zh-CN"/>
        </w:rPr>
      </w:pPr>
      <w:r>
        <w:rPr>
          <w:rFonts w:hint="default"/>
          <w:sz w:val="28"/>
          <w:szCs w:val="28"/>
          <w:lang w:val="en-US" w:eastAsia="zh-CN"/>
        </w:rPr>
        <w:t>广州市净水有限公司：</w:t>
      </w:r>
    </w:p>
    <w:p>
      <w:pPr>
        <w:pStyle w:val="13"/>
        <w:ind w:firstLine="560" w:firstLineChars="200"/>
        <w:rPr>
          <w:rFonts w:hint="default"/>
          <w:sz w:val="28"/>
          <w:szCs w:val="28"/>
          <w:lang w:val="en-US" w:eastAsia="zh-CN"/>
        </w:rPr>
      </w:pPr>
      <w:r>
        <w:rPr>
          <w:rFonts w:hint="default"/>
          <w:sz w:val="28"/>
          <w:szCs w:val="28"/>
          <w:lang w:val="en-US" w:eastAsia="zh-CN"/>
        </w:rPr>
        <w:t>我方承诺所提供</w:t>
      </w:r>
      <w:r>
        <w:rPr>
          <w:rFonts w:hint="eastAsia"/>
          <w:sz w:val="28"/>
          <w:szCs w:val="28"/>
          <w:lang w:val="en-US" w:eastAsia="zh-CN"/>
        </w:rPr>
        <w:t>货物</w:t>
      </w:r>
      <w:r>
        <w:rPr>
          <w:rFonts w:hint="default" w:ascii="宋体" w:eastAsia="宋体"/>
          <w:sz w:val="28"/>
          <w:szCs w:val="28"/>
          <w:u w:val="none"/>
        </w:rPr>
        <w:t>均为制造商全新原装产品，</w:t>
      </w:r>
      <w:r>
        <w:rPr>
          <w:rFonts w:hint="eastAsia"/>
          <w:sz w:val="28"/>
          <w:szCs w:val="28"/>
          <w:u w:val="none"/>
          <w:lang w:val="en-US" w:eastAsia="zh-CN"/>
        </w:rPr>
        <w:t>完全</w:t>
      </w:r>
      <w:r>
        <w:rPr>
          <w:rFonts w:hint="default" w:ascii="宋体" w:eastAsia="宋体"/>
          <w:sz w:val="28"/>
          <w:szCs w:val="28"/>
          <w:u w:val="none"/>
        </w:rPr>
        <w:t>符合本项目仪器设备</w:t>
      </w:r>
      <w:r>
        <w:rPr>
          <w:rFonts w:hint="eastAsia"/>
          <w:sz w:val="28"/>
          <w:szCs w:val="28"/>
          <w:u w:val="none"/>
          <w:lang w:val="en-US" w:eastAsia="zh-CN"/>
        </w:rPr>
        <w:t>所要求满足</w:t>
      </w:r>
      <w:r>
        <w:rPr>
          <w:rFonts w:hint="default" w:ascii="宋体" w:eastAsia="宋体"/>
          <w:sz w:val="28"/>
          <w:szCs w:val="28"/>
          <w:u w:val="none"/>
        </w:rPr>
        <w:t>的功能要求</w:t>
      </w:r>
      <w:r>
        <w:rPr>
          <w:rFonts w:hint="default" w:ascii="宋体" w:eastAsia="宋体"/>
          <w:sz w:val="28"/>
          <w:szCs w:val="28"/>
          <w:u w:val="none"/>
          <w:lang w:eastAsia="zh-CN"/>
        </w:rPr>
        <w:t>，</w:t>
      </w:r>
      <w:r>
        <w:rPr>
          <w:rFonts w:hint="default"/>
          <w:sz w:val="28"/>
          <w:szCs w:val="28"/>
          <w:lang w:val="en-US" w:eastAsia="zh-CN"/>
        </w:rPr>
        <w:t xml:space="preserve">且能适配原设备使用，货物在质保期(为自供货验收合格之日起1年内）如有质量问题或未能适配原有设备时，24小时内派技术人员到现场免费进行维修。       </w:t>
      </w:r>
    </w:p>
    <w:p>
      <w:pPr>
        <w:pStyle w:val="14"/>
        <w:rPr>
          <w:rFonts w:hint="eastAsia"/>
          <w:sz w:val="28"/>
          <w:szCs w:val="28"/>
          <w:lang w:val="en-US" w:eastAsia="zh-CN"/>
        </w:rPr>
      </w:pPr>
      <w:r>
        <w:rPr>
          <w:rFonts w:hint="eastAsia"/>
          <w:sz w:val="28"/>
          <w:szCs w:val="28"/>
          <w:lang w:val="en-US" w:eastAsia="zh-CN"/>
        </w:rPr>
        <w:t xml:space="preserve">                                       单位盖章：</w:t>
      </w:r>
    </w:p>
    <w:p>
      <w:pPr>
        <w:rPr>
          <w:rFonts w:hint="eastAsia"/>
          <w:sz w:val="28"/>
          <w:szCs w:val="28"/>
          <w:lang w:val="en-US" w:eastAsia="zh-CN"/>
        </w:rPr>
      </w:pPr>
      <w:r>
        <w:rPr>
          <w:rFonts w:hint="eastAsia"/>
          <w:sz w:val="28"/>
          <w:szCs w:val="28"/>
          <w:lang w:val="en-US" w:eastAsia="zh-CN"/>
        </w:rPr>
        <w:t xml:space="preserve">                                       日期：</w:t>
      </w:r>
    </w:p>
    <w:p>
      <w:pPr>
        <w:pStyle w:val="13"/>
        <w:rPr>
          <w:rFonts w:hint="eastAsia"/>
          <w:sz w:val="28"/>
          <w:szCs w:val="28"/>
          <w:lang w:val="en-US" w:eastAsia="zh-CN"/>
        </w:rPr>
      </w:pPr>
    </w:p>
    <w:p>
      <w:pPr>
        <w:pStyle w:val="14"/>
        <w:rPr>
          <w:rFonts w:hint="eastAsia"/>
          <w:sz w:val="28"/>
          <w:szCs w:val="28"/>
          <w:lang w:val="en-US" w:eastAsia="zh-CN"/>
        </w:rPr>
      </w:pPr>
    </w:p>
    <w:p>
      <w:pPr>
        <w:rPr>
          <w:rFonts w:hint="eastAsia"/>
          <w:sz w:val="28"/>
          <w:szCs w:val="28"/>
          <w:lang w:val="en-US" w:eastAsia="zh-CN"/>
        </w:rPr>
      </w:pPr>
    </w:p>
    <w:p>
      <w:pPr>
        <w:rPr>
          <w:rFonts w:hint="eastAsia"/>
          <w:sz w:val="28"/>
          <w:szCs w:val="28"/>
          <w:lang w:val="en-US" w:eastAsia="zh-CN"/>
        </w:rPr>
      </w:pPr>
      <w:r>
        <w:rPr>
          <w:rFonts w:hint="eastAsia"/>
          <w:sz w:val="28"/>
          <w:szCs w:val="28"/>
          <w:lang w:val="en-US" w:eastAsia="zh-CN"/>
        </w:rPr>
        <w:br w:type="page"/>
      </w:r>
    </w:p>
    <w:p>
      <w:pPr>
        <w:pStyle w:val="6"/>
        <w:rPr>
          <w:rFonts w:asciiTheme="majorEastAsia" w:hAnsiTheme="majorEastAsia" w:eastAsiaTheme="majorEastAsia"/>
          <w:sz w:val="28"/>
          <w:szCs w:val="28"/>
        </w:rPr>
      </w:pPr>
      <w:r>
        <w:rPr>
          <w:rFonts w:hint="eastAsia" w:eastAsiaTheme="majorEastAsia"/>
          <w:lang w:val="en-US" w:eastAsia="zh-CN"/>
        </w:rPr>
        <w:t>7</w:t>
      </w:r>
      <w:r>
        <w:rPr>
          <w:rFonts w:hint="eastAsia" w:asciiTheme="majorEastAsia" w:hAnsiTheme="majorEastAsia" w:eastAsiaTheme="majorEastAsia"/>
          <w:sz w:val="28"/>
          <w:szCs w:val="28"/>
        </w:rPr>
        <w:t>.其他资料</w:t>
      </w:r>
    </w:p>
    <w:p>
      <w:pPr>
        <w:adjustRightInd w:val="0"/>
        <w:snapToGrid w:val="0"/>
        <w:spacing w:line="600" w:lineRule="exact"/>
        <w:ind w:firstLine="570"/>
        <w:rPr>
          <w:rFonts w:hint="default"/>
          <w:lang w:val="en-US" w:eastAsia="zh-CN"/>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sectPr>
      <w:footerReference r:id="rId13" w:type="first"/>
      <w:headerReference r:id="rId11" w:type="default"/>
      <w:footerReference r:id="rId12" w:type="default"/>
      <w:pgSz w:w="11905" w:h="16838"/>
      <w:pgMar w:top="992" w:right="1247" w:bottom="850" w:left="1247" w:header="851" w:footer="992" w:gutter="0"/>
      <w:pgNumType w:fmt="decimal"/>
      <w:cols w:space="0" w:num="1"/>
      <w:rtlGutter w:val="0"/>
      <w:docGrid w:type="linesAndChars" w:linePitch="3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Vzw8IBAACO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Dlc8PCAQAAjgMAAA4AAAAAAAAAAQAgAAAAHgEAAGRycy9lMm9Eb2MueG1sUEsF&#10;BgAAAAAGAAYAWQEAAFI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right"/>
      <w:rPr>
        <w:b/>
        <w:bCs/>
        <w:i/>
        <w:iCs/>
        <w:sz w:val="21"/>
      </w:rPr>
    </w:pPr>
    <w:r>
      <w:rPr>
        <w:sz w:val="21"/>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rPr>
                        <w:rFonts w:hint="default"/>
                        <w:lang w:val="en-US"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rPr>
        <w:sz w:val="18"/>
      </w:rPr>
      <mc:AlternateContent>
        <mc:Choice Requires="wps">
          <w:drawing>
            <wp:anchor distT="0" distB="0" distL="114300" distR="114300" simplePos="0" relativeHeight="251679744" behindDoc="0" locked="0" layoutInCell="1" allowOverlap="1">
              <wp:simplePos x="0" y="0"/>
              <wp:positionH relativeFrom="margin">
                <wp:posOffset>2162175</wp:posOffset>
              </wp:positionH>
              <wp:positionV relativeFrom="paragraph">
                <wp:posOffset>0</wp:posOffset>
              </wp:positionV>
              <wp:extent cx="914400" cy="16256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914400" cy="1625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98923801"/>
                          </w:sdtPr>
                          <w:sdtContent>
                            <w:p>
                              <w:pPr>
                                <w:pStyle w:val="17"/>
                                <w:ind w:left="2250" w:hanging="1200"/>
                                <w:jc w:val="center"/>
                              </w:pPr>
                              <w:r>
                                <w:fldChar w:fldCharType="begin"/>
                              </w:r>
                              <w:r>
                                <w:instrText xml:space="preserve">PAGE   \* MERGEFORMAT</w:instrText>
                              </w:r>
                              <w:r>
                                <w:fldChar w:fldCharType="separate"/>
                              </w:r>
                              <w:r>
                                <w:rPr>
                                  <w:lang w:val="zh-CN"/>
                                </w:rPr>
                                <w:t>2</w:t>
                              </w:r>
                              <w:r>
                                <w:fldChar w:fldCharType="end"/>
                              </w:r>
                            </w:p>
                          </w:sdtContent>
                        </w:sdt>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70.25pt;margin-top:0pt;height:12.8pt;width:72pt;mso-position-horizontal-relative:margin;z-index:251679744;mso-width-relative:page;mso-height-relative:page;" filled="f" stroked="f" coordsize="21600,21600" o:gfxdata="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u1XdzWAAAABwEAAA8AAAAAAAAAAQAgAAAAIgAAAGRycy9kb3ducmV2&#10;LnhtbFBLAQIUABQAAAAIAIdO4kBtJShONwIAAGMEAAAOAAAAAAAAAAEAIAAAACUBAABkcnMvZTJv&#10;RG9jLnhtbFBLBQYAAAAABgAGAFkBAADOBQAAAAA=&#10;">
              <v:fill on="f" focussize="0,0"/>
              <v:stroke on="f" weight="0.5pt"/>
              <v:imagedata o:title=""/>
              <o:lock v:ext="edit" aspectratio="f"/>
              <v:textbox inset="0mm,0mm,0mm,0mm">
                <w:txbxContent>
                  <w:sdt>
                    <w:sdtPr>
                      <w:id w:val="-298923801"/>
                    </w:sdtPr>
                    <w:sdtContent>
                      <w:p>
                        <w:pPr>
                          <w:pStyle w:val="17"/>
                          <w:ind w:left="2250" w:hanging="1200"/>
                          <w:jc w:val="center"/>
                        </w:pPr>
                        <w:r>
                          <w:fldChar w:fldCharType="begin"/>
                        </w:r>
                        <w:r>
                          <w:instrText xml:space="preserve">PAGE   \* MERGEFORMAT</w:instrText>
                        </w:r>
                        <w:r>
                          <w:fldChar w:fldCharType="separate"/>
                        </w:r>
                        <w:r>
                          <w:rPr>
                            <w:lang w:val="zh-CN"/>
                          </w:rPr>
                          <w:t>2</w:t>
                        </w:r>
                        <w:r>
                          <w:fldChar w:fldCharType="end"/>
                        </w:r>
                      </w:p>
                    </w:sdtContent>
                  </w:sdt>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7"/>
      </w:rPr>
    </w:pPr>
    <w:r>
      <w:fldChar w:fldCharType="begin"/>
    </w:r>
    <w:r>
      <w:rPr>
        <w:rStyle w:val="27"/>
      </w:rPr>
      <w:instrText xml:space="preserve">PAGE  </w:instrText>
    </w:r>
    <w:r>
      <w:fldChar w:fldCharType="separate"/>
    </w:r>
    <w:r>
      <w:rPr>
        <w:rStyle w:val="27"/>
      </w:rPr>
      <w:t>24</w:t>
    </w:r>
    <w:r>
      <w:fldChar w:fldCharType="end"/>
    </w:r>
  </w:p>
  <w:p>
    <w:pPr>
      <w:pStyle w:val="1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LoMIBAACO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JyDQjvDgkLl34y6gg1FcMxFUbTSuU9+PNesp5+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P+C6DCAQAAjgMAAA4AAAAAAAAAAQAgAAAAHgEAAGRycy9lMm9Eb2MueG1sUEsF&#10;BgAAAAAGAAYAWQEAAFI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ITDMIBAACO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m5BoTbY8LCpZ+MOkJNxXBMhdG0UnkP/ryXrM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pSEwzCAQAAjgMAAA4AAAAAAAAAAQAgAAAAHgEAAGRycy9lMm9Eb2MueG1sUEsF&#10;BgAAAAAGAAYAWQEAAFI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1FFdHCAQAAjgMAAA4AAAAAAAAAAQAgAAAAHgEAAGRycy9lMm9Eb2MueG1sUEsF&#10;BgAAAAAGAAYAWQEAAFI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86B6C30"/>
    <w:multiLevelType w:val="singleLevel"/>
    <w:tmpl w:val="F86B6C30"/>
    <w:lvl w:ilvl="0" w:tentative="0">
      <w:start w:val="6"/>
      <w:numFmt w:val="chineseCounting"/>
      <w:suff w:val="space"/>
      <w:lvlText w:val="第%1条"/>
      <w:lvlJc w:val="left"/>
      <w:rPr>
        <w:rFonts w:hint="eastAsia"/>
      </w:rPr>
    </w:lvl>
  </w:abstractNum>
  <w:abstractNum w:abstractNumId="3">
    <w:nsid w:val="1F4C2C04"/>
    <w:multiLevelType w:val="singleLevel"/>
    <w:tmpl w:val="1F4C2C04"/>
    <w:lvl w:ilvl="0" w:tentative="0">
      <w:start w:val="1"/>
      <w:numFmt w:val="chineseCounting"/>
      <w:suff w:val="nothing"/>
      <w:lvlText w:val="（%1）"/>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5D076128"/>
    <w:multiLevelType w:val="singleLevel"/>
    <w:tmpl w:val="5D076128"/>
    <w:lvl w:ilvl="0" w:tentative="0">
      <w:start w:val="2"/>
      <w:numFmt w:val="decimal"/>
      <w:lvlText w:val="%1."/>
      <w:lvlJc w:val="left"/>
      <w:pPr>
        <w:tabs>
          <w:tab w:val="left" w:pos="312"/>
        </w:tabs>
      </w:pPr>
    </w:lvl>
  </w:abstractNum>
  <w:abstractNum w:abstractNumId="6">
    <w:nsid w:val="705D32C3"/>
    <w:multiLevelType w:val="singleLevel"/>
    <w:tmpl w:val="705D32C3"/>
    <w:lvl w:ilvl="0" w:tentative="0">
      <w:start w:val="5"/>
      <w:numFmt w:val="decimal"/>
      <w:lvlText w:val="%1."/>
      <w:lvlJc w:val="left"/>
      <w:pPr>
        <w:tabs>
          <w:tab w:val="left" w:pos="312"/>
        </w:tabs>
      </w:pPr>
    </w:lvl>
  </w:abstractNum>
  <w:abstractNum w:abstractNumId="7">
    <w:nsid w:val="7C7285F4"/>
    <w:multiLevelType w:val="singleLevel"/>
    <w:tmpl w:val="7C7285F4"/>
    <w:lvl w:ilvl="0" w:tentative="0">
      <w:start w:val="5"/>
      <w:numFmt w:val="decimal"/>
      <w:lvlText w:val="%1."/>
      <w:lvlJc w:val="left"/>
      <w:pPr>
        <w:tabs>
          <w:tab w:val="left" w:pos="312"/>
        </w:tabs>
      </w:pPr>
    </w:lvl>
  </w:abstractNum>
  <w:num w:numId="1">
    <w:abstractNumId w:val="1"/>
  </w:num>
  <w:num w:numId="2">
    <w:abstractNumId w:val="6"/>
  </w:num>
  <w:num w:numId="3">
    <w:abstractNumId w:val="4"/>
  </w:num>
  <w:num w:numId="4">
    <w:abstractNumId w:val="0"/>
  </w:num>
  <w:num w:numId="5">
    <w:abstractNumId w:val="3"/>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1"/>
  <w:bordersDoNotSurroundFooter w:val="1"/>
  <w:revisionView w:markup="0"/>
  <w:trackRevisions w:val="1"/>
  <w:documentProtection w:enforcement="0"/>
  <w:defaultTabStop w:val="420"/>
  <w:drawingGridHorizontalSpacing w:val="210"/>
  <w:drawingGridVerticalSpacing w:val="19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104FD1"/>
    <w:rsid w:val="001E4F9A"/>
    <w:rsid w:val="00223D8B"/>
    <w:rsid w:val="003A1B69"/>
    <w:rsid w:val="003D60BA"/>
    <w:rsid w:val="003E6DBF"/>
    <w:rsid w:val="00405806"/>
    <w:rsid w:val="00411689"/>
    <w:rsid w:val="00433300"/>
    <w:rsid w:val="00544F84"/>
    <w:rsid w:val="00573F1D"/>
    <w:rsid w:val="005D618A"/>
    <w:rsid w:val="007D0722"/>
    <w:rsid w:val="007F3DEB"/>
    <w:rsid w:val="00835638"/>
    <w:rsid w:val="00911ECD"/>
    <w:rsid w:val="00A042E0"/>
    <w:rsid w:val="00A34EF2"/>
    <w:rsid w:val="00A6283C"/>
    <w:rsid w:val="00A847E6"/>
    <w:rsid w:val="00B26BB1"/>
    <w:rsid w:val="00B26E21"/>
    <w:rsid w:val="00B86A08"/>
    <w:rsid w:val="00C96D53"/>
    <w:rsid w:val="00ED223C"/>
    <w:rsid w:val="00F718F4"/>
    <w:rsid w:val="00F83B64"/>
    <w:rsid w:val="013E3461"/>
    <w:rsid w:val="01BB0F13"/>
    <w:rsid w:val="02090C75"/>
    <w:rsid w:val="02A23A3C"/>
    <w:rsid w:val="0330607B"/>
    <w:rsid w:val="033C4E86"/>
    <w:rsid w:val="035D130A"/>
    <w:rsid w:val="039110A9"/>
    <w:rsid w:val="03AC246A"/>
    <w:rsid w:val="03AE6061"/>
    <w:rsid w:val="03B23056"/>
    <w:rsid w:val="03C74997"/>
    <w:rsid w:val="03DA023E"/>
    <w:rsid w:val="03DC3EBA"/>
    <w:rsid w:val="03F23AEC"/>
    <w:rsid w:val="03F9794D"/>
    <w:rsid w:val="046A2461"/>
    <w:rsid w:val="04C84D5A"/>
    <w:rsid w:val="04DB07C5"/>
    <w:rsid w:val="051C2970"/>
    <w:rsid w:val="060C3611"/>
    <w:rsid w:val="061E26D1"/>
    <w:rsid w:val="062245B6"/>
    <w:rsid w:val="06841CB2"/>
    <w:rsid w:val="06C64829"/>
    <w:rsid w:val="070E7B6E"/>
    <w:rsid w:val="071D62B7"/>
    <w:rsid w:val="077D16D2"/>
    <w:rsid w:val="07A87EEB"/>
    <w:rsid w:val="07B36210"/>
    <w:rsid w:val="07FB307F"/>
    <w:rsid w:val="080E004F"/>
    <w:rsid w:val="08297817"/>
    <w:rsid w:val="082A69F3"/>
    <w:rsid w:val="0844336A"/>
    <w:rsid w:val="084C0861"/>
    <w:rsid w:val="08675FC8"/>
    <w:rsid w:val="08890BBE"/>
    <w:rsid w:val="08D77705"/>
    <w:rsid w:val="09B713FD"/>
    <w:rsid w:val="09EF6ACC"/>
    <w:rsid w:val="0A315056"/>
    <w:rsid w:val="0A472774"/>
    <w:rsid w:val="0AA213B4"/>
    <w:rsid w:val="0AF61C7E"/>
    <w:rsid w:val="0AFB45AD"/>
    <w:rsid w:val="0B351E9B"/>
    <w:rsid w:val="0B4C50D3"/>
    <w:rsid w:val="0B806B92"/>
    <w:rsid w:val="0B827E94"/>
    <w:rsid w:val="0B842F76"/>
    <w:rsid w:val="0BD070E1"/>
    <w:rsid w:val="0C2361E7"/>
    <w:rsid w:val="0C247926"/>
    <w:rsid w:val="0D316035"/>
    <w:rsid w:val="0D794204"/>
    <w:rsid w:val="0D823873"/>
    <w:rsid w:val="0E2125D1"/>
    <w:rsid w:val="0E214211"/>
    <w:rsid w:val="0E224DEE"/>
    <w:rsid w:val="0E25643A"/>
    <w:rsid w:val="0E5F2769"/>
    <w:rsid w:val="0F2F7FB6"/>
    <w:rsid w:val="0F4D75A3"/>
    <w:rsid w:val="0F5B2DCA"/>
    <w:rsid w:val="0FED051E"/>
    <w:rsid w:val="0FEE4C29"/>
    <w:rsid w:val="0FFA113E"/>
    <w:rsid w:val="10031608"/>
    <w:rsid w:val="10046082"/>
    <w:rsid w:val="104974DD"/>
    <w:rsid w:val="10505DA1"/>
    <w:rsid w:val="1089211E"/>
    <w:rsid w:val="10E73A13"/>
    <w:rsid w:val="111703D2"/>
    <w:rsid w:val="112B101A"/>
    <w:rsid w:val="119B53FC"/>
    <w:rsid w:val="1215733B"/>
    <w:rsid w:val="12424CDC"/>
    <w:rsid w:val="129A2738"/>
    <w:rsid w:val="12B56BF1"/>
    <w:rsid w:val="12CB1A89"/>
    <w:rsid w:val="12E27315"/>
    <w:rsid w:val="131840FB"/>
    <w:rsid w:val="13467417"/>
    <w:rsid w:val="136E76CF"/>
    <w:rsid w:val="137C5059"/>
    <w:rsid w:val="145F08C6"/>
    <w:rsid w:val="14E43F59"/>
    <w:rsid w:val="15776308"/>
    <w:rsid w:val="15BC6B3C"/>
    <w:rsid w:val="15D45778"/>
    <w:rsid w:val="16360A7B"/>
    <w:rsid w:val="164D40B0"/>
    <w:rsid w:val="1694429A"/>
    <w:rsid w:val="173D36CF"/>
    <w:rsid w:val="17635326"/>
    <w:rsid w:val="17B772AD"/>
    <w:rsid w:val="17B803EA"/>
    <w:rsid w:val="17D723A5"/>
    <w:rsid w:val="17FC5D69"/>
    <w:rsid w:val="1815096B"/>
    <w:rsid w:val="18236EFD"/>
    <w:rsid w:val="18842C1C"/>
    <w:rsid w:val="189D5B1F"/>
    <w:rsid w:val="18A34CD0"/>
    <w:rsid w:val="18D706FE"/>
    <w:rsid w:val="19A53EA8"/>
    <w:rsid w:val="19B64DBC"/>
    <w:rsid w:val="19EC6A4A"/>
    <w:rsid w:val="1A2B4947"/>
    <w:rsid w:val="1A373ACF"/>
    <w:rsid w:val="1A7B10BA"/>
    <w:rsid w:val="1A895341"/>
    <w:rsid w:val="1A9D5038"/>
    <w:rsid w:val="1ACC1989"/>
    <w:rsid w:val="1AEA1E22"/>
    <w:rsid w:val="1AEA517A"/>
    <w:rsid w:val="1B0D071F"/>
    <w:rsid w:val="1B4568CE"/>
    <w:rsid w:val="1B9015B7"/>
    <w:rsid w:val="1B950DA6"/>
    <w:rsid w:val="1BF54245"/>
    <w:rsid w:val="1CAF797B"/>
    <w:rsid w:val="1D0E6976"/>
    <w:rsid w:val="1D1B1DDC"/>
    <w:rsid w:val="1D5A79EE"/>
    <w:rsid w:val="1E0E2CD0"/>
    <w:rsid w:val="1E831280"/>
    <w:rsid w:val="1EBC4704"/>
    <w:rsid w:val="1F172EB5"/>
    <w:rsid w:val="1F94592D"/>
    <w:rsid w:val="1FB860DE"/>
    <w:rsid w:val="203C5A02"/>
    <w:rsid w:val="209D4C94"/>
    <w:rsid w:val="20B44FCD"/>
    <w:rsid w:val="20E84705"/>
    <w:rsid w:val="20EF2751"/>
    <w:rsid w:val="218400BA"/>
    <w:rsid w:val="21AB1E2F"/>
    <w:rsid w:val="21D40498"/>
    <w:rsid w:val="22767047"/>
    <w:rsid w:val="22B5090A"/>
    <w:rsid w:val="23A05588"/>
    <w:rsid w:val="240476A1"/>
    <w:rsid w:val="24266E50"/>
    <w:rsid w:val="243B4281"/>
    <w:rsid w:val="247F007E"/>
    <w:rsid w:val="25431AEB"/>
    <w:rsid w:val="25BE3BFB"/>
    <w:rsid w:val="25BF43FD"/>
    <w:rsid w:val="25F86BCD"/>
    <w:rsid w:val="2605748B"/>
    <w:rsid w:val="26396D26"/>
    <w:rsid w:val="264544A6"/>
    <w:rsid w:val="26493454"/>
    <w:rsid w:val="265947AF"/>
    <w:rsid w:val="267702FB"/>
    <w:rsid w:val="269E416A"/>
    <w:rsid w:val="26A8391B"/>
    <w:rsid w:val="26C11C6B"/>
    <w:rsid w:val="272100D3"/>
    <w:rsid w:val="272C72FC"/>
    <w:rsid w:val="275131CB"/>
    <w:rsid w:val="278F6521"/>
    <w:rsid w:val="27EB149D"/>
    <w:rsid w:val="27FD3E52"/>
    <w:rsid w:val="28E11370"/>
    <w:rsid w:val="291E5E43"/>
    <w:rsid w:val="294A756A"/>
    <w:rsid w:val="296C6C52"/>
    <w:rsid w:val="29781BF8"/>
    <w:rsid w:val="29C33ED0"/>
    <w:rsid w:val="29D5322D"/>
    <w:rsid w:val="2A025DD9"/>
    <w:rsid w:val="2A2619CB"/>
    <w:rsid w:val="2A7C2231"/>
    <w:rsid w:val="2A7C7BF7"/>
    <w:rsid w:val="2A920E4F"/>
    <w:rsid w:val="2ABB753D"/>
    <w:rsid w:val="2AD4582D"/>
    <w:rsid w:val="2AFE6EC4"/>
    <w:rsid w:val="2B7A49FA"/>
    <w:rsid w:val="2C615D26"/>
    <w:rsid w:val="2C710238"/>
    <w:rsid w:val="2CB679ED"/>
    <w:rsid w:val="2D173C07"/>
    <w:rsid w:val="2D424A86"/>
    <w:rsid w:val="2D4E7308"/>
    <w:rsid w:val="2DDA66B7"/>
    <w:rsid w:val="2E6F2D11"/>
    <w:rsid w:val="2E7B52DB"/>
    <w:rsid w:val="2EA868BA"/>
    <w:rsid w:val="2ED60115"/>
    <w:rsid w:val="2F324CFE"/>
    <w:rsid w:val="2F9F6FB4"/>
    <w:rsid w:val="2FBA09F1"/>
    <w:rsid w:val="2FD03D4E"/>
    <w:rsid w:val="2FEF2ACF"/>
    <w:rsid w:val="2FF93D20"/>
    <w:rsid w:val="30540211"/>
    <w:rsid w:val="30AA7BE8"/>
    <w:rsid w:val="30E45100"/>
    <w:rsid w:val="31112A0D"/>
    <w:rsid w:val="311F4B20"/>
    <w:rsid w:val="312D7741"/>
    <w:rsid w:val="3135087A"/>
    <w:rsid w:val="3145545B"/>
    <w:rsid w:val="314D56E0"/>
    <w:rsid w:val="316F137F"/>
    <w:rsid w:val="3194402A"/>
    <w:rsid w:val="31D87BB7"/>
    <w:rsid w:val="31DF525F"/>
    <w:rsid w:val="31EC162B"/>
    <w:rsid w:val="32324C2E"/>
    <w:rsid w:val="327171DF"/>
    <w:rsid w:val="32BF7623"/>
    <w:rsid w:val="32E36FFE"/>
    <w:rsid w:val="32E6557D"/>
    <w:rsid w:val="330C3F1B"/>
    <w:rsid w:val="33783661"/>
    <w:rsid w:val="33891D86"/>
    <w:rsid w:val="3391569E"/>
    <w:rsid w:val="341E3434"/>
    <w:rsid w:val="34BB4442"/>
    <w:rsid w:val="3584136B"/>
    <w:rsid w:val="359A3DB9"/>
    <w:rsid w:val="35FF5AA4"/>
    <w:rsid w:val="360B7EBA"/>
    <w:rsid w:val="363B58ED"/>
    <w:rsid w:val="36416867"/>
    <w:rsid w:val="3661235E"/>
    <w:rsid w:val="367D5DD4"/>
    <w:rsid w:val="369C32FD"/>
    <w:rsid w:val="36C9002A"/>
    <w:rsid w:val="3753307E"/>
    <w:rsid w:val="37666E72"/>
    <w:rsid w:val="37A8271E"/>
    <w:rsid w:val="37F618D7"/>
    <w:rsid w:val="38081EA3"/>
    <w:rsid w:val="38167A04"/>
    <w:rsid w:val="381C3783"/>
    <w:rsid w:val="394B167A"/>
    <w:rsid w:val="39DA2868"/>
    <w:rsid w:val="3A055F4B"/>
    <w:rsid w:val="3A4E4336"/>
    <w:rsid w:val="3A6007FE"/>
    <w:rsid w:val="3A802587"/>
    <w:rsid w:val="3A852164"/>
    <w:rsid w:val="3AE62C0A"/>
    <w:rsid w:val="3AF93D6C"/>
    <w:rsid w:val="3AFD06C8"/>
    <w:rsid w:val="3B7C2CE4"/>
    <w:rsid w:val="3BAF716B"/>
    <w:rsid w:val="3C0B5355"/>
    <w:rsid w:val="3CD4176B"/>
    <w:rsid w:val="3CDB3902"/>
    <w:rsid w:val="3D1F44D9"/>
    <w:rsid w:val="3D5C38CD"/>
    <w:rsid w:val="3D7718F5"/>
    <w:rsid w:val="3D7F382F"/>
    <w:rsid w:val="3D9D377E"/>
    <w:rsid w:val="3DAD13DF"/>
    <w:rsid w:val="3DBC6F81"/>
    <w:rsid w:val="3E5070F1"/>
    <w:rsid w:val="3EC370CB"/>
    <w:rsid w:val="3F1C6B81"/>
    <w:rsid w:val="3F6C3589"/>
    <w:rsid w:val="3F850180"/>
    <w:rsid w:val="3F9004D6"/>
    <w:rsid w:val="3FEE7CFA"/>
    <w:rsid w:val="400E4D5E"/>
    <w:rsid w:val="402D2704"/>
    <w:rsid w:val="40582A51"/>
    <w:rsid w:val="40AC3B85"/>
    <w:rsid w:val="40E1138C"/>
    <w:rsid w:val="413814BA"/>
    <w:rsid w:val="41611041"/>
    <w:rsid w:val="417C3D4D"/>
    <w:rsid w:val="41872511"/>
    <w:rsid w:val="41DF1251"/>
    <w:rsid w:val="424236D9"/>
    <w:rsid w:val="42466655"/>
    <w:rsid w:val="42B368FF"/>
    <w:rsid w:val="42C341BE"/>
    <w:rsid w:val="42C82F57"/>
    <w:rsid w:val="435707E5"/>
    <w:rsid w:val="43C76AF7"/>
    <w:rsid w:val="43E97E4A"/>
    <w:rsid w:val="446828F0"/>
    <w:rsid w:val="45093E85"/>
    <w:rsid w:val="45C13B4D"/>
    <w:rsid w:val="45E54D04"/>
    <w:rsid w:val="46054BCA"/>
    <w:rsid w:val="464C6AFC"/>
    <w:rsid w:val="468B0091"/>
    <w:rsid w:val="46A107C3"/>
    <w:rsid w:val="46B15CE2"/>
    <w:rsid w:val="46BE113D"/>
    <w:rsid w:val="46E44B13"/>
    <w:rsid w:val="4703508A"/>
    <w:rsid w:val="475023F8"/>
    <w:rsid w:val="479D361E"/>
    <w:rsid w:val="47B74789"/>
    <w:rsid w:val="47EF5EA0"/>
    <w:rsid w:val="48032A55"/>
    <w:rsid w:val="480F2B9D"/>
    <w:rsid w:val="48102176"/>
    <w:rsid w:val="48282920"/>
    <w:rsid w:val="483E1347"/>
    <w:rsid w:val="485321E0"/>
    <w:rsid w:val="48546AD3"/>
    <w:rsid w:val="48CA4868"/>
    <w:rsid w:val="48F005D3"/>
    <w:rsid w:val="49547ADD"/>
    <w:rsid w:val="49732351"/>
    <w:rsid w:val="498F4AF1"/>
    <w:rsid w:val="49C05787"/>
    <w:rsid w:val="49CF518D"/>
    <w:rsid w:val="4A036AED"/>
    <w:rsid w:val="4A7F3979"/>
    <w:rsid w:val="4ADA1F63"/>
    <w:rsid w:val="4AE23D89"/>
    <w:rsid w:val="4AF869F0"/>
    <w:rsid w:val="4B2038D0"/>
    <w:rsid w:val="4B296E7D"/>
    <w:rsid w:val="4B79394E"/>
    <w:rsid w:val="4B877F28"/>
    <w:rsid w:val="4D916BA6"/>
    <w:rsid w:val="4DC44169"/>
    <w:rsid w:val="4DE24E21"/>
    <w:rsid w:val="4E1B19A3"/>
    <w:rsid w:val="4E48787F"/>
    <w:rsid w:val="4E58259B"/>
    <w:rsid w:val="4E803E33"/>
    <w:rsid w:val="4E936E55"/>
    <w:rsid w:val="4EF0709E"/>
    <w:rsid w:val="4EF3571C"/>
    <w:rsid w:val="4EF636D2"/>
    <w:rsid w:val="4F0469A4"/>
    <w:rsid w:val="4FC03778"/>
    <w:rsid w:val="4FD62928"/>
    <w:rsid w:val="500E56F4"/>
    <w:rsid w:val="50540C73"/>
    <w:rsid w:val="50752AF8"/>
    <w:rsid w:val="513C6A7B"/>
    <w:rsid w:val="52392DF3"/>
    <w:rsid w:val="52EC6EC2"/>
    <w:rsid w:val="532D486F"/>
    <w:rsid w:val="5333545B"/>
    <w:rsid w:val="538D0E89"/>
    <w:rsid w:val="54137195"/>
    <w:rsid w:val="5423261A"/>
    <w:rsid w:val="544F5FA1"/>
    <w:rsid w:val="5450213C"/>
    <w:rsid w:val="545A25C3"/>
    <w:rsid w:val="54D24048"/>
    <w:rsid w:val="54D64CD5"/>
    <w:rsid w:val="54DD739E"/>
    <w:rsid w:val="5532287C"/>
    <w:rsid w:val="55887D69"/>
    <w:rsid w:val="55A51794"/>
    <w:rsid w:val="561A0928"/>
    <w:rsid w:val="56406B1C"/>
    <w:rsid w:val="56423872"/>
    <w:rsid w:val="569E06BC"/>
    <w:rsid w:val="56B279F0"/>
    <w:rsid w:val="56F20F86"/>
    <w:rsid w:val="579D710E"/>
    <w:rsid w:val="581F22F6"/>
    <w:rsid w:val="5866714C"/>
    <w:rsid w:val="586E1E17"/>
    <w:rsid w:val="58862C35"/>
    <w:rsid w:val="58C14957"/>
    <w:rsid w:val="58CC23D2"/>
    <w:rsid w:val="58E66050"/>
    <w:rsid w:val="591C5307"/>
    <w:rsid w:val="59465979"/>
    <w:rsid w:val="594823BC"/>
    <w:rsid w:val="59922DDA"/>
    <w:rsid w:val="59BE453B"/>
    <w:rsid w:val="59FC7994"/>
    <w:rsid w:val="5A3E7D97"/>
    <w:rsid w:val="5AA601F5"/>
    <w:rsid w:val="5AC228FF"/>
    <w:rsid w:val="5AE83A50"/>
    <w:rsid w:val="5B353193"/>
    <w:rsid w:val="5BAB2917"/>
    <w:rsid w:val="5BFC33FA"/>
    <w:rsid w:val="5C3107A4"/>
    <w:rsid w:val="5C3B1B93"/>
    <w:rsid w:val="5C7900AB"/>
    <w:rsid w:val="5C9220DF"/>
    <w:rsid w:val="5D471F14"/>
    <w:rsid w:val="5D4A15F3"/>
    <w:rsid w:val="5D69542A"/>
    <w:rsid w:val="5D783B72"/>
    <w:rsid w:val="5E0930EF"/>
    <w:rsid w:val="5E3D4D53"/>
    <w:rsid w:val="5E4717E6"/>
    <w:rsid w:val="5E55774C"/>
    <w:rsid w:val="5E8A70FF"/>
    <w:rsid w:val="5EBD40B1"/>
    <w:rsid w:val="5EE66E12"/>
    <w:rsid w:val="60045F96"/>
    <w:rsid w:val="60104DDC"/>
    <w:rsid w:val="60394A5E"/>
    <w:rsid w:val="605C0804"/>
    <w:rsid w:val="60913E6F"/>
    <w:rsid w:val="609B4926"/>
    <w:rsid w:val="60D543F6"/>
    <w:rsid w:val="61733C3E"/>
    <w:rsid w:val="6189617B"/>
    <w:rsid w:val="61B52BB6"/>
    <w:rsid w:val="61B749C2"/>
    <w:rsid w:val="62280D20"/>
    <w:rsid w:val="62CA2457"/>
    <w:rsid w:val="638240A1"/>
    <w:rsid w:val="63833423"/>
    <w:rsid w:val="63A5257B"/>
    <w:rsid w:val="63BD3DCC"/>
    <w:rsid w:val="63C61741"/>
    <w:rsid w:val="64560967"/>
    <w:rsid w:val="64806000"/>
    <w:rsid w:val="64BA2CF7"/>
    <w:rsid w:val="64BD31DE"/>
    <w:rsid w:val="64F53BD1"/>
    <w:rsid w:val="656B1D10"/>
    <w:rsid w:val="65764C68"/>
    <w:rsid w:val="657F7A46"/>
    <w:rsid w:val="65B841F9"/>
    <w:rsid w:val="66022B28"/>
    <w:rsid w:val="664A38E2"/>
    <w:rsid w:val="66581E87"/>
    <w:rsid w:val="66FA11D5"/>
    <w:rsid w:val="67202C88"/>
    <w:rsid w:val="6742357D"/>
    <w:rsid w:val="674302C7"/>
    <w:rsid w:val="67CB09D8"/>
    <w:rsid w:val="67EE3B0F"/>
    <w:rsid w:val="680A5986"/>
    <w:rsid w:val="680D5F4B"/>
    <w:rsid w:val="68113F51"/>
    <w:rsid w:val="688202D9"/>
    <w:rsid w:val="68E94770"/>
    <w:rsid w:val="68F949C9"/>
    <w:rsid w:val="695A4290"/>
    <w:rsid w:val="6A334932"/>
    <w:rsid w:val="6A3353FF"/>
    <w:rsid w:val="6A5D63E6"/>
    <w:rsid w:val="6A5F24D1"/>
    <w:rsid w:val="6ACA70C4"/>
    <w:rsid w:val="6AE347EB"/>
    <w:rsid w:val="6B0F1ACC"/>
    <w:rsid w:val="6B330365"/>
    <w:rsid w:val="6B434AF0"/>
    <w:rsid w:val="6B57675A"/>
    <w:rsid w:val="6B6A62F9"/>
    <w:rsid w:val="6B87098A"/>
    <w:rsid w:val="6BDD7B4D"/>
    <w:rsid w:val="6C0E320C"/>
    <w:rsid w:val="6D2F1D94"/>
    <w:rsid w:val="6D515A20"/>
    <w:rsid w:val="6DAE29A8"/>
    <w:rsid w:val="6E072901"/>
    <w:rsid w:val="6E6B7334"/>
    <w:rsid w:val="6E8F5AB9"/>
    <w:rsid w:val="6EA42846"/>
    <w:rsid w:val="6EA96D0B"/>
    <w:rsid w:val="6EBC0B3A"/>
    <w:rsid w:val="6EF51C7D"/>
    <w:rsid w:val="6F135BB4"/>
    <w:rsid w:val="6F8363E5"/>
    <w:rsid w:val="6F841DCF"/>
    <w:rsid w:val="6FA80CCD"/>
    <w:rsid w:val="6FAC3CC5"/>
    <w:rsid w:val="6FC746F5"/>
    <w:rsid w:val="70317AC6"/>
    <w:rsid w:val="704B26F7"/>
    <w:rsid w:val="70697B21"/>
    <w:rsid w:val="70863262"/>
    <w:rsid w:val="70A76ED3"/>
    <w:rsid w:val="70DD7BE1"/>
    <w:rsid w:val="71860B17"/>
    <w:rsid w:val="723B27CC"/>
    <w:rsid w:val="72687227"/>
    <w:rsid w:val="72A03FD9"/>
    <w:rsid w:val="73406CFF"/>
    <w:rsid w:val="7383028C"/>
    <w:rsid w:val="73A25E44"/>
    <w:rsid w:val="741F68CF"/>
    <w:rsid w:val="75252DF3"/>
    <w:rsid w:val="75621536"/>
    <w:rsid w:val="758D5CD1"/>
    <w:rsid w:val="759F1D6E"/>
    <w:rsid w:val="75BF3154"/>
    <w:rsid w:val="764A07CF"/>
    <w:rsid w:val="764F6B3D"/>
    <w:rsid w:val="76C62E5B"/>
    <w:rsid w:val="76CD2B7B"/>
    <w:rsid w:val="76D80645"/>
    <w:rsid w:val="76DA32A9"/>
    <w:rsid w:val="76E03371"/>
    <w:rsid w:val="771211AA"/>
    <w:rsid w:val="7742478C"/>
    <w:rsid w:val="77DE61FE"/>
    <w:rsid w:val="780E5898"/>
    <w:rsid w:val="782642CC"/>
    <w:rsid w:val="785D5F3F"/>
    <w:rsid w:val="78757BDE"/>
    <w:rsid w:val="7894095E"/>
    <w:rsid w:val="78964555"/>
    <w:rsid w:val="78C141BD"/>
    <w:rsid w:val="78CF4963"/>
    <w:rsid w:val="79000679"/>
    <w:rsid w:val="791C0FE5"/>
    <w:rsid w:val="79611F28"/>
    <w:rsid w:val="796C2326"/>
    <w:rsid w:val="798D770D"/>
    <w:rsid w:val="79A416F0"/>
    <w:rsid w:val="79B03EB6"/>
    <w:rsid w:val="79B61437"/>
    <w:rsid w:val="7ACA3541"/>
    <w:rsid w:val="7ACD6792"/>
    <w:rsid w:val="7AE15A5C"/>
    <w:rsid w:val="7AF37579"/>
    <w:rsid w:val="7AF87F64"/>
    <w:rsid w:val="7B1C0C84"/>
    <w:rsid w:val="7B5A62DF"/>
    <w:rsid w:val="7B7A04A8"/>
    <w:rsid w:val="7C0C3F6D"/>
    <w:rsid w:val="7C22163C"/>
    <w:rsid w:val="7C457B4B"/>
    <w:rsid w:val="7C595075"/>
    <w:rsid w:val="7C6B07B2"/>
    <w:rsid w:val="7D133243"/>
    <w:rsid w:val="7D945420"/>
    <w:rsid w:val="7E394207"/>
    <w:rsid w:val="7E4007A2"/>
    <w:rsid w:val="7E430907"/>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2"/>
    <w:unhideWhenUsed/>
    <w:qFormat/>
    <w:uiPriority w:val="99"/>
    <w:pPr>
      <w:spacing w:after="120"/>
    </w:pPr>
    <w:rPr>
      <w:sz w:val="16"/>
      <w:szCs w:val="16"/>
    </w:rPr>
  </w:style>
  <w:style w:type="paragraph" w:styleId="10">
    <w:name w:val="Body Text"/>
    <w:basedOn w:val="1"/>
    <w:next w:val="1"/>
    <w:qFormat/>
    <w:uiPriority w:val="99"/>
    <w:pPr>
      <w:spacing w:after="120"/>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6">
    <w:name w:val="Balloon Text"/>
    <w:basedOn w:val="1"/>
    <w:link w:val="37"/>
    <w:semiHidden/>
    <w:unhideWhenUsed/>
    <w:qFormat/>
    <w:uiPriority w:val="99"/>
    <w:rPr>
      <w:sz w:val="18"/>
      <w:szCs w:val="18"/>
    </w:rPr>
  </w:style>
  <w:style w:type="paragraph" w:styleId="17">
    <w:name w:val="footer"/>
    <w:basedOn w:val="1"/>
    <w:link w:val="31"/>
    <w:unhideWhenUsed/>
    <w:qFormat/>
    <w:uiPriority w:val="99"/>
    <w:pPr>
      <w:tabs>
        <w:tab w:val="center" w:pos="4153"/>
        <w:tab w:val="right" w:pos="8306"/>
      </w:tabs>
      <w:snapToGrid w:val="0"/>
      <w:jc w:val="left"/>
    </w:pPr>
    <w:rPr>
      <w:sz w:val="18"/>
      <w:szCs w:val="18"/>
    </w:rPr>
  </w:style>
  <w:style w:type="paragraph" w:styleId="18">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Body Text 2"/>
    <w:basedOn w:val="1"/>
    <w:qFormat/>
    <w:uiPriority w:val="0"/>
    <w:pPr>
      <w:spacing w:after="120" w:line="480" w:lineRule="auto"/>
    </w:pPr>
  </w:style>
  <w:style w:type="paragraph" w:styleId="22">
    <w:name w:val="Normal (Web)"/>
    <w:basedOn w:val="1"/>
    <w:qFormat/>
    <w:uiPriority w:val="99"/>
    <w:pPr>
      <w:spacing w:before="100" w:beforeAutospacing="1" w:after="100" w:afterAutospacing="1"/>
    </w:pPr>
    <w:rPr>
      <w:rFonts w:ascii="宋体" w:hAnsi="宋体" w:cs="Times New Roman"/>
      <w:kern w:val="0"/>
      <w:sz w:val="24"/>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Strong"/>
    <w:basedOn w:val="25"/>
    <w:qFormat/>
    <w:uiPriority w:val="22"/>
    <w:rPr>
      <w:b/>
      <w:bCs/>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14:textFill>
        <w14:solidFill>
          <w14:schemeClr w14:val="hlink"/>
        </w14:solidFill>
      </w14:textFill>
    </w:rPr>
  </w:style>
  <w:style w:type="paragraph" w:customStyle="1" w:styleId="2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0">
    <w:name w:val="页眉 字符"/>
    <w:basedOn w:val="25"/>
    <w:link w:val="18"/>
    <w:semiHidden/>
    <w:qFormat/>
    <w:uiPriority w:val="99"/>
    <w:rPr>
      <w:sz w:val="18"/>
      <w:szCs w:val="18"/>
    </w:rPr>
  </w:style>
  <w:style w:type="character" w:customStyle="1" w:styleId="31">
    <w:name w:val="页脚 字符"/>
    <w:basedOn w:val="25"/>
    <w:link w:val="17"/>
    <w:qFormat/>
    <w:uiPriority w:val="99"/>
    <w:rPr>
      <w:sz w:val="18"/>
      <w:szCs w:val="18"/>
    </w:rPr>
  </w:style>
  <w:style w:type="character" w:customStyle="1" w:styleId="32">
    <w:name w:val="标题 1 字符"/>
    <w:basedOn w:val="25"/>
    <w:link w:val="4"/>
    <w:qFormat/>
    <w:uiPriority w:val="9"/>
    <w:rPr>
      <w:rFonts w:eastAsia="方正小标宋简体"/>
      <w:bCs/>
      <w:kern w:val="44"/>
      <w:sz w:val="44"/>
      <w:szCs w:val="44"/>
    </w:rPr>
  </w:style>
  <w:style w:type="character" w:customStyle="1" w:styleId="33">
    <w:name w:val="标题 2 字符"/>
    <w:basedOn w:val="25"/>
    <w:link w:val="5"/>
    <w:qFormat/>
    <w:uiPriority w:val="9"/>
    <w:rPr>
      <w:rFonts w:eastAsia="方正小标宋简体" w:asciiTheme="majorHAnsi" w:hAnsiTheme="majorHAnsi" w:cstheme="majorBidi"/>
      <w:bCs/>
      <w:sz w:val="36"/>
      <w:szCs w:val="32"/>
    </w:rPr>
  </w:style>
  <w:style w:type="character" w:customStyle="1" w:styleId="34">
    <w:name w:val="标题 3 字符"/>
    <w:basedOn w:val="25"/>
    <w:link w:val="6"/>
    <w:qFormat/>
    <w:uiPriority w:val="9"/>
    <w:rPr>
      <w:rFonts w:ascii="Calibri" w:hAnsi="Calibri" w:eastAsia="宋体" w:cs="Times New Roman"/>
      <w:b/>
      <w:bCs/>
      <w:sz w:val="32"/>
      <w:szCs w:val="32"/>
    </w:rPr>
  </w:style>
  <w:style w:type="paragraph" w:styleId="35">
    <w:name w:val="List Paragraph"/>
    <w:basedOn w:val="1"/>
    <w:next w:val="1"/>
    <w:link w:val="43"/>
    <w:qFormat/>
    <w:uiPriority w:val="34"/>
    <w:pPr>
      <w:ind w:firstLine="420" w:firstLineChars="200"/>
    </w:pPr>
  </w:style>
  <w:style w:type="paragraph" w:customStyle="1" w:styleId="36">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字符"/>
    <w:basedOn w:val="25"/>
    <w:link w:val="16"/>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3"/>
    <w:next w:val="13"/>
    <w:qFormat/>
    <w:uiPriority w:val="0"/>
    <w:pPr>
      <w:spacing w:after="373"/>
    </w:pPr>
    <w:rPr>
      <w:color w:val="auto"/>
    </w:rPr>
  </w:style>
  <w:style w:type="paragraph" w:customStyle="1" w:styleId="40">
    <w:name w:val="CM91"/>
    <w:basedOn w:val="13"/>
    <w:next w:val="13"/>
    <w:qFormat/>
    <w:uiPriority w:val="0"/>
    <w:pPr>
      <w:spacing w:after="160"/>
    </w:pPr>
    <w:rPr>
      <w:color w:val="auto"/>
    </w:rPr>
  </w:style>
  <w:style w:type="character" w:customStyle="1" w:styleId="41">
    <w:name w:val="正文文本 3 Char"/>
    <w:qFormat/>
    <w:uiPriority w:val="99"/>
    <w:rPr>
      <w:sz w:val="16"/>
      <w:szCs w:val="16"/>
    </w:rPr>
  </w:style>
  <w:style w:type="character" w:customStyle="1" w:styleId="42">
    <w:name w:val="正文文本 3 字符"/>
    <w:basedOn w:val="25"/>
    <w:link w:val="9"/>
    <w:semiHidden/>
    <w:qFormat/>
    <w:uiPriority w:val="99"/>
    <w:rPr>
      <w:sz w:val="16"/>
      <w:szCs w:val="16"/>
    </w:rPr>
  </w:style>
  <w:style w:type="character" w:customStyle="1" w:styleId="43">
    <w:name w:val="列表段落 字符"/>
    <w:link w:val="35"/>
    <w:qFormat/>
    <w:uiPriority w:val="34"/>
  </w:style>
  <w:style w:type="paragraph" w:customStyle="1" w:styleId="44">
    <w:name w:val="1"/>
    <w:basedOn w:val="1"/>
    <w:next w:val="12"/>
    <w:qFormat/>
    <w:uiPriority w:val="99"/>
    <w:rPr>
      <w:rFonts w:ascii="宋体" w:hAnsi="Courier New"/>
    </w:rPr>
  </w:style>
  <w:style w:type="paragraph" w:customStyle="1" w:styleId="45">
    <w:name w:val="WPSOffice手动目录 1"/>
    <w:qFormat/>
    <w:uiPriority w:val="0"/>
    <w:rPr>
      <w:rFonts w:asciiTheme="minorHAnsi" w:hAnsiTheme="minorHAnsi" w:eastAsiaTheme="minorEastAsia" w:cstheme="minorBidi"/>
      <w:lang w:val="en-US" w:eastAsia="zh-CN" w:bidi="ar-SA"/>
    </w:rPr>
  </w:style>
  <w:style w:type="paragraph" w:customStyle="1" w:styleId="46">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7">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8">
    <w:name w:val="Unresolved Mention"/>
    <w:basedOn w:val="25"/>
    <w:semiHidden/>
    <w:unhideWhenUsed/>
    <w:qFormat/>
    <w:uiPriority w:val="99"/>
    <w:rPr>
      <w:color w:val="605E5C"/>
      <w:shd w:val="clear" w:color="auto" w:fill="E1DFDD"/>
    </w:rPr>
  </w:style>
  <w:style w:type="paragraph" w:customStyle="1" w:styleId="4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26314</Words>
  <Characters>28050</Characters>
  <Lines>189</Lines>
  <Paragraphs>53</Paragraphs>
  <TotalTime>1</TotalTime>
  <ScaleCrop>false</ScaleCrop>
  <LinksUpToDate>false</LinksUpToDate>
  <CharactersWithSpaces>30416</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2024-01-18T08:29:03Z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B37D812889AF4BC7864789D6EC5396C6_13</vt:lpwstr>
  </property>
</Properties>
</file>