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bookmarkStart w:id="137" w:name="_GoBack"/>
      <w:bookmarkEnd w:id="137"/>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广州市净水有限公司2023-2024年</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食用盐采购项目（第三次）</w:t>
      </w:r>
    </w:p>
    <w:p>
      <w:pPr>
        <w:pStyle w:val="7"/>
        <w:rPr>
          <w:rFonts w:hint="default"/>
          <w:color w:val="auto"/>
          <w:lang w:val="en-US" w:eastAsia="zh-CN"/>
        </w:rPr>
      </w:pP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采购</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5"/>
        <w:rPr>
          <w:color w:val="auto"/>
        </w:rPr>
      </w:pPr>
    </w:p>
    <w:p>
      <w:pPr>
        <w:jc w:val="center"/>
        <w:rPr>
          <w:rFonts w:hint="eastAsia" w:ascii="仿宋_GB2312" w:eastAsia="仿宋_GB2312"/>
          <w:color w:val="auto"/>
          <w:sz w:val="32"/>
          <w:szCs w:val="32"/>
          <w:highlight w:val="none"/>
        </w:rPr>
      </w:pPr>
    </w:p>
    <w:p>
      <w:pPr>
        <w:pStyle w:val="25"/>
        <w:rPr>
          <w:rFonts w:hint="eastAsia"/>
          <w:color w:val="auto"/>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5"/>
        <w:rPr>
          <w:color w:val="auto"/>
        </w:rPr>
      </w:pPr>
    </w:p>
    <w:p>
      <w:pPr>
        <w:pStyle w:val="2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5"/>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5"/>
        <w:numPr>
          <w:ilvl w:val="0"/>
          <w:numId w:val="1"/>
        </w:numPr>
        <w:tabs>
          <w:tab w:val="right" w:pos="8844"/>
        </w:tabs>
        <w:rPr>
          <w:color w:val="auto"/>
          <w:highlight w:val="none"/>
        </w:rPr>
      </w:pPr>
      <w:r>
        <w:rPr>
          <w:rFonts w:hint="eastAsia"/>
          <w:color w:val="auto"/>
          <w:highlight w:val="none"/>
          <w:lang w:val="en-US" w:eastAsia="zh-CN"/>
        </w:rPr>
        <w:t>供应商须知</w:t>
      </w:r>
    </w:p>
    <w:p>
      <w:pPr>
        <w:pStyle w:val="15"/>
        <w:numPr>
          <w:ilvl w:val="0"/>
          <w:numId w:val="1"/>
        </w:numPr>
        <w:tabs>
          <w:tab w:val="right" w:pos="8844"/>
        </w:tabs>
        <w:rPr>
          <w:color w:val="auto"/>
          <w:highlight w:val="none"/>
        </w:rPr>
      </w:pPr>
      <w:r>
        <w:rPr>
          <w:rFonts w:hint="eastAsia"/>
          <w:color w:val="auto"/>
          <w:highlight w:val="none"/>
          <w:lang w:val="en-US" w:eastAsia="zh-CN"/>
        </w:rPr>
        <w:t>采购方法</w:t>
      </w:r>
    </w:p>
    <w:p>
      <w:pPr>
        <w:pStyle w:val="15"/>
        <w:numPr>
          <w:ilvl w:val="0"/>
          <w:numId w:val="1"/>
        </w:numPr>
        <w:tabs>
          <w:tab w:val="right" w:pos="8844"/>
        </w:tabs>
        <w:rPr>
          <w:color w:val="auto"/>
          <w:highlight w:val="none"/>
        </w:rPr>
      </w:pPr>
      <w:r>
        <w:rPr>
          <w:rFonts w:hint="eastAsia"/>
          <w:color w:val="auto"/>
          <w:highlight w:val="none"/>
          <w:lang w:val="en-US" w:eastAsia="zh-CN"/>
        </w:rPr>
        <w:t>评审方法</w:t>
      </w:r>
    </w:p>
    <w:p>
      <w:pPr>
        <w:pStyle w:val="15"/>
        <w:numPr>
          <w:ilvl w:val="0"/>
          <w:numId w:val="1"/>
        </w:numPr>
        <w:tabs>
          <w:tab w:val="right" w:pos="8844"/>
        </w:tabs>
        <w:rPr>
          <w:color w:val="auto"/>
          <w:highlight w:val="none"/>
        </w:rPr>
      </w:pPr>
      <w:r>
        <w:rPr>
          <w:rFonts w:hint="eastAsia"/>
          <w:color w:val="auto"/>
          <w:highlight w:val="none"/>
          <w:lang w:val="en-US" w:eastAsia="zh-CN"/>
        </w:rPr>
        <w:t>采购需求</w:t>
      </w:r>
    </w:p>
    <w:p>
      <w:pPr>
        <w:pStyle w:val="15"/>
        <w:numPr>
          <w:ilvl w:val="0"/>
          <w:numId w:val="1"/>
        </w:numPr>
        <w:tabs>
          <w:tab w:val="right" w:pos="8844"/>
        </w:tabs>
        <w:rPr>
          <w:color w:val="auto"/>
          <w:highlight w:val="none"/>
        </w:rPr>
      </w:pPr>
      <w:r>
        <w:rPr>
          <w:rFonts w:hint="eastAsia"/>
          <w:color w:val="auto"/>
          <w:highlight w:val="none"/>
        </w:rPr>
        <w:t>合同草案</w:t>
      </w:r>
    </w:p>
    <w:p>
      <w:pPr>
        <w:pStyle w:val="15"/>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19"/>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4"/>
        <w:rPr>
          <w:rFonts w:hint="eastAsia"/>
          <w:color w:val="auto"/>
          <w:highlight w:val="none"/>
        </w:rPr>
      </w:pPr>
      <w:bookmarkStart w:id="4" w:name="_Toc7519"/>
      <w:bookmarkStart w:id="5" w:name="_Toc17801"/>
      <w:bookmarkStart w:id="6" w:name="_Toc1669"/>
      <w:bookmarkStart w:id="7" w:name="_Toc11322"/>
      <w:bookmarkStart w:id="8" w:name="_Toc19609"/>
      <w:bookmarkStart w:id="9" w:name="_Toc4275"/>
      <w:bookmarkStart w:id="10" w:name="_Toc31938"/>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2357755</wp:posOffset>
                </wp:positionH>
                <wp:positionV relativeFrom="paragraph">
                  <wp:posOffset>52705</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65pt;margin-top:4.15pt;height:0pt;width:75.5pt;z-index:251670528;mso-width-relative:page;mso-height-relative:page;" filled="f" stroked="t" coordsize="21600,21600" o:gfxdata="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RroO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2304415</wp:posOffset>
                </wp:positionH>
                <wp:positionV relativeFrom="paragraph">
                  <wp:posOffset>525780</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45pt;margin-top:41.4pt;height:0pt;width:75.5pt;z-index:251671552;mso-width-relative:page;mso-height-relative:page;" filled="f" stroked="t" coordsize="21600,21600" o:gfxdata="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n09htYAAAAJAQAADwAAAAAAAAABACAAAAAiAAAAZHJzL2Rvd25yZXYueG1s&#10;UEsBAhQAFAAAAAgAh07iQDBsioX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广州市净水有限公司2023-2024年食用盐采购项目（第三次）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广州市净水有限公司2023-2024年食用盐采购项目（第三次）</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XJ-20240104-1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单价880元/吨</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，总价为</w:t>
      </w:r>
      <w:r>
        <w:rPr>
          <w:rFonts w:hint="eastAsia" w:ascii="仿宋_GB2312" w:eastAsia="仿宋_GB2312"/>
          <w:color w:val="auto"/>
          <w:sz w:val="28"/>
          <w:szCs w:val="28"/>
          <w:highlight w:val="none"/>
          <w:u w:val="single"/>
          <w:lang w:val="en-US" w:eastAsia="zh-CN"/>
        </w:rPr>
        <w:t>528000</w:t>
      </w:r>
      <w:r>
        <w:rPr>
          <w:rFonts w:hint="eastAsia" w:ascii="仿宋_GB2312" w:eastAsia="仿宋_GB2312"/>
          <w:color w:val="auto"/>
          <w:sz w:val="28"/>
          <w:szCs w:val="28"/>
          <w:highlight w:val="none"/>
          <w:u w:val="single"/>
          <w:lang w:eastAsia="zh-CN"/>
        </w:rPr>
        <w:t>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采购量600吨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广州市净水有限公司各净水厂 </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GB/T 5461-2016 </w:t>
      </w:r>
      <w:r>
        <w:rPr>
          <w:rFonts w:hint="eastAsia" w:ascii="仿宋_GB2312" w:eastAsia="仿宋_GB2312"/>
          <w:color w:val="auto"/>
          <w:sz w:val="28"/>
          <w:szCs w:val="28"/>
          <w:highlight w:val="none"/>
          <w:u w:val="single"/>
          <w:lang w:val="en-US" w:eastAsia="zh-CN"/>
        </w:rPr>
        <w:t>精制盐 一级</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lang w:val="en-US" w:eastAsia="zh-CN"/>
        </w:rPr>
        <w:t>食用盐</w:t>
      </w:r>
      <w:r>
        <w:rPr>
          <w:rFonts w:hint="eastAsia" w:ascii="仿宋_GB2312" w:eastAsia="仿宋_GB2312" w:hAnsiTheme="minorHAnsi" w:cstheme="minorBidi"/>
          <w:i w:val="0"/>
          <w:iCs w:val="0"/>
          <w:caps w:val="0"/>
          <w:color w:val="auto"/>
          <w:spacing w:val="0"/>
          <w:sz w:val="28"/>
          <w:szCs w:val="28"/>
          <w:highlight w:val="none"/>
          <w:u w:val="none"/>
          <w:shd w:val="clear" w:fill="auto"/>
        </w:rPr>
        <w:t>制造商（含制造商的唯一法人股东或制造商下属的全资子公司，须提供供应商与报价货物制造商的关系说明文件原件或证明文件复印件）或代理商</w:t>
      </w:r>
      <w:r>
        <w:rPr>
          <w:rFonts w:hint="eastAsia" w:ascii="仿宋_GB2312" w:eastAsia="仿宋_GB2312"/>
          <w:color w:val="auto"/>
          <w:sz w:val="28"/>
          <w:szCs w:val="28"/>
          <w:highlight w:val="none"/>
          <w:u w:val="single"/>
        </w:rPr>
        <w:t>资质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19"/>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）其他要求供应商提供的</w:t>
      </w:r>
      <w:r>
        <w:rPr>
          <w:rFonts w:hint="eastAsia" w:ascii="仿宋_GB2312" w:eastAsia="仿宋_GB2312"/>
          <w:color w:val="auto"/>
          <w:sz w:val="28"/>
          <w:szCs w:val="28"/>
          <w:highlight w:val="none"/>
          <w:lang w:val="en-US" w:eastAsia="zh-CN"/>
        </w:rPr>
        <w:t>食用盐</w:t>
      </w:r>
      <w:r>
        <w:rPr>
          <w:rFonts w:hint="eastAsia" w:ascii="仿宋_GB2312" w:eastAsia="仿宋_GB2312"/>
          <w:color w:val="auto"/>
          <w:sz w:val="28"/>
          <w:szCs w:val="28"/>
          <w:highlight w:val="none"/>
        </w:rPr>
        <w:t>具有质量技术监督部门出具的</w:t>
      </w:r>
      <w:r>
        <w:rPr>
          <w:rFonts w:hint="eastAsia" w:ascii="仿宋_GB2312" w:eastAsia="仿宋_GB2312"/>
          <w:color w:val="auto"/>
          <w:sz w:val="28"/>
          <w:szCs w:val="28"/>
          <w:highlight w:val="none"/>
          <w:lang w:val="en-US" w:eastAsia="zh-CN"/>
        </w:rPr>
        <w:t>近三年</w:t>
      </w:r>
      <w:r>
        <w:rPr>
          <w:rFonts w:hint="eastAsia" w:ascii="仿宋_GB2312" w:eastAsia="仿宋_GB2312"/>
          <w:color w:val="auto"/>
          <w:sz w:val="28"/>
          <w:szCs w:val="28"/>
          <w:highlight w:val="none"/>
        </w:rPr>
        <w:t>（2021年、2022年、2023年）任意一年</w:t>
      </w:r>
      <w:r>
        <w:rPr>
          <w:rFonts w:hint="eastAsia" w:ascii="仿宋_GB2312" w:eastAsia="仿宋_GB2312"/>
          <w:color w:val="auto"/>
          <w:sz w:val="28"/>
          <w:szCs w:val="28"/>
          <w:highlight w:val="none"/>
          <w:lang w:val="en-US" w:eastAsia="zh-CN"/>
        </w:rPr>
        <w:t>的</w:t>
      </w:r>
      <w:r>
        <w:rPr>
          <w:rFonts w:hint="eastAsia" w:ascii="仿宋_GB2312" w:eastAsia="仿宋_GB2312"/>
          <w:color w:val="auto"/>
          <w:sz w:val="28"/>
          <w:szCs w:val="28"/>
          <w:highlight w:val="none"/>
        </w:rPr>
        <w:t>质量合格检测报告，且产品质量符合</w:t>
      </w:r>
      <w:r>
        <w:rPr>
          <w:rFonts w:hint="eastAsia" w:ascii="仿宋_GB2312" w:eastAsia="仿宋_GB2312"/>
          <w:color w:val="auto"/>
          <w:sz w:val="28"/>
          <w:szCs w:val="28"/>
          <w:highlight w:val="none"/>
          <w:lang w:val="en-US" w:eastAsia="zh-CN"/>
        </w:rPr>
        <w:t>GB/T 5461-2016精制盐一级</w:t>
      </w:r>
      <w:r>
        <w:rPr>
          <w:rFonts w:hint="eastAsia" w:ascii="仿宋_GB2312" w:eastAsia="仿宋_GB2312"/>
          <w:color w:val="auto"/>
          <w:sz w:val="28"/>
          <w:szCs w:val="28"/>
          <w:highlight w:val="none"/>
        </w:rPr>
        <w:t xml:space="preserve">标准的证明。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color w:val="auto"/>
          <w:sz w:val="28"/>
          <w:szCs w:val="28"/>
        </w:rPr>
        <w:t>递交响应文件集合时间：</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color w:val="auto"/>
          <w:sz w:val="28"/>
          <w:szCs w:val="28"/>
        </w:rPr>
        <w:t>递交地址：广州市天河区临江大道501号广州市净水有限公司6楼招标部。</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pStyle w:val="19"/>
        <w:ind w:firstLine="560" w:firstLineChars="200"/>
        <w:rPr>
          <w:rFonts w:hint="default" w:eastAsia="仿宋_GB2312"/>
          <w:color w:val="auto"/>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color w:val="auto"/>
          <w:highlight w:val="none"/>
        </w:rPr>
      </w:pPr>
    </w:p>
    <w:p>
      <w:pPr>
        <w:pStyle w:val="25"/>
        <w:rPr>
          <w:rFonts w:hint="eastAsia"/>
          <w:color w:val="auto"/>
        </w:rPr>
      </w:pPr>
    </w:p>
    <w:p>
      <w:pPr>
        <w:pStyle w:val="4"/>
        <w:rPr>
          <w:rFonts w:hint="eastAsia"/>
          <w:color w:val="auto"/>
          <w:highlight w:val="none"/>
        </w:rPr>
      </w:pPr>
      <w:bookmarkStart w:id="14" w:name="_Toc2324"/>
      <w:bookmarkStart w:id="15" w:name="_Toc19295"/>
      <w:bookmarkStart w:id="16" w:name="_Toc16705"/>
      <w:bookmarkStart w:id="17" w:name="_Toc32588"/>
      <w:bookmarkStart w:id="18" w:name="_Toc23749"/>
      <w:bookmarkStart w:id="19" w:name="_Toc7340"/>
      <w:bookmarkStart w:id="20" w:name="_Toc25603"/>
      <w:bookmarkStart w:id="21" w:name="_Toc2331"/>
      <w:bookmarkStart w:id="22" w:name="_Toc16557"/>
      <w:bookmarkStart w:id="23" w:name="_Toc9448"/>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34290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2.7pt;height:0pt;width:75.5pt;z-index:251672576;mso-width-relative:page;mso-height-relative:page;" filled="f" stroked="t" coordsize="21600,21600" o:gfxdata="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V/4Y1AAAAAcBAAAPAAAAAAAAAAEAIAAAACIAAABkcnMvZG93bnJldi54bWxQ&#10;SwECFAAUAAAACACHTuJAYZEyafsBAADtAwAADgAAAAAAAAABACAAAAAj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571500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5pt;height:0pt;width:75.5pt;z-index:251673600;mso-width-relative:page;mso-height-relative:page;" filled="f" stroked="t" coordsize="21600,21600" o:gfxdata="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BJLEgqE/&#10;fvvh+uf7z7ffv/34dP3r5mOKv35hlCexeo8l1azsJhxX6DchMd83waQvcWL7LPDhJLDcRyZo89ls&#10;Pp9RH3GXKu7rfMD4QjrDUlBxjAFU28WVs5b+oguTrC/sXmKkzlR4V5Caasv6BD+dETiQKxtyA4XG&#10;EzO0ba5Fp1V9qbROFRja7UoHtoPkjPwkfoT717HUZA3YDedyavBMJ6F+bmsWD54ks3RVeBrByJoz&#10;LelmpYgAoYyg9DknqbW2NEGSeBA1RVtXH7LWeZ9ckGc8OjbZ7M91rr6/p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RjxP9YAAAAJAQAADwAAAAAAAAABACAAAAAiAAAAZHJzL2Rvd25yZXYueG1s&#10;UEsBAhQAFAAAAAgAh07iQDjbVvX6AQAA7Q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19"/>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方正仿宋_GB2312" w:hAnsi="方正仿宋_GB2312" w:eastAsia="方正仿宋_GB2312" w:cs="方正仿宋_GB2312"/>
          <w:sz w:val="28"/>
          <w:szCs w:val="28"/>
        </w:rPr>
        <w:t>（10）非法定代表人或授权委托代理人递交响应文件。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5"/>
        <w:rPr>
          <w:rFonts w:hint="default" w:eastAsia="仿宋_GB2312"/>
          <w:color w:val="auto"/>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1"/>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9"/>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7"/>
        <w:rPr>
          <w:color w:val="auto"/>
          <w:highlight w:val="none"/>
        </w:rPr>
      </w:pPr>
    </w:p>
    <w:p>
      <w:pPr>
        <w:pStyle w:val="2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5"/>
        <w:rPr>
          <w:color w:val="auto"/>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2348865</wp:posOffset>
                </wp:positionH>
                <wp:positionV relativeFrom="paragraph">
                  <wp:posOffset>669925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5pt;margin-top:52.75pt;height:0pt;width:75.5pt;z-index:251661312;mso-width-relative:page;mso-height-relative:page;" filled="f" stroked="t" coordsize="21600,21600" o:gfxdata="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dx4pjWAAAACwEAAA8AAAAAAAAAAQAgAAAAIgAAAGRycy9kb3ducmV2Lnht&#10;bFBLAQIUABQAAAAIAIdO4kCf+FTp+wEAAO0DAAAOAAAAAAAAAAEAIAAAACUBAABkcnMvZTJvRG9j&#10;LnhtbFBLBQYAAAAABgAGAFkBAACS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PeKJKT6AQAA6w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M84sGHrw&#10;2w/XP99/vv3+7cen6183H5P99QubJal6jyVFrOwmHHfoNyHx3jfBpD8xYvss7+Ekr9xHJujw2Ww+&#10;n5Hw4s5V3Mf5gPGFdIYlo+IYA6i2iytnLb2hC5OsLuxeYqTMFHgXkJJqy/oEPyUOAqgnG+oFMo0n&#10;XmjbHItOq/pSaZ0iMLTblQ5sB6kv8pf4Ee5f11KSNWA33MuuoWM6CfVzW7N48KSYpUHhqQQja860&#10;pLlKFgFCGUHpc25Sam2pgiTxIGqytq4+ZK3zOfVArvHYr6nJ/tzn6Ps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C0PytYAAAAJAQAADwAAAAAAAAABACAAAAAiAAAAZHJzL2Rvd25yZXYueG1s&#10;UEsBAhQAFAAAAAgAh07iQPeKJKT6AQAA6wMAAA4AAAAAAAAAAQAgAAAAJQ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7"/>
        <w:rPr>
          <w:color w:val="auto"/>
          <w:highlight w:val="none"/>
        </w:rPr>
      </w:pPr>
    </w:p>
    <w:p>
      <w:pPr>
        <w:pStyle w:val="5"/>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1"/>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3156"/>
      <w:bookmarkStart w:id="35" w:name="_Toc7118"/>
      <w:bookmarkStart w:id="36" w:name="_Toc7437"/>
      <w:bookmarkStart w:id="37" w:name="_Toc4952"/>
      <w:bookmarkStart w:id="38" w:name="_Toc20594"/>
      <w:bookmarkStart w:id="39" w:name="_Toc10930"/>
      <w:bookmarkStart w:id="40" w:name="_Toc23581"/>
      <w:bookmarkStart w:id="41" w:name="_Toc14552"/>
      <w:bookmarkStart w:id="42" w:name="_Toc19050"/>
      <w:bookmarkStart w:id="43" w:name="_Toc19759"/>
      <w:bookmarkStart w:id="44" w:name="_Toc1487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LSe8W+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pZxYM&#10;/fHbD9c/33++/f7tx6frXzcfU/z1C6M8idV7LKlmZTfhuEK/CYn5vgkmfYkT22eBDyeB5T4yQZvP&#10;ZvP5jKQXd6nivs4HjC+kMywFFccYQLVdXDlr6S+6MMn6wu4lRupMhXcFqam2rE/w0xmBA7myITdQ&#10;aDwxQ9vmWnRa1ZdK61SBod2udGA7SM7IT+JHuH8dS03WgN1wLqcGz3QS6ue2ZvHgSTJLV4WnEYys&#10;OdOSblaKCBDKCEqfc5Jaa0sTJIkHUVO0dfUha533yQV5xqNjk83+XOfq+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y0nvF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SA4uK+wEAAO0DAAAOAAAAZHJzL2Uyb0RvYy54bWytU82O&#10;0zAQviPxDpbvNG1R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kgOLi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7"/>
        <w:rPr>
          <w:color w:val="auto"/>
          <w:highlight w:val="none"/>
        </w:rPr>
      </w:pPr>
    </w:p>
    <w:p>
      <w:pPr>
        <w:pStyle w:val="4"/>
        <w:rPr>
          <w:color w:val="auto"/>
          <w:highlight w:val="none"/>
        </w:rPr>
      </w:pPr>
      <w:bookmarkStart w:id="45" w:name="_Toc87616378"/>
      <w:bookmarkStart w:id="46" w:name="_Toc32607"/>
      <w:bookmarkStart w:id="47" w:name="_Toc13898"/>
      <w:bookmarkStart w:id="48" w:name="_Toc21079"/>
      <w:bookmarkStart w:id="49" w:name="_Toc22212"/>
      <w:bookmarkStart w:id="50" w:name="_Toc21840"/>
      <w:bookmarkStart w:id="51" w:name="_Toc30530"/>
      <w:bookmarkStart w:id="52" w:name="_Toc6308"/>
      <w:bookmarkStart w:id="53" w:name="_Toc12177"/>
      <w:bookmarkStart w:id="54" w:name="_Toc29484"/>
      <w:bookmarkStart w:id="55" w:name="_Toc88209941"/>
      <w:bookmarkStart w:id="56" w:name="_Toc29345"/>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2341245</wp:posOffset>
                </wp:positionH>
                <wp:positionV relativeFrom="paragraph">
                  <wp:posOffset>241300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5pt;margin-top:19pt;height:0pt;width:75.5pt;z-index:251674624;mso-width-relative:page;mso-height-relative:page;" filled="f" stroked="t" coordsize="21600,21600" o:gfxdata="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5PH4zXAAAACQ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pStyle w:val="25"/>
        <w:rPr>
          <w:rFonts w:hint="eastAsia" w:ascii="仿宋" w:hAnsi="仿宋" w:eastAsia="仿宋"/>
          <w:b/>
          <w:color w:val="auto"/>
          <w:sz w:val="32"/>
          <w:szCs w:val="32"/>
        </w:rPr>
      </w:pPr>
    </w:p>
    <w:p>
      <w:pPr>
        <w:pStyle w:val="25"/>
        <w:rPr>
          <w:rFonts w:hint="eastAsia" w:ascii="仿宋" w:hAnsi="仿宋" w:eastAsia="仿宋"/>
          <w:b/>
          <w:color w:val="auto"/>
          <w:sz w:val="32"/>
          <w:szCs w:val="32"/>
        </w:rPr>
      </w:pPr>
    </w:p>
    <w:p>
      <w:pPr>
        <w:pStyle w:val="25"/>
        <w:rPr>
          <w:rFonts w:hint="eastAsia" w:ascii="仿宋" w:hAnsi="仿宋" w:eastAsia="仿宋"/>
          <w:b/>
          <w:color w:val="auto"/>
          <w:sz w:val="32"/>
          <w:szCs w:val="32"/>
        </w:rPr>
      </w:pPr>
    </w:p>
    <w:p>
      <w:pPr>
        <w:pStyle w:val="25"/>
        <w:rPr>
          <w:rFonts w:hint="eastAsia" w:ascii="仿宋" w:hAnsi="仿宋" w:eastAsia="仿宋"/>
          <w:b/>
          <w:color w:val="auto"/>
          <w:sz w:val="32"/>
          <w:szCs w:val="32"/>
        </w:rPr>
      </w:pPr>
    </w:p>
    <w:p>
      <w:pPr>
        <w:ind w:firstLine="643" w:firstLineChars="200"/>
        <w:rPr>
          <w:rFonts w:ascii="方正小标宋简体" w:eastAsia="方正小标宋简体"/>
          <w:color w:val="auto"/>
          <w:sz w:val="36"/>
          <w:szCs w:val="36"/>
        </w:rPr>
      </w:pPr>
      <w:r>
        <w:rPr>
          <w:rFonts w:hint="eastAsia" w:ascii="仿宋" w:hAnsi="仿宋" w:eastAsia="仿宋"/>
          <w:b/>
          <w:color w:val="auto"/>
          <w:sz w:val="32"/>
          <w:szCs w:val="32"/>
        </w:rPr>
        <w:t>一、项目概况</w:t>
      </w:r>
      <w:r>
        <w:rPr>
          <w:rFonts w:hint="eastAsia" w:ascii="仿宋" w:hAnsi="仿宋" w:eastAsia="仿宋"/>
          <w:color w:val="auto"/>
          <w:sz w:val="32"/>
          <w:szCs w:val="32"/>
        </w:rPr>
        <w:t>：</w:t>
      </w:r>
    </w:p>
    <w:p>
      <w:pPr>
        <w:spacing w:line="360" w:lineRule="auto"/>
        <w:ind w:left="420" w:firstLine="217" w:firstLineChars="68"/>
        <w:rPr>
          <w:rFonts w:hint="eastAsia" w:ascii="仿宋" w:hAnsi="仿宋" w:eastAsia="仿宋"/>
          <w:bCs/>
          <w:color w:val="auto"/>
          <w:sz w:val="32"/>
          <w:szCs w:val="32"/>
          <w:lang w:eastAsia="zh-CN"/>
        </w:rPr>
      </w:pPr>
      <w:r>
        <w:rPr>
          <w:rFonts w:hint="eastAsia" w:ascii="仿宋" w:hAnsi="仿宋" w:eastAsia="仿宋"/>
          <w:bCs/>
          <w:color w:val="auto"/>
          <w:sz w:val="32"/>
          <w:szCs w:val="32"/>
        </w:rPr>
        <w:t>本次项目的服务对象为广州市净水有限公司及下属各分</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子</w:t>
      </w:r>
      <w:r>
        <w:rPr>
          <w:rFonts w:hint="eastAsia" w:ascii="仿宋" w:hAnsi="仿宋" w:eastAsia="仿宋"/>
          <w:bCs/>
          <w:color w:val="auto"/>
          <w:sz w:val="32"/>
          <w:szCs w:val="32"/>
          <w:lang w:eastAsia="zh-CN"/>
        </w:rPr>
        <w:t>）</w:t>
      </w:r>
    </w:p>
    <w:p>
      <w:pPr>
        <w:spacing w:line="360" w:lineRule="auto"/>
        <w:ind w:left="0" w:firstLine="0" w:firstLineChars="0"/>
        <w:rPr>
          <w:rFonts w:ascii="仿宋" w:hAnsi="仿宋" w:eastAsia="仿宋"/>
          <w:bCs/>
          <w:color w:val="auto"/>
          <w:sz w:val="32"/>
          <w:szCs w:val="32"/>
        </w:rPr>
      </w:pPr>
      <w:r>
        <w:rPr>
          <w:rFonts w:hint="eastAsia" w:ascii="仿宋" w:hAnsi="仿宋" w:eastAsia="仿宋"/>
          <w:bCs/>
          <w:color w:val="auto"/>
          <w:sz w:val="32"/>
          <w:szCs w:val="32"/>
        </w:rPr>
        <w:t>公司。根据厂区实际运行需求，预计需采购</w:t>
      </w:r>
      <w:r>
        <w:rPr>
          <w:rFonts w:hint="eastAsia" w:ascii="仿宋" w:hAnsi="仿宋" w:eastAsia="仿宋"/>
          <w:bCs/>
          <w:color w:val="auto"/>
          <w:sz w:val="32"/>
          <w:szCs w:val="32"/>
          <w:lang w:val="en-US" w:eastAsia="zh-CN"/>
        </w:rPr>
        <w:t>食用盐</w:t>
      </w:r>
      <w:r>
        <w:rPr>
          <w:rFonts w:hint="eastAsia" w:ascii="仿宋" w:hAnsi="仿宋" w:eastAsia="仿宋"/>
          <w:bCs/>
          <w:color w:val="auto"/>
          <w:sz w:val="32"/>
          <w:szCs w:val="32"/>
        </w:rPr>
        <w:t>合计共</w:t>
      </w:r>
      <w:r>
        <w:rPr>
          <w:rFonts w:hint="eastAsia" w:ascii="仿宋" w:hAnsi="仿宋" w:eastAsia="仿宋"/>
          <w:bCs/>
          <w:color w:val="auto"/>
          <w:sz w:val="32"/>
          <w:szCs w:val="32"/>
          <w:lang w:val="en-US" w:eastAsia="zh-CN"/>
        </w:rPr>
        <w:t>600</w:t>
      </w:r>
      <w:r>
        <w:rPr>
          <w:rFonts w:hint="eastAsia" w:ascii="仿宋" w:hAnsi="仿宋" w:eastAsia="仿宋"/>
          <w:bCs/>
          <w:color w:val="auto"/>
          <w:sz w:val="32"/>
          <w:szCs w:val="32"/>
        </w:rPr>
        <w:t>吨。需求期限</w:t>
      </w:r>
      <w:r>
        <w:rPr>
          <w:rFonts w:hint="eastAsia" w:ascii="仿宋" w:hAnsi="仿宋" w:eastAsia="仿宋"/>
          <w:bCs/>
          <w:color w:val="auto"/>
          <w:sz w:val="32"/>
          <w:szCs w:val="32"/>
          <w:lang w:val="en-US" w:eastAsia="zh-CN"/>
        </w:rPr>
        <w:t>为两年（暂定</w:t>
      </w:r>
      <w:r>
        <w:rPr>
          <w:rFonts w:hint="eastAsia" w:ascii="仿宋" w:hAnsi="仿宋" w:eastAsia="仿宋"/>
          <w:bCs/>
          <w:color w:val="auto"/>
          <w:sz w:val="32"/>
          <w:szCs w:val="32"/>
        </w:rPr>
        <w:t>202</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12</w:t>
      </w:r>
      <w:r>
        <w:rPr>
          <w:rFonts w:hint="eastAsia" w:ascii="仿宋" w:hAnsi="仿宋" w:eastAsia="仿宋"/>
          <w:bCs/>
          <w:color w:val="auto"/>
          <w:sz w:val="32"/>
          <w:szCs w:val="32"/>
        </w:rPr>
        <w:t>月至202</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12月，以合同签的为准）</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其中从化部分是</w:t>
      </w:r>
      <w:r>
        <w:rPr>
          <w:rFonts w:hint="eastAsia" w:ascii="仿宋" w:hAnsi="仿宋" w:eastAsia="仿宋"/>
          <w:bCs/>
          <w:color w:val="auto"/>
          <w:sz w:val="32"/>
          <w:szCs w:val="32"/>
          <w:lang w:eastAsia="zh-CN"/>
        </w:rPr>
        <w:t>广州从化净水有限公司委托广州市净水有限公司进行</w:t>
      </w:r>
      <w:r>
        <w:rPr>
          <w:rFonts w:hint="eastAsia" w:ascii="仿宋" w:hAnsi="仿宋" w:eastAsia="仿宋"/>
          <w:bCs/>
          <w:color w:val="auto"/>
          <w:sz w:val="32"/>
          <w:szCs w:val="32"/>
          <w:lang w:val="en-US" w:eastAsia="zh-CN"/>
        </w:rPr>
        <w:t>公开询价，由中选</w:t>
      </w:r>
      <w:r>
        <w:rPr>
          <w:rFonts w:hint="eastAsia" w:ascii="仿宋" w:hAnsi="仿宋" w:eastAsia="仿宋"/>
          <w:bCs/>
          <w:color w:val="auto"/>
          <w:sz w:val="32"/>
          <w:szCs w:val="32"/>
          <w:lang w:eastAsia="zh-CN"/>
        </w:rPr>
        <w:t>单位与广州从化净水有限公司签订合同。</w:t>
      </w:r>
    </w:p>
    <w:p>
      <w:pPr>
        <w:numPr>
          <w:ilvl w:val="0"/>
          <w:numId w:val="4"/>
        </w:numPr>
        <w:spacing w:line="360" w:lineRule="auto"/>
        <w:ind w:firstLine="643" w:firstLineChars="200"/>
        <w:rPr>
          <w:rFonts w:hint="eastAsia" w:ascii="仿宋" w:hAnsi="仿宋" w:eastAsia="仿宋"/>
          <w:b/>
          <w:bCs/>
          <w:color w:val="auto"/>
          <w:sz w:val="32"/>
          <w:szCs w:val="32"/>
        </w:rPr>
      </w:pPr>
      <w:r>
        <w:rPr>
          <w:rFonts w:hint="eastAsia" w:ascii="仿宋" w:hAnsi="仿宋" w:eastAsia="仿宋"/>
          <w:b/>
          <w:bCs/>
          <w:color w:val="auto"/>
          <w:sz w:val="32"/>
          <w:szCs w:val="32"/>
          <w:lang w:val="en-US" w:eastAsia="zh-CN"/>
        </w:rPr>
        <w:t>服务</w:t>
      </w:r>
      <w:r>
        <w:rPr>
          <w:rFonts w:hint="eastAsia" w:ascii="仿宋" w:hAnsi="仿宋" w:eastAsia="仿宋"/>
          <w:b/>
          <w:bCs/>
          <w:color w:val="auto"/>
          <w:sz w:val="32"/>
          <w:szCs w:val="32"/>
        </w:rPr>
        <w:t>范围：</w:t>
      </w:r>
    </w:p>
    <w:p>
      <w:pPr>
        <w:widowControl w:val="0"/>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报价单位须为</w:t>
      </w:r>
      <w:r>
        <w:rPr>
          <w:rFonts w:hint="eastAsia" w:ascii="仿宋" w:hAnsi="仿宋" w:eastAsia="仿宋"/>
          <w:bCs/>
          <w:color w:val="auto"/>
          <w:sz w:val="32"/>
          <w:szCs w:val="32"/>
          <w:lang w:val="en-US" w:eastAsia="zh-CN"/>
        </w:rPr>
        <w:t>食用盐</w:t>
      </w:r>
      <w:r>
        <w:rPr>
          <w:rFonts w:hint="eastAsia" w:ascii="仿宋" w:hAnsi="仿宋" w:eastAsia="仿宋" w:cs="仿宋"/>
          <w:color w:val="auto"/>
          <w:sz w:val="32"/>
          <w:szCs w:val="32"/>
          <w:lang w:val="en-US" w:eastAsia="zh-CN"/>
        </w:rPr>
        <w:t>的制造商或制造商的唯一法人股东或制造商下属的全资子公司或代理商，报价单位是制造商的唯一法人股东或制造商下属的全资子公司时，需提供报价单位与货物的制造商的关系的说明文件原件或证明文件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352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污水厂</w:t>
            </w:r>
          </w:p>
        </w:tc>
        <w:tc>
          <w:tcPr>
            <w:tcW w:w="3524"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合同期</w:t>
            </w:r>
          </w:p>
        </w:tc>
        <w:tc>
          <w:tcPr>
            <w:tcW w:w="2055"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供货量</w:t>
            </w:r>
            <w:r>
              <w:rPr>
                <w:rFonts w:hint="eastAsia" w:ascii="仿宋" w:hAnsi="仿宋" w:eastAsia="仿宋"/>
                <w:bCs/>
                <w:color w:val="auto"/>
                <w:sz w:val="32"/>
                <w:szCs w:val="32"/>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2943" w:type="dxa"/>
            <w:vAlign w:val="center"/>
          </w:tcPr>
          <w:p>
            <w:pPr>
              <w:spacing w:line="360" w:lineRule="auto"/>
              <w:jc w:val="center"/>
              <w:rPr>
                <w:rFonts w:ascii="仿宋" w:hAnsi="仿宋" w:eastAsia="仿宋"/>
                <w:bCs/>
                <w:color w:val="auto"/>
                <w:sz w:val="28"/>
                <w:szCs w:val="28"/>
              </w:rPr>
            </w:pPr>
            <w:r>
              <w:rPr>
                <w:rFonts w:hint="eastAsia" w:ascii="仿宋" w:hAnsi="仿宋" w:eastAsia="仿宋"/>
                <w:bCs/>
                <w:color w:val="auto"/>
                <w:sz w:val="28"/>
                <w:szCs w:val="28"/>
                <w:lang w:val="en-US" w:eastAsia="zh-CN"/>
              </w:rPr>
              <w:t>所有</w:t>
            </w:r>
            <w:r>
              <w:rPr>
                <w:rFonts w:hint="eastAsia" w:ascii="仿宋" w:hAnsi="仿宋" w:eastAsia="仿宋"/>
                <w:bCs/>
                <w:color w:val="auto"/>
                <w:sz w:val="28"/>
                <w:szCs w:val="28"/>
              </w:rPr>
              <w:t>分</w:t>
            </w:r>
            <w:r>
              <w:rPr>
                <w:rFonts w:hint="eastAsia" w:ascii="仿宋" w:hAnsi="仿宋" w:eastAsia="仿宋"/>
                <w:bCs/>
                <w:color w:val="auto"/>
                <w:sz w:val="28"/>
                <w:szCs w:val="28"/>
                <w:lang w:eastAsia="zh-CN"/>
              </w:rPr>
              <w:t>（</w:t>
            </w:r>
            <w:r>
              <w:rPr>
                <w:rFonts w:hint="eastAsia" w:ascii="仿宋" w:hAnsi="仿宋" w:eastAsia="仿宋"/>
                <w:bCs/>
                <w:color w:val="auto"/>
                <w:sz w:val="28"/>
                <w:szCs w:val="28"/>
                <w:lang w:val="en-US" w:eastAsia="zh-CN"/>
              </w:rPr>
              <w:t>子</w:t>
            </w:r>
            <w:r>
              <w:rPr>
                <w:rFonts w:hint="eastAsia" w:ascii="仿宋" w:hAnsi="仿宋" w:eastAsia="仿宋"/>
                <w:bCs/>
                <w:color w:val="auto"/>
                <w:sz w:val="28"/>
                <w:szCs w:val="28"/>
                <w:lang w:eastAsia="zh-CN"/>
              </w:rPr>
              <w:t>）</w:t>
            </w:r>
            <w:r>
              <w:rPr>
                <w:rFonts w:hint="eastAsia" w:ascii="仿宋" w:hAnsi="仿宋" w:eastAsia="仿宋"/>
                <w:bCs/>
                <w:color w:val="auto"/>
                <w:sz w:val="28"/>
                <w:szCs w:val="28"/>
              </w:rPr>
              <w:t>公司</w:t>
            </w:r>
          </w:p>
        </w:tc>
        <w:tc>
          <w:tcPr>
            <w:tcW w:w="3524" w:type="dxa"/>
            <w:vAlign w:val="center"/>
          </w:tcPr>
          <w:p>
            <w:pPr>
              <w:spacing w:line="360" w:lineRule="auto"/>
              <w:jc w:val="center"/>
              <w:rPr>
                <w:rFonts w:hint="eastAsia" w:ascii="仿宋" w:hAnsi="仿宋" w:eastAsia="仿宋"/>
                <w:bCs/>
                <w:color w:val="auto"/>
                <w:sz w:val="28"/>
                <w:szCs w:val="28"/>
                <w:lang w:eastAsia="zh-CN"/>
              </w:rPr>
            </w:pPr>
            <w:r>
              <w:rPr>
                <w:rFonts w:hint="eastAsia" w:ascii="仿宋" w:hAnsi="仿宋" w:eastAsia="仿宋"/>
                <w:bCs/>
                <w:color w:val="auto"/>
                <w:sz w:val="28"/>
                <w:szCs w:val="28"/>
                <w:lang w:val="en-US" w:eastAsia="zh-CN"/>
              </w:rPr>
              <w:t>暂定</w:t>
            </w:r>
            <w:r>
              <w:rPr>
                <w:rFonts w:hint="eastAsia" w:ascii="仿宋" w:hAnsi="仿宋" w:eastAsia="仿宋"/>
                <w:bCs/>
                <w:color w:val="auto"/>
                <w:sz w:val="28"/>
                <w:szCs w:val="28"/>
              </w:rPr>
              <w:t>202</w:t>
            </w:r>
            <w:r>
              <w:rPr>
                <w:rFonts w:hint="eastAsia" w:ascii="仿宋" w:hAnsi="仿宋" w:eastAsia="仿宋"/>
                <w:bCs/>
                <w:color w:val="auto"/>
                <w:sz w:val="28"/>
                <w:szCs w:val="28"/>
                <w:lang w:val="en-US" w:eastAsia="zh-CN"/>
              </w:rPr>
              <w:t>3</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12月</w:t>
            </w:r>
            <w:r>
              <w:rPr>
                <w:rFonts w:hint="eastAsia" w:ascii="仿宋" w:hAnsi="仿宋" w:eastAsia="仿宋"/>
                <w:bCs/>
                <w:color w:val="auto"/>
                <w:sz w:val="28"/>
                <w:szCs w:val="28"/>
              </w:rPr>
              <w:t>至202</w:t>
            </w:r>
            <w:r>
              <w:rPr>
                <w:rFonts w:hint="eastAsia" w:ascii="仿宋" w:hAnsi="仿宋" w:eastAsia="仿宋"/>
                <w:bCs/>
                <w:color w:val="auto"/>
                <w:sz w:val="28"/>
                <w:szCs w:val="28"/>
                <w:lang w:val="en-US" w:eastAsia="zh-CN"/>
              </w:rPr>
              <w:t>4</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12月</w:t>
            </w:r>
          </w:p>
        </w:tc>
        <w:tc>
          <w:tcPr>
            <w:tcW w:w="2055" w:type="dxa"/>
            <w:vAlign w:val="center"/>
          </w:tcPr>
          <w:p>
            <w:pPr>
              <w:spacing w:line="360" w:lineRule="auto"/>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600</w:t>
            </w:r>
          </w:p>
        </w:tc>
      </w:tr>
    </w:tbl>
    <w:p>
      <w:pPr>
        <w:spacing w:line="360" w:lineRule="auto"/>
        <w:rPr>
          <w:rFonts w:ascii="仿宋" w:hAnsi="仿宋" w:eastAsia="仿宋"/>
          <w:bCs/>
          <w:color w:val="auto"/>
          <w:sz w:val="32"/>
          <w:szCs w:val="32"/>
        </w:rPr>
      </w:pPr>
      <w:r>
        <w:rPr>
          <w:rFonts w:hint="eastAsia" w:ascii="仿宋" w:hAnsi="仿宋" w:eastAsia="仿宋"/>
          <w:bCs/>
          <w:color w:val="auto"/>
          <w:sz w:val="32"/>
          <w:szCs w:val="32"/>
        </w:rPr>
        <w:t>注：1.合同期以实际签订为准，并以供货量或合同期期限先到者为合同截止时间。</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2.在供货期内，若部分污水处理厂的设备因技术改造、设备调试等对不再使用投标货物的，招标人有权终止此部分供货。招标人将提前三个月书面通知中标单位以确认终止供货。</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3.供货期：项目预计实施时间为202</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12</w:t>
      </w:r>
      <w:r>
        <w:rPr>
          <w:rFonts w:hint="eastAsia" w:ascii="仿宋" w:hAnsi="仿宋" w:eastAsia="仿宋"/>
          <w:bCs/>
          <w:color w:val="auto"/>
          <w:sz w:val="32"/>
          <w:szCs w:val="32"/>
        </w:rPr>
        <w:t>月至20</w:t>
      </w:r>
      <w:r>
        <w:rPr>
          <w:rFonts w:hint="eastAsia" w:ascii="仿宋" w:hAnsi="仿宋" w:eastAsia="仿宋"/>
          <w:bCs/>
          <w:color w:val="auto"/>
          <w:sz w:val="32"/>
          <w:szCs w:val="32"/>
          <w:lang w:val="en-US" w:eastAsia="zh-CN"/>
        </w:rPr>
        <w:t>24</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12月</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rPr>
        <w:t>年），供货起始时间和截止时间具体以甲方通知为准，按实际到货药剂吨数进行结算。</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.乙方必须保证为甲方及招标文件中包含的广州市净水有限公司辖下污水处理厂/分公司提供服务及保证满足甲方及广州市净水有限公司的调配要求。</w:t>
      </w:r>
    </w:p>
    <w:p>
      <w:pPr>
        <w:spacing w:line="360" w:lineRule="auto"/>
        <w:ind w:firstLine="469" w:firstLineChars="146"/>
        <w:rPr>
          <w:rFonts w:ascii="仿宋" w:hAnsi="仿宋" w:eastAsia="仿宋"/>
          <w:b/>
          <w:bCs/>
          <w:color w:val="auto"/>
          <w:sz w:val="32"/>
          <w:szCs w:val="32"/>
        </w:rPr>
      </w:pPr>
      <w:r>
        <w:rPr>
          <w:rFonts w:hint="eastAsia" w:ascii="仿宋" w:hAnsi="仿宋" w:eastAsia="仿宋"/>
          <w:b/>
          <w:bCs/>
          <w:color w:val="auto"/>
          <w:sz w:val="32"/>
          <w:szCs w:val="32"/>
        </w:rPr>
        <w:t>三、技术指标要求：</w:t>
      </w:r>
    </w:p>
    <w:p>
      <w:pPr>
        <w:spacing w:line="360" w:lineRule="auto"/>
        <w:ind w:firstLine="560" w:firstLineChars="200"/>
        <w:rPr>
          <w:rFonts w:hint="eastAsia"/>
          <w:color w:val="auto"/>
          <w:sz w:val="28"/>
          <w:szCs w:val="28"/>
        </w:rPr>
      </w:pPr>
      <w:r>
        <w:rPr>
          <w:rFonts w:hint="eastAsia"/>
          <w:color w:val="auto"/>
          <w:sz w:val="28"/>
          <w:szCs w:val="28"/>
        </w:rPr>
        <w:t>★货物质量必须符合招标方确认的标准：</w:t>
      </w:r>
    </w:p>
    <w:tbl>
      <w:tblPr>
        <w:tblStyle w:val="2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7"/>
        <w:gridCol w:w="2597"/>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3" w:type="pct"/>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药剂名称</w:t>
            </w:r>
          </w:p>
        </w:tc>
        <w:tc>
          <w:tcPr>
            <w:tcW w:w="447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需求指标名称</w:t>
            </w:r>
          </w:p>
        </w:tc>
        <w:tc>
          <w:tcPr>
            <w:tcW w:w="3042"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需求指标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食用盐</w:t>
            </w: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粒度</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在下列某一范围内应不少于 75 g/100 g。</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大粒：2mm-4mm</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中粒：0.3mm-2.8mm</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小粒：0.15mm-0.85mm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白度/度</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氯化钠（以湿基计）/（g/100g）</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硫酸根/（g/100g）</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水分/（g/100g）</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水不溶物/（g/100g）</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≤0.07</w:t>
            </w:r>
          </w:p>
        </w:tc>
      </w:tr>
    </w:tbl>
    <w:p>
      <w:pPr>
        <w:pStyle w:val="18"/>
        <w:rPr>
          <w:color w:val="auto"/>
        </w:rPr>
      </w:pPr>
    </w:p>
    <w:p>
      <w:pPr>
        <w:tabs>
          <w:tab w:val="left" w:pos="3060"/>
        </w:tabs>
        <w:spacing w:line="360" w:lineRule="auto"/>
        <w:ind w:firstLine="321" w:firstLineChars="100"/>
        <w:rPr>
          <w:rFonts w:ascii="仿宋_GB2312" w:eastAsia="仿宋_GB2312"/>
          <w:b/>
          <w:color w:val="auto"/>
          <w:sz w:val="28"/>
          <w:szCs w:val="28"/>
        </w:rPr>
      </w:pPr>
      <w:r>
        <w:rPr>
          <w:rFonts w:hint="eastAsia" w:ascii="仿宋_GB2312" w:eastAsia="仿宋_GB2312"/>
          <w:b/>
          <w:color w:val="auto"/>
          <w:sz w:val="32"/>
          <w:szCs w:val="32"/>
        </w:rPr>
        <w:t>四、供货要求</w:t>
      </w:r>
    </w:p>
    <w:p>
      <w:pPr>
        <w:spacing w:line="360" w:lineRule="auto"/>
        <w:rPr>
          <w:rFonts w:ascii="仿宋" w:hAnsi="仿宋" w:eastAsia="仿宋"/>
          <w:bCs/>
          <w:color w:val="auto"/>
          <w:sz w:val="32"/>
          <w:szCs w:val="32"/>
        </w:rPr>
      </w:pPr>
      <w:r>
        <w:rPr>
          <w:rFonts w:hint="eastAsia"/>
          <w:color w:val="auto"/>
          <w:sz w:val="28"/>
          <w:szCs w:val="28"/>
        </w:rPr>
        <w:t xml:space="preserve">    </w:t>
      </w:r>
      <w:r>
        <w:rPr>
          <w:rFonts w:hint="eastAsia" w:ascii="仿宋" w:hAnsi="仿宋" w:eastAsia="仿宋"/>
          <w:bCs/>
          <w:color w:val="auto"/>
          <w:sz w:val="32"/>
          <w:szCs w:val="32"/>
        </w:rPr>
        <w:t xml:space="preserve">1、交货地点：市净水公司所属各污水处理厂厂内。中标人负责货物的运输和装卸，并在采购人指定地点交货、存储。中标人需服从采购人及市净水公司的合理调配供货。 </w:t>
      </w:r>
    </w:p>
    <w:p>
      <w:pPr>
        <w:spacing w:line="360" w:lineRule="auto"/>
        <w:ind w:firstLine="640" w:firstLineChars="200"/>
        <w:rPr>
          <w:rFonts w:ascii="仿宋" w:hAnsi="仿宋" w:eastAsia="仿宋"/>
          <w:color w:val="auto"/>
          <w:sz w:val="32"/>
          <w:szCs w:val="32"/>
        </w:rPr>
      </w:pPr>
      <w:r>
        <w:rPr>
          <w:rFonts w:hint="eastAsia" w:ascii="仿宋" w:hAnsi="仿宋" w:eastAsia="仿宋"/>
          <w:bCs/>
          <w:color w:val="auto"/>
          <w:sz w:val="32"/>
          <w:szCs w:val="32"/>
        </w:rPr>
        <w:t>2、供货时间：合同期内必须按采购人</w:t>
      </w:r>
      <w:r>
        <w:rPr>
          <w:rFonts w:hint="eastAsia" w:ascii="仿宋" w:hAnsi="仿宋" w:eastAsia="仿宋"/>
          <w:color w:val="auto"/>
          <w:sz w:val="32"/>
          <w:szCs w:val="32"/>
        </w:rPr>
        <w:t>生产</w:t>
      </w:r>
      <w:r>
        <w:rPr>
          <w:rFonts w:hint="eastAsia" w:ascii="仿宋" w:hAnsi="仿宋" w:eastAsia="仿宋"/>
          <w:bCs/>
          <w:color w:val="auto"/>
          <w:sz w:val="32"/>
          <w:szCs w:val="32"/>
        </w:rPr>
        <w:t>需求</w:t>
      </w:r>
      <w:r>
        <w:rPr>
          <w:rFonts w:hint="eastAsia" w:ascii="仿宋" w:hAnsi="仿宋" w:eastAsia="仿宋"/>
          <w:color w:val="auto"/>
          <w:sz w:val="32"/>
          <w:szCs w:val="32"/>
        </w:rPr>
        <w:t>准时供货。如有特殊情况，买方提前24小时通知供方。</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3、交货要求：在货物出厂前，卖方应该对每批（次）所供货物进行详细检验，并出具每批（次）所供货物的质量检验证明材料，该证明材料仅作为交货时双方进行交货现场检验的参考。若卖方供货时不能出具该批（次）所供货物的检验证明材料，买方有权拒绝该批（次）所供货物的签收，并有权要求卖方无条件退货并更换该批（次）所供货物，由此给买方所造成的一切经济损失由卖方承担。</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4、计量方式：以甲方地磅数的实际重量结算，若甲方地磅数大于乙方出厂送货单地磅数，甲乙双方需进行核对，并以重量小的一方地磅数为结算。甲方与乙方按照实际供货量结算，甲方按实际中标单价每月与乙方结算一次。</w:t>
      </w:r>
    </w:p>
    <w:p>
      <w:pPr>
        <w:tabs>
          <w:tab w:val="left" w:pos="3060"/>
        </w:tabs>
        <w:spacing w:line="360" w:lineRule="auto"/>
        <w:ind w:firstLine="640" w:firstLineChars="200"/>
        <w:rPr>
          <w:color w:val="auto"/>
          <w:sz w:val="28"/>
          <w:szCs w:val="28"/>
        </w:rPr>
      </w:pPr>
      <w:r>
        <w:rPr>
          <w:rFonts w:hint="eastAsia" w:ascii="仿宋" w:hAnsi="仿宋" w:eastAsia="仿宋"/>
          <w:color w:val="auto"/>
          <w:sz w:val="32"/>
          <w:szCs w:val="32"/>
        </w:rPr>
        <w:t>5、必须使用专用容器装载，汽车运输，包装方式及运输应符合相关法律法规规定要求。</w:t>
      </w:r>
    </w:p>
    <w:p>
      <w:pPr>
        <w:pStyle w:val="19"/>
        <w:rPr>
          <w:color w:val="auto"/>
          <w:highlight w:val="none"/>
        </w:rPr>
      </w:pPr>
    </w:p>
    <w:p>
      <w:pPr>
        <w:pStyle w:val="19"/>
        <w:rPr>
          <w:color w:val="auto"/>
          <w:highlight w:val="none"/>
        </w:rPr>
      </w:pPr>
    </w:p>
    <w:p>
      <w:pPr>
        <w:pStyle w:val="19"/>
        <w:rPr>
          <w:color w:val="auto"/>
          <w:highlight w:val="none"/>
        </w:rPr>
      </w:pPr>
    </w:p>
    <w:p>
      <w:pPr>
        <w:rPr>
          <w:color w:val="auto"/>
          <w:highlight w:val="none"/>
        </w:rPr>
      </w:pPr>
      <w:r>
        <w:rPr>
          <w:color w:val="auto"/>
          <w:highlight w:val="none"/>
        </w:rPr>
        <w:br w:type="page"/>
      </w:r>
    </w:p>
    <w:p>
      <w:pPr>
        <w:pStyle w:val="19"/>
        <w:rPr>
          <w:color w:val="auto"/>
          <w:highlight w:val="none"/>
        </w:rPr>
      </w:pPr>
    </w:p>
    <w:p>
      <w:pPr>
        <w:pStyle w:val="19"/>
        <w:rPr>
          <w:color w:val="auto"/>
          <w:highlight w:val="none"/>
        </w:rPr>
      </w:pPr>
    </w:p>
    <w:p>
      <w:pPr>
        <w:pStyle w:val="4"/>
        <w:rPr>
          <w:color w:val="auto"/>
          <w:highlight w:val="none"/>
        </w:rPr>
      </w:pPr>
      <w:bookmarkStart w:id="61" w:name="_Toc23330"/>
      <w:bookmarkStart w:id="62" w:name="_Toc15570"/>
      <w:bookmarkStart w:id="63" w:name="_Toc1496"/>
      <w:bookmarkStart w:id="64" w:name="_Toc12135"/>
      <w:bookmarkStart w:id="65" w:name="_Toc18538"/>
      <w:bookmarkStart w:id="66" w:name="_Toc23353"/>
      <w:bookmarkStart w:id="67" w:name="_Toc537"/>
      <w:bookmarkStart w:id="68" w:name="_Toc29835"/>
      <w:bookmarkStart w:id="69" w:name="_Toc1284"/>
      <w:bookmarkStart w:id="70" w:name="_Toc4680"/>
      <w:bookmarkStart w:id="71" w:name="_Toc2592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7"/>
        <w:rPr>
          <w:color w:val="auto"/>
          <w:highlight w:val="none"/>
        </w:rPr>
      </w:pPr>
    </w:p>
    <w:p>
      <w:pPr>
        <w:pStyle w:val="4"/>
        <w:jc w:val="center"/>
        <w:rPr>
          <w:rFonts w:hint="eastAsia"/>
          <w:color w:val="auto"/>
          <w:highlight w:val="none"/>
        </w:rPr>
      </w:pPr>
      <w:bookmarkStart w:id="72" w:name="_Toc12980"/>
      <w:bookmarkStart w:id="73" w:name="_Toc22797"/>
      <w:bookmarkStart w:id="74" w:name="_Toc12721"/>
      <w:bookmarkStart w:id="75" w:name="_Toc19686"/>
      <w:bookmarkStart w:id="76" w:name="_Toc13309"/>
      <w:bookmarkStart w:id="77" w:name="_Toc87616386"/>
      <w:bookmarkStart w:id="78" w:name="_Toc22501"/>
      <w:bookmarkStart w:id="79" w:name="_Toc88209949"/>
      <w:bookmarkStart w:id="80" w:name="_Toc12968"/>
      <w:bookmarkStart w:id="81" w:name="_Toc8183"/>
      <w:bookmarkStart w:id="82" w:name="_Toc1375"/>
      <w:bookmarkStart w:id="83" w:name="_Toc19088"/>
      <w:bookmarkStart w:id="84" w:name="_Toc32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jc w:val="center"/>
        <w:rPr>
          <w:rFonts w:ascii="宋体" w:hAnsi="宋体"/>
          <w:color w:val="auto"/>
          <w:sz w:val="48"/>
          <w:szCs w:val="48"/>
          <w:highlight w:val="none"/>
          <w:u w:val="single"/>
        </w:rPr>
      </w:pPr>
      <w:r>
        <w:rPr>
          <w:rFonts w:hint="eastAsia" w:ascii="宋体" w:hAnsi="宋体" w:cs="宋体"/>
          <w:b/>
          <w:bCs/>
          <w:color w:val="auto"/>
          <w:sz w:val="48"/>
          <w:szCs w:val="48"/>
          <w:highlight w:val="none"/>
          <w:u w:val="single"/>
          <w:lang w:val="en-US" w:eastAsia="zh-CN"/>
        </w:rPr>
        <w:t>2023-2024</w:t>
      </w:r>
      <w:r>
        <w:rPr>
          <w:rFonts w:hint="eastAsia" w:ascii="宋体" w:hAnsi="宋体" w:cs="宋体"/>
          <w:b/>
          <w:bCs/>
          <w:color w:val="auto"/>
          <w:sz w:val="48"/>
          <w:szCs w:val="48"/>
          <w:highlight w:val="none"/>
        </w:rPr>
        <w:t>年</w:t>
      </w:r>
      <w:r>
        <w:rPr>
          <w:rFonts w:hint="eastAsia" w:ascii="宋体" w:hAnsi="宋体" w:cs="宋体"/>
          <w:b/>
          <w:bCs/>
          <w:color w:val="auto"/>
          <w:sz w:val="48"/>
          <w:szCs w:val="48"/>
          <w:highlight w:val="none"/>
          <w:lang w:val="en-US" w:eastAsia="zh-CN"/>
        </w:rPr>
        <w:t>食用盐</w:t>
      </w:r>
      <w:r>
        <w:rPr>
          <w:rFonts w:hint="eastAsia" w:ascii="宋体" w:hAnsi="宋体" w:cs="宋体"/>
          <w:b/>
          <w:bCs/>
          <w:color w:val="auto"/>
          <w:sz w:val="48"/>
          <w:szCs w:val="48"/>
          <w:highlight w:val="none"/>
        </w:rPr>
        <w:t>采购合同</w:t>
      </w:r>
    </w:p>
    <w:p>
      <w:pPr>
        <w:jc w:val="center"/>
        <w:rPr>
          <w:rFonts w:hint="eastAsia" w:ascii="宋体" w:hAnsi="宋体"/>
          <w:bCs/>
          <w:color w:val="auto"/>
          <w:sz w:val="28"/>
          <w:szCs w:val="28"/>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spacing w:line="480" w:lineRule="auto"/>
        <w:rPr>
          <w:rFonts w:hint="eastAsia" w:ascii="宋体" w:hAnsi="宋体" w:cs="宋体" w:eastAsiaTheme="minorEastAsia"/>
          <w:b/>
          <w:bCs/>
          <w:color w:val="auto"/>
          <w:sz w:val="30"/>
          <w:highlight w:val="none"/>
          <w:lang w:val="en-US" w:eastAsia="zh-CN"/>
        </w:rPr>
      </w:pPr>
      <w:r>
        <w:rPr>
          <w:rFonts w:hint="eastAsia" w:ascii="宋体" w:hAnsi="宋体" w:cs="宋体"/>
          <w:b/>
          <w:bCs/>
          <w:color w:val="auto"/>
          <w:sz w:val="30"/>
          <w:highlight w:val="none"/>
        </w:rPr>
        <w:t>项目名称：</w:t>
      </w:r>
      <w:r>
        <w:rPr>
          <w:rFonts w:hint="eastAsia" w:ascii="宋体" w:hAnsi="宋体" w:eastAsia="宋体" w:cs="宋体"/>
          <w:b/>
          <w:bCs/>
          <w:color w:val="auto"/>
          <w:sz w:val="30"/>
          <w:szCs w:val="24"/>
          <w:highlight w:val="none"/>
          <w:lang w:eastAsia="zh-CN"/>
        </w:rPr>
        <w:t>广州市净水有限公司2023-2024年食用盐采购项目（第三次）</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ind w:firstLine="1600" w:firstLineChars="500"/>
        <w:rPr>
          <w:rFonts w:ascii="宋体" w:hAnsi="宋体"/>
          <w:color w:val="auto"/>
          <w:sz w:val="32"/>
          <w:highlight w:val="none"/>
        </w:rPr>
      </w:pPr>
    </w:p>
    <w:p>
      <w:pPr>
        <w:ind w:firstLine="1760" w:firstLineChars="550"/>
        <w:rPr>
          <w:rFonts w:ascii="宋体" w:hAnsi="宋体"/>
          <w:color w:val="auto"/>
          <w:sz w:val="32"/>
          <w:highlight w:val="none"/>
        </w:rPr>
      </w:pPr>
    </w:p>
    <w:p>
      <w:pPr>
        <w:rPr>
          <w:rFonts w:ascii="宋体" w:hAnsi="宋体"/>
          <w:b/>
          <w:bCs/>
          <w:color w:val="auto"/>
          <w:sz w:val="32"/>
          <w:highlight w:val="none"/>
          <w:u w:val="single"/>
        </w:rPr>
      </w:pPr>
      <w:r>
        <w:rPr>
          <w:rFonts w:hint="eastAsia" w:ascii="宋体" w:hAnsi="宋体"/>
          <w:b/>
          <w:bCs/>
          <w:color w:val="auto"/>
          <w:sz w:val="32"/>
          <w:highlight w:val="none"/>
        </w:rPr>
        <w:t>甲方：</w:t>
      </w:r>
      <w:r>
        <w:rPr>
          <w:rFonts w:hint="eastAsia" w:ascii="宋体" w:hAnsi="宋体"/>
          <w:b/>
          <w:bCs/>
          <w:color w:val="auto"/>
          <w:sz w:val="32"/>
          <w:highlight w:val="none"/>
          <w:u w:val="single"/>
        </w:rPr>
        <w:t>广州市净水有限公司</w:t>
      </w:r>
    </w:p>
    <w:p>
      <w:pPr>
        <w:ind w:firstLine="1767" w:firstLineChars="550"/>
        <w:rPr>
          <w:rFonts w:ascii="宋体" w:hAnsi="宋体"/>
          <w:b/>
          <w:bCs/>
          <w:color w:val="auto"/>
          <w:sz w:val="32"/>
          <w:highlight w:val="none"/>
        </w:rPr>
      </w:pPr>
    </w:p>
    <w:p>
      <w:pPr>
        <w:rPr>
          <w:rFonts w:ascii="宋体" w:hAnsi="宋体"/>
          <w:b/>
          <w:bCs/>
          <w:color w:val="auto"/>
          <w:highlight w:val="none"/>
        </w:rPr>
      </w:pPr>
      <w:r>
        <w:rPr>
          <w:rFonts w:hint="eastAsia" w:ascii="宋体" w:hAnsi="宋体"/>
          <w:b/>
          <w:bCs/>
          <w:color w:val="auto"/>
          <w:sz w:val="32"/>
          <w:highlight w:val="none"/>
        </w:rPr>
        <w:t>乙方：</w:t>
      </w:r>
    </w:p>
    <w:p>
      <w:pPr>
        <w:spacing w:line="520" w:lineRule="exact"/>
        <w:rPr>
          <w:rFonts w:ascii="宋体" w:hAnsi="宋体"/>
          <w:color w:val="auto"/>
          <w:sz w:val="30"/>
          <w:highlight w:val="none"/>
        </w:rPr>
      </w:pPr>
    </w:p>
    <w:p>
      <w:pPr>
        <w:spacing w:line="520" w:lineRule="exact"/>
        <w:rPr>
          <w:rFonts w:ascii="宋体" w:hAnsi="宋体"/>
          <w:color w:val="auto"/>
          <w:sz w:val="30"/>
          <w:highlight w:val="none"/>
        </w:rPr>
      </w:pPr>
    </w:p>
    <w:p>
      <w:pPr>
        <w:spacing w:line="520" w:lineRule="exact"/>
        <w:rPr>
          <w:rFonts w:ascii="宋体" w:hAnsi="宋体"/>
          <w:b/>
          <w:bCs/>
          <w:color w:val="auto"/>
          <w:sz w:val="30"/>
          <w:highlight w:val="none"/>
        </w:rPr>
      </w:pPr>
      <w:r>
        <w:rPr>
          <w:rFonts w:hint="eastAsia" w:ascii="宋体" w:hAnsi="宋体"/>
          <w:b/>
          <w:bCs/>
          <w:color w:val="auto"/>
          <w:sz w:val="30"/>
          <w:highlight w:val="none"/>
        </w:rPr>
        <w:t>签订日期：</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年</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月</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日</w:t>
      </w:r>
    </w:p>
    <w:p>
      <w:pPr>
        <w:pStyle w:val="16"/>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ascii="宋体" w:hAnsi="宋体" w:eastAsia="宋体"/>
          <w:b/>
          <w:bCs/>
          <w:color w:val="auto"/>
          <w:sz w:val="24"/>
          <w:szCs w:val="24"/>
          <w:highlight w:val="none"/>
        </w:rPr>
      </w:pPr>
      <w:r>
        <w:rPr>
          <w:rFonts w:hint="eastAsia" w:ascii="宋体" w:hAnsi="宋体" w:eastAsia="宋体"/>
          <w:b/>
          <w:bCs/>
          <w:color w:val="auto"/>
          <w:sz w:val="30"/>
          <w:highlight w:val="none"/>
        </w:rPr>
        <w:t>签约地点：广州市</w:t>
      </w:r>
    </w:p>
    <w:p>
      <w:pPr>
        <w:pStyle w:val="8"/>
        <w:spacing w:line="520" w:lineRule="exact"/>
        <w:ind w:firstLine="588" w:firstLineChars="245"/>
        <w:rPr>
          <w:rFonts w:hint="eastAsia" w:cs="宋体"/>
          <w:color w:val="auto"/>
          <w:sz w:val="24"/>
          <w:highlight w:val="none"/>
        </w:rPr>
      </w:pPr>
    </w:p>
    <w:p>
      <w:pPr>
        <w:pStyle w:val="8"/>
        <w:spacing w:line="520" w:lineRule="exact"/>
        <w:ind w:firstLine="588" w:firstLineChars="245"/>
        <w:rPr>
          <w:rFonts w:cs="宋体"/>
          <w:color w:val="auto"/>
          <w:sz w:val="24"/>
          <w:highlight w:val="none"/>
        </w:rPr>
      </w:pPr>
      <w:r>
        <w:rPr>
          <w:rFonts w:hint="eastAsia" w:cs="宋体"/>
          <w:color w:val="auto"/>
          <w:sz w:val="24"/>
          <w:highlight w:val="none"/>
        </w:rPr>
        <w:t>根据《中华人民共和国民法典》及其他有关法律、行政法规，</w:t>
      </w:r>
      <w:r>
        <w:rPr>
          <w:rFonts w:hint="eastAsia" w:cs="宋体"/>
          <w:color w:val="auto"/>
          <w:sz w:val="24"/>
          <w:highlight w:val="none"/>
          <w:u w:val="single"/>
        </w:rPr>
        <w:t>广州市净水有限公司</w:t>
      </w:r>
      <w:r>
        <w:rPr>
          <w:rFonts w:cs="宋体"/>
          <w:color w:val="auto"/>
          <w:sz w:val="24"/>
          <w:highlight w:val="none"/>
        </w:rPr>
        <w:t xml:space="preserve"> </w:t>
      </w:r>
      <w:r>
        <w:rPr>
          <w:rFonts w:hint="eastAsia" w:cs="宋体"/>
          <w:color w:val="auto"/>
          <w:sz w:val="24"/>
          <w:highlight w:val="none"/>
        </w:rPr>
        <w:t>（以下简称“甲方”）与</w:t>
      </w:r>
      <w:r>
        <w:rPr>
          <w:rFonts w:cs="宋体"/>
          <w:color w:val="auto"/>
          <w:sz w:val="24"/>
          <w:highlight w:val="none"/>
          <w:u w:val="single"/>
        </w:rPr>
        <w:t xml:space="preserve">          </w:t>
      </w:r>
      <w:r>
        <w:rPr>
          <w:rFonts w:cs="宋体"/>
          <w:color w:val="auto"/>
          <w:sz w:val="24"/>
          <w:highlight w:val="none"/>
        </w:rPr>
        <w:t xml:space="preserve"> </w:t>
      </w:r>
      <w:r>
        <w:rPr>
          <w:rFonts w:hint="eastAsia" w:cs="宋体"/>
          <w:color w:val="auto"/>
          <w:sz w:val="24"/>
          <w:highlight w:val="none"/>
        </w:rPr>
        <w:t>（以下简称“乙方”）就</w:t>
      </w:r>
      <w:r>
        <w:rPr>
          <w:rFonts w:hint="eastAsia" w:cs="宋体"/>
          <w:color w:val="auto"/>
          <w:sz w:val="24"/>
          <w:highlight w:val="none"/>
          <w:u w:val="single"/>
          <w:lang w:val="en-US" w:eastAsia="zh-CN"/>
        </w:rPr>
        <w:t>食用盐</w:t>
      </w:r>
      <w:r>
        <w:rPr>
          <w:rFonts w:hint="eastAsia" w:cs="宋体"/>
          <w:color w:val="auto"/>
          <w:sz w:val="24"/>
          <w:highlight w:val="none"/>
          <w:lang w:val="en-US" w:eastAsia="zh-CN"/>
        </w:rPr>
        <w:t xml:space="preserve"> </w:t>
      </w:r>
      <w:r>
        <w:rPr>
          <w:rFonts w:hint="eastAsia" w:cs="宋体"/>
          <w:color w:val="auto"/>
          <w:sz w:val="24"/>
          <w:highlight w:val="none"/>
        </w:rPr>
        <w:t>采购和相应技术服务事宜，遵循平等、自愿、公平和诚实信用的原则，双方协商一致，订立本合同。</w:t>
      </w:r>
    </w:p>
    <w:p>
      <w:pPr>
        <w:pStyle w:val="2"/>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第一条</w:t>
      </w:r>
      <w:r>
        <w:rPr>
          <w:rFonts w:hint="eastAsia" w:ascii="宋体" w:hAnsi="宋体" w:cs="宋体"/>
          <w:color w:val="auto"/>
          <w:sz w:val="24"/>
          <w:highlight w:val="none"/>
        </w:rPr>
        <w:t xml:space="preserve"> </w:t>
      </w:r>
      <w:r>
        <w:rPr>
          <w:rFonts w:hint="eastAsia" w:ascii="宋体" w:hAnsi="宋体" w:cs="宋体"/>
          <w:b/>
          <w:bCs/>
          <w:color w:val="auto"/>
          <w:sz w:val="24"/>
          <w:highlight w:val="none"/>
        </w:rPr>
        <w:t>组成合同的文件及优先顺序</w:t>
      </w:r>
    </w:p>
    <w:p>
      <w:pPr>
        <w:tabs>
          <w:tab w:val="left" w:pos="720"/>
        </w:tabs>
        <w:spacing w:line="520" w:lineRule="exact"/>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下列文件</w:t>
      </w:r>
      <w:r>
        <w:rPr>
          <w:rFonts w:hint="eastAsia" w:asciiTheme="minorEastAsia" w:hAnsiTheme="minorEastAsia" w:eastAsiaTheme="minorEastAsia"/>
          <w:color w:val="auto"/>
          <w:sz w:val="24"/>
          <w:highlight w:val="none"/>
        </w:rPr>
        <w:t>（如有）</w:t>
      </w:r>
      <w:r>
        <w:rPr>
          <w:rFonts w:hint="eastAsia" w:cs="宋体" w:asciiTheme="minorEastAsia" w:hAnsiTheme="minorEastAsia" w:eastAsiaTheme="minorEastAsia"/>
          <w:bCs/>
          <w:color w:val="auto"/>
          <w:sz w:val="24"/>
          <w:highlight w:val="none"/>
        </w:rPr>
        <w:t>均为本合同的组成部分，可视为能相互说明和补充的，如果合同文件存在歧义或相矛盾的地方，则根据以下次序判断：</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中标通知书/发包通知书/委托函；</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⑺ </w:t>
      </w:r>
      <w:r>
        <w:rPr>
          <w:rFonts w:hint="eastAsia" w:ascii="宋体" w:hAnsi="宋体" w:cs="宋体"/>
          <w:color w:val="auto"/>
          <w:sz w:val="24"/>
          <w:highlight w:val="none"/>
        </w:rPr>
        <w:t>工程报价单</w:t>
      </w:r>
      <w:r>
        <w:rPr>
          <w:rFonts w:hint="eastAsia" w:ascii="宋体" w:hAnsi="宋体" w:cs="宋体"/>
          <w:bCs/>
          <w:color w:val="auto"/>
          <w:sz w:val="24"/>
          <w:highlight w:val="none"/>
        </w:rPr>
        <w:t>；</w:t>
      </w:r>
    </w:p>
    <w:p>
      <w:pPr>
        <w:spacing w:line="520" w:lineRule="exact"/>
        <w:ind w:firstLine="482"/>
        <w:rPr>
          <w:rFonts w:ascii="宋体" w:hAnsi="宋体" w:cs="宋体"/>
          <w:b/>
          <w:color w:val="auto"/>
          <w:sz w:val="24"/>
          <w:highlight w:val="none"/>
        </w:rPr>
      </w:pPr>
      <w:r>
        <w:rPr>
          <w:rFonts w:hint="eastAsia" w:ascii="宋体" w:hAnsi="宋体" w:cs="宋体"/>
          <w:bCs/>
          <w:color w:val="auto"/>
          <w:sz w:val="24"/>
          <w:highlight w:val="none"/>
        </w:rPr>
        <w:t>⑻ 本合同其他附件</w:t>
      </w:r>
      <w:r>
        <w:rPr>
          <w:rFonts w:hint="eastAsia" w:ascii="宋体" w:hAnsi="宋体" w:cs="宋体"/>
          <w:color w:val="auto"/>
          <w:sz w:val="24"/>
          <w:highlight w:val="none"/>
        </w:rPr>
        <w:t>；</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第二条 货物信息</w:t>
      </w:r>
    </w:p>
    <w:p>
      <w:p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2.1合同标的</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2.2供货范围必须符合</w:t>
      </w:r>
      <w:r>
        <w:rPr>
          <w:rFonts w:hint="eastAsia" w:ascii="宋体" w:hAnsi="宋体" w:cs="宋体"/>
          <w:color w:val="auto"/>
          <w:sz w:val="24"/>
          <w:highlight w:val="none"/>
          <w:u w:val="single"/>
        </w:rPr>
        <w:t>询价文件</w:t>
      </w:r>
      <w:r>
        <w:rPr>
          <w:rFonts w:hint="eastAsia" w:ascii="宋体" w:hAnsi="宋体" w:cs="宋体"/>
          <w:color w:val="auto"/>
          <w:sz w:val="24"/>
          <w:highlight w:val="none"/>
        </w:rPr>
        <w:t>的要求, 交货地点和日期要求如下：</w:t>
      </w:r>
    </w:p>
    <w:tbl>
      <w:tblPr>
        <w:tblStyle w:val="20"/>
        <w:tblpPr w:leftFromText="180" w:rightFromText="180" w:vertAnchor="text" w:horzAnchor="page" w:tblpX="577" w:tblpY="554"/>
        <w:tblOverlap w:val="never"/>
        <w:tblW w:w="110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25"/>
        <w:gridCol w:w="919"/>
        <w:gridCol w:w="761"/>
        <w:gridCol w:w="1255"/>
        <w:gridCol w:w="759"/>
        <w:gridCol w:w="885"/>
        <w:gridCol w:w="1308"/>
        <w:gridCol w:w="1050"/>
        <w:gridCol w:w="1050"/>
        <w:gridCol w:w="1313"/>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1" w:hRule="atLeast"/>
        </w:trPr>
        <w:tc>
          <w:tcPr>
            <w:tcW w:w="525"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序号</w:t>
            </w:r>
          </w:p>
        </w:tc>
        <w:tc>
          <w:tcPr>
            <w:tcW w:w="919"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名称</w:t>
            </w:r>
          </w:p>
        </w:tc>
        <w:tc>
          <w:tcPr>
            <w:tcW w:w="761"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型号</w:t>
            </w:r>
          </w:p>
        </w:tc>
        <w:tc>
          <w:tcPr>
            <w:tcW w:w="1255"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规格</w:t>
            </w:r>
          </w:p>
        </w:tc>
        <w:tc>
          <w:tcPr>
            <w:tcW w:w="759"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数量</w:t>
            </w:r>
          </w:p>
        </w:tc>
        <w:tc>
          <w:tcPr>
            <w:tcW w:w="2193" w:type="dxa"/>
            <w:gridSpan w:val="2"/>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单价（元</w:t>
            </w:r>
            <w:r>
              <w:rPr>
                <w:rFonts w:hint="eastAsia" w:ascii="宋体" w:hAnsi="宋体" w:cs="宋体"/>
                <w:b/>
                <w:bCs/>
                <w:color w:val="auto"/>
                <w:kern w:val="0"/>
                <w:sz w:val="24"/>
                <w:highlight w:val="none"/>
                <w:lang w:val="en-US" w:eastAsia="zh-CN"/>
              </w:rPr>
              <w:t>/吨</w:t>
            </w:r>
            <w:r>
              <w:rPr>
                <w:rFonts w:hint="eastAsia" w:ascii="宋体" w:hAnsi="宋体" w:cs="宋体"/>
                <w:b/>
                <w:bCs/>
                <w:color w:val="auto"/>
                <w:kern w:val="0"/>
                <w:sz w:val="24"/>
                <w:highlight w:val="none"/>
                <w:lang w:val="zh-CN"/>
              </w:rPr>
              <w:t>）</w:t>
            </w:r>
          </w:p>
        </w:tc>
        <w:tc>
          <w:tcPr>
            <w:tcW w:w="2100" w:type="dxa"/>
            <w:gridSpan w:val="2"/>
            <w:tcBorders>
              <w:tl2br w:val="nil"/>
              <w:tr2bl w:val="nil"/>
            </w:tcBorders>
            <w:shd w:val="clear" w:color="000000" w:fill="FFFFFF"/>
            <w:vAlign w:val="center"/>
          </w:tcPr>
          <w:p>
            <w:pPr>
              <w:autoSpaceDE w:val="0"/>
              <w:autoSpaceDN w:val="0"/>
              <w:adjustRightInd w:val="0"/>
              <w:spacing w:line="520" w:lineRule="exact"/>
              <w:jc w:val="center"/>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en-US" w:eastAsia="zh-CN"/>
              </w:rPr>
              <w:t>合同</w:t>
            </w:r>
            <w:r>
              <w:rPr>
                <w:rFonts w:hint="eastAsia" w:ascii="宋体" w:hAnsi="宋体" w:cs="宋体"/>
                <w:b/>
                <w:bCs/>
                <w:color w:val="auto"/>
                <w:kern w:val="0"/>
                <w:sz w:val="24"/>
                <w:highlight w:val="none"/>
                <w:lang w:val="zh-CN"/>
              </w:rPr>
              <w:t>金额</w:t>
            </w:r>
          </w:p>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（万元）</w:t>
            </w:r>
          </w:p>
        </w:tc>
        <w:tc>
          <w:tcPr>
            <w:tcW w:w="1313"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交货期</w:t>
            </w:r>
          </w:p>
        </w:tc>
        <w:tc>
          <w:tcPr>
            <w:tcW w:w="1237"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1" w:hRule="atLeast"/>
        </w:trPr>
        <w:tc>
          <w:tcPr>
            <w:tcW w:w="525"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919"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761"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1255"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759"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885"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含税</w:t>
            </w:r>
          </w:p>
        </w:tc>
        <w:tc>
          <w:tcPr>
            <w:tcW w:w="1308"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不含税</w:t>
            </w:r>
          </w:p>
        </w:tc>
        <w:tc>
          <w:tcPr>
            <w:tcW w:w="1050"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含税</w:t>
            </w:r>
          </w:p>
        </w:tc>
        <w:tc>
          <w:tcPr>
            <w:tcW w:w="1050"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不含税</w:t>
            </w:r>
          </w:p>
        </w:tc>
        <w:tc>
          <w:tcPr>
            <w:tcW w:w="1313"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p>
        </w:tc>
        <w:tc>
          <w:tcPr>
            <w:tcW w:w="1237"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87" w:hRule="atLeast"/>
        </w:trPr>
        <w:tc>
          <w:tcPr>
            <w:tcW w:w="525"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r>
              <w:rPr>
                <w:rFonts w:ascii="宋体" w:hAnsi="宋体" w:cs="宋体"/>
                <w:color w:val="auto"/>
                <w:kern w:val="0"/>
                <w:sz w:val="24"/>
                <w:highlight w:val="none"/>
                <w:lang w:val="zh-CN"/>
              </w:rPr>
              <w:t>1</w:t>
            </w:r>
          </w:p>
        </w:tc>
        <w:tc>
          <w:tcPr>
            <w:tcW w:w="919" w:type="dxa"/>
            <w:tcBorders>
              <w:tl2br w:val="nil"/>
              <w:tr2bl w:val="nil"/>
            </w:tcBorders>
            <w:shd w:val="clear" w:color="000000" w:fill="FFFFFF"/>
            <w:vAlign w:val="center"/>
          </w:tcPr>
          <w:p>
            <w:pPr>
              <w:autoSpaceDE/>
              <w:autoSpaceDN/>
              <w:adjustRightInd/>
              <w:spacing w:line="520" w:lineRule="exact"/>
              <w:ind w:firstLine="0"/>
              <w:jc w:val="center"/>
              <w:rPr>
                <w:rFonts w:hint="eastAsia" w:ascii="宋体" w:hAnsi="宋体" w:cs="宋体"/>
                <w:bCs/>
                <w:color w:val="auto"/>
                <w:kern w:val="2"/>
                <w:sz w:val="24"/>
                <w:highlight w:val="none"/>
                <w:lang w:val="zh-CN"/>
              </w:rPr>
            </w:pPr>
            <w:r>
              <w:rPr>
                <w:rFonts w:hint="eastAsia" w:ascii="宋体" w:hAnsi="宋体" w:cs="宋体"/>
                <w:b w:val="0"/>
                <w:bCs/>
                <w:color w:val="auto"/>
                <w:sz w:val="24"/>
                <w:szCs w:val="24"/>
                <w:highlight w:val="none"/>
                <w:lang w:val="en-US" w:eastAsia="zh-CN"/>
              </w:rPr>
              <w:t>食用盐</w:t>
            </w:r>
          </w:p>
        </w:tc>
        <w:tc>
          <w:tcPr>
            <w:tcW w:w="761"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固体</w:t>
            </w:r>
          </w:p>
        </w:tc>
        <w:tc>
          <w:tcPr>
            <w:tcW w:w="1255" w:type="dxa"/>
            <w:tcBorders>
              <w:tl2br w:val="nil"/>
              <w:tr2bl w:val="nil"/>
            </w:tcBorders>
            <w:shd w:val="clear" w:color="000000" w:fill="FFFFFF"/>
            <w:vAlign w:val="center"/>
          </w:tcPr>
          <w:p>
            <w:pPr>
              <w:pStyle w:val="19"/>
              <w:ind w:left="0" w:leftChars="0" w:firstLine="0" w:firstLineChars="0"/>
              <w:jc w:val="both"/>
              <w:rPr>
                <w:rFonts w:hint="default"/>
                <w:color w:val="auto"/>
                <w:highlight w:val="none"/>
                <w:lang w:val="en-US" w:eastAsia="zh-CN"/>
              </w:rPr>
            </w:pPr>
          </w:p>
        </w:tc>
        <w:tc>
          <w:tcPr>
            <w:tcW w:w="759"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600吨</w:t>
            </w:r>
          </w:p>
        </w:tc>
        <w:tc>
          <w:tcPr>
            <w:tcW w:w="885"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p>
        </w:tc>
        <w:tc>
          <w:tcPr>
            <w:tcW w:w="1308"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p>
        </w:tc>
        <w:tc>
          <w:tcPr>
            <w:tcW w:w="1050"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p>
        </w:tc>
        <w:tc>
          <w:tcPr>
            <w:tcW w:w="1050"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p>
        </w:tc>
        <w:tc>
          <w:tcPr>
            <w:tcW w:w="1313" w:type="dxa"/>
            <w:tcBorders>
              <w:tl2br w:val="nil"/>
              <w:tr2bl w:val="nil"/>
            </w:tcBorders>
            <w:shd w:val="clear" w:color="000000" w:fill="FFFFFF"/>
            <w:vAlign w:val="center"/>
          </w:tcPr>
          <w:p>
            <w:pPr>
              <w:autoSpaceDE w:val="0"/>
              <w:autoSpaceDN w:val="0"/>
              <w:adjustRightInd w:val="0"/>
              <w:spacing w:line="52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 xml:space="preserve"> </w:t>
            </w:r>
          </w:p>
          <w:p>
            <w:pPr>
              <w:autoSpaceDE w:val="0"/>
              <w:autoSpaceDN w:val="0"/>
              <w:adjustRightInd w:val="0"/>
              <w:spacing w:line="520" w:lineRule="exact"/>
              <w:jc w:val="center"/>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日至</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zh-CN"/>
              </w:rPr>
              <w:t xml:space="preserve"> </w:t>
            </w:r>
          </w:p>
          <w:p>
            <w:pPr>
              <w:autoSpaceDE w:val="0"/>
              <w:autoSpaceDN w:val="0"/>
              <w:adjustRightInd w:val="0"/>
              <w:spacing w:line="520" w:lineRule="exact"/>
              <w:jc w:val="center"/>
              <w:rPr>
                <w:rFonts w:ascii="宋体" w:hAnsi="宋体" w:cs="宋体"/>
                <w:color w:val="auto"/>
                <w:kern w:val="0"/>
                <w:sz w:val="24"/>
                <w:highlight w:val="none"/>
                <w:lang w:val="zh-CN"/>
              </w:rPr>
            </w:pP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日</w:t>
            </w:r>
          </w:p>
        </w:tc>
        <w:tc>
          <w:tcPr>
            <w:tcW w:w="1237" w:type="dxa"/>
            <w:tcBorders>
              <w:tl2br w:val="nil"/>
              <w:tr2bl w:val="nil"/>
            </w:tcBorders>
            <w:shd w:val="clear" w:color="000000" w:fill="FFFFFF"/>
            <w:vAlign w:val="center"/>
          </w:tcPr>
          <w:p>
            <w:pPr>
              <w:spacing w:line="52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无</w:t>
            </w:r>
          </w:p>
        </w:tc>
      </w:tr>
    </w:tbl>
    <w:p>
      <w:pPr>
        <w:spacing w:line="520" w:lineRule="exact"/>
        <w:ind w:firstLine="480" w:firstLineChars="200"/>
        <w:rPr>
          <w:rFonts w:ascii="宋体" w:hAnsi="宋体" w:cs="宋体"/>
          <w:color w:val="auto"/>
          <w:sz w:val="24"/>
          <w:highlight w:val="none"/>
        </w:rPr>
      </w:pPr>
    </w:p>
    <w:p>
      <w:pPr>
        <w:pStyle w:val="7"/>
        <w:spacing w:line="520" w:lineRule="exact"/>
        <w:ind w:firstLine="540" w:firstLineChars="22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2.2.1交货地点：甲方辖下分/子公司，具体以甲方通知为准。</w:t>
      </w:r>
    </w:p>
    <w:p>
      <w:pPr>
        <w:pStyle w:val="7"/>
        <w:spacing w:line="520" w:lineRule="exact"/>
        <w:ind w:firstLine="540" w:firstLineChars="225"/>
        <w:rPr>
          <w:rFonts w:ascii="宋体" w:hAnsi="宋体" w:cs="宋体"/>
          <w:color w:val="auto"/>
          <w:sz w:val="24"/>
          <w:szCs w:val="24"/>
          <w:highlight w:val="none"/>
          <w:u w:val="single"/>
        </w:rPr>
      </w:pPr>
      <w:r>
        <w:rPr>
          <w:rFonts w:hint="eastAsia" w:ascii="宋体" w:hAnsi="宋体" w:cs="宋体"/>
          <w:color w:val="auto"/>
          <w:sz w:val="24"/>
          <w:szCs w:val="24"/>
          <w:highlight w:val="none"/>
        </w:rPr>
        <w:t>2.2.2交货日期：</w:t>
      </w:r>
      <w:r>
        <w:rPr>
          <w:rFonts w:hint="eastAsia" w:ascii="宋体" w:hAnsi="宋体" w:cs="宋体"/>
          <w:color w:val="auto"/>
          <w:sz w:val="24"/>
          <w:szCs w:val="24"/>
          <w:highlight w:val="none"/>
          <w:u w:val="single"/>
        </w:rPr>
        <w:t>按甲方要求，按指定时间计划逐批（次）供货。所供货物的供货时间及数量以甲方书面通知为准。</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2.3合同有效期为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年，自合同签订之日起算。若合同到期前乙方供货总量达到</w:t>
      </w:r>
      <w:r>
        <w:rPr>
          <w:rFonts w:hint="eastAsia" w:ascii="宋体" w:hAnsi="宋体" w:cs="宋体"/>
          <w:color w:val="auto"/>
          <w:sz w:val="24"/>
          <w:highlight w:val="none"/>
          <w:lang w:val="en-US" w:eastAsia="zh-CN"/>
        </w:rPr>
        <w:t>600</w:t>
      </w:r>
      <w:r>
        <w:rPr>
          <w:rFonts w:hint="eastAsia" w:ascii="宋体" w:hAnsi="宋体" w:cs="宋体"/>
          <w:color w:val="auto"/>
          <w:sz w:val="24"/>
          <w:highlight w:val="none"/>
        </w:rPr>
        <w:t>_吨的，合同提前终止。如</w:t>
      </w:r>
      <w:r>
        <w:rPr>
          <w:rFonts w:hint="eastAsia" w:ascii="宋体" w:hAnsi="宋体" w:cs="宋体"/>
          <w:color w:val="auto"/>
          <w:sz w:val="24"/>
          <w:highlight w:val="none"/>
          <w:u w:val="single"/>
        </w:rPr>
        <w:t>需要调增供货量的，</w:t>
      </w:r>
      <w:r>
        <w:rPr>
          <w:rFonts w:hint="eastAsia" w:ascii="宋体" w:hAnsi="宋体" w:cs="宋体"/>
          <w:color w:val="auto"/>
          <w:sz w:val="24"/>
          <w:highlight w:val="none"/>
        </w:rPr>
        <w:t>以甲方另行通知为准。</w:t>
      </w:r>
    </w:p>
    <w:p>
      <w:pPr>
        <w:spacing w:line="52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2.4甲方有权单方解除合同，但需提前</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天通知乙方。</w:t>
      </w:r>
    </w:p>
    <w:p>
      <w:pPr>
        <w:numPr>
          <w:ilvl w:val="0"/>
          <w:numId w:val="5"/>
        </w:num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货物标准及质量控制</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3.1</w:t>
      </w:r>
      <w:r>
        <w:rPr>
          <w:rFonts w:hint="eastAsia" w:ascii="宋体" w:hAnsi="宋体" w:cs="宋体"/>
          <w:color w:val="auto"/>
          <w:kern w:val="0"/>
          <w:sz w:val="24"/>
          <w:highlight w:val="none"/>
        </w:rPr>
        <w:t>货物使用效果需满足甲方污泥脱水后含水率低于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5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3.2货物质量应符合或优于本合同的要求。货物必须符合国家标准或化工行业相关最新标准，以最新发布的标准为准。主要执行技术指标如下：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2596"/>
        <w:gridCol w:w="5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5" w:type="pct"/>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药剂名称</w:t>
            </w:r>
          </w:p>
        </w:tc>
        <w:tc>
          <w:tcPr>
            <w:tcW w:w="447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需求指标名称</w:t>
            </w:r>
          </w:p>
        </w:tc>
        <w:tc>
          <w:tcPr>
            <w:tcW w:w="3040"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需求指标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食用盐</w:t>
            </w: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粒度</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在下列某一范围内应不少于 75 g/100 g。</w:t>
            </w:r>
            <w:r>
              <w:rPr>
                <w:rFonts w:hint="eastAsia" w:asciiTheme="minorEastAsia" w:hAnsiTheme="minorEastAsia" w:eastAsiaTheme="minorEastAsia" w:cstheme="minorEastAsia"/>
                <w:i w:val="0"/>
                <w:iCs w:val="0"/>
                <w:color w:val="auto"/>
                <w:kern w:val="0"/>
                <w:sz w:val="28"/>
                <w:szCs w:val="28"/>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u w:val="none"/>
                <w:lang w:val="en-US" w:eastAsia="zh-CN" w:bidi="ar"/>
              </w:rPr>
              <w:t>大粒：2mm-4mm</w:t>
            </w:r>
            <w:r>
              <w:rPr>
                <w:rFonts w:hint="eastAsia" w:asciiTheme="minorEastAsia" w:hAnsiTheme="minorEastAsia" w:eastAsiaTheme="minorEastAsia" w:cstheme="minorEastAsia"/>
                <w:i w:val="0"/>
                <w:iCs w:val="0"/>
                <w:color w:val="auto"/>
                <w:kern w:val="0"/>
                <w:sz w:val="28"/>
                <w:szCs w:val="28"/>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u w:val="none"/>
                <w:lang w:val="en-US" w:eastAsia="zh-CN" w:bidi="ar"/>
              </w:rPr>
              <w:t>中粒：0.3mm-2.8mm</w:t>
            </w:r>
            <w:r>
              <w:rPr>
                <w:rFonts w:hint="eastAsia" w:asciiTheme="minorEastAsia" w:hAnsiTheme="minorEastAsia" w:eastAsiaTheme="minorEastAsia" w:cstheme="minorEastAsia"/>
                <w:i w:val="0"/>
                <w:iCs w:val="0"/>
                <w:color w:val="auto"/>
                <w:kern w:val="0"/>
                <w:sz w:val="28"/>
                <w:szCs w:val="28"/>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u w:val="none"/>
                <w:lang w:val="en-US" w:eastAsia="zh-CN" w:bidi="ar"/>
              </w:rPr>
              <w:t>小粒：0.15mm-0.85mm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白度/度</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氯化钠（以湿基计）/（g/100g）</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硫酸根/（g/100g）</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水分/（g/100g）</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水不溶物/（g/100g）</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≤0.07</w:t>
            </w:r>
          </w:p>
        </w:tc>
      </w:tr>
    </w:tbl>
    <w:p>
      <w:pPr>
        <w:pStyle w:val="19"/>
        <w:ind w:firstLine="0" w:firstLineChars="0"/>
        <w:rPr>
          <w:color w:val="auto"/>
        </w:rPr>
      </w:pPr>
    </w:p>
    <w:p>
      <w:pPr>
        <w:spacing w:line="520" w:lineRule="exact"/>
        <w:rPr>
          <w:rFonts w:ascii="宋体" w:hAnsi="宋体" w:cs="宋体"/>
          <w:color w:val="auto"/>
          <w:kern w:val="0"/>
          <w:sz w:val="24"/>
          <w:highlight w:val="none"/>
          <w:u w:val="single"/>
        </w:rPr>
      </w:pPr>
      <w:r>
        <w:rPr>
          <w:rFonts w:hint="eastAsia" w:ascii="宋体" w:hAnsi="宋体" w:cs="宋体"/>
          <w:color w:val="auto"/>
          <w:kern w:val="0"/>
          <w:sz w:val="24"/>
          <w:highlight w:val="none"/>
        </w:rPr>
        <w:tab/>
      </w:r>
      <w:r>
        <w:rPr>
          <w:rFonts w:hint="eastAsia" w:ascii="宋体" w:hAnsi="宋体" w:cs="宋体"/>
          <w:color w:val="auto"/>
          <w:kern w:val="0"/>
          <w:sz w:val="24"/>
          <w:highlight w:val="none"/>
        </w:rPr>
        <w:t>3.3</w:t>
      </w:r>
      <w:r>
        <w:rPr>
          <w:rFonts w:hint="eastAsia" w:ascii="宋体" w:hAnsi="宋体" w:cs="宋体"/>
          <w:color w:val="auto"/>
          <w:sz w:val="24"/>
          <w:highlight w:val="none"/>
        </w:rPr>
        <w:t>在产品出厂前，乙方应该对产品进行详细检验，并出具检验证明材料，该证明材料不作为货物质量最终是否</w:t>
      </w:r>
      <w:r>
        <w:rPr>
          <w:rFonts w:hint="eastAsia" w:ascii="宋体" w:hAnsi="宋体" w:cs="宋体"/>
          <w:color w:val="auto"/>
          <w:sz w:val="24"/>
          <w:highlight w:val="none"/>
          <w:lang w:val="en-US" w:eastAsia="zh-CN"/>
        </w:rPr>
        <w:t>达标</w:t>
      </w:r>
      <w:r>
        <w:rPr>
          <w:rFonts w:hint="eastAsia" w:ascii="宋体" w:hAnsi="宋体" w:cs="宋体"/>
          <w:color w:val="auto"/>
          <w:sz w:val="24"/>
          <w:highlight w:val="none"/>
        </w:rPr>
        <w:t>的依据，但可作为交货时双方进行交货现场检验的参考。</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3.4</w:t>
      </w:r>
      <w:r>
        <w:rPr>
          <w:rFonts w:hint="eastAsia" w:ascii="宋体" w:hAnsi="宋体" w:cs="宋体"/>
          <w:color w:val="auto"/>
          <w:kern w:val="0"/>
          <w:sz w:val="24"/>
          <w:highlight w:val="none"/>
        </w:rPr>
        <w:t>甲方有权对乙方提供的每车次货物进行抽样检测，</w:t>
      </w:r>
      <w:r>
        <w:rPr>
          <w:rFonts w:hint="eastAsia" w:ascii="宋体" w:hAnsi="宋体" w:cs="宋体"/>
          <w:color w:val="auto"/>
          <w:sz w:val="24"/>
          <w:highlight w:val="none"/>
        </w:rPr>
        <w:t>检测按照下列方式进行：</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3.4.1执行检验方法：</w:t>
      </w:r>
      <w:r>
        <w:rPr>
          <w:rFonts w:hint="eastAsia" w:ascii="宋体" w:hAnsi="宋体" w:cs="宋体"/>
          <w:color w:val="auto"/>
          <w:sz w:val="24"/>
          <w:highlight w:val="none"/>
          <w:u w:val="single"/>
          <w:lang w:val="en-US" w:eastAsia="zh-CN"/>
        </w:rPr>
        <w:t xml:space="preserve"> GB/T 5461-2016 </w:t>
      </w:r>
      <w:r>
        <w:rPr>
          <w:rFonts w:hint="eastAsia" w:ascii="宋体" w:hAnsi="宋体" w:cs="宋体"/>
          <w:color w:val="auto"/>
          <w:sz w:val="24"/>
          <w:highlight w:val="none"/>
        </w:rPr>
        <w:t>，若检验方法变更，则执行新的国家标准。</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3.4.2送货记录需经甲、乙双方在场共同确认完成并签字。</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3.4.3抽样检测：甲方化验室对</w:t>
      </w:r>
      <w:r>
        <w:rPr>
          <w:rFonts w:hint="eastAsia" w:ascii="宋体" w:hAnsi="宋体" w:cs="宋体"/>
          <w:color w:val="auto"/>
          <w:kern w:val="0"/>
          <w:sz w:val="24"/>
          <w:highlight w:val="none"/>
        </w:rPr>
        <w:t>乙方提供并</w:t>
      </w:r>
      <w:r>
        <w:rPr>
          <w:rFonts w:hint="eastAsia" w:ascii="宋体" w:hAnsi="宋体" w:cs="宋体"/>
          <w:color w:val="auto"/>
          <w:sz w:val="24"/>
          <w:highlight w:val="none"/>
        </w:rPr>
        <w:t>交货</w:t>
      </w:r>
      <w:r>
        <w:rPr>
          <w:rFonts w:hint="eastAsia" w:ascii="宋体" w:hAnsi="宋体" w:cs="宋体"/>
          <w:color w:val="auto"/>
          <w:kern w:val="0"/>
          <w:sz w:val="24"/>
          <w:highlight w:val="none"/>
        </w:rPr>
        <w:t>的货物进行抽样检测</w:t>
      </w:r>
      <w:r>
        <w:rPr>
          <w:rFonts w:hint="eastAsia" w:ascii="宋体" w:hAnsi="宋体" w:cs="宋体"/>
          <w:color w:val="auto"/>
          <w:sz w:val="24"/>
          <w:highlight w:val="none"/>
        </w:rPr>
        <w:t>。</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3.4.4抽样方法：必须在槽车上或卸货过程中，以甲方辖下分/子公司确认的</w:t>
      </w:r>
      <w:r>
        <w:rPr>
          <w:rFonts w:hint="eastAsia" w:ascii="宋体" w:hAnsi="宋体" w:cs="宋体"/>
          <w:color w:val="auto"/>
          <w:sz w:val="24"/>
          <w:highlight w:val="none"/>
          <w:u w:val="single"/>
          <w:lang w:val="en-US" w:eastAsia="zh-CN"/>
        </w:rPr>
        <w:t xml:space="preserve"> GB/T 5461-2016 </w:t>
      </w:r>
      <w:r>
        <w:rPr>
          <w:rFonts w:hint="eastAsia" w:ascii="宋体" w:hAnsi="宋体" w:cs="宋体"/>
          <w:color w:val="auto"/>
          <w:sz w:val="24"/>
          <w:highlight w:val="none"/>
        </w:rPr>
        <w:t>取样方法进行货物样品采集（如使用桶、袋装的药剂，随机抽取），抽取3份混合后平行样品，3份样品按照规定保存于甲方辖下各分（子）公司化验室，乙方如需留存该车次样品，须按照上述确定的取样方法进行现场同步取样。</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3.4.5甲方分析和保存样品的分样与储存：分装于清洁、干燥的取样瓶（袋）中。取样瓶（袋）应用标签将封口密封，标签上应标明生产厂家、批号、采集日期，甲方辖下</w:t>
      </w:r>
      <w:r>
        <w:rPr>
          <w:rFonts w:hint="eastAsia" w:ascii="宋体" w:hAnsi="宋体" w:cs="宋体"/>
          <w:color w:val="auto"/>
          <w:sz w:val="24"/>
          <w:highlight w:val="none"/>
          <w:u w:val="single"/>
        </w:rPr>
        <w:t>子/分公司</w:t>
      </w:r>
      <w:r>
        <w:rPr>
          <w:rFonts w:hint="eastAsia" w:ascii="宋体" w:hAnsi="宋体" w:cs="宋体"/>
          <w:color w:val="auto"/>
          <w:sz w:val="24"/>
          <w:highlight w:val="none"/>
        </w:rPr>
        <w:t>和乙方共同在标签上签名确认。</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3.4.6留样：采集的三份留样样品由甲方化验室按规定留存。</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3.5</w:t>
      </w:r>
      <w:r>
        <w:rPr>
          <w:rFonts w:hint="eastAsia" w:ascii="宋体" w:hAnsi="宋体" w:cs="宋体"/>
          <w:color w:val="auto"/>
          <w:sz w:val="24"/>
          <w:highlight w:val="none"/>
        </w:rPr>
        <w:t>第三方检测机构检测</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3.5.1对于</w:t>
      </w:r>
      <w:r>
        <w:rPr>
          <w:rFonts w:hint="eastAsia" w:ascii="宋体" w:hAnsi="宋体" w:cs="宋体"/>
          <w:color w:val="auto"/>
          <w:sz w:val="24"/>
          <w:highlight w:val="none"/>
        </w:rPr>
        <w:t>乙方在本合同签订后送至甲方辖下分/子公司的第一车次的货物，由甲方将甲、乙双方共同确认的该车次乙方货物样品送至具有CMA资格认证的第三方检测机构进行检测，此外，</w:t>
      </w:r>
      <w:r>
        <w:rPr>
          <w:rFonts w:hint="eastAsia" w:ascii="宋体" w:hAnsi="宋体" w:cs="宋体"/>
          <w:bCs/>
          <w:color w:val="auto"/>
          <w:sz w:val="24"/>
          <w:highlight w:val="none"/>
        </w:rPr>
        <w:t>甲方还有权不定期将乙方的药剂抽样送至具有CMA资格认证的第三方检测机构进行检测</w:t>
      </w:r>
      <w:r>
        <w:rPr>
          <w:rFonts w:hint="eastAsia" w:ascii="宋体" w:hAnsi="宋体" w:cs="宋体"/>
          <w:color w:val="auto"/>
          <w:sz w:val="24"/>
          <w:highlight w:val="none"/>
        </w:rPr>
        <w:t>。如乙方货物样品检测结果不符合</w:t>
      </w:r>
      <w:r>
        <w:rPr>
          <w:rFonts w:hint="eastAsia" w:ascii="宋体" w:hAnsi="宋体" w:cs="宋体"/>
          <w:color w:val="auto"/>
          <w:kern w:val="0"/>
          <w:sz w:val="24"/>
          <w:highlight w:val="none"/>
        </w:rPr>
        <w:t>本合同要求、国家标准或化工行业相关最新标准，相关检测费用由甲方垫付，并在乙方结算货款内扣除。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若甲方化验室检测某一车次乙方货物样品不</w:t>
      </w:r>
      <w:r>
        <w:rPr>
          <w:rFonts w:hint="eastAsia" w:ascii="宋体" w:hAnsi="宋体" w:cs="宋体"/>
          <w:color w:val="auto"/>
          <w:kern w:val="0"/>
          <w:sz w:val="24"/>
          <w:highlight w:val="none"/>
        </w:rPr>
        <w:t>符合本合同要求、国家标准或化工行业相关最新标准</w:t>
      </w:r>
      <w:r>
        <w:rPr>
          <w:rFonts w:hint="eastAsia" w:ascii="宋体" w:hAnsi="宋体" w:cs="宋体"/>
          <w:color w:val="auto"/>
          <w:sz w:val="24"/>
          <w:highlight w:val="none"/>
        </w:rPr>
        <w:t xml:space="preserve">，则由甲方将甲、乙双方共同确认的该车次乙方货物样品，送至具有CMA资格认证的第三方检测机构进行检测，相关检测费用由甲方垫付，并在乙方结算货款内扣除。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3.5.2甲乙双方对第三方检测机构的检测结果均不得提出异议。</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3.5.3若第三方检测机构对所供货物检测的结果不符合本合同约定的，则检测结果视为</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，甲方可要求乙方对产品进行改善并按以下</w:t>
      </w:r>
      <w:r>
        <w:rPr>
          <w:rFonts w:hint="eastAsia" w:ascii="宋体" w:hAnsi="宋体" w:cs="宋体"/>
          <w:color w:val="auto"/>
          <w:sz w:val="24"/>
          <w:highlight w:val="none"/>
          <w:u w:val="single"/>
        </w:rPr>
        <w:t>（1）</w:t>
      </w:r>
      <w:r>
        <w:rPr>
          <w:rFonts w:hint="eastAsia" w:ascii="宋体" w:hAnsi="宋体" w:cs="宋体"/>
          <w:color w:val="auto"/>
          <w:sz w:val="24"/>
          <w:highlight w:val="none"/>
        </w:rPr>
        <w:t>种方式进行扣罚：</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 当次车次检测</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，扣除该车次的药剂费用，并扣罚乙方10000元作为违约金。年度累计检测</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车次达5次，甲方有权扣除乙方100%合同履约保证金并单方即时解除本合同。</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违约金优先在结算货款内扣除，如当月货款无法抵销违约金扣罚的，将在次月的结算货款内扣除；     </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（2）当次车次检测</w:t>
      </w:r>
      <w:r>
        <w:rPr>
          <w:rFonts w:hint="eastAsia" w:ascii="宋体" w:hAnsi="宋体" w:cs="宋体"/>
          <w:color w:val="auto"/>
          <w:sz w:val="24"/>
          <w:highlight w:val="none"/>
          <w:lang w:val="en-US" w:eastAsia="zh-CN"/>
        </w:rPr>
        <w:t>不达标</w:t>
      </w:r>
      <w:r>
        <w:rPr>
          <w:rFonts w:hint="eastAsia" w:ascii="宋体" w:hAnsi="宋体" w:cs="宋体"/>
          <w:color w:val="auto"/>
          <w:kern w:val="0"/>
          <w:sz w:val="24"/>
          <w:highlight w:val="none"/>
        </w:rPr>
        <w:t>，扣除该车次的药剂费用，并扣罚乙方2000元作为违约金。</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年度累计检测不</w:t>
      </w:r>
      <w:r>
        <w:rPr>
          <w:rFonts w:hint="eastAsia" w:ascii="宋体" w:hAnsi="宋体" w:cs="宋体"/>
          <w:color w:val="auto"/>
          <w:kern w:val="0"/>
          <w:sz w:val="24"/>
          <w:highlight w:val="none"/>
          <w:lang w:val="en-US" w:eastAsia="zh-CN"/>
        </w:rPr>
        <w:t>达标</w:t>
      </w:r>
      <w:r>
        <w:rPr>
          <w:rFonts w:hint="eastAsia" w:ascii="宋体" w:hAnsi="宋体" w:cs="宋体"/>
          <w:color w:val="auto"/>
          <w:kern w:val="0"/>
          <w:sz w:val="24"/>
          <w:highlight w:val="none"/>
        </w:rPr>
        <w:t>车次达5次，甲方有权扣除乙方100%合同履约保证金并单方即时解除本合同。</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违约金优先在结算货款内扣除，如当月货款无法抵销违约金扣罚的，将在次月的结算货款内扣除；</w:t>
      </w:r>
    </w:p>
    <w:p>
      <w:pPr>
        <w:numPr>
          <w:ilvl w:val="0"/>
          <w:numId w:val="0"/>
        </w:numPr>
        <w:spacing w:line="520" w:lineRule="exact"/>
        <w:ind w:firstLine="480" w:firstLineChars="200"/>
        <w:jc w:val="left"/>
        <w:rPr>
          <w:rFonts w:ascii="宋体" w:hAnsi="宋体" w:cs="宋体"/>
          <w:color w:val="auto"/>
          <w:kern w:val="2"/>
          <w:sz w:val="24"/>
          <w:highlight w:val="none"/>
        </w:rPr>
      </w:pPr>
      <w:r>
        <w:rPr>
          <w:rFonts w:hint="eastAsia" w:ascii="宋体" w:hAnsi="宋体" w:cs="宋体"/>
          <w:color w:val="auto"/>
          <w:kern w:val="0"/>
          <w:sz w:val="24"/>
          <w:highlight w:val="none"/>
        </w:rPr>
        <w:t>3.5.4</w:t>
      </w:r>
      <w:r>
        <w:rPr>
          <w:rFonts w:hint="eastAsia" w:ascii="宋体" w:hAnsi="宋体" w:cs="宋体"/>
          <w:color w:val="auto"/>
          <w:sz w:val="24"/>
          <w:highlight w:val="none"/>
        </w:rPr>
        <w:t>乙方可于收到甲方通知后</w:t>
      </w:r>
      <w:r>
        <w:rPr>
          <w:rFonts w:hint="eastAsia" w:ascii="宋体" w:hAnsi="宋体" w:cs="宋体"/>
          <w:color w:val="auto"/>
          <w:sz w:val="24"/>
          <w:highlight w:val="none"/>
          <w:u w:val="single"/>
          <w:lang w:eastAsia="zh-CN"/>
        </w:rPr>
        <w:t>2</w:t>
      </w:r>
      <w:r>
        <w:rPr>
          <w:rFonts w:hint="eastAsia" w:ascii="宋体" w:hAnsi="宋体" w:cs="宋体"/>
          <w:color w:val="auto"/>
          <w:sz w:val="24"/>
          <w:highlight w:val="none"/>
          <w:u w:val="single"/>
          <w:lang w:val="en-US" w:eastAsia="zh-CN"/>
        </w:rPr>
        <w:t>4小时</w:t>
      </w:r>
      <w:r>
        <w:rPr>
          <w:rFonts w:hint="eastAsia" w:ascii="宋体" w:hAnsi="宋体" w:cs="宋体"/>
          <w:color w:val="auto"/>
          <w:sz w:val="24"/>
          <w:highlight w:val="none"/>
        </w:rPr>
        <w:t>内，自行取回甲方尚未使用的</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药剂并承担全部所需费用；逾期未取回的，视为放弃该药剂的所有权，甲方有权自行处置。</w:t>
      </w:r>
    </w:p>
    <w:p>
      <w:pPr>
        <w:numPr>
          <w:ilvl w:val="255"/>
          <w:numId w:val="0"/>
        </w:numPr>
        <w:spacing w:line="520" w:lineRule="exact"/>
        <w:ind w:firstLine="560" w:firstLineChars="200"/>
        <w:rPr>
          <w:rFonts w:ascii="宋体" w:hAnsi="宋体" w:cs="宋体"/>
          <w:b/>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b/>
          <w:color w:val="auto"/>
          <w:sz w:val="28"/>
          <w:szCs w:val="28"/>
          <w:highlight w:val="none"/>
        </w:rPr>
        <w:t>第四条 考核办法</w:t>
      </w:r>
    </w:p>
    <w:p>
      <w:pPr>
        <w:spacing w:line="520" w:lineRule="exact"/>
        <w:rPr>
          <w:rFonts w:ascii="宋体" w:hAnsi="宋体" w:cs="宋体"/>
          <w:b/>
          <w:color w:val="auto"/>
          <w:sz w:val="28"/>
          <w:szCs w:val="28"/>
          <w:highlight w:val="none"/>
        </w:rPr>
      </w:pPr>
      <w:r>
        <w:rPr>
          <w:rFonts w:hint="eastAsia" w:ascii="宋体" w:hAnsi="宋体" w:cs="宋体"/>
          <w:bCs/>
          <w:color w:val="auto"/>
          <w:sz w:val="28"/>
          <w:szCs w:val="28"/>
          <w:highlight w:val="none"/>
        </w:rPr>
        <w:t xml:space="preserve">    4.1本合同考核评价按附表</w:t>
      </w:r>
      <w:r>
        <w:rPr>
          <w:rFonts w:hint="eastAsia" w:ascii="宋体" w:hAnsi="宋体" w:cs="宋体"/>
          <w:bCs/>
          <w:color w:val="auto"/>
          <w:sz w:val="28"/>
          <w:szCs w:val="28"/>
          <w:highlight w:val="none"/>
          <w:u w:val="single"/>
          <w:lang w:val="en-US" w:eastAsia="zh-CN"/>
        </w:rPr>
        <w:t>1</w:t>
      </w:r>
      <w:r>
        <w:rPr>
          <w:rFonts w:hint="eastAsia" w:ascii="宋体" w:hAnsi="宋体" w:cs="宋体"/>
          <w:bCs/>
          <w:color w:val="auto"/>
          <w:sz w:val="28"/>
          <w:szCs w:val="28"/>
          <w:highlight w:val="none"/>
        </w:rPr>
        <w:t>为标准。</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4.2考核期限</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xml:space="preserve">    供货期间甲方辖下各分（子）公司将对乙方的供货服务及货物质量进行不定期的考核，考核时间以甲方辖下各分（子）公司确认为准，考核次数为每6个月考核不少于1次；若合同签订期限未满6个月，则合同期内考核不少于1次。</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ab/>
      </w:r>
      <w:r>
        <w:rPr>
          <w:rFonts w:hint="eastAsia" w:ascii="宋体" w:hAnsi="宋体" w:cs="宋体"/>
          <w:color w:val="auto"/>
          <w:sz w:val="28"/>
          <w:szCs w:val="28"/>
          <w:highlight w:val="none"/>
        </w:rPr>
        <w:t>4.3考核评价办法</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ab/>
      </w:r>
      <w:r>
        <w:rPr>
          <w:rFonts w:hint="eastAsia" w:ascii="宋体" w:hAnsi="宋体" w:cs="宋体"/>
          <w:color w:val="auto"/>
          <w:sz w:val="28"/>
          <w:szCs w:val="28"/>
          <w:highlight w:val="none"/>
        </w:rPr>
        <w:t>考核得分在80分以上为合格（不含80分）。若等于或者低于80分，甲方有权立即解除合同，并扣除乙方全部履约保证金，同时根据损失情况可要求乙方承担赔偿责任。</w:t>
      </w:r>
    </w:p>
    <w:p>
      <w:pPr>
        <w:spacing w:line="520" w:lineRule="exact"/>
        <w:rPr>
          <w:rFonts w:ascii="宋体" w:hAnsi="宋体" w:cs="宋体"/>
          <w:color w:val="auto"/>
          <w:kern w:val="0"/>
          <w:sz w:val="28"/>
          <w:szCs w:val="28"/>
          <w:highlight w:val="none"/>
        </w:rPr>
      </w:pPr>
      <w:r>
        <w:rPr>
          <w:rFonts w:hint="eastAsia" w:ascii="宋体" w:hAnsi="宋体" w:cs="宋体"/>
          <w:color w:val="auto"/>
          <w:sz w:val="28"/>
          <w:szCs w:val="28"/>
          <w:highlight w:val="none"/>
        </w:rPr>
        <w:tab/>
      </w:r>
      <w:r>
        <w:rPr>
          <w:rFonts w:hint="eastAsia" w:ascii="宋体" w:hAnsi="宋体" w:cs="宋体"/>
          <w:b/>
          <w:color w:val="auto"/>
          <w:sz w:val="28"/>
          <w:szCs w:val="28"/>
          <w:highlight w:val="none"/>
        </w:rPr>
        <w:t>第五条 双方的权利和义务</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ab/>
      </w:r>
      <w:r>
        <w:rPr>
          <w:rFonts w:hint="eastAsia" w:ascii="宋体" w:hAnsi="宋体" w:cs="宋体"/>
          <w:color w:val="auto"/>
          <w:sz w:val="28"/>
          <w:szCs w:val="28"/>
          <w:highlight w:val="none"/>
        </w:rPr>
        <w:t>5.1甲方的权利和义务</w:t>
      </w:r>
    </w:p>
    <w:p>
      <w:pPr>
        <w:spacing w:line="520" w:lineRule="exact"/>
        <w:ind w:firstLine="490" w:firstLineChars="175"/>
        <w:rPr>
          <w:rFonts w:ascii="宋体" w:hAnsi="宋体" w:cs="宋体"/>
          <w:color w:val="auto"/>
          <w:sz w:val="28"/>
          <w:szCs w:val="28"/>
          <w:highlight w:val="none"/>
        </w:rPr>
      </w:pPr>
      <w:r>
        <w:rPr>
          <w:rFonts w:hint="eastAsia" w:ascii="宋体" w:hAnsi="宋体" w:cs="宋体"/>
          <w:color w:val="auto"/>
          <w:sz w:val="28"/>
          <w:szCs w:val="28"/>
          <w:highlight w:val="none"/>
        </w:rPr>
        <w:t>5.1.1有权对乙方提供产品进行督导，对于乙方不履行合同、不正确履行合同、不完全履行合同等行为，甲方有权要求乙方立即更正，并采取其他补救措施。</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ab/>
      </w:r>
      <w:r>
        <w:rPr>
          <w:rFonts w:hint="eastAsia" w:ascii="宋体" w:hAnsi="宋体" w:cs="宋体"/>
          <w:color w:val="auto"/>
          <w:sz w:val="28"/>
          <w:szCs w:val="28"/>
          <w:highlight w:val="none"/>
        </w:rPr>
        <w:t>5.1.2有权到乙方生产现场校验未交接货物。</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5.1.3甲方有权不定期将货物样品送至具有CMA资格认证的第三方检测机构进行检测，如检测结果不符合本合同约定的，甲方将按本合同3.5条款对乙方进行处罚。</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5.1.4有权调配供货量至甲方下属各分/子公司。</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5.1.5按合同规定的其他权利和义务。</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5.2乙方的权利和义务</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5.2.1乙方须保证供货量能达到甲方（询价文件）要求的标的总供货需求量。</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5.2.2按照合同约定对货物进行包装、装运和运输，服从甲方安排，在厂区指定位置，按时保质交付货物。</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5.2.3乙方按照合同要求提供技术人员进行技术支持服务。</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5.2.4乙方提供每批货物的生产厂家出厂合格证书及有关供货说明文件。</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5.2.5接受甲方监督，接受支付款项。</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5.2.6本合同规定的其他权利和义务。</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第六条 合同总价及结算方式</w:t>
      </w:r>
    </w:p>
    <w:p>
      <w:pPr>
        <w:tabs>
          <w:tab w:val="left" w:pos="851"/>
        </w:tabs>
        <w:adjustRightInd w:val="0"/>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6.1合同暂定总价为____________元（大写：_______________）。</w:t>
      </w:r>
    </w:p>
    <w:p>
      <w:pPr>
        <w:tabs>
          <w:tab w:val="left" w:pos="851"/>
        </w:tabs>
        <w:adjustRightInd w:val="0"/>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本合同约定的价格为含税价价格（税率</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），合同履行期间国家税率调整或乙方开票的实际税率与前述税率不一致的，不含税价不变，价税合计按实际税率相应调整，以开具发票的时间为准。</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6.2本合同计价按以下（1）方式：</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（1）乙方按每吨</w:t>
      </w:r>
      <w:r>
        <w:rPr>
          <w:rFonts w:hint="eastAsia" w:ascii="宋体" w:hAnsi="宋体" w:cs="宋体"/>
          <w:color w:val="auto"/>
          <w:sz w:val="24"/>
          <w:highlight w:val="none"/>
          <w:u w:val="single"/>
          <w:lang w:val="en-US" w:eastAsia="zh-CN"/>
        </w:rPr>
        <w:t>食用盐</w:t>
      </w:r>
      <w:r>
        <w:rPr>
          <w:rFonts w:hint="eastAsia" w:ascii="宋体" w:hAnsi="宋体" w:cs="宋体"/>
          <w:color w:val="auto"/>
          <w:sz w:val="24"/>
          <w:highlight w:val="none"/>
        </w:rPr>
        <w:t>（药剂）计价，单价为_______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2）乙方按每吨干污泥的单价包干报价，单价为_______元/吨。该报价应包括：货物出厂价、运至合同指定地点的包装费、运输费、装卸入仓的费用（甲方辖下分/子公司免费提供仓储服务）、乙方服务小组的驻场服务费、调试检验费及需向政府缴纳的各项税费。</w:t>
      </w:r>
    </w:p>
    <w:p>
      <w:pPr>
        <w:spacing w:line="520" w:lineRule="exact"/>
        <w:ind w:firstLine="424" w:firstLineChars="177"/>
        <w:jc w:val="left"/>
        <w:rPr>
          <w:rFonts w:ascii="宋体" w:hAnsi="宋体" w:cs="宋体"/>
          <w:color w:val="auto"/>
          <w:sz w:val="24"/>
          <w:highlight w:val="none"/>
        </w:rPr>
      </w:pPr>
      <w:r>
        <w:rPr>
          <w:rFonts w:hint="eastAsia" w:ascii="宋体" w:hAnsi="宋体" w:cs="宋体"/>
          <w:color w:val="auto"/>
          <w:sz w:val="24"/>
          <w:highlight w:val="none"/>
        </w:rPr>
        <w:t>6.3由甲方/</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子公司进行本合同药剂费用支付。</w:t>
      </w:r>
    </w:p>
    <w:p>
      <w:p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6.4本合同结算按以下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方式：</w:t>
      </w:r>
    </w:p>
    <w:p>
      <w:pPr>
        <w:numPr>
          <w:ilvl w:val="0"/>
          <w:numId w:val="6"/>
        </w:num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以甲方地磅数的实际重量结算，若甲方地磅数大于乙方出厂送货单地磅数，以乙方出厂送货单地磅数结算。</w:t>
      </w:r>
    </w:p>
    <w:p>
      <w:pPr>
        <w:numPr>
          <w:ilvl w:val="0"/>
          <w:numId w:val="6"/>
        </w:num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以当月外运污泥总数*（乘以）当月甲方化验室检测平均含水率结果折算成纯干污泥量进行结算支付，甲方按合同单价乘以纯干污泥量每月与乙方结算一次。乙方根据结算金额开具等额增值税专用发票（或经甲方认可的国家合法的商品发票），交甲方办理付款手续。（干污泥的计算方法详见招标文件投标人须知的有关规定）</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6.5甲方与乙方按照实际供货量结算，甲方按合同单价每月与乙方结算一次。乙方应在每月</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日前将结算表以书面形式交付甲方，若甲方对结算内容有异议，应书面回复乙方。乙方根据甲方确认的结算金额开具等额</w:t>
      </w:r>
      <w:r>
        <w:rPr>
          <w:rFonts w:hint="eastAsia" w:ascii="宋体" w:hAnsi="宋体" w:cs="宋体"/>
          <w:color w:val="auto"/>
          <w:sz w:val="24"/>
          <w:highlight w:val="none"/>
          <w:u w:val="single"/>
        </w:rPr>
        <w:t>增值税专用发票</w:t>
      </w:r>
      <w:r>
        <w:rPr>
          <w:rFonts w:hint="eastAsia" w:ascii="宋体" w:hAnsi="宋体" w:cs="宋体"/>
          <w:color w:val="auto"/>
          <w:sz w:val="24"/>
          <w:highlight w:val="none"/>
        </w:rPr>
        <w:t>（或经甲方认可的国家合法的商品发票），交甲方办理付款手续。</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6.6乙方收款账户：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开户行：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2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乙方在收款前需向甲方提交等额增值税专用发票，增值税专用发票信息：</w:t>
      </w:r>
    </w:p>
    <w:p>
      <w:pPr>
        <w:spacing w:line="520" w:lineRule="exact"/>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名称：广州市净水有限公司</w:t>
      </w:r>
    </w:p>
    <w:p>
      <w:pPr>
        <w:spacing w:line="520" w:lineRule="exact"/>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纳税人识别号：91440101755584729Q</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地址、电话：广州市天河区临江大道501号；020-38890283</w:t>
      </w:r>
    </w:p>
    <w:p>
      <w:pPr>
        <w:spacing w:line="520" w:lineRule="exact"/>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开户行：民生银行广州分行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账号：0301014140006932</w:t>
      </w:r>
      <w:r>
        <w:rPr>
          <w:rFonts w:hint="eastAsia" w:ascii="宋体" w:hAnsi="宋体" w:cs="宋体"/>
          <w:color w:val="auto"/>
          <w:sz w:val="24"/>
          <w:highlight w:val="none"/>
        </w:rPr>
        <w:t xml:space="preserve"> </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第七条 包装、装运和运输</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7.1乙方负责把货物安全运到交货地点。</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7.3包装方式由乙方负责，因包装方式不当对货物造成损坏的（包括货物质量、安全责任、财产损失等），均由乙方负责。</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7.4乙方运输过程应防止药剂雨淋、受潮，并避免有毒物品的污染。投药过程需做好无缝对接措施，确保药液不外泄。交货期间所需办理的所有手续及费用由乙方自行负责，甲方不提供任何文件及协助。</w:t>
      </w:r>
    </w:p>
    <w:p>
      <w:pPr>
        <w:spacing w:line="520" w:lineRule="exact"/>
        <w:ind w:firstLine="410"/>
        <w:rPr>
          <w:rFonts w:ascii="宋体" w:hAnsi="宋体" w:cs="宋体"/>
          <w:color w:val="auto"/>
          <w:sz w:val="24"/>
          <w:highlight w:val="none"/>
        </w:rPr>
      </w:pPr>
      <w:r>
        <w:rPr>
          <w:rFonts w:hint="eastAsia" w:ascii="宋体" w:hAnsi="宋体" w:cs="宋体"/>
          <w:color w:val="auto"/>
          <w:sz w:val="24"/>
          <w:highlight w:val="none"/>
        </w:rPr>
        <w:t>7.5乙方车辆运输</w:t>
      </w:r>
      <w:r>
        <w:rPr>
          <w:rFonts w:hint="eastAsia" w:ascii="宋体" w:hAnsi="宋体" w:cs="宋体"/>
          <w:color w:val="auto"/>
          <w:sz w:val="24"/>
          <w:highlight w:val="none"/>
          <w:u w:val="single"/>
          <w:lang w:val="en-US" w:eastAsia="zh-CN"/>
        </w:rPr>
        <w:t>食用盐</w:t>
      </w:r>
      <w:r>
        <w:rPr>
          <w:rFonts w:hint="eastAsia" w:ascii="宋体" w:hAnsi="宋体" w:cs="宋体"/>
          <w:color w:val="auto"/>
          <w:sz w:val="24"/>
          <w:highlight w:val="none"/>
        </w:rPr>
        <w:t>产品时必须合法合规，其运输荷载要根据甲方现场情况调整，因乙方原因造成的甲方或第三方损失的一切责任由乙方承担。</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第八条 交货要求</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8.1交货时间：</w:t>
      </w:r>
      <w:r>
        <w:rPr>
          <w:rFonts w:hint="eastAsia" w:ascii="宋体" w:hAnsi="宋体" w:cs="宋体"/>
          <w:bCs/>
          <w:color w:val="auto"/>
          <w:sz w:val="24"/>
          <w:highlight w:val="none"/>
        </w:rPr>
        <w:t>合同期内甲方提前24小时以传真或电子邮件（短信或微信）等形式通知乙方交货时间、名称、型号、数量，乙方必须按要求送货。</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8.2乙方必须在交货时一并提供每批货物的质量合格证书、使用说明书等附随资料，内容包括：生产名称、生产日期、净含量等，产品必须符合</w:t>
      </w:r>
      <w:r>
        <w:rPr>
          <w:rFonts w:hint="eastAsia" w:ascii="宋体" w:hAnsi="宋体" w:cs="宋体"/>
          <w:color w:val="auto"/>
          <w:kern w:val="0"/>
          <w:sz w:val="24"/>
          <w:highlight w:val="none"/>
        </w:rPr>
        <w:t>国家标准或化工行业相关最新标准</w:t>
      </w:r>
      <w:r>
        <w:rPr>
          <w:rFonts w:hint="eastAsia" w:ascii="宋体" w:hAnsi="宋体" w:cs="宋体"/>
          <w:color w:val="auto"/>
          <w:sz w:val="24"/>
          <w:highlight w:val="none"/>
        </w:rPr>
        <w:t>，证明及标准编号，经甲方检验货物的基本资料合格后方能交付。货物毁损、灭失的风险，在交付前由乙方承担。</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8.3</w:t>
      </w:r>
      <w:r>
        <w:rPr>
          <w:rFonts w:hint="eastAsia" w:ascii="宋体" w:hAnsi="宋体" w:cs="宋体"/>
          <w:bCs/>
          <w:color w:val="auto"/>
          <w:sz w:val="24"/>
          <w:highlight w:val="none"/>
        </w:rPr>
        <w:t>乙方随货开具送货单交甲方盖章或签字，送货单一式两份，双方各执一份。</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 xml:space="preserve">    第九条 履约担保</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9.1履约担保提交时间按</w:t>
      </w:r>
      <w:r>
        <w:rPr>
          <w:rFonts w:hint="eastAsia" w:ascii="宋体" w:hAnsi="宋体" w:cs="宋体"/>
          <w:color w:val="auto"/>
          <w:sz w:val="24"/>
          <w:highlight w:val="none"/>
          <w:u w:val="single"/>
        </w:rPr>
        <w:t>（1）</w:t>
      </w:r>
      <w:r>
        <w:rPr>
          <w:rFonts w:hint="eastAsia" w:ascii="宋体" w:hAnsi="宋体" w:cs="宋体"/>
          <w:color w:val="auto"/>
          <w:sz w:val="24"/>
          <w:highlight w:val="none"/>
        </w:rPr>
        <w:t>执行。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（1）乙方在签订合同前，应向甲方提交履约担保，担保金为合同暂定总价的</w:t>
      </w:r>
      <w:r>
        <w:rPr>
          <w:rFonts w:hint="eastAsia" w:ascii="宋体" w:hAnsi="宋体" w:cs="宋体"/>
          <w:color w:val="auto"/>
          <w:sz w:val="24"/>
          <w:highlight w:val="none"/>
          <w:u w:val="single"/>
        </w:rPr>
        <w:t>10％</w:t>
      </w:r>
      <w:r>
        <w:rPr>
          <w:rFonts w:hint="eastAsia" w:ascii="宋体" w:hAnsi="宋体" w:cs="宋体"/>
          <w:color w:val="auto"/>
          <w:sz w:val="24"/>
          <w:highlight w:val="none"/>
        </w:rPr>
        <w:t>，即人民币__________元（按询价文件要求）。</w:t>
      </w:r>
    </w:p>
    <w:p>
      <w:p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乙方在签订合同后15个工作日内提交履约担保，担保金为合同暂定总价的10%，即人民币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元。未按时提供的，甲方有权解除合同并要求乙方支付违约金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pPr>
        <w:pStyle w:val="17"/>
        <w:spacing w:before="0" w:beforeAutospacing="0" w:after="0" w:afterAutospacing="0" w:line="520" w:lineRule="exact"/>
        <w:ind w:firstLine="480"/>
        <w:rPr>
          <w:color w:val="auto"/>
          <w:highlight w:val="none"/>
        </w:rPr>
      </w:pPr>
      <w:r>
        <w:rPr>
          <w:rFonts w:hint="eastAsia"/>
          <w:color w:val="auto"/>
          <w:highlight w:val="none"/>
        </w:rPr>
        <w:t>9.2</w:t>
      </w:r>
      <w:r>
        <w:rPr>
          <w:color w:val="auto"/>
          <w:highlight w:val="none"/>
        </w:rPr>
        <w:t>履约担保</w:t>
      </w:r>
      <w:r>
        <w:rPr>
          <w:rFonts w:hint="eastAsia"/>
          <w:color w:val="auto"/>
          <w:highlight w:val="none"/>
        </w:rPr>
        <w:t>按以下任一种形式提供</w:t>
      </w:r>
      <w:r>
        <w:rPr>
          <w:color w:val="auto"/>
          <w:highlight w:val="none"/>
        </w:rPr>
        <w:t>：</w:t>
      </w:r>
    </w:p>
    <w:p>
      <w:pPr>
        <w:pStyle w:val="17"/>
        <w:spacing w:before="0" w:beforeAutospacing="0" w:after="0" w:afterAutospacing="0" w:line="520" w:lineRule="exact"/>
        <w:ind w:firstLine="480"/>
        <w:rPr>
          <w:color w:val="auto"/>
          <w:highlight w:val="none"/>
        </w:rPr>
      </w:pPr>
      <w:r>
        <w:rPr>
          <w:rFonts w:hint="eastAsia"/>
          <w:color w:val="auto"/>
          <w:highlight w:val="none"/>
        </w:rPr>
        <w:t>1、符合甲方要求（详见附件</w:t>
      </w:r>
      <w:r>
        <w:rPr>
          <w:rFonts w:hint="eastAsia"/>
          <w:color w:val="auto"/>
          <w:highlight w:val="none"/>
          <w:lang w:val="en-US" w:eastAsia="zh-CN"/>
        </w:rPr>
        <w:t>7</w:t>
      </w:r>
      <w:r>
        <w:rPr>
          <w:rFonts w:hint="eastAsia"/>
          <w:color w:val="auto"/>
          <w:highlight w:val="none"/>
        </w:rPr>
        <w:t>保函格式）的银行独立保函，</w:t>
      </w:r>
    </w:p>
    <w:p>
      <w:pPr>
        <w:pStyle w:val="17"/>
        <w:spacing w:before="0" w:beforeAutospacing="0" w:after="0" w:afterAutospacing="0" w:line="520" w:lineRule="exact"/>
        <w:ind w:firstLine="480"/>
        <w:rPr>
          <w:color w:val="auto"/>
          <w:highlight w:val="none"/>
        </w:rPr>
      </w:pPr>
      <w:r>
        <w:rPr>
          <w:rFonts w:hint="eastAsia"/>
          <w:color w:val="auto"/>
          <w:highlight w:val="none"/>
        </w:rPr>
        <w:t>2、现金转账至甲方以下指定账户：</w:t>
      </w:r>
    </w:p>
    <w:p>
      <w:pPr>
        <w:tabs>
          <w:tab w:val="left" w:pos="1995"/>
        </w:tabs>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账号：82010154900000342</w:t>
      </w:r>
    </w:p>
    <w:p>
      <w:pPr>
        <w:tabs>
          <w:tab w:val="left" w:pos="1995"/>
        </w:tabs>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20" w:lineRule="exact"/>
        <w:ind w:firstLine="420"/>
        <w:rPr>
          <w:rFonts w:ascii="宋体" w:hAnsi="宋体" w:cs="宋体"/>
          <w:color w:val="auto"/>
          <w:sz w:val="24"/>
          <w:highlight w:val="none"/>
        </w:rPr>
      </w:pPr>
      <w:r>
        <w:rPr>
          <w:rFonts w:hint="eastAsia" w:ascii="宋体" w:hAnsi="宋体" w:cs="宋体"/>
          <w:color w:val="auto"/>
          <w:sz w:val="24"/>
          <w:highlight w:val="none"/>
        </w:rPr>
        <w:t>9.3履约担保的担保期限和返还</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9.3.1履约银行保函（或现金履约保证金）的担保期限：从提供履约担保（或转账成功）之日起至合同履行完成。</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9.3.2履约银行保函在合同履行完成后，由乙方提出申请，甲方在28日内返还，不支付利息；</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9.3.3现金转账形式：合同履行完成后，由乙方提出申请，甲方在28日内将保证金（无息）返还。</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9.3.5甲方按本合同规定提取履约担保金额后，乙方应在收到甲方通知后</w:t>
      </w:r>
      <w:r>
        <w:rPr>
          <w:rFonts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日内补足数额，逾期未补足的，则甲方有权提取履约担保的全部余额，并有权解除合同。</w:t>
      </w:r>
    </w:p>
    <w:p>
      <w:pPr>
        <w:numPr>
          <w:ilvl w:val="255"/>
          <w:numId w:val="0"/>
        </w:num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第十条 本合同技术服务按以下</w:t>
      </w:r>
      <w:r>
        <w:rPr>
          <w:rFonts w:hint="eastAsia" w:ascii="宋体" w:hAnsi="宋体" w:cs="宋体"/>
          <w:b/>
          <w:color w:val="auto"/>
          <w:sz w:val="24"/>
          <w:highlight w:val="none"/>
          <w:u w:val="single"/>
        </w:rPr>
        <w:t>（1）</w:t>
      </w:r>
      <w:r>
        <w:rPr>
          <w:rFonts w:hint="eastAsia" w:ascii="宋体" w:hAnsi="宋体" w:cs="宋体"/>
          <w:b/>
          <w:color w:val="auto"/>
          <w:sz w:val="24"/>
          <w:highlight w:val="none"/>
        </w:rPr>
        <w:t>方式执行：</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（1）适用常规生产药剂</w:t>
      </w:r>
    </w:p>
    <w:p>
      <w:p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10.1供货期内，乙方需在生产现场提供装卸服务。要求保持甲方储存池内的安全库存。</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10.2供货期内，乙方提供相关技术服务和支持。</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1）包含不限于以下服务：</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①安全服务：按甲方需求，乙方协助联合突发抢险应急演练及培训。</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10.3供货期内，若甲方有相关需求，乙方应提供每6个月一次药剂容器清洗服务。</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10.4</w:t>
      </w:r>
      <w:r>
        <w:rPr>
          <w:rFonts w:hint="eastAsia" w:ascii="宋体" w:hAnsi="宋体" w:cs="宋体"/>
          <w:color w:val="auto"/>
          <w:kern w:val="0"/>
          <w:sz w:val="24"/>
          <w:highlight w:val="none"/>
        </w:rPr>
        <w:t>若乙方不能提供符合国家、省、市或行业标准的技术服务，甲方有权自行委托第三方提供服务，费用由乙方承担，在结算货款或履约保证金中扣除。</w:t>
      </w:r>
    </w:p>
    <w:p>
      <w:pPr>
        <w:spacing w:line="520" w:lineRule="exact"/>
        <w:ind w:firstLine="480" w:firstLineChars="200"/>
        <w:rPr>
          <w:rFonts w:ascii="宋体" w:hAnsi="宋体" w:cs="宋体"/>
          <w:color w:val="auto"/>
          <w:sz w:val="24"/>
          <w:highlight w:val="none"/>
        </w:rPr>
      </w:pPr>
      <w:bookmarkStart w:id="85" w:name="OLE_LINK21"/>
      <w:r>
        <w:rPr>
          <w:rFonts w:hint="eastAsia" w:ascii="宋体" w:hAnsi="宋体" w:cs="宋体"/>
          <w:color w:val="auto"/>
          <w:sz w:val="24"/>
          <w:highlight w:val="none"/>
        </w:rPr>
        <w:t>10.5供货期内，乙方需根据甲方需求，及时提供相关货品的技术支持（含咨询、技术交流等形式）。</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（2）适用阳离子药剂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供货期内，乙方需安排固定工作人员为甲方辖下各分/子公司生产现场提供24小时药剂投加服务，同时应组建技术服务团队，为各厂提供24小时三班运转的技术和生产工艺咨询服务，以便及时根据污泥泥质、产泥量等的变化情况调整投加配方。服务小组人员的工资、保险及食宿等全部费用应已包含在乙方的报价内。</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若乙方技术人员不能提供符合国家、省、市或行业标准的技术服务或不服从甲方的安排，甲方有权按每人5000元收取违约金并自行聘请其他服务人员，上述违约金以及另行聘请所产生的费用甲方有权直接在货款或履约保证金中扣除。</w:t>
      </w:r>
    </w:p>
    <w:bookmarkEnd w:id="85"/>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不可抗力</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⑴ 地震、火山爆发、滑坡、暴雨（橙色预警及以上）、台风（黄色预警及以上）、海啸、龙卷风、大面积流行病</w:t>
      </w:r>
      <w:r>
        <w:rPr>
          <w:rFonts w:ascii="宋体" w:hAnsi="宋体" w:cs="宋体"/>
          <w:color w:val="auto"/>
          <w:sz w:val="24"/>
          <w:highlight w:val="none"/>
        </w:rPr>
        <w:t>(如：非典型性肺炎等)或瘟疫；</w:t>
      </w:r>
    </w:p>
    <w:p>
      <w:pPr>
        <w:widowControl/>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⑵ 战争行为、入侵、武装冲突或外敌行为、封锁、暴乱、恐怖行为或军事演习；</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 违约及索赔</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甲乙双方应该秉着诚实信用的原则履行合同。</w:t>
      </w:r>
    </w:p>
    <w:p>
      <w:pPr>
        <w:spacing w:line="520" w:lineRule="exac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12.1若在供货期间乙方提供的货物不符合本合同要求的，</w:t>
      </w:r>
      <w:bookmarkStart w:id="86" w:name="OLE_LINK28"/>
      <w:r>
        <w:rPr>
          <w:rFonts w:hint="eastAsia" w:ascii="宋体" w:hAnsi="宋体" w:cs="宋体"/>
          <w:color w:val="auto"/>
          <w:sz w:val="24"/>
          <w:highlight w:val="none"/>
        </w:rPr>
        <w:t>对甲方的设备造成损坏或对生产造成影响的，由乙方承担造成的损失。</w:t>
      </w:r>
      <w:bookmarkEnd w:id="86"/>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12.2供货期内若乙方不能按时足额交货的，每逾期一天甲方有权扣除1万元违约金，所扣金额优先在当月结算货款内扣除。累计逾期</w:t>
      </w:r>
      <w:r>
        <w:rPr>
          <w:rFonts w:hint="eastAsia" w:ascii="宋体" w:hAnsi="宋体" w:cs="宋体"/>
          <w:color w:val="auto"/>
          <w:sz w:val="24"/>
          <w:highlight w:val="none"/>
          <w:u w:val="single"/>
        </w:rPr>
        <w:t xml:space="preserve"> 10</w:t>
      </w:r>
      <w:r>
        <w:rPr>
          <w:rFonts w:hint="eastAsia" w:ascii="宋体" w:hAnsi="宋体" w:cs="宋体"/>
          <w:color w:val="auto"/>
          <w:sz w:val="24"/>
          <w:highlight w:val="none"/>
        </w:rPr>
        <w:t>天以上或连续逾期</w:t>
      </w:r>
      <w:r>
        <w:rPr>
          <w:rFonts w:hint="eastAsia" w:ascii="宋体" w:hAnsi="宋体" w:cs="宋体"/>
          <w:color w:val="auto"/>
          <w:sz w:val="24"/>
          <w:highlight w:val="none"/>
          <w:u w:val="single"/>
        </w:rPr>
        <w:t>5</w:t>
      </w:r>
      <w:r>
        <w:rPr>
          <w:rFonts w:hint="eastAsia" w:ascii="宋体" w:hAnsi="宋体" w:cs="宋体"/>
          <w:color w:val="auto"/>
          <w:sz w:val="24"/>
          <w:highlight w:val="none"/>
        </w:rPr>
        <w:t>天以上，甲方有权单方解除本合同，扣除全部履约保证金，并要求乙方承担由此造成的损失。</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12.3由于乙方原因导致合同终止，甲方无需支付剩余货款，有权扣除全部履约保证金，并要求乙方承担由此造成的损失。</w:t>
      </w:r>
    </w:p>
    <w:p>
      <w:p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甲方有权在结算货款及履约保证金中扣除乙方应支付的违约金，不足扣除的，乙方应另行支付。</w:t>
      </w:r>
    </w:p>
    <w:p>
      <w:pPr>
        <w:spacing w:line="52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12.5乙方不履行合同义务、或履行合同义务不符合合同约定、或违反国家、省、市行业标准的，甲方有权要求乙方限期整改。乙方逾期未完成整改的，每项每超过1日支付违约金人民币1万元，超过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color w:val="auto"/>
          <w:sz w:val="24"/>
          <w:highlight w:val="none"/>
          <w:u w:val="single"/>
          <w:lang w:val="en-US" w:eastAsia="zh-CN"/>
        </w:rPr>
        <w:t>15</w:t>
      </w:r>
      <w:r>
        <w:rPr>
          <w:rFonts w:ascii="宋体" w:hAnsi="宋体" w:cs="宋体"/>
          <w:color w:val="auto"/>
          <w:sz w:val="24"/>
          <w:highlight w:val="none"/>
        </w:rPr>
        <w:t>日，甲方有权解除合同并要求乙方支付合同暂定总价的20%作为违约金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color w:val="auto"/>
          <w:sz w:val="24"/>
          <w:highlight w:val="none"/>
        </w:rPr>
        <w:t>。</w:t>
      </w:r>
    </w:p>
    <w:p>
      <w:pPr>
        <w:spacing w:line="520" w:lineRule="exact"/>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第十三条 通讯和送达</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.1 </w:t>
      </w:r>
      <w:r>
        <w:rPr>
          <w:rFonts w:hint="eastAsia" w:ascii="宋体" w:hAnsi="宋体" w:cs="宋体"/>
          <w:color w:val="auto"/>
          <w:sz w:val="24"/>
          <w:highlight w:val="none"/>
        </w:rPr>
        <w:t>通讯是指本合同各方依照本合同约定向另一方发出的通知、决定、指令、同意、证明等各类书面形式的函件。</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.2 </w:t>
      </w:r>
      <w:r>
        <w:rPr>
          <w:rFonts w:hint="eastAsia" w:ascii="宋体" w:hAnsi="宋体" w:cs="宋体"/>
          <w:color w:val="auto"/>
          <w:sz w:val="24"/>
          <w:highlight w:val="none"/>
        </w:rPr>
        <w:t>通讯由专人递送的，各方签收之日为送达之日；由特快专递递送的，各方签收后视为已送达；由传真递送的，传真到达对方之日视为已送达；由电子邮件递送的，电子邮件成功发送时视为送达。</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.3 </w:t>
      </w:r>
      <w:r>
        <w:rPr>
          <w:rFonts w:hint="eastAsia" w:ascii="宋体" w:hAnsi="宋体" w:cs="宋体"/>
          <w:color w:val="auto"/>
          <w:sz w:val="24"/>
          <w:highlight w:val="none"/>
        </w:rPr>
        <w:t>本合同各方变更通讯递送地址、联系人、电子邮件、传真的，应在变更之日起</w:t>
      </w:r>
      <w:r>
        <w:rPr>
          <w:rFonts w:hint="eastAsia" w:ascii="宋体" w:hAnsi="宋体"/>
          <w:color w:val="auto"/>
          <w:sz w:val="24"/>
          <w:highlight w:val="none"/>
          <w:u w:val="single"/>
        </w:rPr>
        <w:t xml:space="preserve"> </w:t>
      </w:r>
      <w:r>
        <w:rPr>
          <w:rFonts w:hint="eastAsia"/>
          <w:color w:val="auto"/>
          <w:sz w:val="24"/>
          <w:highlight w:val="none"/>
          <w:u w:val="single"/>
        </w:rPr>
        <w:t>7</w:t>
      </w:r>
      <w:r>
        <w:rPr>
          <w:rFonts w:hint="eastAsia" w:ascii="宋体" w:hAnsi="宋体"/>
          <w:color w:val="auto"/>
          <w:sz w:val="24"/>
          <w:highlight w:val="none"/>
          <w:u w:val="single"/>
        </w:rPr>
        <w:t xml:space="preserve"> </w:t>
      </w:r>
      <w:r>
        <w:rPr>
          <w:rFonts w:hint="eastAsia" w:ascii="宋体" w:hAnsi="宋体" w:cs="宋体"/>
          <w:color w:val="auto"/>
          <w:sz w:val="24"/>
          <w:highlight w:val="none"/>
        </w:rPr>
        <w:t>日内通知另一方。未通知的，另一方按本合同约定的通讯地址和联系方式发送的文件，均视为送达。</w:t>
      </w:r>
    </w:p>
    <w:p>
      <w:pPr>
        <w:spacing w:line="520" w:lineRule="exact"/>
        <w:ind w:firstLine="482" w:firstLineChars="200"/>
        <w:rPr>
          <w:rFonts w:ascii="宋体" w:hAnsi="宋体" w:cs="宋体"/>
          <w:b/>
          <w:color w:val="auto"/>
          <w:sz w:val="24"/>
          <w:highlight w:val="none"/>
        </w:rPr>
      </w:pPr>
      <w:r>
        <w:rPr>
          <w:rFonts w:hint="eastAsia" w:ascii="宋体" w:hAnsi="宋体" w:cs="宋体"/>
          <w:b/>
          <w:bCs/>
          <w:color w:val="auto"/>
          <w:sz w:val="24"/>
          <w:highlight w:val="none"/>
        </w:rPr>
        <w:t xml:space="preserve">第十四条 </w:t>
      </w:r>
      <w:r>
        <w:rPr>
          <w:rFonts w:hint="eastAsia" w:ascii="宋体" w:hAnsi="宋体" w:cs="宋体"/>
          <w:b/>
          <w:color w:val="auto"/>
          <w:sz w:val="24"/>
          <w:highlight w:val="none"/>
        </w:rPr>
        <w:t>争端解决</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color w:val="auto"/>
          <w:sz w:val="24"/>
          <w:highlight w:val="none"/>
        </w:rPr>
        <w:t>14.1双方应以协商的态度解决双方在执行本合同过程中产生的或与本合同有关的一切争端，双方协商不成，任何一方可依法向甲方所在地人民法院提起诉讼。</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14.2在甲方同意的情况下，除有争端之外的合同其它部分在争端解决前应继续执行。</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第十五条 合同生效</w:t>
      </w:r>
    </w:p>
    <w:p>
      <w:pPr>
        <w:spacing w:line="520" w:lineRule="exact"/>
        <w:ind w:firstLine="420"/>
        <w:rPr>
          <w:rFonts w:ascii="宋体" w:hAnsi="宋体" w:cs="宋体"/>
          <w:color w:val="auto"/>
          <w:sz w:val="24"/>
          <w:highlight w:val="none"/>
        </w:rPr>
      </w:pPr>
      <w:r>
        <w:rPr>
          <w:rFonts w:hint="eastAsia" w:ascii="宋体" w:hAnsi="宋体" w:cs="宋体"/>
          <w:color w:val="auto"/>
          <w:sz w:val="24"/>
          <w:highlight w:val="none"/>
        </w:rPr>
        <w:t>本合同由甲方与乙方签订，在满足以下条件后生效：</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15.1甲乙双方法定代表人或授权代理人签字并加盖公章。</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15.2甲方收到乙方提交的履约保证金。（如有）</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15.3与甲方子公司签订管理协议（详见附件1）、安全管理协议书（详见附件2）、廉洁协议（详见附件3）。</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第十六条 其他</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16.1甲方辖下各分/子公司负责本合同的具体执行。</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16.2除甲方书面同意外，乙方不得转让其合同项下的义务。</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16.3本合同一式____份，甲方____份，乙方____份。</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16.4本合同共____页A4纸张，缺页之合同为无效合同。</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16.5补充条款：</w:t>
      </w:r>
      <w:r>
        <w:rPr>
          <w:rFonts w:hint="eastAsia" w:ascii="宋体" w:hAnsi="宋体" w:cs="宋体"/>
          <w:color w:val="auto"/>
          <w:sz w:val="24"/>
          <w:highlight w:val="none"/>
          <w:u w:val="single"/>
        </w:rPr>
        <w:t xml:space="preserve">__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__ </w:t>
      </w:r>
    </w:p>
    <w:p>
      <w:pPr>
        <w:spacing w:line="520" w:lineRule="exact"/>
        <w:ind w:left="420"/>
        <w:rPr>
          <w:rFonts w:ascii="宋体" w:hAnsi="宋体"/>
          <w:bCs/>
          <w:color w:val="auto"/>
          <w:sz w:val="24"/>
          <w:highlight w:val="none"/>
        </w:rPr>
      </w:pPr>
      <w:r>
        <w:rPr>
          <w:rFonts w:hint="eastAsia" w:ascii="宋体" w:hAnsi="宋体" w:cs="宋体"/>
          <w:color w:val="auto"/>
          <w:sz w:val="24"/>
          <w:highlight w:val="none"/>
        </w:rPr>
        <w:t>附表：</w:t>
      </w:r>
      <w:r>
        <w:rPr>
          <w:rFonts w:hint="eastAsia" w:ascii="宋体" w:hAnsi="宋体"/>
          <w:bCs/>
          <w:color w:val="auto"/>
          <w:sz w:val="24"/>
          <w:highlight w:val="none"/>
        </w:rPr>
        <w:t>1.考核评价标准</w:t>
      </w:r>
    </w:p>
    <w:p>
      <w:pPr>
        <w:numPr>
          <w:ilvl w:val="0"/>
          <w:numId w:val="7"/>
        </w:numPr>
        <w:spacing w:line="520" w:lineRule="exact"/>
        <w:rPr>
          <w:rFonts w:ascii="宋体" w:hAnsi="宋体"/>
          <w:bCs/>
          <w:color w:val="auto"/>
          <w:sz w:val="24"/>
          <w:highlight w:val="none"/>
        </w:rPr>
      </w:pPr>
      <w:r>
        <w:rPr>
          <w:rFonts w:hint="eastAsia" w:ascii="宋体" w:hAnsi="宋体"/>
          <w:bCs/>
          <w:color w:val="auto"/>
          <w:sz w:val="24"/>
          <w:highlight w:val="none"/>
        </w:rPr>
        <w:t>考核评价标准(阳离子适用）</w:t>
      </w:r>
    </w:p>
    <w:p>
      <w:pPr>
        <w:spacing w:line="520" w:lineRule="exact"/>
        <w:ind w:left="1260"/>
        <w:rPr>
          <w:rFonts w:ascii="宋体" w:hAnsi="宋体"/>
          <w:bCs/>
          <w:color w:val="auto"/>
          <w:sz w:val="24"/>
          <w:highlight w:val="none"/>
        </w:rPr>
      </w:pPr>
      <w:r>
        <w:rPr>
          <w:rFonts w:hint="eastAsia" w:ascii="宋体" w:hAnsi="宋体"/>
          <w:bCs/>
          <w:color w:val="auto"/>
          <w:sz w:val="24"/>
          <w:highlight w:val="none"/>
        </w:rPr>
        <w:t>3-1药剂安全情况自查表(</w:t>
      </w:r>
      <w:r>
        <w:rPr>
          <w:rFonts w:hint="eastAsia" w:ascii="宋体" w:hAnsi="宋体"/>
          <w:bCs/>
          <w:color w:val="auto"/>
          <w:sz w:val="24"/>
          <w:highlight w:val="none"/>
          <w:lang w:val="en-US" w:eastAsia="zh-CN"/>
        </w:rPr>
        <w:t>危险</w:t>
      </w:r>
      <w:r>
        <w:rPr>
          <w:rFonts w:hint="eastAsia" w:ascii="宋体" w:hAnsi="宋体"/>
          <w:bCs/>
          <w:color w:val="auto"/>
          <w:sz w:val="24"/>
          <w:highlight w:val="none"/>
        </w:rPr>
        <w:t>化学品）</w:t>
      </w:r>
    </w:p>
    <w:p>
      <w:pPr>
        <w:spacing w:line="520" w:lineRule="exact"/>
        <w:ind w:left="1260"/>
        <w:rPr>
          <w:rFonts w:ascii="宋体" w:hAnsi="宋体"/>
          <w:bCs/>
          <w:color w:val="auto"/>
          <w:sz w:val="24"/>
          <w:highlight w:val="none"/>
        </w:rPr>
      </w:pPr>
      <w:r>
        <w:rPr>
          <w:rFonts w:hint="eastAsia" w:ascii="宋体" w:hAnsi="宋体"/>
          <w:bCs/>
          <w:color w:val="auto"/>
          <w:sz w:val="24"/>
          <w:highlight w:val="none"/>
        </w:rPr>
        <w:t>3-2药剂安全情况自查表(</w:t>
      </w:r>
      <w:r>
        <w:rPr>
          <w:rFonts w:hint="eastAsia" w:ascii="宋体" w:hAnsi="宋体"/>
          <w:bCs/>
          <w:color w:val="auto"/>
          <w:sz w:val="24"/>
          <w:highlight w:val="none"/>
          <w:lang w:val="en-US" w:eastAsia="zh-CN"/>
        </w:rPr>
        <w:t>普通</w:t>
      </w:r>
      <w:r>
        <w:rPr>
          <w:rFonts w:hint="eastAsia" w:ascii="宋体" w:hAnsi="宋体"/>
          <w:bCs/>
          <w:color w:val="auto"/>
          <w:sz w:val="24"/>
          <w:highlight w:val="none"/>
        </w:rPr>
        <w:t>化学品）</w:t>
      </w:r>
    </w:p>
    <w:p>
      <w:pPr>
        <w:spacing w:line="520" w:lineRule="exact"/>
        <w:ind w:left="420"/>
        <w:rPr>
          <w:rFonts w:hint="default"/>
          <w:color w:val="auto"/>
          <w:highlight w:val="yellow"/>
          <w:lang w:val="en-US" w:eastAsia="zh-CN"/>
        </w:rPr>
      </w:pPr>
      <w:r>
        <w:rPr>
          <w:rFonts w:hint="eastAsia" w:ascii="宋体" w:hAnsi="宋体" w:cs="宋体"/>
          <w:color w:val="auto"/>
          <w:sz w:val="24"/>
          <w:highlight w:val="none"/>
        </w:rPr>
        <w:t>附件：1.子公司管理协议</w:t>
      </w:r>
      <w:r>
        <w:rPr>
          <w:rFonts w:hint="eastAsia" w:ascii="宋体" w:hAnsi="宋体" w:cs="宋体"/>
          <w:color w:val="auto"/>
          <w:sz w:val="24"/>
          <w:highlight w:val="none"/>
          <w:lang w:val="en-US" w:eastAsia="zh-CN"/>
        </w:rPr>
        <w:t>(如需）</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2.安全管理协议书</w:t>
      </w:r>
    </w:p>
    <w:p>
      <w:pPr>
        <w:adjustRightInd/>
        <w:snapToGrid/>
        <w:spacing w:line="520" w:lineRule="exact"/>
        <w:ind w:firstLine="1200" w:firstLineChars="5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3.廉洁协议</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中标通知书/发包通知书（如有）</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授权委托证明（如需）</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报价单</w:t>
      </w:r>
    </w:p>
    <w:p>
      <w:pPr>
        <w:spacing w:line="52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履约保函（模板）</w:t>
      </w:r>
    </w:p>
    <w:p>
      <w:pPr>
        <w:pStyle w:val="2"/>
        <w:rPr>
          <w:color w:val="auto"/>
        </w:rPr>
      </w:pPr>
    </w:p>
    <w:p>
      <w:pPr>
        <w:spacing w:line="52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520" w:lineRule="exact"/>
        <w:rPr>
          <w:rFonts w:ascii="宋体" w:hAnsi="宋体" w:cs="宋体"/>
          <w:color w:val="auto"/>
          <w:sz w:val="24"/>
          <w:highlight w:val="none"/>
        </w:rPr>
      </w:pPr>
      <w:r>
        <w:rPr>
          <w:rFonts w:hint="eastAsia" w:ascii="宋体" w:hAnsi="宋体" w:cs="宋体"/>
          <w:color w:val="auto"/>
          <w:sz w:val="24"/>
          <w:highlight w:val="none"/>
        </w:rPr>
        <w:t>法定代表人或                             法定代表人或</w:t>
      </w:r>
    </w:p>
    <w:p>
      <w:pPr>
        <w:spacing w:line="520" w:lineRule="exact"/>
        <w:rPr>
          <w:rFonts w:ascii="宋体" w:hAnsi="宋体" w:cs="宋体"/>
          <w:color w:val="auto"/>
          <w:sz w:val="24"/>
          <w:highlight w:val="none"/>
        </w:rPr>
      </w:pPr>
      <w:r>
        <w:rPr>
          <w:rFonts w:hint="eastAsia" w:ascii="宋体" w:hAnsi="宋体" w:cs="宋体"/>
          <w:color w:val="auto"/>
          <w:sz w:val="24"/>
          <w:highlight w:val="none"/>
        </w:rPr>
        <w:t>委托代理人：                             委托代理人：</w:t>
      </w:r>
    </w:p>
    <w:p>
      <w:pPr>
        <w:spacing w:line="520" w:lineRule="exact"/>
        <w:rPr>
          <w:rFonts w:ascii="宋体" w:hAnsi="宋体" w:cs="宋体"/>
          <w:color w:val="auto"/>
          <w:sz w:val="24"/>
          <w:highlight w:val="none"/>
        </w:rPr>
      </w:pPr>
      <w:r>
        <w:rPr>
          <w:rFonts w:hint="eastAsia" w:ascii="宋体" w:hAnsi="宋体" w:cs="宋体"/>
          <w:color w:val="auto"/>
          <w:sz w:val="24"/>
          <w:highlight w:val="none"/>
        </w:rPr>
        <w:t>地址：                                   地址：</w:t>
      </w:r>
    </w:p>
    <w:p>
      <w:pPr>
        <w:spacing w:line="520" w:lineRule="exact"/>
        <w:rPr>
          <w:rFonts w:ascii="宋体" w:hAnsi="宋体" w:cs="宋体"/>
          <w:color w:val="auto"/>
          <w:sz w:val="24"/>
          <w:highlight w:val="none"/>
        </w:rPr>
      </w:pPr>
      <w:r>
        <w:rPr>
          <w:rFonts w:hint="eastAsia" w:ascii="宋体" w:hAnsi="宋体" w:cs="宋体"/>
          <w:color w:val="auto"/>
          <w:sz w:val="24"/>
          <w:highlight w:val="none"/>
        </w:rPr>
        <w:t>经办人：                                 经办人：</w:t>
      </w:r>
    </w:p>
    <w:p>
      <w:pPr>
        <w:spacing w:line="520" w:lineRule="exact"/>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52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520" w:lineRule="exact"/>
        <w:ind w:firstLine="4920" w:firstLineChars="2050"/>
        <w:rPr>
          <w:rFonts w:ascii="宋体" w:hAnsi="宋体" w:cs="宋体"/>
          <w:color w:val="auto"/>
          <w:sz w:val="24"/>
          <w:highlight w:val="none"/>
        </w:rPr>
      </w:pPr>
      <w:r>
        <w:rPr>
          <w:rFonts w:hint="eastAsia" w:ascii="宋体" w:hAnsi="宋体" w:cs="宋体"/>
          <w:color w:val="auto"/>
          <w:sz w:val="24"/>
          <w:highlight w:val="none"/>
        </w:rPr>
        <w:t xml:space="preserve">签署日期：    年    月    日          </w:t>
      </w:r>
    </w:p>
    <w:p>
      <w:pPr>
        <w:spacing w:line="520" w:lineRule="exact"/>
        <w:ind w:firstLine="4920" w:firstLineChars="2050"/>
        <w:rPr>
          <w:rFonts w:ascii="宋体" w:hAnsi="宋体" w:cs="宋体"/>
          <w:color w:val="auto"/>
          <w:sz w:val="24"/>
          <w:highlight w:val="none"/>
        </w:rPr>
      </w:pPr>
      <w:r>
        <w:rPr>
          <w:rFonts w:hint="eastAsia" w:ascii="宋体" w:hAnsi="宋体" w:cs="宋体"/>
          <w:color w:val="auto"/>
          <w:sz w:val="24"/>
          <w:highlight w:val="none"/>
        </w:rPr>
        <w:t>统一社会信用代码：</w:t>
      </w:r>
    </w:p>
    <w:p>
      <w:pPr>
        <w:spacing w:line="480" w:lineRule="auto"/>
        <w:rPr>
          <w:rFonts w:ascii="宋体" w:hAnsi="宋体"/>
          <w:b/>
          <w:color w:val="auto"/>
          <w:highlight w:val="none"/>
        </w:rPr>
      </w:pPr>
    </w:p>
    <w:p>
      <w:pPr>
        <w:spacing w:line="240" w:lineRule="auto"/>
        <w:rPr>
          <w:rFonts w:ascii="宋体" w:hAnsi="宋体"/>
          <w:b/>
          <w:color w:val="auto"/>
          <w:highlight w:val="none"/>
        </w:rPr>
      </w:pPr>
      <w:r>
        <w:rPr>
          <w:rFonts w:hint="eastAsia" w:ascii="宋体" w:hAnsi="宋体"/>
          <w:b/>
          <w:color w:val="auto"/>
          <w:highlight w:val="none"/>
        </w:rPr>
        <w:t>附表1：考核评价标准</w:t>
      </w:r>
    </w:p>
    <w:tbl>
      <w:tblPr>
        <w:tblStyle w:val="2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260"/>
        <w:gridCol w:w="311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考核评价</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zCs w:val="21"/>
                <w:highlight w:val="none"/>
              </w:rPr>
              <w:t>标准</w:t>
            </w:r>
            <w:r>
              <w:rPr>
                <w:rFonts w:hint="eastAsia" w:ascii="宋体" w:hAnsi="宋体" w:cs="宋体"/>
                <w:color w:val="auto"/>
                <w:spacing w:val="8"/>
                <w:kern w:val="0"/>
                <w:szCs w:val="21"/>
                <w:highlight w:val="none"/>
              </w:rPr>
              <w:t>内容</w:t>
            </w:r>
          </w:p>
        </w:tc>
        <w:tc>
          <w:tcPr>
            <w:tcW w:w="3260"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考核评价标准</w:t>
            </w:r>
          </w:p>
        </w:tc>
        <w:tc>
          <w:tcPr>
            <w:tcW w:w="3118"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考核评分</w:t>
            </w:r>
          </w:p>
        </w:tc>
        <w:tc>
          <w:tcPr>
            <w:tcW w:w="993" w:type="dxa"/>
          </w:tcPr>
          <w:p>
            <w:pPr>
              <w:widowControl/>
              <w:spacing w:line="440" w:lineRule="exact"/>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1.交货时效</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（30分）</w:t>
            </w:r>
          </w:p>
        </w:tc>
        <w:tc>
          <w:tcPr>
            <w:tcW w:w="3260"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交货准时</w:t>
            </w:r>
            <w:r>
              <w:rPr>
                <w:rFonts w:hint="eastAsia" w:ascii="宋体" w:hAnsi="宋体" w:cs="宋体"/>
                <w:color w:val="auto"/>
                <w:szCs w:val="21"/>
                <w:highlight w:val="none"/>
                <w:vertAlign w:val="superscript"/>
              </w:rPr>
              <w:t>(1)</w:t>
            </w:r>
            <w:r>
              <w:rPr>
                <w:rFonts w:hint="eastAsia" w:ascii="宋体" w:hAnsi="宋体" w:cs="宋体"/>
                <w:color w:val="auto"/>
                <w:spacing w:val="8"/>
                <w:kern w:val="0"/>
                <w:szCs w:val="21"/>
                <w:highlight w:val="none"/>
              </w:rPr>
              <w:t>，通知送货后按通知要求时限送达，且不影响厂内正常生产</w:t>
            </w:r>
          </w:p>
        </w:tc>
        <w:tc>
          <w:tcPr>
            <w:tcW w:w="3118"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1.出现迟送货一次扣3分；2.因送货迟影响厂区正常生产运行扣5分；扣完为止</w:t>
            </w:r>
          </w:p>
        </w:tc>
        <w:tc>
          <w:tcPr>
            <w:tcW w:w="993"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2.交货质量</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（30分）</w:t>
            </w:r>
          </w:p>
        </w:tc>
        <w:tc>
          <w:tcPr>
            <w:tcW w:w="3260" w:type="dxa"/>
          </w:tcPr>
          <w:p>
            <w:pPr>
              <w:spacing w:line="440" w:lineRule="exact"/>
              <w:ind w:firstLine="226"/>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1.每批货物品质均</w:t>
            </w:r>
            <w:r>
              <w:rPr>
                <w:rFonts w:hint="eastAsia" w:ascii="宋体" w:hAnsi="宋体" w:cs="宋体"/>
                <w:color w:val="auto"/>
                <w:spacing w:val="8"/>
                <w:kern w:val="0"/>
                <w:szCs w:val="21"/>
                <w:highlight w:val="none"/>
                <w:lang w:val="en-US" w:eastAsia="zh-CN"/>
              </w:rPr>
              <w:t>达标</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2.每车次货物所附资料齐全</w:t>
            </w:r>
          </w:p>
          <w:p>
            <w:pPr>
              <w:spacing w:line="440" w:lineRule="exact"/>
              <w:jc w:val="center"/>
              <w:rPr>
                <w:rFonts w:ascii="宋体" w:hAnsi="宋体" w:cs="宋体"/>
                <w:color w:val="auto"/>
                <w:spacing w:val="8"/>
                <w:kern w:val="0"/>
                <w:szCs w:val="21"/>
                <w:highlight w:val="none"/>
              </w:rPr>
            </w:pPr>
          </w:p>
        </w:tc>
        <w:tc>
          <w:tcPr>
            <w:tcW w:w="3118" w:type="dxa"/>
          </w:tcPr>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1.不</w:t>
            </w:r>
            <w:r>
              <w:rPr>
                <w:rFonts w:hint="eastAsia" w:ascii="宋体" w:hAnsi="宋体" w:cs="宋体"/>
                <w:color w:val="auto"/>
                <w:spacing w:val="8"/>
                <w:kern w:val="0"/>
                <w:szCs w:val="21"/>
                <w:highlight w:val="none"/>
                <w:lang w:val="en-US" w:eastAsia="zh-CN"/>
              </w:rPr>
              <w:t>达标</w:t>
            </w:r>
            <w:r>
              <w:rPr>
                <w:rFonts w:hint="eastAsia" w:ascii="宋体" w:hAnsi="宋体" w:cs="宋体"/>
                <w:color w:val="auto"/>
                <w:spacing w:val="8"/>
                <w:kern w:val="0"/>
                <w:szCs w:val="21"/>
                <w:highlight w:val="none"/>
              </w:rPr>
              <w:t>次数总计≦3次，每出现一次扣6分；</w:t>
            </w:r>
          </w:p>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2.所附资料出现不齐全情况，出现一次扣2分；</w:t>
            </w:r>
          </w:p>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3.如出现不</w:t>
            </w:r>
            <w:r>
              <w:rPr>
                <w:rFonts w:hint="eastAsia" w:ascii="宋体" w:hAnsi="宋体" w:cs="宋体"/>
                <w:color w:val="auto"/>
                <w:spacing w:val="8"/>
                <w:kern w:val="0"/>
                <w:szCs w:val="21"/>
                <w:highlight w:val="none"/>
                <w:lang w:val="en-US" w:eastAsia="zh-CN"/>
              </w:rPr>
              <w:t>达标</w:t>
            </w:r>
            <w:r>
              <w:rPr>
                <w:rFonts w:hint="eastAsia" w:ascii="宋体" w:hAnsi="宋体" w:cs="宋体"/>
                <w:color w:val="auto"/>
                <w:spacing w:val="8"/>
                <w:kern w:val="0"/>
                <w:szCs w:val="21"/>
                <w:highlight w:val="none"/>
              </w:rPr>
              <w:t>次数﹥3次，本项考核不得分</w:t>
            </w:r>
          </w:p>
        </w:tc>
        <w:tc>
          <w:tcPr>
            <w:tcW w:w="993"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3.服务质量</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（20分）</w:t>
            </w:r>
          </w:p>
        </w:tc>
        <w:tc>
          <w:tcPr>
            <w:tcW w:w="3260" w:type="dxa"/>
          </w:tcPr>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1.提供货物装卸服务</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2.司机听从厂区人员指挥</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3.货物投加过程合规，操作正确</w:t>
            </w:r>
          </w:p>
          <w:p>
            <w:pPr>
              <w:ind w:firstLine="226"/>
              <w:rPr>
                <w:rFonts w:ascii="宋体" w:hAnsi="宋体" w:cs="宋体"/>
                <w:color w:val="auto"/>
                <w:kern w:val="0"/>
                <w:szCs w:val="21"/>
                <w:highlight w:val="none"/>
              </w:rPr>
            </w:pPr>
            <w:r>
              <w:rPr>
                <w:rFonts w:hint="eastAsia" w:ascii="宋体" w:hAnsi="宋体" w:cs="宋体"/>
                <w:color w:val="auto"/>
                <w:spacing w:val="8"/>
                <w:kern w:val="0"/>
                <w:szCs w:val="21"/>
                <w:highlight w:val="none"/>
              </w:rPr>
              <w:t>4.不得损坏厂内设施设备</w:t>
            </w:r>
          </w:p>
        </w:tc>
        <w:tc>
          <w:tcPr>
            <w:tcW w:w="3118"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每项目分值为5分，第1、2项每出现一次不符合情况扣1分；第3、4项每出现一次不合格情况扣2分；扣完为止</w:t>
            </w:r>
          </w:p>
        </w:tc>
        <w:tc>
          <w:tcPr>
            <w:tcW w:w="993"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844"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4.安全生产措施</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（20分）</w:t>
            </w:r>
          </w:p>
        </w:tc>
        <w:tc>
          <w:tcPr>
            <w:tcW w:w="3260" w:type="dxa"/>
          </w:tcPr>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1.提供每季度药剂安全情况自查表（详见附表三）</w:t>
            </w:r>
          </w:p>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2.合同期内提供不少于两次联合抢险演练及安全培训记录资料（针对危险化学品）</w:t>
            </w:r>
          </w:p>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3.若发生抢险情况，是否有及时提供抢险物资及人员</w:t>
            </w:r>
          </w:p>
          <w:p>
            <w:pPr>
              <w:ind w:firstLine="226"/>
              <w:rPr>
                <w:rFonts w:ascii="宋体" w:hAnsi="宋体" w:cs="宋体"/>
                <w:b/>
                <w:color w:val="auto"/>
                <w:kern w:val="0"/>
                <w:szCs w:val="21"/>
                <w:highlight w:val="none"/>
              </w:rPr>
            </w:pPr>
            <w:r>
              <w:rPr>
                <w:rFonts w:hint="eastAsia" w:ascii="宋体" w:hAnsi="宋体" w:cs="宋体"/>
                <w:color w:val="auto"/>
                <w:spacing w:val="8"/>
                <w:kern w:val="0"/>
                <w:szCs w:val="21"/>
                <w:highlight w:val="none"/>
              </w:rPr>
              <w:t>4.每6个月提供至少一次药剂容器清洗服务（如供货期少于6个月的，供货期内需提供一次药剂容器清洗服务）（若甲方有清洗需求，则按实际情况进行评分；若甲方无清洗需求，则本项计满分）</w:t>
            </w:r>
          </w:p>
        </w:tc>
        <w:tc>
          <w:tcPr>
            <w:tcW w:w="3118"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每项目分值为5分，第1、2项每出现一次未按照要求提供资料扣2分；第3、4项出现一次扣5分</w:t>
            </w:r>
          </w:p>
        </w:tc>
        <w:tc>
          <w:tcPr>
            <w:tcW w:w="993"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44"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（上述4项得分之和）</w:t>
            </w:r>
          </w:p>
        </w:tc>
        <w:tc>
          <w:tcPr>
            <w:tcW w:w="3260" w:type="dxa"/>
          </w:tcPr>
          <w:p>
            <w:pPr>
              <w:spacing w:line="440" w:lineRule="exact"/>
              <w:jc w:val="center"/>
              <w:rPr>
                <w:rFonts w:ascii="宋体" w:hAnsi="宋体" w:cs="宋体"/>
                <w:color w:val="auto"/>
                <w:spacing w:val="8"/>
                <w:kern w:val="0"/>
                <w:szCs w:val="21"/>
                <w:highlight w:val="none"/>
              </w:rPr>
            </w:pPr>
          </w:p>
        </w:tc>
        <w:tc>
          <w:tcPr>
            <w:tcW w:w="3118" w:type="dxa"/>
          </w:tcPr>
          <w:p>
            <w:pPr>
              <w:spacing w:line="440" w:lineRule="exact"/>
              <w:jc w:val="center"/>
              <w:rPr>
                <w:rFonts w:ascii="宋体" w:hAnsi="宋体" w:cs="宋体"/>
                <w:color w:val="auto"/>
                <w:spacing w:val="8"/>
                <w:kern w:val="0"/>
                <w:szCs w:val="21"/>
                <w:highlight w:val="none"/>
              </w:rPr>
            </w:pPr>
          </w:p>
        </w:tc>
        <w:tc>
          <w:tcPr>
            <w:tcW w:w="993" w:type="dxa"/>
          </w:tcPr>
          <w:p>
            <w:pPr>
              <w:widowControl/>
              <w:spacing w:line="440" w:lineRule="exact"/>
              <w:jc w:val="left"/>
              <w:rPr>
                <w:rFonts w:ascii="宋体" w:hAnsi="宋体" w:cs="宋体"/>
                <w:color w:val="auto"/>
                <w:spacing w:val="8"/>
                <w:kern w:val="0"/>
                <w:szCs w:val="21"/>
                <w:highlight w:val="none"/>
              </w:rPr>
            </w:pPr>
          </w:p>
        </w:tc>
      </w:tr>
    </w:tbl>
    <w:p>
      <w:pPr>
        <w:spacing w:line="440" w:lineRule="exact"/>
        <w:ind w:left="791" w:hanging="791" w:hangingChars="350"/>
        <w:rPr>
          <w:rFonts w:ascii="宋体" w:hAnsi="宋体" w:cs="宋体"/>
          <w:color w:val="auto"/>
          <w:szCs w:val="21"/>
          <w:highlight w:val="none"/>
        </w:rPr>
      </w:pPr>
      <w:r>
        <w:rPr>
          <w:rFonts w:hint="eastAsia" w:ascii="宋体" w:hAnsi="宋体" w:cs="宋体"/>
          <w:color w:val="auto"/>
          <w:spacing w:val="8"/>
          <w:kern w:val="0"/>
          <w:szCs w:val="21"/>
          <w:highlight w:val="none"/>
        </w:rPr>
        <w:t>注：（1）</w:t>
      </w:r>
      <w:r>
        <w:rPr>
          <w:rFonts w:hint="eastAsia" w:ascii="宋体" w:hAnsi="宋体" w:cs="宋体"/>
          <w:color w:val="auto"/>
          <w:szCs w:val="21"/>
          <w:highlight w:val="none"/>
        </w:rPr>
        <w:t>交货准时是指交货不延误或适当提前交货从而保证库存充足，但提前交货须以甲方可以存储的容量为限，若超过甲方的存储能力，甲方有权拒绝乙方提前交货。</w:t>
      </w:r>
    </w:p>
    <w:p>
      <w:pPr>
        <w:spacing w:line="440" w:lineRule="exact"/>
        <w:rPr>
          <w:rFonts w:ascii="宋体" w:hAnsi="宋体"/>
          <w:b/>
          <w:bCs/>
          <w:color w:val="auto"/>
          <w:sz w:val="24"/>
          <w:highlight w:val="none"/>
        </w:rPr>
      </w:pPr>
      <w:r>
        <w:rPr>
          <w:rFonts w:hint="eastAsia" w:ascii="宋体" w:hAnsi="宋体"/>
          <w:b/>
          <w:color w:val="auto"/>
          <w:highlight w:val="none"/>
        </w:rPr>
        <w:t>附表2、考核评价标准(阳离子适用）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359" w:type="dxa"/>
            <w:vMerge w:val="restart"/>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w:t>
            </w:r>
          </w:p>
        </w:tc>
        <w:tc>
          <w:tcPr>
            <w:tcW w:w="7628" w:type="dxa"/>
            <w:gridSpan w:val="3"/>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cs="宋体"/>
                <w:b/>
                <w:color w:val="auto"/>
                <w:szCs w:val="21"/>
                <w:highlight w:val="none"/>
              </w:rPr>
            </w:pPr>
          </w:p>
        </w:tc>
        <w:tc>
          <w:tcPr>
            <w:tcW w:w="2359" w:type="dxa"/>
            <w:vMerge w:val="continue"/>
            <w:tcBorders>
              <w:bottom w:val="single" w:color="auto" w:sz="4" w:space="0"/>
            </w:tcBorders>
            <w:vAlign w:val="center"/>
          </w:tcPr>
          <w:p>
            <w:pPr>
              <w:spacing w:line="360" w:lineRule="auto"/>
              <w:jc w:val="center"/>
              <w:rPr>
                <w:rFonts w:ascii="宋体" w:hAnsi="宋体" w:cs="宋体"/>
                <w:b/>
                <w:color w:val="auto"/>
                <w:szCs w:val="21"/>
                <w:highlight w:val="none"/>
              </w:rPr>
            </w:pPr>
          </w:p>
        </w:tc>
        <w:tc>
          <w:tcPr>
            <w:tcW w:w="2551"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好</w:t>
            </w:r>
          </w:p>
        </w:tc>
        <w:tc>
          <w:tcPr>
            <w:tcW w:w="2552"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中</w:t>
            </w:r>
          </w:p>
        </w:tc>
        <w:tc>
          <w:tcPr>
            <w:tcW w:w="2525"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一、</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交货</w:t>
            </w:r>
          </w:p>
        </w:tc>
        <w:tc>
          <w:tcPr>
            <w:tcW w:w="2359" w:type="dxa"/>
            <w:vAlign w:val="center"/>
          </w:tcPr>
          <w:p>
            <w:pPr>
              <w:spacing w:line="360" w:lineRule="auto"/>
              <w:ind w:right="-170" w:rightChars="-81"/>
              <w:rPr>
                <w:rFonts w:ascii="宋体" w:hAnsi="宋体" w:cs="宋体"/>
                <w:b/>
                <w:color w:val="auto"/>
                <w:szCs w:val="21"/>
                <w:highlight w:val="none"/>
              </w:rPr>
            </w:pPr>
            <w:r>
              <w:rPr>
                <w:rFonts w:hint="eastAsia" w:ascii="宋体" w:hAnsi="宋体" w:cs="宋体"/>
                <w:b/>
                <w:color w:val="auto"/>
                <w:szCs w:val="21"/>
                <w:highlight w:val="none"/>
              </w:rPr>
              <w:t>1.交货衔接情况（5分）</w:t>
            </w:r>
          </w:p>
        </w:tc>
        <w:tc>
          <w:tcPr>
            <w:tcW w:w="255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交货及时确保库存</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255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基本能按时交货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525" w:type="dxa"/>
            <w:tcBorders>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不能按时交货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color w:val="auto"/>
                <w:szCs w:val="21"/>
                <w:highlight w:val="none"/>
              </w:rPr>
            </w:pPr>
          </w:p>
        </w:tc>
        <w:tc>
          <w:tcPr>
            <w:tcW w:w="2359" w:type="dxa"/>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2.货物包装（5分）</w:t>
            </w:r>
          </w:p>
        </w:tc>
        <w:tc>
          <w:tcPr>
            <w:tcW w:w="2551"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货物包装完全符合要求</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货物包装基本符合要求</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（3分）</w:t>
            </w:r>
          </w:p>
        </w:tc>
        <w:tc>
          <w:tcPr>
            <w:tcW w:w="2525"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货物包装不符合要求</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二、质量标准</w:t>
            </w:r>
          </w:p>
        </w:tc>
        <w:tc>
          <w:tcPr>
            <w:tcW w:w="2359" w:type="dxa"/>
            <w:vAlign w:val="center"/>
          </w:tcPr>
          <w:p>
            <w:pPr>
              <w:spacing w:line="360" w:lineRule="auto"/>
              <w:rPr>
                <w:rFonts w:ascii="宋体" w:hAnsi="宋体" w:cs="宋体"/>
                <w:b/>
                <w:color w:val="auto"/>
                <w:szCs w:val="21"/>
                <w:highlight w:val="none"/>
              </w:rPr>
            </w:pPr>
            <w:r>
              <w:rPr>
                <w:rFonts w:hint="eastAsia" w:ascii="宋体" w:hAnsi="宋体" w:cs="宋体"/>
                <w:b/>
                <w:bCs/>
                <w:color w:val="auto"/>
                <w:szCs w:val="21"/>
                <w:highlight w:val="none"/>
              </w:rPr>
              <w:t>3. 货物质量标准（10分）</w:t>
            </w:r>
          </w:p>
        </w:tc>
        <w:tc>
          <w:tcPr>
            <w:tcW w:w="2551"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提供的货物质量标准符合或优于最新行业标准或国家标准</w:t>
            </w: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提供的货物质量标准基本符合最新行业标准或国家标准（6分）</w:t>
            </w:r>
          </w:p>
        </w:tc>
        <w:tc>
          <w:tcPr>
            <w:tcW w:w="2525"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提供的货物质量标准不符合最新行业标准或国家标准（0分）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三、使用效果</w:t>
            </w:r>
          </w:p>
        </w:tc>
        <w:tc>
          <w:tcPr>
            <w:tcW w:w="2359"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4.对设备的影响程度</w:t>
            </w:r>
            <w:r>
              <w:rPr>
                <w:rFonts w:hint="eastAsia" w:ascii="宋体" w:hAnsi="宋体" w:cs="宋体"/>
                <w:b/>
                <w:bCs/>
                <w:color w:val="auto"/>
                <w:szCs w:val="21"/>
                <w:highlight w:val="none"/>
              </w:rPr>
              <w:t>（10分）</w:t>
            </w:r>
          </w:p>
        </w:tc>
        <w:tc>
          <w:tcPr>
            <w:tcW w:w="2551" w:type="dxa"/>
            <w:vAlign w:val="center"/>
          </w:tcPr>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加料后15天内给料顺畅，不</w:t>
            </w:r>
            <w:r>
              <w:rPr>
                <w:rFonts w:hint="eastAsia" w:ascii="宋体" w:hAnsi="宋体" w:cs="宋体"/>
                <w:color w:val="auto"/>
                <w:szCs w:val="21"/>
                <w:highlight w:val="none"/>
              </w:rPr>
              <w:t>产生粘结或板结。</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加料后15天内出现给料不顺畅现象次数不超过3次。</w:t>
            </w:r>
            <w:r>
              <w:rPr>
                <w:rFonts w:hint="eastAsia" w:ascii="宋体" w:hAnsi="宋体" w:cs="宋体"/>
                <w:color w:val="auto"/>
                <w:szCs w:val="21"/>
                <w:highlight w:val="none"/>
              </w:rPr>
              <w:t>（6分）</w:t>
            </w:r>
          </w:p>
        </w:tc>
        <w:tc>
          <w:tcPr>
            <w:tcW w:w="2525"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加料后15天内出现给料不顺畅现象次数超过3次的。</w:t>
            </w: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color w:val="auto"/>
                <w:szCs w:val="21"/>
                <w:highlight w:val="none"/>
              </w:rPr>
            </w:pPr>
          </w:p>
        </w:tc>
        <w:tc>
          <w:tcPr>
            <w:tcW w:w="2359"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5.脱水效果（50分）</w:t>
            </w:r>
          </w:p>
        </w:tc>
        <w:tc>
          <w:tcPr>
            <w:tcW w:w="2551"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脱水后污泥的含水率稳定达到80%以下（50分）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脱水后污泥出现过</w:t>
            </w:r>
            <w:r>
              <w:rPr>
                <w:rFonts w:hint="eastAsia" w:ascii="宋体" w:hAnsi="宋体" w:cs="宋体"/>
                <w:bCs/>
                <w:color w:val="auto"/>
                <w:szCs w:val="21"/>
                <w:highlight w:val="none"/>
              </w:rPr>
              <w:t>小于5次含水率超80%</w:t>
            </w:r>
            <w:r>
              <w:rPr>
                <w:rFonts w:hint="eastAsia" w:ascii="宋体" w:hAnsi="宋体" w:cs="宋体"/>
                <w:color w:val="auto"/>
                <w:szCs w:val="21"/>
                <w:highlight w:val="none"/>
              </w:rPr>
              <w:t>（30分）</w:t>
            </w:r>
          </w:p>
        </w:tc>
        <w:tc>
          <w:tcPr>
            <w:tcW w:w="2525"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脱水后污泥出现过</w:t>
            </w:r>
            <w:r>
              <w:rPr>
                <w:rFonts w:hint="eastAsia" w:ascii="宋体" w:hAnsi="宋体" w:cs="宋体"/>
                <w:bCs/>
                <w:color w:val="auto"/>
                <w:szCs w:val="21"/>
                <w:highlight w:val="none"/>
              </w:rPr>
              <w:t>超过5次含水率超80%</w:t>
            </w: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color w:val="auto"/>
                <w:szCs w:val="21"/>
                <w:highlight w:val="none"/>
              </w:rPr>
            </w:pPr>
          </w:p>
        </w:tc>
        <w:tc>
          <w:tcPr>
            <w:tcW w:w="2359"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6.澄清液固含量</w:t>
            </w:r>
            <w:r>
              <w:rPr>
                <w:rFonts w:hint="eastAsia" w:ascii="宋体" w:hAnsi="宋体" w:cs="宋体"/>
                <w:b/>
                <w:bCs/>
                <w:color w:val="auto"/>
                <w:szCs w:val="21"/>
                <w:highlight w:val="none"/>
              </w:rPr>
              <w:t>（10分）</w:t>
            </w:r>
          </w:p>
        </w:tc>
        <w:tc>
          <w:tcPr>
            <w:tcW w:w="255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大于150mg/L不超过3次</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大于150mg/L超过3次，不超过6次，其中大于160mg/L不超过3次（6分）</w:t>
            </w:r>
          </w:p>
        </w:tc>
        <w:tc>
          <w:tcPr>
            <w:tcW w:w="2525" w:type="dxa"/>
            <w:tcBorders>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大于150mg/L超过6次或大于160mg/L的超过3次</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四、服务质量</w:t>
            </w:r>
          </w:p>
        </w:tc>
        <w:tc>
          <w:tcPr>
            <w:tcW w:w="2359"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7.技术人员素质</w:t>
            </w:r>
            <w:r>
              <w:rPr>
                <w:rFonts w:hint="eastAsia" w:ascii="宋体" w:hAnsi="宋体" w:cs="宋体"/>
                <w:b/>
                <w:bCs/>
                <w:color w:val="auto"/>
                <w:szCs w:val="21"/>
                <w:highlight w:val="none"/>
              </w:rPr>
              <w:t>（5分）</w:t>
            </w:r>
          </w:p>
        </w:tc>
        <w:tc>
          <w:tcPr>
            <w:tcW w:w="2551"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7.技术人员素质（5分）                                      技术人员经验丰富，人员搭配合理，能按时按量满足厂区药剂投加需求。（5分）                                                                                                    </w:t>
            </w:r>
          </w:p>
        </w:tc>
        <w:tc>
          <w:tcPr>
            <w:tcW w:w="255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技术人员经验一般，人员搭配尚可，能基本满足厂区药剂投加需求（3分）</w:t>
            </w:r>
          </w:p>
        </w:tc>
        <w:tc>
          <w:tcPr>
            <w:tcW w:w="2525" w:type="dxa"/>
            <w:tcBorders>
              <w:bottom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技术人员工作经验少，人员搭配不足，不能满足厂区药剂投加需求</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color w:val="auto"/>
                <w:szCs w:val="21"/>
                <w:highlight w:val="none"/>
              </w:rPr>
            </w:pPr>
          </w:p>
        </w:tc>
        <w:tc>
          <w:tcPr>
            <w:tcW w:w="2359"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8.其他售后服务措施</w:t>
            </w:r>
            <w:r>
              <w:rPr>
                <w:rFonts w:hint="eastAsia" w:ascii="宋体" w:hAnsi="宋体" w:cs="宋体"/>
                <w:b/>
                <w:bCs/>
                <w:color w:val="auto"/>
                <w:szCs w:val="21"/>
                <w:highlight w:val="none"/>
              </w:rPr>
              <w:t>（5分）</w:t>
            </w:r>
          </w:p>
        </w:tc>
        <w:tc>
          <w:tcPr>
            <w:tcW w:w="255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1.有紧急应对措施合理具体充分；</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2.有利于买方的承诺。</w:t>
            </w:r>
          </w:p>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1.有紧急应对措施；</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2.有服务承诺。</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52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紧急应对措施不足</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bl>
    <w:p>
      <w:pPr>
        <w:spacing w:line="420" w:lineRule="exact"/>
        <w:ind w:left="696" w:leftChars="135" w:hanging="413" w:hangingChars="197"/>
        <w:rPr>
          <w:rFonts w:ascii="宋体" w:hAnsi="宋体"/>
          <w:b/>
          <w:bCs/>
          <w:color w:val="auto"/>
          <w:szCs w:val="21"/>
          <w:highlight w:val="none"/>
        </w:rPr>
      </w:pPr>
      <w:r>
        <w:rPr>
          <w:rFonts w:hint="eastAsia" w:ascii="宋体" w:hAnsi="宋体"/>
          <w:color w:val="auto"/>
          <w:szCs w:val="21"/>
          <w:highlight w:val="none"/>
        </w:rPr>
        <w:t>注：（1）由于不可抗力造成的交货延误，但没有影响生产的除外。</w:t>
      </w:r>
      <w:r>
        <w:rPr>
          <w:rFonts w:hint="eastAsia" w:ascii="宋体" w:hAnsi="宋体"/>
          <w:color w:val="auto"/>
          <w:szCs w:val="21"/>
          <w:highlight w:val="none"/>
        </w:rPr>
        <w:cr/>
      </w:r>
      <w:r>
        <w:rPr>
          <w:rFonts w:hint="eastAsia" w:ascii="宋体" w:hAnsi="宋体"/>
          <w:color w:val="auto"/>
          <w:szCs w:val="21"/>
          <w:highlight w:val="none"/>
        </w:rPr>
        <w:t>（2）交货准时是指交货不延误影响生产或过早而导致各厂库存过多。</w:t>
      </w:r>
    </w:p>
    <w:p>
      <w:pPr>
        <w:spacing w:line="420" w:lineRule="exact"/>
        <w:rPr>
          <w:rFonts w:ascii="宋体" w:hAnsi="宋体"/>
          <w:b/>
          <w:bCs/>
          <w:color w:val="auto"/>
          <w:szCs w:val="21"/>
          <w:highlight w:val="none"/>
        </w:rPr>
      </w:pPr>
    </w:p>
    <w:p>
      <w:pPr>
        <w:spacing w:line="420" w:lineRule="exact"/>
        <w:rPr>
          <w:rFonts w:ascii="宋体" w:hAnsi="宋体"/>
          <w:color w:val="auto"/>
          <w:szCs w:val="21"/>
          <w:highlight w:val="none"/>
        </w:rPr>
      </w:pPr>
      <w:r>
        <w:rPr>
          <w:rFonts w:hint="eastAsia" w:ascii="宋体" w:hAnsi="宋体"/>
          <w:b/>
          <w:bCs/>
          <w:color w:val="auto"/>
          <w:szCs w:val="21"/>
          <w:highlight w:val="none"/>
        </w:rPr>
        <w:t>附表3-1、</w:t>
      </w:r>
      <w:r>
        <w:rPr>
          <w:rStyle w:val="29"/>
          <w:rFonts w:hint="default"/>
          <w:b/>
          <w:bCs/>
          <w:color w:val="auto"/>
          <w:sz w:val="21"/>
          <w:szCs w:val="21"/>
          <w:highlight w:val="none"/>
        </w:rPr>
        <w:t>药剂安全情况自查表（危险化学品）</w:t>
      </w:r>
    </w:p>
    <w:tbl>
      <w:tblPr>
        <w:tblStyle w:val="20"/>
        <w:tblpPr w:leftFromText="180" w:rightFromText="180" w:vertAnchor="text" w:horzAnchor="page" w:tblpX="692" w:tblpY="545"/>
        <w:tblOverlap w:val="never"/>
        <w:tblW w:w="10639" w:type="dxa"/>
        <w:tblInd w:w="0" w:type="dxa"/>
        <w:tblLayout w:type="autofit"/>
        <w:tblCellMar>
          <w:top w:w="0" w:type="dxa"/>
          <w:left w:w="0" w:type="dxa"/>
          <w:bottom w:w="0" w:type="dxa"/>
          <w:right w:w="0" w:type="dxa"/>
        </w:tblCellMar>
      </w:tblPr>
      <w:tblGrid>
        <w:gridCol w:w="1580"/>
        <w:gridCol w:w="1755"/>
        <w:gridCol w:w="2988"/>
        <w:gridCol w:w="1951"/>
        <w:gridCol w:w="2365"/>
      </w:tblGrid>
      <w:tr>
        <w:tblPrEx>
          <w:tblCellMar>
            <w:top w:w="0" w:type="dxa"/>
            <w:left w:w="0" w:type="dxa"/>
            <w:bottom w:w="0" w:type="dxa"/>
            <w:right w:w="0" w:type="dxa"/>
          </w:tblCellMar>
        </w:tblPrEx>
        <w:trPr>
          <w:trHeight w:val="1200" w:hRule="atLeast"/>
        </w:trPr>
        <w:tc>
          <w:tcPr>
            <w:tcW w:w="10639"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auto"/>
                <w:sz w:val="32"/>
                <w:szCs w:val="32"/>
                <w:highlight w:val="none"/>
                <w:u w:val="single"/>
              </w:rPr>
            </w:pPr>
            <w:r>
              <w:rPr>
                <w:rStyle w:val="30"/>
                <w:rFonts w:hint="default"/>
                <w:color w:val="auto"/>
                <w:highlight w:val="none"/>
              </w:rPr>
              <w:t xml:space="preserve">         </w:t>
            </w:r>
            <w:r>
              <w:rPr>
                <w:rStyle w:val="29"/>
                <w:rFonts w:hint="default"/>
                <w:color w:val="auto"/>
                <w:highlight w:val="none"/>
              </w:rPr>
              <w:t>年</w:t>
            </w:r>
            <w:r>
              <w:rPr>
                <w:rStyle w:val="30"/>
                <w:rFonts w:hint="default"/>
                <w:color w:val="auto"/>
                <w:highlight w:val="none"/>
              </w:rPr>
              <w:t xml:space="preserve">       </w:t>
            </w:r>
            <w:r>
              <w:rPr>
                <w:rStyle w:val="29"/>
                <w:rFonts w:hint="default"/>
                <w:color w:val="auto"/>
                <w:highlight w:val="none"/>
              </w:rPr>
              <w:t>药剂安全情况自查表（危险化学品）</w:t>
            </w:r>
          </w:p>
        </w:tc>
      </w:tr>
      <w:tr>
        <w:tblPrEx>
          <w:tblCellMar>
            <w:top w:w="0" w:type="dxa"/>
            <w:left w:w="0" w:type="dxa"/>
            <w:bottom w:w="0" w:type="dxa"/>
            <w:right w:w="0" w:type="dxa"/>
          </w:tblCellMar>
        </w:tblPrEx>
        <w:trPr>
          <w:trHeight w:val="660"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自查单位（盖章）：</w:t>
            </w:r>
          </w:p>
        </w:tc>
      </w:tr>
      <w:tr>
        <w:tblPrEx>
          <w:tblCellMar>
            <w:top w:w="0" w:type="dxa"/>
            <w:left w:w="0" w:type="dxa"/>
            <w:bottom w:w="0" w:type="dxa"/>
            <w:right w:w="0" w:type="dxa"/>
          </w:tblCellMar>
        </w:tblPrEx>
        <w:trPr>
          <w:trHeight w:val="720"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检查日期：</w:t>
            </w:r>
          </w:p>
        </w:tc>
      </w:tr>
      <w:tr>
        <w:tblPrEx>
          <w:tblCellMar>
            <w:top w:w="0" w:type="dxa"/>
            <w:left w:w="0" w:type="dxa"/>
            <w:bottom w:w="0" w:type="dxa"/>
            <w:right w:w="0" w:type="dxa"/>
          </w:tblCellMar>
        </w:tblPrEx>
        <w:trPr>
          <w:trHeight w:val="540" w:hRule="atLeast"/>
        </w:trPr>
        <w:tc>
          <w:tcPr>
            <w:tcW w:w="158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75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内容</w:t>
            </w:r>
          </w:p>
        </w:tc>
        <w:tc>
          <w:tcPr>
            <w:tcW w:w="298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主要检查内容</w:t>
            </w:r>
          </w:p>
        </w:tc>
        <w:tc>
          <w:tcPr>
            <w:tcW w:w="195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检查结果</w:t>
            </w:r>
          </w:p>
        </w:tc>
        <w:tc>
          <w:tcPr>
            <w:tcW w:w="236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存在问题及整改措施</w:t>
            </w:r>
          </w:p>
        </w:tc>
      </w:tr>
      <w:tr>
        <w:tblPrEx>
          <w:tblCellMar>
            <w:top w:w="0" w:type="dxa"/>
            <w:left w:w="0" w:type="dxa"/>
            <w:bottom w:w="0" w:type="dxa"/>
            <w:right w:w="0" w:type="dxa"/>
          </w:tblCellMar>
        </w:tblPrEx>
        <w:trPr>
          <w:trHeight w:val="312" w:hRule="atLeast"/>
        </w:trPr>
        <w:tc>
          <w:tcPr>
            <w:tcW w:w="1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一、台账检查</w:t>
            </w:r>
          </w:p>
        </w:tc>
        <w:tc>
          <w:tcPr>
            <w:tcW w:w="175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生产、经营资质     </w:t>
            </w:r>
          </w:p>
        </w:tc>
        <w:tc>
          <w:tcPr>
            <w:tcW w:w="298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1、危险化学品安全使用许可证。                   2、危险化学品经营许可证3、营业执照。          4、危险化学品安全生产许可证</w:t>
            </w:r>
          </w:p>
        </w:tc>
        <w:tc>
          <w:tcPr>
            <w:tcW w:w="195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1"/>
                <w:color w:val="auto"/>
                <w:highlight w:val="none"/>
              </w:rPr>
              <w:t></w:t>
            </w:r>
            <w:r>
              <w:rPr>
                <w:rStyle w:val="32"/>
                <w:rFonts w:hint="default"/>
                <w:color w:val="auto"/>
                <w:highlight w:val="none"/>
              </w:rPr>
              <w:t xml:space="preserve">有    </w:t>
            </w:r>
            <w:r>
              <w:rPr>
                <w:rStyle w:val="31"/>
                <w:color w:val="auto"/>
                <w:highlight w:val="none"/>
              </w:rPr>
              <w:t></w:t>
            </w:r>
            <w:r>
              <w:rPr>
                <w:rStyle w:val="32"/>
                <w:rFonts w:hint="default"/>
                <w:color w:val="auto"/>
                <w:highlight w:val="none"/>
              </w:rPr>
              <w:t>没有</w:t>
            </w:r>
          </w:p>
        </w:tc>
        <w:tc>
          <w:tcPr>
            <w:tcW w:w="2365"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1017"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运输资质及产品   </w:t>
            </w:r>
          </w:p>
        </w:tc>
        <w:tc>
          <w:tcPr>
            <w:tcW w:w="2988"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车队的运输资质。                   2、剧毒化学品道路运输通行证。                 3、送货人员的证件资料及职业卫生相关资料。     4、运输产品的车辆需悬挂或喷涂符合国家标准的警示标志</w:t>
            </w:r>
          </w:p>
        </w:tc>
        <w:tc>
          <w:tcPr>
            <w:tcW w:w="195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1"/>
                <w:color w:val="auto"/>
                <w:highlight w:val="none"/>
              </w:rPr>
              <w:t></w:t>
            </w:r>
            <w:r>
              <w:rPr>
                <w:rStyle w:val="32"/>
                <w:rFonts w:hint="default"/>
                <w:color w:val="auto"/>
                <w:highlight w:val="none"/>
              </w:rPr>
              <w:t xml:space="preserve">有    </w:t>
            </w:r>
            <w:r>
              <w:rPr>
                <w:rStyle w:val="31"/>
                <w:color w:val="auto"/>
                <w:highlight w:val="none"/>
              </w:rPr>
              <w:t></w:t>
            </w:r>
            <w:r>
              <w:rPr>
                <w:rStyle w:val="32"/>
                <w:rFonts w:hint="default"/>
                <w:color w:val="auto"/>
                <w:highlight w:val="none"/>
              </w:rPr>
              <w:t>没有</w:t>
            </w:r>
          </w:p>
        </w:tc>
        <w:tc>
          <w:tcPr>
            <w:tcW w:w="2365"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408"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988"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安全管理台账</w:t>
            </w:r>
          </w:p>
        </w:tc>
        <w:tc>
          <w:tcPr>
            <w:tcW w:w="298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1、厂区安全生产规章制度。                     2、运送货物人员的安全培训资料、考核情况。     3、安全防护用品的购置和发放记录。             4、安全月度检查及整改情况台账。               5、应急预案、应急演练、应急救援器材、设备台账</w:t>
            </w:r>
          </w:p>
        </w:tc>
        <w:tc>
          <w:tcPr>
            <w:tcW w:w="195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1"/>
                <w:color w:val="auto"/>
                <w:highlight w:val="none"/>
              </w:rPr>
              <w:t></w:t>
            </w:r>
            <w:r>
              <w:rPr>
                <w:rStyle w:val="32"/>
                <w:rFonts w:hint="default"/>
                <w:color w:val="auto"/>
                <w:highlight w:val="none"/>
              </w:rPr>
              <w:t xml:space="preserve">有   </w:t>
            </w:r>
            <w:r>
              <w:rPr>
                <w:rStyle w:val="31"/>
                <w:color w:val="auto"/>
                <w:highlight w:val="none"/>
              </w:rPr>
              <w:t></w:t>
            </w:r>
            <w:r>
              <w:rPr>
                <w:rStyle w:val="32"/>
                <w:rFonts w:hint="default"/>
                <w:color w:val="auto"/>
                <w:highlight w:val="none"/>
              </w:rPr>
              <w:t>没有</w:t>
            </w:r>
          </w:p>
        </w:tc>
        <w:tc>
          <w:tcPr>
            <w:tcW w:w="2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144"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二、现场检查</w:t>
            </w:r>
          </w:p>
        </w:tc>
        <w:tc>
          <w:tcPr>
            <w:tcW w:w="175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生产区域      </w:t>
            </w:r>
          </w:p>
        </w:tc>
        <w:tc>
          <w:tcPr>
            <w:tcW w:w="298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1、生产区域安全警示标示、、储存区域的安全警示标示、装卸区域的安全警示标示。               2、安全防护用品、救援物资的现场储备情况。</w:t>
            </w:r>
          </w:p>
        </w:tc>
        <w:tc>
          <w:tcPr>
            <w:tcW w:w="195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1"/>
                <w:color w:val="auto"/>
                <w:highlight w:val="none"/>
              </w:rPr>
              <w:t></w:t>
            </w:r>
            <w:r>
              <w:rPr>
                <w:rStyle w:val="32"/>
                <w:rFonts w:hint="default"/>
                <w:color w:val="auto"/>
                <w:highlight w:val="none"/>
              </w:rPr>
              <w:t xml:space="preserve">有    </w:t>
            </w:r>
            <w:r>
              <w:rPr>
                <w:rStyle w:val="31"/>
                <w:color w:val="auto"/>
                <w:highlight w:val="none"/>
              </w:rPr>
              <w:t></w:t>
            </w:r>
            <w:r>
              <w:rPr>
                <w:rStyle w:val="32"/>
                <w:rFonts w:hint="default"/>
                <w:color w:val="auto"/>
                <w:highlight w:val="none"/>
              </w:rPr>
              <w:t>没有</w:t>
            </w:r>
          </w:p>
        </w:tc>
        <w:tc>
          <w:tcPr>
            <w:tcW w:w="2365"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557" w:hRule="atLeast"/>
        </w:trPr>
        <w:tc>
          <w:tcPr>
            <w:tcW w:w="10639" w:type="dxa"/>
            <w:gridSpan w:val="5"/>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备注：存在问题及整改措施需提供相关图片资料。自查表需按照合同约定及时提交至甲方辖下各分（子）公司进行考核评分</w:t>
            </w:r>
          </w:p>
        </w:tc>
      </w:tr>
    </w:tbl>
    <w:p>
      <w:pPr>
        <w:spacing w:line="420" w:lineRule="exact"/>
        <w:ind w:left="696" w:leftChars="135" w:hanging="413" w:hangingChars="197"/>
        <w:rPr>
          <w:rFonts w:ascii="宋体" w:hAnsi="宋体"/>
          <w:color w:val="auto"/>
          <w:szCs w:val="21"/>
          <w:highlight w:val="none"/>
        </w:rPr>
      </w:pPr>
    </w:p>
    <w:p>
      <w:pPr>
        <w:spacing w:line="360" w:lineRule="auto"/>
        <w:rPr>
          <w:rFonts w:asciiTheme="minorEastAsia" w:hAnsiTheme="minorEastAsia" w:eastAsiaTheme="minorEastAsia"/>
          <w:color w:val="auto"/>
          <w:sz w:val="22"/>
          <w:highlight w:val="none"/>
        </w:rPr>
      </w:pPr>
    </w:p>
    <w:p>
      <w:pPr>
        <w:spacing w:line="360" w:lineRule="auto"/>
        <w:rPr>
          <w:rFonts w:ascii="宋体" w:hAnsi="宋体"/>
          <w:b/>
          <w:color w:val="auto"/>
          <w:highlight w:val="none"/>
        </w:rPr>
      </w:pPr>
      <w:r>
        <w:rPr>
          <w:rFonts w:hint="eastAsia" w:ascii="宋体" w:hAnsi="宋体"/>
          <w:b/>
          <w:color w:val="auto"/>
          <w:highlight w:val="none"/>
        </w:rPr>
        <w:t>附表3-2、</w:t>
      </w:r>
      <w:r>
        <w:rPr>
          <w:rStyle w:val="29"/>
          <w:rFonts w:hint="default"/>
          <w:b/>
          <w:bCs/>
          <w:color w:val="auto"/>
          <w:sz w:val="21"/>
          <w:szCs w:val="21"/>
          <w:highlight w:val="none"/>
        </w:rPr>
        <w:t>药剂安全情况自查表（普通化学品）</w:t>
      </w:r>
    </w:p>
    <w:tbl>
      <w:tblPr>
        <w:tblStyle w:val="20"/>
        <w:tblW w:w="10180" w:type="dxa"/>
        <w:tblInd w:w="0" w:type="dxa"/>
        <w:tblLayout w:type="autofit"/>
        <w:tblCellMar>
          <w:top w:w="0" w:type="dxa"/>
          <w:left w:w="0" w:type="dxa"/>
          <w:bottom w:w="0" w:type="dxa"/>
          <w:right w:w="0" w:type="dxa"/>
        </w:tblCellMar>
      </w:tblPr>
      <w:tblGrid>
        <w:gridCol w:w="1701"/>
        <w:gridCol w:w="1467"/>
        <w:gridCol w:w="2440"/>
        <w:gridCol w:w="1908"/>
        <w:gridCol w:w="2664"/>
      </w:tblGrid>
      <w:tr>
        <w:tblPrEx>
          <w:tblCellMar>
            <w:top w:w="0" w:type="dxa"/>
            <w:left w:w="0" w:type="dxa"/>
            <w:bottom w:w="0" w:type="dxa"/>
            <w:right w:w="0" w:type="dxa"/>
          </w:tblCellMar>
        </w:tblPrEx>
        <w:trPr>
          <w:trHeight w:val="902" w:hRule="atLeast"/>
        </w:trPr>
        <w:tc>
          <w:tcPr>
            <w:tcW w:w="1018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auto"/>
                <w:sz w:val="32"/>
                <w:szCs w:val="32"/>
                <w:highlight w:val="none"/>
                <w:u w:val="single"/>
              </w:rPr>
            </w:pP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年</w:t>
            </w: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药剂安全情况自查表（普通化学品）</w:t>
            </w:r>
          </w:p>
        </w:tc>
      </w:tr>
      <w:tr>
        <w:tblPrEx>
          <w:tblCellMar>
            <w:top w:w="0" w:type="dxa"/>
            <w:left w:w="0" w:type="dxa"/>
            <w:bottom w:w="0" w:type="dxa"/>
            <w:right w:w="0" w:type="dxa"/>
          </w:tblCellMar>
        </w:tblPrEx>
        <w:trPr>
          <w:trHeight w:val="649"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自检单位：（盖章）</w:t>
            </w:r>
          </w:p>
        </w:tc>
      </w:tr>
      <w:tr>
        <w:tblPrEx>
          <w:tblCellMar>
            <w:top w:w="0" w:type="dxa"/>
            <w:left w:w="0" w:type="dxa"/>
            <w:bottom w:w="0" w:type="dxa"/>
            <w:right w:w="0" w:type="dxa"/>
          </w:tblCellMar>
        </w:tblPrEx>
        <w:trPr>
          <w:trHeight w:val="649"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检查日期：</w:t>
            </w:r>
          </w:p>
        </w:tc>
      </w:tr>
      <w:tr>
        <w:tblPrEx>
          <w:tblCellMar>
            <w:top w:w="0" w:type="dxa"/>
            <w:left w:w="0" w:type="dxa"/>
            <w:bottom w:w="0" w:type="dxa"/>
            <w:right w:w="0" w:type="dxa"/>
          </w:tblCellMar>
        </w:tblPrEx>
        <w:trPr>
          <w:trHeight w:val="744" w:hRule="atLeast"/>
        </w:trPr>
        <w:tc>
          <w:tcPr>
            <w:tcW w:w="170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467"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内容</w:t>
            </w:r>
          </w:p>
        </w:tc>
        <w:tc>
          <w:tcPr>
            <w:tcW w:w="244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主要检查内容</w:t>
            </w:r>
          </w:p>
        </w:tc>
        <w:tc>
          <w:tcPr>
            <w:tcW w:w="190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检查结果</w:t>
            </w:r>
          </w:p>
        </w:tc>
        <w:tc>
          <w:tcPr>
            <w:tcW w:w="266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存在问题及整改措施</w:t>
            </w:r>
          </w:p>
        </w:tc>
      </w:tr>
      <w:tr>
        <w:tblPrEx>
          <w:tblCellMar>
            <w:top w:w="0" w:type="dxa"/>
            <w:left w:w="0" w:type="dxa"/>
            <w:bottom w:w="0" w:type="dxa"/>
            <w:right w:w="0" w:type="dxa"/>
          </w:tblCellMar>
        </w:tblPrEx>
        <w:trPr>
          <w:trHeight w:val="341" w:hRule="atLeast"/>
        </w:trPr>
        <w:tc>
          <w:tcPr>
            <w:tcW w:w="1701"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一、台账检查</w:t>
            </w:r>
          </w:p>
        </w:tc>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生产、经营资质     </w:t>
            </w:r>
          </w:p>
        </w:tc>
        <w:tc>
          <w:tcPr>
            <w:tcW w:w="2440"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1、经营许可证。        2、营业执照。              3、安全生产许可证</w:t>
            </w:r>
          </w:p>
        </w:tc>
        <w:tc>
          <w:tcPr>
            <w:tcW w:w="190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664"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922"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运输资质   </w:t>
            </w:r>
          </w:p>
        </w:tc>
        <w:tc>
          <w:tcPr>
            <w:tcW w:w="2440"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食用盐</w:t>
            </w:r>
            <w:r>
              <w:rPr>
                <w:rFonts w:hint="eastAsia" w:ascii="宋体" w:hAnsi="宋体" w:cs="宋体"/>
                <w:color w:val="auto"/>
                <w:kern w:val="0"/>
                <w:sz w:val="24"/>
                <w:highlight w:val="none"/>
              </w:rPr>
              <w:t>车队的运输资质                     2、道路运输许可证。    3、送货人员的证件资料及职业卫生相关资料</w:t>
            </w:r>
          </w:p>
        </w:tc>
        <w:tc>
          <w:tcPr>
            <w:tcW w:w="190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664"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1317"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440"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安全管理台账</w:t>
            </w:r>
          </w:p>
        </w:tc>
        <w:tc>
          <w:tcPr>
            <w:tcW w:w="2440"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1、厂区安全生产规章制度                     2、运送货物人员岗前培训资料。                 3、安全防护用品的购置和发放记录。             4、安全月度检查及整改情况台账。                 5、应急预案、应急演练记录</w:t>
            </w:r>
          </w:p>
        </w:tc>
        <w:tc>
          <w:tcPr>
            <w:tcW w:w="1908"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664"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776"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440"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restart"/>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二、现场检查</w:t>
            </w:r>
          </w:p>
        </w:tc>
        <w:tc>
          <w:tcPr>
            <w:tcW w:w="1467"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生产区域   </w:t>
            </w:r>
          </w:p>
        </w:tc>
        <w:tc>
          <w:tcPr>
            <w:tcW w:w="2440"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1、生产、储存区域安全警示标示。               2、安全防护用品的现场储备情况</w:t>
            </w:r>
          </w:p>
        </w:tc>
        <w:tc>
          <w:tcPr>
            <w:tcW w:w="190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664" w:type="dxa"/>
            <w:vMerge w:val="restart"/>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440"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764" w:hRule="atLeast"/>
        </w:trPr>
        <w:tc>
          <w:tcPr>
            <w:tcW w:w="1701"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440"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823" w:hRule="atLeast"/>
        </w:trPr>
        <w:tc>
          <w:tcPr>
            <w:tcW w:w="10180" w:type="dxa"/>
            <w:gridSpan w:val="5"/>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备注：存在问题及整改措施需提供相关图片资料。自查表需按照合同约定及时提交至甲方辖下各分（子）公司进行考核评分</w:t>
            </w:r>
          </w:p>
        </w:tc>
      </w:tr>
    </w:tbl>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pStyle w:val="2"/>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spacing w:line="360" w:lineRule="auto"/>
        <w:rPr>
          <w:rFonts w:ascii="宋体" w:hAnsi="宋体"/>
          <w:b/>
          <w:color w:val="auto"/>
          <w:highlight w:val="none"/>
        </w:rPr>
      </w:pPr>
      <w:r>
        <w:rPr>
          <w:rFonts w:hint="eastAsia" w:ascii="宋体" w:hAnsi="宋体"/>
          <w:b/>
          <w:color w:val="auto"/>
          <w:highlight w:val="none"/>
        </w:rPr>
        <w:t>附件</w:t>
      </w:r>
      <w:r>
        <w:rPr>
          <w:rFonts w:ascii="宋体" w:hAnsi="宋体"/>
          <w:b/>
          <w:color w:val="auto"/>
          <w:highlight w:val="none"/>
        </w:rPr>
        <w:t>1</w:t>
      </w:r>
      <w:r>
        <w:rPr>
          <w:rFonts w:hint="eastAsia" w:ascii="宋体" w:hAnsi="宋体"/>
          <w:b/>
          <w:color w:val="auto"/>
          <w:highlight w:val="none"/>
        </w:rPr>
        <w:t>：子公司管理协议（格式）</w:t>
      </w:r>
    </w:p>
    <w:p>
      <w:pPr>
        <w:ind w:firstLine="1807" w:firstLineChars="600"/>
        <w:rPr>
          <w:rFonts w:ascii="宋体" w:hAnsi="宋体"/>
          <w:b/>
          <w:color w:val="auto"/>
          <w:sz w:val="30"/>
          <w:szCs w:val="30"/>
          <w:highlight w:val="none"/>
        </w:rPr>
      </w:pPr>
    </w:p>
    <w:p>
      <w:pPr>
        <w:ind w:firstLine="2530" w:firstLineChars="900"/>
        <w:rPr>
          <w:rFonts w:ascii="宋体" w:hAnsi="宋体"/>
          <w:b/>
          <w:color w:val="auto"/>
          <w:sz w:val="28"/>
          <w:szCs w:val="28"/>
          <w:highlight w:val="none"/>
        </w:rPr>
      </w:pPr>
      <w:r>
        <w:rPr>
          <w:rFonts w:hint="eastAsia" w:ascii="宋体" w:hAnsi="宋体"/>
          <w:b/>
          <w:color w:val="auto"/>
          <w:sz w:val="28"/>
          <w:szCs w:val="28"/>
          <w:highlight w:val="none"/>
        </w:rPr>
        <w:t>广州市净水有限公司________</w:t>
      </w:r>
    </w:p>
    <w:p>
      <w:pPr>
        <w:ind w:firstLine="2811" w:firstLineChars="1000"/>
        <w:rPr>
          <w:rFonts w:ascii="宋体" w:hAnsi="宋体"/>
          <w:b/>
          <w:color w:val="auto"/>
          <w:sz w:val="28"/>
          <w:szCs w:val="28"/>
          <w:highlight w:val="none"/>
        </w:rPr>
      </w:pPr>
      <w:r>
        <w:rPr>
          <w:rFonts w:hint="eastAsia" w:ascii="宋体" w:hAnsi="宋体"/>
          <w:b/>
          <w:color w:val="auto"/>
          <w:sz w:val="28"/>
          <w:szCs w:val="28"/>
          <w:highlight w:val="none"/>
        </w:rPr>
        <w:t>关于__________的管理协议</w:t>
      </w:r>
    </w:p>
    <w:p>
      <w:pPr>
        <w:widowControl/>
        <w:spacing w:line="360" w:lineRule="auto"/>
        <w:jc w:val="left"/>
        <w:rPr>
          <w:rFonts w:ascii="宋体" w:hAnsi="宋体" w:cs="宋体"/>
          <w:color w:val="auto"/>
          <w:sz w:val="24"/>
          <w:highlight w:val="none"/>
        </w:rPr>
      </w:pP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甲方：广州市净水有限公司xx（子公司）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乙方：</w:t>
      </w:r>
    </w:p>
    <w:p>
      <w:pPr>
        <w:spacing w:line="360" w:lineRule="auto"/>
        <w:rPr>
          <w:rFonts w:ascii="宋体" w:hAnsi="宋体" w:cs="宋体"/>
          <w:color w:val="auto"/>
          <w:sz w:val="24"/>
          <w:highlight w:val="none"/>
        </w:rPr>
      </w:pPr>
    </w:p>
    <w:p>
      <w:pPr>
        <w:pStyle w:val="9"/>
        <w:spacing w:line="360" w:lineRule="auto"/>
        <w:ind w:left="120" w:leftChars="57" w:firstLine="360" w:firstLineChars="150"/>
        <w:jc w:val="left"/>
        <w:rPr>
          <w:rFonts w:hAnsi="宋体" w:cs="宋体"/>
          <w:color w:val="auto"/>
          <w:sz w:val="24"/>
          <w:szCs w:val="24"/>
          <w:highlight w:val="none"/>
        </w:rPr>
      </w:pPr>
      <w:r>
        <w:rPr>
          <w:rFonts w:hint="eastAsia" w:hAnsi="宋体" w:cs="宋体"/>
          <w:color w:val="auto"/>
          <w:sz w:val="24"/>
          <w:szCs w:val="24"/>
          <w:highlight w:val="none"/>
        </w:rPr>
        <w:t>本协议中的所用术语，除非另有说明，否则其定义与双方于____年__月__日签订合同编号为</w:t>
      </w:r>
      <w:r>
        <w:rPr>
          <w:rFonts w:hint="eastAsia" w:hAnsi="宋体" w:cs="宋体"/>
          <w:color w:val="auto"/>
          <w:sz w:val="24"/>
          <w:szCs w:val="24"/>
          <w:highlight w:val="none"/>
          <w:u w:val="single"/>
        </w:rPr>
        <w:t xml:space="preserve">             《合同名称 》</w:t>
      </w:r>
      <w:r>
        <w:rPr>
          <w:rFonts w:hint="eastAsia" w:hAnsi="宋体" w:cs="宋体"/>
          <w:color w:val="auto"/>
          <w:sz w:val="24"/>
          <w:szCs w:val="24"/>
          <w:highlight w:val="none"/>
        </w:rPr>
        <w:t>中的定义相同。</w:t>
      </w:r>
    </w:p>
    <w:p>
      <w:pPr>
        <w:spacing w:line="360" w:lineRule="auto"/>
        <w:ind w:left="120" w:leftChars="57" w:firstLine="600" w:firstLineChars="250"/>
        <w:rPr>
          <w:rFonts w:ascii="宋体" w:hAnsi="宋体" w:cs="宋体"/>
          <w:color w:val="auto"/>
          <w:sz w:val="24"/>
          <w:highlight w:val="none"/>
        </w:rPr>
      </w:pPr>
      <w:r>
        <w:rPr>
          <w:rFonts w:hint="eastAsia" w:ascii="宋体" w:hAnsi="宋体" w:cs="宋体"/>
          <w:color w:val="auto"/>
          <w:sz w:val="24"/>
          <w:highlight w:val="none"/>
        </w:rPr>
        <w:t>广州市净水有限公司  年药剂采购项目（以下称“本项目”）通过公开招标（或询价等）的方式，确定公司为本项目的中标单位。根据《中华人民共和国民法典》和国家其它法律法规，广州市净水有限公司与_______________公司双方协商一致，签订了</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，经甲乙双方协商，签订本协议。</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一、药剂单价及付款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___________药剂单价按广州市净水有限公司与___________公司签订的合同单价为固定不变价，合同单价今后不因任何因素而作调整。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1.2结算方式：按 </w:t>
      </w:r>
      <w:r>
        <w:rPr>
          <w:rFonts w:hint="eastAsia" w:ascii="宋体" w:hAnsi="宋体" w:cs="宋体"/>
          <w:color w:val="auto"/>
          <w:sz w:val="24"/>
          <w:highlight w:val="none"/>
          <w:u w:val="single"/>
        </w:rPr>
        <w:t>《合同名称》+（合同编号）约定</w:t>
      </w:r>
      <w:r>
        <w:rPr>
          <w:rFonts w:hint="eastAsia" w:ascii="宋体" w:hAnsi="宋体" w:cs="宋体"/>
          <w:color w:val="auto"/>
          <w:sz w:val="24"/>
          <w:highlight w:val="none"/>
        </w:rPr>
        <w:t>执行。</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与乙方按照实际供货量结算，甲方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按合同单价每月与乙方结算一次。乙方应在每月</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日前将结算表以书面形式交付甲方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对结算内容有异议，应书面回复乙方。乙方根据甲方确认的结算金额开出国家合法的增值税专用发票，交甲方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办理付款手续。</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二、药剂的检测、考核及处罚</w:t>
      </w:r>
    </w:p>
    <w:p>
      <w:pPr>
        <w:spacing w:line="360" w:lineRule="auto"/>
        <w:ind w:firstLine="489" w:firstLineChars="204"/>
        <w:rPr>
          <w:rFonts w:ascii="宋体" w:hAnsi="宋体" w:cs="宋体"/>
          <w:color w:val="auto"/>
          <w:sz w:val="24"/>
          <w:highlight w:val="none"/>
        </w:rPr>
      </w:pPr>
      <w:r>
        <w:rPr>
          <w:rFonts w:hint="eastAsia" w:ascii="宋体" w:hAnsi="宋体" w:cs="宋体"/>
          <w:color w:val="auto"/>
          <w:sz w:val="24"/>
          <w:highlight w:val="none"/>
        </w:rPr>
        <w:t>2.1甲方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根据广州市净水有限公司与公司签订的合同</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要求，对</w:t>
      </w:r>
      <w:r>
        <w:rPr>
          <w:rFonts w:hint="eastAsia" w:ascii="宋体" w:hAnsi="宋体" w:cs="宋体"/>
          <w:color w:val="auto"/>
          <w:kern w:val="0"/>
          <w:sz w:val="24"/>
          <w:highlight w:val="none"/>
        </w:rPr>
        <w:t>乙方每车次货物进行取样检测，并根据检测结果进行处罚</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三、乙方须根据</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，严格执行各项合同条款，执行相关权利和义务。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四、本协议生效后，即成为合同编号为</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不可分割的组成部分，与其具有同等的法律效力。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五、本协议一式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份，具有同等法律效力，自双方签字盖章之日起生效。</w:t>
      </w:r>
    </w:p>
    <w:p>
      <w:pPr>
        <w:spacing w:line="360" w:lineRule="auto"/>
        <w:rPr>
          <w:rFonts w:ascii="宋体" w:hAnsi="宋体" w:cs="宋体"/>
          <w:color w:val="auto"/>
          <w:sz w:val="24"/>
          <w:highlight w:val="none"/>
        </w:rPr>
      </w:pPr>
    </w:p>
    <w:p>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甲方：广州市净水有限公司</w:t>
      </w:r>
      <w:r>
        <w:rPr>
          <w:rFonts w:hint="eastAsia" w:hAnsi="宋体" w:cs="宋体"/>
          <w:color w:val="auto"/>
          <w:sz w:val="24"/>
          <w:highlight w:val="none"/>
        </w:rPr>
        <w:t>xx</w:t>
      </w:r>
      <w:r>
        <w:rPr>
          <w:rFonts w:hint="eastAsia" w:hAnsi="宋体" w:cs="宋体"/>
          <w:color w:val="auto"/>
          <w:sz w:val="24"/>
          <w:highlight w:val="none"/>
          <w:lang w:val="en-US" w:eastAsia="zh-CN"/>
        </w:rPr>
        <w:t>(</w:t>
      </w:r>
      <w:r>
        <w:rPr>
          <w:rFonts w:hint="eastAsia" w:hAnsi="宋体" w:cs="宋体"/>
          <w:color w:val="auto"/>
          <w:sz w:val="24"/>
          <w:highlight w:val="none"/>
        </w:rPr>
        <w:t>子公司</w:t>
      </w:r>
      <w:r>
        <w:rPr>
          <w:rFonts w:hint="eastAsia" w:hAnsi="宋体" w:cs="宋体"/>
          <w:color w:val="auto"/>
          <w:sz w:val="24"/>
          <w:highlight w:val="none"/>
          <w:lang w:val="en-US" w:eastAsia="zh-CN"/>
        </w:rPr>
        <w:t>)</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乙方：</w:t>
      </w:r>
    </w:p>
    <w:p>
      <w:pPr>
        <w:pStyle w:val="9"/>
        <w:spacing w:line="360" w:lineRule="auto"/>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rPr>
        <w:t xml:space="preserve">      </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地址：                                   地址：</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法定代表人（或项目经办人）：             法定代表人：</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 xml:space="preserve">委托代理人：                             委托代理人：                 </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电话：                                   电话：</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传真：                                   传真：</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开户银行：                               开户银行：</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帐号：                                   帐号：</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邮政编码：                               邮政编码：</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邮箱地址：                               邮箱地址：</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日期：                                   日期：</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rPr>
          <w:rFonts w:ascii="宋体" w:hAnsi="宋体" w:cs="宋体"/>
          <w:b/>
          <w:color w:val="auto"/>
          <w:sz w:val="28"/>
          <w:szCs w:val="28"/>
          <w:highlight w:val="none"/>
        </w:rPr>
      </w:pPr>
      <w:r>
        <w:rPr>
          <w:rFonts w:hint="eastAsia" w:ascii="宋体" w:hAnsi="宋体" w:cs="宋体"/>
          <w:b/>
          <w:color w:val="auto"/>
          <w:szCs w:val="21"/>
          <w:highlight w:val="none"/>
        </w:rPr>
        <w:t>附件2：生产药剂采购安全协议书</w:t>
      </w:r>
    </w:p>
    <w:p>
      <w:pPr>
        <w:rPr>
          <w:rFonts w:ascii="宋体" w:hAnsi="宋体" w:cs="宋体"/>
          <w:b/>
          <w:color w:val="auto"/>
          <w:sz w:val="28"/>
          <w:szCs w:val="28"/>
          <w:highlight w:val="none"/>
        </w:rPr>
      </w:pPr>
    </w:p>
    <w:p>
      <w:pPr>
        <w:spacing w:line="360" w:lineRule="auto"/>
        <w:jc w:val="center"/>
        <w:rPr>
          <w:rFonts w:ascii="宋体" w:hAnsi="宋体" w:cs="宋体"/>
          <w:bCs/>
          <w:color w:val="auto"/>
          <w:kern w:val="0"/>
          <w:sz w:val="28"/>
          <w:szCs w:val="28"/>
          <w:highlight w:val="none"/>
        </w:rPr>
      </w:pPr>
      <w:r>
        <w:rPr>
          <w:rFonts w:hint="eastAsia" w:ascii="宋体" w:hAnsi="宋体" w:cs="宋体"/>
          <w:b/>
          <w:color w:val="auto"/>
          <w:kern w:val="0"/>
          <w:sz w:val="28"/>
          <w:szCs w:val="28"/>
          <w:highlight w:val="none"/>
        </w:rPr>
        <w:t>生产药剂采购安全协议书</w:t>
      </w:r>
    </w:p>
    <w:p>
      <w:pPr>
        <w:spacing w:line="360" w:lineRule="auto"/>
        <w:jc w:val="center"/>
        <w:rPr>
          <w:rFonts w:ascii="宋体" w:hAnsi="宋体" w:cs="宋体"/>
          <w:bCs/>
          <w:color w:val="auto"/>
          <w:kern w:val="0"/>
          <w:sz w:val="28"/>
          <w:szCs w:val="28"/>
          <w:highlight w:val="none"/>
        </w:rPr>
      </w:pP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甲方：</w:t>
      </w:r>
      <w:r>
        <w:rPr>
          <w:rFonts w:hint="eastAsia" w:ascii="宋体" w:hAnsi="宋体" w:cs="宋体"/>
          <w:color w:val="auto"/>
          <w:sz w:val="24"/>
          <w:highlight w:val="none"/>
        </w:rPr>
        <w:t>广州市净水有限公司</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乙方： </w:t>
      </w:r>
    </w:p>
    <w:p>
      <w:pPr>
        <w:spacing w:line="360" w:lineRule="auto"/>
        <w:rPr>
          <w:rFonts w:ascii="宋体" w:hAnsi="宋体" w:cs="宋体"/>
          <w:color w:val="auto"/>
          <w:kern w:val="0"/>
          <w:sz w:val="24"/>
          <w:highlight w:val="none"/>
        </w:rPr>
      </w:pP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为促使生产药剂采购过程安全，根据《中华人民共和国安全生产法》、《生产安全事故报告和调查处理条例》和《广州市安全生产管理规定（试行）》等国家及地方有关安全生产法律法规，甲乙双方就生产药剂采购的安全事宜，</w:t>
      </w:r>
      <w:r>
        <w:rPr>
          <w:rFonts w:hint="eastAsia" w:ascii="宋体" w:hAnsi="宋体" w:cs="宋体"/>
          <w:color w:val="auto"/>
          <w:sz w:val="24"/>
          <w:highlight w:val="none"/>
        </w:rPr>
        <w:t>经双方友好协商，达成如下协议</w:t>
      </w:r>
      <w:r>
        <w:rPr>
          <w:rFonts w:hint="eastAsia" w:ascii="宋体" w:hAnsi="宋体" w:cs="宋体"/>
          <w:color w:val="auto"/>
          <w:kern w:val="0"/>
          <w:sz w:val="24"/>
          <w:highlight w:val="none"/>
        </w:rPr>
        <w:t>。</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一、甲方责任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（一）甲方应贯彻落实国家、地方有关安全管理的法律法规和规章制度，进行生产药剂的采购。</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（三）甲方应审查乙方有关生产药剂的经营、运输的合法证照和资质条件，及相关运输车辆和人员的证件资料；涉及危化品的采购时，严格审查乙方的危化品经营许可、运输许可等资质。</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二、乙方责任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（一）乙方应承诺具备所售生产药剂（尤其涉及危化品、受公安管控化学品）的许可资质，并提供相关证明材料，在药剂的销售、运输、装卸全过程须严格遵守国家及地方的法律的有关规定。</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（三）乙方负责明确自身岗位安全职责，将安全责任落实到人；加强教育工作，督促员工遵守安全生产规章制度；鼓励员工积极参与安全生产工作，及时发现和消除隐患。</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（四）乙方应承诺所售药剂质量符合规范要求且在有效期内，包装要完整完好，当涉及危化品时，还应向甲方提供与所售药剂相一致的技术说明书（MSDS）和安全标签。</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（五）乙方用于运输药剂的车辆、驾驶员应取得证照资质，涉及危化品时应取得相应运输资质，并自觉接受甲方的审查。乙方要建立完善安全管理基础资料台账。</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（六）乙方须加强药剂运输车辆的安全管理，严格执行车辆安全检验制度，确保车辆性能符合安全技术标准。</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（七）乙方必须严格按照国家相关规定雇佣人员，雇佣的人员必须经过体检，有岗位禁忌症的人员严禁从事相关运输岗位的工作。</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（九）乙方人员及车辆进入甲方管辖区内应自觉遵守甲方的规章制度和有关安全规定，不得擅自进入甲方其他生产作业区域。如有违反，乙方应限期内整改；如整改仍存在问题，乙方须接受甲方的处罚。</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（十）乙方应制定药剂运输安全操作规程，针对药剂运输特点严格按停车、装车、行驶、卸车等过程操作落实各项安全措施。</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（十一）乙方负责安全防护用品的购置和发放，严格按照药剂危害特性和安全操作规程配套劳动保护措施，督促员工必须正确佩戴使用个人劳保品。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（十三）若发生人员、设备事故时，乙方须立即报警处理，在力所能及范围内采取补救措施，并在30分钟内将情况报告甲方。责任归属如下：</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1.乙方人员及车辆在甲方管辖区内发生的安全事故，经过调查被认定为责任方的将负全部责任。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2.乙方人员及车辆在运输途中发生的安全事故，根据公安交警出具的事故责任认定结果，由乙方负全部或部分责任。</w:t>
      </w:r>
    </w:p>
    <w:p>
      <w:pPr>
        <w:spacing w:line="360" w:lineRule="auto"/>
        <w:ind w:left="359" w:leftChars="171" w:firstLine="289" w:firstLineChars="120"/>
        <w:rPr>
          <w:rFonts w:ascii="宋体" w:hAnsi="宋体" w:cs="宋体"/>
          <w:b/>
          <w:color w:val="auto"/>
          <w:kern w:val="0"/>
          <w:sz w:val="24"/>
          <w:highlight w:val="none"/>
        </w:rPr>
      </w:pPr>
      <w:r>
        <w:rPr>
          <w:rFonts w:hint="eastAsia" w:ascii="宋体" w:hAnsi="宋体" w:cs="宋体"/>
          <w:b/>
          <w:color w:val="auto"/>
          <w:kern w:val="0"/>
          <w:sz w:val="24"/>
          <w:highlight w:val="none"/>
        </w:rPr>
        <w:t>三、</w:t>
      </w:r>
      <w:r>
        <w:rPr>
          <w:rFonts w:ascii="宋体" w:hAnsi="宋体" w:cs="宋体"/>
          <w:b/>
          <w:color w:val="auto"/>
          <w:kern w:val="0"/>
          <w:sz w:val="24"/>
          <w:highlight w:val="none"/>
        </w:rPr>
        <w:t>其他</w:t>
      </w:r>
      <w:r>
        <w:rPr>
          <w:rFonts w:hint="eastAsia" w:ascii="宋体" w:hAnsi="宋体" w:cs="宋体"/>
          <w:b/>
          <w:color w:val="auto"/>
          <w:kern w:val="0"/>
          <w:sz w:val="24"/>
          <w:highlight w:val="none"/>
        </w:rPr>
        <w:t>事项</w:t>
      </w:r>
    </w:p>
    <w:p>
      <w:pPr>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（一）</w:t>
      </w:r>
      <w:r>
        <w:rPr>
          <w:rFonts w:ascii="宋体" w:hAnsi="宋体" w:cs="宋体"/>
          <w:color w:val="auto"/>
          <w:kern w:val="0"/>
          <w:sz w:val="24"/>
          <w:highlight w:val="none"/>
        </w:rPr>
        <w:t>本协议一式份，甲、乙方双方各执份</w:t>
      </w:r>
      <w:r>
        <w:rPr>
          <w:rFonts w:hint="eastAsia" w:ascii="宋体" w:hAnsi="宋体" w:cs="宋体"/>
          <w:color w:val="auto"/>
          <w:kern w:val="0"/>
          <w:sz w:val="24"/>
          <w:highlight w:val="none"/>
        </w:rPr>
        <w:t>，同等具有法律效力</w:t>
      </w:r>
      <w:r>
        <w:rPr>
          <w:rFonts w:ascii="宋体" w:hAnsi="宋体" w:cs="宋体"/>
          <w:color w:val="auto"/>
          <w:kern w:val="0"/>
          <w:sz w:val="24"/>
          <w:highlight w:val="none"/>
        </w:rPr>
        <w:t>。</w:t>
      </w:r>
    </w:p>
    <w:p>
      <w:pPr>
        <w:widowControl/>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（二）</w:t>
      </w:r>
      <w:r>
        <w:rPr>
          <w:rFonts w:ascii="宋体" w:hAnsi="宋体" w:cs="宋体"/>
          <w:color w:val="auto"/>
          <w:kern w:val="0"/>
          <w:sz w:val="24"/>
          <w:highlight w:val="none"/>
        </w:rPr>
        <w:t>甲乙双方在履行</w:t>
      </w:r>
      <w:r>
        <w:rPr>
          <w:rFonts w:hint="eastAsia" w:ascii="宋体" w:hAnsi="宋体" w:cs="宋体"/>
          <w:color w:val="auto"/>
          <w:kern w:val="0"/>
          <w:sz w:val="24"/>
          <w:highlight w:val="none"/>
        </w:rPr>
        <w:t>本</w:t>
      </w:r>
      <w:r>
        <w:rPr>
          <w:rFonts w:ascii="宋体" w:hAnsi="宋体" w:cs="宋体"/>
          <w:color w:val="auto"/>
          <w:kern w:val="0"/>
          <w:sz w:val="24"/>
          <w:highlight w:val="none"/>
        </w:rPr>
        <w:t>协议的过程中如发生争议，协商不成的，可依法向</w:t>
      </w:r>
      <w:r>
        <w:rPr>
          <w:rFonts w:hint="eastAsia" w:ascii="宋体" w:hAnsi="宋体" w:cs="宋体"/>
          <w:color w:val="auto"/>
          <w:kern w:val="0"/>
          <w:sz w:val="24"/>
          <w:highlight w:val="none"/>
        </w:rPr>
        <w:t>甲方</w:t>
      </w:r>
      <w:r>
        <w:rPr>
          <w:rFonts w:ascii="宋体" w:hAnsi="宋体" w:cs="宋体"/>
          <w:color w:val="auto"/>
          <w:kern w:val="0"/>
          <w:sz w:val="24"/>
          <w:highlight w:val="none"/>
        </w:rPr>
        <w:t>所在地人民法院提起诉讼。</w:t>
      </w:r>
    </w:p>
    <w:p>
      <w:pPr>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（三）</w:t>
      </w:r>
      <w:r>
        <w:rPr>
          <w:rFonts w:ascii="宋体" w:hAnsi="宋体" w:cs="宋体"/>
          <w:color w:val="auto"/>
          <w:kern w:val="0"/>
          <w:sz w:val="24"/>
          <w:highlight w:val="none"/>
        </w:rPr>
        <w:t>本协议未尽事宜，双方另行协商解决。</w:t>
      </w:r>
    </w:p>
    <w:p>
      <w:pPr>
        <w:spacing w:line="360" w:lineRule="auto"/>
        <w:ind w:left="359" w:leftChars="171" w:firstLine="288" w:firstLineChars="120"/>
        <w:rPr>
          <w:rFonts w:ascii="宋体" w:hAnsi="宋体" w:cs="宋体"/>
          <w:color w:val="auto"/>
          <w:kern w:val="0"/>
          <w:sz w:val="24"/>
          <w:highlight w:val="none"/>
        </w:rPr>
      </w:pPr>
    </w:p>
    <w:p>
      <w:pPr>
        <w:spacing w:line="360" w:lineRule="auto"/>
        <w:ind w:left="5490" w:leftChars="100" w:hanging="5280" w:hangingChars="2200"/>
        <w:rPr>
          <w:rFonts w:ascii="宋体" w:hAnsi="宋体" w:cs="宋体"/>
          <w:color w:val="auto"/>
          <w:kern w:val="0"/>
          <w:sz w:val="24"/>
          <w:highlight w:val="none"/>
        </w:rPr>
      </w:pPr>
      <w:r>
        <w:rPr>
          <w:rFonts w:ascii="宋体" w:hAnsi="宋体" w:cs="宋体"/>
          <w:color w:val="auto"/>
          <w:kern w:val="0"/>
          <w:sz w:val="24"/>
          <w:highlight w:val="none"/>
        </w:rPr>
        <w:t>甲方：</w:t>
      </w:r>
      <w:r>
        <w:rPr>
          <w:rFonts w:hint="eastAsia" w:ascii="宋体" w:hAnsi="宋体" w:cs="宋体"/>
          <w:color w:val="auto"/>
          <w:sz w:val="24"/>
          <w:highlight w:val="none"/>
        </w:rPr>
        <w:t>广州市净水有限公司</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乙方：</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 xml:space="preserve">法定代表人 ：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法定代表人：</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地址：</w:t>
      </w:r>
      <w:r>
        <w:rPr>
          <w:rFonts w:hint="eastAsia" w:ascii="宋体" w:hAnsi="宋体" w:cs="宋体"/>
          <w:color w:val="auto"/>
          <w:sz w:val="24"/>
          <w:highlight w:val="none"/>
        </w:rPr>
        <w:t>广州市临江大道501号</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 xml:space="preserve">地址： </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 xml:space="preserve">电话：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电话：</w:t>
      </w:r>
    </w:p>
    <w:p>
      <w:pPr>
        <w:widowControl/>
        <w:spacing w:line="360" w:lineRule="auto"/>
        <w:ind w:firstLine="1560" w:firstLineChars="650"/>
        <w:jc w:val="left"/>
        <w:rPr>
          <w:rFonts w:ascii="宋体" w:hAnsi="宋体" w:cs="宋体"/>
          <w:color w:val="auto"/>
          <w:kern w:val="0"/>
          <w:sz w:val="24"/>
          <w:highlight w:val="none"/>
        </w:rPr>
      </w:pPr>
      <w:r>
        <w:rPr>
          <w:rFonts w:ascii="宋体" w:hAnsi="宋体" w:cs="宋体"/>
          <w:color w:val="auto"/>
          <w:kern w:val="0"/>
          <w:sz w:val="24"/>
          <w:highlight w:val="none"/>
        </w:rPr>
        <w:t xml:space="preserve">年  月   日  </w:t>
      </w:r>
      <w:r>
        <w:rPr>
          <w:rFonts w:ascii="宋体" w:hAnsi="宋体" w:cs="宋体"/>
          <w:color w:val="auto"/>
          <w:kern w:val="0"/>
          <w:sz w:val="24"/>
          <w:highlight w:val="none"/>
        </w:rPr>
        <w:tab/>
      </w:r>
      <w:r>
        <w:rPr>
          <w:rFonts w:hint="eastAsia" w:ascii="宋体" w:hAnsi="宋体" w:cs="宋体"/>
          <w:color w:val="auto"/>
          <w:kern w:val="0"/>
          <w:sz w:val="24"/>
          <w:highlight w:val="none"/>
        </w:rPr>
        <w:t xml:space="preserve">                      </w:t>
      </w:r>
      <w:r>
        <w:rPr>
          <w:rFonts w:ascii="宋体" w:hAnsi="宋体" w:cs="宋体"/>
          <w:color w:val="auto"/>
          <w:kern w:val="0"/>
          <w:sz w:val="24"/>
          <w:highlight w:val="none"/>
        </w:rPr>
        <w:t>年   月    日</w:t>
      </w:r>
    </w:p>
    <w:p>
      <w:pPr>
        <w:widowControl/>
        <w:spacing w:line="360" w:lineRule="auto"/>
        <w:ind w:firstLine="2520" w:firstLineChars="1050"/>
        <w:jc w:val="left"/>
        <w:rPr>
          <w:rFonts w:ascii="宋体" w:hAnsi="宋体" w:cs="宋体"/>
          <w:color w:val="auto"/>
          <w:kern w:val="0"/>
          <w:sz w:val="24"/>
          <w:highlight w:val="none"/>
        </w:rPr>
      </w:pPr>
    </w:p>
    <w:p>
      <w:pPr>
        <w:rPr>
          <w:rFonts w:ascii="宋体" w:hAnsi="宋体" w:cs="宋体"/>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Cs w:val="21"/>
          <w:highlight w:val="none"/>
        </w:rPr>
      </w:pPr>
      <w:r>
        <w:rPr>
          <w:rFonts w:hint="eastAsia" w:ascii="宋体" w:hAnsi="宋体" w:cs="宋体"/>
          <w:b/>
          <w:color w:val="auto"/>
          <w:szCs w:val="21"/>
          <w:highlight w:val="none"/>
        </w:rPr>
        <w:t>附件3：廉洁协议书（格式）</w:t>
      </w:r>
    </w:p>
    <w:p>
      <w:pPr>
        <w:ind w:right="-80"/>
        <w:rPr>
          <w:rFonts w:ascii="宋体" w:hAnsi="宋体" w:cs="宋体"/>
          <w:b/>
          <w:color w:val="auto"/>
          <w:szCs w:val="21"/>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8"/>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s="宋体"/>
          <w:color w:val="auto"/>
          <w:sz w:val="28"/>
          <w:szCs w:val="28"/>
          <w:highlight w:val="none"/>
        </w:rPr>
      </w:pPr>
    </w:p>
    <w:p>
      <w:pPr>
        <w:jc w:val="left"/>
        <w:rPr>
          <w:rFonts w:ascii="宋体" w:hAnsi="宋体" w:cs="宋体"/>
          <w:b/>
          <w:color w:val="auto"/>
          <w:sz w:val="28"/>
          <w:szCs w:val="28"/>
          <w:highlight w:val="none"/>
        </w:rPr>
      </w:pPr>
    </w:p>
    <w:p>
      <w:pPr>
        <w:jc w:val="left"/>
        <w:rPr>
          <w:rFonts w:ascii="宋体" w:hAnsi="宋体" w:cs="宋体"/>
          <w:b/>
          <w:color w:val="auto"/>
          <w:sz w:val="28"/>
          <w:szCs w:val="28"/>
          <w:highlight w:val="none"/>
        </w:rPr>
      </w:pPr>
    </w:p>
    <w:p>
      <w:pPr>
        <w:pStyle w:val="19"/>
        <w:rPr>
          <w:rFonts w:ascii="宋体" w:hAnsi="宋体" w:cs="宋体"/>
          <w:b/>
          <w:color w:val="auto"/>
          <w:sz w:val="28"/>
          <w:szCs w:val="28"/>
          <w:highlight w:val="none"/>
        </w:rPr>
      </w:pPr>
    </w:p>
    <w:p>
      <w:pPr>
        <w:pStyle w:val="19"/>
        <w:rPr>
          <w:rFonts w:ascii="宋体" w:hAnsi="宋体" w:cs="宋体"/>
          <w:b/>
          <w:color w:val="auto"/>
          <w:sz w:val="28"/>
          <w:szCs w:val="28"/>
          <w:highlight w:val="none"/>
        </w:rPr>
      </w:pPr>
    </w:p>
    <w:p>
      <w:pPr>
        <w:pStyle w:val="19"/>
        <w:ind w:firstLine="0"/>
        <w:rPr>
          <w:rFonts w:ascii="宋体" w:hAnsi="宋体" w:cs="宋体"/>
          <w:b/>
          <w:color w:val="auto"/>
          <w:sz w:val="28"/>
          <w:szCs w:val="28"/>
          <w:highlight w:val="none"/>
        </w:rPr>
      </w:pPr>
    </w:p>
    <w:p>
      <w:pPr>
        <w:pStyle w:val="19"/>
        <w:ind w:firstLine="0"/>
        <w:rPr>
          <w:rFonts w:ascii="宋体" w:hAnsi="宋体" w:cs="宋体"/>
          <w:b/>
          <w:color w:val="auto"/>
          <w:sz w:val="28"/>
          <w:szCs w:val="28"/>
          <w:highlight w:val="none"/>
        </w:rPr>
      </w:pPr>
    </w:p>
    <w:p>
      <w:pPr>
        <w:pStyle w:val="19"/>
        <w:ind w:firstLine="0"/>
        <w:rPr>
          <w:rFonts w:ascii="宋体" w:hAnsi="宋体" w:cs="宋体"/>
          <w:b/>
          <w:color w:val="auto"/>
          <w:sz w:val="28"/>
          <w:szCs w:val="28"/>
          <w:highlight w:val="none"/>
        </w:rPr>
      </w:pPr>
    </w:p>
    <w:p>
      <w:pPr>
        <w:pStyle w:val="19"/>
        <w:ind w:firstLine="0"/>
        <w:rPr>
          <w:rFonts w:ascii="宋体" w:hAnsi="宋体" w:cs="宋体"/>
          <w:b/>
          <w:color w:val="auto"/>
          <w:sz w:val="28"/>
          <w:szCs w:val="28"/>
          <w:highlight w:val="none"/>
        </w:rPr>
      </w:pPr>
    </w:p>
    <w:p>
      <w:pPr>
        <w:ind w:right="-80"/>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：履约保函（模板）</w:t>
      </w:r>
    </w:p>
    <w:p>
      <w:pPr>
        <w:spacing w:line="360" w:lineRule="auto"/>
        <w:rPr>
          <w:rFonts w:ascii="宋体" w:hAnsi="宋体"/>
          <w:color w:val="auto"/>
          <w:sz w:val="44"/>
          <w:highlight w:val="none"/>
        </w:rPr>
      </w:pP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工作日内无条件和不可改变地向贵单位支付最高金额不超过人民币元</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ind w:firstLine="64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jc w:val="center"/>
        <w:rPr>
          <w:rFonts w:asciiTheme="minorEastAsia" w:hAnsiTheme="minorEastAsia" w:eastAsiaTheme="minorEastAsia"/>
          <w:color w:val="auto"/>
          <w:sz w:val="24"/>
          <w:highlight w:val="none"/>
        </w:rPr>
      </w:pPr>
    </w:p>
    <w:p>
      <w:pPr>
        <w:pStyle w:val="4"/>
        <w:rPr>
          <w:rFonts w:hint="eastAsia"/>
          <w:color w:val="auto"/>
          <w:highlight w:val="none"/>
        </w:rPr>
      </w:pPr>
      <w:bookmarkStart w:id="87" w:name="_Toc30824"/>
      <w:bookmarkStart w:id="88" w:name="_Toc1563"/>
      <w:bookmarkStart w:id="89" w:name="_Toc12169"/>
      <w:bookmarkStart w:id="90" w:name="_Toc6230"/>
      <w:bookmarkStart w:id="91" w:name="_Toc21847"/>
      <w:bookmarkStart w:id="92" w:name="_Toc3723"/>
      <w:bookmarkStart w:id="93" w:name="_Toc28358"/>
      <w:bookmarkStart w:id="94" w:name="_Toc23515"/>
      <w:bookmarkStart w:id="95" w:name="_Toc16552"/>
      <w:bookmarkStart w:id="96" w:name="_Toc5129"/>
      <w:bookmarkStart w:id="97" w:name="_Toc81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567055</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44.65pt;height:0pt;width:75.5pt;z-index:251667456;mso-width-relative:page;mso-height-relative:page;" filled="f" stroked="t" coordsize="21600,21600" o:gfxdata="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iP6u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2298700</wp:posOffset>
                </wp:positionH>
                <wp:positionV relativeFrom="paragraph">
                  <wp:posOffset>37465</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pt;margin-top:2.95pt;height:0pt;width:75.5pt;z-index:251666432;mso-width-relative:page;mso-height-relative:page;" filled="f" stroked="t" coordsize="21600,21600" o:gfxdata="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LdU09UAAAAHAQAADwAAAAAAAAABACAAAAAiAAAAZHJzL2Rvd25yZXYueG1s&#10;UEsBAhQAFAAAAAgAh07iQHacUs37AQAA7QMAAA4AAAAAAAAAAQAgAAAAJA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27"/>
        <w:rPr>
          <w:color w:val="auto"/>
          <w:highlight w:val="none"/>
        </w:rPr>
      </w:pPr>
    </w:p>
    <w:p>
      <w:pPr>
        <w:pStyle w:val="4"/>
        <w:rPr>
          <w:rFonts w:ascii="方正小标宋简体" w:eastAsia="方正小标宋简体"/>
          <w:color w:val="auto"/>
          <w:sz w:val="44"/>
          <w:szCs w:val="44"/>
          <w:highlight w:val="none"/>
        </w:rPr>
      </w:pPr>
      <w:bookmarkStart w:id="98" w:name="_Toc87616388"/>
      <w:bookmarkStart w:id="99" w:name="_Toc17119"/>
      <w:bookmarkStart w:id="100" w:name="_Toc24490"/>
      <w:bookmarkStart w:id="101" w:name="_Toc21675"/>
      <w:bookmarkStart w:id="102" w:name="_Toc10840"/>
      <w:bookmarkStart w:id="103" w:name="_Toc24815"/>
      <w:bookmarkStart w:id="104" w:name="_Toc30157"/>
      <w:bookmarkStart w:id="105" w:name="_Toc88209951"/>
      <w:bookmarkStart w:id="106" w:name="_Toc12769"/>
      <w:bookmarkStart w:id="107" w:name="_Toc12610"/>
      <w:bookmarkStart w:id="108" w:name="_Toc5342"/>
      <w:bookmarkStart w:id="109" w:name="_Toc22764"/>
      <w:bookmarkStart w:id="110" w:name="_Toc31564"/>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snapToGrid w:val="0"/>
        <w:spacing w:beforeLines="50" w:afterLines="50" w:line="600" w:lineRule="exact"/>
        <w:jc w:val="center"/>
        <w:rPr>
          <w:rFonts w:hint="eastAsia" w:ascii="方正小标宋简体" w:eastAsia="方正小标宋简体"/>
          <w:color w:val="auto"/>
          <w:sz w:val="48"/>
          <w:szCs w:val="48"/>
          <w:highlight w:val="none"/>
        </w:rPr>
      </w:pPr>
      <w:r>
        <w:rPr>
          <w:rFonts w:hint="eastAsia" w:ascii="仿宋_GB2312" w:eastAsia="仿宋_GB2312"/>
          <w:color w:val="auto"/>
          <w:sz w:val="30"/>
          <w:szCs w:val="30"/>
          <w:highlight w:val="none"/>
        </w:rPr>
        <w:t>（项目编号：   ）</w:t>
      </w: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19"/>
        <w:rPr>
          <w:color w:val="auto"/>
          <w:highlight w:val="none"/>
        </w:rPr>
      </w:pPr>
    </w:p>
    <w:p>
      <w:pPr>
        <w:pStyle w:val="6"/>
        <w:rPr>
          <w:rFonts w:asciiTheme="minorEastAsia" w:hAnsiTheme="minorEastAsia" w:eastAsiaTheme="minorEastAsia"/>
          <w:color w:val="auto"/>
          <w:sz w:val="28"/>
          <w:szCs w:val="28"/>
          <w:highlight w:val="none"/>
        </w:rPr>
      </w:pPr>
      <w:bookmarkStart w:id="117" w:name="_Toc6313"/>
      <w:bookmarkStart w:id="118" w:name="_Toc88209957"/>
      <w:bookmarkStart w:id="119" w:name="_Toc28619645"/>
      <w:bookmarkStart w:id="120" w:name="_Toc87616394"/>
      <w:bookmarkStart w:id="121" w:name="_Toc12665"/>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19"/>
        <w:ind w:firstLine="560" w:firstLineChars="200"/>
        <w:rPr>
          <w:rFonts w:hint="eastAsia" w:eastAsia="仿宋_GB2312"/>
          <w:color w:val="auto"/>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8209958"/>
      <w:bookmarkStart w:id="123" w:name="_Toc87616395"/>
      <w:bookmarkStart w:id="124" w:name="_Toc22527"/>
      <w:bookmarkStart w:id="125"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0"/>
        <w:snapToGrid w:val="0"/>
        <w:spacing w:line="600" w:lineRule="exact"/>
        <w:ind w:firstLine="3907" w:firstLineChars="1221"/>
        <w:rPr>
          <w:rFonts w:ascii="仿宋_GB2312" w:hAnsi="宋体" w:eastAsia="仿宋_GB2312" w:cs="Times New Roman"/>
          <w:color w:val="auto"/>
          <w:sz w:val="32"/>
          <w:szCs w:val="32"/>
          <w:highlight w:val="none"/>
        </w:rPr>
      </w:pPr>
    </w:p>
    <w:p>
      <w:pPr>
        <w:pStyle w:val="10"/>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0"/>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19830"/>
      <w:bookmarkStart w:id="127" w:name="_Toc87616400"/>
      <w:bookmarkStart w:id="128" w:name="_Toc8086"/>
      <w:bookmarkStart w:id="129"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1"/>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广州市净水有限公司2023-2024年食用盐采购项目（第三次）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19"/>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19"/>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19"/>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0"/>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31" w:name="_Toc32430"/>
      <w:bookmarkStart w:id="13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0"/>
        <w:tblpPr w:leftFromText="180" w:rightFromText="180" w:vertAnchor="text" w:horzAnchor="page" w:tblpXSpec="center" w:tblpY="631"/>
        <w:tblOverlap w:val="never"/>
        <w:tblW w:w="9436" w:type="dxa"/>
        <w:jc w:val="center"/>
        <w:tblLayout w:type="fixed"/>
        <w:tblCellMar>
          <w:top w:w="0" w:type="dxa"/>
          <w:left w:w="108" w:type="dxa"/>
          <w:bottom w:w="0" w:type="dxa"/>
          <w:right w:w="108" w:type="dxa"/>
        </w:tblCellMar>
      </w:tblPr>
      <w:tblGrid>
        <w:gridCol w:w="724"/>
        <w:gridCol w:w="724"/>
        <w:gridCol w:w="724"/>
        <w:gridCol w:w="725"/>
        <w:gridCol w:w="696"/>
        <w:gridCol w:w="746"/>
        <w:gridCol w:w="920"/>
        <w:gridCol w:w="804"/>
        <w:gridCol w:w="856"/>
        <w:gridCol w:w="1302"/>
        <w:gridCol w:w="1215"/>
      </w:tblGrid>
      <w:tr>
        <w:tblPrEx>
          <w:tblCellMar>
            <w:top w:w="0" w:type="dxa"/>
            <w:left w:w="108" w:type="dxa"/>
            <w:bottom w:w="0" w:type="dxa"/>
            <w:right w:w="108" w:type="dxa"/>
          </w:tblCellMar>
        </w:tblPrEx>
        <w:trPr>
          <w:trHeight w:val="492" w:hRule="atLeast"/>
          <w:jc w:val="center"/>
        </w:trPr>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序号</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名称</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型号</w:t>
            </w:r>
          </w:p>
        </w:tc>
        <w:tc>
          <w:tcPr>
            <w:tcW w:w="72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规格</w:t>
            </w: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数量（</w:t>
            </w:r>
            <w:r>
              <w:rPr>
                <w:rFonts w:hint="eastAsia" w:ascii="宋体" w:hAnsi="宋体" w:cs="宋体"/>
                <w:b/>
                <w:bCs/>
                <w:color w:val="auto"/>
                <w:kern w:val="0"/>
                <w:sz w:val="24"/>
                <w:lang w:val="en-US" w:eastAsia="zh-CN"/>
              </w:rPr>
              <w:t>吨</w:t>
            </w:r>
            <w:r>
              <w:rPr>
                <w:rFonts w:hint="eastAsia" w:ascii="宋体" w:hAnsi="宋体" w:cs="宋体"/>
                <w:b/>
                <w:bCs/>
                <w:color w:val="auto"/>
                <w:kern w:val="0"/>
                <w:sz w:val="24"/>
                <w:lang w:val="zh-CN"/>
              </w:rPr>
              <w:t>）</w:t>
            </w:r>
          </w:p>
        </w:tc>
        <w:tc>
          <w:tcPr>
            <w:tcW w:w="1666"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单价（</w:t>
            </w:r>
            <w:r>
              <w:rPr>
                <w:rFonts w:hint="eastAsia" w:ascii="宋体" w:hAnsi="宋体" w:cs="宋体"/>
                <w:b/>
                <w:bCs/>
                <w:color w:val="auto"/>
                <w:kern w:val="0"/>
                <w:sz w:val="24"/>
                <w:lang w:val="en-US" w:eastAsia="zh-CN"/>
              </w:rPr>
              <w:t>元/吨</w:t>
            </w:r>
            <w:r>
              <w:rPr>
                <w:rFonts w:hint="eastAsia" w:ascii="宋体" w:hAnsi="宋体" w:cs="宋体"/>
                <w:b/>
                <w:bCs/>
                <w:color w:val="auto"/>
                <w:kern w:val="0"/>
                <w:sz w:val="24"/>
                <w:lang w:val="zh-CN"/>
              </w:rPr>
              <w:t>）</w:t>
            </w: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金额（万元）</w:t>
            </w:r>
          </w:p>
        </w:tc>
        <w:tc>
          <w:tcPr>
            <w:tcW w:w="130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交货期</w:t>
            </w:r>
          </w:p>
        </w:tc>
        <w:tc>
          <w:tcPr>
            <w:tcW w:w="1215" w:type="dxa"/>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备注</w:t>
            </w:r>
          </w:p>
        </w:tc>
      </w:tr>
      <w:tr>
        <w:tblPrEx>
          <w:tblCellMar>
            <w:top w:w="0" w:type="dxa"/>
            <w:left w:w="108" w:type="dxa"/>
            <w:bottom w:w="0" w:type="dxa"/>
            <w:right w:w="108" w:type="dxa"/>
          </w:tblCellMar>
        </w:tblPrEx>
        <w:trPr>
          <w:trHeight w:val="492" w:hRule="atLeast"/>
          <w:jc w:val="center"/>
        </w:trPr>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69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含税</w:t>
            </w: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不含税</w:t>
            </w: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含税</w:t>
            </w: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不含税</w:t>
            </w: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p>
        </w:tc>
        <w:tc>
          <w:tcPr>
            <w:tcW w:w="1215" w:type="dxa"/>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p>
        </w:tc>
      </w:tr>
      <w:tr>
        <w:tblPrEx>
          <w:tblCellMar>
            <w:top w:w="0" w:type="dxa"/>
            <w:left w:w="108" w:type="dxa"/>
            <w:bottom w:w="0" w:type="dxa"/>
            <w:right w:w="108" w:type="dxa"/>
          </w:tblCellMar>
        </w:tblPrEx>
        <w:trPr>
          <w:trHeight w:val="1417"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净水公司</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lang w:eastAsia="zh-CN"/>
              </w:rPr>
            </w:pPr>
            <w:r>
              <w:rPr>
                <w:rFonts w:hint="eastAsia" w:ascii="宋体" w:hAnsi="宋体" w:cs="宋体"/>
                <w:color w:val="auto"/>
                <w:sz w:val="24"/>
                <w:highlight w:val="none"/>
                <w:u w:val="single"/>
                <w:lang w:val="en-US" w:eastAsia="zh-CN"/>
              </w:rPr>
              <w:t>食用盐</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固体</w:t>
            </w:r>
          </w:p>
        </w:tc>
        <w:tc>
          <w:tcPr>
            <w:tcW w:w="72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lang w:val="en-US" w:eastAsia="zh-CN"/>
              </w:rPr>
            </w:pP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600</w:t>
            </w:r>
          </w:p>
        </w:tc>
        <w:tc>
          <w:tcPr>
            <w:tcW w:w="74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92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80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85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1302"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自合同签订日起两年内，具体以甲方通知为准</w:t>
            </w:r>
          </w:p>
          <w:p>
            <w:pPr>
              <w:autoSpaceDE w:val="0"/>
              <w:autoSpaceDN w:val="0"/>
              <w:adjustRightIn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w:t>
            </w:r>
          </w:p>
        </w:tc>
        <w:tc>
          <w:tcPr>
            <w:tcW w:w="1215" w:type="dxa"/>
            <w:tcBorders>
              <w:top w:val="single" w:color="000000" w:sz="2" w:space="0"/>
              <w:left w:val="single" w:color="000000" w:sz="2" w:space="0"/>
              <w:right w:val="single" w:color="000000" w:sz="2" w:space="0"/>
            </w:tcBorders>
            <w:shd w:val="clear" w:color="000000" w:fill="FFFFFF"/>
            <w:noWrap w:val="0"/>
            <w:vAlign w:val="top"/>
          </w:tcPr>
          <w:p>
            <w:pPr>
              <w:spacing w:line="360" w:lineRule="auto"/>
              <w:rPr>
                <w:rFonts w:ascii="宋体" w:hAnsi="宋体" w:cs="宋体"/>
                <w:color w:val="auto"/>
                <w:sz w:val="24"/>
              </w:rPr>
            </w:pPr>
          </w:p>
          <w:p>
            <w:pPr>
              <w:autoSpaceDE w:val="0"/>
              <w:autoSpaceDN w:val="0"/>
              <w:adjustRightInd w:val="0"/>
              <w:spacing w:line="360" w:lineRule="auto"/>
              <w:rPr>
                <w:rFonts w:ascii="宋体" w:hAnsi="宋体" w:cs="宋体"/>
                <w:color w:val="auto"/>
                <w:kern w:val="0"/>
                <w:sz w:val="24"/>
                <w:lang w:val="zh-CN"/>
              </w:rPr>
            </w:pPr>
          </w:p>
        </w:tc>
      </w:tr>
      <w:tr>
        <w:tblPrEx>
          <w:tblCellMar>
            <w:top w:w="0" w:type="dxa"/>
            <w:left w:w="108" w:type="dxa"/>
            <w:bottom w:w="0" w:type="dxa"/>
            <w:right w:w="108" w:type="dxa"/>
          </w:tblCellMar>
        </w:tblPrEx>
        <w:trPr>
          <w:trHeight w:val="86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r>
              <w:rPr>
                <w:rFonts w:hint="eastAsia" w:ascii="宋体" w:hAnsi="宋体" w:cs="宋体"/>
                <w:color w:val="auto"/>
                <w:kern w:val="0"/>
                <w:sz w:val="24"/>
                <w:lang w:val="en-US" w:eastAsia="zh-CN"/>
              </w:rPr>
              <w:t>从化公司</w:t>
            </w: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725"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696" w:type="dxa"/>
            <w:vMerge w:val="continue"/>
            <w:tcBorders>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p>
        </w:tc>
        <w:tc>
          <w:tcPr>
            <w:tcW w:w="746"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920"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04"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56"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r>
      <w:tr>
        <w:tblPrEx>
          <w:tblCellMar>
            <w:top w:w="0" w:type="dxa"/>
            <w:left w:w="108" w:type="dxa"/>
            <w:bottom w:w="0" w:type="dxa"/>
            <w:right w:w="108" w:type="dxa"/>
          </w:tblCellMar>
        </w:tblPrEx>
        <w:trPr>
          <w:trHeight w:val="376" w:hRule="atLeast"/>
          <w:jc w:val="center"/>
        </w:trPr>
        <w:tc>
          <w:tcPr>
            <w:tcW w:w="2897"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eastAsiaTheme="minorEastAsia"/>
                <w:color w:val="auto"/>
                <w:kern w:val="0"/>
                <w:sz w:val="24"/>
                <w:lang w:val="en-US" w:eastAsia="zh-CN"/>
              </w:rPr>
            </w:pPr>
            <w:bookmarkStart w:id="133" w:name="_Toc6058"/>
            <w:bookmarkStart w:id="134" w:name="_Toc16386"/>
            <w:bookmarkStart w:id="135" w:name="_Toc87616402"/>
            <w:bookmarkStart w:id="136" w:name="_Toc88209965"/>
            <w:r>
              <w:rPr>
                <w:rFonts w:hint="eastAsia" w:ascii="宋体" w:hAnsi="宋体" w:cs="宋体"/>
                <w:color w:val="auto"/>
                <w:kern w:val="0"/>
                <w:sz w:val="24"/>
                <w:lang w:val="en-US" w:eastAsia="zh-CN"/>
              </w:rPr>
              <w:t>合计</w:t>
            </w:r>
          </w:p>
        </w:tc>
        <w:tc>
          <w:tcPr>
            <w:tcW w:w="69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600</w:t>
            </w: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130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zh-CN"/>
              </w:rPr>
            </w:pP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r>
    </w:tbl>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rPr>
          <w:rFonts w:hint="eastAsia"/>
          <w:color w:val="auto"/>
          <w:lang w:val="en-US" w:eastAsia="zh-CN"/>
        </w:rPr>
      </w:pPr>
    </w:p>
    <w:p>
      <w:pPr>
        <w:rPr>
          <w:rFonts w:hint="eastAsia"/>
          <w:color w:val="auto"/>
          <w:lang w:val="en-US" w:eastAsia="zh-CN"/>
        </w:rPr>
      </w:pP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color w:val="auto"/>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3"/>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01686"/>
    <w:multiLevelType w:val="singleLevel"/>
    <w:tmpl w:val="AC801686"/>
    <w:lvl w:ilvl="0" w:tentative="0">
      <w:start w:val="3"/>
      <w:numFmt w:val="chineseCounting"/>
      <w:suff w:val="space"/>
      <w:lvlText w:val="第%1条"/>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7E72221"/>
    <w:multiLevelType w:val="singleLevel"/>
    <w:tmpl w:val="E7E72221"/>
    <w:lvl w:ilvl="0" w:tentative="0">
      <w:start w:val="2"/>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E5421C6"/>
    <w:multiLevelType w:val="singleLevel"/>
    <w:tmpl w:val="4E5421C6"/>
    <w:lvl w:ilvl="0" w:tentative="0">
      <w:start w:val="1"/>
      <w:numFmt w:val="decimal"/>
      <w:suff w:val="nothing"/>
      <w:lvlText w:val="（%1）"/>
      <w:lvlJc w:val="left"/>
    </w:lvl>
  </w:abstractNum>
  <w:abstractNum w:abstractNumId="5">
    <w:nsid w:val="67607741"/>
    <w:multiLevelType w:val="singleLevel"/>
    <w:tmpl w:val="67607741"/>
    <w:lvl w:ilvl="0" w:tentative="0">
      <w:start w:val="2"/>
      <w:numFmt w:val="decimal"/>
      <w:lvlText w:val="%1."/>
      <w:lvlJc w:val="left"/>
      <w:pPr>
        <w:tabs>
          <w:tab w:val="left" w:pos="312"/>
        </w:tabs>
        <w:ind w:left="1260" w:firstLine="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B3B83"/>
    <w:rsid w:val="01765B1E"/>
    <w:rsid w:val="04035DFD"/>
    <w:rsid w:val="0D7E5918"/>
    <w:rsid w:val="13CE50A2"/>
    <w:rsid w:val="14DB3B83"/>
    <w:rsid w:val="177549DC"/>
    <w:rsid w:val="31910F8E"/>
    <w:rsid w:val="329C254B"/>
    <w:rsid w:val="38B92DB3"/>
    <w:rsid w:val="39337BD7"/>
    <w:rsid w:val="3FE33198"/>
    <w:rsid w:val="41BB58C7"/>
    <w:rsid w:val="4EA17424"/>
    <w:rsid w:val="5CB26B0A"/>
    <w:rsid w:val="5F211D54"/>
    <w:rsid w:val="60764021"/>
    <w:rsid w:val="635101AE"/>
    <w:rsid w:val="649E7007"/>
    <w:rsid w:val="64D11D90"/>
    <w:rsid w:val="672D4A71"/>
    <w:rsid w:val="6E061B6F"/>
    <w:rsid w:val="6F6D6A95"/>
    <w:rsid w:val="76D32442"/>
    <w:rsid w:val="79B33792"/>
    <w:rsid w:val="7A920264"/>
    <w:rsid w:val="7AA109EB"/>
    <w:rsid w:val="7B616178"/>
    <w:rsid w:val="7E7844F5"/>
    <w:rsid w:val="7FCB0684"/>
    <w:rsid w:val="7FED54DC"/>
    <w:rsid w:val="7FFB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Plain Text"/>
    <w:basedOn w:val="1"/>
    <w:next w:val="10"/>
    <w:qFormat/>
    <w:uiPriority w:val="0"/>
    <w:rPr>
      <w:rFonts w:ascii="宋体" w:hAnsi="Courier New"/>
      <w:szCs w:val="21"/>
    </w:rPr>
  </w:style>
  <w:style w:type="paragraph" w:customStyle="1" w:styleId="10">
    <w:name w:val="Default"/>
    <w:next w:val="1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1">
    <w:name w:val="List"/>
    <w:basedOn w:val="1"/>
    <w:next w:val="1"/>
    <w:qFormat/>
    <w:uiPriority w:val="0"/>
    <w:pPr>
      <w:snapToGrid w:val="0"/>
    </w:pPr>
    <w:rPr>
      <w:szCs w:val="24"/>
    </w:rPr>
  </w:style>
  <w:style w:type="paragraph" w:styleId="12">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2"/>
    <w:unhideWhenUsed/>
    <w:qFormat/>
    <w:uiPriority w:val="99"/>
    <w:pPr>
      <w:widowControl w:val="0"/>
      <w:spacing w:after="120" w:line="240" w:lineRule="auto"/>
      <w:ind w:firstLine="420"/>
    </w:pPr>
    <w:rPr>
      <w:kern w:val="2"/>
      <w:sz w:val="21"/>
    </w:rPr>
  </w:style>
  <w:style w:type="paragraph" w:styleId="19">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8">
    <w:name w:val="List Paragraph"/>
    <w:basedOn w:val="1"/>
    <w:qFormat/>
    <w:uiPriority w:val="34"/>
    <w:pPr>
      <w:ind w:firstLine="420" w:firstLineChars="200"/>
    </w:pPr>
  </w:style>
  <w:style w:type="character" w:customStyle="1" w:styleId="29">
    <w:name w:val="font41"/>
    <w:basedOn w:val="22"/>
    <w:qFormat/>
    <w:uiPriority w:val="0"/>
    <w:rPr>
      <w:rFonts w:hint="eastAsia" w:ascii="宋体" w:hAnsi="宋体" w:eastAsia="宋体" w:cs="宋体"/>
      <w:color w:val="000000"/>
      <w:sz w:val="32"/>
      <w:szCs w:val="32"/>
      <w:u w:val="none"/>
    </w:rPr>
  </w:style>
  <w:style w:type="character" w:customStyle="1" w:styleId="30">
    <w:name w:val="font51"/>
    <w:basedOn w:val="22"/>
    <w:qFormat/>
    <w:uiPriority w:val="0"/>
    <w:rPr>
      <w:rFonts w:hint="eastAsia" w:ascii="宋体" w:hAnsi="宋体" w:eastAsia="宋体" w:cs="宋体"/>
      <w:color w:val="000000"/>
      <w:sz w:val="32"/>
      <w:szCs w:val="32"/>
      <w:u w:val="single"/>
    </w:rPr>
  </w:style>
  <w:style w:type="character" w:customStyle="1" w:styleId="31">
    <w:name w:val="font11"/>
    <w:basedOn w:val="22"/>
    <w:qFormat/>
    <w:uiPriority w:val="0"/>
    <w:rPr>
      <w:rFonts w:hint="default" w:ascii="Wingdings 2" w:hAnsi="Wingdings 2" w:eastAsia="Wingdings 2" w:cs="Wingdings 2"/>
      <w:color w:val="000000"/>
      <w:sz w:val="24"/>
      <w:szCs w:val="24"/>
      <w:u w:val="none"/>
    </w:rPr>
  </w:style>
  <w:style w:type="character" w:customStyle="1" w:styleId="32">
    <w:name w:val="font21"/>
    <w:basedOn w:val="22"/>
    <w:qFormat/>
    <w:uiPriority w:val="0"/>
    <w:rPr>
      <w:rFonts w:hint="eastAsia" w:ascii="宋体" w:hAnsi="宋体" w:eastAsia="宋体" w:cs="宋体"/>
      <w:color w:val="000000"/>
      <w:sz w:val="24"/>
      <w:szCs w:val="24"/>
      <w:u w:val="none"/>
    </w:rPr>
  </w:style>
  <w:style w:type="paragraph" w:customStyle="1" w:styleId="33">
    <w:name w:val="CM91"/>
    <w:basedOn w:val="10"/>
    <w:next w:val="10"/>
    <w:qFormat/>
    <w:uiPriority w:val="0"/>
    <w:pPr>
      <w:spacing w:after="160"/>
    </w:pPr>
    <w:rPr>
      <w:color w:val="auto"/>
    </w:rPr>
  </w:style>
  <w:style w:type="paragraph" w:customStyle="1" w:styleId="34">
    <w:name w:val="CM97"/>
    <w:basedOn w:val="10"/>
    <w:next w:val="10"/>
    <w:qFormat/>
    <w:uiPriority w:val="0"/>
    <w:pPr>
      <w:spacing w:after="373"/>
    </w:pPr>
    <w:rPr>
      <w:color w:val="auto"/>
    </w:rPr>
  </w:style>
  <w:style w:type="paragraph" w:customStyle="1" w:styleId="35">
    <w:name w:val="_Style 4"/>
    <w:basedOn w:val="4"/>
    <w:next w:val="1"/>
    <w:qFormat/>
    <w:uiPriority w:val="0"/>
    <w:pPr>
      <w:keepNext w:val="0"/>
      <w:keepLines w:val="0"/>
      <w:pageBreakBefore w:val="0"/>
      <w:spacing w:before="0" w:after="0" w:line="576" w:lineRule="auto"/>
      <w:ind w:left="0" w:firstLine="0"/>
      <w:jc w:val="left"/>
      <w:textAlignment w:val="auto"/>
      <w:outlineLvl w:val="9"/>
    </w:pPr>
    <w:rPr>
      <w:rFonts w:ascii="Calibri" w:hAnsi="Calibri" w:eastAsia="黑体"/>
      <w:kern w:val="0"/>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2023-06-07T01:03:00Z</dcterms:created>
  <dc:creator>阮锋</dc:creator>
  <cp:lastModifiedBy>琳</cp:lastModifiedBy>
  <cp:lastPrinted>2023-07-04T08:58:00Z</cp:lastPrinted>
  <dcterms:modified xsi:type="dcterms:W3CDTF">2024-01-04T07:50:42Z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CCCEB98C9D75424B88BF522E66CBA776</vt:lpwstr>
  </property>
</Properties>
</file>