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pStyle w:val="56"/>
        <w:jc w:val="center"/>
        <w:rPr>
          <w:rFonts w:hint="eastAsia" w:ascii="方正小标宋简体" w:hAnsi="方正小标宋简体" w:eastAsia="方正小标宋简体" w:cs="方正小标宋简体"/>
          <w:b/>
          <w:bCs/>
          <w:color w:val="auto"/>
          <w:sz w:val="52"/>
          <w:szCs w:val="52"/>
          <w:highlight w:val="none"/>
        </w:rPr>
      </w:pPr>
    </w:p>
    <w:p>
      <w:pPr>
        <w:pStyle w:val="56"/>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广州市净水有限公司2024年化验仪器</w:t>
      </w:r>
    </w:p>
    <w:p>
      <w:pPr>
        <w:pStyle w:val="56"/>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设备第三方校准服务项目</w:t>
      </w:r>
    </w:p>
    <w:p>
      <w:pPr>
        <w:pStyle w:val="56"/>
        <w:jc w:val="center"/>
        <w:rPr>
          <w:rFonts w:hint="eastAsia" w:ascii="方正小标宋简体" w:hAnsi="方正小标宋简体" w:eastAsia="方正小标宋简体" w:cs="方正小标宋简体"/>
          <w:b/>
          <w:bCs/>
          <w:color w:val="auto"/>
          <w:sz w:val="52"/>
          <w:szCs w:val="52"/>
          <w:highlight w:val="none"/>
        </w:rPr>
      </w:pPr>
    </w:p>
    <w:p>
      <w:pPr>
        <w:pStyle w:val="56"/>
        <w:jc w:val="center"/>
        <w:rPr>
          <w:rFonts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pStyle w:val="56"/>
        <w:rPr>
          <w:rFonts w:ascii="仿宋_GB2312"/>
          <w:color w:val="auto"/>
          <w:sz w:val="32"/>
          <w:szCs w:val="32"/>
          <w:highlight w:val="none"/>
        </w:rPr>
      </w:pPr>
    </w:p>
    <w:p>
      <w:pPr>
        <w:jc w:val="both"/>
        <w:rPr>
          <w:rFonts w:ascii="仿宋_GB2312" w:eastAsia="仿宋_GB2312"/>
          <w:sz w:val="32"/>
          <w:szCs w:val="32"/>
          <w:highlight w:val="none"/>
        </w:rPr>
      </w:pPr>
    </w:p>
    <w:p>
      <w:pPr>
        <w:pStyle w:val="2"/>
        <w:rPr>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十二</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6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宋体" w:hAnsi="宋体"/>
          <w:sz w:val="24"/>
          <w:szCs w:val="24"/>
          <w:highlight w:val="none"/>
        </w:rPr>
      </w:pPr>
    </w:p>
    <w:p>
      <w:pPr>
        <w:pStyle w:val="20"/>
        <w:numPr>
          <w:ilvl w:val="0"/>
          <w:numId w:val="1"/>
        </w:numPr>
        <w:tabs>
          <w:tab w:val="right" w:pos="8844"/>
        </w:tabs>
        <w:rPr>
          <w:highlight w:val="none"/>
        </w:rPr>
      </w:pPr>
      <w:r>
        <w:rPr>
          <w:rFonts w:hint="eastAsia"/>
          <w:highlight w:val="none"/>
        </w:rPr>
        <w:t>采购公告</w:t>
      </w:r>
    </w:p>
    <w:p>
      <w:pPr>
        <w:pStyle w:val="20"/>
        <w:numPr>
          <w:ilvl w:val="0"/>
          <w:numId w:val="1"/>
        </w:numPr>
        <w:tabs>
          <w:tab w:val="right" w:pos="8844"/>
        </w:tabs>
        <w:rPr>
          <w:highlight w:val="none"/>
        </w:rPr>
      </w:pPr>
      <w:r>
        <w:rPr>
          <w:rFonts w:hint="eastAsia"/>
          <w:highlight w:val="none"/>
        </w:rPr>
        <w:t>供应商须知</w:t>
      </w:r>
    </w:p>
    <w:p>
      <w:pPr>
        <w:pStyle w:val="20"/>
        <w:numPr>
          <w:ilvl w:val="0"/>
          <w:numId w:val="1"/>
        </w:numPr>
        <w:tabs>
          <w:tab w:val="right" w:pos="8844"/>
        </w:tabs>
        <w:rPr>
          <w:highlight w:val="none"/>
        </w:rPr>
      </w:pPr>
      <w:r>
        <w:rPr>
          <w:rFonts w:hint="eastAsia"/>
          <w:highlight w:val="none"/>
        </w:rPr>
        <w:t>采购方法</w:t>
      </w:r>
    </w:p>
    <w:p>
      <w:pPr>
        <w:pStyle w:val="20"/>
        <w:numPr>
          <w:ilvl w:val="0"/>
          <w:numId w:val="1"/>
        </w:numPr>
        <w:tabs>
          <w:tab w:val="right" w:pos="8844"/>
        </w:tabs>
        <w:rPr>
          <w:highlight w:val="none"/>
        </w:rPr>
      </w:pPr>
      <w:r>
        <w:rPr>
          <w:rFonts w:hint="eastAsia"/>
          <w:highlight w:val="none"/>
        </w:rPr>
        <w:t>评审方法</w:t>
      </w:r>
    </w:p>
    <w:p>
      <w:pPr>
        <w:pStyle w:val="20"/>
        <w:numPr>
          <w:ilvl w:val="0"/>
          <w:numId w:val="1"/>
        </w:numPr>
        <w:tabs>
          <w:tab w:val="right" w:pos="8844"/>
        </w:tabs>
        <w:rPr>
          <w:highlight w:val="none"/>
        </w:rPr>
      </w:pPr>
      <w:r>
        <w:rPr>
          <w:rFonts w:hint="eastAsia"/>
          <w:highlight w:val="none"/>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11"/>
      <w:bookmarkStart w:id="3" w:name="_Toc17696"/>
    </w:p>
    <w:p>
      <w:pPr>
        <w:rPr>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bookmarkEnd w:id="0"/>
    <w:bookmarkEnd w:id="1"/>
    <w:bookmarkEnd w:id="2"/>
    <w:bookmarkEnd w:id="3"/>
    <w:p>
      <w:pPr>
        <w:pStyle w:val="4"/>
        <w:rPr>
          <w:highlight w:val="none"/>
        </w:rPr>
      </w:pPr>
      <w:bookmarkStart w:id="4" w:name="_Toc11322"/>
      <w:bookmarkStart w:id="5" w:name="_Toc17801"/>
      <w:bookmarkStart w:id="6" w:name="_Toc4275"/>
      <w:bookmarkStart w:id="7" w:name="_Toc19609"/>
      <w:bookmarkStart w:id="8" w:name="_Toc1669"/>
      <w:bookmarkStart w:id="9" w:name="_Toc7519"/>
      <w:bookmarkStart w:id="10" w:name="_Toc31938"/>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2479675</wp:posOffset>
                </wp:positionH>
                <wp:positionV relativeFrom="paragraph">
                  <wp:posOffset>408940</wp:posOffset>
                </wp:positionV>
                <wp:extent cx="958850" cy="0"/>
                <wp:effectExtent l="0" t="0" r="0" b="0"/>
                <wp:wrapNone/>
                <wp:docPr id="6"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4" o:spid="_x0000_s1026" o:spt="32" type="#_x0000_t32" style="position:absolute;left:0pt;margin-left:195.25pt;margin-top:32.2pt;height:0pt;width:75.5pt;z-index:251664384;mso-width-relative:page;mso-height-relative:page;" filled="f" stroked="t" coordsize="21600,21600" o:gfxdata="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ws0J9cAAAAJAQAADwAAAAAAAAABACAAAAAiAAAAZHJzL2Rvd25yZXYu&#10;eG1sUEsBAhQAFAAAAAgAh07iQFi/J1r8AQAA7AMAAA4AAAAAAAAAAQAgAAAAJgEAAGRycy9lMm9E&#10;b2MueG1sUEsFBgAAAAAGAAYAWQEAAJQ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2473960</wp:posOffset>
                </wp:positionH>
                <wp:positionV relativeFrom="paragraph">
                  <wp:posOffset>16510</wp:posOffset>
                </wp:positionV>
                <wp:extent cx="958850" cy="0"/>
                <wp:effectExtent l="0" t="0" r="0" b="0"/>
                <wp:wrapNone/>
                <wp:docPr id="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5" o:spid="_x0000_s1026" o:spt="32" type="#_x0000_t32" style="position:absolute;left:0pt;margin-left:194.8pt;margin-top:1.3pt;height:0pt;width:75.5pt;z-index:251663360;mso-width-relative:page;mso-height-relative:page;" filled="f" stroked="t" coordsize="21600,21600" o:gfxdata="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IzziwYevDb&#10;D9c/33++/f7tx6frXzcfk/31C5vOkla9x5JCVnYTjjv0m5CI75tg0p8osX3W93DSV+4jE3T4bDaf&#10;z0h5cecq7uN8wPhCOsOSUXGMAVTbxZWzlh7RhUmWF3YvMVJmCrwLSEm1ZX2CpyKZAGrKhpqBTOOJ&#10;GNo2x6LTqr5UWqcIDO12pQPbQWqM/CV+hPvXtZRkDdgN97JraJlOQv3c1iwePElmaVJ4KsHImjMt&#10;abCSRYBQRlD6nJuUWluqIEk8iJqsrasPWet8Tk2Qazw2bOqyP/c5+n5I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HWU9dUAAAAHAQAADwAAAAAAAAABACAAAAAiAAAAZHJzL2Rvd25yZXYueG1s&#10;UEsBAhQAFAAAAAgAh07iQEery5H7AQAA7AMAAA4AAAAAAAAAAQAgAAAAJAEAAGRycy9lMm9Eb2Mu&#10;eG1sUEsFBgAAAAAGAAYAWQEAAJEFAAAAAA==&#10;">
                <v:fill on="f" focussize="0,0"/>
                <v:stroke color="#000000" joinstyle="round"/>
                <v:imagedata o:title=""/>
                <o:lock v:ext="edit" aspectratio="f"/>
              </v:shape>
            </w:pict>
          </mc:Fallback>
        </mc:AlternateContent>
      </w:r>
      <w:r>
        <w:rPr>
          <w:rFonts w:hint="eastAsia"/>
          <w:highlight w:val="none"/>
        </w:rPr>
        <w:t>第一章</w:t>
      </w:r>
      <w:bookmarkEnd w:id="4"/>
      <w:bookmarkEnd w:id="5"/>
      <w:bookmarkEnd w:id="6"/>
      <w:bookmarkEnd w:id="7"/>
      <w:bookmarkEnd w:id="8"/>
      <w:bookmarkEnd w:id="9"/>
      <w:bookmarkEnd w:id="10"/>
    </w:p>
    <w:p>
      <w:pPr>
        <w:pStyle w:val="65"/>
        <w:rPr>
          <w:highlight w:val="none"/>
        </w:rPr>
      </w:pPr>
    </w:p>
    <w:p>
      <w:pPr>
        <w:pStyle w:val="4"/>
        <w:rPr>
          <w:highlight w:val="none"/>
        </w:rPr>
      </w:pPr>
      <w:bookmarkStart w:id="11" w:name="_Toc30131"/>
      <w:bookmarkStart w:id="12" w:name="_Toc15709"/>
      <w:bookmarkStart w:id="13" w:name="_Toc5230"/>
      <w:bookmarkStart w:id="14" w:name="_Toc88209924"/>
      <w:bookmarkStart w:id="15" w:name="_Toc2659"/>
      <w:bookmarkStart w:id="16" w:name="_Toc28995"/>
      <w:bookmarkStart w:id="17" w:name="_Toc14238"/>
      <w:bookmarkStart w:id="18" w:name="_Toc8201"/>
      <w:bookmarkStart w:id="19" w:name="_Toc999"/>
      <w:bookmarkStart w:id="20" w:name="_Toc10122"/>
      <w:bookmarkStart w:id="21" w:name="_Toc26363"/>
      <w:bookmarkStart w:id="22" w:name="_Toc3098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
        <w:ind w:firstLine="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20" w:beforeLines="50" w:after="120" w:afterLines="50" w:line="600" w:lineRule="exact"/>
        <w:jc w:val="left"/>
        <w:rPr>
          <w:highlight w:val="none"/>
        </w:rPr>
      </w:pPr>
      <w:r>
        <w:rPr>
          <w:rFonts w:hint="eastAsia" w:ascii="宋体" w:hAnsi="宋体"/>
          <w:sz w:val="24"/>
          <w:szCs w:val="24"/>
          <w:highlight w:val="none"/>
        </w:rPr>
        <w:t>适用于纸质评审的公开采购方式</w:t>
      </w:r>
    </w:p>
    <w:p>
      <w:pPr>
        <w:pStyle w:val="5"/>
        <w:spacing w:line="600" w:lineRule="exact"/>
        <w:rPr>
          <w:rFonts w:hint="eastAsia" w:ascii="宋体" w:hAnsi="宋体" w:eastAsia="宋体" w:cs="宋体"/>
          <w:b/>
          <w:bCs w:val="0"/>
          <w:highlight w:val="none"/>
          <w:u w:val="single"/>
          <w:lang w:eastAsia="zh-CN"/>
        </w:rPr>
      </w:pPr>
      <w:bookmarkStart w:id="23" w:name="_Toc9680"/>
      <w:bookmarkStart w:id="24" w:name="_Toc21373"/>
      <w:r>
        <w:rPr>
          <w:rFonts w:hint="eastAsia" w:ascii="宋体" w:hAnsi="宋体" w:eastAsia="宋体" w:cs="宋体"/>
          <w:b/>
          <w:bCs w:val="0"/>
          <w:highlight w:val="none"/>
          <w:u w:val="single"/>
          <w:lang w:eastAsia="zh-CN"/>
        </w:rPr>
        <w:t>广州市净水有限公司2024年化验仪器设备</w:t>
      </w:r>
    </w:p>
    <w:p>
      <w:pPr>
        <w:pStyle w:val="5"/>
        <w:spacing w:line="600" w:lineRule="exact"/>
        <w:rPr>
          <w:highlight w:val="none"/>
        </w:rPr>
      </w:pPr>
      <w:r>
        <w:rPr>
          <w:rFonts w:hint="eastAsia" w:ascii="宋体" w:hAnsi="宋体" w:eastAsia="宋体" w:cs="宋体"/>
          <w:b/>
          <w:bCs w:val="0"/>
          <w:highlight w:val="none"/>
          <w:u w:val="single"/>
          <w:lang w:eastAsia="zh-CN"/>
        </w:rPr>
        <w:t>第三方校准服务项目</w:t>
      </w:r>
      <w:r>
        <w:rPr>
          <w:rFonts w:hint="eastAsia" w:ascii="宋体" w:hAnsi="宋体" w:eastAsia="宋体" w:cs="宋体"/>
          <w:b/>
          <w:bCs w:val="0"/>
          <w:highlight w:val="none"/>
        </w:rPr>
        <w:t>采购公告</w:t>
      </w:r>
      <w:bookmarkEnd w:id="23"/>
      <w:bookmarkEnd w:id="24"/>
    </w:p>
    <w:p>
      <w:pPr>
        <w:adjustRightInd w:val="0"/>
        <w:snapToGrid w:val="0"/>
        <w:spacing w:line="600" w:lineRule="exact"/>
        <w:ind w:firstLine="560" w:firstLineChars="200"/>
        <w:jc w:val="left"/>
        <w:rPr>
          <w:rFonts w:ascii="仿宋" w:hAnsi="仿宋" w:eastAsia="仿宋" w:cs="仿宋"/>
          <w:sz w:val="28"/>
          <w:szCs w:val="28"/>
          <w:highlight w:val="none"/>
          <w:u w:val="single"/>
        </w:rPr>
      </w:pPr>
      <w:r>
        <w:rPr>
          <w:rFonts w:hint="eastAsia" w:ascii="仿宋" w:hAnsi="仿宋" w:eastAsia="仿宋" w:cs="仿宋"/>
          <w:sz w:val="28"/>
          <w:szCs w:val="28"/>
          <w:highlight w:val="none"/>
          <w:u w:val="single"/>
          <w:lang w:eastAsia="zh-CN"/>
        </w:rPr>
        <w:t>广州市净水有限公司2024年化验仪器设备第三方校准服务项目</w:t>
      </w:r>
      <w:r>
        <w:rPr>
          <w:rFonts w:hint="eastAsia" w:ascii="仿宋" w:hAnsi="仿宋" w:eastAsia="仿宋" w:cs="仿宋"/>
          <w:sz w:val="28"/>
          <w:szCs w:val="28"/>
          <w:highlight w:val="none"/>
        </w:rPr>
        <w:t xml:space="preserve">已具备采购条件，现对该□施工  </w:t>
      </w:r>
      <w:r>
        <w:rPr>
          <w:rFonts w:ascii="Wingdings 2" w:hAnsi="Wingdings 2" w:eastAsia="仿宋" w:cs="仿宋"/>
          <w:sz w:val="28"/>
          <w:szCs w:val="28"/>
          <w:highlight w:val="none"/>
        </w:rPr>
        <w:sym w:font="Wingdings 2" w:char="F0A3"/>
      </w:r>
      <w:r>
        <w:rPr>
          <w:rFonts w:hint="eastAsia" w:ascii="仿宋" w:hAnsi="仿宋" w:eastAsia="仿宋" w:cs="仿宋"/>
          <w:sz w:val="28"/>
          <w:szCs w:val="28"/>
          <w:highlight w:val="none"/>
        </w:rPr>
        <w:t xml:space="preserve">货物 </w:t>
      </w: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服务项目实施公开采购活动，采用</w:t>
      </w:r>
      <w:r>
        <w:rPr>
          <w:rFonts w:hint="eastAsia" w:ascii="仿宋" w:hAnsi="仿宋" w:eastAsia="仿宋" w:cs="仿宋"/>
          <w:sz w:val="28"/>
          <w:szCs w:val="28"/>
          <w:highlight w:val="none"/>
          <w:u w:val="single"/>
        </w:rPr>
        <w:t>询比采购</w:t>
      </w:r>
      <w:r>
        <w:rPr>
          <w:rFonts w:hint="eastAsia" w:ascii="仿宋" w:hAnsi="仿宋" w:eastAsia="仿宋" w:cs="仿宋"/>
          <w:sz w:val="28"/>
          <w:szCs w:val="28"/>
          <w:highlight w:val="none"/>
        </w:rPr>
        <w:t>方式公开邀请合格供应商参加本项目采购竞争。</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adjustRightInd w:val="0"/>
        <w:snapToGrid w:val="0"/>
        <w:spacing w:line="600" w:lineRule="exact"/>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lang w:eastAsia="zh-CN"/>
        </w:rPr>
        <w:t>广州市净水有限公司2024年化验仪器设备第三方校准服务项目</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XJ-20231227-2 </w:t>
      </w:r>
      <w:r>
        <w:rPr>
          <w:rFonts w:hint="eastAsia" w:ascii="仿宋" w:hAnsi="仿宋" w:eastAsia="仿宋" w:cs="仿宋"/>
          <w:sz w:val="28"/>
          <w:szCs w:val="28"/>
          <w:highlight w:val="none"/>
        </w:rPr>
        <w:t xml:space="preserve">  </w:t>
      </w:r>
    </w:p>
    <w:p>
      <w:pPr>
        <w:adjustRightInd w:val="0"/>
        <w:snapToGrid w:val="0"/>
        <w:spacing w:line="600" w:lineRule="exact"/>
        <w:jc w:val="left"/>
        <w:rPr>
          <w:rFonts w:ascii="Times New Roman" w:hAnsi="Times New Roman" w:eastAsia="仿宋_GB2312"/>
          <w:bCs/>
          <w:sz w:val="28"/>
          <w:szCs w:val="28"/>
          <w:highlight w:val="none"/>
          <w:lang w:val="zh-CN"/>
        </w:rPr>
      </w:pPr>
      <w:r>
        <w:rPr>
          <w:rFonts w:ascii="Times New Roman" w:hAnsi="Times New Roman" w:eastAsia="仿宋_GB2312"/>
          <w:bCs/>
          <w:sz w:val="28"/>
          <w:szCs w:val="28"/>
          <w:highlight w:val="none"/>
          <w:lang w:val="zh-CN"/>
        </w:rPr>
        <w:t>1.3资金来源：</w:t>
      </w:r>
      <w:r>
        <w:rPr>
          <w:rFonts w:ascii="Times New Roman" w:hAnsi="Times New Roman" w:eastAsia="仿宋_GB2312"/>
          <w:bCs/>
          <w:sz w:val="28"/>
          <w:szCs w:val="28"/>
          <w:highlight w:val="none"/>
          <w:u w:val="single"/>
          <w:lang w:val="zh-CN"/>
        </w:rPr>
        <w:t xml:space="preserve">自有资金 </w:t>
      </w:r>
    </w:p>
    <w:p>
      <w:pPr>
        <w:adjustRightInd w:val="0"/>
        <w:snapToGrid w:val="0"/>
        <w:spacing w:line="600" w:lineRule="exact"/>
        <w:jc w:val="left"/>
        <w:rPr>
          <w:rFonts w:ascii="Times New Roman" w:hAnsi="Times New Roman" w:eastAsia="仿宋_GB2312"/>
          <w:bCs/>
          <w:sz w:val="28"/>
          <w:szCs w:val="28"/>
          <w:highlight w:val="none"/>
          <w:lang w:val="zh-CN"/>
        </w:rPr>
      </w:pPr>
      <w:r>
        <w:rPr>
          <w:rFonts w:ascii="Times New Roman" w:hAnsi="Times New Roman" w:eastAsia="仿宋_GB2312"/>
          <w:bCs/>
          <w:sz w:val="28"/>
          <w:szCs w:val="28"/>
          <w:highlight w:val="none"/>
          <w:lang w:val="zh-CN"/>
        </w:rPr>
        <w:t>1.4最高限价（元）：</w:t>
      </w:r>
      <w:r>
        <w:rPr>
          <w:rFonts w:hint="eastAsia" w:ascii="Times New Roman" w:hAnsi="Times New Roman" w:eastAsia="仿宋_GB2312"/>
          <w:bCs/>
          <w:sz w:val="28"/>
          <w:szCs w:val="28"/>
          <w:highlight w:val="none"/>
          <w:u w:val="single"/>
          <w:lang w:val="en-US" w:eastAsia="zh-CN"/>
        </w:rPr>
        <w:t>341887.</w:t>
      </w:r>
      <w:r>
        <w:rPr>
          <w:rFonts w:hint="eastAsia" w:ascii="Times New Roman" w:hAnsi="Times New Roman" w:eastAsia="仿宋_GB2312"/>
          <w:bCs/>
          <w:sz w:val="28"/>
          <w:szCs w:val="28"/>
          <w:highlight w:val="none"/>
          <w:u w:val="single"/>
        </w:rPr>
        <w:t>00</w:t>
      </w:r>
      <w:r>
        <w:rPr>
          <w:rFonts w:ascii="Times New Roman" w:hAnsi="Times New Roman" w:eastAsia="仿宋_GB2312"/>
          <w:bCs/>
          <w:sz w:val="28"/>
          <w:szCs w:val="28"/>
          <w:highlight w:val="none"/>
          <w:u w:val="single"/>
          <w:lang w:val="zh-CN"/>
        </w:rPr>
        <w:t>元</w:t>
      </w:r>
      <w:r>
        <w:rPr>
          <w:rFonts w:hint="eastAsia" w:ascii="Times New Roman" w:hAnsi="Times New Roman" w:eastAsia="仿宋_GB2312"/>
          <w:bCs/>
          <w:sz w:val="28"/>
          <w:szCs w:val="28"/>
          <w:highlight w:val="none"/>
          <w:lang w:val="zh-CN"/>
        </w:rPr>
        <w:t>（</w:t>
      </w:r>
      <w:r>
        <w:rPr>
          <w:rFonts w:hint="eastAsia" w:ascii="Times New Roman" w:hAnsi="Times New Roman" w:eastAsia="仿宋_GB2312"/>
          <w:bCs/>
          <w:sz w:val="28"/>
          <w:szCs w:val="28"/>
          <w:highlight w:val="none"/>
          <w:lang w:val="en-US" w:eastAsia="zh-CN"/>
        </w:rPr>
        <w:t>其中从化公司14467.00元</w:t>
      </w:r>
      <w:r>
        <w:rPr>
          <w:rFonts w:hint="eastAsia" w:ascii="Times New Roman" w:hAnsi="Times New Roman" w:eastAsia="仿宋_GB2312"/>
          <w:bCs/>
          <w:sz w:val="28"/>
          <w:szCs w:val="28"/>
          <w:highlight w:val="none"/>
          <w:lang w:val="zh-CN"/>
        </w:rPr>
        <w:t>）。</w:t>
      </w:r>
    </w:p>
    <w:p>
      <w:pPr>
        <w:adjustRightInd w:val="0"/>
        <w:snapToGrid w:val="0"/>
        <w:spacing w:line="600" w:lineRule="exact"/>
        <w:jc w:val="left"/>
        <w:rPr>
          <w:rFonts w:ascii="Times New Roman" w:hAnsi="Times New Roman" w:eastAsia="仿宋_GB2312"/>
          <w:bCs/>
          <w:sz w:val="28"/>
          <w:szCs w:val="28"/>
          <w:highlight w:val="none"/>
          <w:u w:val="single"/>
        </w:rPr>
      </w:pPr>
      <w:r>
        <w:rPr>
          <w:rFonts w:ascii="Times New Roman" w:hAnsi="Times New Roman" w:eastAsia="仿宋_GB2312"/>
          <w:bCs/>
          <w:sz w:val="28"/>
          <w:szCs w:val="28"/>
          <w:highlight w:val="none"/>
          <w:lang w:val="zh-CN"/>
        </w:rPr>
        <w:t>1.5标段划分：</w:t>
      </w:r>
      <w:r>
        <w:rPr>
          <w:rFonts w:hint="eastAsia" w:ascii="Times New Roman" w:hAnsi="Times New Roman" w:eastAsia="仿宋_GB2312"/>
          <w:bCs/>
          <w:sz w:val="28"/>
          <w:szCs w:val="28"/>
          <w:highlight w:val="none"/>
          <w:u w:val="single"/>
        </w:rPr>
        <w:t xml:space="preserve"> / </w:t>
      </w:r>
    </w:p>
    <w:p>
      <w:pPr>
        <w:adjustRightInd w:val="0"/>
        <w:snapToGrid w:val="0"/>
        <w:spacing w:line="600" w:lineRule="exact"/>
        <w:jc w:val="left"/>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2.采购内容和范围</w:t>
      </w:r>
      <w:r>
        <w:rPr>
          <w:rFonts w:hint="eastAsia" w:ascii="仿宋" w:hAnsi="仿宋" w:eastAsia="仿宋" w:cs="仿宋"/>
          <w:b/>
          <w:sz w:val="32"/>
          <w:szCs w:val="32"/>
          <w:highlight w:val="none"/>
          <w:lang w:eastAsia="zh-CN"/>
        </w:rPr>
        <w:t>：</w:t>
      </w:r>
    </w:p>
    <w:p>
      <w:pPr>
        <w:adjustRightInd w:val="0"/>
        <w:snapToGrid w:val="0"/>
        <w:spacing w:line="6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根据我公司</w:t>
      </w:r>
      <w:r>
        <w:rPr>
          <w:rFonts w:hint="eastAsia" w:ascii="仿宋" w:hAnsi="仿宋" w:eastAsia="仿宋" w:cs="仿宋"/>
          <w:sz w:val="28"/>
          <w:szCs w:val="28"/>
          <w:highlight w:val="none"/>
          <w:u w:val="single"/>
          <w:lang w:val="en-US" w:eastAsia="zh-CN"/>
        </w:rPr>
        <w:t>所属</w:t>
      </w:r>
      <w:r>
        <w:rPr>
          <w:rFonts w:hint="eastAsia" w:ascii="仿宋" w:hAnsi="仿宋" w:eastAsia="仿宋" w:cs="仿宋"/>
          <w:sz w:val="28"/>
          <w:szCs w:val="28"/>
          <w:highlight w:val="none"/>
          <w:u w:val="single"/>
        </w:rPr>
        <w:t>水质检测中心</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大坦沙、猎德、沥滘、大沙地、西朗、京溪、龙归、竹料、石井、石井净、大观、江高、健康城等净水厂（分公司）</w:t>
      </w:r>
      <w:r>
        <w:rPr>
          <w:rFonts w:hint="eastAsia" w:ascii="仿宋" w:hAnsi="仿宋" w:eastAsia="仿宋" w:cs="仿宋"/>
          <w:sz w:val="28"/>
          <w:szCs w:val="28"/>
          <w:highlight w:val="none"/>
          <w:u w:val="single"/>
          <w:lang w:val="en-US" w:eastAsia="zh-CN"/>
        </w:rPr>
        <w:t>及从化公司</w:t>
      </w:r>
      <w:r>
        <w:rPr>
          <w:rFonts w:hint="eastAsia" w:ascii="仿宋" w:hAnsi="仿宋" w:eastAsia="仿宋" w:cs="仿宋"/>
          <w:sz w:val="28"/>
          <w:szCs w:val="28"/>
          <w:highlight w:val="none"/>
          <w:u w:val="single"/>
        </w:rPr>
        <w:t>对化验仪器设备校准的需求，委托具有CNAS资质第三方校准单位负责</w:t>
      </w:r>
      <w:r>
        <w:rPr>
          <w:rFonts w:hint="eastAsia" w:ascii="仿宋" w:hAnsi="仿宋" w:eastAsia="仿宋" w:cs="仿宋"/>
          <w:sz w:val="28"/>
          <w:szCs w:val="28"/>
          <w:highlight w:val="none"/>
          <w:u w:val="single"/>
          <w:lang w:eastAsia="zh-CN"/>
        </w:rPr>
        <w:t>2024年</w:t>
      </w:r>
      <w:r>
        <w:rPr>
          <w:rFonts w:hint="eastAsia" w:ascii="仿宋" w:hAnsi="仿宋" w:eastAsia="仿宋" w:cs="仿宋"/>
          <w:sz w:val="28"/>
          <w:szCs w:val="28"/>
          <w:highlight w:val="none"/>
          <w:u w:val="single"/>
        </w:rPr>
        <w:t>全年化验仪器设备校准服务，并出具校准/检定证书。</w:t>
      </w:r>
    </w:p>
    <w:p>
      <w:pPr>
        <w:adjustRightInd w:val="0"/>
        <w:snapToGrid w:val="0"/>
        <w:spacing w:line="600" w:lineRule="exact"/>
        <w:ind w:firstLine="560" w:firstLineChars="200"/>
        <w:jc w:val="left"/>
        <w:rPr>
          <w:rFonts w:hint="eastAsia" w:ascii="仿宋_GB2312" w:eastAsia="仿宋_GB2312"/>
          <w:sz w:val="28"/>
          <w:szCs w:val="28"/>
          <w:highlight w:val="none"/>
        </w:rPr>
      </w:pPr>
      <w:r>
        <w:rPr>
          <w:rFonts w:hint="eastAsia" w:ascii="仿宋" w:hAnsi="仿宋" w:eastAsia="仿宋" w:cs="仿宋"/>
          <w:sz w:val="28"/>
          <w:szCs w:val="28"/>
          <w:highlight w:val="none"/>
          <w:u w:val="single"/>
        </w:rPr>
        <w:t>其中，需校准的仪器设备主要包括电子天平、显微镜、紫外可见分光光度计、纯水机、生化培养箱、温湿度计、蒸汽灭菌器、玻璃仪器等46类</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具体</w:t>
      </w:r>
      <w:r>
        <w:rPr>
          <w:rFonts w:hint="eastAsia" w:ascii="仿宋" w:hAnsi="仿宋" w:eastAsia="仿宋" w:cs="仿宋"/>
          <w:sz w:val="28"/>
          <w:szCs w:val="28"/>
          <w:highlight w:val="none"/>
          <w:u w:val="single"/>
          <w:lang w:val="en-US" w:eastAsia="zh-CN"/>
        </w:rPr>
        <w:t>校准设备</w:t>
      </w:r>
      <w:r>
        <w:rPr>
          <w:rFonts w:hint="eastAsia" w:ascii="仿宋" w:hAnsi="仿宋" w:eastAsia="仿宋" w:cs="仿宋"/>
          <w:sz w:val="28"/>
          <w:szCs w:val="28"/>
          <w:highlight w:val="none"/>
          <w:u w:val="single"/>
        </w:rPr>
        <w:t>清单</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计划实施时间</w:t>
      </w:r>
      <w:r>
        <w:rPr>
          <w:rFonts w:hint="eastAsia" w:ascii="仿宋" w:hAnsi="仿宋" w:eastAsia="仿宋" w:cs="仿宋"/>
          <w:sz w:val="28"/>
          <w:szCs w:val="28"/>
          <w:highlight w:val="none"/>
          <w:u w:val="single"/>
        </w:rPr>
        <w:t>及技术要求</w:t>
      </w:r>
      <w:r>
        <w:rPr>
          <w:rFonts w:hint="eastAsia" w:ascii="仿宋" w:hAnsi="仿宋" w:eastAsia="仿宋" w:cs="仿宋"/>
          <w:sz w:val="28"/>
          <w:szCs w:val="28"/>
          <w:highlight w:val="none"/>
          <w:u w:val="single"/>
          <w:lang w:val="en-US" w:eastAsia="zh-CN"/>
        </w:rPr>
        <w:t>等</w:t>
      </w:r>
      <w:r>
        <w:rPr>
          <w:rFonts w:hint="eastAsia" w:ascii="仿宋" w:hAnsi="仿宋" w:eastAsia="仿宋" w:cs="仿宋"/>
          <w:sz w:val="28"/>
          <w:szCs w:val="28"/>
          <w:highlight w:val="none"/>
          <w:u w:val="single"/>
        </w:rPr>
        <w:t>详见第五章采购需求。</w:t>
      </w:r>
      <w:r>
        <w:rPr>
          <w:rFonts w:hint="eastAsia" w:ascii="仿宋" w:hAnsi="仿宋" w:eastAsia="仿宋" w:cs="仿宋"/>
          <w:sz w:val="28"/>
          <w:szCs w:val="28"/>
          <w:highlight w:val="none"/>
          <w:u w:val="non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 xml:space="preserve">2.2项目工期：□计划工期   </w:t>
      </w:r>
      <w:r>
        <w:rPr>
          <w:rFonts w:ascii="Wingdings 2" w:hAnsi="Wingdings 2" w:eastAsia="仿宋" w:cs="仿宋"/>
          <w:sz w:val="28"/>
          <w:szCs w:val="28"/>
          <w:highlight w:val="none"/>
        </w:rPr>
        <w:sym w:font="Wingdings 2" w:char="F0A3"/>
      </w:r>
      <w:r>
        <w:rPr>
          <w:rFonts w:hint="eastAsia" w:ascii="仿宋" w:hAnsi="仿宋" w:eastAsia="仿宋" w:cs="仿宋"/>
          <w:sz w:val="28"/>
          <w:szCs w:val="28"/>
          <w:highlight w:val="none"/>
        </w:rPr>
        <w:t xml:space="preserve">交货期   </w:t>
      </w: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服务期为</w:t>
      </w:r>
      <w:r>
        <w:rPr>
          <w:rFonts w:hint="eastAsia" w:ascii="仿宋" w:hAnsi="仿宋" w:eastAsia="仿宋" w:cs="仿宋"/>
          <w:sz w:val="28"/>
          <w:szCs w:val="28"/>
          <w:highlight w:val="none"/>
          <w:u w:val="single"/>
        </w:rPr>
        <w:t xml:space="preserve"> 自合同签订之日起至</w:t>
      </w:r>
      <w:r>
        <w:rPr>
          <w:rFonts w:hint="eastAsia" w:ascii="仿宋" w:hAnsi="仿宋" w:eastAsia="仿宋" w:cs="仿宋"/>
          <w:sz w:val="28"/>
          <w:szCs w:val="28"/>
          <w:highlight w:val="none"/>
          <w:u w:val="single"/>
          <w:lang w:val="en-US" w:eastAsia="zh-CN"/>
        </w:rPr>
        <w:t>2024年12月31日。</w:t>
      </w:r>
    </w:p>
    <w:p>
      <w:pPr>
        <w:adjustRightInd w:val="0"/>
        <w:snapToGrid w:val="0"/>
        <w:spacing w:line="600" w:lineRule="exact"/>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w:t>
      </w:r>
      <w:r>
        <w:rPr>
          <w:rFonts w:ascii="Wingdings 2" w:hAnsi="Wingdings 2" w:eastAsia="仿宋" w:cs="仿宋"/>
          <w:sz w:val="28"/>
          <w:szCs w:val="28"/>
          <w:highlight w:val="none"/>
        </w:rPr>
        <w:sym w:font="Wingdings 2" w:char="F0A3"/>
      </w:r>
      <w:r>
        <w:rPr>
          <w:rFonts w:hint="eastAsia" w:ascii="仿宋" w:hAnsi="仿宋" w:eastAsia="仿宋" w:cs="仿宋"/>
          <w:sz w:val="28"/>
          <w:szCs w:val="28"/>
          <w:highlight w:val="none"/>
        </w:rPr>
        <w:t xml:space="preserve">交货地点  </w:t>
      </w: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服务地点位于</w:t>
      </w:r>
      <w:r>
        <w:rPr>
          <w:rFonts w:hint="eastAsia" w:ascii="仿宋_GB2312" w:eastAsia="仿宋_GB2312"/>
          <w:sz w:val="28"/>
          <w:szCs w:val="28"/>
          <w:highlight w:val="none"/>
          <w:u w:val="single"/>
        </w:rPr>
        <w:t>广州市净水有限公司所属水质检测中心</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rPr>
        <w:t>坦沙、猎德、沥滘、大沙地、西朗、京溪、龙归、竹料、石井、石井净、大观、江高、健康城等净水厂（分公司）</w:t>
      </w:r>
      <w:r>
        <w:rPr>
          <w:rFonts w:hint="eastAsia" w:ascii="仿宋_GB2312" w:eastAsia="仿宋_GB2312"/>
          <w:sz w:val="28"/>
          <w:szCs w:val="28"/>
          <w:highlight w:val="none"/>
          <w:u w:val="single"/>
          <w:lang w:val="en-US" w:eastAsia="zh-CN"/>
        </w:rPr>
        <w:t>及从化公司</w:t>
      </w:r>
    </w:p>
    <w:p>
      <w:pPr>
        <w:autoSpaceDE/>
        <w:autoSpaceDN/>
        <w:adjustRightInd w:val="0"/>
        <w:snapToGrid w:val="0"/>
        <w:spacing w:line="600" w:lineRule="exact"/>
        <w:ind w:left="420" w:right="-370"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w:t>
      </w:r>
      <w:r>
        <w:rPr>
          <w:rFonts w:ascii="Wingdings 2" w:hAnsi="Wingdings 2" w:eastAsia="仿宋" w:cs="仿宋"/>
          <w:sz w:val="28"/>
          <w:szCs w:val="28"/>
          <w:highlight w:val="none"/>
        </w:rPr>
        <w:sym w:font="Wingdings 2" w:char="F0A3"/>
      </w:r>
      <w:r>
        <w:rPr>
          <w:rFonts w:hint="eastAsia" w:ascii="仿宋" w:hAnsi="仿宋" w:eastAsia="仿宋" w:cs="仿宋"/>
          <w:sz w:val="28"/>
          <w:szCs w:val="28"/>
          <w:highlight w:val="none"/>
        </w:rPr>
        <w:t xml:space="preserve">货物质量标准或主要技术性能指标  </w:t>
      </w: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详见</w:t>
      </w:r>
      <w:r>
        <w:rPr>
          <w:rFonts w:hint="eastAsia" w:ascii="仿宋" w:hAnsi="仿宋" w:eastAsia="仿宋" w:cs="仿宋"/>
          <w:sz w:val="28"/>
          <w:szCs w:val="28"/>
          <w:highlight w:val="none"/>
          <w:u w:val="single"/>
          <w:lang w:val="en-US" w:eastAsia="zh-CN"/>
        </w:rPr>
        <w:t>第五章采购需求</w:t>
      </w:r>
      <w:r>
        <w:rPr>
          <w:rFonts w:hint="eastAsia" w:ascii="仿宋" w:hAnsi="仿宋" w:eastAsia="仿宋" w:cs="仿宋"/>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highlight w:val="none"/>
        </w:rPr>
      </w:pPr>
      <w:r>
        <w:rPr>
          <w:rFonts w:hint="eastAsia" w:ascii="仿宋" w:hAnsi="仿宋" w:eastAsia="仿宋" w:cs="仿宋"/>
          <w:sz w:val="28"/>
          <w:szCs w:val="28"/>
          <w:highlight w:val="none"/>
        </w:rPr>
        <w:t>2.5其他：</w:t>
      </w: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详见合同附件 </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3.1参与本项目采购活动的供应商应当依法设立且满足如下要求：</w:t>
      </w:r>
    </w:p>
    <w:p>
      <w:pPr>
        <w:adjustRightInd w:val="0"/>
        <w:snapToGrid w:val="0"/>
        <w:spacing w:line="600" w:lineRule="atLeast"/>
        <w:jc w:val="left"/>
        <w:rPr>
          <w:rFonts w:hint="eastAsia" w:ascii="仿宋" w:hAnsi="仿宋" w:eastAsia="仿宋" w:cs="仿宋"/>
          <w:sz w:val="28"/>
          <w:szCs w:val="28"/>
          <w:highlight w:val="none"/>
        </w:rPr>
      </w:pP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600" w:lineRule="atLeas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none"/>
        </w:rPr>
        <w:t>质量技术监督管理部门颁发的计量校准认证资质（CNAS），所认证的校准能力至少涵盖本项目中所要求的校准设备种类的70%（含）以上（共计校准设备种类</w:t>
      </w:r>
      <w:r>
        <w:rPr>
          <w:rFonts w:hint="eastAsia" w:ascii="仿宋" w:hAnsi="仿宋" w:eastAsia="仿宋" w:cs="仿宋"/>
          <w:color w:val="auto"/>
          <w:sz w:val="28"/>
          <w:szCs w:val="28"/>
          <w:highlight w:val="none"/>
          <w:u w:val="none"/>
          <w:lang w:val="en-US" w:eastAsia="zh-CN"/>
        </w:rPr>
        <w:t>46</w:t>
      </w:r>
      <w:r>
        <w:rPr>
          <w:rFonts w:hint="eastAsia" w:ascii="仿宋" w:hAnsi="仿宋" w:eastAsia="仿宋" w:cs="仿宋"/>
          <w:color w:val="auto"/>
          <w:sz w:val="28"/>
          <w:szCs w:val="28"/>
          <w:highlight w:val="none"/>
          <w:u w:val="none"/>
        </w:rPr>
        <w:t>种，70%即</w:t>
      </w:r>
      <w:r>
        <w:rPr>
          <w:rFonts w:hint="eastAsia" w:ascii="仿宋" w:hAnsi="仿宋" w:eastAsia="仿宋" w:cs="仿宋"/>
          <w:color w:val="auto"/>
          <w:sz w:val="28"/>
          <w:szCs w:val="28"/>
          <w:highlight w:val="none"/>
          <w:u w:val="none"/>
          <w:lang w:val="en-US" w:eastAsia="zh-CN"/>
        </w:rPr>
        <w:t>33</w:t>
      </w:r>
      <w:r>
        <w:rPr>
          <w:rFonts w:hint="eastAsia" w:ascii="仿宋" w:hAnsi="仿宋" w:eastAsia="仿宋" w:cs="仿宋"/>
          <w:color w:val="auto"/>
          <w:sz w:val="28"/>
          <w:szCs w:val="28"/>
          <w:highlight w:val="none"/>
          <w:u w:val="none"/>
        </w:rPr>
        <w:t>种），且在有效期内的资格条件。校准设备种类详见第五章采购需求第2点检测机构资质和报告要求。</w:t>
      </w:r>
    </w:p>
    <w:p>
      <w:pPr>
        <w:pStyle w:val="15"/>
        <w:spacing w:line="600" w:lineRule="atLeast"/>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u w:val="none"/>
        </w:rPr>
        <w:t>注：</w:t>
      </w:r>
      <w:r>
        <w:rPr>
          <w:rFonts w:hint="eastAsia" w:ascii="仿宋" w:hAnsi="仿宋" w:eastAsia="仿宋" w:cs="仿宋"/>
          <w:b/>
          <w:bCs/>
          <w:color w:val="000000"/>
          <w:sz w:val="28"/>
          <w:szCs w:val="28"/>
          <w:highlight w:val="none"/>
          <w:u w:val="none"/>
        </w:rPr>
        <w:t>提供</w:t>
      </w:r>
      <w:r>
        <w:rPr>
          <w:rFonts w:hint="eastAsia" w:ascii="仿宋" w:hAnsi="仿宋" w:eastAsia="仿宋" w:cs="仿宋"/>
          <w:b/>
          <w:bCs/>
          <w:sz w:val="28"/>
          <w:szCs w:val="28"/>
          <w:highlight w:val="none"/>
          <w:u w:val="none"/>
        </w:rPr>
        <w:t>CNAS</w:t>
      </w:r>
      <w:r>
        <w:rPr>
          <w:rFonts w:hint="eastAsia" w:ascii="仿宋" w:hAnsi="仿宋" w:eastAsia="仿宋" w:cs="仿宋"/>
          <w:b/>
          <w:bCs/>
          <w:color w:val="000000"/>
          <w:sz w:val="28"/>
          <w:szCs w:val="28"/>
          <w:highlight w:val="none"/>
          <w:u w:val="none"/>
        </w:rPr>
        <w:t>复印件并标注</w:t>
      </w:r>
      <w:r>
        <w:rPr>
          <w:rFonts w:hint="eastAsia" w:ascii="仿宋" w:hAnsi="仿宋" w:eastAsia="仿宋" w:cs="仿宋"/>
          <w:b/>
          <w:bCs/>
          <w:sz w:val="28"/>
          <w:szCs w:val="28"/>
          <w:highlight w:val="none"/>
          <w:u w:val="none"/>
        </w:rPr>
        <w:t>本项目中所要求涵盖的校准设备项目，不标注则视为不响应。</w:t>
      </w:r>
      <w:r>
        <w:rPr>
          <w:rFonts w:hint="eastAsia" w:ascii="仿宋" w:hAnsi="仿宋" w:eastAsia="仿宋" w:cs="仿宋"/>
          <w:b/>
          <w:bCs/>
          <w:color w:val="auto"/>
          <w:sz w:val="28"/>
          <w:szCs w:val="28"/>
          <w:highlight w:val="none"/>
          <w:u w:val="none"/>
          <w:lang w:val="en-US" w:eastAsia="zh-CN"/>
        </w:rPr>
        <w:t>标注时使用方框或圆圈标注出设备名称。</w:t>
      </w:r>
    </w:p>
    <w:p>
      <w:pPr>
        <w:adjustRightInd w:val="0"/>
        <w:snapToGrid w:val="0"/>
        <w:spacing w:line="600" w:lineRule="atLeast"/>
        <w:jc w:val="left"/>
        <w:rPr>
          <w:rFonts w:hint="eastAsia" w:ascii="仿宋" w:hAnsi="仿宋" w:eastAsia="仿宋" w:cs="仿宋"/>
          <w:sz w:val="28"/>
          <w:szCs w:val="28"/>
          <w:highlight w:val="none"/>
        </w:rPr>
      </w:pP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2020年1月1日至今，供应商最少具有一项合同金额不少于</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万元的</w:t>
      </w:r>
      <w:r>
        <w:rPr>
          <w:rFonts w:hint="eastAsia" w:ascii="仿宋" w:hAnsi="仿宋" w:eastAsia="仿宋" w:cs="仿宋"/>
          <w:color w:val="000000"/>
          <w:sz w:val="28"/>
          <w:szCs w:val="28"/>
          <w:highlight w:val="none"/>
          <w:u w:val="none"/>
        </w:rPr>
        <w:t>计量校准服务项目业绩</w:t>
      </w:r>
      <w:r>
        <w:rPr>
          <w:rFonts w:hint="eastAsia" w:ascii="仿宋" w:hAnsi="仿宋" w:eastAsia="仿宋" w:cs="仿宋"/>
          <w:sz w:val="28"/>
          <w:szCs w:val="28"/>
          <w:highlight w:val="none"/>
        </w:rPr>
        <w:t>（提供合同复印件证明，包括但不限于项目名称、金额及实施内容、合同盖章、签订日期，加盖单位公章）。</w:t>
      </w:r>
    </w:p>
    <w:p>
      <w:pPr>
        <w:snapToGrid w:val="0"/>
        <w:spacing w:line="600" w:lineRule="exact"/>
        <w:rPr>
          <w:rFonts w:hint="eastAsia" w:ascii="仿宋" w:hAnsi="仿宋" w:eastAsia="仿宋" w:cs="仿宋"/>
          <w:sz w:val="28"/>
          <w:szCs w:val="28"/>
          <w:highlight w:val="none"/>
          <w:u w:val="none"/>
          <w:lang w:val="en-US" w:eastAsia="zh-CN"/>
        </w:rPr>
      </w:pPr>
      <w:r>
        <w:rPr>
          <w:rFonts w:ascii="Wingdings 2" w:hAnsi="Wingdings 2" w:eastAsia="仿宋" w:cs="仿宋"/>
          <w:sz w:val="28"/>
          <w:szCs w:val="28"/>
          <w:highlight w:val="none"/>
        </w:rPr>
        <w:sym w:font="Wingdings 2" w:char="F0A3"/>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）项目负责人应当具备</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 xml:space="preserve">       /         </w:t>
      </w:r>
      <w:r>
        <w:rPr>
          <w:rFonts w:hint="eastAsia" w:ascii="仿宋" w:hAnsi="仿宋" w:eastAsia="仿宋" w:cs="仿宋"/>
          <w:sz w:val="28"/>
          <w:szCs w:val="28"/>
          <w:highlight w:val="none"/>
          <w:u w:val="none"/>
          <w:lang w:val="en-US" w:eastAsia="zh-CN"/>
        </w:rPr>
        <w:t>资格条件。</w:t>
      </w:r>
    </w:p>
    <w:p>
      <w:pPr>
        <w:snapToGrid w:val="0"/>
        <w:spacing w:line="600" w:lineRule="exact"/>
        <w:rPr>
          <w:highlight w:val="none"/>
        </w:rPr>
      </w:pPr>
      <w:r>
        <w:rPr>
          <w:rFonts w:ascii="Wingdings 2" w:hAnsi="Wingdings 2" w:eastAsia="仿宋" w:cs="仿宋"/>
          <w:sz w:val="28"/>
          <w:szCs w:val="28"/>
          <w:highlight w:val="none"/>
        </w:rPr>
        <w:sym w:font="Wingdings 2" w:char="F0A3"/>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）其他要求： </w:t>
      </w:r>
      <w:r>
        <w:rPr>
          <w:rFonts w:hint="eastAsia" w:ascii="仿宋" w:hAnsi="仿宋" w:eastAsia="仿宋" w:cs="仿宋"/>
          <w:sz w:val="28"/>
          <w:szCs w:val="28"/>
          <w:highlight w:val="none"/>
          <w:lang w:val="en-US" w:eastAsia="zh-CN"/>
        </w:rPr>
        <w:t>无</w:t>
      </w:r>
      <w:r>
        <w:rPr>
          <w:rFonts w:hint="eastAsia" w:ascii="仿宋" w:hAnsi="仿宋" w:eastAsia="仿宋" w:cs="仿宋"/>
          <w:sz w:val="28"/>
          <w:szCs w:val="28"/>
          <w:highlight w:val="none"/>
        </w:rPr>
        <w:t xml:space="preserve">       </w:t>
      </w:r>
      <w:r>
        <w:rPr>
          <w:rFonts w:hint="eastAsia"/>
          <w:sz w:val="28"/>
          <w:szCs w:val="28"/>
          <w:highlight w:val="none"/>
        </w:rPr>
        <w:t xml:space="preserve">     </w:t>
      </w:r>
      <w:r>
        <w:rPr>
          <w:rFonts w:hint="eastAsia"/>
          <w:highlight w:val="non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3.3本次项目不</w:t>
      </w:r>
      <w:r>
        <w:rPr>
          <w:rFonts w:hint="eastAsia" w:ascii="仿宋" w:hAnsi="仿宋" w:eastAsia="仿宋" w:cs="仿宋"/>
          <w:sz w:val="28"/>
          <w:szCs w:val="28"/>
          <w:highlight w:val="none"/>
          <w:u w:val="single"/>
        </w:rPr>
        <w:t>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none"/>
          <w:lang w:eastAsia="zh-CN"/>
        </w:rPr>
        <w:t>年</w:t>
      </w:r>
      <w:r>
        <w:rPr>
          <w:rFonts w:hint="eastAsia" w:ascii="仿宋" w:hAnsi="仿宋" w:eastAsia="仿宋" w:cs="仿宋"/>
          <w:sz w:val="28"/>
          <w:szCs w:val="28"/>
          <w:highlight w:val="none"/>
          <w:u w:val="single"/>
          <w:lang w:val="en-US" w:eastAsia="zh-CN"/>
        </w:rPr>
        <w:t xml:space="preserve"> 12</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28</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eastAsia="zh-CN"/>
        </w:rPr>
        <w:t>2024</w:t>
      </w:r>
      <w:r>
        <w:rPr>
          <w:rFonts w:hint="eastAsia" w:ascii="仿宋" w:hAnsi="仿宋" w:eastAsia="仿宋" w:cs="仿宋"/>
          <w:sz w:val="28"/>
          <w:szCs w:val="28"/>
          <w:highlight w:val="none"/>
          <w:u w:val="none"/>
          <w:lang w:eastAsia="zh-CN"/>
        </w:rPr>
        <w:t>年</w:t>
      </w:r>
      <w:r>
        <w:rPr>
          <w:rFonts w:hint="eastAsia" w:ascii="仿宋" w:hAnsi="仿宋" w:eastAsia="仿宋" w:cs="仿宋"/>
          <w:sz w:val="28"/>
          <w:szCs w:val="28"/>
          <w:highlight w:val="none"/>
          <w:u w:val="single"/>
          <w:lang w:val="en-US" w:eastAsia="zh-CN"/>
        </w:rPr>
        <w:t xml:space="preserve"> 1</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rPr>
        <w:t>日（北京时间）</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2"/>
        </w:num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ascii="仿宋" w:hAnsi="仿宋" w:eastAsia="仿宋" w:cs="仿宋"/>
          <w:sz w:val="28"/>
          <w:szCs w:val="28"/>
          <w:highlight w:val="none"/>
        </w:rPr>
      </w:pPr>
      <w:r>
        <w:rPr>
          <w:rFonts w:ascii="Wingdings 2" w:hAnsi="Wingdings 2" w:eastAsia="仿宋" w:cs="仿宋"/>
          <w:sz w:val="28"/>
          <w:szCs w:val="28"/>
          <w:highlight w:val="none"/>
        </w:rPr>
        <w:sym w:font="Wingdings 2" w:char="F052"/>
      </w:r>
      <w:r>
        <w:rPr>
          <w:rFonts w:hint="eastAsia" w:ascii="仿宋" w:hAnsi="仿宋" w:eastAsia="仿宋" w:cs="仿宋"/>
          <w:sz w:val="28"/>
          <w:szCs w:val="28"/>
          <w:highlight w:val="none"/>
        </w:rPr>
        <w:t>不组织</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sz w:val="28"/>
          <w:szCs w:val="28"/>
          <w:highlight w:val="none"/>
        </w:rPr>
        <w:t>□组织</w:t>
      </w:r>
    </w:p>
    <w:p>
      <w:pPr>
        <w:numPr>
          <w:ilvl w:val="0"/>
          <w:numId w:val="2"/>
        </w:num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6.1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eastAsia="zh-CN"/>
        </w:rPr>
        <w:t>2024</w:t>
      </w:r>
      <w:r>
        <w:rPr>
          <w:rFonts w:hint="eastAsia" w:ascii="仿宋_GB2312" w:eastAsia="仿宋_GB2312"/>
          <w:sz w:val="28"/>
          <w:szCs w:val="28"/>
          <w:highlight w:val="none"/>
          <w:u w:val="none"/>
          <w:lang w:eastAsia="zh-CN"/>
        </w:rPr>
        <w:t>年</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 </w:t>
      </w:r>
      <w:r>
        <w:rPr>
          <w:rFonts w:hint="eastAsia" w:ascii="仿宋_GB2312" w:eastAsia="仿宋_GB2312"/>
          <w:sz w:val="28"/>
          <w:szCs w:val="28"/>
          <w:highlight w:val="none"/>
        </w:rPr>
        <w:t>月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日</w:t>
      </w:r>
      <w:r>
        <w:rPr>
          <w:rFonts w:hint="eastAsia" w:ascii="仿宋_GB2312" w:eastAsia="仿宋_GB2312"/>
          <w:sz w:val="28"/>
          <w:szCs w:val="28"/>
          <w:highlight w:val="none"/>
          <w:u w:val="single"/>
          <w:lang w:eastAsia="zh-CN"/>
        </w:rPr>
        <w:t>1</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时</w:t>
      </w:r>
      <w:r>
        <w:rPr>
          <w:rFonts w:hint="eastAsia" w:ascii="仿宋_GB2312" w:eastAsia="仿宋_GB2312"/>
          <w:sz w:val="28"/>
          <w:szCs w:val="28"/>
          <w:highlight w:val="none"/>
          <w:u w:val="single"/>
          <w:lang w:eastAsia="zh-CN"/>
        </w:rPr>
        <w:t>3</w:t>
      </w:r>
      <w:r>
        <w:rPr>
          <w:rFonts w:hint="eastAsia" w:ascii="仿宋_GB2312" w:eastAsia="仿宋_GB2312"/>
          <w:sz w:val="28"/>
          <w:szCs w:val="28"/>
          <w:highlight w:val="none"/>
          <w:u w:val="single"/>
        </w:rPr>
        <w:t>0</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eastAsia="zh-CN"/>
        </w:rPr>
        <w:t>2024</w:t>
      </w:r>
      <w:r>
        <w:rPr>
          <w:rFonts w:hint="eastAsia" w:ascii="仿宋_GB2312" w:eastAsia="仿宋_GB2312"/>
          <w:sz w:val="28"/>
          <w:szCs w:val="28"/>
          <w:highlight w:val="none"/>
          <w:u w:val="none"/>
          <w:lang w:eastAsia="zh-CN"/>
        </w:rPr>
        <w:t>年</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 xml:space="preserve"> 日</w:t>
      </w:r>
      <w:r>
        <w:rPr>
          <w:rFonts w:hint="eastAsia" w:ascii="仿宋_GB2312" w:eastAsia="仿宋_GB2312"/>
          <w:sz w:val="28"/>
          <w:szCs w:val="28"/>
          <w:highlight w:val="none"/>
          <w:u w:val="single"/>
          <w:lang w:eastAsia="zh-CN"/>
        </w:rPr>
        <w:t>1</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eastAsia="zh-CN"/>
        </w:rPr>
        <w:t>2024</w:t>
      </w:r>
      <w:r>
        <w:rPr>
          <w:rFonts w:hint="eastAsia" w:ascii="仿宋_GB2312" w:eastAsia="仿宋_GB2312"/>
          <w:sz w:val="28"/>
          <w:szCs w:val="28"/>
          <w:highlight w:val="none"/>
          <w:u w:val="none"/>
          <w:lang w:eastAsia="zh-CN"/>
        </w:rPr>
        <w:t>年</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3</w:t>
      </w:r>
      <w:bookmarkStart w:id="182" w:name="_GoBack"/>
      <w:bookmarkEnd w:id="182"/>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eastAsia="zh-CN"/>
        </w:rPr>
        <w:t>1</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6.2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color w:val="auto"/>
          <w:sz w:val="28"/>
          <w:szCs w:val="28"/>
          <w:highlight w:val="none"/>
          <w:lang w:eastAsia="zh-CN"/>
        </w:rPr>
        <w:t>）</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spacing w:line="600" w:lineRule="exact"/>
        <w:ind w:firstLine="560" w:firstLineChars="200"/>
        <w:rPr>
          <w:rFonts w:eastAsia="仿宋_GB2312"/>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lang w:eastAsia="zh-CN"/>
        </w:rPr>
        <w:t>6</w:t>
      </w:r>
      <w:r>
        <w:rPr>
          <w:rFonts w:hint="eastAsia" w:ascii="仿宋" w:hAnsi="仿宋" w:eastAsia="仿宋" w:cs="仿宋"/>
          <w:sz w:val="28"/>
          <w:szCs w:val="28"/>
          <w:highlight w:val="none"/>
          <w:u w:val="single"/>
          <w:lang w:val="en-US" w:eastAsia="zh-CN"/>
        </w:rPr>
        <w:t>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20" w:beforeLines="50" w:after="120" w:afterLines="50"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9.联系方式</w:t>
      </w:r>
    </w:p>
    <w:tbl>
      <w:tblPr>
        <w:tblStyle w:val="24"/>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联系人：林工</w:t>
            </w:r>
          </w:p>
        </w:tc>
      </w:tr>
      <w:tr>
        <w:tblPrEx>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电  话：020-62315524</w:t>
            </w:r>
          </w:p>
        </w:tc>
      </w:tr>
      <w:tr>
        <w:tblPrEx>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 w:hAnsi="仿宋" w:eastAsia="仿宋" w:cs="仿宋"/>
                <w:sz w:val="28"/>
                <w:szCs w:val="28"/>
                <w:highlight w:val="none"/>
              </w:rPr>
            </w:pP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none"/>
                <w:lang w:eastAsia="zh-CN"/>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p>
        </w:tc>
      </w:tr>
    </w:tbl>
    <w:p>
      <w:pPr>
        <w:pStyle w:val="2"/>
        <w:rPr>
          <w:rFonts w:ascii="仿宋_GB2312" w:eastAsia="仿宋_GB2312"/>
          <w:color w:val="auto"/>
          <w:sz w:val="28"/>
          <w:szCs w:val="28"/>
          <w:highlight w:val="none"/>
        </w:rPr>
        <w:sectPr>
          <w:footerReference r:id="rId3" w:type="default"/>
          <w:pgSz w:w="11906" w:h="16838"/>
          <w:pgMar w:top="1089" w:right="1469" w:bottom="1089" w:left="1077" w:header="851" w:footer="992" w:gutter="0"/>
          <w:pgBorders>
            <w:top w:val="none" w:sz="0" w:space="0"/>
            <w:left w:val="none" w:sz="0" w:space="0"/>
            <w:bottom w:val="none" w:sz="0" w:space="0"/>
            <w:right w:val="none" w:sz="0" w:space="0"/>
          </w:pgBorders>
          <w:pgNumType w:start="0"/>
          <w:cols w:space="708" w:num="1"/>
          <w:docGrid w:linePitch="312" w:charSpace="0"/>
        </w:sectPr>
      </w:pPr>
    </w:p>
    <w:p>
      <w:pPr>
        <w:adjustRightInd w:val="0"/>
        <w:snapToGrid w:val="0"/>
        <w:spacing w:before="120" w:beforeLines="50" w:after="120" w:afterLines="50" w:line="600" w:lineRule="exact"/>
        <w:jc w:val="left"/>
        <w:rPr>
          <w:rFonts w:ascii="宋体" w:hAnsi="宋体"/>
          <w:sz w:val="24"/>
          <w:szCs w:val="24"/>
          <w:highlight w:val="none"/>
        </w:rPr>
      </w:pPr>
      <w:bookmarkStart w:id="25" w:name="_Toc10891"/>
      <w:r>
        <w:rPr>
          <w:rFonts w:hint="eastAsia" w:ascii="宋体" w:hAnsi="宋体"/>
          <w:sz w:val="24"/>
          <w:szCs w:val="24"/>
          <w:highlight w:val="none"/>
        </w:rPr>
        <w:t>适用于纸质评审的采购项目</w:t>
      </w:r>
    </w:p>
    <w:p>
      <w:pPr>
        <w:pStyle w:val="4"/>
        <w:rPr>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2492375</wp:posOffset>
                </wp:positionH>
                <wp:positionV relativeFrom="paragraph">
                  <wp:posOffset>1159510</wp:posOffset>
                </wp:positionV>
                <wp:extent cx="958850" cy="0"/>
                <wp:effectExtent l="0" t="0" r="0" b="0"/>
                <wp:wrapNone/>
                <wp:docPr id="7" name="直接箭头连接符 3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0" o:spid="_x0000_s1026" o:spt="32" type="#_x0000_t32" style="position:absolute;left:0pt;margin-left:196.25pt;margin-top:91.3pt;height:0pt;width:75.5pt;z-index:251665408;mso-width-relative:page;mso-height-relative:page;" filled="f" stroked="t" coordsize="21600,21600" o:gfxdata="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RhIdcAAAALAQAADwAAAAAAAAABACAAAAAiAAAAZHJzL2Rvd25yZXYueG1s&#10;UEsBAhQAFAAAAAgAh07iQBc3lnL5AQAA7AMAAA4AAAAAAAAAAQAgAAAAJgEAAGRycy9lMm9Eb2Mu&#10;eG1sUEsFBgAAAAAGAAYAWQEAAJEFAAAAAA==&#10;">
                <v:fill on="f" focussize="0,0"/>
                <v:stroke color="#000000" joinstyle="round"/>
                <v:imagedata o:title=""/>
                <o:lock v:ext="edit" aspectratio="f"/>
              </v:shape>
            </w:pict>
          </mc:Fallback>
        </mc:AlternateContent>
      </w:r>
    </w:p>
    <w:bookmarkEnd w:id="25"/>
    <w:p>
      <w:pPr>
        <w:pStyle w:val="4"/>
        <w:rPr>
          <w:highlight w:val="none"/>
        </w:rPr>
      </w:pPr>
      <w:bookmarkStart w:id="26" w:name="_Toc16557"/>
      <w:bookmarkStart w:id="27" w:name="_Toc32588"/>
      <w:bookmarkStart w:id="28" w:name="_Toc2324"/>
      <w:bookmarkStart w:id="29" w:name="_Toc9448"/>
      <w:bookmarkStart w:id="30" w:name="_Toc23749"/>
      <w:bookmarkStart w:id="31" w:name="_Toc19295"/>
      <w:bookmarkStart w:id="32" w:name="_Toc7340"/>
      <w:bookmarkStart w:id="33" w:name="_Toc16705"/>
      <w:bookmarkStart w:id="34" w:name="_Toc25603"/>
      <w:bookmarkStart w:id="35" w:name="_Toc2331"/>
      <w:r>
        <w:rPr>
          <w:highlight w:val="none"/>
        </w:rPr>
        <mc:AlternateContent>
          <mc:Choice Requires="wps">
            <w:drawing>
              <wp:anchor distT="0" distB="0" distL="114300" distR="114300" simplePos="0" relativeHeight="251666432" behindDoc="0" locked="0" layoutInCell="1" allowOverlap="1">
                <wp:simplePos x="0" y="0"/>
                <wp:positionH relativeFrom="column">
                  <wp:posOffset>2484755</wp:posOffset>
                </wp:positionH>
                <wp:positionV relativeFrom="paragraph">
                  <wp:posOffset>443230</wp:posOffset>
                </wp:positionV>
                <wp:extent cx="958850" cy="0"/>
                <wp:effectExtent l="0" t="0" r="0" b="0"/>
                <wp:wrapNone/>
                <wp:docPr id="8" name="直接箭头连接符 3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1" o:spid="_x0000_s1026" o:spt="32" type="#_x0000_t32" style="position:absolute;left:0pt;margin-left:195.65pt;margin-top:34.9pt;height:0pt;width:75.5pt;z-index:251666432;mso-width-relative:page;mso-height-relative:page;" filled="f" stroked="t" coordsize="21600,21600" o:gfxdata="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ecnt2CoQe/&#10;eX/9892nm29ff3y8/vX9Q7K/fGaPJ0mr3mNJISu7Cccd+k1IxPdNMOlPlNg+63s46Sv3kQk6fDqb&#10;z2ekvLh1FXdxPmB8Lp1hyag4xgCq7eLKWUuP6MIkywu7FxgpMwXeBqSk2rI+wU9nBA7UlA01A5nG&#10;EzG0bY5Fp1V9qbROERja7UoHtoPUGPlL/Aj3r2spyRqwG+5l19AynYT6ma1ZPHiSzNKk8FSCkTVn&#10;WtJgJYsAoYyg9Dk3KbW2VEGSeBA1WVtXH7LW+ZyaINd4bNjUZX/uc/Tdk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77uOrWAAAACQEAAA8AAAAAAAAAAQAgAAAAIgAAAGRycy9kb3ducmV2Lnht&#10;bFBLAQIUABQAAAAIAIdO4kDd4DqT+wEAAOwDAAAOAAAAAAAAAAEAIAAAACUBAABkcnMvZTJvRG9j&#10;LnhtbFBLBQYAAAAABgAGAFkBAACSBQAAAAA=&#10;">
                <v:fill on="f" focussize="0,0"/>
                <v:stroke color="#000000" joinstyle="round"/>
                <v:imagedata o:title=""/>
                <o:lock v:ext="edit" aspectratio="f"/>
              </v:shape>
            </w:pict>
          </mc:Fallback>
        </mc:AlternateContent>
      </w:r>
      <w:r>
        <w:rPr>
          <w:rFonts w:hint="eastAsia"/>
          <w:highlight w:val="none"/>
        </w:rPr>
        <w:t>第二章</w:t>
      </w:r>
      <w:bookmarkEnd w:id="26"/>
      <w:bookmarkEnd w:id="27"/>
      <w:bookmarkEnd w:id="28"/>
      <w:bookmarkEnd w:id="29"/>
      <w:bookmarkEnd w:id="30"/>
      <w:bookmarkEnd w:id="31"/>
      <w:bookmarkEnd w:id="32"/>
      <w:bookmarkEnd w:id="33"/>
      <w:bookmarkEnd w:id="34"/>
      <w:bookmarkEnd w:id="35"/>
    </w:p>
    <w:p>
      <w:pPr>
        <w:pStyle w:val="5"/>
        <w:rPr>
          <w:highlight w:val="none"/>
        </w:rPr>
      </w:pPr>
    </w:p>
    <w:p>
      <w:pPr>
        <w:pStyle w:val="5"/>
        <w:rPr>
          <w:highlight w:val="none"/>
        </w:rPr>
      </w:pPr>
      <w:bookmarkStart w:id="36" w:name="_Toc3416"/>
      <w:bookmarkStart w:id="37" w:name="_Toc2339"/>
      <w:r>
        <w:rPr>
          <w:rFonts w:hint="eastAsia"/>
          <w:highlight w:val="none"/>
        </w:rPr>
        <w:t>供应商须知</w:t>
      </w:r>
      <w:bookmarkEnd w:id="36"/>
      <w:bookmarkEnd w:id="37"/>
    </w:p>
    <w:p>
      <w:pPr>
        <w:adjustRightInd w:val="0"/>
        <w:snapToGrid w:val="0"/>
        <w:spacing w:before="120" w:beforeLines="50" w:after="120" w:afterLines="50" w:line="600" w:lineRule="exact"/>
        <w:ind w:left="640"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0"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0"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0" w:hanging="643" w:hangingChars="200"/>
        <w:jc w:val="left"/>
        <w:rPr>
          <w:rFonts w:ascii="宋体" w:hAnsi="宋体"/>
          <w:b/>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pStyle w:val="23"/>
        <w:rPr>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numPr>
          <w:ilvl w:val="0"/>
          <w:numId w:val="3"/>
        </w:numPr>
        <w:adjustRightInd w:val="0"/>
        <w:snapToGrid w:val="0"/>
        <w:spacing w:before="120" w:beforeLines="50" w:after="120" w:afterLines="50" w:line="500" w:lineRule="exact"/>
        <w:ind w:left="640" w:hanging="643" w:hangingChars="200"/>
        <w:jc w:val="left"/>
        <w:rPr>
          <w:rFonts w:ascii="宋体" w:hAnsi="宋体"/>
          <w:b/>
          <w:sz w:val="32"/>
          <w:szCs w:val="32"/>
          <w:highlight w:val="none"/>
        </w:rPr>
      </w:pPr>
      <w:r>
        <w:rPr>
          <w:rFonts w:hint="eastAsia" w:ascii="宋体" w:hAnsi="宋体"/>
          <w:b/>
          <w:sz w:val="32"/>
          <w:szCs w:val="32"/>
          <w:highlight w:val="none"/>
        </w:rPr>
        <w:t>对供应商的资格要求.</w:t>
      </w:r>
    </w:p>
    <w:p>
      <w:pPr>
        <w:pStyle w:val="2"/>
        <w:ind w:firstLine="0"/>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宋体" w:hAnsi="宋体"/>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hAnsi="宋体" w:eastAsia="仿宋_GB2312"/>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踏勘现场</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本项目不</w:t>
            </w:r>
            <w:r>
              <w:rPr>
                <w:rFonts w:hint="eastAsia" w:ascii="仿宋_GB2312" w:eastAsia="仿宋_GB2312"/>
                <w:sz w:val="24"/>
                <w:szCs w:val="24"/>
                <w:highlight w:val="none"/>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90个</w:t>
            </w:r>
            <w:r>
              <w:rPr>
                <w:rFonts w:hint="eastAsia" w:ascii="仿宋_GB2312" w:hAnsi="宋体" w:eastAsia="仿宋_GB2312"/>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 xml:space="preserve">纸质文件正本1份，副本 </w:t>
            </w:r>
            <w:r>
              <w:rPr>
                <w:rFonts w:hint="eastAsia" w:ascii="仿宋_GB2312" w:hAnsi="宋体" w:eastAsia="仿宋_GB2312"/>
                <w:sz w:val="24"/>
                <w:szCs w:val="24"/>
                <w:highlight w:val="none"/>
                <w:u w:val="single"/>
              </w:rPr>
              <w:t>1</w:t>
            </w:r>
            <w:r>
              <w:rPr>
                <w:rFonts w:hint="eastAsia" w:ascii="仿宋_GB2312" w:hAnsi="宋体" w:eastAsia="仿宋_GB2312"/>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要求密封，响应文件应在密封处加盖公章，标注正本和副本，封皮应注明：</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hAnsi="宋体" w:eastAsia="仿宋_GB2312"/>
                <w:sz w:val="24"/>
                <w:szCs w:val="24"/>
                <w:highlight w:val="none"/>
              </w:rPr>
            </w:pPr>
            <w:r>
              <w:rPr>
                <w:rFonts w:hint="eastAsia" w:ascii="仿宋_GB2312" w:hAnsi="宋体" w:eastAsia="仿宋_GB2312"/>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举行</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会议时间：同响应截止时间</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评审小组构成：</w:t>
            </w:r>
            <w:r>
              <w:rPr>
                <w:rFonts w:hint="eastAsia" w:ascii="仿宋_GB2312" w:hAnsi="宋体" w:eastAsia="仿宋_GB2312"/>
                <w:sz w:val="24"/>
                <w:szCs w:val="24"/>
                <w:highlight w:val="none"/>
                <w:u w:val="single"/>
              </w:rPr>
              <w:t>3</w:t>
            </w:r>
            <w:r>
              <w:rPr>
                <w:rFonts w:hint="eastAsia" w:ascii="仿宋_GB2312" w:hAnsi="宋体" w:eastAsia="仿宋_GB2312"/>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在</w:t>
            </w:r>
            <w:r>
              <w:rPr>
                <w:rFonts w:hint="eastAsia" w:ascii="仿宋_GB2312" w:hAnsi="宋体" w:eastAsia="仿宋_GB2312"/>
                <w:sz w:val="24"/>
                <w:szCs w:val="24"/>
                <w:highlight w:val="none"/>
                <w:u w:val="single"/>
              </w:rPr>
              <w:t>广州市净水有限公司门户网站</w:t>
            </w:r>
            <w:r>
              <w:rPr>
                <w:rFonts w:hint="eastAsia" w:ascii="仿宋_GB2312" w:hAnsi="宋体" w:eastAsia="仿宋_GB2312"/>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hAnsi="宋体" w:eastAsia="仿宋_GB2312"/>
                <w:sz w:val="24"/>
                <w:szCs w:val="24"/>
                <w:highlight w:val="none"/>
              </w:rPr>
            </w:pPr>
          </w:p>
        </w:tc>
      </w:tr>
    </w:tbl>
    <w:p>
      <w:pPr>
        <w:adjustRightInd w:val="0"/>
        <w:snapToGrid w:val="0"/>
        <w:spacing w:before="120" w:beforeLines="50" w:after="120" w:afterLines="50" w:line="560" w:lineRule="exact"/>
        <w:jc w:val="left"/>
        <w:rPr>
          <w:rFonts w:ascii="宋体" w:hAnsi="宋体"/>
          <w:b/>
          <w:sz w:val="32"/>
          <w:szCs w:val="32"/>
          <w:highlight w:val="none"/>
        </w:rPr>
      </w:pPr>
      <w:r>
        <w:rPr>
          <w:rFonts w:hint="eastAsia" w:ascii="宋体" w:hAnsi="宋体"/>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20" w:beforeLines="50" w:after="120" w:afterLines="50" w:line="560" w:lineRule="exact"/>
        <w:ind w:left="640" w:hanging="643" w:hangingChars="200"/>
        <w:jc w:val="left"/>
        <w:rPr>
          <w:rFonts w:ascii="宋体" w:hAnsi="宋体"/>
          <w:b/>
          <w:sz w:val="32"/>
          <w:szCs w:val="32"/>
          <w:highlight w:val="none"/>
        </w:rPr>
      </w:pPr>
      <w:r>
        <w:rPr>
          <w:rFonts w:hint="eastAsia" w:ascii="宋体" w:hAnsi="宋体"/>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方正仿宋_GB2312" w:hAnsi="方正仿宋_GB2312" w:eastAsia="方正仿宋_GB2312" w:cs="方正仿宋_GB2312"/>
          <w:sz w:val="28"/>
          <w:szCs w:val="28"/>
          <w:highlight w:val="none"/>
        </w:rPr>
        <w:t>（10）非法定代表人或授权委托代理人递交响应文件。</w:t>
      </w:r>
    </w:p>
    <w:p>
      <w:pPr>
        <w:adjustRightInd w:val="0"/>
        <w:snapToGrid w:val="0"/>
        <w:spacing w:before="120" w:beforeLines="50" w:after="120" w:afterLines="50" w:line="560" w:lineRule="exact"/>
        <w:ind w:left="640" w:hanging="643" w:hangingChars="200"/>
        <w:jc w:val="left"/>
        <w:rPr>
          <w:rFonts w:ascii="宋体" w:hAnsi="宋体"/>
          <w:b/>
          <w:sz w:val="32"/>
          <w:szCs w:val="32"/>
          <w:highlight w:val="none"/>
        </w:rPr>
      </w:pPr>
      <w:r>
        <w:rPr>
          <w:rFonts w:hint="eastAsia" w:ascii="宋体" w:hAnsi="宋体"/>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20" w:beforeLines="50" w:after="120" w:afterLines="50" w:line="560" w:lineRule="exact"/>
        <w:ind w:left="640" w:hanging="643" w:hangingChars="200"/>
        <w:jc w:val="left"/>
        <w:rPr>
          <w:rFonts w:ascii="宋体" w:hAnsi="宋体"/>
          <w:b/>
          <w:sz w:val="32"/>
          <w:szCs w:val="32"/>
          <w:highlight w:val="none"/>
        </w:rPr>
      </w:pPr>
      <w:r>
        <w:rPr>
          <w:rFonts w:hint="eastAsia" w:ascii="宋体" w:hAnsi="宋体"/>
          <w:b/>
          <w:sz w:val="32"/>
          <w:szCs w:val="32"/>
          <w:highlight w:val="none"/>
        </w:rPr>
        <w:t>5.响应文件要求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20" w:beforeLines="50" w:after="120" w:afterLines="50" w:line="560" w:lineRule="exact"/>
        <w:ind w:left="640" w:hanging="643" w:hangingChars="200"/>
        <w:jc w:val="left"/>
        <w:rPr>
          <w:rFonts w:ascii="宋体" w:hAnsi="宋体"/>
          <w:b/>
          <w:sz w:val="32"/>
          <w:szCs w:val="32"/>
          <w:highlight w:val="none"/>
        </w:rPr>
      </w:pPr>
      <w:r>
        <w:rPr>
          <w:rFonts w:hint="eastAsia" w:ascii="宋体" w:hAnsi="宋体"/>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6.3 异议人与采购人对异议事项无法达成一致的，异议人可向采购人的监管部门进行反映。</w:t>
      </w:r>
    </w:p>
    <w:p>
      <w:pPr>
        <w:adjustRightInd w:val="0"/>
        <w:snapToGrid w:val="0"/>
        <w:spacing w:before="120" w:beforeLines="50" w:after="120" w:afterLines="50" w:line="560" w:lineRule="exact"/>
        <w:ind w:left="640" w:hanging="643" w:hangingChars="200"/>
        <w:jc w:val="left"/>
        <w:rPr>
          <w:rFonts w:ascii="宋体" w:hAnsi="宋体"/>
          <w:b/>
          <w:sz w:val="32"/>
          <w:szCs w:val="32"/>
          <w:highlight w:val="none"/>
        </w:rPr>
      </w:pPr>
      <w:r>
        <w:rPr>
          <w:rFonts w:hint="eastAsia" w:ascii="宋体" w:hAnsi="宋体"/>
          <w:b/>
          <w:sz w:val="32"/>
          <w:szCs w:val="32"/>
          <w:highlight w:val="none"/>
        </w:rPr>
        <w:t>7.本章附件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     </w:t>
      </w:r>
      <w:r>
        <w:rPr>
          <w:rFonts w:hint="eastAsia" w:ascii="仿宋_GB2312" w:eastAsia="仿宋_GB2312"/>
          <w:sz w:val="28"/>
          <w:szCs w:val="28"/>
          <w:highlight w:val="none"/>
        </w:rPr>
        <w:t>附件5：关于**项目异议书</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pStyle w:val="2"/>
        <w:rPr>
          <w:rFonts w:eastAsia="宋体"/>
          <w:b/>
          <w:color w:val="auto"/>
          <w:sz w:val="28"/>
          <w:szCs w:val="28"/>
          <w:highlight w:val="none"/>
        </w:rPr>
      </w:pPr>
    </w:p>
    <w:p>
      <w:pPr>
        <w:adjustRightInd w:val="0"/>
        <w:snapToGrid w:val="0"/>
        <w:spacing w:line="600" w:lineRule="exact"/>
        <w:jc w:val="left"/>
        <w:rPr>
          <w:rFonts w:ascii="宋体" w:hAnsi="宋体"/>
          <w:b/>
          <w:sz w:val="28"/>
          <w:szCs w:val="28"/>
          <w:highlight w:val="none"/>
        </w:rPr>
        <w:sectPr>
          <w:pgSz w:w="11906" w:h="16838"/>
          <w:pgMar w:top="1089" w:right="1469" w:bottom="1089" w:left="1077" w:header="851" w:footer="992" w:gutter="0"/>
          <w:pgBorders>
            <w:top w:val="none" w:sz="0" w:space="0"/>
            <w:left w:val="none" w:sz="0" w:space="0"/>
            <w:bottom w:val="none" w:sz="0" w:space="0"/>
            <w:right w:val="none" w:sz="0" w:space="0"/>
          </w:pgBorders>
          <w:cols w:space="708" w:num="1"/>
          <w:docGrid w:linePitch="312" w:charSpace="0"/>
        </w:sectPr>
      </w:pPr>
    </w:p>
    <w:p>
      <w:pPr>
        <w:adjustRightInd w:val="0"/>
        <w:snapToGrid w:val="0"/>
        <w:spacing w:line="600" w:lineRule="exact"/>
        <w:jc w:val="left"/>
        <w:rPr>
          <w:rFonts w:ascii="宋体" w:hAnsi="宋体"/>
          <w:b/>
          <w:sz w:val="28"/>
          <w:szCs w:val="28"/>
          <w:highlight w:val="none"/>
        </w:rPr>
      </w:pPr>
      <w:r>
        <w:rPr>
          <w:rFonts w:ascii="宋体" w:hAnsi="宋体"/>
          <w:b/>
          <w:sz w:val="28"/>
          <w:szCs w:val="28"/>
          <w:highlight w:val="none"/>
        </w:rPr>
        <w:t>附件</w:t>
      </w:r>
      <w:r>
        <w:rPr>
          <w:rFonts w:hint="eastAsia" w:ascii="宋体" w:hAnsi="宋体"/>
          <w:b/>
          <w:sz w:val="28"/>
          <w:szCs w:val="28"/>
          <w:highlight w:val="none"/>
        </w:rPr>
        <w:t>1</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响应文件开启表</w:t>
      </w:r>
    </w:p>
    <w:p>
      <w:pPr>
        <w:pStyle w:val="65"/>
        <w:rPr>
          <w:highlight w:val="none"/>
        </w:rPr>
      </w:pP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开启时间：年月日时分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hAnsi="宋体" w:eastAsia="仿宋_GB2312"/>
          <w:sz w:val="28"/>
          <w:szCs w:val="28"/>
          <w:highlight w:val="none"/>
          <w:u w:val="single"/>
        </w:rPr>
      </w:pPr>
      <w:r>
        <w:rPr>
          <w:rFonts w:hint="eastAsia" w:ascii="仿宋_GB2312" w:hAnsi="宋体" w:eastAsia="仿宋_GB2312"/>
          <w:sz w:val="28"/>
          <w:szCs w:val="28"/>
          <w:highlight w:val="none"/>
        </w:rPr>
        <w:t>采购人代表      记录人</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555"/>
        <w:jc w:val="left"/>
        <w:rPr>
          <w:rFonts w:ascii="仿宋_GB2312" w:hAnsi="宋体" w:eastAsia="仿宋_GB2312"/>
          <w:sz w:val="28"/>
          <w:szCs w:val="28"/>
          <w:highlight w:val="none"/>
        </w:rPr>
      </w:pPr>
    </w:p>
    <w:p>
      <w:pPr>
        <w:adjustRightInd w:val="0"/>
        <w:snapToGrid w:val="0"/>
        <w:spacing w:line="600" w:lineRule="exact"/>
        <w:ind w:firstLine="555"/>
        <w:jc w:val="left"/>
        <w:rPr>
          <w:rFonts w:ascii="仿宋_GB2312" w:hAnsi="宋体" w:eastAsia="仿宋_GB2312"/>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hint="eastAsia" w:ascii="宋体" w:hAnsi="宋体"/>
          <w:b/>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附件2</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问题澄清通知</w:t>
      </w:r>
    </w:p>
    <w:p>
      <w:pPr>
        <w:pStyle w:val="65"/>
        <w:rPr>
          <w:highlight w:val="none"/>
        </w:rPr>
      </w:pP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编号：</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（供应商名称）    </w:t>
      </w:r>
      <w:r>
        <w:rPr>
          <w:rFonts w:hint="eastAsia" w:ascii="仿宋_GB2312" w:hAnsi="宋体" w:eastAsia="仿宋_GB2312"/>
          <w:sz w:val="28"/>
          <w:szCs w:val="28"/>
          <w:highlight w:val="none"/>
        </w:rPr>
        <w:t>：</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（项目名称） </w:t>
      </w:r>
      <w:r>
        <w:rPr>
          <w:rFonts w:hint="eastAsia" w:ascii="仿宋_GB2312" w:hAnsi="宋体" w:eastAsia="仿宋_GB2312"/>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1.</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请将上述问题的澄清于年月日时前递交至</w:t>
      </w:r>
      <w:r>
        <w:rPr>
          <w:rFonts w:hint="eastAsia" w:ascii="仿宋_GB2312" w:hAnsi="宋体" w:eastAsia="仿宋_GB2312"/>
          <w:sz w:val="28"/>
          <w:szCs w:val="28"/>
          <w:highlight w:val="none"/>
          <w:u w:val="single"/>
        </w:rPr>
        <w:t xml:space="preserve">  （详细地址） </w:t>
      </w:r>
      <w:r>
        <w:rPr>
          <w:rFonts w:hint="eastAsia" w:ascii="仿宋_GB2312" w:hAnsi="宋体" w:eastAsia="仿宋_GB2312"/>
          <w:sz w:val="28"/>
          <w:szCs w:val="28"/>
          <w:highlight w:val="none"/>
        </w:rPr>
        <w:t>。</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（项目名称） </w:t>
      </w:r>
      <w:r>
        <w:rPr>
          <w:rFonts w:hint="eastAsia" w:ascii="仿宋_GB2312" w:hAnsi="宋体" w:eastAsia="仿宋_GB2312"/>
          <w:sz w:val="28"/>
          <w:szCs w:val="28"/>
          <w:highlight w:val="none"/>
        </w:rPr>
        <w:t>评审小组</w:t>
      </w: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rPr>
        <w:t>评审小组：（签字）</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4760" w:firstLineChars="1700"/>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
        <w:rPr>
          <w:rFonts w:eastAsia="宋体"/>
          <w:b/>
          <w:color w:val="auto"/>
          <w:sz w:val="28"/>
          <w:szCs w:val="28"/>
          <w:highlight w:val="none"/>
        </w:rPr>
      </w:pPr>
    </w:p>
    <w:p>
      <w:pPr>
        <w:pStyle w:val="2"/>
        <w:ind w:firstLine="0"/>
        <w:rPr>
          <w:rFonts w:eastAsia="宋体"/>
          <w:b/>
          <w:color w:val="auto"/>
          <w:sz w:val="28"/>
          <w:szCs w:val="28"/>
          <w:highlight w:val="none"/>
        </w:rPr>
      </w:pPr>
    </w:p>
    <w:p>
      <w:pPr>
        <w:adjustRightInd w:val="0"/>
        <w:snapToGrid w:val="0"/>
        <w:spacing w:line="600" w:lineRule="exact"/>
        <w:jc w:val="left"/>
        <w:rPr>
          <w:rFonts w:ascii="宋体" w:hAnsi="宋体"/>
          <w:b/>
          <w:sz w:val="28"/>
          <w:szCs w:val="28"/>
          <w:highlight w:val="none"/>
        </w:rPr>
      </w:pPr>
    </w:p>
    <w:p>
      <w:pPr>
        <w:pStyle w:val="2"/>
        <w:rPr>
          <w:color w:val="auto"/>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附件3</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问题的澄清</w:t>
      </w:r>
    </w:p>
    <w:p>
      <w:pPr>
        <w:pStyle w:val="65"/>
        <w:rPr>
          <w:highlight w:val="none"/>
        </w:rPr>
      </w:pP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编号：</w:t>
      </w:r>
    </w:p>
    <w:p>
      <w:pPr>
        <w:adjustRightInd w:val="0"/>
        <w:snapToGrid w:val="0"/>
        <w:spacing w:line="600" w:lineRule="exact"/>
        <w:jc w:val="left"/>
        <w:rPr>
          <w:rFonts w:ascii="宋体" w:hAnsi="宋体"/>
          <w:b/>
          <w:sz w:val="28"/>
          <w:szCs w:val="28"/>
          <w:highlight w:val="none"/>
        </w:rPr>
      </w:pPr>
      <w:r>
        <w:rPr>
          <w:rFonts w:hint="eastAsia" w:ascii="仿宋_GB2312" w:hAnsi="宋体" w:eastAsia="仿宋_GB2312"/>
          <w:sz w:val="28"/>
          <w:szCs w:val="28"/>
          <w:highlight w:val="none"/>
          <w:u w:val="single"/>
        </w:rPr>
        <w:t>（项目名称）</w:t>
      </w:r>
      <w:r>
        <w:rPr>
          <w:rFonts w:hint="eastAsia" w:ascii="仿宋_GB2312" w:hAnsi="宋体" w:eastAsia="仿宋_GB2312"/>
          <w:sz w:val="28"/>
          <w:szCs w:val="28"/>
          <w:highlight w:val="none"/>
        </w:rPr>
        <w:t>评审小组：</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问题澄清通知（编号：）已收悉，现澄清如下：</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1.</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2.</w:t>
      </w:r>
    </w:p>
    <w:p>
      <w:pPr>
        <w:adjustRightInd w:val="0"/>
        <w:snapToGrid w:val="0"/>
        <w:spacing w:line="600" w:lineRule="exact"/>
        <w:ind w:firstLine="570"/>
        <w:jc w:val="left"/>
        <w:rPr>
          <w:rFonts w:ascii="宋体" w:hAnsi="宋体"/>
          <w:b/>
          <w:sz w:val="28"/>
          <w:szCs w:val="28"/>
          <w:highlight w:val="none"/>
        </w:rPr>
      </w:pPr>
    </w:p>
    <w:p>
      <w:pPr>
        <w:adjustRightInd w:val="0"/>
        <w:snapToGrid w:val="0"/>
        <w:spacing w:line="600" w:lineRule="exact"/>
        <w:ind w:firstLine="2520" w:firstLineChars="900"/>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供应商：（公章）</w:t>
      </w:r>
    </w:p>
    <w:p>
      <w:pPr>
        <w:adjustRightInd w:val="0"/>
        <w:snapToGrid w:val="0"/>
        <w:spacing w:line="600" w:lineRule="exact"/>
        <w:ind w:firstLine="2520" w:firstLineChars="900"/>
        <w:jc w:val="left"/>
        <w:rPr>
          <w:rFonts w:ascii="宋体" w:hAnsi="宋体"/>
          <w:b/>
          <w:sz w:val="28"/>
          <w:szCs w:val="28"/>
          <w:highlight w:val="none"/>
        </w:rPr>
      </w:pPr>
      <w:r>
        <w:rPr>
          <w:rFonts w:hint="eastAsia" w:ascii="仿宋_GB2312" w:hAnsi="宋体" w:eastAsia="仿宋_GB2312"/>
          <w:sz w:val="28"/>
          <w:szCs w:val="28"/>
          <w:highlight w:val="none"/>
        </w:rPr>
        <w:t>或</w:t>
      </w:r>
    </w:p>
    <w:p>
      <w:pPr>
        <w:adjustRightInd w:val="0"/>
        <w:snapToGrid w:val="0"/>
        <w:spacing w:line="600" w:lineRule="exact"/>
        <w:ind w:firstLine="2520" w:firstLineChars="900"/>
        <w:jc w:val="left"/>
        <w:rPr>
          <w:rFonts w:ascii="仿宋_GB2312" w:hAnsi="宋体" w:eastAsia="仿宋_GB2312"/>
          <w:sz w:val="28"/>
          <w:szCs w:val="28"/>
          <w:highlight w:val="none"/>
        </w:rPr>
      </w:pPr>
      <w:r>
        <w:rPr>
          <w:rFonts w:hint="eastAsia" w:ascii="仿宋_GB2312" w:hAnsi="宋体" w:eastAsia="仿宋_GB2312"/>
          <w:sz w:val="28"/>
          <w:szCs w:val="28"/>
          <w:highlight w:val="none"/>
        </w:rPr>
        <w:t>法定代表人或委托代理人：（签字）</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附件4 </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成交通知书</w:t>
      </w:r>
    </w:p>
    <w:p>
      <w:pPr>
        <w:pStyle w:val="65"/>
        <w:rPr>
          <w:highlight w:val="none"/>
        </w:rPr>
      </w:pPr>
    </w:p>
    <w:p>
      <w:pPr>
        <w:pStyle w:val="65"/>
        <w:ind w:firstLine="3465" w:firstLineChars="1650"/>
        <w:rPr>
          <w:rFonts w:ascii="仿宋_GB2312" w:eastAsia="仿宋_GB2312"/>
          <w:highlight w:val="none"/>
        </w:rPr>
      </w:pPr>
      <w:r>
        <w:rPr>
          <w:rFonts w:hint="eastAsia" w:ascii="仿宋_GB2312" w:eastAsia="仿宋_GB2312"/>
          <w:highlight w:val="none"/>
        </w:rPr>
        <w:t>（编号：）</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（成交供应商名称）    </w:t>
      </w:r>
      <w:r>
        <w:rPr>
          <w:rFonts w:hint="eastAsia" w:ascii="仿宋_GB2312" w:hAnsi="宋体" w:eastAsia="仿宋_GB2312"/>
          <w:sz w:val="28"/>
          <w:szCs w:val="28"/>
          <w:highlight w:val="none"/>
        </w:rPr>
        <w:t>：</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你方递交的响应文件已被我方接受，你方已被确认为</w:t>
      </w:r>
      <w:r>
        <w:rPr>
          <w:rFonts w:hint="eastAsia" w:ascii="仿宋_GB2312" w:hAnsi="宋体" w:eastAsia="仿宋_GB2312"/>
          <w:sz w:val="28"/>
          <w:szCs w:val="28"/>
          <w:highlight w:val="none"/>
          <w:u w:val="single"/>
        </w:rPr>
        <w:t xml:space="preserve">      项目</w:t>
      </w:r>
      <w:r>
        <w:rPr>
          <w:rFonts w:hint="eastAsia" w:ascii="仿宋_GB2312" w:hAnsi="宋体" w:eastAsia="仿宋_GB2312"/>
          <w:sz w:val="28"/>
          <w:szCs w:val="28"/>
          <w:highlight w:val="none"/>
        </w:rPr>
        <w:t>的成交供应商。</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成交金额，大写：，小写： 。</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请你方在接到本通知书后的</w:t>
      </w:r>
      <w:r>
        <w:rPr>
          <w:rFonts w:hint="eastAsia" w:ascii="仿宋_GB2312" w:hAnsi="宋体" w:eastAsia="仿宋_GB2312"/>
          <w:sz w:val="28"/>
          <w:szCs w:val="28"/>
          <w:highlight w:val="none"/>
          <w:u w:val="single"/>
        </w:rPr>
        <w:t>30</w:t>
      </w:r>
      <w:r>
        <w:rPr>
          <w:rFonts w:hint="eastAsia" w:ascii="仿宋_GB2312" w:hAnsi="宋体" w:eastAsia="仿宋_GB2312"/>
          <w:sz w:val="28"/>
          <w:szCs w:val="28"/>
          <w:highlight w:val="none"/>
        </w:rPr>
        <w:t>日内与我方签订采购合同，逾期视为自动放弃成交资格。</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rPr>
        <w:t>采购人：（公章）</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360" w:lineRule="auto"/>
        <w:ind w:firstLine="0"/>
        <w:textAlignment w:val="baseline"/>
        <w:rPr>
          <w:rFonts w:ascii="仿宋_GB2312" w:hAnsi="宋体" w:eastAsia="仿宋_GB2312"/>
          <w:b/>
          <w:bCs/>
          <w:kern w:val="0"/>
          <w:sz w:val="28"/>
          <w:szCs w:val="28"/>
          <w:highlight w:val="none"/>
        </w:rPr>
      </w:pPr>
      <w:bookmarkStart w:id="38" w:name="_Toc24895"/>
      <w:bookmarkStart w:id="39" w:name="_Toc3789"/>
      <w:r>
        <w:rPr>
          <w:rFonts w:hint="eastAsia" w:ascii="仿宋_GB2312" w:hAnsi="宋体" w:eastAsia="仿宋_GB2312"/>
          <w:b/>
          <w:bCs/>
          <w:kern w:val="0"/>
          <w:sz w:val="28"/>
          <w:szCs w:val="28"/>
          <w:highlight w:val="none"/>
        </w:rPr>
        <w:t xml:space="preserve">附件5 </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关于**</w:t>
      </w:r>
      <w:r>
        <w:rPr>
          <w:rFonts w:ascii="仿宋_GB2312" w:hAnsi="宋体" w:eastAsia="仿宋_GB2312"/>
          <w:kern w:val="0"/>
          <w:sz w:val="28"/>
          <w:szCs w:val="28"/>
          <w:highlight w:val="none"/>
        </w:rPr>
        <w:t>项目异议书</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(参考格式)</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项目名称：</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住所地：   </w:t>
      </w:r>
      <w:r>
        <w:rPr>
          <w:rFonts w:ascii="仿宋_GB2312" w:hAnsi="宋体" w:eastAsia="仿宋_GB2312"/>
          <w:kern w:val="0"/>
          <w:sz w:val="28"/>
          <w:szCs w:val="28"/>
          <w:highlight w:val="none"/>
        </w:rPr>
        <w:t xml:space="preserve"> 邮编：</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法定代表人：      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异议人授权代表：   </w:t>
      </w:r>
      <w:r>
        <w:rPr>
          <w:rFonts w:ascii="仿宋_GB2312" w:hAnsi="宋体" w:eastAsia="仿宋_GB2312"/>
          <w:kern w:val="0"/>
          <w:sz w:val="28"/>
          <w:szCs w:val="28"/>
          <w:highlight w:val="none"/>
        </w:rPr>
        <w:t xml:space="preserve"> 性别：</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住址：             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提起异议事项的基本事实：</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相关请求及主张：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有效线索和相关证明材料：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异议提起人与项目有利害关系的证明材料（见说明）：</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此致</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（采购人）</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异议人（公章）：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法定代表人或授权代表（签字）</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年    月   日</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说明：</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3.为证明与异议项目有利害关系，投标人以外的其他异议提起人应当提供相应证明材料：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1）属潜在投标人的，提交符合法定有关资格要求的证明文件；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2）属特定分包人或者供应商的，提交证明其与该项目投标人绑定投标的附条件生效协议以及能证明其能履行该协议项下的合同义务的能力的证明文件。</w:t>
      </w:r>
      <w:r>
        <w:rPr>
          <w:rFonts w:ascii="仿宋_GB2312" w:hAnsi="宋体" w:eastAsia="仿宋_GB2312"/>
          <w:kern w:val="0"/>
          <w:sz w:val="28"/>
          <w:szCs w:val="28"/>
          <w:highlight w:val="none"/>
        </w:rPr>
        <w:tab/>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3）可证明与异议项目有利害关系的其他证明文件。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pStyle w:val="7"/>
        <w:rPr>
          <w:rFonts w:ascii="仿宋_GB2312" w:hAnsi="宋体"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ascii="Calibri" w:hAnsi="Calibri"/>
          <w:kern w:val="44"/>
          <w:sz w:val="44"/>
          <w:szCs w:val="44"/>
          <w:highlight w:val="none"/>
        </w:rPr>
      </w:pPr>
      <w:bookmarkStart w:id="40" w:name="_Toc21455"/>
      <w:bookmarkStart w:id="41" w:name="_Toc2867"/>
      <w:r>
        <w:rPr>
          <w:highlight w:val="none"/>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160655</wp:posOffset>
                </wp:positionV>
                <wp:extent cx="958850" cy="0"/>
                <wp:effectExtent l="0" t="0" r="0" b="0"/>
                <wp:wrapNone/>
                <wp:docPr id="9" name="直接箭头连接符 3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7" o:spid="_x0000_s1026" o:spt="32" type="#_x0000_t32" style="position:absolute;left:0pt;margin-left:193pt;margin-top:12.65pt;height:0pt;width:75.5pt;z-index:251667456;mso-width-relative:page;mso-height-relative:page;" filled="f" stroked="t" coordsize="21600,21600" o:gfxdata="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L6k59cAAAAJAQAADwAAAAAAAAABACAAAAAiAAAAZHJzL2Rvd25yZXYu&#10;eG1sUEsBAhQAFAAAAAgAh07iQGCc3b/8AQAA7AMAAA4AAAAAAAAAAQAgAAAAJgEAAGRycy9lMm9E&#10;b2MueG1sUEsFBgAAAAAGAAYAWQEAAJQ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2444115</wp:posOffset>
                </wp:positionH>
                <wp:positionV relativeFrom="paragraph">
                  <wp:posOffset>610235</wp:posOffset>
                </wp:positionV>
                <wp:extent cx="958850" cy="0"/>
                <wp:effectExtent l="0" t="0" r="0" b="0"/>
                <wp:wrapNone/>
                <wp:docPr id="10" name="直接箭头连接符 3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6" o:spid="_x0000_s1026" o:spt="32" type="#_x0000_t32" style="position:absolute;left:0pt;margin-left:192.45pt;margin-top:48.05pt;height:0pt;width:75.5pt;z-index:251668480;mso-width-relative:page;mso-height-relative:page;" filled="f" stroked="t" coordsize="21600,21600" o:gfxdata="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A2g1wAAAAkBAAAPAAAAAAAAAAEAIAAAACIAAABkcnMvZG93bnJldi54&#10;bWxQSwECFAAUAAAACACHTuJAaf7KSfsBAADtAwAADgAAAAAAAAABACAAAAAmAQAAZHJzL2Uyb0Rv&#10;Yy54bWxQSwUGAAAAAAYABgBZAQAAkwUAAAAA&#10;">
                <v:fill on="f" focussize="0,0"/>
                <v:stroke color="#000000" joinstyle="round"/>
                <v:imagedata o:title=""/>
                <o:lock v:ext="edit" aspectratio="f"/>
              </v:shape>
            </w:pict>
          </mc:Fallback>
        </mc:AlternateContent>
      </w:r>
      <w:r>
        <w:rPr>
          <w:rFonts w:hint="eastAsia" w:ascii="Calibri" w:hAnsi="Calibri"/>
          <w:kern w:val="44"/>
          <w:sz w:val="44"/>
          <w:szCs w:val="44"/>
          <w:highlight w:val="none"/>
          <w:lang w:val="en-US" w:eastAsia="zh-CN"/>
        </w:rPr>
        <w:t xml:space="preserve">    </w:t>
      </w:r>
      <w:r>
        <w:rPr>
          <w:rFonts w:hint="eastAsia" w:ascii="Calibri" w:hAnsi="Calibri"/>
          <w:kern w:val="44"/>
          <w:sz w:val="44"/>
          <w:szCs w:val="44"/>
          <w:highlight w:val="none"/>
        </w:rPr>
        <w:t>第三章</w:t>
      </w:r>
      <w:bookmarkEnd w:id="40"/>
      <w:bookmarkEnd w:id="41"/>
    </w:p>
    <w:p>
      <w:pPr>
        <w:pStyle w:val="65"/>
        <w:rPr>
          <w:highlight w:val="none"/>
        </w:rPr>
      </w:pPr>
    </w:p>
    <w:p>
      <w:pPr>
        <w:pStyle w:val="5"/>
        <w:rPr>
          <w:highlight w:val="none"/>
        </w:rPr>
      </w:pPr>
      <w:bookmarkStart w:id="42" w:name="_Toc7040"/>
      <w:bookmarkStart w:id="43" w:name="_Toc87616371"/>
      <w:bookmarkStart w:id="44" w:name="_Toc88209934"/>
      <w:bookmarkStart w:id="45" w:name="_Toc7303"/>
      <w:r>
        <w:rPr>
          <w:rFonts w:hint="eastAsia"/>
          <w:highlight w:val="none"/>
          <w:lang w:val="en-US" w:eastAsia="zh-CN"/>
        </w:rPr>
        <w:t xml:space="preserve">     </w:t>
      </w:r>
      <w:r>
        <w:rPr>
          <w:rFonts w:hint="eastAsia"/>
          <w:highlight w:val="none"/>
        </w:rPr>
        <w:t>采购方法</w:t>
      </w:r>
      <w:bookmarkEnd w:id="42"/>
      <w:bookmarkEnd w:id="43"/>
      <w:bookmarkEnd w:id="44"/>
      <w:bookmarkEnd w:id="45"/>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23"/>
        <w:rPr>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5"/>
        <w:jc w:val="both"/>
        <w:rPr>
          <w:rFonts w:hint="eastAsia"/>
          <w:highlight w:val="none"/>
        </w:rPr>
      </w:pPr>
    </w:p>
    <w:p>
      <w:pPr>
        <w:pStyle w:val="5"/>
        <w:rPr>
          <w:highlight w:val="none"/>
        </w:rPr>
      </w:pPr>
      <w:r>
        <w:rPr>
          <w:rFonts w:hint="eastAsia"/>
          <w:highlight w:val="none"/>
        </w:rPr>
        <w:t>询比采购</w:t>
      </w:r>
      <w:bookmarkEnd w:id="38"/>
      <w:bookmarkEnd w:id="39"/>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hAnsi="宋体" w:eastAsia="仿宋_GB2312"/>
                <w:sz w:val="24"/>
                <w:szCs w:val="24"/>
                <w:highlight w:val="none"/>
              </w:rPr>
            </w:pPr>
            <w:r>
              <w:rPr>
                <w:rFonts w:hint="eastAsia" w:ascii="仿宋_GB2312" w:hAnsi="宋体" w:eastAsia="仿宋_GB2312"/>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hAnsi="宋体" w:eastAsia="仿宋_GB2312"/>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hAnsi="宋体" w:eastAsia="仿宋_GB2312"/>
                <w:sz w:val="24"/>
                <w:szCs w:val="24"/>
                <w:highlight w:val="none"/>
              </w:rPr>
              <w:t>2.1 报价应包括国家规定的增值税税金，增值税税金按一般计税方法计算。报价范围包括</w:t>
            </w:r>
            <w:r>
              <w:rPr>
                <w:rFonts w:hint="eastAsia" w:ascii="仿宋_GB2312" w:hAnsi="宋体" w:eastAsia="仿宋_GB2312"/>
                <w:sz w:val="24"/>
                <w:szCs w:val="24"/>
                <w:highlight w:val="none"/>
                <w:u w:val="single"/>
              </w:rPr>
              <w:t>本项目所有采购内容和范围。</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hAnsi="宋体" w:eastAsia="仿宋_GB2312"/>
                <w:sz w:val="24"/>
                <w:szCs w:val="24"/>
                <w:highlight w:val="none"/>
                <w:u w:val="single"/>
              </w:rPr>
              <w:t>广州市天河区临江大道501号广州市净水有限公司</w:t>
            </w:r>
          </w:p>
          <w:p>
            <w:pPr>
              <w:adjustRightInd w:val="0"/>
              <w:snapToGrid w:val="0"/>
              <w:rPr>
                <w:rFonts w:ascii="仿宋_GB2312" w:hAnsi="宋体" w:eastAsia="仿宋_GB2312"/>
                <w:sz w:val="24"/>
                <w:szCs w:val="24"/>
                <w:highlight w:val="none"/>
                <w:u w:val="single"/>
              </w:rPr>
            </w:pPr>
            <w:r>
              <w:rPr>
                <w:rFonts w:hint="eastAsia" w:ascii="仿宋_GB2312" w:hAnsi="宋体" w:eastAsia="仿宋_GB2312"/>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hAnsi="宋体" w:eastAsia="仿宋_GB2312"/>
                <w:sz w:val="24"/>
                <w:szCs w:val="24"/>
                <w:highlight w:val="none"/>
              </w:rPr>
            </w:pPr>
            <w:r>
              <w:rPr>
                <w:rFonts w:ascii="Wingdings 2" w:hAnsi="Wingdings 2" w:eastAsia="仿宋_GB2312"/>
                <w:sz w:val="24"/>
                <w:szCs w:val="24"/>
                <w:highlight w:val="none"/>
              </w:rPr>
              <w:sym w:font="Wingdings 2" w:char="F052"/>
            </w:r>
            <w:r>
              <w:rPr>
                <w:rFonts w:hint="eastAsia" w:ascii="仿宋_GB2312" w:hAnsi="宋体" w:eastAsia="仿宋_GB2312"/>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hAnsi="宋体" w:eastAsia="仿宋_GB2312"/>
                <w:sz w:val="24"/>
                <w:szCs w:val="24"/>
                <w:highlight w:val="none"/>
              </w:rPr>
            </w:pPr>
            <w:r>
              <w:rPr>
                <w:rFonts w:ascii="Wingdings 2" w:hAnsi="Wingdings 2" w:eastAsia="仿宋_GB2312"/>
                <w:sz w:val="24"/>
                <w:szCs w:val="24"/>
                <w:highlight w:val="none"/>
              </w:rPr>
              <w:sym w:font="Wingdings 2" w:char="F0A3"/>
            </w:r>
            <w:r>
              <w:rPr>
                <w:rFonts w:hint="eastAsia" w:ascii="仿宋_GB2312" w:hAnsi="宋体" w:eastAsia="仿宋_GB2312"/>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在评审小组提交评审报告3日内，在</w:t>
            </w:r>
            <w:r>
              <w:rPr>
                <w:rFonts w:hint="eastAsia" w:ascii="仿宋_GB2312" w:hAnsi="宋体" w:eastAsia="仿宋_GB2312"/>
                <w:sz w:val="24"/>
                <w:szCs w:val="24"/>
                <w:highlight w:val="none"/>
                <w:u w:val="single"/>
              </w:rPr>
              <w:t>广州市净水有限公司门户网站</w:t>
            </w:r>
            <w:r>
              <w:rPr>
                <w:rFonts w:hint="eastAsia" w:ascii="仿宋_GB2312" w:hAnsi="宋体" w:eastAsia="仿宋_GB2312"/>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hAnsi="宋体" w:eastAsia="仿宋_GB2312"/>
                <w:sz w:val="24"/>
                <w:szCs w:val="24"/>
                <w:highlight w:val="none"/>
              </w:rPr>
            </w:pPr>
            <w:r>
              <w:rPr>
                <w:rFonts w:hint="eastAsia" w:ascii="仿宋_GB2312" w:eastAsia="仿宋_GB2312"/>
                <w:sz w:val="24"/>
                <w:szCs w:val="24"/>
                <w:highlight w:val="none"/>
              </w:rPr>
              <w:t>成交候选人公示</w:t>
            </w:r>
            <w:r>
              <w:rPr>
                <w:rFonts w:hint="eastAsia" w:ascii="仿宋_GB2312" w:hAnsi="宋体" w:eastAsia="仿宋_GB2312"/>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hAnsi="宋体" w:eastAsia="仿宋_GB2312"/>
                <w:sz w:val="24"/>
                <w:szCs w:val="24"/>
                <w:highlight w:val="none"/>
              </w:rPr>
            </w:pPr>
            <w:r>
              <w:rPr>
                <w:rFonts w:hint="eastAsia" w:ascii="仿宋_GB2312" w:hAnsi="宋体" w:eastAsia="仿宋_GB2312"/>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hAnsi="宋体" w:eastAsia="仿宋_GB2312"/>
                <w:sz w:val="24"/>
                <w:szCs w:val="24"/>
                <w:highlight w:val="none"/>
              </w:rPr>
            </w:pPr>
            <w:r>
              <w:rPr>
                <w:rFonts w:hint="eastAsia" w:ascii="仿宋_GB2312" w:hAnsi="宋体" w:eastAsia="仿宋_GB2312"/>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ind w:firstLine="0"/>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0" w:firstLineChars="0"/>
        <w:jc w:val="left"/>
        <w:rPr>
          <w:rFonts w:ascii="仿宋_GB2312" w:eastAsia="仿宋_GB2312"/>
          <w:sz w:val="28"/>
          <w:szCs w:val="28"/>
          <w:highlight w:val="none"/>
        </w:rPr>
      </w:pPr>
      <w:bookmarkStart w:id="46" w:name="_Toc26826"/>
      <w:bookmarkStart w:id="47" w:name="_Toc23033"/>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8" w:name="_Toc3156"/>
      <w:bookmarkStart w:id="49" w:name="_Toc19050"/>
      <w:bookmarkStart w:id="50" w:name="_Toc14870"/>
      <w:bookmarkStart w:id="51" w:name="_Toc20594"/>
      <w:bookmarkStart w:id="52" w:name="_Toc19759"/>
      <w:bookmarkStart w:id="53" w:name="_Toc4952"/>
      <w:bookmarkStart w:id="54" w:name="_Toc23581"/>
      <w:bookmarkStart w:id="55" w:name="_Toc14552"/>
      <w:bookmarkStart w:id="56" w:name="_Toc7437"/>
      <w:bookmarkStart w:id="57" w:name="_Toc7118"/>
      <w:bookmarkStart w:id="58" w:name="_Toc10930"/>
      <w:r>
        <w:rPr>
          <w:highlight w:val="none"/>
        </w:rPr>
        <mc:AlternateContent>
          <mc:Choice Requires="wps">
            <w:drawing>
              <wp:anchor distT="0" distB="0" distL="114300" distR="114300" simplePos="0" relativeHeight="251670528" behindDoc="0" locked="0" layoutInCell="1" allowOverlap="1">
                <wp:simplePos x="0" y="0"/>
                <wp:positionH relativeFrom="column">
                  <wp:posOffset>2423795</wp:posOffset>
                </wp:positionH>
                <wp:positionV relativeFrom="paragraph">
                  <wp:posOffset>738505</wp:posOffset>
                </wp:positionV>
                <wp:extent cx="958850" cy="0"/>
                <wp:effectExtent l="0" t="0" r="0" b="0"/>
                <wp:wrapNone/>
                <wp:docPr id="12" name="直接箭头连接符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8" o:spid="_x0000_s1026" o:spt="32" type="#_x0000_t32" style="position:absolute;left:0pt;margin-left:190.85pt;margin-top:58.15pt;height:0pt;width:75.5pt;z-index:251670528;mso-width-relative:page;mso-height-relative:page;" filled="f" stroked="t" coordsize="21600,21600" o:gfxdata="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pIil1wAAAAsBAAAPAAAAAAAAAAEAIAAAACIAAABkcnMvZG93bnJldi54&#10;bWxQSwECFAAUAAAACACHTuJApss1pPsBAADtAwAADgAAAAAAAAABACAAAAAmAQAAZHJzL2Uyb0Rv&#10;Yy54bWxQSwUGAAAAAAYABgBZAQAAk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2462530</wp:posOffset>
                </wp:positionH>
                <wp:positionV relativeFrom="paragraph">
                  <wp:posOffset>188595</wp:posOffset>
                </wp:positionV>
                <wp:extent cx="958850" cy="0"/>
                <wp:effectExtent l="0" t="0" r="0" b="0"/>
                <wp:wrapNone/>
                <wp:docPr id="11" name="直接箭头连接符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9" o:spid="_x0000_s1026" o:spt="32" type="#_x0000_t32" style="position:absolute;left:0pt;margin-left:193.9pt;margin-top:14.85pt;height:0pt;width:75.5pt;z-index:251669504;mso-width-relative:page;mso-height-relative:page;" filled="f" stroked="t" coordsize="21600,21600" o:gfxdata="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w3dtdcAAAAJAQAADwAAAAAAAAABACAAAAAiAAAAZHJzL2Rvd25yZXYu&#10;eG1sUEsBAhQAFAAAAAgAh07iQLnf2W/8AQAA7QMAAA4AAAAAAAAAAQAgAAAAJgEAAGRycy9lMm9E&#10;b2MueG1sUEsFBgAAAAAGAAYAWQEAAJQFA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第四章</w:t>
      </w:r>
      <w:bookmarkEnd w:id="48"/>
      <w:bookmarkEnd w:id="49"/>
      <w:bookmarkEnd w:id="50"/>
      <w:bookmarkEnd w:id="51"/>
      <w:bookmarkEnd w:id="52"/>
      <w:bookmarkEnd w:id="53"/>
      <w:bookmarkEnd w:id="54"/>
      <w:bookmarkEnd w:id="55"/>
      <w:bookmarkEnd w:id="56"/>
      <w:bookmarkEnd w:id="57"/>
      <w:bookmarkEnd w:id="58"/>
    </w:p>
    <w:p>
      <w:pPr>
        <w:pStyle w:val="65"/>
        <w:rPr>
          <w:highlight w:val="none"/>
        </w:rPr>
      </w:pPr>
    </w:p>
    <w:p>
      <w:pPr>
        <w:pStyle w:val="4"/>
        <w:rPr>
          <w:highlight w:val="none"/>
        </w:rPr>
      </w:pPr>
      <w:bookmarkStart w:id="59" w:name="_Toc29345"/>
      <w:bookmarkStart w:id="60" w:name="_Toc88209941"/>
      <w:bookmarkStart w:id="61" w:name="_Toc32607"/>
      <w:bookmarkStart w:id="62" w:name="_Toc13898"/>
      <w:bookmarkStart w:id="63" w:name="_Toc29484"/>
      <w:bookmarkStart w:id="64" w:name="_Toc6308"/>
      <w:bookmarkStart w:id="65" w:name="_Toc21079"/>
      <w:bookmarkStart w:id="66" w:name="_Toc7831"/>
      <w:bookmarkStart w:id="67" w:name="_Toc12177"/>
      <w:bookmarkStart w:id="68" w:name="_Toc87616378"/>
      <w:bookmarkStart w:id="69" w:name="_Toc30530"/>
      <w:bookmarkStart w:id="70" w:name="_Toc22212"/>
      <w:bookmarkStart w:id="71" w:name="_Toc21840"/>
      <w:r>
        <w:rPr>
          <w:rFonts w:hint="eastAsia"/>
          <w:highlight w:val="none"/>
          <w:lang w:val="en-US" w:eastAsia="zh-CN"/>
        </w:rPr>
        <w:t xml:space="preserve">   </w:t>
      </w:r>
      <w:r>
        <w:rPr>
          <w:rFonts w:hint="eastAsia"/>
          <w:highlight w:val="none"/>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5"/>
        <w:jc w:val="both"/>
        <w:rPr>
          <w:highlight w:val="none"/>
        </w:rPr>
      </w:pPr>
    </w:p>
    <w:p>
      <w:pPr>
        <w:rPr>
          <w:highlight w:val="none"/>
        </w:rPr>
      </w:pPr>
    </w:p>
    <w:p>
      <w:pPr>
        <w:pStyle w:val="10"/>
        <w:rPr>
          <w:highlight w:val="none"/>
        </w:rPr>
      </w:pPr>
    </w:p>
    <w:p>
      <w:pPr>
        <w:rPr>
          <w:highlight w:val="none"/>
        </w:rPr>
      </w:pPr>
    </w:p>
    <w:p>
      <w:pPr>
        <w:pStyle w:val="11"/>
        <w:rPr>
          <w:highlight w:val="none"/>
        </w:rPr>
      </w:pPr>
    </w:p>
    <w:p>
      <w:pPr>
        <w:pStyle w:val="5"/>
        <w:spacing w:line="500" w:lineRule="exact"/>
        <w:rPr>
          <w:highlight w:val="none"/>
        </w:rPr>
      </w:pPr>
      <w:r>
        <w:rPr>
          <w:rFonts w:hint="eastAsia"/>
          <w:highlight w:val="none"/>
        </w:rPr>
        <w:t>经评审的最低价法</w:t>
      </w:r>
      <w:bookmarkEnd w:id="46"/>
      <w:bookmarkEnd w:id="47"/>
    </w:p>
    <w:p>
      <w:pPr>
        <w:adjustRightInd w:val="0"/>
        <w:snapToGrid w:val="0"/>
        <w:spacing w:line="500" w:lineRule="exact"/>
        <w:jc w:val="left"/>
        <w:rPr>
          <w:rFonts w:ascii="宋体" w:hAnsi="宋体"/>
          <w:b/>
          <w:sz w:val="28"/>
          <w:szCs w:val="28"/>
          <w:highlight w:val="none"/>
        </w:rPr>
      </w:pPr>
      <w:r>
        <w:rPr>
          <w:rFonts w:hint="eastAsia" w:ascii="宋体" w:hAnsi="宋体"/>
          <w:b/>
          <w:sz w:val="28"/>
          <w:szCs w:val="28"/>
          <w:highlight w:val="none"/>
        </w:rPr>
        <w:t>1.评审方法</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（1）运输费用及保险费。（如有）</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（2）工期、交货期或服务期限。</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（3）支付条件。</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（4）备品备件以及售后服务（如有）。</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（5）价格调整因素。</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2.评审程序</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2.1 初步评审</w:t>
      </w:r>
    </w:p>
    <w:p>
      <w:pPr>
        <w:adjustRightInd w:val="0"/>
        <w:snapToGrid w:val="0"/>
        <w:spacing w:line="600" w:lineRule="exact"/>
        <w:ind w:firstLine="280" w:firstLineChars="100"/>
        <w:jc w:val="left"/>
        <w:rPr>
          <w:rFonts w:ascii="仿宋_GB2312" w:hAnsi="宋体" w:eastAsia="仿宋_GB2312"/>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hAnsi="宋体" w:eastAsia="仿宋_GB2312"/>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2.2澄清补正</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szCs w:val="21"/>
          <w:highlight w:val="none"/>
        </w:rPr>
      </w:pPr>
      <w:r>
        <w:rPr>
          <w:rFonts w:hint="eastAsia" w:ascii="仿宋_GB2312" w:hAnsi="宋体" w:eastAsia="仿宋_GB2312"/>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ind w:firstLine="0"/>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2"/>
        <w:rPr>
          <w:rFonts w:ascii="仿宋_GB2312" w:eastAsia="仿宋_GB2312"/>
          <w:color w:val="auto"/>
          <w:szCs w:val="21"/>
          <w:highlight w:val="none"/>
        </w:rPr>
      </w:pPr>
    </w:p>
    <w:p>
      <w:pPr>
        <w:pStyle w:val="4"/>
        <w:ind w:firstLine="3960" w:firstLineChars="900"/>
        <w:jc w:val="both"/>
        <w:rPr>
          <w:highlight w:val="none"/>
        </w:rPr>
      </w:pPr>
      <w:bookmarkStart w:id="72" w:name="_Toc88209947"/>
      <w:r>
        <w:rPr>
          <w:highlight w:val="none"/>
        </w:rPr>
        <mc:AlternateContent>
          <mc:Choice Requires="wps">
            <w:drawing>
              <wp:anchor distT="0" distB="0" distL="114300" distR="114300" simplePos="0" relativeHeight="251672576" behindDoc="0" locked="0" layoutInCell="1" allowOverlap="1">
                <wp:simplePos x="0" y="0"/>
                <wp:positionH relativeFrom="column">
                  <wp:posOffset>2489200</wp:posOffset>
                </wp:positionH>
                <wp:positionV relativeFrom="paragraph">
                  <wp:posOffset>711835</wp:posOffset>
                </wp:positionV>
                <wp:extent cx="958850" cy="0"/>
                <wp:effectExtent l="0" t="0" r="0" b="0"/>
                <wp:wrapNone/>
                <wp:docPr id="14" name="直接箭头连接符 4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40" o:spid="_x0000_s1026" o:spt="32" type="#_x0000_t32" style="position:absolute;left:0pt;margin-left:196pt;margin-top:56.05pt;height:0pt;width:75.5pt;z-index:251672576;mso-width-relative:page;mso-height-relative:page;" filled="f" stroked="t" coordsize="21600,21600" o:gfxdata="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irr7tcAAAALAQAADwAAAAAAAAABACAAAAAiAAAAZHJzL2Rvd25yZXYueG1s&#10;UEsBAhQAFAAAAAgAh07iQCy0Lkb5AQAA7QMAAA4AAAAAAAAAAQAgAAAAJgEAAGRycy9lMm9Eb2Mu&#10;eG1sUEsFBgAAAAAGAAYAWQEAAJE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2483485</wp:posOffset>
                </wp:positionH>
                <wp:positionV relativeFrom="paragraph">
                  <wp:posOffset>262255</wp:posOffset>
                </wp:positionV>
                <wp:extent cx="958850" cy="0"/>
                <wp:effectExtent l="0" t="0" r="0" b="0"/>
                <wp:wrapNone/>
                <wp:docPr id="13" name="直接箭头连接符 4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41" o:spid="_x0000_s1026" o:spt="32" type="#_x0000_t32" style="position:absolute;left:0pt;margin-left:195.55pt;margin-top:20.65pt;height:0pt;width:75.5pt;z-index:251671552;mso-width-relative:page;mso-height-relative:page;" filled="f" stroked="t" coordsize="21600,21600" o:gfxdata="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a5641gAAAAkBAAAPAAAAAAAAAAEAIAAAACIAAABkcnMvZG93bnJldi54&#10;bWxQSwECFAAUAAAACACHTuJAvxzSIvwBAADtAwAADgAAAAAAAAABACAAAAAlAQAAZHJzL2Uyb0Rv&#10;Yy54bWxQSwUGAAAAAAYABgBZAQAAkwUAAAAA&#10;">
                <v:fill on="f" focussize="0,0"/>
                <v:stroke color="#000000" joinstyle="round"/>
                <v:imagedata o:title=""/>
                <o:lock v:ext="edit" aspectratio="f"/>
              </v:shape>
            </w:pict>
          </mc:Fallback>
        </mc:AlternateContent>
      </w:r>
      <w:r>
        <w:rPr>
          <w:rFonts w:hint="eastAsia"/>
          <w:highlight w:val="none"/>
        </w:rPr>
        <w:t>第五章</w:t>
      </w:r>
    </w:p>
    <w:p>
      <w:pPr>
        <w:pStyle w:val="5"/>
        <w:rPr>
          <w:szCs w:val="44"/>
          <w:highlight w:val="none"/>
        </w:rPr>
      </w:pPr>
      <w:r>
        <w:rPr>
          <w:rFonts w:hint="eastAsia"/>
          <w:szCs w:val="44"/>
          <w:highlight w:val="none"/>
          <w:lang w:val="en-US" w:eastAsia="zh-CN"/>
        </w:rPr>
        <w:t xml:space="preserve">     </w:t>
      </w:r>
      <w:r>
        <w:rPr>
          <w:rFonts w:hint="eastAsia"/>
          <w:szCs w:val="44"/>
          <w:highlight w:val="none"/>
        </w:rPr>
        <w:t>采购需求</w:t>
      </w:r>
    </w:p>
    <w:p>
      <w:pPr>
        <w:pStyle w:val="5"/>
        <w:rPr>
          <w:szCs w:val="44"/>
          <w:highlight w:val="none"/>
        </w:rPr>
      </w:pPr>
    </w:p>
    <w:bookmarkEnd w:id="72"/>
    <w:p>
      <w:pPr>
        <w:ind w:firstLine="560" w:firstLineChars="200"/>
        <w:rPr>
          <w:rFonts w:ascii="仿宋_GB2312" w:eastAsia="仿宋_GB2312"/>
          <w:sz w:val="28"/>
          <w:szCs w:val="28"/>
          <w:highlight w:val="none"/>
        </w:rPr>
      </w:pPr>
    </w:p>
    <w:p>
      <w:pPr>
        <w:pStyle w:val="2"/>
        <w:rPr>
          <w:rFonts w:ascii="仿宋_GB2312" w:eastAsia="仿宋_GB2312"/>
          <w:color w:val="auto"/>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line="360" w:lineRule="auto"/>
        <w:ind w:firstLine="560" w:firstLineChars="200"/>
        <w:rPr>
          <w:rFonts w:ascii="仿宋" w:hAnsi="仿宋" w:eastAsia="仿宋" w:cs="仿宋"/>
          <w:b/>
          <w:bCs/>
          <w:sz w:val="28"/>
          <w:szCs w:val="28"/>
          <w:highlight w:val="none"/>
        </w:rPr>
      </w:pPr>
    </w:p>
    <w:p>
      <w:pPr>
        <w:pStyle w:val="2"/>
        <w:rPr>
          <w:rFonts w:ascii="仿宋" w:hAnsi="仿宋" w:eastAsia="仿宋" w:cs="仿宋"/>
          <w:b/>
          <w:bCs/>
          <w:sz w:val="28"/>
          <w:szCs w:val="28"/>
          <w:highlight w:val="none"/>
        </w:rPr>
      </w:pPr>
    </w:p>
    <w:p>
      <w:pPr>
        <w:pStyle w:val="2"/>
        <w:rPr>
          <w:rFonts w:ascii="仿宋" w:hAnsi="仿宋" w:eastAsia="仿宋" w:cs="仿宋"/>
          <w:b/>
          <w:bCs/>
          <w:sz w:val="28"/>
          <w:szCs w:val="28"/>
          <w:highlight w:val="none"/>
        </w:rPr>
      </w:pPr>
    </w:p>
    <w:p>
      <w:pPr>
        <w:pStyle w:val="2"/>
        <w:ind w:firstLine="0"/>
        <w:rPr>
          <w:color w:val="auto"/>
          <w:highlight w:val="none"/>
        </w:rPr>
      </w:pP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一、项目概况</w:t>
      </w:r>
    </w:p>
    <w:p>
      <w:pPr>
        <w:spacing w:line="600" w:lineRule="exact"/>
        <w:ind w:firstLine="560" w:firstLineChars="200"/>
        <w:rPr>
          <w:rFonts w:hint="eastAsia" w:ascii="仿宋" w:hAnsi="仿宋" w:eastAsia="仿宋" w:cs="仿宋"/>
          <w:b/>
          <w:sz w:val="28"/>
          <w:szCs w:val="28"/>
          <w:highlight w:val="none"/>
          <w:lang w:val="zh-CN"/>
        </w:rPr>
      </w:pPr>
      <w:r>
        <w:rPr>
          <w:rFonts w:hint="eastAsia" w:ascii="仿宋" w:hAnsi="仿宋" w:eastAsia="仿宋" w:cs="仿宋"/>
          <w:sz w:val="28"/>
          <w:szCs w:val="28"/>
          <w:highlight w:val="none"/>
          <w:u w:val="single"/>
        </w:rPr>
        <w:t>根据公司所属水质检测中心</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大坦沙、猎德、沥滘、大沙地、西朗、京溪、龙归、竹料、石井、石井净、大观、江高、健康城等净水厂（分公司）</w:t>
      </w:r>
      <w:r>
        <w:rPr>
          <w:rFonts w:hint="eastAsia" w:ascii="仿宋" w:hAnsi="仿宋" w:eastAsia="仿宋" w:cs="仿宋"/>
          <w:sz w:val="28"/>
          <w:szCs w:val="28"/>
          <w:highlight w:val="none"/>
          <w:u w:val="single"/>
          <w:lang w:val="en-US" w:eastAsia="zh-CN"/>
        </w:rPr>
        <w:t>及从化公司</w:t>
      </w:r>
      <w:r>
        <w:rPr>
          <w:rFonts w:hint="eastAsia" w:ascii="仿宋" w:hAnsi="仿宋" w:eastAsia="仿宋" w:cs="仿宋"/>
          <w:sz w:val="28"/>
          <w:szCs w:val="28"/>
          <w:highlight w:val="none"/>
          <w:u w:val="single"/>
        </w:rPr>
        <w:t>对化验仪器设备校准的需求，委托具有CNAS资质第三方校准单位负责</w:t>
      </w:r>
      <w:r>
        <w:rPr>
          <w:rFonts w:hint="eastAsia" w:ascii="仿宋" w:hAnsi="仿宋" w:eastAsia="仿宋" w:cs="仿宋"/>
          <w:sz w:val="28"/>
          <w:szCs w:val="28"/>
          <w:highlight w:val="none"/>
          <w:u w:val="single"/>
          <w:lang w:eastAsia="zh-CN"/>
        </w:rPr>
        <w:t>2024年</w:t>
      </w:r>
      <w:r>
        <w:rPr>
          <w:rFonts w:hint="eastAsia" w:ascii="仿宋" w:hAnsi="仿宋" w:eastAsia="仿宋" w:cs="仿宋"/>
          <w:sz w:val="28"/>
          <w:szCs w:val="28"/>
          <w:highlight w:val="none"/>
          <w:u w:val="single"/>
        </w:rPr>
        <w:t>化验仪器设备校准服务，校准内容主要包括电子天平、显微镜、紫外可见分光光度计、纯水机、生化培养箱、温湿度计、蒸汽灭菌器、玻璃仪器等46类</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并出具CNAS校准/检定证书。</w:t>
      </w:r>
    </w:p>
    <w:p>
      <w:pPr>
        <w:pStyle w:val="13"/>
        <w:numPr>
          <w:ilvl w:val="0"/>
          <w:numId w:val="4"/>
        </w:numPr>
        <w:adjustRightInd w:val="0"/>
        <w:snapToGrid w:val="0"/>
        <w:spacing w:line="300" w:lineRule="auto"/>
        <w:ind w:firstLine="560" w:firstLineChars="200"/>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项目技术要求</w:t>
      </w:r>
    </w:p>
    <w:p>
      <w:pPr>
        <w:numPr>
          <w:ilvl w:val="0"/>
          <w:numId w:val="0"/>
        </w:numPr>
        <w:autoSpaceDE w:val="0"/>
        <w:autoSpaceDN w:val="0"/>
        <w:spacing w:line="600" w:lineRule="atLeast"/>
        <w:ind w:left="560" w:firstLine="0" w:firstLineChars="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校准</w:t>
      </w:r>
      <w:r>
        <w:rPr>
          <w:rFonts w:hint="eastAsia" w:ascii="仿宋" w:hAnsi="仿宋" w:eastAsia="仿宋" w:cs="仿宋"/>
          <w:sz w:val="28"/>
          <w:szCs w:val="28"/>
          <w:highlight w:val="none"/>
          <w:lang w:val="zh-CN"/>
        </w:rPr>
        <w:t>项目和工作内容明细清单</w:t>
      </w:r>
    </w:p>
    <w:tbl>
      <w:tblPr>
        <w:tblStyle w:val="24"/>
        <w:tblW w:w="9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9"/>
        <w:gridCol w:w="1075"/>
        <w:gridCol w:w="619"/>
        <w:gridCol w:w="546"/>
        <w:gridCol w:w="546"/>
        <w:gridCol w:w="546"/>
        <w:gridCol w:w="546"/>
        <w:gridCol w:w="618"/>
        <w:gridCol w:w="546"/>
        <w:gridCol w:w="546"/>
        <w:gridCol w:w="546"/>
        <w:gridCol w:w="531"/>
        <w:gridCol w:w="546"/>
        <w:gridCol w:w="546"/>
        <w:gridCol w:w="546"/>
        <w:gridCol w:w="54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blHeader/>
          <w:jc w:val="center"/>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1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仪器设备种类</w:t>
            </w:r>
          </w:p>
        </w:tc>
        <w:tc>
          <w:tcPr>
            <w:tcW w:w="6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水质中心</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大坦沙</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猎德</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沥滘</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大沙地</w:t>
            </w: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石井 （均禾）</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石井净</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龙归</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竹料</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京溪</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江高</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健康城</w:t>
            </w:r>
          </w:p>
        </w:tc>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大观</w:t>
            </w:r>
          </w:p>
        </w:tc>
        <w:tc>
          <w:tcPr>
            <w:tcW w:w="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西朗</w:t>
            </w:r>
          </w:p>
        </w:tc>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blHeader/>
          <w:jc w:val="center"/>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需求量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电子天平</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砝码</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显微镜</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可见光分光光度计/比色计/水质分析仪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紫外可见分光光度计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玻璃仪器（移液管、容量瓶、比色管、滴定管、量筒、滴定管）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移液器/瓶口分液器/数字滴定仪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化学需氧量 COD测定仪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COD加热消解器</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COD消解装置</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酸度计（pH计）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溶解氧测定仪（BOD测定仪）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浊度计/ss测定仪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混合液污泥浓度(MLSS) 检测仪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电导率仪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水质分析仪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余氯测定仪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纯水机</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纯水机</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净化工作台</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箱式电阻炉（马弗炉）</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电热恒温干燥箱</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生化培养箱</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电热恒温水浴锅</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恒温振荡器</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蒸汽灭菌器</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压力表</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安全阀</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温湿度计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（医用冷藏箱）表面温度计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卤素水分测定仪/水分分析仪/红外水份测定仪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离心机</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微波消解仪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微量进样器</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原子荧光光度计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离子色谱仪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自动电位滴定仪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气质联用仪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电感耦合等离子体发射光谱仪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电感耦合等离子体质谱仪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全自动流动注射仪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红外分光测油仪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滤光片</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密度计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多气体检测仪</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46</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声级计/噪声计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5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488</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475</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238</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297</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207</w:t>
            </w:r>
          </w:p>
        </w:tc>
        <w:tc>
          <w:tcPr>
            <w:tcW w:w="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254</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572</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361</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124</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51</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218</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208</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124</w:t>
            </w:r>
          </w:p>
        </w:tc>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147</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3764</w:t>
            </w:r>
          </w:p>
        </w:tc>
      </w:tr>
    </w:tbl>
    <w:p>
      <w:pPr>
        <w:pStyle w:val="23"/>
        <w:numPr>
          <w:ilvl w:val="0"/>
          <w:numId w:val="0"/>
        </w:numPr>
        <w:ind w:firstLine="0"/>
        <w:rPr>
          <w:rFonts w:hint="default" w:ascii="Calibri" w:hAnsi="Calibri" w:eastAsia="宋体" w:cs="Times New Roman"/>
          <w:color w:val="auto"/>
          <w:sz w:val="21"/>
          <w:szCs w:val="22"/>
          <w:highlight w:val="none"/>
          <w:lang w:val="zh-CN" w:eastAsia="zh-CN"/>
        </w:rPr>
      </w:pPr>
    </w:p>
    <w:p>
      <w:pPr>
        <w:pStyle w:val="23"/>
        <w:ind w:firstLine="0"/>
        <w:rPr>
          <w:rFonts w:hint="eastAsia" w:ascii="仿宋" w:hAnsi="仿宋" w:eastAsia="仿宋" w:cs="仿宋"/>
          <w:highlight w:val="none"/>
          <w:lang w:eastAsia="zh-CN"/>
        </w:rPr>
      </w:pPr>
    </w:p>
    <w:p>
      <w:pPr>
        <w:pStyle w:val="23"/>
        <w:widowControl w:val="0"/>
        <w:numPr>
          <w:ilvl w:val="0"/>
          <w:numId w:val="0"/>
        </w:numPr>
        <w:spacing w:after="120"/>
        <w:jc w:val="both"/>
        <w:rPr>
          <w:rFonts w:hint="eastAsia" w:ascii="仿宋" w:hAnsi="仿宋" w:eastAsia="仿宋" w:cs="仿宋"/>
          <w:highlight w:val="none"/>
        </w:rPr>
      </w:pPr>
    </w:p>
    <w:tbl>
      <w:tblPr>
        <w:tblStyle w:val="24"/>
        <w:tblW w:w="9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4005"/>
        <w:gridCol w:w="1425"/>
        <w:gridCol w:w="1725"/>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blHeader/>
          <w:jc w:val="center"/>
        </w:trPr>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序号</w:t>
            </w:r>
          </w:p>
        </w:tc>
        <w:tc>
          <w:tcPr>
            <w:tcW w:w="40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仪器设备种类</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从化公司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合计</w:t>
            </w:r>
          </w:p>
        </w:tc>
        <w:tc>
          <w:tcPr>
            <w:tcW w:w="18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blHeader/>
          <w:jc w:val="center"/>
        </w:trPr>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bCs/>
                <w:i w:val="0"/>
                <w:iCs w:val="0"/>
                <w:color w:val="000000"/>
                <w:sz w:val="20"/>
                <w:szCs w:val="20"/>
                <w:highlight w:val="none"/>
                <w:u w:val="none"/>
              </w:rPr>
            </w:pPr>
          </w:p>
        </w:tc>
        <w:tc>
          <w:tcPr>
            <w:tcW w:w="400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宋体" w:eastAsia="仿宋_GB2312" w:cs="仿宋_GB2312"/>
                <w:b/>
                <w:bCs/>
                <w:i w:val="0"/>
                <w:iCs w:val="0"/>
                <w:color w:val="000000"/>
                <w:sz w:val="20"/>
                <w:szCs w:val="20"/>
                <w:highlight w:val="none"/>
                <w:u w:val="none"/>
              </w:rPr>
            </w:pP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需求量</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需求量</w:t>
            </w:r>
          </w:p>
        </w:tc>
        <w:tc>
          <w:tcPr>
            <w:tcW w:w="188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b/>
                <w:bCs/>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电子天平</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1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砝码</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显微镜</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可见光分光光度计/比色计/水质分析仪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5</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紫外可见分光光度计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6</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玻璃仪器（移液管、容量瓶、比色管、滴定管、量筒、滴定管）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107</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107</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7</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移液器/瓶口分液器/数字滴定仪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15</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8</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化学需氧量 COD测定仪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9</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COD加热消解器</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10</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COD消解装置</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11</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酸度计（pH计）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12</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溶解氧测定仪（BOD测定仪）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13</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浊度计/ss测定仪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14</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混合液污泥浓度(MLSS) 检测仪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15</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电导率仪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16</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水质分析仪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17</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余氯测定仪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18</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纯水机</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19</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纯水机</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净化工作台</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21</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箱式电阻炉（马弗炉）</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22</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电热恒温干燥箱</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23</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生化培养箱</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电热恒温水浴锅</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25</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恒温振荡器</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26</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蒸汽灭菌器</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27</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压力表</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w:t>
            </w:r>
          </w:p>
        </w:tc>
        <w:tc>
          <w:tcPr>
            <w:tcW w:w="1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一年两检，按检定次数填写（检定）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28</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安全阀</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29</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30</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（医用冷藏箱）表面温度计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31</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卤素水分测定仪/水分分析仪/红外水份测定仪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32</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离心机</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33</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微波消解仪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34</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微量进样器</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35</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原子荧光光度计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36</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离子色谱仪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37</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自动电位滴定仪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38</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气质联用仪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39</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电感耦合等离子体发射光谱仪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40</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电感耦合等离子体质谱仪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41</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全自动流动注射仪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42</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红外分光测油仪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43</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滤光片</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44</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密度计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45</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多气体检测仪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46</w:t>
            </w:r>
          </w:p>
        </w:tc>
        <w:tc>
          <w:tcPr>
            <w:tcW w:w="4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声级计/噪声计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0</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8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148</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148</w:t>
            </w:r>
          </w:p>
        </w:tc>
        <w:tc>
          <w:tcPr>
            <w:tcW w:w="188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hAnsi="宋体" w:eastAsia="仿宋_GB2312" w:cs="仿宋_GB2312"/>
                <w:i w:val="0"/>
                <w:iCs w:val="0"/>
                <w:color w:val="000000"/>
                <w:sz w:val="20"/>
                <w:szCs w:val="20"/>
                <w:highlight w:val="none"/>
                <w:u w:val="none"/>
              </w:rPr>
            </w:pPr>
          </w:p>
        </w:tc>
      </w:tr>
    </w:tbl>
    <w:p>
      <w:pPr>
        <w:pStyle w:val="23"/>
        <w:widowControl w:val="0"/>
        <w:numPr>
          <w:ilvl w:val="0"/>
          <w:numId w:val="0"/>
        </w:numPr>
        <w:spacing w:after="120"/>
        <w:jc w:val="both"/>
        <w:rPr>
          <w:rFonts w:hint="eastAsia" w:ascii="仿宋" w:hAnsi="仿宋" w:eastAsia="仿宋" w:cs="仿宋"/>
          <w:highlight w:val="none"/>
        </w:rPr>
      </w:pPr>
    </w:p>
    <w:p>
      <w:pPr>
        <w:pStyle w:val="23"/>
        <w:widowControl w:val="0"/>
        <w:numPr>
          <w:ilvl w:val="0"/>
          <w:numId w:val="0"/>
        </w:numPr>
        <w:spacing w:after="120"/>
        <w:jc w:val="both"/>
        <w:rPr>
          <w:rFonts w:hint="eastAsia" w:ascii="仿宋" w:hAnsi="仿宋" w:eastAsia="仿宋" w:cs="仿宋"/>
          <w:highlight w:val="none"/>
        </w:rPr>
        <w:sectPr>
          <w:footerReference r:id="rId4" w:type="default"/>
          <w:type w:val="continuous"/>
          <w:pgSz w:w="11907" w:h="16840"/>
          <w:pgMar w:top="1701" w:right="1701" w:bottom="1701" w:left="1701" w:header="851" w:footer="992" w:gutter="0"/>
          <w:pgBorders>
            <w:top w:val="none" w:sz="0" w:space="0"/>
            <w:left w:val="none" w:sz="0" w:space="0"/>
            <w:bottom w:val="none" w:sz="0" w:space="0"/>
            <w:right w:val="none" w:sz="0" w:space="0"/>
          </w:pgBorders>
          <w:cols w:space="708" w:num="1"/>
          <w:docGrid w:type="linesAndChars" w:linePitch="381" w:charSpace="0"/>
        </w:sectPr>
      </w:pPr>
    </w:p>
    <w:p>
      <w:pPr>
        <w:pStyle w:val="23"/>
        <w:widowControl w:val="0"/>
        <w:numPr>
          <w:ilvl w:val="0"/>
          <w:numId w:val="0"/>
        </w:numPr>
        <w:spacing w:after="120"/>
        <w:jc w:val="both"/>
        <w:rPr>
          <w:rFonts w:hint="eastAsia" w:ascii="仿宋" w:hAnsi="仿宋" w:eastAsia="仿宋" w:cs="仿宋"/>
          <w:highlight w:val="none"/>
          <w:lang w:val="en-US" w:eastAsia="zh-CN"/>
        </w:rPr>
      </w:pPr>
    </w:p>
    <w:p>
      <w:pPr>
        <w:pStyle w:val="23"/>
        <w:widowControl w:val="0"/>
        <w:numPr>
          <w:ilvl w:val="0"/>
          <w:numId w:val="0"/>
        </w:numPr>
        <w:spacing w:after="120"/>
        <w:jc w:val="both"/>
        <w:rPr>
          <w:rFonts w:hint="eastAsia" w:ascii="仿宋" w:hAnsi="仿宋" w:eastAsia="仿宋" w:cs="仿宋"/>
          <w:highlight w:val="none"/>
          <w:lang w:val="en-US" w:eastAsia="zh-CN"/>
        </w:rPr>
      </w:pPr>
    </w:p>
    <w:p>
      <w:pPr>
        <w:pStyle w:val="23"/>
        <w:widowControl w:val="0"/>
        <w:numPr>
          <w:ilvl w:val="0"/>
          <w:numId w:val="0"/>
        </w:numPr>
        <w:spacing w:after="120"/>
        <w:jc w:val="both"/>
        <w:rPr>
          <w:rFonts w:hint="eastAsia" w:ascii="仿宋" w:hAnsi="仿宋" w:eastAsia="仿宋" w:cs="仿宋"/>
          <w:highlight w:val="none"/>
          <w:lang w:val="en-US" w:eastAsia="zh-CN"/>
        </w:rPr>
        <w:sectPr>
          <w:type w:val="continuous"/>
          <w:pgSz w:w="11907" w:h="16840"/>
          <w:pgMar w:top="1701" w:right="1701" w:bottom="1701" w:left="1701" w:header="851" w:footer="992" w:gutter="0"/>
          <w:pgBorders>
            <w:top w:val="none" w:sz="0" w:space="0"/>
            <w:left w:val="none" w:sz="0" w:space="0"/>
            <w:bottom w:val="none" w:sz="0" w:space="0"/>
            <w:right w:val="none" w:sz="0" w:space="0"/>
          </w:pgBorders>
          <w:cols w:space="708" w:num="1"/>
          <w:docGrid w:type="linesAndChars" w:linePitch="381" w:charSpace="0"/>
        </w:sectPr>
      </w:pPr>
    </w:p>
    <w:p>
      <w:pPr>
        <w:autoSpaceDE w:val="0"/>
        <w:autoSpaceDN w:val="0"/>
        <w:spacing w:line="600" w:lineRule="atLeas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2.检测机构资质和报告要求</w:t>
      </w:r>
    </w:p>
    <w:p>
      <w:pPr>
        <w:autoSpaceDE w:val="0"/>
        <w:autoSpaceDN w:val="0"/>
        <w:spacing w:line="600" w:lineRule="atLeas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报价人具有</w:t>
      </w:r>
      <w:r>
        <w:rPr>
          <w:rFonts w:hint="eastAsia" w:ascii="仿宋" w:hAnsi="仿宋" w:eastAsia="仿宋" w:cs="仿宋"/>
          <w:bCs/>
          <w:sz w:val="28"/>
          <w:szCs w:val="28"/>
          <w:highlight w:val="none"/>
        </w:rPr>
        <w:t>实验室计量校准认证资质（</w:t>
      </w:r>
      <w:r>
        <w:rPr>
          <w:rFonts w:hint="eastAsia" w:ascii="仿宋" w:hAnsi="仿宋" w:eastAsia="仿宋" w:cs="仿宋"/>
          <w:sz w:val="28"/>
          <w:szCs w:val="28"/>
          <w:highlight w:val="none"/>
        </w:rPr>
        <w:t>CNAS</w:t>
      </w:r>
      <w:r>
        <w:rPr>
          <w:rFonts w:hint="eastAsia" w:ascii="仿宋" w:hAnsi="仿宋" w:eastAsia="仿宋" w:cs="仿宋"/>
          <w:bCs/>
          <w:sz w:val="28"/>
          <w:szCs w:val="28"/>
          <w:highlight w:val="none"/>
        </w:rPr>
        <w:t>），所认证的校准能力至少涵盖本项目中所要求的校准设备种类的70%（含）以上（共计校准设备种类</w:t>
      </w:r>
      <w:r>
        <w:rPr>
          <w:rFonts w:hint="eastAsia" w:ascii="仿宋" w:hAnsi="仿宋" w:eastAsia="仿宋" w:cs="仿宋"/>
          <w:bCs/>
          <w:sz w:val="28"/>
          <w:szCs w:val="28"/>
          <w:highlight w:val="none"/>
          <w:lang w:val="en-US" w:eastAsia="zh-CN"/>
        </w:rPr>
        <w:t>46</w:t>
      </w:r>
      <w:r>
        <w:rPr>
          <w:rFonts w:hint="eastAsia" w:ascii="仿宋" w:hAnsi="仿宋" w:eastAsia="仿宋" w:cs="仿宋"/>
          <w:bCs/>
          <w:sz w:val="28"/>
          <w:szCs w:val="28"/>
          <w:highlight w:val="none"/>
        </w:rPr>
        <w:t>种，70%即</w:t>
      </w:r>
      <w:r>
        <w:rPr>
          <w:rFonts w:hint="eastAsia" w:ascii="仿宋" w:hAnsi="仿宋" w:eastAsia="仿宋" w:cs="仿宋"/>
          <w:bCs/>
          <w:sz w:val="28"/>
          <w:szCs w:val="28"/>
          <w:highlight w:val="none"/>
          <w:lang w:val="en-US" w:eastAsia="zh-CN"/>
        </w:rPr>
        <w:t>33</w:t>
      </w:r>
      <w:r>
        <w:rPr>
          <w:rFonts w:hint="eastAsia" w:ascii="仿宋" w:hAnsi="仿宋" w:eastAsia="仿宋" w:cs="仿宋"/>
          <w:bCs/>
          <w:sz w:val="28"/>
          <w:szCs w:val="28"/>
          <w:highlight w:val="none"/>
        </w:rPr>
        <w:t>种），并能出具CNAS校准证书。</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其中</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电子天平、安全阀及压力表</w:t>
      </w:r>
      <w:r>
        <w:rPr>
          <w:rFonts w:hint="eastAsia" w:ascii="仿宋" w:hAnsi="仿宋" w:eastAsia="仿宋" w:cs="仿宋"/>
          <w:bCs/>
          <w:sz w:val="28"/>
          <w:szCs w:val="28"/>
          <w:highlight w:val="none"/>
          <w:lang w:val="en-US" w:eastAsia="zh-CN"/>
        </w:rPr>
        <w:t>等仪器设备</w:t>
      </w:r>
      <w:r>
        <w:rPr>
          <w:rFonts w:hint="eastAsia" w:ascii="仿宋" w:hAnsi="仿宋" w:eastAsia="仿宋" w:cs="仿宋"/>
          <w:bCs/>
          <w:sz w:val="28"/>
          <w:szCs w:val="28"/>
          <w:highlight w:val="none"/>
        </w:rPr>
        <w:t>需检定，报</w:t>
      </w:r>
      <w:r>
        <w:rPr>
          <w:rFonts w:hint="eastAsia" w:ascii="仿宋" w:hAnsi="仿宋" w:eastAsia="仿宋" w:cs="仿宋"/>
          <w:sz w:val="28"/>
          <w:szCs w:val="28"/>
          <w:highlight w:val="none"/>
        </w:rPr>
        <w:t>价人若无检定资质，可委托法定计量检定机构（如广州计量检测技术研究院、广东省计量科学研究院等）进行检定。</w:t>
      </w:r>
    </w:p>
    <w:p>
      <w:pPr>
        <w:pStyle w:val="23"/>
        <w:rPr>
          <w:rFonts w:hint="eastAsia"/>
          <w:highlight w:val="none"/>
        </w:rPr>
      </w:pPr>
    </w:p>
    <w:p>
      <w:pPr>
        <w:pStyle w:val="13"/>
        <w:adjustRightInd w:val="0"/>
        <w:snapToGrid w:val="0"/>
        <w:spacing w:line="360" w:lineRule="auto"/>
        <w:ind w:firstLine="560" w:firstLineChars="200"/>
        <w:jc w:val="center"/>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t xml:space="preserve"> </w:t>
      </w:r>
    </w:p>
    <w:p>
      <w:pPr>
        <w:pStyle w:val="13"/>
        <w:adjustRightInd w:val="0"/>
        <w:snapToGrid w:val="0"/>
        <w:spacing w:line="360" w:lineRule="auto"/>
        <w:ind w:firstLine="560" w:firstLineChars="200"/>
        <w:jc w:val="center"/>
        <w:rPr>
          <w:rFonts w:ascii="仿宋_GB2312" w:hAnsi="仿宋_GB2312" w:eastAsia="仿宋_GB2312" w:cs="仿宋_GB2312"/>
          <w:b/>
          <w:bCs/>
          <w:sz w:val="28"/>
          <w:szCs w:val="28"/>
          <w:highlight w:val="none"/>
        </w:rPr>
      </w:pPr>
    </w:p>
    <w:p>
      <w:pPr>
        <w:pStyle w:val="13"/>
        <w:adjustRightInd w:val="0"/>
        <w:snapToGrid w:val="0"/>
        <w:spacing w:line="360" w:lineRule="auto"/>
        <w:ind w:firstLine="560" w:firstLineChars="200"/>
        <w:jc w:val="center"/>
        <w:rPr>
          <w:rFonts w:hint="default" w:ascii="仿宋_GB2312" w:eastAsia="仿宋_GB2312"/>
          <w:color w:val="auto"/>
          <w:sz w:val="32"/>
          <w:szCs w:val="32"/>
          <w:highlight w:val="none"/>
          <w:lang w:val="en-US"/>
        </w:rPr>
      </w:pPr>
      <w:r>
        <w:rPr>
          <w:rFonts w:hint="eastAsia" w:ascii="仿宋_GB2312" w:hAnsi="仿宋_GB2312" w:eastAsia="仿宋_GB2312" w:cs="仿宋_GB2312"/>
          <w:b/>
          <w:bCs/>
          <w:sz w:val="28"/>
          <w:szCs w:val="28"/>
          <w:highlight w:val="none"/>
        </w:rPr>
        <w:t>2024年化验仪器</w:t>
      </w:r>
      <w:r>
        <w:rPr>
          <w:rFonts w:hint="eastAsia" w:ascii="仿宋_GB2312" w:hAnsi="仿宋_GB2312" w:eastAsia="仿宋_GB2312" w:cs="仿宋_GB2312"/>
          <w:b/>
          <w:bCs/>
          <w:sz w:val="28"/>
          <w:szCs w:val="28"/>
          <w:highlight w:val="none"/>
          <w:lang w:val="en-US" w:eastAsia="zh-CN"/>
        </w:rPr>
        <w:t>设备校准种类清单及参考方法</w:t>
      </w:r>
    </w:p>
    <w:tbl>
      <w:tblPr>
        <w:tblStyle w:val="24"/>
        <w:tblW w:w="9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
        <w:gridCol w:w="1634"/>
        <w:gridCol w:w="3766"/>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5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6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仪器设备种类</w:t>
            </w:r>
          </w:p>
        </w:tc>
        <w:tc>
          <w:tcPr>
            <w:tcW w:w="376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计划实施项目工作内容明细清单</w:t>
            </w:r>
          </w:p>
        </w:tc>
        <w:tc>
          <w:tcPr>
            <w:tcW w:w="32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可参考以下校准/检定标准方法或同类别规程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blHeader/>
          <w:jc w:val="center"/>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1"/>
                <w:szCs w:val="21"/>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1"/>
                <w:szCs w:val="21"/>
                <w:highlight w:val="none"/>
                <w:u w:val="none"/>
              </w:rPr>
            </w:pPr>
          </w:p>
        </w:tc>
        <w:tc>
          <w:tcPr>
            <w:tcW w:w="37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1"/>
                <w:szCs w:val="21"/>
                <w:highlight w:val="none"/>
                <w:u w:val="none"/>
              </w:rPr>
            </w:pPr>
          </w:p>
        </w:tc>
        <w:tc>
          <w:tcPr>
            <w:tcW w:w="3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电子天平</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天平偏载误差、天平重复性、天平示值误差（检定）</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JJG1036-2008 电子天平检定规程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砝码</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砝码磁性、砝码质量</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99-2006  砝码检定规程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显微镜</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物镜放大倍数误差、左右两系统放大倍数差、左右视场中心偏差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1402-2013 生物显微镜校准规范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可见光分光光度计/比色计/水质分析仪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420nm、440nm、610nm与700nm波段的波长示值误差、波长重复性、透射比示值误差、杂散光、噪声与漂移、基线平直度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178-2007 紫外、可见、近红外分光光度计检定规程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紫外可见分光光度计</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220nm、275nm、420nm、440nm、510nm、610nm与700nm波段的波长示值误差、波长重复性、透射比示值误差、杂散光、噪声与漂移、基线平直度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178-2007 紫外、可见、近红外分光光度计检定规程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玻璃仪器（移液管、容量瓶、比色管、滴定管、量筒、滴定管）</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标称容量、容量允差、流出时间、密合性（具体校准项目按玻璃仪器类型特点及校准/检定规程执行）</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196-2006 常用玻璃量器检定规程、JJG 10-2005 专用玻璃量器检定规程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移液器/瓶口分液器/数字滴定仪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容量允差、重复性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646-2006 移液器检定规程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化学需氧量 COD测定仪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示值误差、重复性、稳定性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975-2002 化学需氧量(COD)测定仪检定规程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COD加热消解器</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20min与120min时间示值误差；150℃与165℃温度示值误差、温度均匀度、温度波动度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975-2002 化学需氧量(COD)测定仪检定规程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COD消解装置</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温度示值误差、时间示值误差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JJG(粤) 029-2016《干体式消解实验仪检定规程》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酸度计（pH计）</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电计示值误差、电计输入电流、电计输入阻抗引起的示值误差、电计示值重复性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119-2018 实验室pH (酸度)计检定规程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溶解氧测定仪（BOD测定仪）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零值误差、响应时间、溶解氧浓度示值误差、温度示值误差、测量重复性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291-2018 溶解氧测定仪检定规程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浊度计/ss测定仪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外观、仪器零点漂移、仪器示值稳定性、仪器重复性、仪器示值误差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880-2006 浊度计检定规程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混合液污泥浓度(MLSS) 检测仪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外观、污泥浓度示值误差、污泥浓度测量重复性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880-2006 浊度计检定规程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电导率仪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电子单元重复性、引用误差、电导池常数示值误差、温度系数示值误差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376-2007 电导率仪检定规程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水质分析仪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零值误差、响应时间、示值误差、测量重复性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119-2018 实验室pH(酸度)计检定规程、JJG 376-2007 电导率仪检定规程、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JJG 291-2018 溶解氧测定仪检定规程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余氯测定仪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外观、示值校准、重复性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1609-2017 余氯测定仪校准规范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纯水机</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纯水电阻率值（25℃）、仪器引用误差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NEM FFB010-2013 实验室超纯水仪校准方法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纯水机</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可溶性硅（一级水）</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GB/T6682--2008 分析实验室用水规格和试验方法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净化工作台</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外观、风速、空气洁净度、噪声、照度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JG/T 292-2010 洁净工作台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箱式电阻炉（马弗炉）</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600℃温场校准、温度测量值</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1376-2012 箱式电阻炉校准规范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电热恒温干燥箱</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105℃温度波动度、温度均匀度、温度偏差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JJF1101-2019环境试验设备温度、湿度参数校准规范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生化培养箱</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20℃、44.5℃温度波动度、温度均匀度、温度偏差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JJF1101-2019环境试验设备温度、湿度参数校准规范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电热恒温水浴锅</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温度波动，温场均匀度，温度偏差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JJF（辽）118-2011 电热恒温水浴锅校准规范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恒温振荡器</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温度波动，温场均匀度，温度偏差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1030-2010 恒温槽技术性能测试规范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蒸汽灭菌器</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压力示值误差，温度性能，温度测量值</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JJF(沪)60-2018 蒸汽灭菌器温度、压力参数校准规范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压力表</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准确度、最大允许误差、回程误差（检定）</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JJG52一2013 弹性元件式一般压力表、压力真空表和真空表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安全阀</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压力整定、密封性能</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TSG ZF001-2006 安全阀安全技术监察规程、GB/T 12243-2021弹簧直接载荷式安全阀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温度示值误差、湿度示值误差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1076-2020 数字式温湿度计校准规范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（医用冷藏箱）表面温度计</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温度测量精度/示值误差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1076-2020 数字式温湿度计校准规范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卤素水分测定仪/水分分析仪/红外水份测定仪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外观、最大秤量、实际分度值、衡量装置重复性、允差、水分测量误差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JG 658-2022《烘干法水分测定仪检定规程》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离心机</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回转速度示值误差、回转速度稳定性、加速度示值误差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972-2002 离心式恒加速度试验机检定规程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微波消解仪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800W、1600W功率校准；温度设定值误差、温度稳定性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SL 144.8-2008 微波消解仪检验方法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微量进样器</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容量允差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NEM FFB061-2017 微量进样器校准方法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原子荧光光度计</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砷、汞的测量线性、检出限、测量重复性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939-2009 原子荧光光度计检定规程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离子色谱仪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基线噪声、基线漂移、最小检测浓度、定量重复性、定性重复性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823-2014 离子色谱仪检定规程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自动电位滴定仪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示值误差、重复性、电计输入阻抗、电流</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814-2015 自动电位滴定仪检定规程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气质联用仪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分辨力、质量范围、测量重复性、柱温箱稳定性、程序升温重复性、谱库检索相似度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1164-2018 气相色谱-质谱联用仪校准规范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电感耦合等离子体发射光谱仪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铜、铅、镍、镉、镍、铬、铁、锰、铝检出限、测量线性、测量重复性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768-2005 发射光谱仪检定规程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电感耦合等离子体质谱仪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离子产率、质量数校准、检出限及稳定性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1159-2006 四极杆电感耦合等离子体质谱仪校准规范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全自动流动注射仪</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泵流量稳定性误差、测量线性、检出限、测量重复性</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JJF 1568-2016 分光光度法流动分析仪校准规范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红外分光测油仪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示值误差、重复性、漂移、最小检出浓度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950-2012 水中油分浓度分析仪检定规程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滤光片</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中心波长、最大透射比、半宽度</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812-1993 干涉滤光片检定规程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密度计</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读数误差</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42-2011 工作玻璃浮计检定规程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多气体检测仪</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示值误差、测量重复性、响应时间</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365-2008《电化学氧测定仪检定规程》、JJG 693-2011《可燃气体检测报警器检定规程》、JJG 695-2019《硫化氢气体检测仪检定规程》、JJG 915-2008《一氧化碳检测报警器检定规程》、JJG 1105-2015《氨气检测仪检定规程》、JJF 1433-2013《氯气检测报警仪校准规范》、JJG 551-2003 《二氧化硫气体检测仪检定规程》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声级计/噪声计</w:t>
            </w:r>
          </w:p>
        </w:tc>
        <w:tc>
          <w:tcPr>
            <w:tcW w:w="3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外观、指示声级调整、级线性、级程变化误差、参考级量程、时间计权、猝发音响应、自生噪声、频率计权</w:t>
            </w:r>
          </w:p>
        </w:tc>
        <w:tc>
          <w:tcPr>
            <w:tcW w:w="3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JJG 188-2017 声级计检定规程</w:t>
            </w:r>
          </w:p>
        </w:tc>
      </w:tr>
    </w:tbl>
    <w:p>
      <w:pPr>
        <w:autoSpaceDE w:val="0"/>
        <w:autoSpaceDN w:val="0"/>
        <w:spacing w:line="600" w:lineRule="atLeast"/>
        <w:ind w:firstLine="0" w:firstLineChars="0"/>
        <w:rPr>
          <w:rFonts w:hint="eastAsia" w:ascii="仿宋" w:hAnsi="仿宋" w:eastAsia="仿宋" w:cs="仿宋"/>
          <w:sz w:val="28"/>
          <w:szCs w:val="28"/>
          <w:highlight w:val="none"/>
        </w:rPr>
      </w:pPr>
    </w:p>
    <w:p>
      <w:pPr>
        <w:pStyle w:val="15"/>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注：提供CMA复印件并标注本项目中所要求涵盖的校准设备项目，不标注则视为不响应。</w:t>
      </w:r>
      <w:r>
        <w:rPr>
          <w:rFonts w:hint="eastAsia" w:ascii="仿宋" w:hAnsi="仿宋" w:eastAsia="仿宋" w:cs="仿宋"/>
          <w:b/>
          <w:bCs/>
          <w:sz w:val="28"/>
          <w:szCs w:val="28"/>
          <w:highlight w:val="none"/>
          <w:u w:val="single"/>
          <w:lang w:val="en-US" w:eastAsia="zh-CN"/>
        </w:rPr>
        <w:t>标注时使用方框或圆圈标注出设备名称。</w:t>
      </w:r>
    </w:p>
    <w:p>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三、项目商务要求</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1.工期：合同签订之日起至</w:t>
      </w:r>
      <w:r>
        <w:rPr>
          <w:rFonts w:hint="eastAsia" w:ascii="仿宋" w:hAnsi="仿宋" w:eastAsia="仿宋" w:cs="仿宋"/>
          <w:sz w:val="28"/>
          <w:szCs w:val="28"/>
          <w:highlight w:val="none"/>
          <w:lang w:eastAsia="zh-CN"/>
        </w:rPr>
        <w:t>2024年</w:t>
      </w:r>
      <w:r>
        <w:rPr>
          <w:rFonts w:hint="eastAsia" w:ascii="仿宋" w:hAnsi="仿宋" w:eastAsia="仿宋" w:cs="仿宋"/>
          <w:sz w:val="28"/>
          <w:szCs w:val="28"/>
          <w:highlight w:val="none"/>
        </w:rPr>
        <w:t>12月31日，报价人接到询价人（询价人下辖</w:t>
      </w:r>
      <w:r>
        <w:rPr>
          <w:rFonts w:hint="eastAsia" w:ascii="仿宋" w:hAnsi="仿宋" w:eastAsia="仿宋" w:cs="仿宋"/>
          <w:sz w:val="28"/>
          <w:szCs w:val="28"/>
          <w:highlight w:val="none"/>
          <w:u w:val="single"/>
        </w:rPr>
        <w:t>水质检测中心</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大坦沙、猎德、沥滘、大沙地、西朗、京溪、龙归、竹料、石井、石井净、大观、江高、健康城等净水厂</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分公司</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从化公司</w:t>
      </w:r>
      <w:r>
        <w:rPr>
          <w:rFonts w:hint="eastAsia" w:ascii="仿宋" w:hAnsi="仿宋" w:eastAsia="仿宋" w:cs="仿宋"/>
          <w:sz w:val="28"/>
          <w:szCs w:val="28"/>
          <w:highlight w:val="none"/>
        </w:rPr>
        <w:t>）校准通知后须于36小时内以书面方式向询价人下辖水质中心及各净水厂确认，并于10个工作日内到指定地点开展校准服务。报价人在校准之日起7天内，将校准证书发送至询价人下辖水质中心、各净水厂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从化公司</w:t>
      </w:r>
      <w:r>
        <w:rPr>
          <w:rFonts w:hint="eastAsia" w:ascii="仿宋" w:hAnsi="仿宋" w:eastAsia="仿宋" w:cs="仿宋"/>
          <w:sz w:val="28"/>
          <w:szCs w:val="28"/>
          <w:highlight w:val="none"/>
        </w:rPr>
        <w:t>。</w:t>
      </w:r>
    </w:p>
    <w:p>
      <w:pPr>
        <w:pStyle w:val="14"/>
        <w:spacing w:line="600" w:lineRule="exact"/>
        <w:ind w:firstLine="560" w:firstLineChars="200"/>
        <w:rPr>
          <w:rFonts w:hint="eastAsia"/>
          <w:highlight w:val="none"/>
        </w:rPr>
      </w:pPr>
      <w:r>
        <w:rPr>
          <w:rFonts w:hint="eastAsia" w:ascii="仿宋" w:hAnsi="仿宋" w:eastAsia="仿宋" w:cs="仿宋"/>
          <w:color w:val="auto"/>
          <w:kern w:val="2"/>
          <w:sz w:val="28"/>
          <w:szCs w:val="28"/>
          <w:highlight w:val="none"/>
          <w:lang w:val="zh-CN"/>
        </w:rPr>
        <w:t>其中从化部分是广州从化净水有限公司委托广州市净水有限公司进行公开询价，由中选单位与广州从化净水有限公司签订合同。</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2.质量要求：</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（1）报价人必须严格按照所采用的标准、规范及本技术协议制定校准工作方案，校准人员须具有校准相关资格证书，校准所需工具、仪器、物料等符合校准规范要求。</w:t>
      </w:r>
    </w:p>
    <w:p>
      <w:pPr>
        <w:autoSpaceDE w:val="0"/>
        <w:autoSpaceDN w:val="0"/>
        <w:spacing w:line="600" w:lineRule="atLeas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（2）校准方法须以校准项目的国家标准或行业标准等为准。</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3.询价人将自承包商履行完合同义务之日起15个工作日内组织验收，审定报价人校准/检定情况，进行结算审核。</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4.付款方式：</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承包人完成合同规定期限的校准服务工作和出具证书等服务工作后，经甲方所属水质中心、猎德、大坦沙、沥滘、大沙地、石井、京溪、龙归、竹料、石井净、大观、健康城、江高、西朗等分公司分别确认工作量和验收，由甲方所属水质中心、猎德、大坦沙、沥滘、大沙地、石井、京溪、龙归、竹料、石井净、大观、健康城、江高、西朗等分公司</w:t>
      </w:r>
      <w:r>
        <w:rPr>
          <w:rFonts w:hint="eastAsia" w:ascii="仿宋" w:hAnsi="仿宋" w:eastAsia="仿宋" w:cs="仿宋"/>
          <w:sz w:val="28"/>
          <w:szCs w:val="28"/>
          <w:highlight w:val="none"/>
          <w:lang w:val="en-US" w:eastAsia="zh-CN"/>
        </w:rPr>
        <w:t>及从化公司</w:t>
      </w:r>
      <w:r>
        <w:rPr>
          <w:rFonts w:hint="eastAsia" w:ascii="仿宋" w:hAnsi="仿宋" w:eastAsia="仿宋" w:cs="仿宋"/>
          <w:sz w:val="28"/>
          <w:szCs w:val="28"/>
          <w:highlight w:val="none"/>
        </w:rPr>
        <w:t>分别确认校准服务工作量，最终按经甲方所属分公司确认的乙方实际完成检测工作量乘以综合单价为各分公司校准费用，并由各分公司分别支付至校准费用的100%。</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（2）承包人在收款前需提交相应金额增值税专用发票给询价人所属各净水厂/分公司。</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5.承包方式：</w:t>
      </w:r>
    </w:p>
    <w:p>
      <w:pPr>
        <w:autoSpaceDE w:val="0"/>
        <w:autoSpaceDN w:val="0"/>
        <w:spacing w:line="6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（1）单价包干：</w:t>
      </w:r>
      <w:r>
        <w:rPr>
          <w:rFonts w:hint="eastAsia" w:ascii="仿宋" w:hAnsi="仿宋" w:eastAsia="仿宋" w:cs="仿宋"/>
          <w:sz w:val="28"/>
          <w:szCs w:val="28"/>
          <w:highlight w:val="none"/>
          <w:lang w:val="zh-CN"/>
        </w:rPr>
        <w:t>询价响应文件包含总价及综合单价时，</w:t>
      </w:r>
      <w:r>
        <w:rPr>
          <w:rFonts w:hint="eastAsia" w:ascii="仿宋" w:hAnsi="仿宋" w:eastAsia="仿宋" w:cs="仿宋"/>
          <w:color w:val="000000"/>
          <w:sz w:val="28"/>
          <w:szCs w:val="28"/>
          <w:highlight w:val="none"/>
          <w:lang w:val="zh-CN"/>
        </w:rPr>
        <w:t>综合单价为合同单价，合同单价在询价文件及施工合同约定的风险范围之内不可调整。</w:t>
      </w:r>
      <w:r>
        <w:rPr>
          <w:rFonts w:hint="eastAsia" w:ascii="仿宋" w:hAnsi="仿宋" w:eastAsia="仿宋" w:cs="仿宋"/>
          <w:sz w:val="28"/>
          <w:szCs w:val="28"/>
          <w:highlight w:val="none"/>
        </w:rPr>
        <w:t>。在询价人要求应急/加急情况下，承包人的综合单价应包含全部校准服务费用，不得加收额外加急费。</w:t>
      </w:r>
    </w:p>
    <w:p>
      <w:pPr>
        <w:autoSpaceDE w:val="0"/>
        <w:autoSpaceDN w:val="0"/>
        <w:spacing w:line="600" w:lineRule="atLeas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（2）承包人不具备校准能力的项目可分包第三方，原则上分包数量不能超过校准设备总量的30%，被分包人须具备</w:t>
      </w:r>
      <w:r>
        <w:rPr>
          <w:rFonts w:hint="eastAsia" w:ascii="仿宋" w:hAnsi="仿宋" w:eastAsia="仿宋" w:cs="仿宋"/>
          <w:bCs/>
          <w:sz w:val="28"/>
          <w:szCs w:val="28"/>
          <w:highlight w:val="none"/>
        </w:rPr>
        <w:t>实验室计量校准认证资质（</w:t>
      </w:r>
      <w:r>
        <w:rPr>
          <w:rFonts w:hint="eastAsia" w:ascii="仿宋" w:hAnsi="仿宋" w:eastAsia="仿宋" w:cs="仿宋"/>
          <w:sz w:val="28"/>
          <w:szCs w:val="28"/>
          <w:highlight w:val="none"/>
        </w:rPr>
        <w:t>CNAS</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zh-CN"/>
        </w:rPr>
        <w:t>，所认证的校准能力涵盖所承包的化验仪器设备校准项目，并出具</w:t>
      </w:r>
      <w:r>
        <w:rPr>
          <w:rFonts w:hint="eastAsia" w:ascii="仿宋" w:hAnsi="仿宋" w:eastAsia="仿宋" w:cs="仿宋"/>
          <w:sz w:val="28"/>
          <w:szCs w:val="28"/>
          <w:highlight w:val="none"/>
        </w:rPr>
        <w:t>CNAS</w:t>
      </w:r>
      <w:r>
        <w:rPr>
          <w:rFonts w:hint="eastAsia" w:ascii="仿宋" w:hAnsi="仿宋" w:eastAsia="仿宋" w:cs="仿宋"/>
          <w:sz w:val="28"/>
          <w:szCs w:val="28"/>
          <w:highlight w:val="none"/>
          <w:lang w:val="zh-CN"/>
        </w:rPr>
        <w:t>检测报告。</w:t>
      </w:r>
    </w:p>
    <w:p>
      <w:pPr>
        <w:pStyle w:val="2"/>
        <w:spacing w:line="600" w:lineRule="atLeast"/>
        <w:rPr>
          <w:rFonts w:hint="default" w:eastAsia="仿宋"/>
          <w:sz w:val="28"/>
          <w:szCs w:val="28"/>
          <w:highlight w:val="none"/>
          <w:lang w:val="en-US" w:eastAsia="zh-CN"/>
        </w:rPr>
      </w:pPr>
      <w:r>
        <w:rPr>
          <w:rFonts w:hint="eastAsia" w:ascii="仿宋" w:hAnsi="仿宋" w:eastAsia="仿宋" w:cs="仿宋"/>
          <w:sz w:val="28"/>
          <w:szCs w:val="28"/>
          <w:highlight w:val="none"/>
          <w:lang w:val="en-US" w:eastAsia="zh-CN"/>
        </w:rPr>
        <w:t>6.其他要求：报价单位的报价若低于本项目最高限价的60%，必须说明报价理由。</w:t>
      </w:r>
    </w:p>
    <w:p>
      <w:pPr>
        <w:pStyle w:val="10"/>
        <w:spacing w:line="60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pStyle w:val="2"/>
        <w:spacing w:line="600" w:lineRule="atLeas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color w:val="auto"/>
          <w:highlight w:val="none"/>
        </w:rPr>
      </w:pPr>
    </w:p>
    <w:p>
      <w:pPr>
        <w:pStyle w:val="4"/>
        <w:rPr>
          <w:rFonts w:hint="eastAsia"/>
          <w:highlight w:val="none"/>
        </w:rPr>
      </w:pPr>
      <w:bookmarkStart w:id="73" w:name="_Toc12135"/>
      <w:bookmarkStart w:id="74" w:name="_Toc1496"/>
      <w:bookmarkStart w:id="75" w:name="_Toc4680"/>
      <w:bookmarkStart w:id="76" w:name="_Toc25925"/>
      <w:bookmarkStart w:id="77" w:name="_Toc1284"/>
      <w:bookmarkStart w:id="78" w:name="_Toc18538"/>
      <w:bookmarkStart w:id="79" w:name="_Toc29835"/>
      <w:bookmarkStart w:id="80" w:name="_Toc23353"/>
      <w:bookmarkStart w:id="81" w:name="_Toc23330"/>
      <w:bookmarkStart w:id="82" w:name="_Toc537"/>
      <w:bookmarkStart w:id="83" w:name="_Toc15570"/>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2379980</wp:posOffset>
                </wp:positionH>
                <wp:positionV relativeFrom="paragraph">
                  <wp:posOffset>467995</wp:posOffset>
                </wp:positionV>
                <wp:extent cx="958850" cy="0"/>
                <wp:effectExtent l="0" t="0" r="0" b="0"/>
                <wp:wrapNone/>
                <wp:docPr id="16" name="直接箭头连接符 4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45" o:spid="_x0000_s1026" o:spt="32" type="#_x0000_t32" style="position:absolute;left:0pt;margin-left:187.4pt;margin-top:36.85pt;height:0pt;width:75.5pt;z-index:251674624;mso-width-relative:page;mso-height-relative:page;" filled="f" stroked="t" coordsize="21600,21600" o:gfxdata="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UYF1gAAAAkBAAAPAAAAAAAAAAEAIAAAACIAAABkcnMvZG93bnJldi54&#10;bWxQSwECFAAUAAAACACHTuJAOxAUFfwBAADtAwAADgAAAAAAAAABACAAAAAlAQAAZHJzL2Uyb0Rv&#10;Yy54bWxQSwUGAAAAAAYABgBZAQAAk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2385695</wp:posOffset>
                </wp:positionH>
                <wp:positionV relativeFrom="paragraph">
                  <wp:posOffset>93345</wp:posOffset>
                </wp:positionV>
                <wp:extent cx="958850" cy="0"/>
                <wp:effectExtent l="0" t="0" r="0" b="0"/>
                <wp:wrapNone/>
                <wp:docPr id="15" name="直接箭头连接符 4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44" o:spid="_x0000_s1026" o:spt="32" type="#_x0000_t32" style="position:absolute;left:0pt;margin-left:187.85pt;margin-top:7.35pt;height:0pt;width:75.5pt;z-index:251673600;mso-width-relative:page;mso-height-relative:page;" filled="f" stroked="t" coordsize="21600,21600" o:gfxdata="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QqUNcAAAAJAQAADwAAAAAAAAABACAAAAAiAAAAZHJzL2Rvd25yZXYu&#10;eG1sUEsBAhQAFAAAAAgAh07iQCQE+N78AQAA7QMAAA4AAAAAAAAAAQAgAAAAJgEAAGRycy9lMm9E&#10;b2MueG1sUEsFBgAAAAAGAAYAWQEAAJQFAAAAAA==&#10;">
                <v:fill on="f" focussize="0,0"/>
                <v:stroke color="#000000" joinstyle="round"/>
                <v:imagedata o:title=""/>
                <o:lock v:ext="edit" aspectratio="f"/>
              </v:shape>
            </w:pict>
          </mc:Fallback>
        </mc:AlternateContent>
      </w:r>
      <w:r>
        <w:rPr>
          <w:rFonts w:hint="eastAsia"/>
          <w:highlight w:val="none"/>
        </w:rPr>
        <w:t xml:space="preserve">   第六章</w:t>
      </w:r>
      <w:bookmarkEnd w:id="73"/>
      <w:bookmarkEnd w:id="74"/>
      <w:bookmarkEnd w:id="75"/>
      <w:bookmarkEnd w:id="76"/>
      <w:bookmarkEnd w:id="77"/>
      <w:bookmarkEnd w:id="78"/>
      <w:bookmarkEnd w:id="79"/>
      <w:bookmarkEnd w:id="80"/>
      <w:bookmarkEnd w:id="81"/>
      <w:bookmarkEnd w:id="82"/>
      <w:bookmarkEnd w:id="83"/>
    </w:p>
    <w:p>
      <w:pPr>
        <w:pStyle w:val="65"/>
        <w:rPr>
          <w:highlight w:val="none"/>
        </w:rPr>
      </w:pPr>
    </w:p>
    <w:p>
      <w:pPr>
        <w:pStyle w:val="4"/>
        <w:rPr>
          <w:highlight w:val="none"/>
        </w:rPr>
      </w:pPr>
      <w:bookmarkStart w:id="84" w:name="_Toc1375"/>
      <w:bookmarkStart w:id="85" w:name="_Toc12980"/>
      <w:bookmarkStart w:id="86" w:name="_Toc13309"/>
      <w:bookmarkStart w:id="87" w:name="_Toc19088"/>
      <w:bookmarkStart w:id="88" w:name="_Toc8183"/>
      <w:bookmarkStart w:id="89" w:name="_Toc22501"/>
      <w:bookmarkStart w:id="90" w:name="_Toc323"/>
      <w:bookmarkStart w:id="91" w:name="_Toc19686"/>
      <w:bookmarkStart w:id="92" w:name="_Toc87616386"/>
      <w:bookmarkStart w:id="93" w:name="_Toc88209949"/>
      <w:bookmarkStart w:id="94" w:name="_Toc22797"/>
      <w:bookmarkStart w:id="95" w:name="_Toc12968"/>
      <w:bookmarkStart w:id="96" w:name="_Toc12721"/>
      <w:r>
        <w:rPr>
          <w:rFonts w:hint="eastAsia"/>
          <w:highlight w:val="none"/>
          <w:lang w:val="en-US" w:eastAsia="zh-CN"/>
        </w:rPr>
        <w:t xml:space="preserve">  </w:t>
      </w:r>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rPr>
          <w:rFonts w:hint="eastAsia" w:ascii="宋体" w:hAnsi="宋体"/>
          <w:b/>
          <w:sz w:val="28"/>
          <w:szCs w:val="28"/>
          <w:highlight w:val="none"/>
        </w:rPr>
      </w:pPr>
      <w:r>
        <w:rPr>
          <w:rFonts w:hint="eastAsia" w:ascii="宋体" w:hAnsi="宋体"/>
          <w:b/>
          <w:sz w:val="28"/>
          <w:szCs w:val="28"/>
          <w:highlight w:val="none"/>
        </w:rPr>
        <w:t xml:space="preserve">                             </w:t>
      </w:r>
    </w:p>
    <w:p>
      <w:pPr>
        <w:rPr>
          <w:rFonts w:hint="eastAsia" w:ascii="宋体" w:hAnsi="宋体"/>
          <w:b/>
          <w:sz w:val="28"/>
          <w:szCs w:val="28"/>
          <w:highlight w:val="none"/>
        </w:rPr>
      </w:pPr>
    </w:p>
    <w:p>
      <w:pPr>
        <w:jc w:val="right"/>
        <w:rPr>
          <w:rFonts w:hint="eastAsia" w:ascii="宋体" w:hAnsi="宋体"/>
          <w:b/>
          <w:sz w:val="28"/>
          <w:szCs w:val="28"/>
          <w:highlight w:val="none"/>
        </w:rPr>
      </w:pPr>
    </w:p>
    <w:p>
      <w:pPr>
        <w:rPr>
          <w:rFonts w:hint="eastAsia" w:eastAsia="仿宋_GB2312"/>
          <w:b/>
          <w:sz w:val="28"/>
          <w:szCs w:val="28"/>
          <w:highlight w:val="none"/>
        </w:rPr>
      </w:pPr>
    </w:p>
    <w:p>
      <w:pPr>
        <w:pStyle w:val="23"/>
        <w:rPr>
          <w:rFonts w:hint="eastAsia" w:eastAsia="仿宋_GB2312"/>
          <w:b/>
          <w:sz w:val="28"/>
          <w:szCs w:val="28"/>
          <w:highlight w:val="none"/>
        </w:rPr>
      </w:pPr>
    </w:p>
    <w:p>
      <w:pPr>
        <w:jc w:val="center"/>
        <w:rPr>
          <w:rFonts w:hint="eastAsia"/>
          <w:b/>
          <w:sz w:val="52"/>
          <w:szCs w:val="84"/>
          <w:highlight w:val="none"/>
          <w:lang w:val="en-US" w:eastAsia="zh-CN"/>
        </w:rPr>
      </w:pPr>
    </w:p>
    <w:p>
      <w:pPr>
        <w:jc w:val="center"/>
        <w:rPr>
          <w:rFonts w:hint="eastAsia"/>
          <w:b/>
          <w:sz w:val="52"/>
          <w:szCs w:val="84"/>
          <w:highlight w:val="none"/>
          <w:lang w:val="en-US" w:eastAsia="zh-CN"/>
        </w:rPr>
      </w:pPr>
    </w:p>
    <w:p>
      <w:pPr>
        <w:jc w:val="center"/>
        <w:rPr>
          <w:b/>
          <w:sz w:val="52"/>
          <w:szCs w:val="84"/>
          <w:highlight w:val="none"/>
        </w:rPr>
      </w:pPr>
      <w:r>
        <w:rPr>
          <w:rFonts w:hint="eastAsia"/>
          <w:b/>
          <w:sz w:val="52"/>
          <w:szCs w:val="84"/>
          <w:highlight w:val="none"/>
          <w:lang w:val="en-US" w:eastAsia="zh-CN"/>
        </w:rPr>
        <w:t>校准</w:t>
      </w:r>
      <w:r>
        <w:rPr>
          <w:b/>
          <w:sz w:val="52"/>
          <w:szCs w:val="84"/>
          <w:highlight w:val="none"/>
        </w:rPr>
        <w:t>服务合同</w:t>
      </w:r>
    </w:p>
    <w:p>
      <w:pPr>
        <w:jc w:val="center"/>
        <w:rPr>
          <w:sz w:val="30"/>
          <w:highlight w:val="none"/>
        </w:rPr>
      </w:pPr>
    </w:p>
    <w:p>
      <w:pPr>
        <w:rPr>
          <w:sz w:val="30"/>
          <w:highlight w:val="none"/>
        </w:rPr>
      </w:pPr>
    </w:p>
    <w:p>
      <w:pPr>
        <w:ind w:left="1500" w:hanging="1500" w:hangingChars="500"/>
        <w:rPr>
          <w:rFonts w:hint="default" w:ascii="Calibri" w:hAnsi="Calibri" w:eastAsia="宋体" w:cs="Times New Roman"/>
          <w:b/>
          <w:bCs/>
          <w:color w:val="000000"/>
          <w:sz w:val="30"/>
          <w:szCs w:val="30"/>
          <w:highlight w:val="none"/>
          <w:u w:val="none"/>
        </w:rPr>
      </w:pPr>
      <w:r>
        <w:rPr>
          <w:sz w:val="30"/>
          <w:highlight w:val="none"/>
        </w:rPr>
        <w:t>项目名称：</w:t>
      </w:r>
      <w:r>
        <w:rPr>
          <w:rFonts w:hint="default" w:eastAsia="宋体" w:cs="Times New Roman"/>
          <w:b/>
          <w:bCs/>
          <w:color w:val="000000"/>
          <w:sz w:val="30"/>
          <w:szCs w:val="30"/>
          <w:highlight w:val="none"/>
          <w:u w:val="none"/>
        </w:rPr>
        <w:t>广州市净水有限公司</w:t>
      </w:r>
      <w:r>
        <w:rPr>
          <w:rFonts w:hint="default" w:ascii="Calibri" w:hAnsi="Calibri" w:eastAsia="宋体" w:cs="Times New Roman"/>
          <w:b/>
          <w:bCs/>
          <w:color w:val="000000"/>
          <w:sz w:val="30"/>
          <w:szCs w:val="30"/>
          <w:highlight w:val="none"/>
          <w:u w:val="none"/>
        </w:rPr>
        <w:t>2024年化验仪器设备第三方校准服务项目</w:t>
      </w:r>
    </w:p>
    <w:p>
      <w:pPr>
        <w:rPr>
          <w:sz w:val="30"/>
          <w:szCs w:val="30"/>
          <w:highlight w:val="none"/>
        </w:rPr>
      </w:pPr>
      <w:r>
        <w:rPr>
          <w:sz w:val="30"/>
          <w:highlight w:val="none"/>
        </w:rPr>
        <w:t>合同编号：</w:t>
      </w:r>
      <w:r>
        <w:rPr>
          <w:b/>
          <w:bCs/>
          <w:color w:val="000000"/>
          <w:sz w:val="30"/>
          <w:szCs w:val="30"/>
          <w:highlight w:val="none"/>
        </w:rPr>
        <w:t xml:space="preserve">穗净水合[ </w:t>
      </w:r>
      <w:r>
        <w:rPr>
          <w:rFonts w:hint="eastAsia"/>
          <w:b/>
          <w:bCs/>
          <w:color w:val="000000"/>
          <w:sz w:val="30"/>
          <w:szCs w:val="30"/>
          <w:highlight w:val="none"/>
          <w:lang w:val="en-US" w:eastAsia="zh-CN"/>
        </w:rPr>
        <w:t>2024</w:t>
      </w:r>
      <w:r>
        <w:rPr>
          <w:b/>
          <w:bCs/>
          <w:color w:val="000000"/>
          <w:sz w:val="30"/>
          <w:szCs w:val="30"/>
          <w:highlight w:val="none"/>
        </w:rPr>
        <w:t xml:space="preserve"> ]    号</w:t>
      </w:r>
    </w:p>
    <w:p>
      <w:pPr>
        <w:rPr>
          <w:sz w:val="30"/>
          <w:szCs w:val="30"/>
          <w:highlight w:val="none"/>
        </w:rPr>
      </w:pPr>
      <w:r>
        <w:rPr>
          <w:rFonts w:hint="eastAsia"/>
          <w:sz w:val="30"/>
          <w:szCs w:val="30"/>
          <w:highlight w:val="none"/>
        </w:rPr>
        <w:t>项目编号：</w:t>
      </w:r>
    </w:p>
    <w:p>
      <w:pPr>
        <w:jc w:val="center"/>
        <w:rPr>
          <w:sz w:val="30"/>
          <w:szCs w:val="30"/>
          <w:highlight w:val="none"/>
        </w:rPr>
      </w:pPr>
    </w:p>
    <w:p>
      <w:pPr>
        <w:rPr>
          <w:color w:val="000000"/>
          <w:sz w:val="30"/>
          <w:szCs w:val="30"/>
          <w:highlight w:val="none"/>
        </w:rPr>
      </w:pPr>
    </w:p>
    <w:p>
      <w:pPr>
        <w:rPr>
          <w:rFonts w:hint="eastAsia"/>
          <w:color w:val="000000"/>
          <w:sz w:val="30"/>
          <w:highlight w:val="none"/>
        </w:rPr>
      </w:pPr>
    </w:p>
    <w:p>
      <w:pPr>
        <w:rPr>
          <w:rFonts w:hint="eastAsia"/>
          <w:color w:val="000000"/>
          <w:sz w:val="30"/>
          <w:highlight w:val="none"/>
        </w:rPr>
      </w:pPr>
    </w:p>
    <w:p>
      <w:pPr>
        <w:rPr>
          <w:color w:val="000000"/>
          <w:sz w:val="30"/>
          <w:highlight w:val="none"/>
          <w:u w:val="single"/>
        </w:rPr>
      </w:pPr>
      <w:r>
        <w:rPr>
          <w:rFonts w:hint="eastAsia"/>
          <w:color w:val="000000"/>
          <w:sz w:val="30"/>
          <w:highlight w:val="none"/>
        </w:rPr>
        <w:t>甲方：</w:t>
      </w:r>
      <w:r>
        <w:rPr>
          <w:rFonts w:hint="eastAsia"/>
          <w:color w:val="000000"/>
          <w:sz w:val="30"/>
          <w:highlight w:val="none"/>
          <w:u w:val="single"/>
        </w:rPr>
        <w:t>广州市净水有限公司</w:t>
      </w:r>
    </w:p>
    <w:p>
      <w:pPr>
        <w:rPr>
          <w:rFonts w:hint="default" w:eastAsia="宋体"/>
          <w:color w:val="000000"/>
          <w:sz w:val="30"/>
          <w:highlight w:val="none"/>
          <w:lang w:val="en-US" w:eastAsia="zh-CN"/>
        </w:rPr>
      </w:pPr>
      <w:r>
        <w:rPr>
          <w:rFonts w:hint="eastAsia"/>
          <w:color w:val="000000"/>
          <w:sz w:val="30"/>
          <w:highlight w:val="none"/>
        </w:rPr>
        <w:t>乙方：</w:t>
      </w:r>
      <w:r>
        <w:rPr>
          <w:rFonts w:hint="eastAsia"/>
          <w:color w:val="000000"/>
          <w:sz w:val="30"/>
          <w:highlight w:val="none"/>
          <w:u w:val="single"/>
          <w:lang w:val="en-US" w:eastAsia="zh-CN"/>
        </w:rPr>
        <w:t xml:space="preserve">                      </w:t>
      </w:r>
    </w:p>
    <w:p>
      <w:pPr>
        <w:rPr>
          <w:rFonts w:hint="eastAsia"/>
          <w:color w:val="000000"/>
          <w:sz w:val="30"/>
          <w:highlight w:val="none"/>
        </w:rPr>
      </w:pPr>
    </w:p>
    <w:p>
      <w:pPr>
        <w:rPr>
          <w:rFonts w:hint="eastAsia"/>
          <w:color w:val="000000"/>
          <w:sz w:val="30"/>
          <w:highlight w:val="none"/>
        </w:rPr>
      </w:pPr>
    </w:p>
    <w:p>
      <w:pPr>
        <w:rPr>
          <w:rFonts w:hint="eastAsia"/>
          <w:color w:val="000000"/>
          <w:sz w:val="30"/>
          <w:highlight w:val="none"/>
        </w:rPr>
      </w:pPr>
    </w:p>
    <w:p>
      <w:pPr>
        <w:rPr>
          <w:rFonts w:hint="eastAsia"/>
          <w:color w:val="000000"/>
          <w:sz w:val="30"/>
          <w:highlight w:val="none"/>
        </w:rPr>
      </w:pPr>
      <w:r>
        <w:rPr>
          <w:rFonts w:hint="eastAsia"/>
          <w:color w:val="000000"/>
          <w:sz w:val="30"/>
          <w:highlight w:val="none"/>
        </w:rPr>
        <w:t>签订日期：</w:t>
      </w:r>
      <w:r>
        <w:rPr>
          <w:color w:val="000000"/>
          <w:sz w:val="30"/>
          <w:highlight w:val="none"/>
        </w:rPr>
        <w:t xml:space="preserve">   </w:t>
      </w:r>
      <w:r>
        <w:rPr>
          <w:rFonts w:hint="eastAsia"/>
          <w:color w:val="000000"/>
          <w:sz w:val="30"/>
          <w:highlight w:val="none"/>
        </w:rPr>
        <w:t xml:space="preserve">     </w:t>
      </w:r>
      <w:r>
        <w:rPr>
          <w:color w:val="000000"/>
          <w:sz w:val="30"/>
          <w:highlight w:val="none"/>
        </w:rPr>
        <w:t xml:space="preserve"> </w:t>
      </w:r>
      <w:r>
        <w:rPr>
          <w:rFonts w:hint="eastAsia"/>
          <w:color w:val="000000"/>
          <w:sz w:val="30"/>
          <w:highlight w:val="none"/>
        </w:rPr>
        <w:t xml:space="preserve">年   </w:t>
      </w:r>
      <w:r>
        <w:rPr>
          <w:color w:val="000000"/>
          <w:sz w:val="30"/>
          <w:highlight w:val="none"/>
        </w:rPr>
        <w:t xml:space="preserve">   </w:t>
      </w:r>
      <w:r>
        <w:rPr>
          <w:rFonts w:hint="eastAsia"/>
          <w:color w:val="000000"/>
          <w:sz w:val="30"/>
          <w:highlight w:val="none"/>
        </w:rPr>
        <w:t>月</w:t>
      </w:r>
      <w:r>
        <w:rPr>
          <w:color w:val="000000"/>
          <w:sz w:val="30"/>
          <w:highlight w:val="none"/>
        </w:rPr>
        <w:t xml:space="preserve">  </w:t>
      </w:r>
      <w:r>
        <w:rPr>
          <w:rFonts w:hint="eastAsia"/>
          <w:color w:val="000000"/>
          <w:sz w:val="30"/>
          <w:highlight w:val="none"/>
        </w:rPr>
        <w:t xml:space="preserve"> </w:t>
      </w:r>
      <w:r>
        <w:rPr>
          <w:color w:val="000000"/>
          <w:sz w:val="30"/>
          <w:highlight w:val="none"/>
        </w:rPr>
        <w:t xml:space="preserve">   </w:t>
      </w:r>
      <w:r>
        <w:rPr>
          <w:rFonts w:hint="eastAsia"/>
          <w:color w:val="000000"/>
          <w:sz w:val="30"/>
          <w:highlight w:val="none"/>
        </w:rPr>
        <w:t>日</w:t>
      </w:r>
    </w:p>
    <w:p>
      <w:pPr>
        <w:rPr>
          <w:color w:val="000000"/>
          <w:sz w:val="30"/>
          <w:highlight w:val="none"/>
        </w:rPr>
      </w:pPr>
      <w:r>
        <w:rPr>
          <w:rFonts w:hint="eastAsia"/>
          <w:color w:val="000000"/>
          <w:sz w:val="30"/>
          <w:highlight w:val="none"/>
        </w:rPr>
        <w:t>签约地点：广州市</w:t>
      </w:r>
    </w:p>
    <w:p>
      <w:pPr>
        <w:rPr>
          <w:color w:val="000000"/>
          <w:highlight w:val="none"/>
        </w:rPr>
        <w:sectPr>
          <w:headerReference r:id="rId5" w:type="default"/>
          <w:footerReference r:id="rId7" w:type="default"/>
          <w:headerReference r:id="rId6" w:type="even"/>
          <w:footerReference r:id="rId8" w:type="even"/>
          <w:type w:val="continuous"/>
          <w:pgSz w:w="11907" w:h="16840"/>
          <w:pgMar w:top="1701" w:right="1701" w:bottom="1701" w:left="1701" w:header="851" w:footer="992" w:gutter="0"/>
          <w:pgBorders>
            <w:top w:val="none" w:sz="0" w:space="0"/>
            <w:left w:val="none" w:sz="0" w:space="0"/>
            <w:bottom w:val="none" w:sz="0" w:space="0"/>
            <w:right w:val="none" w:sz="0" w:space="0"/>
          </w:pgBorders>
          <w:cols w:space="720" w:num="1"/>
          <w:docGrid w:type="linesAndChars" w:linePitch="381" w:charSpace="0"/>
        </w:sectPr>
      </w:pPr>
    </w:p>
    <w:p>
      <w:pPr>
        <w:spacing w:after="156" w:afterLines="50" w:line="480" w:lineRule="exact"/>
        <w:ind w:firstLine="480" w:firstLineChars="200"/>
        <w:rPr>
          <w:bCs/>
          <w:sz w:val="24"/>
          <w:highlight w:val="none"/>
        </w:rPr>
      </w:pPr>
      <w:r>
        <w:rPr>
          <w:rFonts w:hint="eastAsia"/>
          <w:bCs/>
          <w:sz w:val="24"/>
          <w:highlight w:val="none"/>
        </w:rPr>
        <w:t>根据《中华人民共和国民法典》及其他有关法律、行政法规，</w:t>
      </w:r>
      <w:r>
        <w:rPr>
          <w:rFonts w:hint="eastAsia"/>
          <w:bCs/>
          <w:sz w:val="24"/>
          <w:highlight w:val="none"/>
          <w:u w:val="single"/>
        </w:rPr>
        <w:t>广州市净水有限公司</w:t>
      </w:r>
      <w:r>
        <w:rPr>
          <w:bCs/>
          <w:sz w:val="24"/>
          <w:highlight w:val="none"/>
        </w:rPr>
        <w:t xml:space="preserve"> </w:t>
      </w:r>
      <w:r>
        <w:rPr>
          <w:rFonts w:hint="eastAsia"/>
          <w:bCs/>
          <w:sz w:val="24"/>
          <w:highlight w:val="none"/>
        </w:rPr>
        <w:t>（以下简称“甲方”）与</w:t>
      </w:r>
      <w:r>
        <w:rPr>
          <w:rFonts w:hint="eastAsia"/>
          <w:bCs/>
          <w:sz w:val="24"/>
          <w:highlight w:val="none"/>
          <w:u w:val="single"/>
          <w:lang w:val="en-US" w:eastAsia="zh-CN"/>
        </w:rPr>
        <w:t xml:space="preserve">                </w:t>
      </w:r>
      <w:r>
        <w:rPr>
          <w:rFonts w:hint="eastAsia"/>
          <w:bCs/>
          <w:sz w:val="24"/>
          <w:highlight w:val="none"/>
        </w:rPr>
        <w:t>（以下简称“乙方”）就</w:t>
      </w:r>
      <w:r>
        <w:rPr>
          <w:rFonts w:hint="eastAsia"/>
          <w:bCs/>
          <w:sz w:val="24"/>
          <w:highlight w:val="none"/>
          <w:u w:val="single"/>
        </w:rPr>
        <w:t>广州市净水有限公司</w:t>
      </w:r>
      <w:r>
        <w:rPr>
          <w:rFonts w:hint="eastAsia"/>
          <w:bCs/>
          <w:sz w:val="24"/>
          <w:highlight w:val="none"/>
          <w:u w:val="single"/>
          <w:lang w:eastAsia="zh-CN"/>
        </w:rPr>
        <w:t>2024年化验仪器设备第三方校准服务项目</w:t>
      </w:r>
      <w:r>
        <w:rPr>
          <w:rFonts w:hint="eastAsia"/>
          <w:bCs/>
          <w:sz w:val="24"/>
          <w:highlight w:val="none"/>
        </w:rPr>
        <w:t>开展相关指标校准服务工作</w:t>
      </w:r>
      <w:bookmarkStart w:id="97" w:name="_Toc474245210"/>
      <w:bookmarkStart w:id="98" w:name="_Toc518992986"/>
      <w:bookmarkStart w:id="99" w:name="_Toc183666513"/>
      <w:bookmarkStart w:id="100" w:name="_Toc520190026"/>
      <w:bookmarkStart w:id="101" w:name="_Toc1018"/>
      <w:r>
        <w:rPr>
          <w:rFonts w:hint="eastAsia"/>
          <w:bCs/>
          <w:sz w:val="24"/>
          <w:highlight w:val="none"/>
        </w:rPr>
        <w:t>。为明确双方的权利和义务，甲乙双方经友好协商，签订本合同。</w:t>
      </w:r>
    </w:p>
    <w:p>
      <w:pPr>
        <w:spacing w:after="156" w:afterLines="50" w:line="480" w:lineRule="exact"/>
        <w:ind w:firstLine="482" w:firstLineChars="200"/>
        <w:rPr>
          <w:rFonts w:ascii="宋体" w:hAnsi="宋体" w:cs="宋体"/>
          <w:b/>
          <w:bCs/>
          <w:color w:val="000000"/>
          <w:sz w:val="24"/>
          <w:highlight w:val="none"/>
        </w:rPr>
      </w:pPr>
      <w:r>
        <w:rPr>
          <w:rFonts w:ascii="宋体" w:hAnsi="宋体" w:cs="宋体"/>
          <w:b/>
          <w:bCs/>
          <w:color w:val="000000"/>
          <w:sz w:val="24"/>
          <w:highlight w:val="none"/>
        </w:rPr>
        <w:t>第一条 组成合同的文件及优先顺序</w:t>
      </w:r>
    </w:p>
    <w:p>
      <w:pPr>
        <w:spacing w:line="480" w:lineRule="exact"/>
        <w:ind w:firstLine="480" w:firstLineChars="200"/>
        <w:rPr>
          <w:rFonts w:ascii="宋体" w:hAnsi="宋体" w:cs="宋体"/>
          <w:color w:val="000000"/>
          <w:sz w:val="24"/>
          <w:highlight w:val="none"/>
        </w:rPr>
      </w:pPr>
      <w:r>
        <w:rPr>
          <w:rFonts w:hint="eastAsia" w:hAnsi="宋体" w:cs="宋体"/>
          <w:bCs/>
          <w:color w:val="000000"/>
          <w:sz w:val="24"/>
          <w:highlight w:val="none"/>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⑴</w:t>
      </w:r>
      <w:r>
        <w:rPr>
          <w:rFonts w:ascii="宋体" w:hAnsi="宋体" w:cs="宋体"/>
          <w:color w:val="000000"/>
          <w:sz w:val="24"/>
          <w:highlight w:val="none"/>
        </w:rPr>
        <w:t xml:space="preserve"> </w:t>
      </w:r>
      <w:r>
        <w:rPr>
          <w:rFonts w:hint="eastAsia" w:ascii="宋体" w:hAnsi="宋体" w:cs="宋体"/>
          <w:color w:val="000000"/>
          <w:sz w:val="24"/>
          <w:highlight w:val="none"/>
        </w:rPr>
        <w:t>在本合同实施过程双方签署的补充与修正文件；</w:t>
      </w:r>
    </w:p>
    <w:p>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⑵</w:t>
      </w:r>
      <w:r>
        <w:rPr>
          <w:rFonts w:ascii="宋体" w:hAnsi="宋体" w:cs="宋体"/>
          <w:color w:val="000000"/>
          <w:sz w:val="24"/>
          <w:highlight w:val="none"/>
        </w:rPr>
        <w:t xml:space="preserve"> </w:t>
      </w:r>
      <w:r>
        <w:rPr>
          <w:rFonts w:hint="eastAsia" w:ascii="宋体" w:hAnsi="宋体" w:cs="宋体"/>
          <w:color w:val="000000"/>
          <w:sz w:val="24"/>
          <w:highlight w:val="none"/>
        </w:rPr>
        <w:t>本合同书；</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⑶ 发包通知书；</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⑷ 询价文件；</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⑸ 响应文件；</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⑹ 标准、规范及有关技术性文件；</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 xml:space="preserve">⑺ </w:t>
      </w:r>
      <w:r>
        <w:rPr>
          <w:rFonts w:hint="eastAsia" w:ascii="宋体" w:hAnsi="宋体" w:cs="宋体"/>
          <w:color w:val="000000"/>
          <w:sz w:val="24"/>
          <w:highlight w:val="none"/>
        </w:rPr>
        <w:t>工程报价单</w:t>
      </w:r>
      <w:r>
        <w:rPr>
          <w:rFonts w:hint="eastAsia" w:ascii="宋体" w:hAnsi="宋体" w:cs="宋体"/>
          <w:bCs/>
          <w:color w:val="000000"/>
          <w:sz w:val="24"/>
          <w:highlight w:val="none"/>
        </w:rPr>
        <w:t>；</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⑻ 本合同其他附件；</w:t>
      </w:r>
    </w:p>
    <w:p>
      <w:pPr>
        <w:spacing w:line="480" w:lineRule="exact"/>
        <w:ind w:firstLine="482" w:firstLineChars="200"/>
        <w:rPr>
          <w:rFonts w:ascii="宋体" w:hAnsi="宋体" w:cs="宋体"/>
          <w:bCs/>
          <w:sz w:val="24"/>
          <w:highlight w:val="none"/>
        </w:rPr>
      </w:pPr>
      <w:bookmarkStart w:id="102" w:name="_Toc107446842"/>
      <w:bookmarkStart w:id="103" w:name="_Toc107447235"/>
      <w:bookmarkStart w:id="104" w:name="_Toc26357"/>
      <w:bookmarkStart w:id="105" w:name="_Toc520190027"/>
      <w:bookmarkStart w:id="106" w:name="_Toc474245211"/>
      <w:bookmarkStart w:id="107" w:name="_Toc518992987"/>
      <w:bookmarkStart w:id="108" w:name="_Toc183666514"/>
      <w:r>
        <w:rPr>
          <w:rFonts w:hint="eastAsia" w:ascii="宋体" w:hAnsi="宋体" w:cs="宋体"/>
          <w:b/>
          <w:bCs/>
          <w:sz w:val="24"/>
          <w:highlight w:val="none"/>
        </w:rPr>
        <w:t>第二条</w:t>
      </w:r>
      <w:r>
        <w:rPr>
          <w:rFonts w:ascii="宋体" w:hAnsi="宋体" w:cs="宋体"/>
          <w:b/>
          <w:bCs/>
          <w:sz w:val="24"/>
          <w:highlight w:val="none"/>
        </w:rPr>
        <w:t xml:space="preserve"> </w:t>
      </w:r>
      <w:r>
        <w:rPr>
          <w:rFonts w:hint="eastAsia" w:ascii="宋体" w:hAnsi="宋体" w:cs="宋体"/>
          <w:b/>
          <w:sz w:val="24"/>
          <w:highlight w:val="none"/>
        </w:rPr>
        <w:t>服务范围</w:t>
      </w:r>
    </w:p>
    <w:p>
      <w:pPr>
        <w:pStyle w:val="56"/>
        <w:spacing w:line="480" w:lineRule="exact"/>
        <w:ind w:firstLine="480" w:firstLineChars="200"/>
        <w:rPr>
          <w:rFonts w:hint="eastAsia" w:ascii="Times New Roman" w:eastAsia="宋体" w:cs="Times New Roman"/>
          <w:bCs/>
          <w:color w:val="auto"/>
          <w:kern w:val="2"/>
          <w:highlight w:val="none"/>
        </w:rPr>
      </w:pPr>
      <w:r>
        <w:rPr>
          <w:rFonts w:ascii="Times New Roman" w:eastAsia="宋体" w:cs="Times New Roman"/>
          <w:bCs/>
          <w:color w:val="auto"/>
          <w:kern w:val="2"/>
          <w:highlight w:val="none"/>
        </w:rPr>
        <w:t>2.1根据甲方对化验仪器设备校准要求，乙方受甲方委托负责化验仪器设备校准服务，并出具校准证书。服务内容</w:t>
      </w:r>
      <w:r>
        <w:rPr>
          <w:rFonts w:hint="eastAsia" w:ascii="Times New Roman" w:eastAsia="宋体" w:cs="Times New Roman"/>
          <w:bCs/>
          <w:color w:val="auto"/>
          <w:kern w:val="2"/>
          <w:highlight w:val="none"/>
        </w:rPr>
        <w:t>详见附件2。</w:t>
      </w:r>
    </w:p>
    <w:p>
      <w:pPr>
        <w:spacing w:after="156" w:afterLines="50" w:line="480" w:lineRule="exact"/>
        <w:ind w:firstLine="480" w:firstLineChars="200"/>
        <w:rPr>
          <w:rFonts w:hint="eastAsia"/>
          <w:bCs/>
          <w:sz w:val="24"/>
          <w:highlight w:val="none"/>
        </w:rPr>
      </w:pPr>
      <w:r>
        <w:rPr>
          <w:rFonts w:hint="eastAsia"/>
          <w:bCs/>
          <w:sz w:val="24"/>
          <w:highlight w:val="none"/>
        </w:rPr>
        <w:t>备注：其中电子天平、安全阀及压力表</w:t>
      </w:r>
      <w:r>
        <w:rPr>
          <w:rFonts w:hint="eastAsia"/>
          <w:bCs/>
          <w:sz w:val="24"/>
          <w:highlight w:val="none"/>
          <w:lang w:val="en-US" w:eastAsia="zh-CN"/>
        </w:rPr>
        <w:t>等仪器设备</w:t>
      </w:r>
      <w:r>
        <w:rPr>
          <w:rFonts w:hint="eastAsia"/>
          <w:bCs/>
          <w:sz w:val="24"/>
          <w:highlight w:val="none"/>
        </w:rPr>
        <w:t>需检定，乙方若无检定资质，可委托法定计量检定机构（如</w:t>
      </w:r>
      <w:r>
        <w:rPr>
          <w:bCs/>
          <w:sz w:val="24"/>
          <w:highlight w:val="none"/>
        </w:rPr>
        <w:t>广州计量检测技术研究院</w:t>
      </w:r>
      <w:r>
        <w:rPr>
          <w:rFonts w:hint="eastAsia"/>
          <w:bCs/>
          <w:sz w:val="24"/>
          <w:highlight w:val="none"/>
        </w:rPr>
        <w:t>、广东省计量科学研究院等）进行检定。</w:t>
      </w:r>
    </w:p>
    <w:p>
      <w:pPr>
        <w:spacing w:after="156" w:afterLines="50" w:line="480" w:lineRule="exact"/>
        <w:ind w:firstLine="480" w:firstLineChars="200"/>
        <w:rPr>
          <w:bCs/>
          <w:sz w:val="24"/>
          <w:highlight w:val="none"/>
        </w:rPr>
      </w:pPr>
      <w:r>
        <w:rPr>
          <w:bCs/>
          <w:sz w:val="24"/>
          <w:highlight w:val="none"/>
        </w:rPr>
        <w:t>2.2服务工期及</w:t>
      </w:r>
      <w:r>
        <w:rPr>
          <w:rFonts w:hint="eastAsia"/>
          <w:bCs/>
          <w:sz w:val="24"/>
          <w:highlight w:val="none"/>
          <w:lang w:val="en-US" w:eastAsia="zh-CN"/>
        </w:rPr>
        <w:t>校准证书</w:t>
      </w:r>
    </w:p>
    <w:p>
      <w:pPr>
        <w:spacing w:after="156" w:afterLines="50" w:line="480" w:lineRule="exact"/>
        <w:ind w:firstLine="480" w:firstLineChars="200"/>
        <w:rPr>
          <w:bCs/>
          <w:sz w:val="24"/>
          <w:highlight w:val="none"/>
        </w:rPr>
      </w:pPr>
      <w:r>
        <w:rPr>
          <w:bCs/>
          <w:sz w:val="24"/>
          <w:highlight w:val="none"/>
        </w:rPr>
        <w:t>服务工期：合同签订之日起至</w:t>
      </w:r>
      <w:r>
        <w:rPr>
          <w:rFonts w:hint="eastAsia"/>
          <w:bCs/>
          <w:sz w:val="24"/>
          <w:highlight w:val="none"/>
          <w:lang w:eastAsia="zh-CN"/>
        </w:rPr>
        <w:t>2024</w:t>
      </w:r>
      <w:r>
        <w:rPr>
          <w:bCs/>
          <w:sz w:val="24"/>
          <w:highlight w:val="none"/>
        </w:rPr>
        <w:t>年12月31日。</w:t>
      </w:r>
    </w:p>
    <w:p>
      <w:pPr>
        <w:spacing w:after="156" w:afterLines="50" w:line="480" w:lineRule="exact"/>
        <w:ind w:firstLine="480" w:firstLineChars="200"/>
        <w:rPr>
          <w:rFonts w:hint="eastAsia"/>
          <w:bCs/>
          <w:sz w:val="24"/>
          <w:highlight w:val="none"/>
        </w:rPr>
      </w:pPr>
      <w:r>
        <w:rPr>
          <w:bCs/>
          <w:sz w:val="24"/>
          <w:highlight w:val="none"/>
        </w:rPr>
        <w:t>乙方接到</w:t>
      </w:r>
      <w:r>
        <w:rPr>
          <w:rFonts w:hint="default"/>
          <w:bCs/>
          <w:sz w:val="24"/>
          <w:highlight w:val="none"/>
          <w:lang w:val="en-US" w:eastAsia="zh-CN"/>
        </w:rPr>
        <w:t>甲方（其所属各单位）</w:t>
      </w:r>
      <w:r>
        <w:rPr>
          <w:bCs/>
          <w:sz w:val="24"/>
          <w:highlight w:val="none"/>
        </w:rPr>
        <w:t>校准通知后须于36小时内以书面方式向</w:t>
      </w:r>
      <w:r>
        <w:rPr>
          <w:rFonts w:hint="default"/>
          <w:bCs/>
          <w:sz w:val="24"/>
          <w:highlight w:val="none"/>
          <w:lang w:val="en-US" w:eastAsia="zh-CN"/>
        </w:rPr>
        <w:t>甲方（其所属各单位）</w:t>
      </w:r>
      <w:r>
        <w:rPr>
          <w:bCs/>
          <w:sz w:val="24"/>
          <w:highlight w:val="none"/>
        </w:rPr>
        <w:t>确认，并于10个工作日内到指定地点开展校准服务。</w:t>
      </w:r>
      <w:r>
        <w:rPr>
          <w:rFonts w:hint="eastAsia"/>
          <w:bCs/>
          <w:sz w:val="24"/>
          <w:highlight w:val="none"/>
        </w:rPr>
        <w:t>在校准之日起5-7个工作日内，将校准证书发送至甲方（其所属各单位）。</w:t>
      </w:r>
    </w:p>
    <w:p>
      <w:pPr>
        <w:pStyle w:val="2"/>
        <w:rPr>
          <w:rFonts w:hint="eastAsia"/>
          <w:bCs/>
          <w:sz w:val="24"/>
          <w:highlight w:val="none"/>
          <w:u w:val="none"/>
          <w:lang w:val="en-US" w:eastAsia="zh-CN"/>
        </w:rPr>
      </w:pPr>
      <w:r>
        <w:rPr>
          <w:rFonts w:hint="eastAsia" w:eastAsia="宋体" w:cs="宋体"/>
          <w:bCs/>
          <w:color w:val="auto"/>
          <w:kern w:val="2"/>
          <w:sz w:val="24"/>
          <w:szCs w:val="22"/>
          <w:highlight w:val="none"/>
        </w:rPr>
        <w:t>2.</w:t>
      </w:r>
      <w:r>
        <w:rPr>
          <w:rFonts w:hint="eastAsia" w:eastAsia="宋体" w:cs="宋体"/>
          <w:bCs/>
          <w:color w:val="auto"/>
          <w:kern w:val="2"/>
          <w:sz w:val="24"/>
          <w:szCs w:val="22"/>
          <w:highlight w:val="none"/>
          <w:lang w:val="en-US" w:eastAsia="zh-CN"/>
        </w:rPr>
        <w:t>3</w:t>
      </w:r>
      <w:r>
        <w:rPr>
          <w:rFonts w:hint="eastAsia" w:eastAsia="宋体" w:cs="宋体"/>
          <w:bCs/>
          <w:color w:val="auto"/>
          <w:kern w:val="2"/>
          <w:sz w:val="24"/>
          <w:szCs w:val="22"/>
          <w:highlight w:val="none"/>
        </w:rPr>
        <w:t>服务</w:t>
      </w:r>
      <w:r>
        <w:rPr>
          <w:rFonts w:hint="eastAsia" w:eastAsia="宋体" w:cs="宋体"/>
          <w:bCs/>
          <w:color w:val="auto"/>
          <w:kern w:val="2"/>
          <w:sz w:val="24"/>
          <w:szCs w:val="22"/>
          <w:highlight w:val="none"/>
          <w:lang w:val="en-US" w:eastAsia="zh-CN"/>
        </w:rPr>
        <w:t>单位</w:t>
      </w:r>
      <w:r>
        <w:rPr>
          <w:rFonts w:hint="eastAsia" w:ascii="宋体" w:hAnsi="宋体" w:eastAsia="宋体" w:cs="宋体"/>
          <w:bCs/>
          <w:sz w:val="24"/>
          <w:highlight w:val="none"/>
          <w:lang w:val="en-US" w:eastAsia="zh-CN"/>
        </w:rPr>
        <w:t>：</w:t>
      </w:r>
      <w:r>
        <w:rPr>
          <w:rFonts w:hint="eastAsia"/>
          <w:bCs/>
          <w:sz w:val="24"/>
          <w:highlight w:val="none"/>
          <w:u w:val="single"/>
          <w:lang w:val="en-US" w:eastAsia="zh-CN"/>
        </w:rPr>
        <w:t xml:space="preserve">      </w:t>
      </w:r>
      <w:r>
        <w:rPr>
          <w:rFonts w:hint="eastAsia"/>
          <w:bCs/>
          <w:sz w:val="24"/>
          <w:highlight w:val="none"/>
          <w:u w:val="none"/>
          <w:lang w:val="en-US" w:eastAsia="zh-CN"/>
        </w:rPr>
        <w:t>。</w:t>
      </w:r>
    </w:p>
    <w:p>
      <w:pPr>
        <w:pStyle w:val="2"/>
        <w:numPr>
          <w:ilvl w:val="-1"/>
          <w:numId w:val="0"/>
        </w:numPr>
        <w:ind w:left="0" w:firstLine="480" w:firstLineChars="200"/>
        <w:rPr>
          <w:rFonts w:ascii="宋体" w:hAnsi="宋体" w:eastAsia="宋体" w:cs="宋体"/>
          <w:sz w:val="24"/>
          <w:szCs w:val="24"/>
          <w:highlight w:val="none"/>
          <w:u w:val="none"/>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lang w:eastAsia="zh-CN"/>
        </w:rPr>
        <w:t>）</w:t>
      </w:r>
      <w:r>
        <w:rPr>
          <w:rFonts w:ascii="宋体" w:hAnsi="宋体" w:eastAsia="宋体" w:cs="宋体"/>
          <w:sz w:val="24"/>
          <w:szCs w:val="24"/>
          <w:highlight w:val="none"/>
          <w:u w:val="none"/>
        </w:rPr>
        <w:t>甲方下辖水质中心、猎德分公司、大坦沙分公司、沥滘分公司、大沙地分公司、京溪分公司、石井分公司、石井净分公司、龙归分公司、竹料分公司、健康城分公司、大观分公司、江高分公司、西朗分公司。</w:t>
      </w:r>
    </w:p>
    <w:p>
      <w:pPr>
        <w:pStyle w:val="2"/>
        <w:numPr>
          <w:ilvl w:val="-1"/>
          <w:numId w:val="0"/>
        </w:numPr>
        <w:ind w:left="0" w:firstLine="480" w:firstLineChars="200"/>
        <w:rPr>
          <w:rFonts w:hint="default" w:eastAsia="等线"/>
          <w:bCs/>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w:t>
      </w:r>
      <w:r>
        <w:rPr>
          <w:rFonts w:ascii="宋体" w:hAnsi="宋体" w:eastAsia="宋体" w:cs="宋体"/>
          <w:sz w:val="24"/>
          <w:szCs w:val="24"/>
          <w:highlight w:val="none"/>
          <w:u w:val="none"/>
        </w:rPr>
        <w:t>从化公司</w:t>
      </w:r>
    </w:p>
    <w:p>
      <w:pPr>
        <w:widowControl/>
        <w:spacing w:after="160" w:line="480" w:lineRule="exact"/>
        <w:ind w:firstLine="482" w:firstLineChars="200"/>
        <w:jc w:val="left"/>
        <w:rPr>
          <w:b/>
          <w:bCs/>
          <w:sz w:val="24"/>
          <w:highlight w:val="none"/>
        </w:rPr>
      </w:pPr>
      <w:r>
        <w:rPr>
          <w:b/>
          <w:bCs/>
          <w:sz w:val="24"/>
          <w:highlight w:val="none"/>
        </w:rPr>
        <w:t>第三条 合同价格</w:t>
      </w:r>
    </w:p>
    <w:p>
      <w:pPr>
        <w:spacing w:after="156" w:afterLines="50" w:line="480" w:lineRule="exact"/>
        <w:ind w:firstLine="480" w:firstLineChars="200"/>
        <w:rPr>
          <w:bCs/>
          <w:sz w:val="24"/>
          <w:highlight w:val="none"/>
        </w:rPr>
      </w:pPr>
      <w:r>
        <w:rPr>
          <w:bCs/>
          <w:sz w:val="24"/>
          <w:highlight w:val="none"/>
        </w:rPr>
        <w:t>3.1本合同</w:t>
      </w:r>
      <w:r>
        <w:rPr>
          <w:rFonts w:hint="eastAsia"/>
          <w:bCs/>
          <w:sz w:val="24"/>
          <w:highlight w:val="none"/>
        </w:rPr>
        <w:t>暂定</w:t>
      </w:r>
      <w:r>
        <w:rPr>
          <w:bCs/>
          <w:sz w:val="24"/>
          <w:highlight w:val="none"/>
        </w:rPr>
        <w:t>总价为</w:t>
      </w:r>
      <w:r>
        <w:rPr>
          <w:rFonts w:hint="eastAsia"/>
          <w:bCs/>
          <w:sz w:val="24"/>
          <w:highlight w:val="none"/>
          <w:u w:val="single"/>
          <w:lang w:val="en-US" w:eastAsia="zh-CN"/>
        </w:rPr>
        <w:t xml:space="preserve">               </w:t>
      </w:r>
      <w:r>
        <w:rPr>
          <w:bCs/>
          <w:sz w:val="24"/>
          <w:highlight w:val="none"/>
        </w:rPr>
        <w:t>元，（人民币）大</w:t>
      </w:r>
      <w:r>
        <w:rPr>
          <w:rFonts w:hint="eastAsia"/>
          <w:bCs/>
          <w:sz w:val="24"/>
          <w:highlight w:val="none"/>
        </w:rPr>
        <w:t>写</w:t>
      </w:r>
      <w:r>
        <w:rPr>
          <w:bCs/>
          <w:sz w:val="24"/>
          <w:highlight w:val="none"/>
        </w:rPr>
        <w:t>：</w:t>
      </w:r>
      <w:r>
        <w:rPr>
          <w:rFonts w:hint="eastAsia"/>
          <w:bCs/>
          <w:sz w:val="24"/>
          <w:highlight w:val="none"/>
          <w:u w:val="single"/>
          <w:lang w:val="en-US" w:eastAsia="zh-CN"/>
        </w:rPr>
        <w:t xml:space="preserve">        </w:t>
      </w:r>
      <w:r>
        <w:rPr>
          <w:bCs/>
          <w:sz w:val="24"/>
          <w:highlight w:val="none"/>
        </w:rPr>
        <w:t xml:space="preserve">。 </w:t>
      </w:r>
    </w:p>
    <w:p>
      <w:pPr>
        <w:spacing w:after="156" w:afterLines="50" w:line="480" w:lineRule="exact"/>
        <w:ind w:firstLine="480" w:firstLineChars="200"/>
        <w:rPr>
          <w:bCs/>
          <w:sz w:val="24"/>
          <w:highlight w:val="none"/>
        </w:rPr>
      </w:pPr>
      <w:r>
        <w:rPr>
          <w:bCs/>
          <w:sz w:val="24"/>
          <w:highlight w:val="none"/>
        </w:rPr>
        <w:t>3.2</w:t>
      </w:r>
      <w:r>
        <w:rPr>
          <w:rFonts w:hint="eastAsia"/>
          <w:bCs/>
          <w:sz w:val="24"/>
          <w:highlight w:val="none"/>
          <w:lang w:val="en-US" w:eastAsia="zh-CN"/>
        </w:rPr>
        <w:t>合同</w:t>
      </w:r>
      <w:r>
        <w:rPr>
          <w:rFonts w:hint="default"/>
          <w:bCs/>
          <w:sz w:val="24"/>
          <w:highlight w:val="none"/>
          <w:lang w:val="en-US"/>
        </w:rPr>
        <w:t>价格</w:t>
      </w:r>
      <w:r>
        <w:rPr>
          <w:bCs/>
          <w:sz w:val="24"/>
          <w:highlight w:val="none"/>
        </w:rPr>
        <w:t>包括了校准所需车辆、人员、工具、仪器、物料、运输保存、校准和复测、证书出具</w:t>
      </w:r>
      <w:r>
        <w:rPr>
          <w:rFonts w:hint="eastAsia"/>
          <w:bCs/>
          <w:sz w:val="24"/>
          <w:highlight w:val="none"/>
          <w:lang w:eastAsia="zh-CN"/>
        </w:rPr>
        <w:t>、税率</w:t>
      </w:r>
      <w:r>
        <w:rPr>
          <w:bCs/>
          <w:sz w:val="24"/>
          <w:highlight w:val="none"/>
        </w:rPr>
        <w:t>等的全部费用。</w:t>
      </w:r>
    </w:p>
    <w:p>
      <w:pPr>
        <w:spacing w:after="156" w:afterLines="50" w:line="480" w:lineRule="exact"/>
        <w:ind w:firstLine="480" w:firstLineChars="200"/>
        <w:rPr>
          <w:bCs/>
          <w:sz w:val="24"/>
          <w:highlight w:val="none"/>
        </w:rPr>
      </w:pPr>
      <w:r>
        <w:rPr>
          <w:bCs/>
          <w:sz w:val="24"/>
          <w:highlight w:val="none"/>
        </w:rPr>
        <w:t>3.3承包方式为单价包干，按实</w:t>
      </w:r>
      <w:r>
        <w:rPr>
          <w:rFonts w:hint="eastAsia"/>
          <w:bCs/>
          <w:sz w:val="24"/>
          <w:highlight w:val="none"/>
          <w:lang w:val="en-US" w:eastAsia="zh-CN"/>
        </w:rPr>
        <w:t>支付费用</w:t>
      </w:r>
      <w:r>
        <w:rPr>
          <w:bCs/>
          <w:sz w:val="24"/>
          <w:highlight w:val="none"/>
        </w:rPr>
        <w:t>。合同单价在合同有效期内为不变价。乙方已经充分考虑本合同履行期间的市场风险和国家政策性调整风险系数，并已计入报价，因此合同单价今后不因任何因素而作调整。</w:t>
      </w:r>
    </w:p>
    <w:p>
      <w:pPr>
        <w:tabs>
          <w:tab w:val="left" w:pos="851"/>
        </w:tabs>
        <w:adjustRightInd w:val="0"/>
        <w:snapToGrid w:val="0"/>
        <w:spacing w:line="384" w:lineRule="auto"/>
        <w:ind w:firstLine="480" w:firstLineChars="200"/>
        <w:rPr>
          <w:rFonts w:hint="default" w:eastAsia="宋体"/>
          <w:highlight w:val="none"/>
          <w:lang w:val="en-US" w:eastAsia="zh-CN"/>
        </w:rPr>
      </w:pPr>
      <w:r>
        <w:rPr>
          <w:rFonts w:hint="eastAsia"/>
          <w:bCs/>
          <w:sz w:val="24"/>
          <w:highlight w:val="none"/>
          <w:lang w:val="en-US" w:eastAsia="zh-CN"/>
        </w:rPr>
        <w:t>3.4</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hint="eastAsia" w:ascii="宋体" w:hAnsi="宋体" w:cs="宋体"/>
          <w:sz w:val="24"/>
          <w:highlight w:val="none"/>
          <w:lang w:eastAsia="zh-CN"/>
        </w:rPr>
        <w:t>：</w:t>
      </w:r>
      <w:r>
        <w:rPr>
          <w:rFonts w:hint="eastAsia" w:ascii="宋体" w:hAnsi="宋体" w:cs="宋体"/>
          <w:sz w:val="24"/>
          <w:highlight w:val="non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spacing w:after="156" w:afterLines="50" w:line="480" w:lineRule="exact"/>
        <w:ind w:firstLine="482" w:firstLineChars="200"/>
        <w:rPr>
          <w:b/>
          <w:sz w:val="24"/>
          <w:highlight w:val="none"/>
        </w:rPr>
      </w:pPr>
      <w:bookmarkStart w:id="109" w:name="_Toc520190029"/>
      <w:bookmarkStart w:id="110" w:name="_Toc474245213"/>
      <w:bookmarkStart w:id="111" w:name="_Toc518992989"/>
      <w:bookmarkStart w:id="112" w:name="_Toc107447236"/>
      <w:bookmarkStart w:id="113" w:name="_Toc107446843"/>
      <w:r>
        <w:rPr>
          <w:b/>
          <w:sz w:val="24"/>
          <w:highlight w:val="none"/>
        </w:rPr>
        <w:t>第四条 服务要求</w:t>
      </w:r>
    </w:p>
    <w:p>
      <w:pPr>
        <w:spacing w:after="156" w:afterLines="50" w:line="480" w:lineRule="exact"/>
        <w:ind w:firstLine="480" w:firstLineChars="200"/>
        <w:rPr>
          <w:bCs/>
          <w:sz w:val="24"/>
          <w:highlight w:val="none"/>
        </w:rPr>
      </w:pPr>
      <w:r>
        <w:rPr>
          <w:bCs/>
          <w:sz w:val="24"/>
          <w:highlight w:val="none"/>
        </w:rPr>
        <w:t>4.1.双方签订《安全协议书》，</w:t>
      </w:r>
      <w:r>
        <w:rPr>
          <w:rFonts w:hint="eastAsia"/>
          <w:bCs/>
          <w:sz w:val="24"/>
          <w:highlight w:val="none"/>
          <w:lang w:val="en-US" w:eastAsia="zh-CN"/>
        </w:rPr>
        <w:t>乙方</w:t>
      </w:r>
      <w:r>
        <w:rPr>
          <w:bCs/>
          <w:sz w:val="24"/>
          <w:highlight w:val="none"/>
        </w:rPr>
        <w:t>自觉遵守甲方管理单位安全生产相关的管理制度，承担安全主体责任。</w:t>
      </w:r>
    </w:p>
    <w:p>
      <w:pPr>
        <w:spacing w:after="156" w:afterLines="50" w:line="480" w:lineRule="exact"/>
        <w:ind w:firstLine="480" w:firstLineChars="200"/>
        <w:rPr>
          <w:bCs/>
          <w:sz w:val="24"/>
          <w:highlight w:val="none"/>
        </w:rPr>
      </w:pPr>
      <w:r>
        <w:rPr>
          <w:bCs/>
          <w:sz w:val="24"/>
          <w:highlight w:val="none"/>
        </w:rPr>
        <w:t>4.2.</w:t>
      </w:r>
      <w:r>
        <w:rPr>
          <w:rFonts w:hint="eastAsia" w:ascii="宋体" w:hAnsi="宋体" w:cs="宋体"/>
          <w:bCs/>
          <w:sz w:val="24"/>
          <w:highlight w:val="none"/>
        </w:rPr>
        <w:t>乙方将校准计划报告甲方，</w:t>
      </w:r>
      <w:r>
        <w:rPr>
          <w:bCs/>
          <w:sz w:val="24"/>
          <w:highlight w:val="none"/>
        </w:rPr>
        <w:t>经甲方审核同意后开展服务工作。</w:t>
      </w:r>
    </w:p>
    <w:p>
      <w:pPr>
        <w:spacing w:after="156" w:afterLines="50" w:line="480" w:lineRule="exact"/>
        <w:ind w:firstLine="480" w:firstLineChars="200"/>
        <w:rPr>
          <w:bCs/>
          <w:sz w:val="24"/>
          <w:highlight w:val="none"/>
        </w:rPr>
      </w:pPr>
      <w:r>
        <w:rPr>
          <w:bCs/>
          <w:sz w:val="24"/>
          <w:highlight w:val="none"/>
        </w:rPr>
        <w:t>4.3.校准结果必须公平公正，不受外界影响；校准结果提供符合相关标准的纸质版校准证书和提供纸质版校准证书扫描件。</w:t>
      </w:r>
    </w:p>
    <w:p>
      <w:pPr>
        <w:spacing w:after="156" w:afterLines="50" w:line="480" w:lineRule="exact"/>
        <w:ind w:firstLine="480" w:firstLineChars="200"/>
        <w:rPr>
          <w:bCs/>
          <w:sz w:val="24"/>
          <w:highlight w:val="none"/>
        </w:rPr>
      </w:pPr>
      <w:r>
        <w:rPr>
          <w:bCs/>
          <w:sz w:val="24"/>
          <w:highlight w:val="none"/>
        </w:rPr>
        <w:t>4.4.本合同工作范围应包括</w:t>
      </w:r>
      <w:r>
        <w:rPr>
          <w:rFonts w:hint="eastAsia"/>
          <w:bCs/>
          <w:sz w:val="24"/>
          <w:highlight w:val="none"/>
          <w:lang w:val="en-US" w:eastAsia="zh-CN"/>
        </w:rPr>
        <w:t>乙方</w:t>
      </w:r>
      <w:r>
        <w:rPr>
          <w:bCs/>
          <w:sz w:val="24"/>
          <w:highlight w:val="none"/>
        </w:rPr>
        <w:t>提供所有需要的材料、人力以及其他校准设备，完成合同文件里规定的工作和校准服务，并达到预期的目标。</w:t>
      </w:r>
    </w:p>
    <w:p>
      <w:pPr>
        <w:pStyle w:val="2"/>
        <w:rPr>
          <w:rFonts w:hint="default" w:eastAsia="等线"/>
          <w:highlight w:val="none"/>
          <w:lang w:val="en-US" w:eastAsia="zh-CN"/>
        </w:rPr>
      </w:pPr>
      <w:r>
        <w:rPr>
          <w:rFonts w:hint="default" w:ascii="Calibri" w:hAnsi="Calibri" w:eastAsia="宋体"/>
          <w:bCs/>
          <w:color w:val="auto"/>
          <w:kern w:val="2"/>
          <w:sz w:val="24"/>
          <w:szCs w:val="22"/>
          <w:highlight w:val="none"/>
          <w:lang w:val="en-US" w:eastAsia="zh-CN"/>
        </w:rPr>
        <w:t>4.5乙方须对校准数据、甲方（其所属各单位）提供的所有资料以及双方履行本项目所交往的资料负有保密义务。未经甲方（其所属各单位）书面同意，乙方不得将上述资料向第三方转让或复制或另作他用。在乙方服务期间，所有甲方和乙方双方签署确认的文件（包括会议纪要、补充协议、往来信函）即成为本项目的有效组成部分。</w:t>
      </w:r>
    </w:p>
    <w:p>
      <w:pPr>
        <w:autoSpaceDE w:val="0"/>
        <w:autoSpaceDN w:val="0"/>
        <w:adjustRightInd w:val="0"/>
        <w:spacing w:line="480" w:lineRule="exact"/>
        <w:ind w:firstLine="482" w:firstLineChars="200"/>
        <w:rPr>
          <w:rFonts w:ascii="宋体" w:hAnsi="宋体" w:cs="宋体"/>
          <w:b/>
          <w:color w:val="000000"/>
          <w:sz w:val="24"/>
          <w:highlight w:val="none"/>
        </w:rPr>
      </w:pPr>
      <w:r>
        <w:rPr>
          <w:rFonts w:hint="eastAsia" w:ascii="宋体" w:hAnsi="宋体" w:cs="宋体"/>
          <w:b/>
          <w:color w:val="000000"/>
          <w:sz w:val="24"/>
          <w:highlight w:val="none"/>
        </w:rPr>
        <w:t>第五条</w:t>
      </w:r>
      <w:r>
        <w:rPr>
          <w:rFonts w:ascii="宋体" w:hAnsi="宋体" w:cs="宋体"/>
          <w:b/>
          <w:color w:val="000000"/>
          <w:sz w:val="24"/>
          <w:highlight w:val="none"/>
        </w:rPr>
        <w:t xml:space="preserve"> </w:t>
      </w:r>
      <w:r>
        <w:rPr>
          <w:rFonts w:hint="eastAsia" w:ascii="宋体" w:hAnsi="宋体" w:cs="宋体"/>
          <w:b/>
          <w:color w:val="000000"/>
          <w:sz w:val="24"/>
          <w:highlight w:val="none"/>
        </w:rPr>
        <w:t>支付方式</w:t>
      </w:r>
      <w:bookmarkEnd w:id="109"/>
      <w:bookmarkEnd w:id="110"/>
      <w:bookmarkEnd w:id="111"/>
    </w:p>
    <w:bookmarkEnd w:id="112"/>
    <w:bookmarkEnd w:id="113"/>
    <w:p>
      <w:pPr>
        <w:tabs>
          <w:tab w:val="left" w:pos="851"/>
        </w:tabs>
        <w:adjustRightInd w:val="0"/>
        <w:snapToGrid w:val="0"/>
        <w:spacing w:line="480" w:lineRule="exact"/>
        <w:ind w:firstLine="480" w:firstLineChars="200"/>
        <w:rPr>
          <w:rFonts w:ascii="宋体" w:hAnsi="宋体" w:cs="宋体"/>
          <w:sz w:val="24"/>
          <w:highlight w:val="none"/>
        </w:rPr>
      </w:pPr>
      <w:bookmarkStart w:id="114" w:name="_Toc14703"/>
      <w:bookmarkStart w:id="115" w:name="_Toc183666516"/>
      <w:r>
        <w:rPr>
          <w:rFonts w:ascii="宋体" w:hAnsi="宋体" w:cs="宋体"/>
          <w:sz w:val="24"/>
          <w:highlight w:val="none"/>
        </w:rPr>
        <w:t>5.1</w:t>
      </w:r>
      <w:r>
        <w:rPr>
          <w:rFonts w:hint="eastAsia" w:ascii="宋体" w:hAnsi="宋体" w:cs="宋体"/>
          <w:bCs/>
          <w:sz w:val="24"/>
          <w:highlight w:val="none"/>
        </w:rPr>
        <w:t>预付款的支付：</w:t>
      </w:r>
      <w:r>
        <w:rPr>
          <w:rFonts w:ascii="Wingdings 2" w:hAnsi="Wingdings 2" w:cs="宋体"/>
          <w:szCs w:val="21"/>
          <w:highlight w:val="none"/>
        </w:rPr>
        <w:sym w:font="Wingdings 2" w:char="F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□有，</w:t>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10</w:t>
      </w:r>
      <w:r>
        <w:rPr>
          <w:rFonts w:hint="eastAsia" w:ascii="宋体" w:hAnsi="宋体" w:cs="宋体"/>
          <w:bCs/>
          <w:sz w:val="24"/>
          <w:highlight w:val="none"/>
        </w:rPr>
        <w:t>个工作日内，甲方支付合同暂定总价的</w:t>
      </w:r>
      <w:r>
        <w:rPr>
          <w:rFonts w:ascii="宋体" w:hAnsi="宋体" w:cs="宋体"/>
          <w:bCs/>
          <w:sz w:val="24"/>
          <w:highlight w:val="none"/>
        </w:rPr>
        <w:t xml:space="preserve"> </w:t>
      </w:r>
      <w:r>
        <w:rPr>
          <w:rFonts w:ascii="宋体" w:hAnsi="宋体" w:cs="宋体"/>
          <w:bCs/>
          <w:sz w:val="24"/>
          <w:highlight w:val="none"/>
          <w:u w:val="single"/>
        </w:rPr>
        <w:t xml:space="preserve">  30%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480" w:lineRule="exact"/>
        <w:ind w:firstLine="480" w:firstLineChars="200"/>
        <w:rPr>
          <w:sz w:val="24"/>
          <w:highlight w:val="none"/>
        </w:rPr>
      </w:pPr>
      <w:r>
        <w:rPr>
          <w:sz w:val="24"/>
          <w:highlight w:val="none"/>
        </w:rPr>
        <w:t xml:space="preserve">5.2 </w:t>
      </w:r>
      <w:r>
        <w:rPr>
          <w:rFonts w:hint="eastAsia" w:ascii="宋体" w:hAnsi="宋体" w:cs="宋体"/>
          <w:sz w:val="24"/>
          <w:highlight w:val="none"/>
        </w:rPr>
        <w:t>支付方式：</w:t>
      </w:r>
    </w:p>
    <w:p>
      <w:pPr>
        <w:spacing w:line="480" w:lineRule="exact"/>
        <w:ind w:firstLine="480" w:firstLineChars="200"/>
        <w:rPr>
          <w:rFonts w:ascii="Times New Roman" w:hAnsi="Times New Roman" w:eastAsia="宋体" w:cs="Times New Roman"/>
          <w:color w:val="auto"/>
          <w:sz w:val="24"/>
          <w:highlight w:val="none"/>
        </w:rPr>
      </w:pPr>
      <w:r>
        <w:rPr>
          <w:sz w:val="24"/>
          <w:highlight w:val="none"/>
        </w:rPr>
        <w:t>5.2.1乙方完成合同规定期限的校准和出具证书等服务工作后，经</w:t>
      </w:r>
      <w:r>
        <w:rPr>
          <w:rFonts w:hint="default"/>
          <w:bCs/>
          <w:sz w:val="24"/>
          <w:highlight w:val="none"/>
          <w:lang w:val="en-US" w:eastAsia="zh-CN"/>
        </w:rPr>
        <w:t>甲方（其所属各单位</w:t>
      </w:r>
      <w:r>
        <w:rPr>
          <w:rFonts w:hint="eastAsia"/>
          <w:bCs/>
          <w:sz w:val="24"/>
          <w:highlight w:val="none"/>
          <w:lang w:val="en-US" w:eastAsia="zh-CN"/>
        </w:rPr>
        <w:t>：</w:t>
      </w:r>
      <w:r>
        <w:rPr>
          <w:rFonts w:hint="eastAsia"/>
          <w:bCs/>
          <w:sz w:val="24"/>
          <w:highlight w:val="none"/>
          <w:u w:val="single"/>
          <w:lang w:val="en-US" w:eastAsia="zh-CN"/>
        </w:rPr>
        <w:t xml:space="preserve">      </w:t>
      </w:r>
      <w:r>
        <w:rPr>
          <w:rFonts w:hint="default"/>
          <w:bCs/>
          <w:sz w:val="24"/>
          <w:highlight w:val="none"/>
          <w:lang w:val="en-US" w:eastAsia="zh-CN"/>
        </w:rPr>
        <w:t>）</w:t>
      </w:r>
      <w:r>
        <w:rPr>
          <w:sz w:val="24"/>
          <w:highlight w:val="none"/>
        </w:rPr>
        <w:t>分别确认工作量和验收，由甲方所属</w:t>
      </w:r>
      <w:r>
        <w:rPr>
          <w:rFonts w:hint="eastAsia"/>
          <w:sz w:val="24"/>
          <w:highlight w:val="none"/>
          <w:lang w:val="en-US" w:eastAsia="zh-CN"/>
        </w:rPr>
        <w:t>各单位</w:t>
      </w:r>
      <w:r>
        <w:rPr>
          <w:rFonts w:ascii="Times New Roman" w:hAnsi="Times New Roman" w:eastAsia="宋体" w:cs="Times New Roman"/>
          <w:color w:val="auto"/>
          <w:sz w:val="24"/>
          <w:highlight w:val="none"/>
        </w:rPr>
        <w:t>分别</w:t>
      </w:r>
      <w:r>
        <w:rPr>
          <w:rFonts w:hint="default" w:ascii="Times New Roman" w:hAnsi="Times New Roman" w:eastAsia="宋体" w:cs="Times New Roman"/>
          <w:color w:val="auto"/>
          <w:sz w:val="24"/>
          <w:highlight w:val="none"/>
          <w:lang w:val="en-US" w:eastAsia="zh-CN"/>
        </w:rPr>
        <w:t>确认</w:t>
      </w:r>
      <w:r>
        <w:rPr>
          <w:rFonts w:ascii="Times New Roman" w:hAnsi="Times New Roman" w:eastAsia="宋体" w:cs="Times New Roman"/>
          <w:color w:val="auto"/>
          <w:sz w:val="24"/>
          <w:highlight w:val="none"/>
        </w:rPr>
        <w:t>校准服务工作量，</w:t>
      </w:r>
      <w:r>
        <w:rPr>
          <w:rFonts w:hint="default" w:ascii="Times New Roman" w:hAnsi="Times New Roman" w:eastAsia="宋体" w:cs="Times New Roman"/>
          <w:bCs w:val="0"/>
          <w:sz w:val="24"/>
          <w:highlight w:val="none"/>
        </w:rPr>
        <w:t>最终按经甲方</w:t>
      </w:r>
      <w:r>
        <w:rPr>
          <w:rFonts w:hint="default" w:ascii="Times New Roman" w:hAnsi="Times New Roman" w:eastAsia="宋体" w:cs="Times New Roman"/>
          <w:bCs w:val="0"/>
          <w:sz w:val="24"/>
          <w:highlight w:val="none"/>
          <w:lang w:val="en-US" w:eastAsia="zh-CN"/>
        </w:rPr>
        <w:t>所属</w:t>
      </w:r>
      <w:r>
        <w:rPr>
          <w:rFonts w:hint="eastAsia" w:ascii="Times New Roman" w:hAnsi="Times New Roman" w:cs="Times New Roman"/>
          <w:bCs w:val="0"/>
          <w:sz w:val="24"/>
          <w:highlight w:val="none"/>
          <w:lang w:val="en-US" w:eastAsia="zh-CN"/>
        </w:rPr>
        <w:t>各单位</w:t>
      </w:r>
      <w:r>
        <w:rPr>
          <w:rFonts w:hint="default" w:ascii="Times New Roman" w:hAnsi="Times New Roman" w:eastAsia="宋体" w:cs="Times New Roman"/>
          <w:bCs w:val="0"/>
          <w:sz w:val="24"/>
          <w:highlight w:val="none"/>
        </w:rPr>
        <w:t>确认的乙方实际完成检测工作</w:t>
      </w:r>
      <w:r>
        <w:rPr>
          <w:rFonts w:hint="default" w:ascii="Times New Roman" w:hAnsi="Times New Roman" w:eastAsia="宋体" w:cs="Times New Roman"/>
          <w:bCs w:val="0"/>
          <w:color w:val="auto"/>
          <w:sz w:val="24"/>
          <w:highlight w:val="none"/>
        </w:rPr>
        <w:t>量乘以综合单价</w:t>
      </w:r>
      <w:r>
        <w:rPr>
          <w:rFonts w:hint="default"/>
          <w:color w:val="auto"/>
          <w:sz w:val="24"/>
          <w:highlight w:val="none"/>
          <w:lang w:eastAsia="zh-CN"/>
        </w:rPr>
        <w:t>（</w:t>
      </w:r>
      <w:r>
        <w:rPr>
          <w:rFonts w:hint="default" w:ascii="Times New Roman" w:eastAsia="宋体" w:cs="Times New Roman"/>
          <w:bCs w:val="0"/>
          <w:color w:val="auto"/>
          <w:kern w:val="2"/>
          <w:sz w:val="24"/>
          <w:highlight w:val="none"/>
        </w:rPr>
        <w:t>详见附件2</w:t>
      </w:r>
      <w:r>
        <w:rPr>
          <w:rFonts w:hint="eastAsia" w:cs="Times New Roman"/>
          <w:bCs w:val="0"/>
          <w:color w:val="auto"/>
          <w:kern w:val="2"/>
          <w:sz w:val="24"/>
          <w:highlight w:val="none"/>
          <w:lang w:val="en-US" w:eastAsia="zh-CN"/>
        </w:rPr>
        <w:t>报价单</w:t>
      </w:r>
      <w:r>
        <w:rPr>
          <w:rFonts w:hint="default"/>
          <w:color w:val="auto"/>
          <w:sz w:val="24"/>
          <w:highlight w:val="none"/>
          <w:lang w:eastAsia="zh-CN"/>
        </w:rPr>
        <w:t>）</w:t>
      </w:r>
      <w:r>
        <w:rPr>
          <w:rFonts w:hint="default" w:ascii="Times New Roman" w:hAnsi="Times New Roman" w:eastAsia="宋体" w:cs="Times New Roman"/>
          <w:bCs w:val="0"/>
          <w:color w:val="auto"/>
          <w:sz w:val="24"/>
          <w:highlight w:val="none"/>
          <w:lang w:val="en-US" w:eastAsia="zh-CN"/>
        </w:rPr>
        <w:t>为各</w:t>
      </w:r>
      <w:r>
        <w:rPr>
          <w:rFonts w:hint="eastAsia" w:ascii="Times New Roman" w:hAnsi="Times New Roman" w:cs="Times New Roman"/>
          <w:bCs w:val="0"/>
          <w:color w:val="auto"/>
          <w:sz w:val="24"/>
          <w:highlight w:val="none"/>
          <w:lang w:val="en-US" w:eastAsia="zh-CN"/>
        </w:rPr>
        <w:t>单位</w:t>
      </w:r>
      <w:r>
        <w:rPr>
          <w:rFonts w:hint="default" w:ascii="Times New Roman" w:hAnsi="Times New Roman" w:eastAsia="宋体" w:cs="Times New Roman"/>
          <w:bCs w:val="0"/>
          <w:color w:val="auto"/>
          <w:sz w:val="24"/>
          <w:highlight w:val="none"/>
          <w:lang w:val="en-US" w:eastAsia="zh-CN"/>
        </w:rPr>
        <w:t>校准</w:t>
      </w:r>
      <w:r>
        <w:rPr>
          <w:rFonts w:hint="default" w:ascii="Times New Roman" w:hAnsi="Times New Roman" w:eastAsia="宋体" w:cs="Times New Roman"/>
          <w:bCs w:val="0"/>
          <w:sz w:val="24"/>
          <w:highlight w:val="none"/>
          <w:lang w:val="en-US" w:eastAsia="zh-CN"/>
        </w:rPr>
        <w:t>费用，并由各</w:t>
      </w:r>
      <w:r>
        <w:rPr>
          <w:rFonts w:hint="eastAsia" w:ascii="Times New Roman" w:hAnsi="Times New Roman" w:cs="Times New Roman"/>
          <w:bCs w:val="0"/>
          <w:sz w:val="24"/>
          <w:highlight w:val="none"/>
          <w:lang w:val="en-US" w:eastAsia="zh-CN"/>
        </w:rPr>
        <w:t>所属单位</w:t>
      </w:r>
      <w:r>
        <w:rPr>
          <w:rFonts w:hint="eastAsia" w:ascii="Times New Roman" w:hAnsi="Times New Roman" w:eastAsia="宋体" w:cs="Times New Roman"/>
          <w:bCs w:val="0"/>
          <w:sz w:val="24"/>
          <w:highlight w:val="none"/>
          <w:lang w:val="en-US" w:eastAsia="zh-CN"/>
        </w:rPr>
        <w:t>分别</w:t>
      </w:r>
      <w:r>
        <w:rPr>
          <w:rFonts w:ascii="Times New Roman" w:hAnsi="Times New Roman" w:eastAsia="宋体" w:cs="Times New Roman"/>
          <w:color w:val="auto"/>
          <w:sz w:val="24"/>
          <w:highlight w:val="none"/>
        </w:rPr>
        <w:t>支付至</w:t>
      </w:r>
      <w:r>
        <w:rPr>
          <w:rFonts w:hint="default" w:ascii="Times New Roman" w:hAnsi="Times New Roman" w:eastAsia="宋体" w:cs="Times New Roman"/>
          <w:color w:val="auto"/>
          <w:sz w:val="24"/>
          <w:highlight w:val="none"/>
          <w:lang w:val="en-US" w:eastAsia="zh-CN"/>
        </w:rPr>
        <w:t>校准费用</w:t>
      </w:r>
      <w:r>
        <w:rPr>
          <w:rFonts w:ascii="Times New Roman" w:hAnsi="Times New Roman" w:eastAsia="宋体" w:cs="Times New Roman"/>
          <w:color w:val="auto"/>
          <w:sz w:val="24"/>
          <w:highlight w:val="none"/>
        </w:rPr>
        <w:t>的100%。</w:t>
      </w:r>
    </w:p>
    <w:p>
      <w:pPr>
        <w:spacing w:line="480" w:lineRule="exact"/>
        <w:ind w:firstLine="480" w:firstLineChars="200"/>
        <w:rPr>
          <w:sz w:val="24"/>
          <w:highlight w:val="none"/>
        </w:rPr>
      </w:pPr>
      <w:r>
        <w:rPr>
          <w:sz w:val="24"/>
          <w:highlight w:val="none"/>
        </w:rPr>
        <w:t>5.2.2乙方收款账户：</w:t>
      </w:r>
      <w:r>
        <w:rPr>
          <w:rFonts w:hint="eastAsia"/>
          <w:sz w:val="24"/>
          <w:highlight w:val="none"/>
          <w:u w:val="single"/>
          <w:lang w:val="en-US" w:eastAsia="zh-CN"/>
        </w:rPr>
        <w:t xml:space="preserve">                  </w:t>
      </w:r>
      <w:r>
        <w:rPr>
          <w:sz w:val="24"/>
          <w:highlight w:val="none"/>
        </w:rPr>
        <w:t>；</w:t>
      </w:r>
    </w:p>
    <w:p>
      <w:pPr>
        <w:spacing w:line="480" w:lineRule="exact"/>
        <w:ind w:firstLine="480" w:firstLineChars="200"/>
        <w:rPr>
          <w:sz w:val="24"/>
          <w:highlight w:val="none"/>
        </w:rPr>
      </w:pPr>
      <w:r>
        <w:rPr>
          <w:sz w:val="24"/>
          <w:highlight w:val="none"/>
        </w:rPr>
        <w:t>收款账号：</w:t>
      </w:r>
      <w:r>
        <w:rPr>
          <w:rFonts w:hint="eastAsia"/>
          <w:sz w:val="24"/>
          <w:highlight w:val="none"/>
          <w:u w:val="single"/>
          <w:lang w:val="en-US" w:eastAsia="zh-CN"/>
        </w:rPr>
        <w:t xml:space="preserve">                     </w:t>
      </w:r>
      <w:r>
        <w:rPr>
          <w:sz w:val="24"/>
          <w:highlight w:val="none"/>
        </w:rPr>
        <w:t>；</w:t>
      </w:r>
    </w:p>
    <w:p>
      <w:pPr>
        <w:spacing w:line="480" w:lineRule="exact"/>
        <w:ind w:firstLine="480" w:firstLineChars="200"/>
        <w:rPr>
          <w:sz w:val="24"/>
          <w:highlight w:val="none"/>
        </w:rPr>
      </w:pPr>
      <w:r>
        <w:rPr>
          <w:sz w:val="24"/>
          <w:highlight w:val="none"/>
        </w:rPr>
        <w:t>开户行：</w:t>
      </w:r>
      <w:r>
        <w:rPr>
          <w:rFonts w:hint="eastAsia"/>
          <w:sz w:val="24"/>
          <w:highlight w:val="none"/>
          <w:u w:val="single"/>
          <w:lang w:val="en-US" w:eastAsia="zh-CN"/>
        </w:rPr>
        <w:t xml:space="preserve">                       </w:t>
      </w:r>
      <w:r>
        <w:rPr>
          <w:sz w:val="24"/>
          <w:highlight w:val="none"/>
        </w:rPr>
        <w:t>；</w:t>
      </w:r>
    </w:p>
    <w:p>
      <w:pPr>
        <w:spacing w:line="480" w:lineRule="exact"/>
        <w:ind w:firstLine="480" w:firstLineChars="200"/>
        <w:rPr>
          <w:sz w:val="24"/>
          <w:highlight w:val="none"/>
        </w:rPr>
      </w:pPr>
      <w:r>
        <w:rPr>
          <w:sz w:val="24"/>
          <w:highlight w:val="none"/>
        </w:rPr>
        <w:t>5.2.3乙方在收款前需提交相应金额增值税专用发票给甲方。</w:t>
      </w:r>
    </w:p>
    <w:p>
      <w:pPr>
        <w:spacing w:line="480" w:lineRule="exact"/>
        <w:ind w:firstLine="480" w:firstLineChars="200"/>
        <w:rPr>
          <w:sz w:val="24"/>
          <w:highlight w:val="none"/>
        </w:rPr>
      </w:pPr>
      <w:r>
        <w:rPr>
          <w:sz w:val="24"/>
          <w:highlight w:val="none"/>
        </w:rPr>
        <w:t>增值税专用发票信息：</w:t>
      </w:r>
    </w:p>
    <w:p>
      <w:pPr>
        <w:spacing w:line="480" w:lineRule="exact"/>
        <w:ind w:firstLine="480" w:firstLineChars="200"/>
        <w:rPr>
          <w:sz w:val="24"/>
          <w:highlight w:val="none"/>
        </w:rPr>
      </w:pPr>
      <w:r>
        <w:rPr>
          <w:sz w:val="24"/>
          <w:highlight w:val="none"/>
        </w:rPr>
        <w:t>名称：广州市净水有限公司</w:t>
      </w:r>
    </w:p>
    <w:p>
      <w:pPr>
        <w:spacing w:line="480" w:lineRule="exact"/>
        <w:ind w:firstLine="480" w:firstLineChars="200"/>
        <w:rPr>
          <w:sz w:val="24"/>
          <w:highlight w:val="none"/>
        </w:rPr>
      </w:pPr>
      <w:r>
        <w:rPr>
          <w:sz w:val="24"/>
          <w:highlight w:val="none"/>
        </w:rPr>
        <w:t>税号：</w:t>
      </w:r>
      <w:r>
        <w:rPr>
          <w:sz w:val="24"/>
          <w:highlight w:val="none"/>
          <w:u w:val="single"/>
        </w:rPr>
        <w:t xml:space="preserve"> 91440101755584729Q</w:t>
      </w:r>
      <w:r>
        <w:rPr>
          <w:sz w:val="24"/>
          <w:highlight w:val="none"/>
        </w:rPr>
        <w:t xml:space="preserve"> ；  </w:t>
      </w:r>
    </w:p>
    <w:p>
      <w:pPr>
        <w:spacing w:line="480" w:lineRule="exact"/>
        <w:ind w:firstLine="480" w:firstLineChars="200"/>
        <w:rPr>
          <w:sz w:val="24"/>
          <w:highlight w:val="none"/>
        </w:rPr>
      </w:pPr>
      <w:r>
        <w:rPr>
          <w:sz w:val="24"/>
          <w:highlight w:val="none"/>
        </w:rPr>
        <w:t>地址：</w:t>
      </w:r>
      <w:r>
        <w:rPr>
          <w:sz w:val="24"/>
          <w:highlight w:val="none"/>
          <w:u w:val="single"/>
        </w:rPr>
        <w:t xml:space="preserve"> 广州市天河区临江大道501号 </w:t>
      </w:r>
      <w:r>
        <w:rPr>
          <w:sz w:val="24"/>
          <w:highlight w:val="none"/>
        </w:rPr>
        <w:t>；</w:t>
      </w:r>
    </w:p>
    <w:p>
      <w:pPr>
        <w:adjustRightInd/>
        <w:snapToGrid/>
        <w:spacing w:line="480" w:lineRule="exact"/>
        <w:ind w:firstLine="480" w:firstLineChars="200"/>
        <w:outlineLvl w:val="0"/>
        <w:rPr>
          <w:rFonts w:ascii="宋体" w:hAnsi="宋体" w:cs="宋体"/>
          <w:color w:val="000000"/>
          <w:sz w:val="24"/>
          <w:highlight w:val="none"/>
        </w:rPr>
      </w:pPr>
      <w:r>
        <w:rPr>
          <w:sz w:val="24"/>
          <w:highlight w:val="none"/>
        </w:rPr>
        <w:t>5.3</w:t>
      </w:r>
      <w:r>
        <w:rPr>
          <w:rFonts w:hint="eastAsia"/>
          <w:sz w:val="24"/>
          <w:highlight w:val="none"/>
        </w:rPr>
        <w:t>付款方式</w:t>
      </w:r>
      <w:r>
        <w:rPr>
          <w:rFonts w:hint="eastAsia" w:ascii="宋体" w:hAnsi="宋体" w:cs="宋体"/>
          <w:color w:val="000000"/>
          <w:sz w:val="24"/>
          <w:highlight w:val="none"/>
        </w:rPr>
        <w:t>：</w:t>
      </w:r>
      <w:r>
        <w:rPr>
          <w:rFonts w:ascii="宋体" w:hAnsi="宋体" w:cs="宋体"/>
          <w:color w:val="000000"/>
          <w:sz w:val="24"/>
          <w:highlight w:val="none"/>
        </w:rPr>
        <w:t xml:space="preserve"> </w:t>
      </w:r>
      <w:r>
        <w:rPr>
          <w:rFonts w:ascii="Wingdings" w:hAnsi="Wingdings" w:cs="宋体"/>
          <w:color w:val="000000"/>
          <w:sz w:val="24"/>
          <w:highlight w:val="none"/>
        </w:rPr>
        <w:sym w:font="Wingdings" w:char="F0FE"/>
      </w:r>
      <w:r>
        <w:rPr>
          <w:rFonts w:hint="eastAsia" w:ascii="宋体" w:hAnsi="宋体" w:cs="宋体"/>
          <w:color w:val="000000"/>
          <w:sz w:val="24"/>
          <w:highlight w:val="none"/>
        </w:rPr>
        <w:t>网银支付；</w:t>
      </w:r>
      <w:r>
        <w:rPr>
          <w:rFonts w:ascii="宋体" w:hAnsi="宋体" w:cs="宋体"/>
          <w:color w:val="000000"/>
          <w:sz w:val="24"/>
          <w:highlight w:val="none"/>
        </w:rPr>
        <w:t xml:space="preserve">  </w:t>
      </w:r>
      <w:r>
        <w:rPr>
          <w:rFonts w:ascii="Wingdings" w:hAnsi="Wingdings" w:cs="宋体"/>
          <w:color w:val="000000"/>
          <w:sz w:val="24"/>
          <w:highlight w:val="none"/>
        </w:rPr>
        <w:sym w:font="Wingdings" w:char="F0A8"/>
      </w:r>
      <w:r>
        <w:rPr>
          <w:rFonts w:hint="eastAsia" w:ascii="宋体" w:hAnsi="宋体" w:cs="宋体"/>
          <w:color w:val="000000"/>
          <w:sz w:val="24"/>
          <w:highlight w:val="none"/>
        </w:rPr>
        <w:t>支票；</w:t>
      </w:r>
      <w:r>
        <w:rPr>
          <w:rFonts w:ascii="宋体" w:hAnsi="宋体" w:cs="宋体"/>
          <w:color w:val="000000"/>
          <w:sz w:val="24"/>
          <w:highlight w:val="none"/>
        </w:rPr>
        <w:t xml:space="preserve">   </w:t>
      </w:r>
      <w:r>
        <w:rPr>
          <w:rFonts w:ascii="Wingdings" w:hAnsi="Wingdings" w:cs="宋体"/>
          <w:color w:val="000000"/>
          <w:sz w:val="24"/>
          <w:highlight w:val="none"/>
        </w:rPr>
        <w:sym w:font="Wingdings" w:char="F0A8"/>
      </w:r>
      <w:r>
        <w:rPr>
          <w:rFonts w:hint="eastAsia" w:ascii="宋体" w:hAnsi="宋体" w:cs="宋体"/>
          <w:color w:val="000000"/>
          <w:sz w:val="24"/>
          <w:highlight w:val="none"/>
        </w:rPr>
        <w:t>其他：</w:t>
      </w:r>
      <w:r>
        <w:rPr>
          <w:rFonts w:ascii="宋体" w:hAnsi="宋体" w:cs="宋体"/>
          <w:color w:val="000000"/>
          <w:sz w:val="24"/>
          <w:highlight w:val="none"/>
        </w:rPr>
        <w:t xml:space="preserve">   </w:t>
      </w:r>
      <w:r>
        <w:rPr>
          <w:rFonts w:hint="eastAsia" w:ascii="宋体" w:hAnsi="宋体" w:cs="宋体"/>
          <w:color w:val="000000"/>
          <w:sz w:val="24"/>
          <w:highlight w:val="none"/>
        </w:rPr>
        <w:t>/</w:t>
      </w:r>
      <w:r>
        <w:rPr>
          <w:rFonts w:ascii="宋体" w:hAnsi="宋体" w:cs="宋体"/>
          <w:color w:val="000000"/>
          <w:sz w:val="24"/>
          <w:highlight w:val="none"/>
        </w:rPr>
        <w:t xml:space="preserve">    </w:t>
      </w:r>
    </w:p>
    <w:p>
      <w:pPr>
        <w:autoSpaceDE w:val="0"/>
        <w:autoSpaceDN w:val="0"/>
        <w:adjustRightInd w:val="0"/>
        <w:spacing w:line="480" w:lineRule="exact"/>
        <w:ind w:firstLine="482" w:firstLineChars="200"/>
        <w:rPr>
          <w:rFonts w:ascii="宋体" w:hAnsi="宋体" w:cs="宋体"/>
          <w:bCs/>
          <w:color w:val="000000"/>
          <w:sz w:val="24"/>
          <w:highlight w:val="none"/>
        </w:rPr>
      </w:pPr>
      <w:r>
        <w:rPr>
          <w:rFonts w:hint="eastAsia" w:ascii="宋体" w:hAnsi="宋体" w:cs="宋体"/>
          <w:b/>
          <w:color w:val="000000"/>
          <w:sz w:val="24"/>
          <w:highlight w:val="none"/>
        </w:rPr>
        <w:t>第六条</w:t>
      </w:r>
      <w:r>
        <w:rPr>
          <w:rFonts w:ascii="宋体" w:hAnsi="宋体" w:cs="宋体"/>
          <w:b/>
          <w:color w:val="000000"/>
          <w:sz w:val="24"/>
          <w:highlight w:val="none"/>
        </w:rPr>
        <w:t xml:space="preserve"> </w:t>
      </w:r>
      <w:r>
        <w:rPr>
          <w:rFonts w:hint="eastAsia" w:ascii="宋体" w:hAnsi="宋体" w:cs="宋体"/>
          <w:b/>
          <w:color w:val="000000"/>
          <w:sz w:val="24"/>
          <w:highlight w:val="none"/>
        </w:rPr>
        <w:t>履约担保</w:t>
      </w:r>
    </w:p>
    <w:bookmarkEnd w:id="114"/>
    <w:bookmarkEnd w:id="115"/>
    <w:p>
      <w:pPr>
        <w:spacing w:line="480" w:lineRule="exact"/>
        <w:ind w:firstLine="480" w:firstLineChars="200"/>
        <w:outlineLvl w:val="0"/>
        <w:rPr>
          <w:rFonts w:ascii="宋体" w:hAnsi="宋体" w:cs="宋体"/>
          <w:sz w:val="24"/>
          <w:highlight w:val="none"/>
          <w:u w:val="single"/>
        </w:rPr>
      </w:pPr>
      <w:r>
        <w:rPr>
          <w:rFonts w:ascii="宋体" w:hAnsi="宋体" w:cs="宋体"/>
          <w:sz w:val="24"/>
          <w:highlight w:val="none"/>
        </w:rPr>
        <w:t>6.1</w:t>
      </w:r>
      <w:r>
        <w:rPr>
          <w:rFonts w:hint="eastAsia" w:ascii="宋体" w:hAnsi="宋体" w:cs="宋体"/>
          <w:sz w:val="24"/>
          <w:highlight w:val="none"/>
        </w:rPr>
        <w:t>履约担保：</w:t>
      </w:r>
      <w:r>
        <w:rPr>
          <w:rFonts w:ascii="Wingdings 2" w:hAnsi="Wingdings 2" w:cs="宋体"/>
          <w:szCs w:val="21"/>
          <w:highlight w:val="none"/>
        </w:rPr>
        <w:sym w:font="Wingdings 2" w:char="F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ascii="宋体" w:hAnsi="宋体" w:cs="宋体"/>
          <w:bCs/>
          <w:sz w:val="24"/>
          <w:highlight w:val="none"/>
        </w:rPr>
        <w:t xml:space="preserve"> </w:t>
      </w:r>
      <w:r>
        <w:rPr>
          <w:rFonts w:hint="eastAsia" w:ascii="宋体" w:hAnsi="宋体" w:cs="宋体"/>
          <w:bCs/>
          <w:sz w:val="24"/>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10%作为履约保证金</w:t>
      </w:r>
      <w:r>
        <w:rPr>
          <w:rFonts w:hint="eastAsia" w:ascii="宋体" w:hAnsi="宋体" w:cs="宋体"/>
          <w:sz w:val="24"/>
          <w:highlight w:val="none"/>
          <w:u w:val="single"/>
        </w:rPr>
        <w:t>，</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p>
    <w:p>
      <w:pPr>
        <w:pStyle w:val="22"/>
        <w:spacing w:before="0" w:beforeAutospacing="0" w:after="0" w:afterAutospacing="0" w:line="480" w:lineRule="exact"/>
        <w:ind w:firstLine="480" w:firstLineChars="20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2"/>
        <w:spacing w:before="0" w:beforeAutospacing="0" w:after="0" w:afterAutospacing="0" w:line="480" w:lineRule="exact"/>
        <w:ind w:firstLine="480" w:firstLineChars="200"/>
        <w:rPr>
          <w:rFonts w:cs="宋体"/>
          <w:highlight w:val="none"/>
        </w:rPr>
      </w:pPr>
      <w:r>
        <w:rPr>
          <w:rFonts w:hint="eastAsia" w:cs="宋体"/>
          <w:highlight w:val="none"/>
        </w:rPr>
        <w:t>1、符合甲方要求（详见附件6保函格式）的银行独立保函，</w:t>
      </w:r>
    </w:p>
    <w:p>
      <w:pPr>
        <w:pStyle w:val="22"/>
        <w:spacing w:before="0" w:beforeAutospacing="0" w:after="0" w:afterAutospacing="0" w:line="480" w:lineRule="exact"/>
        <w:ind w:firstLine="480" w:firstLineChars="200"/>
        <w:rPr>
          <w:rFonts w:cs="宋体"/>
          <w:highlight w:val="none"/>
        </w:rPr>
      </w:pPr>
      <w:r>
        <w:rPr>
          <w:rFonts w:hint="eastAsia" w:cs="宋体"/>
          <w:highlight w:val="none"/>
        </w:rPr>
        <w:t>2、现金转账至甲方以下指定账户：</w:t>
      </w:r>
    </w:p>
    <w:p>
      <w:pPr>
        <w:tabs>
          <w:tab w:val="left" w:pos="1995"/>
        </w:tabs>
        <w:spacing w:line="48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48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48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480" w:lineRule="exact"/>
        <w:ind w:firstLine="480" w:firstLineChars="200"/>
        <w:outlineLvl w:val="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履约担保的担保期限和返还</w:t>
      </w:r>
    </w:p>
    <w:p>
      <w:pPr>
        <w:spacing w:line="480" w:lineRule="exact"/>
        <w:ind w:firstLine="480" w:firstLineChars="200"/>
        <w:outlineLvl w:val="0"/>
        <w:rPr>
          <w:rFonts w:ascii="宋体" w:hAnsi="宋体" w:cs="宋体"/>
          <w:sz w:val="24"/>
          <w:highlight w:val="none"/>
        </w:rPr>
      </w:pPr>
      <w:r>
        <w:rPr>
          <w:rFonts w:ascii="宋体" w:hAnsi="宋体" w:cs="宋体"/>
          <w:sz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480" w:lineRule="exact"/>
        <w:ind w:firstLine="480" w:firstLineChars="200"/>
        <w:rPr>
          <w:rFonts w:ascii="宋体" w:hAnsi="宋体" w:cs="宋体"/>
          <w:sz w:val="24"/>
          <w:highlight w:val="none"/>
        </w:rPr>
      </w:pPr>
      <w:r>
        <w:rPr>
          <w:rFonts w:ascii="宋体" w:hAnsi="宋体" w:cs="宋体"/>
          <w:sz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line="480" w:lineRule="exact"/>
        <w:ind w:firstLine="480" w:firstLineChars="200"/>
        <w:outlineLvl w:val="0"/>
        <w:rPr>
          <w:rFonts w:ascii="宋体" w:hAnsi="宋体" w:cs="宋体"/>
          <w:sz w:val="24"/>
          <w:highlight w:val="none"/>
        </w:rPr>
      </w:pPr>
      <w:r>
        <w:rPr>
          <w:rFonts w:ascii="宋体" w:hAnsi="宋体" w:cs="宋体"/>
          <w:sz w:val="24"/>
          <w:highlight w:val="none"/>
        </w:rPr>
        <w:t>6.3.3</w:t>
      </w:r>
      <w:r>
        <w:rPr>
          <w:rFonts w:hint="eastAsia" w:ascii="宋体" w:hAnsi="宋体" w:cs="宋体"/>
          <w:sz w:val="24"/>
          <w:highlight w:val="none"/>
        </w:rPr>
        <w:t>延长担保期限。履约银行保函形式提交履约保证金的，在银行保函到期前，乙方应提前</w:t>
      </w:r>
      <w:r>
        <w:rPr>
          <w:rFonts w:ascii="宋体" w:hAnsi="宋体" w:cs="宋体"/>
          <w:sz w:val="24"/>
          <w:highlight w:val="none"/>
          <w:u w:val="single"/>
        </w:rPr>
        <w:t xml:space="preserve"> 7 </w:t>
      </w:r>
      <w:r>
        <w:rPr>
          <w:rFonts w:ascii="宋体" w:hAnsi="宋体" w:cs="宋体"/>
          <w:sz w:val="24"/>
          <w:highlight w:val="none"/>
        </w:rPr>
        <w:t>天向甲方提交新的保函以替换即将到期的保函</w:t>
      </w:r>
      <w:r>
        <w:rPr>
          <w:rFonts w:hint="eastAsia" w:ascii="宋体" w:hAnsi="宋体" w:cs="宋体"/>
          <w:sz w:val="24"/>
          <w:highlight w:val="none"/>
        </w:rPr>
        <w:t>。如乙方未及时提交的，甲方有权直接要求担保银行支付其担保的全部金额并解除合同。</w:t>
      </w:r>
    </w:p>
    <w:p>
      <w:pPr>
        <w:pStyle w:val="22"/>
        <w:spacing w:before="0" w:beforeAutospacing="0" w:after="0" w:afterAutospacing="0" w:line="480" w:lineRule="exact"/>
        <w:ind w:firstLine="480" w:firstLineChars="200"/>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480" w:lineRule="exact"/>
        <w:ind w:firstLine="480" w:firstLineChars="200"/>
        <w:rPr>
          <w:rFonts w:ascii="宋体" w:hAnsi="宋体" w:cs="宋体"/>
          <w:sz w:val="24"/>
          <w:highlight w:val="none"/>
        </w:rPr>
      </w:pPr>
      <w:r>
        <w:rPr>
          <w:rFonts w:ascii="宋体" w:hAnsi="宋体" w:cs="宋体"/>
          <w:sz w:val="24"/>
          <w:highlight w:val="none"/>
        </w:rPr>
        <w:t>6.3.5</w:t>
      </w:r>
      <w:r>
        <w:rPr>
          <w:rFonts w:hint="eastAsia" w:ascii="宋体" w:hAnsi="宋体" w:cs="宋体"/>
          <w:sz w:val="24"/>
          <w:highlight w:val="none"/>
        </w:rPr>
        <w:t>甲方按合同约定提取履约担保金额后，乙方应在收到甲方通知后</w:t>
      </w:r>
      <w:r>
        <w:rPr>
          <w:rFonts w:ascii="宋体" w:hAnsi="宋体" w:cs="宋体"/>
          <w:sz w:val="24"/>
          <w:highlight w:val="none"/>
          <w:u w:val="single"/>
        </w:rPr>
        <w:t xml:space="preserve"> 7 </w:t>
      </w:r>
      <w:r>
        <w:rPr>
          <w:rFonts w:hint="eastAsia" w:ascii="宋体" w:hAnsi="宋体" w:cs="宋体"/>
          <w:sz w:val="24"/>
          <w:highlight w:val="none"/>
        </w:rPr>
        <w:t>天内补足数额，逾期未补足，则甲方有权提取履约担保的全部余额并解除合同。</w:t>
      </w:r>
    </w:p>
    <w:bookmarkEnd w:id="102"/>
    <w:bookmarkEnd w:id="103"/>
    <w:bookmarkEnd w:id="104"/>
    <w:bookmarkEnd w:id="105"/>
    <w:bookmarkEnd w:id="106"/>
    <w:bookmarkEnd w:id="107"/>
    <w:bookmarkEnd w:id="108"/>
    <w:p>
      <w:pPr>
        <w:spacing w:line="480" w:lineRule="exact"/>
        <w:ind w:firstLine="482" w:firstLineChars="200"/>
        <w:rPr>
          <w:b/>
          <w:sz w:val="24"/>
          <w:highlight w:val="none"/>
        </w:rPr>
      </w:pPr>
      <w:bookmarkStart w:id="116" w:name="_Toc183666534"/>
      <w:bookmarkStart w:id="117" w:name="_Toc257"/>
      <w:bookmarkStart w:id="118" w:name="_Toc474245215"/>
      <w:bookmarkStart w:id="119" w:name="_Toc518992990"/>
      <w:bookmarkStart w:id="120" w:name="_Toc520190030"/>
      <w:r>
        <w:rPr>
          <w:b/>
          <w:sz w:val="24"/>
          <w:highlight w:val="none"/>
        </w:rPr>
        <w:t>第</w:t>
      </w:r>
      <w:r>
        <w:rPr>
          <w:rFonts w:hint="eastAsia"/>
          <w:b/>
          <w:sz w:val="24"/>
          <w:highlight w:val="none"/>
        </w:rPr>
        <w:t>七</w:t>
      </w:r>
      <w:r>
        <w:rPr>
          <w:b/>
          <w:sz w:val="24"/>
          <w:highlight w:val="none"/>
        </w:rPr>
        <w:t>条  质量保证</w:t>
      </w:r>
    </w:p>
    <w:p>
      <w:pPr>
        <w:spacing w:line="480" w:lineRule="exact"/>
        <w:ind w:firstLine="480" w:firstLineChars="200"/>
        <w:outlineLvl w:val="0"/>
        <w:rPr>
          <w:sz w:val="24"/>
          <w:highlight w:val="none"/>
        </w:rPr>
      </w:pPr>
      <w:r>
        <w:rPr>
          <w:rFonts w:hint="eastAsia"/>
          <w:sz w:val="24"/>
          <w:highlight w:val="none"/>
        </w:rPr>
        <w:t>7</w:t>
      </w:r>
      <w:r>
        <w:rPr>
          <w:sz w:val="24"/>
          <w:highlight w:val="none"/>
        </w:rPr>
        <w:t>.1乙方必须严格按照所采用的标准、规范及本技术协议制定校准工作方案，校准人员须具有校准相关资格证书，校准所需工具、仪器、物料等符合校准规范要求。</w:t>
      </w:r>
    </w:p>
    <w:p>
      <w:pPr>
        <w:spacing w:line="480" w:lineRule="exact"/>
        <w:ind w:firstLine="480" w:firstLineChars="200"/>
        <w:outlineLvl w:val="0"/>
        <w:rPr>
          <w:sz w:val="24"/>
          <w:highlight w:val="none"/>
        </w:rPr>
      </w:pPr>
      <w:r>
        <w:rPr>
          <w:rFonts w:hint="eastAsia"/>
          <w:sz w:val="24"/>
          <w:highlight w:val="none"/>
        </w:rPr>
        <w:t>7</w:t>
      </w:r>
      <w:r>
        <w:rPr>
          <w:sz w:val="24"/>
          <w:highlight w:val="none"/>
        </w:rPr>
        <w:t>.2校准方法须按照以校准项目的国家标准或行业标准等为准。</w:t>
      </w:r>
    </w:p>
    <w:p>
      <w:pPr>
        <w:spacing w:line="480" w:lineRule="exact"/>
        <w:ind w:firstLine="480" w:firstLineChars="200"/>
        <w:outlineLvl w:val="0"/>
        <w:rPr>
          <w:rFonts w:ascii="宋体" w:hAnsi="宋体" w:cs="宋体"/>
          <w:sz w:val="24"/>
          <w:highlight w:val="none"/>
        </w:rPr>
      </w:pPr>
      <w:r>
        <w:rPr>
          <w:rFonts w:hint="eastAsia"/>
          <w:sz w:val="24"/>
          <w:highlight w:val="none"/>
        </w:rPr>
        <w:t>7</w:t>
      </w:r>
      <w:r>
        <w:rPr>
          <w:sz w:val="24"/>
          <w:highlight w:val="none"/>
        </w:rPr>
        <w:t>.3</w:t>
      </w:r>
      <w:r>
        <w:rPr>
          <w:rFonts w:hint="eastAsia" w:ascii="宋体" w:hAnsi="宋体" w:cs="宋体"/>
          <w:sz w:val="24"/>
          <w:highlight w:val="none"/>
        </w:rPr>
        <w:t>乙方所具有实验室计量校准认证资质（CNAS），</w:t>
      </w:r>
      <w:r>
        <w:rPr>
          <w:rFonts w:ascii="宋体" w:hAnsi="宋体" w:cs="宋体"/>
          <w:sz w:val="24"/>
          <w:highlight w:val="none"/>
        </w:rPr>
        <w:t>所认证的校准能力</w:t>
      </w:r>
      <w:r>
        <w:rPr>
          <w:rFonts w:hint="eastAsia" w:ascii="宋体" w:hAnsi="宋体" w:cs="宋体"/>
          <w:sz w:val="24"/>
          <w:highlight w:val="none"/>
        </w:rPr>
        <w:t>至少涵盖本项目中所要求的校准设备种类的7</w:t>
      </w:r>
      <w:r>
        <w:rPr>
          <w:rFonts w:ascii="宋体" w:hAnsi="宋体" w:cs="宋体"/>
          <w:sz w:val="24"/>
          <w:highlight w:val="none"/>
        </w:rPr>
        <w:t>0</w:t>
      </w:r>
      <w:r>
        <w:rPr>
          <w:rFonts w:hint="eastAsia" w:ascii="宋体" w:hAnsi="宋体" w:cs="宋体"/>
          <w:sz w:val="24"/>
          <w:highlight w:val="none"/>
        </w:rPr>
        <w:t>%以上（共计校准设备种类46种，70%即</w:t>
      </w:r>
      <w:r>
        <w:rPr>
          <w:rFonts w:hint="eastAsia" w:ascii="宋体" w:hAnsi="宋体" w:cs="宋体"/>
          <w:sz w:val="24"/>
          <w:highlight w:val="none"/>
          <w:lang w:val="en-US" w:eastAsia="zh-CN"/>
        </w:rPr>
        <w:t>为</w:t>
      </w:r>
      <w:r>
        <w:rPr>
          <w:rFonts w:hint="eastAsia" w:ascii="宋体" w:hAnsi="宋体" w:cs="宋体"/>
          <w:sz w:val="24"/>
          <w:highlight w:val="none"/>
        </w:rPr>
        <w:t>33种），并能出具CNAS校准证书。</w:t>
      </w:r>
    </w:p>
    <w:p>
      <w:pPr>
        <w:spacing w:after="156" w:afterLines="50" w:line="480" w:lineRule="exact"/>
        <w:ind w:firstLine="480" w:firstLineChars="200"/>
        <w:rPr>
          <w:rFonts w:hint="eastAsia"/>
          <w:bCs/>
          <w:sz w:val="24"/>
          <w:highlight w:val="none"/>
        </w:rPr>
      </w:pPr>
      <w:r>
        <w:rPr>
          <w:bCs/>
          <w:sz w:val="24"/>
          <w:highlight w:val="none"/>
        </w:rPr>
        <w:t>7.4</w:t>
      </w:r>
      <w:r>
        <w:rPr>
          <w:rFonts w:hint="eastAsia"/>
          <w:bCs/>
          <w:sz w:val="24"/>
          <w:highlight w:val="none"/>
          <w:lang w:val="en-US" w:eastAsia="zh-CN"/>
        </w:rPr>
        <w:t>乙方</w:t>
      </w:r>
      <w:r>
        <w:rPr>
          <w:rFonts w:hint="eastAsia"/>
          <w:bCs/>
          <w:sz w:val="24"/>
          <w:highlight w:val="none"/>
        </w:rPr>
        <w:t>不具备校准能力的项目可分包第三方，</w:t>
      </w:r>
      <w:r>
        <w:rPr>
          <w:rFonts w:hint="eastAsia"/>
          <w:bCs/>
          <w:sz w:val="24"/>
          <w:highlight w:val="none"/>
          <w:lang w:val="en-US" w:eastAsia="zh-CN"/>
        </w:rPr>
        <w:t>原则</w:t>
      </w:r>
      <w:r>
        <w:rPr>
          <w:rFonts w:hint="eastAsia"/>
          <w:bCs/>
          <w:sz w:val="24"/>
          <w:highlight w:val="none"/>
        </w:rPr>
        <w:t>上分包不能超过校准设备种类的30%，被分包人须具备</w:t>
      </w:r>
      <w:r>
        <w:rPr>
          <w:bCs/>
          <w:sz w:val="24"/>
          <w:highlight w:val="none"/>
        </w:rPr>
        <w:t>实验室计量校准认证资质（CNAS）</w:t>
      </w:r>
      <w:r>
        <w:rPr>
          <w:rFonts w:hint="eastAsia"/>
          <w:bCs/>
          <w:sz w:val="24"/>
          <w:highlight w:val="none"/>
        </w:rPr>
        <w:t>，所认证的校准能力涵盖所承包的化验仪器设备校准项目，并能出具CNAS校</w:t>
      </w:r>
      <w:r>
        <w:rPr>
          <w:rFonts w:hint="eastAsia" w:ascii="宋体" w:hAnsi="宋体" w:cs="宋体"/>
          <w:sz w:val="24"/>
          <w:highlight w:val="none"/>
        </w:rPr>
        <w:t>准证书</w:t>
      </w:r>
      <w:r>
        <w:rPr>
          <w:rFonts w:hint="eastAsia"/>
          <w:bCs/>
          <w:sz w:val="24"/>
          <w:highlight w:val="none"/>
        </w:rPr>
        <w:t>。</w:t>
      </w:r>
    </w:p>
    <w:p>
      <w:pPr>
        <w:pStyle w:val="2"/>
        <w:rPr>
          <w:rFonts w:hint="default" w:ascii="Calibri" w:hAnsi="Calibri" w:eastAsia="宋体"/>
          <w:bCs/>
          <w:color w:val="auto"/>
          <w:kern w:val="2"/>
          <w:szCs w:val="22"/>
          <w:highlight w:val="none"/>
        </w:rPr>
      </w:pPr>
      <w:r>
        <w:rPr>
          <w:rFonts w:hint="default" w:ascii="Calibri" w:hAnsi="Calibri" w:eastAsia="宋体"/>
          <w:bCs/>
          <w:color w:val="auto"/>
          <w:kern w:val="2"/>
          <w:sz w:val="24"/>
          <w:szCs w:val="22"/>
          <w:highlight w:val="none"/>
        </w:rPr>
        <w:t>7</w:t>
      </w:r>
      <w:r>
        <w:rPr>
          <w:rFonts w:ascii="Calibri" w:hAnsi="Calibri" w:eastAsia="宋体"/>
          <w:bCs/>
          <w:color w:val="auto"/>
          <w:kern w:val="2"/>
          <w:sz w:val="24"/>
          <w:szCs w:val="22"/>
          <w:highlight w:val="none"/>
        </w:rPr>
        <w:t>.5</w:t>
      </w:r>
      <w:r>
        <w:rPr>
          <w:rFonts w:hint="default" w:ascii="Calibri" w:hAnsi="Calibri" w:eastAsia="宋体"/>
          <w:bCs/>
          <w:color w:val="auto"/>
          <w:kern w:val="2"/>
          <w:szCs w:val="22"/>
          <w:highlight w:val="none"/>
          <w:lang w:val="en-US" w:eastAsia="zh-CN"/>
        </w:rPr>
        <w:t>乙方</w:t>
      </w:r>
      <w:r>
        <w:rPr>
          <w:rFonts w:hint="default" w:ascii="Calibri" w:hAnsi="Calibri" w:eastAsia="宋体"/>
          <w:bCs/>
          <w:color w:val="auto"/>
          <w:kern w:val="2"/>
          <w:szCs w:val="22"/>
          <w:highlight w:val="none"/>
        </w:rPr>
        <w:t>应审查分包单位资质和人员资格，</w:t>
      </w:r>
      <w:r>
        <w:rPr>
          <w:rFonts w:hint="default" w:ascii="Calibri" w:hAnsi="Calibri" w:eastAsia="宋体"/>
          <w:bCs/>
          <w:color w:val="auto"/>
          <w:kern w:val="2"/>
          <w:szCs w:val="22"/>
          <w:highlight w:val="none"/>
          <w:lang w:val="en-US" w:eastAsia="zh-CN"/>
        </w:rPr>
        <w:t>乙方</w:t>
      </w:r>
      <w:r>
        <w:rPr>
          <w:rFonts w:hint="default" w:ascii="Calibri" w:hAnsi="Calibri" w:eastAsia="宋体"/>
          <w:bCs/>
          <w:color w:val="auto"/>
          <w:kern w:val="2"/>
          <w:szCs w:val="22"/>
          <w:highlight w:val="none"/>
        </w:rPr>
        <w:t>对分包人的行为向</w:t>
      </w:r>
      <w:r>
        <w:rPr>
          <w:rFonts w:hint="default" w:ascii="Calibri" w:hAnsi="Calibri" w:eastAsia="宋体"/>
          <w:bCs/>
          <w:color w:val="auto"/>
          <w:kern w:val="2"/>
          <w:szCs w:val="22"/>
          <w:highlight w:val="none"/>
          <w:lang w:val="en-US" w:eastAsia="zh-CN"/>
        </w:rPr>
        <w:t>甲方</w:t>
      </w:r>
      <w:r>
        <w:rPr>
          <w:rFonts w:hint="default" w:ascii="Calibri" w:hAnsi="Calibri" w:eastAsia="宋体"/>
          <w:bCs/>
          <w:color w:val="auto"/>
          <w:kern w:val="2"/>
          <w:szCs w:val="22"/>
          <w:highlight w:val="none"/>
        </w:rPr>
        <w:t>负责，</w:t>
      </w:r>
      <w:r>
        <w:rPr>
          <w:rFonts w:hint="default" w:ascii="Calibri" w:hAnsi="Calibri" w:eastAsia="宋体"/>
          <w:bCs/>
          <w:color w:val="auto"/>
          <w:kern w:val="2"/>
          <w:szCs w:val="22"/>
          <w:highlight w:val="none"/>
          <w:lang w:val="en-US" w:eastAsia="zh-CN"/>
        </w:rPr>
        <w:t>乙方</w:t>
      </w:r>
      <w:r>
        <w:rPr>
          <w:rFonts w:hint="default" w:ascii="Calibri" w:hAnsi="Calibri" w:eastAsia="宋体"/>
          <w:bCs/>
          <w:color w:val="auto"/>
          <w:kern w:val="2"/>
          <w:szCs w:val="22"/>
          <w:highlight w:val="none"/>
        </w:rPr>
        <w:t>和分包人就分包工作向</w:t>
      </w:r>
      <w:r>
        <w:rPr>
          <w:rFonts w:hint="default" w:ascii="Calibri" w:hAnsi="Calibri" w:eastAsia="宋体"/>
          <w:bCs/>
          <w:color w:val="auto"/>
          <w:kern w:val="2"/>
          <w:szCs w:val="22"/>
          <w:highlight w:val="none"/>
          <w:lang w:val="en-US" w:eastAsia="zh-CN"/>
        </w:rPr>
        <w:t>甲方</w:t>
      </w:r>
      <w:r>
        <w:rPr>
          <w:rFonts w:hint="default" w:ascii="Calibri" w:hAnsi="Calibri" w:eastAsia="宋体"/>
          <w:bCs/>
          <w:color w:val="auto"/>
          <w:kern w:val="2"/>
          <w:szCs w:val="22"/>
          <w:highlight w:val="none"/>
        </w:rPr>
        <w:t>承担连带责任。</w:t>
      </w:r>
    </w:p>
    <w:p>
      <w:pPr>
        <w:spacing w:line="480" w:lineRule="exact"/>
        <w:ind w:firstLine="480" w:firstLineChars="200"/>
        <w:outlineLvl w:val="0"/>
        <w:rPr>
          <w:sz w:val="24"/>
          <w:highlight w:val="none"/>
        </w:rPr>
      </w:pPr>
      <w:r>
        <w:rPr>
          <w:rFonts w:hint="eastAsia"/>
          <w:sz w:val="24"/>
          <w:highlight w:val="none"/>
        </w:rPr>
        <w:t>7</w:t>
      </w:r>
      <w:r>
        <w:rPr>
          <w:sz w:val="24"/>
          <w:highlight w:val="none"/>
        </w:rPr>
        <w:t>.</w:t>
      </w:r>
      <w:r>
        <w:rPr>
          <w:rFonts w:hint="eastAsia"/>
          <w:sz w:val="24"/>
          <w:highlight w:val="none"/>
          <w:lang w:val="en-US" w:eastAsia="zh-CN"/>
        </w:rPr>
        <w:t>6</w:t>
      </w:r>
      <w:r>
        <w:rPr>
          <w:sz w:val="24"/>
          <w:highlight w:val="none"/>
        </w:rPr>
        <w:t>安全文明校准服务要求：按照广州市净水有限公司安全生产管理规定</w:t>
      </w:r>
      <w:r>
        <w:rPr>
          <w:rFonts w:hint="eastAsia"/>
          <w:sz w:val="24"/>
          <w:highlight w:val="none"/>
          <w:lang w:val="en-US" w:eastAsia="zh-CN"/>
        </w:rPr>
        <w:t>提供校准服务</w:t>
      </w:r>
      <w:r>
        <w:rPr>
          <w:sz w:val="24"/>
          <w:highlight w:val="none"/>
        </w:rPr>
        <w:t>，签订安全生产管理协议书。校准服务期间必须做好防护措施，施工人员需具备相关工作上岗证。</w:t>
      </w:r>
    </w:p>
    <w:p>
      <w:pPr>
        <w:spacing w:line="480" w:lineRule="exact"/>
        <w:ind w:firstLine="480" w:firstLineChars="200"/>
        <w:outlineLvl w:val="0"/>
        <w:rPr>
          <w:sz w:val="24"/>
          <w:highlight w:val="none"/>
        </w:rPr>
      </w:pPr>
      <w:r>
        <w:rPr>
          <w:bCs/>
          <w:sz w:val="24"/>
          <w:highlight w:val="none"/>
        </w:rPr>
        <w:t>7.</w:t>
      </w:r>
      <w:r>
        <w:rPr>
          <w:rFonts w:hint="eastAsia"/>
          <w:bCs/>
          <w:sz w:val="24"/>
          <w:highlight w:val="none"/>
          <w:lang w:val="en-US" w:eastAsia="zh-CN"/>
        </w:rPr>
        <w:t>7</w:t>
      </w:r>
      <w:r>
        <w:rPr>
          <w:rFonts w:hint="eastAsia" w:ascii="宋体" w:hAnsi="宋体"/>
          <w:bCs/>
          <w:sz w:val="24"/>
          <w:highlight w:val="none"/>
        </w:rPr>
        <w:t>乙方须安排具有从事相应专业知识和专业技能的技术人员跟踪负责项目的校准、数据审核、报告出具等流程工作，并与甲方（其所属各单位）做好对接工作。乙方技术人员对校准、结果评价过程中出现的问题情况，应及时与甲方（其所属各单位）联系，并就甲方（其所属各单位）反映的校准、数据审核和报告出具等环节中问题及时作出回应，及时安排重检或给出解决办法。</w:t>
      </w:r>
    </w:p>
    <w:bookmarkEnd w:id="116"/>
    <w:bookmarkEnd w:id="117"/>
    <w:bookmarkEnd w:id="118"/>
    <w:bookmarkEnd w:id="119"/>
    <w:bookmarkEnd w:id="120"/>
    <w:p>
      <w:pPr>
        <w:spacing w:line="480" w:lineRule="exact"/>
        <w:ind w:firstLine="482" w:firstLineChars="200"/>
        <w:rPr>
          <w:bCs/>
          <w:sz w:val="24"/>
          <w:highlight w:val="none"/>
        </w:rPr>
      </w:pPr>
      <w:bookmarkStart w:id="121" w:name="_Toc520190038"/>
      <w:bookmarkStart w:id="122" w:name="_Toc306350465"/>
      <w:bookmarkStart w:id="123" w:name="_Toc518992998"/>
      <w:bookmarkStart w:id="124" w:name="_Toc107446860"/>
      <w:bookmarkStart w:id="125" w:name="_Toc474245224"/>
      <w:bookmarkStart w:id="126" w:name="_Toc5166"/>
      <w:bookmarkStart w:id="127" w:name="_Toc107447254"/>
      <w:bookmarkStart w:id="128" w:name="_Toc183666529"/>
      <w:bookmarkStart w:id="129" w:name="_Toc118086592"/>
      <w:bookmarkStart w:id="130" w:name="_Toc107447253"/>
      <w:bookmarkStart w:id="131" w:name="_Toc107446861"/>
      <w:r>
        <w:rPr>
          <w:b/>
          <w:sz w:val="24"/>
          <w:highlight w:val="none"/>
        </w:rPr>
        <w:t>第</w:t>
      </w:r>
      <w:r>
        <w:rPr>
          <w:rFonts w:hint="eastAsia"/>
          <w:b/>
          <w:sz w:val="24"/>
          <w:highlight w:val="none"/>
        </w:rPr>
        <w:t>八</w:t>
      </w:r>
      <w:r>
        <w:rPr>
          <w:b/>
          <w:sz w:val="24"/>
          <w:highlight w:val="none"/>
        </w:rPr>
        <w:t>条 违约责任</w:t>
      </w:r>
    </w:p>
    <w:p>
      <w:pPr>
        <w:spacing w:line="480" w:lineRule="exact"/>
        <w:ind w:firstLine="480" w:firstLineChars="200"/>
        <w:rPr>
          <w:bCs/>
          <w:sz w:val="24"/>
          <w:highlight w:val="none"/>
        </w:rPr>
      </w:pPr>
      <w:r>
        <w:rPr>
          <w:rFonts w:hint="eastAsia"/>
          <w:bCs/>
          <w:sz w:val="24"/>
          <w:highlight w:val="none"/>
        </w:rPr>
        <w:t>8</w:t>
      </w:r>
      <w:r>
        <w:rPr>
          <w:bCs/>
          <w:sz w:val="24"/>
          <w:highlight w:val="none"/>
        </w:rPr>
        <w:t>.1因不可抗</w:t>
      </w:r>
      <w:r>
        <w:rPr>
          <w:rFonts w:hint="eastAsia"/>
          <w:bCs/>
          <w:sz w:val="24"/>
          <w:highlight w:val="none"/>
        </w:rPr>
        <w:t>力</w:t>
      </w:r>
      <w:r>
        <w:rPr>
          <w:bCs/>
          <w:sz w:val="24"/>
          <w:highlight w:val="none"/>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80" w:lineRule="exact"/>
        <w:ind w:firstLine="480" w:firstLineChars="200"/>
        <w:rPr>
          <w:bCs/>
          <w:sz w:val="24"/>
          <w:highlight w:val="none"/>
        </w:rPr>
      </w:pPr>
      <w:r>
        <w:rPr>
          <w:rFonts w:hint="eastAsia"/>
          <w:bCs/>
          <w:sz w:val="24"/>
          <w:highlight w:val="none"/>
        </w:rPr>
        <w:t>8</w:t>
      </w:r>
      <w:r>
        <w:rPr>
          <w:bCs/>
          <w:sz w:val="24"/>
          <w:highlight w:val="none"/>
        </w:rPr>
        <w:t>.2若违反本合同的约定，违约方应当按照当时生效的</w:t>
      </w:r>
      <w:r>
        <w:rPr>
          <w:rFonts w:hint="eastAsia"/>
          <w:bCs/>
          <w:sz w:val="24"/>
          <w:highlight w:val="none"/>
          <w:lang w:val="en-US" w:eastAsia="zh-CN"/>
        </w:rPr>
        <w:t>法律法规</w:t>
      </w:r>
      <w:r>
        <w:rPr>
          <w:bCs/>
          <w:sz w:val="24"/>
          <w:highlight w:val="none"/>
        </w:rPr>
        <w:t>的相关规定，承担违约责任。</w:t>
      </w:r>
    </w:p>
    <w:p>
      <w:pPr>
        <w:spacing w:line="480" w:lineRule="exact"/>
        <w:ind w:firstLine="480" w:firstLineChars="200"/>
        <w:rPr>
          <w:bCs/>
          <w:sz w:val="24"/>
          <w:highlight w:val="none"/>
        </w:rPr>
      </w:pPr>
      <w:r>
        <w:rPr>
          <w:bCs/>
          <w:sz w:val="24"/>
          <w:highlight w:val="none"/>
        </w:rPr>
        <w:t>8.3若乙方未按合同要求进行校准且没有事先与甲方沟通，造成甲方损失的，应由乙方赔偿甲方损失。如果原样品在有效期内且甲方明确要求重检，乙方免费安排重新校准。</w:t>
      </w:r>
    </w:p>
    <w:p>
      <w:pPr>
        <w:pStyle w:val="2"/>
        <w:rPr>
          <w:rFonts w:hint="eastAsia" w:ascii="Calibri" w:hAnsi="Calibri" w:eastAsia="宋体"/>
          <w:bCs/>
          <w:color w:val="auto"/>
          <w:kern w:val="2"/>
          <w:szCs w:val="22"/>
          <w:highlight w:val="none"/>
        </w:rPr>
      </w:pPr>
      <w:r>
        <w:rPr>
          <w:rFonts w:hint="eastAsia" w:ascii="Calibri" w:hAnsi="Calibri" w:eastAsia="宋体"/>
          <w:bCs/>
          <w:color w:val="auto"/>
          <w:kern w:val="2"/>
          <w:szCs w:val="22"/>
          <w:highlight w:val="none"/>
          <w:lang w:val="en-US" w:eastAsia="zh-CN"/>
        </w:rPr>
        <w:t>8.4</w:t>
      </w:r>
      <w:r>
        <w:rPr>
          <w:rFonts w:hint="eastAsia" w:ascii="Calibri" w:hAnsi="Calibri" w:eastAsia="宋体"/>
          <w:bCs/>
          <w:color w:val="auto"/>
          <w:kern w:val="2"/>
          <w:szCs w:val="22"/>
          <w:highlight w:val="none"/>
        </w:rPr>
        <w:t>乙方未能按时向甲方辖下分公司提交</w:t>
      </w:r>
      <w:r>
        <w:rPr>
          <w:rFonts w:hint="eastAsia" w:ascii="Calibri" w:hAnsi="Calibri" w:eastAsia="宋体"/>
          <w:bCs/>
          <w:color w:val="auto"/>
          <w:kern w:val="2"/>
          <w:szCs w:val="22"/>
          <w:highlight w:val="none"/>
          <w:lang w:val="en-US" w:eastAsia="zh-CN"/>
        </w:rPr>
        <w:t>校准证书</w:t>
      </w:r>
      <w:r>
        <w:rPr>
          <w:rFonts w:hint="eastAsia" w:ascii="Calibri" w:hAnsi="Calibri" w:eastAsia="宋体"/>
          <w:bCs/>
          <w:color w:val="auto"/>
          <w:kern w:val="2"/>
          <w:szCs w:val="22"/>
          <w:highlight w:val="none"/>
        </w:rPr>
        <w:t>的，每逾期</w:t>
      </w:r>
      <w:r>
        <w:rPr>
          <w:rFonts w:hint="eastAsia" w:ascii="Calibri" w:hAnsi="Calibri" w:eastAsia="宋体"/>
          <w:bCs/>
          <w:color w:val="auto"/>
          <w:kern w:val="2"/>
          <w:szCs w:val="22"/>
          <w:highlight w:val="none"/>
          <w:lang w:val="en-US" w:eastAsia="zh-CN"/>
        </w:rPr>
        <w:t>3</w:t>
      </w:r>
      <w:r>
        <w:rPr>
          <w:rFonts w:hint="eastAsia" w:ascii="Calibri" w:hAnsi="Calibri" w:eastAsia="宋体"/>
          <w:bCs/>
          <w:color w:val="auto"/>
          <w:kern w:val="2"/>
          <w:szCs w:val="22"/>
          <w:highlight w:val="none"/>
        </w:rPr>
        <w:t>天，扣罚100元，从应付</w:t>
      </w:r>
      <w:r>
        <w:rPr>
          <w:rFonts w:hint="eastAsia" w:ascii="Calibri" w:hAnsi="Calibri" w:eastAsia="宋体"/>
          <w:bCs/>
          <w:color w:val="auto"/>
          <w:kern w:val="2"/>
          <w:szCs w:val="22"/>
          <w:highlight w:val="none"/>
          <w:lang w:val="en-US" w:eastAsia="zh-CN"/>
        </w:rPr>
        <w:t>校准</w:t>
      </w:r>
      <w:r>
        <w:rPr>
          <w:rFonts w:hint="eastAsia" w:ascii="Calibri" w:hAnsi="Calibri" w:eastAsia="宋体"/>
          <w:bCs/>
          <w:color w:val="auto"/>
          <w:kern w:val="2"/>
          <w:szCs w:val="22"/>
          <w:highlight w:val="none"/>
        </w:rPr>
        <w:t>费用中进行抵扣；逾期达到</w:t>
      </w:r>
      <w:r>
        <w:rPr>
          <w:rFonts w:hint="eastAsia" w:ascii="Calibri" w:hAnsi="Calibri" w:eastAsia="宋体"/>
          <w:bCs/>
          <w:color w:val="auto"/>
          <w:kern w:val="2"/>
          <w:szCs w:val="22"/>
          <w:highlight w:val="none"/>
          <w:lang w:val="en-US" w:eastAsia="zh-CN"/>
        </w:rPr>
        <w:t>3</w:t>
      </w:r>
      <w:r>
        <w:rPr>
          <w:rFonts w:hint="eastAsia" w:ascii="Calibri" w:hAnsi="Calibri" w:eastAsia="宋体"/>
          <w:bCs/>
          <w:color w:val="auto"/>
          <w:kern w:val="2"/>
          <w:szCs w:val="22"/>
          <w:highlight w:val="none"/>
        </w:rPr>
        <w:t>0天以上或累计逾期达到10次及以上的，甲方有权解除合同，同时要求乙方一次性支付本合同价暂定总额的10%作为违约金；在收到甲方的应急</w:t>
      </w:r>
      <w:r>
        <w:rPr>
          <w:rFonts w:hint="eastAsia" w:ascii="Calibri" w:hAnsi="Calibri" w:eastAsia="宋体"/>
          <w:bCs/>
          <w:color w:val="auto"/>
          <w:kern w:val="2"/>
          <w:szCs w:val="22"/>
          <w:highlight w:val="none"/>
          <w:lang w:val="en-US" w:eastAsia="zh-CN"/>
        </w:rPr>
        <w:t>校准</w:t>
      </w:r>
      <w:r>
        <w:rPr>
          <w:rFonts w:hint="eastAsia" w:ascii="Calibri" w:hAnsi="Calibri" w:eastAsia="宋体"/>
          <w:bCs/>
          <w:color w:val="auto"/>
          <w:kern w:val="2"/>
          <w:szCs w:val="22"/>
          <w:highlight w:val="none"/>
        </w:rPr>
        <w:t>任务时，乙方出现一次拒绝的情况，扣罚1万元，出现两次扣罚3万，出现三次及以上甲方有权解除合同，同时要求乙方一次性支付本合同价暂定总额的10%作为违约金。</w:t>
      </w:r>
    </w:p>
    <w:p>
      <w:pPr>
        <w:pStyle w:val="2"/>
        <w:rPr>
          <w:rFonts w:hint="eastAsia" w:ascii="Calibri" w:hAnsi="Calibri" w:eastAsia="宋体"/>
          <w:bCs/>
          <w:color w:val="auto"/>
          <w:kern w:val="2"/>
          <w:szCs w:val="22"/>
          <w:highlight w:val="none"/>
        </w:rPr>
      </w:pPr>
      <w:r>
        <w:rPr>
          <w:rFonts w:hint="eastAsia" w:ascii="Calibri" w:hAnsi="Calibri" w:eastAsia="宋体"/>
          <w:bCs/>
          <w:color w:val="auto"/>
          <w:kern w:val="2"/>
          <w:szCs w:val="22"/>
          <w:highlight w:val="none"/>
          <w:lang w:val="en-US" w:eastAsia="zh-CN"/>
        </w:rPr>
        <w:t>8.5</w:t>
      </w:r>
      <w:r>
        <w:rPr>
          <w:rFonts w:hint="eastAsia" w:ascii="Calibri" w:hAnsi="Calibri" w:eastAsia="宋体"/>
          <w:bCs/>
          <w:color w:val="auto"/>
          <w:kern w:val="2"/>
          <w:szCs w:val="22"/>
          <w:highlight w:val="none"/>
        </w:rPr>
        <w:t>乙方应保证合同期内具有履行合同所需资质，如乙方出现资质过期、失效、营业执照被吊销等导致无法履行合同的，甲方有权单方面解除合同，同时要求乙方一次性支付本合同价暂定总额的10%作为违约金。</w:t>
      </w:r>
    </w:p>
    <w:p>
      <w:pPr>
        <w:spacing w:line="480" w:lineRule="exact"/>
        <w:ind w:firstLine="482" w:firstLineChars="200"/>
        <w:rPr>
          <w:bCs/>
          <w:sz w:val="24"/>
          <w:highlight w:val="none"/>
        </w:rPr>
      </w:pPr>
      <w:r>
        <w:rPr>
          <w:b/>
          <w:sz w:val="24"/>
          <w:highlight w:val="none"/>
        </w:rPr>
        <w:t>第九条 变更或解除</w:t>
      </w:r>
    </w:p>
    <w:p>
      <w:pPr>
        <w:spacing w:line="480" w:lineRule="exact"/>
        <w:ind w:firstLine="480" w:firstLineChars="200"/>
        <w:rPr>
          <w:bCs/>
          <w:sz w:val="24"/>
          <w:highlight w:val="none"/>
        </w:rPr>
      </w:pPr>
      <w:bookmarkStart w:id="132" w:name="_Toc183666530"/>
      <w:bookmarkStart w:id="133" w:name="_Toc306350466"/>
      <w:bookmarkStart w:id="134" w:name="_Toc5786"/>
      <w:r>
        <w:rPr>
          <w:bCs/>
          <w:sz w:val="24"/>
          <w:highlight w:val="none"/>
        </w:rPr>
        <w:t>9.1 甲方解除合同</w:t>
      </w:r>
    </w:p>
    <w:p>
      <w:pPr>
        <w:spacing w:line="480" w:lineRule="exact"/>
        <w:ind w:firstLine="480" w:firstLineChars="200"/>
        <w:rPr>
          <w:bCs/>
          <w:sz w:val="24"/>
          <w:highlight w:val="none"/>
        </w:rPr>
      </w:pPr>
      <w:r>
        <w:rPr>
          <w:bCs/>
          <w:sz w:val="24"/>
          <w:highlight w:val="none"/>
        </w:rPr>
        <w:t>如乙方存在下述情况之一，甲方有权向乙方发出书面通知，全部或部分解除本合同：</w:t>
      </w:r>
    </w:p>
    <w:p>
      <w:pPr>
        <w:spacing w:line="480" w:lineRule="exact"/>
        <w:ind w:firstLine="480" w:firstLineChars="200"/>
        <w:rPr>
          <w:bCs/>
          <w:sz w:val="24"/>
          <w:highlight w:val="none"/>
        </w:rPr>
      </w:pPr>
      <w:r>
        <w:rPr>
          <w:bCs/>
          <w:sz w:val="24"/>
          <w:highlight w:val="none"/>
        </w:rPr>
        <w:t xml:space="preserve">9.1.1 乙方未能在本合同约定或甲方另行指定的期限内提供部分或全部服务，并经甲方催告后在合理期限内仍未提供； </w:t>
      </w:r>
    </w:p>
    <w:p>
      <w:pPr>
        <w:spacing w:line="480" w:lineRule="exact"/>
        <w:ind w:firstLine="480" w:firstLineChars="200"/>
        <w:rPr>
          <w:bCs/>
          <w:sz w:val="24"/>
          <w:highlight w:val="none"/>
        </w:rPr>
      </w:pPr>
      <w:r>
        <w:rPr>
          <w:bCs/>
          <w:sz w:val="24"/>
          <w:highlight w:val="none"/>
        </w:rPr>
        <w:t>9.1.2 乙方提供服务存在严重的质量问题，导致本合同目的不能实现；</w:t>
      </w:r>
    </w:p>
    <w:p>
      <w:pPr>
        <w:spacing w:line="480" w:lineRule="exact"/>
        <w:ind w:firstLine="480" w:firstLineChars="200"/>
        <w:rPr>
          <w:bCs/>
          <w:sz w:val="24"/>
          <w:highlight w:val="none"/>
        </w:rPr>
      </w:pPr>
      <w:r>
        <w:rPr>
          <w:bCs/>
          <w:sz w:val="24"/>
          <w:highlight w:val="none"/>
        </w:rPr>
        <w:t>9.1.3 乙方存在违反合同义务的其他情形。</w:t>
      </w:r>
    </w:p>
    <w:p>
      <w:pPr>
        <w:spacing w:line="480" w:lineRule="exact"/>
        <w:ind w:firstLine="480" w:firstLineChars="200"/>
        <w:rPr>
          <w:bCs/>
          <w:sz w:val="24"/>
          <w:highlight w:val="none"/>
        </w:rPr>
      </w:pPr>
      <w:r>
        <w:rPr>
          <w:bCs/>
          <w:sz w:val="24"/>
          <w:highlight w:val="none"/>
        </w:rPr>
        <w:t>9.2 乙方解除合同</w:t>
      </w:r>
    </w:p>
    <w:p>
      <w:pPr>
        <w:spacing w:line="480" w:lineRule="exact"/>
        <w:ind w:firstLine="480" w:firstLineChars="200"/>
        <w:rPr>
          <w:bCs/>
          <w:sz w:val="24"/>
          <w:highlight w:val="none"/>
        </w:rPr>
      </w:pPr>
      <w:r>
        <w:rPr>
          <w:bCs/>
          <w:sz w:val="24"/>
          <w:highlight w:val="none"/>
        </w:rPr>
        <w:t>如甲方无正当理由未能按本合同约定期限向乙方支付合同款，并经乙方催告后超过</w:t>
      </w:r>
      <w:r>
        <w:rPr>
          <w:rFonts w:hint="eastAsia"/>
          <w:bCs/>
          <w:sz w:val="24"/>
          <w:highlight w:val="none"/>
        </w:rPr>
        <w:t>10</w:t>
      </w:r>
      <w:r>
        <w:rPr>
          <w:bCs/>
          <w:sz w:val="24"/>
          <w:highlight w:val="none"/>
        </w:rPr>
        <w:t>天仍未支付，乙方有权以书面通知解除本合同。</w:t>
      </w:r>
    </w:p>
    <w:p>
      <w:pPr>
        <w:spacing w:line="480" w:lineRule="exact"/>
        <w:ind w:firstLine="480" w:firstLineChars="200"/>
        <w:rPr>
          <w:bCs/>
          <w:sz w:val="24"/>
          <w:highlight w:val="none"/>
        </w:rPr>
      </w:pPr>
      <w:r>
        <w:rPr>
          <w:bCs/>
          <w:sz w:val="24"/>
          <w:highlight w:val="none"/>
        </w:rPr>
        <w:t xml:space="preserve">9.3 </w:t>
      </w:r>
      <w:r>
        <w:rPr>
          <w:sz w:val="24"/>
          <w:highlight w:val="none"/>
        </w:rPr>
        <w:t>甲乙双方经协商一致后解除合同。</w:t>
      </w:r>
    </w:p>
    <w:bookmarkEnd w:id="132"/>
    <w:bookmarkEnd w:id="133"/>
    <w:bookmarkEnd w:id="134"/>
    <w:p>
      <w:pPr>
        <w:spacing w:line="480" w:lineRule="exact"/>
        <w:ind w:firstLine="482" w:firstLineChars="200"/>
        <w:rPr>
          <w:bCs/>
          <w:sz w:val="24"/>
          <w:highlight w:val="none"/>
        </w:rPr>
      </w:pPr>
      <w:r>
        <w:rPr>
          <w:b/>
          <w:sz w:val="24"/>
          <w:highlight w:val="none"/>
        </w:rPr>
        <w:t>第十条 不可抗力</w:t>
      </w:r>
    </w:p>
    <w:p>
      <w:pPr>
        <w:spacing w:line="480" w:lineRule="exact"/>
        <w:ind w:firstLine="480" w:firstLineChars="200"/>
        <w:rPr>
          <w:sz w:val="24"/>
          <w:highlight w:val="none"/>
        </w:rPr>
      </w:pPr>
      <w:r>
        <w:rPr>
          <w:sz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highlight w:val="none"/>
        </w:rPr>
      </w:pPr>
      <w:r>
        <w:rPr>
          <w:sz w:val="24"/>
          <w:highlight w:val="none"/>
        </w:rPr>
        <w:t>（1）地震、火山爆发、滑坡、暴雨（橙色预警及以上）、台风（黄色预警及以上）、海啸、龙卷风、大面积流行病(如：非典型性肺炎等)或瘟疫；</w:t>
      </w:r>
    </w:p>
    <w:p>
      <w:pPr>
        <w:spacing w:line="480" w:lineRule="exact"/>
        <w:ind w:firstLine="480" w:firstLineChars="200"/>
        <w:rPr>
          <w:sz w:val="24"/>
          <w:highlight w:val="none"/>
        </w:rPr>
      </w:pPr>
      <w:r>
        <w:rPr>
          <w:sz w:val="24"/>
          <w:highlight w:val="none"/>
        </w:rPr>
        <w:t>（2）战争行为、入侵、武装冲突或外敌行为、封锁、暴乱、恐怖行为或军事演习；</w:t>
      </w:r>
    </w:p>
    <w:p>
      <w:pPr>
        <w:spacing w:line="480" w:lineRule="exact"/>
        <w:ind w:firstLine="480" w:firstLineChars="200"/>
        <w:rPr>
          <w:sz w:val="24"/>
          <w:highlight w:val="none"/>
        </w:rPr>
      </w:pPr>
      <w:r>
        <w:rPr>
          <w:sz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480" w:lineRule="exact"/>
        <w:ind w:firstLine="480" w:firstLineChars="200"/>
        <w:rPr>
          <w:sz w:val="24"/>
          <w:highlight w:val="none"/>
        </w:rPr>
      </w:pPr>
      <w:r>
        <w:rPr>
          <w:sz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480" w:lineRule="exact"/>
        <w:ind w:firstLine="480" w:firstLineChars="200"/>
        <w:rPr>
          <w:bCs/>
          <w:sz w:val="24"/>
          <w:highlight w:val="none"/>
        </w:rPr>
      </w:pPr>
      <w:r>
        <w:rPr>
          <w:sz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80" w:lineRule="exact"/>
        <w:ind w:firstLine="482" w:firstLineChars="200"/>
        <w:rPr>
          <w:bCs/>
          <w:sz w:val="24"/>
          <w:highlight w:val="none"/>
        </w:rPr>
      </w:pPr>
      <w:r>
        <w:rPr>
          <w:b/>
          <w:sz w:val="24"/>
          <w:highlight w:val="none"/>
        </w:rPr>
        <w:t>第十一条  争议解决</w:t>
      </w:r>
    </w:p>
    <w:p>
      <w:pPr>
        <w:spacing w:line="480" w:lineRule="exact"/>
        <w:ind w:firstLine="480" w:firstLineChars="200"/>
        <w:rPr>
          <w:sz w:val="24"/>
          <w:highlight w:val="none"/>
        </w:rPr>
      </w:pPr>
      <w:r>
        <w:rPr>
          <w:sz w:val="24"/>
          <w:highlight w:val="none"/>
        </w:rPr>
        <w:t>11.1 因本合同引起的或与本合同有关的任何争议，甲乙双方应友好协商解决，如协商不成，任何一方均可依法向</w:t>
      </w:r>
      <w:r>
        <w:rPr>
          <w:sz w:val="24"/>
          <w:highlight w:val="none"/>
          <w:u w:val="single"/>
        </w:rPr>
        <w:t>甲方所在地人民法院</w:t>
      </w:r>
      <w:r>
        <w:rPr>
          <w:sz w:val="24"/>
          <w:highlight w:val="none"/>
        </w:rPr>
        <w:t>提起诉讼。</w:t>
      </w:r>
    </w:p>
    <w:p>
      <w:pPr>
        <w:spacing w:line="480" w:lineRule="exact"/>
        <w:ind w:firstLine="480" w:firstLineChars="200"/>
        <w:rPr>
          <w:sz w:val="24"/>
          <w:highlight w:val="none"/>
        </w:rPr>
      </w:pPr>
      <w:r>
        <w:rPr>
          <w:sz w:val="24"/>
          <w:highlight w:val="none"/>
        </w:rPr>
        <w:t>11.2 在甲方同意的情况下，除有争端之外的合同其它部分在争端解决前应继续执行。</w:t>
      </w:r>
    </w:p>
    <w:p>
      <w:pPr>
        <w:spacing w:line="480" w:lineRule="exact"/>
        <w:ind w:firstLine="482" w:firstLineChars="200"/>
        <w:rPr>
          <w:rFonts w:ascii="宋体" w:hAnsi="宋体" w:cs="宋体"/>
          <w:b/>
          <w:sz w:val="24"/>
          <w:highlight w:val="none"/>
        </w:rPr>
      </w:pPr>
      <w:r>
        <w:rPr>
          <w:rFonts w:hint="eastAsia" w:ascii="宋体" w:hAnsi="宋体" w:cs="宋体"/>
          <w:b/>
          <w:sz w:val="24"/>
          <w:highlight w:val="none"/>
        </w:rPr>
        <w:t>第十二条</w:t>
      </w:r>
      <w:r>
        <w:rPr>
          <w:rFonts w:ascii="宋体" w:hAnsi="宋体" w:cs="宋体"/>
          <w:b/>
          <w:sz w:val="24"/>
          <w:highlight w:val="none"/>
        </w:rPr>
        <w:t xml:space="preserve"> </w:t>
      </w:r>
      <w:r>
        <w:rPr>
          <w:rFonts w:hint="eastAsia" w:ascii="宋体" w:hAnsi="宋体" w:cs="宋体"/>
          <w:b/>
          <w:sz w:val="24"/>
          <w:highlight w:val="none"/>
        </w:rPr>
        <w:t>其他：</w:t>
      </w:r>
    </w:p>
    <w:p>
      <w:pPr>
        <w:spacing w:line="480" w:lineRule="exact"/>
        <w:ind w:firstLine="480" w:firstLineChars="200"/>
        <w:rPr>
          <w:rFonts w:ascii="宋体" w:hAnsi="宋体" w:cs="宋体"/>
          <w:b/>
          <w:sz w:val="24"/>
          <w:highlight w:val="none"/>
        </w:rPr>
      </w:pPr>
      <w:r>
        <w:rPr>
          <w:rFonts w:ascii="宋体" w:hAnsi="宋体" w:cs="宋体"/>
          <w:bCs/>
          <w:sz w:val="24"/>
          <w:highlight w:val="none"/>
        </w:rPr>
        <w:t>15.1</w:t>
      </w:r>
      <w:r>
        <w:rPr>
          <w:rFonts w:hint="eastAsia" w:ascii="宋体" w:hAnsi="宋体" w:cs="宋体"/>
          <w:sz w:val="24"/>
          <w:highlight w:val="none"/>
        </w:rPr>
        <w:t>本合同未尽事宜，可由甲乙双方另行签订补充协议。补充协议与本合同具有同等法律效力。</w:t>
      </w:r>
    </w:p>
    <w:p>
      <w:pPr>
        <w:spacing w:line="480" w:lineRule="exact"/>
        <w:ind w:firstLine="480" w:firstLineChars="200"/>
        <w:rPr>
          <w:rFonts w:ascii="宋体" w:hAnsi="宋体" w:cs="宋体"/>
          <w:sz w:val="24"/>
          <w:highlight w:val="none"/>
        </w:rPr>
      </w:pPr>
      <w:r>
        <w:rPr>
          <w:rFonts w:ascii="宋体" w:hAnsi="宋体" w:cs="宋体"/>
          <w:sz w:val="24"/>
          <w:highlight w:val="none"/>
        </w:rPr>
        <w:t>15.2</w:t>
      </w:r>
      <w:r>
        <w:rPr>
          <w:rFonts w:hint="eastAsia" w:ascii="宋体" w:hAnsi="宋体" w:cs="宋体"/>
          <w:sz w:val="24"/>
          <w:highlight w:val="none"/>
        </w:rPr>
        <w:t>本合同自甲乙双方法定代表人或授权代理人签字并加盖公章之日起生效。</w:t>
      </w:r>
    </w:p>
    <w:p>
      <w:pPr>
        <w:spacing w:line="480" w:lineRule="exact"/>
        <w:ind w:firstLine="480" w:firstLineChars="200"/>
        <w:rPr>
          <w:rFonts w:ascii="宋体" w:hAnsi="宋体" w:cs="宋体"/>
          <w:sz w:val="24"/>
          <w:highlight w:val="none"/>
        </w:rPr>
      </w:pPr>
      <w:r>
        <w:rPr>
          <w:rFonts w:ascii="宋体" w:hAnsi="宋体" w:cs="宋体"/>
          <w:sz w:val="24"/>
          <w:highlight w:val="none"/>
        </w:rPr>
        <w:t>15.3</w:t>
      </w:r>
      <w:r>
        <w:rPr>
          <w:rFonts w:hint="eastAsia" w:ascii="宋体" w:hAnsi="宋体" w:cs="宋体"/>
          <w:sz w:val="24"/>
          <w:highlight w:val="none"/>
        </w:rPr>
        <w:t>本合同一式</w:t>
      </w:r>
      <w:r>
        <w:rPr>
          <w:rFonts w:ascii="宋体" w:hAnsi="宋体" w:cs="宋体"/>
          <w:sz w:val="24"/>
          <w:highlight w:val="none"/>
          <w:u w:val="single"/>
        </w:rPr>
        <w:t xml:space="preserve"> </w:t>
      </w:r>
      <w:r>
        <w:rPr>
          <w:rFonts w:hint="eastAsia" w:ascii="宋体" w:hAnsi="宋体" w:cs="宋体"/>
          <w:sz w:val="24"/>
          <w:highlight w:val="none"/>
          <w:u w:val="single"/>
        </w:rPr>
        <w:t>陆</w:t>
      </w:r>
      <w:r>
        <w:rPr>
          <w:rFonts w:ascii="宋体" w:hAnsi="宋体" w:cs="宋体"/>
          <w:sz w:val="24"/>
          <w:highlight w:val="none"/>
          <w:u w:val="single"/>
        </w:rPr>
        <w:t xml:space="preserve"> </w:t>
      </w:r>
      <w:r>
        <w:rPr>
          <w:rFonts w:hint="eastAsia" w:ascii="宋体" w:hAnsi="宋体" w:cs="宋体"/>
          <w:sz w:val="24"/>
          <w:highlight w:val="none"/>
        </w:rPr>
        <w:t>份，甲方执</w:t>
      </w:r>
      <w:r>
        <w:rPr>
          <w:rFonts w:ascii="宋体" w:hAnsi="宋体" w:cs="宋体"/>
          <w:sz w:val="24"/>
          <w:highlight w:val="none"/>
          <w:u w:val="single"/>
        </w:rPr>
        <w:t xml:space="preserve"> </w:t>
      </w:r>
      <w:r>
        <w:rPr>
          <w:rFonts w:hint="eastAsia" w:ascii="宋体" w:hAnsi="宋体" w:cs="宋体"/>
          <w:sz w:val="24"/>
          <w:highlight w:val="none"/>
          <w:u w:val="single"/>
        </w:rPr>
        <w:t>肆</w:t>
      </w:r>
      <w:r>
        <w:rPr>
          <w:rFonts w:ascii="宋体" w:hAnsi="宋体" w:cs="宋体"/>
          <w:sz w:val="24"/>
          <w:highlight w:val="none"/>
          <w:u w:val="single"/>
        </w:rPr>
        <w:t xml:space="preserve"> </w:t>
      </w:r>
      <w:r>
        <w:rPr>
          <w:rFonts w:hint="eastAsia" w:ascii="宋体" w:hAnsi="宋体" w:cs="宋体"/>
          <w:sz w:val="24"/>
          <w:highlight w:val="none"/>
        </w:rPr>
        <w:t>份，乙方执</w:t>
      </w:r>
      <w:r>
        <w:rPr>
          <w:rFonts w:ascii="宋体" w:hAnsi="宋体" w:cs="宋体"/>
          <w:sz w:val="24"/>
          <w:highlight w:val="none"/>
          <w:u w:val="single"/>
        </w:rPr>
        <w:t xml:space="preserve"> </w:t>
      </w:r>
      <w:r>
        <w:rPr>
          <w:rFonts w:hint="eastAsia" w:ascii="宋体" w:hAnsi="宋体" w:cs="宋体"/>
          <w:sz w:val="24"/>
          <w:highlight w:val="none"/>
          <w:u w:val="single"/>
        </w:rPr>
        <w:t>贰</w:t>
      </w:r>
      <w:r>
        <w:rPr>
          <w:rFonts w:ascii="宋体" w:hAnsi="宋体" w:cs="宋体"/>
          <w:sz w:val="24"/>
          <w:highlight w:val="none"/>
          <w:u w:val="single"/>
        </w:rPr>
        <w:t xml:space="preserve"> </w:t>
      </w:r>
      <w:r>
        <w:rPr>
          <w:rFonts w:hint="eastAsia" w:ascii="宋体" w:hAnsi="宋体" w:cs="宋体"/>
          <w:sz w:val="24"/>
          <w:highlight w:val="none"/>
        </w:rPr>
        <w:t>份。均具有同等法律效力。</w:t>
      </w:r>
    </w:p>
    <w:p>
      <w:pPr>
        <w:spacing w:line="480" w:lineRule="exact"/>
        <w:ind w:firstLine="480" w:firstLineChars="200"/>
        <w:rPr>
          <w:rFonts w:ascii="宋体" w:hAnsi="宋体" w:cs="宋体"/>
          <w:sz w:val="24"/>
          <w:highlight w:val="none"/>
        </w:rPr>
      </w:pPr>
      <w:r>
        <w:rPr>
          <w:rFonts w:ascii="宋体" w:hAnsi="宋体" w:cs="宋体"/>
          <w:sz w:val="24"/>
          <w:highlight w:val="none"/>
        </w:rPr>
        <w:t>15.4</w:t>
      </w:r>
      <w:r>
        <w:rPr>
          <w:rFonts w:hint="eastAsia" w:ascii="宋体" w:hAnsi="宋体" w:cs="宋体"/>
          <w:sz w:val="24"/>
          <w:highlight w:val="none"/>
        </w:rPr>
        <w:t>补充条款：</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p>
    <w:p>
      <w:pPr>
        <w:spacing w:line="480" w:lineRule="exact"/>
        <w:ind w:firstLine="480" w:firstLineChars="200"/>
        <w:rPr>
          <w:rFonts w:ascii="宋体" w:hAnsi="宋体" w:cs="宋体"/>
          <w:sz w:val="24"/>
          <w:highlight w:val="none"/>
        </w:rPr>
      </w:pPr>
    </w:p>
    <w:p>
      <w:pPr>
        <w:spacing w:line="480" w:lineRule="exact"/>
        <w:ind w:firstLine="480" w:firstLineChars="200"/>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spacing w:line="480" w:lineRule="exact"/>
        <w:ind w:left="0" w:firstLine="1200" w:firstLineChars="500"/>
        <w:rPr>
          <w:rFonts w:ascii="宋体" w:hAnsi="宋体" w:cs="宋体"/>
          <w:sz w:val="24"/>
          <w:highlight w:val="none"/>
        </w:rPr>
      </w:pPr>
      <w:r>
        <w:rPr>
          <w:rFonts w:hint="eastAsia" w:ascii="宋体" w:hAnsi="宋体" w:cs="宋体"/>
          <w:sz w:val="24"/>
          <w:highlight w:val="none"/>
        </w:rPr>
        <w:t>2.服务内容及报价清单</w:t>
      </w:r>
    </w:p>
    <w:p>
      <w:pPr>
        <w:spacing w:line="480" w:lineRule="exact"/>
        <w:ind w:left="0" w:firstLine="1200" w:firstLineChars="5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廉洁协议</w:t>
      </w:r>
    </w:p>
    <w:p>
      <w:pPr>
        <w:spacing w:line="480" w:lineRule="exact"/>
        <w:ind w:firstLine="1200" w:firstLineChars="5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.安全协议书</w:t>
      </w:r>
    </w:p>
    <w:p>
      <w:pPr>
        <w:pStyle w:val="2"/>
        <w:ind w:firstLine="640"/>
        <w:rPr>
          <w:rFonts w:hint="default"/>
          <w:highlight w:val="none"/>
        </w:rPr>
      </w:pPr>
    </w:p>
    <w:p>
      <w:pPr>
        <w:pStyle w:val="2"/>
        <w:ind w:firstLine="640"/>
        <w:rPr>
          <w:rFonts w:hint="default"/>
          <w:highlight w:val="none"/>
        </w:rPr>
      </w:pPr>
    </w:p>
    <w:bookmarkEnd w:id="121"/>
    <w:bookmarkEnd w:id="122"/>
    <w:bookmarkEnd w:id="123"/>
    <w:bookmarkEnd w:id="124"/>
    <w:bookmarkEnd w:id="125"/>
    <w:bookmarkEnd w:id="126"/>
    <w:bookmarkEnd w:id="127"/>
    <w:bookmarkEnd w:id="128"/>
    <w:bookmarkEnd w:id="129"/>
    <w:bookmarkEnd w:id="130"/>
    <w:bookmarkEnd w:id="131"/>
    <w:tbl>
      <w:tblPr>
        <w:tblStyle w:val="24"/>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highlight w:val="none"/>
              </w:rPr>
            </w:pPr>
            <w:r>
              <w:rPr>
                <w:rFonts w:hint="eastAsia" w:ascii="宋体" w:hAnsi="宋体" w:cs="宋体"/>
                <w:b/>
                <w:color w:val="000000"/>
                <w:sz w:val="24"/>
                <w:highlight w:val="none"/>
              </w:rPr>
              <w:t>甲方</w:t>
            </w:r>
            <w:r>
              <w:rPr>
                <w:rFonts w:hint="eastAsia" w:ascii="宋体" w:hAnsi="宋体" w:cs="宋体"/>
                <w:color w:val="000000"/>
                <w:sz w:val="24"/>
                <w:highlight w:val="none"/>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000000"/>
                <w:sz w:val="24"/>
                <w:highlight w:val="none"/>
                <w:lang w:val="en-US" w:eastAsia="zh-CN"/>
              </w:rPr>
            </w:pPr>
            <w:r>
              <w:rPr>
                <w:rFonts w:hint="eastAsia" w:ascii="宋体" w:hAnsi="宋体" w:cs="宋体"/>
                <w:b/>
                <w:color w:val="000000"/>
                <w:sz w:val="24"/>
                <w:highlight w:val="none"/>
              </w:rPr>
              <w:t>乙方</w:t>
            </w:r>
            <w:r>
              <w:rPr>
                <w:rFonts w:hint="eastAsia" w:ascii="宋体" w:hAnsi="宋体" w:cs="宋体"/>
                <w:color w:val="000000"/>
                <w:sz w:val="24"/>
                <w:highlight w:val="none"/>
              </w:rPr>
              <w:t>：</w:t>
            </w:r>
            <w:r>
              <w:rPr>
                <w:rFonts w:ascii="宋体" w:hAnsi="宋体" w:cs="宋体"/>
                <w:color w:val="000000"/>
                <w:sz w:val="24"/>
                <w:highlight w:val="none"/>
              </w:rPr>
              <w:t xml:space="preserve"> </w:t>
            </w:r>
            <w:r>
              <w:rPr>
                <w:rFonts w:hint="eastAsia" w:ascii="宋体" w:hAnsi="宋体" w:cs="宋体"/>
                <w:color w:val="000000"/>
                <w:sz w:val="24"/>
                <w:highlight w:val="none"/>
              </w:rPr>
              <w:t>（章）</w:t>
            </w:r>
            <w:r>
              <w:rPr>
                <w:rFonts w:hint="eastAsia" w:ascii="宋体" w:hAnsi="宋体" w:cs="宋体"/>
                <w:color w:val="000000"/>
                <w:sz w:val="24"/>
                <w:highlight w:val="none"/>
                <w:lang w:eastAsia="zh-CN"/>
              </w:rPr>
              <w:t xml:space="preserve">       </w:t>
            </w:r>
            <w:r>
              <w:rPr>
                <w:rFonts w:hint="eastAsia" w:ascii="宋体" w:hAnsi="宋体" w:cs="宋体"/>
                <w:color w:val="000000"/>
                <w:sz w:val="24"/>
                <w:highlight w:val="none"/>
                <w:lang w:val="en-US" w:eastAsia="zh-CN"/>
              </w:rPr>
              <w:t xml:space="preserve"> </w:t>
            </w:r>
          </w:p>
          <w:p>
            <w:pPr>
              <w:adjustRightInd w:val="0"/>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经办人：</w:t>
            </w:r>
            <w:r>
              <w:rPr>
                <w:rFonts w:hint="eastAsia" w:ascii="宋体" w:hAnsi="宋体" w:cs="宋体"/>
                <w:color w:val="000000"/>
                <w:sz w:val="24"/>
                <w:highlight w:val="none"/>
                <w:lang w:val="en-US" w:eastAsia="zh-CN"/>
              </w:rPr>
              <w:t xml:space="preserve"> </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电话：</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highlight w:val="none"/>
              </w:rPr>
            </w:pPr>
            <w:r>
              <w:rPr>
                <w:rFonts w:hint="eastAsia" w:ascii="宋体" w:hAnsi="宋体" w:cs="宋体"/>
                <w:color w:val="000000"/>
                <w:sz w:val="24"/>
                <w:highlight w:val="none"/>
              </w:rPr>
              <w:t>签订日期：</w:t>
            </w:r>
            <w:r>
              <w:rPr>
                <w:rFonts w:ascii="宋体" w:hAnsi="宋体" w:cs="宋体"/>
                <w:color w:val="000000"/>
                <w:sz w:val="24"/>
                <w:highlight w:val="none"/>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highlight w:val="none"/>
              </w:rPr>
            </w:pPr>
            <w:r>
              <w:rPr>
                <w:rFonts w:hint="eastAsia" w:ascii="宋体" w:hAnsi="宋体" w:cs="宋体"/>
                <w:color w:val="000000"/>
                <w:sz w:val="24"/>
                <w:highlight w:val="none"/>
              </w:rPr>
              <w:t>签订日期</w:t>
            </w:r>
            <w:r>
              <w:rPr>
                <w:rFonts w:ascii="宋体" w:hAnsi="宋体" w:cs="宋体"/>
                <w:color w:val="000000"/>
                <w:sz w:val="24"/>
                <w:highlight w:val="none"/>
              </w:rPr>
              <w:t>:</w:t>
            </w:r>
          </w:p>
        </w:tc>
      </w:tr>
    </w:tbl>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t>附件1   发包通知书</w:t>
      </w:r>
    </w:p>
    <w:p>
      <w:pPr>
        <w:pStyle w:val="2"/>
        <w:rPr>
          <w:rFonts w:hint="default"/>
          <w:highlight w:val="none"/>
        </w:rPr>
      </w:pPr>
    </w:p>
    <w:p>
      <w:pPr>
        <w:pStyle w:val="2"/>
        <w:ind w:firstLine="0" w:firstLineChars="0"/>
        <w:rPr>
          <w:rFonts w:hint="eastAsia" w:ascii="宋体" w:hAnsi="宋体" w:eastAsia="宋体" w:cs="宋体"/>
          <w:b/>
          <w:bCs/>
          <w:sz w:val="21"/>
          <w:szCs w:val="21"/>
          <w:highlight w:val="none"/>
          <w:lang w:val="en-US" w:eastAsia="zh-CN"/>
        </w:rPr>
      </w:pPr>
      <w:r>
        <w:rPr>
          <w:rFonts w:ascii="宋体" w:hAnsi="宋体" w:eastAsia="宋体" w:cs="宋体"/>
          <w:b/>
          <w:bCs/>
          <w:sz w:val="21"/>
          <w:szCs w:val="21"/>
          <w:highlight w:val="none"/>
        </w:rPr>
        <w:t>附件2：服务内容及报价清单</w:t>
      </w:r>
    </w:p>
    <w:p>
      <w:pPr>
        <w:pStyle w:val="2"/>
        <w:ind w:firstLine="0" w:firstLineChars="0"/>
        <w:rPr>
          <w:rFonts w:hint="eastAsia" w:ascii="宋体" w:hAnsi="宋体" w:eastAsia="宋体" w:cs="宋体"/>
          <w:b/>
          <w:bCs/>
          <w:sz w:val="21"/>
          <w:szCs w:val="21"/>
          <w:highlight w:val="none"/>
          <w:lang w:val="en-US" w:eastAsia="zh-CN"/>
        </w:rPr>
      </w:pPr>
    </w:p>
    <w:p>
      <w:pPr>
        <w:rPr>
          <w:rFonts w:hint="eastAsia" w:ascii="宋体" w:hAnsi="宋体" w:cs="宋体"/>
          <w:b/>
          <w:bCs/>
          <w:szCs w:val="21"/>
          <w:highlight w:val="none"/>
        </w:rPr>
      </w:pPr>
      <w:r>
        <w:rPr>
          <w:rFonts w:hint="eastAsia" w:ascii="宋体" w:hAnsi="宋体" w:cs="宋体"/>
          <w:b/>
          <w:bCs/>
          <w:szCs w:val="21"/>
          <w:highlight w:val="none"/>
        </w:rPr>
        <w:t>附件</w:t>
      </w:r>
      <w:r>
        <w:rPr>
          <w:rFonts w:ascii="宋体" w:hAnsi="宋体" w:cs="宋体"/>
          <w:b/>
          <w:bCs/>
          <w:szCs w:val="21"/>
          <w:highlight w:val="none"/>
        </w:rPr>
        <w:t>3</w:t>
      </w:r>
      <w:r>
        <w:rPr>
          <w:rFonts w:hint="eastAsia" w:ascii="宋体" w:hAnsi="宋体" w:cs="宋体"/>
          <w:b/>
          <w:bCs/>
          <w:szCs w:val="21"/>
          <w:highlight w:val="none"/>
        </w:rPr>
        <w:t>：廉洁协议</w:t>
      </w:r>
    </w:p>
    <w:p>
      <w:pPr>
        <w:spacing w:line="520" w:lineRule="exact"/>
        <w:ind w:firstLine="3654" w:firstLineChars="13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廉洁协议</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为促进双方诚信经营、廉洁从业，防范商业贿赂，保护国家、集体和当事人的合法权益，根据国家有关法律法规和广东省、广州市廉政建设的规定，</w:t>
      </w:r>
      <w:r>
        <w:rPr>
          <w:rFonts w:hint="eastAsia" w:asciiTheme="minorEastAsia" w:hAnsiTheme="minorEastAsia" w:eastAsiaTheme="minorEastAsia" w:cstheme="minorEastAsia"/>
          <w:bCs/>
          <w:sz w:val="24"/>
          <w:szCs w:val="24"/>
          <w:highlight w:val="none"/>
          <w:u w:val="single"/>
        </w:rPr>
        <w:t>广州市净水有限公司</w:t>
      </w:r>
      <w:r>
        <w:rPr>
          <w:rFonts w:hint="eastAsia" w:asciiTheme="minorEastAsia" w:hAnsiTheme="minorEastAsia" w:eastAsiaTheme="minorEastAsia" w:cstheme="minorEastAsia"/>
          <w:bCs/>
          <w:sz w:val="24"/>
          <w:szCs w:val="24"/>
          <w:highlight w:val="none"/>
        </w:rPr>
        <w:t>(以下称甲方)与</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rPr>
        <w:t>(以下称乙方)，特此订立本协议共同遵照执行。</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第一条 甲乙双方的权利和义务</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（一）甲乙双方严格遵守国家关于市场准入、项目招标投标、市场经营活动等有关法律、法规相关政策及廉政建设的各项规定。</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（二）严格执行</w:t>
      </w:r>
      <w:r>
        <w:rPr>
          <w:rFonts w:hint="eastAsia" w:asciiTheme="minorEastAsia" w:hAnsiTheme="minorEastAsia" w:eastAsiaTheme="minorEastAsia" w:cstheme="minorEastAsia"/>
          <w:bCs/>
          <w:sz w:val="24"/>
          <w:szCs w:val="24"/>
          <w:highlight w:val="none"/>
          <w:u w:val="single"/>
        </w:rPr>
        <w:t>广州市净水有限公司</w:t>
      </w:r>
      <w:r>
        <w:rPr>
          <w:rFonts w:hint="eastAsia" w:asciiTheme="minorEastAsia" w:hAnsiTheme="minorEastAsia" w:eastAsiaTheme="minorEastAsia" w:cstheme="minorEastAsia"/>
          <w:bCs/>
          <w:sz w:val="24"/>
          <w:szCs w:val="24"/>
          <w:highlight w:val="none"/>
          <w:u w:val="single"/>
          <w:lang w:eastAsia="zh-CN"/>
        </w:rPr>
        <w:t>2024年化验仪器设备第三方校准服务项目</w:t>
      </w:r>
      <w:r>
        <w:rPr>
          <w:rFonts w:hint="eastAsia" w:asciiTheme="minorEastAsia" w:hAnsiTheme="minorEastAsia" w:eastAsiaTheme="minorEastAsia" w:cstheme="minorEastAsia"/>
          <w:bCs/>
          <w:sz w:val="24"/>
          <w:szCs w:val="24"/>
          <w:highlight w:val="none"/>
        </w:rPr>
        <w:t>合同（以下简称：主合同），自觉履行合同约定的相关义务。</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（三）在业务活动中坚持公开、公正、诚信、透明的原则，不得损害国家、集体利益。</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（四）建立健全廉洁从业制度，开展廉洁教育，公布举报电话，监督并认真查处不廉洁及违法违纪行为。</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（五）发现对方在业务活动中有不廉洁行为，应及时提醒对方纠正。情节严重的，应向其有关监督部门检举。</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第二条甲方的义务</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（一）甲方及其工作人员不得索要或接受乙方的礼金、有价证券和贵重物品，不得在乙方报销任何应由甲方或个人支付的费用等。</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（三）甲方及其工作人员不得要求或者接受乙方为其住房装修、婚丧嫁娶活动、配偶子女工作安排以及出国出境、旅游等提供方便等。</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（四）甲方工作人员不得在乙方或与乙方有股权关联的企业兼职，不得向乙方介绍家属或者亲友从事与甲方业务有关的经济活动。</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（六）甲方工作人员不得利用职务之便收受乙方以回扣、手续费、加班费、咨询费、劳务费、协调费、辛苦费等各种名义给予或赠送的钱物。</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（七）甲方工作人员不得接受乙方给予或赠送的干股或红利。</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（八）不得存在其他违反廉洁规定的行为。</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第三条乙方的义务</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（一）乙方不得以任何理由向甲方及其工作人员行贿或馈赠礼金、有价证券、贵重礼品。</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（二)乙方不得以任何名义为甲方及其工作人员报销应由甲方单位或个人支付的任何费用。</w:t>
      </w:r>
    </w:p>
    <w:p>
      <w:pPr>
        <w:spacing w:line="480" w:lineRule="exact"/>
        <w:ind w:left="25" w:leftChars="12"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（三）乙方不得以任何理由安排甲方工作人员参加可能影响相关业务公开、公正、公平性的宴请及娱乐活动。</w:t>
      </w:r>
    </w:p>
    <w:p>
      <w:pPr>
        <w:pStyle w:val="16"/>
        <w:spacing w:line="480" w:lineRule="exact"/>
        <w:ind w:left="0"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（四）乙方不得为甲方单位和个人购置或提供通讯工具和高档办公用品等物品，也不得为甲方提供与工作无关的房屋、汽车等。</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（五）乙方不得擅自与甲方工作人员就主合同中的质量、数量、价格、工程量、验收等条款进行私下商谈或者达成默契。</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（六）乙方不得以回扣、手续费、加班费、咨询费、劳务费、协调费、辛苦费等各种名义向甲方工作人员给予或赠送钱物。</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（七）乙方不得向甲方工作人员提供干股或红利。</w:t>
      </w:r>
    </w:p>
    <w:p>
      <w:pPr>
        <w:spacing w:line="480" w:lineRule="exact"/>
        <w:ind w:left="15" w:leftChars="7"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（八）不得存在其他违反廉洁规定的行为。</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第四条违约责任</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甲方举报投诉联系部门：广州市净水有限公司</w:t>
      </w:r>
      <w:r>
        <w:rPr>
          <w:rFonts w:hint="eastAsia" w:asciiTheme="minorEastAsia" w:hAnsiTheme="minorEastAsia" w:eastAsiaTheme="minorEastAsia" w:cstheme="minorEastAsia"/>
          <w:bCs/>
          <w:sz w:val="24"/>
          <w:szCs w:val="24"/>
          <w:highlight w:val="none"/>
          <w:u w:val="single"/>
        </w:rPr>
        <w:t>纪检室</w:t>
      </w:r>
      <w:r>
        <w:rPr>
          <w:rFonts w:hint="eastAsia" w:asciiTheme="minorEastAsia" w:hAnsiTheme="minorEastAsia" w:eastAsiaTheme="minorEastAsia" w:cstheme="minorEastAsia"/>
          <w:bCs/>
          <w:sz w:val="24"/>
          <w:szCs w:val="24"/>
          <w:highlight w:val="none"/>
        </w:rPr>
        <w:t xml:space="preserve">，联系电话： </w:t>
      </w:r>
      <w:r>
        <w:rPr>
          <w:rFonts w:hint="eastAsia" w:asciiTheme="minorEastAsia" w:hAnsiTheme="minorEastAsia" w:eastAsiaTheme="minorEastAsia" w:cstheme="minorEastAsia"/>
          <w:bCs/>
          <w:sz w:val="24"/>
          <w:szCs w:val="24"/>
          <w:highlight w:val="none"/>
          <w:u w:val="single"/>
        </w:rPr>
        <w:t xml:space="preserve">020-38890265 </w:t>
      </w:r>
      <w:r>
        <w:rPr>
          <w:rFonts w:hint="eastAsia" w:asciiTheme="minorEastAsia" w:hAnsiTheme="minorEastAsia" w:eastAsiaTheme="minorEastAsia" w:cstheme="minorEastAsia"/>
          <w:bCs/>
          <w:sz w:val="24"/>
          <w:szCs w:val="24"/>
          <w:highlight w:val="none"/>
        </w:rPr>
        <w:t>。</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1、扣除主合同的全部履约保证金；</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2、解除主合同；</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3、追究乙方其他违约责任；</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4、根据甲方的有关规章制度，在一定时间内暂停乙方参与甲方及下属单位所有项目的交易资格；</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5、根据甲方的有关规章制度，将乙方清退出甲方相关企业库；</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6、根据甲方上级单位、行政主管部门的意见、决定执行；</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7、按规定向有关行政监督部门、乙方业务管理部门进行投诉、报告。</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乙方无条件接受甲方的处理决定并承担给甲方造成的损失，全额返还通过不正当手段获取的非法所得，并承担相应的法律责任。</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第五条 本协议执行情况，接受有管辖权的纪检、监察部门的监督，双方应予以配合检查调查。 </w:t>
      </w:r>
    </w:p>
    <w:p>
      <w:pPr>
        <w:spacing w:line="480" w:lineRule="exact"/>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第六条本协议作为</w:t>
      </w:r>
      <w:r>
        <w:rPr>
          <w:rFonts w:hint="eastAsia" w:asciiTheme="minorEastAsia" w:hAnsiTheme="minorEastAsia" w:eastAsiaTheme="minorEastAsia" w:cstheme="minorEastAsia"/>
          <w:bCs/>
          <w:sz w:val="24"/>
          <w:szCs w:val="24"/>
          <w:highlight w:val="none"/>
          <w:u w:val="single"/>
        </w:rPr>
        <w:t>广州市净水有限公司</w:t>
      </w:r>
      <w:r>
        <w:rPr>
          <w:rFonts w:hint="eastAsia" w:asciiTheme="minorEastAsia" w:hAnsiTheme="minorEastAsia" w:eastAsiaTheme="minorEastAsia" w:cstheme="minorEastAsia"/>
          <w:bCs/>
          <w:sz w:val="24"/>
          <w:szCs w:val="24"/>
          <w:highlight w:val="none"/>
          <w:u w:val="single"/>
          <w:lang w:eastAsia="zh-CN"/>
        </w:rPr>
        <w:t>2024年化验仪器设备第三方校准服务项目</w:t>
      </w:r>
      <w:r>
        <w:rPr>
          <w:rFonts w:hint="eastAsia" w:asciiTheme="minorEastAsia" w:hAnsiTheme="minorEastAsia" w:eastAsiaTheme="minorEastAsia" w:cstheme="minorEastAsia"/>
          <w:bCs/>
          <w:sz w:val="24"/>
          <w:szCs w:val="24"/>
          <w:highlight w:val="none"/>
          <w:u w:val="single"/>
        </w:rPr>
        <w:t>（合同编号：穗净水合[</w:t>
      </w:r>
      <w:r>
        <w:rPr>
          <w:rFonts w:hint="eastAsia" w:asciiTheme="minorEastAsia" w:hAnsiTheme="minorEastAsia" w:eastAsiaTheme="minorEastAsia" w:cstheme="minorEastAsia"/>
          <w:bCs/>
          <w:sz w:val="24"/>
          <w:szCs w:val="24"/>
          <w:highlight w:val="none"/>
          <w:u w:val="single"/>
          <w:lang w:eastAsia="zh-CN"/>
        </w:rPr>
        <w:t>2024</w:t>
      </w:r>
      <w:r>
        <w:rPr>
          <w:rFonts w:hint="eastAsia" w:asciiTheme="minorEastAsia" w:hAnsiTheme="minorEastAsia" w:eastAsiaTheme="minorEastAsia" w:cstheme="minorEastAsia"/>
          <w:bCs/>
          <w:sz w:val="24"/>
          <w:szCs w:val="24"/>
          <w:highlight w:val="none"/>
          <w:u w:val="single"/>
        </w:rPr>
        <w:t>]    号）</w:t>
      </w:r>
      <w:r>
        <w:rPr>
          <w:rFonts w:hint="eastAsia" w:asciiTheme="minorEastAsia" w:hAnsiTheme="minorEastAsia" w:eastAsiaTheme="minorEastAsia" w:cstheme="minorEastAsia"/>
          <w:bCs/>
          <w:sz w:val="24"/>
          <w:szCs w:val="24"/>
          <w:highlight w:val="none"/>
        </w:rPr>
        <w:t>合同的附件，并具有同等的法律效力，本协议自双方签字盖章之日起生效，与主合同同时终止。</w:t>
      </w:r>
    </w:p>
    <w:p>
      <w:pPr>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第七条本协议一式</w:t>
      </w:r>
      <w:r>
        <w:rPr>
          <w:rFonts w:hint="eastAsia" w:asciiTheme="minorEastAsia" w:hAnsiTheme="minorEastAsia" w:eastAsiaTheme="minorEastAsia" w:cstheme="minorEastAsia"/>
          <w:bCs/>
          <w:sz w:val="24"/>
          <w:szCs w:val="24"/>
          <w:highlight w:val="none"/>
          <w:u w:val="single"/>
        </w:rPr>
        <w:t>六</w:t>
      </w:r>
      <w:r>
        <w:rPr>
          <w:rFonts w:hint="eastAsia" w:asciiTheme="minorEastAsia" w:hAnsiTheme="minorEastAsia" w:eastAsiaTheme="minorEastAsia" w:cstheme="minorEastAsia"/>
          <w:bCs/>
          <w:sz w:val="24"/>
          <w:szCs w:val="24"/>
          <w:highlight w:val="none"/>
        </w:rPr>
        <w:t>份，甲方</w:t>
      </w:r>
      <w:r>
        <w:rPr>
          <w:rFonts w:hint="eastAsia" w:asciiTheme="minorEastAsia" w:hAnsiTheme="minorEastAsia" w:eastAsiaTheme="minorEastAsia" w:cstheme="minorEastAsia"/>
          <w:bCs/>
          <w:sz w:val="24"/>
          <w:szCs w:val="24"/>
          <w:highlight w:val="none"/>
          <w:u w:val="single"/>
        </w:rPr>
        <w:t>四</w:t>
      </w:r>
      <w:r>
        <w:rPr>
          <w:rFonts w:hint="eastAsia" w:asciiTheme="minorEastAsia" w:hAnsiTheme="minorEastAsia" w:eastAsiaTheme="minorEastAsia" w:cstheme="minorEastAsia"/>
          <w:bCs/>
          <w:sz w:val="24"/>
          <w:szCs w:val="24"/>
          <w:highlight w:val="none"/>
        </w:rPr>
        <w:t>份，乙方</w:t>
      </w:r>
      <w:r>
        <w:rPr>
          <w:rFonts w:hint="eastAsia" w:asciiTheme="minorEastAsia" w:hAnsiTheme="minorEastAsia" w:eastAsiaTheme="minorEastAsia" w:cstheme="minorEastAsia"/>
          <w:bCs/>
          <w:sz w:val="24"/>
          <w:szCs w:val="24"/>
          <w:highlight w:val="none"/>
          <w:u w:val="single"/>
        </w:rPr>
        <w:t>二</w:t>
      </w:r>
      <w:r>
        <w:rPr>
          <w:rFonts w:hint="eastAsia" w:asciiTheme="minorEastAsia" w:hAnsiTheme="minorEastAsia" w:eastAsiaTheme="minorEastAsia" w:cstheme="minorEastAsia"/>
          <w:bCs/>
          <w:sz w:val="24"/>
          <w:szCs w:val="24"/>
          <w:highlight w:val="none"/>
        </w:rPr>
        <w:t>份。</w:t>
      </w:r>
    </w:p>
    <w:p>
      <w:pPr>
        <w:pStyle w:val="5"/>
        <w:rPr>
          <w:rFonts w:hint="eastAsia" w:asciiTheme="minorEastAsia" w:hAnsiTheme="minorEastAsia" w:eastAsiaTheme="minorEastAsia" w:cstheme="minorEastAsia"/>
          <w:bCs/>
          <w:sz w:val="24"/>
          <w:szCs w:val="24"/>
          <w:highlight w:val="none"/>
        </w:rPr>
      </w:pPr>
    </w:p>
    <w:p>
      <w:pPr>
        <w:rPr>
          <w:rFonts w:hint="eastAsia"/>
          <w:highlight w:val="none"/>
        </w:rPr>
      </w:pPr>
    </w:p>
    <w:p>
      <w:pPr>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甲方（盖章）：        </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 xml:space="preserve">  乙方（盖章）：</w:t>
      </w:r>
    </w:p>
    <w:p>
      <w:pPr>
        <w:tabs>
          <w:tab w:val="left" w:pos="5100"/>
        </w:tabs>
        <w:spacing w:line="480" w:lineRule="exact"/>
        <w:ind w:left="0"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签约代表：                         签约代表：</w:t>
      </w:r>
    </w:p>
    <w:p>
      <w:pPr>
        <w:tabs>
          <w:tab w:val="left" w:pos="4170"/>
        </w:tabs>
        <w:spacing w:line="48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日期:    年  月  日</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日期：  年  月  日</w:t>
      </w:r>
    </w:p>
    <w:p>
      <w:pPr>
        <w:spacing w:line="480" w:lineRule="exact"/>
        <w:ind w:firstLine="480" w:firstLineChars="200"/>
        <w:rPr>
          <w:rFonts w:ascii="宋体" w:hAnsi="宋体" w:cs="宋体"/>
          <w:b/>
          <w:szCs w:val="21"/>
          <w:highlight w:val="none"/>
        </w:rPr>
      </w:pPr>
      <w:r>
        <w:rPr>
          <w:rFonts w:hint="eastAsia" w:asciiTheme="minorEastAsia" w:hAnsiTheme="minorEastAsia" w:eastAsiaTheme="minorEastAsia" w:cstheme="minorEastAsia"/>
          <w:sz w:val="24"/>
          <w:szCs w:val="24"/>
          <w:highlight w:val="none"/>
        </w:rPr>
        <w:br w:type="page"/>
      </w:r>
      <w:r>
        <w:rPr>
          <w:rFonts w:hint="eastAsia" w:ascii="宋体" w:hAnsi="宋体" w:eastAsia="宋体" w:cs="宋体"/>
          <w:b/>
          <w:szCs w:val="21"/>
          <w:highlight w:val="none"/>
          <w:lang w:val="en-US" w:eastAsia="zh-CN"/>
        </w:rPr>
        <w:t>附件4：</w:t>
      </w:r>
      <w:r>
        <w:rPr>
          <w:rFonts w:hint="eastAsia" w:ascii="宋体" w:hAnsi="宋体" w:eastAsia="宋体" w:cs="宋体"/>
          <w:b/>
          <w:szCs w:val="21"/>
          <w:highlight w:val="none"/>
        </w:rPr>
        <w:t>安全协议</w:t>
      </w:r>
      <w:r>
        <w:rPr>
          <w:rFonts w:hint="eastAsia" w:ascii="宋体" w:hAnsi="宋体" w:cs="宋体"/>
          <w:b/>
          <w:szCs w:val="21"/>
          <w:highlight w:val="none"/>
        </w:rPr>
        <w:t>书</w:t>
      </w:r>
    </w:p>
    <w:p>
      <w:pPr>
        <w:spacing w:line="440" w:lineRule="exact"/>
        <w:jc w:val="center"/>
        <w:rPr>
          <w:sz w:val="24"/>
          <w:highlight w:val="none"/>
        </w:rPr>
      </w:pPr>
      <w:r>
        <w:rPr>
          <w:b/>
          <w:bCs/>
          <w:sz w:val="28"/>
          <w:szCs w:val="28"/>
          <w:highlight w:val="none"/>
        </w:rPr>
        <w:t>安全协议书</w:t>
      </w:r>
    </w:p>
    <w:p>
      <w:pPr>
        <w:spacing w:line="480" w:lineRule="exact"/>
        <w:ind w:firstLine="480" w:firstLineChars="200"/>
        <w:rPr>
          <w:kern w:val="0"/>
          <w:sz w:val="24"/>
          <w:highlight w:val="none"/>
        </w:rPr>
      </w:pPr>
      <w:bookmarkStart w:id="135" w:name="_Hlk40084940"/>
      <w:r>
        <w:rPr>
          <w:kern w:val="0"/>
          <w:sz w:val="24"/>
          <w:highlight w:val="none"/>
        </w:rPr>
        <w:t>甲方：</w:t>
      </w:r>
      <w:r>
        <w:rPr>
          <w:sz w:val="24"/>
          <w:highlight w:val="none"/>
        </w:rPr>
        <w:t>广州市净水有限公司</w:t>
      </w:r>
    </w:p>
    <w:p>
      <w:pPr>
        <w:spacing w:line="480" w:lineRule="exact"/>
        <w:ind w:firstLine="480" w:firstLineChars="200"/>
        <w:rPr>
          <w:rFonts w:hint="eastAsia" w:eastAsia="宋体"/>
          <w:kern w:val="0"/>
          <w:sz w:val="24"/>
          <w:highlight w:val="none"/>
          <w:lang w:eastAsia="zh-CN"/>
        </w:rPr>
      </w:pPr>
      <w:r>
        <w:rPr>
          <w:kern w:val="0"/>
          <w:sz w:val="24"/>
          <w:highlight w:val="none"/>
        </w:rPr>
        <w:t>乙方：</w:t>
      </w:r>
      <w:r>
        <w:rPr>
          <w:rFonts w:hint="eastAsia"/>
          <w:kern w:val="0"/>
          <w:sz w:val="24"/>
          <w:highlight w:val="none"/>
          <w:lang w:eastAsia="zh-CN"/>
        </w:rPr>
        <w:t xml:space="preserve">       </w:t>
      </w:r>
    </w:p>
    <w:p>
      <w:pPr>
        <w:adjustRightInd w:val="0"/>
        <w:snapToGrid w:val="0"/>
        <w:spacing w:line="480" w:lineRule="exact"/>
        <w:ind w:firstLine="480" w:firstLineChars="200"/>
        <w:jc w:val="left"/>
        <w:rPr>
          <w:sz w:val="24"/>
          <w:highlight w:val="none"/>
        </w:rPr>
      </w:pPr>
      <w:r>
        <w:rPr>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80" w:lineRule="exact"/>
        <w:ind w:firstLine="482" w:firstLineChars="200"/>
        <w:jc w:val="left"/>
        <w:rPr>
          <w:b/>
          <w:sz w:val="24"/>
          <w:highlight w:val="none"/>
        </w:rPr>
      </w:pPr>
      <w:r>
        <w:rPr>
          <w:b/>
          <w:sz w:val="24"/>
          <w:highlight w:val="none"/>
        </w:rPr>
        <w:t>一、本协议与主合同的关系</w:t>
      </w:r>
    </w:p>
    <w:p>
      <w:pPr>
        <w:adjustRightInd w:val="0"/>
        <w:snapToGrid w:val="0"/>
        <w:spacing w:line="480" w:lineRule="exact"/>
        <w:ind w:left="105" w:firstLine="480" w:firstLineChars="200"/>
        <w:jc w:val="left"/>
        <w:rPr>
          <w:sz w:val="24"/>
          <w:highlight w:val="none"/>
        </w:rPr>
      </w:pPr>
      <w:r>
        <w:rPr>
          <w:sz w:val="24"/>
          <w:highlight w:val="none"/>
        </w:rPr>
        <w:t>本协议作为</w:t>
      </w:r>
      <w:r>
        <w:rPr>
          <w:sz w:val="24"/>
          <w:highlight w:val="none"/>
          <w:u w:val="single"/>
        </w:rPr>
        <w:t xml:space="preserve"> </w:t>
      </w:r>
      <w:r>
        <w:rPr>
          <w:rFonts w:hint="eastAsia" w:ascii="宋体" w:hAnsi="宋体" w:cs="宋体"/>
          <w:color w:val="000000"/>
          <w:sz w:val="24"/>
          <w:highlight w:val="none"/>
          <w:u w:val="single"/>
        </w:rPr>
        <w:t>广州市净水有限公司</w:t>
      </w:r>
      <w:r>
        <w:rPr>
          <w:rFonts w:hint="eastAsia" w:ascii="宋体" w:hAnsi="宋体" w:cs="宋体"/>
          <w:color w:val="000000"/>
          <w:sz w:val="24"/>
          <w:highlight w:val="none"/>
          <w:u w:val="single"/>
          <w:lang w:eastAsia="zh-CN"/>
        </w:rPr>
        <w:t>2024年化验仪器设备第三方校准服务项目</w:t>
      </w:r>
      <w:r>
        <w:rPr>
          <w:sz w:val="24"/>
          <w:highlight w:val="none"/>
          <w:u w:val="single"/>
        </w:rPr>
        <w:t xml:space="preserve"> </w:t>
      </w:r>
      <w:r>
        <w:rPr>
          <w:sz w:val="24"/>
          <w:highlight w:val="none"/>
        </w:rPr>
        <w:t>的组成部分，与主合同具有同等法律。</w:t>
      </w:r>
    </w:p>
    <w:p>
      <w:pPr>
        <w:adjustRightInd w:val="0"/>
        <w:snapToGrid w:val="0"/>
        <w:spacing w:line="480" w:lineRule="exact"/>
        <w:ind w:firstLine="482" w:firstLineChars="200"/>
        <w:jc w:val="left"/>
        <w:rPr>
          <w:b/>
          <w:sz w:val="24"/>
          <w:highlight w:val="none"/>
        </w:rPr>
      </w:pPr>
      <w:r>
        <w:rPr>
          <w:b/>
          <w:sz w:val="24"/>
          <w:highlight w:val="none"/>
        </w:rPr>
        <w:t>二、甲方权责</w:t>
      </w:r>
    </w:p>
    <w:p>
      <w:pPr>
        <w:adjustRightInd w:val="0"/>
        <w:snapToGrid w:val="0"/>
        <w:spacing w:line="480" w:lineRule="exact"/>
        <w:ind w:firstLine="480" w:firstLineChars="200"/>
        <w:jc w:val="left"/>
        <w:rPr>
          <w:sz w:val="24"/>
          <w:highlight w:val="none"/>
        </w:rPr>
      </w:pPr>
      <w:r>
        <w:rPr>
          <w:sz w:val="24"/>
          <w:highlight w:val="none"/>
        </w:rPr>
        <w:t>（一）告知乙方该场所可能存在的安全风险，要求乙方在作业前应重新识别现场的安全风险并采取措施进行管控。</w:t>
      </w:r>
    </w:p>
    <w:p>
      <w:pPr>
        <w:adjustRightInd w:val="0"/>
        <w:snapToGrid w:val="0"/>
        <w:spacing w:line="480" w:lineRule="exact"/>
        <w:ind w:firstLine="480" w:firstLineChars="200"/>
        <w:jc w:val="left"/>
        <w:rPr>
          <w:sz w:val="24"/>
          <w:highlight w:val="none"/>
        </w:rPr>
      </w:pPr>
      <w:r>
        <w:rPr>
          <w:sz w:val="24"/>
          <w:highlight w:val="none"/>
        </w:rPr>
        <w:t>（二）告知乙方在甲方应当遵守的安全管理要求。</w:t>
      </w:r>
    </w:p>
    <w:p>
      <w:pPr>
        <w:adjustRightInd w:val="0"/>
        <w:snapToGrid w:val="0"/>
        <w:spacing w:line="480" w:lineRule="exact"/>
        <w:ind w:firstLine="480" w:firstLineChars="200"/>
        <w:jc w:val="left"/>
        <w:rPr>
          <w:sz w:val="24"/>
          <w:highlight w:val="none"/>
        </w:rPr>
      </w:pPr>
      <w:r>
        <w:rPr>
          <w:sz w:val="24"/>
          <w:highlight w:val="none"/>
        </w:rPr>
        <w:t>（三）乙方对存在问题拒不整改，或违法甲方安全管理要求的，视为违约，甲方有权对乙方进行违约金扣罚。如乙方拒不缴纳违约金的，甲方有权在履约保证金中扣除。</w:t>
      </w:r>
    </w:p>
    <w:p>
      <w:pPr>
        <w:adjustRightInd w:val="0"/>
        <w:snapToGrid w:val="0"/>
        <w:spacing w:line="480" w:lineRule="exact"/>
        <w:ind w:firstLine="482" w:firstLineChars="200"/>
        <w:jc w:val="left"/>
        <w:rPr>
          <w:b/>
          <w:sz w:val="24"/>
          <w:highlight w:val="none"/>
        </w:rPr>
      </w:pPr>
      <w:r>
        <w:rPr>
          <w:b/>
          <w:sz w:val="24"/>
          <w:highlight w:val="none"/>
        </w:rPr>
        <w:t>三、乙方权责</w:t>
      </w:r>
    </w:p>
    <w:p>
      <w:pPr>
        <w:adjustRightInd w:val="0"/>
        <w:snapToGrid w:val="0"/>
        <w:spacing w:line="480" w:lineRule="exact"/>
        <w:ind w:firstLine="480" w:firstLineChars="200"/>
        <w:jc w:val="left"/>
        <w:rPr>
          <w:sz w:val="24"/>
          <w:highlight w:val="none"/>
        </w:rPr>
      </w:pPr>
      <w:r>
        <w:rPr>
          <w:sz w:val="24"/>
          <w:highlight w:val="none"/>
        </w:rPr>
        <w:t>（一）对甲方的违章指挥，拒绝执行，但需书面明确指出甲方所违反的具体法律法规、标准规范等。</w:t>
      </w:r>
    </w:p>
    <w:p>
      <w:pPr>
        <w:adjustRightInd w:val="0"/>
        <w:snapToGrid w:val="0"/>
        <w:spacing w:line="480" w:lineRule="exact"/>
        <w:ind w:firstLine="480" w:firstLineChars="200"/>
        <w:jc w:val="left"/>
        <w:rPr>
          <w:sz w:val="24"/>
          <w:highlight w:val="none"/>
        </w:rPr>
      </w:pPr>
      <w:r>
        <w:rPr>
          <w:sz w:val="24"/>
          <w:highlight w:val="none"/>
        </w:rPr>
        <w:t>（二）根据乙方单位管理制度及合同约定的本次工作，制定相应的应急预案。明确发生突发事件时，相关人员按预案开展应急处置工作。</w:t>
      </w:r>
    </w:p>
    <w:p>
      <w:pPr>
        <w:adjustRightInd w:val="0"/>
        <w:snapToGrid w:val="0"/>
        <w:spacing w:line="480" w:lineRule="exact"/>
        <w:ind w:firstLine="480" w:firstLineChars="200"/>
        <w:jc w:val="left"/>
        <w:rPr>
          <w:sz w:val="24"/>
          <w:highlight w:val="none"/>
        </w:rPr>
      </w:pPr>
      <w:r>
        <w:rPr>
          <w:sz w:val="24"/>
          <w:highlight w:val="none"/>
        </w:rPr>
        <w:t>（三）严格执行国家、地方和行业主管部门的强制性标准、地方行政法规、管理要求。</w:t>
      </w:r>
    </w:p>
    <w:p>
      <w:pPr>
        <w:adjustRightInd w:val="0"/>
        <w:snapToGrid w:val="0"/>
        <w:spacing w:line="480" w:lineRule="exact"/>
        <w:ind w:firstLine="480" w:firstLineChars="200"/>
        <w:jc w:val="left"/>
        <w:rPr>
          <w:sz w:val="24"/>
          <w:highlight w:val="none"/>
        </w:rPr>
      </w:pPr>
      <w:r>
        <w:rPr>
          <w:sz w:val="24"/>
          <w:highlight w:val="none"/>
        </w:rPr>
        <w:t>（四）遵守甲方制定的安全管理要求。</w:t>
      </w:r>
    </w:p>
    <w:p>
      <w:pPr>
        <w:adjustRightInd w:val="0"/>
        <w:snapToGrid w:val="0"/>
        <w:spacing w:line="480" w:lineRule="exact"/>
        <w:ind w:firstLine="480" w:firstLineChars="200"/>
        <w:jc w:val="left"/>
        <w:rPr>
          <w:sz w:val="24"/>
          <w:highlight w:val="none"/>
        </w:rPr>
      </w:pPr>
      <w:r>
        <w:rPr>
          <w:sz w:val="24"/>
          <w:highlight w:val="none"/>
        </w:rPr>
        <w:t>（五）配合甲方的安全监督检查，并立即组织对提出的问题隐患进行整改。</w:t>
      </w:r>
    </w:p>
    <w:p>
      <w:pPr>
        <w:adjustRightInd w:val="0"/>
        <w:snapToGrid w:val="0"/>
        <w:spacing w:line="480" w:lineRule="exact"/>
        <w:ind w:firstLine="480" w:firstLineChars="200"/>
        <w:jc w:val="left"/>
        <w:rPr>
          <w:sz w:val="24"/>
          <w:highlight w:val="none"/>
        </w:rPr>
      </w:pPr>
      <w:r>
        <w:rPr>
          <w:sz w:val="24"/>
          <w:highlight w:val="none"/>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80" w:lineRule="exact"/>
        <w:ind w:firstLine="482" w:firstLineChars="200"/>
        <w:jc w:val="left"/>
        <w:rPr>
          <w:b/>
          <w:sz w:val="24"/>
          <w:highlight w:val="none"/>
        </w:rPr>
      </w:pPr>
      <w:r>
        <w:rPr>
          <w:b/>
          <w:sz w:val="24"/>
          <w:highlight w:val="none"/>
        </w:rPr>
        <w:t>四、事故责任</w:t>
      </w:r>
    </w:p>
    <w:p>
      <w:pPr>
        <w:adjustRightInd w:val="0"/>
        <w:snapToGrid w:val="0"/>
        <w:spacing w:line="480" w:lineRule="exact"/>
        <w:ind w:firstLine="480" w:firstLineChars="200"/>
        <w:jc w:val="left"/>
        <w:rPr>
          <w:sz w:val="24"/>
          <w:highlight w:val="none"/>
        </w:rPr>
      </w:pPr>
      <w:r>
        <w:rPr>
          <w:sz w:val="24"/>
          <w:highlight w:val="none"/>
        </w:rPr>
        <w:t>（一）在乙方承包范围内，由于乙方责任发生生产安全事故时，造成的甲方、乙方或者第三方人身伤害事故，乙方负全部责任。</w:t>
      </w:r>
    </w:p>
    <w:p>
      <w:pPr>
        <w:adjustRightInd w:val="0"/>
        <w:snapToGrid w:val="0"/>
        <w:spacing w:line="480" w:lineRule="exact"/>
        <w:ind w:firstLine="480" w:firstLineChars="200"/>
        <w:jc w:val="left"/>
        <w:rPr>
          <w:sz w:val="24"/>
          <w:highlight w:val="none"/>
        </w:rPr>
      </w:pPr>
      <w:r>
        <w:rPr>
          <w:sz w:val="24"/>
          <w:highlight w:val="none"/>
        </w:rPr>
        <w:t>（二）乙方人员在非承包区域遭受意外伤害的，乙方负全部责任。</w:t>
      </w:r>
    </w:p>
    <w:p>
      <w:pPr>
        <w:adjustRightInd w:val="0"/>
        <w:snapToGrid w:val="0"/>
        <w:spacing w:line="480" w:lineRule="exact"/>
        <w:ind w:firstLine="480" w:firstLineChars="200"/>
        <w:jc w:val="left"/>
        <w:rPr>
          <w:sz w:val="24"/>
          <w:highlight w:val="none"/>
        </w:rPr>
      </w:pPr>
      <w:r>
        <w:rPr>
          <w:sz w:val="24"/>
          <w:highlight w:val="none"/>
        </w:rPr>
        <w:t>（三）乙方人员违规进入甲方或第三方承包区域，造成事故的，乙方负全部事故责任；乙方人员遭受人身伤害的，乙方负全部责任。</w:t>
      </w:r>
    </w:p>
    <w:p>
      <w:pPr>
        <w:adjustRightInd w:val="0"/>
        <w:snapToGrid w:val="0"/>
        <w:spacing w:line="480" w:lineRule="exact"/>
        <w:ind w:firstLine="480" w:firstLineChars="200"/>
        <w:jc w:val="left"/>
        <w:rPr>
          <w:sz w:val="24"/>
          <w:highlight w:val="none"/>
        </w:rPr>
      </w:pPr>
      <w:r>
        <w:rPr>
          <w:sz w:val="24"/>
          <w:highlight w:val="none"/>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80" w:lineRule="exact"/>
        <w:ind w:firstLine="480" w:firstLineChars="200"/>
        <w:jc w:val="left"/>
        <w:rPr>
          <w:sz w:val="24"/>
          <w:highlight w:val="none"/>
        </w:rPr>
      </w:pPr>
      <w:r>
        <w:rPr>
          <w:sz w:val="24"/>
          <w:highlight w:val="none"/>
        </w:rPr>
        <w:t>（五）乙方在甲方生产区域内发生生产安全事故后，必须在第一时间向甲方报告，迟报或者隐瞒不报生产安全事故，承担事故的全部责任。</w:t>
      </w:r>
    </w:p>
    <w:p>
      <w:pPr>
        <w:adjustRightInd w:val="0"/>
        <w:snapToGrid w:val="0"/>
        <w:spacing w:line="480" w:lineRule="exact"/>
        <w:ind w:firstLine="480" w:firstLineChars="200"/>
        <w:jc w:val="left"/>
        <w:rPr>
          <w:sz w:val="24"/>
          <w:highlight w:val="none"/>
        </w:rPr>
      </w:pPr>
      <w:r>
        <w:rPr>
          <w:sz w:val="24"/>
          <w:highlight w:val="none"/>
        </w:rPr>
        <w:t>（六）乙方各类人员在甲方生产区域内发生人身伤害事故和其他事故，由乙方负责调查、处理和统计上报，并报甲方安全监督部门备案。</w:t>
      </w:r>
    </w:p>
    <w:p>
      <w:pPr>
        <w:adjustRightInd w:val="0"/>
        <w:snapToGrid w:val="0"/>
        <w:spacing w:line="480" w:lineRule="exact"/>
        <w:ind w:firstLine="480" w:firstLineChars="200"/>
        <w:jc w:val="left"/>
        <w:rPr>
          <w:sz w:val="24"/>
          <w:highlight w:val="none"/>
        </w:rPr>
      </w:pPr>
      <w:r>
        <w:rPr>
          <w:sz w:val="24"/>
          <w:highlight w:val="none"/>
        </w:rPr>
        <w:t>（七）乙方违反本协议，造成的事故或造成事故扩大的，由乙方承担事故造成的赔偿一切损失及由甲方对乙方进行经济处罚。</w:t>
      </w:r>
    </w:p>
    <w:p>
      <w:pPr>
        <w:adjustRightInd w:val="0"/>
        <w:snapToGrid w:val="0"/>
        <w:spacing w:line="480" w:lineRule="exact"/>
        <w:ind w:firstLine="480" w:firstLineChars="200"/>
        <w:jc w:val="left"/>
        <w:rPr>
          <w:sz w:val="24"/>
          <w:highlight w:val="none"/>
        </w:rPr>
      </w:pPr>
      <w:r>
        <w:rPr>
          <w:sz w:val="24"/>
          <w:highlight w:val="none"/>
        </w:rPr>
        <w:t>赔偿包括：1.甲方所有损失；2造成的第三方损害；3恢复生产产生的一切费用；4.甲方因事故造成被上级追究的经济考核处罚。</w:t>
      </w:r>
    </w:p>
    <w:p>
      <w:pPr>
        <w:adjustRightInd w:val="0"/>
        <w:snapToGrid w:val="0"/>
        <w:spacing w:line="480" w:lineRule="exact"/>
        <w:ind w:firstLine="480" w:firstLineChars="200"/>
        <w:jc w:val="left"/>
        <w:rPr>
          <w:sz w:val="24"/>
          <w:highlight w:val="none"/>
        </w:rPr>
      </w:pPr>
      <w:r>
        <w:rPr>
          <w:sz w:val="24"/>
          <w:highlight w:val="none"/>
        </w:rPr>
        <w:t>经济处罚金额为以下赔偿金额总和的双倍：1.甲方所有损失；2造成的第三方损害；3恢复生产产生的一切费用</w:t>
      </w:r>
    </w:p>
    <w:p>
      <w:pPr>
        <w:adjustRightInd w:val="0"/>
        <w:snapToGrid w:val="0"/>
        <w:spacing w:line="480" w:lineRule="exact"/>
        <w:ind w:firstLine="480" w:firstLineChars="200"/>
        <w:jc w:val="left"/>
        <w:rPr>
          <w:sz w:val="24"/>
          <w:highlight w:val="none"/>
        </w:rPr>
      </w:pPr>
      <w:r>
        <w:rPr>
          <w:sz w:val="24"/>
          <w:highlight w:val="none"/>
        </w:rPr>
        <w:t>（八）本协议未尽事宜，依据有关法规。规章处理，法规、规章没有明确规定的，经双方协商处理解决。</w:t>
      </w:r>
    </w:p>
    <w:p>
      <w:pPr>
        <w:pStyle w:val="65"/>
        <w:spacing w:line="480" w:lineRule="exact"/>
        <w:ind w:firstLine="482" w:firstLineChars="200"/>
        <w:rPr>
          <w:sz w:val="24"/>
          <w:highlight w:val="none"/>
        </w:rPr>
      </w:pPr>
      <w:r>
        <w:rPr>
          <w:b/>
          <w:sz w:val="24"/>
          <w:highlight w:val="none"/>
        </w:rPr>
        <w:t>五、补充条款：</w:t>
      </w:r>
      <w:r>
        <w:rPr>
          <w:sz w:val="24"/>
          <w:highlight w:val="none"/>
          <w:u w:val="single"/>
        </w:rPr>
        <w:t xml:space="preserve">         </w:t>
      </w:r>
      <w:r>
        <w:rPr>
          <w:rFonts w:hint="eastAsia"/>
          <w:sz w:val="24"/>
          <w:highlight w:val="none"/>
          <w:u w:val="single"/>
        </w:rPr>
        <w:t>无</w:t>
      </w:r>
      <w:r>
        <w:rPr>
          <w:sz w:val="24"/>
          <w:highlight w:val="none"/>
          <w:u w:val="single"/>
        </w:rPr>
        <w:t xml:space="preserve">        </w:t>
      </w:r>
      <w:r>
        <w:rPr>
          <w:sz w:val="24"/>
          <w:highlight w:val="none"/>
        </w:rPr>
        <w:t>。</w:t>
      </w:r>
    </w:p>
    <w:p>
      <w:pPr>
        <w:adjustRightInd w:val="0"/>
        <w:snapToGrid w:val="0"/>
        <w:spacing w:line="480" w:lineRule="exact"/>
        <w:ind w:firstLine="482" w:firstLineChars="200"/>
        <w:jc w:val="left"/>
        <w:rPr>
          <w:b/>
          <w:sz w:val="24"/>
          <w:highlight w:val="none"/>
        </w:rPr>
      </w:pPr>
      <w:r>
        <w:rPr>
          <w:b/>
          <w:sz w:val="24"/>
          <w:highlight w:val="none"/>
        </w:rPr>
        <w:t>六、附则</w:t>
      </w:r>
    </w:p>
    <w:p>
      <w:pPr>
        <w:adjustRightInd w:val="0"/>
        <w:snapToGrid w:val="0"/>
        <w:spacing w:line="480" w:lineRule="exact"/>
        <w:ind w:firstLine="480" w:firstLineChars="200"/>
        <w:jc w:val="left"/>
        <w:rPr>
          <w:sz w:val="24"/>
          <w:highlight w:val="none"/>
        </w:rPr>
      </w:pPr>
      <w:r>
        <w:rPr>
          <w:sz w:val="24"/>
          <w:highlight w:val="none"/>
        </w:rPr>
        <w:t>本协议与主合同同时签订、同时终止、同时生效，具有相同的法律效力，自甲方、乙方双方签字、盖章生效，甲方、乙方双方执持数量与主合同一致。</w:t>
      </w:r>
    </w:p>
    <w:p>
      <w:pPr>
        <w:adjustRightInd w:val="0"/>
        <w:snapToGrid w:val="0"/>
        <w:spacing w:line="480" w:lineRule="exact"/>
        <w:ind w:firstLine="480" w:firstLineChars="200"/>
        <w:jc w:val="left"/>
        <w:rPr>
          <w:sz w:val="24"/>
          <w:highlight w:val="none"/>
        </w:rPr>
      </w:pPr>
    </w:p>
    <w:bookmarkEnd w:id="135"/>
    <w:p>
      <w:pPr>
        <w:spacing w:line="480" w:lineRule="exact"/>
        <w:ind w:left="0" w:leftChars="0" w:firstLine="720" w:firstLineChars="300"/>
        <w:rPr>
          <w:rFonts w:hint="eastAsia" w:eastAsia="宋体"/>
          <w:kern w:val="0"/>
          <w:sz w:val="24"/>
          <w:highlight w:val="none"/>
          <w:lang w:eastAsia="zh-CN"/>
        </w:rPr>
      </w:pPr>
      <w:r>
        <w:rPr>
          <w:kern w:val="0"/>
          <w:sz w:val="24"/>
          <w:highlight w:val="none"/>
        </w:rPr>
        <w:t>甲方：</w:t>
      </w:r>
      <w:r>
        <w:rPr>
          <w:sz w:val="24"/>
          <w:highlight w:val="none"/>
        </w:rPr>
        <w:t xml:space="preserve">       </w:t>
      </w:r>
      <w:r>
        <w:rPr>
          <w:kern w:val="0"/>
          <w:sz w:val="24"/>
          <w:highlight w:val="none"/>
        </w:rPr>
        <w:t xml:space="preserve">　  </w:t>
      </w:r>
      <w:r>
        <w:rPr>
          <w:rFonts w:hint="eastAsia"/>
          <w:kern w:val="0"/>
          <w:sz w:val="24"/>
          <w:highlight w:val="none"/>
          <w:lang w:val="en-US" w:eastAsia="zh-CN"/>
        </w:rPr>
        <w:t xml:space="preserve">                    </w:t>
      </w:r>
      <w:r>
        <w:rPr>
          <w:kern w:val="0"/>
          <w:sz w:val="24"/>
          <w:highlight w:val="none"/>
        </w:rPr>
        <w:t xml:space="preserve">  </w:t>
      </w:r>
      <w:r>
        <w:rPr>
          <w:rFonts w:hint="eastAsia"/>
          <w:kern w:val="0"/>
          <w:sz w:val="24"/>
          <w:highlight w:val="none"/>
          <w:lang w:val="en-US" w:eastAsia="zh-CN"/>
        </w:rPr>
        <w:t xml:space="preserve">  </w:t>
      </w:r>
      <w:r>
        <w:rPr>
          <w:kern w:val="0"/>
          <w:sz w:val="24"/>
          <w:highlight w:val="none"/>
        </w:rPr>
        <w:t xml:space="preserve">  乙方：</w:t>
      </w:r>
    </w:p>
    <w:p>
      <w:pPr>
        <w:widowControl/>
        <w:spacing w:line="480" w:lineRule="exact"/>
        <w:ind w:firstLine="480" w:firstLineChars="200"/>
        <w:jc w:val="left"/>
        <w:rPr>
          <w:kern w:val="0"/>
          <w:sz w:val="24"/>
          <w:highlight w:val="none"/>
        </w:rPr>
      </w:pPr>
      <w:r>
        <w:rPr>
          <w:kern w:val="0"/>
          <w:sz w:val="24"/>
          <w:highlight w:val="none"/>
        </w:rPr>
        <w:t>签约代表：                      　         签约代表：</w:t>
      </w:r>
    </w:p>
    <w:p>
      <w:pPr>
        <w:widowControl/>
        <w:spacing w:line="480" w:lineRule="exact"/>
        <w:ind w:firstLine="480" w:firstLineChars="200"/>
        <w:jc w:val="left"/>
        <w:rPr>
          <w:highlight w:val="none"/>
        </w:rPr>
      </w:pPr>
      <w:r>
        <w:rPr>
          <w:kern w:val="0"/>
          <w:sz w:val="24"/>
          <w:highlight w:val="none"/>
        </w:rPr>
        <w:t xml:space="preserve">年   月   日         </w:t>
      </w:r>
      <w:r>
        <w:rPr>
          <w:kern w:val="0"/>
          <w:sz w:val="24"/>
          <w:highlight w:val="none"/>
        </w:rPr>
        <w:tab/>
      </w:r>
      <w:r>
        <w:rPr>
          <w:kern w:val="0"/>
          <w:sz w:val="24"/>
          <w:highlight w:val="none"/>
        </w:rPr>
        <w:t xml:space="preserve">                年   月    日</w:t>
      </w: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highlight w:val="none"/>
        </w:rPr>
      </w:pPr>
      <w:bookmarkStart w:id="136" w:name="_Toc6230"/>
      <w:bookmarkStart w:id="137" w:name="_Toc8147"/>
      <w:bookmarkStart w:id="138" w:name="_Toc23515"/>
      <w:bookmarkStart w:id="139" w:name="_Toc30824"/>
      <w:bookmarkStart w:id="140" w:name="_Toc21847"/>
      <w:bookmarkStart w:id="141" w:name="_Toc5129"/>
      <w:bookmarkStart w:id="142" w:name="_Toc12169"/>
      <w:bookmarkStart w:id="143" w:name="_Toc1563"/>
      <w:bookmarkStart w:id="144" w:name="_Toc16552"/>
      <w:bookmarkStart w:id="145" w:name="_Toc3723"/>
      <w:bookmarkStart w:id="146" w:name="_Toc28358"/>
      <w:r>
        <w:rPr>
          <w:highlight w:val="none"/>
        </w:rPr>
        <mc:AlternateContent>
          <mc:Choice Requires="wps">
            <w:drawing>
              <wp:anchor distT="0" distB="0" distL="114300" distR="114300" simplePos="0" relativeHeight="25166028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028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pxMXG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bNZlmgIWFPkxt3E0w7DTcx8D220+U9M2KHIejzLqg6JCTp8sVguFyS4uHdV&#10;D3khYnqlvGXZaDimCLrr08Y7R3fn46yoCvvXmKgyJd4n5KLGsSHDzxcEDjSLLc0AmTYQH3RdyUVv&#10;tLzWxuQMjN1uYyLbQ56H8mV+hPtXWC6yBezHuOIaJ6VXIF86ydIxkFK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cTFxv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FyBBinwAQAA4wMAAA4AAAAAAAAAAQAgAAAAJgEAAGRycy9lMm9Eb2MueG1sUEsFBgAA&#10;AAAGAAYAWQEAAIgFAAAAAA==&#10;">
                <v:fill on="f" focussize="0,0"/>
                <v:stroke color="#000000" joinstyle="round"/>
                <v:imagedata o:title=""/>
                <o:lock v:ext="edit" aspectratio="f"/>
              </v:shape>
            </w:pict>
          </mc:Fallback>
        </mc:AlternateContent>
      </w:r>
      <w:r>
        <w:rPr>
          <w:rFonts w:hint="eastAsia"/>
          <w:highlight w:val="none"/>
        </w:rPr>
        <w:t>第七章</w:t>
      </w:r>
      <w:bookmarkEnd w:id="136"/>
      <w:bookmarkEnd w:id="137"/>
      <w:bookmarkEnd w:id="138"/>
      <w:bookmarkEnd w:id="139"/>
      <w:bookmarkEnd w:id="140"/>
      <w:bookmarkEnd w:id="141"/>
      <w:bookmarkEnd w:id="142"/>
      <w:bookmarkEnd w:id="143"/>
      <w:bookmarkEnd w:id="144"/>
      <w:bookmarkEnd w:id="145"/>
      <w:bookmarkEnd w:id="146"/>
    </w:p>
    <w:p>
      <w:pPr>
        <w:pStyle w:val="65"/>
        <w:rPr>
          <w:highlight w:val="none"/>
        </w:rPr>
      </w:pPr>
    </w:p>
    <w:p>
      <w:pPr>
        <w:pStyle w:val="4"/>
        <w:rPr>
          <w:rFonts w:ascii="方正小标宋简体" w:eastAsia="方正小标宋简体"/>
          <w:sz w:val="44"/>
          <w:szCs w:val="44"/>
          <w:highlight w:val="none"/>
        </w:rPr>
      </w:pPr>
      <w:bookmarkStart w:id="147" w:name="_Toc22764"/>
      <w:bookmarkStart w:id="148" w:name="_Toc88209951"/>
      <w:bookmarkStart w:id="149" w:name="_Toc87616388"/>
      <w:bookmarkStart w:id="150" w:name="_Toc21675"/>
      <w:bookmarkStart w:id="151" w:name="_Toc12610"/>
      <w:bookmarkStart w:id="152" w:name="_Toc10840"/>
      <w:bookmarkStart w:id="153" w:name="_Toc12769"/>
      <w:bookmarkStart w:id="154" w:name="_Toc30157"/>
      <w:bookmarkStart w:id="155" w:name="_Toc5342"/>
      <w:bookmarkStart w:id="156" w:name="_Toc31564"/>
      <w:bookmarkStart w:id="157" w:name="_Toc24490"/>
      <w:bookmarkStart w:id="158" w:name="_Toc24815"/>
      <w:bookmarkStart w:id="159" w:name="_Toc17119"/>
      <w:r>
        <w:rPr>
          <w:rFonts w:hint="eastAsia"/>
          <w:highlight w:val="none"/>
        </w:rPr>
        <w:t>响应文件格式要求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pStyle w:val="11"/>
        <w:rPr>
          <w:rFonts w:ascii="方正小标宋简体" w:eastAsia="方正小标宋简体"/>
          <w:sz w:val="44"/>
          <w:szCs w:val="44"/>
          <w:highlight w:val="none"/>
        </w:rPr>
      </w:pPr>
    </w:p>
    <w:p>
      <w:pPr>
        <w:spacing w:before="156" w:beforeLines="50" w:after="156" w:afterLines="50" w:line="600" w:lineRule="exact"/>
        <w:jc w:val="center"/>
        <w:rPr>
          <w:rFonts w:hint="eastAsia" w:ascii="宋体" w:hAnsi="宋体" w:cs="宋体"/>
          <w:b/>
          <w:bCs/>
          <w:sz w:val="44"/>
          <w:szCs w:val="44"/>
          <w:highlight w:val="none"/>
          <w:u w:val="single"/>
          <w:lang w:eastAsia="zh-CN"/>
        </w:rPr>
      </w:pPr>
      <w:r>
        <w:rPr>
          <w:rFonts w:hint="eastAsia" w:ascii="宋体" w:hAnsi="宋体" w:cs="宋体"/>
          <w:b/>
          <w:bCs/>
          <w:sz w:val="44"/>
          <w:szCs w:val="44"/>
          <w:highlight w:val="none"/>
          <w:u w:val="single"/>
          <w:lang w:eastAsia="zh-CN"/>
        </w:rPr>
        <w:t>广州市净水有限公司2024年化验仪器设备</w:t>
      </w:r>
    </w:p>
    <w:p>
      <w:pPr>
        <w:spacing w:before="156" w:beforeLines="50" w:after="156" w:afterLines="50" w:line="600" w:lineRule="exact"/>
        <w:jc w:val="center"/>
        <w:rPr>
          <w:rFonts w:hint="eastAsia" w:ascii="仿宋_GB2312" w:eastAsia="宋体"/>
          <w:sz w:val="30"/>
          <w:szCs w:val="30"/>
          <w:highlight w:val="none"/>
          <w:lang w:eastAsia="zh-CN"/>
        </w:rPr>
      </w:pPr>
      <w:r>
        <w:rPr>
          <w:rFonts w:hint="eastAsia" w:ascii="宋体" w:hAnsi="宋体" w:cs="宋体"/>
          <w:b/>
          <w:bCs/>
          <w:sz w:val="44"/>
          <w:szCs w:val="44"/>
          <w:highlight w:val="none"/>
          <w:u w:val="single"/>
          <w:lang w:eastAsia="zh-CN"/>
        </w:rPr>
        <w:t>第三方校准服务项目</w:t>
      </w:r>
    </w:p>
    <w:p>
      <w:pPr>
        <w:spacing w:before="156" w:beforeLines="50" w:after="156" w:afterLines="50" w:line="600" w:lineRule="exact"/>
        <w:jc w:val="center"/>
        <w:rPr>
          <w:rFonts w:ascii="方正小标宋简体" w:eastAsia="方正小标宋简体"/>
          <w:sz w:val="44"/>
          <w:szCs w:val="44"/>
          <w:highlight w:val="none"/>
        </w:rPr>
      </w:pPr>
      <w:r>
        <w:rPr>
          <w:rFonts w:hint="eastAsia" w:ascii="仿宋_GB2312" w:eastAsia="仿宋_GB2312"/>
          <w:sz w:val="30"/>
          <w:szCs w:val="30"/>
          <w:highlight w:val="none"/>
        </w:rPr>
        <w:t>（项目编号：      ）</w:t>
      </w:r>
    </w:p>
    <w:p>
      <w:pPr>
        <w:pStyle w:val="7"/>
        <w:rPr>
          <w:rFonts w:ascii="方正小标宋简体" w:eastAsia="方正小标宋简体"/>
          <w:sz w:val="44"/>
          <w:szCs w:val="44"/>
          <w:highlight w:val="none"/>
        </w:rPr>
      </w:pPr>
    </w:p>
    <w:p>
      <w:pPr>
        <w:pStyle w:val="7"/>
        <w:rPr>
          <w:rFonts w:ascii="方正小标宋简体" w:eastAsia="方正小标宋简体"/>
          <w:sz w:val="44"/>
          <w:szCs w:val="44"/>
          <w:highlight w:val="none"/>
        </w:rPr>
      </w:pPr>
    </w:p>
    <w:p>
      <w:pPr>
        <w:pStyle w:val="10"/>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adjustRightInd w:val="0"/>
        <w:snapToGrid w:val="0"/>
        <w:spacing w:line="600" w:lineRule="exact"/>
        <w:ind w:left="1"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rPr>
        <w:t>供应商：</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年</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月</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11"/>
        <w:rPr>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60" w:name="_Toc87616389"/>
      <w:bookmarkStart w:id="161" w:name="_Toc88209952"/>
      <w:r>
        <w:rPr>
          <w:rFonts w:hint="eastAsia" w:ascii="仿宋_GB2312" w:eastAsia="仿宋_GB2312"/>
          <w:sz w:val="28"/>
          <w:szCs w:val="28"/>
          <w:highlight w:val="none"/>
        </w:rPr>
        <w:t>1.响应函</w:t>
      </w:r>
      <w:bookmarkEnd w:id="160"/>
      <w:bookmarkEnd w:id="161"/>
    </w:p>
    <w:p>
      <w:pPr>
        <w:spacing w:line="600" w:lineRule="exact"/>
        <w:rPr>
          <w:rFonts w:ascii="仿宋_GB2312" w:eastAsia="仿宋_GB2312"/>
          <w:sz w:val="28"/>
          <w:szCs w:val="28"/>
          <w:highlight w:val="none"/>
        </w:rPr>
      </w:pPr>
      <w:bookmarkStart w:id="162" w:name="_Toc88209953"/>
      <w:bookmarkStart w:id="163" w:name="_Toc87616390"/>
      <w:r>
        <w:rPr>
          <w:rFonts w:hint="eastAsia" w:ascii="仿宋_GB2312" w:eastAsia="仿宋_GB2312"/>
          <w:sz w:val="28"/>
          <w:szCs w:val="28"/>
          <w:highlight w:val="none"/>
        </w:rPr>
        <w:t>2.法定代表人证明或授权委托书</w:t>
      </w:r>
      <w:bookmarkEnd w:id="162"/>
      <w:bookmarkEnd w:id="163"/>
      <w:bookmarkStart w:id="164" w:name="_Toc87616393"/>
      <w:bookmarkStart w:id="165"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hint="eastAsia"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6.CNAS证明</w:t>
      </w:r>
    </w:p>
    <w:p>
      <w:pPr>
        <w:spacing w:line="600" w:lineRule="exac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7.响应承诺书</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其他资料</w:t>
      </w:r>
      <w:bookmarkEnd w:id="164"/>
      <w:bookmarkEnd w:id="165"/>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10"/>
        <w:rPr>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pStyle w:val="6"/>
        <w:rPr>
          <w:rFonts w:ascii="宋体" w:hAnsi="宋体"/>
          <w:sz w:val="28"/>
          <w:szCs w:val="28"/>
          <w:highlight w:val="none"/>
        </w:rPr>
      </w:pPr>
      <w:bookmarkStart w:id="166" w:name="_Toc28619645"/>
      <w:bookmarkStart w:id="167" w:name="_Toc88209957"/>
      <w:bookmarkStart w:id="168" w:name="_Toc87616394"/>
      <w:bookmarkStart w:id="169" w:name="_Toc6313"/>
      <w:bookmarkStart w:id="170" w:name="_Toc12665"/>
      <w:r>
        <w:rPr>
          <w:rFonts w:hint="eastAsia" w:ascii="宋体" w:hAnsi="宋体"/>
          <w:sz w:val="28"/>
          <w:szCs w:val="28"/>
          <w:highlight w:val="none"/>
        </w:rPr>
        <w:t>1.响应函</w:t>
      </w:r>
      <w:bookmarkEnd w:id="166"/>
      <w:bookmarkEnd w:id="167"/>
      <w:bookmarkEnd w:id="168"/>
      <w:bookmarkEnd w:id="169"/>
      <w:bookmarkEnd w:id="170"/>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致（采购人名称）：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）的报价（其中，不含税价为；增值税为）完成/提供本项目</w:t>
      </w:r>
      <w:r>
        <w:rPr>
          <w:rFonts w:hint="eastAsia" w:ascii="仿宋_GB2312" w:hAnsi="宋体" w:eastAsia="仿宋_GB2312"/>
          <w:sz w:val="28"/>
          <w:szCs w:val="28"/>
          <w:highlight w:val="none"/>
        </w:rPr>
        <w:t>□</w:t>
      </w:r>
      <w:r>
        <w:rPr>
          <w:rFonts w:hint="eastAsia" w:ascii="仿宋_GB2312" w:hAnsi="黑体" w:eastAsia="仿宋_GB2312"/>
          <w:sz w:val="28"/>
          <w:szCs w:val="28"/>
          <w:highlight w:val="none"/>
        </w:rPr>
        <w:t xml:space="preserve">工程 </w:t>
      </w:r>
      <w:r>
        <w:rPr>
          <w:rFonts w:hint="eastAsia" w:ascii="仿宋_GB2312" w:hAnsi="宋体" w:eastAsia="仿宋_GB2312"/>
          <w:sz w:val="28"/>
          <w:szCs w:val="28"/>
          <w:highlight w:val="none"/>
        </w:rPr>
        <w:t>□</w:t>
      </w:r>
      <w:r>
        <w:rPr>
          <w:rFonts w:hint="eastAsia" w:ascii="仿宋_GB2312" w:hAnsi="黑体" w:eastAsia="仿宋_GB2312"/>
          <w:sz w:val="28"/>
          <w:szCs w:val="28"/>
          <w:highlight w:val="none"/>
        </w:rPr>
        <w:t>货物</w:t>
      </w:r>
      <w:r>
        <w:rPr>
          <w:rFonts w:ascii="Wingdings 2" w:hAnsi="Wingdings 2" w:eastAsia="仿宋_GB2312"/>
          <w:sz w:val="28"/>
          <w:szCs w:val="28"/>
          <w:highlight w:val="none"/>
        </w:rPr>
        <w:sym w:font="Wingdings 2" w:char="F052"/>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600" w:lineRule="exact"/>
        <w:ind w:firstLine="560" w:firstLineChars="200"/>
        <w:rPr>
          <w:rFonts w:hint="eastAsia" w:ascii="仿宋_GB2312" w:eastAsia="仿宋_GB2312"/>
          <w:sz w:val="28"/>
          <w:szCs w:val="28"/>
          <w:highlight w:val="none"/>
        </w:rPr>
      </w:pPr>
      <w:r>
        <w:rPr>
          <w:rFonts w:hint="eastAsia" w:ascii="仿宋_GB2312" w:hAnsi="黑体" w:eastAsia="仿宋_GB2312"/>
          <w:sz w:val="28"/>
          <w:szCs w:val="28"/>
          <w:highlight w:val="none"/>
        </w:rPr>
        <w:t>（6）</w:t>
      </w:r>
      <w:r>
        <w:rPr>
          <w:rFonts w:hint="eastAsia" w:ascii="仿宋_GB2312" w:eastAsia="仿宋_GB2312"/>
          <w:sz w:val="28"/>
          <w:szCs w:val="28"/>
          <w:highlight w:val="none"/>
        </w:rPr>
        <w:t>CNAS证明</w:t>
      </w:r>
    </w:p>
    <w:p>
      <w:pPr>
        <w:spacing w:line="600" w:lineRule="exact"/>
        <w:ind w:firstLine="560" w:firstLineChars="200"/>
        <w:rPr>
          <w:rFonts w:hint="default" w:ascii="仿宋_GB2312" w:eastAsia="仿宋_GB2312"/>
          <w:sz w:val="28"/>
          <w:szCs w:val="28"/>
          <w:highlight w:val="none"/>
          <w:lang w:val="en-US" w:eastAsia="zh-CN"/>
        </w:rPr>
      </w:pPr>
      <w:r>
        <w:rPr>
          <w:rFonts w:hint="eastAsia" w:ascii="仿宋_GB2312" w:hAnsi="黑体" w:eastAsia="仿宋_GB2312"/>
          <w:sz w:val="28"/>
          <w:szCs w:val="28"/>
          <w:highlight w:val="none"/>
        </w:rPr>
        <w:t>（</w:t>
      </w:r>
      <w:r>
        <w:rPr>
          <w:rFonts w:hint="eastAsia" w:ascii="仿宋_GB2312" w:hAnsi="黑体" w:eastAsia="仿宋_GB2312"/>
          <w:sz w:val="28"/>
          <w:szCs w:val="28"/>
          <w:highlight w:val="none"/>
          <w:lang w:val="en-US" w:eastAsia="zh-CN"/>
        </w:rPr>
        <w:t>7</w:t>
      </w:r>
      <w:r>
        <w:rPr>
          <w:rFonts w:hint="eastAsia" w:ascii="仿宋_GB2312" w:hAnsi="黑体" w:eastAsia="仿宋_GB2312"/>
          <w:sz w:val="28"/>
          <w:szCs w:val="28"/>
          <w:highlight w:val="none"/>
        </w:rPr>
        <w:t>）</w:t>
      </w:r>
      <w:r>
        <w:rPr>
          <w:rFonts w:hint="eastAsia" w:ascii="仿宋_GB2312" w:eastAsia="仿宋_GB2312"/>
          <w:sz w:val="28"/>
          <w:szCs w:val="28"/>
          <w:highlight w:val="none"/>
          <w:lang w:val="en-US" w:eastAsia="zh-CN"/>
        </w:rPr>
        <w:t>响应承诺书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hint="eastAsia" w:ascii="仿宋_GB2312" w:hAnsi="黑体" w:eastAsia="仿宋_GB2312"/>
          <w:sz w:val="28"/>
          <w:szCs w:val="28"/>
          <w:highlight w:val="none"/>
          <w:lang w:val="en-US" w:eastAsia="zh-CN"/>
        </w:rPr>
        <w:t>8</w:t>
      </w:r>
      <w:r>
        <w:rPr>
          <w:rFonts w:hint="eastAsia" w:ascii="仿宋_GB2312" w:hAnsi="黑体" w:eastAsia="仿宋_GB2312"/>
          <w:sz w:val="28"/>
          <w:szCs w:val="28"/>
          <w:highlight w:val="none"/>
        </w:rPr>
        <w:t>）</w:t>
      </w:r>
      <w:r>
        <w:rPr>
          <w:rFonts w:hint="eastAsia" w:ascii="仿宋_GB2312"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hAnsi="宋体" w:eastAsia="仿宋_GB2312"/>
          <w:sz w:val="28"/>
          <w:szCs w:val="28"/>
          <w:highlight w:val="none"/>
        </w:rPr>
      </w:pPr>
    </w:p>
    <w:p>
      <w:pPr>
        <w:adjustRightInd w:val="0"/>
        <w:snapToGrid w:val="0"/>
        <w:spacing w:line="600" w:lineRule="exact"/>
        <w:ind w:left="1" w:firstLine="551" w:firstLineChars="197"/>
        <w:jc w:val="left"/>
        <w:rPr>
          <w:rFonts w:ascii="仿宋_GB2312" w:hAnsi="宋体" w:eastAsia="仿宋_GB2312"/>
          <w:sz w:val="28"/>
          <w:szCs w:val="28"/>
          <w:highlight w:val="none"/>
        </w:rPr>
      </w:pPr>
    </w:p>
    <w:p>
      <w:pPr>
        <w:adjustRightInd w:val="0"/>
        <w:snapToGrid w:val="0"/>
        <w:spacing w:line="600" w:lineRule="exact"/>
        <w:ind w:left="1" w:firstLine="551" w:firstLineChars="197"/>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供应商：（单位公章）</w:t>
      </w:r>
    </w:p>
    <w:p>
      <w:pPr>
        <w:adjustRightInd w:val="0"/>
        <w:snapToGrid w:val="0"/>
        <w:spacing w:line="600" w:lineRule="exact"/>
        <w:ind w:left="1" w:firstLine="551" w:firstLineChars="197"/>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法定代表人或委托代理人：（签字或盖章）</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地址：</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电子邮箱：</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电话：</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传真：</w:t>
      </w:r>
    </w:p>
    <w:p>
      <w:pPr>
        <w:spacing w:line="600" w:lineRule="exact"/>
        <w:ind w:firstLine="3920" w:firstLineChars="1400"/>
        <w:rPr>
          <w:rFonts w:ascii="宋体" w:hAnsi="宋体"/>
          <w:sz w:val="28"/>
          <w:szCs w:val="28"/>
          <w:highlight w:val="none"/>
        </w:rPr>
      </w:pPr>
      <w:r>
        <w:rPr>
          <w:rFonts w:hint="eastAsia" w:ascii="仿宋_GB2312" w:hAnsi="宋体" w:eastAsia="仿宋_GB2312"/>
          <w:sz w:val="28"/>
          <w:szCs w:val="28"/>
          <w:highlight w:val="none"/>
        </w:rPr>
        <w:t>年   月   日</w:t>
      </w:r>
      <w:bookmarkStart w:id="171" w:name="_Toc29833"/>
      <w:bookmarkStart w:id="172" w:name="_Toc87616395"/>
      <w:bookmarkStart w:id="173" w:name="_Toc22527"/>
      <w:bookmarkStart w:id="174" w:name="_Toc88209958"/>
    </w:p>
    <w:p>
      <w:pPr>
        <w:pStyle w:val="6"/>
        <w:rPr>
          <w:rFonts w:ascii="宋体" w:hAnsi="宋体"/>
          <w:sz w:val="28"/>
          <w:szCs w:val="28"/>
          <w:highlight w:val="none"/>
        </w:rPr>
      </w:pPr>
      <w:r>
        <w:rPr>
          <w:rFonts w:hint="eastAsia" w:ascii="宋体" w:hAnsi="宋体"/>
          <w:sz w:val="28"/>
          <w:szCs w:val="28"/>
          <w:highlight w:val="none"/>
        </w:rPr>
        <w:t>2.法定代表人证明或授权委托书</w:t>
      </w:r>
      <w:bookmarkEnd w:id="171"/>
      <w:bookmarkEnd w:id="172"/>
      <w:bookmarkEnd w:id="173"/>
      <w:bookmarkEnd w:id="174"/>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4"/>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供应商名称：</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55"/>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center"/>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   年   月   日</w:t>
      </w:r>
    </w:p>
    <w:p>
      <w:pPr>
        <w:widowControl/>
        <w:adjustRightInd w:val="0"/>
        <w:snapToGrid w:val="0"/>
        <w:spacing w:line="600" w:lineRule="exact"/>
        <w:jc w:val="left"/>
        <w:rPr>
          <w:rFonts w:ascii="仿宋_GB2312" w:hAnsi="宋体" w:eastAsia="仿宋_GB2312" w:cs="宋体"/>
          <w:kern w:val="0"/>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406400</wp:posOffset>
                </wp:positionH>
                <wp:positionV relativeFrom="paragraph">
                  <wp:posOffset>187960</wp:posOffset>
                </wp:positionV>
                <wp:extent cx="3771900" cy="898525"/>
                <wp:effectExtent l="5080" t="5080" r="13970" b="10795"/>
                <wp:wrapSquare wrapText="bothSides"/>
                <wp:docPr id="3" name="文本框 2"/>
                <wp:cNvGraphicFramePr/>
                <a:graphic xmlns:a="http://schemas.openxmlformats.org/drawingml/2006/main">
                  <a:graphicData uri="http://schemas.microsoft.com/office/word/2010/wordprocessingShape">
                    <wps:wsp>
                      <wps:cNvSpPr txBox="1"/>
                      <wps:spPr>
                        <a:xfrm>
                          <a:off x="0" y="0"/>
                          <a:ext cx="3771900" cy="898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upright="1"/>
                    </wps:wsp>
                  </a:graphicData>
                </a:graphic>
              </wp:anchor>
            </w:drawing>
          </mc:Choice>
          <mc:Fallback>
            <w:pict>
              <v:shape id="文本框 2" o:spid="_x0000_s1026" o:spt="202" type="#_x0000_t202" style="position:absolute;left:0pt;margin-left:32pt;margin-top:14.8pt;height:70.75pt;width:297pt;mso-wrap-distance-bottom:0pt;mso-wrap-distance-left:9pt;mso-wrap-distance-right:9pt;mso-wrap-distance-top:0pt;z-index:251661312;mso-width-relative:page;mso-height-relative:page;" fillcolor="#FFFFFF" filled="t" stroked="t" coordsize="21600,21600" o:gfxdata="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wF7l2AAAAAkBAAAPAAAAAAAAAAEAIAAAACIA&#10;AABkcnMvZG93bnJldi54bWxQSwECFAAUAAAACACHTuJAUTsHewkCAAA2BAAADgAAAAAAAAABACAA&#10;AAAnAQAAZHJzL2Uyb0RvYy54bWxQSwUGAAAAAAYABgBZAQAAogU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6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w:t>
      </w:r>
      <w:r>
        <w:rPr>
          <w:rFonts w:hint="eastAsia" w:ascii="仿宋_GB2312" w:hAnsi="宋体" w:eastAsia="仿宋_GB2312"/>
          <w:sz w:val="30"/>
          <w:szCs w:val="30"/>
          <w:highlight w:val="none"/>
          <w:lang w:val="en-US" w:eastAsia="zh-CN"/>
        </w:rPr>
        <w:t>自公告发布当月起</w:t>
      </w:r>
      <w:r>
        <w:rPr>
          <w:rFonts w:hint="eastAsia" w:ascii="仿宋_GB2312" w:hAnsi="宋体" w:eastAsia="仿宋_GB2312"/>
          <w:sz w:val="30"/>
          <w:szCs w:val="30"/>
          <w:highlight w:val="none"/>
        </w:rPr>
        <w:t>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   年   月   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615950</wp:posOffset>
                </wp:positionH>
                <wp:positionV relativeFrom="paragraph">
                  <wp:posOffset>200025</wp:posOffset>
                </wp:positionV>
                <wp:extent cx="3771900" cy="1658620"/>
                <wp:effectExtent l="4445" t="5080" r="14605" b="12700"/>
                <wp:wrapSquare wrapText="bothSides"/>
                <wp:docPr id="4" name="文本框 16"/>
                <wp:cNvGraphicFramePr/>
                <a:graphic xmlns:a="http://schemas.openxmlformats.org/drawingml/2006/main">
                  <a:graphicData uri="http://schemas.microsoft.com/office/word/2010/wordprocessingShape">
                    <wps:wsp>
                      <wps:cNvSpPr txBox="1"/>
                      <wps:spPr>
                        <a:xfrm>
                          <a:off x="0" y="0"/>
                          <a:ext cx="3771900" cy="1658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upright="1"/>
                    </wps:wsp>
                  </a:graphicData>
                </a:graphic>
              </wp:anchor>
            </w:drawing>
          </mc:Choice>
          <mc:Fallback>
            <w:pict>
              <v:shape id="文本框 16" o:spid="_x0000_s1026" o:spt="202" type="#_x0000_t202" style="position:absolute;left:0pt;margin-left:48.5pt;margin-top:15.75pt;height:130.6pt;width:297pt;mso-wrap-distance-bottom:0pt;mso-wrap-distance-left:9pt;mso-wrap-distance-right:9pt;mso-wrap-distance-top:0pt;z-index:251662336;mso-width-relative:page;mso-height-relative:page;" fillcolor="#FFFFFF" filled="t" stroked="t" coordsize="21600,21600" o:gfxdata="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mqVSLZAAAACQEAAA8AAAAAAAAA&#10;AQAgAAAAIgAAAGRycy9kb3ducmV2LnhtbFBLAQIUABQAAAAIAIdO4kAo+Wy0EAIAADgEAAAOAAAA&#10;AAAAAAEAIAAAACgBAABkcnMvZTJvRG9jLnhtbFBLBQYAAAAABgAGAFkBAACqBQ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w:t>
            </w:r>
            <w:r>
              <w:rPr>
                <w:rFonts w:hint="eastAsia" w:ascii="宋体" w:hAnsi="宋体"/>
                <w:sz w:val="24"/>
                <w:szCs w:val="24"/>
                <w:highlight w:val="none"/>
                <w:lang w:val="en-US" w:eastAsia="zh-CN"/>
              </w:rPr>
              <w:t>自公告发布当月起</w:t>
            </w:r>
            <w:r>
              <w:rPr>
                <w:rFonts w:hint="eastAsia" w:ascii="宋体" w:hAnsi="宋体"/>
                <w:sz w:val="24"/>
                <w:szCs w:val="24"/>
                <w:highlight w:val="none"/>
              </w:rPr>
              <w:t>在本单位近三个月社保记录，（以加盖社会保险基金管理中心印章的《缴费历史明细表》或《社会保险参保人员证明》为准，加盖单位公章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56"/>
        <w:rPr>
          <w:rFonts w:ascii="仿宋" w:hAnsi="仿宋" w:eastAsia="仿宋" w:cs="仿宋_GB2312"/>
          <w:b/>
          <w:color w:val="auto"/>
          <w:sz w:val="28"/>
          <w:szCs w:val="28"/>
          <w:highlight w:val="none"/>
        </w:rPr>
      </w:pPr>
    </w:p>
    <w:p>
      <w:pPr>
        <w:pStyle w:val="6"/>
        <w:spacing w:before="0" w:after="0" w:line="240" w:lineRule="auto"/>
        <w:rPr>
          <w:rFonts w:ascii="宋体" w:hAnsi="宋体"/>
          <w:sz w:val="28"/>
          <w:szCs w:val="28"/>
          <w:highlight w:val="none"/>
        </w:rPr>
      </w:pPr>
      <w:bookmarkStart w:id="175" w:name="_Toc87616400"/>
      <w:bookmarkStart w:id="176" w:name="_Toc8086"/>
      <w:bookmarkStart w:id="177" w:name="_Toc19830"/>
      <w:bookmarkStart w:id="178" w:name="_Toc88209963"/>
      <w:r>
        <w:rPr>
          <w:rFonts w:hint="eastAsia" w:ascii="仿宋_GB2312" w:hAnsi="宋体" w:eastAsia="仿宋_GB2312"/>
          <w:sz w:val="28"/>
          <w:szCs w:val="28"/>
          <w:highlight w:val="none"/>
        </w:rPr>
        <w:t>3</w:t>
      </w:r>
      <w:r>
        <w:rPr>
          <w:rFonts w:hint="eastAsia" w:ascii="宋体" w:hAnsi="宋体"/>
          <w:sz w:val="28"/>
          <w:szCs w:val="28"/>
          <w:highlight w:val="none"/>
        </w:rPr>
        <w:t>.资格审查资料</w:t>
      </w:r>
      <w:bookmarkEnd w:id="175"/>
      <w:bookmarkEnd w:id="176"/>
      <w:bookmarkEnd w:id="177"/>
      <w:bookmarkEnd w:id="178"/>
    </w:p>
    <w:p>
      <w:pPr>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供应商名称</w:t>
            </w:r>
          </w:p>
        </w:tc>
        <w:tc>
          <w:tcPr>
            <w:tcW w:w="7278" w:type="dxa"/>
            <w:gridSpan w:val="9"/>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注册地址</w:t>
            </w:r>
          </w:p>
        </w:tc>
        <w:tc>
          <w:tcPr>
            <w:tcW w:w="3118" w:type="dxa"/>
            <w:gridSpan w:val="3"/>
          </w:tcPr>
          <w:p>
            <w:pPr>
              <w:adjustRightInd w:val="0"/>
              <w:snapToGrid w:val="0"/>
              <w:spacing w:line="600" w:lineRule="exact"/>
              <w:rPr>
                <w:rFonts w:ascii="仿宋_GB2312" w:hAnsi="宋体" w:eastAsia="仿宋_GB2312"/>
                <w:sz w:val="28"/>
                <w:szCs w:val="28"/>
                <w:highlight w:val="none"/>
              </w:rPr>
            </w:pPr>
          </w:p>
        </w:tc>
        <w:tc>
          <w:tcPr>
            <w:tcW w:w="1570"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邮政编码</w:t>
            </w:r>
          </w:p>
        </w:tc>
        <w:tc>
          <w:tcPr>
            <w:tcW w:w="2590" w:type="dxa"/>
            <w:gridSpan w:val="3"/>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联系方式</w:t>
            </w:r>
          </w:p>
        </w:tc>
        <w:tc>
          <w:tcPr>
            <w:tcW w:w="1134" w:type="dxa"/>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联系人</w:t>
            </w:r>
          </w:p>
        </w:tc>
        <w:tc>
          <w:tcPr>
            <w:tcW w:w="1984" w:type="dxa"/>
            <w:gridSpan w:val="2"/>
            <w:vAlign w:val="center"/>
          </w:tcPr>
          <w:p>
            <w:pPr>
              <w:adjustRightInd w:val="0"/>
              <w:snapToGrid w:val="0"/>
              <w:spacing w:line="600" w:lineRule="exact"/>
              <w:jc w:val="center"/>
              <w:rPr>
                <w:rFonts w:ascii="仿宋_GB2312" w:hAnsi="宋体" w:eastAsia="仿宋_GB2312"/>
                <w:sz w:val="28"/>
                <w:szCs w:val="28"/>
                <w:highlight w:val="none"/>
              </w:rPr>
            </w:pPr>
          </w:p>
        </w:tc>
        <w:tc>
          <w:tcPr>
            <w:tcW w:w="1570" w:type="dxa"/>
            <w:gridSpan w:val="3"/>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2590" w:type="dxa"/>
            <w:gridSpan w:val="3"/>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hAnsi="宋体" w:eastAsia="仿宋_GB2312"/>
                <w:sz w:val="28"/>
                <w:szCs w:val="28"/>
                <w:highlight w:val="none"/>
              </w:rPr>
            </w:pPr>
          </w:p>
        </w:tc>
        <w:tc>
          <w:tcPr>
            <w:tcW w:w="1134" w:type="dxa"/>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传真</w:t>
            </w:r>
          </w:p>
        </w:tc>
        <w:tc>
          <w:tcPr>
            <w:tcW w:w="1984" w:type="dxa"/>
            <w:gridSpan w:val="2"/>
            <w:vAlign w:val="center"/>
          </w:tcPr>
          <w:p>
            <w:pPr>
              <w:adjustRightInd w:val="0"/>
              <w:snapToGrid w:val="0"/>
              <w:spacing w:line="600" w:lineRule="exact"/>
              <w:jc w:val="center"/>
              <w:rPr>
                <w:rFonts w:ascii="仿宋_GB2312" w:hAnsi="宋体" w:eastAsia="仿宋_GB2312"/>
                <w:sz w:val="28"/>
                <w:szCs w:val="28"/>
                <w:highlight w:val="none"/>
              </w:rPr>
            </w:pPr>
          </w:p>
        </w:tc>
        <w:tc>
          <w:tcPr>
            <w:tcW w:w="1570" w:type="dxa"/>
            <w:gridSpan w:val="3"/>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网址</w:t>
            </w:r>
          </w:p>
        </w:tc>
        <w:tc>
          <w:tcPr>
            <w:tcW w:w="2590" w:type="dxa"/>
            <w:gridSpan w:val="3"/>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组织结构</w:t>
            </w:r>
          </w:p>
        </w:tc>
        <w:tc>
          <w:tcPr>
            <w:tcW w:w="7278" w:type="dxa"/>
            <w:gridSpan w:val="9"/>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p>
        </w:tc>
        <w:tc>
          <w:tcPr>
            <w:tcW w:w="1134"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姓名</w:t>
            </w:r>
          </w:p>
        </w:tc>
        <w:tc>
          <w:tcPr>
            <w:tcW w:w="966" w:type="dxa"/>
          </w:tcPr>
          <w:p>
            <w:pPr>
              <w:adjustRightInd w:val="0"/>
              <w:snapToGrid w:val="0"/>
              <w:spacing w:line="600" w:lineRule="exact"/>
              <w:rPr>
                <w:rFonts w:ascii="仿宋_GB2312" w:hAnsi="宋体" w:eastAsia="仿宋_GB2312"/>
                <w:sz w:val="28"/>
                <w:szCs w:val="28"/>
                <w:highlight w:val="none"/>
              </w:rPr>
            </w:pPr>
          </w:p>
        </w:tc>
        <w:tc>
          <w:tcPr>
            <w:tcW w:w="1443"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技术职称</w:t>
            </w:r>
          </w:p>
        </w:tc>
        <w:tc>
          <w:tcPr>
            <w:tcW w:w="1145" w:type="dxa"/>
          </w:tcPr>
          <w:p>
            <w:pPr>
              <w:adjustRightInd w:val="0"/>
              <w:snapToGrid w:val="0"/>
              <w:spacing w:line="600" w:lineRule="exact"/>
              <w:rPr>
                <w:rFonts w:ascii="仿宋_GB2312" w:hAnsi="宋体" w:eastAsia="仿宋_GB2312"/>
                <w:sz w:val="28"/>
                <w:szCs w:val="28"/>
                <w:highlight w:val="none"/>
              </w:rPr>
            </w:pPr>
          </w:p>
        </w:tc>
        <w:tc>
          <w:tcPr>
            <w:tcW w:w="1295" w:type="dxa"/>
            <w:gridSpan w:val="2"/>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1295" w:type="dxa"/>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技术负责人</w:t>
            </w:r>
          </w:p>
        </w:tc>
        <w:tc>
          <w:tcPr>
            <w:tcW w:w="1134"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姓名</w:t>
            </w:r>
          </w:p>
        </w:tc>
        <w:tc>
          <w:tcPr>
            <w:tcW w:w="966" w:type="dxa"/>
          </w:tcPr>
          <w:p>
            <w:pPr>
              <w:adjustRightInd w:val="0"/>
              <w:snapToGrid w:val="0"/>
              <w:spacing w:line="600" w:lineRule="exact"/>
              <w:rPr>
                <w:rFonts w:ascii="仿宋_GB2312" w:hAnsi="宋体" w:eastAsia="仿宋_GB2312"/>
                <w:sz w:val="28"/>
                <w:szCs w:val="28"/>
                <w:highlight w:val="none"/>
              </w:rPr>
            </w:pPr>
          </w:p>
        </w:tc>
        <w:tc>
          <w:tcPr>
            <w:tcW w:w="1443"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技术职称</w:t>
            </w:r>
          </w:p>
        </w:tc>
        <w:tc>
          <w:tcPr>
            <w:tcW w:w="1145" w:type="dxa"/>
          </w:tcPr>
          <w:p>
            <w:pPr>
              <w:adjustRightInd w:val="0"/>
              <w:snapToGrid w:val="0"/>
              <w:spacing w:line="600" w:lineRule="exact"/>
              <w:rPr>
                <w:rFonts w:ascii="仿宋_GB2312" w:hAnsi="宋体" w:eastAsia="仿宋_GB2312"/>
                <w:sz w:val="28"/>
                <w:szCs w:val="28"/>
                <w:highlight w:val="none"/>
              </w:rPr>
            </w:pPr>
          </w:p>
        </w:tc>
        <w:tc>
          <w:tcPr>
            <w:tcW w:w="1295" w:type="dxa"/>
            <w:gridSpan w:val="2"/>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1295" w:type="dxa"/>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成立时间</w:t>
            </w:r>
          </w:p>
        </w:tc>
        <w:tc>
          <w:tcPr>
            <w:tcW w:w="2100" w:type="dxa"/>
            <w:gridSpan w:val="2"/>
          </w:tcPr>
          <w:p>
            <w:pPr>
              <w:adjustRightInd w:val="0"/>
              <w:snapToGrid w:val="0"/>
              <w:spacing w:line="600" w:lineRule="exact"/>
              <w:rPr>
                <w:rFonts w:ascii="仿宋_GB2312" w:hAnsi="宋体" w:eastAsia="仿宋_GB2312"/>
                <w:sz w:val="28"/>
                <w:szCs w:val="28"/>
                <w:highlight w:val="none"/>
              </w:rPr>
            </w:pPr>
          </w:p>
        </w:tc>
        <w:tc>
          <w:tcPr>
            <w:tcW w:w="5178" w:type="dxa"/>
            <w:gridSpan w:val="7"/>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企业资质等级</w:t>
            </w:r>
          </w:p>
        </w:tc>
        <w:tc>
          <w:tcPr>
            <w:tcW w:w="2100" w:type="dxa"/>
            <w:gridSpan w:val="2"/>
          </w:tcPr>
          <w:p>
            <w:pPr>
              <w:adjustRightInd w:val="0"/>
              <w:snapToGrid w:val="0"/>
              <w:spacing w:line="600" w:lineRule="exact"/>
              <w:rPr>
                <w:rFonts w:ascii="仿宋_GB2312" w:hAnsi="宋体" w:eastAsia="仿宋_GB2312"/>
                <w:sz w:val="28"/>
                <w:szCs w:val="28"/>
                <w:highlight w:val="none"/>
              </w:rPr>
            </w:pPr>
          </w:p>
        </w:tc>
        <w:tc>
          <w:tcPr>
            <w:tcW w:w="1160" w:type="dxa"/>
            <w:gridSpan w:val="2"/>
            <w:vMerge w:val="restart"/>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其中</w:t>
            </w:r>
          </w:p>
        </w:tc>
        <w:tc>
          <w:tcPr>
            <w:tcW w:w="2268"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项目负责人</w:t>
            </w:r>
          </w:p>
        </w:tc>
        <w:tc>
          <w:tcPr>
            <w:tcW w:w="1750" w:type="dxa"/>
            <w:gridSpan w:val="2"/>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营业执照号</w:t>
            </w:r>
          </w:p>
        </w:tc>
        <w:tc>
          <w:tcPr>
            <w:tcW w:w="2100" w:type="dxa"/>
            <w:gridSpan w:val="2"/>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sz w:val="28"/>
                <w:szCs w:val="28"/>
                <w:highlight w:val="none"/>
              </w:rPr>
            </w:pPr>
          </w:p>
        </w:tc>
        <w:tc>
          <w:tcPr>
            <w:tcW w:w="2268"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□高级职称人员</w:t>
            </w:r>
          </w:p>
        </w:tc>
        <w:tc>
          <w:tcPr>
            <w:tcW w:w="1750" w:type="dxa"/>
            <w:gridSpan w:val="2"/>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注册资金</w:t>
            </w:r>
          </w:p>
        </w:tc>
        <w:tc>
          <w:tcPr>
            <w:tcW w:w="2100" w:type="dxa"/>
            <w:gridSpan w:val="2"/>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sz w:val="28"/>
                <w:szCs w:val="28"/>
                <w:highlight w:val="none"/>
              </w:rPr>
            </w:pPr>
          </w:p>
        </w:tc>
        <w:tc>
          <w:tcPr>
            <w:tcW w:w="2268"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□中级职称人员</w:t>
            </w:r>
          </w:p>
        </w:tc>
        <w:tc>
          <w:tcPr>
            <w:tcW w:w="1750" w:type="dxa"/>
            <w:gridSpan w:val="2"/>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开户银行</w:t>
            </w:r>
          </w:p>
        </w:tc>
        <w:tc>
          <w:tcPr>
            <w:tcW w:w="2100" w:type="dxa"/>
            <w:gridSpan w:val="2"/>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sz w:val="28"/>
                <w:szCs w:val="28"/>
                <w:highlight w:val="none"/>
              </w:rPr>
            </w:pPr>
          </w:p>
        </w:tc>
        <w:tc>
          <w:tcPr>
            <w:tcW w:w="2268"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□初级职称人员</w:t>
            </w:r>
          </w:p>
        </w:tc>
        <w:tc>
          <w:tcPr>
            <w:tcW w:w="1750" w:type="dxa"/>
            <w:gridSpan w:val="2"/>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账户</w:t>
            </w:r>
          </w:p>
        </w:tc>
        <w:tc>
          <w:tcPr>
            <w:tcW w:w="2100" w:type="dxa"/>
            <w:gridSpan w:val="2"/>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sz w:val="28"/>
                <w:szCs w:val="28"/>
                <w:highlight w:val="none"/>
              </w:rPr>
            </w:pPr>
          </w:p>
        </w:tc>
        <w:tc>
          <w:tcPr>
            <w:tcW w:w="2268" w:type="dxa"/>
            <w:gridSpan w:val="3"/>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□技工</w:t>
            </w:r>
          </w:p>
        </w:tc>
        <w:tc>
          <w:tcPr>
            <w:tcW w:w="1750" w:type="dxa"/>
            <w:gridSpan w:val="2"/>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经营范围</w:t>
            </w:r>
          </w:p>
        </w:tc>
        <w:tc>
          <w:tcPr>
            <w:tcW w:w="7278" w:type="dxa"/>
            <w:gridSpan w:val="9"/>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备注</w:t>
            </w:r>
          </w:p>
        </w:tc>
        <w:tc>
          <w:tcPr>
            <w:tcW w:w="7278" w:type="dxa"/>
            <w:gridSpan w:val="9"/>
          </w:tcPr>
          <w:p>
            <w:pPr>
              <w:adjustRightInd w:val="0"/>
              <w:snapToGrid w:val="0"/>
              <w:spacing w:line="600" w:lineRule="exact"/>
              <w:rPr>
                <w:rFonts w:ascii="仿宋_GB2312" w:hAnsi="宋体" w:eastAsia="仿宋_GB2312"/>
                <w:sz w:val="28"/>
                <w:szCs w:val="28"/>
                <w:highlight w:val="none"/>
              </w:rPr>
            </w:pPr>
          </w:p>
        </w:tc>
      </w:tr>
    </w:tbl>
    <w:p>
      <w:pPr>
        <w:adjustRightInd w:val="0"/>
        <w:snapToGrid w:val="0"/>
        <w:ind w:firstLine="573"/>
        <w:rPr>
          <w:rFonts w:ascii="宋体" w:hAnsi="宋体"/>
          <w:b/>
          <w:bCs/>
          <w:sz w:val="28"/>
          <w:szCs w:val="28"/>
          <w:highlight w:val="none"/>
        </w:rPr>
      </w:pPr>
      <w:r>
        <w:rPr>
          <w:rFonts w:ascii="仿宋_GB2312" w:hAnsi="宋体" w:eastAsia="仿宋_GB2312"/>
          <w:sz w:val="28"/>
          <w:szCs w:val="28"/>
          <w:highlight w:val="none"/>
        </w:rPr>
        <w:t>注</w:t>
      </w:r>
      <w:r>
        <w:rPr>
          <w:rFonts w:hint="eastAsia" w:ascii="仿宋_GB2312" w:hAnsi="宋体" w:eastAsia="仿宋_GB2312"/>
          <w:sz w:val="28"/>
          <w:szCs w:val="28"/>
          <w:highlight w:val="none"/>
        </w:rPr>
        <w:t>：</w:t>
      </w:r>
      <w:r>
        <w:rPr>
          <w:rFonts w:ascii="仿宋_GB2312" w:hAnsi="宋体" w:eastAsia="仿宋_GB2312"/>
          <w:sz w:val="28"/>
          <w:szCs w:val="28"/>
          <w:highlight w:val="none"/>
        </w:rPr>
        <w:t>供应商应按供应商须知的要求提供主体资格证明材料及相关资质证明材料</w:t>
      </w:r>
      <w:r>
        <w:rPr>
          <w:rFonts w:hint="eastAsia" w:ascii="仿宋_GB2312" w:hAnsi="宋体" w:eastAsia="仿宋_GB2312"/>
          <w:sz w:val="28"/>
          <w:szCs w:val="28"/>
          <w:highlight w:val="none"/>
        </w:rPr>
        <w:t>。</w:t>
      </w:r>
      <w:r>
        <w:rPr>
          <w:rFonts w:hint="eastAsia" w:ascii="宋体" w:hAnsi="宋体"/>
          <w:b/>
          <w:bCs/>
          <w:sz w:val="28"/>
          <w:szCs w:val="28"/>
          <w:highlight w:val="none"/>
        </w:rPr>
        <w:t>（相关证明文件附后）</w:t>
      </w:r>
    </w:p>
    <w:p>
      <w:pPr>
        <w:adjustRightInd w:val="0"/>
        <w:snapToGrid w:val="0"/>
        <w:spacing w:line="360" w:lineRule="auto"/>
        <w:jc w:val="right"/>
        <w:rPr>
          <w:rFonts w:ascii="宋体" w:hAnsi="宋体" w:cs="宋体"/>
          <w:sz w:val="24"/>
          <w:szCs w:val="24"/>
          <w:highlight w:val="none"/>
          <w:lang w:val="en-GB"/>
        </w:rPr>
      </w:pPr>
      <w:bookmarkStart w:id="179" w:name="_Hlk59025866"/>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adjustRightInd w:val="0"/>
        <w:snapToGrid w:val="0"/>
        <w:spacing w:line="360" w:lineRule="auto"/>
        <w:jc w:val="left"/>
        <w:rPr>
          <w:rFonts w:ascii="宋体" w:hAnsi="宋体"/>
          <w:b/>
          <w:bCs/>
          <w:sz w:val="28"/>
          <w:szCs w:val="28"/>
          <w:highlight w:val="none"/>
        </w:rPr>
      </w:pPr>
      <w:r>
        <w:rPr>
          <w:rFonts w:hint="eastAsia" w:ascii="宋体" w:hAnsi="宋体"/>
          <w:b/>
          <w:bCs/>
          <w:sz w:val="28"/>
          <w:szCs w:val="28"/>
          <w:highlight w:val="none"/>
        </w:rPr>
        <w:t>3.2不得存在情形承诺函</w:t>
      </w:r>
    </w:p>
    <w:bookmarkEnd w:id="179"/>
    <w:p>
      <w:pPr>
        <w:adjustRightInd w:val="0"/>
        <w:snapToGrid w:val="0"/>
        <w:spacing w:line="360" w:lineRule="auto"/>
        <w:rPr>
          <w:rFonts w:ascii="宋体" w:hAnsi="宋体" w:cs="宋体"/>
          <w:sz w:val="24"/>
          <w:szCs w:val="24"/>
          <w:highlight w:val="none"/>
          <w:lang w:val="en-GB"/>
        </w:rPr>
      </w:pPr>
    </w:p>
    <w:p>
      <w:pPr>
        <w:adjustRightInd w:val="0"/>
        <w:snapToGrid w:val="0"/>
        <w:spacing w:line="360" w:lineRule="auto"/>
        <w:rPr>
          <w:rFonts w:ascii="宋体" w:hAnsi="宋体" w:cs="宋体"/>
          <w:sz w:val="24"/>
          <w:szCs w:val="24"/>
          <w:highlight w:val="none"/>
          <w:lang w:val="en-GB"/>
        </w:rPr>
      </w:pPr>
      <w:r>
        <w:rPr>
          <w:rFonts w:hint="eastAsia" w:ascii="宋体" w:hAnsi="宋体" w:cs="宋体"/>
          <w:sz w:val="24"/>
          <w:szCs w:val="24"/>
          <w:highlight w:val="none"/>
          <w:lang w:val="en-GB"/>
        </w:rPr>
        <w:t>致：</w:t>
      </w:r>
      <w:r>
        <w:rPr>
          <w:rFonts w:hint="eastAsia" w:ascii="宋体" w:hAnsi="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cs="宋体"/>
          <w:sz w:val="24"/>
          <w:szCs w:val="24"/>
          <w:highlight w:val="none"/>
          <w:lang w:val="en-GB"/>
        </w:rPr>
        <w:t>我方郑重承诺，在参与</w:t>
      </w:r>
      <w:r>
        <w:rPr>
          <w:rFonts w:hint="eastAsia" w:ascii="宋体" w:hAnsi="宋体" w:cs="宋体"/>
          <w:sz w:val="24"/>
          <w:szCs w:val="24"/>
          <w:highlight w:val="none"/>
          <w:u w:val="single"/>
          <w:lang w:val="en-GB" w:eastAsia="zh-CN"/>
        </w:rPr>
        <w:t>广州市净水有限公司2024年化验仪器设备第三方校准服务项目</w:t>
      </w:r>
      <w:r>
        <w:rPr>
          <w:rFonts w:hint="eastAsia" w:ascii="宋体" w:hAnsi="宋体" w:cs="宋体"/>
          <w:sz w:val="24"/>
          <w:szCs w:val="24"/>
          <w:highlight w:val="none"/>
          <w:u w:val="single"/>
          <w:lang w:val="en-GB"/>
        </w:rPr>
        <w:t>（项目编号： ******）</w:t>
      </w:r>
      <w:r>
        <w:rPr>
          <w:rFonts w:hint="eastAsia" w:ascii="宋体" w:hAnsi="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GB"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GB" w:eastAsia="zh-CN"/>
        </w:rPr>
        <w:t>1</w:t>
      </w:r>
      <w:r>
        <w:rPr>
          <w:rFonts w:hint="eastAsia" w:ascii="宋体" w:hAnsi="宋体" w:cs="宋体"/>
          <w:sz w:val="24"/>
          <w:szCs w:val="24"/>
          <w:highlight w:val="none"/>
          <w:lang w:val="en-GB"/>
        </w:rPr>
        <w:t>）其他禁止情形：</w:t>
      </w:r>
    </w:p>
    <w:p>
      <w:pPr>
        <w:adjustRightInd w:val="0"/>
        <w:snapToGrid w:val="0"/>
        <w:spacing w:line="360" w:lineRule="auto"/>
        <w:rPr>
          <w:rFonts w:ascii="宋体" w:hAnsi="宋体" w:cs="宋体"/>
          <w:b/>
          <w:sz w:val="24"/>
          <w:szCs w:val="24"/>
          <w:highlight w:val="none"/>
        </w:rPr>
      </w:pPr>
    </w:p>
    <w:p>
      <w:pPr>
        <w:adjustRightInd w:val="0"/>
        <w:snapToGrid w:val="0"/>
        <w:spacing w:line="360" w:lineRule="auto"/>
        <w:rPr>
          <w:rFonts w:ascii="宋体" w:hAnsi="宋体" w:cs="宋体"/>
          <w:b/>
          <w:sz w:val="24"/>
          <w:szCs w:val="24"/>
          <w:highlight w:val="none"/>
        </w:rPr>
      </w:pPr>
    </w:p>
    <w:p>
      <w:pPr>
        <w:adjustRightInd w:val="0"/>
        <w:snapToGrid w:val="0"/>
        <w:spacing w:line="360" w:lineRule="auto"/>
        <w:jc w:val="right"/>
        <w:rPr>
          <w:rFonts w:ascii="宋体" w:hAnsi="宋体" w:cs="宋体"/>
          <w:sz w:val="24"/>
          <w:szCs w:val="24"/>
          <w:highlight w:val="none"/>
          <w:lang w:val="en-GB"/>
        </w:rPr>
      </w:pP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jc w:val="left"/>
        <w:rPr>
          <w:rFonts w:ascii="宋体" w:hAnsi="宋体"/>
          <w:b/>
          <w:bCs/>
          <w:sz w:val="28"/>
          <w:szCs w:val="28"/>
          <w:highlight w:val="none"/>
        </w:rPr>
      </w:pPr>
      <w:r>
        <w:rPr>
          <w:rFonts w:hint="eastAsia" w:ascii="宋体" w:hAnsi="宋体"/>
          <w:b/>
          <w:bCs/>
          <w:sz w:val="28"/>
          <w:szCs w:val="28"/>
          <w:highlight w:val="none"/>
        </w:rPr>
        <w:t>4.拟投入本项目的项目负责人情况表</w:t>
      </w:r>
    </w:p>
    <w:p>
      <w:pPr>
        <w:pStyle w:val="2"/>
        <w:rPr>
          <w:rFonts w:ascii="仿宋_GB2312" w:eastAsia="仿宋_GB2312"/>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tcPr>
          <w:p>
            <w:pPr>
              <w:jc w:val="center"/>
              <w:rPr>
                <w:rFonts w:ascii="仿宋" w:hAnsi="仿宋" w:eastAsia="仿宋" w:cs="仿宋_GB2312"/>
                <w:b/>
                <w:sz w:val="28"/>
                <w:szCs w:val="28"/>
                <w:highlight w:val="none"/>
              </w:rPr>
            </w:pPr>
          </w:p>
        </w:tc>
        <w:tc>
          <w:tcPr>
            <w:tcW w:w="1613"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tcPr>
          <w:p>
            <w:pPr>
              <w:jc w:val="center"/>
              <w:rPr>
                <w:rFonts w:ascii="仿宋" w:hAnsi="仿宋" w:eastAsia="仿宋" w:cs="仿宋_GB2312"/>
                <w:b/>
                <w:sz w:val="28"/>
                <w:szCs w:val="28"/>
                <w:highlight w:val="none"/>
              </w:rPr>
            </w:pPr>
          </w:p>
        </w:tc>
        <w:tc>
          <w:tcPr>
            <w:tcW w:w="2198"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tcPr>
          <w:p>
            <w:pPr>
              <w:spacing w:line="360" w:lineRule="exact"/>
              <w:jc w:val="center"/>
              <w:rPr>
                <w:rFonts w:ascii="仿宋" w:hAnsi="仿宋" w:eastAsia="仿宋" w:cs="仿宋_GB2312"/>
                <w:b/>
                <w:sz w:val="28"/>
                <w:szCs w:val="28"/>
                <w:highlight w:val="none"/>
              </w:rPr>
            </w:pPr>
          </w:p>
        </w:tc>
        <w:tc>
          <w:tcPr>
            <w:tcW w:w="1613" w:type="dxa"/>
            <w:gridSpan w:val="2"/>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tcPr>
          <w:p>
            <w:pPr>
              <w:spacing w:line="360" w:lineRule="exact"/>
              <w:jc w:val="center"/>
              <w:rPr>
                <w:rFonts w:ascii="仿宋" w:hAnsi="仿宋" w:eastAsia="仿宋" w:cs="仿宋_GB2312"/>
                <w:b/>
                <w:sz w:val="28"/>
                <w:szCs w:val="28"/>
                <w:highlight w:val="none"/>
              </w:rPr>
            </w:pPr>
          </w:p>
        </w:tc>
        <w:tc>
          <w:tcPr>
            <w:tcW w:w="2198" w:type="dxa"/>
            <w:gridSpan w:val="2"/>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tcPr>
          <w:p>
            <w:pPr>
              <w:spacing w:line="360" w:lineRule="exact"/>
              <w:jc w:val="center"/>
              <w:rPr>
                <w:rFonts w:ascii="仿宋" w:hAnsi="仿宋" w:eastAsia="仿宋" w:cs="仿宋_GB2312"/>
                <w:b/>
                <w:sz w:val="28"/>
                <w:szCs w:val="28"/>
                <w:highlight w:val="none"/>
              </w:rPr>
            </w:pPr>
          </w:p>
        </w:tc>
        <w:tc>
          <w:tcPr>
            <w:tcW w:w="1613" w:type="dxa"/>
            <w:gridSpan w:val="2"/>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tcPr>
          <w:p>
            <w:pPr>
              <w:spacing w:line="360" w:lineRule="exact"/>
              <w:jc w:val="center"/>
              <w:rPr>
                <w:rFonts w:ascii="仿宋" w:hAnsi="仿宋" w:eastAsia="仿宋" w:cs="仿宋_GB2312"/>
                <w:b/>
                <w:sz w:val="28"/>
                <w:szCs w:val="28"/>
                <w:highlight w:val="none"/>
              </w:rPr>
            </w:pPr>
          </w:p>
        </w:tc>
        <w:tc>
          <w:tcPr>
            <w:tcW w:w="2198" w:type="dxa"/>
            <w:gridSpan w:val="2"/>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tcPr>
          <w:p>
            <w:pPr>
              <w:spacing w:line="360" w:lineRule="exact"/>
              <w:jc w:val="center"/>
              <w:rPr>
                <w:rFonts w:ascii="仿宋" w:hAnsi="仿宋" w:eastAsia="仿宋" w:cs="仿宋_GB2312"/>
                <w:b/>
                <w:sz w:val="28"/>
                <w:szCs w:val="28"/>
                <w:highlight w:val="none"/>
              </w:rPr>
            </w:pPr>
          </w:p>
        </w:tc>
        <w:tc>
          <w:tcPr>
            <w:tcW w:w="2198" w:type="dxa"/>
            <w:gridSpan w:val="2"/>
            <w:noWra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tcPr>
          <w:p>
            <w:pPr>
              <w:jc w:val="center"/>
              <w:rPr>
                <w:rFonts w:ascii="仿宋" w:hAnsi="仿宋" w:eastAsia="仿宋" w:cs="仿宋_GB2312"/>
                <w:b/>
                <w:sz w:val="28"/>
                <w:szCs w:val="28"/>
                <w:highlight w:val="none"/>
              </w:rPr>
            </w:pPr>
          </w:p>
        </w:tc>
        <w:tc>
          <w:tcPr>
            <w:tcW w:w="2198"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453" w:type="dxa"/>
            <w:gridSpan w:val="2"/>
            <w:noWra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453" w:type="dxa"/>
            <w:gridSpan w:val="2"/>
            <w:noWra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993" w:type="dxa"/>
            <w:gridSpan w:val="2"/>
            <w:noWrap/>
          </w:tcPr>
          <w:p>
            <w:pPr>
              <w:jc w:val="center"/>
              <w:rPr>
                <w:rFonts w:ascii="仿宋" w:hAnsi="仿宋" w:eastAsia="仿宋" w:cs="仿宋_GB2312"/>
                <w:b/>
                <w:sz w:val="28"/>
                <w:szCs w:val="28"/>
                <w:highlight w:val="none"/>
              </w:rPr>
            </w:pPr>
          </w:p>
        </w:tc>
        <w:tc>
          <w:tcPr>
            <w:tcW w:w="1453" w:type="dxa"/>
            <w:gridSpan w:val="2"/>
            <w:noWrap/>
          </w:tcPr>
          <w:p>
            <w:pPr>
              <w:jc w:val="center"/>
              <w:rPr>
                <w:rFonts w:ascii="仿宋" w:hAnsi="仿宋" w:eastAsia="仿宋" w:cs="仿宋_GB2312"/>
                <w:b/>
                <w:sz w:val="28"/>
                <w:szCs w:val="28"/>
                <w:highlight w:val="none"/>
              </w:rPr>
            </w:pPr>
          </w:p>
        </w:tc>
      </w:tr>
    </w:tbl>
    <w:p>
      <w:pPr>
        <w:pStyle w:val="2"/>
        <w:rPr>
          <w:rFonts w:ascii="仿宋_GB2312" w:eastAsia="仿宋_GB2312"/>
          <w:color w:val="auto"/>
          <w:sz w:val="28"/>
          <w:szCs w:val="28"/>
          <w:highlight w:val="none"/>
        </w:rPr>
      </w:pP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pStyle w:val="2"/>
        <w:rPr>
          <w:rFonts w:ascii="仿宋_GB2312" w:eastAsia="仿宋_GB2312"/>
          <w:color w:val="auto"/>
          <w:sz w:val="28"/>
          <w:szCs w:val="28"/>
          <w:highlight w:val="none"/>
        </w:rPr>
        <w:sectPr>
          <w:headerReference r:id="rId10" w:type="first"/>
          <w:footerReference r:id="rId13" w:type="first"/>
          <w:headerReference r:id="rId9" w:type="default"/>
          <w:footerReference r:id="rId11" w:type="default"/>
          <w:footerReference r:id="rId12"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708" w:num="1"/>
          <w:titlePg/>
          <w:docGrid w:type="lines" w:linePitch="312" w:charSpace="0"/>
        </w:sectPr>
      </w:pPr>
    </w:p>
    <w:p>
      <w:pPr>
        <w:pStyle w:val="6"/>
        <w:spacing w:before="0" w:after="0" w:line="240" w:lineRule="auto"/>
        <w:rPr>
          <w:rFonts w:hint="eastAsia" w:ascii="宋体" w:hAnsi="宋体"/>
          <w:sz w:val="28"/>
          <w:szCs w:val="28"/>
          <w:highlight w:val="none"/>
        </w:rPr>
      </w:pPr>
      <w:bookmarkStart w:id="180" w:name="_Toc19423"/>
      <w:bookmarkStart w:id="181" w:name="_Toc32430"/>
    </w:p>
    <w:p>
      <w:pPr>
        <w:rPr>
          <w:rFonts w:hint="eastAsia" w:ascii="宋体" w:hAnsi="宋体"/>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ind w:firstLine="0"/>
        <w:rPr>
          <w:rFonts w:hint="eastAsia"/>
          <w:sz w:val="28"/>
          <w:szCs w:val="28"/>
          <w:highlight w:val="none"/>
        </w:rPr>
        <w:sectPr>
          <w:type w:val="continuous"/>
          <w:pgSz w:w="11906" w:h="16838"/>
          <w:pgMar w:top="1089" w:right="1469" w:bottom="1089" w:left="1077" w:header="851" w:footer="992" w:gutter="0"/>
          <w:pgBorders>
            <w:top w:val="none" w:sz="0" w:space="0"/>
            <w:left w:val="none" w:sz="0" w:space="0"/>
            <w:bottom w:val="none" w:sz="0" w:space="0"/>
            <w:right w:val="none" w:sz="0" w:space="0"/>
          </w:pgBorders>
          <w:cols w:space="708" w:num="1"/>
          <w:docGrid w:linePitch="312" w:charSpace="0"/>
        </w:sectPr>
      </w:pPr>
    </w:p>
    <w:p>
      <w:pPr>
        <w:pStyle w:val="6"/>
        <w:spacing w:before="0" w:after="0" w:line="240" w:lineRule="auto"/>
        <w:rPr>
          <w:highlight w:val="none"/>
        </w:rPr>
      </w:pPr>
      <w:r>
        <w:rPr>
          <w:rFonts w:hint="eastAsia" w:ascii="宋体" w:hAnsi="宋体"/>
          <w:sz w:val="28"/>
          <w:szCs w:val="28"/>
          <w:highlight w:val="none"/>
        </w:rPr>
        <w:t>5.报价表</w:t>
      </w:r>
      <w:bookmarkEnd w:id="180"/>
      <w:bookmarkEnd w:id="181"/>
    </w:p>
    <w:p>
      <w:pPr>
        <w:rPr>
          <w:highlight w:val="none"/>
        </w:rPr>
      </w:pPr>
    </w:p>
    <w:p>
      <w:pPr>
        <w:pStyle w:val="23"/>
        <w:rPr>
          <w:highlight w:val="none"/>
        </w:rPr>
        <w:sectPr>
          <w:type w:val="continuous"/>
          <w:pgSz w:w="11906" w:h="16838"/>
          <w:pgMar w:top="1089" w:right="1469" w:bottom="1089" w:left="1077" w:header="851" w:footer="992" w:gutter="0"/>
          <w:pgBorders>
            <w:top w:val="none" w:sz="0" w:space="0"/>
            <w:left w:val="none" w:sz="0" w:space="0"/>
            <w:bottom w:val="none" w:sz="0" w:space="0"/>
            <w:right w:val="none" w:sz="0" w:space="0"/>
          </w:pgBorders>
          <w:cols w:space="708" w:num="1"/>
          <w:docGrid w:linePitch="312" w:charSpace="0"/>
        </w:sectPr>
      </w:pPr>
    </w:p>
    <w:p>
      <w:pPr>
        <w:keepNext w:val="0"/>
        <w:keepLines w:val="0"/>
        <w:widowControl/>
        <w:suppressLineNumbers w:val="0"/>
        <w:jc w:val="center"/>
        <w:textAlignment w:val="center"/>
        <w:rPr>
          <w:rFonts w:hint="eastAsia" w:ascii="仿宋" w:hAnsi="仿宋" w:eastAsia="仿宋" w:cs="仿宋"/>
          <w:b/>
          <w:color w:val="000000"/>
          <w:kern w:val="0"/>
          <w:sz w:val="28"/>
          <w:szCs w:val="28"/>
          <w:highlight w:val="none"/>
          <w:u w:val="none"/>
          <w:lang w:bidi="ar"/>
        </w:rPr>
      </w:pPr>
      <w:r>
        <w:rPr>
          <w:rFonts w:hint="eastAsia" w:ascii="仿宋" w:hAnsi="仿宋" w:eastAsia="仿宋" w:cs="仿宋"/>
          <w:b/>
          <w:color w:val="000000"/>
          <w:kern w:val="0"/>
          <w:sz w:val="28"/>
          <w:szCs w:val="28"/>
          <w:highlight w:val="none"/>
          <w:u w:val="none"/>
          <w:lang w:bidi="ar"/>
        </w:rPr>
        <w:t>广州市净水有限公司2024年化验仪器设备第三方校准</w:t>
      </w:r>
    </w:p>
    <w:p>
      <w:pPr>
        <w:pStyle w:val="23"/>
        <w:widowControl w:val="0"/>
        <w:numPr>
          <w:ilvl w:val="0"/>
          <w:numId w:val="0"/>
        </w:numPr>
        <w:spacing w:after="120"/>
        <w:jc w:val="center"/>
        <w:rPr>
          <w:rFonts w:hint="default" w:ascii="仿宋" w:hAnsi="仿宋" w:eastAsia="仿宋" w:cs="仿宋"/>
          <w:sz w:val="28"/>
          <w:szCs w:val="28"/>
          <w:highlight w:val="none"/>
          <w:lang w:val="en-US"/>
        </w:rPr>
      </w:pPr>
      <w:r>
        <w:rPr>
          <w:rFonts w:hint="eastAsia" w:ascii="仿宋" w:hAnsi="仿宋" w:eastAsia="仿宋" w:cs="仿宋"/>
          <w:b/>
          <w:color w:val="000000"/>
          <w:kern w:val="0"/>
          <w:sz w:val="28"/>
          <w:szCs w:val="28"/>
          <w:highlight w:val="none"/>
          <w:u w:val="none"/>
          <w:lang w:bidi="ar"/>
        </w:rPr>
        <w:t>服务项目</w:t>
      </w:r>
      <w:r>
        <w:rPr>
          <w:rFonts w:hint="eastAsia" w:ascii="仿宋" w:hAnsi="仿宋" w:eastAsia="仿宋" w:cs="仿宋"/>
          <w:b/>
          <w:i w:val="0"/>
          <w:color w:val="000000"/>
          <w:kern w:val="0"/>
          <w:sz w:val="28"/>
          <w:szCs w:val="28"/>
          <w:highlight w:val="none"/>
          <w:u w:val="none"/>
          <w:lang w:val="en-US" w:eastAsia="zh-CN" w:bidi="ar"/>
        </w:rPr>
        <w:t>报价表</w:t>
      </w:r>
    </w:p>
    <w:tbl>
      <w:tblPr>
        <w:tblStyle w:val="24"/>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3046"/>
        <w:gridCol w:w="1369"/>
        <w:gridCol w:w="1237"/>
        <w:gridCol w:w="1369"/>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blHeader/>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仪器设备种类</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净水公司合计需求量</w:t>
            </w:r>
          </w:p>
        </w:tc>
        <w:tc>
          <w:tcPr>
            <w:tcW w:w="12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单价</w:t>
            </w:r>
            <w:r>
              <w:rPr>
                <w:rFonts w:hint="eastAsia" w:ascii="仿宋_GB2312" w:hAnsi="仿宋_GB2312" w:eastAsia="仿宋_GB2312" w:cs="仿宋_GB2312"/>
                <w:b/>
                <w:bCs/>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bCs/>
                <w:i w:val="0"/>
                <w:iCs w:val="0"/>
                <w:color w:val="000000"/>
                <w:kern w:val="0"/>
                <w:sz w:val="21"/>
                <w:szCs w:val="21"/>
                <w:highlight w:val="none"/>
                <w:u w:val="none"/>
                <w:lang w:val="en-US" w:eastAsia="zh-CN" w:bidi="ar"/>
              </w:rPr>
              <w:t>（元）</w:t>
            </w:r>
          </w:p>
        </w:tc>
        <w:tc>
          <w:tcPr>
            <w:tcW w:w="13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分项小计</w:t>
            </w:r>
            <w:r>
              <w:rPr>
                <w:rFonts w:hint="eastAsia" w:ascii="仿宋_GB2312" w:hAnsi="仿宋_GB2312" w:eastAsia="仿宋_GB2312" w:cs="仿宋_GB2312"/>
                <w:b/>
                <w:bCs/>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bCs/>
                <w:i w:val="0"/>
                <w:iCs w:val="0"/>
                <w:color w:val="000000"/>
                <w:kern w:val="0"/>
                <w:sz w:val="21"/>
                <w:szCs w:val="21"/>
                <w:highlight w:val="none"/>
                <w:u w:val="none"/>
                <w:lang w:val="en-US" w:eastAsia="zh-CN" w:bidi="ar"/>
              </w:rPr>
              <w:t>（元）</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电子天平</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砝码</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显微镜</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可见光分光光度计/比色计/水质分析仪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5</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紫外可见分光光度计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40</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玻璃仪器（移液管、容量瓶、比色管、滴定管、量筒、滴定管）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2465</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移液器/瓶口分液器/数字滴定仪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264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化学需氧量 COD测定仪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COD加热消解器</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10</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COD消解装置</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nil"/>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酸度计（pH计）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12</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溶解氧测定仪（BOD测定仪）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28</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13</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浊度计/ss测定仪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混合液污泥浓度(MLSS) 检测仪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电导率仪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16</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水质分析仪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nil"/>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17</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余氯测定仪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18</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纯水机</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19</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纯水机</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20</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净化工作台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21</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箱式电阻炉（马弗炉）</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22</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电热恒温干燥箱</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23</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生化培养箱</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24</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电热恒温水浴锅</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恒温振荡器</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26</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蒸汽灭菌器</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48</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27</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压力表</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196</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28</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安全阀</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76</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29</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温湿度计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189</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30</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（医用冷藏箱）表面温度计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31</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卤素水分测定仪/水分分析仪/红外水份测定仪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32</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离心机</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33</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微波消解仪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34</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微量进样器</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35</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原子荧光光度计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36</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离子色谱仪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37</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自动电位滴定仪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38</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气质联用仪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39</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电感耦合等离子体发射光谱仪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40</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电感耦合等离子体质谱仪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41</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全自动流动注射仪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42</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红外分光测油仪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43</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滤光片</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44</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密度计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45</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多气体检测仪</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46</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声级计/噪声计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合计（含税  % ）</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3764</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_GB2312" w:hAnsi="仿宋_GB2312" w:eastAsia="仿宋_GB2312" w:cs="仿宋_GB2312"/>
                <w:i w:val="0"/>
                <w:iCs w:val="0"/>
                <w:color w:val="000000"/>
                <w:sz w:val="21"/>
                <w:szCs w:val="21"/>
                <w:highlight w:val="none"/>
                <w:u w:val="none"/>
              </w:rPr>
            </w:pPr>
          </w:p>
        </w:tc>
      </w:tr>
    </w:tbl>
    <w:p>
      <w:pPr>
        <w:pStyle w:val="23"/>
        <w:widowControl w:val="0"/>
        <w:numPr>
          <w:ilvl w:val="0"/>
          <w:numId w:val="0"/>
        </w:numPr>
        <w:spacing w:after="0"/>
        <w:jc w:val="both"/>
        <w:rPr>
          <w:rFonts w:hint="eastAsia" w:ascii="仿宋" w:hAnsi="仿宋" w:eastAsia="仿宋" w:cs="仿宋"/>
          <w:highlight w:val="none"/>
        </w:rPr>
      </w:pPr>
    </w:p>
    <w:p>
      <w:pPr>
        <w:pStyle w:val="23"/>
        <w:widowControl w:val="0"/>
        <w:numPr>
          <w:ilvl w:val="0"/>
          <w:numId w:val="0"/>
        </w:numPr>
        <w:spacing w:after="0"/>
        <w:jc w:val="both"/>
        <w:rPr>
          <w:rFonts w:hint="eastAsia" w:ascii="仿宋" w:hAnsi="仿宋" w:eastAsia="仿宋" w:cs="仿宋"/>
          <w:highlight w:val="none"/>
        </w:rPr>
      </w:pPr>
    </w:p>
    <w:p>
      <w:pPr>
        <w:pStyle w:val="23"/>
        <w:widowControl w:val="0"/>
        <w:numPr>
          <w:ilvl w:val="0"/>
          <w:numId w:val="0"/>
        </w:numPr>
        <w:spacing w:after="0"/>
        <w:jc w:val="both"/>
        <w:rPr>
          <w:rFonts w:hint="eastAsia" w:ascii="仿宋" w:hAnsi="仿宋" w:eastAsia="仿宋" w:cs="仿宋"/>
          <w:highlight w:val="none"/>
        </w:rPr>
      </w:pPr>
    </w:p>
    <w:tbl>
      <w:tblPr>
        <w:tblStyle w:val="24"/>
        <w:tblW w:w="8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3027"/>
        <w:gridCol w:w="1350"/>
        <w:gridCol w:w="1257"/>
        <w:gridCol w:w="1387"/>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blHeader/>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仪器设备种类</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从化公司需求量</w:t>
            </w:r>
          </w:p>
        </w:tc>
        <w:tc>
          <w:tcPr>
            <w:tcW w:w="12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单价</w:t>
            </w:r>
            <w:r>
              <w:rPr>
                <w:rFonts w:hint="eastAsia" w:ascii="仿宋_GB2312" w:hAnsi="仿宋_GB2312" w:eastAsia="仿宋_GB2312" w:cs="仿宋_GB2312"/>
                <w:b/>
                <w:bCs/>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bCs/>
                <w:i w:val="0"/>
                <w:iCs w:val="0"/>
                <w:color w:val="000000"/>
                <w:kern w:val="0"/>
                <w:sz w:val="21"/>
                <w:szCs w:val="21"/>
                <w:highlight w:val="none"/>
                <w:u w:val="none"/>
                <w:lang w:val="en-US" w:eastAsia="zh-CN" w:bidi="ar"/>
              </w:rPr>
              <w:t>（元）</w:t>
            </w:r>
          </w:p>
        </w:tc>
        <w:tc>
          <w:tcPr>
            <w:tcW w:w="13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分项小计</w:t>
            </w:r>
            <w:r>
              <w:rPr>
                <w:rFonts w:hint="eastAsia" w:ascii="仿宋_GB2312" w:hAnsi="仿宋_GB2312" w:eastAsia="仿宋_GB2312" w:cs="仿宋_GB2312"/>
                <w:b/>
                <w:bCs/>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bCs/>
                <w:i w:val="0"/>
                <w:iCs w:val="0"/>
                <w:color w:val="000000"/>
                <w:kern w:val="0"/>
                <w:sz w:val="21"/>
                <w:szCs w:val="21"/>
                <w:highlight w:val="none"/>
                <w:u w:val="none"/>
                <w:lang w:val="en-US" w:eastAsia="zh-CN" w:bidi="ar"/>
              </w:rPr>
              <w:t>（元）</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电子天平</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砝码</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显微镜</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可见光分光光度计/比色计/水质分析仪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5</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紫外可见分光光度计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玻璃仪器（移液管、容量瓶、比色管、滴定管、量筒、滴定管）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107</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移液器/瓶口分液器/数字滴定仪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化学需氧量 COD测定仪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COD加热消解器</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COD消解装置</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nil"/>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酸度计（pH计）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12</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溶解氧测定仪（BOD测定仪）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13</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浊度计/ss测定仪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混合液污泥浓度(MLSS) 检测仪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电导率仪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16</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水质分析仪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nil"/>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17</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余氯测定仪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18</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纯水机</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19</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纯水机</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20</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净化工作台</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21</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箱式电阻炉（马弗炉）</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22</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电热恒温干燥箱</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23</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生化培养箱</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24</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电热恒温水浴锅</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恒温振荡器</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26</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蒸汽灭菌器</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27</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压力表</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28</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安全阀</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29</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温湿度计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30</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（医用冷藏箱）表面温度计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31</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卤素水分测定仪/水分分析仪/红外水份测定仪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32</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离心机</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33</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微波消解仪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34</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微量进样器</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35</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原子荧光光度计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36</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离子色谱仪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37</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自动电位滴定仪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38</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气质联用仪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39</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电感耦合等离子体发射光谱仪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40</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电感耦合等离子体质谱仪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41</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全自动流动注射仪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42</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红外分光测油仪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43</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滤光片</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44</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密度计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45</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多气体检测仪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46</w:t>
            </w:r>
          </w:p>
        </w:tc>
        <w:tc>
          <w:tcPr>
            <w:tcW w:w="3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声级计/噪声计</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0</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含税   % ，合计（元）</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148</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1"/>
                <w:szCs w:val="21"/>
                <w:highlight w:val="none"/>
                <w:u w:val="none"/>
              </w:rPr>
            </w:pPr>
          </w:p>
        </w:tc>
      </w:tr>
    </w:tbl>
    <w:p>
      <w:pPr>
        <w:pStyle w:val="23"/>
        <w:keepNext w:val="0"/>
        <w:keepLines w:val="0"/>
        <w:pageBreakBefore w:val="0"/>
        <w:widowControl w:val="0"/>
        <w:numPr>
          <w:ilvl w:val="0"/>
          <w:numId w:val="0"/>
        </w:numPr>
        <w:kinsoku/>
        <w:wordWrap/>
        <w:overflowPunct/>
        <w:topLinePunct w:val="0"/>
        <w:autoSpaceDE/>
        <w:autoSpaceDN/>
        <w:bidi w:val="0"/>
        <w:adjustRightInd/>
        <w:snapToGrid/>
        <w:spacing w:after="0"/>
        <w:jc w:val="both"/>
        <w:textAlignment w:val="auto"/>
        <w:rPr>
          <w:rFonts w:hint="eastAsia" w:ascii="仿宋" w:hAnsi="仿宋" w:eastAsia="仿宋" w:cs="仿宋"/>
          <w:highlight w:val="none"/>
        </w:rPr>
      </w:pPr>
    </w:p>
    <w:p>
      <w:pPr>
        <w:pStyle w:val="11"/>
        <w:keepNext w:val="0"/>
        <w:keepLines w:val="0"/>
        <w:pageBreakBefore w:val="0"/>
        <w:widowControl w:val="0"/>
        <w:kinsoku/>
        <w:wordWrap/>
        <w:overflowPunct/>
        <w:topLinePunct w:val="0"/>
        <w:autoSpaceDE/>
        <w:autoSpaceDN/>
        <w:bidi w:val="0"/>
        <w:adjustRightInd/>
        <w:snapToGrid/>
        <w:spacing w:line="240" w:lineRule="auto"/>
        <w:ind w:left="0" w:hanging="480" w:hangingChars="200"/>
        <w:textAlignment w:val="auto"/>
        <w:rPr>
          <w:rFonts w:hint="default"/>
          <w:sz w:val="24"/>
          <w:szCs w:val="24"/>
          <w:highlight w:val="none"/>
          <w:lang w:val="en-US" w:eastAsia="zh-CN"/>
        </w:rPr>
      </w:pPr>
      <w:r>
        <w:rPr>
          <w:rFonts w:hint="eastAsia"/>
          <w:sz w:val="24"/>
          <w:szCs w:val="24"/>
          <w:highlight w:val="none"/>
          <w:lang w:val="en-US" w:eastAsia="zh-CN"/>
        </w:rPr>
        <w:t>注：1.以上报价表无工程量的无需报价；</w:t>
      </w:r>
      <w:r>
        <w:rPr>
          <w:rFonts w:hint="eastAsia"/>
          <w:sz w:val="24"/>
          <w:szCs w:val="24"/>
          <w:highlight w:val="none"/>
          <w:lang w:val="en-US" w:eastAsia="zh-CN"/>
        </w:rPr>
        <w:br w:type="textWrapping"/>
      </w:r>
      <w:r>
        <w:rPr>
          <w:rFonts w:hint="eastAsia"/>
          <w:sz w:val="24"/>
          <w:szCs w:val="24"/>
          <w:highlight w:val="none"/>
          <w:lang w:val="en-US" w:eastAsia="zh-CN"/>
        </w:rPr>
        <w:t>2.以上报价表相同检测项目单价报价须保持一致，如不一致统一以较低单价计算，修正总价。</w:t>
      </w:r>
    </w:p>
    <w:p>
      <w:pPr>
        <w:pStyle w:val="11"/>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sz w:val="24"/>
          <w:szCs w:val="24"/>
          <w:highlight w:val="none"/>
          <w:lang w:val="en-US" w:eastAsia="zh-CN"/>
        </w:rPr>
      </w:pPr>
      <w:r>
        <w:rPr>
          <w:rFonts w:hint="eastAsia"/>
          <w:sz w:val="24"/>
          <w:szCs w:val="24"/>
          <w:highlight w:val="none"/>
          <w:lang w:val="en-US" w:eastAsia="zh-CN"/>
        </w:rPr>
        <w:t>供应商名称（加盖公章）：</w:t>
      </w:r>
    </w:p>
    <w:p>
      <w:pPr>
        <w:pStyle w:val="11"/>
        <w:keepNext w:val="0"/>
        <w:keepLines w:val="0"/>
        <w:pageBreakBefore w:val="0"/>
        <w:widowControl w:val="0"/>
        <w:kinsoku/>
        <w:wordWrap/>
        <w:overflowPunct/>
        <w:topLinePunct w:val="0"/>
        <w:autoSpaceDE/>
        <w:autoSpaceDN/>
        <w:bidi w:val="0"/>
        <w:adjustRightInd/>
        <w:snapToGrid/>
        <w:spacing w:line="240" w:lineRule="auto"/>
        <w:jc w:val="right"/>
        <w:textAlignment w:val="auto"/>
        <w:rPr>
          <w:highlight w:val="none"/>
        </w:rPr>
      </w:pPr>
      <w:r>
        <w:rPr>
          <w:rFonts w:hint="eastAsia"/>
          <w:highlight w:val="none"/>
          <w:lang w:val="en-US" w:eastAsia="zh-CN"/>
        </w:rPr>
        <w:t xml:space="preserve"> </w:t>
      </w:r>
      <w:r>
        <w:rPr>
          <w:rFonts w:hint="eastAsia" w:ascii="宋体" w:hAnsi="宋体" w:cs="宋体"/>
          <w:sz w:val="24"/>
          <w:szCs w:val="24"/>
          <w:highlight w:val="none"/>
          <w:lang w:val="en-GB"/>
        </w:rPr>
        <w:t xml:space="preserve">年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月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日</w:t>
      </w:r>
    </w:p>
    <w:p>
      <w:pPr>
        <w:pStyle w:val="2"/>
        <w:ind w:firstLine="0"/>
        <w:rPr>
          <w:rFonts w:hint="eastAsia" w:ascii="仿宋" w:hAnsi="仿宋" w:eastAsia="仿宋" w:cs="仿宋"/>
          <w:sz w:val="28"/>
          <w:szCs w:val="28"/>
          <w:highlight w:val="none"/>
          <w:lang w:val="zh-CN"/>
        </w:rPr>
      </w:pPr>
    </w:p>
    <w:tbl>
      <w:tblPr>
        <w:tblStyle w:val="24"/>
        <w:tblW w:w="9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3"/>
        <w:gridCol w:w="3011"/>
        <w:gridCol w:w="3589"/>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909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color w:val="000000"/>
                <w:kern w:val="0"/>
                <w:sz w:val="24"/>
                <w:szCs w:val="24"/>
                <w:highlight w:val="none"/>
                <w:lang w:bidi="ar"/>
              </w:rPr>
            </w:pPr>
            <w:r>
              <w:rPr>
                <w:rFonts w:hint="eastAsia" w:ascii="宋体" w:hAnsi="宋体" w:eastAsia="宋体" w:cs="宋体"/>
                <w:b/>
                <w:color w:val="000000"/>
                <w:kern w:val="0"/>
                <w:sz w:val="24"/>
                <w:szCs w:val="24"/>
                <w:highlight w:val="none"/>
                <w:lang w:bidi="ar"/>
              </w:rPr>
              <w:t>广州市净水有限公司2024年化验仪器设备第三方校准</w:t>
            </w:r>
          </w:p>
          <w:p>
            <w:pPr>
              <w:keepNext w:val="0"/>
              <w:keepLines w:val="0"/>
              <w:widowControl/>
              <w:suppressLineNumbers w:val="0"/>
              <w:spacing w:line="240" w:lineRule="auto"/>
              <w:jc w:val="center"/>
              <w:textAlignment w:val="center"/>
              <w:rPr>
                <w:rFonts w:ascii="仿宋" w:hAnsi="仿宋" w:eastAsia="仿宋" w:cs="仿宋"/>
                <w:b/>
                <w:i w:val="0"/>
                <w:color w:val="000000"/>
                <w:sz w:val="24"/>
                <w:szCs w:val="24"/>
                <w:highlight w:val="none"/>
                <w:u w:val="none"/>
              </w:rPr>
            </w:pPr>
            <w:r>
              <w:rPr>
                <w:rFonts w:hint="eastAsia" w:ascii="宋体" w:hAnsi="宋体" w:eastAsia="宋体" w:cs="宋体"/>
                <w:b/>
                <w:color w:val="000000"/>
                <w:kern w:val="0"/>
                <w:sz w:val="24"/>
                <w:szCs w:val="24"/>
                <w:highlight w:val="none"/>
                <w:lang w:bidi="ar"/>
              </w:rPr>
              <w:t>服务项目</w:t>
            </w:r>
            <w:r>
              <w:rPr>
                <w:rFonts w:hint="eastAsia" w:ascii="宋体" w:hAnsi="宋体" w:eastAsia="宋体" w:cs="宋体"/>
                <w:b/>
                <w:i w:val="0"/>
                <w:color w:val="000000"/>
                <w:kern w:val="0"/>
                <w:sz w:val="24"/>
                <w:szCs w:val="24"/>
                <w:highlight w:val="none"/>
                <w:u w:val="none"/>
                <w:lang w:val="en-US" w:eastAsia="zh-CN" w:bidi="ar"/>
              </w:rPr>
              <w:t>报价统计表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公司名称</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报价（元）</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水质中心</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猎德</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大坦沙</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沥滘</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龙归</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大沙地</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石井</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均禾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石井净</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竹料</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京溪</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江高</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大观</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健康城</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西朗</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15</w:t>
            </w:r>
          </w:p>
        </w:tc>
        <w:tc>
          <w:tcPr>
            <w:tcW w:w="3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从化公司</w:t>
            </w:r>
          </w:p>
        </w:tc>
        <w:tc>
          <w:tcPr>
            <w:tcW w:w="3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合计（含税  %）</w:t>
            </w:r>
          </w:p>
        </w:tc>
        <w:tc>
          <w:tcPr>
            <w:tcW w:w="358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bl>
    <w:p>
      <w:pPr>
        <w:pStyle w:val="2"/>
        <w:ind w:left="0" w:leftChars="0" w:firstLine="0" w:firstLineChars="0"/>
        <w:rPr>
          <w:rFonts w:hint="eastAsia" w:ascii="仿宋" w:hAnsi="仿宋" w:eastAsia="仿宋" w:cs="仿宋"/>
          <w:sz w:val="28"/>
          <w:szCs w:val="28"/>
          <w:highlight w:val="none"/>
          <w:lang w:val="zh-CN"/>
        </w:rPr>
      </w:pPr>
    </w:p>
    <w:p>
      <w:pPr>
        <w:adjustRightInd w:val="0"/>
        <w:snapToGrid w:val="0"/>
        <w:ind w:firstLine="480" w:firstLineChars="200"/>
        <w:rPr>
          <w:highlight w:val="none"/>
        </w:rPr>
      </w:pPr>
      <w:r>
        <w:rPr>
          <w:rFonts w:hint="eastAsia" w:ascii="仿宋_GB2312" w:hAnsi="宋体" w:eastAsia="仿宋_GB2312"/>
          <w:sz w:val="24"/>
          <w:szCs w:val="24"/>
          <w:highlight w:val="none"/>
        </w:rPr>
        <w:t>注：若分项费用的计算依据、过程和公式不便在表中表述，可单独另附表格或描述进行说明。</w:t>
      </w:r>
    </w:p>
    <w:p>
      <w:pPr>
        <w:pStyle w:val="11"/>
        <w:rPr>
          <w:rFonts w:hint="eastAsia"/>
          <w:highlight w:val="none"/>
        </w:rPr>
      </w:pPr>
      <w:r>
        <w:rPr>
          <w:rFonts w:hint="eastAsia"/>
          <w:highlight w:val="none"/>
        </w:rPr>
        <w:t xml:space="preserve">                                                        </w:t>
      </w:r>
      <w:r>
        <w:rPr>
          <w:rFonts w:hint="eastAsia"/>
          <w:sz w:val="24"/>
          <w:szCs w:val="24"/>
          <w:highlight w:val="none"/>
        </w:rPr>
        <w:t xml:space="preserve"> 供应商名称（加盖公章）：</w:t>
      </w:r>
    </w:p>
    <w:p>
      <w:pPr>
        <w:adjustRightInd w:val="0"/>
        <w:snapToGrid w:val="0"/>
        <w:spacing w:line="360" w:lineRule="auto"/>
        <w:jc w:val="right"/>
        <w:rPr>
          <w:rFonts w:hint="eastAsia" w:ascii="宋体" w:hAnsi="宋体" w:cs="宋体"/>
          <w:sz w:val="24"/>
          <w:szCs w:val="24"/>
          <w:highlight w:val="none"/>
          <w:lang w:val="en-GB"/>
        </w:rPr>
      </w:pPr>
      <w:r>
        <w:rPr>
          <w:rFonts w:hint="eastAsia"/>
          <w:highlight w:val="none"/>
        </w:rPr>
        <w:t xml:space="preserve">                                                               </w:t>
      </w:r>
      <w:r>
        <w:rPr>
          <w:rFonts w:hint="eastAsia" w:ascii="宋体" w:hAnsi="宋体" w:cs="宋体"/>
          <w:sz w:val="24"/>
          <w:szCs w:val="24"/>
          <w:highlight w:val="none"/>
          <w:lang w:val="en-GB"/>
        </w:rPr>
        <w:t xml:space="preserve">年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月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日</w:t>
      </w:r>
    </w:p>
    <w:p>
      <w:pPr>
        <w:rPr>
          <w:highlight w:val="none"/>
        </w:rPr>
        <w:sectPr>
          <w:type w:val="continuous"/>
          <w:pgSz w:w="11906" w:h="16838"/>
          <w:pgMar w:top="1089" w:right="1469" w:bottom="1089" w:left="1077" w:header="851" w:footer="992" w:gutter="0"/>
          <w:pgBorders>
            <w:top w:val="none" w:sz="0" w:space="0"/>
            <w:left w:val="none" w:sz="0" w:space="0"/>
            <w:bottom w:val="none" w:sz="0" w:space="0"/>
            <w:right w:val="none" w:sz="0" w:space="0"/>
          </w:pgBorders>
          <w:cols w:space="708" w:num="1"/>
          <w:docGrid w:linePitch="312" w:charSpace="0"/>
        </w:sectPr>
      </w:pPr>
    </w:p>
    <w:p>
      <w:pPr>
        <w:pStyle w:val="56"/>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6.CNAS证明</w:t>
      </w:r>
    </w:p>
    <w:p>
      <w:pPr>
        <w:ind w:firstLine="560" w:firstLineChars="200"/>
        <w:rPr>
          <w:rFonts w:hint="eastAsia" w:ascii="仿宋_GB2312" w:hAnsi="仿宋_GB2312" w:eastAsia="仿宋" w:cs="仿宋_GB2312"/>
          <w:b/>
          <w:sz w:val="28"/>
          <w:szCs w:val="28"/>
          <w:highlight w:val="none"/>
          <w:lang w:eastAsia="zh-CN"/>
        </w:rPr>
      </w:pPr>
      <w:r>
        <w:rPr>
          <w:rFonts w:hint="eastAsia" w:ascii="仿宋" w:hAnsi="仿宋" w:eastAsia="仿宋" w:cs="仿宋"/>
          <w:b/>
          <w:sz w:val="28"/>
          <w:szCs w:val="28"/>
          <w:highlight w:val="none"/>
        </w:rPr>
        <w:t>提供计量认证资质复印件（</w:t>
      </w:r>
      <w:r>
        <w:rPr>
          <w:rFonts w:hint="eastAsia" w:ascii="仿宋" w:hAnsi="仿宋" w:eastAsia="仿宋" w:cs="仿宋"/>
          <w:b/>
          <w:color w:val="000000"/>
          <w:sz w:val="28"/>
          <w:szCs w:val="28"/>
          <w:highlight w:val="none"/>
          <w:u w:val="single"/>
        </w:rPr>
        <w:t>标注</w:t>
      </w:r>
      <w:r>
        <w:rPr>
          <w:rFonts w:hint="eastAsia" w:ascii="仿宋" w:hAnsi="仿宋" w:eastAsia="仿宋" w:cs="仿宋"/>
          <w:b/>
          <w:sz w:val="28"/>
          <w:szCs w:val="28"/>
          <w:highlight w:val="none"/>
          <w:u w:val="single"/>
        </w:rPr>
        <w:t>本项目中所要求的校准项目，不标注视为不响应</w:t>
      </w:r>
      <w:r>
        <w:rPr>
          <w:rFonts w:hint="eastAsia" w:ascii="仿宋" w:hAnsi="仿宋" w:eastAsia="仿宋" w:cs="仿宋"/>
          <w:b/>
          <w:sz w:val="28"/>
          <w:szCs w:val="28"/>
          <w:highlight w:val="none"/>
          <w:u w:val="single"/>
          <w:lang w:eastAsia="zh-CN"/>
        </w:rPr>
        <w:t>，</w:t>
      </w:r>
      <w:r>
        <w:rPr>
          <w:rFonts w:hint="eastAsia" w:ascii="仿宋" w:hAnsi="仿宋" w:eastAsia="仿宋" w:cs="仿宋"/>
          <w:b/>
          <w:bCs/>
          <w:sz w:val="28"/>
          <w:szCs w:val="28"/>
          <w:highlight w:val="none"/>
          <w:u w:val="single"/>
          <w:lang w:val="en-US" w:eastAsia="zh-CN"/>
        </w:rPr>
        <w:t>标注时使用方框或圆圈标注出设备名称</w:t>
      </w:r>
      <w:r>
        <w:rPr>
          <w:rFonts w:hint="eastAsia" w:ascii="仿宋" w:hAnsi="仿宋" w:eastAsia="仿宋" w:cs="仿宋"/>
          <w:b/>
          <w:sz w:val="28"/>
          <w:szCs w:val="28"/>
          <w:highlight w:val="none"/>
          <w:u w:val="single"/>
        </w:rPr>
        <w:t>），加盖单位公章</w:t>
      </w:r>
      <w:r>
        <w:rPr>
          <w:rFonts w:hint="eastAsia" w:ascii="仿宋" w:hAnsi="仿宋" w:eastAsia="仿宋" w:cs="仿宋"/>
          <w:b/>
          <w:sz w:val="28"/>
          <w:szCs w:val="28"/>
          <w:highlight w:val="none"/>
          <w:u w:val="single"/>
          <w:lang w:eastAsia="zh-CN"/>
        </w:rPr>
        <w:t>。</w:t>
      </w:r>
    </w:p>
    <w:p>
      <w:pPr>
        <w:jc w:val="center"/>
        <w:rPr>
          <w:rFonts w:hint="eastAsia" w:ascii="仿宋_GB2312" w:hAnsi="仿宋_GB2312" w:eastAsia="仿宋_GB2312" w:cs="仿宋_GB2312"/>
          <w:b/>
          <w:sz w:val="28"/>
          <w:szCs w:val="28"/>
          <w:highlight w:val="none"/>
        </w:rPr>
      </w:pPr>
    </w:p>
    <w:p>
      <w:pPr>
        <w:pStyle w:val="56"/>
        <w:rPr>
          <w:kern w:val="2"/>
          <w:highlight w:val="none"/>
        </w:rPr>
      </w:pPr>
    </w:p>
    <w:p>
      <w:pPr>
        <w:pStyle w:val="13"/>
        <w:adjustRightInd w:val="0"/>
        <w:snapToGrid w:val="0"/>
        <w:spacing w:line="300" w:lineRule="auto"/>
        <w:jc w:val="both"/>
        <w:rPr>
          <w:rFonts w:ascii="仿宋" w:hAnsi="仿宋" w:eastAsia="仿宋" w:cs="仿宋"/>
          <w:b/>
          <w:sz w:val="28"/>
          <w:szCs w:val="28"/>
          <w:highlight w:val="none"/>
        </w:rPr>
      </w:pPr>
    </w:p>
    <w:p>
      <w:pPr>
        <w:pStyle w:val="13"/>
        <w:adjustRightInd w:val="0"/>
        <w:snapToGrid w:val="0"/>
        <w:spacing w:line="300" w:lineRule="auto"/>
        <w:jc w:val="center"/>
        <w:rPr>
          <w:rFonts w:ascii="仿宋" w:hAnsi="仿宋" w:eastAsia="仿宋" w:cs="仿宋"/>
          <w:b/>
          <w:sz w:val="28"/>
          <w:szCs w:val="28"/>
          <w:highlight w:val="none"/>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p>
    <w:p>
      <w:pPr>
        <w:pStyle w:val="56"/>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7.响应承诺书</w:t>
      </w:r>
    </w:p>
    <w:p>
      <w:pPr>
        <w:jc w:val="left"/>
        <w:rPr>
          <w:rFonts w:hint="eastAsia" w:ascii="仿宋_GB2312" w:hAnsi="仿宋_GB2312" w:eastAsia="仿宋_GB2312" w:cs="仿宋_GB2312"/>
          <w:b/>
          <w:sz w:val="28"/>
          <w:szCs w:val="28"/>
          <w:highlight w:val="none"/>
        </w:rPr>
      </w:pPr>
    </w:p>
    <w:p>
      <w:pPr>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广州市净水有限公司：</w:t>
      </w:r>
    </w:p>
    <w:p>
      <w:pPr>
        <w:rPr>
          <w:rFonts w:hint="default" w:ascii="仿宋" w:hAnsi="仿宋" w:eastAsia="仿宋" w:cs="仿宋"/>
          <w:sz w:val="28"/>
          <w:szCs w:val="28"/>
          <w:highlight w:val="none"/>
          <w:u w:val="single"/>
          <w:lang w:val="en-US" w:eastAsia="zh-CN"/>
        </w:rPr>
      </w:pP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我司</w:t>
      </w:r>
      <w:r>
        <w:rPr>
          <w:rFonts w:hint="eastAsia" w:ascii="仿宋" w:hAnsi="仿宋" w:eastAsia="仿宋" w:cs="仿宋"/>
          <w:sz w:val="28"/>
          <w:szCs w:val="28"/>
          <w:highlight w:val="none"/>
        </w:rPr>
        <w:t>认证的校准能力至少涵盖本项目中所要求的校准设备种类的70%（含）以上，且在有效期内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我司承诺完全能响应采购需求中所有内容。</w:t>
      </w:r>
    </w:p>
    <w:p>
      <w:pPr>
        <w:rPr>
          <w:rFonts w:hint="eastAsia" w:ascii="仿宋" w:hAnsi="仿宋" w:eastAsia="仿宋" w:cs="仿宋"/>
          <w:sz w:val="28"/>
          <w:szCs w:val="28"/>
          <w:highlight w:val="none"/>
        </w:rPr>
      </w:pPr>
    </w:p>
    <w:p>
      <w:pPr>
        <w:pStyle w:val="56"/>
        <w:ind w:firstLine="280" w:firstLineChars="1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供应商名称（加盖公章）：</w:t>
      </w:r>
    </w:p>
    <w:p>
      <w:pPr>
        <w:pStyle w:val="56"/>
        <w:rPr>
          <w:rFonts w:hint="eastAsia" w:hAnsi="宋体"/>
          <w:bCs/>
          <w:sz w:val="28"/>
          <w:szCs w:val="28"/>
          <w:highlight w:val="none"/>
        </w:rPr>
      </w:pP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GB"/>
        </w:rPr>
        <w:t xml:space="preserve">年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GB"/>
        </w:rPr>
        <w:t xml:space="preserve"> 月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GB"/>
        </w:rPr>
        <w:t xml:space="preserve"> 日</w:t>
      </w:r>
      <w:r>
        <w:rPr>
          <w:rFonts w:hint="eastAsia" w:hAnsi="宋体"/>
          <w:bCs/>
          <w:sz w:val="28"/>
          <w:szCs w:val="28"/>
          <w:highlight w:val="none"/>
        </w:rPr>
        <w:t xml:space="preserve"> </w:t>
      </w:r>
    </w:p>
    <w:p>
      <w:pPr>
        <w:pStyle w:val="56"/>
        <w:rPr>
          <w:rFonts w:hint="eastAsia" w:hAnsi="宋体"/>
          <w:bCs/>
          <w:sz w:val="28"/>
          <w:szCs w:val="28"/>
          <w:highlight w:val="none"/>
        </w:rPr>
      </w:pPr>
    </w:p>
    <w:p>
      <w:pPr>
        <w:pStyle w:val="56"/>
        <w:rPr>
          <w:rFonts w:hint="eastAsia" w:hAnsi="宋体"/>
          <w:bCs/>
          <w:sz w:val="28"/>
          <w:szCs w:val="28"/>
          <w:highlight w:val="none"/>
        </w:rPr>
      </w:pPr>
    </w:p>
    <w:p>
      <w:pPr>
        <w:pStyle w:val="56"/>
        <w:jc w:val="both"/>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8.其他资料</w:t>
      </w:r>
    </w:p>
    <w:p>
      <w:pPr>
        <w:rPr>
          <w:highlight w:val="none"/>
        </w:rPr>
      </w:pPr>
    </w:p>
    <w:sectPr>
      <w:type w:val="continuous"/>
      <w:pgSz w:w="11907" w:h="16840"/>
      <w:pgMar w:top="1588" w:right="1021" w:bottom="779" w:left="1134" w:header="737" w:footer="454" w:gutter="0"/>
      <w:cols w:space="708"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10692130" cy="10692130"/>
          <wp:effectExtent l="0" t="0" r="0" b="13970"/>
          <wp:wrapNone/>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
                    <a:clrChange>
                      <a:clrFrom>
                        <a:srgbClr val="FFFFFF"/>
                      </a:clrFrom>
                      <a:clrTo>
                        <a:srgbClr val="FFFFFF">
                          <a:alpha val="0"/>
                        </a:srgbClr>
                      </a:clrTo>
                    </a:clrChange>
                    <a:lum bright="100000" contrast="-100000"/>
                  </a:blip>
                  <a:stretch>
                    <a:fillRect/>
                  </a:stretch>
                </pic:blipFill>
                <pic:spPr>
                  <a:xfrm>
                    <a:off x="0" y="0"/>
                    <a:ext cx="10692130" cy="1069213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drawing>
        <wp:anchor distT="0" distB="0" distL="114300" distR="114300" simplePos="0" relativeHeight="251660288" behindDoc="1" locked="0" layoutInCell="1" allowOverlap="1">
          <wp:simplePos x="0" y="0"/>
          <wp:positionH relativeFrom="page">
            <wp:posOffset>0</wp:posOffset>
          </wp:positionH>
          <wp:positionV relativeFrom="page">
            <wp:posOffset>-1565910</wp:posOffset>
          </wp:positionV>
          <wp:extent cx="10693400" cy="10693400"/>
          <wp:effectExtent l="0" t="0" r="12700" b="12700"/>
          <wp:wrapNone/>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
                    <a:biLevel thresh="50000"/>
                    <a:grayscl/>
                    <a:lum bright="100000" contrast="100000"/>
                  </a:blip>
                  <a:stretch>
                    <a:fillRect/>
                  </a:stretch>
                </pic:blipFill>
                <pic:spPr>
                  <a:xfrm>
                    <a:off x="0" y="0"/>
                    <a:ext cx="10693400" cy="10693400"/>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17</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drawing>
        <wp:anchor distT="0" distB="0" distL="114300" distR="114300" simplePos="0" relativeHeight="251675648" behindDoc="1" locked="0" layoutInCell="1" allowOverlap="1">
          <wp:simplePos x="0" y="0"/>
          <wp:positionH relativeFrom="page">
            <wp:align>center</wp:align>
          </wp:positionH>
          <wp:positionV relativeFrom="page">
            <wp:align>center</wp:align>
          </wp:positionV>
          <wp:extent cx="10693400" cy="10693400"/>
          <wp:effectExtent l="0" t="0" r="12700" b="1270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
                    <a:lum bright="100000" contrast="-100000"/>
                  </a:blip>
                  <a:stretch>
                    <a:fillRect/>
                  </a:stretch>
                </pic:blipFill>
                <pic:spPr>
                  <a:xfrm>
                    <a:off x="0" y="0"/>
                    <a:ext cx="10693400" cy="10693400"/>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17</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7xwMkBAACa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vHA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6879C"/>
    <w:multiLevelType w:val="singleLevel"/>
    <w:tmpl w:val="A556879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documentProtection w:edit="forms"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GWebUrl" w:val="http://172.17.0.25/seeyon/officeservlet"/>
  </w:docVars>
  <w:rsids>
    <w:rsidRoot w:val="005D618A"/>
    <w:rsid w:val="00003E19"/>
    <w:rsid w:val="000120CC"/>
    <w:rsid w:val="0004215E"/>
    <w:rsid w:val="000B10F5"/>
    <w:rsid w:val="00136D98"/>
    <w:rsid w:val="00142EED"/>
    <w:rsid w:val="001E10AD"/>
    <w:rsid w:val="001E57B2"/>
    <w:rsid w:val="00224DF6"/>
    <w:rsid w:val="0025445E"/>
    <w:rsid w:val="00260D5D"/>
    <w:rsid w:val="0026594C"/>
    <w:rsid w:val="002C10EC"/>
    <w:rsid w:val="002C71C3"/>
    <w:rsid w:val="003144CC"/>
    <w:rsid w:val="00327EC7"/>
    <w:rsid w:val="0033335C"/>
    <w:rsid w:val="00353181"/>
    <w:rsid w:val="00381020"/>
    <w:rsid w:val="003C5B97"/>
    <w:rsid w:val="003D60BA"/>
    <w:rsid w:val="003E42E5"/>
    <w:rsid w:val="003E6D22"/>
    <w:rsid w:val="00411689"/>
    <w:rsid w:val="00526C18"/>
    <w:rsid w:val="005545EE"/>
    <w:rsid w:val="005C5D95"/>
    <w:rsid w:val="005D618A"/>
    <w:rsid w:val="006112CA"/>
    <w:rsid w:val="00624873"/>
    <w:rsid w:val="00650B40"/>
    <w:rsid w:val="0066312A"/>
    <w:rsid w:val="0073519A"/>
    <w:rsid w:val="0077438D"/>
    <w:rsid w:val="007C26AE"/>
    <w:rsid w:val="007F5C0F"/>
    <w:rsid w:val="00890559"/>
    <w:rsid w:val="00911ECD"/>
    <w:rsid w:val="009170A1"/>
    <w:rsid w:val="009178BF"/>
    <w:rsid w:val="00992BEC"/>
    <w:rsid w:val="009A7E51"/>
    <w:rsid w:val="009B0023"/>
    <w:rsid w:val="009B139D"/>
    <w:rsid w:val="00A042E0"/>
    <w:rsid w:val="00A31F40"/>
    <w:rsid w:val="00A36AA5"/>
    <w:rsid w:val="00B26BB1"/>
    <w:rsid w:val="00B26E21"/>
    <w:rsid w:val="00B6167D"/>
    <w:rsid w:val="00B93B6B"/>
    <w:rsid w:val="00CA6813"/>
    <w:rsid w:val="00D52C84"/>
    <w:rsid w:val="00D57B99"/>
    <w:rsid w:val="00D92789"/>
    <w:rsid w:val="00E762B1"/>
    <w:rsid w:val="00E864EC"/>
    <w:rsid w:val="00E86FC3"/>
    <w:rsid w:val="00EB5939"/>
    <w:rsid w:val="00EC2EE6"/>
    <w:rsid w:val="00F74C49"/>
    <w:rsid w:val="00F83B64"/>
    <w:rsid w:val="00F94CF3"/>
    <w:rsid w:val="00F9588C"/>
    <w:rsid w:val="01476090"/>
    <w:rsid w:val="019E50E2"/>
    <w:rsid w:val="02090C75"/>
    <w:rsid w:val="022A0CF0"/>
    <w:rsid w:val="025C0815"/>
    <w:rsid w:val="028129B1"/>
    <w:rsid w:val="028D2F0A"/>
    <w:rsid w:val="029317CE"/>
    <w:rsid w:val="02A23A3C"/>
    <w:rsid w:val="02EF7F4B"/>
    <w:rsid w:val="035F0472"/>
    <w:rsid w:val="03AC246A"/>
    <w:rsid w:val="03B23056"/>
    <w:rsid w:val="03C01C29"/>
    <w:rsid w:val="03DC3EBA"/>
    <w:rsid w:val="03F9794D"/>
    <w:rsid w:val="04001CC2"/>
    <w:rsid w:val="041C672D"/>
    <w:rsid w:val="044F0CF8"/>
    <w:rsid w:val="046A2461"/>
    <w:rsid w:val="04CC7340"/>
    <w:rsid w:val="04D103D0"/>
    <w:rsid w:val="04E94A14"/>
    <w:rsid w:val="050C445C"/>
    <w:rsid w:val="056430F6"/>
    <w:rsid w:val="056A6697"/>
    <w:rsid w:val="0577229D"/>
    <w:rsid w:val="05791F8C"/>
    <w:rsid w:val="05D668EC"/>
    <w:rsid w:val="069B1D94"/>
    <w:rsid w:val="06C64829"/>
    <w:rsid w:val="074F3F70"/>
    <w:rsid w:val="077D16D2"/>
    <w:rsid w:val="07DD60B0"/>
    <w:rsid w:val="080A7860"/>
    <w:rsid w:val="08470CFA"/>
    <w:rsid w:val="08675FC8"/>
    <w:rsid w:val="08973F4D"/>
    <w:rsid w:val="08A62E80"/>
    <w:rsid w:val="08AD2D42"/>
    <w:rsid w:val="098E575D"/>
    <w:rsid w:val="09AA53A6"/>
    <w:rsid w:val="09B713FD"/>
    <w:rsid w:val="09E51F11"/>
    <w:rsid w:val="09EF6ACC"/>
    <w:rsid w:val="0A2A0DDC"/>
    <w:rsid w:val="0A315056"/>
    <w:rsid w:val="0A8452CE"/>
    <w:rsid w:val="0AC31848"/>
    <w:rsid w:val="0AFB45AD"/>
    <w:rsid w:val="0B351E9B"/>
    <w:rsid w:val="0B4B0655"/>
    <w:rsid w:val="0B4C50D3"/>
    <w:rsid w:val="0B602BA5"/>
    <w:rsid w:val="0B806B92"/>
    <w:rsid w:val="0B827E94"/>
    <w:rsid w:val="0B8D3714"/>
    <w:rsid w:val="0BD070E1"/>
    <w:rsid w:val="0C247926"/>
    <w:rsid w:val="0C2B22D2"/>
    <w:rsid w:val="0C3479A0"/>
    <w:rsid w:val="0C8555C0"/>
    <w:rsid w:val="0CF90255"/>
    <w:rsid w:val="0D285EA7"/>
    <w:rsid w:val="0D2A4710"/>
    <w:rsid w:val="0D65349E"/>
    <w:rsid w:val="0D6B2BA2"/>
    <w:rsid w:val="0D77685A"/>
    <w:rsid w:val="0D7835EB"/>
    <w:rsid w:val="0D786033"/>
    <w:rsid w:val="0D794204"/>
    <w:rsid w:val="0DB36AD3"/>
    <w:rsid w:val="0E2125D1"/>
    <w:rsid w:val="0E214211"/>
    <w:rsid w:val="0E410BE9"/>
    <w:rsid w:val="0E42096E"/>
    <w:rsid w:val="0E5F2769"/>
    <w:rsid w:val="0E673BBE"/>
    <w:rsid w:val="0EA040A4"/>
    <w:rsid w:val="0EC05C09"/>
    <w:rsid w:val="0ED236F1"/>
    <w:rsid w:val="0EE440AB"/>
    <w:rsid w:val="0F015689"/>
    <w:rsid w:val="0F284C39"/>
    <w:rsid w:val="0F4D75A3"/>
    <w:rsid w:val="0F5B2DCA"/>
    <w:rsid w:val="0FED051E"/>
    <w:rsid w:val="0FEE4C29"/>
    <w:rsid w:val="10046082"/>
    <w:rsid w:val="109B2B34"/>
    <w:rsid w:val="10E207DB"/>
    <w:rsid w:val="10FB1275"/>
    <w:rsid w:val="111A11E6"/>
    <w:rsid w:val="112B101A"/>
    <w:rsid w:val="114E0EE6"/>
    <w:rsid w:val="11783302"/>
    <w:rsid w:val="119B53FC"/>
    <w:rsid w:val="11CB59CA"/>
    <w:rsid w:val="12103FA1"/>
    <w:rsid w:val="121D7596"/>
    <w:rsid w:val="12424CDC"/>
    <w:rsid w:val="1243056E"/>
    <w:rsid w:val="12725761"/>
    <w:rsid w:val="1281290B"/>
    <w:rsid w:val="12916692"/>
    <w:rsid w:val="129A2738"/>
    <w:rsid w:val="12AC6B06"/>
    <w:rsid w:val="12B147A9"/>
    <w:rsid w:val="12B56BF1"/>
    <w:rsid w:val="12CB1A89"/>
    <w:rsid w:val="13045B9F"/>
    <w:rsid w:val="131840FB"/>
    <w:rsid w:val="13467417"/>
    <w:rsid w:val="136E76CF"/>
    <w:rsid w:val="13AE672B"/>
    <w:rsid w:val="13B978EF"/>
    <w:rsid w:val="13E5560A"/>
    <w:rsid w:val="13FE0C74"/>
    <w:rsid w:val="13FF6F57"/>
    <w:rsid w:val="147E7552"/>
    <w:rsid w:val="15137D6E"/>
    <w:rsid w:val="15360C44"/>
    <w:rsid w:val="15395C20"/>
    <w:rsid w:val="158A670A"/>
    <w:rsid w:val="1599103B"/>
    <w:rsid w:val="15A9613B"/>
    <w:rsid w:val="15BC6B3C"/>
    <w:rsid w:val="16360323"/>
    <w:rsid w:val="16545370"/>
    <w:rsid w:val="1694429A"/>
    <w:rsid w:val="17635326"/>
    <w:rsid w:val="18236EFD"/>
    <w:rsid w:val="184E2006"/>
    <w:rsid w:val="188B0664"/>
    <w:rsid w:val="189D5B1F"/>
    <w:rsid w:val="18A34CD0"/>
    <w:rsid w:val="19085434"/>
    <w:rsid w:val="190E4B0A"/>
    <w:rsid w:val="193B5289"/>
    <w:rsid w:val="19955C05"/>
    <w:rsid w:val="19B64DBC"/>
    <w:rsid w:val="19DB5B07"/>
    <w:rsid w:val="1A373ACF"/>
    <w:rsid w:val="1A895341"/>
    <w:rsid w:val="1A973BF2"/>
    <w:rsid w:val="1ACC3590"/>
    <w:rsid w:val="1AD0370F"/>
    <w:rsid w:val="1B0D071F"/>
    <w:rsid w:val="1B1F0BD1"/>
    <w:rsid w:val="1B4568CE"/>
    <w:rsid w:val="1B4E4243"/>
    <w:rsid w:val="1B754A9E"/>
    <w:rsid w:val="1B7C06B6"/>
    <w:rsid w:val="1B9015B7"/>
    <w:rsid w:val="1B911F03"/>
    <w:rsid w:val="1BAF6AAC"/>
    <w:rsid w:val="1C4A64F2"/>
    <w:rsid w:val="1C646ED6"/>
    <w:rsid w:val="1CB15E1F"/>
    <w:rsid w:val="1CB419FD"/>
    <w:rsid w:val="1CF7390C"/>
    <w:rsid w:val="1D127E45"/>
    <w:rsid w:val="1D462A26"/>
    <w:rsid w:val="1D5A79EE"/>
    <w:rsid w:val="1E07147C"/>
    <w:rsid w:val="1E0E2CD0"/>
    <w:rsid w:val="1E3217FE"/>
    <w:rsid w:val="1E664CC0"/>
    <w:rsid w:val="1E78561E"/>
    <w:rsid w:val="1E831280"/>
    <w:rsid w:val="1E9F521F"/>
    <w:rsid w:val="1EBC4704"/>
    <w:rsid w:val="1EC3611C"/>
    <w:rsid w:val="1ED74B21"/>
    <w:rsid w:val="1F172EB5"/>
    <w:rsid w:val="1F1C21C7"/>
    <w:rsid w:val="1F7479E3"/>
    <w:rsid w:val="1F894521"/>
    <w:rsid w:val="1F94592D"/>
    <w:rsid w:val="1FB860DE"/>
    <w:rsid w:val="200C01F2"/>
    <w:rsid w:val="203C5A02"/>
    <w:rsid w:val="209D4C94"/>
    <w:rsid w:val="20B8060B"/>
    <w:rsid w:val="20E84705"/>
    <w:rsid w:val="21015333"/>
    <w:rsid w:val="216C12A0"/>
    <w:rsid w:val="218400BA"/>
    <w:rsid w:val="21AB1E2F"/>
    <w:rsid w:val="21D40498"/>
    <w:rsid w:val="21DB304A"/>
    <w:rsid w:val="21E16DF7"/>
    <w:rsid w:val="22301BD8"/>
    <w:rsid w:val="22435F75"/>
    <w:rsid w:val="22767047"/>
    <w:rsid w:val="22C7192A"/>
    <w:rsid w:val="2399765C"/>
    <w:rsid w:val="23A05588"/>
    <w:rsid w:val="23AD29A5"/>
    <w:rsid w:val="24171B1F"/>
    <w:rsid w:val="24187D47"/>
    <w:rsid w:val="24366511"/>
    <w:rsid w:val="24740219"/>
    <w:rsid w:val="250D3FD7"/>
    <w:rsid w:val="25431AEB"/>
    <w:rsid w:val="25BF43FD"/>
    <w:rsid w:val="25DA0906"/>
    <w:rsid w:val="25F86BCD"/>
    <w:rsid w:val="269E416A"/>
    <w:rsid w:val="26C16397"/>
    <w:rsid w:val="26F4722E"/>
    <w:rsid w:val="272100D3"/>
    <w:rsid w:val="272C72FC"/>
    <w:rsid w:val="27CC3206"/>
    <w:rsid w:val="27D23AA8"/>
    <w:rsid w:val="27E5430E"/>
    <w:rsid w:val="27EB149D"/>
    <w:rsid w:val="27FD3E52"/>
    <w:rsid w:val="281227E7"/>
    <w:rsid w:val="28715E40"/>
    <w:rsid w:val="289E29C9"/>
    <w:rsid w:val="28B6189B"/>
    <w:rsid w:val="28E11370"/>
    <w:rsid w:val="29005E7F"/>
    <w:rsid w:val="294A756A"/>
    <w:rsid w:val="296B4CEE"/>
    <w:rsid w:val="298503C2"/>
    <w:rsid w:val="29D5322D"/>
    <w:rsid w:val="29E320F1"/>
    <w:rsid w:val="29F6704D"/>
    <w:rsid w:val="2A025DD9"/>
    <w:rsid w:val="2A7C2231"/>
    <w:rsid w:val="2ABB753D"/>
    <w:rsid w:val="2AC551D4"/>
    <w:rsid w:val="2B067FE7"/>
    <w:rsid w:val="2B2349EC"/>
    <w:rsid w:val="2B3073E1"/>
    <w:rsid w:val="2B3E237A"/>
    <w:rsid w:val="2B7A49FA"/>
    <w:rsid w:val="2BDC1114"/>
    <w:rsid w:val="2BE07AA6"/>
    <w:rsid w:val="2C2C44DC"/>
    <w:rsid w:val="2C615D26"/>
    <w:rsid w:val="2C754F0B"/>
    <w:rsid w:val="2CB679ED"/>
    <w:rsid w:val="2CBA67B5"/>
    <w:rsid w:val="2CC41DC4"/>
    <w:rsid w:val="2D003D18"/>
    <w:rsid w:val="2D044600"/>
    <w:rsid w:val="2D173C07"/>
    <w:rsid w:val="2D230D53"/>
    <w:rsid w:val="2D424A86"/>
    <w:rsid w:val="2D4840FA"/>
    <w:rsid w:val="2D4D6841"/>
    <w:rsid w:val="2D8D470C"/>
    <w:rsid w:val="2DA018F8"/>
    <w:rsid w:val="2E097A3C"/>
    <w:rsid w:val="2E206DC9"/>
    <w:rsid w:val="2E7B52DB"/>
    <w:rsid w:val="2E81717F"/>
    <w:rsid w:val="2ED3470F"/>
    <w:rsid w:val="2EE711F4"/>
    <w:rsid w:val="2F324CFE"/>
    <w:rsid w:val="2F330F0E"/>
    <w:rsid w:val="2F6F1970"/>
    <w:rsid w:val="2FBA09F1"/>
    <w:rsid w:val="2FDC6A42"/>
    <w:rsid w:val="2FEF2ACF"/>
    <w:rsid w:val="30540211"/>
    <w:rsid w:val="30D56933"/>
    <w:rsid w:val="30EB738D"/>
    <w:rsid w:val="312C26C3"/>
    <w:rsid w:val="312D7741"/>
    <w:rsid w:val="314B588D"/>
    <w:rsid w:val="316C70D9"/>
    <w:rsid w:val="316F137F"/>
    <w:rsid w:val="31DF525F"/>
    <w:rsid w:val="32022A50"/>
    <w:rsid w:val="32324C2E"/>
    <w:rsid w:val="3253472A"/>
    <w:rsid w:val="325662EC"/>
    <w:rsid w:val="327171DF"/>
    <w:rsid w:val="32C679B3"/>
    <w:rsid w:val="32C91FEC"/>
    <w:rsid w:val="33083EC9"/>
    <w:rsid w:val="331623E5"/>
    <w:rsid w:val="335274D1"/>
    <w:rsid w:val="341E3434"/>
    <w:rsid w:val="353F2327"/>
    <w:rsid w:val="356078CC"/>
    <w:rsid w:val="356A6155"/>
    <w:rsid w:val="36042147"/>
    <w:rsid w:val="360B7EBA"/>
    <w:rsid w:val="361B55D7"/>
    <w:rsid w:val="36582B9D"/>
    <w:rsid w:val="36660F9C"/>
    <w:rsid w:val="369C32FD"/>
    <w:rsid w:val="36EA51C2"/>
    <w:rsid w:val="376213FE"/>
    <w:rsid w:val="37666E72"/>
    <w:rsid w:val="37D42529"/>
    <w:rsid w:val="38167A04"/>
    <w:rsid w:val="38340B47"/>
    <w:rsid w:val="388D3776"/>
    <w:rsid w:val="38A20D1B"/>
    <w:rsid w:val="38AC4572"/>
    <w:rsid w:val="39135C34"/>
    <w:rsid w:val="394B167A"/>
    <w:rsid w:val="397D2DB1"/>
    <w:rsid w:val="399C4F4F"/>
    <w:rsid w:val="39A37108"/>
    <w:rsid w:val="39D70A25"/>
    <w:rsid w:val="3A260B7E"/>
    <w:rsid w:val="3A4E4336"/>
    <w:rsid w:val="3A6007FE"/>
    <w:rsid w:val="3AD52EC9"/>
    <w:rsid w:val="3AD64C3E"/>
    <w:rsid w:val="3B7C2CE4"/>
    <w:rsid w:val="3BD61660"/>
    <w:rsid w:val="3C0B5355"/>
    <w:rsid w:val="3C173B9D"/>
    <w:rsid w:val="3C7D048A"/>
    <w:rsid w:val="3CD4176B"/>
    <w:rsid w:val="3D1F44D9"/>
    <w:rsid w:val="3D5C38CD"/>
    <w:rsid w:val="3D9F5D6A"/>
    <w:rsid w:val="3DD22FCA"/>
    <w:rsid w:val="3DE14DB2"/>
    <w:rsid w:val="3E0C65ED"/>
    <w:rsid w:val="3E5070F1"/>
    <w:rsid w:val="3EC87949"/>
    <w:rsid w:val="3F0377ED"/>
    <w:rsid w:val="3F2D72BA"/>
    <w:rsid w:val="3F3A5738"/>
    <w:rsid w:val="3F6C3589"/>
    <w:rsid w:val="3F6D2A59"/>
    <w:rsid w:val="3F850180"/>
    <w:rsid w:val="3F9004D6"/>
    <w:rsid w:val="400E4D5E"/>
    <w:rsid w:val="405948ED"/>
    <w:rsid w:val="40A2413D"/>
    <w:rsid w:val="40D22235"/>
    <w:rsid w:val="40E1138C"/>
    <w:rsid w:val="41285324"/>
    <w:rsid w:val="413814BA"/>
    <w:rsid w:val="41872511"/>
    <w:rsid w:val="41E77F01"/>
    <w:rsid w:val="42031BED"/>
    <w:rsid w:val="42466655"/>
    <w:rsid w:val="42A045CA"/>
    <w:rsid w:val="42A169FE"/>
    <w:rsid w:val="42AF7651"/>
    <w:rsid w:val="42C82F57"/>
    <w:rsid w:val="42E23F07"/>
    <w:rsid w:val="42E24C14"/>
    <w:rsid w:val="43107AF6"/>
    <w:rsid w:val="433F2681"/>
    <w:rsid w:val="437558F5"/>
    <w:rsid w:val="43C76AF7"/>
    <w:rsid w:val="446828F0"/>
    <w:rsid w:val="447F022F"/>
    <w:rsid w:val="44A35016"/>
    <w:rsid w:val="44ED09AB"/>
    <w:rsid w:val="45482DDE"/>
    <w:rsid w:val="456F1252"/>
    <w:rsid w:val="458A3DD2"/>
    <w:rsid w:val="45C13B4D"/>
    <w:rsid w:val="46054BCA"/>
    <w:rsid w:val="464C6AFC"/>
    <w:rsid w:val="468B0091"/>
    <w:rsid w:val="46A107C3"/>
    <w:rsid w:val="46B15CE2"/>
    <w:rsid w:val="46BE113D"/>
    <w:rsid w:val="46DB3CFF"/>
    <w:rsid w:val="46E44B13"/>
    <w:rsid w:val="46FB3F7C"/>
    <w:rsid w:val="4703508A"/>
    <w:rsid w:val="4708419D"/>
    <w:rsid w:val="4723076D"/>
    <w:rsid w:val="472C0368"/>
    <w:rsid w:val="475023F8"/>
    <w:rsid w:val="47717FDC"/>
    <w:rsid w:val="479D361E"/>
    <w:rsid w:val="47B74789"/>
    <w:rsid w:val="47C07308"/>
    <w:rsid w:val="480F2B9D"/>
    <w:rsid w:val="48282920"/>
    <w:rsid w:val="483B3EA0"/>
    <w:rsid w:val="485321E0"/>
    <w:rsid w:val="48546AD3"/>
    <w:rsid w:val="48CA4868"/>
    <w:rsid w:val="48F005D3"/>
    <w:rsid w:val="492F09FB"/>
    <w:rsid w:val="496760AF"/>
    <w:rsid w:val="496C6FEF"/>
    <w:rsid w:val="498F4AF1"/>
    <w:rsid w:val="499D647F"/>
    <w:rsid w:val="49C05787"/>
    <w:rsid w:val="49CF518D"/>
    <w:rsid w:val="49D875F8"/>
    <w:rsid w:val="4ADA1F63"/>
    <w:rsid w:val="4AE23D89"/>
    <w:rsid w:val="4AEA0669"/>
    <w:rsid w:val="4B2038D0"/>
    <w:rsid w:val="4B296E7D"/>
    <w:rsid w:val="4B5E2E9E"/>
    <w:rsid w:val="4B752FDA"/>
    <w:rsid w:val="4B877F28"/>
    <w:rsid w:val="4B8D3205"/>
    <w:rsid w:val="4C4319D2"/>
    <w:rsid w:val="4C490FDD"/>
    <w:rsid w:val="4C946DB1"/>
    <w:rsid w:val="4C951D9C"/>
    <w:rsid w:val="4CCE743A"/>
    <w:rsid w:val="4CE96DCF"/>
    <w:rsid w:val="4D916BA6"/>
    <w:rsid w:val="4DB53538"/>
    <w:rsid w:val="4DC44169"/>
    <w:rsid w:val="4E123E2E"/>
    <w:rsid w:val="4E8B4C76"/>
    <w:rsid w:val="4EA46EE4"/>
    <w:rsid w:val="4EF0709E"/>
    <w:rsid w:val="4F0057A5"/>
    <w:rsid w:val="4F235FD6"/>
    <w:rsid w:val="4F3A2622"/>
    <w:rsid w:val="4FF05EC6"/>
    <w:rsid w:val="507B30CA"/>
    <w:rsid w:val="50D91943"/>
    <w:rsid w:val="50F20A94"/>
    <w:rsid w:val="512567E1"/>
    <w:rsid w:val="513C6A7B"/>
    <w:rsid w:val="515824DB"/>
    <w:rsid w:val="516068F1"/>
    <w:rsid w:val="517B21F2"/>
    <w:rsid w:val="518B6458"/>
    <w:rsid w:val="522B1D49"/>
    <w:rsid w:val="523D13AF"/>
    <w:rsid w:val="525C33C2"/>
    <w:rsid w:val="526513EB"/>
    <w:rsid w:val="53121110"/>
    <w:rsid w:val="531F73C4"/>
    <w:rsid w:val="5333545B"/>
    <w:rsid w:val="53675C74"/>
    <w:rsid w:val="53B11DB8"/>
    <w:rsid w:val="53CC1F44"/>
    <w:rsid w:val="5409353D"/>
    <w:rsid w:val="541825E3"/>
    <w:rsid w:val="5450213C"/>
    <w:rsid w:val="54593388"/>
    <w:rsid w:val="54B45683"/>
    <w:rsid w:val="54D24048"/>
    <w:rsid w:val="54D64CD5"/>
    <w:rsid w:val="54D8144A"/>
    <w:rsid w:val="54F90661"/>
    <w:rsid w:val="55442ACF"/>
    <w:rsid w:val="55686663"/>
    <w:rsid w:val="55887D69"/>
    <w:rsid w:val="55DC1078"/>
    <w:rsid w:val="55DC2133"/>
    <w:rsid w:val="56041316"/>
    <w:rsid w:val="561A0928"/>
    <w:rsid w:val="56423872"/>
    <w:rsid w:val="5645095D"/>
    <w:rsid w:val="56B279F0"/>
    <w:rsid w:val="579D710E"/>
    <w:rsid w:val="57A82048"/>
    <w:rsid w:val="57AD52C6"/>
    <w:rsid w:val="57B54F04"/>
    <w:rsid w:val="57B57622"/>
    <w:rsid w:val="57E77334"/>
    <w:rsid w:val="581F22F6"/>
    <w:rsid w:val="586E1E17"/>
    <w:rsid w:val="58862C35"/>
    <w:rsid w:val="58A3497C"/>
    <w:rsid w:val="58C14957"/>
    <w:rsid w:val="596F3303"/>
    <w:rsid w:val="5A35525F"/>
    <w:rsid w:val="5AB86A9A"/>
    <w:rsid w:val="5AD173D1"/>
    <w:rsid w:val="5AE83A50"/>
    <w:rsid w:val="5B596307"/>
    <w:rsid w:val="5BA92BDA"/>
    <w:rsid w:val="5BAB2917"/>
    <w:rsid w:val="5BE63D7F"/>
    <w:rsid w:val="5BFC33FA"/>
    <w:rsid w:val="5C0B4FD6"/>
    <w:rsid w:val="5C2E7EFC"/>
    <w:rsid w:val="5C3107A4"/>
    <w:rsid w:val="5C3B1B93"/>
    <w:rsid w:val="5C660B44"/>
    <w:rsid w:val="5C9220DF"/>
    <w:rsid w:val="5C9E704B"/>
    <w:rsid w:val="5CBF5943"/>
    <w:rsid w:val="5CCC143F"/>
    <w:rsid w:val="5CFA6F95"/>
    <w:rsid w:val="5D066393"/>
    <w:rsid w:val="5D4A15F3"/>
    <w:rsid w:val="5D595860"/>
    <w:rsid w:val="5D69542A"/>
    <w:rsid w:val="5DCB482F"/>
    <w:rsid w:val="5DE9603E"/>
    <w:rsid w:val="5E0930EF"/>
    <w:rsid w:val="5E15492B"/>
    <w:rsid w:val="5E3D4D53"/>
    <w:rsid w:val="5E4717E6"/>
    <w:rsid w:val="5E55774C"/>
    <w:rsid w:val="5E741F12"/>
    <w:rsid w:val="5E9F0F96"/>
    <w:rsid w:val="5EEC3BD4"/>
    <w:rsid w:val="5F5F02A1"/>
    <w:rsid w:val="5F9115E4"/>
    <w:rsid w:val="5FB37CD1"/>
    <w:rsid w:val="60104DDC"/>
    <w:rsid w:val="60161021"/>
    <w:rsid w:val="605C0804"/>
    <w:rsid w:val="607E0AFA"/>
    <w:rsid w:val="60D05C4C"/>
    <w:rsid w:val="6189617B"/>
    <w:rsid w:val="61B52BB6"/>
    <w:rsid w:val="61B749C2"/>
    <w:rsid w:val="62050D00"/>
    <w:rsid w:val="62280D20"/>
    <w:rsid w:val="625A410A"/>
    <w:rsid w:val="629A7B22"/>
    <w:rsid w:val="62CA2457"/>
    <w:rsid w:val="62FC2C42"/>
    <w:rsid w:val="630D7CD4"/>
    <w:rsid w:val="6318356B"/>
    <w:rsid w:val="631F10C9"/>
    <w:rsid w:val="63725ABB"/>
    <w:rsid w:val="638240A1"/>
    <w:rsid w:val="63A5257B"/>
    <w:rsid w:val="63BD3DCC"/>
    <w:rsid w:val="63C56605"/>
    <w:rsid w:val="63C61741"/>
    <w:rsid w:val="63FA6365"/>
    <w:rsid w:val="642C2C47"/>
    <w:rsid w:val="643652C5"/>
    <w:rsid w:val="6452167D"/>
    <w:rsid w:val="64560967"/>
    <w:rsid w:val="64865E99"/>
    <w:rsid w:val="64D8297B"/>
    <w:rsid w:val="652038E3"/>
    <w:rsid w:val="65355465"/>
    <w:rsid w:val="653C68F4"/>
    <w:rsid w:val="655C76E9"/>
    <w:rsid w:val="656B1D10"/>
    <w:rsid w:val="66022B28"/>
    <w:rsid w:val="66581E87"/>
    <w:rsid w:val="66FA11D5"/>
    <w:rsid w:val="670F2750"/>
    <w:rsid w:val="674302C7"/>
    <w:rsid w:val="674F6455"/>
    <w:rsid w:val="67B11F87"/>
    <w:rsid w:val="67B41A91"/>
    <w:rsid w:val="67DF2217"/>
    <w:rsid w:val="67E14F7F"/>
    <w:rsid w:val="680A5986"/>
    <w:rsid w:val="680D5F4B"/>
    <w:rsid w:val="68113F51"/>
    <w:rsid w:val="68180B25"/>
    <w:rsid w:val="683802EB"/>
    <w:rsid w:val="688D5C0C"/>
    <w:rsid w:val="68A441AC"/>
    <w:rsid w:val="68E94770"/>
    <w:rsid w:val="68F949C9"/>
    <w:rsid w:val="69352C1B"/>
    <w:rsid w:val="69474182"/>
    <w:rsid w:val="694A34DA"/>
    <w:rsid w:val="69554433"/>
    <w:rsid w:val="695A4290"/>
    <w:rsid w:val="6967641B"/>
    <w:rsid w:val="69805989"/>
    <w:rsid w:val="69A649A3"/>
    <w:rsid w:val="6A304053"/>
    <w:rsid w:val="6A334932"/>
    <w:rsid w:val="6A3353FF"/>
    <w:rsid w:val="6A5D63E6"/>
    <w:rsid w:val="6A5F24D1"/>
    <w:rsid w:val="6A6A2578"/>
    <w:rsid w:val="6A834DC2"/>
    <w:rsid w:val="6AE347EB"/>
    <w:rsid w:val="6B434AF0"/>
    <w:rsid w:val="6B4A71F1"/>
    <w:rsid w:val="6B57675A"/>
    <w:rsid w:val="6BDD1170"/>
    <w:rsid w:val="6BDD7B4D"/>
    <w:rsid w:val="6BF43468"/>
    <w:rsid w:val="6C72227A"/>
    <w:rsid w:val="6D8A124D"/>
    <w:rsid w:val="6D9F7FFB"/>
    <w:rsid w:val="6DDA6675"/>
    <w:rsid w:val="6E046996"/>
    <w:rsid w:val="6E285EAE"/>
    <w:rsid w:val="6E4520A4"/>
    <w:rsid w:val="6E4D4A8D"/>
    <w:rsid w:val="6E650053"/>
    <w:rsid w:val="6E8A7616"/>
    <w:rsid w:val="6EBC0B3A"/>
    <w:rsid w:val="6EF51C7D"/>
    <w:rsid w:val="6F1212B7"/>
    <w:rsid w:val="6F26785D"/>
    <w:rsid w:val="6F8363E5"/>
    <w:rsid w:val="6F9A3D94"/>
    <w:rsid w:val="6FB96517"/>
    <w:rsid w:val="6FC746F5"/>
    <w:rsid w:val="6FE17F6F"/>
    <w:rsid w:val="70317AC6"/>
    <w:rsid w:val="70551280"/>
    <w:rsid w:val="70863262"/>
    <w:rsid w:val="70A76ED3"/>
    <w:rsid w:val="71017257"/>
    <w:rsid w:val="711054CC"/>
    <w:rsid w:val="717B4387"/>
    <w:rsid w:val="71860B17"/>
    <w:rsid w:val="722A5BDF"/>
    <w:rsid w:val="723B27CC"/>
    <w:rsid w:val="72687227"/>
    <w:rsid w:val="72A03FD9"/>
    <w:rsid w:val="73145551"/>
    <w:rsid w:val="73180CD7"/>
    <w:rsid w:val="733C1078"/>
    <w:rsid w:val="73406CFF"/>
    <w:rsid w:val="73551064"/>
    <w:rsid w:val="7383028C"/>
    <w:rsid w:val="73A25E44"/>
    <w:rsid w:val="741F68CF"/>
    <w:rsid w:val="74827F14"/>
    <w:rsid w:val="748C5CBD"/>
    <w:rsid w:val="74BA691F"/>
    <w:rsid w:val="74FA4CA3"/>
    <w:rsid w:val="75252DF3"/>
    <w:rsid w:val="75436195"/>
    <w:rsid w:val="75621536"/>
    <w:rsid w:val="757C4761"/>
    <w:rsid w:val="75BF3154"/>
    <w:rsid w:val="76225AFB"/>
    <w:rsid w:val="764A07CF"/>
    <w:rsid w:val="764F6B3D"/>
    <w:rsid w:val="769377B6"/>
    <w:rsid w:val="76CD2B7B"/>
    <w:rsid w:val="76D80645"/>
    <w:rsid w:val="76E03371"/>
    <w:rsid w:val="770209E1"/>
    <w:rsid w:val="77172763"/>
    <w:rsid w:val="776A27F1"/>
    <w:rsid w:val="780E5898"/>
    <w:rsid w:val="782642CC"/>
    <w:rsid w:val="78561DF5"/>
    <w:rsid w:val="7894095E"/>
    <w:rsid w:val="78AE588D"/>
    <w:rsid w:val="78F55E4D"/>
    <w:rsid w:val="79000679"/>
    <w:rsid w:val="796A659C"/>
    <w:rsid w:val="79A416F0"/>
    <w:rsid w:val="79B03EB6"/>
    <w:rsid w:val="79B63A30"/>
    <w:rsid w:val="79C932A9"/>
    <w:rsid w:val="7A155AD2"/>
    <w:rsid w:val="7A161E3A"/>
    <w:rsid w:val="7A7A3B99"/>
    <w:rsid w:val="7AB24C70"/>
    <w:rsid w:val="7AB553CB"/>
    <w:rsid w:val="7AF37579"/>
    <w:rsid w:val="7AF87F64"/>
    <w:rsid w:val="7B1C0C84"/>
    <w:rsid w:val="7B5A62DF"/>
    <w:rsid w:val="7B7A04A8"/>
    <w:rsid w:val="7BCC36FE"/>
    <w:rsid w:val="7C05186B"/>
    <w:rsid w:val="7C0C3F6D"/>
    <w:rsid w:val="7C22163C"/>
    <w:rsid w:val="7C595075"/>
    <w:rsid w:val="7C6B07B2"/>
    <w:rsid w:val="7D133243"/>
    <w:rsid w:val="7D256766"/>
    <w:rsid w:val="7D6B1428"/>
    <w:rsid w:val="7DD44F09"/>
    <w:rsid w:val="7DF360BE"/>
    <w:rsid w:val="7E394207"/>
    <w:rsid w:val="7E4007A2"/>
    <w:rsid w:val="7E6253E3"/>
    <w:rsid w:val="7E66528F"/>
    <w:rsid w:val="7E791CAD"/>
    <w:rsid w:val="7E792B34"/>
    <w:rsid w:val="7EA50DFB"/>
    <w:rsid w:val="7EC86878"/>
    <w:rsid w:val="7ED20A31"/>
    <w:rsid w:val="7EE1539B"/>
    <w:rsid w:val="7EF52BA0"/>
    <w:rsid w:val="7EF6708E"/>
    <w:rsid w:val="7F1059EE"/>
    <w:rsid w:val="7F16390D"/>
    <w:rsid w:val="7F422D07"/>
    <w:rsid w:val="7F752917"/>
    <w:rsid w:val="7F7F44C9"/>
    <w:rsid w:val="7FE37961"/>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qFormat/>
    <w:uiPriority w:val="9"/>
    <w:pPr>
      <w:keepNext/>
      <w:keepLines/>
      <w:spacing w:before="260" w:after="260" w:line="416" w:lineRule="auto"/>
      <w:jc w:val="center"/>
      <w:outlineLvl w:val="1"/>
    </w:pPr>
    <w:rPr>
      <w:rFonts w:ascii="Cambria" w:hAnsi="Cambria" w:eastAsia="方正小标宋简体" w:cs="Times New Roman"/>
      <w:bCs/>
      <w:sz w:val="36"/>
      <w:szCs w:val="32"/>
    </w:rPr>
  </w:style>
  <w:style w:type="paragraph" w:styleId="6">
    <w:name w:val="heading 3"/>
    <w:basedOn w:val="1"/>
    <w:next w:val="1"/>
    <w:link w:val="32"/>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33"/>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4"/>
    <w:unhideWhenUsed/>
    <w:qFormat/>
    <w:uiPriority w:val="99"/>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customStyle="1" w:styleId="30">
    <w:name w:val="标题 1 字符"/>
    <w:link w:val="4"/>
    <w:qFormat/>
    <w:uiPriority w:val="9"/>
    <w:rPr>
      <w:rFonts w:eastAsia="方正小标宋简体"/>
      <w:bCs/>
      <w:kern w:val="44"/>
      <w:sz w:val="44"/>
      <w:szCs w:val="44"/>
    </w:rPr>
  </w:style>
  <w:style w:type="character" w:customStyle="1" w:styleId="31">
    <w:name w:val="标题 2 字符"/>
    <w:link w:val="5"/>
    <w:qFormat/>
    <w:uiPriority w:val="9"/>
    <w:rPr>
      <w:rFonts w:ascii="Cambria" w:hAnsi="Cambria" w:eastAsia="方正小标宋简体" w:cs="Times New Roman"/>
      <w:bCs/>
      <w:sz w:val="36"/>
      <w:szCs w:val="32"/>
    </w:rPr>
  </w:style>
  <w:style w:type="character" w:customStyle="1" w:styleId="32">
    <w:name w:val="标题 3 字符"/>
    <w:link w:val="6"/>
    <w:qFormat/>
    <w:uiPriority w:val="9"/>
    <w:rPr>
      <w:rFonts w:ascii="Calibri" w:hAnsi="Calibri" w:eastAsia="宋体" w:cs="Times New Roman"/>
      <w:b/>
      <w:bCs/>
      <w:sz w:val="32"/>
      <w:szCs w:val="32"/>
    </w:rPr>
  </w:style>
  <w:style w:type="character" w:customStyle="1" w:styleId="33">
    <w:name w:val="正文文本 3 字符"/>
    <w:link w:val="9"/>
    <w:semiHidden/>
    <w:qFormat/>
    <w:uiPriority w:val="99"/>
    <w:rPr>
      <w:sz w:val="16"/>
      <w:szCs w:val="16"/>
    </w:rPr>
  </w:style>
  <w:style w:type="character" w:customStyle="1" w:styleId="34">
    <w:name w:val="批注框文本 字符"/>
    <w:link w:val="17"/>
    <w:semiHidden/>
    <w:qFormat/>
    <w:uiPriority w:val="99"/>
    <w:rPr>
      <w:sz w:val="18"/>
      <w:szCs w:val="18"/>
    </w:rPr>
  </w:style>
  <w:style w:type="character" w:customStyle="1" w:styleId="35">
    <w:name w:val="页脚 字符"/>
    <w:link w:val="18"/>
    <w:qFormat/>
    <w:uiPriority w:val="99"/>
    <w:rPr>
      <w:sz w:val="18"/>
      <w:szCs w:val="18"/>
    </w:rPr>
  </w:style>
  <w:style w:type="character" w:customStyle="1" w:styleId="36">
    <w:name w:val="页眉 字符"/>
    <w:link w:val="19"/>
    <w:qFormat/>
    <w:uiPriority w:val="99"/>
    <w:rPr>
      <w:sz w:val="18"/>
      <w:szCs w:val="18"/>
    </w:rPr>
  </w:style>
  <w:style w:type="character" w:customStyle="1" w:styleId="37">
    <w:name w:val="font21"/>
    <w:basedOn w:val="26"/>
    <w:qFormat/>
    <w:uiPriority w:val="0"/>
    <w:rPr>
      <w:rFonts w:hint="eastAsia" w:ascii="宋体" w:hAnsi="宋体" w:eastAsia="宋体" w:cs="宋体"/>
      <w:color w:val="000000"/>
      <w:sz w:val="21"/>
      <w:szCs w:val="21"/>
      <w:u w:val="none"/>
    </w:rPr>
  </w:style>
  <w:style w:type="character" w:customStyle="1" w:styleId="38">
    <w:name w:val="font51"/>
    <w:basedOn w:val="26"/>
    <w:qFormat/>
    <w:uiPriority w:val="0"/>
    <w:rPr>
      <w:rFonts w:hint="eastAsia" w:ascii="宋体" w:hAnsi="宋体" w:eastAsia="宋体" w:cs="宋体"/>
      <w:color w:val="000000"/>
      <w:sz w:val="21"/>
      <w:szCs w:val="21"/>
      <w:u w:val="none"/>
    </w:rPr>
  </w:style>
  <w:style w:type="character" w:customStyle="1" w:styleId="39">
    <w:name w:val="font81"/>
    <w:basedOn w:val="26"/>
    <w:qFormat/>
    <w:uiPriority w:val="0"/>
    <w:rPr>
      <w:rFonts w:hint="eastAsia" w:ascii="宋体" w:hAnsi="宋体" w:eastAsia="宋体" w:cs="宋体"/>
      <w:color w:val="FF0000"/>
      <w:sz w:val="20"/>
      <w:szCs w:val="20"/>
      <w:u w:val="none"/>
    </w:rPr>
  </w:style>
  <w:style w:type="character" w:customStyle="1" w:styleId="40">
    <w:name w:val="font101"/>
    <w:basedOn w:val="26"/>
    <w:qFormat/>
    <w:uiPriority w:val="0"/>
    <w:rPr>
      <w:rFonts w:hint="default" w:ascii="Times New Roman" w:hAnsi="Times New Roman" w:cs="Times New Roman"/>
      <w:color w:val="000000"/>
      <w:sz w:val="21"/>
      <w:szCs w:val="21"/>
      <w:u w:val="none"/>
    </w:rPr>
  </w:style>
  <w:style w:type="character" w:customStyle="1" w:styleId="41">
    <w:name w:val="font61"/>
    <w:basedOn w:val="26"/>
    <w:qFormat/>
    <w:uiPriority w:val="0"/>
    <w:rPr>
      <w:rFonts w:hint="default" w:ascii="Calibri" w:hAnsi="Calibri" w:cs="Calibri"/>
      <w:color w:val="000000"/>
      <w:sz w:val="20"/>
      <w:szCs w:val="20"/>
      <w:u w:val="none"/>
    </w:rPr>
  </w:style>
  <w:style w:type="character" w:customStyle="1" w:styleId="42">
    <w:name w:val="font91"/>
    <w:basedOn w:val="26"/>
    <w:qFormat/>
    <w:uiPriority w:val="0"/>
    <w:rPr>
      <w:rFonts w:hint="eastAsia" w:ascii="宋体" w:hAnsi="宋体" w:eastAsia="宋体" w:cs="宋体"/>
      <w:color w:val="000000"/>
      <w:sz w:val="20"/>
      <w:szCs w:val="20"/>
      <w:u w:val="none"/>
    </w:rPr>
  </w:style>
  <w:style w:type="character" w:customStyle="1" w:styleId="43">
    <w:name w:val="font41"/>
    <w:basedOn w:val="26"/>
    <w:qFormat/>
    <w:uiPriority w:val="0"/>
    <w:rPr>
      <w:rFonts w:hint="default" w:ascii="仿宋_GB2312" w:eastAsia="仿宋_GB2312" w:cs="仿宋_GB2312"/>
      <w:color w:val="000000"/>
      <w:sz w:val="24"/>
      <w:szCs w:val="24"/>
      <w:u w:val="none"/>
    </w:rPr>
  </w:style>
  <w:style w:type="character" w:customStyle="1" w:styleId="44">
    <w:name w:val="font01"/>
    <w:basedOn w:val="26"/>
    <w:qFormat/>
    <w:uiPriority w:val="0"/>
    <w:rPr>
      <w:rFonts w:hint="eastAsia" w:ascii="宋体" w:hAnsi="宋体" w:eastAsia="宋体" w:cs="宋体"/>
      <w:color w:val="000000"/>
      <w:sz w:val="22"/>
      <w:szCs w:val="22"/>
      <w:u w:val="none"/>
    </w:rPr>
  </w:style>
  <w:style w:type="character" w:customStyle="1" w:styleId="45">
    <w:name w:val="列表段落 字符"/>
    <w:link w:val="46"/>
    <w:qFormat/>
    <w:uiPriority w:val="34"/>
  </w:style>
  <w:style w:type="paragraph" w:styleId="46">
    <w:name w:val="List Paragraph"/>
    <w:basedOn w:val="1"/>
    <w:link w:val="45"/>
    <w:qFormat/>
    <w:uiPriority w:val="34"/>
    <w:pPr>
      <w:ind w:firstLine="420" w:firstLineChars="200"/>
    </w:pPr>
  </w:style>
  <w:style w:type="character" w:customStyle="1" w:styleId="47">
    <w:name w:val="font11"/>
    <w:basedOn w:val="26"/>
    <w:qFormat/>
    <w:uiPriority w:val="0"/>
    <w:rPr>
      <w:rFonts w:hint="eastAsia" w:ascii="宋体" w:hAnsi="宋体" w:eastAsia="宋体" w:cs="宋体"/>
      <w:color w:val="000000"/>
      <w:sz w:val="22"/>
      <w:szCs w:val="22"/>
      <w:u w:val="none"/>
    </w:rPr>
  </w:style>
  <w:style w:type="character" w:customStyle="1" w:styleId="48">
    <w:name w:val="font31"/>
    <w:qFormat/>
    <w:uiPriority w:val="0"/>
    <w:rPr>
      <w:rFonts w:ascii="Calibri" w:hAnsi="Calibri" w:cs="Calibri"/>
      <w:color w:val="000000"/>
      <w:sz w:val="18"/>
      <w:szCs w:val="18"/>
      <w:u w:val="none"/>
    </w:rPr>
  </w:style>
  <w:style w:type="character" w:customStyle="1" w:styleId="49">
    <w:name w:val="font141"/>
    <w:basedOn w:val="26"/>
    <w:qFormat/>
    <w:uiPriority w:val="0"/>
    <w:rPr>
      <w:rFonts w:hint="eastAsia" w:ascii="宋体" w:hAnsi="宋体" w:eastAsia="宋体" w:cs="宋体"/>
      <w:color w:val="000000"/>
      <w:sz w:val="22"/>
      <w:szCs w:val="22"/>
      <w:u w:val="none"/>
    </w:rPr>
  </w:style>
  <w:style w:type="character" w:customStyle="1" w:styleId="50">
    <w:name w:val="font122"/>
    <w:qFormat/>
    <w:uiPriority w:val="0"/>
    <w:rPr>
      <w:rFonts w:hint="eastAsia" w:ascii="宋体" w:hAnsi="宋体" w:eastAsia="宋体" w:cs="宋体"/>
      <w:color w:val="000000"/>
      <w:sz w:val="20"/>
      <w:szCs w:val="20"/>
      <w:u w:val="none"/>
    </w:rPr>
  </w:style>
  <w:style w:type="character" w:customStyle="1" w:styleId="51">
    <w:name w:val="font71"/>
    <w:qFormat/>
    <w:uiPriority w:val="0"/>
    <w:rPr>
      <w:rFonts w:ascii="Calibri" w:hAnsi="Calibri" w:cs="Calibri"/>
      <w:color w:val="000000"/>
      <w:sz w:val="20"/>
      <w:szCs w:val="20"/>
      <w:u w:val="none"/>
    </w:rPr>
  </w:style>
  <w:style w:type="character" w:customStyle="1" w:styleId="52">
    <w:name w:val="正文文本 3 Char"/>
    <w:qFormat/>
    <w:uiPriority w:val="99"/>
    <w:rPr>
      <w:sz w:val="16"/>
      <w:szCs w:val="16"/>
    </w:rPr>
  </w:style>
  <w:style w:type="character" w:customStyle="1" w:styleId="53">
    <w:name w:val="font111"/>
    <w:basedOn w:val="26"/>
    <w:qFormat/>
    <w:uiPriority w:val="0"/>
    <w:rPr>
      <w:rFonts w:hint="default" w:ascii="Times New Roman" w:hAnsi="Times New Roman" w:cs="Times New Roman"/>
      <w:color w:val="000000"/>
      <w:sz w:val="21"/>
      <w:szCs w:val="21"/>
      <w:u w:val="none"/>
    </w:rPr>
  </w:style>
  <w:style w:type="paragraph" w:customStyle="1" w:styleId="54">
    <w:name w:val="CM91"/>
    <w:basedOn w:val="14"/>
    <w:next w:val="14"/>
    <w:qFormat/>
    <w:uiPriority w:val="0"/>
    <w:pPr>
      <w:spacing w:after="160"/>
    </w:pPr>
    <w:rPr>
      <w:color w:val="auto"/>
    </w:rPr>
  </w:style>
  <w:style w:type="paragraph" w:customStyle="1" w:styleId="55">
    <w:name w:val="CM97"/>
    <w:basedOn w:val="14"/>
    <w:next w:val="14"/>
    <w:qFormat/>
    <w:uiPriority w:val="0"/>
    <w:pPr>
      <w:spacing w:after="373"/>
    </w:pPr>
    <w:rPr>
      <w:color w:val="auto"/>
    </w:rPr>
  </w:style>
  <w:style w:type="paragraph" w:customStyle="1" w:styleId="5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7">
    <w:name w:val="WPSOffice手动目录 2"/>
    <w:qFormat/>
    <w:uiPriority w:val="0"/>
    <w:pPr>
      <w:ind w:left="200" w:leftChars="200"/>
    </w:pPr>
    <w:rPr>
      <w:rFonts w:ascii="Calibri" w:hAnsi="Calibri" w:eastAsia="宋体" w:cs="Times New Roman"/>
      <w:lang w:val="en-US" w:eastAsia="zh-CN" w:bidi="ar-SA"/>
    </w:rPr>
  </w:style>
  <w:style w:type="paragraph" w:customStyle="1" w:styleId="58">
    <w:name w:val="WPSOffice手动目录 3"/>
    <w:qFormat/>
    <w:uiPriority w:val="0"/>
    <w:pPr>
      <w:ind w:left="400" w:leftChars="400"/>
    </w:pPr>
    <w:rPr>
      <w:rFonts w:ascii="Calibri" w:hAnsi="Calibri" w:eastAsia="宋体" w:cs="Times New Roman"/>
      <w:lang w:val="en-US" w:eastAsia="zh-CN" w:bidi="ar-SA"/>
    </w:rPr>
  </w:style>
  <w:style w:type="paragraph" w:customStyle="1" w:styleId="59">
    <w:name w:val="Char"/>
    <w:basedOn w:val="1"/>
    <w:qFormat/>
    <w:uiPriority w:val="0"/>
    <w:pPr>
      <w:spacing w:line="480" w:lineRule="exact"/>
    </w:pPr>
    <w:rPr>
      <w:sz w:val="24"/>
    </w:rPr>
  </w:style>
  <w:style w:type="paragraph" w:customStyle="1" w:styleId="60">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1">
    <w:name w:val="表格文字"/>
    <w:basedOn w:val="1"/>
    <w:next w:val="10"/>
    <w:qFormat/>
    <w:uiPriority w:val="0"/>
    <w:pPr>
      <w:jc w:val="left"/>
    </w:pPr>
    <w:rPr>
      <w:bCs/>
      <w:spacing w:val="10"/>
      <w:kern w:val="0"/>
      <w:sz w:val="24"/>
      <w:szCs w:val="20"/>
    </w:rPr>
  </w:style>
  <w:style w:type="paragraph" w:customStyle="1" w:styleId="62">
    <w:name w:val="Revision"/>
    <w:semiHidden/>
    <w:qFormat/>
    <w:uiPriority w:val="99"/>
    <w:rPr>
      <w:rFonts w:ascii="Calibri" w:hAnsi="Calibri" w:eastAsia="宋体" w:cs="Times New Roman"/>
      <w:kern w:val="2"/>
      <w:sz w:val="21"/>
      <w:szCs w:val="22"/>
      <w:lang w:val="en-US" w:eastAsia="zh-CN" w:bidi="ar-SA"/>
    </w:rPr>
  </w:style>
  <w:style w:type="paragraph" w:customStyle="1" w:styleId="63">
    <w:name w:val="1"/>
    <w:basedOn w:val="1"/>
    <w:next w:val="13"/>
    <w:qFormat/>
    <w:uiPriority w:val="99"/>
    <w:rPr>
      <w:rFonts w:ascii="宋体" w:hAnsi="Courier New"/>
    </w:rPr>
  </w:style>
  <w:style w:type="paragraph" w:customStyle="1" w:styleId="64">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styleId="6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
    <w:name w:val="WPSOffice手动目录 1"/>
    <w:qFormat/>
    <w:uiPriority w:val="0"/>
    <w:rPr>
      <w:rFonts w:ascii="Calibri" w:hAnsi="Calibri" w:eastAsia="宋体" w:cs="Times New Roman"/>
      <w:lang w:val="en-US" w:eastAsia="zh-CN" w:bidi="ar-SA"/>
    </w:rPr>
  </w:style>
  <w:style w:type="paragraph" w:customStyle="1" w:styleId="67">
    <w:name w:val="_Style 8"/>
    <w:basedOn w:val="1"/>
    <w:next w:val="46"/>
    <w:qFormat/>
    <w:uiPriority w:val="34"/>
    <w:pPr>
      <w:ind w:firstLine="420" w:firstLineChars="200"/>
    </w:pPr>
    <w:rPr>
      <w:rFonts w:ascii="Times New Roman"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124</Pages>
  <Words>56543</Words>
  <Characters>71777</Characters>
  <Lines>491</Lines>
  <Paragraphs>138</Paragraphs>
  <TotalTime>31</TotalTime>
  <ScaleCrop>false</ScaleCrop>
  <LinksUpToDate>false</LinksUpToDate>
  <CharactersWithSpaces>74180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2022-12-09T01:49:00Z</dcterms:created>
  <dc:creator>陈义春</dc:creator>
  <cp:lastModifiedBy>琳</cp:lastModifiedBy>
  <cp:lastPrinted>2023-01-31T01:05:00Z</cp:lastPrinted>
  <dcterms:modified xsi:type="dcterms:W3CDTF">2023-12-28T00:52:47Z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CA6843EE843E4756BF88665E9A4D4150</vt:lpwstr>
  </property>
  <property fmtid="{D5CDD505-2E9C-101B-9397-08002B2CF9AE}" pid="3" name="KSOProductBuildVer">
    <vt:lpwstr>2052-11.8.6.11719</vt:lpwstr>
  </property>
</Properties>
</file>