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rPr>
        <w:t>流动资金贷款</w:t>
      </w:r>
      <w:r>
        <w:rPr>
          <w:rFonts w:hint="eastAsia" w:ascii="方正小标宋简体" w:eastAsia="方正小标宋简体"/>
          <w:color w:val="auto"/>
          <w:sz w:val="52"/>
          <w:szCs w:val="52"/>
          <w:highlight w:val="none"/>
          <w:lang w:val="en-US" w:eastAsia="zh-CN"/>
        </w:rPr>
        <w:t>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17801"/>
      <w:bookmarkStart w:id="5" w:name="_Toc31938"/>
      <w:bookmarkStart w:id="6" w:name="_Toc19609"/>
      <w:bookmarkStart w:id="7" w:name="_Toc11322"/>
      <w:bookmarkStart w:id="8" w:name="_Toc1669"/>
      <w:bookmarkStart w:id="9" w:name="_Toc7519"/>
      <w:bookmarkStart w:id="10" w:name="_Toc4275"/>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w:pict>
          <v:shape id="_x0000_s1026" o:spid="_x0000_s1026"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1027" o:spid="_x0000_s1027"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广州市净水有限公司流动资金贷款采购项目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w:t>
      </w:r>
      <w:r>
        <w:rPr>
          <w:rFonts w:hint="eastAsia" w:ascii="仿宋_GB2312" w:eastAsia="仿宋_GB2312"/>
          <w:sz w:val="28"/>
          <w:szCs w:val="28"/>
          <w:highlight w:val="none"/>
          <w:u w:val="single"/>
          <w:lang w:val="en-US" w:eastAsia="zh-CN"/>
        </w:rPr>
        <w:t>请采购</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w:t>
      </w:r>
      <w:r>
        <w:rPr>
          <w:rFonts w:hint="eastAsia" w:ascii="仿宋_GB2312" w:eastAsia="仿宋_GB2312"/>
          <w:sz w:val="28"/>
          <w:szCs w:val="28"/>
          <w:highlight w:val="none"/>
          <w:u w:val="single"/>
          <w:lang w:val="en-US" w:eastAsia="zh-CN"/>
        </w:rPr>
        <w:t>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广州市净水有限公司流动资金贷款采购项目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lang w:val="en-US" w:eastAsia="zh-CN"/>
        </w:rPr>
        <w:t>XJ-20231225-1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 w:hAnsi="仿宋" w:eastAsia="仿宋" w:cs="仿宋"/>
          <w:color w:val="000000" w:themeColor="text1"/>
          <w:sz w:val="28"/>
          <w:szCs w:val="28"/>
          <w:highlight w:val="none"/>
          <w:u w:val="single"/>
        </w:rPr>
        <w:t>一年期贷款市场报价利率（LPR）</w:t>
      </w:r>
      <w:r>
        <w:rPr>
          <w:rFonts w:hint="eastAsia" w:ascii="仿宋" w:hAnsi="仿宋" w:eastAsia="仿宋" w:cs="仿宋"/>
          <w:color w:val="auto"/>
          <w:sz w:val="28"/>
          <w:szCs w:val="28"/>
          <w:highlight w:val="none"/>
          <w:u w:val="single"/>
        </w:rPr>
        <w:t>（目前为</w:t>
      </w:r>
      <w:r>
        <w:rPr>
          <w:rFonts w:hint="eastAsia" w:ascii="仿宋" w:hAnsi="仿宋" w:eastAsia="仿宋" w:cs="仿宋"/>
          <w:color w:val="000000" w:themeColor="text1"/>
          <w:sz w:val="28"/>
          <w:szCs w:val="28"/>
          <w:highlight w:val="none"/>
          <w:u w:val="single"/>
        </w:rPr>
        <w:t>3.45%</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，标段一最高利率限价为3.45%，标段二最高利率限价为3.45%</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 w:hAnsi="仿宋" w:eastAsia="仿宋" w:cs="仿宋"/>
          <w:color w:val="auto"/>
          <w:sz w:val="28"/>
          <w:szCs w:val="28"/>
          <w:highlight w:val="none"/>
        </w:rPr>
        <w:t xml:space="preserve">注： </w:t>
      </w:r>
      <w:r>
        <w:rPr>
          <w:rFonts w:hint="eastAsia" w:ascii="仿宋" w:hAnsi="仿宋" w:eastAsia="仿宋" w:cs="仿宋"/>
          <w:color w:val="000000" w:themeColor="text1"/>
          <w:sz w:val="28"/>
          <w:szCs w:val="28"/>
          <w:highlight w:val="none"/>
        </w:rPr>
        <w:t>根据2023年</w:t>
      </w:r>
      <w:r>
        <w:rPr>
          <w:rFonts w:hint="eastAsia" w:ascii="仿宋" w:hAnsi="仿宋" w:eastAsia="仿宋" w:cs="仿宋"/>
          <w:color w:val="000000" w:themeColor="text1"/>
          <w:sz w:val="28"/>
          <w:szCs w:val="28"/>
          <w:highlight w:val="none"/>
          <w:lang w:eastAsia="zh-CN"/>
        </w:rPr>
        <w:t>1</w:t>
      </w:r>
      <w:r>
        <w:rPr>
          <w:rFonts w:hint="eastAsia" w:ascii="仿宋" w:hAnsi="仿宋" w:eastAsia="仿宋" w:cs="仿宋"/>
          <w:color w:val="000000" w:themeColor="text1"/>
          <w:sz w:val="28"/>
          <w:szCs w:val="28"/>
          <w:highlight w:val="none"/>
          <w:lang w:val="en-US" w:eastAsia="zh-CN"/>
        </w:rPr>
        <w:t>2</w:t>
      </w:r>
      <w:r>
        <w:rPr>
          <w:rFonts w:hint="eastAsia" w:ascii="仿宋" w:hAnsi="仿宋" w:eastAsia="仿宋" w:cs="仿宋"/>
          <w:color w:val="000000" w:themeColor="text1"/>
          <w:sz w:val="28"/>
          <w:szCs w:val="28"/>
          <w:highlight w:val="none"/>
        </w:rPr>
        <w:t>月20日中国人民银行授权全国银行间同业拆借中心发布的公告，1年期LPR为3.45%</w:t>
      </w:r>
      <w:r>
        <w:rPr>
          <w:rFonts w:hint="eastAsia" w:ascii="仿宋" w:hAnsi="仿宋" w:eastAsia="仿宋" w:cs="仿宋"/>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本采购项目划分为 2个标段，供应商可兼投但不可兼中。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选取两家贷款银行，分别提供6亿元的流动资金贷款，共提供12亿元的流动资金贷款。第一标段贷款额度为6亿元，第二标段贷款额度为6亿元。</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w:t>
      </w:r>
      <w:r>
        <w:rPr>
          <w:rFonts w:hint="eastAsia" w:ascii="仿宋_GB2312" w:eastAsia="仿宋_GB2312" w:hAnsiTheme="minorHAnsi" w:cstheme="minorBidi"/>
          <w:b w:val="0"/>
          <w:bCs w:val="0"/>
          <w:color w:val="auto"/>
          <w:sz w:val="28"/>
          <w:szCs w:val="28"/>
          <w:highlight w:val="none"/>
          <w:u w:val="single"/>
          <w:lang w:val="en-US" w:eastAsia="zh-CN"/>
        </w:rPr>
        <w:t>贷款期限3年</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□货物质量标准或主要技术性能指标 </w:t>
      </w:r>
    </w:p>
    <w:p>
      <w:pPr>
        <w:adjustRightInd/>
        <w:snapToGrid/>
        <w:spacing w:line="240" w:lineRule="auto"/>
        <w:ind w:left="0" w:right="0" w:rightChars="0" w:firstLine="0" w:firstLineChars="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供应商需在我司每次提供完整提款资料后10个日历日内放款。</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供应商必须为中华人民共和国境内注册成立并合法存续的法人或其分支机构，</w:t>
      </w:r>
      <w:r>
        <w:rPr>
          <w:rFonts w:hint="eastAsia" w:ascii="仿宋_GB2312" w:eastAsia="仿宋_GB2312"/>
          <w:color w:val="auto"/>
          <w:sz w:val="28"/>
          <w:szCs w:val="28"/>
          <w:highlight w:val="none"/>
          <w:lang w:eastAsia="zh-CN"/>
        </w:rPr>
        <w:t>持有事业单位登记管理部门核发的事业单位法人证书或工商行政管理部门核发的营业执照，且在有效期内。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供应商须具备监管机构批复的金融许可证（</w:t>
      </w:r>
      <w:r>
        <w:rPr>
          <w:rFonts w:hint="eastAsia" w:ascii="仿宋_GB2312" w:eastAsia="仿宋_GB2312"/>
          <w:color w:val="auto"/>
          <w:sz w:val="28"/>
          <w:szCs w:val="28"/>
          <w:highlight w:val="none"/>
          <w:lang w:val="en-US" w:eastAsia="zh-CN"/>
        </w:rPr>
        <w:t>提供复印件证明，加盖单位公章</w:t>
      </w:r>
      <w:r>
        <w:rPr>
          <w:rFonts w:hint="eastAsia" w:ascii="仿宋_GB2312" w:eastAsia="仿宋_GB2312"/>
          <w:color w:val="auto"/>
          <w:sz w:val="28"/>
          <w:szCs w:val="28"/>
          <w:highlight w:val="none"/>
          <w:lang w:val="zh-CN" w:eastAsia="zh-CN"/>
        </w:rPr>
        <w:t>）。</w:t>
      </w:r>
    </w:p>
    <w:p>
      <w:pPr>
        <w:adjustRightInd w:val="0"/>
        <w:snapToGrid w:val="0"/>
        <w:spacing w:line="600" w:lineRule="exact"/>
        <w:ind w:firstLine="0"/>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业绩要求：</w:t>
      </w:r>
      <w:r>
        <w:rPr>
          <w:rFonts w:hint="eastAsia" w:ascii="仿宋_GB2312" w:eastAsia="仿宋_GB2312"/>
          <w:color w:val="auto"/>
          <w:sz w:val="28"/>
          <w:szCs w:val="28"/>
          <w:highlight w:val="none"/>
          <w:lang w:val="en-US" w:eastAsia="zh-CN"/>
        </w:rPr>
        <w:t>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.1递交响应文件集合时间：202</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日9时</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分至202</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3日</w:t>
      </w:r>
      <w:r>
        <w:rPr>
          <w:rFonts w:hint="eastAsia" w:ascii="仿宋_GB2312" w:eastAsia="仿宋_GB2312"/>
          <w:color w:val="auto"/>
          <w:sz w:val="28"/>
          <w:szCs w:val="28"/>
          <w:highlight w:val="none"/>
        </w:rPr>
        <w:t>10时00分（北京时间）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non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3</w:t>
      </w:r>
      <w:bookmarkStart w:id="135" w:name="_GoBack"/>
      <w:bookmarkEnd w:id="135"/>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林工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020-62315524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9448"/>
      <w:bookmarkStart w:id="15" w:name="_Toc19295"/>
      <w:bookmarkStart w:id="16" w:name="_Toc32588"/>
      <w:bookmarkStart w:id="17" w:name="_Toc23749"/>
      <w:bookmarkStart w:id="18" w:name="_Toc2331"/>
      <w:bookmarkStart w:id="19" w:name="_Toc7340"/>
      <w:bookmarkStart w:id="20" w:name="_Toc25603"/>
      <w:bookmarkStart w:id="21" w:name="_Toc2324"/>
      <w:bookmarkStart w:id="22" w:name="_Toc16557"/>
      <w:bookmarkStart w:id="23" w:name="_Toc16705"/>
    </w:p>
    <w:p>
      <w:pPr>
        <w:pStyle w:val="3"/>
        <w:rPr>
          <w:color w:val="auto"/>
          <w:highlight w:val="none"/>
        </w:rPr>
      </w:pPr>
      <w:r>
        <w:rPr>
          <w:color w:val="auto"/>
          <w:highlight w:val="none"/>
        </w:rPr>
        <w:pict>
          <v:shape id="_x0000_s1028" o:spid="_x0000_s1028"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1029" o:spid="_x0000_s1029"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firstLine="0"/>
        <w:rPr>
          <w:rFonts w:hint="eastAsia"/>
          <w:highlight w:val="none"/>
        </w:rPr>
      </w:pPr>
    </w:p>
    <w:p>
      <w:pPr>
        <w:pStyle w:val="23"/>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w:t>
            </w:r>
            <w:r>
              <w:rPr>
                <w:rFonts w:hint="eastAsia" w:ascii="仿宋_GB2312" w:eastAsia="仿宋_GB2312" w:hAnsiTheme="minorEastAsia"/>
                <w:color w:val="auto"/>
                <w:sz w:val="24"/>
                <w:szCs w:val="24"/>
                <w:highlight w:val="none"/>
              </w:rPr>
              <w:t>一年期贷款市场报价利率（LPR）（目前为3.45%），标段一最高利率限价为3.45%，标段二最高利率限价为3.45%</w:t>
            </w:r>
            <w:r>
              <w:rPr>
                <w:rFonts w:hint="eastAsia" w:ascii="仿宋_GB2312" w:eastAsia="仿宋_GB2312" w:hAnsiTheme="minorEastAsia"/>
                <w:color w:val="auto"/>
                <w:sz w:val="24"/>
                <w:szCs w:val="24"/>
                <w:highlight w:val="none"/>
                <w:lang w:val="en-US" w:eastAsia="zh-CN"/>
              </w:rPr>
              <w:t>。报价单位的下浮率若高于40%，必须在响应文件实质性响应一览表中说明报价理由，并提供相关证明材料对其进行说明。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本项目拟划分两个标段，供应商可兼投但不可兼中。</w:t>
            </w:r>
          </w:p>
          <w:p>
            <w:pPr>
              <w:adjustRightInd w:val="0"/>
              <w:snapToGrid w:val="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同一</w:t>
            </w:r>
            <w:r>
              <w:rPr>
                <w:rFonts w:hint="eastAsia" w:ascii="仿宋_GB2312" w:eastAsia="仿宋_GB2312" w:hAnsiTheme="minorEastAsia"/>
                <w:color w:val="auto"/>
                <w:sz w:val="24"/>
                <w:szCs w:val="24"/>
                <w:highlight w:val="none"/>
                <w:lang w:eastAsia="zh-CN"/>
              </w:rPr>
              <w:t>供应商</w:t>
            </w:r>
            <w:r>
              <w:rPr>
                <w:rFonts w:hint="eastAsia" w:ascii="仿宋_GB2312" w:eastAsia="仿宋_GB2312" w:hAnsiTheme="minorEastAsia"/>
                <w:color w:val="auto"/>
                <w:sz w:val="24"/>
                <w:szCs w:val="24"/>
                <w:highlight w:val="none"/>
              </w:rPr>
              <w:t>可就本项目一个</w:t>
            </w:r>
            <w:r>
              <w:rPr>
                <w:rFonts w:hint="eastAsia" w:ascii="仿宋_GB2312" w:eastAsia="仿宋_GB2312" w:hAnsiTheme="minorEastAsia"/>
                <w:color w:val="auto"/>
                <w:sz w:val="24"/>
                <w:szCs w:val="24"/>
                <w:highlight w:val="none"/>
                <w:lang w:val="en-US" w:eastAsia="zh-CN"/>
              </w:rPr>
              <w:t>标段</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val="en-US" w:eastAsia="zh-CN"/>
              </w:rPr>
              <w:t>两</w:t>
            </w:r>
            <w:r>
              <w:rPr>
                <w:rFonts w:hint="eastAsia" w:ascii="仿宋_GB2312" w:eastAsia="仿宋_GB2312" w:hAnsiTheme="minorEastAsia"/>
                <w:color w:val="auto"/>
                <w:sz w:val="24"/>
                <w:szCs w:val="24"/>
                <w:highlight w:val="none"/>
              </w:rPr>
              <w:t>个</w:t>
            </w:r>
            <w:r>
              <w:rPr>
                <w:rFonts w:hint="eastAsia" w:ascii="仿宋_GB2312" w:eastAsia="仿宋_GB2312" w:hAnsiTheme="minorEastAsia"/>
                <w:color w:val="auto"/>
                <w:sz w:val="24"/>
                <w:szCs w:val="24"/>
                <w:highlight w:val="none"/>
                <w:lang w:val="en-US" w:eastAsia="zh-CN"/>
              </w:rPr>
              <w:t>标段</w:t>
            </w:r>
            <w:r>
              <w:rPr>
                <w:rFonts w:hint="eastAsia" w:ascii="仿宋_GB2312" w:eastAsia="仿宋_GB2312" w:hAnsiTheme="minorEastAsia"/>
                <w:color w:val="auto"/>
                <w:sz w:val="24"/>
                <w:szCs w:val="24"/>
                <w:highlight w:val="none"/>
              </w:rPr>
              <w:t>进行报价，本项目按</w:t>
            </w:r>
            <w:r>
              <w:rPr>
                <w:rFonts w:hint="eastAsia" w:ascii="仿宋_GB2312" w:eastAsia="仿宋_GB2312" w:hAnsiTheme="minorEastAsia"/>
                <w:color w:val="auto"/>
                <w:sz w:val="24"/>
                <w:szCs w:val="24"/>
                <w:highlight w:val="none"/>
                <w:lang w:val="en-US" w:eastAsia="zh-CN"/>
              </w:rPr>
              <w:t>标段</w:t>
            </w:r>
            <w:r>
              <w:rPr>
                <w:rFonts w:hint="eastAsia" w:ascii="仿宋_GB2312" w:eastAsia="仿宋_GB2312" w:hAnsiTheme="minorEastAsia"/>
                <w:color w:val="auto"/>
                <w:sz w:val="24"/>
                <w:szCs w:val="24"/>
                <w:highlight w:val="none"/>
              </w:rPr>
              <w:t>一、</w:t>
            </w:r>
            <w:r>
              <w:rPr>
                <w:rFonts w:hint="eastAsia" w:ascii="仿宋_GB2312" w:eastAsia="仿宋_GB2312" w:hAnsiTheme="minorEastAsia"/>
                <w:color w:val="auto"/>
                <w:sz w:val="24"/>
                <w:szCs w:val="24"/>
                <w:highlight w:val="none"/>
                <w:lang w:val="en-US" w:eastAsia="zh-CN"/>
              </w:rPr>
              <w:t>标段</w:t>
            </w:r>
            <w:r>
              <w:rPr>
                <w:rFonts w:hint="eastAsia" w:ascii="仿宋_GB2312" w:eastAsia="仿宋_GB2312" w:hAnsiTheme="minorEastAsia"/>
                <w:color w:val="auto"/>
                <w:sz w:val="24"/>
                <w:szCs w:val="24"/>
                <w:highlight w:val="none"/>
              </w:rPr>
              <w:t>二的顺序评审及推荐各</w:t>
            </w:r>
            <w:r>
              <w:rPr>
                <w:rFonts w:hint="eastAsia" w:ascii="仿宋_GB2312" w:eastAsia="仿宋_GB2312" w:hAnsiTheme="minorEastAsia"/>
                <w:color w:val="auto"/>
                <w:sz w:val="24"/>
                <w:szCs w:val="24"/>
                <w:highlight w:val="none"/>
                <w:lang w:val="en-US" w:eastAsia="zh-CN"/>
              </w:rPr>
              <w:t>标段</w:t>
            </w:r>
            <w:r>
              <w:rPr>
                <w:rFonts w:hint="eastAsia" w:ascii="仿宋_GB2312" w:eastAsia="仿宋_GB2312" w:hAnsiTheme="minorEastAsia"/>
                <w:color w:val="auto"/>
                <w:sz w:val="24"/>
                <w:szCs w:val="24"/>
                <w:highlight w:val="none"/>
                <w:lang w:eastAsia="zh-CN"/>
              </w:rPr>
              <w:t>候选成交供应商</w:t>
            </w:r>
            <w:r>
              <w:rPr>
                <w:rFonts w:hint="eastAsia" w:ascii="仿宋_GB2312" w:eastAsia="仿宋_GB2312" w:hAnsiTheme="minorEastAsia"/>
                <w:color w:val="auto"/>
                <w:sz w:val="24"/>
                <w:szCs w:val="24"/>
                <w:highlight w:val="none"/>
              </w:rPr>
              <w:t>，推荐所报总价由低到高排序前2名为该</w:t>
            </w:r>
            <w:r>
              <w:rPr>
                <w:rFonts w:hint="eastAsia" w:ascii="仿宋_GB2312" w:eastAsia="仿宋_GB2312" w:hAnsiTheme="minorEastAsia"/>
                <w:color w:val="auto"/>
                <w:sz w:val="24"/>
                <w:szCs w:val="24"/>
                <w:highlight w:val="none"/>
                <w:lang w:eastAsia="zh-CN"/>
              </w:rPr>
              <w:t>包组</w:t>
            </w:r>
            <w:r>
              <w:rPr>
                <w:rFonts w:hint="eastAsia" w:ascii="仿宋_GB2312" w:eastAsia="仿宋_GB2312" w:hAnsiTheme="minorEastAsia"/>
                <w:color w:val="auto"/>
                <w:sz w:val="24"/>
                <w:szCs w:val="24"/>
                <w:highlight w:val="none"/>
              </w:rPr>
              <w:t>的第一、第二候选人。若某个</w:t>
            </w:r>
            <w:r>
              <w:rPr>
                <w:rFonts w:hint="eastAsia" w:ascii="仿宋_GB2312" w:eastAsia="仿宋_GB2312" w:hAnsiTheme="minorEastAsia"/>
                <w:color w:val="auto"/>
                <w:sz w:val="24"/>
                <w:szCs w:val="24"/>
                <w:highlight w:val="none"/>
                <w:lang w:eastAsia="zh-CN"/>
              </w:rPr>
              <w:t>供应商</w:t>
            </w:r>
            <w:r>
              <w:rPr>
                <w:rFonts w:hint="eastAsia" w:ascii="仿宋_GB2312" w:eastAsia="仿宋_GB2312" w:hAnsiTheme="minorEastAsia"/>
                <w:color w:val="auto"/>
                <w:sz w:val="24"/>
                <w:szCs w:val="24"/>
                <w:highlight w:val="none"/>
              </w:rPr>
              <w:t>按</w:t>
            </w:r>
            <w:r>
              <w:rPr>
                <w:rFonts w:hint="eastAsia" w:ascii="仿宋_GB2312" w:eastAsia="仿宋_GB2312" w:hAnsiTheme="minorEastAsia"/>
                <w:color w:val="auto"/>
                <w:sz w:val="24"/>
                <w:szCs w:val="24"/>
                <w:highlight w:val="none"/>
                <w:lang w:val="en-US" w:eastAsia="zh-CN"/>
              </w:rPr>
              <w:t>标段</w:t>
            </w:r>
            <w:r>
              <w:rPr>
                <w:rFonts w:hint="eastAsia" w:ascii="仿宋_GB2312" w:eastAsia="仿宋_GB2312" w:hAnsiTheme="minorEastAsia"/>
                <w:color w:val="auto"/>
                <w:sz w:val="24"/>
                <w:szCs w:val="24"/>
                <w:highlight w:val="none"/>
              </w:rPr>
              <w:t>的顺序已被推荐为</w:t>
            </w:r>
            <w:r>
              <w:rPr>
                <w:rFonts w:hint="eastAsia" w:ascii="仿宋_GB2312" w:eastAsia="仿宋_GB2312" w:hAnsiTheme="minorEastAsia"/>
                <w:color w:val="auto"/>
                <w:sz w:val="24"/>
                <w:szCs w:val="24"/>
                <w:highlight w:val="none"/>
                <w:lang w:val="en-US" w:eastAsia="zh-CN"/>
              </w:rPr>
              <w:t>标段一</w:t>
            </w:r>
            <w:r>
              <w:rPr>
                <w:rFonts w:hint="eastAsia" w:ascii="仿宋_GB2312" w:eastAsia="仿宋_GB2312" w:hAnsiTheme="minorEastAsia"/>
                <w:color w:val="auto"/>
                <w:sz w:val="24"/>
                <w:szCs w:val="24"/>
                <w:highlight w:val="none"/>
              </w:rPr>
              <w:t>的第一</w:t>
            </w:r>
            <w:r>
              <w:rPr>
                <w:rFonts w:hint="eastAsia" w:ascii="仿宋_GB2312" w:eastAsia="仿宋_GB2312" w:hAnsiTheme="minorEastAsia"/>
                <w:color w:val="auto"/>
                <w:sz w:val="24"/>
                <w:szCs w:val="24"/>
                <w:highlight w:val="none"/>
                <w:lang w:eastAsia="zh-CN"/>
              </w:rPr>
              <w:t>候选成交供应商</w:t>
            </w:r>
            <w:r>
              <w:rPr>
                <w:rFonts w:hint="eastAsia" w:ascii="仿宋_GB2312" w:eastAsia="仿宋_GB2312" w:hAnsiTheme="minorEastAsia"/>
                <w:color w:val="auto"/>
                <w:sz w:val="24"/>
                <w:szCs w:val="24"/>
                <w:highlight w:val="none"/>
              </w:rPr>
              <w:t>，其不能被推荐为</w:t>
            </w:r>
            <w:r>
              <w:rPr>
                <w:rFonts w:hint="eastAsia" w:ascii="仿宋_GB2312" w:eastAsia="仿宋_GB2312" w:hAnsiTheme="minorEastAsia"/>
                <w:color w:val="auto"/>
                <w:sz w:val="24"/>
                <w:szCs w:val="24"/>
                <w:highlight w:val="none"/>
                <w:lang w:val="en-US" w:eastAsia="zh-CN"/>
              </w:rPr>
              <w:t>标段二</w:t>
            </w:r>
            <w:r>
              <w:rPr>
                <w:rFonts w:hint="eastAsia" w:ascii="仿宋_GB2312" w:eastAsia="仿宋_GB2312" w:hAnsiTheme="minorEastAsia"/>
                <w:color w:val="auto"/>
                <w:sz w:val="24"/>
                <w:szCs w:val="24"/>
                <w:highlight w:val="none"/>
              </w:rPr>
              <w:t>的</w:t>
            </w:r>
            <w:r>
              <w:rPr>
                <w:rFonts w:hint="eastAsia" w:ascii="仿宋_GB2312" w:eastAsia="仿宋_GB2312" w:hAnsiTheme="minorEastAsia"/>
                <w:color w:val="auto"/>
                <w:sz w:val="24"/>
                <w:szCs w:val="24"/>
                <w:highlight w:val="none"/>
                <w:lang w:val="en-US" w:eastAsia="zh-CN"/>
              </w:rPr>
              <w:t>第一</w:t>
            </w:r>
            <w:r>
              <w:rPr>
                <w:rFonts w:hint="eastAsia" w:ascii="仿宋_GB2312" w:eastAsia="仿宋_GB2312" w:hAnsiTheme="minorEastAsia"/>
                <w:color w:val="auto"/>
                <w:sz w:val="24"/>
                <w:szCs w:val="24"/>
                <w:highlight w:val="none"/>
                <w:lang w:eastAsia="zh-CN"/>
              </w:rPr>
              <w:t>候选成交供应商</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4"/>
                <w:szCs w:val="24"/>
                <w:highlight w:val="none"/>
                <w:lang w:val="en-US" w:eastAsia="zh-CN"/>
              </w:rPr>
              <w:t>但可作为标段二的有效响应供应商；标段二</w:t>
            </w:r>
            <w:r>
              <w:rPr>
                <w:rFonts w:hint="eastAsia" w:ascii="仿宋_GB2312" w:eastAsia="仿宋_GB2312" w:hAnsiTheme="minorEastAsia"/>
                <w:color w:val="auto"/>
                <w:sz w:val="24"/>
                <w:szCs w:val="24"/>
                <w:highlight w:val="none"/>
              </w:rPr>
              <w:t>除去已被推荐为</w:t>
            </w:r>
            <w:r>
              <w:rPr>
                <w:rFonts w:hint="eastAsia" w:ascii="仿宋_GB2312" w:eastAsia="仿宋_GB2312" w:hAnsiTheme="minorEastAsia"/>
                <w:color w:val="auto"/>
                <w:sz w:val="24"/>
                <w:szCs w:val="24"/>
                <w:highlight w:val="none"/>
                <w:lang w:val="en-US" w:eastAsia="zh-CN"/>
              </w:rPr>
              <w:t>标段一</w:t>
            </w:r>
            <w:r>
              <w:rPr>
                <w:rFonts w:hint="eastAsia" w:ascii="仿宋_GB2312" w:eastAsia="仿宋_GB2312" w:hAnsiTheme="minorEastAsia"/>
                <w:color w:val="auto"/>
                <w:sz w:val="24"/>
                <w:szCs w:val="24"/>
                <w:highlight w:val="none"/>
              </w:rPr>
              <w:t>的第一</w:t>
            </w:r>
            <w:r>
              <w:rPr>
                <w:rFonts w:hint="eastAsia" w:ascii="仿宋_GB2312" w:eastAsia="仿宋_GB2312" w:hAnsiTheme="minorEastAsia"/>
                <w:color w:val="auto"/>
                <w:sz w:val="24"/>
                <w:szCs w:val="24"/>
                <w:highlight w:val="none"/>
                <w:lang w:eastAsia="zh-CN"/>
              </w:rPr>
              <w:t>候选成交供应商</w:t>
            </w:r>
            <w:r>
              <w:rPr>
                <w:rFonts w:hint="eastAsia" w:ascii="仿宋_GB2312" w:eastAsia="仿宋_GB2312" w:hAnsiTheme="minorEastAsia"/>
                <w:color w:val="auto"/>
                <w:sz w:val="24"/>
                <w:szCs w:val="24"/>
                <w:highlight w:val="none"/>
              </w:rPr>
              <w:t>之外，按照所报总价由低到高排序依次推荐前2名为该</w:t>
            </w:r>
            <w:r>
              <w:rPr>
                <w:rFonts w:hint="eastAsia" w:ascii="仿宋_GB2312" w:eastAsia="仿宋_GB2312" w:hAnsiTheme="minorEastAsia"/>
                <w:color w:val="auto"/>
                <w:sz w:val="24"/>
                <w:szCs w:val="24"/>
                <w:highlight w:val="none"/>
                <w:lang w:eastAsia="zh-CN"/>
              </w:rPr>
              <w:t>包组</w:t>
            </w:r>
            <w:r>
              <w:rPr>
                <w:rFonts w:hint="eastAsia" w:ascii="仿宋_GB2312" w:eastAsia="仿宋_GB2312" w:hAnsiTheme="minorEastAsia"/>
                <w:color w:val="auto"/>
                <w:sz w:val="24"/>
                <w:szCs w:val="24"/>
                <w:highlight w:val="none"/>
              </w:rPr>
              <w:t>的第一、第二候选</w:t>
            </w:r>
            <w:r>
              <w:rPr>
                <w:rFonts w:hint="eastAsia" w:ascii="仿宋_GB2312" w:eastAsia="仿宋_GB2312" w:hAnsiTheme="minorEastAsia"/>
                <w:color w:val="auto"/>
                <w:sz w:val="24"/>
                <w:szCs w:val="24"/>
                <w:highlight w:val="none"/>
                <w:lang w:eastAsia="zh-CN"/>
              </w:rPr>
              <w:t>成交供应商</w:t>
            </w:r>
            <w:r>
              <w:rPr>
                <w:rFonts w:hint="eastAsia" w:ascii="仿宋_GB2312" w:eastAsia="仿宋_GB2312" w:hAnsiTheme="minorEastAsia"/>
                <w:color w:val="auto"/>
                <w:sz w:val="24"/>
                <w:szCs w:val="24"/>
                <w:highlight w:val="none"/>
              </w:rPr>
              <w:t>。</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若某</w:t>
            </w:r>
            <w:r>
              <w:rPr>
                <w:rFonts w:hint="eastAsia" w:ascii="仿宋_GB2312" w:eastAsia="仿宋_GB2312" w:hAnsiTheme="minorEastAsia"/>
                <w:color w:val="auto"/>
                <w:sz w:val="24"/>
                <w:szCs w:val="24"/>
                <w:highlight w:val="none"/>
                <w:lang w:val="en-US" w:eastAsia="zh-CN"/>
              </w:rPr>
              <w:t>标段</w:t>
            </w:r>
            <w:r>
              <w:rPr>
                <w:rFonts w:hint="eastAsia" w:ascii="仿宋_GB2312" w:eastAsia="仿宋_GB2312" w:hAnsiTheme="minorEastAsia"/>
                <w:color w:val="auto"/>
                <w:sz w:val="24"/>
                <w:szCs w:val="24"/>
                <w:highlight w:val="none"/>
              </w:rPr>
              <w:t>通过符合性审查的</w:t>
            </w:r>
            <w:r>
              <w:rPr>
                <w:rFonts w:hint="eastAsia" w:ascii="仿宋_GB2312" w:eastAsia="仿宋_GB2312" w:hAnsiTheme="minorEastAsia"/>
                <w:color w:val="auto"/>
                <w:sz w:val="24"/>
                <w:szCs w:val="24"/>
                <w:highlight w:val="none"/>
                <w:lang w:eastAsia="zh-CN"/>
              </w:rPr>
              <w:t>供应商</w:t>
            </w:r>
            <w:r>
              <w:rPr>
                <w:rFonts w:hint="eastAsia" w:ascii="仿宋_GB2312" w:eastAsia="仿宋_GB2312" w:hAnsiTheme="minorEastAsia"/>
                <w:color w:val="auto"/>
                <w:sz w:val="24"/>
                <w:szCs w:val="24"/>
                <w:highlight w:val="none"/>
              </w:rPr>
              <w:t>不足2名时，该</w:t>
            </w:r>
            <w:r>
              <w:rPr>
                <w:rFonts w:hint="eastAsia" w:ascii="仿宋_GB2312" w:eastAsia="仿宋_GB2312" w:hAnsiTheme="minorEastAsia"/>
                <w:color w:val="auto"/>
                <w:sz w:val="24"/>
                <w:szCs w:val="24"/>
                <w:highlight w:val="none"/>
                <w:lang w:val="en-US" w:eastAsia="zh-CN"/>
              </w:rPr>
              <w:t>标段</w:t>
            </w:r>
            <w:r>
              <w:rPr>
                <w:rFonts w:hint="eastAsia" w:ascii="仿宋_GB2312" w:eastAsia="仿宋_GB2312" w:hAnsiTheme="minorEastAsia"/>
                <w:color w:val="auto"/>
                <w:sz w:val="24"/>
                <w:szCs w:val="24"/>
                <w:highlight w:val="none"/>
              </w:rPr>
              <w:t>询价失败。</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（10）非法定代表人（单位负责人）或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单位负责人</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0"/>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w:t>
      </w:r>
      <w:r>
        <w:rPr>
          <w:rFonts w:hint="eastAsia" w:ascii="仿宋_GB2312" w:eastAsia="仿宋_GB2312" w:hAnsiTheme="majorEastAsia"/>
          <w:color w:val="auto"/>
          <w:sz w:val="28"/>
          <w:szCs w:val="28"/>
          <w:highlight w:val="none"/>
          <w:lang w:eastAsia="zh-CN"/>
        </w:rPr>
        <w:t>（</w:t>
      </w:r>
      <w:r>
        <w:rPr>
          <w:rFonts w:hint="eastAsia" w:ascii="仿宋_GB2312" w:eastAsia="仿宋_GB2312" w:hAnsiTheme="majorEastAsia"/>
          <w:color w:val="auto"/>
          <w:sz w:val="28"/>
          <w:szCs w:val="28"/>
          <w:highlight w:val="none"/>
          <w:lang w:val="en-US" w:eastAsia="zh-CN"/>
        </w:rPr>
        <w:t>单位负责人）</w:t>
      </w:r>
      <w:r>
        <w:rPr>
          <w:rFonts w:hint="eastAsia" w:ascii="仿宋_GB2312" w:eastAsia="仿宋_GB2312"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w:t>
      </w:r>
      <w:r>
        <w:rPr>
          <w:rFonts w:hint="eastAsia" w:ascii="仿宋_GB2312" w:eastAsia="仿宋_GB2312" w:hAnsiTheme="majorEastAsia"/>
          <w:color w:val="auto"/>
          <w:sz w:val="28"/>
          <w:szCs w:val="28"/>
          <w:highlight w:val="none"/>
          <w:lang w:val="en-US" w:eastAsia="zh-CN"/>
        </w:rPr>
        <w:t>价格</w:t>
      </w:r>
      <w:r>
        <w:rPr>
          <w:rFonts w:hint="eastAsia" w:ascii="仿宋_GB2312" w:eastAsia="仿宋_GB2312" w:hAnsiTheme="majorEastAsia"/>
          <w:color w:val="auto"/>
          <w:sz w:val="28"/>
          <w:szCs w:val="28"/>
          <w:highlight w:val="none"/>
        </w:rPr>
        <w:t>：</w:t>
      </w:r>
      <w:r>
        <w:rPr>
          <w:rFonts w:hint="eastAsia" w:ascii="仿宋_GB2312" w:eastAsia="仿宋_GB2312" w:hAnsiTheme="majorEastAsia"/>
          <w:color w:val="auto"/>
          <w:sz w:val="28"/>
          <w:szCs w:val="28"/>
          <w:highlight w:val="none"/>
          <w:lang w:val="en-US" w:eastAsia="zh-CN"/>
        </w:rPr>
        <w:t>五年期LPR-     bp（即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eastAsia="zh-CN"/>
        </w:rPr>
        <w:t>（</w:t>
      </w:r>
      <w:r>
        <w:rPr>
          <w:rFonts w:hint="eastAsia" w:hAnsi="宋体" w:cs="仿宋_GB2312"/>
          <w:kern w:val="0"/>
          <w:sz w:val="28"/>
          <w:szCs w:val="28"/>
          <w:highlight w:val="none"/>
          <w:lang w:val="en-US" w:eastAsia="zh-CN"/>
        </w:rPr>
        <w:t>单位负责人）</w:t>
      </w:r>
      <w:r>
        <w:rPr>
          <w:rFonts w:hint="eastAsia" w:hAnsi="宋体" w:cs="仿宋_GB2312"/>
          <w:kern w:val="0"/>
          <w:sz w:val="28"/>
          <w:szCs w:val="28"/>
          <w:highlight w:val="none"/>
        </w:rPr>
        <w:t>：</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w:t>
      </w:r>
      <w:r>
        <w:rPr>
          <w:rFonts w:hint="eastAsia" w:hAnsi="仿宋"/>
          <w:sz w:val="24"/>
          <w:highlight w:val="none"/>
          <w:lang w:eastAsia="zh-CN"/>
        </w:rPr>
        <w:t>（</w:t>
      </w:r>
      <w:r>
        <w:rPr>
          <w:rFonts w:hint="eastAsia" w:hAnsi="仿宋"/>
          <w:sz w:val="24"/>
          <w:highlight w:val="none"/>
          <w:lang w:val="en-US" w:eastAsia="zh-CN"/>
        </w:rPr>
        <w:t>单位负责人）</w:t>
      </w:r>
      <w:r>
        <w:rPr>
          <w:rFonts w:hAnsi="仿宋"/>
          <w:sz w:val="24"/>
          <w:highlight w:val="none"/>
        </w:rPr>
        <w:t>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3"/>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rPr>
          <w:rFonts w:hint="eastAsia" w:asciiTheme="minorHAnsi" w:hAnsiTheme="minorHAnsi" w:cstheme="minorBidi"/>
          <w:color w:val="auto"/>
          <w:kern w:val="44"/>
          <w:sz w:val="44"/>
          <w:szCs w:val="44"/>
          <w:highlight w:val="none"/>
        </w:rPr>
      </w:pPr>
      <w:bookmarkStart w:id="26" w:name="_Toc21455"/>
      <w:bookmarkStart w:id="27" w:name="_Toc2867"/>
    </w:p>
    <w:p>
      <w:pPr>
        <w:pStyle w:val="2"/>
        <w:rPr>
          <w:rFonts w:hint="eastAsia" w:asciiTheme="minorHAnsi" w:hAnsiTheme="minorHAnsi" w:cstheme="minorBidi"/>
          <w:color w:val="auto"/>
          <w:kern w:val="44"/>
          <w:sz w:val="44"/>
          <w:szCs w:val="44"/>
          <w:highlight w:val="none"/>
        </w:rPr>
      </w:pPr>
    </w:p>
    <w:p>
      <w:pPr>
        <w:rPr>
          <w:rFonts w:hint="eastAsia" w:asciiTheme="minorHAnsi" w:hAnsiTheme="minorHAnsi" w:cstheme="minorBidi"/>
          <w:color w:val="auto"/>
          <w:kern w:val="44"/>
          <w:sz w:val="44"/>
          <w:szCs w:val="44"/>
          <w:highlight w:val="none"/>
        </w:rPr>
      </w:pPr>
    </w:p>
    <w:p>
      <w:pPr>
        <w:pStyle w:val="2"/>
        <w:rPr>
          <w:rFonts w:hint="eastAsia"/>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w:pict>
          <v:shape id="_x0000_s1030" o:spid="_x0000_s1030"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1031" o:spid="_x0000_s103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87616371"/>
      <w:bookmarkStart w:id="29" w:name="_Toc7040"/>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3"/>
        <w:rPr>
          <w:color w:val="auto"/>
          <w:highlight w:val="none"/>
        </w:rPr>
      </w:pPr>
      <w:bookmarkStart w:id="34" w:name="_Toc23581"/>
      <w:bookmarkStart w:id="35" w:name="_Toc14552"/>
      <w:bookmarkStart w:id="36" w:name="_Toc7437"/>
      <w:bookmarkStart w:id="37" w:name="_Toc10930"/>
      <w:bookmarkStart w:id="38" w:name="_Toc3156"/>
      <w:bookmarkStart w:id="39" w:name="_Toc7118"/>
      <w:bookmarkStart w:id="40" w:name="_Toc19759"/>
      <w:bookmarkStart w:id="41" w:name="_Toc14870"/>
      <w:bookmarkStart w:id="42" w:name="_Toc19050"/>
      <w:bookmarkStart w:id="43" w:name="_Toc4952"/>
      <w:bookmarkStart w:id="44" w:name="_Toc20594"/>
      <w:r>
        <w:rPr>
          <w:color w:val="auto"/>
          <w:highlight w:val="none"/>
        </w:rPr>
        <w:pict>
          <v:shape id="_x0000_s1032" o:spid="_x0000_s1032"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1033" o:spid="_x0000_s1033"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29484"/>
      <w:bookmarkStart w:id="46" w:name="_Toc12177"/>
      <w:bookmarkStart w:id="47" w:name="_Toc22212"/>
      <w:bookmarkStart w:id="48" w:name="_Toc6308"/>
      <w:bookmarkStart w:id="49" w:name="_Toc32607"/>
      <w:bookmarkStart w:id="50" w:name="_Toc88209941"/>
      <w:bookmarkStart w:id="51" w:name="_Toc87616378"/>
      <w:bookmarkStart w:id="52" w:name="_Toc29345"/>
      <w:bookmarkStart w:id="53" w:name="_Toc21840"/>
      <w:bookmarkStart w:id="54" w:name="_Toc7831"/>
      <w:bookmarkStart w:id="55" w:name="_Toc21079"/>
      <w:bookmarkStart w:id="56" w:name="_Toc30530"/>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一年期贷款市场报价利率（LPR）（目前为3.45%），标段一最高利率限价为3.45%，标段二最高利率限价为3.45%</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3"/>
        <w:rPr>
          <w:rFonts w:hint="eastAsia"/>
          <w:color w:val="auto"/>
          <w:highlight w:val="none"/>
        </w:rPr>
      </w:pPr>
      <w:bookmarkStart w:id="60" w:name="_Toc88209947"/>
      <w:r>
        <w:rPr>
          <w:color w:val="auto"/>
          <w:highlight w:val="none"/>
        </w:rPr>
        <w:pict>
          <v:shape id="_x0000_s1034" o:spid="_x0000_s1034"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1035" o:spid="_x0000_s1035"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szCs w:val="44"/>
          <w:highlight w:val="none"/>
        </w:rPr>
      </w:pPr>
    </w:p>
    <w:p>
      <w:pPr>
        <w:pStyle w:val="4"/>
        <w:pageBreakBefore w:val="0"/>
        <w:wordWrap/>
        <w:topLinePunct w:val="0"/>
        <w:bidi w:val="0"/>
        <w:spacing w:line="360" w:lineRule="auto"/>
        <w:ind w:firstLine="705" w:firstLineChars="196"/>
        <w:rPr>
          <w:rFonts w:hint="eastAsia" w:ascii="宋体" w:hAnsi="宋体" w:eastAsia="宋体" w:cs="宋体"/>
          <w:color w:val="auto"/>
          <w:sz w:val="24"/>
          <w:szCs w:val="24"/>
          <w:highlight w:val="none"/>
        </w:rPr>
      </w:pP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23"/>
        <w:ind w:firstLine="0"/>
        <w:rPr>
          <w:rFonts w:hint="eastAsia" w:eastAsia="宋体" w:cs="宋体"/>
          <w:color w:val="auto"/>
          <w:sz w:val="24"/>
          <w:szCs w:val="24"/>
          <w:highlight w:val="none"/>
          <w:lang w:val="en-US" w:eastAsia="zh-CN"/>
        </w:rPr>
      </w:pPr>
    </w:p>
    <w:p>
      <w:pPr>
        <w:pStyle w:val="23"/>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一、项目情况介绍</w:t>
      </w:r>
    </w:p>
    <w:p>
      <w:pPr>
        <w:pStyle w:val="23"/>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（一）标的名称：广州市净水有限公司</w:t>
      </w:r>
      <w:r>
        <w:rPr>
          <w:rFonts w:hint="eastAsia" w:ascii="宋体" w:eastAsia="宋体" w:cs="宋体"/>
          <w:color w:val="auto"/>
          <w:sz w:val="24"/>
          <w:szCs w:val="24"/>
          <w:highlight w:val="none"/>
        </w:rPr>
        <w:t>流动资金贷款</w:t>
      </w:r>
      <w:r>
        <w:rPr>
          <w:rFonts w:hint="eastAsia" w:eastAsia="宋体" w:cs="宋体"/>
          <w:b w:val="0"/>
          <w:bCs w:val="0"/>
          <w:color w:val="auto"/>
          <w:sz w:val="24"/>
          <w:szCs w:val="24"/>
          <w:highlight w:val="none"/>
          <w:lang w:val="en-US" w:eastAsia="zh-CN"/>
        </w:rPr>
        <w:t>采购项目</w:t>
      </w:r>
    </w:p>
    <w:p>
      <w:pPr>
        <w:pStyle w:val="23"/>
        <w:ind w:firstLine="480" w:firstLineChars="200"/>
        <w:rPr>
          <w:rFonts w:hint="eastAsia" w:eastAsia="宋体" w:cs="宋体"/>
          <w:b/>
          <w:bCs/>
          <w:color w:val="auto"/>
          <w:sz w:val="24"/>
          <w:szCs w:val="24"/>
          <w:highlight w:val="none"/>
          <w:lang w:val="en-US" w:eastAsia="zh-CN"/>
        </w:rPr>
      </w:pPr>
      <w:r>
        <w:rPr>
          <w:rFonts w:hint="eastAsia" w:eastAsia="宋体" w:cs="宋体"/>
          <w:b w:val="0"/>
          <w:bCs w:val="0"/>
          <w:color w:val="auto"/>
          <w:sz w:val="24"/>
          <w:szCs w:val="24"/>
          <w:highlight w:val="none"/>
          <w:lang w:val="en-US" w:eastAsia="zh-CN"/>
        </w:rPr>
        <w:t>（二）项目内容：</w:t>
      </w:r>
      <w:r>
        <w:rPr>
          <w:rFonts w:hint="eastAsia" w:ascii="宋体" w:eastAsia="宋体" w:cs="宋体"/>
          <w:color w:val="auto"/>
          <w:sz w:val="24"/>
          <w:szCs w:val="24"/>
          <w:highlight w:val="none"/>
          <w:lang w:val="en-US" w:eastAsia="zh-CN"/>
        </w:rPr>
        <w:t>选</w:t>
      </w:r>
      <w:r>
        <w:rPr>
          <w:rFonts w:hint="eastAsia" w:ascii="宋体" w:eastAsia="宋体" w:cs="宋体"/>
          <w:color w:val="auto"/>
          <w:sz w:val="24"/>
          <w:szCs w:val="24"/>
          <w:highlight w:val="none"/>
        </w:rPr>
        <w:t>取两家贷款银行，分别提供6亿元的流动资金贷款，共提供1</w:t>
      </w:r>
      <w:r>
        <w:rPr>
          <w:rFonts w:hint="eastAsia" w:ascii="宋体" w:eastAsia="宋体" w:cs="宋体"/>
          <w:color w:val="auto"/>
          <w:sz w:val="24"/>
          <w:szCs w:val="24"/>
          <w:highlight w:val="none"/>
          <w:lang w:val="en-US" w:eastAsia="zh-CN"/>
        </w:rPr>
        <w:t>2</w:t>
      </w:r>
      <w:r>
        <w:rPr>
          <w:rFonts w:hint="eastAsia" w:ascii="宋体" w:eastAsia="宋体" w:cs="宋体"/>
          <w:color w:val="auto"/>
          <w:sz w:val="24"/>
          <w:szCs w:val="24"/>
          <w:highlight w:val="none"/>
        </w:rPr>
        <w:t>亿元的流动资金贷款。第一标段贷款额度为6亿元，第二标段贷款额度为</w:t>
      </w:r>
      <w:r>
        <w:rPr>
          <w:rFonts w:hint="eastAsia" w:ascii="宋体" w:eastAsia="宋体" w:cs="宋体"/>
          <w:color w:val="auto"/>
          <w:sz w:val="24"/>
          <w:szCs w:val="24"/>
          <w:highlight w:val="none"/>
          <w:lang w:val="en-US" w:eastAsia="zh-CN"/>
        </w:rPr>
        <w:t>6</w:t>
      </w:r>
      <w:r>
        <w:rPr>
          <w:rFonts w:hint="eastAsia" w:ascii="宋体" w:eastAsia="宋体" w:cs="宋体"/>
          <w:color w:val="auto"/>
          <w:sz w:val="24"/>
          <w:szCs w:val="24"/>
          <w:highlight w:val="none"/>
        </w:rPr>
        <w:t>亿元。</w:t>
      </w:r>
    </w:p>
    <w:p>
      <w:pPr>
        <w:pStyle w:val="23"/>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二、项目要求</w:t>
      </w:r>
    </w:p>
    <w:p>
      <w:pPr>
        <w:pStyle w:val="23"/>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（一）项目贷款金额需求：</w:t>
      </w:r>
      <w:r>
        <w:rPr>
          <w:rFonts w:hint="eastAsia" w:ascii="宋体" w:eastAsia="宋体" w:cs="宋体"/>
          <w:color w:val="auto"/>
          <w:sz w:val="24"/>
          <w:szCs w:val="24"/>
          <w:highlight w:val="none"/>
          <w:lang w:val="en-US" w:eastAsia="zh-CN"/>
        </w:rPr>
        <w:t>选</w:t>
      </w:r>
      <w:r>
        <w:rPr>
          <w:rFonts w:hint="eastAsia" w:ascii="宋体" w:eastAsia="宋体" w:cs="宋体"/>
          <w:color w:val="auto"/>
          <w:sz w:val="24"/>
          <w:szCs w:val="24"/>
          <w:highlight w:val="none"/>
        </w:rPr>
        <w:t>取两家贷款银行，分别提供6亿元的流动资金贷款，共提供1</w:t>
      </w:r>
      <w:r>
        <w:rPr>
          <w:rFonts w:hint="eastAsia" w:ascii="宋体" w:eastAsia="宋体" w:cs="宋体"/>
          <w:color w:val="auto"/>
          <w:sz w:val="24"/>
          <w:szCs w:val="24"/>
          <w:highlight w:val="none"/>
          <w:lang w:val="en-US" w:eastAsia="zh-CN"/>
        </w:rPr>
        <w:t>2</w:t>
      </w:r>
      <w:r>
        <w:rPr>
          <w:rFonts w:hint="eastAsia" w:ascii="宋体" w:eastAsia="宋体" w:cs="宋体"/>
          <w:color w:val="auto"/>
          <w:sz w:val="24"/>
          <w:szCs w:val="24"/>
          <w:highlight w:val="none"/>
        </w:rPr>
        <w:t>亿元的流动资金贷款。第一标段贷款额度为6亿元，第二标段贷款额度为</w:t>
      </w:r>
      <w:r>
        <w:rPr>
          <w:rFonts w:hint="eastAsia" w:ascii="宋体" w:eastAsia="宋体" w:cs="宋体"/>
          <w:color w:val="auto"/>
          <w:sz w:val="24"/>
          <w:szCs w:val="24"/>
          <w:highlight w:val="none"/>
          <w:lang w:val="en-US" w:eastAsia="zh-CN"/>
        </w:rPr>
        <w:t>6</w:t>
      </w:r>
      <w:r>
        <w:rPr>
          <w:rFonts w:hint="eastAsia" w:ascii="宋体" w:eastAsia="宋体" w:cs="宋体"/>
          <w:color w:val="auto"/>
          <w:sz w:val="24"/>
          <w:szCs w:val="24"/>
          <w:highlight w:val="none"/>
        </w:rPr>
        <w:t>亿元。</w:t>
      </w:r>
    </w:p>
    <w:p>
      <w:pPr>
        <w:pStyle w:val="23"/>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（二）项目期限需求：贷款期限3年。</w:t>
      </w:r>
    </w:p>
    <w:p>
      <w:pPr>
        <w:pStyle w:val="23"/>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（三）项目其他需求：</w:t>
      </w:r>
    </w:p>
    <w:p>
      <w:pPr>
        <w:pStyle w:val="23"/>
        <w:ind w:firstLine="480" w:firstLineChars="200"/>
        <w:rPr>
          <w:rFonts w:hint="eastAsia" w:ascii="宋体" w:hAnsi="宋体"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签订贷款合同后需尽快放款。本项目贷款将分期提款，贷款银行需在我司每次提供完整提款资料后10个日历日内放款，若无法及时放款，需发函致我司告知无法放款，从来函日起，一年之内不再邀请该单位参加我司融资业务投标。</w:t>
      </w:r>
    </w:p>
    <w:p>
      <w:pPr>
        <w:pStyle w:val="23"/>
        <w:ind w:firstLine="480" w:firstLineChars="200"/>
        <w:rPr>
          <w:rFonts w:hint="eastAsia" w:ascii="宋体" w:hAnsi="宋体" w:eastAsia="宋体" w:cs="宋体"/>
          <w:color w:val="auto"/>
          <w:highlight w:val="none"/>
        </w:rPr>
      </w:pPr>
      <w:r>
        <w:rPr>
          <w:rFonts w:hint="eastAsia" w:eastAsia="宋体" w:cs="宋体"/>
          <w:color w:val="auto"/>
          <w:highlight w:val="none"/>
          <w:lang w:val="en-US" w:eastAsia="zh-CN"/>
        </w:rPr>
        <w:t>2.</w:t>
      </w:r>
      <w:r>
        <w:rPr>
          <w:rFonts w:hint="eastAsia" w:ascii="宋体" w:hAnsi="宋体" w:eastAsia="宋体" w:cs="宋体"/>
          <w:color w:val="auto"/>
          <w:highlight w:val="none"/>
        </w:rPr>
        <w:t>根据我司实际资金需求提款。</w:t>
      </w:r>
    </w:p>
    <w:p>
      <w:pPr>
        <w:pStyle w:val="23"/>
        <w:ind w:firstLine="480" w:firstLineChars="200"/>
        <w:rPr>
          <w:rFonts w:hint="eastAsia" w:ascii="宋体" w:hAnsi="宋体" w:eastAsia="宋体" w:cs="宋体"/>
          <w:kern w:val="2"/>
          <w:sz w:val="24"/>
          <w:szCs w:val="24"/>
          <w:highlight w:val="none"/>
          <w:lang w:val="en-US" w:eastAsia="zh-CN" w:bidi="ar-SA"/>
        </w:rPr>
      </w:pPr>
      <w:r>
        <w:rPr>
          <w:rFonts w:hint="eastAsia" w:eastAsia="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.以报价函里1年期LPR减</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bp形式的报价作为合同签订贷款的浮动利率。</w:t>
      </w:r>
    </w:p>
    <w:p>
      <w:pPr>
        <w:pStyle w:val="23"/>
        <w:ind w:firstLine="480" w:firstLineChars="200"/>
        <w:rPr>
          <w:rFonts w:hint="eastAsia"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4.借贷人因广州市净水有限公司及广州市水务投资集团有限公司相关批复文件导致该项目无法履行的，则终止该项目，双方互不承担责任，不得有异议</w:t>
      </w:r>
      <w:r>
        <w:rPr>
          <w:rFonts w:hint="eastAsia" w:eastAsia="宋体" w:cs="宋体"/>
          <w:b w:val="0"/>
          <w:bCs w:val="0"/>
          <w:color w:val="auto"/>
          <w:sz w:val="24"/>
          <w:szCs w:val="24"/>
          <w:highlight w:val="none"/>
          <w:lang w:val="en-US" w:eastAsia="zh-CN"/>
        </w:rPr>
        <w:t>。</w:t>
      </w:r>
    </w:p>
    <w:p>
      <w:pPr>
        <w:pStyle w:val="23"/>
        <w:ind w:firstLine="480" w:firstLineChars="200"/>
        <w:rPr>
          <w:rFonts w:hint="default"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5.</w:t>
      </w:r>
      <w:r>
        <w:rPr>
          <w:rFonts w:hint="default" w:eastAsia="宋体" w:cs="宋体"/>
          <w:b w:val="0"/>
          <w:bCs w:val="0"/>
          <w:color w:val="auto"/>
          <w:sz w:val="24"/>
          <w:szCs w:val="24"/>
          <w:highlight w:val="none"/>
          <w:lang w:val="en-US" w:eastAsia="zh-CN"/>
        </w:rPr>
        <w:t>一个银行主体仅允许一家机构参与，如出现一个银行主体有两个及以上机构参与报价，询价人有权取消该银行主体的所有机构报价资格。</w:t>
      </w:r>
    </w:p>
    <w:p>
      <w:pPr>
        <w:pStyle w:val="23"/>
        <w:rPr>
          <w:rFonts w:hint="eastAsia" w:eastAsia="宋体" w:cs="宋体"/>
          <w:b/>
          <w:bCs/>
          <w:color w:val="auto"/>
          <w:sz w:val="24"/>
          <w:szCs w:val="24"/>
          <w:highlight w:val="none"/>
          <w:lang w:val="en-US" w:eastAsia="zh-CN"/>
        </w:rPr>
      </w:pPr>
    </w:p>
    <w:p>
      <w:pPr>
        <w:pStyle w:val="23"/>
        <w:rPr>
          <w:rFonts w:hint="default" w:eastAsia="宋体" w:cs="宋体"/>
          <w:b/>
          <w:bCs/>
          <w:color w:val="auto"/>
          <w:sz w:val="24"/>
          <w:szCs w:val="24"/>
          <w:highlight w:val="none"/>
          <w:lang w:val="en-US" w:eastAsia="zh-CN"/>
        </w:rPr>
      </w:pPr>
    </w:p>
    <w:bookmarkEnd w:id="60"/>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3"/>
        <w:rPr>
          <w:color w:val="auto"/>
          <w:highlight w:val="none"/>
        </w:rPr>
      </w:pPr>
      <w:bookmarkStart w:id="61" w:name="_Toc23353"/>
      <w:bookmarkStart w:id="62" w:name="_Toc1284"/>
      <w:bookmarkStart w:id="63" w:name="_Toc12135"/>
      <w:bookmarkStart w:id="64" w:name="_Toc25925"/>
      <w:bookmarkStart w:id="65" w:name="_Toc537"/>
      <w:bookmarkStart w:id="66" w:name="_Toc15570"/>
      <w:bookmarkStart w:id="67" w:name="_Toc23330"/>
      <w:bookmarkStart w:id="68" w:name="_Toc4680"/>
      <w:bookmarkStart w:id="69" w:name="_Toc1496"/>
      <w:bookmarkStart w:id="70" w:name="_Toc18538"/>
      <w:bookmarkStart w:id="71" w:name="_Toc29835"/>
      <w:r>
        <w:rPr>
          <w:color w:val="auto"/>
          <w:highlight w:val="none"/>
        </w:rPr>
        <w:pict>
          <v:shape id="_x0000_s1036" o:spid="_x0000_s1036"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1037" o:spid="_x0000_s1037"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color w:val="auto"/>
          <w:highlight w:val="none"/>
        </w:rPr>
      </w:pPr>
      <w:bookmarkStart w:id="72" w:name="_Toc88209949"/>
      <w:bookmarkStart w:id="73" w:name="_Toc22501"/>
      <w:bookmarkStart w:id="74" w:name="_Toc12968"/>
      <w:bookmarkStart w:id="75" w:name="_Toc12980"/>
      <w:bookmarkStart w:id="76" w:name="_Toc22797"/>
      <w:bookmarkStart w:id="77" w:name="_Toc19088"/>
      <w:bookmarkStart w:id="78" w:name="_Toc13309"/>
      <w:bookmarkStart w:id="79" w:name="_Toc8183"/>
      <w:bookmarkStart w:id="80" w:name="_Toc12721"/>
      <w:bookmarkStart w:id="81" w:name="_Toc323"/>
      <w:bookmarkStart w:id="82" w:name="_Toc19686"/>
      <w:bookmarkStart w:id="83" w:name="_Toc1375"/>
      <w:bookmarkStart w:id="84" w:name="_Toc876163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lang w:val="en-US" w:eastAsia="zh-CN"/>
        </w:rPr>
        <w:t>具体以中选供应商确定</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rPr>
          <w:highlight w:val="none"/>
        </w:rPr>
      </w:pPr>
    </w:p>
    <w:p>
      <w:pPr>
        <w:pStyle w:val="2"/>
        <w:rPr>
          <w:highlight w:val="none"/>
        </w:rPr>
      </w:pPr>
    </w:p>
    <w:p>
      <w:pPr>
        <w:rPr>
          <w:highlight w:val="none"/>
        </w:rPr>
      </w:pPr>
    </w:p>
    <w:p>
      <w:pPr>
        <w:pStyle w:val="3"/>
        <w:rPr>
          <w:color w:val="auto"/>
          <w:highlight w:val="none"/>
        </w:rPr>
      </w:pPr>
      <w:bookmarkStart w:id="85" w:name="_Toc30824"/>
      <w:bookmarkStart w:id="86" w:name="_Toc1563"/>
      <w:bookmarkStart w:id="87" w:name="_Toc12169"/>
      <w:bookmarkStart w:id="88" w:name="_Toc3723"/>
      <w:bookmarkStart w:id="89" w:name="_Toc5129"/>
      <w:bookmarkStart w:id="90" w:name="_Toc16552"/>
      <w:bookmarkStart w:id="91" w:name="_Toc23515"/>
      <w:bookmarkStart w:id="92" w:name="_Toc8147"/>
      <w:bookmarkStart w:id="93" w:name="_Toc21847"/>
      <w:bookmarkStart w:id="94" w:name="_Toc28358"/>
      <w:bookmarkStart w:id="95" w:name="_Toc6230"/>
      <w:r>
        <w:rPr>
          <w:color w:val="auto"/>
          <w:highlight w:val="none"/>
        </w:rPr>
        <w:pict>
          <v:shape id="_x0000_s1038" o:spid="_x0000_s1038"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1039" o:spid="_x0000_s1039"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6"/>
        <w:rPr>
          <w:color w:val="auto"/>
          <w:highlight w:val="none"/>
        </w:rPr>
      </w:pPr>
    </w:p>
    <w:p>
      <w:pPr>
        <w:pStyle w:val="3"/>
        <w:rPr>
          <w:color w:val="auto"/>
          <w:highlight w:val="none"/>
        </w:rPr>
      </w:pPr>
      <w:bookmarkStart w:id="96" w:name="_Toc87616388"/>
      <w:bookmarkStart w:id="97" w:name="_Toc88209951"/>
      <w:bookmarkStart w:id="98" w:name="_Toc22764"/>
      <w:bookmarkStart w:id="99" w:name="_Toc24490"/>
      <w:bookmarkStart w:id="100" w:name="_Toc12769"/>
      <w:bookmarkStart w:id="101" w:name="_Toc30157"/>
      <w:bookmarkStart w:id="102" w:name="_Toc12610"/>
      <w:bookmarkStart w:id="103" w:name="_Toc21675"/>
      <w:bookmarkStart w:id="104" w:name="_Toc5342"/>
      <w:bookmarkStart w:id="105" w:name="_Toc31564"/>
      <w:bookmarkStart w:id="106" w:name="_Toc24815"/>
      <w:bookmarkStart w:id="107" w:name="_Toc17119"/>
      <w:bookmarkStart w:id="108" w:name="_Toc10840"/>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beforeLines="-2147483648" w:afterLines="-2147483648"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单位负责人）</w:t>
      </w:r>
      <w:r>
        <w:rPr>
          <w:rFonts w:hint="eastAsia" w:ascii="仿宋_GB2312" w:eastAsia="仿宋_GB2312"/>
          <w:color w:val="auto"/>
          <w:sz w:val="28"/>
          <w:szCs w:val="28"/>
          <w:highlight w:val="none"/>
        </w:rPr>
        <w:t>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12665"/>
      <w:bookmarkStart w:id="116" w:name="_Toc28619645"/>
      <w:bookmarkStart w:id="117" w:name="_Toc88209957"/>
      <w:bookmarkStart w:id="118" w:name="_Toc6313"/>
      <w:bookmarkStart w:id="119" w:name="_Toc87616394"/>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采购文件的全部内容，愿意以1年期LPR减    bp</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即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的报价完成/提供本项目□工程 □货物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单位负责人）</w:t>
      </w:r>
      <w:r>
        <w:rPr>
          <w:rFonts w:hint="eastAsia" w:ascii="仿宋_GB2312" w:hAnsi="黑体" w:eastAsia="仿宋_GB2312"/>
          <w:color w:val="auto"/>
          <w:sz w:val="28"/>
          <w:szCs w:val="28"/>
          <w:highlight w:val="none"/>
        </w:rPr>
        <w:t>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单位负责人）</w:t>
      </w:r>
      <w:r>
        <w:rPr>
          <w:rFonts w:hint="eastAsia" w:ascii="仿宋_GB2312" w:eastAsia="仿宋_GB2312" w:hAnsiTheme="minorEastAsia"/>
          <w:color w:val="auto"/>
          <w:sz w:val="28"/>
          <w:szCs w:val="28"/>
          <w:highlight w:val="none"/>
        </w:rPr>
        <w:t>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20" w:name="_Toc87616395"/>
      <w:bookmarkStart w:id="121" w:name="_Toc88209958"/>
      <w:bookmarkStart w:id="122" w:name="_Toc29833"/>
      <w:bookmarkStart w:id="123"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单位负责人）</w:t>
      </w:r>
      <w:r>
        <w:rPr>
          <w:rFonts w:hint="eastAsia" w:asciiTheme="minorEastAsia" w:hAnsiTheme="minorEastAsia" w:eastAsiaTheme="minorEastAsia"/>
          <w:color w:val="auto"/>
          <w:sz w:val="28"/>
          <w:szCs w:val="28"/>
          <w:highlight w:val="none"/>
        </w:rPr>
        <w:t>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单位负责人）</w:t>
      </w:r>
      <w:r>
        <w:rPr>
          <w:rFonts w:hint="eastAsia" w:ascii="仿宋_GB2312" w:hAnsi="黑体" w:eastAsia="仿宋_GB2312"/>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w:t>
      </w:r>
      <w:r>
        <w:rPr>
          <w:rFonts w:hint="eastAsia" w:ascii="方正小标宋简体" w:hAnsi="Times New Roman" w:eastAsia="方正小标宋简体" w:cs="Tahoma"/>
          <w:color w:val="auto"/>
          <w:kern w:val="0"/>
          <w:sz w:val="44"/>
          <w:szCs w:val="44"/>
          <w:highlight w:val="none"/>
          <w:lang w:eastAsia="zh-CN"/>
        </w:rPr>
        <w:t>（</w:t>
      </w:r>
      <w:r>
        <w:rPr>
          <w:rFonts w:hint="eastAsia" w:ascii="方正小标宋简体" w:hAnsi="Times New Roman" w:eastAsia="方正小标宋简体" w:cs="Tahoma"/>
          <w:color w:val="auto"/>
          <w:kern w:val="0"/>
          <w:sz w:val="44"/>
          <w:szCs w:val="44"/>
          <w:highlight w:val="none"/>
          <w:lang w:val="en-US" w:eastAsia="zh-CN"/>
        </w:rPr>
        <w:t>单位负责人）</w:t>
      </w:r>
      <w:r>
        <w:rPr>
          <w:rFonts w:hint="eastAsia" w:ascii="方正小标宋简体" w:hAnsi="Times New Roman" w:eastAsia="方正小标宋简体" w:cs="Tahoma"/>
          <w:color w:val="auto"/>
          <w:kern w:val="0"/>
          <w:sz w:val="44"/>
          <w:szCs w:val="44"/>
          <w:highlight w:val="none"/>
        </w:rPr>
        <w:t>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单位负责人）</w:t>
      </w:r>
      <w:r>
        <w:rPr>
          <w:rFonts w:hint="eastAsia" w:ascii="仿宋_GB2312" w:hAnsi="宋体" w:eastAsia="仿宋_GB2312" w:cs="Times New Roman"/>
          <w:color w:val="auto"/>
          <w:sz w:val="30"/>
          <w:szCs w:val="30"/>
          <w:highlight w:val="none"/>
        </w:rPr>
        <w:t>。</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单位负责人）</w:t>
      </w:r>
      <w:r>
        <w:rPr>
          <w:rFonts w:hint="eastAsia" w:ascii="仿宋_GB2312" w:hAnsi="宋体" w:eastAsia="仿宋_GB2312"/>
          <w:color w:val="auto"/>
          <w:sz w:val="30"/>
          <w:szCs w:val="30"/>
          <w:highlight w:val="none"/>
        </w:rPr>
        <w:t>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104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2.2法人（单位负责人）授权委托书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w:t>
      </w:r>
      <w:r>
        <w:rPr>
          <w:rFonts w:hint="eastAsia" w:ascii="方正小标宋简体" w:hAnsi="Times New Roman" w:eastAsia="方正小标宋简体" w:cs="Tahoma"/>
          <w:color w:val="auto"/>
          <w:kern w:val="0"/>
          <w:sz w:val="44"/>
          <w:szCs w:val="44"/>
          <w:highlight w:val="none"/>
          <w:lang w:eastAsia="zh-CN"/>
        </w:rPr>
        <w:t>（</w:t>
      </w:r>
      <w:r>
        <w:rPr>
          <w:rFonts w:hint="eastAsia" w:ascii="方正小标宋简体" w:hAnsi="Times New Roman" w:eastAsia="方正小标宋简体" w:cs="Tahoma"/>
          <w:color w:val="auto"/>
          <w:kern w:val="0"/>
          <w:sz w:val="44"/>
          <w:szCs w:val="44"/>
          <w:highlight w:val="none"/>
          <w:lang w:val="en-US" w:eastAsia="zh-CN"/>
        </w:rPr>
        <w:t>单位负责人）</w:t>
      </w:r>
      <w:r>
        <w:rPr>
          <w:rFonts w:hint="eastAsia" w:ascii="方正小标宋简体" w:hAnsi="Times New Roman" w:eastAsia="方正小标宋简体" w:cs="Tahoma"/>
          <w:color w:val="auto"/>
          <w:kern w:val="0"/>
          <w:sz w:val="44"/>
          <w:szCs w:val="44"/>
          <w:highlight w:val="none"/>
        </w:rPr>
        <w:t>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6"/>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6"/>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36"/>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lang w:eastAsia="zh-CN"/>
        </w:rPr>
        <w:t>（</w:t>
      </w:r>
      <w:r>
        <w:rPr>
          <w:rFonts w:hint="eastAsia" w:ascii="仿宋_GB2312" w:hAnsi="宋体" w:eastAsia="仿宋_GB2312" w:cs="Times New Roman"/>
          <w:color w:val="auto"/>
          <w:sz w:val="30"/>
          <w:szCs w:val="30"/>
          <w:highlight w:val="none"/>
          <w:lang w:val="en-US" w:eastAsia="zh-CN"/>
        </w:rPr>
        <w:t>单位负责人）</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1041" o:spid="_x0000_s104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注：法人（单位负责人）授权委托书亦可采用工商行政管理局统一制订的格式。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bookmarkStart w:id="124" w:name="_Toc87616400"/>
      <w:bookmarkStart w:id="125" w:name="_Toc8086"/>
      <w:bookmarkStart w:id="126" w:name="_Toc19830"/>
      <w:bookmarkStart w:id="12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5"/>
        <w:rPr>
          <w:rFonts w:hint="eastAsia" w:asciiTheme="minorEastAsia" w:hAnsiTheme="minorEastAsia" w:eastAsiaTheme="minorEastAsia"/>
          <w:color w:val="000000" w:themeColor="text1"/>
          <w:sz w:val="28"/>
          <w:szCs w:val="28"/>
          <w:highlight w:val="none"/>
          <w:lang w:eastAsia="zh-CN"/>
        </w:rPr>
      </w:pPr>
      <w:bookmarkStart w:id="129" w:name="_Toc32430"/>
      <w:bookmarkStart w:id="130" w:name="_Toc19423"/>
      <w:r>
        <w:rPr>
          <w:rFonts w:hint="eastAsia" w:ascii="仿宋_GB2312" w:eastAsia="仿宋_GB2312" w:hAnsiTheme="minorEastAsia"/>
          <w:color w:val="000000" w:themeColor="text1"/>
          <w:sz w:val="28"/>
          <w:szCs w:val="28"/>
          <w:highlight w:val="none"/>
          <w:lang w:val="en-US" w:eastAsia="zh-CN"/>
        </w:rPr>
        <w:t>5</w:t>
      </w:r>
      <w:r>
        <w:rPr>
          <w:rFonts w:hint="eastAsia" w:asciiTheme="minorEastAsia" w:hAnsiTheme="minorEastAsia" w:eastAsiaTheme="minorEastAsia"/>
          <w:color w:val="000000" w:themeColor="text1"/>
          <w:sz w:val="28"/>
          <w:szCs w:val="28"/>
          <w:highlight w:val="none"/>
        </w:rPr>
        <w:t>.报价表</w:t>
      </w:r>
      <w:bookmarkEnd w:id="129"/>
      <w:bookmarkEnd w:id="130"/>
    </w:p>
    <w:p>
      <w:pPr>
        <w:adjustRightInd w:val="0"/>
        <w:snapToGrid w:val="0"/>
        <w:spacing w:line="360" w:lineRule="auto"/>
        <w:jc w:val="both"/>
        <w:rPr>
          <w:rFonts w:hint="eastAsia"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项目名称：广州市净水有限公司</w:t>
      </w:r>
      <w:r>
        <w:rPr>
          <w:rFonts w:hint="eastAsia" w:ascii="宋体" w:hAnsi="宋体" w:cs="宋体" w:eastAsiaTheme="minorEastAsia"/>
          <w:bCs/>
          <w:color w:val="000000" w:themeColor="text1"/>
          <w:sz w:val="24"/>
          <w:szCs w:val="24"/>
          <w:highlight w:val="none"/>
        </w:rPr>
        <w:t>流动资金贷款</w:t>
      </w:r>
      <w:r>
        <w:rPr>
          <w:rFonts w:hint="eastAsia" w:ascii="宋体" w:hAnsi="宋体" w:cs="宋体"/>
          <w:bCs/>
          <w:color w:val="000000" w:themeColor="text1"/>
          <w:sz w:val="24"/>
          <w:szCs w:val="24"/>
          <w:highlight w:val="none"/>
        </w:rPr>
        <w:t>采购项目</w:t>
      </w:r>
    </w:p>
    <w:p>
      <w:pPr>
        <w:adjustRightInd w:val="0"/>
        <w:snapToGrid w:val="0"/>
        <w:spacing w:line="360" w:lineRule="auto"/>
        <w:jc w:val="both"/>
        <w:rPr>
          <w:rFonts w:hint="eastAsia"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项目编号：******</w:t>
      </w:r>
    </w:p>
    <w:p>
      <w:pPr>
        <w:adjustRightInd w:val="0"/>
        <w:snapToGrid w:val="0"/>
        <w:spacing w:line="360" w:lineRule="auto"/>
        <w:jc w:val="both"/>
        <w:rPr>
          <w:rFonts w:hint="eastAsia" w:ascii="宋体" w:hAnsi="宋体" w:cs="宋体" w:eastAsiaTheme="minorEastAsia"/>
          <w:bCs/>
          <w:color w:val="000000" w:themeColor="text1"/>
          <w:sz w:val="24"/>
          <w:szCs w:val="24"/>
          <w:highlight w:val="none"/>
        </w:rPr>
      </w:pPr>
      <w:r>
        <w:rPr>
          <w:rFonts w:hint="eastAsia" w:ascii="宋体" w:hAnsi="宋体" w:cs="宋体"/>
          <w:bCs/>
          <w:color w:val="000000" w:themeColor="text1"/>
          <w:sz w:val="24"/>
          <w:szCs w:val="24"/>
          <w:highlight w:val="none"/>
        </w:rPr>
        <w:t>项目最高限价：</w:t>
      </w:r>
      <w:r>
        <w:rPr>
          <w:rFonts w:hint="eastAsia" w:ascii="宋体" w:hAnsi="宋体" w:cs="宋体" w:eastAsiaTheme="minorEastAsia"/>
          <w:bCs/>
          <w:color w:val="000000" w:themeColor="text1"/>
          <w:sz w:val="24"/>
          <w:szCs w:val="24"/>
          <w:highlight w:val="none"/>
        </w:rPr>
        <w:t>一年期贷款市场报价利率（LPR）（目前为3.45%）</w:t>
      </w:r>
    </w:p>
    <w:p>
      <w:pPr>
        <w:adjustRightInd w:val="0"/>
        <w:snapToGrid w:val="0"/>
        <w:spacing w:line="360" w:lineRule="auto"/>
        <w:rPr>
          <w:rFonts w:hint="eastAsia" w:ascii="宋体" w:hAnsi="宋体" w:cs="宋体"/>
          <w:b w:val="0"/>
          <w:bCs/>
          <w:color w:val="000000" w:themeColor="text1"/>
          <w:sz w:val="24"/>
          <w:szCs w:val="24"/>
          <w:highlight w:val="none"/>
        </w:rPr>
      </w:pPr>
      <w:r>
        <w:rPr>
          <w:rFonts w:hint="eastAsia" w:ascii="宋体" w:hAnsi="宋体" w:cs="宋体"/>
          <w:bCs/>
          <w:color w:val="000000" w:themeColor="text1"/>
          <w:sz w:val="24"/>
          <w:szCs w:val="24"/>
          <w:highlight w:val="none"/>
        </w:rPr>
        <w:t xml:space="preserve">供应商名称： </w:t>
      </w:r>
    </w:p>
    <w:p>
      <w:pPr>
        <w:pStyle w:val="13"/>
        <w:adjustRightInd w:val="0"/>
        <w:snapToGrid w:val="0"/>
        <w:spacing w:line="360" w:lineRule="auto"/>
        <w:ind w:right="480"/>
        <w:jc w:val="center"/>
        <w:rPr>
          <w:rFonts w:hAnsi="宋体" w:cs="宋体"/>
          <w:color w:val="000000" w:themeColor="text1"/>
          <w:sz w:val="24"/>
          <w:szCs w:val="24"/>
          <w:highlight w:val="none"/>
        </w:rPr>
      </w:pPr>
      <w:r>
        <w:rPr>
          <w:rFonts w:hint="eastAsia" w:hAnsi="宋体" w:cs="宋体"/>
          <w:color w:val="000000" w:themeColor="text1"/>
          <w:sz w:val="24"/>
          <w:szCs w:val="24"/>
          <w:highlight w:val="none"/>
        </w:rPr>
        <w:t xml:space="preserve">                                           </w:t>
      </w:r>
    </w:p>
    <w:tbl>
      <w:tblPr>
        <w:tblStyle w:val="24"/>
        <w:tblW w:w="7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2424"/>
        <w:gridCol w:w="1814"/>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51" w:type="dxa"/>
            <w:noWrap w:val="0"/>
            <w:vAlign w:val="center"/>
          </w:tcPr>
          <w:p>
            <w:pPr>
              <w:widowControl w:val="0"/>
              <w:snapToGrid w:val="0"/>
              <w:spacing w:line="500" w:lineRule="atLeast"/>
              <w:ind w:left="1205" w:right="-17" w:hanging="1205" w:hangingChars="500"/>
              <w:jc w:val="center"/>
              <w:rPr>
                <w:rFonts w:hint="eastAsia" w:ascii="宋体" w:hAnsi="宋体" w:cs="宋体" w:eastAsiaTheme="minorEastAsia"/>
                <w:b/>
                <w:color w:val="000000" w:themeColor="text1"/>
                <w:kern w:val="2"/>
                <w:sz w:val="24"/>
                <w:szCs w:val="24"/>
                <w:highlight w:val="none"/>
                <w:lang w:val="en-US" w:eastAsia="zh-CN"/>
              </w:rPr>
            </w:pPr>
            <w:r>
              <w:rPr>
                <w:rFonts w:hint="eastAsia" w:ascii="宋体" w:hAnsi="宋体" w:cs="宋体"/>
                <w:b/>
                <w:color w:val="000000" w:themeColor="text1"/>
                <w:kern w:val="2"/>
                <w:sz w:val="24"/>
                <w:szCs w:val="24"/>
                <w:highlight w:val="none"/>
                <w:lang w:val="en-US" w:eastAsia="zh-CN"/>
              </w:rPr>
              <w:t>标段</w:t>
            </w:r>
          </w:p>
        </w:tc>
        <w:tc>
          <w:tcPr>
            <w:tcW w:w="2424" w:type="dxa"/>
            <w:noWrap w:val="0"/>
            <w:vAlign w:val="center"/>
          </w:tcPr>
          <w:p>
            <w:pPr>
              <w:snapToGrid w:val="0"/>
              <w:spacing w:line="500" w:lineRule="atLeast"/>
              <w:ind w:left="1205" w:leftChars="0" w:right="-17" w:rightChars="0" w:hanging="1205" w:hangingChars="500"/>
              <w:jc w:val="center"/>
              <w:rPr>
                <w:rFonts w:ascii="宋体" w:hAnsi="宋体" w:cs="宋体"/>
                <w:b/>
                <w:color w:val="000000" w:themeColor="text1"/>
                <w:kern w:val="2"/>
                <w:sz w:val="24"/>
                <w:szCs w:val="24"/>
                <w:highlight w:val="none"/>
              </w:rPr>
            </w:pPr>
            <w:r>
              <w:rPr>
                <w:rFonts w:hint="eastAsia" w:asciiTheme="minorEastAsia" w:hAnsiTheme="minorEastAsia" w:cstheme="minorEastAsia"/>
                <w:b/>
                <w:color w:val="000000" w:themeColor="text1"/>
                <w:sz w:val="24"/>
                <w:szCs w:val="24"/>
                <w:highlight w:val="none"/>
                <w:lang w:val="en-US" w:eastAsia="zh-CN"/>
              </w:rPr>
              <w:t>1</w:t>
            </w:r>
            <w:r>
              <w:rPr>
                <w:rFonts w:hint="eastAsia" w:asciiTheme="minorEastAsia" w:hAnsiTheme="minorEastAsia" w:eastAsiaTheme="minorEastAsia" w:cstheme="minorEastAsia"/>
                <w:b/>
                <w:color w:val="000000" w:themeColor="text1"/>
                <w:sz w:val="24"/>
                <w:szCs w:val="24"/>
                <w:highlight w:val="none"/>
              </w:rPr>
              <w:t>年期LPR - bp</w:t>
            </w:r>
          </w:p>
        </w:tc>
        <w:tc>
          <w:tcPr>
            <w:tcW w:w="1814" w:type="dxa"/>
            <w:noWrap w:val="0"/>
            <w:vAlign w:val="center"/>
          </w:tcPr>
          <w:p>
            <w:pPr>
              <w:snapToGrid w:val="0"/>
              <w:spacing w:line="500" w:lineRule="atLeast"/>
              <w:ind w:left="1205" w:leftChars="0" w:right="-17" w:rightChars="0" w:hanging="1205" w:hangingChars="500"/>
              <w:jc w:val="center"/>
              <w:rPr>
                <w:rFonts w:ascii="宋体" w:hAnsi="宋体" w:cs="宋体"/>
                <w:b/>
                <w:color w:val="000000" w:themeColor="text1"/>
                <w:kern w:val="2"/>
                <w:sz w:val="24"/>
                <w:szCs w:val="24"/>
                <w:highlight w:val="none"/>
              </w:rPr>
            </w:pPr>
            <w:r>
              <w:rPr>
                <w:rFonts w:hint="eastAsia" w:asciiTheme="minorEastAsia" w:hAnsiTheme="minorEastAsia" w:eastAsiaTheme="minorEastAsia" w:cstheme="minorEastAsia"/>
                <w:b/>
                <w:color w:val="000000" w:themeColor="text1"/>
                <w:sz w:val="24"/>
                <w:szCs w:val="24"/>
                <w:highlight w:val="none"/>
              </w:rPr>
              <w:t>报价利</w:t>
            </w:r>
            <w:r>
              <w:rPr>
                <w:rFonts w:hint="eastAsia" w:asciiTheme="minorEastAsia" w:hAnsiTheme="minorEastAsia" w:cstheme="minorEastAsia"/>
                <w:b/>
                <w:color w:val="000000" w:themeColor="text1"/>
                <w:sz w:val="24"/>
                <w:szCs w:val="24"/>
                <w:highlight w:val="none"/>
                <w:lang w:val="en-US" w:eastAsia="zh-CN"/>
              </w:rPr>
              <w:t>率（</w:t>
            </w:r>
            <w:r>
              <w:rPr>
                <w:rFonts w:hint="eastAsia" w:asciiTheme="minorEastAsia" w:hAnsiTheme="minorEastAsia" w:eastAsiaTheme="minorEastAsia" w:cstheme="minorEastAsia"/>
                <w:b/>
                <w:color w:val="000000" w:themeColor="text1"/>
                <w:sz w:val="24"/>
                <w:szCs w:val="24"/>
                <w:highlight w:val="none"/>
              </w:rPr>
              <w:t>%）</w:t>
            </w:r>
          </w:p>
        </w:tc>
        <w:tc>
          <w:tcPr>
            <w:tcW w:w="1720" w:type="dxa"/>
            <w:noWrap w:val="0"/>
            <w:vAlign w:val="center"/>
          </w:tcPr>
          <w:p>
            <w:pPr>
              <w:snapToGrid w:val="0"/>
              <w:spacing w:line="500" w:lineRule="atLeast"/>
              <w:ind w:left="1205" w:leftChars="0" w:right="-17" w:rightChars="0" w:hanging="1205" w:hangingChars="500"/>
              <w:jc w:val="center"/>
              <w:rPr>
                <w:rFonts w:ascii="宋体" w:hAnsi="宋体" w:cs="宋体"/>
                <w:b/>
                <w:color w:val="000000" w:themeColor="text1"/>
                <w:kern w:val="2"/>
                <w:sz w:val="24"/>
                <w:szCs w:val="24"/>
                <w:highlight w:val="none"/>
              </w:rPr>
            </w:pPr>
            <w:r>
              <w:rPr>
                <w:rFonts w:hint="eastAsia" w:asciiTheme="minorEastAsia" w:hAnsiTheme="minorEastAsia" w:eastAsiaTheme="minorEastAsia" w:cstheme="minorEastAsia"/>
                <w:b/>
                <w:color w:val="000000" w:themeColor="text1"/>
                <w:sz w:val="24"/>
                <w:szCs w:val="24"/>
                <w:highlight w:val="none"/>
              </w:rPr>
              <w:t>贷款期限（</w:t>
            </w:r>
            <w:r>
              <w:rPr>
                <w:rFonts w:hint="eastAsia" w:asciiTheme="minorEastAsia" w:hAnsiTheme="minorEastAsia" w:cstheme="minorEastAsia"/>
                <w:b/>
                <w:color w:val="000000" w:themeColor="text1"/>
                <w:sz w:val="24"/>
                <w:szCs w:val="24"/>
                <w:highlight w:val="none"/>
                <w:lang w:val="en-US" w:eastAsia="zh-CN"/>
              </w:rPr>
              <w:t>月</w:t>
            </w:r>
            <w:r>
              <w:rPr>
                <w:rFonts w:hint="eastAsia" w:asciiTheme="minorEastAsia" w:hAnsiTheme="minorEastAsia" w:eastAsiaTheme="minorEastAsia" w:cstheme="minorEastAsia"/>
                <w:b/>
                <w:color w:val="000000" w:themeColor="text1"/>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1551" w:type="dxa"/>
            <w:noWrap w:val="0"/>
            <w:vAlign w:val="center"/>
          </w:tcPr>
          <w:p>
            <w:pPr>
              <w:widowControl w:val="0"/>
              <w:jc w:val="center"/>
              <w:rPr>
                <w:rFonts w:ascii="宋体" w:hAnsi="宋体" w:cs="宋体"/>
                <w:bCs/>
                <w:color w:val="000000" w:themeColor="text1"/>
                <w:kern w:val="2"/>
                <w:sz w:val="24"/>
                <w:szCs w:val="24"/>
                <w:highlight w:val="none"/>
              </w:rPr>
            </w:pPr>
          </w:p>
        </w:tc>
        <w:tc>
          <w:tcPr>
            <w:tcW w:w="2424" w:type="dxa"/>
            <w:noWrap w:val="0"/>
            <w:vAlign w:val="center"/>
          </w:tcPr>
          <w:p>
            <w:pPr>
              <w:spacing w:line="300" w:lineRule="auto"/>
              <w:ind w:firstLine="240" w:firstLineChars="100"/>
              <w:jc w:val="both"/>
              <w:rPr>
                <w:rFonts w:ascii="宋体" w:hAnsi="宋体" w:cs="宋体"/>
                <w:color w:val="000000" w:themeColor="text1"/>
                <w:kern w:val="2"/>
                <w:sz w:val="24"/>
                <w:szCs w:val="24"/>
                <w:highlight w:val="none"/>
              </w:rPr>
            </w:pPr>
            <w:r>
              <w:rPr>
                <w:rFonts w:hint="eastAsia" w:asciiTheme="minorEastAsia" w:hAnsiTheme="minorEastAsia" w:cstheme="minorEastAsia"/>
                <w:color w:val="000000" w:themeColor="text1"/>
                <w:sz w:val="24"/>
                <w:szCs w:val="24"/>
                <w:highlight w:val="none"/>
                <w:lang w:val="en-US" w:eastAsia="zh-CN"/>
              </w:rPr>
              <w:t>1</w:t>
            </w:r>
            <w:r>
              <w:rPr>
                <w:rFonts w:hint="eastAsia" w:asciiTheme="minorEastAsia" w:hAnsiTheme="minorEastAsia" w:eastAsiaTheme="minorEastAsia" w:cstheme="minorEastAsia"/>
                <w:color w:val="000000" w:themeColor="text1"/>
                <w:sz w:val="24"/>
                <w:szCs w:val="24"/>
                <w:highlight w:val="none"/>
              </w:rPr>
              <w:t>年期LPR-</w:t>
            </w:r>
            <w:r>
              <w:rPr>
                <w:rFonts w:hint="eastAsia" w:asciiTheme="minorEastAsia" w:hAnsiTheme="minorEastAsia" w:eastAsiaTheme="minorEastAsia" w:cstheme="minorEastAsia"/>
                <w:color w:val="000000" w:themeColor="text1"/>
                <w:sz w:val="24"/>
                <w:szCs w:val="24"/>
                <w:highlight w:val="none"/>
                <w:u w:val="single"/>
              </w:rPr>
              <w:t xml:space="preserve">   </w:t>
            </w:r>
            <w:r>
              <w:rPr>
                <w:rFonts w:hint="eastAsia" w:asciiTheme="minorEastAsia" w:hAnsiTheme="minorEastAsia" w:eastAsiaTheme="minorEastAsia" w:cstheme="minorEastAsia"/>
                <w:color w:val="000000" w:themeColor="text1"/>
                <w:sz w:val="24"/>
                <w:szCs w:val="24"/>
                <w:highlight w:val="none"/>
              </w:rPr>
              <w:t>bp</w:t>
            </w:r>
          </w:p>
        </w:tc>
        <w:tc>
          <w:tcPr>
            <w:tcW w:w="1814" w:type="dxa"/>
            <w:noWrap w:val="0"/>
            <w:vAlign w:val="top"/>
          </w:tcPr>
          <w:p>
            <w:pPr>
              <w:spacing w:line="300" w:lineRule="auto"/>
              <w:rPr>
                <w:rFonts w:ascii="宋体" w:hAnsi="宋体" w:cs="宋体"/>
                <w:color w:val="000000" w:themeColor="text1"/>
                <w:kern w:val="2"/>
                <w:sz w:val="24"/>
                <w:szCs w:val="24"/>
                <w:highlight w:val="none"/>
              </w:rPr>
            </w:pPr>
          </w:p>
        </w:tc>
        <w:tc>
          <w:tcPr>
            <w:tcW w:w="1720" w:type="dxa"/>
            <w:noWrap w:val="0"/>
            <w:vAlign w:val="top"/>
          </w:tcPr>
          <w:p>
            <w:pPr>
              <w:spacing w:line="300" w:lineRule="auto"/>
              <w:rPr>
                <w:rFonts w:ascii="宋体" w:hAnsi="宋体" w:cs="宋体"/>
                <w:color w:val="000000" w:themeColor="text1"/>
                <w:kern w:val="2"/>
                <w:sz w:val="24"/>
                <w:szCs w:val="24"/>
                <w:highlight w:val="none"/>
              </w:rPr>
            </w:pPr>
          </w:p>
        </w:tc>
      </w:tr>
    </w:tbl>
    <w:p>
      <w:pPr>
        <w:widowControl w:val="0"/>
        <w:adjustRightInd w:val="0"/>
        <w:snapToGrid w:val="0"/>
        <w:spacing w:line="360" w:lineRule="auto"/>
        <w:jc w:val="both"/>
        <w:rPr>
          <w:rFonts w:ascii="宋体" w:hAnsi="宋体" w:cs="宋体"/>
          <w:color w:val="000000" w:themeColor="text1"/>
          <w:kern w:val="2"/>
          <w:sz w:val="28"/>
          <w:szCs w:val="28"/>
          <w:highlight w:val="none"/>
        </w:rPr>
      </w:pPr>
    </w:p>
    <w:p>
      <w:pPr>
        <w:widowControl w:val="0"/>
        <w:adjustRightInd w:val="0"/>
        <w:snapToGrid w:val="0"/>
        <w:spacing w:line="360" w:lineRule="auto"/>
        <w:jc w:val="both"/>
        <w:rPr>
          <w:rFonts w:ascii="宋体" w:hAnsi="宋体" w:cs="宋体"/>
          <w:color w:val="000000" w:themeColor="text1"/>
          <w:kern w:val="2"/>
          <w:sz w:val="28"/>
          <w:szCs w:val="28"/>
          <w:highlight w:val="none"/>
        </w:rPr>
      </w:pPr>
      <w:r>
        <w:rPr>
          <w:rFonts w:hint="eastAsia" w:ascii="宋体" w:hAnsi="宋体" w:cs="宋体"/>
          <w:color w:val="000000" w:themeColor="text1"/>
          <w:kern w:val="2"/>
          <w:sz w:val="28"/>
          <w:szCs w:val="28"/>
          <w:highlight w:val="none"/>
        </w:rPr>
        <w:t>注：</w:t>
      </w:r>
    </w:p>
    <w:p>
      <w:pPr>
        <w:pStyle w:val="42"/>
        <w:adjustRightInd w:val="0"/>
        <w:snapToGrid w:val="0"/>
        <w:spacing w:line="360" w:lineRule="auto"/>
        <w:rPr>
          <w:rFonts w:hAnsi="宋体" w:cs="仿宋"/>
          <w:color w:val="000000" w:themeColor="text1"/>
          <w:kern w:val="0"/>
          <w:sz w:val="24"/>
          <w:szCs w:val="24"/>
          <w:highlight w:val="none"/>
        </w:rPr>
      </w:pPr>
      <w:r>
        <w:rPr>
          <w:rFonts w:hint="eastAsia" w:ascii="宋体" w:hAnsi="宋体" w:cs="仿宋"/>
          <w:color w:val="000000" w:themeColor="text1"/>
          <w:sz w:val="24"/>
          <w:szCs w:val="24"/>
          <w:highlight w:val="none"/>
        </w:rPr>
        <w:t>1. 报价利率组成：</w:t>
      </w:r>
      <w:r>
        <w:rPr>
          <w:rFonts w:hint="eastAsia" w:hAnsi="宋体" w:cs="仿宋"/>
          <w:color w:val="000000" w:themeColor="text1"/>
          <w:kern w:val="0"/>
          <w:sz w:val="24"/>
          <w:szCs w:val="24"/>
          <w:highlight w:val="none"/>
        </w:rPr>
        <w:t>1年期贷款市场报价利率（LPR）减</w:t>
      </w:r>
      <w:r>
        <w:rPr>
          <w:rFonts w:hint="eastAsia" w:hAnsi="宋体" w:cs="仿宋"/>
          <w:color w:val="000000" w:themeColor="text1"/>
          <w:kern w:val="0"/>
          <w:sz w:val="24"/>
          <w:szCs w:val="24"/>
          <w:highlight w:val="none"/>
          <w:u w:val="single"/>
        </w:rPr>
        <w:t xml:space="preserve">    </w:t>
      </w:r>
      <w:r>
        <w:rPr>
          <w:rFonts w:hint="eastAsia" w:hAnsi="宋体" w:cs="仿宋"/>
          <w:color w:val="000000" w:themeColor="text1"/>
          <w:kern w:val="0"/>
          <w:sz w:val="24"/>
          <w:szCs w:val="24"/>
          <w:highlight w:val="none"/>
        </w:rPr>
        <w:t>bp。</w:t>
      </w:r>
    </w:p>
    <w:p>
      <w:pPr>
        <w:widowControl w:val="0"/>
        <w:adjustRightInd w:val="0"/>
        <w:snapToGrid w:val="0"/>
        <w:spacing w:line="360" w:lineRule="auto"/>
        <w:jc w:val="both"/>
        <w:rPr>
          <w:rFonts w:ascii="宋体" w:hAnsi="宋体" w:cs="仿宋"/>
          <w:color w:val="000000" w:themeColor="text1"/>
          <w:sz w:val="24"/>
          <w:szCs w:val="24"/>
          <w:highlight w:val="none"/>
        </w:rPr>
      </w:pPr>
      <w:r>
        <w:rPr>
          <w:rFonts w:hint="eastAsia" w:ascii="宋体" w:hAnsi="宋体" w:cs="仿宋"/>
          <w:color w:val="000000" w:themeColor="text1"/>
          <w:sz w:val="24"/>
          <w:szCs w:val="24"/>
          <w:highlight w:val="none"/>
        </w:rPr>
        <w:t>2. 基点（bp）即Basis Point，是一个用于金融方面，衡量债券和票据利率改变量的度量单位。通常一个基点等于0.01%，即1bp=0.01%。</w:t>
      </w:r>
    </w:p>
    <w:p>
      <w:pPr>
        <w:widowControl w:val="0"/>
        <w:adjustRightInd w:val="0"/>
        <w:snapToGrid w:val="0"/>
        <w:spacing w:line="360" w:lineRule="auto"/>
        <w:jc w:val="both"/>
        <w:rPr>
          <w:rFonts w:ascii="宋体" w:hAnsi="宋体" w:cs="仿宋"/>
          <w:color w:val="000000" w:themeColor="text1"/>
          <w:sz w:val="24"/>
          <w:szCs w:val="24"/>
          <w:highlight w:val="none"/>
        </w:rPr>
      </w:pPr>
      <w:r>
        <w:rPr>
          <w:rFonts w:hint="eastAsia" w:ascii="宋体" w:hAnsi="宋体" w:cs="仿宋"/>
          <w:color w:val="000000" w:themeColor="text1"/>
          <w:sz w:val="24"/>
          <w:szCs w:val="24"/>
          <w:highlight w:val="none"/>
        </w:rPr>
        <w:t>3.贷款</w:t>
      </w:r>
      <w:r>
        <w:rPr>
          <w:rFonts w:hint="eastAsia" w:ascii="宋体" w:hAnsi="宋体" w:cs="仿宋"/>
          <w:color w:val="000000" w:themeColor="text1"/>
          <w:sz w:val="24"/>
          <w:szCs w:val="24"/>
          <w:highlight w:val="none"/>
          <w:lang w:val="en-US" w:eastAsia="zh-CN"/>
        </w:rPr>
        <w:t>期限</w:t>
      </w:r>
      <w:r>
        <w:rPr>
          <w:rFonts w:hint="eastAsia" w:ascii="宋体" w:hAnsi="宋体" w:cs="仿宋"/>
          <w:color w:val="000000" w:themeColor="text1"/>
          <w:sz w:val="24"/>
          <w:szCs w:val="24"/>
          <w:highlight w:val="none"/>
        </w:rPr>
        <w:t>需填写整数。</w:t>
      </w:r>
    </w:p>
    <w:p>
      <w:pPr>
        <w:pStyle w:val="42"/>
        <w:adjustRightInd w:val="0"/>
        <w:snapToGrid w:val="0"/>
        <w:spacing w:line="360" w:lineRule="auto"/>
        <w:rPr>
          <w:rFonts w:hint="eastAsia" w:ascii="宋体" w:hAnsi="宋体"/>
          <w:color w:val="000000" w:themeColor="text1"/>
          <w:sz w:val="24"/>
          <w:szCs w:val="24"/>
          <w:highlight w:val="none"/>
        </w:rPr>
      </w:pPr>
      <w:r>
        <w:rPr>
          <w:rFonts w:hint="eastAsia" w:ascii="宋体" w:hAnsi="宋体"/>
          <w:color w:val="000000" w:themeColor="text1"/>
          <w:sz w:val="24"/>
          <w:szCs w:val="24"/>
          <w:highlight w:val="none"/>
        </w:rPr>
        <w:t>4.</w:t>
      </w:r>
      <w:r>
        <w:rPr>
          <w:rFonts w:hint="eastAsia" w:hAnsi="宋体" w:cs="仿宋"/>
          <w:color w:val="000000" w:themeColor="text1"/>
          <w:kern w:val="0"/>
          <w:sz w:val="24"/>
          <w:szCs w:val="24"/>
          <w:highlight w:val="none"/>
        </w:rPr>
        <w:t>为统一评分标准，换算报价利率时，1年期LPR按照按目前公布</w:t>
      </w:r>
      <w:r>
        <w:rPr>
          <w:rFonts w:hint="eastAsia" w:hAnsi="宋体" w:cs="仿宋"/>
          <w:color w:val="000000" w:themeColor="text1"/>
          <w:kern w:val="0"/>
          <w:sz w:val="24"/>
          <w:szCs w:val="24"/>
          <w:highlight w:val="none"/>
          <w:lang w:eastAsia="zh-CN"/>
        </w:rPr>
        <w:t>3.45%</w:t>
      </w:r>
      <w:r>
        <w:rPr>
          <w:rFonts w:hint="eastAsia" w:hAnsi="宋体" w:cs="仿宋"/>
          <w:color w:val="000000" w:themeColor="text1"/>
          <w:kern w:val="0"/>
          <w:sz w:val="24"/>
          <w:szCs w:val="24"/>
          <w:highlight w:val="none"/>
        </w:rPr>
        <w:t>计算</w:t>
      </w:r>
      <w:r>
        <w:rPr>
          <w:rFonts w:hint="eastAsia" w:ascii="宋体" w:hAnsi="宋体"/>
          <w:color w:val="000000" w:themeColor="text1"/>
          <w:sz w:val="24"/>
          <w:szCs w:val="24"/>
          <w:highlight w:val="none"/>
        </w:rPr>
        <w:t>。</w:t>
      </w:r>
    </w:p>
    <w:p>
      <w:pPr>
        <w:pStyle w:val="22"/>
        <w:numPr>
          <w:ilvl w:val="0"/>
          <w:numId w:val="0"/>
        </w:numPr>
        <w:ind w:firstLine="0" w:firstLineChars="0"/>
        <w:rPr>
          <w:rFonts w:hint="eastAsia"/>
          <w:color w:val="000000" w:themeColor="text1"/>
          <w:sz w:val="24"/>
          <w:szCs w:val="24"/>
          <w:highlight w:val="none"/>
        </w:rPr>
      </w:pPr>
      <w:r>
        <w:rPr>
          <w:rFonts w:hint="eastAsia" w:ascii="宋体" w:hAnsi="宋体" w:eastAsia="宋体" w:cs="宋体"/>
          <w:color w:val="000000" w:themeColor="text1"/>
          <w:kern w:val="2"/>
          <w:sz w:val="24"/>
          <w:szCs w:val="24"/>
          <w:highlight w:val="none"/>
          <w:lang w:val="en-US" w:eastAsia="zh-CN"/>
        </w:rPr>
        <w:t>5.</w:t>
      </w:r>
      <w:r>
        <w:rPr>
          <w:rFonts w:hint="eastAsia" w:ascii="宋体" w:hAnsi="宋体" w:eastAsia="宋体" w:cs="宋体"/>
          <w:color w:val="000000" w:themeColor="text1"/>
          <w:kern w:val="2"/>
          <w:sz w:val="24"/>
          <w:szCs w:val="24"/>
          <w:highlight w:val="none"/>
        </w:rPr>
        <w:t>报价保留小数点后2位</w:t>
      </w:r>
      <w:r>
        <w:rPr>
          <w:rFonts w:hint="eastAsia" w:ascii="宋体" w:hAnsi="宋体" w:eastAsia="宋体" w:cs="宋体"/>
          <w:color w:val="000000" w:themeColor="text1"/>
          <w:kern w:val="2"/>
          <w:sz w:val="24"/>
          <w:szCs w:val="24"/>
          <w:highlight w:val="none"/>
          <w:lang w:eastAsia="zh-CN"/>
        </w:rPr>
        <w:t>。</w:t>
      </w:r>
    </w:p>
    <w:p>
      <w:pPr>
        <w:pStyle w:val="13"/>
        <w:adjustRightInd w:val="0"/>
        <w:snapToGrid w:val="0"/>
        <w:spacing w:line="360" w:lineRule="auto"/>
        <w:rPr>
          <w:rFonts w:hint="eastAsia"/>
          <w:color w:val="000000" w:themeColor="text1"/>
          <w:highlight w:val="none"/>
        </w:rPr>
      </w:pPr>
    </w:p>
    <w:p>
      <w:pPr>
        <w:pStyle w:val="7"/>
        <w:rPr>
          <w:color w:val="000000" w:themeColor="text1"/>
          <w:highlight w:val="none"/>
          <w:lang w:val="en-GB"/>
        </w:rPr>
      </w:pPr>
    </w:p>
    <w:p>
      <w:pPr>
        <w:pStyle w:val="7"/>
        <w:adjustRightInd w:val="0"/>
        <w:snapToGrid w:val="0"/>
        <w:spacing w:after="0" w:line="360" w:lineRule="auto"/>
        <w:rPr>
          <w:rFonts w:ascii="宋体" w:hAnsi="宋体" w:cs="宋体"/>
          <w:color w:val="000000" w:themeColor="text1"/>
          <w:highlight w:val="none"/>
          <w:lang w:val="en-GB"/>
        </w:rPr>
      </w:pPr>
    </w:p>
    <w:p>
      <w:pPr>
        <w:adjustRightInd w:val="0"/>
        <w:snapToGrid w:val="0"/>
        <w:spacing w:line="360" w:lineRule="auto"/>
        <w:ind w:left="4253" w:leftChars="2025" w:firstLine="720" w:firstLineChars="3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供应商名称（单位公章）：</w:t>
      </w:r>
    </w:p>
    <w:p>
      <w:pPr>
        <w:adjustRightInd w:val="0"/>
        <w:snapToGrid w:val="0"/>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lang w:val="en-US" w:eastAsia="zh-CN"/>
        </w:rPr>
        <w:t xml:space="preserve">                                           </w:t>
      </w:r>
      <w:r>
        <w:rPr>
          <w:rFonts w:hint="eastAsia" w:ascii="宋体" w:hAnsi="宋体" w:cs="宋体"/>
          <w:color w:val="000000" w:themeColor="text1"/>
          <w:sz w:val="24"/>
          <w:szCs w:val="24"/>
          <w:highlight w:val="none"/>
        </w:rPr>
        <w:t>日期：   年   月   日</w:t>
      </w:r>
    </w:p>
    <w:p>
      <w:pPr>
        <w:pStyle w:val="23"/>
        <w:rPr>
          <w:rFonts w:hint="default"/>
          <w:highlight w:val="none"/>
          <w:lang w:val="en-US" w:eastAsia="zh-CN"/>
        </w:rPr>
      </w:pPr>
    </w:p>
    <w:p>
      <w:pPr>
        <w:pStyle w:val="23"/>
        <w:rPr>
          <w:rFonts w:hint="default"/>
          <w:color w:val="auto"/>
          <w:highlight w:val="none"/>
          <w:lang w:val="en-US"/>
        </w:rPr>
      </w:pPr>
    </w:p>
    <w:p>
      <w:pPr>
        <w:pStyle w:val="5"/>
        <w:spacing w:line="240" w:lineRule="auto"/>
        <w:rPr>
          <w:rFonts w:asciiTheme="majorEastAsia" w:hAnsiTheme="majorEastAsia" w:eastAsiaTheme="majorEastAsia"/>
          <w:color w:val="auto"/>
          <w:sz w:val="28"/>
          <w:szCs w:val="28"/>
          <w:highlight w:val="none"/>
        </w:rPr>
      </w:pPr>
      <w:bookmarkStart w:id="131" w:name="_Toc87616402"/>
      <w:bookmarkStart w:id="132" w:name="_Toc88209965"/>
      <w:bookmarkStart w:id="133" w:name="_Toc16386"/>
      <w:bookmarkStart w:id="134"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snapToGrid w:val="0"/>
        <w:spacing w:line="360" w:lineRule="auto"/>
        <w:ind w:firstLine="0"/>
        <w:rPr>
          <w:rFonts w:hint="eastAsia"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adjustRightInd w:val="0"/>
        <w:snapToGrid w:val="0"/>
        <w:spacing w:line="240" w:lineRule="auto"/>
        <w:ind w:firstLine="0"/>
        <w:rPr>
          <w:rFonts w:hint="eastAsia" w:ascii="仿宋_GB2312" w:eastAsia="仿宋_GB2312" w:hAnsiTheme="minorEastAsia"/>
          <w:color w:val="auto"/>
          <w:sz w:val="28"/>
          <w:szCs w:val="28"/>
          <w:highlight w:val="none"/>
        </w:rPr>
      </w:pPr>
    </w:p>
    <w:p>
      <w:pPr>
        <w:rPr>
          <w:color w:val="auto"/>
          <w:highlight w:val="none"/>
        </w:rPr>
      </w:pPr>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JiZGJmYzQxMzdlZjdhYjRmZWY1MGYyMjRlNDUzMmYifQ=="/>
  </w:docVars>
  <w:rsids>
    <w:rsidRoot w:val="00172A27"/>
    <w:rsid w:val="003D60BA"/>
    <w:rsid w:val="00411689"/>
    <w:rsid w:val="005D618A"/>
    <w:rsid w:val="00911ECD"/>
    <w:rsid w:val="00A042E0"/>
    <w:rsid w:val="00B26BB1"/>
    <w:rsid w:val="00B26E21"/>
    <w:rsid w:val="00B741D7"/>
    <w:rsid w:val="00BA754F"/>
    <w:rsid w:val="00CB3927"/>
    <w:rsid w:val="00D4533C"/>
    <w:rsid w:val="00EA29DB"/>
    <w:rsid w:val="00F50C5E"/>
    <w:rsid w:val="00F83B64"/>
    <w:rsid w:val="013E3461"/>
    <w:rsid w:val="01BB0F13"/>
    <w:rsid w:val="02090C75"/>
    <w:rsid w:val="02A23A3C"/>
    <w:rsid w:val="02FB196F"/>
    <w:rsid w:val="03165F8F"/>
    <w:rsid w:val="03393105"/>
    <w:rsid w:val="035D130A"/>
    <w:rsid w:val="039110A9"/>
    <w:rsid w:val="03AC246A"/>
    <w:rsid w:val="03AE6061"/>
    <w:rsid w:val="03B23056"/>
    <w:rsid w:val="03DA023E"/>
    <w:rsid w:val="03DC3EBA"/>
    <w:rsid w:val="03F9794D"/>
    <w:rsid w:val="046576C9"/>
    <w:rsid w:val="046A2461"/>
    <w:rsid w:val="048D6DEA"/>
    <w:rsid w:val="051C2970"/>
    <w:rsid w:val="060C3611"/>
    <w:rsid w:val="06C64829"/>
    <w:rsid w:val="070E7B6E"/>
    <w:rsid w:val="071D0F9E"/>
    <w:rsid w:val="071D62B7"/>
    <w:rsid w:val="077D16D2"/>
    <w:rsid w:val="082A69F3"/>
    <w:rsid w:val="08675FC8"/>
    <w:rsid w:val="08C10887"/>
    <w:rsid w:val="08FC7577"/>
    <w:rsid w:val="09B713FD"/>
    <w:rsid w:val="09D463C5"/>
    <w:rsid w:val="09EF6ACC"/>
    <w:rsid w:val="0A315056"/>
    <w:rsid w:val="0A3E3B7B"/>
    <w:rsid w:val="0A694621"/>
    <w:rsid w:val="0AA213B4"/>
    <w:rsid w:val="0ACF20EE"/>
    <w:rsid w:val="0AF61C7E"/>
    <w:rsid w:val="0AFB45AD"/>
    <w:rsid w:val="0B232647"/>
    <w:rsid w:val="0B351E9B"/>
    <w:rsid w:val="0B4C50D3"/>
    <w:rsid w:val="0B6744B6"/>
    <w:rsid w:val="0B806B92"/>
    <w:rsid w:val="0B827E94"/>
    <w:rsid w:val="0B842F76"/>
    <w:rsid w:val="0BD070E1"/>
    <w:rsid w:val="0BD65B6B"/>
    <w:rsid w:val="0C2361E7"/>
    <w:rsid w:val="0C247926"/>
    <w:rsid w:val="0C400B4B"/>
    <w:rsid w:val="0C4350D2"/>
    <w:rsid w:val="0D794204"/>
    <w:rsid w:val="0D9D13BC"/>
    <w:rsid w:val="0D9E4766"/>
    <w:rsid w:val="0DA90E87"/>
    <w:rsid w:val="0E2125D1"/>
    <w:rsid w:val="0E214211"/>
    <w:rsid w:val="0E5F2769"/>
    <w:rsid w:val="0ED8332F"/>
    <w:rsid w:val="0F4748A0"/>
    <w:rsid w:val="0F4D75A3"/>
    <w:rsid w:val="0F5B2DCA"/>
    <w:rsid w:val="0F714D08"/>
    <w:rsid w:val="0FA20605"/>
    <w:rsid w:val="0FED051E"/>
    <w:rsid w:val="0FEE4C29"/>
    <w:rsid w:val="0FFD33F6"/>
    <w:rsid w:val="10031608"/>
    <w:rsid w:val="10046082"/>
    <w:rsid w:val="102A76CF"/>
    <w:rsid w:val="104974DD"/>
    <w:rsid w:val="10CF50A9"/>
    <w:rsid w:val="111703D2"/>
    <w:rsid w:val="112B101A"/>
    <w:rsid w:val="11877731"/>
    <w:rsid w:val="119B53FC"/>
    <w:rsid w:val="1215733B"/>
    <w:rsid w:val="12424CDC"/>
    <w:rsid w:val="129A2738"/>
    <w:rsid w:val="12B56BF1"/>
    <w:rsid w:val="12C65142"/>
    <w:rsid w:val="12CB1A89"/>
    <w:rsid w:val="131840FB"/>
    <w:rsid w:val="13467417"/>
    <w:rsid w:val="136E76CF"/>
    <w:rsid w:val="13BB2297"/>
    <w:rsid w:val="1424395D"/>
    <w:rsid w:val="145F08C6"/>
    <w:rsid w:val="146E221C"/>
    <w:rsid w:val="14E43F59"/>
    <w:rsid w:val="15776308"/>
    <w:rsid w:val="15973CBB"/>
    <w:rsid w:val="15BC6B3C"/>
    <w:rsid w:val="15EC2C59"/>
    <w:rsid w:val="16360A7B"/>
    <w:rsid w:val="164D40B0"/>
    <w:rsid w:val="167B3428"/>
    <w:rsid w:val="1694429A"/>
    <w:rsid w:val="17592E04"/>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DC56E9"/>
    <w:rsid w:val="1BF54245"/>
    <w:rsid w:val="1BFC27CA"/>
    <w:rsid w:val="1C762AA7"/>
    <w:rsid w:val="1D056743"/>
    <w:rsid w:val="1D0E6976"/>
    <w:rsid w:val="1D5A79EE"/>
    <w:rsid w:val="1D897B1B"/>
    <w:rsid w:val="1E0E2CD0"/>
    <w:rsid w:val="1E164317"/>
    <w:rsid w:val="1E831280"/>
    <w:rsid w:val="1EBC4704"/>
    <w:rsid w:val="1EE522C8"/>
    <w:rsid w:val="1F172EB5"/>
    <w:rsid w:val="1F22070B"/>
    <w:rsid w:val="1F7519A1"/>
    <w:rsid w:val="1F94592D"/>
    <w:rsid w:val="1FAD2128"/>
    <w:rsid w:val="1FB860DE"/>
    <w:rsid w:val="203C5A02"/>
    <w:rsid w:val="207B0137"/>
    <w:rsid w:val="209D4C94"/>
    <w:rsid w:val="20B44FCD"/>
    <w:rsid w:val="20E84705"/>
    <w:rsid w:val="218400BA"/>
    <w:rsid w:val="21AB1E2F"/>
    <w:rsid w:val="21D40498"/>
    <w:rsid w:val="22493963"/>
    <w:rsid w:val="22767047"/>
    <w:rsid w:val="23257203"/>
    <w:rsid w:val="23A05588"/>
    <w:rsid w:val="240476A1"/>
    <w:rsid w:val="24E953B9"/>
    <w:rsid w:val="25431AEB"/>
    <w:rsid w:val="25B875EB"/>
    <w:rsid w:val="25BE3BFB"/>
    <w:rsid w:val="25BF43FD"/>
    <w:rsid w:val="25F86BCD"/>
    <w:rsid w:val="2605748B"/>
    <w:rsid w:val="260B2287"/>
    <w:rsid w:val="26396D26"/>
    <w:rsid w:val="264544A6"/>
    <w:rsid w:val="267702FB"/>
    <w:rsid w:val="26894424"/>
    <w:rsid w:val="269E416A"/>
    <w:rsid w:val="26C11C6B"/>
    <w:rsid w:val="272100D3"/>
    <w:rsid w:val="272C72FC"/>
    <w:rsid w:val="275131CB"/>
    <w:rsid w:val="278F6521"/>
    <w:rsid w:val="27EB149D"/>
    <w:rsid w:val="27FD3E52"/>
    <w:rsid w:val="284130B3"/>
    <w:rsid w:val="28E11370"/>
    <w:rsid w:val="294A756A"/>
    <w:rsid w:val="29781BF8"/>
    <w:rsid w:val="297939E2"/>
    <w:rsid w:val="299A3355"/>
    <w:rsid w:val="29C33ED0"/>
    <w:rsid w:val="29D5322D"/>
    <w:rsid w:val="29DF1C7C"/>
    <w:rsid w:val="2A025DD9"/>
    <w:rsid w:val="2A2619CB"/>
    <w:rsid w:val="2A5C56A5"/>
    <w:rsid w:val="2A7317D3"/>
    <w:rsid w:val="2A7C2231"/>
    <w:rsid w:val="2A920E4F"/>
    <w:rsid w:val="2ABB753D"/>
    <w:rsid w:val="2AFE6EC4"/>
    <w:rsid w:val="2B345DDC"/>
    <w:rsid w:val="2B4D50E5"/>
    <w:rsid w:val="2B7A49FA"/>
    <w:rsid w:val="2C154479"/>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375CF5"/>
    <w:rsid w:val="30540211"/>
    <w:rsid w:val="30E45100"/>
    <w:rsid w:val="31112A0D"/>
    <w:rsid w:val="3118711F"/>
    <w:rsid w:val="311F4B20"/>
    <w:rsid w:val="312D7741"/>
    <w:rsid w:val="316F137F"/>
    <w:rsid w:val="31815AF3"/>
    <w:rsid w:val="31DF525F"/>
    <w:rsid w:val="31EC162B"/>
    <w:rsid w:val="32324C2E"/>
    <w:rsid w:val="327171DF"/>
    <w:rsid w:val="3391569E"/>
    <w:rsid w:val="33E765B8"/>
    <w:rsid w:val="341E3434"/>
    <w:rsid w:val="34BB4442"/>
    <w:rsid w:val="34E32288"/>
    <w:rsid w:val="3584136B"/>
    <w:rsid w:val="35BD253C"/>
    <w:rsid w:val="35EE5A04"/>
    <w:rsid w:val="35FF5AA4"/>
    <w:rsid w:val="360B7EBA"/>
    <w:rsid w:val="36416867"/>
    <w:rsid w:val="367D5DD4"/>
    <w:rsid w:val="369C32FD"/>
    <w:rsid w:val="37666E72"/>
    <w:rsid w:val="37E24962"/>
    <w:rsid w:val="38081EA3"/>
    <w:rsid w:val="38167A04"/>
    <w:rsid w:val="381C3783"/>
    <w:rsid w:val="38E47D4B"/>
    <w:rsid w:val="391C71CC"/>
    <w:rsid w:val="394B167A"/>
    <w:rsid w:val="39AD34EA"/>
    <w:rsid w:val="39DA2868"/>
    <w:rsid w:val="39DF6BF2"/>
    <w:rsid w:val="3A000621"/>
    <w:rsid w:val="3A055F4B"/>
    <w:rsid w:val="3A4E4336"/>
    <w:rsid w:val="3A6007FE"/>
    <w:rsid w:val="3A802587"/>
    <w:rsid w:val="3A852164"/>
    <w:rsid w:val="3AF93D6C"/>
    <w:rsid w:val="3AFD06C8"/>
    <w:rsid w:val="3B477B26"/>
    <w:rsid w:val="3B7C2CE4"/>
    <w:rsid w:val="3BAF716B"/>
    <w:rsid w:val="3C0B5355"/>
    <w:rsid w:val="3C294ACB"/>
    <w:rsid w:val="3C7E7F35"/>
    <w:rsid w:val="3CD4176B"/>
    <w:rsid w:val="3D1F44D9"/>
    <w:rsid w:val="3D5C38CD"/>
    <w:rsid w:val="3E5070F1"/>
    <w:rsid w:val="3E7569E0"/>
    <w:rsid w:val="3EC370CB"/>
    <w:rsid w:val="3F6C3589"/>
    <w:rsid w:val="3F850180"/>
    <w:rsid w:val="3F9004D6"/>
    <w:rsid w:val="3FCC1A09"/>
    <w:rsid w:val="3FEE7CFA"/>
    <w:rsid w:val="400E4D5E"/>
    <w:rsid w:val="40481A37"/>
    <w:rsid w:val="40E1138C"/>
    <w:rsid w:val="413814BA"/>
    <w:rsid w:val="41872511"/>
    <w:rsid w:val="41DF1251"/>
    <w:rsid w:val="424236D9"/>
    <w:rsid w:val="42466655"/>
    <w:rsid w:val="42582890"/>
    <w:rsid w:val="42C82F57"/>
    <w:rsid w:val="431600B7"/>
    <w:rsid w:val="435707E5"/>
    <w:rsid w:val="439927E1"/>
    <w:rsid w:val="43C76AF7"/>
    <w:rsid w:val="43D54C8A"/>
    <w:rsid w:val="43E97E4A"/>
    <w:rsid w:val="44061228"/>
    <w:rsid w:val="440D65DA"/>
    <w:rsid w:val="446828F0"/>
    <w:rsid w:val="45093E85"/>
    <w:rsid w:val="450B3BFA"/>
    <w:rsid w:val="4511183F"/>
    <w:rsid w:val="45C13B4D"/>
    <w:rsid w:val="46054BCA"/>
    <w:rsid w:val="463374B6"/>
    <w:rsid w:val="464C6AFC"/>
    <w:rsid w:val="46623710"/>
    <w:rsid w:val="466D7BB5"/>
    <w:rsid w:val="468B0091"/>
    <w:rsid w:val="46934B27"/>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EE7ABB"/>
    <w:rsid w:val="48F005D3"/>
    <w:rsid w:val="49466522"/>
    <w:rsid w:val="49547ADD"/>
    <w:rsid w:val="49732351"/>
    <w:rsid w:val="498F4AF1"/>
    <w:rsid w:val="499A23D5"/>
    <w:rsid w:val="49C05787"/>
    <w:rsid w:val="49CF518D"/>
    <w:rsid w:val="49D56585"/>
    <w:rsid w:val="49E26C94"/>
    <w:rsid w:val="49F3363A"/>
    <w:rsid w:val="4A7F3979"/>
    <w:rsid w:val="4ADA1F63"/>
    <w:rsid w:val="4AE23D89"/>
    <w:rsid w:val="4B2038D0"/>
    <w:rsid w:val="4B296E7D"/>
    <w:rsid w:val="4B79394E"/>
    <w:rsid w:val="4B877F28"/>
    <w:rsid w:val="4CD200BA"/>
    <w:rsid w:val="4D0A05B6"/>
    <w:rsid w:val="4D2044E7"/>
    <w:rsid w:val="4D916BA6"/>
    <w:rsid w:val="4DC44169"/>
    <w:rsid w:val="4DE24E21"/>
    <w:rsid w:val="4E1B19A3"/>
    <w:rsid w:val="4E48787F"/>
    <w:rsid w:val="4E8D5680"/>
    <w:rsid w:val="4EF0709E"/>
    <w:rsid w:val="4F0469A4"/>
    <w:rsid w:val="4FBF5D0D"/>
    <w:rsid w:val="500E56F4"/>
    <w:rsid w:val="50540C73"/>
    <w:rsid w:val="50752AF8"/>
    <w:rsid w:val="513C6A7B"/>
    <w:rsid w:val="51656BE3"/>
    <w:rsid w:val="517300C9"/>
    <w:rsid w:val="519574CE"/>
    <w:rsid w:val="51B31D16"/>
    <w:rsid w:val="51E508EF"/>
    <w:rsid w:val="51E5490A"/>
    <w:rsid w:val="523B3C37"/>
    <w:rsid w:val="52EC6EC2"/>
    <w:rsid w:val="532D486F"/>
    <w:rsid w:val="5333545B"/>
    <w:rsid w:val="53407459"/>
    <w:rsid w:val="538D0E89"/>
    <w:rsid w:val="5450213C"/>
    <w:rsid w:val="546711F3"/>
    <w:rsid w:val="546C3825"/>
    <w:rsid w:val="54A0586E"/>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A312E9"/>
    <w:rsid w:val="58C14957"/>
    <w:rsid w:val="58CC23D2"/>
    <w:rsid w:val="58E66050"/>
    <w:rsid w:val="596B36B6"/>
    <w:rsid w:val="59E63F07"/>
    <w:rsid w:val="59E73F45"/>
    <w:rsid w:val="59FC7994"/>
    <w:rsid w:val="5AE83A50"/>
    <w:rsid w:val="5B353193"/>
    <w:rsid w:val="5BAB2917"/>
    <w:rsid w:val="5BFC33FA"/>
    <w:rsid w:val="5C3107A4"/>
    <w:rsid w:val="5C337866"/>
    <w:rsid w:val="5C3B1B93"/>
    <w:rsid w:val="5C6D1B57"/>
    <w:rsid w:val="5C9220DF"/>
    <w:rsid w:val="5D4920F8"/>
    <w:rsid w:val="5D4A15F3"/>
    <w:rsid w:val="5D69542A"/>
    <w:rsid w:val="5D783B72"/>
    <w:rsid w:val="5DD34EE2"/>
    <w:rsid w:val="5E0930EF"/>
    <w:rsid w:val="5E3D4D53"/>
    <w:rsid w:val="5E4717E6"/>
    <w:rsid w:val="5E55774C"/>
    <w:rsid w:val="5E8A70FF"/>
    <w:rsid w:val="5F655C43"/>
    <w:rsid w:val="5FAB1E73"/>
    <w:rsid w:val="5FD955AA"/>
    <w:rsid w:val="5FE22855"/>
    <w:rsid w:val="60045F96"/>
    <w:rsid w:val="60104DDC"/>
    <w:rsid w:val="605C0804"/>
    <w:rsid w:val="60913E6F"/>
    <w:rsid w:val="611F0045"/>
    <w:rsid w:val="61733C3E"/>
    <w:rsid w:val="6189617B"/>
    <w:rsid w:val="619747F0"/>
    <w:rsid w:val="61B52BB6"/>
    <w:rsid w:val="61B749C2"/>
    <w:rsid w:val="62280D20"/>
    <w:rsid w:val="629C50CC"/>
    <w:rsid w:val="62B4786E"/>
    <w:rsid w:val="62CA2457"/>
    <w:rsid w:val="631303F2"/>
    <w:rsid w:val="638240A1"/>
    <w:rsid w:val="63833423"/>
    <w:rsid w:val="63A5257B"/>
    <w:rsid w:val="63BD3DCC"/>
    <w:rsid w:val="63C61741"/>
    <w:rsid w:val="64560967"/>
    <w:rsid w:val="64B155BE"/>
    <w:rsid w:val="65412E8C"/>
    <w:rsid w:val="655B3069"/>
    <w:rsid w:val="656142EF"/>
    <w:rsid w:val="656B1D10"/>
    <w:rsid w:val="65B841F9"/>
    <w:rsid w:val="66022B28"/>
    <w:rsid w:val="664A38E2"/>
    <w:rsid w:val="66581E87"/>
    <w:rsid w:val="66633F9C"/>
    <w:rsid w:val="666F1DE3"/>
    <w:rsid w:val="66766EBB"/>
    <w:rsid w:val="66FA11D5"/>
    <w:rsid w:val="674302C7"/>
    <w:rsid w:val="67CB09D8"/>
    <w:rsid w:val="67EE3B0F"/>
    <w:rsid w:val="680A5986"/>
    <w:rsid w:val="680D5F4B"/>
    <w:rsid w:val="68113F51"/>
    <w:rsid w:val="68B272C7"/>
    <w:rsid w:val="68CF107E"/>
    <w:rsid w:val="68E94770"/>
    <w:rsid w:val="68EC1CEF"/>
    <w:rsid w:val="68F8454F"/>
    <w:rsid w:val="68F949C9"/>
    <w:rsid w:val="69037E15"/>
    <w:rsid w:val="692546D4"/>
    <w:rsid w:val="695A4290"/>
    <w:rsid w:val="696F3649"/>
    <w:rsid w:val="6A267606"/>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07471C"/>
    <w:rsid w:val="6F7E7378"/>
    <w:rsid w:val="6F8363E5"/>
    <w:rsid w:val="6F841DCF"/>
    <w:rsid w:val="6FA80CCD"/>
    <w:rsid w:val="6FAC3CC5"/>
    <w:rsid w:val="6FC746F5"/>
    <w:rsid w:val="6FE33EF5"/>
    <w:rsid w:val="70317AC6"/>
    <w:rsid w:val="704B26F7"/>
    <w:rsid w:val="70697B21"/>
    <w:rsid w:val="70863262"/>
    <w:rsid w:val="70A76ED3"/>
    <w:rsid w:val="71860B17"/>
    <w:rsid w:val="723B27CC"/>
    <w:rsid w:val="724B1AC3"/>
    <w:rsid w:val="72565C05"/>
    <w:rsid w:val="72576610"/>
    <w:rsid w:val="72687227"/>
    <w:rsid w:val="72A03FD9"/>
    <w:rsid w:val="73406CFF"/>
    <w:rsid w:val="7383028C"/>
    <w:rsid w:val="73A25E44"/>
    <w:rsid w:val="73CD639B"/>
    <w:rsid w:val="741F68CF"/>
    <w:rsid w:val="748621E7"/>
    <w:rsid w:val="75252DF3"/>
    <w:rsid w:val="75621536"/>
    <w:rsid w:val="75BF3154"/>
    <w:rsid w:val="75DA4A2D"/>
    <w:rsid w:val="76400F7F"/>
    <w:rsid w:val="764A07CF"/>
    <w:rsid w:val="764F6B3D"/>
    <w:rsid w:val="76CD2B7B"/>
    <w:rsid w:val="76D80645"/>
    <w:rsid w:val="76E03371"/>
    <w:rsid w:val="771211AA"/>
    <w:rsid w:val="77736C04"/>
    <w:rsid w:val="778F2F45"/>
    <w:rsid w:val="779E40CB"/>
    <w:rsid w:val="780E5898"/>
    <w:rsid w:val="782642CC"/>
    <w:rsid w:val="7894095E"/>
    <w:rsid w:val="78964555"/>
    <w:rsid w:val="78CF4963"/>
    <w:rsid w:val="79000679"/>
    <w:rsid w:val="7916258F"/>
    <w:rsid w:val="791C0FE5"/>
    <w:rsid w:val="79A416F0"/>
    <w:rsid w:val="79B03EB6"/>
    <w:rsid w:val="79B61437"/>
    <w:rsid w:val="7A676211"/>
    <w:rsid w:val="7AA9063E"/>
    <w:rsid w:val="7AE15A5C"/>
    <w:rsid w:val="7AF37579"/>
    <w:rsid w:val="7AF87F64"/>
    <w:rsid w:val="7B1C0C84"/>
    <w:rsid w:val="7B5A62DF"/>
    <w:rsid w:val="7B7A04A8"/>
    <w:rsid w:val="7B8E4662"/>
    <w:rsid w:val="7BB27568"/>
    <w:rsid w:val="7BFC5A6F"/>
    <w:rsid w:val="7C0C3F6D"/>
    <w:rsid w:val="7C185939"/>
    <w:rsid w:val="7C1C7EBF"/>
    <w:rsid w:val="7C22163C"/>
    <w:rsid w:val="7C457B4B"/>
    <w:rsid w:val="7C595075"/>
    <w:rsid w:val="7C6B07B2"/>
    <w:rsid w:val="7D133243"/>
    <w:rsid w:val="7D151452"/>
    <w:rsid w:val="7D945420"/>
    <w:rsid w:val="7D997857"/>
    <w:rsid w:val="7DD07A4B"/>
    <w:rsid w:val="7E394207"/>
    <w:rsid w:val="7E4007A2"/>
    <w:rsid w:val="7E791CAD"/>
    <w:rsid w:val="7EA50DFB"/>
    <w:rsid w:val="7EC86878"/>
    <w:rsid w:val="7F16390D"/>
    <w:rsid w:val="7F430416"/>
    <w:rsid w:val="7F752917"/>
    <w:rsid w:val="7F791ABB"/>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next w:val="10"/>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envelope return"/>
    <w:basedOn w:val="1"/>
    <w:qFormat/>
    <w:uiPriority w:val="0"/>
    <w:pPr>
      <w:snapToGrid w:val="0"/>
    </w:pPr>
    <w:rPr>
      <w:rFonts w:ascii="Arial" w:hAnsi="Arial"/>
      <w:szCs w:val="24"/>
    </w:rPr>
  </w:style>
  <w:style w:type="paragraph" w:styleId="11">
    <w:name w:val="toc 5"/>
    <w:basedOn w:val="1"/>
    <w:next w:val="1"/>
    <w:unhideWhenUsed/>
    <w:qFormat/>
    <w:uiPriority w:val="0"/>
    <w:pPr>
      <w:widowControl w:val="0"/>
      <w:ind w:left="1680" w:leftChars="800"/>
      <w:jc w:val="both"/>
    </w:pPr>
    <w:rPr>
      <w:rFonts w:ascii="Calibri" w:hAnsi="Calibri"/>
      <w:kern w:val="2"/>
      <w:szCs w:val="22"/>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spacing w:before="100" w:beforeAutospacing="1" w:after="100" w:afterAutospacing="1"/>
    </w:pPr>
    <w:rPr>
      <w:rFonts w:ascii="宋体" w:hAnsi="宋体" w:cs="宋体"/>
      <w:sz w:val="24"/>
      <w:szCs w:val="24"/>
    </w:rPr>
  </w:style>
  <w:style w:type="paragraph" w:styleId="22">
    <w:name w:val="Body Text First Indent"/>
    <w:basedOn w:val="7"/>
    <w:qFormat/>
    <w:uiPriority w:val="0"/>
    <w:pPr>
      <w:ind w:firstLine="420"/>
    </w:pPr>
  </w:style>
  <w:style w:type="paragraph" w:styleId="23">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basedOn w:val="26"/>
    <w:unhideWhenUsed/>
    <w:qFormat/>
    <w:uiPriority w:val="99"/>
    <w:rPr>
      <w:color w:val="0000FF" w:themeColor="hyperlink"/>
      <w:u w:val="single"/>
    </w:rPr>
  </w:style>
  <w:style w:type="character" w:customStyle="1" w:styleId="28">
    <w:name w:val="页眉 Char"/>
    <w:basedOn w:val="26"/>
    <w:link w:val="18"/>
    <w:semiHidden/>
    <w:qFormat/>
    <w:uiPriority w:val="99"/>
    <w:rPr>
      <w:sz w:val="18"/>
      <w:szCs w:val="18"/>
    </w:rPr>
  </w:style>
  <w:style w:type="character" w:customStyle="1" w:styleId="29">
    <w:name w:val="页脚 Char"/>
    <w:basedOn w:val="26"/>
    <w:link w:val="17"/>
    <w:qFormat/>
    <w:uiPriority w:val="99"/>
    <w:rPr>
      <w:sz w:val="18"/>
      <w:szCs w:val="18"/>
    </w:rPr>
  </w:style>
  <w:style w:type="character" w:customStyle="1" w:styleId="30">
    <w:name w:val="标题 1 Char"/>
    <w:basedOn w:val="26"/>
    <w:link w:val="3"/>
    <w:qFormat/>
    <w:uiPriority w:val="9"/>
    <w:rPr>
      <w:rFonts w:eastAsia="方正小标宋简体"/>
      <w:bCs/>
      <w:kern w:val="44"/>
      <w:sz w:val="44"/>
      <w:szCs w:val="44"/>
    </w:rPr>
  </w:style>
  <w:style w:type="character" w:customStyle="1" w:styleId="31">
    <w:name w:val="标题 2 Char"/>
    <w:basedOn w:val="26"/>
    <w:link w:val="4"/>
    <w:qFormat/>
    <w:uiPriority w:val="9"/>
    <w:rPr>
      <w:rFonts w:eastAsia="方正小标宋简体" w:asciiTheme="majorHAnsi" w:hAnsiTheme="majorHAnsi" w:cstheme="majorBidi"/>
      <w:bCs/>
      <w:sz w:val="36"/>
      <w:szCs w:val="32"/>
    </w:rPr>
  </w:style>
  <w:style w:type="character" w:customStyle="1" w:styleId="32">
    <w:name w:val="标题 3 Char"/>
    <w:basedOn w:val="26"/>
    <w:link w:val="5"/>
    <w:qFormat/>
    <w:uiPriority w:val="9"/>
    <w:rPr>
      <w:rFonts w:ascii="Calibri" w:hAnsi="Calibri" w:eastAsia="宋体" w:cs="Times New Roman"/>
      <w:b/>
      <w:bCs/>
      <w:sz w:val="32"/>
      <w:szCs w:val="32"/>
    </w:rPr>
  </w:style>
  <w:style w:type="paragraph" w:styleId="33">
    <w:name w:val="List Paragraph"/>
    <w:basedOn w:val="1"/>
    <w:next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6"/>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6"/>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51" textRotate="1"/>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9148</Words>
  <Characters>9619</Characters>
  <Lines>300</Lines>
  <Paragraphs>84</Paragraphs>
  <TotalTime>2</TotalTime>
  <ScaleCrop>false</ScaleCrop>
  <LinksUpToDate>false</LinksUpToDate>
  <CharactersWithSpaces>11026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TK</cp:lastModifiedBy>
  <cp:lastPrinted>2023-11-23T01:55:00Z</cp:lastPrinted>
  <dcterms:modified xsi:type="dcterms:W3CDTF">2023-12-25T09:26:12Z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A16D6DC8326945AC9168607D4B687526</vt:lpwstr>
  </property>
</Properties>
</file>