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sz w:val="52"/>
          <w:szCs w:val="52"/>
          <w:highlight w:val="none"/>
        </w:rPr>
      </w:pPr>
      <w:bookmarkStart w:id="135" w:name="_GoBack"/>
      <w:bookmarkEnd w:id="135"/>
    </w:p>
    <w:p>
      <w:pPr>
        <w:numPr>
          <w:ilvl w:val="0"/>
          <w:numId w:val="0"/>
        </w:numPr>
        <w:ind w:leftChars="0"/>
        <w:jc w:val="center"/>
        <w:rPr>
          <w:rFonts w:hint="eastAsia" w:ascii="方正小标宋简体" w:eastAsia="方正小标宋简体"/>
          <w:sz w:val="52"/>
          <w:szCs w:val="52"/>
        </w:rPr>
      </w:pPr>
      <w:r>
        <w:rPr>
          <w:rFonts w:hint="eastAsia" w:ascii="方正小标宋简体" w:eastAsia="方正小标宋简体"/>
          <w:sz w:val="52"/>
          <w:szCs w:val="52"/>
        </w:rPr>
        <w:t>广州市净水有限公司</w:t>
      </w:r>
      <w:r>
        <w:rPr>
          <w:rFonts w:hint="eastAsia" w:ascii="方正小标宋简体" w:eastAsia="方正小标宋简体"/>
          <w:sz w:val="52"/>
          <w:szCs w:val="52"/>
          <w:lang w:val="en-US" w:eastAsia="zh-CN"/>
        </w:rPr>
        <w:t>大</w:t>
      </w:r>
      <w:r>
        <w:rPr>
          <w:rFonts w:hint="eastAsia" w:ascii="方正小标宋简体" w:eastAsia="方正小标宋简体"/>
          <w:sz w:val="52"/>
          <w:szCs w:val="52"/>
        </w:rPr>
        <w:t>坦沙分公司</w:t>
      </w:r>
    </w:p>
    <w:p>
      <w:pPr>
        <w:numPr>
          <w:ilvl w:val="0"/>
          <w:numId w:val="0"/>
        </w:numPr>
        <w:ind w:leftChars="0"/>
        <w:jc w:val="center"/>
        <w:rPr>
          <w:rFonts w:hint="eastAsia" w:ascii="方正小标宋简体" w:eastAsia="方正小标宋简体"/>
          <w:sz w:val="52"/>
          <w:szCs w:val="52"/>
          <w:u w:val="none"/>
          <w:lang w:val="en-US" w:eastAsia="zh-CN"/>
        </w:rPr>
      </w:pPr>
      <w:r>
        <w:rPr>
          <w:rFonts w:hint="eastAsia" w:ascii="方正小标宋简体" w:eastAsia="方正小标宋简体"/>
          <w:sz w:val="52"/>
          <w:szCs w:val="52"/>
        </w:rPr>
        <w:t>一、二、三期滤池</w:t>
      </w:r>
      <w:r>
        <w:rPr>
          <w:rFonts w:hint="eastAsia" w:ascii="方正小标宋简体" w:eastAsia="方正小标宋简体"/>
          <w:sz w:val="52"/>
          <w:szCs w:val="52"/>
          <w:lang w:val="en-US" w:eastAsia="zh-CN"/>
        </w:rPr>
        <w:t>提升泵配电柜优化等项目</w:t>
      </w:r>
      <w:r>
        <w:rPr>
          <w:rFonts w:hint="eastAsia" w:ascii="方正小标宋简体" w:eastAsia="方正小标宋简体"/>
          <w:sz w:val="52"/>
          <w:szCs w:val="52"/>
          <w:u w:val="none"/>
          <w:lang w:val="en-US" w:eastAsia="zh-CN"/>
        </w:rPr>
        <w:t>（机电维修类）</w:t>
      </w:r>
    </w:p>
    <w:p>
      <w:pPr>
        <w:numPr>
          <w:ilvl w:val="0"/>
          <w:numId w:val="0"/>
        </w:numPr>
        <w:ind w:leftChars="0"/>
        <w:jc w:val="center"/>
        <w:rPr>
          <w:rFonts w:hint="default" w:ascii="方正小标宋简体" w:eastAsia="方正小标宋简体"/>
          <w:sz w:val="52"/>
          <w:szCs w:val="52"/>
          <w:u w:val="none"/>
          <w:lang w:val="en-US" w:eastAsia="zh-CN"/>
        </w:rPr>
      </w:pPr>
    </w:p>
    <w:p>
      <w:pPr>
        <w:numPr>
          <w:ilvl w:val="0"/>
          <w:numId w:val="0"/>
        </w:numPr>
        <w:ind w:leftChars="0"/>
        <w:jc w:val="center"/>
        <w:rPr>
          <w:rFonts w:hint="eastAsia" w:ascii="方正小标宋简体" w:eastAsia="方正小标宋简体"/>
          <w:sz w:val="52"/>
          <w:szCs w:val="52"/>
        </w:rPr>
      </w:pPr>
      <w:r>
        <w:rPr>
          <w:rFonts w:hint="eastAsia" w:ascii="方正小标宋简体" w:eastAsia="方正小标宋简体"/>
          <w:sz w:val="52"/>
          <w:szCs w:val="52"/>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eastAsia="zh-CN"/>
        </w:rPr>
        <w:t>十</w:t>
      </w:r>
      <w:r>
        <w:rPr>
          <w:rFonts w:hint="eastAsia" w:ascii="黑体" w:hAnsi="黑体" w:eastAsia="黑体" w:cs="仿宋_GB2312"/>
          <w:color w:val="auto"/>
          <w:sz w:val="32"/>
          <w:szCs w:val="32"/>
          <w:highlight w:val="none"/>
          <w:lang w:val="en-US" w:eastAsia="zh-CN"/>
        </w:rPr>
        <w:t>二</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sectPr>
          <w:headerReference r:id="rId3" w:type="first"/>
          <w:footerReference r:id="rId5" w:type="first"/>
          <w:footerReference r:id="rId4" w:type="default"/>
          <w:pgSz w:w="11906" w:h="16838"/>
          <w:pgMar w:top="2098" w:right="1474" w:bottom="1985" w:left="1588" w:header="851" w:footer="992" w:gutter="0"/>
          <w:pgNumType w:start="0"/>
          <w:cols w:space="425" w:num="1"/>
          <w:titlePg/>
          <w:docGrid w:type="lines" w:linePitch="312" w:charSpace="0"/>
        </w:sectPr>
      </w:pP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hint="eastAsia"/>
          <w:color w:val="auto"/>
          <w:highlight w:val="none"/>
        </w:rPr>
      </w:pPr>
      <w:bookmarkStart w:id="0" w:name="_Toc18145"/>
      <w:bookmarkStart w:id="1" w:name="_Toc26148"/>
    </w:p>
    <w:p>
      <w:pPr>
        <w:rPr>
          <w:rFonts w:hint="eastAsia"/>
          <w:color w:val="auto"/>
          <w:highlight w:val="none"/>
        </w:rPr>
      </w:pPr>
    </w:p>
    <w:p>
      <w:pPr>
        <w:pStyle w:val="2"/>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
        <w:rPr>
          <w:rFonts w:hint="eastAsia"/>
          <w:color w:val="auto"/>
          <w:highlight w:val="none"/>
        </w:rPr>
      </w:pPr>
      <w:bookmarkStart w:id="4" w:name="_Toc4275"/>
      <w:bookmarkStart w:id="5" w:name="_Toc17801"/>
      <w:bookmarkStart w:id="6" w:name="_Toc19609"/>
      <w:bookmarkStart w:id="7" w:name="_Toc7519"/>
      <w:bookmarkStart w:id="8" w:name="_Toc11322"/>
      <w:bookmarkStart w:id="9" w:name="_Toc31938"/>
      <w:bookmarkStart w:id="10" w:name="_Toc1669"/>
    </w:p>
    <w:p>
      <w:pPr>
        <w:pStyle w:val="2"/>
        <w:rPr>
          <w:rFonts w:hint="eastAsia"/>
          <w:color w:val="auto"/>
          <w:highlight w:val="none"/>
        </w:rPr>
      </w:pPr>
    </w:p>
    <w:p>
      <w:pPr>
        <w:pStyle w:val="2"/>
        <w:rPr>
          <w:rFonts w:hint="eastAsia"/>
          <w:color w:val="auto"/>
          <w:highlight w:val="none"/>
        </w:rPr>
      </w:pPr>
    </w:p>
    <w:p>
      <w:pPr>
        <w:rPr>
          <w:rFonts w:hint="eastAsia"/>
        </w:rPr>
      </w:pPr>
    </w:p>
    <w:p>
      <w:pPr>
        <w:pStyle w:val="2"/>
        <w:rPr>
          <w:color w:val="auto"/>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2362200</wp:posOffset>
                </wp:positionH>
                <wp:positionV relativeFrom="paragraph">
                  <wp:posOffset>201295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6pt;margin-top:15.85pt;height:0pt;width:75.5pt;z-index:251668480;mso-width-relative:page;mso-height-relative:page;" filled="f" stroked="t" coordsize="21600,21600" o:gfxdata="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rrIbtcAAAAJAQAADwAAAAAAAAABACAAAAAiAAAAZHJzL2Rvd25yZXYueG1sUEsBAhQA&#10;FAAAAAgAh07iQA+sh4j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69504;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2"/>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left="0" w:leftChars="0" w:firstLine="0" w:firstLineChars="0"/>
        <w:rPr>
          <w:rFonts w:ascii="方正小标宋简体" w:eastAsia="方正小标宋简体"/>
          <w:color w:val="auto"/>
          <w:sz w:val="44"/>
          <w:szCs w:val="44"/>
          <w:highlight w:val="none"/>
        </w:rPr>
      </w:pPr>
    </w:p>
    <w:p>
      <w:pPr>
        <w:pStyle w:val="23"/>
        <w:ind w:left="0" w:leftChars="0" w:firstLine="0" w:firstLineChars="0"/>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2"/>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eastAsia="zh-CN"/>
        </w:rPr>
        <w:t>广州市净水有限公司大坦沙分公司一、二、三期滤池提升泵配电柜优化等项目（机电维修类）</w:t>
      </w:r>
      <w:r>
        <w:rPr>
          <w:rFonts w:hint="eastAsia" w:ascii="仿宋_GB2312" w:eastAsia="仿宋_GB2312"/>
          <w:color w:val="auto"/>
          <w:sz w:val="28"/>
          <w:szCs w:val="28"/>
          <w:highlight w:val="none"/>
        </w:rPr>
        <w:t>已具备采购条件，</w:t>
      </w:r>
      <w:r>
        <w:rPr>
          <w:rFonts w:hint="eastAsia" w:ascii="仿宋_GB2312" w:eastAsia="仿宋_GB2312"/>
          <w:sz w:val="28"/>
          <w:szCs w:val="28"/>
        </w:rPr>
        <w:t>现</w:t>
      </w:r>
      <w:r>
        <w:rPr>
          <w:rFonts w:hint="eastAsia" w:ascii="仿宋_GB2312" w:eastAsia="仿宋_GB2312"/>
          <w:sz w:val="28"/>
          <w:szCs w:val="28"/>
          <w:lang w:val="en-US" w:eastAsia="zh-CN"/>
        </w:rPr>
        <w:t>邀请合格</w:t>
      </w:r>
      <w:r>
        <w:rPr>
          <w:rFonts w:hint="eastAsia" w:ascii="仿宋_GB2312" w:eastAsia="仿宋_GB2312"/>
          <w:sz w:val="28"/>
          <w:szCs w:val="28"/>
          <w:u w:val="none"/>
          <w:lang w:val="en-US" w:eastAsia="zh-CN"/>
        </w:rPr>
        <w:t>单位</w:t>
      </w:r>
      <w:r>
        <w:rPr>
          <w:rFonts w:hint="eastAsia" w:ascii="仿宋_GB2312" w:eastAsia="仿宋_GB2312"/>
          <w:sz w:val="28"/>
          <w:szCs w:val="28"/>
        </w:rPr>
        <w:t>参加本</w:t>
      </w:r>
      <w:r>
        <w:rPr>
          <w:rFonts w:hint="eastAsia" w:ascii="仿宋_GB2312" w:eastAsia="仿宋_GB2312"/>
          <w:sz w:val="28"/>
          <w:szCs w:val="28"/>
        </w:rPr>
        <w:sym w:font="Wingdings 2" w:char="0052"/>
      </w:r>
      <w:r>
        <w:rPr>
          <w:rFonts w:hint="eastAsia" w:ascii="仿宋_GB2312" w:eastAsia="仿宋_GB2312"/>
          <w:sz w:val="28"/>
          <w:szCs w:val="28"/>
        </w:rPr>
        <w:t xml:space="preserve">施工  □货物 </w:t>
      </w:r>
      <w:r>
        <w:rPr>
          <w:rFonts w:hint="eastAsia" w:ascii="仿宋_GB2312" w:eastAsia="仿宋_GB2312"/>
          <w:sz w:val="28"/>
          <w:szCs w:val="28"/>
        </w:rPr>
        <w:sym w:font="Wingdings 2" w:char="00A3"/>
      </w:r>
      <w:r>
        <w:rPr>
          <w:rFonts w:hint="eastAsia" w:ascii="仿宋_GB2312" w:eastAsia="仿宋_GB2312"/>
          <w:sz w:val="28"/>
          <w:szCs w:val="28"/>
        </w:rPr>
        <w:t>服务项目采购活动，采用</w:t>
      </w:r>
      <w:r>
        <w:rPr>
          <w:rFonts w:hint="eastAsia" w:ascii="仿宋_GB2312" w:eastAsia="仿宋_GB2312"/>
          <w:sz w:val="28"/>
          <w:szCs w:val="28"/>
          <w:u w:val="single"/>
        </w:rPr>
        <w:sym w:font="Wingdings 2" w:char="00A3"/>
      </w:r>
      <w:r>
        <w:rPr>
          <w:rFonts w:hint="eastAsia" w:ascii="仿宋_GB2312" w:eastAsia="仿宋_GB2312"/>
          <w:sz w:val="28"/>
          <w:szCs w:val="28"/>
          <w:u w:val="single"/>
          <w:lang w:val="en-US" w:eastAsia="zh-CN"/>
        </w:rPr>
        <w:t>邀请</w:t>
      </w:r>
      <w:r>
        <w:rPr>
          <w:rFonts w:hint="eastAsia" w:ascii="仿宋_GB2312" w:eastAsia="仿宋_GB2312"/>
          <w:sz w:val="28"/>
          <w:szCs w:val="28"/>
          <w:u w:val="single"/>
        </w:rPr>
        <w:t>询比</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lang w:val="en-US" w:eastAsia="zh-CN"/>
        </w:rPr>
        <w:sym w:font="Wingdings 2" w:char="0052"/>
      </w:r>
      <w:r>
        <w:rPr>
          <w:rFonts w:hint="eastAsia" w:ascii="仿宋_GB2312" w:eastAsia="仿宋_GB2312"/>
          <w:sz w:val="28"/>
          <w:szCs w:val="28"/>
          <w:u w:val="single"/>
          <w:lang w:val="en-US" w:eastAsia="zh-CN"/>
        </w:rPr>
        <w:t>公开询价</w:t>
      </w:r>
      <w:r>
        <w:rPr>
          <w:rFonts w:hint="eastAsia" w:ascii="仿宋_GB2312" w:eastAsia="仿宋_GB2312"/>
          <w:sz w:val="28"/>
          <w:szCs w:val="28"/>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广州市净水有限公司大坦沙分公司一、二、三期滤池提升泵配电柜优化等项目（机电维修类）</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XJ-20231213-2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hAnsiTheme="minorHAnsi" w:cstheme="minorBidi"/>
          <w:color w:val="auto"/>
          <w:kern w:val="2"/>
          <w:sz w:val="28"/>
          <w:szCs w:val="28"/>
          <w:highlight w:val="none"/>
          <w:u w:val="single"/>
          <w:lang w:val="en-US" w:eastAsia="zh-CN" w:bidi="ar"/>
        </w:rPr>
        <w:t>245876.3</w:t>
      </w:r>
      <w:r>
        <w:rPr>
          <w:rFonts w:hint="eastAsia" w:ascii="仿宋_GB2312" w:eastAsia="仿宋_GB2312" w:cstheme="minorBidi"/>
          <w:color w:val="auto"/>
          <w:kern w:val="2"/>
          <w:sz w:val="28"/>
          <w:szCs w:val="28"/>
          <w:highlight w:val="none"/>
          <w:u w:val="none"/>
          <w:lang w:val="en-US" w:eastAsia="zh-CN" w:bidi="ar"/>
        </w:rPr>
        <w:t>元</w:t>
      </w:r>
    </w:p>
    <w:tbl>
      <w:tblPr>
        <w:tblStyle w:val="24"/>
        <w:tblW w:w="91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4"/>
        <w:gridCol w:w="936"/>
        <w:gridCol w:w="2651"/>
        <w:gridCol w:w="1031"/>
        <w:gridCol w:w="1031"/>
        <w:gridCol w:w="940"/>
        <w:gridCol w:w="1042"/>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5" w:hRule="atLeast"/>
          <w:jc w:val="center"/>
        </w:trPr>
        <w:tc>
          <w:tcPr>
            <w:tcW w:w="46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序号</w:t>
            </w:r>
          </w:p>
        </w:tc>
        <w:tc>
          <w:tcPr>
            <w:tcW w:w="936"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所属单位</w:t>
            </w:r>
          </w:p>
        </w:tc>
        <w:tc>
          <w:tcPr>
            <w:tcW w:w="265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子项目名称</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最高限价（元）</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税前价   （元）</w:t>
            </w:r>
          </w:p>
        </w:tc>
        <w:tc>
          <w:tcPr>
            <w:tcW w:w="94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税率</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绿色施工安全防护措施费（元）</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暂列金额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u w:val="none"/>
                <w:lang w:val="en-US" w:eastAsia="zh-CN" w:bidi="ar"/>
              </w:rPr>
              <w:t>大坦沙分公司一、二、三期滤池提升泵配电柜优化项目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highlight w:val="none"/>
                <w:u w:val="none"/>
                <w:lang w:val="en-US" w:eastAsia="zh-CN" w:bidi="ar"/>
              </w:rPr>
              <w:t>26390.13</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highlight w:val="none"/>
                <w:u w:val="none"/>
                <w:lang w:val="en-US" w:eastAsia="zh-CN" w:bidi="ar"/>
              </w:rPr>
              <w:t>24211.13</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highlight w:val="none"/>
                <w:u w:val="none"/>
                <w:lang w:val="en-US" w:eastAsia="zh-CN" w:bidi="ar"/>
              </w:rPr>
              <w:t>3424.65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大坦沙分公司一二期二沉池RSSS及泥位计过程仪表优化项目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31954.06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29315.65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3118.58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大坦沙分公司一二期一分高压电房2号4号出线柜智能仪表维修等项目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26762.69</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24552.93</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2998.83</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大坦沙分公司干化车间板框机气体检测优化等项目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160769.42</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147494.88</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12540.09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11949.92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7"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ascii="宋体" w:hAnsi="宋体" w:eastAsia="宋体" w:cs="宋体"/>
                <w:color w:val="auto"/>
                <w:kern w:val="0"/>
                <w:sz w:val="20"/>
                <w:szCs w:val="20"/>
                <w:lang w:val="en-US" w:eastAsia="zh-CN" w:bidi="ar"/>
              </w:rPr>
            </w:pPr>
          </w:p>
        </w:tc>
        <w:tc>
          <w:tcPr>
            <w:tcW w:w="3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合计</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245876.3</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225574.59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r>
    </w:tbl>
    <w:p>
      <w:pPr>
        <w:shd w:val="clear"/>
        <w:adjustRightInd w:val="0"/>
        <w:snapToGrid w:val="0"/>
        <w:spacing w:line="4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lang w:val="en-US" w:eastAsia="zh-CN"/>
        </w:rPr>
        <w:t xml:space="preserve">  </w:t>
      </w: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pPr w:leftFromText="180" w:rightFromText="180" w:vertAnchor="text" w:horzAnchor="page" w:tblpX="1392" w:tblpY="576"/>
        <w:tblOverlap w:val="never"/>
        <w:tblW w:w="86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31"/>
        <w:gridCol w:w="1074"/>
        <w:gridCol w:w="2500"/>
        <w:gridCol w:w="45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1" w:hRule="atLeast"/>
        </w:trPr>
        <w:tc>
          <w:tcPr>
            <w:tcW w:w="53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序号</w:t>
            </w:r>
          </w:p>
        </w:tc>
        <w:tc>
          <w:tcPr>
            <w:tcW w:w="107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单位</w:t>
            </w:r>
          </w:p>
        </w:tc>
        <w:tc>
          <w:tcPr>
            <w:tcW w:w="250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子项目名称</w:t>
            </w:r>
          </w:p>
        </w:tc>
        <w:tc>
          <w:tcPr>
            <w:tcW w:w="455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3" w:hRule="atLeast"/>
        </w:trPr>
        <w:tc>
          <w:tcPr>
            <w:tcW w:w="53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107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u w:val="none"/>
                <w:lang w:val="en-US" w:eastAsia="zh-CN" w:bidi="ar"/>
              </w:rPr>
              <w:t>大坦沙分公司一、二、三期滤池提升泵配电柜优化项目</w:t>
            </w:r>
          </w:p>
        </w:tc>
        <w:tc>
          <w:tcPr>
            <w:tcW w:w="455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在一、二、三期滤池提升泵低压柜加装速断熔断器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4"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大坦沙分公司一二期二沉池RSSS及泥位计过程仪表优化项目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在一二期3号7号11号二沉池池面安装泥位计，在二沉池集泥井安装RSSS仪表和更换仪表箱。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大坦沙分公司一二期一分高压电房2号4号出线柜智能仪表维修等项目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分项一：三期总高压房和一分高压房直流屏维修。</w:t>
            </w:r>
          </w:p>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分项二：一二期2号4号风机智能仪表维修。</w:t>
            </w:r>
          </w:p>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分项三：化验班危化仓内更换成防爆摄像头，原有摄像头改装至危化仓门口。试剂柜排风机更换。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大坦沙分公司干化车间板框机气体检测优化等项目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在干化车间隔离罩内及周边区域加装气体检测仪并将气体检测读数上传至上位机。</w:t>
            </w:r>
          </w:p>
        </w:tc>
      </w:tr>
    </w:tbl>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p>
    <w:tbl>
      <w:tblPr>
        <w:tblStyle w:val="25"/>
        <w:tblW w:w="4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0" w:type="dxa"/>
            <w:vAlign w:val="center"/>
          </w:tcPr>
          <w:p>
            <w:pPr>
              <w:pStyle w:val="5"/>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w:t>
            </w:r>
          </w:p>
        </w:tc>
        <w:tc>
          <w:tcPr>
            <w:tcW w:w="2330" w:type="dxa"/>
            <w:vAlign w:val="center"/>
          </w:tcPr>
          <w:p>
            <w:pPr>
              <w:pStyle w:val="5"/>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项目一</w:t>
            </w:r>
          </w:p>
        </w:tc>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项目二</w:t>
            </w:r>
          </w:p>
        </w:tc>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项目三</w:t>
            </w:r>
          </w:p>
        </w:tc>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项目四</w:t>
            </w:r>
          </w:p>
        </w:tc>
        <w:tc>
          <w:tcPr>
            <w:tcW w:w="2330" w:type="dxa"/>
            <w:vAlign w:val="center"/>
          </w:tcPr>
          <w:p>
            <w:pPr>
              <w:pStyle w:val="5"/>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60</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lang w:val="en-US" w:eastAsia="zh-CN"/>
        </w:rPr>
        <w:t>大坦沙分公司厂区</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货物质量标准或主要技术性能指标</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按合同条款和有关技术标准规范进</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shd w:val="clear"/>
          <w:lang w:val="en-US" w:eastAsia="zh-CN"/>
        </w:rPr>
      </w:pPr>
      <w:r>
        <w:rPr>
          <w:rFonts w:hint="eastAsia" w:ascii="仿宋_GB2312" w:eastAsia="仿宋_GB2312"/>
          <w:color w:val="auto"/>
          <w:sz w:val="28"/>
          <w:szCs w:val="28"/>
          <w:highlight w:val="none"/>
          <w:u w:val="single"/>
        </w:rPr>
        <w:t>行验收。使用的各种材料必须符合设计和有关技术标准规范要求</w:t>
      </w:r>
      <w:r>
        <w:rPr>
          <w:rFonts w:hint="eastAsia" w:ascii="仿宋_GB2312" w:eastAsia="仿宋_GB2312"/>
          <w:color w:val="auto"/>
          <w:sz w:val="28"/>
          <w:szCs w:val="28"/>
          <w:highlight w:val="none"/>
          <w:u w:val="single"/>
          <w:shd w:val="clear"/>
          <w:lang w:val="en-US" w:eastAsia="zh-CN"/>
        </w:rPr>
        <w:t>（详</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shd w:val="clear"/>
          <w:lang w:val="en-US" w:eastAsia="zh-CN"/>
        </w:rPr>
      </w:pPr>
      <w:r>
        <w:rPr>
          <w:rFonts w:hint="eastAsia" w:ascii="仿宋_GB2312" w:eastAsia="仿宋_GB2312"/>
          <w:color w:val="auto"/>
          <w:sz w:val="28"/>
          <w:szCs w:val="28"/>
          <w:highlight w:val="none"/>
          <w:u w:val="single"/>
          <w:shd w:val="clear"/>
          <w:lang w:val="en-US" w:eastAsia="zh-CN"/>
        </w:rPr>
        <w:t>见采购需求）</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numPr>
          <w:ilvl w:val="-1"/>
          <w:numId w:val="0"/>
        </w:numPr>
        <w:adjustRightInd w:val="0"/>
        <w:snapToGrid w:val="0"/>
        <w:spacing w:line="600" w:lineRule="exact"/>
        <w:jc w:val="left"/>
        <w:rPr>
          <w:rFonts w:hint="eastAsia" w:ascii="仿宋_GB2312" w:eastAsia="仿宋_GB2312"/>
          <w:sz w:val="28"/>
          <w:szCs w:val="28"/>
          <w:highlight w:val="none"/>
          <w:u w:val="singl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sz w:val="28"/>
          <w:szCs w:val="28"/>
          <w:highlight w:val="none"/>
          <w:u w:val="single"/>
        </w:rPr>
        <w:t>机电工程施工总承包三级（或以上级别）资质</w:t>
      </w:r>
      <w:r>
        <w:rPr>
          <w:rFonts w:hint="eastAsia" w:ascii="仿宋_GB2312" w:eastAsia="仿宋_GB2312"/>
          <w:sz w:val="28"/>
          <w:szCs w:val="28"/>
          <w:highlight w:val="none"/>
          <w:u w:val="single"/>
          <w:lang w:eastAsia="zh-CN"/>
        </w:rPr>
        <w:t>；</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 w:hAnsi="仿宋" w:eastAsia="仿宋" w:cs="仿宋"/>
          <w:color w:val="auto"/>
          <w:sz w:val="28"/>
          <w:szCs w:val="28"/>
          <w:highlight w:val="none"/>
          <w:u w:val="single"/>
          <w:lang w:val="en-US" w:eastAsia="zh-CN"/>
        </w:rPr>
        <w:t>具有建设主管部门颁发且在有效期内的《安全生产许可证》资质。</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0000FF"/>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  </w:t>
      </w:r>
      <w:r>
        <w:rPr>
          <w:rFonts w:hint="eastAsia" w:ascii="仿宋_GB2312" w:eastAsia="仿宋_GB2312"/>
          <w:color w:val="auto"/>
          <w:sz w:val="28"/>
          <w:szCs w:val="28"/>
          <w:highlight w:val="none"/>
          <w:lang w:val="en-US" w:eastAsia="zh-CN"/>
        </w:rPr>
        <w:t>年/月/日至今，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  </w:t>
      </w:r>
      <w:r>
        <w:rPr>
          <w:rFonts w:hint="eastAsia" w:ascii="仿宋_GB2312" w:eastAsia="仿宋_GB2312"/>
          <w:color w:val="auto"/>
          <w:sz w:val="28"/>
          <w:szCs w:val="28"/>
          <w:highlight w:val="none"/>
        </w:rPr>
        <w:t>项目的业绩。（提供合同复印件证明，包括但不限于项目名称、金额及实施内容、合同盖章</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机电或市政</w:t>
      </w:r>
      <w:r>
        <w:rPr>
          <w:rFonts w:hint="eastAsia" w:ascii="仿宋" w:hAnsi="仿宋" w:eastAsia="仿宋" w:cs="仿宋_GB2312"/>
          <w:color w:val="auto"/>
          <w:sz w:val="28"/>
          <w:szCs w:val="28"/>
          <w:highlight w:val="none"/>
          <w:u w:val="single"/>
        </w:rPr>
        <w:t>工程专业二级（或以上级别）的注册建造师，同时持有项目负责人安全生产考核合格证（B类）（或能够提供广东省建筑施工企业管理人员安全生产考核信息系统安全生产管理人员证书信息的网页截图）</w:t>
      </w:r>
      <w:r>
        <w:rPr>
          <w:rFonts w:hint="eastAsia" w:ascii="仿宋" w:hAnsi="仿宋" w:eastAsia="仿宋" w:cs="仿宋_GB2312"/>
          <w:color w:val="auto"/>
          <w:sz w:val="28"/>
          <w:szCs w:val="28"/>
          <w:highlight w:val="none"/>
          <w:u w:val="single"/>
          <w:lang w:eastAsia="zh-CN"/>
        </w:rPr>
        <w:t>；</w:t>
      </w:r>
      <w:r>
        <w:rPr>
          <w:rFonts w:hint="eastAsia" w:ascii="仿宋_GB2312" w:eastAsia="仿宋_GB2312"/>
          <w:color w:val="auto"/>
          <w:sz w:val="28"/>
          <w:szCs w:val="28"/>
          <w:highlight w:val="none"/>
          <w:u w:val="single"/>
        </w:rPr>
        <w:t>（注：根据广东省建设信息中心关于启用新版“广东省建设执业资格注册管理信息系统”的通知，注册建造师电子证书须由本人在个人签名处手写签名，未手写签名或与签名图像笔迹不一致的，电子证书无效）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t>资格条件</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single"/>
        </w:rPr>
        <w:t xml:space="preserve">   </w:t>
      </w:r>
    </w:p>
    <w:p>
      <w:pPr>
        <w:pStyle w:val="23"/>
        <w:adjustRightInd w:val="0"/>
        <w:snapToGrid w:val="0"/>
        <w:spacing w:line="600" w:lineRule="exact"/>
        <w:ind w:firstLine="0"/>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auto"/>
          <w:sz w:val="28"/>
          <w:szCs w:val="28"/>
          <w:u w:val="single"/>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auto"/>
          <w:sz w:val="28"/>
          <w:szCs w:val="28"/>
          <w:u w:val="single"/>
          <w:lang w:eastAsia="zh-CN"/>
        </w:rPr>
        <w:t>。</w:t>
      </w:r>
      <w:r>
        <w:rPr>
          <w:rFonts w:hint="eastAsia" w:ascii="仿宋_GB2312" w:hAnsi="仿宋_GB2312" w:eastAsia="仿宋_GB2312" w:cs="仿宋_GB2312"/>
          <w:color w:val="auto"/>
          <w:sz w:val="28"/>
          <w:szCs w:val="28"/>
          <w:u w:val="single"/>
          <w:lang w:val="en-US" w:eastAsia="zh-CN"/>
        </w:rPr>
        <w:t>项目负责人不得同时兼任本项目专职安全人员。</w:t>
      </w:r>
      <w:r>
        <w:rPr>
          <w:rFonts w:hint="eastAsia" w:ascii="仿宋_GB2312" w:eastAsia="仿宋_GB2312"/>
          <w:color w:val="auto"/>
          <w:sz w:val="28"/>
          <w:szCs w:val="28"/>
          <w:highlight w:val="none"/>
          <w:u w:val="single"/>
          <w:lang w:val="en-US" w:eastAsia="zh-CN"/>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下载采购文件</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无需报名。</w:t>
      </w:r>
      <w:r>
        <w:rPr>
          <w:rFonts w:hint="eastAsia" w:ascii="仿宋_GB2312" w:eastAsia="仿宋_GB2312"/>
          <w:color w:val="auto"/>
          <w:sz w:val="28"/>
          <w:szCs w:val="28"/>
          <w:highlight w:val="none"/>
        </w:rPr>
        <w:t xml:space="preserve">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pStyle w:val="23"/>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w:t>
      </w:r>
    </w:p>
    <w:p>
      <w:pPr>
        <w:pStyle w:val="23"/>
        <w:adjustRightInd w:val="0"/>
        <w:snapToGrid w:val="0"/>
        <w:spacing w:line="360" w:lineRule="auto"/>
        <w:ind w:firstLine="0" w:firstLineChars="0"/>
        <w:rPr>
          <w:rFonts w:hint="eastAsia" w:ascii="仿宋_GB2312" w:eastAsia="仿宋_GB2312" w:hAnsiTheme="minorHAnsi"/>
          <w:color w:val="auto"/>
          <w:sz w:val="28"/>
          <w:szCs w:val="28"/>
          <w:highlight w:val="none"/>
          <w:u w:val="none"/>
        </w:rPr>
      </w:pPr>
      <w:r>
        <w:rPr>
          <w:rFonts w:hint="eastAsia" w:ascii="仿宋_GB2312" w:eastAsia="仿宋_GB2312" w:hAnsiTheme="minorHAnsi" w:cstheme="minorBidi"/>
          <w:color w:val="auto"/>
          <w:kern w:val="2"/>
          <w:sz w:val="28"/>
          <w:szCs w:val="28"/>
          <w:highlight w:val="none"/>
          <w:lang w:val="en-US" w:eastAsia="zh-CN"/>
        </w:rPr>
        <w:t>踏勘现场联系人联系方式：</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u w:val="single"/>
          <w:lang w:val="en-US" w:eastAsia="zh-CN"/>
        </w:rPr>
        <w:t>19</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19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10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19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10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 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 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left="0" w:leftChars="0" w:firstLine="0" w:firstLineChars="0"/>
        <w:rPr>
          <w:rFonts w:hint="eastAsia"/>
        </w:rPr>
      </w:pPr>
      <w:bookmarkStart w:id="13" w:name="_Toc16557"/>
      <w:bookmarkStart w:id="14" w:name="_Toc2324"/>
      <w:bookmarkStart w:id="15" w:name="_Toc2331"/>
      <w:bookmarkStart w:id="16" w:name="_Toc32588"/>
      <w:bookmarkStart w:id="17" w:name="_Toc7340"/>
      <w:bookmarkStart w:id="18" w:name="_Toc9448"/>
      <w:bookmarkStart w:id="19" w:name="_Toc23749"/>
      <w:bookmarkStart w:id="20" w:name="_Toc19295"/>
      <w:bookmarkStart w:id="21" w:name="_Toc25603"/>
      <w:bookmarkStart w:id="22" w:name="_Toc10891"/>
      <w:bookmarkStart w:id="23" w:name="_Toc16705"/>
    </w:p>
    <w:p>
      <w:pPr>
        <w:pStyle w:val="23"/>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rPr>
          <w:rFonts w:hint="eastAsia"/>
        </w:rPr>
      </w:pPr>
    </w:p>
    <w:p>
      <w:pPr>
        <w:pStyle w:val="23"/>
        <w:rPr>
          <w:rFonts w:hint="eastAsia"/>
        </w:rPr>
      </w:pPr>
    </w:p>
    <w:p>
      <w:pPr>
        <w:pStyle w:val="23"/>
        <w:rPr>
          <w:rFonts w:hint="eastAsia"/>
        </w:rPr>
      </w:pPr>
    </w:p>
    <w:p>
      <w:pPr>
        <w:pStyle w:val="2"/>
        <w:rPr>
          <w:rFonts w:hint="eastAsia"/>
          <w:color w:val="auto"/>
          <w:highlight w:val="none"/>
        </w:rPr>
      </w:pPr>
    </w:p>
    <w:p>
      <w:pPr>
        <w:pStyle w:val="2"/>
        <w:rPr>
          <w:rFonts w:hint="eastAsia"/>
          <w:color w:val="auto"/>
          <w:highlight w:val="none"/>
        </w:rPr>
      </w:pPr>
    </w:p>
    <w:p>
      <w:pPr>
        <w:pStyle w:val="2"/>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22225</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1.75pt;height:0pt;width:75.5pt;z-index:251670528;mso-width-relative:page;mso-height-relative:page;" filled="f" stroked="t" coordsize="21600,21600" o:gfxdata="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KphTdQAAAAHAQAADwAAAAAAAAABACAAAAAiAAAAZHJzL2Rvd25yZXYueG1sUEsBAhQAFAAA&#10;AAgAh07iQPZi7erzAQAA5AMAAA4AAAAAAAAAAQAgAAAAIw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2326640</wp:posOffset>
                </wp:positionH>
                <wp:positionV relativeFrom="paragraph">
                  <wp:posOffset>544830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3.2pt;margin-top:42.9pt;height:0pt;width:75.5pt;z-index:251671552;mso-width-relative:page;mso-height-relative:page;" filled="f" stroked="t" coordsize="21600,21600" o:gfxdata="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V6Bz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3"/>
        <w:rPr>
          <w:rFonts w:hint="eastAsia"/>
          <w:color w:val="auto"/>
          <w:highlight w:val="none"/>
        </w:rPr>
      </w:pPr>
    </w:p>
    <w:p>
      <w:pPr>
        <w:pStyle w:val="3"/>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687705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4.15pt;height:0pt;width:75.5pt;z-index:251661312;mso-width-relative:page;mso-height-relative:page;" filled="f" stroked="t" coordsize="21600,21600" o:gfxdata="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kmKddYAAAAL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3"/>
        <w:rPr>
          <w:color w:val="auto"/>
          <w:highlight w:val="none"/>
        </w:rPr>
      </w:pPr>
      <w:bookmarkStart w:id="28" w:name="_Toc7303"/>
      <w:bookmarkStart w:id="29" w:name="_Toc88209934"/>
      <w:bookmarkStart w:id="30" w:name="_Toc7040"/>
      <w:bookmarkStart w:id="31" w:name="_Toc87616371"/>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3"/>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w:t>
      </w:r>
      <w:r>
        <w:rPr>
          <w:rFonts w:hint="eastAsia" w:asciiTheme="minorEastAsia" w:hAnsiTheme="minorEastAsia"/>
          <w:b/>
          <w:color w:val="auto"/>
          <w:sz w:val="28"/>
          <w:szCs w:val="28"/>
          <w:highlight w:val="none"/>
          <w:lang w:val="en-US" w:eastAsia="zh-CN"/>
        </w:rPr>
        <w:t>价</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ind w:left="0" w:leftChars="0" w:firstLine="0" w:firstLineChars="0"/>
        <w:rPr>
          <w:rFonts w:ascii="仿宋_GB2312" w:eastAsia="仿宋_GB2312"/>
          <w:color w:val="auto"/>
          <w:sz w:val="28"/>
          <w:szCs w:val="28"/>
          <w:highlight w:val="none"/>
        </w:rPr>
      </w:pPr>
    </w:p>
    <w:p>
      <w:pPr>
        <w:pStyle w:val="5"/>
        <w:rPr>
          <w:rFonts w:ascii="仿宋_GB2312" w:eastAsia="仿宋_GB2312"/>
          <w:color w:val="auto"/>
          <w:sz w:val="28"/>
          <w:szCs w:val="28"/>
          <w:highlight w:val="none"/>
        </w:rPr>
      </w:pPr>
    </w:p>
    <w:p>
      <w:pPr>
        <w:pStyle w:val="5"/>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p>
    <w:p>
      <w:pPr>
        <w:pStyle w:val="2"/>
        <w:rPr>
          <w:color w:val="auto"/>
          <w:highlight w:val="none"/>
        </w:rPr>
      </w:pPr>
      <w:bookmarkStart w:id="34" w:name="_Toc7437"/>
      <w:bookmarkStart w:id="35" w:name="_Toc19759"/>
      <w:bookmarkStart w:id="36" w:name="_Toc3156"/>
      <w:bookmarkStart w:id="37" w:name="_Toc14870"/>
      <w:bookmarkStart w:id="38" w:name="_Toc7118"/>
      <w:bookmarkStart w:id="39" w:name="_Toc14552"/>
      <w:bookmarkStart w:id="40" w:name="_Toc20594"/>
      <w:bookmarkStart w:id="41" w:name="_Toc10930"/>
      <w:bookmarkStart w:id="42" w:name="_Toc19050"/>
      <w:bookmarkStart w:id="43" w:name="_Toc4952"/>
      <w:bookmarkStart w:id="44" w:name="_Toc23581"/>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2"/>
        <w:rPr>
          <w:color w:val="auto"/>
          <w:highlight w:val="none"/>
        </w:rPr>
      </w:pPr>
      <w:bookmarkStart w:id="45" w:name="_Toc29484"/>
      <w:bookmarkStart w:id="46" w:name="_Toc7831"/>
      <w:bookmarkStart w:id="47" w:name="_Toc22212"/>
      <w:bookmarkStart w:id="48" w:name="_Toc87616378"/>
      <w:bookmarkStart w:id="49" w:name="_Toc21840"/>
      <w:bookmarkStart w:id="50" w:name="_Toc21079"/>
      <w:bookmarkStart w:id="51" w:name="_Toc30530"/>
      <w:bookmarkStart w:id="52" w:name="_Toc88209941"/>
      <w:bookmarkStart w:id="53" w:name="_Toc12177"/>
      <w:bookmarkStart w:id="54" w:name="_Toc32607"/>
      <w:bookmarkStart w:id="55" w:name="_Toc13898"/>
      <w:bookmarkStart w:id="56" w:name="_Toc6308"/>
      <w:bookmarkStart w:id="57" w:name="_Toc29345"/>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5"/>
        <w:rPr>
          <w:rFonts w:ascii="方正小标宋简体" w:eastAsia="方正小标宋简体"/>
          <w:color w:val="auto"/>
          <w:sz w:val="44"/>
          <w:szCs w:val="44"/>
          <w:highlight w:val="none"/>
        </w:rPr>
      </w:pPr>
    </w:p>
    <w:p>
      <w:pPr>
        <w:pStyle w:val="5"/>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3"/>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hint="eastAsia"/>
          <w:color w:val="auto"/>
          <w:highlight w:val="none"/>
        </w:rPr>
      </w:pPr>
      <w:bookmarkStart w:id="60" w:name="_Toc88209947"/>
    </w:p>
    <w:p>
      <w:pPr>
        <w:rPr>
          <w:rFonts w:hint="eastAsia"/>
          <w:color w:val="auto"/>
          <w:highlight w:val="none"/>
        </w:rPr>
      </w:pPr>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545465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42.95pt;height:0pt;width:75.5pt;z-index:251673600;mso-width-relative:page;mso-height-relative:page;" filled="f" stroked="t" coordsize="21600,21600" o:gfxdata="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uOHNg6cZ/&#10;fvr26+Pnuy8/7r5/ZdPn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DxnT1gAAAAkBAAAPAAAAAAAAAAEAIAAAACIAAABkcnMvZG93bnJldi54bWxQSwECFAAU&#10;AAAACACHTuJAKY52s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2329180</wp:posOffset>
                </wp:positionH>
                <wp:positionV relativeFrom="paragraph">
                  <wp:posOffset>60325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3.4pt;margin-top:4.75pt;height:0pt;width:75.5pt;z-index:251672576;mso-width-relative:page;mso-height-relative:page;" filled="f" stroked="t" coordsize="21600,21600" o:gfxdata="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LkkQ1AAAAAcBAAAPAAAAAAAAAAEAIAAAACIAAABkcnMvZG93bnJldi54bWxQSwECFAAUAAAA&#10;CACHTuJAXMu1X/IBAADkAwAADgAAAAAAAAABACAAAAAjAQAAZHJzL2Uyb0RvYy54bWxQSwUGAAAA&#10;AAYABgBZAQAAhw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3"/>
        <w:rPr>
          <w:rFonts w:hint="eastAsia"/>
          <w:color w:val="auto"/>
          <w:highlight w:val="none"/>
        </w:rPr>
      </w:pPr>
    </w:p>
    <w:p>
      <w:pPr>
        <w:pStyle w:val="3"/>
        <w:rPr>
          <w:rFonts w:hint="eastAsia"/>
          <w:color w:val="auto"/>
          <w:szCs w:val="44"/>
          <w:highlight w:val="none"/>
        </w:rPr>
      </w:pPr>
      <w:r>
        <w:rPr>
          <w:rFonts w:hint="eastAsia"/>
          <w:color w:val="auto"/>
          <w:szCs w:val="44"/>
          <w:highlight w:val="none"/>
        </w:rPr>
        <w:t>采购需求</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rPr>
          <w:rFonts w:hint="eastAsia" w:ascii="仿宋_GB2312" w:eastAsia="仿宋_GB2312"/>
          <w:color w:val="auto"/>
          <w:sz w:val="32"/>
          <w:szCs w:val="32"/>
          <w:highlight w:val="none"/>
          <w:u w:val="none"/>
          <w:lang w:val="en-US" w:eastAsia="zh-CN"/>
        </w:rPr>
      </w:pPr>
      <w:r>
        <w:rPr>
          <w:rFonts w:hint="eastAsia" w:ascii="仿宋_GB2312" w:eastAsia="仿宋_GB2312"/>
          <w:color w:val="auto"/>
          <w:sz w:val="32"/>
          <w:szCs w:val="32"/>
          <w:highlight w:val="none"/>
          <w:u w:val="none"/>
          <w:lang w:val="en-US" w:eastAsia="zh-CN"/>
        </w:rPr>
        <w:t>（一）项目说明</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项目一：大</w:t>
      </w:r>
      <w:r>
        <w:rPr>
          <w:rFonts w:hint="eastAsia" w:ascii="仿宋_GB2312" w:eastAsia="仿宋_GB2312"/>
          <w:color w:val="auto"/>
          <w:sz w:val="28"/>
          <w:szCs w:val="28"/>
          <w:highlight w:val="none"/>
          <w:u w:val="none"/>
        </w:rPr>
        <w:t>坦沙分公司一、二、三期滤池</w:t>
      </w:r>
      <w:r>
        <w:rPr>
          <w:rFonts w:hint="eastAsia" w:ascii="仿宋_GB2312" w:eastAsia="仿宋_GB2312"/>
          <w:color w:val="auto"/>
          <w:sz w:val="28"/>
          <w:szCs w:val="28"/>
          <w:highlight w:val="none"/>
          <w:u w:val="none"/>
          <w:lang w:val="en-US" w:eastAsia="zh-CN"/>
        </w:rPr>
        <w:t>提升泵配电柜优化项目</w:t>
      </w:r>
    </w:p>
    <w:p>
      <w:pPr>
        <w:pStyle w:val="13"/>
        <w:numPr>
          <w:ilvl w:val="-1"/>
          <w:numId w:val="0"/>
        </w:numPr>
        <w:adjustRightInd w:val="0"/>
        <w:snapToGrid w:val="0"/>
        <w:spacing w:line="360" w:lineRule="auto"/>
        <w:ind w:left="420" w:leftChars="200" w:firstLine="0" w:firstLineChars="0"/>
        <w:rPr>
          <w:rFonts w:hint="eastAsia" w:ascii="仿宋_GB2312" w:eastAsia="仿宋_GB2312" w:cs="仿宋_GB2312"/>
          <w:b/>
          <w:color w:val="000000"/>
          <w:sz w:val="28"/>
          <w:szCs w:val="28"/>
          <w:lang w:val="zh-CN" w:eastAsia="zh-CN"/>
        </w:rPr>
      </w:pPr>
      <w:r>
        <w:rPr>
          <w:rFonts w:hint="eastAsia" w:ascii="仿宋_GB2312" w:eastAsia="仿宋_GB2312" w:cs="仿宋_GB2312"/>
          <w:b/>
          <w:color w:val="000000"/>
          <w:sz w:val="28"/>
          <w:szCs w:val="28"/>
          <w:lang w:val="en-US" w:eastAsia="zh-CN"/>
        </w:rPr>
        <w:t>一、</w:t>
      </w:r>
      <w:r>
        <w:rPr>
          <w:rFonts w:hint="eastAsia" w:ascii="仿宋_GB2312" w:hAnsi="Courier New" w:eastAsia="仿宋_GB2312" w:cs="仿宋_GB2312"/>
          <w:b/>
          <w:color w:val="000000"/>
          <w:sz w:val="28"/>
          <w:szCs w:val="28"/>
          <w:lang w:val="zh-CN"/>
        </w:rPr>
        <w:t>项目</w:t>
      </w:r>
      <w:r>
        <w:rPr>
          <w:rFonts w:hint="eastAsia" w:ascii="仿宋_GB2312" w:eastAsia="仿宋_GB2312" w:cs="仿宋_GB2312"/>
          <w:b/>
          <w:color w:val="000000"/>
          <w:sz w:val="28"/>
          <w:szCs w:val="28"/>
          <w:lang w:val="zh-CN"/>
        </w:rPr>
        <w:t>情况介绍</w:t>
      </w:r>
    </w:p>
    <w:bookmarkEnd w:id="60"/>
    <w:p>
      <w:pPr>
        <w:ind w:firstLine="640" w:firstLineChars="200"/>
        <w:rPr>
          <w:rFonts w:hint="eastAsia" w:ascii="仿宋" w:hAnsi="仿宋" w:eastAsia="仿宋" w:cs="仿宋"/>
          <w:b w:val="0"/>
          <w:bCs w:val="0"/>
          <w:kern w:val="0"/>
          <w:sz w:val="32"/>
          <w:szCs w:val="32"/>
          <w:highlight w:val="none"/>
          <w:lang w:val="en-US" w:eastAsia="zh-CN" w:bidi="ar"/>
        </w:rPr>
      </w:pPr>
      <w:bookmarkStart w:id="61" w:name="_Toc23330"/>
      <w:bookmarkStart w:id="62" w:name="_Toc1496"/>
      <w:bookmarkStart w:id="63" w:name="_Toc12135"/>
      <w:bookmarkStart w:id="64" w:name="_Toc15570"/>
      <w:bookmarkStart w:id="65" w:name="_Toc18538"/>
      <w:bookmarkStart w:id="66" w:name="_Toc25925"/>
      <w:bookmarkStart w:id="67" w:name="_Toc29835"/>
      <w:bookmarkStart w:id="68" w:name="_Toc23353"/>
      <w:bookmarkStart w:id="69" w:name="_Toc1284"/>
      <w:bookmarkStart w:id="70" w:name="_Toc537"/>
      <w:bookmarkStart w:id="71" w:name="_Toc4680"/>
      <w:r>
        <w:rPr>
          <w:rFonts w:hint="eastAsia" w:ascii="仿宋" w:hAnsi="仿宋" w:eastAsia="仿宋" w:cs="仿宋"/>
          <w:b w:val="0"/>
          <w:bCs w:val="0"/>
          <w:kern w:val="0"/>
          <w:sz w:val="32"/>
          <w:szCs w:val="32"/>
          <w:highlight w:val="none"/>
          <w:lang w:val="en-US" w:eastAsia="zh-CN" w:bidi="ar"/>
        </w:rPr>
        <w:t>大坦沙分公司滤池提升泵变频器短路故障产生短路电流超过断路器额定分断能力导致越级跳闸，现加装速断熔断器，增加短路保护功能可靠性，避免越级跳闸故障发生。</w:t>
      </w:r>
    </w:p>
    <w:p>
      <w:pPr>
        <w:pStyle w:val="5"/>
        <w:rPr>
          <w:rFonts w:hint="eastAsia"/>
          <w:lang w:val="en-US" w:eastAsia="zh-CN"/>
        </w:rPr>
      </w:pPr>
    </w:p>
    <w:p>
      <w:pPr>
        <w:pStyle w:val="13"/>
        <w:numPr>
          <w:ilvl w:val="-1"/>
          <w:numId w:val="0"/>
        </w:numPr>
        <w:adjustRightInd w:val="0"/>
        <w:snapToGrid w:val="0"/>
        <w:spacing w:line="360" w:lineRule="auto"/>
        <w:ind w:left="420" w:leftChars="200" w:firstLine="0" w:firstLineChars="0"/>
        <w:rPr>
          <w:rFonts w:hint="eastAsia" w:ascii="仿宋_GB2312" w:eastAsia="仿宋_GB2312" w:cs="仿宋_GB2312"/>
          <w:b/>
          <w:color w:val="000000"/>
          <w:sz w:val="28"/>
          <w:szCs w:val="28"/>
          <w:lang w:val="zh-CN" w:eastAsia="zh-CN"/>
        </w:rPr>
      </w:pPr>
      <w:r>
        <w:rPr>
          <w:rFonts w:hint="eastAsia" w:ascii="仿宋_GB2312" w:eastAsia="仿宋_GB2312" w:cs="仿宋_GB2312"/>
          <w:b/>
          <w:color w:val="000000"/>
          <w:sz w:val="28"/>
          <w:szCs w:val="28"/>
          <w:lang w:val="en-US" w:eastAsia="zh-CN"/>
        </w:rPr>
        <w:t>二、</w:t>
      </w:r>
      <w:r>
        <w:rPr>
          <w:rFonts w:hint="eastAsia" w:ascii="仿宋_GB2312" w:hAnsi="Courier New" w:eastAsia="仿宋_GB2312" w:cs="仿宋_GB2312"/>
          <w:b/>
          <w:color w:val="000000"/>
          <w:sz w:val="28"/>
          <w:szCs w:val="28"/>
          <w:lang w:val="zh-CN"/>
        </w:rPr>
        <w:t>项目</w:t>
      </w:r>
      <w:r>
        <w:rPr>
          <w:rFonts w:hint="eastAsia" w:ascii="仿宋_GB2312" w:eastAsia="仿宋_GB2312" w:cs="仿宋_GB2312"/>
          <w:b/>
          <w:color w:val="000000"/>
          <w:sz w:val="28"/>
          <w:szCs w:val="28"/>
          <w:lang w:val="zh-CN"/>
        </w:rPr>
        <w:t>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sz w:val="24"/>
          <w:szCs w:val="24"/>
          <w:highlight w:val="none"/>
          <w:lang w:val="en-US" w:eastAsia="zh-CN"/>
        </w:rPr>
      </w:pPr>
      <w:r>
        <w:rPr>
          <w:rFonts w:hint="default" w:ascii="仿宋" w:hAnsi="仿宋" w:eastAsia="仿宋" w:cs="仿宋"/>
          <w:b w:val="0"/>
          <w:bCs w:val="0"/>
          <w:kern w:val="0"/>
          <w:sz w:val="32"/>
          <w:szCs w:val="32"/>
          <w:lang w:val="en-US" w:eastAsia="zh-CN" w:bidi="ar"/>
        </w:rPr>
        <w:t>1</w:t>
      </w:r>
      <w:r>
        <w:rPr>
          <w:rFonts w:hint="default" w:asciiTheme="minorHAnsi" w:hAnsiTheme="minorHAnsi" w:eastAsiaTheme="minorEastAsia" w:cstheme="minorBidi"/>
          <w:kern w:val="2"/>
          <w:sz w:val="24"/>
          <w:szCs w:val="24"/>
          <w:lang w:val="en-US" w:eastAsia="zh-CN" w:bidi="ar-SA"/>
        </w:rPr>
        <w:t>、</w:t>
      </w:r>
      <w:r>
        <w:rPr>
          <w:rFonts w:hint="eastAsia" w:ascii="仿宋" w:hAnsi="仿宋" w:eastAsia="仿宋" w:cs="仿宋"/>
          <w:b w:val="0"/>
          <w:bCs w:val="0"/>
          <w:kern w:val="0"/>
          <w:sz w:val="32"/>
          <w:szCs w:val="32"/>
          <w:highlight w:val="none"/>
          <w:lang w:val="en-US" w:eastAsia="zh-CN" w:bidi="ar"/>
        </w:rPr>
        <w:t>拆除原电流互感器及其铜排；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 w:hAnsi="仿宋" w:eastAsia="仿宋" w:cs="仿宋"/>
          <w:b w:val="0"/>
          <w:bCs w:val="0"/>
          <w:kern w:val="0"/>
          <w:sz w:val="32"/>
          <w:szCs w:val="32"/>
          <w:highlight w:val="none"/>
          <w:lang w:val="en-US" w:eastAsia="zh-CN" w:bidi="ar"/>
        </w:rPr>
      </w:pPr>
      <w:r>
        <w:rPr>
          <w:rFonts w:hint="default" w:ascii="仿宋" w:hAnsi="仿宋" w:eastAsia="仿宋" w:cs="仿宋"/>
          <w:b w:val="0"/>
          <w:bCs w:val="0"/>
          <w:kern w:val="0"/>
          <w:sz w:val="32"/>
          <w:szCs w:val="32"/>
          <w:lang w:val="en-US" w:eastAsia="zh-CN" w:bidi="ar"/>
        </w:rPr>
        <w:t>2、</w:t>
      </w:r>
      <w:r>
        <w:rPr>
          <w:rFonts w:hint="eastAsia" w:ascii="仿宋" w:hAnsi="仿宋" w:eastAsia="仿宋" w:cs="仿宋"/>
          <w:b w:val="0"/>
          <w:bCs w:val="0"/>
          <w:kern w:val="0"/>
          <w:sz w:val="32"/>
          <w:szCs w:val="32"/>
          <w:highlight w:val="none"/>
          <w:lang w:val="en-US" w:eastAsia="zh-CN" w:bidi="ar"/>
        </w:rPr>
        <w:t>在原互感器安装位置新配装新熔断器底座、固定支架、铜牌及熔断器；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 w:hAnsi="仿宋" w:eastAsia="仿宋" w:cs="仿宋"/>
          <w:b w:val="0"/>
          <w:bCs w:val="0"/>
          <w:kern w:val="0"/>
          <w:sz w:val="32"/>
          <w:szCs w:val="32"/>
          <w:highlight w:val="none"/>
          <w:lang w:val="en-US" w:eastAsia="zh-CN" w:bidi="ar"/>
        </w:rPr>
      </w:pPr>
      <w:r>
        <w:rPr>
          <w:rFonts w:hint="default" w:ascii="仿宋" w:hAnsi="仿宋" w:eastAsia="仿宋" w:cs="仿宋"/>
          <w:b w:val="0"/>
          <w:bCs w:val="0"/>
          <w:kern w:val="0"/>
          <w:sz w:val="32"/>
          <w:szCs w:val="32"/>
          <w:lang w:val="en-US" w:eastAsia="zh-CN" w:bidi="ar"/>
        </w:rPr>
        <w:t>3、</w:t>
      </w:r>
      <w:r>
        <w:rPr>
          <w:rFonts w:hint="eastAsia" w:ascii="仿宋" w:hAnsi="仿宋" w:eastAsia="仿宋" w:cs="仿宋"/>
          <w:b w:val="0"/>
          <w:bCs w:val="0"/>
          <w:kern w:val="0"/>
          <w:sz w:val="32"/>
          <w:szCs w:val="32"/>
          <w:highlight w:val="none"/>
          <w:lang w:val="en-US" w:eastAsia="zh-CN" w:bidi="ar"/>
        </w:rPr>
        <mc:AlternateContent>
          <mc:Choice Requires="wps">
            <w:drawing>
              <wp:anchor distT="0" distB="0" distL="114300" distR="114300" simplePos="0" relativeHeight="251677696" behindDoc="0" locked="0" layoutInCell="1" allowOverlap="1">
                <wp:simplePos x="0" y="0"/>
                <wp:positionH relativeFrom="column">
                  <wp:posOffset>3465195</wp:posOffset>
                </wp:positionH>
                <wp:positionV relativeFrom="paragraph">
                  <wp:posOffset>224790</wp:posOffset>
                </wp:positionV>
                <wp:extent cx="1952625" cy="768350"/>
                <wp:effectExtent l="1389380" t="12700" r="29845" b="533400"/>
                <wp:wrapNone/>
                <wp:docPr id="20" name="矩形标注 20"/>
                <wp:cNvGraphicFramePr/>
                <a:graphic xmlns:a="http://schemas.openxmlformats.org/drawingml/2006/main">
                  <a:graphicData uri="http://schemas.microsoft.com/office/word/2010/wordprocessingShape">
                    <wps:wsp>
                      <wps:cNvSpPr/>
                      <wps:spPr>
                        <a:xfrm>
                          <a:off x="3213100" y="4585335"/>
                          <a:ext cx="1952625" cy="768350"/>
                        </a:xfrm>
                        <a:prstGeom prst="wedgeRectCallout">
                          <a:avLst>
                            <a:gd name="adj1" fmla="val -120504"/>
                            <a:gd name="adj2" fmla="val 11552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textFill>
                                  <w14:solidFill>
                                    <w14:schemeClr w14:val="tx1"/>
                                  </w14:solidFill>
                                </w14:textFill>
                              </w:rPr>
                            </w:pPr>
                            <w:r>
                              <w:rPr>
                                <w:rFonts w:hint="eastAsia"/>
                                <w:lang w:val="en-US" w:eastAsia="zh-CN"/>
                              </w:rPr>
                              <w:t xml:space="preserve"> </w:t>
                            </w:r>
                            <w:r>
                              <w:rPr>
                                <w:rFonts w:hint="eastAsia"/>
                                <w:color w:val="000000" w:themeColor="text1"/>
                                <w:lang w:val="en-US" w:eastAsia="zh-CN"/>
                                <w14:textFill>
                                  <w14:solidFill>
                                    <w14:schemeClr w14:val="tx1"/>
                                  </w14:solidFill>
                                </w14:textFill>
                              </w:rPr>
                              <w:t xml:space="preserve">   拆除原互感器及铜排，并安装新熔断器底座、固定支架、铜排及熔断器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2.85pt;margin-top:17.7pt;height:60.5pt;width:153.75pt;z-index:251677696;v-text-anchor:middle;mso-width-relative:page;mso-height-relative:page;" filled="f" stroked="t" coordsize="21600,21600" o:gfxdata="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J7pfB2QAAAAoBAAAPAAAAAAAAAAEA&#10;IAAAACIAAABkcnMvZG93bnJldi54bWxQSwECFAAUAAAACACHTuJAi+5/B7kCAABUBQAADgAAAAAA&#10;AAABACAAAAAoAQAAZHJzL2Uyb0RvYy54bWxQSwUGAAAAAAYABgBZAQAAUwYAAAAA&#10;" adj="-15229,35753">
                <v:fill on="f" focussize="0,0"/>
                <v:stroke weight="2pt" color="#385D8A [3204]" joinstyle="round"/>
                <v:imagedata o:title=""/>
                <o:lock v:ext="edit" aspectratio="f"/>
                <v:textbox>
                  <w:txbxContent>
                    <w:p>
                      <w:pPr>
                        <w:jc w:val="left"/>
                        <w:rPr>
                          <w:rFonts w:hint="default" w:eastAsiaTheme="minorEastAsia"/>
                          <w:color w:val="000000" w:themeColor="text1"/>
                          <w:lang w:val="en-US" w:eastAsia="zh-CN"/>
                          <w14:textFill>
                            <w14:solidFill>
                              <w14:schemeClr w14:val="tx1"/>
                            </w14:solidFill>
                          </w14:textFill>
                        </w:rPr>
                      </w:pPr>
                      <w:r>
                        <w:rPr>
                          <w:rFonts w:hint="eastAsia"/>
                          <w:lang w:val="en-US" w:eastAsia="zh-CN"/>
                        </w:rPr>
                        <w:t xml:space="preserve"> </w:t>
                      </w:r>
                      <w:r>
                        <w:rPr>
                          <w:rFonts w:hint="eastAsia"/>
                          <w:color w:val="000000" w:themeColor="text1"/>
                          <w:lang w:val="en-US" w:eastAsia="zh-CN"/>
                          <w14:textFill>
                            <w14:solidFill>
                              <w14:schemeClr w14:val="tx1"/>
                            </w14:solidFill>
                          </w14:textFill>
                        </w:rPr>
                        <w:t xml:space="preserve">   拆除原互感器及铜排，并安装新熔断器底座、固定支架、铜排及熔断器</w:t>
                      </w:r>
                    </w:p>
                  </w:txbxContent>
                </v:textbox>
              </v:shape>
            </w:pict>
          </mc:Fallback>
        </mc:AlternateContent>
      </w:r>
      <w:r>
        <w:rPr>
          <w:rFonts w:hint="eastAsia" w:ascii="仿宋" w:hAnsi="仿宋" w:eastAsia="仿宋" w:cs="仿宋"/>
          <w:b w:val="0"/>
          <w:bCs w:val="0"/>
          <w:kern w:val="0"/>
          <w:sz w:val="32"/>
          <w:szCs w:val="32"/>
          <w:highlight w:val="none"/>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1369060</wp:posOffset>
                </wp:positionH>
                <wp:positionV relativeFrom="paragraph">
                  <wp:posOffset>1234440</wp:posOffset>
                </wp:positionV>
                <wp:extent cx="707390" cy="360680"/>
                <wp:effectExtent l="12700" t="12700" r="22860" b="26670"/>
                <wp:wrapNone/>
                <wp:docPr id="21" name="矩形 21"/>
                <wp:cNvGraphicFramePr/>
                <a:graphic xmlns:a="http://schemas.openxmlformats.org/drawingml/2006/main">
                  <a:graphicData uri="http://schemas.microsoft.com/office/word/2010/wordprocessingShape">
                    <wps:wsp>
                      <wps:cNvSpPr/>
                      <wps:spPr>
                        <a:xfrm>
                          <a:off x="2512060" y="4724400"/>
                          <a:ext cx="707390" cy="360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8pt;margin-top:97.2pt;height:28.4pt;width:55.7pt;z-index:251676672;v-text-anchor:middle;mso-width-relative:page;mso-height-relative:page;" filled="f" stroked="t" coordsize="21600,21600" o:gfxdata="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VhaNXZAAAACwEAAA8AAAAAAAAAAQAgAAAAIgAAAGRycy9kb3ducmV2LnhtbFBL&#10;AQIUABQAAAAIAIdO4kDbjRpJZwIAAMEEAAAOAAAAAAAAAAEAIAAAACgBAABkcnMvZTJvRG9jLnht&#10;bFBLBQYAAAAABgAGAFkBAAABBgAAAAA=&#10;">
                <v:fill on="f" focussize="0,0"/>
                <v:stroke weight="2pt" color="#FF0000 [3204]" joinstyle="round"/>
                <v:imagedata o:title=""/>
                <o:lock v:ext="edit" aspectratio="f"/>
              </v:rect>
            </w:pict>
          </mc:Fallback>
        </mc:AlternateContent>
      </w:r>
      <w:r>
        <w:rPr>
          <w:rFonts w:hint="default" w:ascii="仿宋" w:hAnsi="仿宋" w:eastAsia="仿宋" w:cs="仿宋"/>
          <w:b w:val="0"/>
          <w:bCs w:val="0"/>
          <w:kern w:val="0"/>
          <w:sz w:val="32"/>
          <w:szCs w:val="32"/>
          <w:highlight w:val="none"/>
          <w:lang w:val="en-US" w:eastAsia="zh-CN" w:bidi="ar"/>
        </w:rPr>
        <w:drawing>
          <wp:inline distT="0" distB="0" distL="114300" distR="114300">
            <wp:extent cx="2743200" cy="2943860"/>
            <wp:effectExtent l="0" t="0" r="0" b="8890"/>
            <wp:docPr id="26" name="图片 26" descr="4ce9d647f1556e7d284925c6202e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ce9d647f1556e7d284925c6202e5a1"/>
                    <pic:cNvPicPr>
                      <a:picLocks noChangeAspect="1"/>
                    </pic:cNvPicPr>
                  </pic:nvPicPr>
                  <pic:blipFill>
                    <a:blip r:embed="rId9"/>
                    <a:stretch>
                      <a:fillRect/>
                    </a:stretch>
                  </pic:blipFill>
                  <pic:spPr>
                    <a:xfrm>
                      <a:off x="0" y="0"/>
                      <a:ext cx="2743200" cy="29438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 w:hAnsi="仿宋" w:eastAsia="仿宋" w:cs="仿宋"/>
          <w:b w:val="0"/>
          <w:bCs w:val="0"/>
          <w:kern w:val="0"/>
          <w:sz w:val="32"/>
          <w:szCs w:val="32"/>
          <w:highlight w:val="none"/>
          <w:lang w:val="en-US" w:eastAsia="zh-CN" w:bidi="ar"/>
        </w:rPr>
      </w:pPr>
      <w:r>
        <w:rPr>
          <w:rFonts w:hint="default" w:ascii="仿宋" w:hAnsi="仿宋" w:eastAsia="仿宋" w:cs="仿宋"/>
          <w:b w:val="0"/>
          <w:bCs w:val="0"/>
          <w:kern w:val="0"/>
          <w:sz w:val="32"/>
          <w:szCs w:val="32"/>
          <w:lang w:val="en-US" w:eastAsia="zh-CN" w:bidi="ar"/>
        </w:rPr>
        <w:t>4、</w:t>
      </w:r>
      <w:r>
        <w:rPr>
          <w:rFonts w:hint="default" w:ascii="仿宋" w:hAnsi="仿宋" w:eastAsia="仿宋" w:cs="仿宋"/>
          <w:b w:val="0"/>
          <w:bCs w:val="0"/>
          <w:kern w:val="0"/>
          <w:sz w:val="32"/>
          <w:szCs w:val="32"/>
          <w:highlight w:val="none"/>
          <w:lang w:val="en-US" w:eastAsia="zh-CN" w:bidi="ar"/>
        </w:rPr>
        <w:t>电</w:t>
      </w:r>
      <w:r>
        <w:rPr>
          <w:rFonts w:hint="eastAsia" w:ascii="仿宋" w:hAnsi="仿宋" w:eastAsia="仿宋" w:cs="仿宋"/>
          <w:b w:val="0"/>
          <w:bCs w:val="0"/>
          <w:kern w:val="0"/>
          <w:sz w:val="32"/>
          <w:szCs w:val="32"/>
          <w:highlight w:val="none"/>
          <w:lang w:val="en-US" w:eastAsia="zh-CN" w:bidi="ar"/>
        </w:rPr>
        <w:t>抗器、交流接触器及其安装支架整体下移动约50mm；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 w:hAnsi="仿宋" w:eastAsia="仿宋" w:cs="仿宋"/>
          <w:b w:val="0"/>
          <w:bCs w:val="0"/>
          <w:kern w:val="0"/>
          <w:sz w:val="32"/>
          <w:szCs w:val="32"/>
          <w:highlight w:val="none"/>
          <w:lang w:val="en-US" w:eastAsia="zh-CN" w:bidi="ar"/>
        </w:rPr>
      </w:pPr>
      <w:r>
        <w:rPr>
          <w:rFonts w:hint="default" w:ascii="仿宋" w:hAnsi="仿宋" w:eastAsia="仿宋" w:cs="仿宋"/>
          <w:b w:val="0"/>
          <w:bCs w:val="0"/>
          <w:kern w:val="0"/>
          <w:sz w:val="32"/>
          <w:szCs w:val="32"/>
          <w:lang w:val="en-US" w:eastAsia="zh-CN" w:bidi="ar"/>
        </w:rPr>
        <w:t>5、</w:t>
      </w:r>
      <w:r>
        <w:rPr>
          <w:rFonts w:hint="eastAsia" w:ascii="仿宋" w:hAnsi="仿宋" w:eastAsia="仿宋" w:cs="仿宋"/>
          <w:b w:val="0"/>
          <w:bCs w:val="0"/>
          <w:kern w:val="0"/>
          <w:sz w:val="32"/>
          <w:szCs w:val="32"/>
          <w:highlight w:val="none"/>
          <w:lang w:val="en-US" w:eastAsia="zh-CN" w:bidi="ar"/>
        </w:rPr>
        <w:t>将</w:t>
      </w:r>
      <w:r>
        <w:rPr>
          <w:rFonts w:hint="default" w:ascii="仿宋" w:hAnsi="仿宋" w:eastAsia="仿宋" w:cs="仿宋"/>
          <w:b w:val="0"/>
          <w:bCs w:val="0"/>
          <w:kern w:val="0"/>
          <w:sz w:val="32"/>
          <w:szCs w:val="32"/>
          <w:highlight w:val="none"/>
          <w:lang w:val="en-US" w:eastAsia="zh-CN" w:bidi="ar"/>
        </w:rPr>
        <w:t>电流互感器</w:t>
      </w:r>
      <w:r>
        <w:rPr>
          <w:rFonts w:hint="eastAsia" w:ascii="仿宋" w:hAnsi="仿宋" w:eastAsia="仿宋" w:cs="仿宋"/>
          <w:b w:val="0"/>
          <w:bCs w:val="0"/>
          <w:kern w:val="0"/>
          <w:sz w:val="32"/>
          <w:szCs w:val="32"/>
          <w:highlight w:val="none"/>
          <w:lang w:val="en-US" w:eastAsia="zh-CN" w:bidi="ar"/>
        </w:rPr>
        <w:t>移装至合适铜排位置；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sz w:val="24"/>
          <w:szCs w:val="24"/>
          <w:highlight w:val="none"/>
          <w:lang w:val="en-US" w:eastAsia="zh-CN"/>
        </w:rPr>
      </w:pPr>
      <w:r>
        <w:rPr>
          <w:rFonts w:hint="default"/>
          <w:sz w:val="24"/>
          <w:szCs w:val="24"/>
          <w:highlight w:val="none"/>
          <w:lang w:val="en-US" w:eastAsia="zh-CN"/>
        </w:rPr>
        <w:drawing>
          <wp:inline distT="0" distB="0" distL="114300" distR="114300">
            <wp:extent cx="2552700" cy="3133725"/>
            <wp:effectExtent l="0" t="0" r="0" b="9525"/>
            <wp:docPr id="23" name="图片 23" descr="2229d88b2afd355d0c98a3954394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29d88b2afd355d0c98a39543949d5"/>
                    <pic:cNvPicPr>
                      <a:picLocks noChangeAspect="1"/>
                    </pic:cNvPicPr>
                  </pic:nvPicPr>
                  <pic:blipFill>
                    <a:blip r:embed="rId10"/>
                    <a:stretch>
                      <a:fillRect/>
                    </a:stretch>
                  </pic:blipFill>
                  <pic:spPr>
                    <a:xfrm>
                      <a:off x="0" y="0"/>
                      <a:ext cx="2552700" cy="3133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sz w:val="24"/>
          <w:szCs w:val="24"/>
          <w:highlight w:val="none"/>
          <w:lang w:val="en-US" w:eastAsia="zh-CN"/>
        </w:rPr>
      </w:pPr>
      <w:r>
        <w:rPr>
          <w:rFonts w:hint="eastAsia" w:ascii="仿宋" w:hAnsi="仿宋" w:eastAsia="仿宋" w:cs="仿宋"/>
          <w:b w:val="0"/>
          <w:bCs w:val="0"/>
          <w:kern w:val="0"/>
          <w:sz w:val="32"/>
          <w:szCs w:val="32"/>
          <w:lang w:val="en-US" w:eastAsia="zh-CN" w:bidi="ar"/>
        </w:rPr>
        <w:t>6</w:t>
      </w:r>
      <w:r>
        <w:rPr>
          <w:rFonts w:hint="default" w:asciiTheme="minorHAnsi" w:hAnsiTheme="minorHAnsi" w:eastAsiaTheme="minorEastAsia" w:cstheme="minorBidi"/>
          <w:kern w:val="2"/>
          <w:sz w:val="24"/>
          <w:szCs w:val="24"/>
          <w:lang w:val="en-US" w:eastAsia="zh-CN" w:bidi="ar-SA"/>
        </w:rPr>
        <w:t>、</w:t>
      </w:r>
      <w:r>
        <w:rPr>
          <w:rFonts w:hint="eastAsia" w:ascii="仿宋" w:hAnsi="仿宋" w:eastAsia="仿宋" w:cs="仿宋"/>
          <w:b w:val="0"/>
          <w:bCs w:val="0"/>
          <w:kern w:val="0"/>
          <w:sz w:val="32"/>
          <w:szCs w:val="32"/>
          <w:highlight w:val="none"/>
          <w:lang w:val="en-US" w:eastAsia="zh-CN" w:bidi="ar"/>
        </w:rPr>
        <w:t>变频器属于半导体电气设备，因此需选用半导体设备保护用熔断体，依据变频器参数，拟选择快速熔断器正泰 RS71  ，额定电流250A，额定电压AC400V，或与其相功能一致或更优的速断熔断器；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sz w:val="24"/>
          <w:szCs w:val="24"/>
          <w:highlight w:val="none"/>
          <w:lang w:val="en-US" w:eastAsia="zh-CN"/>
        </w:rPr>
      </w:pPr>
      <w:r>
        <w:drawing>
          <wp:inline distT="0" distB="0" distL="114300" distR="114300">
            <wp:extent cx="5272405" cy="2475865"/>
            <wp:effectExtent l="0" t="0" r="4445" b="6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527240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both"/>
        <w:textAlignment w:val="auto"/>
        <w:rPr>
          <w:rFonts w:hint="default"/>
          <w:sz w:val="24"/>
          <w:szCs w:val="24"/>
          <w:highlight w:val="none"/>
          <w:lang w:val="en-US" w:eastAsia="zh-CN"/>
        </w:rPr>
      </w:pPr>
      <w:r>
        <w:rPr>
          <w:rFonts w:hint="default" w:ascii="仿宋" w:hAnsi="仿宋" w:eastAsia="仿宋" w:cs="仿宋"/>
          <w:b w:val="0"/>
          <w:bCs w:val="0"/>
          <w:kern w:val="0"/>
          <w:sz w:val="32"/>
          <w:szCs w:val="32"/>
          <w:lang w:val="en-US" w:eastAsia="zh-CN" w:bidi="ar"/>
        </w:rPr>
        <w:t>7</w:t>
      </w:r>
      <w:r>
        <w:rPr>
          <w:rFonts w:hint="default" w:asciiTheme="minorHAnsi" w:hAnsiTheme="minorHAnsi" w:eastAsiaTheme="minorEastAsia" w:cstheme="minorBidi"/>
          <w:kern w:val="2"/>
          <w:sz w:val="24"/>
          <w:szCs w:val="24"/>
          <w:lang w:val="en-US" w:eastAsia="zh-CN" w:bidi="ar-SA"/>
        </w:rPr>
        <w:t>、</w:t>
      </w:r>
      <w:r>
        <w:rPr>
          <w:rFonts w:hint="eastAsia" w:ascii="仿宋" w:hAnsi="仿宋" w:eastAsia="仿宋" w:cs="仿宋"/>
          <w:b w:val="0"/>
          <w:bCs w:val="0"/>
          <w:kern w:val="0"/>
          <w:sz w:val="32"/>
          <w:szCs w:val="32"/>
          <w:highlight w:val="none"/>
          <w:lang w:val="en-US" w:eastAsia="zh-CN" w:bidi="ar"/>
        </w:rPr>
        <w:t>熔断器有足够的电气距离，还应保证足够的间距，以便于拆卸、更换溶体，与熔断器底座链接新配装的铜牌需满足下属要求：</w:t>
      </w:r>
    </w:p>
    <w:p>
      <w:pPr>
        <w:numPr>
          <w:ilvl w:val="0"/>
          <w:numId w:val="0"/>
        </w:numPr>
        <w:jc w:val="both"/>
        <w:rPr>
          <w:rFonts w:hint="default"/>
          <w:sz w:val="24"/>
          <w:szCs w:val="24"/>
          <w:highlight w:val="none"/>
          <w:lang w:val="en-US" w:eastAsia="zh-CN"/>
        </w:rPr>
      </w:pPr>
      <w:r>
        <w:rPr>
          <w:rFonts w:hint="eastAsia"/>
          <w:sz w:val="24"/>
          <w:szCs w:val="24"/>
          <w:highlight w:val="none"/>
          <w:lang w:val="en-US" w:eastAsia="zh-CN"/>
        </w:rPr>
        <w:t xml:space="preserve">               </w:t>
      </w:r>
      <w:r>
        <w:rPr>
          <w:rFonts w:hint="default"/>
          <w:sz w:val="24"/>
          <w:szCs w:val="24"/>
          <w:highlight w:val="none"/>
          <w:lang w:val="en-US" w:eastAsia="zh-CN"/>
        </w:rPr>
        <w:drawing>
          <wp:inline distT="0" distB="0" distL="114300" distR="114300">
            <wp:extent cx="2946400" cy="665480"/>
            <wp:effectExtent l="0" t="0" r="6350" b="1270"/>
            <wp:docPr id="25" name="图片 25" descr="fb130952a51910ee5ead89f1505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b130952a51910ee5ead89f15052080"/>
                    <pic:cNvPicPr>
                      <a:picLocks noChangeAspect="1"/>
                    </pic:cNvPicPr>
                  </pic:nvPicPr>
                  <pic:blipFill>
                    <a:blip r:embed="rId12"/>
                    <a:stretch>
                      <a:fillRect/>
                    </a:stretch>
                  </pic:blipFill>
                  <pic:spPr>
                    <a:xfrm>
                      <a:off x="0" y="0"/>
                      <a:ext cx="2946400" cy="665480"/>
                    </a:xfrm>
                    <a:prstGeom prst="rect">
                      <a:avLst/>
                    </a:prstGeom>
                  </pic:spPr>
                </pic:pic>
              </a:graphicData>
            </a:graphic>
          </wp:inline>
        </w:drawing>
      </w:r>
    </w:p>
    <w:p>
      <w:pPr>
        <w:pStyle w:val="13"/>
        <w:numPr>
          <w:ilvl w:val="0"/>
          <w:numId w:val="0"/>
        </w:numPr>
        <w:adjustRightInd w:val="0"/>
        <w:snapToGrid w:val="0"/>
        <w:spacing w:line="360" w:lineRule="auto"/>
        <w:ind w:left="420" w:leftChars="200" w:firstLine="320" w:firstLineChars="100"/>
        <w:rPr>
          <w:rFonts w:hint="eastAsia" w:ascii="仿宋_GB2312" w:hAnsi="Courier New" w:eastAsia="仿宋_GB2312" w:cs="仿宋_GB2312"/>
          <w:b/>
          <w:color w:val="000000"/>
          <w:sz w:val="28"/>
          <w:szCs w:val="28"/>
          <w:lang w:val="zh-CN"/>
        </w:rPr>
      </w:pPr>
      <w:r>
        <w:rPr>
          <w:rFonts w:hint="eastAsia" w:ascii="仿宋" w:hAnsi="仿宋" w:eastAsia="仿宋" w:cs="仿宋"/>
          <w:b w:val="0"/>
          <w:bCs w:val="0"/>
          <w:kern w:val="0"/>
          <w:sz w:val="32"/>
          <w:szCs w:val="32"/>
          <w:lang w:val="en-US" w:eastAsia="zh-CN" w:bidi="ar"/>
        </w:rPr>
        <w:t>8</w:t>
      </w:r>
      <w:r>
        <w:rPr>
          <w:rFonts w:hint="eastAsia" w:asciiTheme="minorHAnsi" w:hAnsiTheme="minorHAnsi" w:eastAsiaTheme="minorEastAsia" w:cstheme="minorBidi"/>
          <w:kern w:val="2"/>
          <w:sz w:val="21"/>
          <w:szCs w:val="24"/>
          <w:lang w:val="en-US" w:eastAsia="zh-CN" w:bidi="ar-SA"/>
        </w:rPr>
        <w:t>、</w:t>
      </w:r>
      <w:r>
        <w:rPr>
          <w:rFonts w:hint="eastAsia" w:ascii="仿宋" w:hAnsi="仿宋" w:eastAsia="仿宋" w:cs="仿宋"/>
          <w:b w:val="0"/>
          <w:bCs w:val="0"/>
          <w:kern w:val="0"/>
          <w:sz w:val="32"/>
          <w:szCs w:val="32"/>
          <w:highlight w:val="none"/>
          <w:lang w:val="en-US" w:eastAsia="zh-CN" w:bidi="ar"/>
        </w:rPr>
        <w:t>先选取一个提升泵柜进行试验安装，经试验通过后，待停产时再对剩余提升泵电柜进行改造优化；</w:t>
      </w:r>
    </w:p>
    <w:p>
      <w:pPr>
        <w:pStyle w:val="13"/>
        <w:numPr>
          <w:ilvl w:val="0"/>
          <w:numId w:val="0"/>
        </w:numPr>
        <w:adjustRightInd w:val="0"/>
        <w:snapToGrid w:val="0"/>
        <w:spacing w:line="360" w:lineRule="auto"/>
        <w:ind w:left="420" w:leftChars="200" w:firstLine="0" w:firstLineChars="0"/>
        <w:rPr>
          <w:rFonts w:hint="eastAsia" w:ascii="仿宋_GB2312" w:hAnsi="Courier New" w:eastAsia="仿宋_GB2312" w:cs="仿宋_GB2312"/>
          <w:b/>
          <w:color w:val="000000"/>
          <w:sz w:val="28"/>
          <w:szCs w:val="28"/>
          <w:lang w:val="zh-CN"/>
        </w:rPr>
      </w:pPr>
      <w:r>
        <w:rPr>
          <w:rFonts w:hint="eastAsia" w:ascii="仿宋_GB2312" w:eastAsia="仿宋_GB2312" w:cs="仿宋_GB2312"/>
          <w:b/>
          <w:color w:val="000000"/>
          <w:kern w:val="2"/>
          <w:sz w:val="28"/>
          <w:szCs w:val="28"/>
          <w:lang w:val="zh-CN" w:eastAsia="zh-CN" w:bidi="ar-SA"/>
        </w:rPr>
        <w:t>三</w:t>
      </w:r>
      <w:r>
        <w:rPr>
          <w:rFonts w:hint="eastAsia" w:ascii="仿宋_GB2312" w:hAnsi="Courier New" w:eastAsia="仿宋_GB2312" w:cs="仿宋_GB2312"/>
          <w:b/>
          <w:color w:val="000000"/>
          <w:kern w:val="2"/>
          <w:sz w:val="28"/>
          <w:szCs w:val="28"/>
          <w:lang w:val="zh-CN" w:eastAsia="zh-CN" w:bidi="ar-SA"/>
        </w:rPr>
        <w:t>、</w:t>
      </w:r>
      <w:r>
        <w:rPr>
          <w:rFonts w:hint="eastAsia" w:ascii="仿宋_GB2312" w:eastAsia="仿宋_GB2312" w:cs="仿宋_GB2312"/>
          <w:b/>
          <w:color w:val="000000"/>
          <w:sz w:val="28"/>
          <w:szCs w:val="28"/>
          <w:lang w:val="zh-CN"/>
        </w:rPr>
        <w:t>项目</w:t>
      </w:r>
      <w:r>
        <w:rPr>
          <w:rFonts w:hint="eastAsia" w:ascii="仿宋_GB2312" w:hAnsi="Courier New" w:eastAsia="仿宋_GB2312" w:cs="仿宋_GB2312"/>
          <w:b/>
          <w:color w:val="000000"/>
          <w:sz w:val="28"/>
          <w:szCs w:val="28"/>
          <w:lang w:val="zh-CN"/>
        </w:rPr>
        <w:t>要求</w:t>
      </w:r>
    </w:p>
    <w:p>
      <w:pPr>
        <w:pStyle w:val="14"/>
        <w:ind w:firstLine="640" w:firstLineChars="200"/>
        <w:rPr>
          <w:rFonts w:hint="eastAsia" w:ascii="仿宋" w:hAnsi="仿宋" w:eastAsia="仿宋" w:cs="仿宋"/>
          <w:b w:val="0"/>
          <w:bCs w:val="0"/>
          <w:color w:val="auto"/>
          <w:kern w:val="0"/>
          <w:sz w:val="32"/>
          <w:szCs w:val="32"/>
          <w:highlight w:val="none"/>
          <w:lang w:val="zh-CN" w:eastAsia="zh-CN" w:bidi="ar"/>
        </w:rPr>
      </w:pPr>
      <w:r>
        <w:rPr>
          <w:rFonts w:hint="eastAsia" w:ascii="仿宋" w:hAnsi="仿宋" w:eastAsia="仿宋" w:cs="仿宋"/>
          <w:b w:val="0"/>
          <w:bCs w:val="0"/>
          <w:color w:val="auto"/>
          <w:kern w:val="0"/>
          <w:sz w:val="32"/>
          <w:szCs w:val="32"/>
          <w:highlight w:val="none"/>
          <w:lang w:val="en-US" w:eastAsia="zh-CN" w:bidi="ar"/>
        </w:rPr>
        <w:t>项目完工后</w:t>
      </w:r>
      <w:r>
        <w:rPr>
          <w:rFonts w:hint="default" w:ascii="仿宋" w:hAnsi="仿宋" w:eastAsia="仿宋" w:cs="仿宋"/>
          <w:b w:val="0"/>
          <w:bCs w:val="0"/>
          <w:color w:val="auto"/>
          <w:kern w:val="0"/>
          <w:sz w:val="32"/>
          <w:szCs w:val="32"/>
          <w:highlight w:val="none"/>
          <w:lang w:val="en-US" w:eastAsia="zh-CN" w:bidi="ar"/>
        </w:rPr>
        <w:t>，</w:t>
      </w:r>
      <w:r>
        <w:rPr>
          <w:rFonts w:hint="eastAsia" w:ascii="仿宋" w:hAnsi="仿宋" w:eastAsia="仿宋" w:cs="仿宋"/>
          <w:b w:val="0"/>
          <w:bCs w:val="0"/>
          <w:color w:val="auto"/>
          <w:kern w:val="0"/>
          <w:sz w:val="32"/>
          <w:szCs w:val="32"/>
          <w:highlight w:val="none"/>
          <w:lang w:val="en-US" w:eastAsia="zh-CN" w:bidi="ar"/>
        </w:rPr>
        <w:t>熔断器底座、固定支架、铜牌及熔断器安装端正，没倾斜，熔断器有足够的电气距离，保证足够的间距，以便于拆卸、更换溶体，电缆敷设按技术要求埋设好，设备运行正常。</w:t>
      </w:r>
    </w:p>
    <w:p>
      <w:pPr>
        <w:pStyle w:val="23"/>
        <w:numPr>
          <w:ilvl w:val="0"/>
          <w:numId w:val="0"/>
        </w:numPr>
        <w:rPr>
          <w:rFonts w:hint="eastAsia" w:asciiTheme="minorHAnsi" w:hAnsiTheme="minorHAnsi" w:eastAsiaTheme="minorEastAsia" w:cstheme="minorBidi"/>
          <w:b/>
          <w:color w:val="auto"/>
          <w:kern w:val="2"/>
          <w:sz w:val="28"/>
          <w:szCs w:val="28"/>
          <w:highlight w:val="none"/>
          <w:lang w:val="en-US" w:eastAsia="zh-CN" w:bidi="ar-SA"/>
        </w:rPr>
      </w:pPr>
      <w:r>
        <w:rPr>
          <w:rFonts w:hint="eastAsia" w:asciiTheme="minorHAnsi" w:hAnsiTheme="minorHAnsi" w:eastAsiaTheme="minorEastAsia" w:cstheme="minorBidi"/>
          <w:b/>
          <w:color w:val="auto"/>
          <w:kern w:val="2"/>
          <w:sz w:val="28"/>
          <w:szCs w:val="28"/>
          <w:highlight w:val="none"/>
          <w:lang w:val="en-US" w:eastAsia="zh-CN" w:bidi="ar-SA"/>
        </w:rPr>
        <w:t>工程量清单</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83"/>
        <w:gridCol w:w="1853"/>
        <w:gridCol w:w="3457"/>
        <w:gridCol w:w="822"/>
        <w:gridCol w:w="15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序号</w:t>
            </w:r>
          </w:p>
        </w:tc>
        <w:tc>
          <w:tcPr>
            <w:tcW w:w="104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项目名称</w:t>
            </w:r>
          </w:p>
        </w:tc>
        <w:tc>
          <w:tcPr>
            <w:tcW w:w="194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项目特征描述</w:t>
            </w:r>
          </w:p>
        </w:tc>
        <w:tc>
          <w:tcPr>
            <w:tcW w:w="46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计量单位</w:t>
            </w:r>
          </w:p>
        </w:tc>
        <w:tc>
          <w:tcPr>
            <w:tcW w:w="87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10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19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46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87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67"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10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19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46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87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10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大坦沙分公司滤池提升泵加装熔断器</w:t>
            </w:r>
          </w:p>
        </w:tc>
        <w:tc>
          <w:tcPr>
            <w:tcW w:w="19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4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c>
          <w:tcPr>
            <w:tcW w:w="8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b w:val="0"/>
                <w:bCs w:val="0"/>
                <w:i w:val="0"/>
                <w:iCs w:val="0"/>
                <w:caps w:val="0"/>
                <w:color w:val="auto"/>
                <w:spacing w:val="0"/>
                <w:kern w:val="0"/>
                <w:sz w:val="24"/>
                <w:szCs w:val="24"/>
                <w:shd w:val="clear" w:fill="FFFFFF"/>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w:t>
            </w:r>
          </w:p>
        </w:tc>
        <w:tc>
          <w:tcPr>
            <w:tcW w:w="10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拆除原互感器及其铜排</w:t>
            </w:r>
          </w:p>
        </w:tc>
        <w:tc>
          <w:tcPr>
            <w:tcW w:w="19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（1）保护性拆除3个互感器及其线路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（2）拆除铜排</w:t>
            </w:r>
          </w:p>
        </w:tc>
        <w:tc>
          <w:tcPr>
            <w:tcW w:w="4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台</w:t>
            </w:r>
          </w:p>
        </w:tc>
        <w:tc>
          <w:tcPr>
            <w:tcW w:w="8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2</w:t>
            </w:r>
          </w:p>
        </w:tc>
        <w:tc>
          <w:tcPr>
            <w:tcW w:w="10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速断熔断器制安</w:t>
            </w:r>
          </w:p>
        </w:tc>
        <w:tc>
          <w:tcPr>
            <w:tcW w:w="19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安装熔断器固定支架</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安装3个熔断器底座RT36-2</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安装3个速断熔断器RS712C</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链接3相铜排安装宽30mm*厚6mm*1m（以现场测量为准）</w:t>
            </w:r>
          </w:p>
        </w:tc>
        <w:tc>
          <w:tcPr>
            <w:tcW w:w="4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台</w:t>
            </w:r>
          </w:p>
        </w:tc>
        <w:tc>
          <w:tcPr>
            <w:tcW w:w="8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3</w:t>
            </w:r>
          </w:p>
        </w:tc>
        <w:tc>
          <w:tcPr>
            <w:tcW w:w="10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原互感器配装</w:t>
            </w:r>
          </w:p>
        </w:tc>
        <w:tc>
          <w:tcPr>
            <w:tcW w:w="19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（1）安装3个互感器并按原线路接线</w:t>
            </w:r>
          </w:p>
        </w:tc>
        <w:tc>
          <w:tcPr>
            <w:tcW w:w="4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台</w:t>
            </w:r>
          </w:p>
        </w:tc>
        <w:tc>
          <w:tcPr>
            <w:tcW w:w="8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4</w:t>
            </w:r>
          </w:p>
        </w:tc>
        <w:tc>
          <w:tcPr>
            <w:tcW w:w="10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系统调试</w:t>
            </w:r>
          </w:p>
        </w:tc>
        <w:tc>
          <w:tcPr>
            <w:tcW w:w="19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提升泵、软启及其电气系统启动调试</w:t>
            </w:r>
          </w:p>
        </w:tc>
        <w:tc>
          <w:tcPr>
            <w:tcW w:w="4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台</w:t>
            </w:r>
          </w:p>
        </w:tc>
        <w:tc>
          <w:tcPr>
            <w:tcW w:w="87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default" w:ascii="仿宋" w:hAnsi="仿宋" w:eastAsia="仿宋" w:cs="仿宋"/>
                <w:b w:val="0"/>
                <w:bCs w:val="0"/>
                <w:i w:val="0"/>
                <w:iCs w:val="0"/>
                <w:caps w:val="0"/>
                <w:color w:val="auto"/>
                <w:spacing w:val="0"/>
                <w:kern w:val="0"/>
                <w:sz w:val="24"/>
                <w:szCs w:val="24"/>
                <w:shd w:val="clear" w:fill="FFFFFF"/>
                <w:lang w:val="en-US" w:eastAsia="zh-CN" w:bidi="ar-SA"/>
              </w:rPr>
            </w:pPr>
            <w:r>
              <w:rPr>
                <w:rFonts w:hint="eastAsia" w:ascii="仿宋" w:hAnsi="仿宋" w:eastAsia="仿宋" w:cs="仿宋"/>
                <w:b w:val="0"/>
                <w:bCs w:val="0"/>
                <w:i w:val="0"/>
                <w:iCs w:val="0"/>
                <w:caps w:val="0"/>
                <w:color w:val="auto"/>
                <w:spacing w:val="0"/>
                <w:kern w:val="0"/>
                <w:sz w:val="24"/>
                <w:szCs w:val="24"/>
                <w:shd w:val="clear" w:fill="FFFFFF"/>
                <w:lang w:val="en-US" w:eastAsia="zh-CN" w:bidi="ar-SA"/>
              </w:rPr>
              <w:t>11</w:t>
            </w:r>
          </w:p>
        </w:tc>
      </w:tr>
    </w:tbl>
    <w:p>
      <w:pPr>
        <w:pStyle w:val="23"/>
        <w:numPr>
          <w:ilvl w:val="0"/>
          <w:numId w:val="0"/>
        </w:numPr>
        <w:rPr>
          <w:rFonts w:hint="eastAsia" w:asciiTheme="minorHAnsi" w:hAnsiTheme="minorHAnsi" w:eastAsiaTheme="minorEastAsia" w:cstheme="minorBidi"/>
          <w:b/>
          <w:color w:val="auto"/>
          <w:kern w:val="2"/>
          <w:sz w:val="28"/>
          <w:szCs w:val="28"/>
          <w:highlight w:val="none"/>
          <w:lang w:val="en-US" w:eastAsia="zh-CN" w:bidi="ar-SA"/>
        </w:rPr>
      </w:pPr>
    </w:p>
    <w:p>
      <w:pPr>
        <w:adjustRightInd/>
        <w:snapToGrid/>
        <w:spacing w:line="240" w:lineRule="auto"/>
        <w:ind w:firstLine="560" w:firstLineChars="200"/>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项目二：</w:t>
      </w:r>
      <w:r>
        <w:rPr>
          <w:rFonts w:hint="eastAsia" w:ascii="仿宋_GB2312" w:eastAsia="仿宋_GB2312" w:hAnsiTheme="minorHAnsi" w:cstheme="minorBidi"/>
          <w:color w:val="auto"/>
          <w:kern w:val="2"/>
          <w:sz w:val="28"/>
          <w:szCs w:val="28"/>
          <w:highlight w:val="none"/>
          <w:u w:val="none"/>
          <w:lang w:val="en-US" w:eastAsia="zh-CN" w:bidi="ar"/>
        </w:rPr>
        <w:t>大坦沙分公司一二期二沉池RSSS及泥位计过程仪表优化项目</w:t>
      </w:r>
    </w:p>
    <w:p>
      <w:pPr>
        <w:pStyle w:val="13"/>
        <w:numPr>
          <w:ilvl w:val="0"/>
          <w:numId w:val="5"/>
        </w:numPr>
        <w:adjustRightInd w:val="0"/>
        <w:snapToGrid w:val="0"/>
        <w:spacing w:line="360" w:lineRule="auto"/>
        <w:ind w:left="420" w:leftChars="200" w:firstLine="0" w:firstLineChars="0"/>
        <w:rPr>
          <w:rFonts w:hint="eastAsia" w:ascii="仿宋_GB2312" w:eastAsia="仿宋_GB2312" w:cs="仿宋_GB2312"/>
          <w:b/>
          <w:color w:val="000000"/>
          <w:sz w:val="28"/>
          <w:szCs w:val="28"/>
          <w:lang w:val="zh-CN"/>
        </w:rPr>
      </w:pPr>
      <w:r>
        <w:rPr>
          <w:rFonts w:hint="eastAsia" w:ascii="仿宋_GB2312" w:hAnsi="Courier New" w:eastAsia="仿宋_GB2312" w:cs="仿宋_GB2312"/>
          <w:b/>
          <w:color w:val="000000"/>
          <w:sz w:val="28"/>
          <w:szCs w:val="28"/>
          <w:lang w:val="zh-CN"/>
        </w:rPr>
        <w:t>项目</w:t>
      </w:r>
      <w:r>
        <w:rPr>
          <w:rFonts w:hint="eastAsia" w:ascii="仿宋_GB2312" w:eastAsia="仿宋_GB2312" w:cs="仿宋_GB2312"/>
          <w:b/>
          <w:color w:val="000000"/>
          <w:sz w:val="28"/>
          <w:szCs w:val="28"/>
          <w:lang w:val="zh-CN"/>
        </w:rPr>
        <w:t>情况介绍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highlight w:val="none"/>
          <w:lang w:val="en-US" w:eastAsia="zh-CN"/>
        </w:rPr>
      </w:pPr>
      <w:r>
        <w:rPr>
          <w:rFonts w:hint="eastAsia" w:ascii="仿宋" w:hAnsi="仿宋" w:eastAsia="仿宋"/>
          <w:color w:val="auto"/>
          <w:sz w:val="28"/>
          <w:szCs w:val="28"/>
          <w:lang w:val="en-US" w:eastAsia="zh-CN"/>
        </w:rPr>
        <w:t>现大坦沙分公司一二期厂区1、2、3#线二沉池集泥井RSSS仪表和池面泥位计由于使用年限较长存在不同程度的故障损坏情况，且数据未上传至中控系统，导致现场情况不能稳定提供有效反馈，对日常工艺调控造成极大不便，因此，拟对一二期厂区1、2、3#生产线二沉池集泥井RSSS仪表和池面泥位计进行修复改造。</w:t>
      </w:r>
      <w:r>
        <w:rPr>
          <w:rFonts w:hint="eastAsia"/>
          <w:sz w:val="28"/>
          <w:szCs w:val="28"/>
          <w:highlight w:val="none"/>
          <w:lang w:val="en-US" w:eastAsia="zh-CN"/>
        </w:rPr>
        <w:t>本项目是对RSSS仪表和泥位计实施布线安装，前期已经立项实施RSSS仪表和泥位计采购。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highlight w:val="none"/>
          <w:lang w:val="en-US" w:eastAsia="zh-CN"/>
        </w:rPr>
      </w:pPr>
    </w:p>
    <w:p>
      <w:pPr>
        <w:pStyle w:val="14"/>
        <w:keepNext w:val="0"/>
        <w:keepLines w:val="0"/>
        <w:pageBreakBefore w:val="0"/>
        <w:widowControl w:val="0"/>
        <w:numPr>
          <w:ilvl w:val="1"/>
          <w:numId w:val="6"/>
        </w:numPr>
        <w:kinsoku/>
        <w:wordWrap/>
        <w:overflowPunct/>
        <w:topLinePunct w:val="0"/>
        <w:bidi w:val="0"/>
        <w:spacing w:line="360" w:lineRule="auto"/>
        <w:ind w:left="840" w:leftChars="0" w:hanging="420" w:firstLineChars="0"/>
        <w:textAlignment w:val="auto"/>
        <w:rPr>
          <w:rFonts w:hint="eastAsia" w:cs="Times New Roman"/>
          <w:sz w:val="28"/>
          <w:szCs w:val="28"/>
          <w:highlight w:val="none"/>
          <w:lang w:val="en-US" w:eastAsia="zh-CN"/>
        </w:rPr>
      </w:pPr>
      <w:r>
        <w:rPr>
          <w:rFonts w:hint="eastAsia" w:ascii="仿宋_GB2312" w:hAnsi="Calibri" w:eastAsia="仿宋_GB2312" w:cs="Times New Roman"/>
          <w:color w:val="auto"/>
          <w:kern w:val="2"/>
          <w:sz w:val="28"/>
          <w:szCs w:val="28"/>
          <w:highlight w:val="none"/>
          <w:lang w:val="en-US" w:eastAsia="zh-CN" w:bidi="ar-SA"/>
        </w:rPr>
        <w:t>一二期1#生产线集泥井RSSS仪表安装：</w:t>
      </w:r>
    </w:p>
    <w:p>
      <w:pPr>
        <w:pStyle w:val="15"/>
        <w:keepNext w:val="0"/>
        <w:keepLines w:val="0"/>
        <w:pageBreakBefore w:val="0"/>
        <w:widowControl w:val="0"/>
        <w:numPr>
          <w:ilvl w:val="0"/>
          <w:numId w:val="7"/>
        </w:numPr>
        <w:kinsoku/>
        <w:wordWrap/>
        <w:overflowPunct/>
        <w:topLinePunct w:val="0"/>
        <w:bidi w:val="0"/>
        <w:spacing w:line="360" w:lineRule="auto"/>
        <w:ind w:left="480" w:leftChars="0" w:firstLine="0" w:firstLineChars="0"/>
        <w:textAlignment w:val="auto"/>
        <w:rPr>
          <w:rFonts w:hint="eastAsia" w:cs="Times New Roman"/>
          <w:sz w:val="28"/>
          <w:szCs w:val="28"/>
          <w:highlight w:val="none"/>
          <w:lang w:val="en-US" w:eastAsia="zh-CN"/>
        </w:rPr>
      </w:pPr>
      <w:r>
        <w:rPr>
          <w:rFonts w:hint="eastAsia"/>
          <w:sz w:val="28"/>
          <w:szCs w:val="28"/>
          <w:highlight w:val="none"/>
          <w:lang w:val="en-US" w:eastAsia="zh-CN"/>
        </w:rPr>
        <w:t>在</w:t>
      </w:r>
      <w:r>
        <w:rPr>
          <w:rFonts w:hint="eastAsia" w:ascii="仿宋_GB2312" w:hAnsi="Calibri" w:eastAsia="仿宋_GB2312" w:cs="Times New Roman"/>
          <w:color w:val="auto"/>
          <w:kern w:val="2"/>
          <w:sz w:val="28"/>
          <w:szCs w:val="28"/>
          <w:highlight w:val="none"/>
          <w:lang w:val="en-US" w:eastAsia="zh-CN" w:bidi="ar-SA"/>
        </w:rPr>
        <w:t>一二期1#生产线集泥井</w:t>
      </w:r>
      <w:r>
        <w:rPr>
          <w:rFonts w:hint="eastAsia" w:cs="Times New Roman"/>
          <w:color w:val="auto"/>
          <w:kern w:val="2"/>
          <w:sz w:val="28"/>
          <w:szCs w:val="28"/>
          <w:highlight w:val="none"/>
          <w:lang w:val="en-US" w:eastAsia="zh-CN" w:bidi="ar-SA"/>
        </w:rPr>
        <w:t>内</w:t>
      </w:r>
      <w:r>
        <w:rPr>
          <w:rFonts w:hint="eastAsia"/>
          <w:sz w:val="28"/>
          <w:szCs w:val="28"/>
          <w:highlight w:val="none"/>
          <w:lang w:val="en-US" w:eastAsia="zh-CN"/>
        </w:rPr>
        <w:t>安装</w:t>
      </w:r>
      <w:r>
        <w:rPr>
          <w:rFonts w:hint="eastAsia" w:ascii="仿宋_GB2312" w:hAnsi="Calibri" w:eastAsia="仿宋_GB2312" w:cs="Times New Roman"/>
          <w:color w:val="auto"/>
          <w:kern w:val="2"/>
          <w:sz w:val="28"/>
          <w:szCs w:val="28"/>
          <w:highlight w:val="none"/>
          <w:lang w:val="en-US" w:eastAsia="zh-CN" w:bidi="ar-SA"/>
        </w:rPr>
        <w:t>RSSS仪表</w:t>
      </w:r>
      <w:r>
        <w:rPr>
          <w:rFonts w:hint="eastAsia"/>
          <w:sz w:val="28"/>
          <w:szCs w:val="28"/>
          <w:highlight w:val="none"/>
          <w:lang w:val="en-US" w:eastAsia="zh-CN"/>
        </w:rPr>
        <w:t>探头支架和更换仪表箱；</w:t>
      </w:r>
    </w:p>
    <w:p>
      <w:pPr>
        <w:pStyle w:val="15"/>
        <w:keepNext w:val="0"/>
        <w:keepLines w:val="0"/>
        <w:pageBreakBefore w:val="0"/>
        <w:widowControl w:val="0"/>
        <w:numPr>
          <w:ilvl w:val="0"/>
          <w:numId w:val="7"/>
        </w:numPr>
        <w:kinsoku/>
        <w:wordWrap/>
        <w:overflowPunct/>
        <w:topLinePunct w:val="0"/>
        <w:bidi w:val="0"/>
        <w:spacing w:line="360" w:lineRule="auto"/>
        <w:ind w:left="480" w:leftChars="0" w:firstLine="0" w:firstLineChars="0"/>
        <w:textAlignment w:val="auto"/>
        <w:rPr>
          <w:rFonts w:hint="eastAsia" w:cs="Times New Roman"/>
          <w:sz w:val="28"/>
          <w:szCs w:val="28"/>
          <w:highlight w:val="none"/>
          <w:lang w:val="en-US" w:eastAsia="zh-CN"/>
        </w:rPr>
      </w:pPr>
      <w:r>
        <w:rPr>
          <w:rFonts w:hint="eastAsia" w:cs="Times New Roman"/>
          <w:sz w:val="28"/>
          <w:szCs w:val="28"/>
          <w:highlight w:val="none"/>
          <w:lang w:val="en-US" w:eastAsia="zh-CN"/>
        </w:rPr>
        <w:t xml:space="preserve">按照说明书要求，在集泥井内安装探头，探头角度为90°垂直于水平面，探头与池底和墙壁保持距离10CM以上。确保探头的准确性和稳定性。  </w:t>
      </w:r>
    </w:p>
    <w:p>
      <w:pPr>
        <w:pStyle w:val="15"/>
        <w:keepNext w:val="0"/>
        <w:keepLines w:val="0"/>
        <w:pageBreakBefore w:val="0"/>
        <w:widowControl w:val="0"/>
        <w:numPr>
          <w:ilvl w:val="0"/>
          <w:numId w:val="7"/>
        </w:numPr>
        <w:kinsoku/>
        <w:wordWrap/>
        <w:overflowPunct/>
        <w:topLinePunct w:val="0"/>
        <w:bidi w:val="0"/>
        <w:spacing w:line="360" w:lineRule="auto"/>
        <w:ind w:left="480" w:leftChars="0" w:firstLine="0" w:firstLineChars="0"/>
        <w:textAlignment w:val="auto"/>
        <w:rPr>
          <w:rFonts w:hint="default"/>
          <w:sz w:val="28"/>
          <w:szCs w:val="28"/>
          <w:highlight w:val="none"/>
          <w:lang w:val="en-US" w:eastAsia="zh-CN"/>
        </w:rPr>
      </w:pPr>
      <w:r>
        <w:rPr>
          <w:rFonts w:hint="eastAsia" w:cs="Times New Roman"/>
          <w:sz w:val="28"/>
          <w:szCs w:val="28"/>
          <w:highlight w:val="none"/>
          <w:lang w:val="en-US" w:eastAsia="zh-CN"/>
        </w:rPr>
        <w:t>RSSS监测仪表交互界面安装在集泥井仪表箱，接入箱内原有电源和数据线缆。</w:t>
      </w:r>
    </w:p>
    <w:p>
      <w:pPr>
        <w:pStyle w:val="15"/>
        <w:keepNext w:val="0"/>
        <w:keepLines w:val="0"/>
        <w:pageBreakBefore w:val="0"/>
        <w:widowControl w:val="0"/>
        <w:numPr>
          <w:ilvl w:val="0"/>
          <w:numId w:val="7"/>
        </w:numPr>
        <w:kinsoku/>
        <w:wordWrap/>
        <w:overflowPunct/>
        <w:topLinePunct w:val="0"/>
        <w:bidi w:val="0"/>
        <w:spacing w:line="360" w:lineRule="auto"/>
        <w:ind w:left="480" w:leftChars="0" w:firstLine="0" w:firstLineChars="0"/>
        <w:textAlignment w:val="auto"/>
        <w:rPr>
          <w:rFonts w:hint="default"/>
          <w:lang w:val="en-US" w:eastAsia="zh-CN"/>
        </w:rPr>
      </w:pPr>
      <w:r>
        <w:rPr>
          <w:rFonts w:hint="eastAsia" w:cs="Times New Roman"/>
          <w:sz w:val="28"/>
          <w:szCs w:val="28"/>
          <w:highlight w:val="none"/>
          <w:lang w:val="en-US" w:eastAsia="zh-CN"/>
        </w:rPr>
        <w:t>对仪表进行调试，检查数据采集系统的准确性，并进行校正，确保系统正常工作，确保数据在系统中实时、准确地采集。</w:t>
      </w:r>
    </w:p>
    <w:p>
      <w:pPr>
        <w:pStyle w:val="15"/>
        <w:keepNext w:val="0"/>
        <w:keepLines w:val="0"/>
        <w:pageBreakBefore w:val="0"/>
        <w:widowControl w:val="0"/>
        <w:numPr>
          <w:ilvl w:val="0"/>
          <w:numId w:val="0"/>
        </w:numPr>
        <w:kinsoku/>
        <w:wordWrap/>
        <w:overflowPunct/>
        <w:topLinePunct w:val="0"/>
        <w:bidi w:val="0"/>
        <w:spacing w:line="360" w:lineRule="auto"/>
        <w:ind w:left="480" w:leftChars="0"/>
        <w:textAlignment w:val="auto"/>
        <w:rPr>
          <w:rFonts w:hint="default"/>
          <w:lang w:val="en-US" w:eastAsia="zh-CN"/>
        </w:rPr>
      </w:pPr>
      <w:r>
        <w:rPr>
          <w:rFonts w:hint="eastAsia" w:cs="Times New Roman"/>
          <w:sz w:val="28"/>
          <w:szCs w:val="28"/>
          <w:highlight w:val="none"/>
          <w:lang w:val="en-US" w:eastAsia="zh-CN"/>
        </w:rPr>
        <w:t>备注：（</w:t>
      </w:r>
      <w:r>
        <w:rPr>
          <w:rFonts w:hint="eastAsia"/>
          <w:sz w:val="28"/>
          <w:szCs w:val="28"/>
          <w:highlight w:val="none"/>
          <w:lang w:val="en-US" w:eastAsia="zh-CN"/>
        </w:rPr>
        <w:t>仪表型号为WTW/ViSolid 700IQ（SW）仪表由分公司提供，支架和其他安装配件由施工单位提供</w:t>
      </w:r>
      <w:r>
        <w:rPr>
          <w:rFonts w:hint="eastAsia" w:cs="Times New Roman"/>
          <w:sz w:val="28"/>
          <w:szCs w:val="28"/>
          <w:highlight w:val="none"/>
          <w:lang w:val="en-US" w:eastAsia="zh-CN"/>
        </w:rPr>
        <w:t>）</w:t>
      </w:r>
    </w:p>
    <w:p>
      <w:pPr>
        <w:pStyle w:val="14"/>
        <w:keepNext w:val="0"/>
        <w:keepLines w:val="0"/>
        <w:pageBreakBefore w:val="0"/>
        <w:widowControl w:val="0"/>
        <w:numPr>
          <w:ilvl w:val="1"/>
          <w:numId w:val="6"/>
        </w:numPr>
        <w:kinsoku/>
        <w:wordWrap/>
        <w:overflowPunct/>
        <w:topLinePunct w:val="0"/>
        <w:bidi w:val="0"/>
        <w:spacing w:line="360" w:lineRule="auto"/>
        <w:ind w:left="840" w:leftChars="0" w:hanging="420" w:firstLineChars="0"/>
        <w:textAlignment w:val="auto"/>
        <w:rPr>
          <w:rFonts w:hint="eastAsia" w:cs="Times New Roman"/>
          <w:sz w:val="28"/>
          <w:szCs w:val="28"/>
          <w:highlight w:val="none"/>
          <w:lang w:val="en-US" w:eastAsia="zh-CN"/>
        </w:rPr>
      </w:pPr>
      <w:r>
        <w:rPr>
          <w:rFonts w:hint="eastAsia" w:ascii="仿宋_GB2312" w:hAnsi="Calibri" w:eastAsia="仿宋_GB2312" w:cs="Times New Roman"/>
          <w:color w:val="auto"/>
          <w:kern w:val="2"/>
          <w:sz w:val="28"/>
          <w:szCs w:val="28"/>
          <w:highlight w:val="none"/>
          <w:lang w:val="en-US" w:eastAsia="zh-CN" w:bidi="ar-SA"/>
        </w:rPr>
        <w:t>一二期2#生产线集泥井RSSS仪表安装：</w:t>
      </w:r>
    </w:p>
    <w:p>
      <w:pPr>
        <w:pStyle w:val="15"/>
        <w:keepNext w:val="0"/>
        <w:keepLines w:val="0"/>
        <w:pageBreakBefore w:val="0"/>
        <w:widowControl w:val="0"/>
        <w:numPr>
          <w:ilvl w:val="0"/>
          <w:numId w:val="8"/>
        </w:numPr>
        <w:kinsoku/>
        <w:wordWrap/>
        <w:overflowPunct/>
        <w:topLinePunct w:val="0"/>
        <w:bidi w:val="0"/>
        <w:spacing w:line="360" w:lineRule="auto"/>
        <w:ind w:left="480" w:leftChars="0" w:firstLine="0" w:firstLineChars="0"/>
        <w:textAlignment w:val="auto"/>
        <w:rPr>
          <w:rFonts w:hint="eastAsia" w:cs="Times New Roman"/>
          <w:sz w:val="28"/>
          <w:szCs w:val="28"/>
          <w:highlight w:val="none"/>
          <w:lang w:val="en-US" w:eastAsia="zh-CN"/>
        </w:rPr>
      </w:pPr>
      <w:r>
        <w:rPr>
          <w:rFonts w:hint="eastAsia"/>
          <w:sz w:val="28"/>
          <w:szCs w:val="28"/>
          <w:highlight w:val="none"/>
          <w:lang w:val="en-US" w:eastAsia="zh-CN"/>
        </w:rPr>
        <w:t>在</w:t>
      </w:r>
      <w:r>
        <w:rPr>
          <w:rFonts w:hint="eastAsia" w:ascii="仿宋_GB2312" w:hAnsi="Calibri" w:eastAsia="仿宋_GB2312" w:cs="Times New Roman"/>
          <w:color w:val="auto"/>
          <w:kern w:val="2"/>
          <w:sz w:val="28"/>
          <w:szCs w:val="28"/>
          <w:highlight w:val="none"/>
          <w:lang w:val="en-US" w:eastAsia="zh-CN" w:bidi="ar-SA"/>
        </w:rPr>
        <w:t>一二期</w:t>
      </w:r>
      <w:r>
        <w:rPr>
          <w:rFonts w:hint="eastAsia" w:cs="Times New Roman"/>
          <w:color w:val="auto"/>
          <w:kern w:val="2"/>
          <w:sz w:val="28"/>
          <w:szCs w:val="28"/>
          <w:highlight w:val="none"/>
          <w:lang w:val="en-US" w:eastAsia="zh-CN" w:bidi="ar-SA"/>
        </w:rPr>
        <w:t>2</w:t>
      </w:r>
      <w:r>
        <w:rPr>
          <w:rFonts w:hint="eastAsia" w:ascii="仿宋_GB2312" w:hAnsi="Calibri" w:eastAsia="仿宋_GB2312" w:cs="Times New Roman"/>
          <w:color w:val="auto"/>
          <w:kern w:val="2"/>
          <w:sz w:val="28"/>
          <w:szCs w:val="28"/>
          <w:highlight w:val="none"/>
          <w:lang w:val="en-US" w:eastAsia="zh-CN" w:bidi="ar-SA"/>
        </w:rPr>
        <w:t>#生产线集泥井</w:t>
      </w:r>
      <w:r>
        <w:rPr>
          <w:rFonts w:hint="eastAsia" w:cs="Times New Roman"/>
          <w:color w:val="auto"/>
          <w:kern w:val="2"/>
          <w:sz w:val="28"/>
          <w:szCs w:val="28"/>
          <w:highlight w:val="none"/>
          <w:lang w:val="en-US" w:eastAsia="zh-CN" w:bidi="ar-SA"/>
        </w:rPr>
        <w:t>内</w:t>
      </w:r>
      <w:r>
        <w:rPr>
          <w:rFonts w:hint="eastAsia"/>
          <w:sz w:val="28"/>
          <w:szCs w:val="28"/>
          <w:highlight w:val="none"/>
          <w:lang w:val="en-US" w:eastAsia="zh-CN"/>
        </w:rPr>
        <w:t>安装</w:t>
      </w:r>
      <w:r>
        <w:rPr>
          <w:rFonts w:hint="eastAsia" w:ascii="仿宋_GB2312" w:hAnsi="Calibri" w:eastAsia="仿宋_GB2312" w:cs="Times New Roman"/>
          <w:color w:val="auto"/>
          <w:kern w:val="2"/>
          <w:sz w:val="28"/>
          <w:szCs w:val="28"/>
          <w:highlight w:val="none"/>
          <w:lang w:val="en-US" w:eastAsia="zh-CN" w:bidi="ar-SA"/>
        </w:rPr>
        <w:t>RSSS仪表</w:t>
      </w:r>
      <w:r>
        <w:rPr>
          <w:rFonts w:hint="eastAsia"/>
          <w:sz w:val="28"/>
          <w:szCs w:val="28"/>
          <w:highlight w:val="none"/>
          <w:lang w:val="en-US" w:eastAsia="zh-CN"/>
        </w:rPr>
        <w:t>探头支架和更换仪表箱；</w:t>
      </w:r>
    </w:p>
    <w:p>
      <w:pPr>
        <w:pStyle w:val="15"/>
        <w:keepNext w:val="0"/>
        <w:keepLines w:val="0"/>
        <w:pageBreakBefore w:val="0"/>
        <w:widowControl w:val="0"/>
        <w:numPr>
          <w:ilvl w:val="0"/>
          <w:numId w:val="8"/>
        </w:numPr>
        <w:kinsoku/>
        <w:wordWrap/>
        <w:overflowPunct/>
        <w:topLinePunct w:val="0"/>
        <w:bidi w:val="0"/>
        <w:spacing w:line="360" w:lineRule="auto"/>
        <w:ind w:left="480" w:leftChars="0" w:firstLine="0" w:firstLineChars="0"/>
        <w:textAlignment w:val="auto"/>
        <w:rPr>
          <w:rFonts w:hint="eastAsia" w:cs="Times New Roman"/>
          <w:sz w:val="28"/>
          <w:szCs w:val="28"/>
          <w:highlight w:val="none"/>
          <w:lang w:val="en-US" w:eastAsia="zh-CN"/>
        </w:rPr>
      </w:pPr>
      <w:r>
        <w:rPr>
          <w:rFonts w:hint="eastAsia" w:cs="Times New Roman"/>
          <w:sz w:val="28"/>
          <w:szCs w:val="28"/>
          <w:highlight w:val="none"/>
          <w:lang w:val="en-US" w:eastAsia="zh-CN"/>
        </w:rPr>
        <w:t xml:space="preserve">按照说明书要求，在集泥井内安装探头，探头角度为90°垂直于水平面，探头与池底和墙壁保持距离10CM以上。确保探头的准确性和稳定性。  </w:t>
      </w:r>
    </w:p>
    <w:p>
      <w:pPr>
        <w:pStyle w:val="15"/>
        <w:keepNext w:val="0"/>
        <w:keepLines w:val="0"/>
        <w:pageBreakBefore w:val="0"/>
        <w:widowControl w:val="0"/>
        <w:numPr>
          <w:ilvl w:val="0"/>
          <w:numId w:val="8"/>
        </w:numPr>
        <w:kinsoku/>
        <w:wordWrap/>
        <w:overflowPunct/>
        <w:topLinePunct w:val="0"/>
        <w:bidi w:val="0"/>
        <w:spacing w:line="360" w:lineRule="auto"/>
        <w:ind w:left="480" w:leftChars="0" w:firstLine="0" w:firstLineChars="0"/>
        <w:textAlignment w:val="auto"/>
        <w:rPr>
          <w:rFonts w:hint="default"/>
          <w:sz w:val="28"/>
          <w:szCs w:val="28"/>
          <w:highlight w:val="none"/>
          <w:lang w:val="en-US" w:eastAsia="zh-CN"/>
        </w:rPr>
      </w:pPr>
      <w:r>
        <w:rPr>
          <w:rFonts w:hint="eastAsia" w:cs="Times New Roman"/>
          <w:sz w:val="28"/>
          <w:szCs w:val="28"/>
          <w:highlight w:val="none"/>
          <w:lang w:val="en-US" w:eastAsia="zh-CN"/>
        </w:rPr>
        <w:t>RSSS监测仪表交互界面安装在集泥井仪表箱，接入箱内原有电源和数据线缆。</w:t>
      </w:r>
    </w:p>
    <w:p>
      <w:pPr>
        <w:pStyle w:val="15"/>
        <w:keepNext w:val="0"/>
        <w:keepLines w:val="0"/>
        <w:pageBreakBefore w:val="0"/>
        <w:widowControl w:val="0"/>
        <w:numPr>
          <w:ilvl w:val="0"/>
          <w:numId w:val="8"/>
        </w:numPr>
        <w:kinsoku/>
        <w:wordWrap/>
        <w:overflowPunct/>
        <w:topLinePunct w:val="0"/>
        <w:bidi w:val="0"/>
        <w:spacing w:line="360" w:lineRule="auto"/>
        <w:ind w:left="480" w:leftChars="0" w:firstLine="0" w:firstLineChars="0"/>
        <w:textAlignment w:val="auto"/>
        <w:rPr>
          <w:rFonts w:hint="default"/>
          <w:lang w:val="en-US" w:eastAsia="zh-CN"/>
        </w:rPr>
      </w:pPr>
      <w:r>
        <w:rPr>
          <w:rFonts w:hint="eastAsia" w:cs="Times New Roman"/>
          <w:sz w:val="28"/>
          <w:szCs w:val="28"/>
          <w:highlight w:val="none"/>
          <w:lang w:val="en-US" w:eastAsia="zh-CN"/>
        </w:rPr>
        <w:t>对仪表进行调试，检查数据采集系统的准确性，并进行校正，确保系统正常工作，确保数据在系统中实时、准确地采集。</w:t>
      </w:r>
    </w:p>
    <w:p>
      <w:pPr>
        <w:pStyle w:val="15"/>
        <w:keepNext w:val="0"/>
        <w:keepLines w:val="0"/>
        <w:pageBreakBefore w:val="0"/>
        <w:widowControl w:val="0"/>
        <w:numPr>
          <w:ilvl w:val="0"/>
          <w:numId w:val="0"/>
        </w:numPr>
        <w:kinsoku/>
        <w:wordWrap/>
        <w:overflowPunct/>
        <w:topLinePunct w:val="0"/>
        <w:bidi w:val="0"/>
        <w:spacing w:line="360" w:lineRule="auto"/>
        <w:ind w:left="480" w:leftChars="0"/>
        <w:textAlignment w:val="auto"/>
        <w:rPr>
          <w:rFonts w:hint="default"/>
          <w:lang w:val="en-US" w:eastAsia="zh-CN"/>
        </w:rPr>
      </w:pPr>
      <w:r>
        <w:rPr>
          <w:rFonts w:hint="eastAsia" w:cs="Times New Roman"/>
          <w:sz w:val="28"/>
          <w:szCs w:val="28"/>
          <w:highlight w:val="none"/>
          <w:lang w:val="en-US" w:eastAsia="zh-CN"/>
        </w:rPr>
        <w:t>备注：（</w:t>
      </w:r>
      <w:r>
        <w:rPr>
          <w:rFonts w:hint="eastAsia"/>
          <w:sz w:val="28"/>
          <w:szCs w:val="28"/>
          <w:highlight w:val="none"/>
          <w:lang w:val="en-US" w:eastAsia="zh-CN"/>
        </w:rPr>
        <w:t>仪表型号为WTW/ViSolid 700IQ（SW）仪表由分公司提供，支架和其他安装配件由施工单位提供</w:t>
      </w:r>
      <w:r>
        <w:rPr>
          <w:rFonts w:hint="eastAsia" w:cs="Times New Roman"/>
          <w:sz w:val="28"/>
          <w:szCs w:val="28"/>
          <w:highlight w:val="none"/>
          <w:lang w:val="en-US" w:eastAsia="zh-CN"/>
        </w:rPr>
        <w:t>）</w:t>
      </w:r>
    </w:p>
    <w:p>
      <w:pPr>
        <w:pStyle w:val="14"/>
        <w:keepNext w:val="0"/>
        <w:keepLines w:val="0"/>
        <w:pageBreakBefore w:val="0"/>
        <w:widowControl w:val="0"/>
        <w:numPr>
          <w:ilvl w:val="1"/>
          <w:numId w:val="6"/>
        </w:numPr>
        <w:kinsoku/>
        <w:wordWrap/>
        <w:overflowPunct/>
        <w:topLinePunct w:val="0"/>
        <w:bidi w:val="0"/>
        <w:spacing w:line="360" w:lineRule="auto"/>
        <w:ind w:left="840" w:leftChars="0" w:hanging="420" w:firstLineChars="0"/>
        <w:textAlignment w:val="auto"/>
        <w:rPr>
          <w:rFonts w:hint="default" w:ascii="仿宋_GB2312" w:hAnsi="Calibri" w:eastAsia="仿宋_GB2312" w:cs="Times New Roman"/>
          <w:color w:val="auto"/>
          <w:kern w:val="2"/>
          <w:sz w:val="28"/>
          <w:szCs w:val="28"/>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一二期3#生产线集泥井RSSS仪表安装：</w:t>
      </w:r>
    </w:p>
    <w:p>
      <w:pPr>
        <w:pStyle w:val="15"/>
        <w:keepNext w:val="0"/>
        <w:keepLines w:val="0"/>
        <w:pageBreakBefore w:val="0"/>
        <w:widowControl w:val="0"/>
        <w:numPr>
          <w:ilvl w:val="0"/>
          <w:numId w:val="9"/>
        </w:numPr>
        <w:kinsoku/>
        <w:wordWrap/>
        <w:overflowPunct/>
        <w:topLinePunct w:val="0"/>
        <w:bidi w:val="0"/>
        <w:spacing w:line="360" w:lineRule="auto"/>
        <w:ind w:left="480" w:leftChars="0" w:firstLine="0" w:firstLineChars="0"/>
        <w:textAlignment w:val="auto"/>
        <w:rPr>
          <w:rFonts w:hint="eastAsia" w:cs="Times New Roman"/>
          <w:sz w:val="28"/>
          <w:szCs w:val="28"/>
          <w:highlight w:val="none"/>
          <w:lang w:val="en-US" w:eastAsia="zh-CN"/>
        </w:rPr>
      </w:pPr>
      <w:r>
        <w:rPr>
          <w:rFonts w:hint="eastAsia"/>
          <w:sz w:val="28"/>
          <w:szCs w:val="28"/>
          <w:highlight w:val="none"/>
          <w:lang w:val="en-US" w:eastAsia="zh-CN"/>
        </w:rPr>
        <w:t>在</w:t>
      </w:r>
      <w:r>
        <w:rPr>
          <w:rFonts w:hint="eastAsia" w:ascii="仿宋_GB2312" w:hAnsi="Calibri" w:eastAsia="仿宋_GB2312" w:cs="Times New Roman"/>
          <w:color w:val="auto"/>
          <w:kern w:val="2"/>
          <w:sz w:val="28"/>
          <w:szCs w:val="28"/>
          <w:highlight w:val="none"/>
          <w:lang w:val="en-US" w:eastAsia="zh-CN" w:bidi="ar-SA"/>
        </w:rPr>
        <w:t>一二期</w:t>
      </w:r>
      <w:r>
        <w:rPr>
          <w:rFonts w:hint="eastAsia" w:cs="Times New Roman"/>
          <w:color w:val="auto"/>
          <w:kern w:val="2"/>
          <w:sz w:val="28"/>
          <w:szCs w:val="28"/>
          <w:highlight w:val="none"/>
          <w:lang w:val="en-US" w:eastAsia="zh-CN" w:bidi="ar-SA"/>
        </w:rPr>
        <w:t>3</w:t>
      </w:r>
      <w:r>
        <w:rPr>
          <w:rFonts w:hint="eastAsia" w:ascii="仿宋_GB2312" w:hAnsi="Calibri" w:eastAsia="仿宋_GB2312" w:cs="Times New Roman"/>
          <w:color w:val="auto"/>
          <w:kern w:val="2"/>
          <w:sz w:val="28"/>
          <w:szCs w:val="28"/>
          <w:highlight w:val="none"/>
          <w:lang w:val="en-US" w:eastAsia="zh-CN" w:bidi="ar-SA"/>
        </w:rPr>
        <w:t>#生产线集泥井</w:t>
      </w:r>
      <w:r>
        <w:rPr>
          <w:rFonts w:hint="eastAsia" w:cs="Times New Roman"/>
          <w:color w:val="auto"/>
          <w:kern w:val="2"/>
          <w:sz w:val="28"/>
          <w:szCs w:val="28"/>
          <w:highlight w:val="none"/>
          <w:lang w:val="en-US" w:eastAsia="zh-CN" w:bidi="ar-SA"/>
        </w:rPr>
        <w:t>内</w:t>
      </w:r>
      <w:r>
        <w:rPr>
          <w:rFonts w:hint="eastAsia"/>
          <w:sz w:val="28"/>
          <w:szCs w:val="28"/>
          <w:highlight w:val="none"/>
          <w:lang w:val="en-US" w:eastAsia="zh-CN"/>
        </w:rPr>
        <w:t>安装</w:t>
      </w:r>
      <w:r>
        <w:rPr>
          <w:rFonts w:hint="eastAsia" w:ascii="仿宋_GB2312" w:hAnsi="Calibri" w:eastAsia="仿宋_GB2312" w:cs="Times New Roman"/>
          <w:color w:val="auto"/>
          <w:kern w:val="2"/>
          <w:sz w:val="28"/>
          <w:szCs w:val="28"/>
          <w:highlight w:val="none"/>
          <w:lang w:val="en-US" w:eastAsia="zh-CN" w:bidi="ar-SA"/>
        </w:rPr>
        <w:t>RSSS仪表</w:t>
      </w:r>
      <w:r>
        <w:rPr>
          <w:rFonts w:hint="eastAsia"/>
          <w:sz w:val="28"/>
          <w:szCs w:val="28"/>
          <w:highlight w:val="none"/>
          <w:lang w:val="en-US" w:eastAsia="zh-CN"/>
        </w:rPr>
        <w:t>探头支架和更换仪表箱；</w:t>
      </w:r>
    </w:p>
    <w:p>
      <w:pPr>
        <w:pStyle w:val="15"/>
        <w:keepNext w:val="0"/>
        <w:keepLines w:val="0"/>
        <w:pageBreakBefore w:val="0"/>
        <w:widowControl w:val="0"/>
        <w:numPr>
          <w:ilvl w:val="0"/>
          <w:numId w:val="9"/>
        </w:numPr>
        <w:kinsoku/>
        <w:wordWrap/>
        <w:overflowPunct/>
        <w:topLinePunct w:val="0"/>
        <w:bidi w:val="0"/>
        <w:spacing w:line="360" w:lineRule="auto"/>
        <w:ind w:left="480" w:leftChars="0" w:firstLine="0" w:firstLineChars="0"/>
        <w:textAlignment w:val="auto"/>
        <w:rPr>
          <w:rFonts w:hint="eastAsia" w:cs="Times New Roman"/>
          <w:sz w:val="28"/>
          <w:szCs w:val="28"/>
          <w:highlight w:val="none"/>
          <w:lang w:val="en-US" w:eastAsia="zh-CN"/>
        </w:rPr>
      </w:pPr>
      <w:r>
        <w:rPr>
          <w:rFonts w:hint="eastAsia" w:cs="Times New Roman"/>
          <w:sz w:val="28"/>
          <w:szCs w:val="28"/>
          <w:highlight w:val="none"/>
          <w:lang w:val="en-US" w:eastAsia="zh-CN"/>
        </w:rPr>
        <w:t xml:space="preserve">按照说明书要求，在集泥井内安装探头，探头角度为90°垂直于水平面，探头与池底和墙壁保持距离10CM以上。确保探头的准确性和稳定性。  </w:t>
      </w:r>
    </w:p>
    <w:p>
      <w:pPr>
        <w:pStyle w:val="15"/>
        <w:keepNext w:val="0"/>
        <w:keepLines w:val="0"/>
        <w:pageBreakBefore w:val="0"/>
        <w:widowControl w:val="0"/>
        <w:numPr>
          <w:ilvl w:val="0"/>
          <w:numId w:val="9"/>
        </w:numPr>
        <w:kinsoku/>
        <w:wordWrap/>
        <w:overflowPunct/>
        <w:topLinePunct w:val="0"/>
        <w:bidi w:val="0"/>
        <w:spacing w:line="360" w:lineRule="auto"/>
        <w:ind w:left="480" w:leftChars="0" w:firstLine="0" w:firstLineChars="0"/>
        <w:textAlignment w:val="auto"/>
        <w:rPr>
          <w:rFonts w:hint="default"/>
          <w:sz w:val="28"/>
          <w:szCs w:val="28"/>
          <w:highlight w:val="none"/>
          <w:lang w:val="en-US" w:eastAsia="zh-CN"/>
        </w:rPr>
      </w:pPr>
      <w:r>
        <w:rPr>
          <w:rFonts w:hint="eastAsia" w:cs="Times New Roman"/>
          <w:sz w:val="28"/>
          <w:szCs w:val="28"/>
          <w:highlight w:val="none"/>
          <w:lang w:val="en-US" w:eastAsia="zh-CN"/>
        </w:rPr>
        <w:t>RSSS监测仪表交互界面安装在集泥井仪表箱，电源和数据线缆利旧。</w:t>
      </w:r>
    </w:p>
    <w:p>
      <w:pPr>
        <w:pStyle w:val="15"/>
        <w:keepNext w:val="0"/>
        <w:keepLines w:val="0"/>
        <w:pageBreakBefore w:val="0"/>
        <w:widowControl w:val="0"/>
        <w:numPr>
          <w:ilvl w:val="0"/>
          <w:numId w:val="9"/>
        </w:numPr>
        <w:kinsoku/>
        <w:wordWrap/>
        <w:overflowPunct/>
        <w:topLinePunct w:val="0"/>
        <w:bidi w:val="0"/>
        <w:spacing w:line="360" w:lineRule="auto"/>
        <w:ind w:left="480" w:leftChars="0" w:firstLine="0" w:firstLineChars="0"/>
        <w:textAlignment w:val="auto"/>
        <w:rPr>
          <w:rFonts w:hint="default"/>
          <w:lang w:val="en-US" w:eastAsia="zh-CN"/>
        </w:rPr>
      </w:pPr>
      <w:r>
        <w:rPr>
          <w:rFonts w:hint="eastAsia" w:cs="Times New Roman"/>
          <w:sz w:val="28"/>
          <w:szCs w:val="28"/>
          <w:highlight w:val="none"/>
          <w:lang w:val="en-US" w:eastAsia="zh-CN"/>
        </w:rPr>
        <w:t>对仪表进行调试，检查数据采集系统的准确性，并进行校正，确保系统正常工作。（</w:t>
      </w:r>
      <w:r>
        <w:rPr>
          <w:rFonts w:hint="eastAsia"/>
          <w:sz w:val="28"/>
          <w:szCs w:val="28"/>
          <w:highlight w:val="none"/>
          <w:lang w:val="en-US" w:eastAsia="zh-CN"/>
        </w:rPr>
        <w:t>仪表型号为HACH/SOLITAX sc,仪表和支架由分公司提供，其他安装配件由施工单位提供</w:t>
      </w:r>
      <w:r>
        <w:rPr>
          <w:rFonts w:hint="eastAsia" w:cs="Times New Roman"/>
          <w:sz w:val="28"/>
          <w:szCs w:val="28"/>
          <w:highlight w:val="none"/>
          <w:lang w:val="en-US" w:eastAsia="zh-CN"/>
        </w:rPr>
        <w:t>）</w:t>
      </w:r>
    </w:p>
    <w:p>
      <w:pPr>
        <w:pStyle w:val="14"/>
        <w:keepNext w:val="0"/>
        <w:keepLines w:val="0"/>
        <w:pageBreakBefore w:val="0"/>
        <w:widowControl w:val="0"/>
        <w:numPr>
          <w:ilvl w:val="1"/>
          <w:numId w:val="6"/>
        </w:numPr>
        <w:kinsoku/>
        <w:wordWrap/>
        <w:overflowPunct/>
        <w:topLinePunct w:val="0"/>
        <w:bidi w:val="0"/>
        <w:spacing w:line="360" w:lineRule="auto"/>
        <w:ind w:left="840" w:leftChars="0" w:hanging="420" w:firstLineChars="0"/>
        <w:textAlignment w:val="auto"/>
        <w:rPr>
          <w:rFonts w:hint="default" w:ascii="仿宋_GB2312" w:hAnsi="Calibri" w:eastAsia="仿宋_GB2312" w:cs="Times New Roman"/>
          <w:color w:val="auto"/>
          <w:kern w:val="2"/>
          <w:sz w:val="28"/>
          <w:szCs w:val="28"/>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一二期3#二沉池泥位计仪表安装：</w:t>
      </w:r>
    </w:p>
    <w:p>
      <w:pPr>
        <w:pStyle w:val="15"/>
        <w:keepNext w:val="0"/>
        <w:keepLines w:val="0"/>
        <w:pageBreakBefore w:val="0"/>
        <w:widowControl w:val="0"/>
        <w:numPr>
          <w:ilvl w:val="0"/>
          <w:numId w:val="10"/>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在一二期3#二沉池中的刮泥机上仪表箱安装泥位计；</w:t>
      </w:r>
    </w:p>
    <w:p>
      <w:pPr>
        <w:pStyle w:val="15"/>
        <w:keepNext w:val="0"/>
        <w:keepLines w:val="0"/>
        <w:pageBreakBefore w:val="0"/>
        <w:widowControl w:val="0"/>
        <w:numPr>
          <w:ilvl w:val="0"/>
          <w:numId w:val="10"/>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更换仪表箱内含一个16A塑壳漏电保护断路器，用于仪表和无线通讯设备供电；</w:t>
      </w:r>
    </w:p>
    <w:p>
      <w:pPr>
        <w:pStyle w:val="15"/>
        <w:keepNext w:val="0"/>
        <w:keepLines w:val="0"/>
        <w:pageBreakBefore w:val="0"/>
        <w:widowControl w:val="0"/>
        <w:numPr>
          <w:ilvl w:val="0"/>
          <w:numId w:val="10"/>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从刮泥机配电箱备用开关引出</w:t>
      </w:r>
      <w:r>
        <w:rPr>
          <w:rFonts w:hint="eastAsia"/>
          <w:sz w:val="28"/>
          <w:szCs w:val="28"/>
          <w:highlight w:val="none"/>
          <w:lang w:val="en-US" w:eastAsia="zh-CN"/>
        </w:rPr>
        <w:t>1条ZC-YJV3*2.5</w:t>
      </w:r>
      <w:r>
        <w:rPr>
          <w:rFonts w:hint="eastAsia"/>
          <w:lang w:eastAsia="zh-CN"/>
        </w:rPr>
        <w:t>（</w:t>
      </w:r>
      <w:r>
        <w:rPr>
          <w:rFonts w:hint="eastAsia"/>
          <w:lang w:val="en-US" w:eastAsia="zh-CN"/>
        </w:rPr>
        <w:t>长度约15米</w:t>
      </w:r>
      <w:r>
        <w:rPr>
          <w:rFonts w:hint="eastAsia"/>
          <w:lang w:eastAsia="zh-CN"/>
        </w:rPr>
        <w:t>）</w:t>
      </w:r>
      <w:r>
        <w:rPr>
          <w:rFonts w:hint="eastAsia" w:cs="Times New Roman"/>
          <w:sz w:val="28"/>
          <w:szCs w:val="28"/>
          <w:highlight w:val="none"/>
          <w:lang w:val="en-US" w:eastAsia="zh-CN"/>
        </w:rPr>
        <w:t>连接至仪表箱新装漏保处；</w:t>
      </w:r>
    </w:p>
    <w:p>
      <w:pPr>
        <w:pStyle w:val="15"/>
        <w:keepNext w:val="0"/>
        <w:keepLines w:val="0"/>
        <w:pageBreakBefore w:val="0"/>
        <w:widowControl w:val="0"/>
        <w:numPr>
          <w:ilvl w:val="0"/>
          <w:numId w:val="10"/>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采用“无线接收发送透传Lora模块”进行无线通讯，该模块可实现模拟量输入和模拟量输出 ，在二沉池刮泥机仪表箱内安装信号采集发送端。同时，在反应池电房内PLC柜内安装信号接收端；</w:t>
      </w:r>
    </w:p>
    <w:p>
      <w:pPr>
        <w:pStyle w:val="15"/>
        <w:keepNext w:val="0"/>
        <w:keepLines w:val="0"/>
        <w:pageBreakBefore w:val="0"/>
        <w:widowControl w:val="0"/>
        <w:numPr>
          <w:ilvl w:val="0"/>
          <w:numId w:val="10"/>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 xml:space="preserve">进行信号传输设置，确保数据在系统中实时、准确地采集。同时，测试信号传输是否正常； </w:t>
      </w:r>
    </w:p>
    <w:p>
      <w:pPr>
        <w:pStyle w:val="15"/>
        <w:keepNext w:val="0"/>
        <w:keepLines w:val="0"/>
        <w:pageBreakBefore w:val="0"/>
        <w:widowControl w:val="0"/>
        <w:numPr>
          <w:ilvl w:val="0"/>
          <w:numId w:val="10"/>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检查并调试 对安装的刮泥机泥位计、Lora模块和电源线进行检查，确保接线正确，电源供应正常，以确保整个系统正常运行。</w:t>
      </w:r>
    </w:p>
    <w:p>
      <w:pPr>
        <w:pStyle w:val="14"/>
        <w:keepNext w:val="0"/>
        <w:keepLines w:val="0"/>
        <w:pageBreakBefore w:val="0"/>
        <w:widowControl w:val="0"/>
        <w:numPr>
          <w:ilvl w:val="1"/>
          <w:numId w:val="6"/>
        </w:numPr>
        <w:kinsoku/>
        <w:wordWrap/>
        <w:overflowPunct/>
        <w:topLinePunct w:val="0"/>
        <w:bidi w:val="0"/>
        <w:spacing w:line="360" w:lineRule="auto"/>
        <w:ind w:left="840" w:leftChars="0" w:hanging="420" w:firstLineChars="0"/>
        <w:textAlignment w:val="auto"/>
        <w:rPr>
          <w:rFonts w:hint="default" w:ascii="仿宋_GB2312" w:hAnsi="Calibri" w:eastAsia="仿宋_GB2312" w:cs="Times New Roman"/>
          <w:color w:val="auto"/>
          <w:kern w:val="2"/>
          <w:sz w:val="28"/>
          <w:szCs w:val="28"/>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一二期7#二沉池泥位计仪表安装：</w:t>
      </w:r>
    </w:p>
    <w:p>
      <w:pPr>
        <w:pStyle w:val="15"/>
        <w:keepNext w:val="0"/>
        <w:keepLines w:val="0"/>
        <w:pageBreakBefore w:val="0"/>
        <w:widowControl w:val="0"/>
        <w:numPr>
          <w:ilvl w:val="0"/>
          <w:numId w:val="11"/>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在一二期7#二沉池中的刮泥机上仪表箱安装泥位计；</w:t>
      </w:r>
    </w:p>
    <w:p>
      <w:pPr>
        <w:pStyle w:val="15"/>
        <w:keepNext w:val="0"/>
        <w:keepLines w:val="0"/>
        <w:pageBreakBefore w:val="0"/>
        <w:widowControl w:val="0"/>
        <w:numPr>
          <w:ilvl w:val="0"/>
          <w:numId w:val="11"/>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更换仪表箱内含一个16A塑壳漏电保护断路器，用于仪表和无线通讯设备供电；</w:t>
      </w:r>
    </w:p>
    <w:p>
      <w:pPr>
        <w:pStyle w:val="15"/>
        <w:keepNext w:val="0"/>
        <w:keepLines w:val="0"/>
        <w:pageBreakBefore w:val="0"/>
        <w:widowControl w:val="0"/>
        <w:numPr>
          <w:ilvl w:val="0"/>
          <w:numId w:val="11"/>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从刮泥机配电箱备用开关引出</w:t>
      </w:r>
      <w:r>
        <w:rPr>
          <w:rFonts w:hint="eastAsia"/>
          <w:sz w:val="28"/>
          <w:szCs w:val="28"/>
          <w:highlight w:val="none"/>
          <w:lang w:val="en-US" w:eastAsia="zh-CN"/>
        </w:rPr>
        <w:t>1条ZC-YJV3*2.5</w:t>
      </w:r>
      <w:r>
        <w:rPr>
          <w:rFonts w:hint="eastAsia"/>
          <w:lang w:eastAsia="zh-CN"/>
        </w:rPr>
        <w:t>（</w:t>
      </w:r>
      <w:r>
        <w:rPr>
          <w:rFonts w:hint="eastAsia"/>
          <w:lang w:val="en-US" w:eastAsia="zh-CN"/>
        </w:rPr>
        <w:t>长度约15米</w:t>
      </w:r>
      <w:r>
        <w:rPr>
          <w:rFonts w:hint="eastAsia"/>
          <w:lang w:eastAsia="zh-CN"/>
        </w:rPr>
        <w:t>）</w:t>
      </w:r>
      <w:r>
        <w:rPr>
          <w:rFonts w:hint="eastAsia" w:cs="Times New Roman"/>
          <w:sz w:val="28"/>
          <w:szCs w:val="28"/>
          <w:highlight w:val="none"/>
          <w:lang w:val="en-US" w:eastAsia="zh-CN"/>
        </w:rPr>
        <w:t>连接至仪表箱新装漏保处；</w:t>
      </w:r>
    </w:p>
    <w:p>
      <w:pPr>
        <w:pStyle w:val="15"/>
        <w:keepNext w:val="0"/>
        <w:keepLines w:val="0"/>
        <w:pageBreakBefore w:val="0"/>
        <w:widowControl w:val="0"/>
        <w:numPr>
          <w:ilvl w:val="0"/>
          <w:numId w:val="11"/>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采用“无线接收发送透传Lora模块”进行无线通讯，该模块可实现模拟量输入和模拟量输出 ，在二沉池刮泥机仪表箱内安装信号采集发送端。同时，在反应池电房内PLC柜内安装信号接收端；</w:t>
      </w:r>
    </w:p>
    <w:p>
      <w:pPr>
        <w:pStyle w:val="15"/>
        <w:keepNext w:val="0"/>
        <w:keepLines w:val="0"/>
        <w:pageBreakBefore w:val="0"/>
        <w:widowControl w:val="0"/>
        <w:numPr>
          <w:ilvl w:val="0"/>
          <w:numId w:val="11"/>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 xml:space="preserve">进行信号传输设置，确保数据在系统中实时、准确地采集。同时，测试信号传输是否正常； </w:t>
      </w:r>
    </w:p>
    <w:p>
      <w:pPr>
        <w:pStyle w:val="15"/>
        <w:keepNext w:val="0"/>
        <w:keepLines w:val="0"/>
        <w:pageBreakBefore w:val="0"/>
        <w:widowControl w:val="0"/>
        <w:numPr>
          <w:ilvl w:val="0"/>
          <w:numId w:val="11"/>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检查并调试 对安装的刮泥机泥位计、Lora模块和电源线进行检查，确保接线正确，电源供应正常，以确保整个系统正常运行；</w:t>
      </w:r>
    </w:p>
    <w:p>
      <w:pPr>
        <w:pStyle w:val="14"/>
        <w:keepNext w:val="0"/>
        <w:keepLines w:val="0"/>
        <w:pageBreakBefore w:val="0"/>
        <w:widowControl w:val="0"/>
        <w:numPr>
          <w:ilvl w:val="1"/>
          <w:numId w:val="6"/>
        </w:numPr>
        <w:kinsoku/>
        <w:wordWrap/>
        <w:overflowPunct/>
        <w:topLinePunct w:val="0"/>
        <w:bidi w:val="0"/>
        <w:spacing w:line="360" w:lineRule="auto"/>
        <w:ind w:left="840" w:leftChars="0" w:hanging="420" w:firstLineChars="0"/>
        <w:textAlignment w:val="auto"/>
        <w:rPr>
          <w:rFonts w:hint="default" w:ascii="仿宋_GB2312" w:hAnsi="Calibri" w:eastAsia="仿宋_GB2312" w:cs="Times New Roman"/>
          <w:color w:val="auto"/>
          <w:kern w:val="2"/>
          <w:sz w:val="28"/>
          <w:szCs w:val="28"/>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一二期11#二沉池泥位计仪表安装：</w:t>
      </w:r>
    </w:p>
    <w:p>
      <w:pPr>
        <w:pStyle w:val="15"/>
        <w:keepNext w:val="0"/>
        <w:keepLines w:val="0"/>
        <w:pageBreakBefore w:val="0"/>
        <w:widowControl w:val="0"/>
        <w:numPr>
          <w:ilvl w:val="0"/>
          <w:numId w:val="12"/>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在一二期11#二沉池中的刮泥机上仪表箱安装泥位计；</w:t>
      </w:r>
    </w:p>
    <w:p>
      <w:pPr>
        <w:pStyle w:val="15"/>
        <w:keepNext w:val="0"/>
        <w:keepLines w:val="0"/>
        <w:pageBreakBefore w:val="0"/>
        <w:widowControl w:val="0"/>
        <w:numPr>
          <w:ilvl w:val="0"/>
          <w:numId w:val="12"/>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更换仪表箱内含一个16A塑壳漏电保护断路器，用于仪表和无线通讯设备供电；</w:t>
      </w:r>
    </w:p>
    <w:p>
      <w:pPr>
        <w:pStyle w:val="15"/>
        <w:keepNext w:val="0"/>
        <w:keepLines w:val="0"/>
        <w:pageBreakBefore w:val="0"/>
        <w:widowControl w:val="0"/>
        <w:numPr>
          <w:ilvl w:val="0"/>
          <w:numId w:val="12"/>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从刮泥机配电箱备用开关引出</w:t>
      </w:r>
      <w:r>
        <w:rPr>
          <w:rFonts w:hint="eastAsia"/>
          <w:sz w:val="28"/>
          <w:szCs w:val="28"/>
          <w:highlight w:val="none"/>
          <w:lang w:val="en-US" w:eastAsia="zh-CN"/>
        </w:rPr>
        <w:t>1条ZC-YJV3*2.5</w:t>
      </w:r>
      <w:r>
        <w:rPr>
          <w:rFonts w:hint="eastAsia"/>
          <w:lang w:eastAsia="zh-CN"/>
        </w:rPr>
        <w:t>（</w:t>
      </w:r>
      <w:r>
        <w:rPr>
          <w:rFonts w:hint="eastAsia"/>
          <w:lang w:val="en-US" w:eastAsia="zh-CN"/>
        </w:rPr>
        <w:t>长度约15米</w:t>
      </w:r>
      <w:r>
        <w:rPr>
          <w:rFonts w:hint="eastAsia"/>
          <w:lang w:eastAsia="zh-CN"/>
        </w:rPr>
        <w:t>）</w:t>
      </w:r>
      <w:r>
        <w:rPr>
          <w:rFonts w:hint="eastAsia" w:cs="Times New Roman"/>
          <w:sz w:val="28"/>
          <w:szCs w:val="28"/>
          <w:highlight w:val="none"/>
          <w:lang w:val="en-US" w:eastAsia="zh-CN"/>
        </w:rPr>
        <w:t>连接至仪表箱新装漏保处；</w:t>
      </w:r>
    </w:p>
    <w:p>
      <w:pPr>
        <w:pStyle w:val="15"/>
        <w:keepNext w:val="0"/>
        <w:keepLines w:val="0"/>
        <w:pageBreakBefore w:val="0"/>
        <w:widowControl w:val="0"/>
        <w:numPr>
          <w:ilvl w:val="0"/>
          <w:numId w:val="12"/>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采用“无线接收发送透传Lora模块”进行无线通讯，该模块可实现模拟量输入和模拟量输出 ，在二沉池刮泥机仪表箱内安装信号采集发送端。同时，在反应池电房内PLC柜内安装信号接收端；</w:t>
      </w:r>
    </w:p>
    <w:p>
      <w:pPr>
        <w:pStyle w:val="15"/>
        <w:keepNext w:val="0"/>
        <w:keepLines w:val="0"/>
        <w:pageBreakBefore w:val="0"/>
        <w:widowControl w:val="0"/>
        <w:numPr>
          <w:ilvl w:val="0"/>
          <w:numId w:val="12"/>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进行信号传输设置，确保数据在系统中实时、准确地采集。同时，测试信号传输是否正常；</w:t>
      </w:r>
    </w:p>
    <w:p>
      <w:pPr>
        <w:pStyle w:val="15"/>
        <w:keepNext w:val="0"/>
        <w:keepLines w:val="0"/>
        <w:pageBreakBefore w:val="0"/>
        <w:widowControl w:val="0"/>
        <w:numPr>
          <w:ilvl w:val="0"/>
          <w:numId w:val="12"/>
        </w:numPr>
        <w:kinsoku/>
        <w:wordWrap/>
        <w:overflowPunct/>
        <w:topLinePunct w:val="0"/>
        <w:bidi w:val="0"/>
        <w:spacing w:line="360" w:lineRule="auto"/>
        <w:ind w:left="480" w:leftChars="0" w:firstLine="0" w:firstLineChars="0"/>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检查并调试 对安装的刮泥机泥位计、Lora模块和电源线进行检查，确保接线正确，电源供应正常，以确保整个系统正常运行。</w:t>
      </w:r>
    </w:p>
    <w:p>
      <w:pPr>
        <w:rPr>
          <w:rFonts w:hint="default"/>
          <w:lang w:val="en-US" w:eastAsia="zh-CN"/>
        </w:rPr>
      </w:pPr>
    </w:p>
    <w:p>
      <w:pPr>
        <w:pStyle w:val="5"/>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工程量清单：</w:t>
      </w:r>
    </w:p>
    <w:p>
      <w:pPr>
        <w:pStyle w:val="5"/>
        <w:numPr>
          <w:ilvl w:val="0"/>
          <w:numId w:val="0"/>
        </w:numPr>
        <w:ind w:firstLine="560" w:firstLineChars="200"/>
        <w:jc w:val="left"/>
        <w:rPr>
          <w:rFonts w:hint="eastAsia" w:ascii="仿宋" w:hAnsi="仿宋" w:eastAsia="仿宋" w:cs="仿宋"/>
          <w:sz w:val="28"/>
          <w:szCs w:val="28"/>
          <w:lang w:val="en-US" w:eastAsia="zh-CN"/>
        </w:rPr>
      </w:pPr>
    </w:p>
    <w:tbl>
      <w:tblPr>
        <w:tblStyle w:val="24"/>
        <w:tblW w:w="95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1"/>
        <w:gridCol w:w="1633"/>
        <w:gridCol w:w="5402"/>
        <w:gridCol w:w="1014"/>
        <w:gridCol w:w="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一二期1#生产线集泥井RSSS仪表安装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安装与调试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1.Rsss仪表安装调试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1.仪表支架制作与安装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2.仪表型号：WTW/ViSolid 700IQ（SW）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1.名称：配电箱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2.规格:304 不锈钢，长650宽280高380，室外密封式（座式）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3.含1个16A塑壳漏电保护断路器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4.1个防雷保护器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5.共零排、共地排各一块。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81"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一二期2#生产线集泥井RSSS仪表安装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安装与调试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1.Rsss仪表安装调试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1.仪表支架制作与安装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2.仪表型号：WTW/ViSolid 700IQ（SW）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1.名称：配电箱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2.规格:304 不锈钢，长650宽280高380，室外密封式（座式）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3.含1个16A塑壳漏电保护断路器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4.1个防雷保护器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5.共零排、共地排各一块。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6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一二期3#生产线集泥井RSSS仪表安装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安装与调试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1.Rsss仪表安装调试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1.仪表支架安装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2.仪表型号：HACH/SOLITAX sc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1.名称：配电箱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2.规格:304 不锈钢，长350宽200高450，室外密封式（座式）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3.含1个16A塑壳漏电保护断路器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4.1个防雷保护器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5.共零排、共地排各一块。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一二期7#二沉池泥位计仪表安装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安装与调试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1.泥位计仪表安装调试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敷设电力电缆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1.铜芯电力电缆敷设 ZC-YJY-3*2.5mm2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无线传输模块制安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名称：无线接收发送透传Lora模块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1、传输距离：有障碍物1000m或以上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2、输入信号：支持模拟量输入4-20mA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3、输出信号：支持模拟量输出0-20mA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4、带电源适配器：输入电压200-240v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配电箱制安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1.名称：配电箱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2.规格:304 不锈钢，长500宽300高600，室外密封式（座式）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3.含1个16A塑壳漏电保护断路器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4.1个防雷保护器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5.共零排、共地排各一块。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4"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一二期11#二沉池泥位计仪表安装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安装与调试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1.泥位计仪表安装调试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敷设电力电缆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1.铜芯电力电缆敷设 ZC-YJY-3*2.5mm2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无线传输模块制安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名称：无线接收发送透传Lora模块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1、传输距离：有障碍物1000m或以上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2、输入信号：支持模拟量输入4-20mA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3、输出信号：支持模拟量输出0-20mA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4、带电源适配器：输入电压200-240v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配电箱制安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1.名称：配电箱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2.规格:304 不锈钢，长550宽350高600，室外密封式（座式）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3.含1个16A塑壳漏电保护断路器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4.1个防雷保护器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5.共零排、共地排各一块。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1"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一二期3#二沉池泥位计仪表安装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安装与调试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1.泥位计仪表安装调试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敷设电力电缆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1.铜芯电力电缆敷设 ZC-YJY-3*2.5mm2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无线传输模块制安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名称：无线接收发送透传Lora模块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1、传输距离：有障碍物1000m或以上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2、输入信号：支持模拟量输入4-20mA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3、输出信号：支持模拟量输出0-20mA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4、带电源适配器：输入电压200-240v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配电箱制安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1.名称：配电箱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2.规格:304 不锈钢，长500宽300高600，室外密封式（座式）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3.含1个16A塑壳漏电保护断路器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4.1个防雷保护器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5.共零排、共地排各一块。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50"/>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highlight w:val="none"/>
          <w:lang w:val="en-US" w:eastAsia="zh-CN"/>
        </w:rPr>
      </w:pPr>
    </w:p>
    <w:p>
      <w:pPr>
        <w:adjustRightInd/>
        <w:snapToGrid/>
        <w:spacing w:line="240" w:lineRule="auto"/>
        <w:ind w:firstLine="560" w:firstLineChars="200"/>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项目三：</w:t>
      </w:r>
      <w:r>
        <w:rPr>
          <w:rFonts w:hint="eastAsia" w:ascii="仿宋_GB2312" w:eastAsia="仿宋_GB2312" w:hAnsiTheme="minorHAnsi" w:cstheme="minorBidi"/>
          <w:color w:val="auto"/>
          <w:w w:val="100"/>
          <w:sz w:val="28"/>
          <w:szCs w:val="28"/>
          <w:highlight w:val="none"/>
          <w:u w:val="none"/>
        </w:rPr>
        <w:t>大坦沙分公司</w:t>
      </w:r>
      <w:r>
        <w:rPr>
          <w:rFonts w:hint="eastAsia" w:ascii="仿宋_GB2312" w:eastAsia="仿宋_GB2312" w:hAnsiTheme="minorHAnsi" w:cstheme="minorBidi"/>
          <w:color w:val="auto"/>
          <w:w w:val="100"/>
          <w:sz w:val="28"/>
          <w:szCs w:val="28"/>
          <w:highlight w:val="none"/>
          <w:u w:val="none"/>
          <w:lang w:val="en-US" w:eastAsia="zh-CN"/>
        </w:rPr>
        <w:t>一二期一分高压电房2</w:t>
      </w:r>
      <w:r>
        <w:rPr>
          <w:rFonts w:hint="eastAsia" w:ascii="仿宋_GB2312" w:eastAsia="仿宋_GB2312" w:cstheme="minorBidi"/>
          <w:color w:val="auto"/>
          <w:w w:val="100"/>
          <w:sz w:val="28"/>
          <w:szCs w:val="28"/>
          <w:highlight w:val="none"/>
          <w:u w:val="none"/>
          <w:lang w:val="en-US" w:eastAsia="zh-CN"/>
        </w:rPr>
        <w:t>号</w:t>
      </w:r>
      <w:r>
        <w:rPr>
          <w:rFonts w:hint="eastAsia" w:ascii="仿宋_GB2312" w:eastAsia="仿宋_GB2312" w:hAnsiTheme="minorHAnsi" w:cstheme="minorBidi"/>
          <w:color w:val="auto"/>
          <w:w w:val="100"/>
          <w:sz w:val="28"/>
          <w:szCs w:val="28"/>
          <w:highlight w:val="none"/>
          <w:u w:val="none"/>
          <w:lang w:val="en-US" w:eastAsia="zh-CN"/>
        </w:rPr>
        <w:t>4</w:t>
      </w:r>
      <w:r>
        <w:rPr>
          <w:rFonts w:hint="eastAsia" w:ascii="仿宋_GB2312" w:eastAsia="仿宋_GB2312" w:cstheme="minorBidi"/>
          <w:color w:val="auto"/>
          <w:w w:val="100"/>
          <w:sz w:val="28"/>
          <w:szCs w:val="28"/>
          <w:highlight w:val="none"/>
          <w:u w:val="none"/>
          <w:lang w:val="en-US" w:eastAsia="zh-CN"/>
        </w:rPr>
        <w:t>号</w:t>
      </w:r>
      <w:r>
        <w:rPr>
          <w:rFonts w:hint="eastAsia" w:ascii="仿宋_GB2312" w:eastAsia="仿宋_GB2312" w:hAnsiTheme="minorHAnsi" w:cstheme="minorBidi"/>
          <w:color w:val="auto"/>
          <w:w w:val="100"/>
          <w:sz w:val="28"/>
          <w:szCs w:val="28"/>
          <w:highlight w:val="none"/>
          <w:u w:val="none"/>
          <w:lang w:val="en-US" w:eastAsia="zh-CN"/>
        </w:rPr>
        <w:t>风机出线柜智能仪表</w:t>
      </w:r>
      <w:r>
        <w:rPr>
          <w:rFonts w:hint="eastAsia" w:ascii="仿宋_GB2312" w:eastAsia="仿宋_GB2312" w:hAnsiTheme="minorHAnsi" w:cstheme="minorBidi"/>
          <w:color w:val="auto"/>
          <w:w w:val="100"/>
          <w:sz w:val="28"/>
          <w:szCs w:val="28"/>
          <w:highlight w:val="none"/>
          <w:u w:val="none"/>
        </w:rPr>
        <w:t>维修</w:t>
      </w:r>
      <w:r>
        <w:rPr>
          <w:rFonts w:hint="eastAsia" w:ascii="仿宋_GB2312" w:eastAsia="仿宋_GB2312" w:hAnsiTheme="minorHAnsi" w:cstheme="minorBidi"/>
          <w:color w:val="auto"/>
          <w:w w:val="100"/>
          <w:sz w:val="28"/>
          <w:szCs w:val="28"/>
          <w:highlight w:val="none"/>
          <w:u w:val="none"/>
          <w:lang w:val="en-US" w:eastAsia="zh-CN"/>
        </w:rPr>
        <w:t>等</w:t>
      </w:r>
      <w:r>
        <w:rPr>
          <w:rFonts w:hint="eastAsia" w:ascii="仿宋_GB2312" w:eastAsia="仿宋_GB2312" w:hAnsiTheme="minorHAnsi" w:cstheme="minorBidi"/>
          <w:color w:val="auto"/>
          <w:w w:val="100"/>
          <w:sz w:val="28"/>
          <w:szCs w:val="28"/>
          <w:highlight w:val="none"/>
          <w:u w:val="none"/>
        </w:rPr>
        <w:t>项目</w:t>
      </w:r>
    </w:p>
    <w:p>
      <w:pPr>
        <w:pStyle w:val="14"/>
        <w:numPr>
          <w:ilvl w:val="-1"/>
          <w:numId w:val="0"/>
        </w:num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Times New Roman" w:eastAsia="仿宋_GB2312" w:cs="Times New Roman"/>
          <w:b/>
          <w:sz w:val="32"/>
          <w:szCs w:val="32"/>
          <w:lang w:val="en-US" w:eastAsia="zh-CN"/>
        </w:rPr>
      </w:pPr>
      <w:r>
        <w:rPr>
          <w:rFonts w:hint="eastAsia" w:ascii="仿宋_GB2312" w:hAnsi="Times New Roman" w:eastAsia="仿宋_GB2312" w:cs="Times New Roman"/>
          <w:b/>
          <w:kern w:val="2"/>
          <w:sz w:val="32"/>
          <w:szCs w:val="32"/>
          <w:lang w:val="en-US" w:eastAsia="zh-CN" w:bidi="ar-SA"/>
        </w:rPr>
        <w:t>一、</w:t>
      </w:r>
      <w:r>
        <w:rPr>
          <w:rFonts w:hint="eastAsia" w:ascii="仿宋_GB2312" w:hAnsi="Times New Roman" w:eastAsia="仿宋_GB2312" w:cs="Times New Roman"/>
          <w:b/>
          <w:sz w:val="32"/>
          <w:szCs w:val="32"/>
          <w:lang w:val="en-US" w:eastAsia="zh-CN"/>
        </w:rPr>
        <w:t>项目基本情况：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大坦沙分公司电房有部分设备需要安拆或维修。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黑体" w:hAnsi="黑体" w:eastAsia="黑体" w:cs="黑体"/>
          <w:kern w:val="0"/>
          <w:sz w:val="28"/>
          <w:szCs w:val="28"/>
          <w:lang w:val="en-US" w:eastAsia="zh-CN"/>
        </w:rPr>
        <w:t>分项一：</w:t>
      </w:r>
      <w:r>
        <w:rPr>
          <w:rFonts w:hint="eastAsia" w:ascii="仿宋_GB2312" w:hAnsi="仿宋" w:eastAsia="仿宋_GB2312" w:cs="宋体"/>
          <w:kern w:val="0"/>
          <w:sz w:val="28"/>
          <w:szCs w:val="28"/>
          <w:lang w:val="en-US" w:eastAsia="zh-CN"/>
        </w:rPr>
        <w:t>三期一分高压电房直流屏监控模块损坏，总高压房直流屏整流模块损坏。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黑体" w:hAnsi="黑体" w:eastAsia="黑体" w:cs="黑体"/>
          <w:kern w:val="0"/>
          <w:sz w:val="28"/>
          <w:szCs w:val="28"/>
          <w:lang w:val="en-US" w:eastAsia="zh-CN"/>
        </w:rPr>
        <w:t>分项二：</w:t>
      </w:r>
      <w:r>
        <w:rPr>
          <w:rFonts w:hint="eastAsia" w:ascii="仿宋_GB2312" w:hAnsi="仿宋" w:eastAsia="仿宋_GB2312" w:cs="宋体"/>
          <w:kern w:val="0"/>
          <w:sz w:val="28"/>
          <w:szCs w:val="28"/>
          <w:lang w:val="en-US" w:eastAsia="zh-CN"/>
        </w:rPr>
        <w:t>一二期2#4#风机电能读数失准，经排查因2#4#风机智能仪表缺失电压互感器进线导致。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黑体" w:hAnsi="黑体" w:eastAsia="黑体" w:cs="黑体"/>
          <w:kern w:val="0"/>
          <w:sz w:val="28"/>
          <w:szCs w:val="28"/>
          <w:lang w:val="en-US" w:eastAsia="zh-CN"/>
        </w:rPr>
        <w:t>分项三：</w:t>
      </w:r>
      <w:r>
        <w:rPr>
          <w:rFonts w:hint="eastAsia" w:ascii="仿宋_GB2312" w:hAnsi="仿宋" w:eastAsia="仿宋_GB2312" w:cs="宋体"/>
          <w:kern w:val="0"/>
          <w:sz w:val="28"/>
          <w:szCs w:val="28"/>
          <w:lang w:val="en-US" w:eastAsia="zh-CN"/>
        </w:rPr>
        <w:t>化验班危化仓内摄像头为普通摄像头，不符合规范要求。拟移动至危化仓门口，仓内更换成防爆摄像头。试剂柜排风机损坏，内外温差导致管内壁形成冷凝水倒流至柜内。</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黑体"/>
          <w:kern w:val="0"/>
          <w:sz w:val="28"/>
          <w:szCs w:val="28"/>
          <w:lang w:val="en-US" w:eastAsia="zh-CN"/>
        </w:rPr>
      </w:pPr>
      <w:r>
        <w:rPr>
          <w:rFonts w:hint="eastAsia" w:ascii="仿宋_GB2312" w:hAnsi="Times New Roman" w:eastAsia="仿宋_GB2312" w:cs="Times New Roman"/>
          <w:b/>
          <w:sz w:val="32"/>
          <w:szCs w:val="32"/>
          <w:lang w:val="en-US" w:eastAsia="zh-CN"/>
        </w:rPr>
        <w:t>二、项目实施内容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黑体" w:hAnsi="黑体" w:eastAsia="黑体" w:cs="黑体"/>
          <w:kern w:val="0"/>
          <w:sz w:val="28"/>
          <w:szCs w:val="28"/>
          <w:lang w:val="en-US" w:eastAsia="zh-CN"/>
        </w:rPr>
        <w:t>分项一：</w:t>
      </w:r>
      <w:r>
        <w:rPr>
          <w:rFonts w:hint="eastAsia" w:ascii="仿宋_GB2312" w:hAnsi="仿宋" w:eastAsia="仿宋_GB2312" w:cs="宋体"/>
          <w:kern w:val="0"/>
          <w:sz w:val="28"/>
          <w:szCs w:val="28"/>
          <w:lang w:val="en-US" w:eastAsia="zh-CN"/>
        </w:rPr>
        <w:t>因三期一分高压房和三期总高压房为同款直流屏，同时该款直流屏已经停产，拟将三期一分高压电房直流屏完好的储能模块进行利旧，更换至总高压房直流屏。将三期一分高压房直流屏进行全套模块更换。具体实施内容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1、拆卸直流屏连接线和模块。（拆除时需要避免模块损坏）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2、确定安装位置：根据需要，确定直流屏模块的安装位置，确保安装平稳牢固。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3、如需要布线，根据需要，在安装位置与所需电源之间预留走线口。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4、根据安装需要，调整支架。固定在柜体内安装位置上，确保牢固。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5、将安装完毕的直流屏模块放在支架上，与支架连接并固定。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6、将直流屏模块相应的电源线、信号线或其他线路连接。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7、安装后应进行系统测试，确保所有功能都正常运行。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黑体" w:hAnsi="黑体" w:eastAsia="黑体" w:cs="黑体"/>
          <w:kern w:val="0"/>
          <w:sz w:val="28"/>
          <w:szCs w:val="28"/>
          <w:lang w:val="en-US" w:eastAsia="zh-CN"/>
        </w:rPr>
        <w:t>分项二：</w:t>
      </w:r>
      <w:r>
        <w:rPr>
          <w:rFonts w:hint="eastAsia" w:ascii="仿宋_GB2312" w:hAnsi="仿宋" w:eastAsia="仿宋_GB2312" w:cs="宋体"/>
          <w:kern w:val="0"/>
          <w:sz w:val="28"/>
          <w:szCs w:val="28"/>
          <w:lang w:val="en-US" w:eastAsia="zh-CN"/>
        </w:rPr>
        <w:t>因一二期2#4#风机出线柜智能仪表缺失电压互感器进线，拟从PT计量柜内电压互感器PT端子处引出一条ZCKVVP 8芯2.5平方线缆（4用4备）至4#风机出线柜PT端子处，再从4#风机出线柜PT端子处并联一组线缆至2#风机出线柜PT端子处。最后将PT端子和智能仪表连接。接线完成后，调试仪表，并确保仪表正常运行。具体实施内容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default" w:ascii="仿宋_GB2312" w:hAnsi="仿宋" w:eastAsia="仿宋_GB2312" w:cs="宋体"/>
          <w:kern w:val="0"/>
          <w:sz w:val="28"/>
          <w:szCs w:val="28"/>
          <w:lang w:val="en-US" w:eastAsia="zh-CN" w:bidi="ar-SA"/>
        </w:rPr>
        <w:t>1</w:t>
      </w:r>
      <w:r>
        <w:rPr>
          <w:rFonts w:hint="eastAsia" w:ascii="仿宋_GB2312" w:hAnsi="仿宋" w:eastAsia="仿宋_GB2312" w:cs="宋体"/>
          <w:kern w:val="0"/>
          <w:sz w:val="28"/>
          <w:szCs w:val="28"/>
          <w:lang w:val="en-US" w:eastAsia="zh-CN" w:bidi="ar-SA"/>
        </w:rPr>
        <w:t>、</w:t>
      </w:r>
      <w:r>
        <w:rPr>
          <w:rFonts w:hint="eastAsia" w:ascii="仿宋_GB2312" w:hAnsi="仿宋" w:eastAsia="仿宋_GB2312" w:cs="宋体"/>
          <w:kern w:val="0"/>
          <w:sz w:val="28"/>
          <w:szCs w:val="28"/>
          <w:lang w:val="en-US" w:eastAsia="zh-CN"/>
        </w:rPr>
        <w:t xml:space="preserve">检查确定电缆敷设路线。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 xml:space="preserve">2、连接ZCKVVP8芯2.5平方线缆（4用4备）至PT计量柜内电压互感器。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 xml:space="preserve">3、引出线缆至4#风机出线柜PT端子处，并完成仪表的接线。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 xml:space="preserve">4、并联一组线缆至2#风机出线柜PT端子，完成仪表的接线。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 xml:space="preserve">对2#4#风机出线柜智能仪表进行设定参数、测试和调试，确保其正常运行。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5、清理现场，组织完成验收工作。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分项三：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bidi="ar-SA"/>
        </w:rPr>
        <w:t>1、</w:t>
      </w:r>
      <w:r>
        <w:rPr>
          <w:rFonts w:hint="eastAsia" w:ascii="仿宋_GB2312" w:hAnsi="仿宋" w:eastAsia="仿宋_GB2312" w:cs="宋体"/>
          <w:kern w:val="0"/>
          <w:sz w:val="28"/>
          <w:szCs w:val="28"/>
          <w:lang w:val="en-US" w:eastAsia="zh-CN"/>
        </w:rPr>
        <w:t>对化验班危化仓内原有的普通摄像头进行拆卸，旧摄像头改安至危化仓门口预定位置。将防爆摄像头安装到原有预定位置，确保固定牢固，符合规范。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2、拆除原有网线，从二楼机房重新敷设两组POE网线（约50m*2），经过原有穿墙孔沿一楼天花布置。一组连接至危化仓门口摄像头预留位置，另一组连接至危化仓内摄像头预留位置。所有外露网线需采用线管保护。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3、拆除原有排风机。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4、安装排风机，风机尺寸150mm（6寸）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kern w:val="0"/>
          <w:sz w:val="28"/>
          <w:szCs w:val="28"/>
          <w:lang w:val="en-US" w:eastAsia="zh-CN"/>
        </w:rPr>
      </w:pPr>
      <w:r>
        <w:rPr>
          <w:rFonts w:hint="eastAsia" w:ascii="仿宋_GB2312" w:hAnsi="仿宋" w:eastAsia="仿宋_GB2312" w:cs="宋体"/>
          <w:kern w:val="0"/>
          <w:sz w:val="28"/>
          <w:szCs w:val="28"/>
          <w:lang w:val="en-US" w:eastAsia="zh-CN"/>
        </w:rPr>
        <w:t>5、对新安装的防爆摄像头和排风机进行功能测试和系统整体调试，确保设备运行正常。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黑体" w:hAnsi="黑体" w:eastAsia="黑体" w:cs="黑体"/>
          <w:kern w:val="0"/>
          <w:sz w:val="28"/>
          <w:szCs w:val="28"/>
          <w:lang w:val="en-US" w:eastAsia="zh-CN"/>
        </w:rPr>
        <w:t>工程量清单：</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1"/>
        <w:gridCol w:w="1522"/>
        <w:gridCol w:w="4824"/>
        <w:gridCol w:w="1120"/>
        <w:gridCol w:w="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项目名称</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项目特征描述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计量单位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44"/>
                <w:szCs w:val="44"/>
                <w:u w:val="none"/>
              </w:rPr>
            </w:pPr>
            <w:r>
              <w:rPr>
                <w:rFonts w:hint="eastAsia" w:ascii="微软雅黑" w:hAnsi="微软雅黑" w:eastAsia="微软雅黑" w:cs="微软雅黑"/>
                <w:b/>
                <w:bCs/>
                <w:i w:val="0"/>
                <w:iCs w:val="0"/>
                <w:color w:val="000000"/>
                <w:kern w:val="0"/>
                <w:sz w:val="36"/>
                <w:szCs w:val="36"/>
                <w:u w:val="none"/>
                <w:lang w:val="en-US" w:eastAsia="zh-CN" w:bidi="ar"/>
              </w:rPr>
              <w:t>分项一：三期电房直流屏模块更换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1"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直流屏模块拆除</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拆卸2台直流屏共6个模块，拆除连接线</w:t>
            </w:r>
          </w:p>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和模块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直流屏模块安装</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1、安装直流屏模块，与支架连接并固定。</w:t>
            </w:r>
          </w:p>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2、将直流屏模块相应的电源线、信号线或其他线路连接。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8"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直流屏整体模块制安</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一、模块名称：</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监控模块、整流模块、降压单元</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二、规格：</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交流输入电压： 220V±20%</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重量：20KG(满配置)</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三、模块安装</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1、安装直流屏模块：将安装完毕的直流屏模块放在支架上，与支架连接并固定。</w:t>
            </w:r>
          </w:p>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2、将直流屏模块相应的电源线、信号线或其他线路连接。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lang w:val="en-US" w:eastAsia="zh-CN"/>
              </w:rPr>
            </w:pPr>
            <w:r>
              <w:rPr>
                <w:rFonts w:hint="eastAsia" w:ascii="微软雅黑" w:hAnsi="微软雅黑" w:eastAsia="微软雅黑" w:cs="微软雅黑"/>
                <w:i w:val="0"/>
                <w:iCs w:val="0"/>
                <w:color w:val="000000"/>
                <w:sz w:val="24"/>
                <w:szCs w:val="24"/>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系统测试</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安装后应进行系统测试，确保所有功能都正常运行。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电柜拆除</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电柜尺寸：长55cm，宽50cm，高120cm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6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不锈钢盖板制安</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外径：盖板外围长115cm宽55cm厚3mm。</w:t>
            </w:r>
          </w:p>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内径（孔径）：根据现场情况。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绝缘垫制安</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尺寸：长120cm宽60cm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3"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线缆接头绝缘处理</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在原连接处重新进行绝缘处理。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电柜搬运</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电柜尺寸：长55cm，宽50cm，高120cm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现场整理</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161D2F"/>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51"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44"/>
                <w:szCs w:val="44"/>
                <w:u w:val="none"/>
              </w:rPr>
            </w:pPr>
            <w:r>
              <w:rPr>
                <w:rFonts w:hint="eastAsia" w:ascii="微软雅黑" w:hAnsi="微软雅黑" w:eastAsia="微软雅黑" w:cs="微软雅黑"/>
                <w:b/>
                <w:bCs/>
                <w:i w:val="0"/>
                <w:iCs w:val="0"/>
                <w:color w:val="000000"/>
                <w:kern w:val="0"/>
                <w:sz w:val="36"/>
                <w:szCs w:val="36"/>
                <w:u w:val="none"/>
                <w:lang w:val="en-US" w:eastAsia="zh-CN" w:bidi="ar"/>
              </w:rPr>
              <w:t>分项二：一二期2#4#高压风机出线柜智能电表维修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线缆敷设</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线缆：ZC-KVVP 8芯2.5平方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仪表接线</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161D2F"/>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设备调试</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sz w:val="24"/>
                <w:szCs w:val="24"/>
                <w:u w:val="none"/>
              </w:rPr>
            </w:pPr>
            <w:r>
              <w:rPr>
                <w:rFonts w:hint="eastAsia" w:ascii="微软雅黑" w:hAnsi="微软雅黑" w:eastAsia="微软雅黑" w:cs="微软雅黑"/>
                <w:i w:val="0"/>
                <w:iCs w:val="0"/>
                <w:color w:val="161D2F"/>
                <w:kern w:val="0"/>
                <w:sz w:val="24"/>
                <w:szCs w:val="24"/>
                <w:u w:val="none"/>
                <w:lang w:val="en-US" w:eastAsia="zh-CN" w:bidi="ar"/>
              </w:rPr>
              <w:t>对2#4#风机出线柜智能仪表进行设定参数、测试和调试。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36"/>
                <w:szCs w:val="36"/>
                <w:u w:val="none"/>
                <w:lang w:val="en-US" w:eastAsia="zh-CN" w:bidi="ar"/>
              </w:rPr>
              <w:t>分项三：化验班危化仓更换防爆摄像头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5"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15</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防爆摄像头制安</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ascii="微软雅黑" w:hAnsi="微软雅黑" w:eastAsia="微软雅黑" w:cs="微软雅黑"/>
                <w:i w:val="0"/>
                <w:iCs w:val="0"/>
                <w:caps w:val="0"/>
                <w:spacing w:val="0"/>
                <w:sz w:val="24"/>
                <w:szCs w:val="24"/>
                <w:shd w:val="clear" w:fill="FFFFFF"/>
              </w:rPr>
              <w:t>名称：防爆监控摄像头</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规格：</w:t>
            </w:r>
          </w:p>
          <w:p>
            <w:pPr>
              <w:keepNext w:val="0"/>
              <w:keepLines w:val="0"/>
              <w:widowControl/>
              <w:numPr>
                <w:ilvl w:val="0"/>
                <w:numId w:val="13"/>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像素：400W</w:t>
            </w:r>
          </w:p>
          <w:p>
            <w:pPr>
              <w:keepNext w:val="0"/>
              <w:keepLines w:val="0"/>
              <w:widowControl/>
              <w:numPr>
                <w:ilvl w:val="0"/>
                <w:numId w:val="13"/>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夜视类型：红外夜视</w:t>
            </w:r>
          </w:p>
          <w:p>
            <w:pPr>
              <w:keepNext w:val="0"/>
              <w:keepLines w:val="0"/>
              <w:widowControl/>
              <w:numPr>
                <w:ilvl w:val="0"/>
                <w:numId w:val="13"/>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default" w:ascii="微软雅黑" w:hAnsi="微软雅黑" w:eastAsia="微软雅黑" w:cs="微软雅黑"/>
                <w:i w:val="0"/>
                <w:iCs w:val="0"/>
                <w:color w:val="161D2F"/>
                <w:kern w:val="0"/>
                <w:sz w:val="24"/>
                <w:szCs w:val="24"/>
                <w:u w:val="none"/>
                <w:lang w:val="en-US" w:eastAsia="zh-CN" w:bidi="ar"/>
              </w:rPr>
              <w:t>防护等级</w:t>
            </w:r>
            <w:r>
              <w:rPr>
                <w:rFonts w:hint="eastAsia" w:ascii="微软雅黑" w:hAnsi="微软雅黑" w:eastAsia="微软雅黑" w:cs="微软雅黑"/>
                <w:i w:val="0"/>
                <w:iCs w:val="0"/>
                <w:color w:val="161D2F"/>
                <w:kern w:val="0"/>
                <w:sz w:val="24"/>
                <w:szCs w:val="24"/>
                <w:u w:val="none"/>
                <w:lang w:val="en-US" w:eastAsia="zh-CN" w:bidi="ar"/>
              </w:rPr>
              <w:t>：IP68</w:t>
            </w:r>
          </w:p>
          <w:p>
            <w:pPr>
              <w:keepNext w:val="0"/>
              <w:keepLines w:val="0"/>
              <w:widowControl/>
              <w:numPr>
                <w:ilvl w:val="0"/>
                <w:numId w:val="13"/>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电源：支持外置电源12V+POE供电</w:t>
            </w:r>
          </w:p>
          <w:p>
            <w:pPr>
              <w:keepNext w:val="0"/>
              <w:keepLines w:val="0"/>
              <w:widowControl/>
              <w:numPr>
                <w:ilvl w:val="0"/>
                <w:numId w:val="13"/>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镜头焦距：2.8mm</w:t>
            </w:r>
          </w:p>
          <w:p>
            <w:pPr>
              <w:keepNext w:val="0"/>
              <w:keepLines w:val="0"/>
              <w:widowControl/>
              <w:numPr>
                <w:ilvl w:val="0"/>
                <w:numId w:val="13"/>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拥有ET6防爆标志</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设备安装：</w:t>
            </w:r>
          </w:p>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将防爆摄像头安装到预定位置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16</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拆除网线</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拆除原有网线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17</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摄像头拆除</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拆除原有摄像头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1"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摄像头安装</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将拆除的摄像头利旧，安装至危化仓门口预定位置。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敷设防爆线管</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名称：防爆绕性穿线管</w:t>
            </w:r>
          </w:p>
          <w:p>
            <w:pPr>
              <w:keepNext w:val="0"/>
              <w:keepLines w:val="0"/>
              <w:widowControl/>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规格：</w:t>
            </w:r>
          </w:p>
          <w:p>
            <w:pPr>
              <w:keepNext w:val="0"/>
              <w:keepLines w:val="0"/>
              <w:widowControl/>
              <w:numPr>
                <w:ilvl w:val="0"/>
                <w:numId w:val="14"/>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管径：DN20</w:t>
            </w:r>
          </w:p>
          <w:p>
            <w:pPr>
              <w:keepNext w:val="0"/>
              <w:keepLines w:val="0"/>
              <w:widowControl/>
              <w:numPr>
                <w:ilvl w:val="0"/>
                <w:numId w:val="14"/>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长度：1米</w:t>
            </w:r>
          </w:p>
          <w:p>
            <w:pPr>
              <w:keepNext w:val="0"/>
              <w:keepLines w:val="0"/>
              <w:widowControl/>
              <w:numPr>
                <w:ilvl w:val="0"/>
                <w:numId w:val="14"/>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内径：17mm</w:t>
            </w:r>
          </w:p>
          <w:p>
            <w:pPr>
              <w:keepNext w:val="0"/>
              <w:keepLines w:val="0"/>
              <w:widowControl/>
              <w:numPr>
                <w:ilvl w:val="0"/>
                <w:numId w:val="14"/>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螺牙规格：6分</w:t>
            </w:r>
          </w:p>
          <w:p>
            <w:pPr>
              <w:keepNext w:val="0"/>
              <w:keepLines w:val="0"/>
              <w:widowControl/>
              <w:numPr>
                <w:ilvl w:val="0"/>
                <w:numId w:val="14"/>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防护等级：IP65或以上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20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网线敷设</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名称：室内POE网线</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规格：</w:t>
            </w:r>
          </w:p>
          <w:p>
            <w:pPr>
              <w:keepNext w:val="0"/>
              <w:keepLines w:val="0"/>
              <w:widowControl/>
              <w:numPr>
                <w:ilvl w:val="0"/>
                <w:numId w:val="15"/>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类型：CAT6类网线</w:t>
            </w:r>
          </w:p>
          <w:p>
            <w:pPr>
              <w:keepNext w:val="0"/>
              <w:keepLines w:val="0"/>
              <w:widowControl/>
              <w:numPr>
                <w:ilvl w:val="0"/>
                <w:numId w:val="15"/>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屏蔽类型：非屏蔽</w:t>
            </w:r>
          </w:p>
          <w:p>
            <w:pPr>
              <w:keepNext w:val="0"/>
              <w:keepLines w:val="0"/>
              <w:widowControl/>
              <w:numPr>
                <w:ilvl w:val="0"/>
                <w:numId w:val="15"/>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芯数：8芯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21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线管敷设</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材质：pvc</w:t>
            </w:r>
          </w:p>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管径：6分（25mm）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22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防爆排风机制安</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名称：防爆管道排风机</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尺寸：150mm（6寸）</w:t>
            </w:r>
          </w:p>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风量：≥570m³/h</w:t>
            </w:r>
          </w:p>
          <w:p>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161D2F"/>
                <w:kern w:val="0"/>
                <w:sz w:val="24"/>
                <w:szCs w:val="24"/>
                <w:u w:val="none"/>
                <w:lang w:val="en-US" w:eastAsia="zh-CN" w:bidi="ar"/>
              </w:rPr>
            </w:pPr>
            <w:r>
              <w:rPr>
                <w:rFonts w:hint="eastAsia" w:ascii="微软雅黑" w:hAnsi="微软雅黑" w:eastAsia="微软雅黑" w:cs="微软雅黑"/>
                <w:i w:val="0"/>
                <w:iCs w:val="0"/>
                <w:color w:val="161D2F"/>
                <w:kern w:val="0"/>
                <w:sz w:val="24"/>
                <w:szCs w:val="24"/>
                <w:u w:val="none"/>
                <w:lang w:val="en-US" w:eastAsia="zh-CN" w:bidi="ar"/>
              </w:rPr>
              <w:t>电压：AC220V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23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排风机拆除</w:t>
            </w:r>
          </w:p>
        </w:tc>
        <w:tc>
          <w:tcPr>
            <w:tcW w:w="4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161D2F"/>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s="宋体"/>
          <w:kern w:val="0"/>
          <w:sz w:val="28"/>
          <w:szCs w:val="28"/>
          <w:lang w:val="en-US" w:eastAsia="zh-CN"/>
        </w:rPr>
      </w:pPr>
      <w:r>
        <w:rPr>
          <w:rFonts w:hint="eastAsia" w:ascii="仿宋_GB2312" w:hAnsi="仿宋" w:eastAsia="仿宋_GB2312" w:cs="宋体"/>
          <w:kern w:val="0"/>
          <w:sz w:val="28"/>
          <w:szCs w:val="28"/>
          <w:lang w:val="en-US" w:eastAsia="zh-CN"/>
        </w:rPr>
        <w:t>项目四、大坦沙分公司干化车间板框机气体检测优化等项目</w:t>
      </w:r>
    </w:p>
    <w:p>
      <w:pPr>
        <w:ind w:firstLine="562" w:firstLineChars="200"/>
        <w:rPr>
          <w:rFonts w:hint="eastAsia" w:ascii="仿宋" w:hAnsi="仿宋" w:eastAsia="仿宋" w:cs="仿宋"/>
          <w:b/>
          <w:bCs/>
          <w:color w:val="auto"/>
          <w:sz w:val="28"/>
          <w:szCs w:val="28"/>
          <w:u w:val="none"/>
          <w:lang w:val="en-US" w:eastAsia="zh-CN"/>
        </w:rPr>
      </w:pPr>
      <w:r>
        <w:rPr>
          <w:rFonts w:hint="eastAsia" w:ascii="仿宋" w:hAnsi="仿宋" w:eastAsia="仿宋" w:cs="仿宋"/>
          <w:b/>
          <w:bCs/>
          <w:color w:val="auto"/>
          <w:sz w:val="28"/>
          <w:szCs w:val="28"/>
          <w:u w:val="none"/>
          <w:lang w:val="en-US" w:eastAsia="zh-CN"/>
        </w:rPr>
        <w:t>（一）主要实施内容</w:t>
      </w:r>
    </w:p>
    <w:p>
      <w:pPr>
        <w:spacing w:line="360" w:lineRule="auto"/>
        <w:ind w:firstLine="64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inline distT="0" distB="0" distL="114300" distR="114300">
            <wp:extent cx="3679190" cy="5498465"/>
            <wp:effectExtent l="0" t="0" r="16510" b="6985"/>
            <wp:docPr id="22" name="图片 22" descr="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接线图"/>
                    <pic:cNvPicPr>
                      <a:picLocks noChangeAspect="1"/>
                    </pic:cNvPicPr>
                  </pic:nvPicPr>
                  <pic:blipFill>
                    <a:blip r:embed="rId13"/>
                    <a:stretch>
                      <a:fillRect/>
                    </a:stretch>
                  </pic:blipFill>
                  <pic:spPr>
                    <a:xfrm>
                      <a:off x="0" y="0"/>
                      <a:ext cx="3679190" cy="5498465"/>
                    </a:xfrm>
                    <a:prstGeom prst="rect">
                      <a:avLst/>
                    </a:prstGeom>
                    <a:noFill/>
                    <a:ln>
                      <a:noFill/>
                    </a:ln>
                  </pic:spPr>
                </pic:pic>
              </a:graphicData>
            </a:graphic>
          </wp:inline>
        </w:drawing>
      </w:r>
    </w:p>
    <w:p>
      <w:pPr>
        <w:pStyle w:val="5"/>
        <w:jc w:val="center"/>
        <w:rPr>
          <w:rFonts w:hint="default"/>
          <w:lang w:val="en-US" w:eastAsia="zh-CN"/>
        </w:rPr>
      </w:pPr>
      <w:r>
        <w:rPr>
          <w:rFonts w:hint="eastAsia" w:ascii="仿宋" w:hAnsi="仿宋" w:eastAsia="仿宋" w:cs="仿宋"/>
          <w:color w:val="auto"/>
          <w:sz w:val="28"/>
          <w:szCs w:val="28"/>
          <w:lang w:val="en-US" w:eastAsia="zh-CN"/>
        </w:rPr>
        <w:t>图1 总进水阀门电动执行器接线图</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三期总进水阀接线，接线后打标签，编写PLC程序，开发上位机界面；</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在一二期次氯酸钠加药间加装数显式氯气气体检测仪，敷设供电电缆及信号电缆套DN25 PVC线管至PLC控制箱，配置4口模拟量输入模块，接线后打标签，编写PLC程序，开发上位机界面。</w:t>
      </w:r>
    </w:p>
    <w:p>
      <w:pPr>
        <w:numPr>
          <w:ilvl w:val="0"/>
          <w:numId w:val="0"/>
        </w:numPr>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959225" cy="4619625"/>
            <wp:effectExtent l="0" t="0" r="3175" b="9525"/>
            <wp:docPr id="27" name="图片 2" descr="气体检测仪安装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气体检测仪安装位置"/>
                    <pic:cNvPicPr>
                      <a:picLocks noChangeAspect="1"/>
                    </pic:cNvPicPr>
                  </pic:nvPicPr>
                  <pic:blipFill>
                    <a:blip r:embed="rId14"/>
                    <a:stretch>
                      <a:fillRect/>
                    </a:stretch>
                  </pic:blipFill>
                  <pic:spPr>
                    <a:xfrm>
                      <a:off x="0" y="0"/>
                      <a:ext cx="3959225" cy="4619625"/>
                    </a:xfrm>
                    <a:prstGeom prst="rect">
                      <a:avLst/>
                    </a:prstGeom>
                    <a:noFill/>
                    <a:ln>
                      <a:noFill/>
                    </a:ln>
                  </pic:spPr>
                </pic:pic>
              </a:graphicData>
            </a:graphic>
          </wp:inline>
        </w:drawing>
      </w:r>
    </w:p>
    <w:p>
      <w:pPr>
        <w:pStyle w:val="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图2 干化车间板框机隔离罩安装气体检测仪位置图</w:t>
      </w:r>
    </w:p>
    <w:p>
      <w:pPr>
        <w:pStyle w:val="5"/>
        <w:ind w:left="0" w:leftChars="0" w:firstLine="0" w:firstLineChars="0"/>
        <w:jc w:val="center"/>
        <w:rPr>
          <w:rFonts w:hint="default"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drawing>
          <wp:inline distT="0" distB="0" distL="114300" distR="114300">
            <wp:extent cx="6360795" cy="3270250"/>
            <wp:effectExtent l="0" t="0" r="1905" b="6350"/>
            <wp:docPr id="28" name="图片 3" descr="气体检测仪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气体检测仪参数"/>
                    <pic:cNvPicPr>
                      <a:picLocks noChangeAspect="1"/>
                    </pic:cNvPicPr>
                  </pic:nvPicPr>
                  <pic:blipFill>
                    <a:blip r:embed="rId15"/>
                    <a:stretch>
                      <a:fillRect/>
                    </a:stretch>
                  </pic:blipFill>
                  <pic:spPr>
                    <a:xfrm>
                      <a:off x="0" y="0"/>
                      <a:ext cx="6360795" cy="3270250"/>
                    </a:xfrm>
                    <a:prstGeom prst="rect">
                      <a:avLst/>
                    </a:prstGeom>
                    <a:noFill/>
                    <a:ln>
                      <a:noFill/>
                    </a:ln>
                  </pic:spPr>
                </pic:pic>
              </a:graphicData>
            </a:graphic>
          </wp:inline>
        </w:drawing>
      </w:r>
    </w:p>
    <w:p>
      <w:pPr>
        <w:pStyle w:val="5"/>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图3 干化车间板框机隔离罩安装气体检测仪相关参数</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于干化车间板框机隔离罩安装六组气体检测仪，检测气体包括硫化氢、按期、甲烷、粉尘，每组设置一台4通道检测主机，主机与探头之间采用模拟量通信，主机以RS485总线形式敷设至PLC柜，PLC柜内配有1台48口PLC主机、RS485通信模块、光模块，光纤走电缆桥架至干化车间一楼，再通过预留管道至加氯间电房PLC柜处；</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由三期次氯酸钠储罐翻板液位计处敷设信号电缆沿原有PVC线管至PLC柜内，PLC增设4口模拟量输入模块，编写PLC程序，开发上位机界面。</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在离心脱水机低压电房PLC柜增设48口PLC主机、4口模拟量输入模块，通过以太网接入交换机，从值班室气体检测仪主机敷设信号电缆走桥架及电缆沟至PLC柜；</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优化离心脱水机低压电房PLC柜内光纤走向布局。</w:t>
      </w:r>
    </w:p>
    <w:p>
      <w:pPr>
        <w:numPr>
          <w:ilvl w:val="0"/>
          <w:numId w:val="17"/>
        </w:numPr>
        <w:spacing w:line="360" w:lineRule="auto"/>
        <w:ind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技术要求</w:t>
      </w:r>
    </w:p>
    <w:p>
      <w:pPr>
        <w:numPr>
          <w:ilvl w:val="0"/>
          <w:numId w:val="18"/>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三期总进水阀电动装置接线：</w:t>
      </w:r>
    </w:p>
    <w:p>
      <w:pPr>
        <w:numPr>
          <w:ilvl w:val="0"/>
          <w:numId w:val="19"/>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完成三期总进水阀电动装置及PLC接线，电动装置部分12、13接线端短接，4、23分别接新PLC模拟量输出，6、7号分别接新PLC模拟量输入，32、14、33分别接PLC开关量接口，完成接线后所有线缆打标签；</w:t>
      </w:r>
    </w:p>
    <w:p>
      <w:pPr>
        <w:numPr>
          <w:ilvl w:val="0"/>
          <w:numId w:val="19"/>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按生产需求编写PLC程序，开发上位机界面；</w:t>
      </w:r>
    </w:p>
    <w:p>
      <w:pPr>
        <w:numPr>
          <w:ilvl w:val="0"/>
          <w:numId w:val="18"/>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一二期次氯酸钠加药间加装氯气检测仪：</w:t>
      </w:r>
    </w:p>
    <w:p>
      <w:pPr>
        <w:pStyle w:val="5"/>
        <w:ind w:left="0" w:leftChars="0" w:firstLine="0" w:firstLineChars="0"/>
      </w:pPr>
      <w:r>
        <w:drawing>
          <wp:inline distT="0" distB="0" distL="114300" distR="114300">
            <wp:extent cx="5805805" cy="518795"/>
            <wp:effectExtent l="0" t="0" r="4445" b="146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6"/>
                    <a:stretch>
                      <a:fillRect/>
                    </a:stretch>
                  </pic:blipFill>
                  <pic:spPr>
                    <a:xfrm>
                      <a:off x="0" y="0"/>
                      <a:ext cx="5805805" cy="518795"/>
                    </a:xfrm>
                    <a:prstGeom prst="rect">
                      <a:avLst/>
                    </a:prstGeom>
                    <a:noFill/>
                    <a:ln>
                      <a:noFill/>
                    </a:ln>
                  </pic:spPr>
                </pic:pic>
              </a:graphicData>
            </a:graphic>
          </wp:inline>
        </w:drawing>
      </w:r>
    </w:p>
    <w:p>
      <w:pPr>
        <w:pStyle w:val="5"/>
        <w:jc w:val="center"/>
        <w:rPr>
          <w:rFonts w:hint="default" w:eastAsia="仿宋_GB2312"/>
          <w:lang w:val="en-US" w:eastAsia="zh-CN"/>
        </w:rPr>
      </w:pPr>
      <w:r>
        <w:rPr>
          <w:rFonts w:hint="eastAsia" w:ascii="仿宋" w:hAnsi="仿宋" w:eastAsia="仿宋" w:cs="仿宋"/>
          <w:color w:val="auto"/>
          <w:sz w:val="28"/>
          <w:szCs w:val="28"/>
          <w:lang w:val="en-US" w:eastAsia="zh-CN"/>
        </w:rPr>
        <w:t>图4 氯气检测仪规格参数</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在一二期次氯酸钠加药间加装数显式氯气气体检测仪（规格参数见图4），气体检测仪主机与探头采用模拟量通信，主机与PLC采用RS485通信，主机及探头采用壁挂形式安装，主机用500*400*200mm不锈钢户外仪表箱装载；</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敷设气体检测仪主机与探头用RVVP 3*1.5电缆套DN25 PVC线管连接，线管长度3m；</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主机与PLC采用YJV 3*1.5供电电缆及RVVP 4*1.5信号电缆套DN25 PVC线管敷设至PLC控制箱，线缆及线管长度20m，配置RS485通信模块，接线后打标签</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按生产需求编写PLC程序，开发上位机界面；</w:t>
      </w:r>
    </w:p>
    <w:p>
      <w:pPr>
        <w:numPr>
          <w:ilvl w:val="0"/>
          <w:numId w:val="18"/>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干化车间板框机隔离罩安装气体检测仪：</w:t>
      </w:r>
    </w:p>
    <w:p>
      <w:pPr>
        <w:numPr>
          <w:ilvl w:val="0"/>
          <w:numId w:val="0"/>
        </w:numPr>
        <w:spacing w:line="360" w:lineRule="auto"/>
        <w:ind w:leftChars="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796665" cy="2572385"/>
            <wp:effectExtent l="0" t="0" r="13335" b="18415"/>
            <wp:docPr id="30" name="图片 5" descr="干化车间电箱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干化车间电箱走线"/>
                    <pic:cNvPicPr>
                      <a:picLocks noChangeAspect="1"/>
                    </pic:cNvPicPr>
                  </pic:nvPicPr>
                  <pic:blipFill>
                    <a:blip r:embed="rId17"/>
                    <a:stretch>
                      <a:fillRect/>
                    </a:stretch>
                  </pic:blipFill>
                  <pic:spPr>
                    <a:xfrm>
                      <a:off x="0" y="0"/>
                      <a:ext cx="3796665" cy="2572385"/>
                    </a:xfrm>
                    <a:prstGeom prst="rect">
                      <a:avLst/>
                    </a:prstGeom>
                    <a:noFill/>
                    <a:ln>
                      <a:noFill/>
                    </a:ln>
                  </pic:spPr>
                </pic:pic>
              </a:graphicData>
            </a:graphic>
          </wp:inline>
        </w:drawing>
      </w:r>
    </w:p>
    <w:p>
      <w:pPr>
        <w:pStyle w:val="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图5 干化车间PLC电箱电缆走向</w:t>
      </w:r>
    </w:p>
    <w:p>
      <w:pPr>
        <w:pStyle w:val="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inline distT="0" distB="0" distL="114300" distR="114300">
            <wp:extent cx="4959350" cy="2710815"/>
            <wp:effectExtent l="0" t="0" r="12700" b="13335"/>
            <wp:docPr id="31" name="图片 31" descr="微信图片_202307181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0718113018"/>
                    <pic:cNvPicPr>
                      <a:picLocks noChangeAspect="1"/>
                    </pic:cNvPicPr>
                  </pic:nvPicPr>
                  <pic:blipFill>
                    <a:blip r:embed="rId18"/>
                    <a:srcRect t="37842" b="21159"/>
                    <a:stretch>
                      <a:fillRect/>
                    </a:stretch>
                  </pic:blipFill>
                  <pic:spPr>
                    <a:xfrm>
                      <a:off x="0" y="0"/>
                      <a:ext cx="4959350" cy="2710815"/>
                    </a:xfrm>
                    <a:prstGeom prst="rect">
                      <a:avLst/>
                    </a:prstGeom>
                    <a:noFill/>
                    <a:ln>
                      <a:noFill/>
                    </a:ln>
                  </pic:spPr>
                </pic:pic>
              </a:graphicData>
            </a:graphic>
          </wp:inline>
        </w:drawing>
      </w:r>
    </w:p>
    <w:p>
      <w:pPr>
        <w:pStyle w:val="5"/>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图6 PLC柜及气体检测主机安装位置</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如图2所示于隔离罩内安装气体检测仪探头，参数如图3，每样气体每个点装一台，探头为数显式带声光报警功能防爆扩散式气体检测仪；</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如图2所示在隔离罩外安装6台四通道气体检测仪主机，主机用500*2400*200mm不锈钢户外仪表箱装载并标注好位置；</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气体检测仪探头与主机采用模拟量通讯，用RVVP 3*1.5信号电缆连接，每种气体总长度283.3m，一共四种气体。电缆从探头出来后套DN15 黑色包塑金属软线管20cm汇集至一条100mm宽x25mm高不锈钢线槽并在隔离罩上方安装200mm宽x50mm高不锈钢线槽及不锈钢桥架，线管总长度4800mm，100mm宽x25mm高不锈钢线槽总长度12m，200mm宽x50mm高不锈钢线槽总长度140m；</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PLC柜高800*宽300*深200mm，采用304不锈钢，里面配一个3P 10A空开、三个1P+N 10A空气开关带漏保、一个MWGD NDR-240-24 24V10A工业直流电源（220V输入、24V输出）、一台 2080-LC50-24QBB PLC（配RS485模块1个）、8口光纤盒1个、光模块1对；</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气体检测主机与PLC采用RS485通信，用RVVP 4*1.5信号电缆，总长度20m；</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PLC柜从干化车间低压电房取电，电缆用YJV 5*2.5供电电缆，走干化车间桥架敷设，走向如图5所示，线缆长度120m；</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从PLC柜敷设户外8芯单模光纤沿原有线槽到干化车间侧门，沿草地经预埋线管至加氯间PLC柜，更换原交换机为16口工业级光纤交换机，并接入，光纤长度70m；</w:t>
      </w:r>
    </w:p>
    <w:p>
      <w:pPr>
        <w:pStyle w:val="5"/>
        <w:jc w:val="center"/>
        <w:rPr>
          <w:rFonts w:hint="eastAsia"/>
          <w:lang w:val="en-US" w:eastAsia="zh-CN"/>
        </w:rPr>
      </w:pPr>
      <w:r>
        <w:rPr>
          <w:rFonts w:hint="eastAsia"/>
          <w:lang w:val="en-US" w:eastAsia="zh-CN"/>
        </w:rPr>
        <w:drawing>
          <wp:inline distT="0" distB="0" distL="114300" distR="114300">
            <wp:extent cx="4236720" cy="3177540"/>
            <wp:effectExtent l="0" t="0" r="11430" b="3810"/>
            <wp:docPr id="32" name="图片 32" descr="b551a20f88a01a4b049cec8c7bf9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551a20f88a01a4b049cec8c7bf9d24"/>
                    <pic:cNvPicPr>
                      <a:picLocks noChangeAspect="1"/>
                    </pic:cNvPicPr>
                  </pic:nvPicPr>
                  <pic:blipFill>
                    <a:blip r:embed="rId19"/>
                    <a:stretch>
                      <a:fillRect/>
                    </a:stretch>
                  </pic:blipFill>
                  <pic:spPr>
                    <a:xfrm>
                      <a:off x="0" y="0"/>
                      <a:ext cx="4236720" cy="3177540"/>
                    </a:xfrm>
                    <a:prstGeom prst="rect">
                      <a:avLst/>
                    </a:prstGeom>
                    <a:noFill/>
                    <a:ln>
                      <a:noFill/>
                    </a:ln>
                  </pic:spPr>
                </pic:pic>
              </a:graphicData>
            </a:graphic>
          </wp:inline>
        </w:drawing>
      </w:r>
    </w:p>
    <w:p>
      <w:pPr>
        <w:pStyle w:val="5"/>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图7 干化车间光纤出线处</w:t>
      </w:r>
    </w:p>
    <w:p>
      <w:pPr>
        <w:numPr>
          <w:ilvl w:val="0"/>
          <w:numId w:val="21"/>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编写PLC程序读取气体检测主机数据、上传数据至上位机，开发上位机界面显示气体检测仪读数；</w:t>
      </w:r>
    </w:p>
    <w:p>
      <w:pPr>
        <w:numPr>
          <w:ilvl w:val="0"/>
          <w:numId w:val="18"/>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三期次氯酸钠储罐翻板液位计上传：</w:t>
      </w:r>
    </w:p>
    <w:p>
      <w:pPr>
        <w:numPr>
          <w:ilvl w:val="0"/>
          <w:numId w:val="22"/>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在三期次氯酸钠储罐翻板液位计处敷设RVVP4*1.5信号电缆沿原有PVC线管至次氯酸钠PLC柜内，一共两条，每条长6m；</w:t>
      </w:r>
    </w:p>
    <w:p>
      <w:pPr>
        <w:numPr>
          <w:ilvl w:val="0"/>
          <w:numId w:val="22"/>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在PLC柜内的PLC增设4口模拟量输入模块，液位计与PLC采用模拟量通信，编写PLC程序读取翻板液位计读数，并开发上位机界面显示读数。</w:t>
      </w:r>
    </w:p>
    <w:p>
      <w:pPr>
        <w:numPr>
          <w:ilvl w:val="0"/>
          <w:numId w:val="18"/>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离心脱水机低压电房泥仓气体检测数据上传：</w:t>
      </w:r>
    </w:p>
    <w:p>
      <w:pPr>
        <w:numPr>
          <w:ilvl w:val="0"/>
          <w:numId w:val="23"/>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在离心脱水机一楼低压电房PLC柜内增设一台 2080-LC50-24QBB PLC（配RS485模块1个、4口模拟量输入模块、2口模拟量输出模块），通过以太网接入交换机；</w:t>
      </w:r>
    </w:p>
    <w:p>
      <w:pPr>
        <w:numPr>
          <w:ilvl w:val="0"/>
          <w:numId w:val="23"/>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从值班室气体检测仪主机敷设RVVP 4*1.5信号电缆套DN25 PVC线管并走原有桥架及电缆沟至低压电房PLC柜，线缆长30m，PVC管长20m；</w:t>
      </w:r>
    </w:p>
    <w:p>
      <w:pPr>
        <w:numPr>
          <w:ilvl w:val="0"/>
          <w:numId w:val="23"/>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编写PLC程序读取气体检测仪读数，并开发上位机界面显示气体检测仪读数。</w:t>
      </w:r>
    </w:p>
    <w:p>
      <w:pPr>
        <w:numPr>
          <w:ilvl w:val="0"/>
          <w:numId w:val="18"/>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优化离心脱水机低压电房PLC柜内光纤走向布局：</w:t>
      </w:r>
    </w:p>
    <w:p>
      <w:pPr>
        <w:pStyle w:val="5"/>
        <w:jc w:val="center"/>
        <w:rPr>
          <w:rFonts w:hint="eastAsia"/>
          <w:lang w:val="en-US" w:eastAsia="zh-CN"/>
        </w:rPr>
      </w:pPr>
      <w:r>
        <w:rPr>
          <w:rFonts w:hint="eastAsia"/>
          <w:lang w:val="en-US" w:eastAsia="zh-CN"/>
        </w:rPr>
        <w:drawing>
          <wp:inline distT="0" distB="0" distL="114300" distR="114300">
            <wp:extent cx="2043430" cy="2724785"/>
            <wp:effectExtent l="0" t="0" r="13970" b="18415"/>
            <wp:docPr id="33" name="图片 33" descr="优化电柜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优化电柜布局"/>
                    <pic:cNvPicPr>
                      <a:picLocks noChangeAspect="1"/>
                    </pic:cNvPicPr>
                  </pic:nvPicPr>
                  <pic:blipFill>
                    <a:blip r:embed="rId20"/>
                    <a:stretch>
                      <a:fillRect/>
                    </a:stretch>
                  </pic:blipFill>
                  <pic:spPr>
                    <a:xfrm>
                      <a:off x="0" y="0"/>
                      <a:ext cx="2043430" cy="2724785"/>
                    </a:xfrm>
                    <a:prstGeom prst="rect">
                      <a:avLst/>
                    </a:prstGeom>
                    <a:noFill/>
                    <a:ln>
                      <a:noFill/>
                    </a:ln>
                  </pic:spPr>
                </pic:pic>
              </a:graphicData>
            </a:graphic>
          </wp:inline>
        </w:drawing>
      </w:r>
    </w:p>
    <w:p>
      <w:pPr>
        <w:pStyle w:val="5"/>
        <w:jc w:val="center"/>
        <w:rPr>
          <w:rFonts w:hint="default"/>
          <w:lang w:val="en-US" w:eastAsia="zh-CN"/>
        </w:rPr>
      </w:pPr>
      <w:r>
        <w:rPr>
          <w:rFonts w:hint="eastAsia" w:ascii="仿宋" w:hAnsi="仿宋" w:eastAsia="仿宋" w:cs="仿宋"/>
          <w:color w:val="auto"/>
          <w:sz w:val="28"/>
          <w:szCs w:val="28"/>
          <w:lang w:val="en-US" w:eastAsia="zh-CN"/>
        </w:rPr>
        <w:t>图8优化离心脱水机低压电房PLC柜内光纤走向布局</w:t>
      </w:r>
    </w:p>
    <w:p>
      <w:pPr>
        <w:numPr>
          <w:ilvl w:val="0"/>
          <w:numId w:val="24"/>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优化离心脱水机低压电房PLC柜内光纤走向布局，其中涉及光纤熔接120条、PVC阻燃配线槽20m、不锈钢轨道20m；</w:t>
      </w:r>
    </w:p>
    <w:p>
      <w:pPr>
        <w:numPr>
          <w:ilvl w:val="0"/>
          <w:numId w:val="24"/>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把光纤盒、开关、光模块等整理后挂在柜内，光纤优化后预留长度10cm；</w:t>
      </w:r>
    </w:p>
    <w:p>
      <w:pPr>
        <w:numPr>
          <w:ilvl w:val="0"/>
          <w:numId w:val="24"/>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所有电缆、光纤放回线槽内；</w:t>
      </w:r>
    </w:p>
    <w:p>
      <w:pPr>
        <w:ind w:firstLine="0" w:firstLineChars="0"/>
        <w:rPr>
          <w:rFonts w:hint="eastAsia" w:ascii="仿宋_GB2312" w:eastAsia="仿宋_GB2312"/>
          <w:color w:val="auto"/>
          <w:sz w:val="28"/>
          <w:szCs w:val="28"/>
          <w:highlight w:val="none"/>
          <w:lang w:val="en-US" w:eastAsia="zh-CN"/>
        </w:rPr>
      </w:pPr>
      <w:r>
        <w:rPr>
          <w:rFonts w:hint="eastAsia" w:ascii="仿宋_GB2312" w:eastAsia="仿宋_GB2312"/>
          <w:color w:val="auto"/>
          <w:sz w:val="32"/>
          <w:szCs w:val="32"/>
          <w:highlight w:val="none"/>
          <w:lang w:val="en-US" w:eastAsia="zh-CN"/>
        </w:rPr>
        <w:t>（二）总体效果及验收要求</w:t>
      </w:r>
    </w:p>
    <w:p>
      <w:pPr>
        <w:ind w:firstLine="560" w:firstLineChars="200"/>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项目一：项目完工后</w:t>
      </w:r>
      <w:r>
        <w:rPr>
          <w:rFonts w:hint="default" w:ascii="仿宋_GB2312" w:eastAsia="仿宋_GB2312"/>
          <w:color w:val="auto"/>
          <w:sz w:val="28"/>
          <w:szCs w:val="28"/>
          <w:highlight w:val="none"/>
          <w:u w:val="none"/>
          <w:lang w:val="en-US" w:eastAsia="zh-CN"/>
        </w:rPr>
        <w:t>，</w:t>
      </w:r>
      <w:r>
        <w:rPr>
          <w:rFonts w:hint="eastAsia" w:ascii="仿宋_GB2312" w:eastAsia="仿宋_GB2312"/>
          <w:color w:val="auto"/>
          <w:sz w:val="28"/>
          <w:szCs w:val="28"/>
          <w:highlight w:val="none"/>
          <w:u w:val="none"/>
          <w:lang w:val="en-US" w:eastAsia="zh-CN"/>
        </w:rPr>
        <w:t>熔断器底座、固定支架、铜牌及熔断器安装端正，没倾斜，熔断器有足够的电气距离，保证足够的间距，以便于拆卸、更换溶体，电缆敷设按技术要求埋设好，设备运行正常。</w:t>
      </w:r>
    </w:p>
    <w:p>
      <w:pPr>
        <w:ind w:firstLine="560" w:firstLineChars="200"/>
        <w:rPr>
          <w:rFonts w:hint="eastAsia" w:ascii="仿宋_GB2312" w:eastAsia="仿宋_GB2312"/>
          <w:color w:val="auto"/>
          <w:sz w:val="28"/>
          <w:szCs w:val="28"/>
          <w:highlight w:val="none"/>
          <w:u w:val="none"/>
          <w:lang w:val="en-US" w:eastAsia="zh-CN" w:bidi="ar"/>
        </w:rPr>
      </w:pPr>
      <w:r>
        <w:rPr>
          <w:rFonts w:hint="eastAsia" w:ascii="仿宋_GB2312" w:eastAsia="仿宋_GB2312"/>
          <w:color w:val="auto"/>
          <w:sz w:val="28"/>
          <w:szCs w:val="28"/>
          <w:highlight w:val="none"/>
          <w:u w:val="none"/>
          <w:lang w:val="en-US" w:eastAsia="zh-CN" w:bidi="ar"/>
        </w:rPr>
        <w:t>项目二：</w:t>
      </w:r>
      <w:r>
        <w:rPr>
          <w:rFonts w:hint="eastAsia" w:ascii="仿宋_GB2312" w:eastAsia="仿宋_GB2312" w:hAnsiTheme="minorHAnsi" w:cstheme="minorBidi"/>
          <w:color w:val="auto"/>
          <w:kern w:val="2"/>
          <w:sz w:val="28"/>
          <w:szCs w:val="28"/>
          <w:highlight w:val="none"/>
          <w:u w:val="none"/>
          <w:shd w:val="clear" w:fill="auto"/>
          <w:vertAlign w:val="baseline"/>
          <w:lang w:val="en-US" w:eastAsia="zh-CN" w:bidi="ar"/>
        </w:rPr>
        <w:t xml:space="preserve">1. 安装稳定可靠，符合国家及行业标准要求。 2. 连接、电气绝缘、接地、等措施符合国家及行业标准要求。 3. 仪表工作正常，数据采集准确，无误差或漏测等现象。 4. 无线传输模块传输距离稳定，信号强度良好，无干扰等现象。 5. 数据采集系统能够实时采集、存储、处理并展示数据，满足管理、监控等要求。 6. 最终验收结果符合相关技术规范、要求。 </w:t>
      </w:r>
    </w:p>
    <w:p>
      <w:pPr>
        <w:ind w:firstLine="560" w:firstLineChars="200"/>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项目三：</w:t>
      </w:r>
    </w:p>
    <w:p>
      <w:pPr>
        <w:ind w:firstLine="560" w:firstLineChars="200"/>
        <w:rPr>
          <w:rFonts w:hint="eastAsia" w:ascii="仿宋_GB2312" w:eastAsia="仿宋_GB2312" w:hAnsiTheme="minorHAnsi" w:cstheme="minorBidi"/>
          <w:i w:val="0"/>
          <w:iCs w:val="0"/>
          <w:caps w:val="0"/>
          <w:color w:val="auto"/>
          <w:spacing w:val="0"/>
          <w:sz w:val="28"/>
          <w:szCs w:val="28"/>
          <w:highlight w:val="none"/>
          <w:u w:val="none"/>
          <w:shd w:val="clear"/>
          <w:lang w:bidi="ar"/>
        </w:rPr>
      </w:pPr>
      <w:r>
        <w:rPr>
          <w:rFonts w:hint="eastAsia" w:ascii="仿宋_GB2312" w:eastAsia="仿宋_GB2312"/>
          <w:color w:val="auto"/>
          <w:sz w:val="28"/>
          <w:szCs w:val="28"/>
          <w:highlight w:val="none"/>
          <w:u w:val="none"/>
          <w:lang w:val="en-US" w:eastAsia="zh-CN"/>
        </w:rPr>
        <w:t>分项一：</w:t>
      </w:r>
      <w:r>
        <w:rPr>
          <w:rFonts w:hint="eastAsia" w:ascii="仿宋_GB2312" w:eastAsia="仿宋_GB2312" w:hAnsiTheme="minorHAnsi" w:cstheme="minorBidi"/>
          <w:i w:val="0"/>
          <w:iCs w:val="0"/>
          <w:caps w:val="0"/>
          <w:color w:val="auto"/>
          <w:spacing w:val="0"/>
          <w:sz w:val="28"/>
          <w:szCs w:val="28"/>
          <w:highlight w:val="none"/>
          <w:u w:val="none"/>
          <w:shd w:val="clear" w:fill="auto"/>
          <w:lang w:bidi="ar"/>
        </w:rPr>
        <w:t>1. 检查更换后的直流屏的外观是否完好无损，内部零部件是否齐全，接线是否紧固。 2. 确认更换后的直流屏的额定电压、额定电流、额定功率等参数是否符合需求。 3. 检查更换后的直流屏的接线是否正确，接地是否牢固可靠。 4. 检查更换后的直流屏的绝缘电阻是否符合规范要求，是否存在漏电现象。 5. 进行一定的电气测试，如电压测试、电流测试、功率测试等，确保更换后的直流屏能够正常工作。</w:t>
      </w:r>
    </w:p>
    <w:p>
      <w:pPr>
        <w:ind w:firstLine="560" w:firstLineChars="200"/>
        <w:rPr>
          <w:rFonts w:hint="eastAsia" w:ascii="仿宋_GB2312" w:eastAsia="仿宋_GB2312" w:cstheme="minorBidi"/>
          <w:i w:val="0"/>
          <w:iCs w:val="0"/>
          <w:caps w:val="0"/>
          <w:color w:val="auto"/>
          <w:spacing w:val="0"/>
          <w:sz w:val="28"/>
          <w:szCs w:val="28"/>
          <w:highlight w:val="none"/>
          <w:u w:val="none"/>
          <w:shd w:val="clear"/>
          <w:lang w:eastAsia="zh-CN" w:bidi="ar"/>
        </w:rPr>
      </w:pPr>
      <w:r>
        <w:rPr>
          <w:rFonts w:hint="eastAsia" w:ascii="仿宋_GB2312" w:eastAsia="仿宋_GB2312" w:cstheme="minorBidi"/>
          <w:i w:val="0"/>
          <w:iCs w:val="0"/>
          <w:caps w:val="0"/>
          <w:color w:val="auto"/>
          <w:spacing w:val="0"/>
          <w:sz w:val="28"/>
          <w:szCs w:val="28"/>
          <w:highlight w:val="none"/>
          <w:u w:val="none"/>
          <w:shd w:val="clear"/>
          <w:lang w:val="en-US" w:eastAsia="zh-CN" w:bidi="ar"/>
        </w:rPr>
        <w:t>分项二：</w:t>
      </w:r>
      <w:r>
        <w:rPr>
          <w:rFonts w:hint="eastAsia" w:ascii="仿宋_GB2312" w:eastAsia="仿宋_GB2312" w:hAnsiTheme="minorHAnsi" w:cstheme="minorBidi"/>
          <w:i w:val="0"/>
          <w:iCs w:val="0"/>
          <w:caps w:val="0"/>
          <w:color w:val="auto"/>
          <w:spacing w:val="0"/>
          <w:sz w:val="28"/>
          <w:szCs w:val="28"/>
          <w:highlight w:val="none"/>
          <w:u w:val="none"/>
          <w:shd w:val="clear" w:fill="auto"/>
          <w:lang w:bidi="ar"/>
        </w:rPr>
        <w:t>确认线缆规格和连接良好、检查连接是否正确、调试智能仪表、确认显示稳定无误差、符合国家标准和工程规范、确保安全要求</w:t>
      </w:r>
      <w:r>
        <w:rPr>
          <w:rFonts w:hint="eastAsia" w:ascii="仿宋_GB2312" w:eastAsia="仿宋_GB2312" w:cstheme="minorBidi"/>
          <w:i w:val="0"/>
          <w:iCs w:val="0"/>
          <w:caps w:val="0"/>
          <w:color w:val="auto"/>
          <w:spacing w:val="0"/>
          <w:sz w:val="28"/>
          <w:szCs w:val="28"/>
          <w:highlight w:val="none"/>
          <w:u w:val="none"/>
          <w:shd w:val="clear"/>
          <w:lang w:eastAsia="zh-CN" w:bidi="ar"/>
        </w:rPr>
        <w:t>。</w:t>
      </w:r>
    </w:p>
    <w:p>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textAlignment w:val="auto"/>
        <w:rPr>
          <w:rFonts w:hint="eastAsia" w:ascii="仿宋_GB2312" w:eastAsia="仿宋_GB2312"/>
          <w:color w:val="auto"/>
          <w:sz w:val="28"/>
          <w:szCs w:val="28"/>
          <w:highlight w:val="none"/>
          <w:u w:val="none"/>
          <w:lang w:bidi="ar"/>
        </w:rPr>
      </w:pPr>
      <w:r>
        <w:rPr>
          <w:rFonts w:hint="eastAsia" w:ascii="仿宋_GB2312" w:eastAsia="仿宋_GB2312" w:cstheme="minorBidi"/>
          <w:i w:val="0"/>
          <w:iCs w:val="0"/>
          <w:caps w:val="0"/>
          <w:color w:val="auto"/>
          <w:spacing w:val="0"/>
          <w:sz w:val="28"/>
          <w:szCs w:val="28"/>
          <w:highlight w:val="none"/>
          <w:u w:val="none"/>
          <w:shd w:val="clear"/>
          <w:lang w:val="en-US" w:eastAsia="zh-CN" w:bidi="ar"/>
        </w:rPr>
        <w:t>分项三：</w:t>
      </w:r>
      <w:r>
        <w:rPr>
          <w:rFonts w:hint="eastAsia" w:ascii="仿宋_GB2312" w:eastAsia="仿宋_GB2312" w:hAnsiTheme="minorHAnsi" w:cstheme="minorBidi"/>
          <w:color w:val="auto"/>
          <w:kern w:val="2"/>
          <w:sz w:val="28"/>
          <w:szCs w:val="28"/>
          <w:highlight w:val="none"/>
          <w:u w:val="none"/>
          <w:shd w:val="clear" w:fill="auto"/>
          <w:vertAlign w:val="baseline"/>
          <w:lang w:val="en-US" w:eastAsia="zh-CN" w:bidi="ar"/>
        </w:rPr>
        <w:t xml:space="preserve">1. 改装后的摄像头必须能够正常工作，画面清晰，确保监控覆盖面积符合规定； 2. 网线敷设完毕后，网络连接必须稳定，POE供电正常，网络带宽满足需求； 3. 安装的防爆摄像头和排风机必须符合相应的规范和标准，并经专业检测报告合格； 4. 排风机应能正常运行，风量符合设计要求，噪音控制在允许范围内； 5. 功能测试和系统整体调试完成后，设备运行正常，功能稳定可靠，无故障，符合相关规定和标准。 6. 同时需要提供相关的检测、校准和维护文档，并制定维护计划，确保设备长期稳定运行。 </w:t>
      </w:r>
    </w:p>
    <w:p>
      <w:pPr>
        <w:ind w:firstLine="560" w:firstLineChars="200"/>
        <w:rPr>
          <w:rFonts w:hint="eastAsia" w:ascii="仿宋_GB2312" w:eastAsia="仿宋_GB2312" w:cstheme="minorBidi"/>
          <w:i w:val="0"/>
          <w:iCs w:val="0"/>
          <w:caps w:val="0"/>
          <w:color w:val="auto"/>
          <w:spacing w:val="0"/>
          <w:sz w:val="28"/>
          <w:szCs w:val="28"/>
          <w:highlight w:val="none"/>
          <w:u w:val="none"/>
          <w:shd w:val="clear"/>
          <w:lang w:val="en-US" w:eastAsia="zh-CN" w:bidi="ar"/>
        </w:rPr>
      </w:pPr>
      <w:r>
        <w:rPr>
          <w:rFonts w:hint="eastAsia" w:ascii="仿宋_GB2312" w:eastAsia="仿宋_GB2312" w:cstheme="minorBidi"/>
          <w:i w:val="0"/>
          <w:iCs w:val="0"/>
          <w:caps w:val="0"/>
          <w:color w:val="auto"/>
          <w:spacing w:val="0"/>
          <w:sz w:val="28"/>
          <w:szCs w:val="28"/>
          <w:highlight w:val="none"/>
          <w:u w:val="none"/>
          <w:shd w:val="clear"/>
          <w:lang w:val="en-US" w:eastAsia="zh-CN" w:bidi="ar"/>
        </w:rPr>
        <w:t>项目四：</w:t>
      </w:r>
    </w:p>
    <w:p>
      <w:pPr>
        <w:ind w:firstLine="560" w:firstLineChars="200"/>
        <w:rPr>
          <w:rFonts w:hint="default" w:ascii="仿宋_GB2312" w:eastAsia="仿宋_GB2312" w:cstheme="minorBidi"/>
          <w:i w:val="0"/>
          <w:iCs w:val="0"/>
          <w:caps w:val="0"/>
          <w:color w:val="auto"/>
          <w:spacing w:val="0"/>
          <w:sz w:val="28"/>
          <w:szCs w:val="28"/>
          <w:highlight w:val="none"/>
          <w:u w:val="none"/>
          <w:shd w:val="clear"/>
          <w:lang w:val="en-US" w:eastAsia="zh-CN" w:bidi="ar"/>
        </w:rPr>
      </w:pPr>
      <w:r>
        <w:rPr>
          <w:rFonts w:hint="default" w:ascii="仿宋_GB2312" w:eastAsia="仿宋_GB2312" w:cstheme="minorBidi"/>
          <w:i w:val="0"/>
          <w:iCs w:val="0"/>
          <w:caps w:val="0"/>
          <w:color w:val="auto"/>
          <w:spacing w:val="0"/>
          <w:sz w:val="28"/>
          <w:szCs w:val="28"/>
          <w:highlight w:val="none"/>
          <w:u w:val="none"/>
          <w:shd w:val="clear"/>
          <w:lang w:val="en-US" w:eastAsia="zh-CN" w:bidi="ar"/>
        </w:rPr>
        <w:t>1、本项目开展期间，承包方必须整理好本项目的所有的技术资料，不限于项目安装图、设备说明书、电气布局图、完整PLC程序等。项目竣工后，承包方将所有关于本项目的技术资料整理好并交至项目承办单位。</w:t>
      </w:r>
    </w:p>
    <w:p>
      <w:pPr>
        <w:ind w:firstLine="560" w:firstLineChars="200"/>
        <w:rPr>
          <w:rFonts w:hint="default" w:ascii="仿宋_GB2312" w:eastAsia="仿宋_GB2312" w:cstheme="minorBidi"/>
          <w:i w:val="0"/>
          <w:iCs w:val="0"/>
          <w:caps w:val="0"/>
          <w:color w:val="auto"/>
          <w:spacing w:val="0"/>
          <w:sz w:val="28"/>
          <w:szCs w:val="28"/>
          <w:highlight w:val="none"/>
          <w:u w:val="none"/>
          <w:shd w:val="clear"/>
          <w:lang w:val="en-US" w:eastAsia="zh-CN" w:bidi="ar"/>
        </w:rPr>
      </w:pPr>
      <w:r>
        <w:rPr>
          <w:rFonts w:hint="default" w:ascii="仿宋_GB2312" w:eastAsia="仿宋_GB2312" w:cstheme="minorBidi"/>
          <w:i w:val="0"/>
          <w:iCs w:val="0"/>
          <w:caps w:val="0"/>
          <w:color w:val="auto"/>
          <w:spacing w:val="0"/>
          <w:sz w:val="28"/>
          <w:szCs w:val="28"/>
          <w:highlight w:val="none"/>
          <w:u w:val="none"/>
          <w:shd w:val="clear"/>
          <w:lang w:val="en-US" w:eastAsia="zh-CN" w:bidi="ar"/>
        </w:rPr>
        <w:t>2、项目使用的电气元件品牌参照或相当于施耐德、ABB、西门子等一线品牌。</w:t>
      </w:r>
    </w:p>
    <w:p>
      <w:pPr>
        <w:ind w:firstLine="560" w:firstLineChars="200"/>
        <w:rPr>
          <w:rFonts w:hint="default" w:ascii="仿宋_GB2312" w:eastAsia="仿宋_GB2312" w:cstheme="minorBidi"/>
          <w:i w:val="0"/>
          <w:iCs w:val="0"/>
          <w:caps w:val="0"/>
          <w:color w:val="auto"/>
          <w:spacing w:val="0"/>
          <w:sz w:val="28"/>
          <w:szCs w:val="28"/>
          <w:highlight w:val="none"/>
          <w:u w:val="none"/>
          <w:shd w:val="clear"/>
          <w:lang w:val="en-US" w:eastAsia="zh-CN" w:bidi="ar"/>
        </w:rPr>
      </w:pPr>
      <w:r>
        <w:rPr>
          <w:rFonts w:hint="default" w:ascii="仿宋_GB2312" w:eastAsia="仿宋_GB2312" w:cstheme="minorBidi"/>
          <w:i w:val="0"/>
          <w:iCs w:val="0"/>
          <w:caps w:val="0"/>
          <w:color w:val="auto"/>
          <w:spacing w:val="0"/>
          <w:sz w:val="28"/>
          <w:szCs w:val="28"/>
          <w:highlight w:val="none"/>
          <w:u w:val="none"/>
          <w:shd w:val="clear"/>
          <w:lang w:val="en-US" w:eastAsia="zh-CN" w:bidi="ar"/>
        </w:rPr>
        <w:t>3、项目完成后，承包方要完成系统详细使用说明并交至项目承办单位。</w:t>
      </w:r>
    </w:p>
    <w:p>
      <w:pPr>
        <w:ind w:firstLine="0" w:firstLineChars="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（三）、</w:t>
      </w:r>
      <w:r>
        <w:rPr>
          <w:rFonts w:hint="eastAsia" w:ascii="仿宋_GB2312" w:eastAsia="仿宋_GB2312"/>
          <w:color w:val="auto"/>
          <w:sz w:val="28"/>
          <w:szCs w:val="28"/>
          <w:highlight w:val="none"/>
          <w:lang w:val="zh-CN" w:eastAsia="zh-CN"/>
        </w:rPr>
        <w:t>项目商务要求</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1.工期：自合同签订之日起30天。具体施工日期及工期调整根据实际计划时间而定。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（1）使用的各种材料必须符合设计和规范要求。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（2）设备安装端正，没倾斜；</w:t>
      </w:r>
      <w:r>
        <w:rPr>
          <w:rFonts w:hint="eastAsia" w:ascii="仿宋_GB2312" w:eastAsia="仿宋_GB2312"/>
          <w:color w:val="auto"/>
          <w:sz w:val="28"/>
          <w:szCs w:val="28"/>
          <w:highlight w:val="none"/>
          <w:u w:val="none"/>
          <w:lang w:val="en-US" w:eastAsia="zh-CN"/>
        </w:rPr>
        <w:t>熔断器有足够的电气距离，保证足够的间距</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（3）安装完成后</w:t>
      </w:r>
      <w:r>
        <w:rPr>
          <w:rFonts w:hint="eastAsia" w:ascii="仿宋_GB2312" w:eastAsia="仿宋_GB2312"/>
          <w:color w:val="auto"/>
          <w:sz w:val="28"/>
          <w:szCs w:val="28"/>
          <w:highlight w:val="none"/>
          <w:u w:val="none"/>
          <w:lang w:val="en-US" w:eastAsia="zh-CN"/>
        </w:rPr>
        <w:t>设备</w:t>
      </w:r>
      <w:r>
        <w:rPr>
          <w:rFonts w:hint="eastAsia" w:ascii="仿宋_GB2312" w:eastAsia="仿宋_GB2312"/>
          <w:color w:val="auto"/>
          <w:sz w:val="28"/>
          <w:szCs w:val="28"/>
          <w:highlight w:val="none"/>
          <w:lang w:val="en-US" w:eastAsia="zh-CN"/>
        </w:rPr>
        <w:t>运行正常且不影响原有设备正常运行。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5.保修期：质保期为项目完成经验收合格之日起1年。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（3）验收合格条件</w:t>
      </w:r>
    </w:p>
    <w:p>
      <w:pPr>
        <w:ind w:firstLine="560" w:firstLineChars="200"/>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项目完工后</w:t>
      </w:r>
      <w:r>
        <w:rPr>
          <w:rFonts w:hint="default" w:ascii="仿宋_GB2312" w:eastAsia="仿宋_GB2312"/>
          <w:color w:val="auto"/>
          <w:sz w:val="28"/>
          <w:szCs w:val="28"/>
          <w:highlight w:val="none"/>
          <w:u w:val="none"/>
          <w:lang w:val="en-US" w:eastAsia="zh-CN"/>
        </w:rPr>
        <w:t>，</w:t>
      </w:r>
      <w:r>
        <w:rPr>
          <w:rFonts w:hint="eastAsia" w:ascii="仿宋_GB2312" w:eastAsia="仿宋_GB2312"/>
          <w:color w:val="auto"/>
          <w:sz w:val="28"/>
          <w:szCs w:val="28"/>
          <w:highlight w:val="none"/>
          <w:u w:val="none"/>
          <w:lang w:val="en-US" w:eastAsia="zh-CN"/>
        </w:rPr>
        <w:t>熔断器底座、固定支架、铜牌及熔断器安装端正，没倾斜，熔断器有足够的电气距离，保证足够的间距，以便于拆卸、更换溶体，电缆敷设按技术要求埋设好，设备运行正常。</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7.付款方式：网银支付形式。</w:t>
      </w: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1.工期：自合同签订之日起30天。具体施工日期及工期调整根据实际计划时间而定。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（1）使用的各种材料必须符合设计和规范要求。</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（2）电箱安装端正，没倾斜；仪表按规范正确安装，能正确采集数据</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（3）安装完成后</w:t>
      </w:r>
      <w:r>
        <w:rPr>
          <w:rFonts w:hint="eastAsia" w:ascii="仿宋_GB2312" w:eastAsia="仿宋_GB2312"/>
          <w:color w:val="auto"/>
          <w:sz w:val="28"/>
          <w:szCs w:val="28"/>
          <w:highlight w:val="none"/>
          <w:u w:val="none"/>
          <w:lang w:val="en-US" w:eastAsia="zh-CN"/>
        </w:rPr>
        <w:t>设备</w:t>
      </w:r>
      <w:r>
        <w:rPr>
          <w:rFonts w:hint="eastAsia" w:ascii="仿宋_GB2312" w:eastAsia="仿宋_GB2312"/>
          <w:color w:val="auto"/>
          <w:sz w:val="28"/>
          <w:szCs w:val="28"/>
          <w:highlight w:val="none"/>
          <w:lang w:val="en-US" w:eastAsia="zh-CN"/>
        </w:rPr>
        <w:t>运行正常且不影响原有设备正常运行。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5.保修期：质保期为项目完成经验收合格之日起1年。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（3）验收合格条件</w:t>
      </w:r>
    </w:p>
    <w:p>
      <w:pPr>
        <w:ind w:firstLine="560" w:firstLineChars="200"/>
        <w:rPr>
          <w:rFonts w:hint="eastAsia" w:ascii="仿宋_GB2312" w:eastAsia="仿宋_GB2312"/>
          <w:color w:val="auto"/>
          <w:sz w:val="28"/>
          <w:szCs w:val="28"/>
          <w:highlight w:val="none"/>
          <w:u w:val="none"/>
          <w:lang w:val="en-US" w:eastAsia="zh-CN" w:bidi="ar"/>
        </w:rPr>
      </w:pPr>
      <w:r>
        <w:rPr>
          <w:rFonts w:hint="eastAsia" w:ascii="仿宋_GB2312" w:eastAsia="仿宋_GB2312" w:hAnsiTheme="minorHAnsi" w:cstheme="minorBidi"/>
          <w:color w:val="auto"/>
          <w:kern w:val="2"/>
          <w:sz w:val="28"/>
          <w:szCs w:val="28"/>
          <w:highlight w:val="none"/>
          <w:u w:val="none"/>
          <w:shd w:val="clear" w:fill="auto"/>
          <w:vertAlign w:val="baseline"/>
          <w:lang w:val="en-US" w:eastAsia="zh-CN" w:bidi="ar"/>
        </w:rPr>
        <w:t xml:space="preserve">1. 安装稳定可靠，符合国家及行业标准要求。 2. 连接、电气绝缘、接地、等措施符合国家及行业标准要求。 3. 仪表工作正常，数据采集准确，无误差或漏测等现象。 4. 无线传输模块传输距离稳定，信号强度良好，无干扰等现象。 5. 数据采集系统能够实时采集、存储、处理并展示数据，满足管理、监控等要求。 6. 最终验收结果符合相关技术规范、要求。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7.付款方式：网银支付形式。</w:t>
      </w: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项目三：</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1.工期：自合同签订之日起30天。具体施工日期及工期调整根据实际计划时间而定。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keepNext w:val="0"/>
        <w:keepLines w:val="0"/>
        <w:pageBreakBefore w:val="0"/>
        <w:widowControl/>
        <w:numPr>
          <w:ilvl w:val="-1"/>
          <w:numId w:val="0"/>
        </w:numPr>
        <w:shd w:val="clear"/>
        <w:kinsoku/>
        <w:wordWrap/>
        <w:overflowPunct/>
        <w:topLinePunct w:val="0"/>
        <w:autoSpaceDE/>
        <w:autoSpaceDN/>
        <w:bidi w:val="0"/>
        <w:adjustRightInd/>
        <w:snapToGrid/>
        <w:spacing w:line="240" w:lineRule="auto"/>
        <w:ind w:firstLine="560" w:firstLineChars="200"/>
        <w:jc w:val="left"/>
        <w:textAlignment w:val="auto"/>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（1）使用的各种材料必须符合设计和规范要求。</w:t>
      </w:r>
    </w:p>
    <w:p>
      <w:pPr>
        <w:keepNext w:val="0"/>
        <w:keepLines w:val="0"/>
        <w:pageBreakBefore w:val="0"/>
        <w:widowControl/>
        <w:numPr>
          <w:ilvl w:val="-1"/>
          <w:numId w:val="0"/>
        </w:numPr>
        <w:shd w:val="clear"/>
        <w:kinsoku/>
        <w:wordWrap/>
        <w:overflowPunct/>
        <w:topLinePunct w:val="0"/>
        <w:autoSpaceDE/>
        <w:autoSpaceDN/>
        <w:bidi w:val="0"/>
        <w:adjustRightInd/>
        <w:snapToGrid/>
        <w:spacing w:line="240" w:lineRule="auto"/>
        <w:ind w:firstLine="560" w:firstLineChars="200"/>
        <w:jc w:val="left"/>
        <w:textAlignment w:val="auto"/>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（2）设备安装端正，没倾斜；安装后能正常使用，达到使用效果要求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（3）电缆及信号线敷设按技术要求敷设好；</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5.保修期：质保期为项目完成经验收合格之日起1年。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（3）验收合格条件</w:t>
      </w:r>
    </w:p>
    <w:p>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textAlignment w:val="auto"/>
        <w:rPr>
          <w:rFonts w:hint="eastAsia" w:ascii="仿宋_GB2312" w:eastAsia="仿宋_GB2312"/>
          <w:color w:val="auto"/>
          <w:sz w:val="28"/>
          <w:szCs w:val="28"/>
          <w:highlight w:val="none"/>
          <w:u w:val="none"/>
          <w:lang w:bidi="ar"/>
        </w:rPr>
      </w:pPr>
      <w:r>
        <w:rPr>
          <w:rFonts w:hint="eastAsia" w:ascii="仿宋_GB2312" w:eastAsia="仿宋_GB2312" w:hAnsiTheme="minorHAnsi" w:cstheme="minorBidi"/>
          <w:color w:val="auto"/>
          <w:kern w:val="2"/>
          <w:sz w:val="28"/>
          <w:szCs w:val="28"/>
          <w:highlight w:val="none"/>
          <w:u w:val="none"/>
          <w:shd w:val="clear" w:fill="auto"/>
          <w:vertAlign w:val="baseline"/>
          <w:lang w:val="en-US" w:eastAsia="zh-CN" w:bidi="ar"/>
        </w:rPr>
        <w:t xml:space="preserve">1. 改装后的摄像头必须能够正常工作，画面清晰，确保监控覆盖面积符合规定； 2. 网线敷设完毕后，网络连接必须稳定，POE供电正常，网络带宽满足需求； 3. 安装的防爆摄像头和排风机必须符合相应的规范和标准，并经专业检测报告合格； 4. 排风机应能正常运行，风量符合设计要求，噪音控制在允许范围内； 5. 功能测试和系统整体调试完成后，设备运行正常，功能稳定可靠，无故障，符合相关规定和标准。 6. 同时需要提供相关的检测、校准和维护文档，并制定维护计划，确保设备长期稳定运行。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7.付款方式：网银支付形式。</w:t>
      </w: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ind w:firstLine="0" w:firstLineChars="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项目四：</w:t>
      </w:r>
    </w:p>
    <w:p>
      <w:pPr>
        <w:numPr>
          <w:ilvl w:val="0"/>
          <w:numId w:val="25"/>
        </w:numPr>
        <w:autoSpaceDE w:val="0"/>
        <w:autoSpaceDN w:val="0"/>
        <w:ind w:left="425" w:hanging="425"/>
        <w:rPr>
          <w:rFonts w:hint="eastAsia" w:ascii="仿宋" w:hAnsi="仿宋" w:eastAsia="仿宋" w:cs="仿宋"/>
          <w:color w:val="auto"/>
          <w:sz w:val="28"/>
          <w:szCs w:val="28"/>
          <w:highlight w:val="none"/>
          <w:u w:val="none"/>
          <w:lang w:eastAsia="zh-CN"/>
        </w:rPr>
      </w:pPr>
      <w:r>
        <w:rPr>
          <w:rFonts w:hint="eastAsia" w:ascii="仿宋" w:hAnsi="仿宋" w:eastAsia="仿宋" w:cs="仿宋"/>
          <w:color w:val="auto"/>
          <w:sz w:val="28"/>
          <w:szCs w:val="28"/>
          <w:highlight w:val="none"/>
          <w:lang w:val="en-US" w:eastAsia="zh-CN"/>
        </w:rPr>
        <w:t>工期：60</w:t>
      </w:r>
      <w:r>
        <w:rPr>
          <w:rFonts w:hint="eastAsia" w:ascii="仿宋" w:hAnsi="仿宋" w:eastAsia="仿宋" w:cs="仿宋"/>
          <w:color w:val="auto"/>
          <w:sz w:val="28"/>
          <w:szCs w:val="28"/>
          <w:highlight w:val="none"/>
          <w:u w:val="none"/>
          <w:lang w:val="en-US" w:eastAsia="zh-CN"/>
        </w:rPr>
        <w:t>天。</w:t>
      </w:r>
      <w:r>
        <w:rPr>
          <w:rFonts w:hint="eastAsia" w:ascii="仿宋" w:hAnsi="仿宋" w:eastAsia="仿宋" w:cs="仿宋"/>
          <w:color w:val="auto"/>
          <w:sz w:val="28"/>
          <w:szCs w:val="28"/>
          <w:highlight w:val="none"/>
        </w:rPr>
        <w:t>(具体施工日期及工期调整根据分公司实际计划时间而定</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u w:val="none"/>
        </w:rPr>
        <w:t>具体开工时间以开工报告时间为准。</w:t>
      </w:r>
      <w:r>
        <w:rPr>
          <w:rFonts w:hint="eastAsia" w:ascii="仿宋" w:hAnsi="仿宋" w:eastAsia="仿宋" w:cs="仿宋"/>
          <w:color w:val="auto"/>
          <w:sz w:val="28"/>
          <w:szCs w:val="28"/>
          <w:highlight w:val="none"/>
          <w:u w:val="none"/>
          <w:lang w:eastAsia="zh-CN"/>
        </w:rPr>
        <w:t>）</w:t>
      </w:r>
    </w:p>
    <w:p>
      <w:pPr>
        <w:numPr>
          <w:ilvl w:val="0"/>
          <w:numId w:val="25"/>
        </w:numPr>
        <w:autoSpaceDE w:val="0"/>
        <w:autoSpaceDN w:val="0"/>
        <w:ind w:left="425" w:hanging="42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质量要求：质保</w:t>
      </w:r>
      <w:r>
        <w:rPr>
          <w:rFonts w:hint="eastAsia" w:ascii="仿宋" w:hAnsi="仿宋" w:eastAsia="仿宋" w:cs="仿宋"/>
          <w:color w:val="auto"/>
          <w:sz w:val="28"/>
          <w:szCs w:val="28"/>
          <w:highlight w:val="none"/>
          <w:u w:val="single"/>
        </w:rPr>
        <w:t>1</w:t>
      </w:r>
      <w:r>
        <w:rPr>
          <w:rFonts w:hint="eastAsia" w:ascii="仿宋" w:hAnsi="仿宋" w:eastAsia="仿宋" w:cs="仿宋"/>
          <w:color w:val="auto"/>
          <w:sz w:val="28"/>
          <w:szCs w:val="28"/>
          <w:highlight w:val="none"/>
        </w:rPr>
        <w:t>年</w:t>
      </w:r>
    </w:p>
    <w:p>
      <w:pPr>
        <w:pStyle w:val="22"/>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安全文明施工要求：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（1）在工程进行中，承包单位要注意保护场内的各种管线和设施。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若有任何损坏，须立即通知有关部门和发包人，并由损坏单位承担损失和修复费用。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(2)发生重大伤亡及其他安全事故，承包单位应按有关规定立即上报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有关部门并通知发包人，同时按政府有关部门要求处理，由事故责任方承担发生的费用。发包人、承包单位对事故责任有争议时，应按政府有关部门的认定处理。</w:t>
      </w:r>
    </w:p>
    <w:p>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承包单位在施工期间应严格遵守《中华人民共和国安全生产法》</w:t>
      </w:r>
    </w:p>
    <w:p>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pStyle w:val="22"/>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总包及分包规定：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承包单位不许转包，不许擅自分包,</w:t>
      </w:r>
      <w:r>
        <w:rPr>
          <w:rFonts w:hint="eastAsia" w:ascii="仿宋" w:hAnsi="仿宋" w:eastAsia="仿宋" w:cs="仿宋"/>
          <w:i w:val="0"/>
          <w:caps w:val="0"/>
          <w:color w:val="auto"/>
          <w:spacing w:val="0"/>
          <w:sz w:val="21"/>
          <w:szCs w:val="21"/>
          <w:highlight w:val="none"/>
          <w:shd w:val="clear" w:color="auto" w:fill="FFFFFF"/>
        </w:rPr>
        <w:t xml:space="preserve"> </w:t>
      </w:r>
      <w:r>
        <w:rPr>
          <w:rFonts w:hint="eastAsia" w:ascii="仿宋" w:hAnsi="仿宋" w:eastAsia="仿宋" w:cs="仿宋"/>
          <w:i w:val="0"/>
          <w:caps w:val="0"/>
          <w:color w:val="auto"/>
          <w:spacing w:val="0"/>
          <w:sz w:val="28"/>
          <w:szCs w:val="28"/>
          <w:highlight w:val="none"/>
          <w:shd w:val="clear" w:color="auto" w:fill="FFFFFF"/>
        </w:rPr>
        <w:t>否则，发包人有权单方面终止合同，并令其立即退场，由此而造成的经济损失由承包单位负责赔偿。</w:t>
      </w:r>
    </w:p>
    <w:p>
      <w:pPr>
        <w:pStyle w:val="22"/>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保修期（保养期）：</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维修部位质保期12个月，更换的新部件质保期为12个月。</w:t>
      </w:r>
    </w:p>
    <w:p>
      <w:pPr>
        <w:pStyle w:val="22"/>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发包人将自承包商履行完合同义务之日起三十个工作日内组织验收，验收要求、验收标准及方法如下：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验收依据：询价文件、询价响应文件、厂家货物技术标准说明及国家有关的质量标准规定，均为验收依据。</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lang w:val="en-US"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承包单位根据要求进行设备的安装、调试、测试后，由发包人或政府相关部门进行使用性能方面的验收。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验收合格条件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确保能够达到</w:t>
      </w:r>
      <w:r>
        <w:rPr>
          <w:rFonts w:hint="eastAsia" w:ascii="仿宋" w:hAnsi="仿宋" w:eastAsia="仿宋" w:cs="仿宋"/>
          <w:i w:val="0"/>
          <w:caps w:val="0"/>
          <w:color w:val="auto"/>
          <w:spacing w:val="0"/>
          <w:sz w:val="28"/>
          <w:szCs w:val="28"/>
          <w:highlight w:val="none"/>
          <w:shd w:val="clear" w:color="auto" w:fill="FFFFFF"/>
          <w:lang w:val="en-US" w:eastAsia="zh-CN"/>
        </w:rPr>
        <w:t>甲方使用要求</w:t>
      </w:r>
      <w:r>
        <w:rPr>
          <w:rFonts w:hint="eastAsia" w:ascii="仿宋" w:hAnsi="仿宋" w:eastAsia="仿宋" w:cs="仿宋"/>
          <w:i w:val="0"/>
          <w:caps w:val="0"/>
          <w:color w:val="auto"/>
          <w:spacing w:val="0"/>
          <w:sz w:val="28"/>
          <w:szCs w:val="28"/>
          <w:highlight w:val="none"/>
          <w:shd w:val="clear" w:color="auto" w:fill="FFFFFF"/>
        </w:rPr>
        <w:t>的标准。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4</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发包人有权委托我国相关具有检验资质的部门、单位、机构针对维修后设备的精度、性能进行检验。其检验结果将作为验收标准的组成部分之一。</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5</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验收时承包单位必须派代表参加。</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6</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验收过程所发生的一切费用由承包单位承担。</w:t>
      </w:r>
    </w:p>
    <w:p>
      <w:pPr>
        <w:pStyle w:val="22"/>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eastAsia" w:ascii="仿宋" w:hAnsi="仿宋" w:eastAsia="仿宋" w:cs="仿宋"/>
          <w:i w:val="0"/>
          <w:caps w:val="0"/>
          <w:color w:val="auto"/>
          <w:spacing w:val="0"/>
          <w:sz w:val="21"/>
          <w:szCs w:val="21"/>
          <w:highlight w:val="none"/>
        </w:rPr>
      </w:pPr>
      <w:r>
        <w:rPr>
          <w:rFonts w:hint="eastAsia" w:ascii="仿宋" w:hAnsi="仿宋" w:eastAsia="仿宋" w:cs="仿宋"/>
          <w:i w:val="0"/>
          <w:caps w:val="0"/>
          <w:color w:val="auto"/>
          <w:spacing w:val="0"/>
          <w:sz w:val="28"/>
          <w:szCs w:val="28"/>
          <w:highlight w:val="none"/>
          <w:shd w:val="clear" w:color="auto" w:fill="FFFFFF"/>
        </w:rPr>
        <w:t>付款方式：采用网银支付形式。</w:t>
      </w:r>
    </w:p>
    <w:p>
      <w:pPr>
        <w:pStyle w:val="23"/>
        <w:numPr>
          <w:ilvl w:val="0"/>
          <w:numId w:val="25"/>
        </w:numPr>
        <w:adjustRightInd w:val="0"/>
        <w:snapToGrid w:val="0"/>
        <w:spacing w:line="600" w:lineRule="exact"/>
        <w:ind w:left="425" w:hanging="425" w:firstLineChars="0"/>
        <w:jc w:val="left"/>
        <w:rPr>
          <w:rFonts w:hint="default" w:ascii="仿宋_GB2312" w:eastAsia="仿宋_GB2312"/>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rPr>
        <w:t>承包方式：</w:t>
      </w:r>
      <w:r>
        <w:rPr>
          <w:rFonts w:hint="eastAsia" w:ascii="仿宋" w:hAnsi="仿宋" w:eastAsia="仿宋" w:cs="仿宋"/>
          <w:i w:val="0"/>
          <w:caps w:val="0"/>
          <w:color w:val="auto"/>
          <w:spacing w:val="0"/>
          <w:sz w:val="28"/>
          <w:szCs w:val="28"/>
          <w:highlight w:val="none"/>
          <w:shd w:val="clear" w:color="auto" w:fill="FFFFFF"/>
          <w:lang w:val="en-US" w:eastAsia="zh-CN"/>
        </w:rPr>
        <w:t>单价包干。</w:t>
      </w:r>
    </w:p>
    <w:p>
      <w:pPr>
        <w:rPr>
          <w:rFonts w:hint="eastAsia" w:ascii="仿宋_GB2312" w:eastAsia="仿宋_GB2312"/>
          <w:color w:val="auto"/>
          <w:sz w:val="28"/>
          <w:szCs w:val="28"/>
          <w:highlight w:val="none"/>
          <w:lang w:val="en-US" w:eastAsia="zh-CN"/>
        </w:rPr>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pStyle w:val="5"/>
        <w:rPr>
          <w:rFonts w:hint="eastAsia"/>
        </w:rPr>
      </w:pPr>
    </w:p>
    <w:bookmarkEnd w:id="61"/>
    <w:bookmarkEnd w:id="62"/>
    <w:bookmarkEnd w:id="63"/>
    <w:bookmarkEnd w:id="64"/>
    <w:bookmarkEnd w:id="65"/>
    <w:bookmarkEnd w:id="66"/>
    <w:bookmarkEnd w:id="67"/>
    <w:bookmarkEnd w:id="68"/>
    <w:bookmarkEnd w:id="69"/>
    <w:bookmarkEnd w:id="70"/>
    <w:bookmarkEnd w:id="71"/>
    <w:p>
      <w:pPr>
        <w:pStyle w:val="2"/>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142875</wp:posOffset>
                </wp:positionV>
                <wp:extent cx="10096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10096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0pt;margin-top:11.25pt;height:0pt;width:79.5pt;z-index:251674624;mso-width-relative:page;mso-height-relative:page;" filled="f" stroked="t" coordsize="21600,21600" o:gfxdata="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qy5E1wAAAAkBAAAPAAAAAAAAAAEAIAAAACIAAABkcnMvZG93bnJldi54bWxQSwEC&#10;FAAUAAAACACHTuJA/pBpavUBAADjAwAADgAAAAAAAAABACAAAAAmAQAAZHJzL2Uyb0RvYy54bWxQ&#10;SwUGAAAAAAYABgBZAQAAjQ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2315845</wp:posOffset>
                </wp:positionH>
                <wp:positionV relativeFrom="paragraph">
                  <wp:posOffset>596265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2.35pt;margin-top:46.95pt;height:0pt;width:75.5pt;z-index:251675648;mso-width-relative:page;mso-height-relative:page;" filled="f" stroked="t" coordsize="21600,21600" o:gfxdata="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V1tB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p>
    <w:p>
      <w:pPr>
        <w:pStyle w:val="37"/>
        <w:rPr>
          <w:color w:val="auto"/>
          <w:highlight w:val="none"/>
        </w:rPr>
      </w:pPr>
    </w:p>
    <w:p>
      <w:pPr>
        <w:pStyle w:val="2"/>
        <w:rPr>
          <w:color w:val="auto"/>
          <w:highlight w:val="none"/>
        </w:rPr>
      </w:pPr>
      <w:bookmarkStart w:id="72" w:name="_Toc12721"/>
      <w:bookmarkStart w:id="73" w:name="_Toc1375"/>
      <w:bookmarkStart w:id="74" w:name="_Toc12968"/>
      <w:bookmarkStart w:id="75" w:name="_Toc19686"/>
      <w:bookmarkStart w:id="76" w:name="_Toc87616386"/>
      <w:bookmarkStart w:id="77" w:name="_Toc19088"/>
      <w:bookmarkStart w:id="78" w:name="_Toc8183"/>
      <w:bookmarkStart w:id="79" w:name="_Toc12980"/>
      <w:bookmarkStart w:id="80" w:name="_Toc13309"/>
      <w:bookmarkStart w:id="81" w:name="_Toc88209949"/>
      <w:bookmarkStart w:id="82" w:name="_Toc22501"/>
      <w:bookmarkStart w:id="83" w:name="_Toc22797"/>
      <w:bookmarkStart w:id="84" w:name="_Toc323"/>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4"/>
        <w:rPr>
          <w:rFonts w:ascii="方正小标宋简体" w:eastAsia="方正小标宋简体"/>
          <w:color w:val="auto"/>
          <w:sz w:val="44"/>
          <w:szCs w:val="44"/>
          <w:highlight w:val="none"/>
        </w:rPr>
      </w:pPr>
    </w:p>
    <w:p>
      <w:pPr>
        <w:pStyle w:val="15"/>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spacing w:line="400" w:lineRule="atLeast"/>
        <w:jc w:val="center"/>
        <w:rPr>
          <w:rFonts w:hint="eastAsia" w:ascii="仿宋" w:hAnsi="仿宋" w:eastAsia="仿宋" w:cs="仿宋"/>
          <w:b/>
          <w:bCs/>
          <w:color w:val="auto"/>
          <w:sz w:val="48"/>
          <w:szCs w:val="48"/>
          <w:highlight w:val="none"/>
        </w:rPr>
      </w:pPr>
    </w:p>
    <w:p>
      <w:pPr>
        <w:spacing w:line="400" w:lineRule="atLeast"/>
        <w:jc w:val="center"/>
        <w:rPr>
          <w:rFonts w:hint="eastAsia" w:ascii="仿宋" w:hAnsi="仿宋" w:eastAsia="仿宋" w:cs="仿宋"/>
          <w:b/>
          <w:bCs/>
          <w:color w:val="auto"/>
          <w:sz w:val="48"/>
          <w:szCs w:val="48"/>
          <w:highlight w:val="none"/>
        </w:rPr>
      </w:pPr>
    </w:p>
    <w:p>
      <w:pPr>
        <w:spacing w:line="400" w:lineRule="atLeast"/>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广州市净水有限公司</w:t>
      </w:r>
    </w:p>
    <w:p>
      <w:pPr>
        <w:spacing w:line="400" w:lineRule="atLeast"/>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48"/>
          <w:szCs w:val="48"/>
          <w:highlight w:val="none"/>
        </w:rPr>
        <w:t>设备维修维护/技改项目合同</w:t>
      </w:r>
    </w:p>
    <w:p>
      <w:pPr>
        <w:spacing w:line="400" w:lineRule="atLeast"/>
        <w:jc w:val="center"/>
        <w:rPr>
          <w:rFonts w:hint="eastAsia" w:ascii="仿宋" w:hAnsi="仿宋" w:eastAsia="仿宋" w:cs="仿宋"/>
          <w:b/>
          <w:color w:val="auto"/>
          <w:sz w:val="28"/>
          <w:highlight w:val="none"/>
        </w:rPr>
      </w:pPr>
    </w:p>
    <w:p>
      <w:pPr>
        <w:spacing w:line="400" w:lineRule="atLeast"/>
        <w:jc w:val="center"/>
        <w:rPr>
          <w:rFonts w:hint="eastAsia" w:ascii="仿宋" w:hAnsi="仿宋" w:eastAsia="仿宋" w:cs="仿宋"/>
          <w:b/>
          <w:color w:val="auto"/>
          <w:sz w:val="28"/>
          <w:highlight w:val="none"/>
        </w:rPr>
      </w:pPr>
    </w:p>
    <w:p>
      <w:pPr>
        <w:spacing w:line="0" w:lineRule="atLeast"/>
        <w:rPr>
          <w:rFonts w:hint="eastAsia" w:ascii="仿宋" w:hAnsi="仿宋" w:eastAsia="仿宋" w:cs="仿宋"/>
          <w:b/>
          <w:color w:val="auto"/>
          <w:sz w:val="30"/>
          <w:highlight w:val="none"/>
        </w:rPr>
      </w:pPr>
    </w:p>
    <w:p>
      <w:pPr>
        <w:spacing w:line="0" w:lineRule="atLeast"/>
        <w:rPr>
          <w:rFonts w:hint="eastAsia" w:ascii="仿宋" w:hAnsi="仿宋" w:eastAsia="仿宋" w:cs="仿宋"/>
          <w:b/>
          <w:color w:val="auto"/>
          <w:sz w:val="30"/>
          <w:szCs w:val="30"/>
          <w:highlight w:val="none"/>
        </w:rPr>
      </w:pPr>
    </w:p>
    <w:p>
      <w:pPr>
        <w:pStyle w:val="49"/>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项目名称:</w:t>
      </w:r>
      <w:r>
        <w:rPr>
          <w:rFonts w:hint="eastAsia" w:ascii="仿宋" w:hAnsi="仿宋" w:eastAsia="仿宋" w:cs="仿宋"/>
          <w:b/>
          <w:color w:val="auto"/>
          <w:sz w:val="30"/>
          <w:szCs w:val="30"/>
          <w:highlight w:val="none"/>
          <w:lang w:eastAsia="zh-CN"/>
        </w:rPr>
        <w:t>广州市净水有限公司大坦沙分公司一、二、三期滤池提升泵配电柜优化等项目（机电维修类）</w:t>
      </w:r>
    </w:p>
    <w:p>
      <w:pPr>
        <w:spacing w:line="400" w:lineRule="atLeas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项目编号：</w:t>
      </w:r>
    </w:p>
    <w:p>
      <w:pPr>
        <w:pStyle w:val="23"/>
        <w:rPr>
          <w:rFonts w:hint="eastAsia" w:ascii="仿宋" w:hAnsi="仿宋" w:eastAsia="仿宋" w:cs="仿宋"/>
          <w:color w:val="auto"/>
          <w:highlight w:val="none"/>
        </w:rPr>
      </w:pPr>
    </w:p>
    <w:p>
      <w:pPr>
        <w:spacing w:line="400" w:lineRule="atLeast"/>
        <w:rPr>
          <w:rFonts w:hint="eastAsia" w:ascii="仿宋" w:hAnsi="仿宋" w:eastAsia="仿宋" w:cs="仿宋"/>
          <w:b/>
          <w:bCs/>
          <w:color w:val="auto"/>
          <w:sz w:val="30"/>
          <w:szCs w:val="30"/>
          <w:highlight w:val="none"/>
        </w:rPr>
      </w:pPr>
      <w:r>
        <w:rPr>
          <w:rFonts w:hint="eastAsia" w:ascii="仿宋" w:hAnsi="仿宋" w:eastAsia="仿宋" w:cs="仿宋"/>
          <w:b/>
          <w:color w:val="auto"/>
          <w:sz w:val="30"/>
          <w:szCs w:val="30"/>
          <w:highlight w:val="none"/>
        </w:rPr>
        <w:t>合同编号：</w:t>
      </w:r>
      <w:r>
        <w:rPr>
          <w:rFonts w:hint="eastAsia" w:ascii="仿宋" w:hAnsi="仿宋" w:eastAsia="仿宋" w:cs="仿宋"/>
          <w:b/>
          <w:bCs/>
          <w:color w:val="auto"/>
          <w:sz w:val="30"/>
          <w:szCs w:val="30"/>
          <w:highlight w:val="none"/>
        </w:rPr>
        <w:t>穗净水合[</w:t>
      </w:r>
      <w:r>
        <w:rPr>
          <w:rFonts w:hint="eastAsia" w:ascii="仿宋" w:hAnsi="仿宋" w:eastAsia="仿宋" w:cs="仿宋"/>
          <w:b/>
          <w:bCs/>
          <w:color w:val="auto"/>
          <w:sz w:val="30"/>
          <w:szCs w:val="30"/>
          <w:highlight w:val="none"/>
          <w:lang w:val="en-US" w:eastAsia="zh-CN"/>
        </w:rPr>
        <w:t>2023</w:t>
      </w:r>
      <w:r>
        <w:rPr>
          <w:rFonts w:hint="eastAsia" w:ascii="仿宋" w:hAnsi="仿宋" w:eastAsia="仿宋" w:cs="仿宋"/>
          <w:b/>
          <w:bCs/>
          <w:color w:val="auto"/>
          <w:sz w:val="30"/>
          <w:szCs w:val="30"/>
          <w:highlight w:val="none"/>
        </w:rPr>
        <w:t>]    号</w:t>
      </w:r>
    </w:p>
    <w:p>
      <w:pPr>
        <w:spacing w:line="400" w:lineRule="atLeast"/>
        <w:rPr>
          <w:rFonts w:hint="eastAsia" w:ascii="仿宋" w:hAnsi="仿宋" w:eastAsia="仿宋" w:cs="仿宋"/>
          <w:b/>
          <w:color w:val="auto"/>
          <w:sz w:val="30"/>
          <w:szCs w:val="30"/>
          <w:highlight w:val="none"/>
        </w:rPr>
      </w:pPr>
    </w:p>
    <w:p>
      <w:pPr>
        <w:spacing w:line="400" w:lineRule="atLeas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甲方：广州市净水有限公司</w:t>
      </w:r>
    </w:p>
    <w:p>
      <w:pPr>
        <w:spacing w:line="400" w:lineRule="atLeast"/>
        <w:rPr>
          <w:rFonts w:hint="eastAsia" w:ascii="仿宋" w:hAnsi="仿宋" w:eastAsia="仿宋" w:cs="仿宋"/>
          <w:b/>
          <w:color w:val="auto"/>
          <w:sz w:val="30"/>
          <w:szCs w:val="30"/>
          <w:highlight w:val="none"/>
        </w:rPr>
      </w:pPr>
    </w:p>
    <w:p>
      <w:pPr>
        <w:spacing w:line="400" w:lineRule="atLeast"/>
        <w:rPr>
          <w:rFonts w:hint="eastAsia" w:ascii="仿宋" w:hAnsi="仿宋" w:eastAsia="仿宋" w:cs="仿宋"/>
          <w:b/>
          <w:bCs/>
          <w:color w:val="auto"/>
          <w:sz w:val="30"/>
          <w:szCs w:val="30"/>
          <w:highlight w:val="none"/>
          <w:lang w:val="en-US" w:eastAsia="zh-CN"/>
        </w:rPr>
      </w:pPr>
      <w:r>
        <w:rPr>
          <w:rFonts w:hint="eastAsia" w:ascii="仿宋" w:hAnsi="仿宋" w:eastAsia="仿宋" w:cs="仿宋"/>
          <w:b/>
          <w:color w:val="auto"/>
          <w:sz w:val="30"/>
          <w:szCs w:val="30"/>
          <w:highlight w:val="none"/>
        </w:rPr>
        <w:t>乙方</w:t>
      </w:r>
      <w:r>
        <w:rPr>
          <w:rFonts w:hint="eastAsia" w:ascii="仿宋" w:hAnsi="仿宋" w:eastAsia="仿宋" w:cs="仿宋"/>
          <w:color w:val="auto"/>
          <w:sz w:val="30"/>
          <w:szCs w:val="30"/>
          <w:highlight w:val="none"/>
        </w:rPr>
        <w:t>：</w:t>
      </w:r>
    </w:p>
    <w:p>
      <w:pPr>
        <w:spacing w:line="400" w:lineRule="atLeast"/>
        <w:rPr>
          <w:rFonts w:hint="eastAsia" w:ascii="仿宋" w:hAnsi="仿宋" w:eastAsia="仿宋" w:cs="仿宋"/>
          <w:b/>
          <w:color w:val="auto"/>
          <w:sz w:val="30"/>
          <w:szCs w:val="30"/>
          <w:highlight w:val="none"/>
        </w:rPr>
      </w:pPr>
    </w:p>
    <w:p>
      <w:pPr>
        <w:rPr>
          <w:rFonts w:hint="eastAsia" w:ascii="仿宋" w:hAnsi="仿宋" w:eastAsia="仿宋" w:cs="仿宋"/>
          <w:color w:val="auto"/>
          <w:highlight w:val="none"/>
        </w:rPr>
      </w:pPr>
    </w:p>
    <w:p>
      <w:pPr>
        <w:spacing w:line="400" w:lineRule="atLeas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签订日期：       年   月   日       </w:t>
      </w:r>
    </w:p>
    <w:p>
      <w:pPr>
        <w:spacing w:line="400" w:lineRule="atLeast"/>
        <w:rPr>
          <w:rFonts w:hint="eastAsia" w:ascii="仿宋" w:hAnsi="仿宋" w:eastAsia="仿宋" w:cs="仿宋"/>
          <w:b/>
          <w:color w:val="auto"/>
          <w:sz w:val="30"/>
          <w:highlight w:val="none"/>
        </w:rPr>
      </w:pPr>
      <w:r>
        <w:rPr>
          <w:rFonts w:hint="eastAsia" w:ascii="仿宋" w:hAnsi="仿宋" w:eastAsia="仿宋" w:cs="仿宋"/>
          <w:b/>
          <w:color w:val="auto"/>
          <w:sz w:val="30"/>
          <w:highlight w:val="none"/>
        </w:rPr>
        <w:t>签约地点：广州市</w:t>
      </w:r>
    </w:p>
    <w:p>
      <w:pPr>
        <w:spacing w:line="400" w:lineRule="atLeast"/>
        <w:rPr>
          <w:rFonts w:hint="eastAsia" w:ascii="仿宋" w:hAnsi="仿宋" w:eastAsia="仿宋" w:cs="仿宋"/>
          <w:b/>
          <w:color w:val="auto"/>
          <w:sz w:val="30"/>
          <w:highlight w:val="none"/>
        </w:rPr>
      </w:pPr>
    </w:p>
    <w:p>
      <w:pPr>
        <w:spacing w:before="93" w:beforeLines="30" w:line="500" w:lineRule="exact"/>
        <w:ind w:left="0" w:leftChars="0" w:firstLine="0" w:firstLineChars="0"/>
        <w:rPr>
          <w:rFonts w:hint="eastAsia" w:ascii="仿宋" w:hAnsi="仿宋" w:eastAsia="仿宋" w:cs="仿宋"/>
          <w:color w:val="auto"/>
          <w:sz w:val="24"/>
          <w:highlight w:val="none"/>
          <w:u w:val="single"/>
        </w:rPr>
      </w:pPr>
      <w:r>
        <w:rPr>
          <w:rFonts w:hint="eastAsia" w:ascii="仿宋" w:hAnsi="仿宋" w:eastAsia="仿宋" w:cs="仿宋"/>
          <w:b/>
          <w:color w:val="auto"/>
          <w:sz w:val="30"/>
          <w:highlight w:val="none"/>
          <w:lang w:val="en-US" w:eastAsia="zh-CN"/>
        </w:rPr>
        <w:t xml:space="preserve">  </w:t>
      </w:r>
      <w:r>
        <w:rPr>
          <w:rFonts w:hint="eastAsia" w:ascii="仿宋" w:hAnsi="仿宋" w:eastAsia="仿宋" w:cs="仿宋"/>
          <w:color w:val="auto"/>
          <w:sz w:val="24"/>
          <w:highlight w:val="none"/>
        </w:rPr>
        <w:t>根据《中华人民共和国民法典》及其他有关法律、行政法规，</w:t>
      </w:r>
      <w:r>
        <w:rPr>
          <w:rFonts w:hint="eastAsia" w:ascii="仿宋" w:hAnsi="仿宋" w:eastAsia="仿宋" w:cs="仿宋"/>
          <w:color w:val="auto"/>
          <w:sz w:val="24"/>
          <w:highlight w:val="none"/>
          <w:u w:val="single"/>
        </w:rPr>
        <w:t>广州市净水有限公司</w:t>
      </w:r>
      <w:r>
        <w:rPr>
          <w:rFonts w:hint="eastAsia" w:ascii="仿宋" w:hAnsi="仿宋" w:eastAsia="仿宋" w:cs="仿宋"/>
          <w:color w:val="auto"/>
          <w:sz w:val="24"/>
          <w:highlight w:val="none"/>
        </w:rPr>
        <w:t xml:space="preserve"> （以下简称“甲方”）与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（以下简称“乙方”）就</w:t>
      </w:r>
      <w:r>
        <w:rPr>
          <w:rFonts w:hint="eastAsia" w:ascii="仿宋" w:hAnsi="仿宋" w:eastAsia="仿宋" w:cs="仿宋"/>
          <w:color w:val="auto"/>
          <w:sz w:val="24"/>
          <w:highlight w:val="none"/>
          <w:u w:val="single"/>
          <w:lang w:val="en-US" w:eastAsia="zh-CN"/>
        </w:rPr>
        <w:t>大坦沙分公司一、二、三期滤池提升泵配电柜优化等项目（机电维修类）</w:t>
      </w:r>
      <w:r>
        <w:rPr>
          <w:rFonts w:hint="eastAsia" w:ascii="仿宋" w:hAnsi="仿宋" w:eastAsia="仿宋" w:cs="仿宋"/>
          <w:color w:val="auto"/>
          <w:sz w:val="24"/>
          <w:highlight w:val="none"/>
        </w:rPr>
        <w:t>承接工作事宜，遵循平等、自愿、公平和诚实信用的原则，双方协商一致，订立本合同。</w:t>
      </w:r>
    </w:p>
    <w:p>
      <w:pPr>
        <w:spacing w:before="93" w:beforeLines="30" w:line="500" w:lineRule="exact"/>
        <w:ind w:left="210" w:leftChars="10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第一条 组成合同的文件及优先顺序</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下列文件（如有）均为本合同的组成部分，可视为能相互说明和补充的，如果合同文件存在歧义或相矛盾的地方，则根据以下次序判断：</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⑴ </w:t>
      </w:r>
      <w:r>
        <w:rPr>
          <w:rFonts w:hint="eastAsia" w:ascii="仿宋" w:hAnsi="仿宋" w:eastAsia="仿宋" w:cs="仿宋"/>
          <w:color w:val="auto"/>
          <w:sz w:val="24"/>
          <w:highlight w:val="none"/>
        </w:rPr>
        <w:t>在本合同实施过程双方签署的补充与修正文件</w:t>
      </w:r>
      <w:r>
        <w:rPr>
          <w:rFonts w:hint="eastAsia" w:ascii="仿宋" w:hAnsi="仿宋" w:eastAsia="仿宋" w:cs="仿宋"/>
          <w:bCs/>
          <w:color w:val="auto"/>
          <w:sz w:val="24"/>
          <w:highlight w:val="none"/>
        </w:rPr>
        <w:t>；</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⑵ 本合同书；</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⑶ </w:t>
      </w:r>
      <w:r>
        <w:rPr>
          <w:rFonts w:hint="eastAsia" w:ascii="仿宋" w:hAnsi="仿宋" w:eastAsia="仿宋" w:cs="仿宋"/>
          <w:bCs/>
          <w:color w:val="auto"/>
          <w:sz w:val="24"/>
          <w:szCs w:val="22"/>
          <w:highlight w:val="none"/>
        </w:rPr>
        <w:t>成交通知书</w:t>
      </w:r>
      <w:r>
        <w:rPr>
          <w:rFonts w:hint="eastAsia" w:ascii="仿宋" w:hAnsi="仿宋" w:eastAsia="仿宋" w:cs="仿宋"/>
          <w:bCs/>
          <w:color w:val="auto"/>
          <w:sz w:val="24"/>
          <w:highlight w:val="none"/>
        </w:rPr>
        <w:t>/委托函；</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⑷ 询价文件；</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⑸ 响应文件；</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⑹ 标准、规范及有关技术性文件；</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⑺ 图纸；</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⑻ 工程量清单/</w:t>
      </w:r>
      <w:r>
        <w:rPr>
          <w:rFonts w:hint="eastAsia" w:ascii="仿宋" w:hAnsi="仿宋" w:eastAsia="仿宋" w:cs="仿宋"/>
          <w:color w:val="auto"/>
          <w:sz w:val="24"/>
          <w:highlight w:val="none"/>
        </w:rPr>
        <w:t>工程报价单或预算书；</w:t>
      </w:r>
    </w:p>
    <w:p>
      <w:pPr>
        <w:spacing w:line="500" w:lineRule="exact"/>
        <w:ind w:firstLine="482"/>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⑼ 本合同其他附件；</w:t>
      </w:r>
    </w:p>
    <w:p>
      <w:pPr>
        <w:spacing w:line="500" w:lineRule="exact"/>
        <w:ind w:firstLine="48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第二条 项目概况、项目承包范围</w:t>
      </w:r>
    </w:p>
    <w:p>
      <w:pPr>
        <w:spacing w:line="500" w:lineRule="exact"/>
        <w:ind w:firstLine="480" w:firstLineChars="200"/>
        <w:rPr>
          <w:rFonts w:hint="default" w:ascii="仿宋" w:hAnsi="仿宋" w:eastAsia="仿宋" w:cs="仿宋"/>
          <w:b w:val="0"/>
          <w:bCs w:val="0"/>
          <w:color w:val="auto"/>
          <w:sz w:val="24"/>
          <w:szCs w:val="24"/>
          <w:highlight w:val="none"/>
          <w:u w:val="single"/>
          <w:lang w:val="en-US" w:eastAsia="zh-CN"/>
        </w:rPr>
      </w:pPr>
      <w:r>
        <w:rPr>
          <w:rFonts w:hint="eastAsia" w:ascii="仿宋" w:hAnsi="仿宋" w:eastAsia="仿宋" w:cs="仿宋"/>
          <w:sz w:val="24"/>
          <w:szCs w:val="24"/>
        </w:rPr>
        <w:t>2.1项目名称：</w:t>
      </w:r>
      <w:r>
        <w:rPr>
          <w:rFonts w:hint="eastAsia" w:ascii="仿宋" w:hAnsi="仿宋" w:eastAsia="仿宋" w:cs="仿宋"/>
          <w:b w:val="0"/>
          <w:bCs w:val="0"/>
          <w:color w:val="auto"/>
          <w:sz w:val="24"/>
          <w:szCs w:val="24"/>
          <w:highlight w:val="none"/>
          <w:u w:val="single"/>
          <w:lang w:val="en-US" w:eastAsia="zh-CN"/>
        </w:rPr>
        <w:t>项目一：</w:t>
      </w:r>
      <w:r>
        <w:rPr>
          <w:rFonts w:hint="eastAsia" w:ascii="仿宋" w:hAnsi="仿宋" w:eastAsia="仿宋" w:cs="仿宋"/>
          <w:color w:val="auto"/>
          <w:kern w:val="2"/>
          <w:sz w:val="24"/>
          <w:szCs w:val="24"/>
          <w:highlight w:val="none"/>
          <w:u w:val="single"/>
          <w:lang w:val="en-US" w:eastAsia="zh-CN" w:bidi="ar"/>
        </w:rPr>
        <w:t>大坦沙分公司一、二、三期滤池提升泵配电柜优化项目</w:t>
      </w:r>
      <w:r>
        <w:rPr>
          <w:rFonts w:hint="eastAsia" w:ascii="仿宋" w:hAnsi="仿宋" w:eastAsia="仿宋" w:cs="仿宋"/>
          <w:b w:val="0"/>
          <w:bCs w:val="0"/>
          <w:color w:val="auto"/>
          <w:sz w:val="24"/>
          <w:szCs w:val="24"/>
          <w:highlight w:val="none"/>
          <w:u w:val="single"/>
          <w:lang w:val="en-US" w:eastAsia="zh-CN"/>
        </w:rPr>
        <w:t>、项目二：</w:t>
      </w:r>
      <w:r>
        <w:rPr>
          <w:rFonts w:hint="eastAsia" w:ascii="仿宋" w:hAnsi="仿宋" w:eastAsia="仿宋" w:cs="仿宋"/>
          <w:color w:val="auto"/>
          <w:kern w:val="2"/>
          <w:sz w:val="24"/>
          <w:szCs w:val="24"/>
          <w:highlight w:val="none"/>
          <w:u w:val="single"/>
          <w:lang w:val="en-US" w:eastAsia="zh-CN" w:bidi="ar"/>
        </w:rPr>
        <w:t>大坦沙分公司一二期二沉池RSSS及泥位计过程仪表优化项目</w:t>
      </w:r>
      <w:r>
        <w:rPr>
          <w:rFonts w:hint="eastAsia" w:ascii="仿宋" w:hAnsi="仿宋" w:eastAsia="仿宋" w:cs="仿宋"/>
          <w:b w:val="0"/>
          <w:bCs w:val="0"/>
          <w:color w:val="auto"/>
          <w:sz w:val="24"/>
          <w:szCs w:val="24"/>
          <w:highlight w:val="none"/>
          <w:u w:val="single"/>
          <w:lang w:val="en-US" w:eastAsia="zh-CN"/>
        </w:rPr>
        <w:t>、项目三：</w:t>
      </w:r>
      <w:r>
        <w:rPr>
          <w:rFonts w:hint="eastAsia" w:ascii="仿宋" w:hAnsi="仿宋" w:eastAsia="仿宋" w:cs="仿宋"/>
          <w:color w:val="auto"/>
          <w:kern w:val="2"/>
          <w:sz w:val="24"/>
          <w:szCs w:val="24"/>
          <w:highlight w:val="none"/>
          <w:u w:val="single"/>
          <w:lang w:val="en-US" w:eastAsia="zh-CN" w:bidi="ar"/>
        </w:rPr>
        <w:t>大坦沙分公司一二期一分高压电房2号4号出线柜智能仪表维修等项目、项目四：大坦沙分公司干化车间板框机气体检测优化等项目</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8"/>
        <w:gridCol w:w="2380"/>
        <w:gridCol w:w="5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 xml:space="preserve">所属单位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color w:val="auto"/>
                <w:kern w:val="0"/>
                <w:sz w:val="24"/>
                <w:szCs w:val="24"/>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color w:val="auto"/>
                <w:kern w:val="0"/>
                <w:sz w:val="24"/>
                <w:szCs w:val="24"/>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大坦沙分公司一、二、三期滤池提升泵配电柜优化项目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color w:val="auto"/>
                <w:kern w:val="0"/>
                <w:sz w:val="24"/>
                <w:szCs w:val="24"/>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color w:val="auto"/>
                <w:kern w:val="0"/>
                <w:sz w:val="24"/>
                <w:szCs w:val="24"/>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color w:val="auto"/>
                <w:kern w:val="0"/>
                <w:sz w:val="24"/>
                <w:szCs w:val="24"/>
                <w:lang w:val="en-US" w:eastAsia="zh-CN" w:bidi="ar"/>
              </w:rPr>
              <w:t>大坦沙分公司一二期二沉池RSSS及泥位计过程仪表优化项目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color w:val="auto"/>
                <w:kern w:val="0"/>
                <w:sz w:val="24"/>
                <w:szCs w:val="24"/>
                <w:lang w:val="en-US" w:eastAsia="zh-CN" w:bidi="ar"/>
              </w:rPr>
              <w:t>大坦沙分公司一二期一分高压电房2号4号出线柜智能仪表维修等项目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大坦沙分公司干化车间板框机气体检测优化等项目</w:t>
            </w:r>
          </w:p>
        </w:tc>
      </w:tr>
    </w:tbl>
    <w:p>
      <w:pPr>
        <w:spacing w:line="500" w:lineRule="exact"/>
        <w:ind w:firstLine="480" w:firstLineChars="200"/>
        <w:rPr>
          <w:rFonts w:hint="eastAsia" w:ascii="仿宋" w:hAnsi="仿宋" w:eastAsia="仿宋" w:cs="仿宋"/>
          <w:sz w:val="24"/>
          <w:szCs w:val="24"/>
        </w:rPr>
      </w:pP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2.2项目地点：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广州市荔湾区桥中南路7号</w:t>
      </w:r>
      <w:r>
        <w:rPr>
          <w:rFonts w:hint="eastAsia" w:ascii="仿宋" w:hAnsi="仿宋" w:eastAsia="仿宋" w:cs="仿宋"/>
          <w:sz w:val="24"/>
          <w:szCs w:val="24"/>
          <w:u w:val="single"/>
        </w:rPr>
        <w:t>。</w:t>
      </w:r>
    </w:p>
    <w:p>
      <w:pPr>
        <w:spacing w:line="500" w:lineRule="exact"/>
        <w:rPr>
          <w:rFonts w:hint="eastAsia" w:ascii="仿宋" w:hAnsi="仿宋" w:eastAsia="仿宋" w:cs="仿宋"/>
          <w:sz w:val="24"/>
          <w:szCs w:val="24"/>
        </w:rPr>
      </w:pPr>
      <w:r>
        <w:rPr>
          <w:rFonts w:hint="eastAsia" w:ascii="仿宋" w:hAnsi="仿宋" w:eastAsia="仿宋" w:cs="仿宋"/>
          <w:sz w:val="24"/>
          <w:szCs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2.4项目内容</w:t>
      </w:r>
      <w:r>
        <w:rPr>
          <w:rFonts w:hint="eastAsia" w:ascii="仿宋" w:hAnsi="仿宋" w:eastAsia="仿宋" w:cs="仿宋"/>
          <w:sz w:val="24"/>
          <w:szCs w:val="24"/>
          <w:lang w:eastAsia="zh-CN"/>
        </w:rPr>
        <w:t>：</w:t>
      </w:r>
    </w:p>
    <w:tbl>
      <w:tblPr>
        <w:tblStyle w:val="24"/>
        <w:tblpPr w:leftFromText="180" w:rightFromText="180" w:vertAnchor="text" w:horzAnchor="page" w:tblpX="1392" w:tblpY="576"/>
        <w:tblOverlap w:val="never"/>
        <w:tblW w:w="86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31"/>
        <w:gridCol w:w="1074"/>
        <w:gridCol w:w="2500"/>
        <w:gridCol w:w="45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1" w:hRule="atLeast"/>
        </w:trPr>
        <w:tc>
          <w:tcPr>
            <w:tcW w:w="53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序号</w:t>
            </w:r>
          </w:p>
        </w:tc>
        <w:tc>
          <w:tcPr>
            <w:tcW w:w="107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单位</w:t>
            </w:r>
          </w:p>
        </w:tc>
        <w:tc>
          <w:tcPr>
            <w:tcW w:w="250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子项目名称</w:t>
            </w:r>
          </w:p>
        </w:tc>
        <w:tc>
          <w:tcPr>
            <w:tcW w:w="455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3" w:hRule="atLeast"/>
        </w:trPr>
        <w:tc>
          <w:tcPr>
            <w:tcW w:w="53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w:t>
            </w:r>
          </w:p>
        </w:tc>
        <w:tc>
          <w:tcPr>
            <w:tcW w:w="107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w:t>
            </w:r>
          </w:p>
        </w:tc>
        <w:tc>
          <w:tcPr>
            <w:tcW w:w="250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u w:val="none"/>
                <w:lang w:val="en-US" w:eastAsia="zh-CN" w:bidi="ar"/>
              </w:rPr>
              <w:t>大坦沙分公司一、二、三期滤池提升泵配电柜优化项目</w:t>
            </w:r>
          </w:p>
        </w:tc>
        <w:tc>
          <w:tcPr>
            <w:tcW w:w="455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在一、二、三期滤池提升泵低压柜加装速断熔断器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4"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color w:val="auto"/>
                <w:kern w:val="0"/>
                <w:sz w:val="24"/>
                <w:szCs w:val="24"/>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大坦沙分公司一二期二沉池RSSS及泥位计过程仪表优化项目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在一二期3号7号11号二沉池池面安装泥位计，在二沉池集泥井安装RSSS仪表和更换仪表箱。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大坦沙分公司一二期一分高压电房2号4号出线柜智能仪表维修等项目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分项一：三期总高压房和一分高压房直流屏维修。</w:t>
            </w:r>
          </w:p>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分项二：一二期2号4号风机智能仪表维修。</w:t>
            </w:r>
          </w:p>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分项三：化验班危化仓内更换成防爆摄像头，原有摄像头改装至危化仓门口。试剂柜排风机更换。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大坦沙分公司干化车间板框机气体检测优化等项目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干化车间加装气体检测仪等</w:t>
            </w:r>
          </w:p>
        </w:tc>
      </w:tr>
    </w:tbl>
    <w:p>
      <w:pPr>
        <w:spacing w:line="500" w:lineRule="exact"/>
        <w:ind w:firstLine="480" w:firstLineChars="200"/>
        <w:rPr>
          <w:rFonts w:hint="eastAsia" w:ascii="宋体" w:hAnsi="宋体" w:cs="宋体"/>
          <w:sz w:val="24"/>
          <w:u w:val="single"/>
          <w:lang w:val="en-US" w:eastAsia="zh-CN"/>
        </w:rPr>
      </w:pPr>
    </w:p>
    <w:p>
      <w:pPr>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（详见技术需求）</w:t>
      </w:r>
    </w:p>
    <w:p>
      <w:pPr>
        <w:spacing w:line="5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第三条 项目承包方式</w:t>
      </w:r>
    </w:p>
    <w:p>
      <w:pPr>
        <w:spacing w:line="5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eastAsia="zh-CN"/>
        </w:rPr>
        <w:sym w:font="Wingdings 2" w:char="0052"/>
      </w:r>
      <w:r>
        <w:rPr>
          <w:rFonts w:hint="eastAsia" w:ascii="仿宋" w:hAnsi="仿宋" w:eastAsia="仿宋" w:cs="仿宋"/>
          <w:color w:val="auto"/>
          <w:sz w:val="24"/>
          <w:highlight w:val="none"/>
        </w:rPr>
        <w:t>包工、包料、包工期、包质量、包安全、包文明施工。综合单价包干、项目措施费</w:t>
      </w:r>
      <w:r>
        <w:rPr>
          <w:rFonts w:hint="eastAsia" w:ascii="仿宋" w:hAnsi="仿宋" w:eastAsia="仿宋" w:cs="仿宋"/>
          <w:color w:val="auto"/>
          <w:sz w:val="24"/>
          <w:highlight w:val="none"/>
          <w:lang w:val="en-US" w:eastAsia="zh-CN"/>
        </w:rPr>
        <w:t>按实结算</w:t>
      </w:r>
      <w:r>
        <w:rPr>
          <w:rFonts w:hint="eastAsia" w:ascii="仿宋" w:hAnsi="仿宋" w:eastAsia="仿宋" w:cs="仿宋"/>
          <w:color w:val="auto"/>
          <w:sz w:val="24"/>
          <w:highlight w:val="none"/>
        </w:rPr>
        <w:t>。（单价包干要求附工程量报价/工程预算书）</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sym w:font="Wingdings" w:char="00A8"/>
      </w:r>
      <w:r>
        <w:rPr>
          <w:rFonts w:hint="eastAsia" w:ascii="仿宋" w:hAnsi="仿宋" w:eastAsia="仿宋" w:cs="仿宋"/>
          <w:color w:val="auto"/>
          <w:sz w:val="24"/>
          <w:highlight w:val="none"/>
        </w:rPr>
        <w:t>包工、包料、包质量、包工期、包安全、包文明施工、包设计、包调试、包验收的施工图纸，以总价包干形式。</w:t>
      </w:r>
    </w:p>
    <w:p>
      <w:pPr>
        <w:spacing w:line="5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第四条 合同价款</w:t>
      </w:r>
    </w:p>
    <w:p>
      <w:pPr>
        <w:spacing w:line="500" w:lineRule="exact"/>
        <w:ind w:firstLine="480" w:firstLineChars="200"/>
        <w:rPr>
          <w:rFonts w:hint="eastAsia" w:ascii="仿宋" w:hAnsi="仿宋" w:eastAsia="仿宋" w:cs="仿宋"/>
          <w:bCs/>
          <w:color w:val="auto"/>
          <w:sz w:val="24"/>
          <w:highlight w:val="none"/>
          <w:bdr w:val="single" w:color="auto" w:sz="4" w:space="0"/>
        </w:rPr>
      </w:pPr>
      <w:r>
        <w:rPr>
          <w:rFonts w:hint="eastAsia" w:ascii="仿宋" w:hAnsi="仿宋" w:eastAsia="仿宋" w:cs="仿宋"/>
          <w:color w:val="auto"/>
          <w:sz w:val="24"/>
          <w:highlight w:val="none"/>
        </w:rPr>
        <w:t>4.1合同价款按以下</w:t>
      </w:r>
      <w:r>
        <w:rPr>
          <w:rFonts w:hint="eastAsia" w:ascii="仿宋" w:hAnsi="仿宋" w:eastAsia="仿宋" w:cs="仿宋"/>
          <w:color w:val="auto"/>
          <w:sz w:val="24"/>
          <w:highlight w:val="none"/>
          <w:u w:val="single"/>
        </w:rPr>
        <w:t xml:space="preserve"> (1) </w:t>
      </w:r>
      <w:r>
        <w:rPr>
          <w:rFonts w:hint="eastAsia" w:ascii="仿宋" w:hAnsi="仿宋" w:eastAsia="仿宋" w:cs="仿宋"/>
          <w:color w:val="auto"/>
          <w:sz w:val="24"/>
          <w:highlight w:val="none"/>
        </w:rPr>
        <w:t>执行。</w:t>
      </w:r>
    </w:p>
    <w:p>
      <w:pPr>
        <w:numPr>
          <w:ilvl w:val="0"/>
          <w:numId w:val="26"/>
        </w:num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合同以</w:t>
      </w:r>
      <w:r>
        <w:rPr>
          <w:rFonts w:hint="eastAsia" w:ascii="仿宋" w:hAnsi="仿宋" w:eastAsia="仿宋" w:cs="仿宋"/>
          <w:color w:val="auto"/>
          <w:sz w:val="24"/>
          <w:highlight w:val="none"/>
          <w:lang w:val="en-US" w:eastAsia="zh-CN"/>
        </w:rPr>
        <w:t>单价</w:t>
      </w:r>
      <w:r>
        <w:rPr>
          <w:rFonts w:hint="eastAsia" w:ascii="仿宋" w:hAnsi="仿宋" w:eastAsia="仿宋" w:cs="仿宋"/>
          <w:color w:val="auto"/>
          <w:sz w:val="24"/>
          <w:highlight w:val="none"/>
        </w:rPr>
        <w:t>包干形式，合同暂定总价为：</w:t>
      </w:r>
      <w:r>
        <w:rPr>
          <w:rFonts w:hint="eastAsia" w:ascii="仿宋" w:hAnsi="仿宋" w:eastAsia="仿宋" w:cs="仿宋"/>
          <w:b/>
          <w:color w:val="auto"/>
          <w:sz w:val="24"/>
          <w:highlight w:val="none"/>
          <w:u w:val="single"/>
        </w:rPr>
        <w:t xml:space="preserve">人民币 </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u w:val="single"/>
        </w:rPr>
        <w:t xml:space="preserve"> 元</w:t>
      </w:r>
      <w:r>
        <w:rPr>
          <w:rFonts w:hint="eastAsia" w:ascii="仿宋" w:hAnsi="仿宋" w:eastAsia="仿宋" w:cs="仿宋"/>
          <w:color w:val="auto"/>
          <w:sz w:val="24"/>
          <w:highlight w:val="none"/>
        </w:rPr>
        <w:t>（大写:</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u w:val="single"/>
        </w:rPr>
        <w:t xml:space="preserve"> </w:t>
      </w:r>
      <w:r>
        <w:rPr>
          <w:rFonts w:hint="eastAsia" w:ascii="仿宋" w:hAnsi="仿宋" w:eastAsia="仿宋" w:cs="仿宋"/>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综合单价</w:t>
      </w:r>
      <w:r>
        <w:rPr>
          <w:rFonts w:hint="eastAsia" w:ascii="仿宋" w:hAnsi="仿宋" w:eastAsia="仿宋" w:cs="仿宋"/>
          <w:color w:val="auto"/>
          <w:sz w:val="24"/>
          <w:highlight w:val="none"/>
          <w:lang w:val="en-US" w:eastAsia="zh-CN"/>
        </w:rPr>
        <w:t>详见</w:t>
      </w:r>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工程量清单报价。</w:t>
      </w:r>
    </w:p>
    <w:p>
      <w:pPr>
        <w:autoSpaceDE w:val="0"/>
        <w:autoSpaceDN w:val="0"/>
        <w:adjustRightIn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color w:val="auto"/>
          <w:sz w:val="24"/>
          <w:highlight w:val="none"/>
        </w:rPr>
        <w:t>合同以总价包干形式，合同暂定总价为：</w:t>
      </w:r>
      <w:r>
        <w:rPr>
          <w:rFonts w:hint="eastAsia" w:ascii="仿宋" w:hAnsi="仿宋" w:eastAsia="仿宋" w:cs="仿宋"/>
          <w:b/>
          <w:color w:val="auto"/>
          <w:sz w:val="24"/>
          <w:highlight w:val="none"/>
          <w:u w:val="single"/>
        </w:rPr>
        <w:t>人民币</w:t>
      </w:r>
      <w:r>
        <w:rPr>
          <w:rFonts w:hint="eastAsia" w:ascii="仿宋" w:hAnsi="仿宋" w:eastAsia="仿宋" w:cs="仿宋"/>
          <w:color w:val="auto"/>
          <w:sz w:val="24"/>
          <w:highlight w:val="none"/>
          <w:u w:val="single"/>
        </w:rPr>
        <w:t xml:space="preserve"> / </w:t>
      </w:r>
      <w:r>
        <w:rPr>
          <w:rFonts w:hint="eastAsia" w:ascii="仿宋" w:hAnsi="仿宋" w:eastAsia="仿宋" w:cs="仿宋"/>
          <w:b/>
          <w:color w:val="auto"/>
          <w:sz w:val="24"/>
          <w:highlight w:val="none"/>
          <w:u w:val="single"/>
        </w:rPr>
        <w:t>元</w:t>
      </w:r>
      <w:r>
        <w:rPr>
          <w:rFonts w:hint="eastAsia" w:ascii="仿宋" w:hAnsi="仿宋" w:eastAsia="仿宋" w:cs="仿宋"/>
          <w:color w:val="auto"/>
          <w:sz w:val="24"/>
          <w:highlight w:val="none"/>
        </w:rPr>
        <w:t>（大写:</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kern w:val="0"/>
          <w:sz w:val="24"/>
          <w:highlight w:val="none"/>
        </w:rPr>
        <w:t>本合同约定的价格为含税价价格</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税率为9%</w:t>
      </w:r>
      <w:r>
        <w:rPr>
          <w:rFonts w:hint="eastAsia" w:ascii="仿宋" w:hAnsi="仿宋" w:eastAsia="仿宋" w:cs="仿宋"/>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第五条 工期及要求</w:t>
      </w:r>
    </w:p>
    <w:p>
      <w:pPr>
        <w:widowControl/>
        <w:spacing w:line="5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5.1开工日期暂定为：</w:t>
      </w:r>
      <w:r>
        <w:rPr>
          <w:rFonts w:hint="eastAsia" w:ascii="仿宋" w:hAnsi="仿宋" w:eastAsia="仿宋" w:cs="仿宋"/>
          <w:color w:val="auto"/>
          <w:sz w:val="24"/>
          <w:highlight w:val="none"/>
          <w:u w:val="single"/>
        </w:rPr>
        <w:t>合同签订后15天内</w:t>
      </w:r>
      <w:r>
        <w:rPr>
          <w:rFonts w:hint="eastAsia" w:ascii="仿宋" w:hAnsi="仿宋" w:eastAsia="仿宋" w:cs="仿宋"/>
          <w:color w:val="auto"/>
          <w:sz w:val="24"/>
          <w:highlight w:val="none"/>
        </w:rPr>
        <w:t>，具体日期以甲方发出的开工报告/</w:t>
      </w:r>
      <w:r>
        <w:rPr>
          <w:rFonts w:hint="eastAsia" w:ascii="仿宋" w:hAnsi="仿宋" w:eastAsia="仿宋" w:cs="仿宋"/>
          <w:color w:val="auto"/>
          <w:sz w:val="24"/>
          <w:highlight w:val="none"/>
          <w:lang w:val="en-US" w:eastAsia="zh-CN"/>
        </w:rPr>
        <w:t>书面</w:t>
      </w:r>
      <w:r>
        <w:rPr>
          <w:rFonts w:hint="eastAsia" w:ascii="仿宋" w:hAnsi="仿宋" w:eastAsia="仿宋" w:cs="仿宋"/>
          <w:color w:val="auto"/>
          <w:sz w:val="24"/>
          <w:highlight w:val="none"/>
        </w:rPr>
        <w:t>通知为准。乙方不能按时开工，应当于开工报告/</w:t>
      </w:r>
      <w:r>
        <w:rPr>
          <w:rFonts w:hint="eastAsia" w:ascii="仿宋" w:hAnsi="仿宋" w:eastAsia="仿宋" w:cs="仿宋"/>
          <w:color w:val="auto"/>
          <w:sz w:val="24"/>
          <w:highlight w:val="none"/>
          <w:lang w:val="en-US" w:eastAsia="zh-CN"/>
        </w:rPr>
        <w:t>书面</w:t>
      </w:r>
      <w:r>
        <w:rPr>
          <w:rFonts w:hint="eastAsia" w:ascii="仿宋" w:hAnsi="仿宋" w:eastAsia="仿宋" w:cs="仿宋"/>
          <w:color w:val="auto"/>
          <w:sz w:val="24"/>
          <w:highlight w:val="none"/>
        </w:rPr>
        <w:t>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仿宋" w:hAnsi="仿宋" w:eastAsia="仿宋" w:cs="仿宋"/>
          <w:color w:val="auto"/>
          <w:sz w:val="24"/>
          <w:highlight w:val="none"/>
          <w:lang w:val="en-US" w:eastAsia="zh-CN"/>
        </w:rPr>
        <w:t>及总日历</w:t>
      </w:r>
      <w:r>
        <w:rPr>
          <w:rFonts w:hint="eastAsia" w:ascii="仿宋" w:hAnsi="仿宋" w:eastAsia="仿宋" w:cs="仿宋"/>
          <w:color w:val="auto"/>
          <w:sz w:val="24"/>
          <w:highlight w:val="none"/>
          <w:u w:val="single"/>
          <w:lang w:val="en-US" w:eastAsia="zh-CN"/>
        </w:rPr>
        <w:t>60</w:t>
      </w:r>
      <w:r>
        <w:rPr>
          <w:rFonts w:hint="eastAsia" w:ascii="仿宋" w:hAnsi="仿宋" w:eastAsia="仿宋" w:cs="仿宋"/>
          <w:color w:val="auto"/>
          <w:sz w:val="24"/>
          <w:highlight w:val="none"/>
          <w:lang w:val="en-US" w:eastAsia="zh-CN"/>
        </w:rPr>
        <w:t>天</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highlight w:val="none"/>
        </w:rPr>
        <w:t>乙方未能按合同工期竣工验收的，每逾期一天，甲方有权要求乙方按合同暂定总价的 1%支付违约金，逾期达到</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天及以上的，甲方有权解除合同并要求乙方支付</w:t>
      </w:r>
      <w:r>
        <w:rPr>
          <w:rFonts w:hint="eastAsia" w:ascii="仿宋" w:hAnsi="仿宋" w:eastAsia="仿宋" w:cs="仿宋"/>
          <w:color w:val="auto"/>
          <w:sz w:val="24"/>
          <w:highlight w:val="none"/>
          <w:u w:val="single"/>
        </w:rPr>
        <w:t>合同暂定总价的20%</w:t>
      </w:r>
      <w:r>
        <w:rPr>
          <w:rFonts w:hint="eastAsia" w:ascii="仿宋" w:hAnsi="仿宋" w:eastAsia="仿宋" w:cs="仿宋"/>
          <w:color w:val="auto"/>
          <w:sz w:val="24"/>
          <w:highlight w:val="none"/>
        </w:rPr>
        <w:t>作为违约金。</w:t>
      </w:r>
    </w:p>
    <w:p>
      <w:pPr>
        <w:widowControl/>
        <w:spacing w:line="5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5.2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5.3乙方应按合同及甲方提供的技术文件要求进行本项目实施和安装。乙方未经甲方同意，不得将本项目图纸泄露或转给第三人。除乙方存档需要的图纸外，乙方应于项目质量保修期满后</w:t>
      </w:r>
      <w:r>
        <w:rPr>
          <w:rFonts w:hint="eastAsia" w:ascii="仿宋" w:hAnsi="仿宋" w:eastAsia="仿宋" w:cs="仿宋"/>
          <w:bCs/>
          <w:color w:val="auto"/>
          <w:sz w:val="24"/>
          <w:highlight w:val="none"/>
          <w:u w:val="single"/>
        </w:rPr>
        <w:t xml:space="preserve"> 7 </w:t>
      </w:r>
      <w:r>
        <w:rPr>
          <w:rFonts w:hint="eastAsia" w:ascii="仿宋" w:hAnsi="仿宋" w:eastAsia="仿宋" w:cs="仿宋"/>
          <w:bCs/>
          <w:color w:val="auto"/>
          <w:sz w:val="24"/>
          <w:highlight w:val="none"/>
        </w:rPr>
        <w:t>日内将全部图纸退还给甲方。</w:t>
      </w:r>
    </w:p>
    <w:p>
      <w:pPr>
        <w:widowControl/>
        <w:spacing w:line="500" w:lineRule="exact"/>
        <w:ind w:left="1"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5.4合同约定的项目，乙方不得转包、分包。否则，甲方有权单方面终止合同，并令其立即退场，由此而造成的经济损失由乙方负责赔偿。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5.5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5.6乙方不得随意更换项目负责人及附件</w:t>
      </w:r>
      <w:r>
        <w:rPr>
          <w:rFonts w:hint="eastAsia" w:ascii="仿宋" w:hAnsi="仿宋" w:eastAsia="仿宋" w:cs="仿宋"/>
          <w:color w:val="auto"/>
          <w:spacing w:val="-8"/>
          <w:sz w:val="24"/>
          <w:szCs w:val="24"/>
          <w:highlight w:val="none"/>
          <w:lang w:val="en-US" w:eastAsia="zh-CN"/>
        </w:rPr>
        <w:t>5</w:t>
      </w:r>
      <w:r>
        <w:rPr>
          <w:rFonts w:hint="eastAsia" w:ascii="仿宋" w:hAnsi="仿宋" w:eastAsia="仿宋" w:cs="仿宋"/>
          <w:color w:val="auto"/>
          <w:spacing w:val="-8"/>
          <w:sz w:val="24"/>
          <w:szCs w:val="24"/>
          <w:highlight w:val="none"/>
        </w:rPr>
        <w:t>中的相关人员</w:t>
      </w:r>
      <w:r>
        <w:rPr>
          <w:rFonts w:hint="eastAsia" w:ascii="仿宋" w:hAnsi="仿宋" w:eastAsia="仿宋" w:cs="仿宋"/>
          <w:color w:val="auto"/>
          <w:spacing w:val="-8"/>
          <w:sz w:val="24"/>
          <w:szCs w:val="24"/>
          <w:highlight w:val="none"/>
          <w:lang w:eastAsia="zh-CN"/>
        </w:rPr>
        <w:t>（</w:t>
      </w:r>
      <w:r>
        <w:rPr>
          <w:rFonts w:hint="eastAsia" w:ascii="仿宋" w:hAnsi="仿宋" w:eastAsia="仿宋" w:cs="仿宋"/>
          <w:color w:val="auto"/>
          <w:spacing w:val="-8"/>
          <w:sz w:val="24"/>
          <w:szCs w:val="24"/>
          <w:highlight w:val="none"/>
          <w:lang w:val="en-US" w:eastAsia="zh-CN"/>
        </w:rPr>
        <w:t>人员名单应与乙方在响应文件中所载明人员一致</w:t>
      </w:r>
      <w:r>
        <w:rPr>
          <w:rFonts w:hint="eastAsia" w:ascii="仿宋" w:hAnsi="仿宋" w:eastAsia="仿宋" w:cs="仿宋"/>
          <w:color w:val="auto"/>
          <w:spacing w:val="-8"/>
          <w:sz w:val="24"/>
          <w:szCs w:val="24"/>
          <w:highlight w:val="none"/>
          <w:lang w:eastAsia="zh-CN"/>
        </w:rPr>
        <w:t>）</w:t>
      </w:r>
      <w:r>
        <w:rPr>
          <w:rFonts w:hint="eastAsia" w:ascii="仿宋" w:hAnsi="仿宋" w:eastAsia="仿宋" w:cs="仿宋"/>
          <w:color w:val="auto"/>
          <w:spacing w:val="-8"/>
          <w:sz w:val="24"/>
          <w:szCs w:val="24"/>
          <w:highlight w:val="none"/>
        </w:rPr>
        <w:t>，如确须更换，应提前征得甲方同意。如有违反，甲方有权解除合同并要求乙方支付</w:t>
      </w:r>
      <w:r>
        <w:rPr>
          <w:rFonts w:hint="eastAsia" w:ascii="仿宋" w:hAnsi="仿宋" w:eastAsia="仿宋" w:cs="仿宋"/>
          <w:color w:val="auto"/>
          <w:spacing w:val="-8"/>
          <w:sz w:val="24"/>
          <w:szCs w:val="24"/>
          <w:highlight w:val="none"/>
          <w:u w:val="single"/>
        </w:rPr>
        <w:t>5000元/人次</w:t>
      </w:r>
      <w:r>
        <w:rPr>
          <w:rFonts w:hint="eastAsia" w:ascii="仿宋" w:hAnsi="仿宋" w:eastAsia="仿宋" w:cs="仿宋"/>
          <w:color w:val="auto"/>
          <w:spacing w:val="-8"/>
          <w:sz w:val="24"/>
          <w:szCs w:val="24"/>
          <w:highlight w:val="none"/>
        </w:rPr>
        <w:t xml:space="preserve">作为违约金，以及赔偿由此造成的一切损失(包含质量安全事故、工期延误、增加投资等)。   </w:t>
      </w:r>
    </w:p>
    <w:p>
      <w:pPr>
        <w:widowControl/>
        <w:spacing w:line="500" w:lineRule="exact"/>
        <w:ind w:left="1" w:firstLine="448" w:firstLineChars="200"/>
        <w:jc w:val="left"/>
        <w:rPr>
          <w:rFonts w:hint="eastAsia" w:ascii="仿宋" w:hAnsi="仿宋" w:eastAsia="仿宋" w:cs="仿宋"/>
          <w:color w:val="auto"/>
          <w:spacing w:val="-8"/>
          <w:sz w:val="24"/>
          <w:szCs w:val="24"/>
          <w:highlight w:val="none"/>
        </w:rPr>
      </w:pPr>
      <w:r>
        <w:rPr>
          <w:rFonts w:hint="eastAsia" w:ascii="仿宋" w:hAnsi="仿宋" w:eastAsia="仿宋" w:cs="仿宋"/>
          <w:bCs/>
          <w:color w:val="auto"/>
          <w:spacing w:val="-8"/>
          <w:sz w:val="24"/>
          <w:szCs w:val="24"/>
          <w:highlight w:val="none"/>
        </w:rPr>
        <w:t>5.7施工过程中，项目负责人应驻场管理，否则甲方有权要求乙方支付违约</w:t>
      </w:r>
      <w:r>
        <w:rPr>
          <w:rFonts w:hint="eastAsia" w:ascii="仿宋" w:hAnsi="仿宋" w:eastAsia="仿宋" w:cs="仿宋"/>
          <w:bCs/>
          <w:color w:val="auto"/>
          <w:spacing w:val="-8"/>
          <w:sz w:val="24"/>
          <w:szCs w:val="24"/>
          <w:highlight w:val="none"/>
          <w:u w:val="single"/>
        </w:rPr>
        <w:t xml:space="preserve"> 1000元/天</w:t>
      </w:r>
      <w:r>
        <w:rPr>
          <w:rFonts w:hint="eastAsia" w:ascii="仿宋" w:hAnsi="仿宋" w:eastAsia="仿宋" w:cs="仿宋"/>
          <w:bCs/>
          <w:color w:val="auto"/>
          <w:spacing w:val="-8"/>
          <w:sz w:val="24"/>
          <w:szCs w:val="24"/>
          <w:highlight w:val="none"/>
        </w:rPr>
        <w:t>，因此造成损失的，按实际发生额赔偿。</w:t>
      </w:r>
    </w:p>
    <w:p>
      <w:pPr>
        <w:widowControl/>
        <w:spacing w:line="500" w:lineRule="exact"/>
        <w:ind w:left="1" w:firstLine="448" w:firstLineChars="200"/>
        <w:jc w:val="left"/>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5.9</w:t>
      </w:r>
      <w:r>
        <w:rPr>
          <w:rFonts w:hint="eastAsia" w:ascii="仿宋" w:hAnsi="仿宋" w:eastAsia="仿宋" w:cs="仿宋"/>
          <w:color w:val="auto"/>
          <w:sz w:val="24"/>
          <w:szCs w:val="24"/>
          <w:highlight w:val="none"/>
          <w:lang w:val="en-US" w:eastAsia="zh-CN"/>
        </w:rPr>
        <w:t>在合同有效期内，乙方自愿接受甲方按《营运项目承包单位日常履约考评参照表（安全）》《</w:t>
      </w:r>
      <w:r>
        <w:rPr>
          <w:rFonts w:hint="eastAsia" w:ascii="仿宋" w:hAnsi="仿宋" w:eastAsia="仿宋" w:cs="仿宋"/>
          <w:color w:val="auto"/>
          <w:sz w:val="24"/>
          <w:szCs w:val="24"/>
          <w:highlight w:val="none"/>
        </w:rPr>
        <w:t>营运项目承包单位综合履约考评表（安全）</w:t>
      </w:r>
      <w:r>
        <w:rPr>
          <w:rFonts w:hint="eastAsia" w:ascii="仿宋" w:hAnsi="仿宋" w:eastAsia="仿宋" w:cs="仿宋"/>
          <w:color w:val="auto"/>
          <w:sz w:val="24"/>
          <w:szCs w:val="24"/>
          <w:highlight w:val="none"/>
          <w:lang w:val="en-US" w:eastAsia="zh-CN"/>
        </w:rPr>
        <w:t>》处理，具体处理标准详见附件6、7。</w:t>
      </w:r>
    </w:p>
    <w:p>
      <w:pPr>
        <w:spacing w:line="5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第六条 实施条件及管理要求</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6.2施工用水用电采用以下</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方式执行。</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（1）由甲方提供施工用水用电接口，水电费按合同综合单价水电含量计算，从甲方支付的工程款中直接扣回。</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（2）由甲方提供施工用水用电接口，费用按</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（月/项）目结算，由乙方向甲方或甲方下辖分公司/子公司支付。水电费用按所属供电局、自来水公司收费标准，按实计算。</w:t>
      </w:r>
    </w:p>
    <w:p>
      <w:pPr>
        <w:pStyle w:val="49"/>
        <w:spacing w:line="500" w:lineRule="exact"/>
        <w:ind w:firstLine="480" w:firstLineChars="200"/>
        <w:rPr>
          <w:rFonts w:hint="eastAsia" w:ascii="仿宋" w:hAnsi="仿宋" w:eastAsia="仿宋" w:cs="仿宋"/>
          <w:color w:val="auto"/>
          <w:kern w:val="2"/>
          <w:szCs w:val="20"/>
          <w:highlight w:val="none"/>
        </w:rPr>
      </w:pPr>
      <w:r>
        <w:rPr>
          <w:rFonts w:hint="eastAsia" w:ascii="仿宋" w:hAnsi="仿宋" w:eastAsia="仿宋" w:cs="仿宋"/>
          <w:color w:val="auto"/>
          <w:kern w:val="2"/>
          <w:szCs w:val="20"/>
          <w:highlight w:val="none"/>
        </w:rPr>
        <w:t>（3）由乙方自行负责。</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6.3施工时间安排：上午7：00-12：00，下午14：00-18：00，施工时间如需变动，以甲方的书面或口头通知为准。</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6.4进场施工人员必须严格遵守</w:t>
      </w:r>
      <w:r>
        <w:rPr>
          <w:rFonts w:hint="eastAsia" w:ascii="仿宋" w:hAnsi="仿宋" w:eastAsia="仿宋" w:cs="仿宋"/>
          <w:color w:val="auto"/>
          <w:kern w:val="10"/>
          <w:sz w:val="24"/>
          <w:highlight w:val="none"/>
        </w:rPr>
        <w:t>污水处理厂</w:t>
      </w:r>
      <w:r>
        <w:rPr>
          <w:rFonts w:hint="eastAsia" w:ascii="仿宋" w:hAnsi="仿宋" w:eastAsia="仿宋" w:cs="仿宋"/>
          <w:color w:val="auto"/>
          <w:sz w:val="24"/>
          <w:highlight w:val="none"/>
        </w:rPr>
        <w:t>一切规章制度。进入施工现场人员必须佩戴出入证，并自觉接受门岗检查。</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6.5环境保护要求：</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（1）做好施工噪声、废气、废水等控制；</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（2）按照国家及广州市相关规定做好建筑垃圾的处理。</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6.6</w:t>
      </w:r>
      <w:r>
        <w:rPr>
          <w:rFonts w:hint="eastAsia" w:ascii="仿宋" w:hAnsi="仿宋" w:eastAsia="仿宋" w:cs="仿宋"/>
          <w:color w:val="auto"/>
          <w:sz w:val="24"/>
          <w:highlight w:val="none"/>
        </w:rPr>
        <w:t>本项目开展期间，</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必须整理好本项目的所有的技术资料，不限于项目安装图、设备说明书、电气布局图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完整PLC程序</w:t>
      </w:r>
      <w:r>
        <w:rPr>
          <w:rFonts w:hint="eastAsia" w:ascii="仿宋" w:hAnsi="仿宋" w:eastAsia="仿宋" w:cs="仿宋"/>
          <w:color w:val="auto"/>
          <w:sz w:val="24"/>
          <w:highlight w:val="none"/>
        </w:rPr>
        <w:t>等。项目竣工后，</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将所有关于本项目的技术资料整理好并交至</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6.7</w:t>
      </w:r>
      <w:r>
        <w:rPr>
          <w:rFonts w:hint="eastAsia" w:ascii="仿宋" w:hAnsi="仿宋" w:eastAsia="仿宋" w:cs="仿宋"/>
          <w:color w:val="auto"/>
          <w:sz w:val="24"/>
          <w:highlight w:val="none"/>
        </w:rPr>
        <w:t>项目使用的电气元件品牌须</w:t>
      </w:r>
      <w:r>
        <w:rPr>
          <w:rFonts w:hint="eastAsia" w:ascii="仿宋" w:hAnsi="仿宋" w:eastAsia="仿宋" w:cs="仿宋"/>
          <w:color w:val="auto"/>
          <w:sz w:val="24"/>
          <w:highlight w:val="none"/>
          <w:lang w:eastAsia="zh-CN"/>
        </w:rPr>
        <w:t>参照</w:t>
      </w:r>
      <w:r>
        <w:rPr>
          <w:rFonts w:hint="eastAsia" w:ascii="仿宋" w:hAnsi="仿宋" w:eastAsia="仿宋" w:cs="仿宋"/>
          <w:color w:val="auto"/>
          <w:sz w:val="24"/>
          <w:highlight w:val="none"/>
        </w:rPr>
        <w:t>施耐德、ABB、西门子等一线品牌。</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rPr>
        <w:t>项目完成后，承包方要完成系统详细使用说明并交至项目承办单位。</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按相关法律法规及甲方相关作业施工管理要求执行。</w:t>
      </w:r>
    </w:p>
    <w:p>
      <w:pPr>
        <w:pStyle w:val="13"/>
        <w:spacing w:line="50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第七条 材料及设备供应</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7.1采购供应的材料、其名称、品种、型号、规格、质量等，均应符合国家、地方及行业有关规范及要求。</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7.2所有材料必须具备合格证明，并保证产品的有效性。</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7.3由于乙方提供的伪劣、假冒等所有不合格材料而导致的损失、事故及一切后果，均由乙方负责并赔偿甲方所有损失，并负责更换所有已施工的不合格材料。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7.4乙方必须根据投标文件/询价响应文件（如有）上主要材料的明细（包括厂家、规格、品质等级等）提供材料。工程实施时，如发现材料不一致，甲方有权拒用，造成损失由乙方承担。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7.5 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7.6 承包范围之内工程所用之设备，由乙方提供。</w:t>
      </w:r>
    </w:p>
    <w:p>
      <w:pPr>
        <w:spacing w:line="5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第八条 付</w:t>
      </w:r>
      <w:r>
        <w:rPr>
          <w:rFonts w:hint="eastAsia" w:ascii="仿宋" w:hAnsi="仿宋" w:eastAsia="仿宋" w:cs="仿宋"/>
          <w:b/>
          <w:color w:val="auto"/>
          <w:sz w:val="24"/>
          <w:highlight w:val="none"/>
        </w:rPr>
        <w:t>款及履约担保</w:t>
      </w:r>
    </w:p>
    <w:p>
      <w:pPr>
        <w:spacing w:line="500" w:lineRule="exact"/>
        <w:ind w:firstLine="480" w:firstLineChars="200"/>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8.1</w:t>
      </w:r>
      <w:r>
        <w:rPr>
          <w:rFonts w:hint="eastAsia" w:ascii="仿宋" w:hAnsi="仿宋" w:eastAsia="仿宋" w:cs="仿宋"/>
          <w:bCs/>
          <w:color w:val="auto"/>
          <w:sz w:val="24"/>
          <w:highlight w:val="none"/>
        </w:rPr>
        <w:t>预付款的支付：</w:t>
      </w:r>
      <w:r>
        <w:rPr>
          <w:rFonts w:hint="eastAsia" w:ascii="仿宋" w:hAnsi="仿宋" w:eastAsia="仿宋" w:cs="仿宋"/>
          <w:b/>
          <w:color w:val="auto"/>
          <w:sz w:val="24"/>
          <w:highlight w:val="none"/>
        </w:rPr>
        <w:sym w:font="Wingdings" w:char="00A8"/>
      </w:r>
      <w:r>
        <w:rPr>
          <w:rFonts w:hint="eastAsia" w:ascii="仿宋" w:hAnsi="仿宋" w:eastAsia="仿宋" w:cs="仿宋"/>
          <w:bCs/>
          <w:color w:val="auto"/>
          <w:sz w:val="24"/>
          <w:highlight w:val="none"/>
        </w:rPr>
        <w:t xml:space="preserve">无； </w:t>
      </w:r>
      <w:r>
        <w:rPr>
          <w:rFonts w:hint="eastAsia" w:ascii="仿宋" w:hAnsi="仿宋" w:eastAsia="仿宋" w:cs="仿宋"/>
          <w:b/>
          <w:bCs/>
          <w:color w:val="auto"/>
          <w:sz w:val="24"/>
          <w:highlight w:val="none"/>
        </w:rPr>
        <w:sym w:font="Wingdings 2" w:char="0052"/>
      </w:r>
      <w:r>
        <w:rPr>
          <w:rFonts w:hint="eastAsia" w:ascii="仿宋" w:hAnsi="仿宋" w:eastAsia="仿宋" w:cs="仿宋"/>
          <w:bCs/>
          <w:color w:val="auto"/>
          <w:sz w:val="24"/>
          <w:highlight w:val="none"/>
        </w:rPr>
        <w:t>有</w:t>
      </w:r>
      <w:r>
        <w:rPr>
          <w:rFonts w:hint="eastAsia" w:ascii="仿宋" w:hAnsi="仿宋" w:eastAsia="仿宋" w:cs="仿宋"/>
          <w:b/>
          <w:color w:val="auto"/>
          <w:sz w:val="24"/>
          <w:highlight w:val="none"/>
        </w:rPr>
        <w:t xml:space="preserve"> </w:t>
      </w:r>
      <w:r>
        <w:rPr>
          <w:rFonts w:hint="eastAsia" w:ascii="仿宋" w:hAnsi="仿宋" w:eastAsia="仿宋" w:cs="仿宋"/>
          <w:bCs/>
          <w:color w:val="auto"/>
          <w:sz w:val="24"/>
          <w:highlight w:val="none"/>
        </w:rPr>
        <w:t>合同签订后，乙方开具等额的增值税专用发票及提交</w:t>
      </w:r>
      <w:r>
        <w:rPr>
          <w:rFonts w:hint="eastAsia" w:ascii="仿宋" w:hAnsi="仿宋" w:eastAsia="仿宋" w:cs="仿宋"/>
          <w:bCs/>
          <w:color w:val="auto"/>
          <w:sz w:val="24"/>
          <w:highlight w:val="none"/>
          <w:lang w:val="en-US" w:eastAsia="zh-CN"/>
        </w:rPr>
        <w:t>开工许可报告</w:t>
      </w:r>
      <w:r>
        <w:rPr>
          <w:rFonts w:hint="eastAsia" w:ascii="仿宋" w:hAnsi="仿宋" w:eastAsia="仿宋" w:cs="仿宋"/>
          <w:bCs/>
          <w:color w:val="auto"/>
          <w:sz w:val="24"/>
          <w:highlight w:val="none"/>
          <w:u w:val="single"/>
        </w:rPr>
        <w:t xml:space="preserve"> 10 </w:t>
      </w:r>
      <w:r>
        <w:rPr>
          <w:rFonts w:hint="eastAsia" w:ascii="仿宋" w:hAnsi="仿宋" w:eastAsia="仿宋" w:cs="仿宋"/>
          <w:bCs/>
          <w:color w:val="auto"/>
          <w:sz w:val="24"/>
          <w:highlight w:val="none"/>
        </w:rPr>
        <w:t>个工作日内，甲方支付合同</w:t>
      </w:r>
      <w:r>
        <w:rPr>
          <w:rFonts w:hint="eastAsia" w:ascii="仿宋" w:hAnsi="仿宋" w:eastAsia="仿宋" w:cs="仿宋"/>
          <w:color w:val="auto"/>
          <w:sz w:val="24"/>
          <w:highlight w:val="none"/>
        </w:rPr>
        <w:t>暂定总价</w:t>
      </w:r>
      <w:r>
        <w:rPr>
          <w:rFonts w:hint="eastAsia" w:ascii="仿宋" w:hAnsi="仿宋" w:eastAsia="仿宋" w:cs="仿宋"/>
          <w:bCs/>
          <w:color w:val="auto"/>
          <w:sz w:val="24"/>
          <w:highlight w:val="none"/>
        </w:rPr>
        <w:t>的</w:t>
      </w:r>
      <w:r>
        <w:rPr>
          <w:rFonts w:hint="eastAsia" w:ascii="仿宋" w:hAnsi="仿宋" w:eastAsia="仿宋" w:cs="仿宋"/>
          <w:bCs/>
          <w:color w:val="auto"/>
          <w:sz w:val="24"/>
          <w:highlight w:val="none"/>
          <w:u w:val="single"/>
        </w:rPr>
        <w:t>30%</w:t>
      </w:r>
      <w:r>
        <w:rPr>
          <w:rFonts w:hint="eastAsia" w:ascii="仿宋" w:hAnsi="仿宋" w:eastAsia="仿宋" w:cs="仿宋"/>
          <w:color w:val="auto"/>
          <w:sz w:val="24"/>
          <w:highlight w:val="none"/>
        </w:rPr>
        <w:t>即</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作为预付款。</w:t>
      </w:r>
      <w:r>
        <w:rPr>
          <w:rFonts w:hint="eastAsia" w:ascii="仿宋" w:hAnsi="仿宋" w:eastAsia="仿宋" w:cs="仿宋"/>
          <w:color w:val="auto"/>
          <w:sz w:val="24"/>
          <w:highlight w:val="none"/>
        </w:rPr>
        <w:t>若合同解除或终止，乙方在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个工作日内返还预付款（无息）。</w:t>
      </w:r>
      <w:r>
        <w:rPr>
          <w:rFonts w:hint="eastAsia" w:ascii="仿宋" w:hAnsi="仿宋" w:eastAsia="仿宋" w:cs="仿宋"/>
          <w:bCs/>
          <w:color w:val="auto"/>
          <w:kern w:val="0"/>
          <w:sz w:val="24"/>
          <w:highlight w:val="none"/>
        </w:rPr>
        <w:t>逾期未返还，每逾期一天，乙方应按合同暂定总价的</w:t>
      </w:r>
      <w:r>
        <w:rPr>
          <w:rFonts w:hint="eastAsia" w:ascii="仿宋" w:hAnsi="仿宋" w:eastAsia="仿宋" w:cs="仿宋"/>
          <w:bCs/>
          <w:color w:val="auto"/>
          <w:kern w:val="0"/>
          <w:sz w:val="24"/>
          <w:highlight w:val="none"/>
          <w:u w:val="single"/>
        </w:rPr>
        <w:t>万分之五/天</w:t>
      </w:r>
      <w:r>
        <w:rPr>
          <w:rFonts w:hint="eastAsia" w:ascii="仿宋" w:hAnsi="仿宋" w:eastAsia="仿宋" w:cs="仿宋"/>
          <w:bCs/>
          <w:color w:val="auto"/>
          <w:kern w:val="0"/>
          <w:sz w:val="24"/>
          <w:highlight w:val="none"/>
        </w:rPr>
        <w:t>支付违约金</w:t>
      </w:r>
      <w:r>
        <w:rPr>
          <w:rFonts w:hint="eastAsia" w:ascii="仿宋" w:hAnsi="仿宋" w:eastAsia="仿宋" w:cs="仿宋"/>
          <w:color w:val="auto"/>
          <w:sz w:val="24"/>
          <w:highlight w:val="none"/>
        </w:rPr>
        <w:t>。</w:t>
      </w:r>
    </w:p>
    <w:p>
      <w:pPr>
        <w:pStyle w:val="13"/>
        <w:spacing w:line="500" w:lineRule="exact"/>
        <w:ind w:firstLine="480" w:firstLineChars="200"/>
        <w:outlineLvl w:val="1"/>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szCs w:val="24"/>
          <w:highlight w:val="none"/>
        </w:rPr>
        <w:t>8.2项目验收合格后，由乙方提交申请支付资料 15 个工作日内，甲方支付至合同暂定总价的</w:t>
      </w:r>
      <w:r>
        <w:rPr>
          <w:rFonts w:hint="eastAsia" w:ascii="仿宋" w:hAnsi="仿宋" w:eastAsia="仿宋" w:cs="仿宋"/>
          <w:color w:val="auto"/>
          <w:sz w:val="24"/>
          <w:szCs w:val="24"/>
          <w:highlight w:val="none"/>
          <w:u w:val="single"/>
          <w:lang w:val="en-US" w:eastAsia="zh-CN"/>
        </w:rPr>
        <w:t>80%</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8.2.1项目验收合</w:t>
      </w:r>
      <w:r>
        <w:rPr>
          <w:rFonts w:hint="eastAsia" w:ascii="仿宋" w:hAnsi="仿宋" w:eastAsia="仿宋" w:cs="仿宋"/>
          <w:color w:val="auto"/>
          <w:sz w:val="24"/>
          <w:highlight w:val="none"/>
          <w:lang w:val="en-US" w:eastAsia="zh-CN"/>
        </w:rPr>
        <w:t>格</w:t>
      </w:r>
      <w:r>
        <w:rPr>
          <w:rFonts w:hint="eastAsia" w:ascii="仿宋" w:hAnsi="仿宋" w:eastAsia="仿宋" w:cs="仿宋"/>
          <w:color w:val="auto"/>
          <w:sz w:val="24"/>
          <w:highlight w:val="none"/>
        </w:rPr>
        <w:t>后，经甲方或甲方委托有资质第三方机构审核后，由乙方提交申请支付资料</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rPr>
        <w:t>个工作日内，甲方支付至合同结算价的</w:t>
      </w:r>
      <w:r>
        <w:rPr>
          <w:rFonts w:hint="eastAsia" w:ascii="仿宋" w:hAnsi="仿宋" w:eastAsia="仿宋" w:cs="仿宋"/>
          <w:color w:val="auto"/>
          <w:sz w:val="24"/>
          <w:highlight w:val="none"/>
          <w:lang w:val="en-US" w:eastAsia="zh-CN"/>
        </w:rPr>
        <w:t>95</w:t>
      </w:r>
      <w:r>
        <w:rPr>
          <w:rFonts w:hint="eastAsia" w:ascii="仿宋" w:hAnsi="仿宋" w:eastAsia="仿宋" w:cs="仿宋"/>
          <w:color w:val="auto"/>
          <w:sz w:val="24"/>
          <w:highlight w:val="none"/>
        </w:rPr>
        <w:t>%。</w:t>
      </w:r>
    </w:p>
    <w:p>
      <w:pPr>
        <w:spacing w:line="500" w:lineRule="exact"/>
        <w:ind w:firstLine="480" w:firstLineChars="200"/>
        <w:outlineLvl w:val="1"/>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本项目工程款的支付单位为：</w:t>
      </w:r>
      <w:r>
        <w:rPr>
          <w:rFonts w:hint="eastAsia" w:ascii="仿宋" w:hAnsi="仿宋" w:eastAsia="仿宋" w:cs="仿宋"/>
          <w:color w:val="auto"/>
          <w:sz w:val="24"/>
          <w:highlight w:val="none"/>
          <w:u w:val="single"/>
          <w:lang w:val="en-US" w:eastAsia="zh-CN"/>
        </w:rPr>
        <w:t>广州市净水有限公司大坦沙分公司</w:t>
      </w:r>
    </w:p>
    <w:p>
      <w:pPr>
        <w:spacing w:line="500" w:lineRule="exact"/>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u w:val="none"/>
          <w:lang w:val="en-US" w:eastAsia="zh-CN"/>
        </w:rPr>
        <w:t>8.2.2质保期按合同第十条规定执行，质保期满后且乙方不存在违约情形，由乙方提交申请质保金退还资料 15 个工作日内，由甲方属下大坦沙分公司支付合同结算价的5％（质保金）给乙方（无息）。</w:t>
      </w:r>
    </w:p>
    <w:p>
      <w:pPr>
        <w:spacing w:line="500" w:lineRule="exact"/>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8.3</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乙方收款账户：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收款账号：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84" w:lineRule="auto"/>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8.4乙方在收款前需提交等额增值税专用发票给甲方。增值税专用发票信息：</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名称：广州市净水有限公司</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税号：</w:t>
      </w:r>
      <w:r>
        <w:rPr>
          <w:rFonts w:hint="eastAsia" w:ascii="仿宋" w:hAnsi="仿宋" w:eastAsia="仿宋" w:cs="仿宋"/>
          <w:color w:val="auto"/>
          <w:sz w:val="24"/>
          <w:highlight w:val="none"/>
          <w:u w:val="single"/>
        </w:rPr>
        <w:t>91440101755584729Q</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地址及电话：</w:t>
      </w:r>
      <w:r>
        <w:rPr>
          <w:rFonts w:hint="eastAsia" w:ascii="仿宋" w:hAnsi="仿宋" w:eastAsia="仿宋" w:cs="仿宋"/>
          <w:color w:val="auto"/>
          <w:sz w:val="24"/>
          <w:highlight w:val="none"/>
          <w:u w:val="single"/>
        </w:rPr>
        <w:t>广州市天河区临江大道501号 020-38890283</w:t>
      </w:r>
      <w:r>
        <w:rPr>
          <w:rFonts w:hint="eastAsia" w:ascii="仿宋" w:hAnsi="仿宋" w:eastAsia="仿宋" w:cs="仿宋"/>
          <w:color w:val="auto"/>
          <w:sz w:val="24"/>
          <w:highlight w:val="none"/>
        </w:rPr>
        <w:t>；</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开户行/账号：</w:t>
      </w:r>
      <w:r>
        <w:rPr>
          <w:rFonts w:hint="eastAsia" w:ascii="仿宋" w:hAnsi="仿宋" w:eastAsia="仿宋" w:cs="仿宋"/>
          <w:color w:val="auto"/>
          <w:sz w:val="24"/>
          <w:highlight w:val="none"/>
          <w:u w:val="single"/>
        </w:rPr>
        <w:t>民生银行广州分行0301014140006932</w:t>
      </w:r>
      <w:r>
        <w:rPr>
          <w:rFonts w:hint="eastAsia" w:ascii="仿宋" w:hAnsi="仿宋" w:eastAsia="仿宋" w:cs="仿宋"/>
          <w:color w:val="auto"/>
          <w:sz w:val="24"/>
          <w:highlight w:val="none"/>
        </w:rPr>
        <w:t xml:space="preserve">。                            </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8.5履约担保：</w:t>
      </w:r>
      <w:r>
        <w:rPr>
          <w:rFonts w:hint="eastAsia" w:ascii="仿宋" w:hAnsi="仿宋" w:eastAsia="仿宋" w:cs="仿宋"/>
          <w:b/>
          <w:bCs/>
          <w:color w:val="auto"/>
          <w:sz w:val="24"/>
          <w:highlight w:val="none"/>
        </w:rPr>
        <w:sym w:font="Wingdings 2" w:char="0052"/>
      </w:r>
      <w:r>
        <w:rPr>
          <w:rFonts w:hint="eastAsia" w:ascii="仿宋" w:hAnsi="仿宋" w:eastAsia="仿宋" w:cs="仿宋"/>
          <w:bCs/>
          <w:color w:val="auto"/>
          <w:sz w:val="24"/>
          <w:highlight w:val="none"/>
        </w:rPr>
        <w:t xml:space="preserve">无；  </w:t>
      </w:r>
      <w:r>
        <w:rPr>
          <w:rFonts w:hint="eastAsia" w:ascii="仿宋" w:hAnsi="仿宋" w:eastAsia="仿宋" w:cs="仿宋"/>
          <w:b/>
          <w:bCs/>
          <w:color w:val="auto"/>
          <w:sz w:val="24"/>
          <w:highlight w:val="none"/>
        </w:rPr>
        <w:sym w:font="Wingdings 2" w:char="00A3"/>
      </w:r>
      <w:r>
        <w:rPr>
          <w:rFonts w:hint="eastAsia" w:ascii="仿宋" w:hAnsi="仿宋" w:eastAsia="仿宋" w:cs="仿宋"/>
          <w:color w:val="auto"/>
          <w:sz w:val="24"/>
          <w:highlight w:val="none"/>
        </w:rPr>
        <w:t>有 本合同签订后10日内</w:t>
      </w:r>
      <w:r>
        <w:rPr>
          <w:rFonts w:hint="eastAsia" w:ascii="仿宋" w:hAnsi="仿宋" w:eastAsia="仿宋" w:cs="仿宋"/>
          <w:color w:val="auto"/>
          <w:sz w:val="24"/>
          <w:highlight w:val="none"/>
          <w:u w:val="single"/>
        </w:rPr>
        <w:t>以合同暂定总价的10%作为履约保证金，</w:t>
      </w:r>
      <w:r>
        <w:rPr>
          <w:rFonts w:hint="eastAsia" w:ascii="仿宋" w:hAnsi="仿宋" w:eastAsia="仿宋" w:cs="仿宋"/>
          <w:color w:val="auto"/>
          <w:sz w:val="24"/>
          <w:highlight w:val="none"/>
        </w:rPr>
        <w:t>金额为：</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元（大写人民币：</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），未按时提供的，甲方有权解除合同并要求乙方支付</w:t>
      </w:r>
      <w:r>
        <w:rPr>
          <w:rFonts w:hint="eastAsia" w:ascii="仿宋" w:hAnsi="仿宋" w:eastAsia="仿宋" w:cs="仿宋"/>
          <w:color w:val="auto"/>
          <w:sz w:val="24"/>
          <w:highlight w:val="none"/>
          <w:u w:val="single"/>
        </w:rPr>
        <w:t>合同暂定总价20%</w:t>
      </w:r>
      <w:r>
        <w:rPr>
          <w:rFonts w:hint="eastAsia" w:ascii="仿宋" w:hAnsi="仿宋" w:eastAsia="仿宋" w:cs="仿宋"/>
          <w:color w:val="auto"/>
          <w:sz w:val="24"/>
          <w:highlight w:val="none"/>
        </w:rPr>
        <w:t>作为违约金。</w:t>
      </w:r>
    </w:p>
    <w:p>
      <w:pPr>
        <w:pStyle w:val="22"/>
        <w:spacing w:before="0" w:beforeAutospacing="0" w:after="0" w:afterAutospacing="0"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8.5.1履约担保按以下任一种形式提供：</w:t>
      </w:r>
    </w:p>
    <w:p>
      <w:pPr>
        <w:pStyle w:val="22"/>
        <w:spacing w:before="0" w:beforeAutospacing="0" w:after="0" w:afterAutospacing="0" w:line="50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（1）符合甲方要求的银行独立保函，</w:t>
      </w:r>
    </w:p>
    <w:p>
      <w:pPr>
        <w:pStyle w:val="22"/>
        <w:spacing w:before="0" w:beforeAutospacing="0" w:after="0" w:afterAutospacing="0" w:line="50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（2）现金转账至甲方以下指定账户：</w:t>
      </w:r>
    </w:p>
    <w:p>
      <w:pPr>
        <w:tabs>
          <w:tab w:val="left" w:pos="1995"/>
        </w:tabs>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户名：广州市净水有限公司</w:t>
      </w:r>
    </w:p>
    <w:p>
      <w:pPr>
        <w:tabs>
          <w:tab w:val="left" w:pos="1995"/>
        </w:tabs>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账号：82010154900000342</w:t>
      </w:r>
    </w:p>
    <w:p>
      <w:pPr>
        <w:tabs>
          <w:tab w:val="left" w:pos="1995"/>
        </w:tabs>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开户行：浦发银行广州分行</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8.5.2履约担保的担保期限和返还</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（2）履约银行保函在合同履行完成后，由乙方提出申请，甲方在28日内返还，不支付利息。</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（3）延长担保期限。乙方以履约银行保函形式提交履约保证金的，在银行保函到期前，乙方应提前</w:t>
      </w:r>
      <w:r>
        <w:rPr>
          <w:rFonts w:hint="eastAsia" w:ascii="仿宋" w:hAnsi="仿宋" w:eastAsia="仿宋" w:cs="仿宋"/>
          <w:color w:val="auto"/>
          <w:sz w:val="24"/>
          <w:highlight w:val="none"/>
          <w:u w:val="single"/>
        </w:rPr>
        <w:t xml:space="preserve"> 7 </w:t>
      </w:r>
      <w:r>
        <w:rPr>
          <w:rFonts w:hint="eastAsia" w:ascii="仿宋" w:hAnsi="仿宋" w:eastAsia="仿宋" w:cs="仿宋"/>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hint="eastAsia" w:ascii="仿宋" w:hAnsi="仿宋" w:eastAsia="仿宋" w:cs="仿宋"/>
          <w:color w:val="auto"/>
          <w:highlight w:val="none"/>
          <w:u w:val="single"/>
        </w:rPr>
      </w:pPr>
      <w:r>
        <w:rPr>
          <w:rFonts w:hint="eastAsia" w:ascii="仿宋" w:hAnsi="仿宋" w:eastAsia="仿宋" w:cs="仿宋"/>
          <w:color w:val="auto"/>
          <w:highlight w:val="none"/>
        </w:rPr>
        <w:t>（4）现金履约保证金的退还：合同履行完成后，由乙方提出申请，甲方在</w:t>
      </w:r>
      <w:r>
        <w:rPr>
          <w:rFonts w:hint="eastAsia" w:ascii="仿宋" w:hAnsi="仿宋" w:eastAsia="仿宋" w:cs="仿宋"/>
          <w:color w:val="auto"/>
          <w:highlight w:val="none"/>
          <w:u w:val="single"/>
        </w:rPr>
        <w:t>28</w:t>
      </w:r>
      <w:r>
        <w:rPr>
          <w:rFonts w:hint="eastAsia" w:ascii="仿宋" w:hAnsi="仿宋" w:eastAsia="仿宋" w:cs="仿宋"/>
          <w:color w:val="auto"/>
          <w:highlight w:val="none"/>
        </w:rPr>
        <w:t>日内将剩余保证金（无息）返还。</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8.5.3甲方按本合同规定提取履约担保金额后，乙方应在收到甲方通知后</w:t>
      </w:r>
      <w:r>
        <w:rPr>
          <w:rFonts w:hint="eastAsia" w:ascii="仿宋" w:hAnsi="仿宋" w:eastAsia="仿宋" w:cs="仿宋"/>
          <w:color w:val="auto"/>
          <w:sz w:val="24"/>
          <w:highlight w:val="none"/>
          <w:u w:val="single"/>
        </w:rPr>
        <w:t xml:space="preserve"> 7</w:t>
      </w:r>
      <w:r>
        <w:rPr>
          <w:rFonts w:hint="eastAsia" w:ascii="仿宋" w:hAnsi="仿宋" w:eastAsia="仿宋" w:cs="仿宋"/>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hint="eastAsia" w:ascii="仿宋" w:hAnsi="仿宋" w:eastAsia="仿宋" w:cs="仿宋"/>
          <w:bCs/>
          <w:color w:val="auto"/>
          <w:sz w:val="24"/>
          <w:highlight w:val="none"/>
          <w:u w:val="single"/>
          <w:bdr w:val="single" w:color="auto" w:sz="4" w:space="0"/>
        </w:rPr>
      </w:pPr>
      <w:r>
        <w:rPr>
          <w:rFonts w:hint="eastAsia" w:ascii="仿宋" w:hAnsi="仿宋" w:eastAsia="仿宋" w:cs="仿宋"/>
          <w:color w:val="auto"/>
          <w:sz w:val="24"/>
          <w:highlight w:val="none"/>
        </w:rPr>
        <w:t xml:space="preserve">8.6付款方式： </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 xml:space="preserve">网银支付；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 xml:space="preserve">支票；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其他：</w:t>
      </w:r>
      <w:r>
        <w:rPr>
          <w:rFonts w:hint="eastAsia" w:ascii="仿宋" w:hAnsi="仿宋" w:eastAsia="仿宋" w:cs="仿宋"/>
          <w:color w:val="auto"/>
          <w:sz w:val="24"/>
          <w:highlight w:val="none"/>
          <w:u w:val="single"/>
        </w:rPr>
        <w:t xml:space="preserve"> /</w:t>
      </w:r>
      <w:r>
        <w:rPr>
          <w:rFonts w:hint="eastAsia" w:ascii="仿宋" w:hAnsi="仿宋" w:eastAsia="仿宋" w:cs="仿宋"/>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第九条 竣工验收</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9.1乙方应在工程完工后30天内将经甲方审核的完整竣工资料（含竣工图）和竣工验收报告各</w:t>
      </w:r>
      <w:r>
        <w:rPr>
          <w:rFonts w:hint="eastAsia" w:ascii="仿宋" w:hAnsi="仿宋" w:eastAsia="仿宋" w:cs="仿宋"/>
          <w:color w:val="auto"/>
          <w:sz w:val="24"/>
          <w:highlight w:val="none"/>
          <w:u w:val="single"/>
        </w:rPr>
        <w:t>一式肆份</w:t>
      </w:r>
      <w:r>
        <w:rPr>
          <w:rFonts w:hint="eastAsia" w:ascii="仿宋" w:hAnsi="仿宋" w:eastAsia="仿宋" w:cs="仿宋"/>
          <w:color w:val="auto"/>
          <w:sz w:val="24"/>
          <w:highlight w:val="none"/>
        </w:rPr>
        <w:t>交甲方，不按时报送工程竣工资料的，每逾期一天，甲方要求乙方支付</w:t>
      </w:r>
      <w:r>
        <w:rPr>
          <w:rFonts w:hint="eastAsia" w:ascii="仿宋" w:hAnsi="仿宋" w:eastAsia="仿宋" w:cs="仿宋"/>
          <w:color w:val="auto"/>
          <w:sz w:val="24"/>
          <w:highlight w:val="none"/>
          <w:u w:val="single"/>
        </w:rPr>
        <w:t>合同暂定总价</w:t>
      </w:r>
      <w:r>
        <w:rPr>
          <w:rFonts w:hint="eastAsia" w:ascii="仿宋" w:hAnsi="仿宋" w:eastAsia="仿宋" w:cs="仿宋"/>
          <w:bCs/>
          <w:color w:val="auto"/>
          <w:sz w:val="24"/>
          <w:highlight w:val="none"/>
          <w:u w:val="single"/>
        </w:rPr>
        <w:t>万分之五/天</w:t>
      </w:r>
      <w:r>
        <w:rPr>
          <w:rFonts w:hint="eastAsia" w:ascii="仿宋" w:hAnsi="仿宋" w:eastAsia="仿宋" w:cs="仿宋"/>
          <w:color w:val="auto"/>
          <w:sz w:val="24"/>
          <w:highlight w:val="none"/>
        </w:rPr>
        <w:t>，并在支付合同款时抵扣。</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9.3工程竣工验收通过，乙方送交完整的竣工验收资料和竣工验收报告的日期为实际竣工日期。工程按甲方要求修改后通过竣工验收的，实际竣工日期为乙方修改后提请甲方验收的日期。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9.4竣工档案的整理和移交</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（a）竣工文件资料、竣工图档案（原件）各一式四份；</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（b）与本款（a）项内容相同的电子版档案一式二份；</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仿宋" w:hAnsi="仿宋" w:eastAsia="仿宋" w:cs="仿宋"/>
          <w:color w:val="auto"/>
          <w:sz w:val="24"/>
          <w:highlight w:val="none"/>
          <w:u w:val="single"/>
        </w:rPr>
        <w:t>合同暂定总价</w:t>
      </w:r>
      <w:r>
        <w:rPr>
          <w:rFonts w:hint="eastAsia" w:ascii="仿宋" w:hAnsi="仿宋" w:eastAsia="仿宋" w:cs="仿宋"/>
          <w:bCs/>
          <w:color w:val="auto"/>
          <w:sz w:val="24"/>
          <w:highlight w:val="none"/>
          <w:u w:val="single"/>
        </w:rPr>
        <w:t>万分之五/天</w:t>
      </w:r>
      <w:r>
        <w:rPr>
          <w:rFonts w:hint="eastAsia" w:ascii="仿宋" w:hAnsi="仿宋" w:eastAsia="仿宋" w:cs="仿宋"/>
          <w:color w:val="auto"/>
          <w:sz w:val="24"/>
          <w:highlight w:val="none"/>
        </w:rPr>
        <w:t>违约金。</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（3）电子版竣工图的编制，以甲方提供的电子版施工图为基础。乙方在移交竣工档案时，应一并移交甲方提供的电子版施工图。</w:t>
      </w:r>
    </w:p>
    <w:p>
      <w:pPr>
        <w:spacing w:line="5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电子版施工图和电子版竣工图的知识产权归属甲方所有，非经甲方许可，乙方不得以任何方式复制、备份、转让和利用。否则，由此引起的任何纠纷和责任由乙方承担。</w:t>
      </w:r>
    </w:p>
    <w:p>
      <w:pPr>
        <w:spacing w:line="5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9.5</w:t>
      </w:r>
      <w:r>
        <w:rPr>
          <w:rFonts w:hint="eastAsia" w:ascii="仿宋" w:hAnsi="仿宋" w:eastAsia="仿宋" w:cs="仿宋"/>
          <w:color w:val="auto"/>
          <w:sz w:val="24"/>
          <w:highlight w:val="none"/>
        </w:rPr>
        <w:t>本合同竣工验收结算单位为：</w:t>
      </w:r>
      <w:r>
        <w:rPr>
          <w:rFonts w:hint="eastAsia" w:ascii="仿宋" w:hAnsi="仿宋" w:eastAsia="仿宋" w:cs="仿宋"/>
          <w:color w:val="auto"/>
          <w:sz w:val="24"/>
          <w:highlight w:val="none"/>
          <w:lang w:val="en-US" w:eastAsia="zh-CN"/>
        </w:rPr>
        <w:t>广州市净水有限公司大坦沙分公司</w:t>
      </w:r>
    </w:p>
    <w:p>
      <w:pPr>
        <w:numPr>
          <w:ilvl w:val="0"/>
          <w:numId w:val="27"/>
        </w:numPr>
        <w:spacing w:before="120" w:after="156" w:afterLines="50" w:line="50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质量保证</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10.1乙方保证所承包的项目质量符合国家相关标准和规范。对产品质量依据原厂商标准及国家标准从严执行。</w:t>
      </w:r>
    </w:p>
    <w:p>
      <w:pPr>
        <w:autoSpaceDE w:val="0"/>
        <w:autoSpaceDN w:val="0"/>
        <w:adjustRightInd w:val="0"/>
        <w:spacing w:line="500" w:lineRule="exact"/>
        <w:ind w:left="420"/>
        <w:rPr>
          <w:rFonts w:hint="eastAsia" w:ascii="仿宋" w:hAnsi="仿宋" w:eastAsia="仿宋" w:cs="仿宋"/>
          <w:color w:val="auto"/>
          <w:kern w:val="0"/>
          <w:sz w:val="24"/>
          <w:highlight w:val="none"/>
          <w:lang w:val="zh-CN"/>
        </w:rPr>
      </w:pPr>
      <w:r>
        <w:rPr>
          <w:rFonts w:hint="eastAsia" w:ascii="仿宋" w:hAnsi="仿宋" w:eastAsia="仿宋" w:cs="仿宋"/>
          <w:bCs/>
          <w:color w:val="auto"/>
          <w:sz w:val="24"/>
          <w:highlight w:val="none"/>
        </w:rPr>
        <w:t>10.2 本项目质量保修期为</w:t>
      </w:r>
      <w:r>
        <w:rPr>
          <w:rFonts w:hint="eastAsia" w:ascii="仿宋" w:hAnsi="仿宋" w:eastAsia="仿宋" w:cs="仿宋"/>
          <w:color w:val="auto"/>
          <w:kern w:val="0"/>
          <w:sz w:val="24"/>
          <w:highlight w:val="none"/>
          <w:lang w:val="zh-CN"/>
        </w:rPr>
        <w:t>自验收合格之日起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b/>
          <w:bCs/>
          <w:color w:val="auto"/>
          <w:kern w:val="0"/>
          <w:sz w:val="24"/>
          <w:highlight w:val="none"/>
          <w:u w:val="single"/>
          <w:lang w:val="en-US" w:eastAsia="zh-CN"/>
        </w:rPr>
        <w:t>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lang w:val="en-US" w:eastAsia="zh-CN"/>
        </w:rPr>
        <w:t>且不得低于法定保修期限</w:t>
      </w:r>
      <w:r>
        <w:rPr>
          <w:rFonts w:hint="eastAsia" w:ascii="仿宋" w:hAnsi="仿宋" w:eastAsia="仿宋" w:cs="仿宋"/>
          <w:color w:val="auto"/>
          <w:kern w:val="0"/>
          <w:sz w:val="24"/>
          <w:highlight w:val="none"/>
          <w:lang w:val="zh-CN"/>
        </w:rPr>
        <w:t>。</w:t>
      </w:r>
    </w:p>
    <w:p>
      <w:pPr>
        <w:spacing w:line="500" w:lineRule="exact"/>
        <w:ind w:firstLine="420" w:firstLineChars="17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10.3质量保修期期间，本项目的质量问题由乙方免费提供保修服务，乙方应在收到甲方通知后</w:t>
      </w: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仿宋" w:hAnsi="仿宋" w:eastAsia="仿宋" w:cs="仿宋"/>
          <w:bCs/>
          <w:color w:val="auto"/>
          <w:sz w:val="24"/>
          <w:highlight w:val="none"/>
          <w:u w:val="single"/>
        </w:rPr>
        <w:t>合同暂定总价的10%/次</w:t>
      </w:r>
      <w:r>
        <w:rPr>
          <w:rFonts w:hint="eastAsia" w:ascii="仿宋" w:hAnsi="仿宋" w:eastAsia="仿宋" w:cs="仿宋"/>
          <w:bCs/>
          <w:color w:val="auto"/>
          <w:sz w:val="24"/>
          <w:highlight w:val="none"/>
        </w:rPr>
        <w:t>作为违约金。</w:t>
      </w:r>
    </w:p>
    <w:p>
      <w:pPr>
        <w:spacing w:before="156" w:beforeLines="50" w:after="156" w:afterLines="50" w:line="500" w:lineRule="exact"/>
        <w:ind w:firstLine="422" w:firstLineChars="175"/>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第十一条 不可抗力</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11.3 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第</w:t>
      </w:r>
      <w:r>
        <w:rPr>
          <w:rFonts w:hint="eastAsia" w:ascii="仿宋" w:hAnsi="仿宋" w:eastAsia="仿宋" w:cs="仿宋"/>
          <w:b/>
          <w:bCs/>
          <w:color w:val="auto"/>
          <w:sz w:val="24"/>
          <w:highlight w:val="none"/>
        </w:rPr>
        <w:t>十二条 争议解决</w:t>
      </w:r>
    </w:p>
    <w:p>
      <w:pPr>
        <w:spacing w:before="156" w:beforeLines="50" w:after="156" w:afterLines="50" w:line="500" w:lineRule="exact"/>
        <w:ind w:firstLine="482"/>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12.1 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 xml:space="preserve">12.2 </w:t>
      </w:r>
      <w:r>
        <w:rPr>
          <w:rFonts w:hint="eastAsia" w:ascii="仿宋" w:hAnsi="仿宋" w:eastAsia="仿宋" w:cs="仿宋"/>
          <w:color w:val="auto"/>
          <w:sz w:val="24"/>
          <w:highlight w:val="none"/>
        </w:rPr>
        <w:t>在甲方同意的情况下，除有争端之外的合同其它部分在争端解决前应继续执行。</w:t>
      </w:r>
    </w:p>
    <w:p>
      <w:pPr>
        <w:spacing w:line="500" w:lineRule="exact"/>
        <w:ind w:firstLine="482"/>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第十三条 合同生效及其他</w:t>
      </w:r>
    </w:p>
    <w:p>
      <w:pPr>
        <w:spacing w:line="5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13.1本合同经双方法定代表人或授权代表签字并加盖双方公章后生效.</w:t>
      </w:r>
    </w:p>
    <w:p>
      <w:pPr>
        <w:spacing w:line="5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13.2本合同正文一式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份，其中：甲方</w:t>
      </w:r>
      <w:r>
        <w:rPr>
          <w:rFonts w:hint="eastAsia" w:ascii="仿宋" w:hAnsi="仿宋" w:eastAsia="仿宋" w:cs="仿宋"/>
          <w:color w:val="auto"/>
          <w:sz w:val="24"/>
          <w:highlight w:val="none"/>
          <w:u w:val="single"/>
          <w:lang w:val="en-US" w:eastAsia="zh-CN"/>
        </w:rPr>
        <w:t>肆</w:t>
      </w:r>
      <w:r>
        <w:rPr>
          <w:rFonts w:hint="eastAsia" w:ascii="仿宋" w:hAnsi="仿宋" w:eastAsia="仿宋" w:cs="仿宋"/>
          <w:color w:val="auto"/>
          <w:sz w:val="24"/>
          <w:highlight w:val="none"/>
        </w:rPr>
        <w:t>份，乙方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w:t>
      </w:r>
    </w:p>
    <w:p>
      <w:pPr>
        <w:spacing w:line="500" w:lineRule="exact"/>
        <w:ind w:firstLine="48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13.3补充条款：</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u w:val="single"/>
        </w:rPr>
        <w:t xml:space="preserve">   </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附件：1.成交通知书</w:t>
      </w:r>
    </w:p>
    <w:p>
      <w:pPr>
        <w:spacing w:line="5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2.廉洁协议</w:t>
      </w:r>
    </w:p>
    <w:p>
      <w:pPr>
        <w:spacing w:line="5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3.营运场所施工安全协议书</w:t>
      </w:r>
    </w:p>
    <w:p>
      <w:pPr>
        <w:spacing w:line="5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4.工程量清单报价</w:t>
      </w:r>
    </w:p>
    <w:p>
      <w:pPr>
        <w:spacing w:line="5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.项目投入人员架构表</w:t>
      </w:r>
      <w:r>
        <w:rPr>
          <w:rFonts w:hint="eastAsia" w:ascii="仿宋" w:hAnsi="仿宋" w:eastAsia="仿宋" w:cs="仿宋"/>
          <w:color w:val="auto"/>
          <w:sz w:val="24"/>
          <w:highlight w:val="none"/>
          <w:lang w:val="en-US" w:eastAsia="zh-CN"/>
        </w:rPr>
        <w:t>/</w:t>
      </w:r>
      <w:r>
        <w:rPr>
          <w:rFonts w:hint="eastAsia" w:ascii="仿宋" w:hAnsi="仿宋" w:eastAsia="仿宋" w:cs="仿宋"/>
          <w:color w:val="auto"/>
          <w:spacing w:val="-8"/>
          <w:sz w:val="24"/>
          <w:szCs w:val="24"/>
          <w:highlight w:val="none"/>
        </w:rPr>
        <w:t>应急救援物资清单</w:t>
      </w:r>
    </w:p>
    <w:p>
      <w:pPr>
        <w:spacing w:line="5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营运项目承包单位日常履约考评参照表（安全）</w:t>
      </w:r>
    </w:p>
    <w:p>
      <w:pPr>
        <w:spacing w:line="500" w:lineRule="exact"/>
        <w:ind w:left="718" w:leftChars="342"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营运项目承包单位综合履约考评表（安全）</w:t>
      </w:r>
    </w:p>
    <w:p>
      <w:pPr>
        <w:spacing w:line="500" w:lineRule="exact"/>
        <w:ind w:left="718" w:leftChars="342"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8.消防安全管理协议书</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lang w:val="en-US" w:eastAsia="zh-CN"/>
        </w:rPr>
        <w:t>9.消防安全承诺书</w:t>
      </w:r>
    </w:p>
    <w:p>
      <w:pPr>
        <w:spacing w:line="500" w:lineRule="exact"/>
        <w:ind w:left="718" w:leftChars="342"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10.技术需求</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甲方：广州市净水有限公司（盖章）     乙方：</w:t>
      </w:r>
      <w:r>
        <w:rPr>
          <w:rFonts w:hint="eastAsia" w:ascii="仿宋" w:hAnsi="仿宋" w:eastAsia="仿宋" w:cs="仿宋"/>
          <w:color w:val="auto"/>
          <w:spacing w:val="-11"/>
          <w:sz w:val="24"/>
          <w:highlight w:val="none"/>
          <w:lang w:val="en-US" w:eastAsia="zh-CN"/>
        </w:rPr>
        <w:t xml:space="preserve">      </w:t>
      </w:r>
      <w:r>
        <w:rPr>
          <w:rFonts w:hint="eastAsia" w:ascii="仿宋" w:hAnsi="仿宋" w:eastAsia="仿宋" w:cs="仿宋"/>
          <w:color w:val="auto"/>
          <w:sz w:val="24"/>
          <w:highlight w:val="none"/>
        </w:rPr>
        <w:t xml:space="preserve"> （盖章）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                         法定代表人或</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授权代理人：                         授权代理人：</w:t>
      </w:r>
    </w:p>
    <w:p>
      <w:pPr>
        <w:keepNext w:val="0"/>
        <w:keepLines w:val="0"/>
        <w:pageBreakBefore w:val="0"/>
        <w:kinsoku/>
        <w:wordWrap/>
        <w:overflowPunct/>
        <w:topLinePunct w:val="0"/>
        <w:bidi w:val="0"/>
        <w:spacing w:line="460" w:lineRule="exact"/>
        <w:ind w:left="5280" w:hanging="5280" w:hangingChars="2200"/>
        <w:textAlignment w:val="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val="en-US" w:eastAsia="zh-CN"/>
        </w:rPr>
        <w:t>广州市天河区临江大道501号</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地址：</w:t>
      </w:r>
      <w:r>
        <w:rPr>
          <w:rFonts w:hint="eastAsia" w:ascii="仿宋" w:hAnsi="仿宋" w:eastAsia="仿宋" w:cs="仿宋"/>
          <w:color w:val="auto"/>
          <w:sz w:val="24"/>
          <w:highlight w:val="none"/>
          <w:lang w:val="en-US" w:eastAsia="zh-CN"/>
        </w:rPr>
        <w:t xml:space="preserve">         </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经办人：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经办人：</w:t>
      </w:r>
    </w:p>
    <w:p>
      <w:pPr>
        <w:spacing w:line="5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联系电话：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val="en-US" w:eastAsia="zh-CN"/>
        </w:rPr>
        <w:t xml:space="preserve">     </w:t>
      </w:r>
    </w:p>
    <w:p>
      <w:pPr>
        <w:spacing w:line="500" w:lineRule="exact"/>
        <w:ind w:left="6360" w:hanging="6360" w:hangingChars="265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传真：</w:t>
      </w:r>
    </w:p>
    <w:p>
      <w:pPr>
        <w:spacing w:line="500" w:lineRule="exact"/>
        <w:ind w:left="6360" w:hanging="6360" w:hangingChars="265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签署日期：    年    月    日         签署日期：    年    月    日  </w:t>
      </w:r>
    </w:p>
    <w:p>
      <w:pPr>
        <w:spacing w:line="24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br w:type="page"/>
      </w: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pStyle w:val="5"/>
        <w:rPr>
          <w:rFonts w:hint="eastAsia" w:ascii="宋体" w:hAnsi="宋体" w:cs="宋体"/>
          <w:b/>
          <w:szCs w:val="21"/>
        </w:rPr>
      </w:pPr>
    </w:p>
    <w:p>
      <w:pPr>
        <w:pStyle w:val="5"/>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ascii="宋体" w:hAnsi="宋体" w:cs="宋体"/>
          <w:b/>
          <w:szCs w:val="21"/>
        </w:rPr>
      </w:pPr>
      <w:r>
        <w:rPr>
          <w:rFonts w:hint="eastAsia" w:ascii="宋体" w:hAnsi="宋体" w:cs="宋体"/>
          <w:b/>
          <w:szCs w:val="21"/>
        </w:rPr>
        <w:t>附件3：营运场所施工安全协议书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spacing w:line="560" w:lineRule="exact"/>
        <w:jc w:val="left"/>
        <w:rPr>
          <w:rStyle w:val="27"/>
          <w:rFonts w:asciiTheme="minorEastAsia" w:hAnsiTheme="minorEastAsia" w:eastAsiaTheme="minorEastAsia"/>
          <w:b w:val="0"/>
          <w:u w:val="single"/>
        </w:rPr>
      </w:pP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一、本协议与主合同的关系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本协议作为</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sz w:val="24"/>
        </w:rPr>
      </w:pPr>
      <w:r>
        <w:rPr>
          <w:rFonts w:asciiTheme="minorEastAsia" w:hAnsiTheme="minorEastAsia" w:eastAsiaTheme="minorEastAsia"/>
          <w:b/>
          <w:sz w:val="24"/>
        </w:rPr>
        <w:t xml:space="preserve"> 二、</w:t>
      </w:r>
      <w:r>
        <w:rPr>
          <w:rFonts w:hint="eastAsia" w:asciiTheme="minorEastAsia" w:hAnsiTheme="minorEastAsia" w:eastAsiaTheme="minorEastAsia"/>
          <w:b/>
          <w:sz w:val="24"/>
        </w:rPr>
        <w:t>甲方权责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根据《广州市水务局关于印发广州市水务工程施工和监理企业诚信评价管理办法的通知》（穗水建设〔2</w:t>
      </w:r>
      <w:r>
        <w:rPr>
          <w:rFonts w:asciiTheme="minorEastAsia" w:hAnsiTheme="minorEastAsia" w:eastAsiaTheme="minorEastAsia"/>
          <w:sz w:val="24"/>
        </w:rPr>
        <w:t>014</w:t>
      </w:r>
      <w:r>
        <w:rPr>
          <w:rFonts w:hint="eastAsia" w:asciiTheme="minorEastAsia" w:hAnsiTheme="minorEastAsia" w:eastAsiaTheme="minorEastAsia"/>
          <w:sz w:val="24"/>
        </w:rPr>
        <w:t>〕1</w:t>
      </w:r>
      <w:r>
        <w:rPr>
          <w:rFonts w:asciiTheme="minorEastAsia" w:hAnsiTheme="minorEastAsia" w:eastAsiaTheme="minorEastAsia"/>
          <w:sz w:val="24"/>
        </w:rPr>
        <w:t>0</w:t>
      </w:r>
      <w:r>
        <w:rPr>
          <w:rFonts w:hint="eastAsia" w:asciiTheme="minorEastAsia" w:hAnsiTheme="minorEastAsia" w:eastAsiaTheme="minorEastAsia"/>
          <w:sz w:val="24"/>
        </w:rPr>
        <w:t>号）、《市净水公司关于印发施工和监理企业诚信评价工作实施办法的通知》（穗净水〔201</w:t>
      </w:r>
      <w:r>
        <w:rPr>
          <w:rFonts w:asciiTheme="minorEastAsia" w:hAnsiTheme="minorEastAsia" w:eastAsiaTheme="minorEastAsia"/>
          <w:sz w:val="24"/>
        </w:rPr>
        <w:t>5</w:t>
      </w:r>
      <w:r>
        <w:rPr>
          <w:rFonts w:hint="eastAsia" w:asciiTheme="minorEastAsia" w:hAnsiTheme="minorEastAsia" w:eastAsiaTheme="minorEastAsia"/>
          <w:sz w:val="24"/>
        </w:rPr>
        <w:t>〕2</w:t>
      </w:r>
      <w:r>
        <w:rPr>
          <w:rFonts w:asciiTheme="minorEastAsia" w:hAnsiTheme="minorEastAsia" w:eastAsiaTheme="minorEastAsia"/>
          <w:sz w:val="24"/>
        </w:rPr>
        <w:t>40</w:t>
      </w:r>
      <w:r>
        <w:rPr>
          <w:rFonts w:hint="eastAsia" w:asciiTheme="minorEastAsia" w:hAnsiTheme="minorEastAsia" w:eastAsiaTheme="minorEastAsia"/>
          <w:sz w:val="24"/>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向上级进行反映，包括但不限于广东省市政行业协会、广州市市政公路协会等。</w:t>
      </w:r>
    </w:p>
    <w:p>
      <w:pPr>
        <w:spacing w:line="560" w:lineRule="exact"/>
        <w:ind w:firstLine="480" w:firstLineChars="200"/>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三、乙方权责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（三）乙方应在合同签订后</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rPr>
        <w:t>15</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（十）乙方委托的第三方运输单位或个人，违反本协议的，全部责任均由乙方承担。</w:t>
      </w:r>
    </w:p>
    <w:p>
      <w:pPr>
        <w:adjustRightInd w:val="0"/>
        <w:snapToGrid w:val="0"/>
        <w:spacing w:line="560" w:lineRule="exact"/>
        <w:ind w:firstLine="482" w:firstLineChars="200"/>
        <w:jc w:val="left"/>
        <w:rPr>
          <w:rFonts w:hint="eastAsia" w:asciiTheme="minorEastAsia" w:hAnsiTheme="minorEastAsia" w:eastAsiaTheme="minorEastAsia"/>
          <w:b/>
          <w:sz w:val="24"/>
        </w:rPr>
      </w:pP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四、事故责任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五、补充条款：</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无</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pPr>
        <w:adjustRightInd w:val="0"/>
        <w:snapToGrid w:val="0"/>
        <w:spacing w:line="560" w:lineRule="exact"/>
        <w:ind w:firstLine="482" w:firstLineChars="200"/>
        <w:jc w:val="left"/>
        <w:rPr>
          <w:rFonts w:hint="eastAsia" w:asciiTheme="minorEastAsia" w:hAnsiTheme="minorEastAsia" w:eastAsiaTheme="minorEastAsia"/>
          <w:b/>
          <w:sz w:val="24"/>
        </w:rPr>
      </w:pPr>
    </w:p>
    <w:p>
      <w:pPr>
        <w:adjustRightInd w:val="0"/>
        <w:snapToGrid w:val="0"/>
        <w:spacing w:line="560" w:lineRule="exact"/>
        <w:ind w:firstLine="482" w:firstLineChars="200"/>
        <w:jc w:val="left"/>
        <w:rPr>
          <w:rFonts w:hint="eastAsia" w:asciiTheme="minorEastAsia" w:hAnsiTheme="minorEastAsia" w:eastAsiaTheme="minorEastAsia"/>
          <w:b/>
          <w:sz w:val="24"/>
        </w:rPr>
      </w:pP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六、附则</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甲方：</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签约代表：</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联系电话：</w:t>
            </w:r>
          </w:p>
          <w:p>
            <w:pPr>
              <w:adjustRightInd w:val="0"/>
              <w:snapToGrid w:val="0"/>
              <w:spacing w:line="560" w:lineRule="exact"/>
              <w:ind w:firstLine="240" w:firstLineChars="100"/>
              <w:jc w:val="right"/>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c>
          <w:tcPr>
            <w:tcW w:w="4474" w:type="dxa"/>
          </w:tcPr>
          <w:p>
            <w:pPr>
              <w:adjustRightInd w:val="0"/>
              <w:snapToGrid w:val="0"/>
              <w:spacing w:line="560" w:lineRule="exact"/>
              <w:rPr>
                <w:rFonts w:ascii="宋体" w:hAnsi="宋体" w:eastAsia="宋体"/>
                <w:sz w:val="24"/>
              </w:rPr>
            </w:pPr>
            <w:r>
              <w:rPr>
                <w:rFonts w:hint="eastAsia" w:ascii="宋体" w:hAnsi="宋体" w:eastAsia="宋体"/>
                <w:sz w:val="24"/>
              </w:rPr>
              <w:t>乙方：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ind w:firstLine="1440" w:firstLineChars="600"/>
              <w:jc w:val="both"/>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r>
    </w:tbl>
    <w:p>
      <w:pPr>
        <w:spacing w:line="360" w:lineRule="auto"/>
        <w:rPr>
          <w:rFonts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pStyle w:val="23"/>
        <w:rPr>
          <w:rFonts w:hint="eastAsia" w:ascii="宋体" w:hAnsi="宋体" w:cs="宋体"/>
          <w:b/>
          <w:szCs w:val="21"/>
        </w:rPr>
      </w:pPr>
    </w:p>
    <w:p>
      <w:pPr>
        <w:pStyle w:val="23"/>
        <w:rPr>
          <w:rFonts w:hint="eastAsia" w:ascii="宋体" w:hAnsi="宋体" w:cs="宋体"/>
          <w:b/>
          <w:szCs w:val="21"/>
        </w:rPr>
      </w:pPr>
    </w:p>
    <w:p>
      <w:pPr>
        <w:pStyle w:val="23"/>
        <w:rPr>
          <w:rFonts w:hint="eastAsia" w:ascii="宋体" w:hAnsi="宋体" w:cs="宋体"/>
          <w:b/>
          <w:szCs w:val="21"/>
        </w:rPr>
      </w:pPr>
    </w:p>
    <w:p>
      <w:pPr>
        <w:pStyle w:val="23"/>
        <w:rPr>
          <w:rFonts w:hint="eastAsia" w:ascii="宋体" w:hAnsi="宋体" w:cs="宋体"/>
          <w:b/>
          <w:szCs w:val="21"/>
        </w:rPr>
      </w:pPr>
    </w:p>
    <w:p>
      <w:pPr>
        <w:pStyle w:val="23"/>
        <w:ind w:left="0" w:leftChars="0" w:firstLine="0" w:firstLineChars="0"/>
        <w:rPr>
          <w:rFonts w:hint="eastAsia" w:ascii="宋体" w:hAnsi="宋体" w:cs="宋体"/>
          <w:b/>
          <w:szCs w:val="21"/>
        </w:rPr>
      </w:pPr>
    </w:p>
    <w:p>
      <w:pPr>
        <w:tabs>
          <w:tab w:val="left" w:pos="4170"/>
        </w:tabs>
        <w:spacing w:line="360" w:lineRule="auto"/>
        <w:rPr>
          <w:rFonts w:hint="eastAsia"/>
        </w:rPr>
      </w:pPr>
      <w:r>
        <w:rPr>
          <w:rFonts w:hint="eastAsia" w:ascii="宋体" w:hAnsi="宋体" w:cs="宋体"/>
          <w:b/>
          <w:szCs w:val="21"/>
        </w:rPr>
        <w:t>附件</w:t>
      </w:r>
      <w:r>
        <w:rPr>
          <w:rFonts w:hint="eastAsia" w:ascii="宋体" w:hAnsi="宋体" w:cs="宋体"/>
          <w:b/>
          <w:szCs w:val="21"/>
          <w:lang w:val="en-US" w:eastAsia="zh-CN"/>
        </w:rPr>
        <w:t>4</w:t>
      </w:r>
      <w:r>
        <w:rPr>
          <w:rFonts w:hint="eastAsia" w:ascii="宋体" w:hAnsi="宋体" w:cs="宋体"/>
          <w:b/>
          <w:szCs w:val="21"/>
        </w:rPr>
        <w:t>：</w:t>
      </w:r>
      <w:r>
        <w:rPr>
          <w:rFonts w:hint="eastAsia" w:ascii="宋体" w:hAnsi="宋体" w:cs="宋体"/>
          <w:b/>
          <w:szCs w:val="21"/>
          <w:lang w:val="en-US" w:eastAsia="zh-CN"/>
        </w:rPr>
        <w:t>工程量清单报价（详见响应文件格式清单）</w:t>
      </w:r>
      <w:r>
        <w:rPr>
          <w:rFonts w:hint="eastAsia"/>
        </w:rPr>
        <w:br w:type="page"/>
      </w:r>
    </w:p>
    <w:p>
      <w:pPr>
        <w:shd w:val="clear"/>
        <w:spacing w:line="360" w:lineRule="auto"/>
        <w:rPr>
          <w:rFonts w:hint="eastAsia" w:ascii="宋体" w:hAnsi="宋体" w:cs="宋体" w:eastAsiaTheme="minorEastAsia"/>
          <w:b/>
          <w:bCs/>
          <w:color w:val="auto"/>
          <w:szCs w:val="21"/>
          <w:lang w:val="en-US" w:eastAsia="zh-CN"/>
        </w:rPr>
      </w:pPr>
      <w:r>
        <w:rPr>
          <w:rFonts w:hint="eastAsia" w:ascii="宋体" w:hAnsi="宋体" w:cs="宋体"/>
          <w:b/>
          <w:bCs/>
          <w:color w:val="auto"/>
          <w:szCs w:val="21"/>
        </w:rPr>
        <w:t>附件</w:t>
      </w:r>
      <w:r>
        <w:rPr>
          <w:rFonts w:hint="eastAsia" w:ascii="宋体" w:hAnsi="宋体" w:cs="宋体"/>
          <w:b/>
          <w:bCs/>
          <w:color w:val="auto"/>
          <w:szCs w:val="21"/>
          <w:lang w:val="en-US" w:eastAsia="zh-CN"/>
        </w:rPr>
        <w:t>5</w:t>
      </w:r>
      <w:r>
        <w:rPr>
          <w:rFonts w:hint="eastAsia" w:ascii="宋体" w:hAnsi="宋体" w:cs="宋体"/>
          <w:b/>
          <w:bCs/>
          <w:color w:val="auto"/>
          <w:szCs w:val="21"/>
        </w:rPr>
        <w:t xml:space="preserve"> ：项目投入人员架构表</w:t>
      </w:r>
      <w:r>
        <w:rPr>
          <w:rFonts w:hint="eastAsia" w:ascii="宋体" w:hAnsi="宋体" w:cs="宋体"/>
          <w:b/>
          <w:bCs/>
          <w:color w:val="auto"/>
          <w:szCs w:val="21"/>
          <w:lang w:val="en-US" w:eastAsia="zh-CN"/>
        </w:rPr>
        <w:t>/</w:t>
      </w:r>
      <w:r>
        <w:rPr>
          <w:rFonts w:ascii="宋体" w:hAnsi="宋体" w:eastAsia="宋体" w:cs="宋体"/>
          <w:sz w:val="24"/>
          <w:szCs w:val="24"/>
        </w:rPr>
        <w:t>应急救援物资清单</w:t>
      </w:r>
    </w:p>
    <w:p>
      <w:pPr>
        <w:shd w:val="clea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45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006"/>
        <w:gridCol w:w="824"/>
        <w:gridCol w:w="2103"/>
        <w:gridCol w:w="228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bl>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5"/>
        <w:shd w:val="clear"/>
        <w:ind w:firstLine="6480" w:firstLineChars="2700"/>
        <w:rPr>
          <w:rFonts w:hint="eastAsia" w:ascii="宋体" w:hAnsi="宋体" w:eastAsia="宋体" w:cs="Times New Roman"/>
          <w:b/>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spacing w:line="360" w:lineRule="auto"/>
        <w:rPr>
          <w:rFonts w:hint="eastAsia" w:ascii="宋体" w:hAnsi="宋体" w:cs="宋体"/>
          <w:b/>
          <w:bCs/>
          <w:szCs w:val="21"/>
        </w:rPr>
      </w:pPr>
    </w:p>
    <w:p>
      <w:pPr>
        <w:pStyle w:val="9"/>
      </w:pPr>
    </w:p>
    <w:p>
      <w:pPr>
        <w:pStyle w:val="9"/>
        <w:rPr>
          <w:rFonts w:hint="default" w:eastAsiaTheme="minorEastAsia"/>
          <w:lang w:val="en-US" w:eastAsia="zh-CN"/>
        </w:rPr>
      </w:pPr>
      <w:r>
        <w:rPr>
          <w:rFonts w:hint="eastAsia"/>
          <w:lang w:val="en-US" w:eastAsia="zh-CN"/>
        </w:rPr>
        <w:t>附件6</w:t>
      </w:r>
    </w:p>
    <w:tbl>
      <w:tblPr>
        <w:tblStyle w:val="24"/>
        <w:tblpPr w:leftFromText="180" w:rightFromText="180" w:vertAnchor="text" w:horzAnchor="page" w:tblpX="1847" w:tblpY="783"/>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缺安全架构扣合同金额的10%或2000；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缺安全架构扣合同金额的2%或1万；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缺安全架构扣合同金额的1%或2万；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扣合同金额的0.5%～1%；</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扣合同金额的0.3%～0.4%；</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sz w:val="13"/>
                <w:szCs w:val="13"/>
              </w:rPr>
            </w:pPr>
            <w:r>
              <w:rPr>
                <w:rFonts w:hint="eastAsia"/>
                <w:sz w:val="13"/>
                <w:szCs w:val="13"/>
              </w:rPr>
              <w:t>注：1、与安全管理相关的考评内容具体考评标准内容参照广州市净水有限公司标准《工程项目安全管理规范》（Q/GZJSA 1-2021）执行。</w:t>
            </w:r>
          </w:p>
          <w:p>
            <w:r>
              <w:rPr>
                <w:rFonts w:hint="eastAsia" w:ascii="仿宋_GB2312" w:hAnsi="仿宋_GB2312" w:eastAsia="仿宋_GB2312" w:cs="仿宋_GB2312"/>
                <w:color w:val="000000"/>
                <w:sz w:val="13"/>
                <w:szCs w:val="13"/>
              </w:rPr>
              <w:t>2.本处理标准出自《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3"/>
              <w:ind w:firstLine="1126"/>
              <w:rPr>
                <w:rFonts w:hint="default" w:eastAsia="仿宋_GB2312"/>
                <w:lang w:val="en-US" w:eastAsia="zh-CN"/>
              </w:rPr>
            </w:pPr>
          </w:p>
        </w:tc>
      </w:tr>
    </w:tbl>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default" w:eastAsia="宋体"/>
          <w:lang w:val="en-US" w:eastAsia="zh-CN"/>
        </w:rPr>
      </w:pPr>
      <w:r>
        <w:rPr>
          <w:rFonts w:hint="eastAsia"/>
          <w:lang w:val="en-US" w:eastAsia="zh-CN"/>
        </w:rPr>
        <w:t>附件7</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缺安全架构扣5～10分/项；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缺花名册扣3～5分/项；</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sz w:val="13"/>
                <w:szCs w:val="13"/>
                <w:lang w:eastAsia="zh-CN"/>
              </w:rPr>
            </w:pPr>
            <w:r>
              <w:rPr>
                <w:rFonts w:hint="eastAsia"/>
                <w:sz w:val="13"/>
                <w:szCs w:val="13"/>
              </w:rPr>
              <w:t>注：1、综合考评满分100分，各考评项目扣分不设上限；</w:t>
            </w:r>
          </w:p>
          <w:p>
            <w:pPr>
              <w:widowControl/>
              <w:jc w:val="left"/>
              <w:textAlignment w:val="center"/>
              <w:rPr>
                <w:rFonts w:hint="eastAsia" w:eastAsia="宋体"/>
                <w:sz w:val="13"/>
                <w:szCs w:val="13"/>
                <w:lang w:eastAsia="zh-CN"/>
              </w:rPr>
            </w:pPr>
            <w:r>
              <w:rPr>
                <w:rFonts w:hint="eastAsia"/>
                <w:sz w:val="13"/>
                <w:szCs w:val="13"/>
              </w:rPr>
              <w:t xml:space="preserve">    2、监理单位考评只作为参考及履职依据，不计入考评，无监理单位不需填写；</w:t>
            </w:r>
          </w:p>
          <w:p>
            <w:pPr>
              <w:widowControl/>
              <w:jc w:val="left"/>
              <w:textAlignment w:val="center"/>
              <w:rPr>
                <w:rFonts w:hint="eastAsia" w:eastAsia="宋体"/>
                <w:sz w:val="13"/>
                <w:szCs w:val="13"/>
                <w:lang w:eastAsia="zh-CN"/>
              </w:rPr>
            </w:pPr>
            <w:r>
              <w:rPr>
                <w:rFonts w:hint="eastAsia"/>
                <w:sz w:val="13"/>
                <w:szCs w:val="13"/>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lang w:eastAsia="zh-CN"/>
              </w:rPr>
            </w:pPr>
            <w:r>
              <w:rPr>
                <w:rFonts w:hint="eastAsia"/>
                <w:sz w:val="13"/>
                <w:szCs w:val="13"/>
              </w:rPr>
              <w:t xml:space="preserve">    4、各分公司考评填写相应的得（扣）分数值，如奖2分则填写“2”，扣2分则填写“-2”；</w:t>
            </w:r>
          </w:p>
          <w:p>
            <w:pPr>
              <w:widowControl/>
              <w:jc w:val="left"/>
              <w:textAlignment w:val="center"/>
              <w:rPr>
                <w:rFonts w:hint="eastAsia" w:eastAsia="宋体"/>
                <w:sz w:val="13"/>
                <w:szCs w:val="13"/>
                <w:lang w:eastAsia="zh-CN"/>
              </w:rPr>
            </w:pPr>
            <w:r>
              <w:rPr>
                <w:rFonts w:hint="eastAsia"/>
                <w:sz w:val="13"/>
                <w:szCs w:val="13"/>
              </w:rPr>
              <w:t xml:space="preserve">    5、单项“综合考评”=项目部考评+公司考评；综合考评总分=各单项“综合考评”+100</w:t>
            </w:r>
          </w:p>
          <w:p>
            <w:pPr>
              <w:widowControl/>
              <w:jc w:val="left"/>
              <w:textAlignment w:val="center"/>
              <w:rPr>
                <w:rFonts w:hint="eastAsia" w:eastAsia="宋体"/>
                <w:sz w:val="13"/>
                <w:szCs w:val="13"/>
                <w:lang w:eastAsia="zh-CN"/>
              </w:rPr>
            </w:pPr>
            <w:r>
              <w:rPr>
                <w:rFonts w:hint="eastAsia"/>
                <w:sz w:val="13"/>
                <w:szCs w:val="13"/>
              </w:rPr>
              <w:t xml:space="preserve">    6、最后得分=综合考评总分X类别系数；</w:t>
            </w:r>
          </w:p>
          <w:p>
            <w:pPr>
              <w:widowControl/>
              <w:jc w:val="left"/>
              <w:textAlignment w:val="center"/>
              <w:rPr>
                <w:sz w:val="13"/>
                <w:szCs w:val="13"/>
              </w:rPr>
            </w:pPr>
            <w:r>
              <w:rPr>
                <w:rFonts w:hint="eastAsia"/>
                <w:sz w:val="13"/>
                <w:szCs w:val="13"/>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rPr>
            </w:pPr>
            <w:r>
              <w:rPr>
                <w:rFonts w:hint="eastAsia" w:ascii="仿宋_GB2312" w:hAnsi="仿宋_GB2312" w:eastAsia="仿宋_GB2312" w:cs="仿宋_GB2312"/>
                <w:color w:val="000000"/>
                <w:sz w:val="13"/>
                <w:szCs w:val="13"/>
              </w:rPr>
              <w:t>8、本处理标准出自《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3"/>
              <w:ind w:firstLine="1126"/>
            </w:pPr>
          </w:p>
        </w:tc>
      </w:tr>
    </w:tbl>
    <w:p/>
    <w:p>
      <w:pPr>
        <w:pStyle w:val="5"/>
        <w:ind w:left="0" w:leftChars="0" w:firstLine="0" w:firstLineChars="0"/>
        <w:rPr>
          <w:rFonts w:hint="eastAsia" w:ascii="宋体" w:hAnsi="宋体" w:cs="宋体"/>
          <w:b/>
          <w:color w:val="auto"/>
          <w:szCs w:val="21"/>
          <w:highlight w:val="none"/>
          <w:lang w:val="en-US" w:eastAsia="zh-CN"/>
        </w:rPr>
      </w:pPr>
    </w:p>
    <w:p>
      <w:pPr>
        <w:pStyle w:val="5"/>
        <w:ind w:left="0" w:leftChars="0" w:firstLine="0" w:firstLineChars="0"/>
        <w:rPr>
          <w:rFonts w:hint="eastAsia" w:ascii="宋体" w:hAnsi="宋体" w:cs="宋体"/>
          <w:b/>
          <w:color w:val="auto"/>
          <w:szCs w:val="21"/>
          <w:highlight w:val="none"/>
          <w:lang w:val="en-US" w:eastAsia="zh-CN"/>
        </w:rPr>
      </w:pPr>
    </w:p>
    <w:p>
      <w:pPr>
        <w:pStyle w:val="5"/>
        <w:ind w:left="0" w:leftChars="0" w:firstLine="0" w:firstLineChars="0"/>
        <w:rPr>
          <w:rFonts w:hint="eastAsia" w:ascii="宋体" w:hAnsi="宋体" w:cs="宋体"/>
          <w:b/>
          <w:color w:val="auto"/>
          <w:szCs w:val="21"/>
          <w:highlight w:val="none"/>
          <w:lang w:val="en-US" w:eastAsia="zh-CN"/>
        </w:rPr>
      </w:pPr>
    </w:p>
    <w:p>
      <w:pPr>
        <w:pStyle w:val="5"/>
        <w:ind w:left="0" w:leftChars="0" w:firstLine="0" w:firstLineChars="0"/>
        <w:rPr>
          <w:rFonts w:hint="eastAsia" w:ascii="宋体" w:hAnsi="宋体" w:cs="宋体"/>
          <w:b/>
          <w:color w:val="auto"/>
          <w:szCs w:val="21"/>
          <w:highlight w:val="none"/>
          <w:lang w:val="en-US" w:eastAsia="zh-CN"/>
        </w:rPr>
      </w:pPr>
    </w:p>
    <w:p>
      <w:pPr>
        <w:pStyle w:val="5"/>
        <w:ind w:left="0" w:leftChars="0" w:firstLine="0" w:firstLineChars="0"/>
        <w:rPr>
          <w:rFonts w:ascii="方正小标宋简体" w:hAnsi="方正小标宋简体" w:eastAsia="方正小标宋简体" w:cs="方正小标宋简体"/>
          <w:i w:val="0"/>
          <w:iCs w:val="0"/>
          <w:caps w:val="0"/>
          <w:color w:val="000000"/>
          <w:spacing w:val="0"/>
          <w:kern w:val="0"/>
          <w:sz w:val="44"/>
          <w:szCs w:val="44"/>
          <w:lang w:val="en-US" w:eastAsia="zh-CN" w:bidi="ar"/>
        </w:rPr>
      </w:pPr>
      <w:r>
        <w:rPr>
          <w:rFonts w:hint="eastAsia" w:ascii="宋体" w:hAnsi="宋体" w:cs="宋体"/>
          <w:b/>
          <w:color w:val="auto"/>
          <w:szCs w:val="21"/>
          <w:highlight w:val="none"/>
          <w:lang w:val="en-US" w:eastAsia="zh-CN"/>
        </w:rPr>
        <w:t>附件8：消防安全管理协议书</w:t>
      </w: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乙方：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一、总则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本协议书甲</w:t>
      </w:r>
      <w:r>
        <w:rPr>
          <w:rFonts w:hint="eastAsia" w:ascii="仿宋_GB2312" w:eastAsia="仿宋_GB2312" w:cs="仿宋_GB2312"/>
          <w:i w:val="0"/>
          <w:iCs w:val="0"/>
          <w:caps w:val="0"/>
          <w:color w:val="000000"/>
          <w:spacing w:val="0"/>
          <w:kern w:val="0"/>
          <w:sz w:val="32"/>
          <w:szCs w:val="32"/>
          <w:lang w:val="en-US" w:eastAsia="zh-CN" w:bidi="ar"/>
        </w:rPr>
        <w:t>乙</w:t>
      </w:r>
      <w:r>
        <w:rPr>
          <w:rFonts w:hint="default" w:ascii="仿宋_GB2312" w:eastAsia="仿宋_GB2312" w:cs="仿宋_GB2312" w:hAnsiTheme="minorHAnsi"/>
          <w:i w:val="0"/>
          <w:iCs w:val="0"/>
          <w:caps w:val="0"/>
          <w:color w:val="000000"/>
          <w:spacing w:val="0"/>
          <w:kern w:val="0"/>
          <w:sz w:val="32"/>
          <w:szCs w:val="32"/>
          <w:lang w:val="en-US" w:eastAsia="zh-CN" w:bidi="ar"/>
        </w:rPr>
        <w:t>双</w:t>
      </w:r>
      <w:r>
        <w:rPr>
          <w:rFonts w:hint="eastAsia" w:ascii="仿宋_GB2312" w:eastAsia="仿宋_GB2312" w:cs="仿宋_GB2312"/>
          <w:i w:val="0"/>
          <w:iCs w:val="0"/>
          <w:caps w:val="0"/>
          <w:color w:val="000000"/>
          <w:spacing w:val="0"/>
          <w:kern w:val="0"/>
          <w:sz w:val="32"/>
          <w:szCs w:val="32"/>
          <w:lang w:val="en-US" w:eastAsia="zh-CN" w:bidi="ar"/>
        </w:rPr>
        <w:t>方</w:t>
      </w:r>
      <w:r>
        <w:rPr>
          <w:rFonts w:hint="default" w:ascii="仿宋_GB2312" w:eastAsia="仿宋_GB2312" w:cs="仿宋_GB2312" w:hAnsiTheme="minorHAnsi"/>
          <w:i w:val="0"/>
          <w:iCs w:val="0"/>
          <w:caps w:val="0"/>
          <w:color w:val="000000"/>
          <w:spacing w:val="0"/>
          <w:kern w:val="0"/>
          <w:sz w:val="32"/>
          <w:szCs w:val="32"/>
          <w:lang w:val="en-US" w:eastAsia="zh-CN" w:bidi="ar"/>
        </w:rPr>
        <w:t>执持数量与</w:t>
      </w:r>
      <w:r>
        <w:rPr>
          <w:rFonts w:hint="eastAsia" w:ascii="仿宋_GB2312" w:eastAsia="仿宋_GB2312" w:cs="仿宋_GB2312"/>
          <w:i w:val="0"/>
          <w:iCs w:val="0"/>
          <w:caps w:val="0"/>
          <w:color w:val="000000"/>
          <w:spacing w:val="0"/>
          <w:kern w:val="0"/>
          <w:sz w:val="32"/>
          <w:szCs w:val="32"/>
          <w:lang w:val="en-US" w:eastAsia="zh-CN" w:bidi="ar"/>
        </w:rPr>
        <w:t>主合同</w:t>
      </w:r>
      <w:r>
        <w:rPr>
          <w:rFonts w:hint="default" w:ascii="仿宋_GB2312" w:eastAsia="仿宋_GB2312" w:cs="仿宋_GB2312" w:hAnsiTheme="minorHAnsi"/>
          <w:i w:val="0"/>
          <w:iCs w:val="0"/>
          <w:caps w:val="0"/>
          <w:color w:val="000000"/>
          <w:spacing w:val="0"/>
          <w:kern w:val="0"/>
          <w:sz w:val="32"/>
          <w:szCs w:val="32"/>
          <w:lang w:val="en-US" w:eastAsia="zh-CN" w:bidi="ar"/>
        </w:rPr>
        <w:t>一致，双方明确有效期限。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甲方（盖章）：</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乙方（盖章）：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甲方签字：</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乙方签字:</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联系电话：</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联系电话：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联系地址：</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联系地址：</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签定时间：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月  日</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签定时间：  年  月  日</w:t>
      </w: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附件9：消防安全承诺书</w:t>
      </w:r>
    </w:p>
    <w:p>
      <w:pPr>
        <w:keepNext w:val="0"/>
        <w:keepLines w:val="0"/>
        <w:widowControl/>
        <w:suppressLineNumbers w:val="0"/>
        <w:spacing w:before="0" w:beforeAutospacing="0" w:after="0" w:afterAutospacing="0"/>
        <w:ind w:left="0" w:right="0" w:firstLine="640"/>
        <w:jc w:val="left"/>
        <w:rPr>
          <w:rFonts w:hint="eastAsia" w:ascii="仿宋_GB2312" w:eastAsia="仿宋_GB2312" w:cs="仿宋_GB2312" w:hAnsiTheme="minorHAnsi"/>
          <w:i w:val="0"/>
          <w:iCs w:val="0"/>
          <w:caps w:val="0"/>
          <w:color w:val="000000"/>
          <w:spacing w:val="0"/>
          <w:kern w:val="0"/>
          <w:sz w:val="32"/>
          <w:szCs w:val="32"/>
          <w:lang w:val="en-US" w:eastAsia="zh-CN" w:bidi="ar"/>
        </w:rPr>
      </w:pPr>
      <w:r>
        <w:rPr>
          <w:rFonts w:hint="eastAsia" w:asciiTheme="minorEastAsia" w:hAnsiTheme="minorEastAsia" w:cstheme="minorEastAsia"/>
          <w:b/>
          <w:bCs/>
          <w:sz w:val="21"/>
          <w:szCs w:val="21"/>
          <w:highlight w:val="none"/>
          <w:lang w:val="en-US" w:eastAsia="zh-CN"/>
        </w:rPr>
        <w:t xml:space="preserve">                     </w:t>
      </w:r>
      <w:r>
        <w:rPr>
          <w:rFonts w:hint="eastAsia" w:ascii="仿宋_GB2312" w:eastAsia="仿宋_GB2312" w:cs="仿宋_GB2312" w:hAnsiTheme="minorHAnsi"/>
          <w:i w:val="0"/>
          <w:iCs w:val="0"/>
          <w:caps w:val="0"/>
          <w:color w:val="000000"/>
          <w:spacing w:val="0"/>
          <w:kern w:val="0"/>
          <w:sz w:val="32"/>
          <w:szCs w:val="32"/>
          <w:lang w:val="en-US" w:eastAsia="zh-CN" w:bidi="ar"/>
        </w:rPr>
        <w:t xml:space="preserve">  消防安全承诺书</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eastAsia" w:ascii="仿宋_GB2312" w:eastAsia="仿宋_GB2312" w:cs="仿宋_GB2312" w:hAnsiTheme="minorHAnsi"/>
          <w:i w:val="0"/>
          <w:iCs w:val="0"/>
          <w:caps w:val="0"/>
          <w:color w:val="000000"/>
          <w:spacing w:val="0"/>
          <w:kern w:val="0"/>
          <w:sz w:val="32"/>
          <w:szCs w:val="32"/>
          <w:lang w:val="en-US" w:eastAsia="zh-CN" w:bidi="ar"/>
        </w:rPr>
        <w:t xml:space="preserve">  </w:t>
      </w:r>
      <w:r>
        <w:rPr>
          <w:rFonts w:hint="default" w:ascii="仿宋_GB2312" w:eastAsia="仿宋_GB2312" w:cs="仿宋_GB2312" w:hAnsiTheme="minorHAnsi"/>
          <w:i w:val="0"/>
          <w:iCs w:val="0"/>
          <w:caps w:val="0"/>
          <w:color w:val="000000"/>
          <w:spacing w:val="0"/>
          <w:kern w:val="0"/>
          <w:sz w:val="32"/>
          <w:szCs w:val="32"/>
          <w:lang w:val="en-US" w:eastAsia="zh-CN" w:bidi="ar"/>
        </w:rPr>
        <w:t>为贯彻执行《中华人民共和国消防法》《消防安全责任制  实施办法》 (国办法〔2017〕87号) 《机关、团体、企业、事业单位消防安全管理规定》 (公安部令第61号)和《广东省实施〈中华人民共和国消防法》办法》(广东省人大常委会公告第48号)等法律法规，落实消防安全主体责任，配备专职消防安全管理人、兼职消防安全管理人，确保消防安全，我单位郑重承诺认真开展自查自纠，对发现的隐患问题，承诺在规定时间内完成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我单位将自愿接受社会公众的监督，依照承诺书内容履行好 承诺，严格按照相关消防法律法规做好消防工作，若有违反，依 据《中华人民共和国消防法》和《广东省实施&lt;中华人民共和国</w:t>
      </w:r>
    </w:p>
    <w:p>
      <w:pPr>
        <w:keepNext w:val="0"/>
        <w:keepLines w:val="0"/>
        <w:widowControl/>
        <w:suppressLineNumbers w:val="0"/>
        <w:spacing w:before="0" w:beforeAutospacing="0" w:after="0" w:afterAutospacing="0"/>
        <w:ind w:right="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消防法〉办法》的有关规定，我单位将承担相关法律责任，切实</w:t>
      </w:r>
    </w:p>
    <w:p>
      <w:pPr>
        <w:keepNext w:val="0"/>
        <w:keepLines w:val="0"/>
        <w:widowControl/>
        <w:suppressLineNumbers w:val="0"/>
        <w:spacing w:before="0" w:beforeAutospacing="0" w:after="0" w:afterAutospacing="0"/>
        <w:ind w:right="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做到安全自查、隐患自除、责任自负、接受监督</w:t>
      </w:r>
      <w:r>
        <w:rPr>
          <w:rFonts w:hint="eastAsia" w:ascii="仿宋_GB2312" w:eastAsia="仿宋_GB2312" w:cs="仿宋_GB2312"/>
          <w:i w:val="0"/>
          <w:iCs w:val="0"/>
          <w:caps w:val="0"/>
          <w:color w:val="000000"/>
          <w:spacing w:val="0"/>
          <w:kern w:val="0"/>
          <w:sz w:val="32"/>
          <w:szCs w:val="32"/>
          <w:lang w:val="en-US" w:eastAsia="zh-CN" w:bidi="ar"/>
        </w:rPr>
        <w:t>。</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本承诺书甲方、乙方双方执持数量与主合同一致。</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承诺单位(公章):</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承诺人(签名):</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消防安全责任人(签名):</w:t>
      </w:r>
    </w:p>
    <w:p>
      <w:pPr>
        <w:keepNext w:val="0"/>
        <w:keepLines w:val="0"/>
        <w:widowControl/>
        <w:suppressLineNumbers w:val="0"/>
        <w:spacing w:before="0" w:beforeAutospacing="0" w:after="0" w:afterAutospacing="0"/>
        <w:ind w:left="0" w:right="0" w:firstLine="5126" w:firstLineChars="1602"/>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仿宋_GB2312" w:eastAsia="仿宋_GB2312" w:cs="仿宋_GB2312"/>
          <w:i w:val="0"/>
          <w:iCs w:val="0"/>
          <w:caps w:val="0"/>
          <w:color w:val="000000"/>
          <w:spacing w:val="0"/>
          <w:kern w:val="0"/>
          <w:sz w:val="32"/>
          <w:szCs w:val="32"/>
          <w:lang w:val="en-US" w:eastAsia="zh-CN" w:bidi="ar"/>
        </w:rPr>
        <w:t xml:space="preserve">   </w:t>
      </w:r>
      <w:r>
        <w:rPr>
          <w:rFonts w:hint="default" w:ascii="仿宋_GB2312" w:eastAsia="仿宋_GB2312" w:cs="仿宋_GB2312" w:hAnsiTheme="minorHAnsi"/>
          <w:i w:val="0"/>
          <w:iCs w:val="0"/>
          <w:caps w:val="0"/>
          <w:color w:val="000000"/>
          <w:spacing w:val="0"/>
          <w:kern w:val="0"/>
          <w:sz w:val="32"/>
          <w:szCs w:val="32"/>
          <w:lang w:val="en-US" w:eastAsia="zh-CN" w:bidi="ar"/>
        </w:rPr>
        <w:t>月  日</w:t>
      </w:r>
    </w:p>
    <w:p>
      <w:pPr>
        <w:pStyle w:val="5"/>
        <w:ind w:firstLine="0"/>
        <w:rPr>
          <w:rFonts w:hint="eastAsia"/>
          <w:color w:val="auto"/>
          <w:highlight w:val="none"/>
        </w:rPr>
      </w:pPr>
    </w:p>
    <w:p/>
    <w:p>
      <w:pPr>
        <w:ind w:firstLine="422" w:firstLineChars="200"/>
        <w:rPr>
          <w:rFonts w:hint="eastAsia" w:ascii="仿宋" w:hAnsi="仿宋" w:eastAsia="仿宋" w:cs="仿宋"/>
          <w:b/>
          <w:color w:val="auto"/>
          <w:szCs w:val="21"/>
          <w:highlight w:val="none"/>
          <w:lang w:val="en-US" w:eastAsia="zh-CN"/>
        </w:rPr>
      </w:pPr>
      <w:r>
        <w:rPr>
          <w:rFonts w:hint="eastAsia" w:ascii="仿宋" w:hAnsi="仿宋" w:eastAsia="仿宋" w:cs="仿宋"/>
          <w:b/>
          <w:color w:val="auto"/>
          <w:szCs w:val="21"/>
          <w:highlight w:val="none"/>
        </w:rPr>
        <w:t>附件</w:t>
      </w:r>
      <w:r>
        <w:rPr>
          <w:rFonts w:hint="eastAsia" w:ascii="仿宋" w:hAnsi="仿宋" w:eastAsia="仿宋" w:cs="仿宋"/>
          <w:b/>
          <w:color w:val="auto"/>
          <w:szCs w:val="21"/>
          <w:highlight w:val="none"/>
          <w:lang w:val="en-US" w:eastAsia="zh-CN"/>
        </w:rPr>
        <w:t>10</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val="en-US" w:eastAsia="zh-CN"/>
        </w:rPr>
        <w:t>技术需求</w:t>
      </w:r>
    </w:p>
    <w:p>
      <w:pPr>
        <w:ind w:firstLine="562" w:firstLineChars="200"/>
        <w:rPr>
          <w:rFonts w:hint="eastAsia" w:ascii="仿宋" w:hAnsi="仿宋" w:eastAsia="仿宋" w:cs="仿宋"/>
          <w:b/>
          <w:bCs/>
          <w:color w:val="auto"/>
          <w:sz w:val="28"/>
          <w:szCs w:val="28"/>
          <w:u w:val="none"/>
          <w:lang w:val="en-US" w:eastAsia="zh-CN"/>
        </w:rPr>
      </w:pPr>
      <w:r>
        <w:rPr>
          <w:rFonts w:hint="eastAsia" w:ascii="仿宋" w:hAnsi="仿宋" w:eastAsia="仿宋" w:cs="仿宋"/>
          <w:b/>
          <w:bCs/>
          <w:color w:val="auto"/>
          <w:sz w:val="28"/>
          <w:szCs w:val="28"/>
          <w:u w:val="none"/>
          <w:lang w:val="en-US" w:eastAsia="zh-CN"/>
        </w:rPr>
        <w:t>（一）主要实施内容</w:t>
      </w:r>
    </w:p>
    <w:p>
      <w:pPr>
        <w:spacing w:line="360" w:lineRule="auto"/>
        <w:ind w:firstLine="64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inline distT="0" distB="0" distL="114300" distR="114300">
            <wp:extent cx="3679190" cy="5498465"/>
            <wp:effectExtent l="0" t="0" r="16510" b="6985"/>
            <wp:docPr id="34" name="图片 34" descr="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接线图"/>
                    <pic:cNvPicPr>
                      <a:picLocks noChangeAspect="1"/>
                    </pic:cNvPicPr>
                  </pic:nvPicPr>
                  <pic:blipFill>
                    <a:blip r:embed="rId13"/>
                    <a:stretch>
                      <a:fillRect/>
                    </a:stretch>
                  </pic:blipFill>
                  <pic:spPr>
                    <a:xfrm>
                      <a:off x="0" y="0"/>
                      <a:ext cx="3679190" cy="5498465"/>
                    </a:xfrm>
                    <a:prstGeom prst="rect">
                      <a:avLst/>
                    </a:prstGeom>
                    <a:noFill/>
                    <a:ln>
                      <a:noFill/>
                    </a:ln>
                  </pic:spPr>
                </pic:pic>
              </a:graphicData>
            </a:graphic>
          </wp:inline>
        </w:drawing>
      </w:r>
    </w:p>
    <w:p>
      <w:pPr>
        <w:pStyle w:val="5"/>
        <w:jc w:val="center"/>
        <w:rPr>
          <w:rFonts w:hint="default"/>
          <w:lang w:val="en-US" w:eastAsia="zh-CN"/>
        </w:rPr>
      </w:pPr>
      <w:r>
        <w:rPr>
          <w:rFonts w:hint="eastAsia" w:ascii="仿宋" w:hAnsi="仿宋" w:eastAsia="仿宋" w:cs="仿宋"/>
          <w:color w:val="auto"/>
          <w:sz w:val="28"/>
          <w:szCs w:val="28"/>
          <w:lang w:val="en-US" w:eastAsia="zh-CN"/>
        </w:rPr>
        <w:t>图1 总进水阀门电动执行器接线图</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三期总进水阀接线，接线后打标签，编写PLC程序，开发上位机界面；</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在一二期次氯酸钠加药间加装数显式氯气气体检测仪，敷设供电电缆及信号电缆套DN25 PVC线管至PLC控制箱，配置4口模拟量输入模块，接线后打标签，编写PLC程序，开发上位机界面。</w:t>
      </w:r>
    </w:p>
    <w:p>
      <w:pPr>
        <w:numPr>
          <w:ilvl w:val="0"/>
          <w:numId w:val="0"/>
        </w:numPr>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959225" cy="4619625"/>
            <wp:effectExtent l="0" t="0" r="3175" b="9525"/>
            <wp:docPr id="35" name="图片 2" descr="气体检测仪安装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气体检测仪安装位置"/>
                    <pic:cNvPicPr>
                      <a:picLocks noChangeAspect="1"/>
                    </pic:cNvPicPr>
                  </pic:nvPicPr>
                  <pic:blipFill>
                    <a:blip r:embed="rId14"/>
                    <a:stretch>
                      <a:fillRect/>
                    </a:stretch>
                  </pic:blipFill>
                  <pic:spPr>
                    <a:xfrm>
                      <a:off x="0" y="0"/>
                      <a:ext cx="3959225" cy="4619625"/>
                    </a:xfrm>
                    <a:prstGeom prst="rect">
                      <a:avLst/>
                    </a:prstGeom>
                    <a:noFill/>
                    <a:ln>
                      <a:noFill/>
                    </a:ln>
                  </pic:spPr>
                </pic:pic>
              </a:graphicData>
            </a:graphic>
          </wp:inline>
        </w:drawing>
      </w:r>
    </w:p>
    <w:p>
      <w:pPr>
        <w:pStyle w:val="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图2 干化车间板框机隔离罩安装气体检测仪位置图</w:t>
      </w:r>
    </w:p>
    <w:p>
      <w:pPr>
        <w:pStyle w:val="5"/>
        <w:ind w:left="0" w:leftChars="0" w:firstLine="0" w:firstLineChars="0"/>
        <w:jc w:val="center"/>
        <w:rPr>
          <w:rFonts w:hint="default"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drawing>
          <wp:inline distT="0" distB="0" distL="114300" distR="114300">
            <wp:extent cx="6360795" cy="3270250"/>
            <wp:effectExtent l="0" t="0" r="1905" b="6350"/>
            <wp:docPr id="36" name="图片 3" descr="气体检测仪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气体检测仪参数"/>
                    <pic:cNvPicPr>
                      <a:picLocks noChangeAspect="1"/>
                    </pic:cNvPicPr>
                  </pic:nvPicPr>
                  <pic:blipFill>
                    <a:blip r:embed="rId15"/>
                    <a:stretch>
                      <a:fillRect/>
                    </a:stretch>
                  </pic:blipFill>
                  <pic:spPr>
                    <a:xfrm>
                      <a:off x="0" y="0"/>
                      <a:ext cx="6360795" cy="3270250"/>
                    </a:xfrm>
                    <a:prstGeom prst="rect">
                      <a:avLst/>
                    </a:prstGeom>
                    <a:noFill/>
                    <a:ln>
                      <a:noFill/>
                    </a:ln>
                  </pic:spPr>
                </pic:pic>
              </a:graphicData>
            </a:graphic>
          </wp:inline>
        </w:drawing>
      </w:r>
    </w:p>
    <w:p>
      <w:pPr>
        <w:pStyle w:val="5"/>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图3 干化车间板框机隔离罩安装气体检测仪相关参数</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于干化车间板框机隔离罩安装六组气体检测仪，检测气体包括硫化氢、按期、甲烷、粉尘，每组设置一台4通道检测主机，主机与探头之间采用模拟量通信，主机以RS485总线形式敷设至PLC柜，PLC柜内配有1台48口PLC主机、RS485通信模块、光模块，光纤走电缆桥架至干化车间一楼，再通过预留管道至加氯间电房PLC柜处；</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由三期次氯酸钠储罐翻板液位计处敷设信号电缆沿原有PVC线管至PLC柜内，PLC增设4口模拟量输入模块，编写PLC程序，开发上位机界面。</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在离心脱水机低压电房PLC柜增设48口PLC主机、4口模拟量输入模块，通过以太网接入交换机，从值班室气体检测仪主机敷设信号电缆走桥架及电缆沟至PLC柜；</w:t>
      </w:r>
    </w:p>
    <w:p>
      <w:pPr>
        <w:numPr>
          <w:ilvl w:val="0"/>
          <w:numId w:val="16"/>
        </w:numPr>
        <w:spacing w:line="360" w:lineRule="auto"/>
        <w:ind w:firstLine="630" w:firstLineChars="225"/>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优化离心脱水机低压电房PLC柜内光纤走向布局。</w:t>
      </w:r>
    </w:p>
    <w:p>
      <w:pPr>
        <w:numPr>
          <w:ilvl w:val="0"/>
          <w:numId w:val="17"/>
        </w:numPr>
        <w:spacing w:line="360" w:lineRule="auto"/>
        <w:ind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技术要求</w:t>
      </w:r>
    </w:p>
    <w:p>
      <w:pPr>
        <w:numPr>
          <w:ilvl w:val="0"/>
          <w:numId w:val="18"/>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三期总进水阀电动装置接线：</w:t>
      </w:r>
    </w:p>
    <w:p>
      <w:pPr>
        <w:numPr>
          <w:ilvl w:val="0"/>
          <w:numId w:val="19"/>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完成三期总进水阀电动装置及PLC接线，电动装置部分12、13接线端短接，4、23分别接新PLC模拟量输出，6、7号分别接新PLC模拟量输入，32、14、33分别接PLC开关量接口，完成接线后所有线缆打标签；</w:t>
      </w:r>
    </w:p>
    <w:p>
      <w:pPr>
        <w:numPr>
          <w:ilvl w:val="0"/>
          <w:numId w:val="19"/>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按生产需求编写PLC程序，开发上位机界面；</w:t>
      </w:r>
    </w:p>
    <w:p>
      <w:pPr>
        <w:numPr>
          <w:ilvl w:val="0"/>
          <w:numId w:val="18"/>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一二期次氯酸钠加药间加装氯气检测仪：</w:t>
      </w:r>
    </w:p>
    <w:p>
      <w:pPr>
        <w:pStyle w:val="5"/>
        <w:ind w:left="0" w:leftChars="0" w:firstLine="0" w:firstLineChars="0"/>
      </w:pPr>
      <w:r>
        <w:drawing>
          <wp:inline distT="0" distB="0" distL="114300" distR="114300">
            <wp:extent cx="5805805" cy="518795"/>
            <wp:effectExtent l="0" t="0" r="4445" b="1460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6"/>
                    <a:stretch>
                      <a:fillRect/>
                    </a:stretch>
                  </pic:blipFill>
                  <pic:spPr>
                    <a:xfrm>
                      <a:off x="0" y="0"/>
                      <a:ext cx="5805805" cy="518795"/>
                    </a:xfrm>
                    <a:prstGeom prst="rect">
                      <a:avLst/>
                    </a:prstGeom>
                    <a:noFill/>
                    <a:ln>
                      <a:noFill/>
                    </a:ln>
                  </pic:spPr>
                </pic:pic>
              </a:graphicData>
            </a:graphic>
          </wp:inline>
        </w:drawing>
      </w:r>
    </w:p>
    <w:p>
      <w:pPr>
        <w:pStyle w:val="5"/>
        <w:jc w:val="center"/>
        <w:rPr>
          <w:rFonts w:hint="default" w:eastAsia="仿宋_GB2312"/>
          <w:lang w:val="en-US" w:eastAsia="zh-CN"/>
        </w:rPr>
      </w:pPr>
      <w:r>
        <w:rPr>
          <w:rFonts w:hint="eastAsia" w:ascii="仿宋" w:hAnsi="仿宋" w:eastAsia="仿宋" w:cs="仿宋"/>
          <w:color w:val="auto"/>
          <w:sz w:val="28"/>
          <w:szCs w:val="28"/>
          <w:lang w:val="en-US" w:eastAsia="zh-CN"/>
        </w:rPr>
        <w:t>图4 氯气检测仪规格参数</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在一二期次氯酸钠加药间加装数显式氯气气体检测仪（规格参数见图4），气体检测仪主机与探头采用模拟量通信，主机与PLC采用RS485通信，主机及探头采用壁挂形式安装，主机用500*400*200mm不锈钢户外仪表箱装载；</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敷设气体检测仪主机与探头用RVVP 3*1.5电缆套DN25 PVC线管连接，线管长度3m；</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主机与PLC采用YJV 3*1.5供电电缆及RVVP 4*1.5信号电缆套DN25 PVC线管敷设至PLC控制箱，线缆及线管长度20m，配置RS485通信模块，接线后打标签</w:t>
      </w:r>
    </w:p>
    <w:p>
      <w:pPr>
        <w:numPr>
          <w:ilvl w:val="0"/>
          <w:numId w:val="20"/>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按生产需求编写PLC程序，开发上位机界面；</w:t>
      </w:r>
    </w:p>
    <w:p>
      <w:pPr>
        <w:numPr>
          <w:ilvl w:val="0"/>
          <w:numId w:val="18"/>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干化车间板框机隔离罩安装气体检测仪：</w:t>
      </w:r>
    </w:p>
    <w:p>
      <w:pPr>
        <w:numPr>
          <w:ilvl w:val="0"/>
          <w:numId w:val="0"/>
        </w:numPr>
        <w:spacing w:line="360" w:lineRule="auto"/>
        <w:ind w:leftChars="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796665" cy="2572385"/>
            <wp:effectExtent l="0" t="0" r="13335" b="18415"/>
            <wp:docPr id="38" name="图片 5" descr="干化车间电箱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干化车间电箱走线"/>
                    <pic:cNvPicPr>
                      <a:picLocks noChangeAspect="1"/>
                    </pic:cNvPicPr>
                  </pic:nvPicPr>
                  <pic:blipFill>
                    <a:blip r:embed="rId17"/>
                    <a:stretch>
                      <a:fillRect/>
                    </a:stretch>
                  </pic:blipFill>
                  <pic:spPr>
                    <a:xfrm>
                      <a:off x="0" y="0"/>
                      <a:ext cx="3796665" cy="2572385"/>
                    </a:xfrm>
                    <a:prstGeom prst="rect">
                      <a:avLst/>
                    </a:prstGeom>
                    <a:noFill/>
                    <a:ln>
                      <a:noFill/>
                    </a:ln>
                  </pic:spPr>
                </pic:pic>
              </a:graphicData>
            </a:graphic>
          </wp:inline>
        </w:drawing>
      </w:r>
    </w:p>
    <w:p>
      <w:pPr>
        <w:pStyle w:val="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图5 干化车间PLC电箱电缆走向</w:t>
      </w:r>
    </w:p>
    <w:p>
      <w:pPr>
        <w:pStyle w:val="5"/>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inline distT="0" distB="0" distL="114300" distR="114300">
            <wp:extent cx="4959350" cy="2710815"/>
            <wp:effectExtent l="0" t="0" r="12700" b="13335"/>
            <wp:docPr id="39" name="图片 39" descr="微信图片_202307181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30718113018"/>
                    <pic:cNvPicPr>
                      <a:picLocks noChangeAspect="1"/>
                    </pic:cNvPicPr>
                  </pic:nvPicPr>
                  <pic:blipFill>
                    <a:blip r:embed="rId18"/>
                    <a:srcRect t="37842" b="21159"/>
                    <a:stretch>
                      <a:fillRect/>
                    </a:stretch>
                  </pic:blipFill>
                  <pic:spPr>
                    <a:xfrm>
                      <a:off x="0" y="0"/>
                      <a:ext cx="4959350" cy="2710815"/>
                    </a:xfrm>
                    <a:prstGeom prst="rect">
                      <a:avLst/>
                    </a:prstGeom>
                    <a:noFill/>
                    <a:ln>
                      <a:noFill/>
                    </a:ln>
                  </pic:spPr>
                </pic:pic>
              </a:graphicData>
            </a:graphic>
          </wp:inline>
        </w:drawing>
      </w:r>
    </w:p>
    <w:p>
      <w:pPr>
        <w:pStyle w:val="5"/>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图6 PLC柜及气体检测主机安装位置</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如图2所示于隔离罩内安装气体检测仪探头，参数如图3，每样气体每个点装一台，探头为数显式带声光报警功能防爆扩散式气体检测仪；</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如图2所示在隔离罩外安装6台四通道气体检测仪主机，主机用500*2400*200mm不锈钢户外仪表箱装载并标注好位置；</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气体检测仪探头与主机采用模拟量通讯，用RVVP 3*1.5信号电缆连接，每种气体总长度283.3m，一共四种气体。电缆从探头出来后套DN15 黑色包塑金属软线管20cm汇集至一条100mm宽x25mm高不锈钢线槽并在隔离罩上方安装200mm宽x50mm高不锈钢线槽及不锈钢桥架，线管总长度4800mm，100mm宽x25mm高不锈钢线槽总长度12m，200mm宽x50mm高不锈钢线槽总长度140m；</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PLC柜高800*宽300*深200mm，采用304不锈钢，里面配一个3P 10A空开、三个1P+N 10A空气开关带漏保、一个MWGD NDR-240-24 24V10A工业直流电源（220V输入、24V输出）、一台 2080-LC50-24QBB PLC（配RS485模块1个）、8口光纤盒1个、光模块1对；</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气体检测主机与PLC采用RS485通信，用RVVP 4*1.5信号电缆，总长度20m；</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PLC柜从干化车间低压电房取电，电缆用YJV 5*2.5供电电缆，走干化车间桥架敷设，走向如图5所示，线缆长度120m；</w:t>
      </w:r>
    </w:p>
    <w:p>
      <w:pPr>
        <w:numPr>
          <w:ilvl w:val="0"/>
          <w:numId w:val="21"/>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从PLC柜敷设户外8芯单模光纤沿原有线槽到干化车间侧门，沿草地经预埋线管至加氯间PLC柜，更换原交换机为16口工业级光纤交换机，并接入，光纤长度70m；</w:t>
      </w:r>
    </w:p>
    <w:p>
      <w:pPr>
        <w:pStyle w:val="5"/>
        <w:jc w:val="center"/>
        <w:rPr>
          <w:rFonts w:hint="eastAsia"/>
          <w:lang w:val="en-US" w:eastAsia="zh-CN"/>
        </w:rPr>
      </w:pPr>
      <w:r>
        <w:rPr>
          <w:rFonts w:hint="eastAsia"/>
          <w:lang w:val="en-US" w:eastAsia="zh-CN"/>
        </w:rPr>
        <w:drawing>
          <wp:inline distT="0" distB="0" distL="114300" distR="114300">
            <wp:extent cx="4236720" cy="3177540"/>
            <wp:effectExtent l="0" t="0" r="11430" b="3810"/>
            <wp:docPr id="40" name="图片 40" descr="b551a20f88a01a4b049cec8c7bf9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551a20f88a01a4b049cec8c7bf9d24"/>
                    <pic:cNvPicPr>
                      <a:picLocks noChangeAspect="1"/>
                    </pic:cNvPicPr>
                  </pic:nvPicPr>
                  <pic:blipFill>
                    <a:blip r:embed="rId19"/>
                    <a:stretch>
                      <a:fillRect/>
                    </a:stretch>
                  </pic:blipFill>
                  <pic:spPr>
                    <a:xfrm>
                      <a:off x="0" y="0"/>
                      <a:ext cx="4236720" cy="3177540"/>
                    </a:xfrm>
                    <a:prstGeom prst="rect">
                      <a:avLst/>
                    </a:prstGeom>
                    <a:noFill/>
                    <a:ln>
                      <a:noFill/>
                    </a:ln>
                  </pic:spPr>
                </pic:pic>
              </a:graphicData>
            </a:graphic>
          </wp:inline>
        </w:drawing>
      </w:r>
    </w:p>
    <w:p>
      <w:pPr>
        <w:pStyle w:val="5"/>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图7 干化车间光纤出线处</w:t>
      </w:r>
    </w:p>
    <w:p>
      <w:pPr>
        <w:numPr>
          <w:ilvl w:val="0"/>
          <w:numId w:val="21"/>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编写PLC程序读取气体检测主机数据、上传数据至上位机，开发上位机界面显示气体检测仪读数；</w:t>
      </w:r>
    </w:p>
    <w:p>
      <w:pPr>
        <w:numPr>
          <w:ilvl w:val="0"/>
          <w:numId w:val="18"/>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三期次氯酸钠储罐翻板液位计上传：</w:t>
      </w:r>
    </w:p>
    <w:p>
      <w:pPr>
        <w:numPr>
          <w:ilvl w:val="0"/>
          <w:numId w:val="22"/>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在三期次氯酸钠储罐翻板液位计处敷设RVVP4*1.5信号电缆沿原有PVC线管至次氯酸钠PLC柜内，一共两条，每条长6m；</w:t>
      </w:r>
    </w:p>
    <w:p>
      <w:pPr>
        <w:numPr>
          <w:ilvl w:val="0"/>
          <w:numId w:val="22"/>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在PLC柜内的PLC增设4口模拟量输入模块，液位计与PLC采用模拟量通信，编写PLC程序读取翻板液位计读数，并开发上位机界面显示读数。</w:t>
      </w:r>
    </w:p>
    <w:p>
      <w:pPr>
        <w:numPr>
          <w:ilvl w:val="0"/>
          <w:numId w:val="18"/>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离心脱水机低压电房泥仓气体检测数据上传：</w:t>
      </w:r>
    </w:p>
    <w:p>
      <w:pPr>
        <w:numPr>
          <w:ilvl w:val="0"/>
          <w:numId w:val="23"/>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在离心脱水机一楼低压电房PLC柜内增设一台 2080-LC50-24QBB PLC（配RS485模块1个、4口模拟量输入模块、2口模拟量输出模块），通过以太网接入交换机；</w:t>
      </w:r>
    </w:p>
    <w:p>
      <w:pPr>
        <w:numPr>
          <w:ilvl w:val="0"/>
          <w:numId w:val="23"/>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从值班室气体检测仪主机敷设RVVP 4*1.5信号电缆套DN25 PVC线管并走原有桥架及电缆沟至低压电房PLC柜，线缆长30m，PVC管长20m；</w:t>
      </w:r>
    </w:p>
    <w:p>
      <w:pPr>
        <w:numPr>
          <w:ilvl w:val="0"/>
          <w:numId w:val="23"/>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编写PLC程序读取气体检测仪读数，并开发上位机界面显示气体检测仪读数。</w:t>
      </w:r>
    </w:p>
    <w:p>
      <w:pPr>
        <w:numPr>
          <w:ilvl w:val="0"/>
          <w:numId w:val="18"/>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优化离心脱水机低压电房PLC柜内光纤走向布局：</w:t>
      </w:r>
    </w:p>
    <w:p>
      <w:pPr>
        <w:pStyle w:val="5"/>
        <w:jc w:val="center"/>
        <w:rPr>
          <w:rFonts w:hint="eastAsia"/>
          <w:lang w:val="en-US" w:eastAsia="zh-CN"/>
        </w:rPr>
      </w:pPr>
      <w:r>
        <w:rPr>
          <w:rFonts w:hint="eastAsia"/>
          <w:lang w:val="en-US" w:eastAsia="zh-CN"/>
        </w:rPr>
        <w:drawing>
          <wp:inline distT="0" distB="0" distL="114300" distR="114300">
            <wp:extent cx="2043430" cy="2724785"/>
            <wp:effectExtent l="0" t="0" r="13970" b="18415"/>
            <wp:docPr id="41" name="图片 41" descr="优化电柜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优化电柜布局"/>
                    <pic:cNvPicPr>
                      <a:picLocks noChangeAspect="1"/>
                    </pic:cNvPicPr>
                  </pic:nvPicPr>
                  <pic:blipFill>
                    <a:blip r:embed="rId20"/>
                    <a:stretch>
                      <a:fillRect/>
                    </a:stretch>
                  </pic:blipFill>
                  <pic:spPr>
                    <a:xfrm>
                      <a:off x="0" y="0"/>
                      <a:ext cx="2043430" cy="2724785"/>
                    </a:xfrm>
                    <a:prstGeom prst="rect">
                      <a:avLst/>
                    </a:prstGeom>
                    <a:noFill/>
                    <a:ln>
                      <a:noFill/>
                    </a:ln>
                  </pic:spPr>
                </pic:pic>
              </a:graphicData>
            </a:graphic>
          </wp:inline>
        </w:drawing>
      </w:r>
    </w:p>
    <w:p>
      <w:pPr>
        <w:pStyle w:val="5"/>
        <w:jc w:val="center"/>
        <w:rPr>
          <w:rFonts w:hint="default"/>
          <w:lang w:val="en-US" w:eastAsia="zh-CN"/>
        </w:rPr>
      </w:pPr>
      <w:r>
        <w:rPr>
          <w:rFonts w:hint="eastAsia" w:ascii="仿宋" w:hAnsi="仿宋" w:eastAsia="仿宋" w:cs="仿宋"/>
          <w:color w:val="auto"/>
          <w:sz w:val="28"/>
          <w:szCs w:val="28"/>
          <w:lang w:val="en-US" w:eastAsia="zh-CN"/>
        </w:rPr>
        <w:t>图8优化离心脱水机低压电房PLC柜内光纤走向布局</w:t>
      </w:r>
    </w:p>
    <w:p>
      <w:pPr>
        <w:numPr>
          <w:ilvl w:val="0"/>
          <w:numId w:val="24"/>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优化离心脱水机低压电房PLC柜内光纤走向布局，其中涉及光纤熔接120条、PVC阻燃配线槽20m、不锈钢轨道20m；</w:t>
      </w:r>
    </w:p>
    <w:p>
      <w:pPr>
        <w:numPr>
          <w:ilvl w:val="0"/>
          <w:numId w:val="24"/>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把光纤盒、开关、光模块等整理后挂在柜内，光纤优化后预留长度10cm；</w:t>
      </w:r>
    </w:p>
    <w:p>
      <w:pPr>
        <w:numPr>
          <w:ilvl w:val="0"/>
          <w:numId w:val="24"/>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所有电缆、光纤放回线槽内；</w:t>
      </w:r>
    </w:p>
    <w:p>
      <w:pPr>
        <w:rPr>
          <w:rFonts w:hint="default" w:eastAsiaTheme="minorEastAsia"/>
          <w:lang w:val="en-US" w:eastAsia="zh-CN"/>
        </w:rPr>
      </w:pPr>
    </w:p>
    <w:p>
      <w:pPr>
        <w:pStyle w:val="5"/>
        <w:ind w:left="0" w:leftChars="0" w:firstLine="0" w:firstLineChars="0"/>
        <w:rPr>
          <w:rFonts w:hint="eastAsia" w:ascii="宋体" w:hAnsi="宋体" w:cs="宋体"/>
          <w:b/>
          <w:sz w:val="30"/>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pStyle w:val="2"/>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2528570</wp:posOffset>
                </wp:positionH>
                <wp:positionV relativeFrom="paragraph">
                  <wp:posOffset>758825</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99.1pt;margin-top:59.75pt;height:0pt;width:75.5pt;z-index:251665408;mso-width-relative:page;mso-height-relative:page;" filled="f" stroked="t" coordsize="21600,21600" o:gfxdata="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69ga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2535555</wp:posOffset>
                </wp:positionH>
                <wp:positionV relativeFrom="paragraph">
                  <wp:posOffset>192405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99.65pt;margin-top:15.15pt;height:0pt;width:75.5pt;z-index:251664384;mso-width-relative:page;mso-height-relative:page;" filled="f" stroked="t" coordsize="21600,21600" o:gfxdata="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gh019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rFonts w:hint="eastAsia" w:ascii="宋体" w:hAnsi="宋体" w:cs="宋体"/>
          <w:b/>
          <w:sz w:val="30"/>
          <w:lang w:val="en-US" w:eastAsia="zh-CN"/>
        </w:rPr>
        <w:t xml:space="preserve">    </w:t>
      </w:r>
      <w:bookmarkStart w:id="85" w:name="_Toc30824"/>
      <w:bookmarkStart w:id="86" w:name="_Toc21847"/>
      <w:bookmarkStart w:id="87" w:name="_Toc23515"/>
      <w:bookmarkStart w:id="88" w:name="_Toc16552"/>
      <w:bookmarkStart w:id="89" w:name="_Toc28358"/>
      <w:bookmarkStart w:id="90" w:name="_Toc6230"/>
      <w:bookmarkStart w:id="91" w:name="_Toc12169"/>
      <w:bookmarkStart w:id="92" w:name="_Toc8147"/>
      <w:bookmarkStart w:id="93" w:name="_Toc5129"/>
      <w:bookmarkStart w:id="94" w:name="_Toc3723"/>
      <w:bookmarkStart w:id="95" w:name="_Toc1563"/>
      <w:r>
        <w:rPr>
          <w:rFonts w:hint="eastAsia"/>
          <w:color w:val="auto"/>
          <w:highlight w:val="none"/>
        </w:rPr>
        <w:t>第七章</w:t>
      </w:r>
      <w:bookmarkEnd w:id="85"/>
      <w:bookmarkEnd w:id="86"/>
      <w:bookmarkEnd w:id="87"/>
      <w:bookmarkEnd w:id="88"/>
      <w:bookmarkEnd w:id="89"/>
      <w:bookmarkEnd w:id="90"/>
      <w:bookmarkEnd w:id="91"/>
      <w:bookmarkEnd w:id="92"/>
      <w:bookmarkEnd w:id="93"/>
      <w:bookmarkEnd w:id="94"/>
      <w:bookmarkEnd w:id="95"/>
    </w:p>
    <w:p>
      <w:pPr>
        <w:pStyle w:val="37"/>
        <w:rPr>
          <w:color w:val="auto"/>
          <w:highlight w:val="none"/>
        </w:rPr>
      </w:pPr>
    </w:p>
    <w:p>
      <w:pPr>
        <w:pStyle w:val="2"/>
        <w:rPr>
          <w:color w:val="auto"/>
          <w:highlight w:val="none"/>
        </w:rPr>
      </w:pPr>
      <w:bookmarkStart w:id="96" w:name="_Toc87616388"/>
      <w:bookmarkStart w:id="97" w:name="_Toc10840"/>
      <w:bookmarkStart w:id="98" w:name="_Toc21675"/>
      <w:bookmarkStart w:id="99" w:name="_Toc12769"/>
      <w:bookmarkStart w:id="100" w:name="_Toc30157"/>
      <w:bookmarkStart w:id="101" w:name="_Toc17119"/>
      <w:bookmarkStart w:id="102" w:name="_Toc12610"/>
      <w:bookmarkStart w:id="103" w:name="_Toc31564"/>
      <w:bookmarkStart w:id="104" w:name="_Toc88209951"/>
      <w:bookmarkStart w:id="105" w:name="_Toc24490"/>
      <w:bookmarkStart w:id="106" w:name="_Toc5342"/>
      <w:bookmarkStart w:id="107" w:name="_Toc24815"/>
      <w:bookmarkStart w:id="108" w:name="_Toc22764"/>
      <w:r>
        <w:rPr>
          <w:rFonts w:hint="eastAsia"/>
          <w:color w:val="auto"/>
          <w:highlight w:val="none"/>
        </w:rPr>
        <w:t>响应文件</w:t>
      </w:r>
      <w:r>
        <w:rPr>
          <w:rFonts w:hint="eastAsia"/>
          <w:color w:val="auto"/>
          <w:highlight w:val="none"/>
          <w:lang w:val="en-US" w:eastAsia="zh-CN"/>
        </w:rPr>
        <w:t>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9" w:name="_Toc87616389"/>
      <w:bookmarkStart w:id="110" w:name="_Toc88209952"/>
      <w:r>
        <w:rPr>
          <w:rFonts w:hint="eastAsia" w:ascii="仿宋_GB2312" w:eastAsia="仿宋_GB2312"/>
          <w:color w:val="auto"/>
          <w:sz w:val="28"/>
          <w:szCs w:val="28"/>
          <w:highlight w:val="none"/>
        </w:rPr>
        <w:t>1.响应函</w:t>
      </w:r>
      <w:bookmarkEnd w:id="109"/>
      <w:bookmarkEnd w:id="110"/>
    </w:p>
    <w:p>
      <w:pPr>
        <w:spacing w:line="600" w:lineRule="exact"/>
        <w:rPr>
          <w:rFonts w:hint="eastAsia" w:ascii="仿宋_GB2312" w:eastAsia="仿宋_GB2312"/>
          <w:color w:val="auto"/>
          <w:sz w:val="28"/>
          <w:szCs w:val="28"/>
          <w:highlight w:val="none"/>
        </w:rPr>
      </w:pPr>
      <w:bookmarkStart w:id="111" w:name="_Toc88209953"/>
      <w:bookmarkStart w:id="112" w:name="_Toc87616390"/>
      <w:r>
        <w:rPr>
          <w:rFonts w:hint="eastAsia" w:ascii="仿宋_GB2312" w:eastAsia="仿宋_GB2312"/>
          <w:color w:val="auto"/>
          <w:sz w:val="28"/>
          <w:szCs w:val="28"/>
          <w:highlight w:val="none"/>
        </w:rPr>
        <w:t>2.法定代表人证明或授权委托书</w:t>
      </w:r>
      <w:bookmarkEnd w:id="111"/>
      <w:bookmarkEnd w:id="112"/>
      <w:bookmarkStart w:id="113" w:name="_Toc87616393"/>
      <w:bookmarkStart w:id="114"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3"/>
      <w:bookmarkEnd w:id="114"/>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4"/>
        <w:rPr>
          <w:rFonts w:asciiTheme="minorEastAsia" w:hAnsiTheme="minorEastAsia" w:eastAsiaTheme="minorEastAsia"/>
          <w:color w:val="auto"/>
          <w:sz w:val="28"/>
          <w:szCs w:val="28"/>
          <w:highlight w:val="none"/>
        </w:rPr>
      </w:pPr>
      <w:bookmarkStart w:id="115" w:name="_Toc87616394"/>
      <w:bookmarkStart w:id="116" w:name="_Toc88209957"/>
      <w:bookmarkStart w:id="117" w:name="_Toc28619645"/>
      <w:bookmarkStart w:id="118" w:name="_Toc6313"/>
      <w:bookmarkStart w:id="119" w:name="_Toc12665"/>
      <w:r>
        <w:rPr>
          <w:rFonts w:hint="eastAsia" w:asciiTheme="minorEastAsia" w:hAnsiTheme="minorEastAsia" w:eastAsiaTheme="minorEastAsia"/>
          <w:color w:val="auto"/>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lang w:eastAsia="zh-CN"/>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4"/>
        <w:rPr>
          <w:rFonts w:hint="eastAsia" w:asciiTheme="minorEastAsia" w:hAnsiTheme="minorEastAsia" w:eastAsiaTheme="minorEastAsia"/>
          <w:color w:val="auto"/>
          <w:sz w:val="28"/>
          <w:szCs w:val="28"/>
          <w:highlight w:val="none"/>
        </w:rPr>
      </w:pPr>
      <w:bookmarkStart w:id="120" w:name="_Toc88209958"/>
      <w:bookmarkStart w:id="121" w:name="_Toc29833"/>
      <w:bookmarkStart w:id="122" w:name="_Toc22527"/>
      <w:bookmarkStart w:id="123" w:name="_Toc87616395"/>
    </w:p>
    <w:p>
      <w:pPr>
        <w:rPr>
          <w:rFonts w:hint="eastAsia"/>
        </w:rPr>
      </w:pPr>
    </w:p>
    <w:p>
      <w:pPr>
        <w:pStyle w:val="4"/>
        <w:numPr>
          <w:ilvl w:val="0"/>
          <w:numId w:val="3"/>
        </w:numPr>
        <w:ind w:left="562" w:leftChars="0" w:hanging="562" w:hangingChars="200"/>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法定代表人证明或授权委托书</w:t>
      </w:r>
      <w:bookmarkEnd w:id="120"/>
      <w:bookmarkEnd w:id="121"/>
      <w:bookmarkEnd w:id="122"/>
      <w:bookmarkEnd w:id="123"/>
    </w:p>
    <w:p>
      <w:pPr>
        <w:pStyle w:val="4"/>
        <w:numPr>
          <w:ilvl w:val="0"/>
          <w:numId w:val="0"/>
        </w:numPr>
        <w:ind w:leftChars="-200" w:firstLine="562" w:firstLineChars="200"/>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s="Times New Roman"/>
          <w:color w:val="auto"/>
          <w:sz w:val="32"/>
          <w:szCs w:val="32"/>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6432"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6432;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5"/>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7456"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5"/>
        <w:spacing w:after="0" w:line="600" w:lineRule="exact"/>
        <w:rPr>
          <w:rFonts w:ascii="仿宋_GB2312" w:eastAsia="仿宋_GB2312"/>
          <w:color w:val="auto"/>
          <w:highlight w:val="none"/>
        </w:rPr>
      </w:pPr>
    </w:p>
    <w:p>
      <w:pPr>
        <w:pStyle w:val="5"/>
        <w:spacing w:after="0" w:line="600" w:lineRule="exact"/>
        <w:rPr>
          <w:rFonts w:ascii="仿宋_GB2312" w:eastAsia="仿宋_GB2312"/>
          <w:color w:val="auto"/>
          <w:highlight w:val="none"/>
        </w:rPr>
      </w:pPr>
    </w:p>
    <w:p>
      <w:pPr>
        <w:pStyle w:val="5"/>
        <w:spacing w:after="0" w:line="600" w:lineRule="exact"/>
        <w:ind w:firstLine="0"/>
        <w:rPr>
          <w:rFonts w:ascii="仿宋_GB2312" w:eastAsia="仿宋_GB2312"/>
          <w:color w:val="auto"/>
          <w:highlight w:val="none"/>
        </w:rPr>
      </w:pPr>
    </w:p>
    <w:p>
      <w:pPr>
        <w:pStyle w:val="5"/>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4"/>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4" w:name="_Toc19830"/>
      <w:bookmarkStart w:id="125" w:name="_Toc88209963"/>
      <w:bookmarkStart w:id="126" w:name="_Toc8086"/>
      <w:bookmarkStart w:id="127"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4"/>
      <w:bookmarkEnd w:id="125"/>
      <w:bookmarkEnd w:id="126"/>
      <w:bookmarkEnd w:id="12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28"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广州市净水有限公司大坦沙分公司一、二、三期滤池提升泵配电柜优化等项目（机电维修类）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US" w:eastAsia="zh-CN"/>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r>
        <w:rPr>
          <w:rFonts w:hint="eastAsia" w:ascii="宋体" w:hAnsi="宋体" w:cs="宋体"/>
          <w:color w:val="auto"/>
          <w:sz w:val="24"/>
          <w:szCs w:val="24"/>
          <w:highlight w:val="none"/>
          <w:lang w:val="en-US" w:eastAsia="zh-CN"/>
        </w:rPr>
        <w:t xml:space="preserve"> </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color w:val="auto"/>
          <w:highlight w:val="none"/>
          <w:lang w:eastAsia="zh-CN"/>
        </w:rPr>
      </w:pPr>
    </w:p>
    <w:p>
      <w:pPr>
        <w:pStyle w:val="23"/>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jc w:val="right"/>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ind w:left="0" w:leftChars="0" w:firstLine="0" w:firstLineChars="0"/>
        <w:rPr>
          <w:rFonts w:hint="eastAsia" w:asciiTheme="minorEastAsia" w:hAnsiTheme="minorEastAsia" w:eastAsiaTheme="minorEastAsia"/>
          <w:color w:val="auto"/>
          <w:sz w:val="28"/>
          <w:szCs w:val="28"/>
          <w:highlight w:val="none"/>
        </w:rPr>
        <w:sectPr>
          <w:pgSz w:w="11906" w:h="16838"/>
          <w:pgMar w:top="2098" w:right="1474" w:bottom="1985" w:left="1588" w:header="851" w:footer="992" w:gutter="0"/>
          <w:pgNumType w:start="0"/>
          <w:cols w:space="425" w:num="1"/>
          <w:titlePg/>
          <w:docGrid w:type="lines" w:linePitch="312" w:charSpace="0"/>
        </w:sectPr>
      </w:pPr>
      <w:bookmarkStart w:id="129" w:name="_Toc32430"/>
      <w:bookmarkStart w:id="130" w:name="_Toc19423"/>
    </w:p>
    <w:p>
      <w:pPr>
        <w:pStyle w:val="5"/>
        <w:ind w:left="0" w:leftChars="0" w:firstLine="0" w:firstLineChars="0"/>
        <w:rPr>
          <w:rFonts w:hint="eastAsia"/>
        </w:rPr>
      </w:pPr>
      <w:r>
        <w:rPr>
          <w:rFonts w:hint="eastAsia" w:asciiTheme="minorEastAsia" w:hAnsiTheme="minorEastAsia" w:eastAsiaTheme="minorEastAsia"/>
          <w:color w:val="auto"/>
          <w:sz w:val="28"/>
          <w:szCs w:val="28"/>
          <w:highlight w:val="none"/>
        </w:rPr>
        <w:t>报价</w:t>
      </w:r>
      <w:bookmarkEnd w:id="129"/>
      <w:bookmarkEnd w:id="130"/>
      <w:bookmarkStart w:id="131" w:name="_Toc87616402"/>
      <w:bookmarkStart w:id="132" w:name="_Toc16386"/>
      <w:bookmarkStart w:id="133" w:name="_Toc6058"/>
      <w:bookmarkStart w:id="134" w:name="_Toc88209965"/>
    </w:p>
    <w:p>
      <w:pPr>
        <w:tabs>
          <w:tab w:val="left" w:pos="4170"/>
        </w:tabs>
        <w:spacing w:line="360" w:lineRule="auto"/>
        <w:rPr>
          <w:rFonts w:hint="eastAsia" w:ascii="宋体" w:hAnsi="宋体" w:cs="宋体"/>
          <w:b/>
          <w:szCs w:val="21"/>
          <w:lang w:val="en-US" w:eastAsia="zh-CN"/>
        </w:rPr>
      </w:pPr>
    </w:p>
    <w:p>
      <w:pPr>
        <w:pStyle w:val="5"/>
        <w:ind w:left="0" w:leftChars="0" w:firstLine="0" w:firstLineChars="0"/>
        <w:rPr>
          <w:rFonts w:hint="eastAsia"/>
          <w:sz w:val="32"/>
          <w:szCs w:val="32"/>
        </w:rPr>
      </w:pPr>
      <w:r>
        <w:rPr>
          <w:rFonts w:hint="eastAsia" w:ascii="宋体" w:hAnsi="宋体" w:eastAsia="宋体" w:cs="宋体"/>
          <w:i w:val="0"/>
          <w:iCs w:val="0"/>
          <w:color w:val="000000"/>
          <w:kern w:val="0"/>
          <w:sz w:val="32"/>
          <w:szCs w:val="32"/>
          <w:u w:val="none"/>
          <w:lang w:val="en-US" w:eastAsia="zh-CN" w:bidi="ar"/>
        </w:rPr>
        <w:t>项目一：大坦沙分公司一、二、三期滤池提升泵配电柜优化项目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4"/>
        <w:gridCol w:w="4151"/>
        <w:gridCol w:w="65"/>
        <w:gridCol w:w="1578"/>
        <w:gridCol w:w="549"/>
        <w:gridCol w:w="1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871" w:type="pct"/>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pStyle w:val="5"/>
        <w:rPr>
          <w:rFonts w:hint="eastAsia"/>
        </w:rPr>
        <w:sectPr>
          <w:pgSz w:w="11906" w:h="16838"/>
          <w:pgMar w:top="2098" w:right="1474" w:bottom="1985" w:left="1588" w:header="851" w:footer="992" w:gutter="0"/>
          <w:pgNumType w:start="0"/>
          <w:cols w:space="425" w:num="1"/>
          <w:titlePg/>
          <w:docGrid w:type="lines" w:linePitch="312" w:charSpace="0"/>
        </w:sect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1"/>
        <w:gridCol w:w="1644"/>
        <w:gridCol w:w="1271"/>
        <w:gridCol w:w="1282"/>
        <w:gridCol w:w="1159"/>
        <w:gridCol w:w="639"/>
        <w:gridCol w:w="568"/>
        <w:gridCol w:w="307"/>
        <w:gridCol w:w="307"/>
        <w:gridCol w:w="640"/>
        <w:gridCol w:w="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ind w:firstLine="803" w:firstLineChars="200"/>
              <w:jc w:val="both"/>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互感器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保护性拆除 3个互感器及其线路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030402008003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铜排拆除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拆除铜排，每台3根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030402009002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熔断器安装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1.安装3个速断熔断器RS712C</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2.单体调试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030402009004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熔断器底座支架安装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1.安装熔断器固定支架</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2.安装 3个熔断器底座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030402009003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铜排安装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1.链接3相铜排,安装宽30mm*厚6mm*1m(以现场测量为)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030402008002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互感器安装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1.原互感器（利旧）安装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2.含单体调试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040807002001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系统调试</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提升泵、软启及其电气系统启动调试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5"/>
        <w:rPr>
          <w:rFonts w:hint="eastAsia"/>
        </w:rPr>
      </w:pPr>
    </w:p>
    <w:p>
      <w:pPr>
        <w:pStyle w:val="5"/>
        <w:rPr>
          <w:rFonts w:hint="eastAsia"/>
        </w:rPr>
      </w:pPr>
    </w:p>
    <w:p>
      <w:pPr>
        <w:pStyle w:val="5"/>
        <w:rPr>
          <w:rFonts w:hint="eastAsia"/>
        </w:rPr>
        <w:sectPr>
          <w:pgSz w:w="11906" w:h="16838"/>
          <w:pgMar w:top="2098" w:right="1474" w:bottom="1985" w:left="1588" w:header="851" w:footer="992" w:gutter="0"/>
          <w:pgNumType w:start="0"/>
          <w:cols w:space="425" w:num="1"/>
          <w:titlePg/>
          <w:docGrid w:type="lines" w:linePitch="312" w:charSpace="0"/>
        </w:sect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0"/>
        <w:gridCol w:w="1446"/>
        <w:gridCol w:w="1480"/>
        <w:gridCol w:w="736"/>
        <w:gridCol w:w="716"/>
        <w:gridCol w:w="916"/>
        <w:gridCol w:w="563"/>
        <w:gridCol w:w="663"/>
        <w:gridCol w:w="2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费率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金额</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调整后</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3424.65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bl>
    <w:tbl>
      <w:tblPr>
        <w:tblStyle w:val="24"/>
        <w:tblpPr w:leftFromText="180" w:rightFromText="180" w:vertAnchor="text" w:horzAnchor="page" w:tblpX="1697" w:tblpY="36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8"/>
        <w:gridCol w:w="1601"/>
        <w:gridCol w:w="825"/>
        <w:gridCol w:w="825"/>
        <w:gridCol w:w="643"/>
        <w:gridCol w:w="916"/>
        <w:gridCol w:w="700"/>
        <w:gridCol w:w="800"/>
        <w:gridCol w:w="2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费率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金额</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调整后</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3424.65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jc w:val="left"/>
        <w:rPr>
          <w:rFonts w:hint="eastAsia" w:ascii="宋体" w:hAnsi="宋体" w:eastAsia="宋体" w:cs="宋体"/>
          <w:i w:val="0"/>
          <w:iCs w:val="0"/>
          <w:color w:val="000000"/>
          <w:sz w:val="18"/>
          <w:szCs w:val="18"/>
          <w:u w:val="none"/>
        </w:rPr>
      </w:pPr>
    </w:p>
    <w:p>
      <w:pPr>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p>
      <w:pPr>
        <w:pStyle w:val="5"/>
        <w:ind w:firstLine="0"/>
        <w:rPr>
          <w:rFonts w:hint="eastAsia"/>
        </w:rPr>
        <w:sectPr>
          <w:pgSz w:w="11906" w:h="16838"/>
          <w:pgMar w:top="2098" w:right="1474" w:bottom="1985" w:left="1588" w:header="851" w:footer="992" w:gutter="0"/>
          <w:pgNumType w:start="0"/>
          <w:cols w:space="425" w:num="1"/>
          <w:titlePg/>
          <w:docGrid w:type="lines" w:linePitch="312" w:charSpace="0"/>
        </w:sect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7"/>
        <w:gridCol w:w="3451"/>
        <w:gridCol w:w="1124"/>
        <w:gridCol w:w="1432"/>
        <w:gridCol w:w="15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tbl>
      <w:tblPr>
        <w:tblStyle w:val="24"/>
        <w:tblpPr w:leftFromText="180" w:rightFromText="180" w:vertAnchor="text" w:horzAnchor="page" w:tblpX="1593" w:tblpY="14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5"/>
        <w:gridCol w:w="3160"/>
        <w:gridCol w:w="910"/>
        <w:gridCol w:w="1475"/>
        <w:gridCol w:w="1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暂定金额（元）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注：此表由招标人填写，如不能详列，也可只列暂列金额总额，投标人应将上述暂列金额计入投标总价中。</w:t>
            </w:r>
          </w:p>
        </w:tc>
      </w:tr>
    </w:tbl>
    <w:p>
      <w:pPr>
        <w:pStyle w:val="5"/>
        <w:ind w:firstLine="0"/>
        <w:rPr>
          <w:rFonts w:hint="eastAsia"/>
        </w:rPr>
        <w:sectPr>
          <w:pgSz w:w="11906" w:h="16838"/>
          <w:pgMar w:top="2098" w:right="1474" w:bottom="1985" w:left="1588" w:header="851" w:footer="992" w:gutter="0"/>
          <w:pgNumType w:start="0"/>
          <w:cols w:space="425" w:num="1"/>
          <w:titlePg/>
          <w:docGrid w:type="lines" w:linePitch="312" w:charSpace="0"/>
        </w:sectPr>
      </w:pPr>
    </w:p>
    <w:tbl>
      <w:tblPr>
        <w:tblStyle w:val="24"/>
        <w:tblpPr w:leftFromText="180" w:rightFromText="180" w:vertAnchor="text" w:horzAnchor="page" w:tblpX="1578" w:tblpY="10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3"/>
        <w:gridCol w:w="2722"/>
        <w:gridCol w:w="1027"/>
        <w:gridCol w:w="1027"/>
        <w:gridCol w:w="1014"/>
        <w:gridCol w:w="404"/>
        <w:gridCol w:w="404"/>
        <w:gridCol w:w="1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工程名称：大坦沙分公司一、二、三期滤池提升泵配电柜优化项目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计算费率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rPr>
          <w:rFonts w:hint="eastAsia"/>
        </w:rPr>
      </w:pPr>
      <w:r>
        <w:rPr>
          <w:rFonts w:hint="eastAsia"/>
        </w:rPr>
        <w:br w:type="page"/>
      </w:r>
    </w:p>
    <w:p>
      <w:pPr>
        <w:pStyle w:val="5"/>
        <w:rPr>
          <w:rFonts w:hint="eastAsia"/>
        </w:rPr>
      </w:pPr>
    </w:p>
    <w:p>
      <w:pPr>
        <w:pStyle w:val="5"/>
        <w:ind w:left="0" w:leftChars="0" w:firstLine="0" w:firstLineChars="0"/>
        <w:rPr>
          <w:rFonts w:hint="eastAsia"/>
          <w:sz w:val="32"/>
          <w:szCs w:val="32"/>
        </w:rPr>
      </w:pPr>
      <w:r>
        <w:rPr>
          <w:rFonts w:hint="eastAsia" w:ascii="宋体" w:hAnsi="宋体" w:eastAsia="宋体" w:cs="宋体"/>
          <w:i w:val="0"/>
          <w:iCs w:val="0"/>
          <w:color w:val="000000"/>
          <w:kern w:val="0"/>
          <w:sz w:val="32"/>
          <w:szCs w:val="32"/>
          <w:u w:val="none"/>
          <w:lang w:val="en-US" w:eastAsia="zh-CN" w:bidi="ar"/>
        </w:rPr>
        <w:t>项目二：</w:t>
      </w:r>
      <w:r>
        <w:rPr>
          <w:rFonts w:hint="eastAsia" w:ascii="宋体" w:hAnsi="宋体" w:eastAsia="宋体" w:cs="宋体"/>
          <w:color w:val="000000"/>
          <w:kern w:val="0"/>
          <w:sz w:val="32"/>
          <w:szCs w:val="32"/>
          <w:u w:val="none"/>
          <w:lang w:val="en-US" w:eastAsia="zh-CN" w:bidi="ar"/>
        </w:rPr>
        <w:t>大坦沙分公司一二期二沉池RSSS及泥位计过程仪表优化项目</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1"/>
        <w:gridCol w:w="5159"/>
        <w:gridCol w:w="1093"/>
        <w:gridCol w:w="1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一二期1#生产线集泥井RSSS仪表安装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一二期2#生产线集泥井RSSS仪表安装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一二期3#生产线集泥井RSSS仪表安装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一二期7#二沉池泥位计仪表安装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一二期11#二沉池泥位计仪表安装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一二期3#二沉池泥位计仪表安装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4"/>
            <w:tcBorders>
              <w:top w:val="nil"/>
              <w:left w:val="nil"/>
              <w:bottom w:val="nil"/>
              <w:right w:val="nil"/>
            </w:tcBorders>
            <w:shd w:val="clear" w:color="FFFFFF" w:fill="FFFFFF"/>
            <w:vAlign w:val="top"/>
          </w:tcPr>
          <w:tbl>
            <w:tblPr>
              <w:tblStyle w:val="24"/>
              <w:tblpPr w:leftFromText="180" w:rightFromText="180" w:vertAnchor="text" w:horzAnchor="page" w:tblpX="62" w:tblpY="338"/>
              <w:tblOverlap w:val="never"/>
              <w:tblW w:w="89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2"/>
              <w:gridCol w:w="1482"/>
              <w:gridCol w:w="1627"/>
              <w:gridCol w:w="1352"/>
              <w:gridCol w:w="1180"/>
              <w:gridCol w:w="588"/>
              <w:gridCol w:w="530"/>
              <w:gridCol w:w="294"/>
              <w:gridCol w:w="294"/>
              <w:gridCol w:w="588"/>
              <w:gridCol w:w="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一二期1#生产线集泥井RSSS仪表安装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030605002001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物性检测仪表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1.RSSS仪表安装及调试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030307005001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1.仪表支架制作与安装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2.仪表型号：WTW/ViSolid 700IQ（SW）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2.规格：不锈钢，长650宽280高380，室外密封式（座式）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3.含1个16A塑壳漏电保护断路器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4.1个防雷保护器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5.共零排、共地排各一块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一二期2#生产线集泥井RSSS仪表安装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030605002002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物性检测仪表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1.RSSS仪表安装及调试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030307005002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1.仪表支架制作与安装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2.仪表型号：WTW/ViSolid 700IQ（SW）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030404017002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2.规格：不锈钢，长650宽280高380，室外密封式（座式）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3.含1个16A塑壳漏电保护断路器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4.1个防雷保护器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5.共零排、共地排各一块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一二期3#生产线集泥井RSSS仪表安装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030605002003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物性检测仪表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1.RSSS仪表安装及调试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030307005003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1.仪表支架制作与安装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2.仪表型号：HACH/SOLIAX sc</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3"/>
        <w:gridCol w:w="1504"/>
        <w:gridCol w:w="1360"/>
        <w:gridCol w:w="1600"/>
        <w:gridCol w:w="1284"/>
        <w:gridCol w:w="563"/>
        <w:gridCol w:w="514"/>
        <w:gridCol w:w="281"/>
        <w:gridCol w:w="281"/>
        <w:gridCol w:w="563"/>
        <w:gridCol w:w="5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030404017003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2.规格：不锈钢，长350宽200高450，室外密封式（座式）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3.含1个16A塑壳漏电保护断路器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4.1个防雷保护器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5.共零排、共地排各一块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一二期7#二沉池泥位计仪表安装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030605002004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物性检测仪表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1.RSSS仪表安装及调试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1.名称:铜芯电力电缆敷设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2.型号:ZC-YJY-3*2.5mm2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无线传输模块制安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名称：无线接收发送透传Lora模块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1、传输距离：有障碍物1000m或以上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2、输入信号：支持模拟量输入4-20mA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3、输出信号：支持模拟量输出0-20mA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4、带点源适配器：输入电压200-240V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030404017004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2.规格：不锈钢，长500宽300高600，室外密封式（座式）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3.含1个16A塑壳漏电保护断路器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4.1个防雷保护器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5.共零排、共地排各一块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一二期11#二沉池泥位计仪表安装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030605002005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物性检测仪表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1.RSSS仪表安装及调试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1.名称:铜芯电力电缆敷设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2.型号:ZC-YJY-3*2.5mm2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8"/>
        <w:gridCol w:w="1515"/>
        <w:gridCol w:w="1298"/>
        <w:gridCol w:w="1613"/>
        <w:gridCol w:w="1297"/>
        <w:gridCol w:w="567"/>
        <w:gridCol w:w="517"/>
        <w:gridCol w:w="284"/>
        <w:gridCol w:w="284"/>
        <w:gridCol w:w="567"/>
        <w:gridCol w:w="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030904008002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无线传输模块制安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名称：无线接收发送透传Lora模块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1、传输距离：有障碍物1000m或以上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2、输入信号：支持模拟量输入4-20mA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3、输出信号：支持模拟量输出0-20mA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4、带点源适配器：输入电压200-240V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030404017005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2.规格：不锈钢，长550宽350高600，室外密封式（座式）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3.含1个16A塑壳漏电保护断路器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4.1个防雷保护器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5.共零排、共地排各一块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一二期3#二沉池泥位计仪表安装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030605002006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物性检测仪表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1.RSSS仪表安装及调试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1.名称:铜芯电力电缆敷设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2.型号:ZC-YJY-3*2.5mm2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030904008003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无线传输模块制安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名称：无线接收发送透传Lora模块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1、传输距离：有障碍物1000m或以上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2、输入信号：支持模拟量输入4-20mA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3、输出信号：支持模拟量输出0-20mA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4、带点源适配器：输入电压200-240V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1824"/>
        <w:gridCol w:w="1149"/>
        <w:gridCol w:w="1170"/>
        <w:gridCol w:w="1119"/>
        <w:gridCol w:w="645"/>
        <w:gridCol w:w="573"/>
        <w:gridCol w:w="305"/>
        <w:gridCol w:w="305"/>
        <w:gridCol w:w="645"/>
        <w:gridCol w:w="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030404017006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2.规格：不锈钢，长500宽300高600，室外密封式（座式）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3.含1个16A塑壳漏电保护断路器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4.1个防雷保护器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5.共零排、共地排各一块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6.箱体下端电缆进出口需有活页门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rPr>
          <w:rFonts w:hint="eastAsia"/>
        </w:rPr>
      </w:pPr>
      <w:r>
        <w:rPr>
          <w:rFonts w:hint="eastAsia"/>
        </w:rPr>
        <w:br w:type="page"/>
      </w:r>
    </w:p>
    <w:p>
      <w:pPr>
        <w:pStyle w:val="5"/>
        <w:ind w:left="0" w:leftChars="0" w:firstLine="0" w:firstLineChars="0"/>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0"/>
        <w:gridCol w:w="1446"/>
        <w:gridCol w:w="1478"/>
        <w:gridCol w:w="735"/>
        <w:gridCol w:w="716"/>
        <w:gridCol w:w="916"/>
        <w:gridCol w:w="570"/>
        <w:gridCol w:w="663"/>
        <w:gridCol w:w="20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6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3118.58</w:t>
            </w: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7"/>
        <w:gridCol w:w="1669"/>
        <w:gridCol w:w="872"/>
        <w:gridCol w:w="872"/>
        <w:gridCol w:w="672"/>
        <w:gridCol w:w="616"/>
        <w:gridCol w:w="699"/>
        <w:gridCol w:w="799"/>
        <w:gridCol w:w="2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pStyle w:val="5"/>
        <w:ind w:left="0" w:leftChars="0" w:firstLine="0" w:firstLineChars="0"/>
        <w:rPr>
          <w:rFonts w:hint="eastAsia"/>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1"/>
        <w:gridCol w:w="3519"/>
        <w:gridCol w:w="1105"/>
        <w:gridCol w:w="1393"/>
        <w:gridCol w:w="1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w:t>
            </w:r>
          </w:p>
        </w:tc>
      </w:tr>
    </w:tbl>
    <w:tbl>
      <w:tblPr>
        <w:tblStyle w:val="24"/>
        <w:tblpPr w:leftFromText="180" w:rightFromText="180" w:vertAnchor="text" w:horzAnchor="page" w:tblpX="1473" w:tblpY="-313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9"/>
        <w:gridCol w:w="2915"/>
        <w:gridCol w:w="2042"/>
        <w:gridCol w:w="765"/>
        <w:gridCol w:w="403"/>
        <w:gridCol w:w="403"/>
        <w:gridCol w:w="13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工程名称：大坦沙分公司一二期二沉池RSSS及泥位计过程仪表优化项目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计算费率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rPr>
          <w:rFonts w:hint="eastAsia" w:ascii="宋体" w:hAnsi="宋体" w:eastAsia="宋体" w:cs="宋体"/>
          <w:color w:val="000000"/>
          <w:sz w:val="32"/>
          <w:szCs w:val="32"/>
          <w:u w:val="none"/>
          <w:lang w:bidi="ar"/>
        </w:rPr>
      </w:pPr>
      <w:r>
        <w:rPr>
          <w:rFonts w:hint="eastAsia" w:ascii="宋体" w:hAnsi="宋体" w:eastAsia="宋体" w:cs="宋体"/>
          <w:color w:val="000000"/>
          <w:sz w:val="32"/>
          <w:szCs w:val="32"/>
          <w:u w:val="none"/>
          <w:lang w:bidi="ar"/>
        </w:rPr>
        <w:br w:type="page"/>
      </w:r>
    </w:p>
    <w:p>
      <w:pPr>
        <w:pStyle w:val="5"/>
        <w:rPr>
          <w:rFonts w:hint="eastAsia" w:ascii="宋体" w:hAnsi="宋体" w:eastAsia="宋体" w:cs="宋体"/>
          <w:color w:val="000000"/>
          <w:sz w:val="32"/>
          <w:szCs w:val="32"/>
          <w:u w:val="none"/>
          <w:lang w:bidi="ar"/>
        </w:rPr>
      </w:pPr>
    </w:p>
    <w:p>
      <w:pPr>
        <w:pStyle w:val="5"/>
        <w:ind w:left="0" w:leftChars="0" w:firstLine="0" w:firstLineChars="0"/>
        <w:rPr>
          <w:rFonts w:hint="eastAsia" w:ascii="宋体" w:hAnsi="宋体" w:eastAsia="宋体" w:cs="宋体"/>
          <w:color w:val="000000"/>
          <w:sz w:val="32"/>
          <w:szCs w:val="32"/>
          <w:u w:val="none"/>
          <w:lang w:bidi="ar"/>
        </w:rPr>
      </w:pPr>
      <w:r>
        <w:rPr>
          <w:rFonts w:hint="eastAsia" w:ascii="宋体" w:hAnsi="宋体" w:eastAsia="宋体" w:cs="宋体"/>
          <w:i w:val="0"/>
          <w:iCs w:val="0"/>
          <w:color w:val="000000"/>
          <w:kern w:val="0"/>
          <w:sz w:val="32"/>
          <w:szCs w:val="32"/>
          <w:u w:val="none"/>
          <w:lang w:val="en-US" w:eastAsia="zh-CN" w:bidi="ar"/>
        </w:rPr>
        <w:t>项目三：</w:t>
      </w:r>
      <w:r>
        <w:rPr>
          <w:rFonts w:hint="eastAsia" w:ascii="宋体" w:hAnsi="宋体" w:eastAsia="宋体" w:cs="宋体"/>
          <w:color w:val="000000"/>
          <w:kern w:val="0"/>
          <w:sz w:val="32"/>
          <w:szCs w:val="32"/>
          <w:u w:val="none"/>
          <w:lang w:val="en-US" w:eastAsia="zh-CN" w:bidi="ar"/>
        </w:rPr>
        <w:t>大坦沙分公司一二期一分高压电房2号4号出线柜智能仪表维修等项目</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5472"/>
        <w:gridCol w:w="1077"/>
        <w:gridCol w:w="1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分项一:三期电房直流屏模块更换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分项二:一二期 2#4#高压风机出线柜智能电表维修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分项三:化验班危化仓更换防爆摄像头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bl>
    <w:p>
      <w:pPr>
        <w:keepNext w:val="0"/>
        <w:keepLines w:val="0"/>
        <w:widowControl/>
        <w:suppressLineNumbers w:val="0"/>
        <w:jc w:val="both"/>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2"/>
        <w:gridCol w:w="1453"/>
        <w:gridCol w:w="1540"/>
        <w:gridCol w:w="1333"/>
        <w:gridCol w:w="1147"/>
        <w:gridCol w:w="536"/>
        <w:gridCol w:w="916"/>
        <w:gridCol w:w="268"/>
        <w:gridCol w:w="268"/>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分项一:三期电房直流屏模块更换</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直流屏模块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拆除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拆卸2台直流屏共6个模块，拆除连接线和模块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直流屏模块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1、安装直流屏模块，与支架连接并固定安装（拆除后的模块整合后安装）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2、将直流屏模块相应的电源线、信号线或其他线路连接。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直流屏整体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一、模块名称: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监控模块、整流模块、降压单元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交流输入电压: 220V20%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重量:20KG(满配置)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三、模块安装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1、安装直流屏模块: 将安装完毕的直流屏模块放在支架上，与支架连接并固定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2、将直流屏模块相应的电源线、信号线或其他线路连接。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030414002001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系统测试</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安装后应进行系统测试，确保所有功能都正常运行。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电柜拆除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电柜尺寸:长55cm，宽50cm，高120cm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外径:盖板外围长115cm 宽55cm厚3mm。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内径 (孔径) : 根据现场情况。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14.8954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030409009001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绝缘垫制安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尺寸:长120cm 宽60cm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线缆接头绝缘处理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在原连接处重新进行绝缘处理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电柜搬运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把拆除后的电柜搬运至厂内废品仓，运距200m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分项二:一二期 2#4#高压风机出线柜智能电表维修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1.型号:ZC-KVVP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1"/>
        <w:gridCol w:w="1659"/>
        <w:gridCol w:w="1838"/>
        <w:gridCol w:w="1008"/>
        <w:gridCol w:w="922"/>
        <w:gridCol w:w="612"/>
        <w:gridCol w:w="614"/>
        <w:gridCol w:w="306"/>
        <w:gridCol w:w="306"/>
        <w:gridCol w:w="613"/>
        <w:gridCol w:w="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粤030404037001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仪表接线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设备调试</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对2#4#风机出线柜智能仪表进行设定参数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测试和调试。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分项三:化验班危化仓更换防爆摄像头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防爆监控摄像头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1、像素:400W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2、夜视类型: 红外夜视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防爆摄像头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3、防护等级: IP68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4、电源: 支持外置电源 12V+POE 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5、镜头焦距: 2.8mm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6、拥有 ET6 防爆标志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网线拆除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拆除原有网线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摄像头拆除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拆除原有摄像头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摄像头安装</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将拆除的摄像头利旧，安装至危化仓门口预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定位置。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名称:防爆绕性穿线管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1、管径: DN20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2、长度:1米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3、内径:17mm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4、螺牙规格:6分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5、防护等级:IP65 或以上</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名称:室内 POE 网线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 CAT6 类网线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2、屏蔽类型:非屏蔽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3、芯数:8芯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管径: 6分 (25mm)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2063"/>
        <w:gridCol w:w="1450"/>
        <w:gridCol w:w="777"/>
        <w:gridCol w:w="669"/>
        <w:gridCol w:w="689"/>
        <w:gridCol w:w="603"/>
        <w:gridCol w:w="324"/>
        <w:gridCol w:w="324"/>
        <w:gridCol w:w="689"/>
        <w:gridCol w:w="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排风机制安</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 管道排风机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 150mm (6寸)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风量:≥570m3/h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电压:AC220V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030108001002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排风机拆除</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排风机拆除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0"/>
        <w:gridCol w:w="1446"/>
        <w:gridCol w:w="1480"/>
        <w:gridCol w:w="736"/>
        <w:gridCol w:w="716"/>
        <w:gridCol w:w="916"/>
        <w:gridCol w:w="563"/>
        <w:gridCol w:w="663"/>
        <w:gridCol w:w="2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color w:val="auto"/>
                <w:kern w:val="0"/>
                <w:sz w:val="20"/>
                <w:szCs w:val="20"/>
                <w:lang w:val="en-US" w:eastAsia="zh-CN" w:bidi="ar"/>
              </w:rPr>
              <w:t>2998.83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8"/>
        <w:gridCol w:w="1764"/>
        <w:gridCol w:w="909"/>
        <w:gridCol w:w="909"/>
        <w:gridCol w:w="708"/>
        <w:gridCol w:w="616"/>
        <w:gridCol w:w="678"/>
        <w:gridCol w:w="778"/>
        <w:gridCol w:w="1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pPr>
        <w:pStyle w:val="5"/>
        <w:rPr>
          <w:rFonts w:hint="eastAsia"/>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3"/>
        <w:gridCol w:w="3633"/>
        <w:gridCol w:w="1072"/>
        <w:gridCol w:w="1328"/>
        <w:gridCol w:w="1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w:t>
            </w:r>
          </w:p>
        </w:tc>
      </w:tr>
    </w:tbl>
    <w:p>
      <w:pPr>
        <w:pStyle w:val="5"/>
        <w:rPr>
          <w:rFonts w:hint="eastAsia"/>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9"/>
        <w:gridCol w:w="2946"/>
        <w:gridCol w:w="913"/>
        <w:gridCol w:w="913"/>
        <w:gridCol w:w="958"/>
        <w:gridCol w:w="384"/>
        <w:gridCol w:w="384"/>
        <w:gridCol w:w="1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工程名称：大坦沙分公司一二期一分高压电房 2#4#风机出线柜智能仪表维修等项目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计算费率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rPr>
          <w:rFonts w:hint="eastAsia" w:asciiTheme="minorEastAsia" w:hAnsiTheme="minorEastAsia" w:eastAsiaTheme="minorEastAsia"/>
          <w:color w:val="auto"/>
          <w:sz w:val="28"/>
          <w:szCs w:val="28"/>
          <w:highlight w:val="none"/>
          <w:lang w:val="en-US" w:eastAsia="zh-CN"/>
        </w:rPr>
      </w:pPr>
      <w:r>
        <w:rPr>
          <w:rFonts w:hint="eastAsia" w:asciiTheme="minorEastAsia" w:hAnsiTheme="minorEastAsia" w:eastAsiaTheme="minorEastAsia"/>
          <w:color w:val="auto"/>
          <w:sz w:val="28"/>
          <w:szCs w:val="28"/>
          <w:highlight w:val="none"/>
          <w:lang w:val="en-US" w:eastAsia="zh-CN"/>
        </w:rPr>
        <w:br w:type="page"/>
      </w:r>
    </w:p>
    <w:p>
      <w:pPr>
        <w:pStyle w:val="14"/>
        <w:rPr>
          <w:rFonts w:hint="eastAsia" w:asciiTheme="minorEastAsia" w:hAnsiTheme="minorEastAsia" w:eastAsiaTheme="minorEastAsia"/>
          <w:color w:val="auto"/>
          <w:sz w:val="28"/>
          <w:szCs w:val="28"/>
          <w:highlight w:val="none"/>
          <w:lang w:val="en-US" w:eastAsia="zh-CN"/>
        </w:rPr>
      </w:pPr>
      <w:r>
        <w:rPr>
          <w:rFonts w:hint="eastAsia" w:asciiTheme="minorEastAsia" w:hAnsiTheme="minorEastAsia" w:eastAsiaTheme="minorEastAsia"/>
          <w:color w:val="auto"/>
          <w:sz w:val="28"/>
          <w:szCs w:val="28"/>
          <w:highlight w:val="none"/>
          <w:lang w:val="en-US" w:eastAsia="zh-CN"/>
        </w:rPr>
        <w:t>项目四、大坦沙分公司干化车间板框机气体检测优化等项目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9"/>
        <w:gridCol w:w="4059"/>
        <w:gridCol w:w="98"/>
        <w:gridCol w:w="1425"/>
        <w:gridCol w:w="655"/>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0"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4"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342"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1172"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870"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三期总进水阀电动装置接线</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一二期次氯酸钠加药间加装氯气检测仪</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干化车间板框机隔离罩安装气体检测仪</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三期次氯酸钠储罐翻板液位计上传</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离心脱水机低压电房泥仓气体检测数据上传</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优化离心脱水机低压电房PLC柜内光纤走向布局</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11949.92</w:t>
            </w: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 w:hRule="atLeast"/>
        </w:trPr>
        <w:tc>
          <w:tcPr>
            <w:tcW w:w="6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234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117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56" w:type="pct"/>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招标控制价合计=1+2+3+5</w:t>
            </w:r>
          </w:p>
        </w:tc>
        <w:tc>
          <w:tcPr>
            <w:tcW w:w="1172"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keepNext w:val="0"/>
        <w:keepLines w:val="0"/>
        <w:widowControl/>
        <w:suppressLineNumbers w:val="0"/>
        <w:jc w:val="center"/>
        <w:textAlignment w:val="center"/>
        <w:rPr>
          <w:rFonts w:hint="eastAsia" w:ascii="宋体" w:hAnsi="宋体" w:eastAsia="宋体" w:cs="宋体"/>
          <w:b/>
          <w:i w:val="0"/>
          <w:color w:val="000000"/>
          <w:kern w:val="0"/>
          <w:sz w:val="40"/>
          <w:szCs w:val="40"/>
          <w:u w:val="none"/>
          <w:lang w:val="en-US" w:eastAsia="zh-CN" w:bidi="ar"/>
        </w:rPr>
      </w:pPr>
      <w:r>
        <w:rPr>
          <w:rFonts w:hint="eastAsia" w:ascii="宋体" w:hAnsi="宋体" w:eastAsia="宋体" w:cs="宋体"/>
          <w:b/>
          <w:i w:val="0"/>
          <w:color w:val="000000"/>
          <w:kern w:val="0"/>
          <w:sz w:val="40"/>
          <w:szCs w:val="40"/>
          <w:u w:val="none"/>
          <w:lang w:val="en-US" w:eastAsia="zh-CN" w:bidi="ar"/>
        </w:rP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0"/>
        <w:gridCol w:w="1382"/>
        <w:gridCol w:w="1218"/>
        <w:gridCol w:w="1986"/>
        <w:gridCol w:w="238"/>
        <w:gridCol w:w="430"/>
        <w:gridCol w:w="744"/>
        <w:gridCol w:w="112"/>
        <w:gridCol w:w="708"/>
        <w:gridCol w:w="797"/>
        <w:gridCol w:w="6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7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3"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303"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9"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三期总进水阀电动装置接线</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粤030404037001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电动装置及PLC接线</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030505011001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PLC程序编写</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1.按生产要求编写PLC程序9点</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上位机界面开发</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FactoryTalk SE界面开发</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三期总进水阀电动装置接线合计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一二期次氯酸钠加药间加装氯气检测仪</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030601005001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氯气气体检测仪</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1.含气体检测仪主 机1台；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 含扩散式氯气检测探头1个；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3.主机与PLC通信方式： RS485；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4.参数见技术需求。</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030404017001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户外仪表箱</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1.材质： 304不锈钢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2.带观察窗， 观察窗材质： 有机玻璃 尺寸500*400*200mm</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030408002001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信号电缆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RVVP 3*1.5带屏蔽</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 DN25</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030408001001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电力电缆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YJV 3*1.5</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030408002002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信号电缆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RVVP 4*1.5带屏蔽</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031103003001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PLC通讯模块</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RS485通讯模块，适配现场PLC</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030505011002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PLC程序编写</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1.按生产要求编写PLC程序2点</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上位机界面开发</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FactoryTalk SE界面开发</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一二期次氯酸钠加药间加装氯气检测仪合计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干化车间板框机隔离罩安装气体检测仪</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0"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41" w:type="pct"/>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i w:val="0"/>
          <w:color w:val="000000"/>
          <w:kern w:val="0"/>
          <w:sz w:val="40"/>
          <w:szCs w:val="40"/>
          <w:u w:val="none"/>
          <w:lang w:val="en-US" w:eastAsia="zh-CN" w:bidi="ar"/>
        </w:rPr>
      </w:pPr>
      <w:r>
        <w:rPr>
          <w:rFonts w:hint="eastAsia" w:ascii="宋体" w:hAnsi="宋体" w:eastAsia="宋体" w:cs="宋体"/>
          <w:b/>
          <w:i w:val="0"/>
          <w:color w:val="000000"/>
          <w:kern w:val="0"/>
          <w:sz w:val="40"/>
          <w:szCs w:val="40"/>
          <w:u w:val="none"/>
          <w:lang w:val="en-US" w:eastAsia="zh-CN" w:bidi="ar"/>
        </w:rP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8"/>
        <w:gridCol w:w="1383"/>
        <w:gridCol w:w="1218"/>
        <w:gridCol w:w="1988"/>
        <w:gridCol w:w="236"/>
        <w:gridCol w:w="430"/>
        <w:gridCol w:w="742"/>
        <w:gridCol w:w="115"/>
        <w:gridCol w:w="708"/>
        <w:gridCol w:w="797"/>
        <w:gridCol w:w="6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5"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7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3"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30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2"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2"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9"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030601005002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气体检测仪</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 含四通道气体检测仪主机1台；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 扩散式四合一气体检测仪1套；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3.主机与PLC通信方式： RS485；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4.四合一气体检测仪及响应参数详见技术需求。</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030404017002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户外仪表箱</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1.材质： 304不锈钢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2.带观察窗， 观察窗材质： 有机玻璃 尺寸500*400*200mm</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030408002003</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信号电缆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RVVP 3*1.5带屏蔽（探头与主机）</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1133.2</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包塑金属软线管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DN15  黑色包塑金属软线管</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030411002001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不锈钢线槽</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1.尺寸： 100mm宽x25mm高</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2.含桥架、304不锈钢线槽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3.安装含接地跨接线</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030411002002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不锈钢线槽</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1.尺寸： 200mm宽x50mm高</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2.含桥架、304不锈钢线槽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3.安装含接地跨接线</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030404016001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PLC柜</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1.尺寸： 高800*宽300*深200mm，采用304不锈钢；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2。配一个3P  10A空开、三个1P+N 10A空气开关带漏保、 一个MWGD</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NDR-240-24  24V10A工业直流电源 （220V输入、24V输出）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一台2080-LC50-24QBB  PLC（配RS485模 块1个）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8口光纤盒1个、光模块1 对。</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030408002004</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信号电缆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RVVP 4*1.5带屏蔽（主机与PLC)</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030408001002</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电力电缆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YJV 5*2.5， 走现有桥架敷设</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030502007001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单模户外光纤， 8芯， 沿现有线槽敷</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1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030501012001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交换机</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16口工业级光纤交换机</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0"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41" w:type="pct"/>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i w:val="0"/>
          <w:color w:val="000000"/>
          <w:kern w:val="0"/>
          <w:sz w:val="40"/>
          <w:szCs w:val="40"/>
          <w:u w:val="none"/>
          <w:lang w:val="en-US" w:eastAsia="zh-CN" w:bidi="ar"/>
        </w:rPr>
      </w:pPr>
      <w:r>
        <w:rPr>
          <w:rFonts w:hint="eastAsia" w:ascii="宋体" w:hAnsi="宋体" w:eastAsia="宋体" w:cs="宋体"/>
          <w:b/>
          <w:i w:val="0"/>
          <w:color w:val="000000"/>
          <w:kern w:val="0"/>
          <w:sz w:val="40"/>
          <w:szCs w:val="40"/>
          <w:u w:val="none"/>
          <w:lang w:val="en-US" w:eastAsia="zh-CN" w:bidi="ar"/>
        </w:rP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6"/>
        <w:gridCol w:w="1383"/>
        <w:gridCol w:w="1218"/>
        <w:gridCol w:w="1990"/>
        <w:gridCol w:w="234"/>
        <w:gridCol w:w="430"/>
        <w:gridCol w:w="742"/>
        <w:gridCol w:w="117"/>
        <w:gridCol w:w="708"/>
        <w:gridCol w:w="795"/>
        <w:gridCol w:w="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4"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7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3"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306"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4"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4"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030505011003</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PLC程序编写</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1.按生产要求编写PLC程序30点</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030501017003</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上位机界面开发</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FactoryTalk SE界面开发</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干化车间板框机隔离罩安装气体检测仪合计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三期次氯酸钠储罐翻板液位计上传</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030408002005</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信号电缆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RVVP 4*1.5带屏蔽（主机与PLC)</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080903004001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PLC模块</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4口模拟量输入模块， 匹配现有PLC主机</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030505011004</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PLC程序编写</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读取翻板液位计读数， 并传输读数至上位机，共6点</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030501017004</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上位机界面开发</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FactoryTalk SE界面开发</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三期次氯酸钠储罐翻板液位计上传合计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离心脱水机低压电房泥仓气体检测数据上传</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030404022001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2080-LC50-24QBB  PLC（配RS485模   块1个、4口模拟量输入模块、2口模 拟量输出模块）</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030408002006</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信号电缆</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RVVP 4*1.5带屏蔽（主机与PLC)</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030411001003</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 DN25</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030505011005</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PLC程序编写</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编写PLC程序读取气体检测主机数据 、上传数据至上位机，共6点</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030501017005</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上位机界面开发</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FactoryTalk SE界面开发</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离心脱水机低压电房泥仓气体检测数据上传合计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0"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41" w:type="pct"/>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i w:val="0"/>
          <w:color w:val="000000"/>
          <w:kern w:val="0"/>
          <w:sz w:val="40"/>
          <w:szCs w:val="40"/>
          <w:u w:val="none"/>
          <w:lang w:val="en-US" w:eastAsia="zh-CN" w:bidi="ar"/>
        </w:rPr>
      </w:pPr>
      <w:r>
        <w:rPr>
          <w:rFonts w:hint="eastAsia" w:ascii="宋体" w:hAnsi="宋体" w:eastAsia="宋体" w:cs="宋体"/>
          <w:b/>
          <w:i w:val="0"/>
          <w:color w:val="000000"/>
          <w:kern w:val="0"/>
          <w:sz w:val="40"/>
          <w:szCs w:val="40"/>
          <w:u w:val="none"/>
          <w:lang w:val="en-US" w:eastAsia="zh-CN" w:bidi="ar"/>
        </w:rP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5"/>
        <w:gridCol w:w="1380"/>
        <w:gridCol w:w="1218"/>
        <w:gridCol w:w="1993"/>
        <w:gridCol w:w="231"/>
        <w:gridCol w:w="430"/>
        <w:gridCol w:w="742"/>
        <w:gridCol w:w="121"/>
        <w:gridCol w:w="708"/>
        <w:gridCol w:w="793"/>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0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313"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7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3"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30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13"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13"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3"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6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优化离心脱水机低压电房PLC柜内光纤走向布局</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030502014001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光纤连接</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光纤整理熔接， 含跳线、光纤胶套 、光纤尾纤等辅材</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条</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w:t>
            </w: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030411002003</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线槽</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1.PVC阻燃配线槽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2.尺寸： 高50*宽50mm， 颜色灰色</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030307005001</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设备支架制作安装</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不锈钢电柜专用轨道， 含辅材</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优化离心脱水机低压电房PLC柜内光纤走向布局合计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1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单价措施合计</w:t>
            </w:r>
          </w:p>
        </w:tc>
        <w:tc>
          <w:tcPr>
            <w:tcW w:w="12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44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bl>
    <w:p>
      <w:pPr>
        <w:keepNext w:val="0"/>
        <w:keepLines w:val="0"/>
        <w:widowControl/>
        <w:suppressLineNumbers w:val="0"/>
        <w:jc w:val="center"/>
        <w:textAlignment w:val="center"/>
        <w:rPr>
          <w:rFonts w:hint="eastAsia" w:ascii="宋体" w:hAnsi="宋体" w:eastAsia="宋体" w:cs="宋体"/>
          <w:b/>
          <w:i w:val="0"/>
          <w:color w:val="000000"/>
          <w:kern w:val="0"/>
          <w:sz w:val="40"/>
          <w:szCs w:val="40"/>
          <w:u w:val="none"/>
          <w:lang w:val="en-US" w:eastAsia="zh-CN" w:bidi="ar"/>
        </w:rPr>
      </w:pPr>
      <w:r>
        <w:rPr>
          <w:rFonts w:hint="eastAsia" w:ascii="宋体" w:hAnsi="宋体" w:eastAsia="宋体" w:cs="宋体"/>
          <w:b/>
          <w:i w:val="0"/>
          <w:color w:val="000000"/>
          <w:kern w:val="0"/>
          <w:sz w:val="40"/>
          <w:szCs w:val="40"/>
          <w:u w:val="none"/>
          <w:lang w:val="en-US" w:eastAsia="zh-CN" w:bidi="ar"/>
        </w:rP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5"/>
        <w:gridCol w:w="1230"/>
        <w:gridCol w:w="1569"/>
        <w:gridCol w:w="1273"/>
        <w:gridCol w:w="508"/>
        <w:gridCol w:w="179"/>
        <w:gridCol w:w="847"/>
        <w:gridCol w:w="497"/>
        <w:gridCol w:w="332"/>
        <w:gridCol w:w="852"/>
        <w:gridCol w:w="10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9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9"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8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7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35.77</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color w:val="auto"/>
                <w:kern w:val="0"/>
                <w:sz w:val="20"/>
                <w:szCs w:val="20"/>
                <w:lang w:val="en-US" w:eastAsia="zh-CN" w:bidi="ar"/>
              </w:rPr>
              <w:t>12540.09</w:t>
            </w: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319"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93"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88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71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99" w:type="pct"/>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2100"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99" w:type="pct"/>
            <w:gridSpan w:val="5"/>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3"/>
            <w:tcBorders>
              <w:top w:val="nil"/>
              <w:left w:val="nil"/>
              <w:bottom w:val="nil"/>
              <w:right w:val="nil"/>
            </w:tcBorders>
            <w:shd w:val="clear" w:color="FFFFFF" w:fill="FFFFFF"/>
            <w:tcMar>
              <w:top w:w="15" w:type="dxa"/>
              <w:left w:w="15" w:type="dxa"/>
              <w:right w:w="15" w:type="dxa"/>
            </w:tcMar>
            <w:vAlign w:val="top"/>
          </w:tcPr>
          <w:p>
            <w:pPr>
              <w:jc w:val="right"/>
              <w:rPr>
                <w:rFonts w:hint="eastAsia" w:ascii="宋体" w:hAnsi="宋体" w:eastAsia="宋体" w:cs="宋体"/>
                <w:i w:val="0"/>
                <w:color w:val="000000"/>
                <w:sz w:val="18"/>
                <w:szCs w:val="18"/>
                <w:u w:val="none"/>
              </w:rPr>
            </w:pPr>
          </w:p>
        </w:tc>
        <w:tc>
          <w:tcPr>
            <w:tcW w:w="1242" w:type="pct"/>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bl>
    <w:p>
      <w:pPr>
        <w:keepNext w:val="0"/>
        <w:keepLines w:val="0"/>
        <w:widowControl/>
        <w:suppressLineNumbers w:val="0"/>
        <w:jc w:val="center"/>
        <w:textAlignment w:val="center"/>
        <w:rPr>
          <w:rFonts w:hint="eastAsia" w:ascii="宋体" w:hAnsi="宋体" w:eastAsia="宋体" w:cs="宋体"/>
          <w:b/>
          <w:i w:val="0"/>
          <w:color w:val="000000"/>
          <w:kern w:val="0"/>
          <w:sz w:val="40"/>
          <w:szCs w:val="40"/>
          <w:u w:val="none"/>
          <w:lang w:val="en-US" w:eastAsia="zh-CN" w:bidi="ar"/>
        </w:rPr>
      </w:pPr>
      <w:r>
        <w:rPr>
          <w:rFonts w:hint="eastAsia" w:ascii="宋体" w:hAnsi="宋体" w:eastAsia="宋体" w:cs="宋体"/>
          <w:b/>
          <w:i w:val="0"/>
          <w:color w:val="000000"/>
          <w:kern w:val="0"/>
          <w:sz w:val="40"/>
          <w:szCs w:val="40"/>
          <w:u w:val="none"/>
          <w:lang w:val="en-US" w:eastAsia="zh-CN" w:bidi="ar"/>
        </w:rPr>
        <w:br w:type="page"/>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5"/>
        <w:gridCol w:w="1230"/>
        <w:gridCol w:w="1568"/>
        <w:gridCol w:w="1273"/>
        <w:gridCol w:w="508"/>
        <w:gridCol w:w="181"/>
        <w:gridCol w:w="847"/>
        <w:gridCol w:w="495"/>
        <w:gridCol w:w="334"/>
        <w:gridCol w:w="852"/>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9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工程名称：大坦沙分公司干化车间板框机气体检测优化等项目</w:t>
            </w:r>
          </w:p>
        </w:tc>
        <w:tc>
          <w:tcPr>
            <w:tcW w:w="85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4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19"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8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7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1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8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001"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47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8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7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15"/>
        <w:rPr>
          <w:rFonts w:hint="eastAsia"/>
          <w:lang w:val="en-US" w:eastAsia="zh-CN"/>
        </w:rPr>
      </w:pPr>
    </w:p>
    <w:p>
      <w:pPr>
        <w:pStyle w:val="15"/>
      </w:pPr>
    </w:p>
    <w:p>
      <w:pPr>
        <w:pStyle w:val="4"/>
        <w:numPr>
          <w:ilvl w:val="0"/>
          <w:numId w:val="0"/>
        </w:numPr>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1"/>
      <w:bookmarkEnd w:id="132"/>
      <w:bookmarkEnd w:id="133"/>
      <w:bookmarkEnd w:id="134"/>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003D3E-7573-4FD2-AEA3-DA4D12963588}"/>
  </w:font>
  <w:font w:name="Arial">
    <w:panose1 w:val="020B0604020202020204"/>
    <w:charset w:val="01"/>
    <w:family w:val="swiss"/>
    <w:pitch w:val="default"/>
    <w:sig w:usb0="E0002EFF" w:usb1="C000785B" w:usb2="00000009" w:usb3="00000000" w:csb0="400001FF" w:csb1="FFFF0000"/>
    <w:embedRegular r:id="rId2" w:fontKey="{D913563D-3DBD-401F-8AA4-4871D1B77B4D}"/>
  </w:font>
  <w:font w:name="黑体">
    <w:panose1 w:val="02010609060101010101"/>
    <w:charset w:val="86"/>
    <w:family w:val="auto"/>
    <w:pitch w:val="default"/>
    <w:sig w:usb0="800002BF" w:usb1="38CF7CFA" w:usb2="00000016" w:usb3="00000000" w:csb0="00040001" w:csb1="00000000"/>
    <w:embedRegular r:id="rId3" w:fontKey="{1C7A90E8-8D04-4AB8-A0DB-F2F9390D1F40}"/>
  </w:font>
  <w:font w:name="Courier New">
    <w:panose1 w:val="02070309020205020404"/>
    <w:charset w:val="01"/>
    <w:family w:val="modern"/>
    <w:pitch w:val="default"/>
    <w:sig w:usb0="E0002EFF" w:usb1="C0007843" w:usb2="00000009" w:usb3="00000000" w:csb0="400001FF" w:csb1="FFFF0000"/>
    <w:embedRegular r:id="rId4" w:fontKey="{3F0031AE-DB3E-4B27-A7E4-2593A779C87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8AAF467F-F6A2-47E3-89CD-DE487EE5AAC4}"/>
  </w:font>
  <w:font w:name="方正小标宋简体">
    <w:panose1 w:val="03000509000000000000"/>
    <w:charset w:val="86"/>
    <w:family w:val="script"/>
    <w:pitch w:val="default"/>
    <w:sig w:usb0="00000001" w:usb1="080E0000" w:usb2="00000000" w:usb3="00000000" w:csb0="00040000" w:csb1="00000000"/>
    <w:embedRegular r:id="rId6" w:fontKey="{CDF14D32-C7AB-4362-8E12-5F7258783F7F}"/>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7" w:fontKey="{9A19F421-C4D2-4103-B9D6-AB03FC3E38A0}"/>
  </w:font>
  <w:font w:name="Tahoma">
    <w:panose1 w:val="020B0604030504040204"/>
    <w:charset w:val="00"/>
    <w:family w:val="swiss"/>
    <w:pitch w:val="default"/>
    <w:sig w:usb0="E1002EFF" w:usb1="C000605B" w:usb2="00000029" w:usb3="00000000" w:csb0="200101FF" w:csb1="20280000"/>
    <w:embedRegular r:id="rId8" w:fontKey="{673424B8-F631-48CC-8F64-BF75A60B14EE}"/>
  </w:font>
  <w:font w:name="等线">
    <w:panose1 w:val="02010600030101010101"/>
    <w:charset w:val="86"/>
    <w:family w:val="auto"/>
    <w:pitch w:val="default"/>
    <w:sig w:usb0="A00002BF" w:usb1="38CF7CFA" w:usb2="00000016" w:usb3="00000000" w:csb0="0004000F" w:csb1="00000000"/>
    <w:embedRegular r:id="rId9" w:fontKey="{E2DF8849-CEA6-4646-AE7A-2AE5C2D06DAB}"/>
  </w:font>
  <w:font w:name="仿宋_GB2312">
    <w:panose1 w:val="02010609030101010101"/>
    <w:charset w:val="86"/>
    <w:family w:val="modern"/>
    <w:pitch w:val="default"/>
    <w:sig w:usb0="00000001" w:usb1="080E0000" w:usb2="00000000" w:usb3="00000000" w:csb0="00040000" w:csb1="00000000"/>
    <w:embedRegular r:id="rId10" w:fontKey="{68280771-648D-4737-9429-721B17A94C66}"/>
  </w:font>
  <w:font w:name="Wingdings 2">
    <w:panose1 w:val="05020102010507070707"/>
    <w:charset w:val="00"/>
    <w:family w:val="auto"/>
    <w:pitch w:val="default"/>
    <w:sig w:usb0="00000000" w:usb1="00000000" w:usb2="00000000" w:usb3="00000000" w:csb0="80000000" w:csb1="00000000"/>
    <w:embedRegular r:id="rId11" w:fontKey="{C760D788-7628-4A61-B0A0-9DC53FAE94E2}"/>
  </w:font>
  <w:font w:name="仿宋">
    <w:panose1 w:val="02010609060101010101"/>
    <w:charset w:val="86"/>
    <w:family w:val="auto"/>
    <w:pitch w:val="default"/>
    <w:sig w:usb0="800002BF" w:usb1="38CF7CFA" w:usb2="00000016" w:usb3="00000000" w:csb0="00040001" w:csb1="00000000"/>
    <w:embedRegular r:id="rId12" w:fontKey="{7A8155F5-E3D8-4A75-BD93-DFFFD7F001AE}"/>
  </w:font>
  <w:font w:name="Batang">
    <w:panose1 w:val="02030600000101010101"/>
    <w:charset w:val="81"/>
    <w:family w:val="auto"/>
    <w:pitch w:val="default"/>
    <w:sig w:usb0="B00002AF" w:usb1="69D77CFB" w:usb2="00000030" w:usb3="00000000" w:csb0="4008009F" w:csb1="DFD70000"/>
    <w:embedRegular r:id="rId13" w:fontKey="{EE060456-7A89-4BE3-8D16-2A6880136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jxmGc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PGYZ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6dcoBAACaAwAADgAAAGRycy9lMm9Eb2MueG1srVPNjtMwEL4j8Q6W&#10;79TZs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Q6dcoBAACaAwAADgAAAAAAAAABACAAAAAeAQAAZHJzL2Uyb0Rv&#10;Yy54bWxQSwUGAAAAAAYABgBZAQAAWg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6YxckBAACaAwAADgAAAGRycy9lMm9Eb2MueG1srVPNjtMwEL4j8Q6W&#10;79RptU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M0NJY5bnPjlx/fLz9+XX9/I&#10;M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ufpjF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2F3B5"/>
    <w:multiLevelType w:val="singleLevel"/>
    <w:tmpl w:val="82E2F3B5"/>
    <w:lvl w:ilvl="0" w:tentative="0">
      <w:start w:val="1"/>
      <w:numFmt w:val="decimal"/>
      <w:suff w:val="nothing"/>
      <w:lvlText w:val="%1、"/>
      <w:lvlJc w:val="left"/>
    </w:lvl>
  </w:abstractNum>
  <w:abstractNum w:abstractNumId="1">
    <w:nsid w:val="9AA6167C"/>
    <w:multiLevelType w:val="multilevel"/>
    <w:tmpl w:val="9AA6167C"/>
    <w:lvl w:ilvl="0" w:tentative="0">
      <w:start w:val="1"/>
      <w:numFmt w:val="decimal"/>
      <w:suff w:val="nothing"/>
      <w:lvlText w:val="%1、"/>
      <w:lvlJc w:val="left"/>
      <w:pPr>
        <w:ind w:left="480" w:leftChars="0" w:firstLine="0" w:firstLineChars="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2">
    <w:nsid w:val="9F2F2D26"/>
    <w:multiLevelType w:val="singleLevel"/>
    <w:tmpl w:val="9F2F2D26"/>
    <w:lvl w:ilvl="0" w:tentative="0">
      <w:start w:val="1"/>
      <w:numFmt w:val="decimal"/>
      <w:suff w:val="nothing"/>
      <w:lvlText w:val="（%1）"/>
      <w:lvlJc w:val="left"/>
    </w:lvl>
  </w:abstractNum>
  <w:abstractNum w:abstractNumId="3">
    <w:nsid w:val="A29D3ECD"/>
    <w:multiLevelType w:val="multilevel"/>
    <w:tmpl w:val="A29D3ECD"/>
    <w:lvl w:ilvl="0" w:tentative="0">
      <w:start w:val="1"/>
      <w:numFmt w:val="decimal"/>
      <w:suff w:val="nothing"/>
      <w:lvlText w:val="%1、"/>
      <w:lvlJc w:val="left"/>
      <w:pPr>
        <w:ind w:left="480" w:leftChars="0" w:firstLine="0" w:firstLineChars="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4">
    <w:nsid w:val="B302B05F"/>
    <w:multiLevelType w:val="singleLevel"/>
    <w:tmpl w:val="B302B05F"/>
    <w:lvl w:ilvl="0" w:tentative="0">
      <w:start w:val="1"/>
      <w:numFmt w:val="decimal"/>
      <w:suff w:val="nothing"/>
      <w:lvlText w:val="（%1）"/>
      <w:lvlJc w:val="left"/>
    </w:lvl>
  </w:abstractNum>
  <w:abstractNum w:abstractNumId="5">
    <w:nsid w:val="C66B1E31"/>
    <w:multiLevelType w:val="singleLevel"/>
    <w:tmpl w:val="C66B1E31"/>
    <w:lvl w:ilvl="0" w:tentative="0">
      <w:start w:val="1"/>
      <w:numFmt w:val="decimal"/>
      <w:suff w:val="nothing"/>
      <w:lvlText w:val="（%1）"/>
      <w:lvlJc w:val="left"/>
    </w:lvl>
  </w:abstractNum>
  <w:abstractNum w:abstractNumId="6">
    <w:nsid w:val="CC9CF724"/>
    <w:multiLevelType w:val="singleLevel"/>
    <w:tmpl w:val="CC9CF724"/>
    <w:lvl w:ilvl="0" w:tentative="0">
      <w:start w:val="1"/>
      <w:numFmt w:val="chineseCounting"/>
      <w:suff w:val="space"/>
      <w:lvlText w:val="第%1章"/>
      <w:lvlJc w:val="left"/>
      <w:rPr>
        <w:rFonts w:hint="eastAsia"/>
      </w:rPr>
    </w:lvl>
  </w:abstractNum>
  <w:abstractNum w:abstractNumId="7">
    <w:nsid w:val="D8E681EB"/>
    <w:multiLevelType w:val="singleLevel"/>
    <w:tmpl w:val="D8E681EB"/>
    <w:lvl w:ilvl="0" w:tentative="0">
      <w:start w:val="1"/>
      <w:numFmt w:val="chineseCounting"/>
      <w:suff w:val="nothing"/>
      <w:lvlText w:val="%1、"/>
      <w:lvlJc w:val="left"/>
      <w:rPr>
        <w:rFonts w:hint="eastAsia"/>
      </w:rPr>
    </w:lvl>
  </w:abstractNum>
  <w:abstractNum w:abstractNumId="8">
    <w:nsid w:val="DD6DB4D3"/>
    <w:multiLevelType w:val="singleLevel"/>
    <w:tmpl w:val="DD6DB4D3"/>
    <w:lvl w:ilvl="0" w:tentative="0">
      <w:start w:val="1"/>
      <w:numFmt w:val="decimal"/>
      <w:lvlText w:val="%1)"/>
      <w:lvlJc w:val="left"/>
      <w:pPr>
        <w:ind w:left="425" w:hanging="425"/>
      </w:pPr>
      <w:rPr>
        <w:rFonts w:hint="default" w:ascii="仿宋" w:hAnsi="仿宋" w:eastAsia="仿宋" w:cs="仿宋"/>
        <w:sz w:val="28"/>
        <w:szCs w:val="28"/>
      </w:rPr>
    </w:lvl>
  </w:abstractNum>
  <w:abstractNum w:abstractNumId="9">
    <w:nsid w:val="F474C9A6"/>
    <w:multiLevelType w:val="singleLevel"/>
    <w:tmpl w:val="F474C9A6"/>
    <w:lvl w:ilvl="0" w:tentative="0">
      <w:start w:val="10"/>
      <w:numFmt w:val="chineseCounting"/>
      <w:suff w:val="space"/>
      <w:lvlText w:val="第%1条"/>
      <w:lvlJc w:val="left"/>
      <w:rPr>
        <w:rFonts w:hint="eastAsia"/>
      </w:rPr>
    </w:lvl>
  </w:abstractNum>
  <w:abstractNum w:abstractNumId="10">
    <w:nsid w:val="FB72168B"/>
    <w:multiLevelType w:val="singleLevel"/>
    <w:tmpl w:val="FB72168B"/>
    <w:lvl w:ilvl="0" w:tentative="0">
      <w:start w:val="1"/>
      <w:numFmt w:val="decimal"/>
      <w:suff w:val="nothing"/>
      <w:lvlText w:val="%1、"/>
      <w:lvlJc w:val="left"/>
    </w:lvl>
  </w:abstractNum>
  <w:abstractNum w:abstractNumId="11">
    <w:nsid w:val="01FCD21F"/>
    <w:multiLevelType w:val="multilevel"/>
    <w:tmpl w:val="01FCD21F"/>
    <w:lvl w:ilvl="0" w:tentative="0">
      <w:start w:val="1"/>
      <w:numFmt w:val="decimal"/>
      <w:suff w:val="nothing"/>
      <w:lvlText w:val="%1、"/>
      <w:lvlJc w:val="left"/>
      <w:pPr>
        <w:ind w:left="480" w:leftChars="0" w:firstLine="0" w:firstLineChars="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12">
    <w:nsid w:val="10F0482F"/>
    <w:multiLevelType w:val="singleLevel"/>
    <w:tmpl w:val="10F0482F"/>
    <w:lvl w:ilvl="0" w:tentative="0">
      <w:start w:val="1"/>
      <w:numFmt w:val="decimal"/>
      <w:suff w:val="nothing"/>
      <w:lvlText w:val="（%1）"/>
      <w:lvlJc w:val="left"/>
    </w:lvl>
  </w:abstractNum>
  <w:abstractNum w:abstractNumId="13">
    <w:nsid w:val="119CAA7D"/>
    <w:multiLevelType w:val="singleLevel"/>
    <w:tmpl w:val="119CAA7D"/>
    <w:lvl w:ilvl="0" w:tentative="0">
      <w:start w:val="1"/>
      <w:numFmt w:val="decimal"/>
      <w:suff w:val="nothing"/>
      <w:lvlText w:val="%1、"/>
      <w:lvlJc w:val="left"/>
    </w:lvl>
  </w:abstractNum>
  <w:abstractNum w:abstractNumId="14">
    <w:nsid w:val="2F23A3EE"/>
    <w:multiLevelType w:val="singleLevel"/>
    <w:tmpl w:val="2F23A3EE"/>
    <w:lvl w:ilvl="0" w:tentative="0">
      <w:start w:val="1"/>
      <w:numFmt w:val="decimal"/>
      <w:suff w:val="nothing"/>
      <w:lvlText w:val="（%1）"/>
      <w:lvlJc w:val="left"/>
    </w:lvl>
  </w:abstractNum>
  <w:abstractNum w:abstractNumId="15">
    <w:nsid w:val="2F59CA0F"/>
    <w:multiLevelType w:val="singleLevel"/>
    <w:tmpl w:val="2F59CA0F"/>
    <w:lvl w:ilvl="0" w:tentative="0">
      <w:start w:val="1"/>
      <w:numFmt w:val="decimal"/>
      <w:suff w:val="nothing"/>
      <w:lvlText w:val="%1、"/>
      <w:lvlJc w:val="left"/>
    </w:lvl>
  </w:abstractNum>
  <w:abstractNum w:abstractNumId="16">
    <w:nsid w:val="3FF9048A"/>
    <w:multiLevelType w:val="multilevel"/>
    <w:tmpl w:val="3FF9048A"/>
    <w:lvl w:ilvl="0" w:tentative="0">
      <w:start w:val="1"/>
      <w:numFmt w:val="decimal"/>
      <w:suff w:val="nothing"/>
      <w:lvlText w:val="%1、"/>
      <w:lvlJc w:val="left"/>
      <w:pPr>
        <w:ind w:left="480" w:leftChars="0" w:firstLine="0" w:firstLineChars="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17">
    <w:nsid w:val="4734DCE6"/>
    <w:multiLevelType w:val="singleLevel"/>
    <w:tmpl w:val="4734DCE6"/>
    <w:lvl w:ilvl="0" w:tentative="0">
      <w:start w:val="1"/>
      <w:numFmt w:val="decimal"/>
      <w:lvlText w:val="%1."/>
      <w:lvlJc w:val="left"/>
      <w:pPr>
        <w:tabs>
          <w:tab w:val="left" w:pos="312"/>
        </w:tabs>
      </w:pPr>
    </w:lvl>
  </w:abstractNum>
  <w:abstractNum w:abstractNumId="18">
    <w:nsid w:val="4CCF8D76"/>
    <w:multiLevelType w:val="multilevel"/>
    <w:tmpl w:val="4CCF8D76"/>
    <w:lvl w:ilvl="0" w:tentative="0">
      <w:start w:val="1"/>
      <w:numFmt w:val="decimal"/>
      <w:suff w:val="nothing"/>
      <w:lvlText w:val="%1、"/>
      <w:lvlJc w:val="left"/>
      <w:pPr>
        <w:ind w:left="480" w:leftChars="0" w:firstLine="0" w:firstLineChars="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19">
    <w:nsid w:val="59700656"/>
    <w:multiLevelType w:val="singleLevel"/>
    <w:tmpl w:val="59700656"/>
    <w:lvl w:ilvl="0" w:tentative="0">
      <w:start w:val="1"/>
      <w:numFmt w:val="decimal"/>
      <w:suff w:val="nothing"/>
      <w:lvlText w:val="（%1）"/>
      <w:lvlJc w:val="left"/>
    </w:lvl>
  </w:abstractNum>
  <w:abstractNum w:abstractNumId="20">
    <w:nsid w:val="61845646"/>
    <w:multiLevelType w:val="singleLevel"/>
    <w:tmpl w:val="61845646"/>
    <w:lvl w:ilvl="0" w:tentative="0">
      <w:start w:val="2"/>
      <w:numFmt w:val="chineseCounting"/>
      <w:suff w:val="nothing"/>
      <w:lvlText w:val="（%1）"/>
      <w:lvlJc w:val="left"/>
      <w:rPr>
        <w:rFonts w:hint="eastAsia"/>
      </w:rPr>
    </w:lvl>
  </w:abstractNum>
  <w:abstractNum w:abstractNumId="21">
    <w:nsid w:val="6313FE0C"/>
    <w:multiLevelType w:val="singleLevel"/>
    <w:tmpl w:val="6313FE0C"/>
    <w:lvl w:ilvl="0" w:tentative="0">
      <w:start w:val="1"/>
      <w:numFmt w:val="decimal"/>
      <w:suff w:val="nothing"/>
      <w:lvlText w:val="（%1）"/>
      <w:lvlJc w:val="left"/>
    </w:lvl>
  </w:abstractNum>
  <w:abstractNum w:abstractNumId="22">
    <w:nsid w:val="64FA9BB6"/>
    <w:multiLevelType w:val="singleLevel"/>
    <w:tmpl w:val="64FA9BB6"/>
    <w:lvl w:ilvl="0" w:tentative="0">
      <w:start w:val="1"/>
      <w:numFmt w:val="decimal"/>
      <w:suff w:val="nothing"/>
      <w:lvlText w:val="（%1）"/>
      <w:lvlJc w:val="left"/>
    </w:lvl>
  </w:abstractNum>
  <w:abstractNum w:abstractNumId="23">
    <w:nsid w:val="705D32C3"/>
    <w:multiLevelType w:val="singleLevel"/>
    <w:tmpl w:val="705D32C3"/>
    <w:lvl w:ilvl="0" w:tentative="0">
      <w:start w:val="5"/>
      <w:numFmt w:val="decimal"/>
      <w:lvlText w:val="%1."/>
      <w:lvlJc w:val="left"/>
      <w:pPr>
        <w:tabs>
          <w:tab w:val="left" w:pos="312"/>
        </w:tabs>
      </w:pPr>
    </w:lvl>
  </w:abstractNum>
  <w:abstractNum w:abstractNumId="24">
    <w:nsid w:val="72738C11"/>
    <w:multiLevelType w:val="multilevel"/>
    <w:tmpl w:val="72738C11"/>
    <w:lvl w:ilvl="0" w:tentative="0">
      <w:start w:val="1"/>
      <w:numFmt w:val="decimal"/>
      <w:suff w:val="nothing"/>
      <w:lvlText w:val="%1、"/>
      <w:lvlJc w:val="left"/>
      <w:pPr>
        <w:ind w:left="480" w:leftChars="0" w:firstLine="0" w:firstLineChars="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25">
    <w:nsid w:val="739A4941"/>
    <w:multiLevelType w:val="singleLevel"/>
    <w:tmpl w:val="739A4941"/>
    <w:lvl w:ilvl="0" w:tentative="0">
      <w:start w:val="1"/>
      <w:numFmt w:val="chineseCounting"/>
      <w:suff w:val="nothing"/>
      <w:lvlText w:val="%1、"/>
      <w:lvlJc w:val="left"/>
      <w:pPr>
        <w:ind w:left="0" w:firstLine="420"/>
      </w:pPr>
      <w:rPr>
        <w:rFonts w:hint="eastAsia"/>
      </w:rPr>
    </w:lvl>
  </w:abstractNum>
  <w:abstractNum w:abstractNumId="26">
    <w:nsid w:val="7E20986C"/>
    <w:multiLevelType w:val="multilevel"/>
    <w:tmpl w:val="7E20986C"/>
    <w:lvl w:ilvl="0" w:tentative="0">
      <w:start w:val="1"/>
      <w:numFmt w:val="chineseCounting"/>
      <w:lvlText w:val="%1、"/>
      <w:lvlJc w:val="left"/>
      <w:pPr>
        <w:ind w:left="720" w:hanging="720"/>
      </w:pPr>
      <w:rPr>
        <w:rFonts w:hint="eastAsia" w:ascii="宋体" w:hAnsi="宋体" w:eastAsia="宋体" w:cs="宋体"/>
        <w:b/>
        <w:bCs/>
        <w:color w:val="auto"/>
      </w:rPr>
    </w:lvl>
    <w:lvl w:ilvl="1" w:tentative="0">
      <w:start w:val="1"/>
      <w:numFmt w:val="chineseCounting"/>
      <w:lvlText w:val="（%2)"/>
      <w:lvlJc w:val="left"/>
      <w:pPr>
        <w:ind w:left="840" w:hanging="420"/>
      </w:pPr>
      <w:rPr>
        <w:rFonts w:hint="eastAsia" w:ascii="宋体" w:hAnsi="宋体" w:eastAsia="宋体" w:cs="宋体"/>
      </w:rPr>
    </w:lvl>
    <w:lvl w:ilvl="2" w:tentative="0">
      <w:start w:val="1"/>
      <w:numFmt w:val="decimal"/>
      <w:lvlText w:val="%3、"/>
      <w:lvlJc w:val="right"/>
      <w:pPr>
        <w:ind w:left="1260" w:hanging="420"/>
      </w:pPr>
      <w:rPr>
        <w:rFonts w:hint="eastAsia" w:ascii="宋体" w:hAnsi="宋体" w:eastAsia="宋体" w:cs="宋体"/>
      </w:rPr>
    </w:lvl>
    <w:lvl w:ilvl="3" w:tentative="0">
      <w:start w:val="1"/>
      <w:numFmt w:val="decimal"/>
      <w:lvlText w:val="（%4）"/>
      <w:lvlJc w:val="left"/>
      <w:pPr>
        <w:ind w:left="1680" w:hanging="420"/>
      </w:pPr>
      <w:rPr>
        <w:rFonts w:hint="eastAsia"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23"/>
  </w:num>
  <w:num w:numId="3">
    <w:abstractNumId w:val="17"/>
  </w:num>
  <w:num w:numId="4">
    <w:abstractNumId w:val="22"/>
  </w:num>
  <w:num w:numId="5">
    <w:abstractNumId w:val="7"/>
  </w:num>
  <w:num w:numId="6">
    <w:abstractNumId w:val="26"/>
  </w:num>
  <w:num w:numId="7">
    <w:abstractNumId w:val="18"/>
  </w:num>
  <w:num w:numId="8">
    <w:abstractNumId w:val="11"/>
  </w:num>
  <w:num w:numId="9">
    <w:abstractNumId w:val="1"/>
  </w:num>
  <w:num w:numId="10">
    <w:abstractNumId w:val="3"/>
  </w:num>
  <w:num w:numId="11">
    <w:abstractNumId w:val="16"/>
  </w:num>
  <w:num w:numId="12">
    <w:abstractNumId w:val="24"/>
  </w:num>
  <w:num w:numId="13">
    <w:abstractNumId w:val="10"/>
  </w:num>
  <w:num w:numId="14">
    <w:abstractNumId w:val="13"/>
  </w:num>
  <w:num w:numId="15">
    <w:abstractNumId w:val="0"/>
  </w:num>
  <w:num w:numId="16">
    <w:abstractNumId w:val="15"/>
  </w:num>
  <w:num w:numId="17">
    <w:abstractNumId w:val="20"/>
  </w:num>
  <w:num w:numId="18">
    <w:abstractNumId w:val="25"/>
  </w:num>
  <w:num w:numId="19">
    <w:abstractNumId w:val="2"/>
  </w:num>
  <w:num w:numId="20">
    <w:abstractNumId w:val="21"/>
  </w:num>
  <w:num w:numId="21">
    <w:abstractNumId w:val="19"/>
  </w:num>
  <w:num w:numId="22">
    <w:abstractNumId w:val="12"/>
  </w:num>
  <w:num w:numId="23">
    <w:abstractNumId w:val="5"/>
  </w:num>
  <w:num w:numId="24">
    <w:abstractNumId w:val="14"/>
  </w:num>
  <w:num w:numId="25">
    <w:abstractNumId w:val="8"/>
  </w:num>
  <w:num w:numId="26">
    <w:abstractNumId w:val="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3D60BA"/>
    <w:rsid w:val="00411689"/>
    <w:rsid w:val="005D618A"/>
    <w:rsid w:val="00781E2B"/>
    <w:rsid w:val="00911ECD"/>
    <w:rsid w:val="00A042E0"/>
    <w:rsid w:val="00B26BB1"/>
    <w:rsid w:val="00B26E21"/>
    <w:rsid w:val="00F83B64"/>
    <w:rsid w:val="013E3461"/>
    <w:rsid w:val="01B10E8E"/>
    <w:rsid w:val="02090C75"/>
    <w:rsid w:val="02A23A3C"/>
    <w:rsid w:val="02E5725D"/>
    <w:rsid w:val="03266483"/>
    <w:rsid w:val="035D130A"/>
    <w:rsid w:val="039110A9"/>
    <w:rsid w:val="03AC246A"/>
    <w:rsid w:val="03B23056"/>
    <w:rsid w:val="03DC3EBA"/>
    <w:rsid w:val="03F9794D"/>
    <w:rsid w:val="046A2461"/>
    <w:rsid w:val="0517294F"/>
    <w:rsid w:val="051C2970"/>
    <w:rsid w:val="059B5791"/>
    <w:rsid w:val="05DB5311"/>
    <w:rsid w:val="05E8504E"/>
    <w:rsid w:val="060C3611"/>
    <w:rsid w:val="06C64829"/>
    <w:rsid w:val="06CA2374"/>
    <w:rsid w:val="070E7B6E"/>
    <w:rsid w:val="077D16D2"/>
    <w:rsid w:val="078F31C8"/>
    <w:rsid w:val="082A69F3"/>
    <w:rsid w:val="08675FC8"/>
    <w:rsid w:val="09A84B40"/>
    <w:rsid w:val="09B713FD"/>
    <w:rsid w:val="09EF6ACC"/>
    <w:rsid w:val="0A315056"/>
    <w:rsid w:val="0A95009B"/>
    <w:rsid w:val="0AA213B4"/>
    <w:rsid w:val="0AF61C7E"/>
    <w:rsid w:val="0AFB45AD"/>
    <w:rsid w:val="0B351E9B"/>
    <w:rsid w:val="0B4C50D3"/>
    <w:rsid w:val="0B806B92"/>
    <w:rsid w:val="0B827E94"/>
    <w:rsid w:val="0B842F76"/>
    <w:rsid w:val="0BD070E1"/>
    <w:rsid w:val="0C247926"/>
    <w:rsid w:val="0D794204"/>
    <w:rsid w:val="0E2125D1"/>
    <w:rsid w:val="0E214211"/>
    <w:rsid w:val="0E5F2769"/>
    <w:rsid w:val="0F4D75A3"/>
    <w:rsid w:val="0F5B2DCA"/>
    <w:rsid w:val="0FED051E"/>
    <w:rsid w:val="0FEE4C29"/>
    <w:rsid w:val="0FF811FA"/>
    <w:rsid w:val="10031608"/>
    <w:rsid w:val="10046082"/>
    <w:rsid w:val="104974DD"/>
    <w:rsid w:val="111703D2"/>
    <w:rsid w:val="112B101A"/>
    <w:rsid w:val="119B53FC"/>
    <w:rsid w:val="1215733B"/>
    <w:rsid w:val="12424CDC"/>
    <w:rsid w:val="129A2738"/>
    <w:rsid w:val="12B56BF1"/>
    <w:rsid w:val="12CB1A89"/>
    <w:rsid w:val="12E52961"/>
    <w:rsid w:val="131840FB"/>
    <w:rsid w:val="13467417"/>
    <w:rsid w:val="136E76CF"/>
    <w:rsid w:val="145F08C6"/>
    <w:rsid w:val="15776308"/>
    <w:rsid w:val="15BC6B3C"/>
    <w:rsid w:val="16360A7B"/>
    <w:rsid w:val="164D40B0"/>
    <w:rsid w:val="16810F7B"/>
    <w:rsid w:val="1694429A"/>
    <w:rsid w:val="175E59B4"/>
    <w:rsid w:val="17635326"/>
    <w:rsid w:val="17B803EA"/>
    <w:rsid w:val="1815096B"/>
    <w:rsid w:val="18236EFD"/>
    <w:rsid w:val="189D5B1F"/>
    <w:rsid w:val="18A34CD0"/>
    <w:rsid w:val="19A53EA8"/>
    <w:rsid w:val="19B64DBC"/>
    <w:rsid w:val="19C2650F"/>
    <w:rsid w:val="19EC6A4A"/>
    <w:rsid w:val="1A1E5348"/>
    <w:rsid w:val="1A373ACF"/>
    <w:rsid w:val="1A6607D7"/>
    <w:rsid w:val="1A895341"/>
    <w:rsid w:val="1B0D071F"/>
    <w:rsid w:val="1B4568CE"/>
    <w:rsid w:val="1B9015B7"/>
    <w:rsid w:val="1B950DA6"/>
    <w:rsid w:val="1BF54245"/>
    <w:rsid w:val="1C4E2958"/>
    <w:rsid w:val="1CA42FF7"/>
    <w:rsid w:val="1D0E6976"/>
    <w:rsid w:val="1D5A79EE"/>
    <w:rsid w:val="1E0E2CD0"/>
    <w:rsid w:val="1E132458"/>
    <w:rsid w:val="1E3A5EB2"/>
    <w:rsid w:val="1E6E0EED"/>
    <w:rsid w:val="1E831280"/>
    <w:rsid w:val="1EB83620"/>
    <w:rsid w:val="1EBC4704"/>
    <w:rsid w:val="1F172EB5"/>
    <w:rsid w:val="1F94592D"/>
    <w:rsid w:val="1FB860DE"/>
    <w:rsid w:val="203C5A02"/>
    <w:rsid w:val="209D4C94"/>
    <w:rsid w:val="20E84705"/>
    <w:rsid w:val="218400BA"/>
    <w:rsid w:val="21880F1C"/>
    <w:rsid w:val="21A8797C"/>
    <w:rsid w:val="21AB1E2F"/>
    <w:rsid w:val="21C9103C"/>
    <w:rsid w:val="21D40498"/>
    <w:rsid w:val="22767047"/>
    <w:rsid w:val="229323DA"/>
    <w:rsid w:val="22F64717"/>
    <w:rsid w:val="23A05588"/>
    <w:rsid w:val="240476A1"/>
    <w:rsid w:val="24E279BE"/>
    <w:rsid w:val="25431AEB"/>
    <w:rsid w:val="25BE3BFB"/>
    <w:rsid w:val="25BF43FD"/>
    <w:rsid w:val="25F86BCD"/>
    <w:rsid w:val="2605748B"/>
    <w:rsid w:val="264544A6"/>
    <w:rsid w:val="269E416A"/>
    <w:rsid w:val="26C11C6B"/>
    <w:rsid w:val="272100D3"/>
    <w:rsid w:val="272C72FC"/>
    <w:rsid w:val="275131CB"/>
    <w:rsid w:val="27EB149D"/>
    <w:rsid w:val="27F93F1F"/>
    <w:rsid w:val="27FD3E52"/>
    <w:rsid w:val="28E11370"/>
    <w:rsid w:val="294A756A"/>
    <w:rsid w:val="29781BF8"/>
    <w:rsid w:val="29C33ED0"/>
    <w:rsid w:val="29D5322D"/>
    <w:rsid w:val="2A025DD9"/>
    <w:rsid w:val="2A2619CB"/>
    <w:rsid w:val="2A7C2231"/>
    <w:rsid w:val="2ABB753D"/>
    <w:rsid w:val="2AE1155E"/>
    <w:rsid w:val="2AFE6EC4"/>
    <w:rsid w:val="2B7A49FA"/>
    <w:rsid w:val="2C22422B"/>
    <w:rsid w:val="2C615D26"/>
    <w:rsid w:val="2C862573"/>
    <w:rsid w:val="2CB679ED"/>
    <w:rsid w:val="2CF06EA7"/>
    <w:rsid w:val="2D173C07"/>
    <w:rsid w:val="2D424A86"/>
    <w:rsid w:val="2DDA66B7"/>
    <w:rsid w:val="2E7B52DB"/>
    <w:rsid w:val="2ED60115"/>
    <w:rsid w:val="2F1A7BB5"/>
    <w:rsid w:val="2F324CFE"/>
    <w:rsid w:val="2FBA09F1"/>
    <w:rsid w:val="2FEF2ACF"/>
    <w:rsid w:val="3005212B"/>
    <w:rsid w:val="30507C57"/>
    <w:rsid w:val="30540211"/>
    <w:rsid w:val="30AF18A8"/>
    <w:rsid w:val="31112A0D"/>
    <w:rsid w:val="311F4B20"/>
    <w:rsid w:val="312B1A2F"/>
    <w:rsid w:val="312D7741"/>
    <w:rsid w:val="316F137F"/>
    <w:rsid w:val="31921B83"/>
    <w:rsid w:val="31DF525F"/>
    <w:rsid w:val="31EC162B"/>
    <w:rsid w:val="32324C2E"/>
    <w:rsid w:val="327171DF"/>
    <w:rsid w:val="335214F5"/>
    <w:rsid w:val="341E3434"/>
    <w:rsid w:val="34750480"/>
    <w:rsid w:val="34BB4442"/>
    <w:rsid w:val="35406FCC"/>
    <w:rsid w:val="360B7EBA"/>
    <w:rsid w:val="36416867"/>
    <w:rsid w:val="369C32FD"/>
    <w:rsid w:val="36E45A71"/>
    <w:rsid w:val="37666E72"/>
    <w:rsid w:val="38081EA3"/>
    <w:rsid w:val="38167A04"/>
    <w:rsid w:val="381C3783"/>
    <w:rsid w:val="38A50319"/>
    <w:rsid w:val="394B167A"/>
    <w:rsid w:val="39533508"/>
    <w:rsid w:val="39DA2868"/>
    <w:rsid w:val="3A055F4B"/>
    <w:rsid w:val="3A4E4336"/>
    <w:rsid w:val="3A6007FE"/>
    <w:rsid w:val="3AA06FEA"/>
    <w:rsid w:val="3AF93D6C"/>
    <w:rsid w:val="3B700E50"/>
    <w:rsid w:val="3B7C2CE4"/>
    <w:rsid w:val="3BAF716B"/>
    <w:rsid w:val="3C0B5355"/>
    <w:rsid w:val="3C6568F8"/>
    <w:rsid w:val="3CD4176B"/>
    <w:rsid w:val="3D1F44D9"/>
    <w:rsid w:val="3D434194"/>
    <w:rsid w:val="3D4E68CF"/>
    <w:rsid w:val="3D5C38CD"/>
    <w:rsid w:val="3E5070F1"/>
    <w:rsid w:val="3EC370CB"/>
    <w:rsid w:val="3F6C3589"/>
    <w:rsid w:val="3F850180"/>
    <w:rsid w:val="3F9004D6"/>
    <w:rsid w:val="3FB6739D"/>
    <w:rsid w:val="3FD1054C"/>
    <w:rsid w:val="400E4D5E"/>
    <w:rsid w:val="40E1138C"/>
    <w:rsid w:val="413814BA"/>
    <w:rsid w:val="41872511"/>
    <w:rsid w:val="41DF1251"/>
    <w:rsid w:val="42267E42"/>
    <w:rsid w:val="424236D9"/>
    <w:rsid w:val="42466655"/>
    <w:rsid w:val="42585198"/>
    <w:rsid w:val="429C278D"/>
    <w:rsid w:val="42C82F57"/>
    <w:rsid w:val="435707E5"/>
    <w:rsid w:val="43C76AF7"/>
    <w:rsid w:val="43E97E4A"/>
    <w:rsid w:val="44194806"/>
    <w:rsid w:val="446828F0"/>
    <w:rsid w:val="45093E85"/>
    <w:rsid w:val="452E7F21"/>
    <w:rsid w:val="45C13B4D"/>
    <w:rsid w:val="46054BCA"/>
    <w:rsid w:val="464C6AFC"/>
    <w:rsid w:val="468B0091"/>
    <w:rsid w:val="46A107C3"/>
    <w:rsid w:val="46B15CE2"/>
    <w:rsid w:val="46BE113D"/>
    <w:rsid w:val="46E44B13"/>
    <w:rsid w:val="4703508A"/>
    <w:rsid w:val="475023F8"/>
    <w:rsid w:val="479D361E"/>
    <w:rsid w:val="47B74789"/>
    <w:rsid w:val="480F2B9D"/>
    <w:rsid w:val="48282920"/>
    <w:rsid w:val="485321E0"/>
    <w:rsid w:val="48546AD3"/>
    <w:rsid w:val="48A4418B"/>
    <w:rsid w:val="48C730CC"/>
    <w:rsid w:val="48CA4868"/>
    <w:rsid w:val="48F005D3"/>
    <w:rsid w:val="49221A3F"/>
    <w:rsid w:val="49547ADD"/>
    <w:rsid w:val="49732351"/>
    <w:rsid w:val="498F4AF1"/>
    <w:rsid w:val="49C05787"/>
    <w:rsid w:val="49CF518D"/>
    <w:rsid w:val="4A8E3BC6"/>
    <w:rsid w:val="4ADA1F63"/>
    <w:rsid w:val="4AE23D89"/>
    <w:rsid w:val="4B0610EB"/>
    <w:rsid w:val="4B2038D0"/>
    <w:rsid w:val="4B296E7D"/>
    <w:rsid w:val="4B79394E"/>
    <w:rsid w:val="4B7C76A6"/>
    <w:rsid w:val="4B877F28"/>
    <w:rsid w:val="4C0118B3"/>
    <w:rsid w:val="4D916BA6"/>
    <w:rsid w:val="4DC44169"/>
    <w:rsid w:val="4DE24E21"/>
    <w:rsid w:val="4DF74426"/>
    <w:rsid w:val="4E1B19A3"/>
    <w:rsid w:val="4E48787F"/>
    <w:rsid w:val="4EF0709E"/>
    <w:rsid w:val="4F0469A4"/>
    <w:rsid w:val="4FF77255"/>
    <w:rsid w:val="50540C73"/>
    <w:rsid w:val="50C66809"/>
    <w:rsid w:val="513C6A7B"/>
    <w:rsid w:val="51B4471F"/>
    <w:rsid w:val="521B1C6E"/>
    <w:rsid w:val="53075694"/>
    <w:rsid w:val="532D486F"/>
    <w:rsid w:val="5333545B"/>
    <w:rsid w:val="538D0E89"/>
    <w:rsid w:val="53904056"/>
    <w:rsid w:val="5450213C"/>
    <w:rsid w:val="54D24048"/>
    <w:rsid w:val="54D64CD5"/>
    <w:rsid w:val="55887D69"/>
    <w:rsid w:val="55F710D8"/>
    <w:rsid w:val="561A0928"/>
    <w:rsid w:val="56411346"/>
    <w:rsid w:val="56423872"/>
    <w:rsid w:val="56425619"/>
    <w:rsid w:val="569E06BC"/>
    <w:rsid w:val="56B279F0"/>
    <w:rsid w:val="56CE27B7"/>
    <w:rsid w:val="56E63FF6"/>
    <w:rsid w:val="56F20F86"/>
    <w:rsid w:val="579D710E"/>
    <w:rsid w:val="57B9669E"/>
    <w:rsid w:val="581F22F6"/>
    <w:rsid w:val="5852097E"/>
    <w:rsid w:val="586E1E17"/>
    <w:rsid w:val="58862C35"/>
    <w:rsid w:val="58C14957"/>
    <w:rsid w:val="58CC23D2"/>
    <w:rsid w:val="58E66050"/>
    <w:rsid w:val="590E7419"/>
    <w:rsid w:val="5AE83A50"/>
    <w:rsid w:val="5B353193"/>
    <w:rsid w:val="5BAB2917"/>
    <w:rsid w:val="5BFC33FA"/>
    <w:rsid w:val="5C3107A4"/>
    <w:rsid w:val="5C3B1B93"/>
    <w:rsid w:val="5C81182E"/>
    <w:rsid w:val="5C9220DF"/>
    <w:rsid w:val="5CA54B0C"/>
    <w:rsid w:val="5CFC20DC"/>
    <w:rsid w:val="5D27718B"/>
    <w:rsid w:val="5D4A15F3"/>
    <w:rsid w:val="5D69542A"/>
    <w:rsid w:val="5D783B72"/>
    <w:rsid w:val="5E0930EF"/>
    <w:rsid w:val="5E3D4D53"/>
    <w:rsid w:val="5E4717E6"/>
    <w:rsid w:val="5E55774C"/>
    <w:rsid w:val="5E8A70FF"/>
    <w:rsid w:val="5E9E133B"/>
    <w:rsid w:val="5FE939FF"/>
    <w:rsid w:val="60045F96"/>
    <w:rsid w:val="60104DDC"/>
    <w:rsid w:val="604376AF"/>
    <w:rsid w:val="605C0804"/>
    <w:rsid w:val="60AB6421"/>
    <w:rsid w:val="616E30EF"/>
    <w:rsid w:val="6189617B"/>
    <w:rsid w:val="61A7250C"/>
    <w:rsid w:val="61B52BB6"/>
    <w:rsid w:val="61B749C2"/>
    <w:rsid w:val="62280D20"/>
    <w:rsid w:val="62CA2457"/>
    <w:rsid w:val="638240A1"/>
    <w:rsid w:val="63833423"/>
    <w:rsid w:val="63A5257B"/>
    <w:rsid w:val="63BD3DCC"/>
    <w:rsid w:val="63C61741"/>
    <w:rsid w:val="63C67B5B"/>
    <w:rsid w:val="64560967"/>
    <w:rsid w:val="656B1D10"/>
    <w:rsid w:val="65B841F9"/>
    <w:rsid w:val="66022B28"/>
    <w:rsid w:val="664A38E2"/>
    <w:rsid w:val="66581E87"/>
    <w:rsid w:val="66960509"/>
    <w:rsid w:val="66FA11D5"/>
    <w:rsid w:val="674302C7"/>
    <w:rsid w:val="67722811"/>
    <w:rsid w:val="680A5986"/>
    <w:rsid w:val="680D5F4B"/>
    <w:rsid w:val="68113F51"/>
    <w:rsid w:val="686066B7"/>
    <w:rsid w:val="68621EB4"/>
    <w:rsid w:val="68E94770"/>
    <w:rsid w:val="68F949C9"/>
    <w:rsid w:val="695A4290"/>
    <w:rsid w:val="6A334932"/>
    <w:rsid w:val="6A3353FF"/>
    <w:rsid w:val="6A5D63E6"/>
    <w:rsid w:val="6A5F24D1"/>
    <w:rsid w:val="6ABA2F89"/>
    <w:rsid w:val="6ACA70C4"/>
    <w:rsid w:val="6AE347EB"/>
    <w:rsid w:val="6B330365"/>
    <w:rsid w:val="6B434AF0"/>
    <w:rsid w:val="6B57675A"/>
    <w:rsid w:val="6B87098A"/>
    <w:rsid w:val="6BDD7B4D"/>
    <w:rsid w:val="6C766D7B"/>
    <w:rsid w:val="6DD91B58"/>
    <w:rsid w:val="6EBC0B3A"/>
    <w:rsid w:val="6EF51C7D"/>
    <w:rsid w:val="6F8363E5"/>
    <w:rsid w:val="6FA80CCD"/>
    <w:rsid w:val="6FAC3CC5"/>
    <w:rsid w:val="6FC746F5"/>
    <w:rsid w:val="70317AC6"/>
    <w:rsid w:val="704B26F7"/>
    <w:rsid w:val="70697B21"/>
    <w:rsid w:val="70863262"/>
    <w:rsid w:val="70A76ED3"/>
    <w:rsid w:val="71860B17"/>
    <w:rsid w:val="723B27CC"/>
    <w:rsid w:val="72687227"/>
    <w:rsid w:val="729F49FC"/>
    <w:rsid w:val="72A03FD9"/>
    <w:rsid w:val="73406CFF"/>
    <w:rsid w:val="7383028C"/>
    <w:rsid w:val="73A25E44"/>
    <w:rsid w:val="741F68CF"/>
    <w:rsid w:val="75252DF3"/>
    <w:rsid w:val="75621536"/>
    <w:rsid w:val="75B77EEF"/>
    <w:rsid w:val="75BF3154"/>
    <w:rsid w:val="764A07CF"/>
    <w:rsid w:val="764F6B3D"/>
    <w:rsid w:val="76CD2B7B"/>
    <w:rsid w:val="76D80645"/>
    <w:rsid w:val="76DD4B47"/>
    <w:rsid w:val="76E03371"/>
    <w:rsid w:val="77BE2069"/>
    <w:rsid w:val="780E5898"/>
    <w:rsid w:val="782642CC"/>
    <w:rsid w:val="7894095E"/>
    <w:rsid w:val="78964555"/>
    <w:rsid w:val="78CF4963"/>
    <w:rsid w:val="79000679"/>
    <w:rsid w:val="791C0FE5"/>
    <w:rsid w:val="79A416F0"/>
    <w:rsid w:val="79B03EB6"/>
    <w:rsid w:val="79B052F4"/>
    <w:rsid w:val="7AA915F8"/>
    <w:rsid w:val="7AE15A5C"/>
    <w:rsid w:val="7AF0272D"/>
    <w:rsid w:val="7AF37579"/>
    <w:rsid w:val="7AF87F64"/>
    <w:rsid w:val="7B1C0C84"/>
    <w:rsid w:val="7B5A62DF"/>
    <w:rsid w:val="7B7A04A8"/>
    <w:rsid w:val="7C0C3F6D"/>
    <w:rsid w:val="7C22163C"/>
    <w:rsid w:val="7C457B4B"/>
    <w:rsid w:val="7C595075"/>
    <w:rsid w:val="7C6B07B2"/>
    <w:rsid w:val="7D133243"/>
    <w:rsid w:val="7D945420"/>
    <w:rsid w:val="7E394207"/>
    <w:rsid w:val="7E4007A2"/>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1"/>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6"/>
    <w:semiHidden/>
    <w:unhideWhenUsed/>
    <w:qFormat/>
    <w:uiPriority w:val="99"/>
    <w:rPr>
      <w:sz w:val="18"/>
      <w:szCs w:val="18"/>
    </w:rPr>
  </w:style>
  <w:style w:type="paragraph" w:styleId="18">
    <w:name w:val="footer"/>
    <w:basedOn w:val="1"/>
    <w:link w:val="30"/>
    <w:unhideWhenUsed/>
    <w:qFormat/>
    <w:uiPriority w:val="99"/>
    <w:pPr>
      <w:tabs>
        <w:tab w:val="center" w:pos="4153"/>
        <w:tab w:val="right" w:pos="8306"/>
      </w:tabs>
      <w:snapToGrid w:val="0"/>
      <w:jc w:val="left"/>
    </w:pPr>
    <w:rPr>
      <w:sz w:val="18"/>
      <w:szCs w:val="18"/>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8"/>
    <w:qFormat/>
    <w:uiPriority w:val="99"/>
    <w:rPr>
      <w:sz w:val="18"/>
      <w:szCs w:val="18"/>
    </w:rPr>
  </w:style>
  <w:style w:type="character" w:customStyle="1" w:styleId="31">
    <w:name w:val="标题 1 Char"/>
    <w:basedOn w:val="26"/>
    <w:link w:val="2"/>
    <w:qFormat/>
    <w:uiPriority w:val="9"/>
    <w:rPr>
      <w:rFonts w:eastAsia="方正小标宋简体"/>
      <w:bCs/>
      <w:kern w:val="44"/>
      <w:sz w:val="44"/>
      <w:szCs w:val="44"/>
    </w:rPr>
  </w:style>
  <w:style w:type="character" w:customStyle="1" w:styleId="32">
    <w:name w:val="标题 2 Char"/>
    <w:basedOn w:val="26"/>
    <w:link w:val="3"/>
    <w:qFormat/>
    <w:uiPriority w:val="9"/>
    <w:rPr>
      <w:rFonts w:eastAsia="方正小标宋简体" w:asciiTheme="majorHAnsi" w:hAnsiTheme="majorHAnsi" w:cstheme="majorBidi"/>
      <w:bCs/>
      <w:sz w:val="36"/>
      <w:szCs w:val="32"/>
    </w:rPr>
  </w:style>
  <w:style w:type="character" w:customStyle="1" w:styleId="33">
    <w:name w:val="标题 3 Char"/>
    <w:basedOn w:val="26"/>
    <w:link w:val="4"/>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7"/>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7"/>
    <w:qFormat/>
    <w:uiPriority w:val="99"/>
    <w:rPr>
      <w:sz w:val="16"/>
      <w:szCs w:val="16"/>
    </w:rPr>
  </w:style>
  <w:style w:type="character" w:customStyle="1" w:styleId="41">
    <w:name w:val="正文文本 3 Char1"/>
    <w:basedOn w:val="26"/>
    <w:link w:val="7"/>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paragraph" w:customStyle="1" w:styleId="47">
    <w:name w:val="BodyText"/>
    <w:basedOn w:val="1"/>
    <w:next w:val="48"/>
    <w:qFormat/>
    <w:uiPriority w:val="0"/>
    <w:pPr>
      <w:jc w:val="both"/>
      <w:textAlignment w:val="baseline"/>
    </w:pPr>
    <w:rPr>
      <w:rFonts w:ascii="Times New Roman" w:hAnsi="Times New Roman" w:eastAsia="宋体"/>
      <w:kern w:val="2"/>
      <w:sz w:val="28"/>
      <w:lang w:val="en-US" w:eastAsia="zh-CN" w:bidi="ar-SA"/>
    </w:rPr>
  </w:style>
  <w:style w:type="paragraph" w:customStyle="1" w:styleId="48">
    <w:name w:val="BodyText2"/>
    <w:basedOn w:val="1"/>
    <w:qFormat/>
    <w:uiPriority w:val="0"/>
    <w:pPr>
      <w:spacing w:after="120" w:line="480" w:lineRule="auto"/>
      <w:jc w:val="both"/>
      <w:textAlignment w:val="baseline"/>
    </w:p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41"/>
    <w:basedOn w:val="2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169</Pages>
  <Words>44411</Words>
  <Characters>49052</Characters>
  <Lines>300</Lines>
  <Paragraphs>84</Paragraphs>
  <TotalTime>3</TotalTime>
  <ScaleCrop>false</ScaleCrop>
  <LinksUpToDate>false</LinksUpToDate>
  <CharactersWithSpaces>52167</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2023-10-26T02:13:00Z</cp:lastPrinted>
  <dcterms:modified xsi:type="dcterms:W3CDTF">2023-12-13T08:14:11Z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380036FA8D4B499CB7BA58AD781BF078_13</vt:lpwstr>
  </property>
</Properties>
</file>