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rPr>
          <w:highlight w:val="none"/>
        </w:rPr>
      </w:pPr>
    </w:p>
    <w:p>
      <w:pPr>
        <w:spacing w:line="360" w:lineRule="auto"/>
        <w:jc w:val="center"/>
        <w:rPr>
          <w:rFonts w:hint="eastAsia" w:ascii="方正小标宋简体" w:hAnsi="方正小标宋简体" w:eastAsia="方正小标宋简体" w:cs="方正小标宋简体"/>
          <w:b/>
          <w:bCs/>
          <w:sz w:val="48"/>
          <w:szCs w:val="48"/>
          <w:highlight w:val="none"/>
        </w:rPr>
      </w:pPr>
      <w:bookmarkStart w:id="149" w:name="_GoBack"/>
      <w:bookmarkEnd w:id="149"/>
      <w:r>
        <w:rPr>
          <w:rFonts w:hint="eastAsia" w:ascii="方正小标宋简体" w:hAnsi="方正小标宋简体" w:eastAsia="方正小标宋简体" w:cs="方正小标宋简体"/>
          <w:b/>
          <w:bCs/>
          <w:sz w:val="48"/>
          <w:szCs w:val="48"/>
          <w:highlight w:val="none"/>
        </w:rPr>
        <w:t>广州市净水有限公司202</w:t>
      </w:r>
      <w:r>
        <w:rPr>
          <w:rFonts w:hint="eastAsia" w:ascii="方正小标宋简体" w:hAnsi="方正小标宋简体" w:eastAsia="方正小标宋简体" w:cs="方正小标宋简体"/>
          <w:b/>
          <w:bCs/>
          <w:sz w:val="48"/>
          <w:szCs w:val="48"/>
          <w:highlight w:val="none"/>
          <w:lang w:val="en-US" w:eastAsia="zh-CN"/>
        </w:rPr>
        <w:t>3</w:t>
      </w:r>
      <w:r>
        <w:rPr>
          <w:rFonts w:hint="eastAsia" w:ascii="方正小标宋简体" w:hAnsi="方正小标宋简体" w:eastAsia="方正小标宋简体" w:cs="方正小标宋简体"/>
          <w:b/>
          <w:bCs/>
          <w:sz w:val="48"/>
          <w:szCs w:val="48"/>
          <w:highlight w:val="none"/>
        </w:rPr>
        <w:t>-202</w:t>
      </w:r>
      <w:r>
        <w:rPr>
          <w:rFonts w:hint="eastAsia" w:ascii="方正小标宋简体" w:hAnsi="方正小标宋简体" w:eastAsia="方正小标宋简体" w:cs="方正小标宋简体"/>
          <w:b/>
          <w:bCs/>
          <w:sz w:val="48"/>
          <w:szCs w:val="48"/>
          <w:highlight w:val="none"/>
          <w:lang w:val="en-US" w:eastAsia="zh-CN"/>
        </w:rPr>
        <w:t>5</w:t>
      </w:r>
      <w:r>
        <w:rPr>
          <w:rFonts w:hint="eastAsia" w:ascii="方正小标宋简体" w:hAnsi="方正小标宋简体" w:eastAsia="方正小标宋简体" w:cs="方正小标宋简体"/>
          <w:b/>
          <w:bCs/>
          <w:sz w:val="48"/>
          <w:szCs w:val="48"/>
          <w:highlight w:val="none"/>
        </w:rPr>
        <w:t>年度</w:t>
      </w:r>
    </w:p>
    <w:p>
      <w:pPr>
        <w:spacing w:line="360" w:lineRule="auto"/>
        <w:jc w:val="center"/>
        <w:rPr>
          <w:rFonts w:hint="eastAsia" w:ascii="方正小标宋简体" w:hAnsi="方正小标宋简体" w:eastAsia="方正小标宋简体" w:cs="方正小标宋简体"/>
          <w:b/>
          <w:bCs/>
          <w:sz w:val="48"/>
          <w:szCs w:val="48"/>
          <w:highlight w:val="none"/>
        </w:rPr>
      </w:pPr>
      <w:r>
        <w:rPr>
          <w:rFonts w:hint="eastAsia" w:ascii="方正小标宋简体" w:hAnsi="方正小标宋简体" w:eastAsia="方正小标宋简体" w:cs="方正小标宋简体"/>
          <w:b/>
          <w:bCs/>
          <w:sz w:val="48"/>
          <w:szCs w:val="48"/>
          <w:highlight w:val="none"/>
        </w:rPr>
        <w:t>净水智慧运营管理平台运维服务项目</w:t>
      </w:r>
    </w:p>
    <w:p>
      <w:pPr>
        <w:spacing w:line="360" w:lineRule="auto"/>
        <w:jc w:val="center"/>
        <w:rPr>
          <w:rFonts w:hint="eastAsia" w:ascii="方正小标宋简体" w:hAnsi="方正小标宋简体" w:eastAsia="方正小标宋简体" w:cs="方正小标宋简体"/>
          <w:b/>
          <w:bCs/>
          <w:sz w:val="48"/>
          <w:szCs w:val="48"/>
          <w:highlight w:val="none"/>
          <w:lang w:eastAsia="zh-CN"/>
        </w:rPr>
      </w:pPr>
      <w:r>
        <w:rPr>
          <w:rFonts w:hint="eastAsia" w:ascii="方正小标宋简体" w:hAnsi="方正小标宋简体" w:eastAsia="方正小标宋简体" w:cs="方正小标宋简体"/>
          <w:b/>
          <w:bCs/>
          <w:sz w:val="48"/>
          <w:szCs w:val="48"/>
          <w:highlight w:val="none"/>
          <w:lang w:eastAsia="zh-CN"/>
        </w:rPr>
        <w:t>（</w:t>
      </w:r>
      <w:r>
        <w:rPr>
          <w:rFonts w:hint="eastAsia" w:ascii="方正小标宋简体" w:hAnsi="方正小标宋简体" w:eastAsia="方正小标宋简体" w:cs="方正小标宋简体"/>
          <w:b/>
          <w:bCs/>
          <w:sz w:val="48"/>
          <w:szCs w:val="48"/>
          <w:highlight w:val="none"/>
          <w:lang w:val="en-US" w:eastAsia="zh-CN"/>
        </w:rPr>
        <w:t>第二次</w:t>
      </w:r>
      <w:r>
        <w:rPr>
          <w:rFonts w:hint="eastAsia" w:ascii="方正小标宋简体" w:hAnsi="方正小标宋简体" w:eastAsia="方正小标宋简体" w:cs="方正小标宋简体"/>
          <w:b/>
          <w:bCs/>
          <w:sz w:val="48"/>
          <w:szCs w:val="48"/>
          <w:highlight w:val="none"/>
          <w:lang w:eastAsia="zh-CN"/>
        </w:rPr>
        <w:t>）</w:t>
      </w:r>
    </w:p>
    <w:p>
      <w:pPr>
        <w:pStyle w:val="2"/>
        <w:rPr>
          <w:rFonts w:hint="eastAsia" w:ascii="方正小标宋简体" w:hAnsi="方正小标宋简体" w:eastAsia="方正小标宋简体" w:cs="方正小标宋简体"/>
          <w:sz w:val="48"/>
          <w:szCs w:val="48"/>
          <w:highlight w:val="none"/>
        </w:rPr>
      </w:pPr>
    </w:p>
    <w:p>
      <w:pPr>
        <w:jc w:val="center"/>
        <w:rPr>
          <w:rFonts w:hint="eastAsia" w:ascii="方正小标宋简体" w:hAnsi="方正小标宋简体" w:eastAsia="方正小标宋简体" w:cs="方正小标宋简体"/>
          <w:sz w:val="48"/>
          <w:szCs w:val="48"/>
          <w:highlight w:val="none"/>
        </w:rPr>
      </w:pPr>
      <w:r>
        <w:rPr>
          <w:rFonts w:hint="eastAsia" w:ascii="方正小标宋简体" w:hAnsi="方正小标宋简体" w:eastAsia="方正小标宋简体" w:cs="方正小标宋简体"/>
          <w:b/>
          <w:bCs/>
          <w:sz w:val="48"/>
          <w:szCs w:val="48"/>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both"/>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w:t>
      </w:r>
      <w:r>
        <w:rPr>
          <w:rFonts w:hint="eastAsia" w:ascii="黑体" w:hAnsi="黑体" w:eastAsia="黑体" w:cs="仿宋_GB2312"/>
          <w:sz w:val="32"/>
          <w:szCs w:val="32"/>
          <w:highlight w:val="none"/>
          <w:lang w:val="en-US" w:eastAsia="zh-CN"/>
        </w:rPr>
        <w:t>三</w:t>
      </w:r>
      <w:r>
        <w:rPr>
          <w:rFonts w:hint="eastAsia" w:ascii="黑体" w:hAnsi="黑体" w:eastAsia="黑体" w:cs="仿宋_GB2312"/>
          <w:sz w:val="32"/>
          <w:szCs w:val="32"/>
          <w:highlight w:val="none"/>
        </w:rPr>
        <w:t>年</w:t>
      </w:r>
      <w:r>
        <w:rPr>
          <w:rFonts w:hint="eastAsia" w:ascii="黑体" w:hAnsi="黑体" w:eastAsia="黑体" w:cs="仿宋_GB2312"/>
          <w:sz w:val="32"/>
          <w:szCs w:val="32"/>
          <w:highlight w:val="none"/>
          <w:lang w:val="en-US" w:eastAsia="zh-CN"/>
        </w:rPr>
        <w:t>十二</w:t>
      </w:r>
      <w:r>
        <w:rPr>
          <w:rFonts w:hint="eastAsia" w:ascii="黑体" w:hAnsi="黑体" w:eastAsia="黑体" w:cs="仿宋_GB2312"/>
          <w:sz w:val="32"/>
          <w:szCs w:val="32"/>
          <w:highlight w:val="none"/>
        </w:rPr>
        <w:t>月</w:t>
      </w:r>
    </w:p>
    <w:p>
      <w:pPr>
        <w:rPr>
          <w:highlight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
        <w:rPr>
          <w:highlight w:val="none"/>
        </w:rPr>
      </w:pPr>
    </w:p>
    <w:p>
      <w:pPr>
        <w:pStyle w:val="37"/>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21"/>
        <w:numPr>
          <w:ilvl w:val="0"/>
          <w:numId w:val="2"/>
        </w:numPr>
        <w:tabs>
          <w:tab w:val="right" w:pos="8844"/>
        </w:tabs>
        <w:rPr>
          <w:highlight w:val="none"/>
        </w:rPr>
      </w:pPr>
      <w:r>
        <w:rPr>
          <w:rFonts w:hint="eastAsia"/>
          <w:highlight w:val="none"/>
        </w:rPr>
        <w:t>采购公告（采购邀请书）</w:t>
      </w:r>
    </w:p>
    <w:p>
      <w:pPr>
        <w:pStyle w:val="21"/>
        <w:numPr>
          <w:ilvl w:val="0"/>
          <w:numId w:val="2"/>
        </w:numPr>
        <w:tabs>
          <w:tab w:val="right" w:pos="8844"/>
        </w:tabs>
        <w:rPr>
          <w:highlight w:val="none"/>
        </w:rPr>
      </w:pPr>
      <w:r>
        <w:rPr>
          <w:rFonts w:hint="eastAsia"/>
          <w:highlight w:val="none"/>
        </w:rPr>
        <w:t>供应商须知</w:t>
      </w:r>
    </w:p>
    <w:p>
      <w:pPr>
        <w:pStyle w:val="21"/>
        <w:numPr>
          <w:ilvl w:val="0"/>
          <w:numId w:val="2"/>
        </w:numPr>
        <w:tabs>
          <w:tab w:val="right" w:pos="8844"/>
        </w:tabs>
        <w:rPr>
          <w:highlight w:val="none"/>
        </w:rPr>
      </w:pPr>
      <w:r>
        <w:rPr>
          <w:rFonts w:hint="eastAsia"/>
          <w:highlight w:val="none"/>
        </w:rPr>
        <w:t>采购方法</w:t>
      </w:r>
    </w:p>
    <w:p>
      <w:pPr>
        <w:pStyle w:val="21"/>
        <w:numPr>
          <w:ilvl w:val="0"/>
          <w:numId w:val="2"/>
        </w:numPr>
        <w:tabs>
          <w:tab w:val="right" w:pos="8844"/>
        </w:tabs>
        <w:rPr>
          <w:highlight w:val="none"/>
        </w:rPr>
      </w:pPr>
      <w:r>
        <w:rPr>
          <w:rFonts w:hint="eastAsia"/>
          <w:highlight w:val="none"/>
        </w:rPr>
        <w:t>评审方法</w:t>
      </w:r>
    </w:p>
    <w:p>
      <w:pPr>
        <w:pStyle w:val="21"/>
        <w:numPr>
          <w:ilvl w:val="0"/>
          <w:numId w:val="2"/>
        </w:numPr>
        <w:tabs>
          <w:tab w:val="right" w:pos="8844"/>
        </w:tabs>
        <w:rPr>
          <w:highlight w:val="none"/>
        </w:rPr>
      </w:pPr>
      <w:r>
        <w:rPr>
          <w:rFonts w:hint="eastAsia"/>
          <w:highlight w:val="none"/>
        </w:rPr>
        <w:t>运维</w:t>
      </w:r>
      <w:r>
        <w:rPr>
          <w:rFonts w:hint="eastAsia"/>
          <w:highlight w:val="none"/>
          <w:lang w:val="en-US" w:eastAsia="zh-CN"/>
        </w:rPr>
        <w:t>需求</w:t>
      </w:r>
    </w:p>
    <w:p>
      <w:pPr>
        <w:pStyle w:val="21"/>
        <w:numPr>
          <w:ilvl w:val="0"/>
          <w:numId w:val="2"/>
        </w:numPr>
        <w:tabs>
          <w:tab w:val="right" w:pos="8844"/>
        </w:tabs>
        <w:rPr>
          <w:highlight w:val="none"/>
        </w:rPr>
      </w:pPr>
      <w:r>
        <w:rPr>
          <w:rFonts w:hint="eastAsia"/>
          <w:highlight w:val="none"/>
        </w:rPr>
        <w:t>合同草案</w:t>
      </w:r>
    </w:p>
    <w:p>
      <w:pPr>
        <w:pStyle w:val="21"/>
        <w:numPr>
          <w:ilvl w:val="0"/>
          <w:numId w:val="2"/>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1"/>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1"/>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0" w:name="_Toc18145"/>
      <w:bookmarkStart w:id="1" w:name="_Toc26148"/>
    </w:p>
    <w:p>
      <w:pPr>
        <w:rPr>
          <w:highlight w:val="none"/>
        </w:rPr>
      </w:pPr>
    </w:p>
    <w:p>
      <w:pPr>
        <w:pStyle w:val="4"/>
        <w:rPr>
          <w:highlight w:val="none"/>
        </w:rPr>
      </w:pPr>
      <w:bookmarkStart w:id="2" w:name="_Toc1711"/>
      <w:bookmarkStart w:id="3" w:name="_Toc17696"/>
    </w:p>
    <w:p>
      <w:pPr>
        <w:rPr>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highlight w:val="none"/>
        </w:rPr>
      </w:pPr>
      <w:bookmarkStart w:id="4" w:name="_Toc4275"/>
      <w:bookmarkStart w:id="5" w:name="_Toc11322"/>
      <w:bookmarkStart w:id="6" w:name="_Toc1669"/>
      <w:bookmarkStart w:id="7" w:name="_Toc19609"/>
      <w:bookmarkStart w:id="8" w:name="_Toc31938"/>
      <w:bookmarkStart w:id="9" w:name="_Toc17801"/>
      <w:bookmarkStart w:id="10" w:name="_Toc7519"/>
    </w:p>
    <w:p>
      <w:pPr>
        <w:pStyle w:val="4"/>
        <w:rPr>
          <w:highlight w:val="none"/>
        </w:rPr>
      </w:pPr>
    </w:p>
    <w:p>
      <w:pPr>
        <w:pStyle w:val="4"/>
        <w:rPr>
          <w:highlight w:val="none"/>
        </w:rPr>
      </w:pPr>
    </w:p>
    <w:p>
      <w:pPr>
        <w:pStyle w:val="4"/>
        <w:rPr>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column">
                  <wp:posOffset>2361565</wp:posOffset>
                </wp:positionH>
                <wp:positionV relativeFrom="paragraph">
                  <wp:posOffset>73660</wp:posOffset>
                </wp:positionV>
                <wp:extent cx="958850" cy="0"/>
                <wp:effectExtent l="13335" t="7620" r="8890" b="11430"/>
                <wp:wrapNone/>
                <wp:docPr id="16" name="AutoShape 1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margin-left:185.95pt;margin-top:5.8pt;height:0pt;width:75.5pt;z-index:251666432;mso-width-relative:page;mso-height-relative:page;" filled="f" stroked="t" coordsize="21600,21600" o:gfxdata="UEsDBAoAAAAAAIdO4kAAAAAAAAAAAAAAAAAEAAAAZHJzL1BLAwQUAAAACACHTuJA96GWOtYAAAAJ&#10;AQAADwAAAGRycy9kb3ducmV2LnhtbE2PwU7DMBBE70j8g7VIXBC1HdTShjgVQuLAkbYSVzfeJoF4&#10;HcVOU/r1LOJQjjvzNDtTrE++E0ccYhvIgJ4pEEhVcC3VBnbb1/sliJgsOdsFQgPfGGFdXl8VNndh&#10;onc8blItOIRibg00KfW5lLFq0Ns4Cz0Se4cweJv4HGrpBjtxuO9kptRCetsSf2hsjy8NVl+b0RvA&#10;OM61el75evd2nu4+svPn1G+Nub3R6glEwlO6wPBbn6tDyZ32YSQXRWfg4VGvGGVDL0AwMM8yFvZ/&#10;giwL+X9B+QNQSwMEFAAAAAgAh07iQKRH9FTTAQAAswMAAA4AAABkcnMvZTJvRG9jLnhtbK1TwW7b&#10;MAy9D9g/CLovTgKkyIw4xZCgu3RbgHYfoMiyLUwSBVKJk78fpSRd1116mA+GJZLv8T3Sq/uTd+Jo&#10;kCyERs4mUylM0NDa0Dfy5/PDp6UUlFRolYNgGnk2JO/XHz+sxlibOQzgWoOCQQLVY2zkkFKsq4r0&#10;YLyiCUQTONgBepX4iH3VohoZ3btqPp3eVSNgGxG0IeLb7SUor4j4HkDoOqvNFvTBm5AuqGicSiyJ&#10;BhtJrku3XWd0+tF1ZJJwjWSlqbyZhL/3+V2tV6ruUcXB6msL6j0tvNHklQ1M+gK1VUmJA9p/oLzV&#10;CARdmmjw1UVIcYRVzKZvvHkaVDRFC1tN8cV0+n+w+vtxh8K2vAl3UgTleeJfDgkKteA7NmiMVHPe&#10;JuwwS9Sn8BQfQf8iEWAzqNCbkv18jlw8yxXVXyX5QJFp9uM3aDlHMUFx69Shz5DsgziVoZxfhmJO&#10;SWi+/LxYLhc8Ln0LVaq+1UWk9NWAF/mjkZRQ2X5IGwiBJw84Kyzq+Egpd6XqW0EmDfBgnSsL4IIY&#10;M9N8UQoInG1zMKcR9vuNQ3FUeYXKUyRy5HUawiG0FxIXrg5k0Rf79tCed3hzhmdZurnuXV6W1+dS&#10;/edfW/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6GWOtYAAAAJAQAADwAAAAAAAAABACAAAAAi&#10;AAAAZHJzL2Rvd25yZXYueG1sUEsBAhQAFAAAAAgAh07iQKRH9FTTAQAAswMAAA4AAAAAAAAAAQAg&#10;AAAAJQEAAGRycy9lMm9Eb2MueG1sUEsFBgAAAAAGAAYAWQEAAGo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olumn">
                  <wp:posOffset>2360930</wp:posOffset>
                </wp:positionH>
                <wp:positionV relativeFrom="paragraph">
                  <wp:posOffset>534670</wp:posOffset>
                </wp:positionV>
                <wp:extent cx="958850" cy="0"/>
                <wp:effectExtent l="5715" t="6985" r="6985" b="12065"/>
                <wp:wrapNone/>
                <wp:docPr id="17" name="AutoShape 1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7" o:spid="_x0000_s1026" o:spt="32" type="#_x0000_t32" style="position:absolute;left:0pt;margin-left:185.9pt;margin-top:42.1pt;height:0pt;width:75.5pt;z-index:251667456;mso-width-relative:page;mso-height-relative:page;" filled="f" stroked="t" coordsize="21600,21600" o:gfxdata="UEsDBAoAAAAAAIdO4kAAAAAAAAAAAAAAAAAEAAAAZHJzL1BLAwQUAAAACACHTuJAgsvi6tYAAAAJ&#10;AQAADwAAAGRycy9kb3ducmV2LnhtbE2PPU/DMBCGdyT+g3VILIjaMZSWEKdCSAyMtJVY3fiaBOJz&#10;FDtN6a/nEEMZ3w+991yxOvpOHHCIbSAD2UyBQKqCa6k2sN283i5BxGTJ2S4QGvjGCKvy8qKwuQsT&#10;veNhnWrBIxRza6BJqc+ljFWD3sZZ6JE424fB28RyqKUb7MTjvpNaqQfpbUt8obE9vjRYfa1HbwDj&#10;OM/U86Ovt2+n6eZDnz6nfmPM9VWmnkAkPKZzGX7xGR1KZtqFkVwUnYG7RcboycDyXoPgwlxrNnZ/&#10;hiwL+f+D8gdQSwMEFAAAAAgAh07iQHeIGpjTAQAAswMAAA4AAABkcnMvZTJvRG9jLnhtbK1TTW/b&#10;MAy9D9h/EHRfnATIlhlxiiFBd+m2Au1+gCLLtjBJFEglTv79KOVjXXfpYT4Ylki+x/dIr+6O3omD&#10;QbIQGjmbTKUwQUNrQ9/In8/3H5ZSUFKhVQ6CaeTJkLxbv3+3GmNt5jCAaw0KBglUj7GRQ0qxrirS&#10;g/GKJhBN4GAH6FXiI/ZVi2pkdO+q+XT6sRoB24igDRHfbs9BeUHEtwBC11lttqD33oR0RkXjVGJJ&#10;NNhIcl267Tqj04+uI5OEayQrTeXNJPy9y+9qvVJ1jyoOVl9aUG9p4ZUmr2xg0hvUViUl9mj/gfJW&#10;IxB0aaLBV2chxRFWMZu+8uZpUNEULWw1xZvp9P9g9ffDIwrb8iZ8kiIozxP/sk9QqAXfsUFjpJrz&#10;NuERs0R9DE/xAfQvEgE2gwq9KdnPp8jFs1xR/VWSDxSZZjd+g5ZzFBMUt44d+gzJPohjGcrpNhRz&#10;TELz5efFcrngcelrqFL1tS4ipa8GvMgfjaSEyvZD2kAIPHnAWWFRhwdKuStVXwsyaYB761xZABfE&#10;mJnmi1JA4GybgzmNsN9tHIqDyitUniKRIy/TEPahPZO4cHEgiz7bt4P29IhXZ3iWpZvL3uVleXku&#10;1X/+t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svi6tYAAAAJAQAADwAAAAAAAAABACAAAAAi&#10;AAAAZHJzL2Rvd25yZXYueG1sUEsBAhQAFAAAAAgAh07iQHeIGpjTAQAAswMAAA4AAAAAAAAAAQAg&#10;AAAAJQEAAGRycy9lMm9Eb2MueG1sUEsFBgAAAAAGAAYAWQEAAGoFA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9"/>
        <w:rPr>
          <w:highlight w:val="none"/>
        </w:rPr>
      </w:pPr>
    </w:p>
    <w:p>
      <w:pPr>
        <w:pStyle w:val="4"/>
        <w:rPr>
          <w:highlight w:val="none"/>
        </w:rPr>
      </w:pPr>
      <w:r>
        <w:rPr>
          <w:rFonts w:hint="eastAsia"/>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4"/>
        <w:rPr>
          <w:highlight w:val="none"/>
        </w:rPr>
      </w:pPr>
      <w:bookmarkStart w:id="11" w:name="_Toc21373"/>
      <w:bookmarkStart w:id="12" w:name="_Toc9680"/>
      <w:r>
        <w:rPr>
          <w:rFonts w:hint="eastAsia"/>
          <w:highlight w:val="none"/>
        </w:rPr>
        <w:t>采购公告（采购邀请书）</w:t>
      </w:r>
    </w:p>
    <w:bookmarkEnd w:id="11"/>
    <w:bookmarkEnd w:id="12"/>
    <w:p>
      <w:pPr>
        <w:spacing w:line="360" w:lineRule="auto"/>
        <w:ind w:firstLine="560" w:firstLineChars="200"/>
        <w:rPr>
          <w:rFonts w:hint="eastAsia" w:ascii="仿宋" w:hAnsi="仿宋" w:eastAsia="仿宋" w:cs="仿宋"/>
          <w:b/>
          <w:sz w:val="36"/>
          <w:szCs w:val="36"/>
          <w:highlight w:val="none"/>
          <w:u w:val="single"/>
        </w:rPr>
      </w:pPr>
      <w:r>
        <w:rPr>
          <w:rFonts w:hint="eastAsia" w:ascii="仿宋" w:hAnsi="仿宋" w:eastAsia="仿宋" w:cs="仿宋"/>
          <w:sz w:val="28"/>
          <w:szCs w:val="28"/>
          <w:highlight w:val="none"/>
          <w:u w:val="single"/>
        </w:rPr>
        <w:t>广州市净水有限公司202</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年度净水智慧运营管理平台运维服务项目</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lang w:val="en-US" w:eastAsia="zh-CN"/>
        </w:rPr>
        <w:t>第二次</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rPr>
        <w:t xml:space="preserve">已具备采购条件，现邀请合格单位参加本□施工  □货物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服务项目采购活动，采□</w:t>
      </w:r>
      <w:r>
        <w:rPr>
          <w:rFonts w:hint="eastAsia" w:ascii="仿宋" w:hAnsi="仿宋" w:eastAsia="仿宋" w:cs="仿宋"/>
          <w:sz w:val="28"/>
          <w:szCs w:val="28"/>
          <w:highlight w:val="none"/>
          <w:u w:val="single"/>
        </w:rPr>
        <w:t xml:space="preserve">邀请询比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u w:val="single"/>
        </w:rPr>
        <w:t>公开询比</w:t>
      </w:r>
      <w:r>
        <w:rPr>
          <w:rFonts w:hint="eastAsia" w:ascii="仿宋" w:hAnsi="仿宋" w:eastAsia="仿宋" w:cs="仿宋"/>
          <w:sz w:val="28"/>
          <w:szCs w:val="28"/>
          <w:highlight w:val="none"/>
        </w:rPr>
        <w:t>的方式邀请合格供应商参加本项目采购活动。</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1.采购项目简介</w:t>
      </w:r>
    </w:p>
    <w:p>
      <w:pPr>
        <w:spacing w:line="360" w:lineRule="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1.1采购项目名称：</w:t>
      </w:r>
      <w:r>
        <w:rPr>
          <w:rFonts w:hint="eastAsia" w:ascii="仿宋" w:hAnsi="仿宋" w:eastAsia="仿宋" w:cs="仿宋"/>
          <w:sz w:val="28"/>
          <w:szCs w:val="28"/>
          <w:highlight w:val="none"/>
          <w:u w:val="single"/>
        </w:rPr>
        <w:t>广州市净水有限公司202</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年度净水智慧运营管理平台运维服务项目</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lang w:val="en-US" w:eastAsia="zh-CN"/>
        </w:rPr>
        <w:t>第二次</w:t>
      </w:r>
      <w:r>
        <w:rPr>
          <w:rFonts w:hint="eastAsia" w:ascii="仿宋" w:hAnsi="仿宋" w:eastAsia="仿宋" w:cs="仿宋"/>
          <w:sz w:val="28"/>
          <w:szCs w:val="28"/>
          <w:highlight w:val="none"/>
          <w:u w:val="single"/>
          <w:lang w:eastAsia="zh-CN"/>
        </w:rPr>
        <w:t>）</w:t>
      </w:r>
    </w:p>
    <w:p>
      <w:pPr>
        <w:adjustRightInd w:val="0"/>
        <w:snapToGrid w:val="0"/>
        <w:spacing w:line="6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1.2项目编号：</w:t>
      </w:r>
      <w:r>
        <w:rPr>
          <w:rFonts w:hint="eastAsia" w:ascii="仿宋" w:hAnsi="仿宋" w:eastAsia="仿宋" w:cs="仿宋"/>
          <w:sz w:val="28"/>
          <w:szCs w:val="28"/>
          <w:highlight w:val="none"/>
          <w:u w:val="single"/>
          <w:lang w:val="en-US" w:eastAsia="zh-CN"/>
        </w:rPr>
        <w:t>XJ-20231211-1</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1.3资金来源：</w:t>
      </w:r>
      <w:r>
        <w:rPr>
          <w:rFonts w:hint="eastAsia" w:ascii="仿宋" w:hAnsi="仿宋" w:eastAsia="仿宋" w:cs="仿宋"/>
          <w:sz w:val="28"/>
          <w:szCs w:val="28"/>
          <w:highlight w:val="none"/>
          <w:u w:val="single"/>
        </w:rPr>
        <w:t xml:space="preserve">自有资金  </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1.4最高限价（元）：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7500</w:t>
      </w:r>
      <w:r>
        <w:rPr>
          <w:rFonts w:hint="eastAsia" w:ascii="仿宋" w:hAnsi="仿宋" w:eastAsia="仿宋" w:cs="仿宋"/>
          <w:sz w:val="28"/>
          <w:szCs w:val="28"/>
          <w:highlight w:val="none"/>
          <w:u w:val="single"/>
        </w:rPr>
        <w:t xml:space="preserve">00.00 </w:t>
      </w:r>
      <w:r>
        <w:rPr>
          <w:rFonts w:hint="eastAsia" w:ascii="仿宋" w:hAnsi="仿宋" w:eastAsia="仿宋" w:cs="仿宋"/>
          <w:sz w:val="28"/>
          <w:szCs w:val="28"/>
          <w:highlight w:val="none"/>
          <w:u w:val="single"/>
        </w:rPr>
        <w:br w:type="textWrapping"/>
      </w:r>
      <w:r>
        <w:rPr>
          <w:rFonts w:hint="eastAsia" w:ascii="仿宋" w:hAnsi="仿宋" w:eastAsia="仿宋" w:cs="仿宋"/>
          <w:sz w:val="28"/>
          <w:szCs w:val="28"/>
          <w:highlight w:val="none"/>
        </w:rPr>
        <w:t>1.5标段划分：</w:t>
      </w:r>
      <w:r>
        <w:rPr>
          <w:rFonts w:hint="eastAsia" w:ascii="仿宋" w:hAnsi="仿宋" w:eastAsia="仿宋" w:cs="仿宋"/>
          <w:sz w:val="28"/>
          <w:szCs w:val="28"/>
          <w:highlight w:val="none"/>
          <w:u w:val="single"/>
        </w:rPr>
        <w:t xml:space="preserve"> ----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2.1采购内容和范围：</w:t>
      </w:r>
      <w:r>
        <w:rPr>
          <w:rFonts w:hint="eastAsia" w:ascii="仿宋" w:hAnsi="仿宋" w:eastAsia="仿宋" w:cs="仿宋"/>
          <w:sz w:val="28"/>
          <w:szCs w:val="28"/>
          <w:highlight w:val="none"/>
          <w:u w:val="single"/>
        </w:rPr>
        <w:t xml:space="preserve"> 净水公司</w:t>
      </w:r>
      <w:r>
        <w:rPr>
          <w:rFonts w:hint="eastAsia" w:ascii="仿宋" w:hAnsi="仿宋" w:eastAsia="仿宋" w:cs="仿宋"/>
          <w:sz w:val="28"/>
          <w:szCs w:val="28"/>
          <w:highlight w:val="none"/>
          <w:u w:val="single"/>
          <w:lang w:val="en-US" w:eastAsia="zh-CN"/>
        </w:rPr>
        <w:t>智慧运营管理</w:t>
      </w:r>
      <w:r>
        <w:rPr>
          <w:rFonts w:hint="eastAsia" w:ascii="仿宋" w:hAnsi="仿宋" w:eastAsia="仿宋" w:cs="仿宋"/>
          <w:sz w:val="28"/>
          <w:szCs w:val="28"/>
          <w:highlight w:val="none"/>
          <w:u w:val="single"/>
        </w:rPr>
        <w:t>平台软件及APP应用共40多项功能模块运维、平台功能升级开发、生产数据共享</w:t>
      </w:r>
      <w:r>
        <w:rPr>
          <w:rFonts w:hint="eastAsia" w:ascii="仿宋" w:hAnsi="仿宋" w:eastAsia="仿宋" w:cs="仿宋"/>
          <w:sz w:val="28"/>
          <w:szCs w:val="28"/>
          <w:highlight w:val="none"/>
          <w:u w:val="single"/>
          <w:lang w:val="en-US" w:eastAsia="zh-CN"/>
        </w:rPr>
        <w:t>中心</w:t>
      </w:r>
      <w:r>
        <w:rPr>
          <w:rFonts w:hint="eastAsia" w:ascii="仿宋" w:hAnsi="仿宋" w:eastAsia="仿宋" w:cs="仿宋"/>
          <w:sz w:val="28"/>
          <w:szCs w:val="28"/>
          <w:highlight w:val="none"/>
          <w:u w:val="single"/>
        </w:rPr>
        <w:t xml:space="preserve">运维、系统运行环境的安全漏洞补丁修复、数据定期校对巡检、应用服务及数据定期备份、协助13座厂自控数据传输问题排查、保障智慧运营平台安全稳定运行。                                                 </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2.2项目工期：□计划工期   □交货期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服务期为</w:t>
      </w:r>
      <w:r>
        <w:rPr>
          <w:rFonts w:hint="eastAsia" w:ascii="仿宋" w:hAnsi="仿宋" w:eastAsia="仿宋" w:cs="仿宋"/>
          <w:sz w:val="28"/>
          <w:szCs w:val="28"/>
          <w:highlight w:val="none"/>
          <w:lang w:val="en-US" w:eastAsia="zh-CN"/>
        </w:rPr>
        <w:t>自合同签订之日起</w:t>
      </w:r>
      <w:r>
        <w:rPr>
          <w:rFonts w:hint="eastAsia" w:ascii="仿宋" w:hAnsi="仿宋" w:eastAsia="仿宋" w:cs="仿宋"/>
          <w:sz w:val="28"/>
          <w:szCs w:val="28"/>
          <w:highlight w:val="none"/>
          <w:u w:val="single"/>
          <w:lang w:val="en-US" w:eastAsia="zh-CN"/>
        </w:rPr>
        <w:t>27</w:t>
      </w:r>
      <w:r>
        <w:rPr>
          <w:rFonts w:hint="eastAsia" w:ascii="仿宋" w:hAnsi="仿宋" w:eastAsia="仿宋" w:cs="仿宋"/>
          <w:sz w:val="28"/>
          <w:szCs w:val="28"/>
          <w:highlight w:val="none"/>
          <w:u w:val="single"/>
        </w:rPr>
        <w:t xml:space="preserve">个月           </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2.3地点：□建设地点  □交货地点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服务地点位于</w:t>
      </w:r>
      <w:r>
        <w:rPr>
          <w:rFonts w:hint="eastAsia" w:ascii="仿宋" w:hAnsi="仿宋" w:eastAsia="仿宋" w:cs="仿宋"/>
          <w:sz w:val="28"/>
          <w:szCs w:val="28"/>
          <w:highlight w:val="none"/>
          <w:u w:val="single"/>
        </w:rPr>
        <w:t xml:space="preserve"> 广州市         </w:t>
      </w:r>
    </w:p>
    <w:p>
      <w:pPr>
        <w:adjustRightInd w:val="0"/>
        <w:snapToGrid w:val="0"/>
        <w:spacing w:line="600" w:lineRule="exact"/>
        <w:ind w:left="420" w:right="-369" w:rightChars="-176" w:hanging="420" w:hanging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2.4质量要求：□施工质量要求   □货物质量标准或主要技术性能指标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服务质量要求或服务标准如下：</w:t>
      </w:r>
      <w:r>
        <w:rPr>
          <w:rFonts w:hint="eastAsia" w:ascii="仿宋" w:hAnsi="仿宋" w:eastAsia="仿宋" w:cs="仿宋"/>
          <w:sz w:val="28"/>
          <w:szCs w:val="28"/>
          <w:highlight w:val="none"/>
          <w:u w:val="single"/>
        </w:rPr>
        <w:t>详见</w:t>
      </w:r>
      <w:r>
        <w:rPr>
          <w:rFonts w:hint="eastAsia" w:ascii="仿宋" w:hAnsi="仿宋" w:eastAsia="仿宋" w:cs="仿宋"/>
          <w:sz w:val="28"/>
          <w:szCs w:val="28"/>
          <w:highlight w:val="none"/>
          <w:u w:val="single"/>
          <w:lang w:val="en-US" w:eastAsia="zh-CN"/>
        </w:rPr>
        <w:t>运维需求</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none"/>
        </w:rPr>
        <w:t xml:space="preserve">              </w:t>
      </w:r>
    </w:p>
    <w:p>
      <w:pPr>
        <w:adjustRightInd w:val="0"/>
        <w:snapToGrid w:val="0"/>
        <w:spacing w:line="600" w:lineRule="exact"/>
        <w:ind w:left="420" w:right="-369" w:rightChars="-176" w:hanging="420" w:hanging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2.5其他：</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安全目标如下：</w:t>
      </w:r>
      <w:r>
        <w:rPr>
          <w:rFonts w:hint="eastAsia" w:ascii="仿宋" w:hAnsi="仿宋" w:eastAsia="仿宋" w:cs="仿宋"/>
          <w:sz w:val="28"/>
          <w:szCs w:val="28"/>
          <w:highlight w:val="none"/>
          <w:u w:val="single"/>
        </w:rPr>
        <w:t xml:space="preserve"> 零事故。</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3.供应商资格要求（须提供复印件并加盖单位公章）</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u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lang w:eastAsia="zh-CN"/>
        </w:rPr>
        <w:sym w:font="Wingdings 2" w:char="00A3"/>
      </w:r>
      <w:r>
        <w:rPr>
          <w:rFonts w:hint="eastAsia" w:ascii="仿宋" w:hAnsi="仿宋" w:eastAsia="仿宋" w:cs="仿宋"/>
          <w:sz w:val="28"/>
          <w:szCs w:val="28"/>
          <w:highlight w:val="none"/>
          <w:u w:val="none"/>
        </w:rPr>
        <w:t>（2）供应商应当具备</w:t>
      </w:r>
      <w:r>
        <w:rPr>
          <w:rFonts w:hint="eastAsia" w:ascii="仿宋" w:hAnsi="仿宋" w:eastAsia="仿宋" w:cs="仿宋"/>
          <w:sz w:val="28"/>
          <w:szCs w:val="28"/>
          <w:highlight w:val="none"/>
          <w:u w:val="none"/>
          <w:lang w:val="en-US" w:eastAsia="zh-CN"/>
        </w:rPr>
        <w:t>资质</w:t>
      </w:r>
      <w:r>
        <w:rPr>
          <w:rFonts w:hint="eastAsia" w:ascii="仿宋" w:hAnsi="仿宋" w:eastAsia="仿宋" w:cs="仿宋"/>
          <w:sz w:val="28"/>
          <w:szCs w:val="28"/>
          <w:highlight w:val="none"/>
          <w:u w:val="none"/>
        </w:rPr>
        <w:t>。</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u w:val="none"/>
        </w:rPr>
        <w:t>（3） 20</w:t>
      </w:r>
      <w:r>
        <w:rPr>
          <w:rFonts w:hint="eastAsia" w:ascii="仿宋" w:hAnsi="仿宋" w:eastAsia="仿宋" w:cs="仿宋"/>
          <w:sz w:val="28"/>
          <w:szCs w:val="28"/>
          <w:highlight w:val="none"/>
          <w:u w:val="none"/>
          <w:lang w:val="en-US" w:eastAsia="zh-CN"/>
        </w:rPr>
        <w:t>20</w:t>
      </w:r>
      <w:r>
        <w:rPr>
          <w:rFonts w:hint="eastAsia" w:ascii="仿宋" w:hAnsi="仿宋" w:eastAsia="仿宋" w:cs="仿宋"/>
          <w:sz w:val="28"/>
          <w:szCs w:val="28"/>
          <w:highlight w:val="none"/>
          <w:u w:val="none"/>
        </w:rPr>
        <w:t xml:space="preserve"> 年1月1日至今，供应商最少具有一项</w:t>
      </w:r>
      <w:r>
        <w:rPr>
          <w:rFonts w:hint="eastAsia" w:ascii="仿宋" w:hAnsi="仿宋" w:eastAsia="仿宋" w:cs="仿宋"/>
          <w:sz w:val="28"/>
          <w:szCs w:val="28"/>
          <w:highlight w:val="none"/>
          <w:u w:val="none"/>
          <w:lang w:val="en-US" w:eastAsia="zh-CN"/>
        </w:rPr>
        <w:t>单项每年度合同金额不低于25万元的信息系统运维服务业绩。</w:t>
      </w:r>
      <w:r>
        <w:rPr>
          <w:rFonts w:hint="eastAsia" w:ascii="仿宋" w:hAnsi="仿宋" w:eastAsia="仿宋" w:cs="仿宋"/>
          <w:sz w:val="28"/>
          <w:szCs w:val="28"/>
          <w:highlight w:val="none"/>
          <w:u w:val="none"/>
        </w:rPr>
        <w:t>（提供合同复印件证明，包括但不限于项目名称、金额及实施内容、合同盖章、签订日期，加盖单位公章）</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3.2供应商在响应文件提交截止日期止不得存在下列情形之一（须出具</w:t>
      </w:r>
      <w:r>
        <w:rPr>
          <w:rFonts w:hint="eastAsia" w:ascii="仿宋" w:hAnsi="仿宋" w:eastAsia="仿宋" w:cs="仿宋"/>
          <w:sz w:val="28"/>
          <w:szCs w:val="28"/>
          <w:highlight w:val="none"/>
          <w:lang w:val="en-US" w:eastAsia="zh-CN"/>
        </w:rPr>
        <w:t>不得存在情形</w:t>
      </w:r>
      <w:r>
        <w:rPr>
          <w:rFonts w:hint="eastAsia" w:ascii="仿宋" w:hAnsi="仿宋" w:eastAsia="仿宋" w:cs="仿宋"/>
          <w:sz w:val="28"/>
          <w:szCs w:val="28"/>
          <w:highlight w:val="none"/>
        </w:rPr>
        <w:t>承诺函）：</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（2）与本项目其他供应商存在控股或管理关系。</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（3）被本项目所在地省级以上行业主管部门依法暂停、取消投标或禁止参加采购活动且处于有效期内的。</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（4）处于被责令停产停业、暂扣或者吊销执照、暂扣或者吊销许可证、吊销资质证书状态。</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（5）进入清算程序，或被宣告破产，或其他丧失履约能力情形的。</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（6）近三年内因发生质量或安全生产事故等受到行政处罚且在处罚期内的。</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（7）被最高人民法院在“信用中国”网站（www.creditchina.gov.cn）或各级信用信息共享平台中列入失信被执行人名单。</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（8）被“全国企业信用信息公示系统”（网址：http://www.gsxt.gov.cn/）列入经营异常名录和严重违法企业名单。</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sz w:val="28"/>
          <w:szCs w:val="28"/>
          <w:highlight w:val="none"/>
          <w:u w:val="single"/>
        </w:rPr>
      </w:pPr>
      <w:r>
        <w:rPr>
          <w:rFonts w:hint="eastAsia" w:ascii="仿宋_GB2312" w:eastAsia="仿宋_GB2312"/>
          <w:sz w:val="28"/>
          <w:szCs w:val="28"/>
          <w:highlight w:val="none"/>
        </w:rPr>
        <w:t>（11）其他禁止情形：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3.3本次项目</w:t>
      </w:r>
      <w:r>
        <w:rPr>
          <w:rFonts w:hint="eastAsia" w:ascii="仿宋" w:hAnsi="仿宋" w:eastAsia="仿宋" w:cs="仿宋"/>
          <w:sz w:val="28"/>
          <w:szCs w:val="28"/>
          <w:highlight w:val="none"/>
          <w:u w:val="single"/>
        </w:rPr>
        <w:t>不接受</w:t>
      </w:r>
      <w:r>
        <w:rPr>
          <w:rFonts w:hint="eastAsia" w:ascii="仿宋" w:hAnsi="仿宋" w:eastAsia="仿宋" w:cs="仿宋"/>
          <w:sz w:val="28"/>
          <w:szCs w:val="28"/>
          <w:highlight w:val="none"/>
        </w:rPr>
        <w:t>联合体参加采购活动</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4.采购文件的获取</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4.1获取时间</w:t>
      </w:r>
    </w:p>
    <w:p>
      <w:pPr>
        <w:adjustRightInd w:val="0"/>
        <w:snapToGrid w:val="0"/>
        <w:spacing w:line="600" w:lineRule="exact"/>
        <w:ind w:firstLine="55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从</w:t>
      </w:r>
      <w:r>
        <w:rPr>
          <w:rFonts w:hint="eastAsia" w:ascii="仿宋" w:hAnsi="仿宋" w:eastAsia="仿宋" w:cs="仿宋"/>
          <w:sz w:val="28"/>
          <w:szCs w:val="28"/>
          <w:highlight w:val="none"/>
          <w:u w:val="single"/>
          <w:lang w:val="en-US" w:eastAsia="zh-CN"/>
        </w:rPr>
        <w:t>2023</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12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12</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val="en-US" w:eastAsia="zh-CN"/>
        </w:rPr>
        <w:t>2023</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17 </w:t>
      </w:r>
      <w:r>
        <w:rPr>
          <w:rFonts w:hint="eastAsia" w:ascii="仿宋" w:hAnsi="仿宋" w:eastAsia="仿宋" w:cs="仿宋"/>
          <w:sz w:val="28"/>
          <w:szCs w:val="28"/>
          <w:highlight w:val="none"/>
        </w:rPr>
        <w:t>日（北京时间）</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4.2获取方式</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u w:val="single"/>
        </w:rPr>
        <w:t>广州市净水有限公司门户网站</w:t>
      </w:r>
      <w:r>
        <w:rPr>
          <w:rFonts w:hint="eastAsia" w:ascii="仿宋" w:hAnsi="仿宋" w:eastAsia="仿宋" w:cs="仿宋"/>
          <w:sz w:val="28"/>
          <w:szCs w:val="28"/>
          <w:highlight w:val="none"/>
        </w:rPr>
        <w:t xml:space="preserve">下载采购文件。 </w:t>
      </w:r>
    </w:p>
    <w:p>
      <w:pPr>
        <w:numPr>
          <w:ilvl w:val="0"/>
          <w:numId w:val="3"/>
        </w:num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踏勘现场</w:t>
      </w:r>
    </w:p>
    <w:p>
      <w:pPr>
        <w:adjustRightInd w:val="0"/>
        <w:snapToGrid w:val="0"/>
        <w:spacing w:line="60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不组织</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sz w:val="28"/>
          <w:szCs w:val="28"/>
          <w:highlight w:val="none"/>
        </w:rPr>
        <w:t>□组织</w:t>
      </w:r>
      <w:r>
        <w:rPr>
          <w:rFonts w:hint="eastAsia" w:ascii="仿宋" w:hAnsi="仿宋" w:eastAsia="仿宋" w:cs="仿宋"/>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 w:hAnsi="仿宋" w:eastAsia="仿宋" w:cs="仿宋"/>
          <w:sz w:val="28"/>
          <w:szCs w:val="28"/>
          <w:highlight w:val="none"/>
        </w:rPr>
        <w:t xml:space="preserve">                             </w:t>
      </w:r>
    </w:p>
    <w:p>
      <w:pPr>
        <w:numPr>
          <w:ilvl w:val="0"/>
          <w:numId w:val="3"/>
        </w:num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12 </w:t>
      </w:r>
      <w:r>
        <w:rPr>
          <w:rFonts w:hint="eastAsia" w:ascii="仿宋_GB2312" w:eastAsia="仿宋_GB2312"/>
          <w:sz w:val="28"/>
          <w:szCs w:val="28"/>
          <w:highlight w:val="none"/>
        </w:rPr>
        <w:t>月</w:t>
      </w:r>
      <w:r>
        <w:rPr>
          <w:rFonts w:hint="eastAsia" w:ascii="仿宋_GB2312" w:eastAsia="仿宋_GB2312"/>
          <w:sz w:val="28"/>
          <w:szCs w:val="28"/>
          <w:highlight w:val="none"/>
          <w:u w:val="single"/>
        </w:rPr>
        <w:t> </w:t>
      </w:r>
      <w:r>
        <w:rPr>
          <w:rFonts w:hint="eastAsia" w:ascii="仿宋_GB2312" w:eastAsia="仿宋_GB2312"/>
          <w:sz w:val="28"/>
          <w:szCs w:val="28"/>
          <w:highlight w:val="none"/>
          <w:u w:val="single"/>
          <w:lang w:val="en-US" w:eastAsia="zh-CN"/>
        </w:rPr>
        <w:t xml:space="preserve">18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14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lang w:val="en-US" w:eastAsia="zh-CN"/>
        </w:rPr>
        <w:t xml:space="preserve">2023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12</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18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12</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18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p>
    <w:p>
      <w:pPr>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
        <w:ind w:firstLine="560" w:firstLineChars="200"/>
        <w:rPr>
          <w:rFonts w:hint="eastAsia" w:ascii="仿宋" w:hAnsi="仿宋" w:eastAsia="仿宋" w:cs="仿宋"/>
          <w:color w:val="auto"/>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7.其他</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7.1发布公告的其他媒介</w:t>
      </w:r>
    </w:p>
    <w:p>
      <w:pPr>
        <w:adjustRightInd w:val="0"/>
        <w:snapToGrid w:val="0"/>
        <w:spacing w:line="600" w:lineRule="exact"/>
        <w:ind w:firstLine="555"/>
        <w:rPr>
          <w:rFonts w:hint="eastAsia" w:ascii="仿宋" w:hAnsi="仿宋" w:eastAsia="仿宋" w:cs="仿宋"/>
          <w:sz w:val="28"/>
          <w:szCs w:val="28"/>
          <w:highlight w:val="none"/>
        </w:rPr>
      </w:pPr>
      <w:r>
        <w:rPr>
          <w:rFonts w:hint="eastAsia" w:ascii="仿宋" w:hAnsi="仿宋" w:eastAsia="仿宋" w:cs="仿宋"/>
          <w:sz w:val="28"/>
          <w:szCs w:val="28"/>
          <w:highlight w:val="none"/>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7.2响应文件递交注意事项</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8.异议及投诉的受理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sz w:val="28"/>
          <w:szCs w:val="28"/>
          <w:highlight w:val="none"/>
        </w:rPr>
      </w:pPr>
      <w:r>
        <w:rPr>
          <w:rFonts w:hint="eastAsia" w:ascii="仿宋" w:hAnsi="仿宋" w:eastAsia="仿宋" w:cs="仿宋"/>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sz w:val="28"/>
          <w:szCs w:val="28"/>
          <w:highlight w:val="none"/>
          <w:u w:val="single"/>
        </w:rPr>
        <w:t>2</w:t>
      </w:r>
      <w:r>
        <w:rPr>
          <w:rFonts w:hint="eastAsia" w:ascii="仿宋" w:hAnsi="仿宋" w:eastAsia="仿宋" w:cs="仿宋"/>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异议受理部门：</w:t>
      </w: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62315524</w:t>
      </w:r>
      <w:r>
        <w:rPr>
          <w:rFonts w:hint="eastAsia" w:ascii="仿宋" w:hAnsi="仿宋" w:eastAsia="仿宋" w:cs="仿宋"/>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广州市天河区临江大道501号广州市净水有限公司</w:t>
      </w:r>
      <w:r>
        <w:rPr>
          <w:rFonts w:hint="eastAsia" w:ascii="仿宋" w:hAnsi="仿宋" w:eastAsia="仿宋" w:cs="仿宋"/>
          <w:sz w:val="28"/>
          <w:szCs w:val="28"/>
          <w:highlight w:val="none"/>
        </w:rPr>
        <w:t xml:space="preserve"> 。</w:t>
      </w:r>
    </w:p>
    <w:p>
      <w:pPr>
        <w:adjustRightInd w:val="0"/>
        <w:snapToGrid w:val="0"/>
        <w:spacing w:before="156" w:beforeLines="50" w:after="156" w:afterLines="50"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9</w:t>
      </w:r>
      <w:r>
        <w:rPr>
          <w:rFonts w:hint="eastAsia" w:ascii="仿宋" w:hAnsi="仿宋" w:eastAsia="仿宋" w:cs="仿宋"/>
          <w:b/>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 xml:space="preserve"> 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2023</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p>
        </w:tc>
      </w:tr>
    </w:tbl>
    <w:p>
      <w:pPr>
        <w:adjustRightInd w:val="0"/>
        <w:snapToGrid w:val="0"/>
        <w:spacing w:line="600" w:lineRule="exact"/>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4"/>
        <w:rPr>
          <w:highlight w:val="none"/>
        </w:rPr>
      </w:pPr>
      <w:bookmarkStart w:id="13" w:name="_Toc10891"/>
    </w:p>
    <w:p>
      <w:pPr>
        <w:pStyle w:val="4"/>
        <w:rPr>
          <w:highlight w:val="none"/>
        </w:rPr>
      </w:pPr>
      <w:bookmarkStart w:id="14" w:name="_Toc25603"/>
      <w:bookmarkStart w:id="15" w:name="_Toc23749"/>
      <w:bookmarkStart w:id="16" w:name="_Toc19295"/>
      <w:bookmarkStart w:id="17" w:name="_Toc32588"/>
      <w:bookmarkStart w:id="18" w:name="_Toc7340"/>
      <w:bookmarkStart w:id="19" w:name="_Toc16705"/>
      <w:bookmarkStart w:id="20" w:name="_Toc16557"/>
      <w:bookmarkStart w:id="21" w:name="_Toc2324"/>
      <w:bookmarkStart w:id="22" w:name="_Toc9448"/>
      <w:bookmarkStart w:id="23" w:name="_Toc2331"/>
    </w:p>
    <w:p>
      <w:pPr>
        <w:pStyle w:val="4"/>
        <w:rPr>
          <w:highlight w:val="none"/>
        </w:rPr>
      </w:pPr>
      <w:r>
        <w:rPr>
          <w:highlight w:val="none"/>
        </w:rPr>
        <mc:AlternateContent>
          <mc:Choice Requires="wps">
            <w:drawing>
              <wp:anchor distT="0" distB="0" distL="114300" distR="114300" simplePos="0" relativeHeight="251668480" behindDoc="0" locked="0" layoutInCell="1" allowOverlap="1">
                <wp:simplePos x="0" y="0"/>
                <wp:positionH relativeFrom="column">
                  <wp:posOffset>2375535</wp:posOffset>
                </wp:positionH>
                <wp:positionV relativeFrom="paragraph">
                  <wp:posOffset>46990</wp:posOffset>
                </wp:positionV>
                <wp:extent cx="958850" cy="0"/>
                <wp:effectExtent l="13335" t="6985" r="8890" b="12065"/>
                <wp:wrapNone/>
                <wp:docPr id="14" name="AutoShape 19"/>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9" o:spid="_x0000_s1026" o:spt="32" type="#_x0000_t32" style="position:absolute;left:0pt;margin-left:187.05pt;margin-top:3.7pt;height:0pt;width:75.5pt;z-index:251668480;mso-width-relative:page;mso-height-relative:page;" filled="f" stroked="t" coordsize="21600,21600" o:gfxdata="UEsDBAoAAAAAAIdO4kAAAAAAAAAAAAAAAAAEAAAAZHJzL1BLAwQUAAAACACHTuJAN2vyydQAAAAH&#10;AQAADwAAAGRycy9kb3ducmV2LnhtbE2OwU7DMBBE75X4B2uRuFTUTmgohDgVQuLQI20lrm68JIF4&#10;HcVOU/r1LL3A8WlGM69Yn1wnjjiE1pOGZKFAIFXetlRr2O9ebx9AhGjIms4TavjGAOvyalaY3PqJ&#10;3vC4jbXgEQq50dDE2OdShqpBZ8LC90icffjBmcg41NIOZuJx18lUqXvpTEv80JgeXxqsvraj04Bh&#10;zBL1/Ojq/eY8zd/T8+fU77S+uU7UE4iIp/hXhl99VoeSnQ5+JBtEp+FutUy4qmG1BMF5lmbMhwvL&#10;spD//csfUEsDBBQAAAAIAIdO4kDqRN0w1AEAALMDAAAOAAAAZHJzL2Uyb0RvYy54bWytU8Fu2zAM&#10;vQ/YPwi6L06CZUiNOMWQoLt0W4B2H6DIsi1MFgVSiZO/HyUnadddepgPgmWS7/E90qv7U+/E0SBZ&#10;8JWcTaZSGK+htr6t5K/nh09LKSgqXysH3lTybEjerz9+WA2hNHPowNUGBYN4KodQyS7GUBYF6c70&#10;iiYQjOdgA9iryFdsixrVwOi9K+bT6ZdiAKwDgjZE/HU7BuUFEd8DCE1jtdmCPvTGxxEVjVORJVFn&#10;A8l17rZpjI4/m4ZMFK6SrDTmk0n4fZ/OYr1SZYsqdFZfWlDvaeGNpl5Zz6Q3qK2KShzQ/gPVW41A&#10;0MSJhr4YhWRHWMVs+sabp04Fk7Ww1RRuptP/g9U/jjsUtuZN+CyFVz1P/OshQqYWs7tk0BCo5LyN&#10;32GSqE/+KTyC/k3Cw6ZTvjU5+/kcuHiWKoq/StKFAtPsh+9Qc45iguzWqcE+QbIP4pSHcr4NxZyi&#10;0PzxbrFcLnhc+hoqVHmtC0jxm4FepJdKUkRl2y5uwHuePOAss6jjI8XUlSqvBYnUw4N1Li+A82JI&#10;TPNFLiBwtk7BlEbY7jcOxVGlFcpPlsiR12kIB1+PJM5fHEiiR/v2UJ93eHWGZ5m7uexdWpbX91z9&#10;8q+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3a/LJ1AAAAAcBAAAPAAAAAAAAAAEAIAAAACIA&#10;AABkcnMvZG93bnJldi54bWxQSwECFAAUAAAACACHTuJA6kTdMNQBAACzAwAADgAAAAAAAAABACAA&#10;AAAjAQAAZHJzL2Uyb0RvYy54bWxQSwUGAAAAAAYABgBZAQAAaQ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9504" behindDoc="0" locked="0" layoutInCell="1" allowOverlap="1">
                <wp:simplePos x="0" y="0"/>
                <wp:positionH relativeFrom="column">
                  <wp:posOffset>2374900</wp:posOffset>
                </wp:positionH>
                <wp:positionV relativeFrom="paragraph">
                  <wp:posOffset>521335</wp:posOffset>
                </wp:positionV>
                <wp:extent cx="958850" cy="0"/>
                <wp:effectExtent l="5715" t="6350" r="6985" b="12700"/>
                <wp:wrapNone/>
                <wp:docPr id="15" name="AutoShape 18"/>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87pt;margin-top:41.05pt;height:0pt;width:75.5pt;z-index:251669504;mso-width-relative:page;mso-height-relative:page;" filled="f" stroked="t" coordsize="21600,21600" o:gfxdata="UEsDBAoAAAAAAIdO4kAAAAAAAAAAAAAAAAAEAAAAZHJzL1BLAwQUAAAACACHTuJA97ZTEdcAAAAJ&#10;AQAADwAAAGRycy9kb3ducmV2LnhtbE2PwU7DMBBE75X4B2uRuFTUTiBQQpwKVeLAkbYSVzdekkC8&#10;jmKnafv1LOJQjjs7mnlTrI6uEwccQutJQ7JQIJAqb1uqNey2r7dLECEasqbzhBpOGGBVXs0Kk1s/&#10;0TseNrEWHEIhNxqaGPtcylA16ExY+B6Jf59+cCbyOdTSDmbicNfJVKkH6UxL3NCYHtcNVt+b0WnA&#10;MGaJenly9e7tPM0/0vPX1G+1vrlO1DOIiMd4McMvPqNDyUx7P5INotNw93jPW6KGZZqAYEOWZizs&#10;/wRZFvL/gvIHUEsDBBQAAAAIAIdO4kA5izP80wEAALMDAAAOAAAAZHJzL2Uyb0RvYy54bWytU8Fu&#10;2zAMvQ/YPwi6L04CZMiMOMWQoLt0W4B2H6DIsi1MEgVSiZO/H6UkbdddepgPgmWS7/E90qu7k3fi&#10;aJAshEbOJlMpTNDQ2tA38tfT/aelFJRUaJWDYBp5NiTv1h8/rMZYmzkM4FqDgkEC1WNs5JBSrKuK&#10;9GC8oglEEzjYAXqV+Ip91aIaGd27aj6dfq5GwDYiaEPEX7eXoLwi4nsAoeusNlvQB29CuqCicSqx&#10;JBpsJLku3Xad0eln15FJwjWSlaZyMgm/7/NZrVeq7lHFweprC+o9LbzR5JUNTPoMtVVJiQPaf6C8&#10;1QgEXZpo8NVFSHGEVcymb7x5HFQ0RQtbTfHZdPp/sPrHcYfCtrwJCymC8jzxr4cEhVrMltmgMVLN&#10;eZuwwyxRn8JjfAD9m0SAzaBCb0r20zly8SxXVH+V5AtFptmP36HlHMUExa1Thz5Dsg/iVIZyfh6K&#10;OSWh+eOXxXK54HHpW6hS9a0uIqVvBrzIL42khMr2Q9pACDx5wFlhUccHSrkrVd8KMmmAe+tcWQAX&#10;xJiZ5otSQOBsm4M5jbDfbxyKo8orVJ4ikSOv0xAOob2QuHB1IIu+2LeH9rzDmzM8y9LNde/ysry+&#10;l+qXf23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e2UxHXAAAACQEAAA8AAAAAAAAAAQAgAAAA&#10;IgAAAGRycy9kb3ducmV2LnhtbFBLAQIUABQAAAAIAIdO4kA5izP80wEAALMDAAAOAAAAAAAAAAEA&#10;IAAAACYBAABkcnMvZTJvRG9jLnhtbFBLBQYAAAAABgAGAFkBAABrBQAAAAA=&#10;">
                <v:fill on="f" focussize="0,0"/>
                <v:stroke color="#000000" joinstyle="round"/>
                <v:imagedata o:title=""/>
                <o:lock v:ext="edit" aspectratio="f"/>
              </v:shape>
            </w:pict>
          </mc:Fallback>
        </mc:AlternateContent>
      </w:r>
      <w:r>
        <w:rPr>
          <w:rFonts w:hint="eastAsia"/>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highlight w:val="none"/>
        </w:rPr>
      </w:pPr>
    </w:p>
    <w:p>
      <w:pPr>
        <w:pStyle w:val="5"/>
        <w:rPr>
          <w:highlight w:val="none"/>
        </w:rPr>
      </w:pPr>
      <w:bookmarkStart w:id="24" w:name="_Toc3416"/>
      <w:bookmarkStart w:id="25" w:name="_Toc2339"/>
      <w:r>
        <w:rPr>
          <w:rFonts w:hint="eastAsia"/>
          <w:highlight w:val="none"/>
        </w:rPr>
        <w:t>供应商须知</w:t>
      </w:r>
      <w:bookmarkEnd w:id="24"/>
      <w:bookmarkEnd w:id="25"/>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
        <w:ind w:firstLine="0"/>
        <w:rPr>
          <w:highlight w:val="none"/>
        </w:rPr>
      </w:pPr>
    </w:p>
    <w:p>
      <w:pPr>
        <w:numPr>
          <w:ilvl w:val="0"/>
          <w:numId w:val="4"/>
        </w:numPr>
        <w:adjustRightInd w:val="0"/>
        <w:snapToGrid w:val="0"/>
        <w:spacing w:before="156" w:beforeLines="50" w:after="156" w:afterLines="50" w:line="50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（1）采购公告（采购邀请书）</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snapToGrid w:val="0"/>
              <w:jc w:val="center"/>
              <w:rPr>
                <w:sz w:val="24"/>
                <w:szCs w:val="24"/>
                <w:highlight w:val="none"/>
              </w:rPr>
            </w:pPr>
          </w:p>
        </w:tc>
        <w:tc>
          <w:tcPr>
            <w:tcW w:w="1263" w:type="dxa"/>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snapToGrid w:val="0"/>
              <w:jc w:val="center"/>
              <w:rPr>
                <w:rFonts w:ascii="仿宋_GB2312" w:eastAsia="仿宋_GB2312"/>
                <w:sz w:val="24"/>
                <w:szCs w:val="24"/>
                <w:highlight w:val="none"/>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3</w:t>
      </w:r>
      <w:r>
        <w:rPr>
          <w:rFonts w:hint="eastAsia" w:asciiTheme="minorEastAsia" w:hAnsiTheme="minorEastAsia"/>
          <w:b/>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4</w:t>
      </w:r>
      <w:r>
        <w:rPr>
          <w:rFonts w:hint="eastAsia" w:asciiTheme="minorEastAsia" w:hAnsiTheme="minorEastAsia"/>
          <w:b/>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r>
        <w:rPr>
          <w:rFonts w:hint="eastAsia" w:ascii="仿宋_GB2312" w:eastAsia="仿宋_GB2312"/>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5</w:t>
      </w:r>
      <w:r>
        <w:rPr>
          <w:rFonts w:hint="eastAsia" w:asciiTheme="minorEastAsia" w:hAnsiTheme="minorEastAsia"/>
          <w:b/>
          <w:sz w:val="32"/>
          <w:szCs w:val="32"/>
          <w:highlight w:val="none"/>
        </w:rPr>
        <w:t>.响应保证金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6</w:t>
      </w:r>
      <w:r>
        <w:rPr>
          <w:rFonts w:hint="eastAsia" w:asciiTheme="minorEastAsia" w:hAnsiTheme="minorEastAsia"/>
          <w:b/>
          <w:sz w:val="32"/>
          <w:szCs w:val="32"/>
          <w:highlight w:val="none"/>
        </w:rPr>
        <w:t>.响应文件要求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hint="eastAsia" w:asciiTheme="minorEastAsia" w:hAnsiTheme="minorEastAsia"/>
          <w:b/>
          <w:sz w:val="32"/>
          <w:szCs w:val="32"/>
          <w:highlight w:val="none"/>
        </w:rPr>
        <w:t>.本章附件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840" w:firstLineChars="300"/>
        <w:jc w:val="left"/>
        <w:rPr>
          <w:rFonts w:hint="eastAsia"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560" w:lineRule="exact"/>
        <w:ind w:firstLine="840" w:firstLineChars="300"/>
        <w:jc w:val="left"/>
        <w:rPr>
          <w:rFonts w:ascii="仿宋_GB2312" w:eastAsia="仿宋_GB2312"/>
          <w:sz w:val="28"/>
          <w:szCs w:val="28"/>
          <w:highlight w:val="none"/>
        </w:rPr>
      </w:pP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9"/>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9"/>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9"/>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宋体" w:hAnsi="宋体" w:eastAsia="宋体" w:cs="宋体"/>
          <w:b/>
          <w:bCs/>
          <w:sz w:val="44"/>
          <w:szCs w:val="44"/>
          <w:highlight w:val="none"/>
        </w:rPr>
        <w:t>成交通知书</w:t>
      </w:r>
    </w:p>
    <w:p>
      <w:pPr>
        <w:pStyle w:val="39"/>
        <w:rPr>
          <w:highlight w:val="none"/>
        </w:rPr>
      </w:pPr>
    </w:p>
    <w:p>
      <w:pPr>
        <w:pStyle w:val="39"/>
        <w:ind w:firstLine="1400" w:firstLineChars="500"/>
        <w:rPr>
          <w:rFonts w:ascii="仿宋_GB2312" w:eastAsia="仿宋_GB2312"/>
          <w:highlight w:val="none"/>
        </w:rPr>
      </w:pPr>
      <w:r>
        <w:rPr>
          <w:rFonts w:hint="eastAsia" w:ascii="仿宋_GB2312" w:eastAsia="仿宋_GB2312" w:hAnsiTheme="majorEastAsia" w:cstheme="minorBidi"/>
          <w:kern w:val="2"/>
          <w:sz w:val="28"/>
          <w:szCs w:val="28"/>
          <w:highlight w:val="none"/>
          <w:lang w:val="en-US" w:eastAsia="zh-CN" w:bidi="ar-SA"/>
        </w:rPr>
        <w:t>（编号：广净（非公招询）字 [ ] 第 [ ] 号）</w:t>
      </w:r>
    </w:p>
    <w:p>
      <w:pPr>
        <w:adjustRightInd w:val="0"/>
        <w:snapToGrid w:val="0"/>
        <w:spacing w:line="600" w:lineRule="exact"/>
        <w:jc w:val="left"/>
        <w:rPr>
          <w:rFonts w:hint="eastAsia" w:ascii="仿宋_GB2312" w:eastAsia="仿宋_GB2312" w:hAnsiTheme="majorEastAsia"/>
          <w:sz w:val="28"/>
          <w:szCs w:val="28"/>
          <w:highlight w:val="none"/>
          <w:u w:val="single"/>
          <w:lang w:val="en-US" w:eastAsia="zh-CN"/>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lang w:val="en-US" w:eastAsia="zh-CN"/>
        </w:rPr>
        <w:t xml:space="preserve">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lang w:val="en-US" w:eastAsia="zh-CN"/>
        </w:rPr>
        <w:t>广州市净水有限公司2023-2025年度净水智慧运营管理平台运维服务项目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lang w:val="en-US" w:eastAsia="zh-CN"/>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lang w:val="en-US" w:eastAsia="zh-CN"/>
        </w:rPr>
        <w:t xml:space="preserve"> 元</w:t>
      </w:r>
      <w:r>
        <w:rPr>
          <w:rFonts w:hint="eastAsia" w:ascii="仿宋_GB2312" w:eastAsia="仿宋_GB2312" w:hAnsiTheme="majorEastAsia"/>
          <w:sz w:val="28"/>
          <w:szCs w:val="28"/>
          <w:highlight w:val="none"/>
        </w:rPr>
        <w:t>。</w:t>
      </w:r>
    </w:p>
    <w:p>
      <w:pPr>
        <w:adjustRightInd w:val="0"/>
        <w:snapToGrid w:val="0"/>
        <w:spacing w:line="600" w:lineRule="exact"/>
        <w:ind w:firstLine="560" w:firstLineChars="2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jc w:val="left"/>
        <w:rPr>
          <w:rFonts w:hint="eastAsia"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年</w:t>
      </w:r>
      <w:r>
        <w:rPr>
          <w:rFonts w:hint="eastAsia" w:ascii="仿宋_GB2312" w:eastAsia="仿宋_GB2312" w:hAnsiTheme="majorEastAsia"/>
          <w:sz w:val="28"/>
          <w:szCs w:val="28"/>
          <w:highlight w:val="none"/>
          <w:lang w:val="en-US" w:eastAsia="zh-CN"/>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lang w:val="en-US" w:eastAsia="zh-CN"/>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rPr>
        <w:br w:type="textWrapping"/>
      </w: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ascii="宋体" w:hAnsi="宋体" w:eastAsia="宋体"/>
          <w:b/>
          <w:color w:val="auto"/>
          <w:sz w:val="28"/>
          <w:szCs w:val="28"/>
          <w:highlight w:val="none"/>
        </w:rPr>
      </w:pPr>
      <w:r>
        <w:rPr>
          <w:rFonts w:hint="eastAsia" w:ascii="宋体" w:hAnsi="宋体" w:eastAsia="宋体"/>
          <w:b/>
          <w:color w:val="auto"/>
          <w:sz w:val="28"/>
          <w:szCs w:val="28"/>
          <w:highlight w:val="none"/>
        </w:rPr>
        <w:t>附件</w:t>
      </w:r>
      <w:r>
        <w:rPr>
          <w:rFonts w:hint="eastAsia" w:ascii="宋体" w:hAnsi="宋体" w:eastAsia="宋体"/>
          <w:b/>
          <w:color w:val="auto"/>
          <w:sz w:val="28"/>
          <w:szCs w:val="28"/>
          <w:highlight w:val="none"/>
          <w:lang w:val="en-US" w:eastAsia="zh-CN"/>
        </w:rPr>
        <w:t>5</w:t>
      </w:r>
      <w:r>
        <w:rPr>
          <w:rFonts w:hint="eastAsia" w:ascii="宋体" w:hAnsi="宋体" w:eastAsia="宋体"/>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w:t>
      </w:r>
      <w:r>
        <w:rPr>
          <w:rFonts w:hint="eastAsia" w:hAnsi="仿宋"/>
          <w:sz w:val="24"/>
          <w:highlight w:val="none"/>
          <w:lang w:eastAsia="zh-CN"/>
        </w:rPr>
        <w:t>供应商</w:t>
      </w:r>
      <w:r>
        <w:rPr>
          <w:rFonts w:hAnsi="仿宋"/>
          <w:sz w:val="24"/>
          <w:highlight w:val="none"/>
        </w:rPr>
        <w:t>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w:t>
      </w:r>
      <w:r>
        <w:rPr>
          <w:rFonts w:hint="eastAsia" w:hAnsi="仿宋"/>
          <w:sz w:val="24"/>
          <w:highlight w:val="none"/>
          <w:lang w:eastAsia="zh-CN"/>
        </w:rPr>
        <w:t>供应商</w:t>
      </w:r>
      <w:r>
        <w:rPr>
          <w:rFonts w:hAnsi="仿宋"/>
          <w:sz w:val="24"/>
          <w:highlight w:val="none"/>
        </w:rPr>
        <w:t>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w:t>
      </w:r>
      <w:r>
        <w:rPr>
          <w:rFonts w:hint="eastAsia" w:hAnsi="仿宋"/>
          <w:sz w:val="24"/>
          <w:highlight w:val="none"/>
          <w:lang w:eastAsia="zh-CN"/>
        </w:rPr>
        <w:t>供应商</w:t>
      </w:r>
      <w:r>
        <w:rPr>
          <w:rFonts w:hAnsi="仿宋"/>
          <w:sz w:val="24"/>
          <w:highlight w:val="none"/>
        </w:rPr>
        <w:t>绑定投标的附条件生效协议以及能证明其能履行该协议项下的合同义务的能力的证明文件。</w:t>
      </w:r>
      <w:r>
        <w:rPr>
          <w:rFonts w:hAnsi="仿宋"/>
          <w:sz w:val="24"/>
          <w:highlight w:val="none"/>
        </w:rPr>
        <w:tab/>
      </w:r>
    </w:p>
    <w:p>
      <w:pPr>
        <w:adjustRightInd w:val="0"/>
        <w:snapToGrid w:val="0"/>
        <w:spacing w:line="600" w:lineRule="exact"/>
        <w:ind w:firstLine="4672" w:firstLineChars="1947"/>
        <w:jc w:val="left"/>
        <w:rPr>
          <w:rFonts w:ascii="仿宋_GB2312" w:eastAsia="仿宋_GB2312" w:hAnsiTheme="majorEastAsia"/>
          <w:sz w:val="28"/>
          <w:szCs w:val="28"/>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5"/>
        <w:rPr>
          <w:rFonts w:asciiTheme="minorHAnsi" w:hAnsiTheme="minorHAnsi" w:cstheme="minorBidi"/>
          <w:kern w:val="44"/>
          <w:sz w:val="44"/>
          <w:szCs w:val="44"/>
          <w:highlight w:val="none"/>
        </w:rPr>
      </w:pPr>
      <w:bookmarkStart w:id="26" w:name="_Toc2867"/>
      <w:bookmarkStart w:id="27" w:name="_Toc21455"/>
      <w:r>
        <w:rPr>
          <w:rFonts w:asciiTheme="minorHAnsi" w:hAnsiTheme="minorHAnsi" w:cstheme="minorBidi"/>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2426970</wp:posOffset>
                </wp:positionH>
                <wp:positionV relativeFrom="paragraph">
                  <wp:posOffset>185420</wp:posOffset>
                </wp:positionV>
                <wp:extent cx="958850" cy="0"/>
                <wp:effectExtent l="9525" t="5715" r="12700" b="13335"/>
                <wp:wrapNone/>
                <wp:docPr id="12" name="AutoShape 3"/>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91.1pt;margin-top:14.6pt;height:0pt;width:75.5pt;z-index:251659264;mso-width-relative:page;mso-height-relative:page;" filled="f" stroked="t" coordsize="21600,21600" o:gfxdata="UEsDBAoAAAAAAIdO4kAAAAAAAAAAAAAAAAAEAAAAZHJzL1BLAwQUAAAACACHTuJAejWhqNYAAAAJ&#10;AQAADwAAAGRycy9kb3ducmV2LnhtbE2PzU7DMBCE70i8g7VIXBC146ioDXEqhMSBI20lrm68JIF4&#10;HcVOU/r0LOJAT/s3mvm23Jx8L444xi6QgWyhQCDVwXXUGNjvXu5XIGKy5GwfCA18Y4RNdX1V2sKF&#10;md7wuE2NYBOKhTXQpjQUUsa6RW/jIgxIfPsIo7eJx7GRbrQzm/teaqUepLcdcUJrB3xusf7aTt4A&#10;xmmZqae1b/av5/nuXZ8/52FnzO1Nph5BJDylfzH84jM6VMx0CBO5KHoD+UprlhrQa64sWOY5N4e/&#10;haxKeflB9QNQSwMEFAAAAAgAh07iQCrW/JHTAQAAsgMAAA4AAABkcnMvZTJvRG9jLnhtbK1TTW/b&#10;MAy9D9h/EHRfnGTIkBlxiiFBd+m2Au1+gCLLtjBJFEglTv79KOVjXXfpYT4Ikki+x/cor+6O3omD&#10;QbIQGjmbTKUwQUNrQ9/In8/3H5ZSUFKhVQ6CaeTJkLxbv3+3GmNt5jCAaw0KBglUj7GRQ0qxrirS&#10;g/GKJhBN4GAH6FXiI/ZVi2pkdO+q+XT6qRoB24igDRHfbs9BeUHEtwBC11lttqD33oR0RkXjVGJJ&#10;NNhIcl267Tqj04+uI5OEayQrTWVlEt7v8lqtV6ruUcXB6ksL6i0tvNLklQ1MeoPaqqTEHu0/UN5q&#10;BIIuTTT46iykOMIqZtNX3jwNKpqiha2meDOd/h+s/n54RGFbfglzKYLyPPEv+wSFWnzM/oyRak7b&#10;hEfMCvUxPMUH0L9IBNgMKvSmJD+fItfOckX1V0k+UGSW3fgNWs5RjF/MOnboMyTbII5lJqfbTMwx&#10;Cc2XnxfL5YKnpa+hStXXuoiUvhrwIm8aSQmV7Ye0gRB48ICzwqIOD5RyV6q+FmTSAPfWuTJ/F8SY&#10;meaLUkDgbJuDOY2w320cioPKL6h8RSJHXqYh7EN7JnHh4kAWfbZvB+3pEa/O8ChLN5dnl9/Ky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jWhqNYAAAAJAQAADwAAAAAAAAABACAAAAAi&#10;AAAAZHJzL2Rvd25yZXYueG1sUEsBAhQAFAAAAAgAh07iQCrW/JHTAQAAsgMAAA4AAAAAAAAAAQAg&#10;AAAAJQEAAGRycy9lMm9Eb2MueG1sUEsFBgAAAAAGAAYAWQEAAGoFAAAAAA==&#10;">
                <v:fill on="f" focussize="0,0"/>
                <v:stroke color="#000000" joinstyle="round"/>
                <v:imagedata o:title=""/>
                <o:lock v:ext="edit" aspectratio="f"/>
              </v:shape>
            </w:pict>
          </mc:Fallback>
        </mc:AlternateContent>
      </w:r>
      <w:r>
        <w:rPr>
          <w:rFonts w:asciiTheme="minorHAnsi" w:hAnsiTheme="minorHAnsi" w:cstheme="minorBidi"/>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2420620</wp:posOffset>
                </wp:positionH>
                <wp:positionV relativeFrom="paragraph">
                  <wp:posOffset>662305</wp:posOffset>
                </wp:positionV>
                <wp:extent cx="958850" cy="0"/>
                <wp:effectExtent l="12065" t="7620" r="10160" b="11430"/>
                <wp:wrapNone/>
                <wp:docPr id="13" name="AutoShape 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190.6pt;margin-top:52.15pt;height:0pt;width:75.5pt;z-index:251660288;mso-width-relative:page;mso-height-relative:page;" filled="f" stroked="t" coordsize="21600,21600" o:gfxdata="UEsDBAoAAAAAAIdO4kAAAAAAAAAAAAAAAAAEAAAAZHJzL1BLAwQUAAAACACHTuJAA12JItcAAAAL&#10;AQAADwAAAGRycy9kb3ducmV2LnhtbE2PQUvDQBCF70L/wzIFL2J3k1ipMZtSBA8ebQtet9kxic3O&#10;huymqf31jiDU47z38ea9Yn12nTjhEFpPGpKFAoFUedtSrWG/e71fgQjRkDWdJ9TwjQHW5eymMLn1&#10;E73jaRtrwSEUcqOhibHPpQxVg86Ehe+R2Pv0gzORz6GWdjATh7tOpko9Smda4g+N6fGlweq4HZ0G&#10;DOMyUZsnV+/fLtPdR3r5mvqd1rfzRD2DiHiOVxh+63N1KLnTwY9kg+g0ZKskZZQN9ZCBYGKZpawc&#10;/hRZFvL/hvIHUEsDBBQAAAAIAIdO4kDNOxlE0wEAALIDAAAOAAAAZHJzL2Uyb0RvYy54bWytU01v&#10;2zAMvQ/YfxB0X5xkyJAZcYohQXfptgLtfoAiy7YwSRRIJU7+/SjlY1136WE+CJJIvsf3KK/ujt6J&#10;g0GyEBo5m0ylMEFDa0PfyJ/P9x+WUlBSoVUOgmnkyZC8W79/txpjbeYwgGsNCgYJVI+xkUNKsa4q&#10;0oPxiiYQTeBgB+hV4iP2VYtqZHTvqvl0+qkaAduIoA0R327PQXlBxLcAQtdZbbag996EdEZF41Ri&#10;STTYSHJduu06o9OPriOThGskK01lZRLe7/JarVeq7lHFwepLC+otLbzS5JUNTHqD2qqkxB7tP1De&#10;agSCLk00+OospDjCKmbTV948DSqaooWtpngznf4frP5+eERhW34JH6UIyvPEv+wTFGqxyP6MkWpO&#10;24RHzAr1MTzFB9C/SATYDCr0piQ/nyLXznJF9VdJPlBklt34DVrOUYxf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NdiSLXAAAACwEAAA8AAAAAAAAAAQAgAAAA&#10;IgAAAGRycy9kb3ducmV2LnhtbFBLAQIUABQAAAAIAIdO4kDNOxlE0wEAALIDAAAOAAAAAAAAAAEA&#10;IAAAACYBAABkcnMvZTJvRG9jLnhtbFBLBQYAAAAABgAGAFkBAABr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lang w:val="en-US" w:eastAsia="zh-CN"/>
        </w:rPr>
        <w:t xml:space="preserve"> </w:t>
      </w:r>
      <w:r>
        <w:rPr>
          <w:rFonts w:hint="eastAsia" w:asciiTheme="minorHAnsi" w:hAnsiTheme="minorHAnsi" w:cstheme="minorBidi"/>
          <w:kern w:val="44"/>
          <w:sz w:val="44"/>
          <w:szCs w:val="44"/>
          <w:highlight w:val="none"/>
        </w:rPr>
        <w:t>第三章</w:t>
      </w:r>
      <w:bookmarkEnd w:id="26"/>
      <w:bookmarkEnd w:id="27"/>
    </w:p>
    <w:p>
      <w:pPr>
        <w:pStyle w:val="39"/>
        <w:rPr>
          <w:highlight w:val="none"/>
        </w:rPr>
      </w:pPr>
    </w:p>
    <w:p>
      <w:pPr>
        <w:pStyle w:val="5"/>
        <w:rPr>
          <w:highlight w:val="none"/>
        </w:rPr>
      </w:pPr>
      <w:bookmarkStart w:id="28" w:name="_Toc7040"/>
      <w:bookmarkStart w:id="29" w:name="_Toc87616371"/>
      <w:bookmarkStart w:id="30" w:name="_Toc7303"/>
      <w:bookmarkStart w:id="31" w:name="_Toc88209934"/>
      <w:r>
        <w:rPr>
          <w:rFonts w:hint="eastAsia"/>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highlight w:val="none"/>
        </w:rPr>
      </w:pPr>
      <w:bookmarkStart w:id="32" w:name="_Toc24895"/>
      <w:bookmarkStart w:id="33" w:name="_Toc3789"/>
      <w:r>
        <w:rPr>
          <w:rFonts w:hint="eastAsia"/>
          <w:highlight w:val="none"/>
        </w:rPr>
        <w:t>询比采购</w:t>
      </w:r>
      <w:bookmarkEnd w:id="32"/>
      <w:bookmarkEnd w:id="33"/>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w:t>
            </w:r>
            <w:r>
              <w:rPr>
                <w:rFonts w:hint="eastAsia" w:ascii="仿宋_GB2312" w:eastAsia="仿宋_GB2312" w:hAnsiTheme="minorEastAsia"/>
                <w:sz w:val="24"/>
                <w:szCs w:val="24"/>
                <w:highlight w:val="none"/>
                <w:u w:val="single"/>
              </w:rPr>
              <w:t xml:space="preserve"> </w:t>
            </w:r>
            <w:r>
              <w:rPr>
                <w:rFonts w:hint="eastAsia" w:ascii="仿宋_GB2312" w:eastAsia="仿宋_GB2312" w:hAnsiTheme="minorEastAsia"/>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left="455"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snapToGri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ascii="仿宋_GB2312" w:eastAsia="仿宋_GB2312" w:hAnsiTheme="minorEastAsia"/>
                <w:sz w:val="24"/>
                <w:szCs w:val="24"/>
                <w:highlight w:val="none"/>
              </w:rPr>
            </w:pPr>
            <w:r>
              <w:rPr>
                <w:rFonts w:hint="eastAsia" w:ascii="仿宋" w:hAnsi="仿宋" w:eastAsia="仿宋" w:cs="仿宋"/>
                <w:sz w:val="28"/>
                <w:szCs w:val="28"/>
                <w:highlight w:val="none"/>
                <w:lang w:eastAsia="zh-CN"/>
              </w:rPr>
              <w:t>☑</w:t>
            </w: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420" w:hangingChars="150"/>
              <w:rPr>
                <w:rFonts w:ascii="仿宋_GB2312" w:eastAsia="仿宋_GB2312" w:hAnsiTheme="minorEastAsia"/>
                <w:sz w:val="24"/>
                <w:szCs w:val="24"/>
                <w:highlight w:val="none"/>
              </w:rPr>
            </w:pPr>
            <w:r>
              <w:rPr>
                <w:rFonts w:hint="eastAsia" w:ascii="仿宋" w:hAnsi="仿宋" w:eastAsia="仿宋" w:cs="仿宋"/>
                <w:sz w:val="28"/>
                <w:szCs w:val="28"/>
                <w:highlight w:val="none"/>
              </w:rPr>
              <w:t>□</w:t>
            </w:r>
            <w:r>
              <w:rPr>
                <w:rFonts w:hint="eastAsia" w:ascii="仿宋_GB2312" w:eastAsia="仿宋_GB2312" w:hAnsiTheme="minorEastAsia"/>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4"/>
        <w:ind w:firstLine="3960" w:firstLineChars="900"/>
        <w:jc w:val="both"/>
        <w:rPr>
          <w:highlight w:val="none"/>
        </w:rPr>
      </w:pPr>
      <w:bookmarkStart w:id="34" w:name="_Toc3156"/>
      <w:bookmarkStart w:id="35" w:name="_Toc14870"/>
      <w:bookmarkStart w:id="36" w:name="_Toc7437"/>
      <w:bookmarkStart w:id="37" w:name="_Toc14552"/>
      <w:bookmarkStart w:id="38" w:name="_Toc7118"/>
      <w:bookmarkStart w:id="39" w:name="_Toc4952"/>
      <w:bookmarkStart w:id="40" w:name="_Toc20594"/>
      <w:bookmarkStart w:id="41" w:name="_Toc23581"/>
      <w:bookmarkStart w:id="42" w:name="_Toc19759"/>
      <w:bookmarkStart w:id="43" w:name="_Toc10930"/>
      <w:bookmarkStart w:id="44" w:name="_Toc19050"/>
      <w:r>
        <w:rPr>
          <w:highlight w:val="none"/>
        </w:rPr>
        <mc:AlternateContent>
          <mc:Choice Requires="wps">
            <w:drawing>
              <wp:anchor distT="0" distB="0" distL="114300" distR="114300" simplePos="0" relativeHeight="251662336" behindDoc="0" locked="0" layoutInCell="1" allowOverlap="1">
                <wp:simplePos x="0" y="0"/>
                <wp:positionH relativeFrom="column">
                  <wp:posOffset>2435225</wp:posOffset>
                </wp:positionH>
                <wp:positionV relativeFrom="paragraph">
                  <wp:posOffset>713105</wp:posOffset>
                </wp:positionV>
                <wp:extent cx="958850" cy="0"/>
                <wp:effectExtent l="9525" t="13970" r="12700" b="5080"/>
                <wp:wrapNone/>
                <wp:docPr id="11" name="AutoShape 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191.75pt;margin-top:56.15pt;height:0pt;width:75.5pt;z-index:251662336;mso-width-relative:page;mso-height-relative:page;" filled="f" stroked="t" coordsize="21600,21600" o:gfxdata="UEsDBAoAAAAAAIdO4kAAAAAAAAAAAAAAAAAEAAAAZHJzL1BLAwQUAAAACACHTuJAl7m+D9cAAAAL&#10;AQAADwAAAGRycy9kb3ducmV2LnhtbE2PQUvDQBCF74L/YRnBi9jdJEbamE0RwYNH24LXbXaaRLOz&#10;Ibtpan+9Iwj1OO99vHmvXJ9cL444hs6ThmShQCDV3nbUaNhtX++XIEI0ZE3vCTV8Y4B1dX1VmsL6&#10;md7xuImN4BAKhdHQxjgUUoa6RWfCwg9I7B386Ezkc2ykHc3M4a6XqVKP0pmO+ENrBnxpsf7aTE4D&#10;hilP1PPKNbu383z3kZ4/52Gr9e1Nop5ARDzFCwy/9bk6VNxp7yeyQfQasmWWM8pGkmYgmMizB1b2&#10;f4qsSvl/Q/UDUEsDBBQAAAAIAIdO4kDawz3i0wEAALIDAAAOAAAAZHJzL2Uyb0RvYy54bWytU01v&#10;2zAMvQ/YfxB0X5wEyJYZcYohQXfptgLtfoAiy7YwSRRIJU7+/SjlY1136WE+CJJIvsf3KK/ujt6J&#10;g0GyEBo5m0ylMEFDa0PfyJ/P9x+WUlBSoVUOgmnkyZC8W79/txpjbeYwgGsNCgYJVI+xkUNKsa4q&#10;0oPxiiYQTeBgB+hV4iP2VYtqZHTvqvl0+rEaAduIoA0R327PQXlBxLcAQtdZbbag996EdEZF41Ri&#10;STTYSHJduu06o9OPriOThGskK01lZRLe7/JarVeq7lHFwepLC+otLbzS5JUNTHqD2qqkxB7tP1De&#10;agSCLk00+OospDjCKmbTV948DSqaooWtpngznf4frP5+eERhW34JMymC8jzxL/sEhVp8yv6MkWpO&#10;24RHzAr1MTzFB9C/SATYDCr0piQ/nyLXznJF9VdJPlBklt34DVrOUYxf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e5vg/XAAAACwEAAA8AAAAAAAAAAQAgAAAA&#10;IgAAAGRycy9kb3ducmV2LnhtbFBLAQIUABQAAAAIAIdO4kDawz3i0wEAALIDAAAOAAAAAAAAAAEA&#10;IAAAACYBAABkcnMvZTJvRG9jLnhtbFBLBQYAAAAABgAGAFkBAABr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2420620</wp:posOffset>
                </wp:positionH>
                <wp:positionV relativeFrom="paragraph">
                  <wp:posOffset>277495</wp:posOffset>
                </wp:positionV>
                <wp:extent cx="958850" cy="0"/>
                <wp:effectExtent l="9525" t="12065" r="12700" b="6985"/>
                <wp:wrapNone/>
                <wp:docPr id="10" name="AutoShape 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90.6pt;margin-top:21.85pt;height:0pt;width:75.5pt;z-index:251661312;mso-width-relative:page;mso-height-relative:page;" filled="f" stroked="t" coordsize="21600,21600" o:gfxdata="UEsDBAoAAAAAAIdO4kAAAAAAAAAAAAAAAAAEAAAAZHJzL1BLAwQUAAAACACHTuJAfZe6OdcAAAAJ&#10;AQAADwAAAGRycy9kb3ducmV2LnhtbE2PwU7DMAyG70h7h8hIXBBL2jIYpek0IXHgyDaJa9aYttA4&#10;VZOuY0+Ppx3g6N+ffn8uVkfXiQMOofWkIZkrEEiVty3VGnbb17sliBANWdN5Qg0/GGBVzq4Kk1s/&#10;0TseNrEWXEIhNxqaGPtcylA16EyY+x6Jd59+cCbyONTSDmbictfJVKkH6UxLfKExPb40WH1vRqcB&#10;w7hI1PrJ1bu303T7kZ6+pn6r9c11op5BRDzGPxjO+qwOJTvt/Ug2iE5DtkxSRjXcZ48gGFhkKQf7&#10;SyDLQv7/oPwFUEsDBBQAAAAIAIdO4kDxPJdc0gEAALIDAAAOAAAAZHJzL2Uyb0RvYy54bWytU8Fu&#10;2zAMvQ/YPwi6L04CpMiMOMWQoLt0W4B2H6DIsi1MEgVSiZO/H6UkXdddepgPgiSS7/E9yqv7k3fi&#10;aJAshEbOJlMpTNDQ2tA38ufzw6elFJRUaJWDYBp5NiTv1x8/rMZYmzkM4FqDgkEC1WNs5JBSrKuK&#10;9GC8oglEEzjYAXqV+Ih91aIaGd27aj6d3lUjYBsRtCHi2+0lKK+I+B5A6DqrzRb0wZuQLqhonEos&#10;iQYbSa5Lt11ndPrRdWSScI1kpamsTML7fV6r9UrVPao4WH1tQb2nhTeavLKBSV+gtiopcUD7D5S3&#10;GoGgSxMNvroIKY6witn0jTdPg4qmaGGrKb6YTv8PVn8/7lDYll8CWxKU54l/OSQo1OIu+zNGqjlt&#10;E3aYFepTeIqPoH+RCLAZVOhNSX4+R66d5Yrqr5J8oMgs+/EbtJyjGL+YderQZ0i2QZzKTM4vMzGn&#10;JDRffl4slwtuTd9ClapvdREpfTXgRd40khIq2w9pAyHw4AFnhUUdHynlrlR9K8ikAR6sc2X+Logx&#10;M80XpYDA2TYHcxphv984FEeVX1D5ikSOvE5DOIT2QuLC1YEs+mLfHtrzDm/O8ChLN9dnl9/K6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Ze6OdcAAAAJAQAADwAAAAAAAAABACAAAAAi&#10;AAAAZHJzL2Rvd25yZXYueG1sUEsBAhQAFAAAAAgAh07iQPE8l1zSAQAAsgMAAA4AAAAAAAAAAQAg&#10;AAAAJgEAAGRycy9lMm9Eb2MueG1sUEsFBgAAAAAGAAYAWQEAAGoFAAAAAA==&#10;">
                <v:fill on="f" focussize="0,0"/>
                <v:stroke color="#000000" joinstyle="round"/>
                <v:imagedata o:title=""/>
                <o:lock v:ext="edit" aspectratio="f"/>
              </v:shape>
            </w:pict>
          </mc:Fallback>
        </mc:AlternateContent>
      </w:r>
      <w:r>
        <w:rPr>
          <w:rFonts w:hint="eastAsia"/>
          <w:highlight w:val="none"/>
        </w:rPr>
        <w:t>第四章</w:t>
      </w:r>
      <w:bookmarkEnd w:id="34"/>
      <w:bookmarkEnd w:id="35"/>
      <w:bookmarkEnd w:id="36"/>
      <w:bookmarkEnd w:id="37"/>
      <w:bookmarkEnd w:id="38"/>
      <w:bookmarkEnd w:id="39"/>
      <w:bookmarkEnd w:id="40"/>
      <w:bookmarkEnd w:id="41"/>
      <w:bookmarkEnd w:id="42"/>
      <w:bookmarkEnd w:id="43"/>
      <w:bookmarkEnd w:id="44"/>
    </w:p>
    <w:p>
      <w:pPr>
        <w:pStyle w:val="39"/>
        <w:rPr>
          <w:highlight w:val="none"/>
        </w:rPr>
      </w:pPr>
    </w:p>
    <w:p>
      <w:pPr>
        <w:pStyle w:val="4"/>
        <w:rPr>
          <w:highlight w:val="none"/>
        </w:rPr>
      </w:pPr>
      <w:bookmarkStart w:id="45" w:name="_Toc87616378"/>
      <w:bookmarkStart w:id="46" w:name="_Toc13898"/>
      <w:bookmarkStart w:id="47" w:name="_Toc30530"/>
      <w:bookmarkStart w:id="48" w:name="_Toc21840"/>
      <w:bookmarkStart w:id="49" w:name="_Toc22212"/>
      <w:bookmarkStart w:id="50" w:name="_Toc29484"/>
      <w:bookmarkStart w:id="51" w:name="_Toc32607"/>
      <w:bookmarkStart w:id="52" w:name="_Toc21079"/>
      <w:bookmarkStart w:id="53" w:name="_Toc29345"/>
      <w:bookmarkStart w:id="54" w:name="_Toc7831"/>
      <w:bookmarkStart w:id="55" w:name="_Toc6308"/>
      <w:bookmarkStart w:id="56" w:name="_Toc12177"/>
      <w:bookmarkStart w:id="57" w:name="_Toc88209941"/>
      <w:r>
        <w:rPr>
          <w:rFonts w:hint="eastAsia"/>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highlight w:val="none"/>
        </w:rPr>
      </w:pPr>
      <w:bookmarkStart w:id="58" w:name="_Toc23033"/>
      <w:bookmarkStart w:id="59" w:name="_Toc26826"/>
      <w:r>
        <w:rPr>
          <w:rFonts w:hint="eastAsia" w:ascii="仿宋" w:hAnsi="仿宋" w:eastAsia="仿宋" w:cs="仿宋"/>
          <w:sz w:val="28"/>
          <w:szCs w:val="28"/>
          <w:highlight w:val="none"/>
          <w:lang w:eastAsia="zh-CN"/>
        </w:rPr>
        <w:t>☑</w:t>
      </w:r>
      <w:r>
        <w:rPr>
          <w:rFonts w:hint="eastAsia"/>
          <w:highlight w:val="none"/>
        </w:rPr>
        <w:t>经评审的最低价法</w:t>
      </w:r>
      <w:bookmarkEnd w:id="58"/>
      <w:bookmarkEnd w:id="59"/>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highlight w:val="none"/>
        </w:rPr>
      </w:pPr>
      <w:bookmarkStart w:id="60" w:name="_Toc88209947"/>
      <w:r>
        <w:rPr>
          <w:highlight w:val="none"/>
        </w:rPr>
        <mc:AlternateContent>
          <mc:Choice Requires="wps">
            <w:drawing>
              <wp:anchor distT="0" distB="0" distL="114300" distR="114300" simplePos="0" relativeHeight="251670528" behindDoc="0" locked="0" layoutInCell="1" allowOverlap="1">
                <wp:simplePos x="0" y="0"/>
                <wp:positionH relativeFrom="column">
                  <wp:posOffset>2355215</wp:posOffset>
                </wp:positionH>
                <wp:positionV relativeFrom="paragraph">
                  <wp:posOffset>257175</wp:posOffset>
                </wp:positionV>
                <wp:extent cx="958850" cy="0"/>
                <wp:effectExtent l="13335" t="13970" r="8890" b="5080"/>
                <wp:wrapNone/>
                <wp:docPr id="8"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85.45pt;margin-top:20.25pt;height:0pt;width:75.5pt;z-index:251670528;mso-width-relative:page;mso-height-relative:page;" filled="f" stroked="t" coordsize="21600,21600" o:gfxdata="UEsDBAoAAAAAAIdO4kAAAAAAAAAAAAAAAAAEAAAAZHJzL1BLAwQUAAAACACHTuJAHtjk4tYAAAAJ&#10;AQAADwAAAGRycy9kb3ducmV2LnhtbE2PwU7DMAyG70i8Q2SkXRBLWiiwruk0IXHgyDaJa9aYtqxx&#10;qiZdx54eIw7j6N+ffn8uVifXiSMOofWkIZkrEEiVty3VGnbb17tnECEasqbzhBq+McCqvL4qTG79&#10;RO943MRacAmF3GhoYuxzKUPVoDNh7nsk3n36wZnI41BLO5iJy10nU6UepTMt8YXG9PjSYHXYjE4D&#10;hjFL1Hrh6t3bebr9SM9fU7/VenaTqCWIiKd4geFXn9WhZKe9H8kG0Wm4f1ILRjU8qAwEA1macLD/&#10;C2RZyP8flD9QSwMEFAAAAAgAh07iQCiEJ1/PAQAAsgMAAA4AAABkcnMvZTJvRG9jLnhtbK1TwY7a&#10;MBC9V+o/WL6XABIVjQirCrS9bFuk3X6AcZzEqu2xZgyBv+/YwLallz00B8vj8bw3742zejh5J44G&#10;yUJo5GwylcIEDa0NfSN/vDx+WEpBSYVWOQimkWdD8mH9/t1qjLWZwwCuNSgYJFA9xkYOKcW6qkgP&#10;xiuaQDSBkx2gV4lD7KsW1cjo3lXz6fRjNQK2EUEbIj7dXpLyiohvAYSus9psQR+8CemCisapxJJo&#10;sJHkunTbdUan711HJgnXSFaaysokvN/ntVqvVN2jioPV1xbUW1q40+SVDUz6CrVVSYkD2n+gvNUI&#10;BF2aaPDVRUhxhFXMpnfePA8qmqKFrab4ajr9P1j97bhDYdtG8tiD8jzwz4cEhVnMF9mfMVLN1zZh&#10;h1mhPoXn+AT6J4kAm0GF3pTbL+fIxbNcUf1VkgOKzLIfv0LLdxQTFLNOHfoMyTaIU5nJ+XUm5pSE&#10;5sNPi+VywdPSt1Sl6ltdREpfDHiRN42khMr2Q9pACDx4wFlhUccnSrkrVd8KMmmAR+tcmb8LYsxM&#10;rDdnCJxtc7IE2O83DsVR5RdUviLx7hrCIbQXEheuDmTRF/v20J53eHOGR1m6uT67/Fb+jEv1719t&#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e2OTi1gAAAAkBAAAPAAAAAAAAAAEAIAAAACIAAABk&#10;cnMvZG93bnJldi54bWxQSwECFAAUAAAACACHTuJAKIQnX88BAACyAwAADgAAAAAAAAABACAAAAAl&#10;AQAAZHJzL2Uyb0RvYy54bWxQSwUGAAAAAAYABgBZAQAAZ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5715" t="13335" r="6985" b="5715"/>
                <wp:wrapNone/>
                <wp:docPr id="9"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D7S8mT0wEAALIDAAAOAAAAZHJzL2Uyb0RvYy54bWytU8Fu&#10;2zAMvQ/YPwi6L06CZUiNOMWQoLt0W4B2H6DIsi1MFgVSiZO/HyUnadddepgPgiSS7/E9yqv7U+/E&#10;0SBZ8JWcTaZSGK+htr6t5K/nh09LKSgqXysH3lTybEjerz9+WA2hNHPowNUGBYN4KodQyS7GUBYF&#10;6c70iiYQjOdgA9iryEdsixrVwOi9K+bT6ZdiAKwDgjZEfLsdg/KCiO8BhKax2mxBH3rj44iKxqnI&#10;kqizgeQ6d9s0RsefTUMmCldJVhrzyiS836e1WK9U2aIKndWXFtR7WnijqVfWM+kNaquiEge0/0D1&#10;ViMQNHGioS9GIdkRVjGbvvHmqVPBZC1sNYWb6fT/YPWP4w6FrSt5J4VXPQ/86yFCZhbzz8mfIVDJ&#10;aRu/w6RQn/xTeAT9m4SHTad8a3L28zlw8SxVFH+VpAMFZtkP36HmHMUE2axTg32CZBvEKc/kfJuJ&#10;OUWh+fJusVwueFr6GipUea0LSPGbgV6kTSUporJtFzfgPQ8ecJZZ1PGRYupKldeCROrhwTqX5++8&#10;GBLTfJELCJytUzClEbb7jUNxVOkF5S9L5MjrNISDr0cS5y8OJNGjfXuozzu8OsOjzN1cnl16K6/P&#10;ufrlV1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zYCxHXAAAACwEAAA8AAAAAAAAAAQAgAAAA&#10;IgAAAGRycy9kb3ducmV2LnhtbFBLAQIUABQAAAAIAIdO4kD7S8mT0wEAALIDAAAOAAAAAAAAAAEA&#10;IAAAACYBAABkcnMvZTJvRG9jLnhtbFBLBQYAAAAABgAGAFkBAABrBQAAAAA=&#10;">
                <v:fill on="f" focussize="0,0"/>
                <v:stroke color="#000000" joinstyle="round"/>
                <v:imagedata o:title=""/>
                <o:lock v:ext="edit" aspectratio="f"/>
              </v:shape>
            </w:pict>
          </mc:Fallback>
        </mc:AlternateContent>
      </w:r>
      <w:r>
        <w:rPr>
          <w:rFonts w:hint="eastAsia"/>
          <w:highlight w:val="none"/>
        </w:rPr>
        <w:t>第五章</w:t>
      </w:r>
    </w:p>
    <w:bookmarkEnd w:id="60"/>
    <w:p>
      <w:pPr>
        <w:pStyle w:val="2"/>
        <w:ind w:firstLine="3520" w:firstLineChars="800"/>
        <w:rPr>
          <w:rFonts w:hint="eastAsia" w:eastAsia="方正小标宋简体" w:asciiTheme="minorHAnsi" w:hAnsiTheme="minorHAnsi" w:cstheme="minorBidi"/>
          <w:bCs/>
          <w:color w:val="auto"/>
          <w:kern w:val="44"/>
          <w:sz w:val="44"/>
          <w:szCs w:val="44"/>
          <w:highlight w:val="none"/>
          <w:lang w:val="en-US" w:eastAsia="zh-CN" w:bidi="ar-SA"/>
        </w:rPr>
      </w:pPr>
    </w:p>
    <w:p>
      <w:pPr>
        <w:pStyle w:val="2"/>
        <w:ind w:firstLine="3520" w:firstLineChars="800"/>
        <w:rPr>
          <w:rFonts w:hint="eastAsia" w:eastAsia="方正小标宋简体" w:asciiTheme="minorHAnsi" w:hAnsiTheme="minorHAnsi" w:cstheme="minorBidi"/>
          <w:bCs/>
          <w:color w:val="auto"/>
          <w:kern w:val="44"/>
          <w:sz w:val="44"/>
          <w:szCs w:val="44"/>
          <w:highlight w:val="none"/>
          <w:lang w:val="en-US" w:eastAsia="zh-CN" w:bidi="ar-SA"/>
        </w:rPr>
      </w:pPr>
      <w:r>
        <w:rPr>
          <w:rFonts w:hint="eastAsia" w:eastAsia="方正小标宋简体" w:asciiTheme="minorHAnsi" w:hAnsiTheme="minorHAnsi" w:cstheme="minorBidi"/>
          <w:bCs/>
          <w:color w:val="auto"/>
          <w:kern w:val="44"/>
          <w:sz w:val="44"/>
          <w:szCs w:val="44"/>
          <w:highlight w:val="none"/>
          <w:lang w:val="en-US" w:eastAsia="zh-CN" w:bidi="ar-SA"/>
        </w:rPr>
        <w:t>运维需求</w:t>
      </w:r>
    </w:p>
    <w:p>
      <w:pPr>
        <w:pStyle w:val="2"/>
        <w:ind w:firstLine="3840" w:firstLineChars="1200"/>
        <w:rPr>
          <w:rFonts w:eastAsia="宋体"/>
          <w:b/>
          <w:color w:val="auto"/>
          <w:sz w:val="32"/>
          <w:szCs w:val="32"/>
          <w:highlight w:val="none"/>
        </w:rPr>
      </w:pPr>
    </w:p>
    <w:p>
      <w:pPr>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rPr>
          <w:rFonts w:ascii="仿宋_GB2312" w:hAnsi="仿宋_GB2312" w:eastAsia="仿宋_GB2312" w:cs="仿宋_GB2312"/>
          <w:b/>
          <w:color w:val="000000"/>
          <w:kern w:val="0"/>
          <w:highlight w:val="none"/>
        </w:rPr>
      </w:pPr>
    </w:p>
    <w:p>
      <w:pPr>
        <w:rPr>
          <w:rFonts w:ascii="仿宋_GB2312" w:hAnsi="仿宋_GB2312" w:eastAsia="仿宋_GB2312" w:cs="仿宋_GB2312"/>
          <w:b/>
          <w:color w:val="000000"/>
          <w:kern w:val="0"/>
          <w:highlight w:val="none"/>
        </w:rPr>
      </w:pPr>
    </w:p>
    <w:p>
      <w:pPr>
        <w:rPr>
          <w:rFonts w:ascii="仿宋_GB2312" w:hAnsi="仿宋_GB2312" w:eastAsia="仿宋_GB2312" w:cs="仿宋_GB2312"/>
          <w:b/>
          <w:color w:val="000000"/>
          <w:kern w:val="0"/>
          <w:highlight w:val="none"/>
        </w:rPr>
      </w:pPr>
    </w:p>
    <w:p>
      <w:pPr>
        <w:spacing w:line="500" w:lineRule="exact"/>
        <w:jc w:val="center"/>
        <w:rPr>
          <w:rFonts w:ascii="仿宋_GB2312" w:hAnsi="仿宋_GB2312" w:eastAsia="仿宋_GB2312" w:cs="仿宋_GB2312"/>
          <w:b/>
          <w:bCs/>
          <w:color w:val="000000"/>
          <w:sz w:val="44"/>
          <w:szCs w:val="28"/>
          <w:highlight w:val="none"/>
        </w:rPr>
      </w:pPr>
      <w:r>
        <w:rPr>
          <w:rFonts w:hint="eastAsia" w:ascii="仿宋_GB2312" w:hAnsi="仿宋_GB2312" w:eastAsia="仿宋_GB2312" w:cs="仿宋_GB2312"/>
          <w:b/>
          <w:bCs/>
          <w:color w:val="000000"/>
          <w:sz w:val="44"/>
          <w:szCs w:val="28"/>
          <w:highlight w:val="none"/>
        </w:rPr>
        <w:t>广州市净水有限公司</w:t>
      </w:r>
    </w:p>
    <w:p>
      <w:pPr>
        <w:spacing w:line="500" w:lineRule="exact"/>
        <w:jc w:val="center"/>
        <w:rPr>
          <w:rFonts w:ascii="仿宋_GB2312" w:hAnsi="仿宋_GB2312" w:eastAsia="仿宋_GB2312" w:cs="仿宋_GB2312"/>
          <w:b/>
          <w:bCs/>
          <w:color w:val="000000"/>
          <w:sz w:val="44"/>
          <w:szCs w:val="28"/>
          <w:highlight w:val="none"/>
        </w:rPr>
      </w:pPr>
    </w:p>
    <w:p>
      <w:pPr>
        <w:spacing w:line="500" w:lineRule="exact"/>
        <w:jc w:val="center"/>
        <w:rPr>
          <w:rFonts w:hint="eastAsia" w:ascii="仿宋_GB2312" w:hAnsi="仿宋_GB2312" w:eastAsia="仿宋_GB2312" w:cs="仿宋_GB2312"/>
          <w:b/>
          <w:bCs/>
          <w:color w:val="000000"/>
          <w:sz w:val="44"/>
          <w:szCs w:val="28"/>
          <w:highlight w:val="none"/>
          <w:lang w:val="en-US" w:eastAsia="zh-CN"/>
        </w:rPr>
      </w:pPr>
      <w:r>
        <w:rPr>
          <w:rFonts w:hint="eastAsia" w:ascii="仿宋_GB2312" w:hAnsi="仿宋_GB2312" w:eastAsia="仿宋_GB2312" w:cs="仿宋_GB2312"/>
          <w:b/>
          <w:bCs/>
          <w:color w:val="000000"/>
          <w:sz w:val="44"/>
          <w:szCs w:val="28"/>
          <w:highlight w:val="none"/>
        </w:rPr>
        <w:t>净水智慧运营管理平台运维</w:t>
      </w:r>
      <w:r>
        <w:rPr>
          <w:rFonts w:hint="eastAsia" w:ascii="仿宋_GB2312" w:hAnsi="仿宋_GB2312" w:eastAsia="仿宋_GB2312" w:cs="仿宋_GB2312"/>
          <w:b/>
          <w:bCs/>
          <w:color w:val="000000"/>
          <w:sz w:val="44"/>
          <w:szCs w:val="28"/>
          <w:highlight w:val="none"/>
          <w:lang w:val="en-US" w:eastAsia="zh-CN"/>
        </w:rPr>
        <w:t>需求</w:t>
      </w:r>
    </w:p>
    <w:p>
      <w:pPr>
        <w:spacing w:line="500" w:lineRule="exact"/>
        <w:ind w:firstLine="2632" w:firstLineChars="940"/>
        <w:jc w:val="left"/>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fldChar w:fldCharType="begin"/>
      </w:r>
      <w:r>
        <w:rPr>
          <w:rFonts w:hint="eastAsia" w:ascii="仿宋_GB2312" w:hAnsi="仿宋_GB2312" w:eastAsia="仿宋_GB2312" w:cs="仿宋_GB2312"/>
          <w:b/>
          <w:bCs/>
          <w:color w:val="000000"/>
          <w:sz w:val="28"/>
          <w:szCs w:val="28"/>
          <w:highlight w:val="none"/>
        </w:rPr>
        <w:instrText xml:space="preserve"> DOCVARIABLE  项目名称  \* MERGEFORMAT </w:instrText>
      </w:r>
      <w:r>
        <w:rPr>
          <w:rFonts w:hint="eastAsia" w:ascii="仿宋_GB2312" w:hAnsi="仿宋_GB2312" w:eastAsia="仿宋_GB2312" w:cs="仿宋_GB2312"/>
          <w:b/>
          <w:bCs/>
          <w:color w:val="000000"/>
          <w:sz w:val="28"/>
          <w:szCs w:val="28"/>
          <w:highlight w:val="none"/>
        </w:rPr>
        <w:fldChar w:fldCharType="end"/>
      </w:r>
    </w:p>
    <w:p>
      <w:pPr>
        <w:spacing w:line="500" w:lineRule="exact"/>
        <w:jc w:val="center"/>
        <w:rPr>
          <w:rFonts w:ascii="仿宋_GB2312" w:hAnsi="仿宋_GB2312" w:eastAsia="仿宋_GB2312" w:cs="仿宋_GB2312"/>
          <w:b/>
          <w:bCs/>
          <w:color w:val="000000"/>
          <w:highlight w:val="none"/>
        </w:rPr>
      </w:pPr>
    </w:p>
    <w:p>
      <w:pPr>
        <w:spacing w:line="360" w:lineRule="auto"/>
        <w:jc w:val="center"/>
        <w:rPr>
          <w:rFonts w:ascii="仿宋_GB2312" w:hAnsi="仿宋_GB2312" w:eastAsia="仿宋_GB2312" w:cs="仿宋_GB2312"/>
          <w:b/>
          <w:color w:val="000000"/>
          <w:sz w:val="28"/>
          <w:highlight w:val="none"/>
        </w:rPr>
      </w:pPr>
    </w:p>
    <w:p>
      <w:pPr>
        <w:spacing w:line="360" w:lineRule="auto"/>
        <w:jc w:val="center"/>
        <w:rPr>
          <w:rFonts w:ascii="仿宋_GB2312" w:hAnsi="仿宋_GB2312" w:eastAsia="仿宋_GB2312" w:cs="仿宋_GB2312"/>
          <w:b/>
          <w:bCs/>
          <w:color w:val="000000"/>
          <w:sz w:val="28"/>
          <w:highlight w:val="none"/>
        </w:rPr>
      </w:pPr>
    </w:p>
    <w:p>
      <w:pPr>
        <w:spacing w:line="360" w:lineRule="auto"/>
        <w:jc w:val="center"/>
        <w:rPr>
          <w:rFonts w:ascii="仿宋_GB2312" w:hAnsi="仿宋_GB2312" w:eastAsia="仿宋_GB2312" w:cs="仿宋_GB2312"/>
          <w:b/>
          <w:bCs/>
          <w:color w:val="000000"/>
          <w:sz w:val="28"/>
          <w:highlight w:val="none"/>
        </w:rPr>
      </w:pPr>
      <w:r>
        <w:rPr>
          <w:rFonts w:hint="eastAsia" w:ascii="仿宋_GB2312" w:hAnsi="仿宋_GB2312" w:eastAsia="仿宋_GB2312" w:cs="仿宋_GB2312"/>
          <w:b/>
          <w:bCs/>
          <w:color w:val="000000"/>
          <w:sz w:val="36"/>
          <w:highlight w:val="none"/>
        </w:rPr>
        <w:t xml:space="preserve"> </w:t>
      </w:r>
    </w:p>
    <w:p>
      <w:pPr>
        <w:rPr>
          <w:rFonts w:ascii="仿宋_GB2312" w:hAnsi="仿宋_GB2312" w:eastAsia="仿宋_GB2312" w:cs="仿宋_GB2312"/>
          <w:b/>
          <w:color w:val="000000"/>
          <w:sz w:val="28"/>
          <w:szCs w:val="28"/>
          <w:highlight w:val="none"/>
        </w:rPr>
      </w:pPr>
    </w:p>
    <w:p>
      <w:pPr>
        <w:rPr>
          <w:rFonts w:ascii="仿宋_GB2312" w:hAnsi="仿宋_GB2312" w:eastAsia="仿宋_GB2312" w:cs="仿宋_GB2312"/>
          <w:b/>
          <w:color w:val="000000"/>
          <w:sz w:val="28"/>
          <w:szCs w:val="28"/>
          <w:highlight w:val="none"/>
        </w:rPr>
      </w:pPr>
    </w:p>
    <w:p>
      <w:pPr>
        <w:rPr>
          <w:rFonts w:ascii="仿宋_GB2312" w:hAnsi="仿宋_GB2312" w:eastAsia="仿宋_GB2312" w:cs="仿宋_GB2312"/>
          <w:b/>
          <w:color w:val="000000"/>
          <w:sz w:val="28"/>
          <w:szCs w:val="28"/>
          <w:highlight w:val="none"/>
        </w:rPr>
      </w:pPr>
    </w:p>
    <w:p>
      <w:pPr>
        <w:rPr>
          <w:rFonts w:ascii="仿宋_GB2312" w:hAnsi="仿宋_GB2312" w:eastAsia="仿宋_GB2312" w:cs="仿宋_GB2312"/>
          <w:sz w:val="28"/>
          <w:szCs w:val="28"/>
          <w:highlight w:val="none"/>
        </w:rPr>
        <w:sectPr>
          <w:footerReference r:id="rId6" w:type="default"/>
          <w:pgSz w:w="11906" w:h="16838"/>
          <w:pgMar w:top="1134" w:right="1134" w:bottom="1134" w:left="1701" w:header="851" w:footer="992" w:gutter="0"/>
          <w:pgNumType w:start="1"/>
          <w:cols w:space="720" w:num="1"/>
          <w:docGrid w:type="linesAndChars" w:linePitch="312" w:charSpace="0"/>
        </w:sectPr>
      </w:pPr>
    </w:p>
    <w:p>
      <w:pPr>
        <w:pStyle w:val="5"/>
        <w:numPr>
          <w:ilvl w:val="0"/>
          <w:numId w:val="5"/>
        </w:numPr>
        <w:jc w:val="both"/>
        <w:rPr>
          <w:sz w:val="30"/>
          <w:szCs w:val="30"/>
          <w:highlight w:val="none"/>
        </w:rPr>
      </w:pPr>
      <w:r>
        <w:rPr>
          <w:rFonts w:hint="eastAsia"/>
          <w:sz w:val="30"/>
          <w:szCs w:val="30"/>
          <w:highlight w:val="none"/>
        </w:rPr>
        <w:t>项目背景</w:t>
      </w:r>
    </w:p>
    <w:p>
      <w:pPr>
        <w:ind w:firstLine="560" w:firstLineChars="200"/>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zh-CN"/>
        </w:rPr>
        <w:t>目前，</w:t>
      </w:r>
      <w:r>
        <w:rPr>
          <w:rFonts w:hint="eastAsia" w:ascii="仿宋_GB2312" w:hAnsi="仿宋_GB2312" w:eastAsia="仿宋_GB2312" w:cs="仿宋_GB2312"/>
          <w:color w:val="000000"/>
          <w:sz w:val="28"/>
          <w:szCs w:val="28"/>
          <w:highlight w:val="none"/>
          <w:lang w:val="en-US" w:eastAsia="zh-CN"/>
        </w:rPr>
        <w:t>净水智慧运营管理</w:t>
      </w:r>
      <w:r>
        <w:rPr>
          <w:rFonts w:hint="eastAsia" w:ascii="仿宋_GB2312" w:hAnsi="仿宋_GB2312" w:eastAsia="仿宋_GB2312" w:cs="仿宋_GB2312"/>
          <w:color w:val="000000"/>
          <w:sz w:val="28"/>
          <w:szCs w:val="28"/>
          <w:highlight w:val="none"/>
          <w:lang w:val="zh-CN"/>
        </w:rPr>
        <w:t>平台已稳定运行</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lang w:val="zh-CN"/>
        </w:rPr>
        <w:t>年时间，</w:t>
      </w:r>
      <w:r>
        <w:rPr>
          <w:rFonts w:hint="eastAsia" w:ascii="仿宋_GB2312" w:hAnsi="仿宋_GB2312" w:eastAsia="仿宋_GB2312" w:cs="仿宋_GB2312"/>
          <w:color w:val="000000"/>
          <w:sz w:val="28"/>
          <w:szCs w:val="28"/>
          <w:highlight w:val="none"/>
          <w:lang w:val="en-US" w:eastAsia="zh-CN"/>
        </w:rPr>
        <w:t>共</w:t>
      </w:r>
      <w:r>
        <w:rPr>
          <w:rFonts w:hint="eastAsia" w:ascii="仿宋_GB2312" w:hAnsi="仿宋_GB2312" w:eastAsia="仿宋_GB2312" w:cs="仿宋_GB2312"/>
          <w:color w:val="000000"/>
          <w:sz w:val="28"/>
          <w:szCs w:val="28"/>
          <w:highlight w:val="none"/>
          <w:lang w:val="zh-CN"/>
        </w:rPr>
        <w:t>接入13座厂20余条工艺线模型、6.4万余个自控I/O点、300个历史库数据点、300余路高清摄像头，</w:t>
      </w:r>
      <w:r>
        <w:rPr>
          <w:rFonts w:hint="eastAsia" w:ascii="仿宋_GB2312" w:hAnsi="仿宋_GB2312" w:eastAsia="仿宋_GB2312" w:cs="仿宋_GB2312"/>
          <w:color w:val="000000"/>
          <w:sz w:val="28"/>
          <w:szCs w:val="28"/>
          <w:highlight w:val="none"/>
          <w:lang w:val="en-US" w:eastAsia="zh-CN"/>
        </w:rPr>
        <w:t>基于大屏端、PC端、移动APP端定制开发，建成</w:t>
      </w:r>
      <w:r>
        <w:rPr>
          <w:rFonts w:hint="eastAsia" w:ascii="仿宋_GB2312" w:hAnsi="仿宋_GB2312" w:eastAsia="仿宋_GB2312" w:cs="仿宋_GB2312"/>
          <w:color w:val="000000"/>
          <w:sz w:val="28"/>
          <w:szCs w:val="28"/>
          <w:highlight w:val="none"/>
          <w:lang w:val="zh-CN"/>
        </w:rPr>
        <w:t>40</w:t>
      </w:r>
      <w:r>
        <w:rPr>
          <w:rFonts w:hint="eastAsia" w:ascii="仿宋_GB2312" w:hAnsi="仿宋_GB2312" w:eastAsia="仿宋_GB2312" w:cs="仿宋_GB2312"/>
          <w:color w:val="000000"/>
          <w:sz w:val="28"/>
          <w:szCs w:val="28"/>
          <w:highlight w:val="none"/>
          <w:lang w:val="en-US" w:eastAsia="zh-CN"/>
        </w:rPr>
        <w:t>多</w:t>
      </w:r>
      <w:r>
        <w:rPr>
          <w:rFonts w:hint="eastAsia" w:ascii="仿宋_GB2312" w:hAnsi="仿宋_GB2312" w:eastAsia="仿宋_GB2312" w:cs="仿宋_GB2312"/>
          <w:color w:val="000000"/>
          <w:sz w:val="28"/>
          <w:szCs w:val="28"/>
          <w:highlight w:val="none"/>
          <w:lang w:val="zh-CN"/>
        </w:rPr>
        <w:t>个功能项，广泛应用于公司及下属13座净水厂日常生产运营工作中。</w:t>
      </w:r>
    </w:p>
    <w:p>
      <w:pPr>
        <w:ind w:firstLine="560" w:firstLineChars="200"/>
        <w:rPr>
          <w:rFonts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zh-CN"/>
        </w:rPr>
        <w:t>平台运行基本稳定，已实现</w:t>
      </w:r>
      <w:r>
        <w:rPr>
          <w:rFonts w:hint="eastAsia" w:ascii="仿宋_GB2312" w:hAnsi="仿宋_GB2312" w:eastAsia="仿宋_GB2312" w:cs="仿宋_GB2312"/>
          <w:color w:val="000000"/>
          <w:sz w:val="28"/>
          <w:szCs w:val="28"/>
          <w:highlight w:val="none"/>
          <w:lang w:val="en-US" w:eastAsia="zh-CN"/>
        </w:rPr>
        <w:t>对各厂的运营总览、工艺流程及设备运行监测、数据专题分析、三防预警管理、报表管理、视频管理、告警中心等各项功能。为保障净水智慧运营管理平台、数据共享平台、各厂生产数据传输的稳定，需继续开展运维、功能优化工作。</w:t>
      </w:r>
    </w:p>
    <w:p>
      <w:pPr>
        <w:pStyle w:val="5"/>
        <w:ind w:left="420" w:hanging="420"/>
        <w:jc w:val="left"/>
        <w:rPr>
          <w:rFonts w:hint="eastAsia" w:ascii="宋体" w:hAnsi="宋体" w:eastAsia="方正小标宋简体" w:cs="宋体"/>
          <w:sz w:val="30"/>
          <w:szCs w:val="30"/>
          <w:highlight w:val="none"/>
          <w:lang w:eastAsia="zh-CN"/>
        </w:rPr>
      </w:pPr>
      <w:r>
        <w:rPr>
          <w:rFonts w:hint="eastAsia"/>
          <w:sz w:val="30"/>
          <w:szCs w:val="30"/>
          <w:highlight w:val="none"/>
        </w:rPr>
        <w:t>二、运维</w:t>
      </w:r>
      <w:r>
        <w:rPr>
          <w:rFonts w:hint="eastAsia"/>
          <w:sz w:val="30"/>
          <w:szCs w:val="30"/>
          <w:highlight w:val="none"/>
          <w:lang w:val="en-US" w:eastAsia="zh-CN"/>
        </w:rPr>
        <w:t>需求</w:t>
      </w:r>
    </w:p>
    <w:p>
      <w:pPr>
        <w:pStyle w:val="55"/>
        <w:numPr>
          <w:ilvl w:val="0"/>
          <w:numId w:val="0"/>
        </w:numPr>
        <w:ind w:left="420"/>
        <w:rPr>
          <w:sz w:val="30"/>
          <w:szCs w:val="30"/>
          <w:highlight w:val="none"/>
        </w:rPr>
      </w:pPr>
      <w:r>
        <w:rPr>
          <w:rFonts w:hint="eastAsia"/>
          <w:sz w:val="30"/>
          <w:szCs w:val="30"/>
          <w:highlight w:val="none"/>
        </w:rPr>
        <w:t>（一）运维范围</w:t>
      </w:r>
    </w:p>
    <w:p>
      <w:pPr>
        <w:ind w:firstLine="560" w:firstLineChars="200"/>
        <w:rPr>
          <w:rFonts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en-US" w:eastAsia="zh-CN"/>
        </w:rPr>
        <w:t>对净水智慧运营管理平台、统一配置管理后台、数据共享平台、H5S视频管理平台、第三方业务系统数据对接、13座厂数据传输的日常运行维护、软件升级、备份检查，具体</w:t>
      </w:r>
      <w:r>
        <w:rPr>
          <w:rFonts w:hint="eastAsia" w:ascii="仿宋_GB2312" w:hAnsi="仿宋_GB2312" w:eastAsia="仿宋_GB2312" w:cs="仿宋_GB2312"/>
          <w:color w:val="000000"/>
          <w:sz w:val="28"/>
          <w:szCs w:val="28"/>
          <w:highlight w:val="none"/>
          <w:lang w:val="zh-CN"/>
        </w:rPr>
        <w:t>运维范围如下：</w:t>
      </w:r>
    </w:p>
    <w:p>
      <w:pPr>
        <w:ind w:firstLine="480" w:firstLineChars="200"/>
        <w:rPr>
          <w:rFonts w:ascii="仿宋_GB2312" w:hAnsi="仿宋_GB2312" w:eastAsia="仿宋_GB2312" w:cs="仿宋_GB2312"/>
          <w:color w:val="000000"/>
          <w:sz w:val="24"/>
          <w:highlight w:val="none"/>
          <w:lang w:val="zh-CN"/>
        </w:rPr>
      </w:pPr>
    </w:p>
    <w:tbl>
      <w:tblPr>
        <w:tblStyle w:val="24"/>
        <w:tblW w:w="8436" w:type="dxa"/>
        <w:jc w:val="center"/>
        <w:tblLayout w:type="autofit"/>
        <w:tblCellMar>
          <w:top w:w="0" w:type="dxa"/>
          <w:left w:w="0" w:type="dxa"/>
          <w:bottom w:w="0" w:type="dxa"/>
          <w:right w:w="0" w:type="dxa"/>
        </w:tblCellMar>
      </w:tblPr>
      <w:tblGrid>
        <w:gridCol w:w="778"/>
        <w:gridCol w:w="3008"/>
        <w:gridCol w:w="4650"/>
      </w:tblGrid>
      <w:tr>
        <w:tblPrEx>
          <w:tblCellMar>
            <w:top w:w="0" w:type="dxa"/>
            <w:left w:w="0" w:type="dxa"/>
            <w:bottom w:w="0" w:type="dxa"/>
            <w:right w:w="0" w:type="dxa"/>
          </w:tblCellMar>
        </w:tblPrEx>
        <w:trPr>
          <w:trHeight w:val="499"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widowControl/>
              <w:jc w:val="center"/>
              <w:textAlignment w:val="center"/>
              <w:rPr>
                <w:rFonts w:ascii="仿宋" w:hAnsi="仿宋" w:eastAsia="仿宋" w:cs="Arial"/>
                <w:kern w:val="0"/>
                <w:sz w:val="36"/>
                <w:szCs w:val="36"/>
                <w:highlight w:val="none"/>
              </w:rPr>
            </w:pPr>
            <w:r>
              <w:rPr>
                <w:rFonts w:hint="eastAsia" w:ascii="仿宋" w:hAnsi="仿宋" w:eastAsia="仿宋" w:cs="Arial"/>
                <w:b/>
                <w:bCs/>
                <w:color w:val="000000"/>
                <w:kern w:val="24"/>
                <w:sz w:val="24"/>
                <w:highlight w:val="none"/>
              </w:rPr>
              <w:t>序号</w:t>
            </w:r>
          </w:p>
        </w:tc>
        <w:tc>
          <w:tcPr>
            <w:tcW w:w="300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widowControl/>
              <w:jc w:val="center"/>
              <w:textAlignment w:val="center"/>
              <w:rPr>
                <w:rFonts w:hint="default" w:ascii="仿宋" w:hAnsi="仿宋" w:eastAsia="仿宋" w:cs="Arial"/>
                <w:kern w:val="0"/>
                <w:sz w:val="36"/>
                <w:szCs w:val="36"/>
                <w:highlight w:val="none"/>
                <w:lang w:val="en-US" w:eastAsia="zh-CN"/>
              </w:rPr>
            </w:pPr>
            <w:r>
              <w:rPr>
                <w:rFonts w:hint="eastAsia" w:ascii="仿宋" w:hAnsi="仿宋" w:eastAsia="仿宋" w:cs="Arial"/>
                <w:b/>
                <w:bCs/>
                <w:color w:val="000000"/>
                <w:kern w:val="24"/>
                <w:sz w:val="24"/>
                <w:highlight w:val="none"/>
                <w:lang w:val="en-US" w:eastAsia="zh-CN"/>
              </w:rPr>
              <w:t>维护项</w:t>
            </w:r>
          </w:p>
        </w:tc>
        <w:tc>
          <w:tcPr>
            <w:tcW w:w="465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widowControl/>
              <w:jc w:val="center"/>
              <w:textAlignment w:val="center"/>
              <w:rPr>
                <w:rFonts w:ascii="仿宋" w:hAnsi="仿宋" w:eastAsia="仿宋" w:cs="Arial"/>
                <w:kern w:val="0"/>
                <w:sz w:val="36"/>
                <w:szCs w:val="36"/>
                <w:highlight w:val="none"/>
              </w:rPr>
            </w:pPr>
            <w:r>
              <w:rPr>
                <w:rFonts w:hint="eastAsia" w:ascii="仿宋" w:hAnsi="仿宋" w:eastAsia="仿宋" w:cs="Arial"/>
                <w:b/>
                <w:bCs/>
                <w:color w:val="000000"/>
                <w:kern w:val="24"/>
                <w:sz w:val="24"/>
                <w:highlight w:val="none"/>
              </w:rPr>
              <w:t>维护内容</w:t>
            </w:r>
          </w:p>
        </w:tc>
      </w:tr>
      <w:tr>
        <w:tblPrEx>
          <w:tblCellMar>
            <w:top w:w="0" w:type="dxa"/>
            <w:left w:w="0" w:type="dxa"/>
            <w:bottom w:w="0" w:type="dxa"/>
            <w:right w:w="0" w:type="dxa"/>
          </w:tblCellMar>
        </w:tblPrEx>
        <w:trPr>
          <w:trHeight w:val="779" w:hRule="atLeast"/>
          <w:jc w:val="center"/>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rPr>
              <w:t>1</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Arial"/>
                <w:kern w:val="0"/>
                <w:sz w:val="24"/>
                <w:highlight w:val="none"/>
                <w:lang w:val="en-US" w:eastAsia="zh-CN"/>
              </w:rPr>
            </w:pPr>
            <w:r>
              <w:rPr>
                <w:rFonts w:hint="eastAsia" w:ascii="仿宋" w:hAnsi="仿宋" w:eastAsia="仿宋" w:cs="Arial"/>
                <w:color w:val="000000"/>
                <w:kern w:val="24"/>
                <w:sz w:val="24"/>
                <w:highlight w:val="none"/>
              </w:rPr>
              <w:t>智慧运营管理平台</w:t>
            </w:r>
            <w:r>
              <w:rPr>
                <w:rFonts w:hint="eastAsia" w:ascii="仿宋" w:hAnsi="仿宋" w:eastAsia="仿宋" w:cs="Arial"/>
                <w:color w:val="000000"/>
                <w:kern w:val="24"/>
                <w:sz w:val="24"/>
                <w:highlight w:val="none"/>
                <w:lang w:val="en-US" w:eastAsia="zh-CN"/>
              </w:rPr>
              <w:t>PC端</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highlight w:val="none"/>
                <w:lang w:val="en-US" w:eastAsia="zh-CN"/>
              </w:rPr>
            </w:pPr>
            <w:r>
              <w:rPr>
                <w:rFonts w:hint="eastAsia" w:ascii="仿宋" w:hAnsi="仿宋" w:eastAsia="仿宋" w:cs="Arial"/>
                <w:color w:val="000000"/>
                <w:kern w:val="24"/>
                <w:sz w:val="24"/>
                <w:highlight w:val="none"/>
                <w:lang w:val="en-US" w:eastAsia="zh-CN"/>
              </w:rPr>
              <w:t>业务管理44个功能页、基础设置18个功能页的日常巡检运维、故障处理、点位更新等。</w:t>
            </w:r>
          </w:p>
        </w:tc>
      </w:tr>
      <w:tr>
        <w:tblPrEx>
          <w:tblCellMar>
            <w:top w:w="0" w:type="dxa"/>
            <w:left w:w="0" w:type="dxa"/>
            <w:bottom w:w="0" w:type="dxa"/>
            <w:right w:w="0" w:type="dxa"/>
          </w:tblCellMar>
        </w:tblPrEx>
        <w:trPr>
          <w:trHeight w:val="729" w:hRule="atLeast"/>
          <w:jc w:val="center"/>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highlight w:val="none"/>
              </w:rPr>
            </w:pPr>
            <w:r>
              <w:rPr>
                <w:rFonts w:hint="eastAsia" w:ascii="仿宋" w:hAnsi="仿宋" w:eastAsia="仿宋" w:cs="Arial"/>
                <w:color w:val="000000"/>
                <w:kern w:val="24"/>
                <w:sz w:val="24"/>
                <w:highlight w:val="none"/>
              </w:rPr>
              <w:t>2</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rPr>
              <w:t>智慧运营管理平台</w:t>
            </w:r>
            <w:r>
              <w:rPr>
                <w:rFonts w:hint="eastAsia" w:ascii="仿宋" w:hAnsi="仿宋" w:eastAsia="仿宋" w:cs="Arial"/>
                <w:color w:val="000000"/>
                <w:kern w:val="24"/>
                <w:sz w:val="24"/>
                <w:highlight w:val="none"/>
                <w:lang w:val="en-US" w:eastAsia="zh-CN"/>
              </w:rPr>
              <w:t>大屏</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大屏7个功能页的日常巡检运维、故障处理、企业资料/点位更新等。</w:t>
            </w:r>
          </w:p>
        </w:tc>
      </w:tr>
      <w:tr>
        <w:tblPrEx>
          <w:tblCellMar>
            <w:top w:w="0" w:type="dxa"/>
            <w:left w:w="0" w:type="dxa"/>
            <w:bottom w:w="0" w:type="dxa"/>
            <w:right w:w="0" w:type="dxa"/>
          </w:tblCellMar>
        </w:tblPrEx>
        <w:trPr>
          <w:trHeight w:val="763" w:hRule="atLeast"/>
          <w:jc w:val="center"/>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highlight w:val="none"/>
              </w:rPr>
            </w:pPr>
            <w:r>
              <w:rPr>
                <w:rFonts w:hint="eastAsia" w:ascii="仿宋" w:hAnsi="仿宋" w:eastAsia="仿宋" w:cs="Arial"/>
                <w:color w:val="000000"/>
                <w:kern w:val="24"/>
                <w:sz w:val="24"/>
                <w:highlight w:val="none"/>
              </w:rPr>
              <w:t>3</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rPr>
              <w:t>智慧运营管理平台</w:t>
            </w:r>
            <w:r>
              <w:rPr>
                <w:rFonts w:hint="eastAsia" w:ascii="仿宋" w:hAnsi="仿宋" w:eastAsia="仿宋" w:cs="Arial"/>
                <w:color w:val="000000"/>
                <w:kern w:val="24"/>
                <w:sz w:val="24"/>
                <w:highlight w:val="none"/>
                <w:lang w:val="en-US" w:eastAsia="zh-CN"/>
              </w:rPr>
              <w:t>APP</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26个功能页的日常巡检运维、故障处理、点位更新等。</w:t>
            </w:r>
          </w:p>
        </w:tc>
      </w:tr>
      <w:tr>
        <w:tblPrEx>
          <w:tblCellMar>
            <w:top w:w="0" w:type="dxa"/>
            <w:left w:w="0" w:type="dxa"/>
            <w:bottom w:w="0" w:type="dxa"/>
            <w:right w:w="0" w:type="dxa"/>
          </w:tblCellMar>
        </w:tblPrEx>
        <w:trPr>
          <w:trHeight w:val="901" w:hRule="atLeast"/>
          <w:jc w:val="center"/>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rPr>
              <w:t>4</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rPr>
              <w:t>统一配置管理后台</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系统管理、权限管理、消息管理、短信管理4个模块的维护和配置。</w:t>
            </w:r>
          </w:p>
        </w:tc>
      </w:tr>
      <w:tr>
        <w:tblPrEx>
          <w:tblCellMar>
            <w:top w:w="0" w:type="dxa"/>
            <w:left w:w="0" w:type="dxa"/>
            <w:bottom w:w="0" w:type="dxa"/>
            <w:right w:w="0" w:type="dxa"/>
          </w:tblCellMar>
        </w:tblPrEx>
        <w:trPr>
          <w:trHeight w:val="2489" w:hRule="atLeast"/>
          <w:jc w:val="center"/>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rPr>
              <w:t>5</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kern w:val="0"/>
                <w:sz w:val="24"/>
                <w:highlight w:val="none"/>
                <w:lang w:eastAsia="zh-CN"/>
              </w:rPr>
            </w:pPr>
            <w:r>
              <w:rPr>
                <w:rFonts w:hint="eastAsia" w:ascii="仿宋" w:hAnsi="仿宋" w:eastAsia="仿宋" w:cs="Arial"/>
                <w:color w:val="000000"/>
                <w:kern w:val="24"/>
                <w:sz w:val="24"/>
                <w:highlight w:val="none"/>
              </w:rPr>
              <w:t>数据共享</w:t>
            </w:r>
            <w:r>
              <w:rPr>
                <w:rFonts w:hint="eastAsia" w:ascii="仿宋" w:hAnsi="仿宋" w:eastAsia="仿宋" w:cs="Arial"/>
                <w:color w:val="000000"/>
                <w:kern w:val="24"/>
                <w:sz w:val="24"/>
                <w:highlight w:val="none"/>
                <w:lang w:val="en-US" w:eastAsia="zh-CN"/>
              </w:rPr>
              <w:t>中心</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1、数据共享平台：元数据管理、数据集成、调度管理、数据共享服务、系统管理5个模块的维护和配置；</w:t>
            </w:r>
          </w:p>
          <w:p>
            <w:pPr>
              <w:widowControl/>
              <w:jc w:val="left"/>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2、数据处理接口：确保采集任务日常监控与异常任务处理接口正常运行；</w:t>
            </w:r>
          </w:p>
          <w:p>
            <w:pPr>
              <w:widowControl/>
              <w:jc w:val="left"/>
              <w:textAlignment w:val="center"/>
              <w:rPr>
                <w:rFonts w:hint="default" w:ascii="仿宋" w:hAnsi="仿宋" w:eastAsia="仿宋" w:cs="Arial"/>
                <w:color w:val="000000"/>
                <w:kern w:val="24"/>
                <w:sz w:val="24"/>
                <w:szCs w:val="22"/>
                <w:highlight w:val="none"/>
                <w:lang w:val="en-US" w:eastAsia="zh-CN" w:bidi="ar-SA"/>
              </w:rPr>
            </w:pPr>
            <w:r>
              <w:rPr>
                <w:rFonts w:hint="eastAsia" w:ascii="仿宋" w:hAnsi="仿宋" w:eastAsia="仿宋" w:cs="Arial"/>
                <w:color w:val="000000"/>
                <w:kern w:val="24"/>
                <w:sz w:val="24"/>
                <w:highlight w:val="none"/>
                <w:lang w:val="en-US" w:eastAsia="zh-CN"/>
              </w:rPr>
              <w:t>3、数据共享接口：确保数据共享接口正常运行，配合外部系统排查接口问题；</w:t>
            </w:r>
          </w:p>
        </w:tc>
      </w:tr>
      <w:tr>
        <w:tblPrEx>
          <w:tblCellMar>
            <w:top w:w="0" w:type="dxa"/>
            <w:left w:w="0" w:type="dxa"/>
            <w:bottom w:w="0" w:type="dxa"/>
            <w:right w:w="0" w:type="dxa"/>
          </w:tblCellMar>
        </w:tblPrEx>
        <w:trPr>
          <w:trHeight w:val="1091" w:hRule="atLeast"/>
          <w:jc w:val="center"/>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rPr>
              <w:t>6</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rPr>
              <w:t>H5S视频管理平台</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根据厂家更新情况升级软件包，进行视频状态巡检，跟踪处理异常视频，根据业主要求更新配置。</w:t>
            </w:r>
          </w:p>
        </w:tc>
      </w:tr>
      <w:tr>
        <w:tblPrEx>
          <w:tblCellMar>
            <w:top w:w="0" w:type="dxa"/>
            <w:left w:w="0" w:type="dxa"/>
            <w:bottom w:w="0" w:type="dxa"/>
            <w:right w:w="0" w:type="dxa"/>
          </w:tblCellMar>
        </w:tblPrEx>
        <w:trPr>
          <w:trHeight w:val="499" w:hRule="atLeast"/>
          <w:jc w:val="center"/>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rPr>
              <w:t>7</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数据采集存储管理</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1、数据采集维护：13座厂的自控点位数据维护、采集点位定期校对及更新；</w:t>
            </w:r>
          </w:p>
          <w:p>
            <w:pPr>
              <w:widowControl/>
              <w:jc w:val="left"/>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2、数据存储备份：定期备份系统及数据，进行备份任务有效性检查。</w:t>
            </w:r>
          </w:p>
        </w:tc>
      </w:tr>
      <w:tr>
        <w:tblPrEx>
          <w:tblCellMar>
            <w:top w:w="0" w:type="dxa"/>
            <w:left w:w="0" w:type="dxa"/>
            <w:bottom w:w="0" w:type="dxa"/>
            <w:right w:w="0" w:type="dxa"/>
          </w:tblCellMar>
        </w:tblPrEx>
        <w:trPr>
          <w:trHeight w:val="499" w:hRule="atLeast"/>
          <w:jc w:val="center"/>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highlight w:val="none"/>
              </w:rPr>
            </w:pPr>
            <w:r>
              <w:rPr>
                <w:rFonts w:hint="eastAsia" w:ascii="仿宋" w:hAnsi="仿宋" w:eastAsia="仿宋" w:cs="Arial"/>
                <w:color w:val="000000"/>
                <w:kern w:val="24"/>
                <w:sz w:val="24"/>
                <w:highlight w:val="none"/>
              </w:rPr>
              <w:t>8</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Arial"/>
                <w:kern w:val="0"/>
                <w:sz w:val="24"/>
                <w:highlight w:val="none"/>
                <w:lang w:val="en-US" w:eastAsia="zh-CN"/>
              </w:rPr>
            </w:pPr>
            <w:r>
              <w:rPr>
                <w:rFonts w:hint="eastAsia" w:ascii="仿宋" w:hAnsi="仿宋" w:eastAsia="仿宋" w:cs="Arial"/>
                <w:kern w:val="0"/>
                <w:sz w:val="24"/>
                <w:highlight w:val="none"/>
                <w:lang w:val="en-US" w:eastAsia="zh-CN"/>
              </w:rPr>
              <w:t>系统功能优化</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按业务需求进行系统功能升级优化，含100人/天的二次开发工作量。</w:t>
            </w:r>
          </w:p>
        </w:tc>
      </w:tr>
      <w:tr>
        <w:tblPrEx>
          <w:tblCellMar>
            <w:top w:w="0" w:type="dxa"/>
            <w:left w:w="0" w:type="dxa"/>
            <w:bottom w:w="0" w:type="dxa"/>
            <w:right w:w="0" w:type="dxa"/>
          </w:tblCellMar>
        </w:tblPrEx>
        <w:trPr>
          <w:trHeight w:val="499" w:hRule="atLeast"/>
          <w:jc w:val="center"/>
        </w:trPr>
        <w:tc>
          <w:tcPr>
            <w:tcW w:w="7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9</w:t>
            </w:r>
          </w:p>
        </w:tc>
        <w:tc>
          <w:tcPr>
            <w:tcW w:w="30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驻场服务</w:t>
            </w:r>
          </w:p>
        </w:tc>
        <w:tc>
          <w:tcPr>
            <w:tcW w:w="4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1、</w:t>
            </w:r>
            <w:r>
              <w:rPr>
                <w:rFonts w:hint="default" w:ascii="仿宋" w:hAnsi="仿宋" w:eastAsia="仿宋" w:cs="Arial"/>
                <w:color w:val="000000"/>
                <w:kern w:val="24"/>
                <w:sz w:val="24"/>
                <w:highlight w:val="none"/>
                <w:lang w:val="en-US" w:eastAsia="zh-CN"/>
              </w:rPr>
              <w:t>每3个月到</w:t>
            </w:r>
            <w:r>
              <w:rPr>
                <w:rFonts w:hint="eastAsia" w:ascii="仿宋" w:hAnsi="仿宋" w:eastAsia="仿宋" w:cs="Arial"/>
                <w:color w:val="000000"/>
                <w:kern w:val="24"/>
                <w:sz w:val="24"/>
                <w:highlight w:val="none"/>
                <w:lang w:val="en-US" w:eastAsia="zh-CN"/>
              </w:rPr>
              <w:t>甲</w:t>
            </w:r>
            <w:r>
              <w:rPr>
                <w:rFonts w:hint="default" w:ascii="仿宋" w:hAnsi="仿宋" w:eastAsia="仿宋" w:cs="Arial"/>
                <w:color w:val="000000"/>
                <w:kern w:val="24"/>
                <w:sz w:val="24"/>
                <w:highlight w:val="none"/>
                <w:lang w:val="en-US" w:eastAsia="zh-CN"/>
              </w:rPr>
              <w:t>方驻场5个工作日，进行现场安全运维、点位数据校对维护、系统演示保障</w:t>
            </w:r>
            <w:r>
              <w:rPr>
                <w:rFonts w:hint="eastAsia" w:ascii="仿宋" w:hAnsi="仿宋" w:eastAsia="仿宋" w:cs="Arial"/>
                <w:color w:val="000000"/>
                <w:kern w:val="24"/>
                <w:sz w:val="24"/>
                <w:highlight w:val="none"/>
                <w:lang w:val="en-US" w:eastAsia="zh-CN"/>
              </w:rPr>
              <w:t>；</w:t>
            </w:r>
          </w:p>
          <w:p>
            <w:pPr>
              <w:widowControl/>
              <w:jc w:val="left"/>
              <w:textAlignment w:val="center"/>
              <w:rPr>
                <w:rFonts w:hint="default" w:ascii="仿宋" w:hAnsi="仿宋" w:eastAsia="仿宋" w:cs="Arial"/>
                <w:color w:val="000000"/>
                <w:kern w:val="24"/>
                <w:sz w:val="24"/>
                <w:highlight w:val="none"/>
                <w:lang w:val="en-US" w:eastAsia="zh-CN"/>
              </w:rPr>
            </w:pPr>
            <w:r>
              <w:rPr>
                <w:rFonts w:hint="eastAsia" w:ascii="仿宋" w:hAnsi="仿宋" w:eastAsia="仿宋" w:cs="Arial"/>
                <w:color w:val="000000"/>
                <w:kern w:val="24"/>
                <w:sz w:val="24"/>
                <w:highlight w:val="none"/>
                <w:lang w:val="en-US" w:eastAsia="zh-CN"/>
              </w:rPr>
              <w:t>2、重大活动保障：对甲方重大活动提供现场的临时性保障支持。</w:t>
            </w:r>
          </w:p>
        </w:tc>
      </w:tr>
    </w:tbl>
    <w:p>
      <w:pPr>
        <w:ind w:firstLine="420" w:firstLineChars="200"/>
        <w:jc w:val="center"/>
        <w:rPr>
          <w:rFonts w:ascii="仿宋" w:hAnsi="仿宋" w:eastAsia="仿宋" w:cs="仿宋_GB2312"/>
          <w:szCs w:val="28"/>
          <w:highlight w:val="none"/>
        </w:rPr>
      </w:pPr>
    </w:p>
    <w:p>
      <w:pPr>
        <w:pStyle w:val="55"/>
        <w:numPr>
          <w:ilvl w:val="0"/>
          <w:numId w:val="0"/>
        </w:numPr>
        <w:ind w:left="420"/>
        <w:rPr>
          <w:sz w:val="30"/>
          <w:szCs w:val="30"/>
          <w:highlight w:val="none"/>
        </w:rPr>
      </w:pPr>
      <w:r>
        <w:rPr>
          <w:rFonts w:hint="eastAsia"/>
          <w:sz w:val="30"/>
          <w:szCs w:val="30"/>
          <w:highlight w:val="none"/>
        </w:rPr>
        <w:t>（二）工作内容</w:t>
      </w:r>
    </w:p>
    <w:p>
      <w:pPr>
        <w:ind w:firstLine="562" w:firstLineChars="200"/>
        <w:rPr>
          <w:rFonts w:ascii="仿宋_GB2312" w:hAnsi="仿宋_GB2312" w:eastAsia="仿宋_GB2312" w:cs="仿宋_GB2312"/>
          <w:b/>
          <w:bCs/>
          <w:color w:val="000000"/>
          <w:sz w:val="28"/>
          <w:szCs w:val="28"/>
          <w:highlight w:val="none"/>
          <w:lang w:val="zh-CN"/>
        </w:rPr>
      </w:pPr>
      <w:r>
        <w:rPr>
          <w:rFonts w:ascii="仿宋_GB2312" w:hAnsi="仿宋_GB2312" w:eastAsia="仿宋_GB2312" w:cs="仿宋_GB2312"/>
          <w:b/>
          <w:bCs/>
          <w:color w:val="000000"/>
          <w:sz w:val="28"/>
          <w:szCs w:val="28"/>
          <w:highlight w:val="none"/>
          <w:lang w:val="zh-CN"/>
        </w:rPr>
        <w:t>1</w:t>
      </w:r>
      <w:r>
        <w:rPr>
          <w:rFonts w:hint="eastAsia" w:ascii="仿宋_GB2312" w:hAnsi="仿宋_GB2312" w:eastAsia="仿宋_GB2312" w:cs="仿宋_GB2312"/>
          <w:b/>
          <w:bCs/>
          <w:color w:val="000000"/>
          <w:sz w:val="28"/>
          <w:szCs w:val="28"/>
          <w:highlight w:val="none"/>
          <w:lang w:val="zh-CN"/>
        </w:rPr>
        <w:t>.系统日常运行维护</w:t>
      </w:r>
    </w:p>
    <w:p>
      <w:p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zh-CN"/>
        </w:rPr>
        <w:t>对智慧运营管理平台PC端、大屏、APP、统一配置管理后台、数据共享平台、</w:t>
      </w:r>
      <w:r>
        <w:rPr>
          <w:rFonts w:hint="eastAsia" w:ascii="仿宋_GB2312" w:hAnsi="仿宋_GB2312" w:eastAsia="仿宋_GB2312" w:cs="仿宋_GB2312"/>
          <w:color w:val="000000"/>
          <w:sz w:val="28"/>
          <w:szCs w:val="28"/>
          <w:highlight w:val="none"/>
          <w:lang w:val="en-US" w:eastAsia="zh-CN"/>
        </w:rPr>
        <w:t>H5S视频管理平台等系统进行日常运行维护。具体服务内容如下：</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zh-CN" w:eastAsia="zh-CN"/>
        </w:rPr>
        <w:t>维护</w:t>
      </w:r>
      <w:r>
        <w:rPr>
          <w:rFonts w:hint="eastAsia" w:ascii="仿宋_GB2312" w:hAnsi="仿宋_GB2312" w:eastAsia="仿宋_GB2312" w:cs="仿宋_GB2312"/>
          <w:color w:val="000000"/>
          <w:sz w:val="28"/>
          <w:szCs w:val="28"/>
          <w:highlight w:val="none"/>
          <w:lang w:val="en-US" w:eastAsia="zh-CN"/>
        </w:rPr>
        <w:t>本项目所有系统、PostgreSQL、clickhouse</w:t>
      </w:r>
      <w:r>
        <w:rPr>
          <w:rFonts w:hint="eastAsia" w:ascii="仿宋_GB2312" w:hAnsi="仿宋_GB2312" w:eastAsia="仿宋_GB2312" w:cs="仿宋_GB2312"/>
          <w:color w:val="000000"/>
          <w:sz w:val="28"/>
          <w:szCs w:val="28"/>
          <w:highlight w:val="none"/>
          <w:lang w:val="zh-CN" w:eastAsia="zh-CN"/>
        </w:rPr>
        <w:t>数据库</w:t>
      </w:r>
      <w:r>
        <w:rPr>
          <w:rFonts w:hint="eastAsia" w:ascii="仿宋_GB2312" w:hAnsi="仿宋_GB2312" w:eastAsia="仿宋_GB2312" w:cs="仿宋_GB2312"/>
          <w:color w:val="000000"/>
          <w:sz w:val="28"/>
          <w:szCs w:val="28"/>
          <w:highlight w:val="none"/>
          <w:lang w:val="en-US" w:eastAsia="zh-CN"/>
        </w:rPr>
        <w:t>及相关组件</w:t>
      </w:r>
      <w:r>
        <w:rPr>
          <w:rFonts w:hint="eastAsia" w:ascii="仿宋_GB2312" w:hAnsi="仿宋_GB2312" w:eastAsia="仿宋_GB2312" w:cs="仿宋_GB2312"/>
          <w:color w:val="000000"/>
          <w:sz w:val="28"/>
          <w:szCs w:val="28"/>
          <w:highlight w:val="none"/>
          <w:lang w:val="zh-CN" w:eastAsia="zh-CN"/>
        </w:rPr>
        <w:t>的正常运行；</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每日</w:t>
      </w:r>
      <w:r>
        <w:rPr>
          <w:rFonts w:hint="eastAsia" w:ascii="仿宋_GB2312" w:hAnsi="仿宋_GB2312" w:eastAsia="仿宋_GB2312" w:cs="仿宋_GB2312"/>
          <w:color w:val="000000"/>
          <w:sz w:val="28"/>
          <w:szCs w:val="28"/>
          <w:highlight w:val="none"/>
          <w:lang w:val="zh-CN" w:eastAsia="zh-CN"/>
        </w:rPr>
        <w:t>检查</w:t>
      </w:r>
      <w:r>
        <w:rPr>
          <w:rFonts w:hint="eastAsia" w:ascii="仿宋_GB2312" w:hAnsi="仿宋_GB2312" w:eastAsia="仿宋_GB2312" w:cs="仿宋_GB2312"/>
          <w:color w:val="000000"/>
          <w:sz w:val="28"/>
          <w:szCs w:val="28"/>
          <w:highlight w:val="none"/>
          <w:lang w:val="en-US" w:eastAsia="zh-CN"/>
        </w:rPr>
        <w:t>平台</w:t>
      </w:r>
      <w:r>
        <w:rPr>
          <w:rFonts w:hint="eastAsia" w:ascii="仿宋_GB2312" w:hAnsi="仿宋_GB2312" w:eastAsia="仿宋_GB2312" w:cs="仿宋_GB2312"/>
          <w:color w:val="000000"/>
          <w:sz w:val="28"/>
          <w:szCs w:val="28"/>
          <w:highlight w:val="none"/>
          <w:lang w:val="zh-CN" w:eastAsia="zh-CN"/>
        </w:rPr>
        <w:t>运行状态、</w:t>
      </w:r>
      <w:r>
        <w:rPr>
          <w:rFonts w:hint="eastAsia" w:ascii="仿宋_GB2312" w:hAnsi="仿宋_GB2312" w:eastAsia="仿宋_GB2312" w:cs="仿宋_GB2312"/>
          <w:color w:val="000000"/>
          <w:sz w:val="28"/>
          <w:szCs w:val="28"/>
          <w:highlight w:val="none"/>
          <w:lang w:val="en-US" w:eastAsia="zh-CN"/>
        </w:rPr>
        <w:t>数据库运行状态，并将检查情况同步报送业主</w:t>
      </w:r>
      <w:r>
        <w:rPr>
          <w:rFonts w:hint="eastAsia" w:ascii="仿宋_GB2312" w:hAnsi="仿宋_GB2312" w:eastAsia="仿宋_GB2312" w:cs="仿宋_GB2312"/>
          <w:color w:val="000000"/>
          <w:sz w:val="28"/>
          <w:szCs w:val="28"/>
          <w:highlight w:val="none"/>
          <w:lang w:val="zh-CN" w:eastAsia="zh-CN"/>
        </w:rPr>
        <w:t>；</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每周进行系统、数据库的备份，每月导出数据备份日志提交业主</w:t>
      </w:r>
      <w:r>
        <w:rPr>
          <w:rFonts w:hint="eastAsia" w:ascii="仿宋_GB2312" w:hAnsi="仿宋_GB2312" w:eastAsia="仿宋_GB2312" w:cs="仿宋_GB2312"/>
          <w:color w:val="000000"/>
          <w:sz w:val="28"/>
          <w:szCs w:val="28"/>
          <w:highlight w:val="none"/>
          <w:lang w:val="zh-CN" w:eastAsia="zh-CN"/>
        </w:rPr>
        <w:t>；</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每周</w:t>
      </w:r>
      <w:r>
        <w:rPr>
          <w:rFonts w:hint="eastAsia" w:ascii="仿宋_GB2312" w:hAnsi="仿宋_GB2312" w:eastAsia="仿宋_GB2312" w:cs="仿宋_GB2312"/>
          <w:color w:val="000000"/>
          <w:sz w:val="28"/>
          <w:szCs w:val="28"/>
          <w:highlight w:val="none"/>
          <w:lang w:val="zh-CN" w:eastAsia="zh-CN"/>
        </w:rPr>
        <w:t>检查数据采集情况、数据采集接口的运行情况</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lang w:val="zh-CN" w:eastAsia="zh-CN"/>
        </w:rPr>
        <w:t>对系统大数据平台中厂站、报表系统、药剂系统、碳排放</w:t>
      </w:r>
      <w:r>
        <w:rPr>
          <w:rFonts w:hint="eastAsia" w:ascii="仿宋_GB2312" w:hAnsi="仿宋_GB2312" w:eastAsia="仿宋_GB2312" w:cs="仿宋_GB2312"/>
          <w:color w:val="000000"/>
          <w:sz w:val="28"/>
          <w:szCs w:val="28"/>
          <w:highlight w:val="none"/>
          <w:lang w:val="en-US" w:eastAsia="zh-CN"/>
        </w:rPr>
        <w:t>等</w:t>
      </w:r>
      <w:r>
        <w:rPr>
          <w:rFonts w:hint="eastAsia" w:ascii="仿宋_GB2312" w:hAnsi="仿宋_GB2312" w:eastAsia="仿宋_GB2312" w:cs="仿宋_GB2312"/>
          <w:color w:val="000000"/>
          <w:sz w:val="28"/>
          <w:szCs w:val="28"/>
          <w:highlight w:val="none"/>
          <w:lang w:val="zh-CN" w:eastAsia="zh-CN"/>
        </w:rPr>
        <w:t>系统对接的数据源连接状态进行定期检查，如有问题及时向各外部系统进行反馈跟踪处理；</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每3个月到现场进行数据点位校对更新，</w:t>
      </w:r>
      <w:r>
        <w:rPr>
          <w:rFonts w:hint="eastAsia" w:ascii="仿宋_GB2312" w:hAnsi="仿宋_GB2312" w:eastAsia="仿宋_GB2312" w:cs="仿宋_GB2312"/>
          <w:color w:val="000000"/>
          <w:sz w:val="28"/>
          <w:szCs w:val="28"/>
          <w:highlight w:val="none"/>
          <w:lang w:val="zh-CN" w:eastAsia="zh-CN"/>
        </w:rPr>
        <w:t>解决数据采集过程中遇到的问题；</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每周检查数据共享接口的运行情况，根据业主需求配置共享接口，配合外部系统排查数据共享问题，解决数据共享过程中遇到的问题；</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zh-CN" w:eastAsia="zh-CN"/>
        </w:rPr>
        <w:t>对部署的系统应用与数据库的服务、数据库空间、主机磁盘空间、 主机CPU资源、主机内存等进行</w:t>
      </w:r>
      <w:r>
        <w:rPr>
          <w:rFonts w:hint="eastAsia" w:ascii="仿宋_GB2312" w:hAnsi="仿宋_GB2312" w:eastAsia="仿宋_GB2312" w:cs="仿宋_GB2312"/>
          <w:color w:val="000000"/>
          <w:sz w:val="28"/>
          <w:szCs w:val="28"/>
          <w:highlight w:val="none"/>
          <w:lang w:val="en-US" w:eastAsia="zh-CN"/>
        </w:rPr>
        <w:t>每日</w:t>
      </w:r>
      <w:r>
        <w:rPr>
          <w:rFonts w:hint="eastAsia" w:ascii="仿宋_GB2312" w:hAnsi="仿宋_GB2312" w:eastAsia="仿宋_GB2312" w:cs="仿宋_GB2312"/>
          <w:color w:val="000000"/>
          <w:sz w:val="28"/>
          <w:szCs w:val="28"/>
          <w:highlight w:val="none"/>
          <w:lang w:val="zh-CN" w:eastAsia="zh-CN"/>
        </w:rPr>
        <w:t>巡检，根据业主要求进行系统安全漏洞修复，保障服务正常运行；</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zh-CN" w:eastAsia="zh-CN"/>
        </w:rPr>
        <w:t>解决</w:t>
      </w:r>
      <w:r>
        <w:rPr>
          <w:rFonts w:hint="eastAsia" w:ascii="仿宋_GB2312" w:hAnsi="仿宋_GB2312" w:eastAsia="仿宋_GB2312" w:cs="仿宋_GB2312"/>
          <w:color w:val="000000"/>
          <w:sz w:val="28"/>
          <w:szCs w:val="28"/>
          <w:highlight w:val="none"/>
          <w:lang w:val="en-US" w:eastAsia="zh-CN"/>
        </w:rPr>
        <w:t>普通</w:t>
      </w:r>
      <w:r>
        <w:rPr>
          <w:rFonts w:hint="eastAsia" w:ascii="仿宋_GB2312" w:hAnsi="仿宋_GB2312" w:eastAsia="仿宋_GB2312" w:cs="仿宋_GB2312"/>
          <w:color w:val="000000"/>
          <w:sz w:val="28"/>
          <w:szCs w:val="28"/>
          <w:highlight w:val="none"/>
          <w:lang w:val="zh-CN" w:eastAsia="zh-CN"/>
        </w:rPr>
        <w:t>用户在使用</w:t>
      </w:r>
      <w:r>
        <w:rPr>
          <w:rFonts w:hint="eastAsia" w:ascii="仿宋_GB2312" w:hAnsi="仿宋_GB2312" w:eastAsia="仿宋_GB2312" w:cs="仿宋_GB2312"/>
          <w:color w:val="000000"/>
          <w:sz w:val="28"/>
          <w:szCs w:val="28"/>
          <w:highlight w:val="none"/>
          <w:lang w:val="en-US" w:eastAsia="zh-CN"/>
        </w:rPr>
        <w:t>平台</w:t>
      </w:r>
      <w:r>
        <w:rPr>
          <w:rFonts w:hint="eastAsia" w:ascii="仿宋_GB2312" w:hAnsi="仿宋_GB2312" w:eastAsia="仿宋_GB2312" w:cs="仿宋_GB2312"/>
          <w:color w:val="000000"/>
          <w:sz w:val="28"/>
          <w:szCs w:val="28"/>
          <w:highlight w:val="none"/>
          <w:lang w:val="zh-CN" w:eastAsia="zh-CN"/>
        </w:rPr>
        <w:t>过程中遇到的疑难问题；</w:t>
      </w:r>
      <w:r>
        <w:rPr>
          <w:rFonts w:hint="eastAsia" w:ascii="仿宋_GB2312" w:hAnsi="仿宋_GB2312" w:eastAsia="仿宋_GB2312" w:cs="仿宋_GB2312"/>
          <w:color w:val="000000"/>
          <w:sz w:val="28"/>
          <w:szCs w:val="28"/>
          <w:highlight w:val="none"/>
          <w:lang w:val="zh-CN"/>
        </w:rPr>
        <w:t>帮助解答</w:t>
      </w:r>
      <w:r>
        <w:rPr>
          <w:rFonts w:hint="eastAsia" w:ascii="仿宋_GB2312" w:hAnsi="仿宋_GB2312" w:eastAsia="仿宋_GB2312" w:cs="仿宋_GB2312"/>
          <w:color w:val="000000"/>
          <w:sz w:val="28"/>
          <w:szCs w:val="28"/>
          <w:highlight w:val="none"/>
          <w:lang w:val="en-US" w:eastAsia="zh-CN"/>
        </w:rPr>
        <w:t>业主</w:t>
      </w:r>
      <w:r>
        <w:rPr>
          <w:rFonts w:hint="eastAsia" w:ascii="仿宋_GB2312" w:hAnsi="仿宋_GB2312" w:eastAsia="仿宋_GB2312" w:cs="仿宋_GB2312"/>
          <w:color w:val="000000"/>
          <w:sz w:val="28"/>
          <w:szCs w:val="28"/>
          <w:highlight w:val="none"/>
          <w:lang w:val="zh-CN"/>
        </w:rPr>
        <w:t>提出的系统相关的各种业务和技术问题，包括技术咨询、指导和信息提供等；</w:t>
      </w:r>
    </w:p>
    <w:p>
      <w:pPr>
        <w:numPr>
          <w:ilvl w:val="0"/>
          <w:numId w:val="6"/>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zh-CN" w:eastAsia="zh-CN"/>
        </w:rPr>
        <w:t>指导协助</w:t>
      </w:r>
      <w:r>
        <w:rPr>
          <w:rFonts w:hint="eastAsia" w:ascii="仿宋_GB2312" w:hAnsi="仿宋_GB2312" w:eastAsia="仿宋_GB2312" w:cs="仿宋_GB2312"/>
          <w:color w:val="000000"/>
          <w:sz w:val="28"/>
          <w:szCs w:val="28"/>
          <w:highlight w:val="none"/>
          <w:lang w:val="en-US" w:eastAsia="zh-CN"/>
        </w:rPr>
        <w:t>业主方系统管理员进行系统常见问题及故障处理，并按业主要求进行管理员培训；</w:t>
      </w:r>
    </w:p>
    <w:p>
      <w:pPr>
        <w:numPr>
          <w:ilvl w:val="0"/>
          <w:numId w:val="6"/>
        </w:num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提供40人日的驻场运维服务，并提供重大活动现场技术保障、节假日远程技术保障；</w:t>
      </w:r>
    </w:p>
    <w:p>
      <w:pPr>
        <w:numPr>
          <w:ilvl w:val="0"/>
          <w:numId w:val="6"/>
        </w:num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本项目运维范围内的系统若有版本升级，需在保障业主方网络环境安全的前提下，及时完成系统的软件包升级配置工作。</w:t>
      </w:r>
    </w:p>
    <w:p>
      <w:pPr>
        <w:ind w:firstLine="562" w:firstLineChars="200"/>
        <w:rPr>
          <w:rFonts w:hint="default"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2</w:t>
      </w:r>
      <w:r>
        <w:rPr>
          <w:rFonts w:ascii="仿宋_GB2312" w:hAnsi="仿宋_GB2312" w:eastAsia="仿宋_GB2312" w:cs="仿宋_GB2312"/>
          <w:b/>
          <w:bCs/>
          <w:color w:val="000000"/>
          <w:sz w:val="28"/>
          <w:szCs w:val="28"/>
          <w:highlight w:val="none"/>
          <w:lang w:val="zh-CN"/>
        </w:rPr>
        <w:t>.</w:t>
      </w:r>
      <w:r>
        <w:rPr>
          <w:rFonts w:hint="eastAsia" w:ascii="仿宋_GB2312" w:hAnsi="仿宋_GB2312" w:eastAsia="仿宋_GB2312" w:cs="仿宋_GB2312"/>
          <w:b/>
          <w:bCs/>
          <w:color w:val="000000"/>
          <w:sz w:val="28"/>
          <w:szCs w:val="28"/>
          <w:highlight w:val="none"/>
          <w:lang w:val="zh-CN"/>
        </w:rPr>
        <w:t>系统</w:t>
      </w:r>
      <w:r>
        <w:rPr>
          <w:rFonts w:hint="eastAsia" w:ascii="仿宋_GB2312" w:hAnsi="仿宋_GB2312" w:eastAsia="仿宋_GB2312" w:cs="仿宋_GB2312"/>
          <w:b/>
          <w:bCs/>
          <w:color w:val="000000"/>
          <w:sz w:val="28"/>
          <w:szCs w:val="28"/>
          <w:highlight w:val="none"/>
          <w:lang w:val="en-US" w:eastAsia="zh-CN"/>
        </w:rPr>
        <w:t>突发故障处理</w:t>
      </w:r>
    </w:p>
    <w:p>
      <w:pPr>
        <w:numPr>
          <w:ilvl w:val="0"/>
          <w:numId w:val="7"/>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zh-CN" w:eastAsia="zh-CN"/>
        </w:rPr>
        <w:t>及时解决系统运行过程中发生的突发事件，</w:t>
      </w:r>
      <w:r>
        <w:rPr>
          <w:rFonts w:hint="eastAsia" w:ascii="仿宋_GB2312" w:hAnsi="仿宋_GB2312" w:eastAsia="仿宋_GB2312" w:cs="仿宋_GB2312"/>
          <w:color w:val="000000"/>
          <w:sz w:val="28"/>
          <w:szCs w:val="28"/>
          <w:highlight w:val="none"/>
          <w:lang w:val="en-US" w:eastAsia="zh-CN"/>
        </w:rPr>
        <w:t>对于可能影响营运工作的功能，要求8小时内</w:t>
      </w:r>
      <w:r>
        <w:rPr>
          <w:rFonts w:hint="eastAsia" w:ascii="仿宋_GB2312" w:hAnsi="仿宋_GB2312" w:eastAsia="仿宋_GB2312" w:cs="仿宋_GB2312"/>
          <w:color w:val="000000"/>
          <w:sz w:val="28"/>
          <w:szCs w:val="28"/>
          <w:highlight w:val="none"/>
          <w:lang w:val="zh-CN" w:eastAsia="zh-CN"/>
        </w:rPr>
        <w:t>排除系统自身故障恢复正常运行。</w:t>
      </w:r>
    </w:p>
    <w:p>
      <w:pPr>
        <w:numPr>
          <w:ilvl w:val="0"/>
          <w:numId w:val="7"/>
        </w:num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针对非网络因素导致的系统响应慢、功能使用异常、显示异常等问题进行修复；</w:t>
      </w:r>
    </w:p>
    <w:p>
      <w:pPr>
        <w:numPr>
          <w:ilvl w:val="0"/>
          <w:numId w:val="7"/>
        </w:num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当发生服务器故障或者数据问题时，对本项目的系统、数据及3D资料等相关信息进行还原操作。</w:t>
      </w:r>
    </w:p>
    <w:p>
      <w:pPr>
        <w:ind w:firstLine="562" w:firstLineChars="200"/>
        <w:rPr>
          <w:rFonts w:hint="default"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3</w:t>
      </w:r>
      <w:r>
        <w:rPr>
          <w:rFonts w:ascii="仿宋_GB2312" w:hAnsi="仿宋_GB2312" w:eastAsia="仿宋_GB2312" w:cs="仿宋_GB2312"/>
          <w:b/>
          <w:bCs/>
          <w:color w:val="000000"/>
          <w:sz w:val="28"/>
          <w:szCs w:val="28"/>
          <w:highlight w:val="none"/>
          <w:lang w:val="zh-CN"/>
        </w:rPr>
        <w:t>.</w:t>
      </w:r>
      <w:r>
        <w:rPr>
          <w:rFonts w:hint="eastAsia" w:ascii="仿宋_GB2312" w:hAnsi="仿宋_GB2312" w:eastAsia="仿宋_GB2312" w:cs="仿宋_GB2312"/>
          <w:b/>
          <w:bCs/>
          <w:color w:val="000000"/>
          <w:sz w:val="28"/>
          <w:szCs w:val="28"/>
          <w:highlight w:val="none"/>
          <w:lang w:val="en-US" w:eastAsia="zh-CN"/>
        </w:rPr>
        <w:t>系统功能优化开发</w:t>
      </w:r>
    </w:p>
    <w:p>
      <w:pPr>
        <w:ind w:firstLine="560" w:firstLineChars="200"/>
        <w:rPr>
          <w:rFonts w:ascii="仿宋_GB2312" w:hAnsi="仿宋_GB2312" w:eastAsia="仿宋_GB2312" w:cs="仿宋_GB2312"/>
          <w:color w:val="000000"/>
          <w:sz w:val="28"/>
          <w:szCs w:val="28"/>
          <w:highlight w:val="none"/>
          <w:lang w:val="zh-CN"/>
        </w:rPr>
      </w:pPr>
      <w:r>
        <w:rPr>
          <w:rFonts w:hint="eastAsia" w:ascii="仿宋_GB2312" w:hAnsi="仿宋_GB2312" w:eastAsia="仿宋_GB2312" w:cs="仿宋_GB2312"/>
          <w:color w:val="000000"/>
          <w:sz w:val="28"/>
          <w:szCs w:val="28"/>
          <w:highlight w:val="none"/>
          <w:lang w:val="en-US" w:eastAsia="zh-CN"/>
        </w:rPr>
        <w:t>运维期间配合业主梳理业务需求，</w:t>
      </w:r>
      <w:r>
        <w:rPr>
          <w:rFonts w:hint="eastAsia" w:ascii="仿宋_GB2312" w:hAnsi="仿宋_GB2312" w:eastAsia="仿宋_GB2312" w:cs="仿宋_GB2312"/>
          <w:color w:val="000000"/>
          <w:sz w:val="28"/>
          <w:szCs w:val="28"/>
          <w:highlight w:val="none"/>
          <w:lang w:val="zh-CN"/>
        </w:rPr>
        <w:t>从应用系统角度</w:t>
      </w:r>
      <w:r>
        <w:rPr>
          <w:rFonts w:hint="eastAsia" w:ascii="仿宋_GB2312" w:hAnsi="仿宋_GB2312" w:eastAsia="仿宋_GB2312" w:cs="仿宋_GB2312"/>
          <w:color w:val="000000"/>
          <w:sz w:val="28"/>
          <w:szCs w:val="28"/>
          <w:highlight w:val="none"/>
          <w:lang w:val="en-US" w:eastAsia="zh-CN"/>
        </w:rPr>
        <w:t>提出优化设计意见</w:t>
      </w:r>
      <w:r>
        <w:rPr>
          <w:rFonts w:hint="eastAsia" w:ascii="仿宋_GB2312" w:hAnsi="仿宋_GB2312" w:eastAsia="仿宋_GB2312" w:cs="仿宋_GB2312"/>
          <w:color w:val="000000"/>
          <w:sz w:val="28"/>
          <w:szCs w:val="28"/>
          <w:highlight w:val="none"/>
          <w:lang w:val="zh-CN"/>
        </w:rPr>
        <w:t>，</w:t>
      </w:r>
      <w:r>
        <w:rPr>
          <w:rFonts w:hint="eastAsia" w:ascii="仿宋_GB2312" w:hAnsi="仿宋_GB2312" w:eastAsia="仿宋_GB2312" w:cs="仿宋_GB2312"/>
          <w:color w:val="000000"/>
          <w:sz w:val="28"/>
          <w:szCs w:val="28"/>
          <w:highlight w:val="none"/>
          <w:lang w:val="en-US" w:eastAsia="zh-CN"/>
        </w:rPr>
        <w:t>并提供100人天的二次开发工作量，</w:t>
      </w:r>
      <w:r>
        <w:rPr>
          <w:rFonts w:hint="eastAsia" w:ascii="仿宋_GB2312" w:hAnsi="仿宋_GB2312" w:eastAsia="仿宋_GB2312" w:cs="仿宋_GB2312"/>
          <w:color w:val="000000"/>
          <w:sz w:val="28"/>
          <w:szCs w:val="28"/>
          <w:highlight w:val="none"/>
          <w:lang w:val="zh-CN"/>
        </w:rPr>
        <w:t>进行</w:t>
      </w:r>
      <w:r>
        <w:rPr>
          <w:rFonts w:hint="eastAsia" w:ascii="仿宋_GB2312" w:hAnsi="仿宋_GB2312" w:eastAsia="仿宋_GB2312" w:cs="仿宋_GB2312"/>
          <w:color w:val="000000"/>
          <w:sz w:val="28"/>
          <w:szCs w:val="28"/>
          <w:highlight w:val="none"/>
          <w:lang w:val="en-US" w:eastAsia="zh-CN"/>
        </w:rPr>
        <w:t>系统新增功能开发、其他业务系统的页面集成（单点登录、功能嵌入）和数据对接等工作</w:t>
      </w:r>
      <w:r>
        <w:rPr>
          <w:rFonts w:hint="eastAsia" w:ascii="仿宋_GB2312" w:hAnsi="仿宋_GB2312" w:eastAsia="仿宋_GB2312" w:cs="仿宋_GB2312"/>
          <w:color w:val="000000"/>
          <w:sz w:val="28"/>
          <w:szCs w:val="28"/>
          <w:highlight w:val="none"/>
          <w:lang w:val="zh-CN"/>
        </w:rPr>
        <w:t>。</w:t>
      </w:r>
    </w:p>
    <w:p>
      <w:pPr>
        <w:ind w:firstLine="562" w:firstLineChars="200"/>
        <w:rPr>
          <w:rFonts w:hint="default"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w:t>
      </w:r>
      <w:r>
        <w:rPr>
          <w:rFonts w:hint="eastAsia" w:ascii="仿宋_GB2312" w:hAnsi="仿宋_GB2312" w:eastAsia="仿宋_GB2312" w:cs="仿宋_GB2312"/>
          <w:b/>
          <w:bCs/>
          <w:color w:val="000000"/>
          <w:sz w:val="28"/>
          <w:szCs w:val="28"/>
          <w:highlight w:val="none"/>
          <w:lang w:val="zh-CN" w:eastAsia="zh-CN"/>
        </w:rPr>
        <w:t>.运维</w:t>
      </w:r>
      <w:r>
        <w:rPr>
          <w:rFonts w:hint="eastAsia" w:ascii="仿宋_GB2312" w:hAnsi="仿宋_GB2312" w:eastAsia="仿宋_GB2312" w:cs="仿宋_GB2312"/>
          <w:b/>
          <w:bCs/>
          <w:color w:val="000000"/>
          <w:sz w:val="28"/>
          <w:szCs w:val="28"/>
          <w:highlight w:val="none"/>
          <w:lang w:val="en-US" w:eastAsia="zh-CN"/>
        </w:rPr>
        <w:t>记录及报告</w:t>
      </w:r>
    </w:p>
    <w:p>
      <w:pPr>
        <w:numPr>
          <w:ilvl w:val="0"/>
          <w:numId w:val="8"/>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提供运维记录台账，当日问题当日录入，及时更新处理措施及情况；</w:t>
      </w:r>
    </w:p>
    <w:p>
      <w:pPr>
        <w:numPr>
          <w:ilvl w:val="0"/>
          <w:numId w:val="8"/>
        </w:numPr>
        <w:ind w:firstLine="560" w:firstLineChars="20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出具每月</w:t>
      </w:r>
      <w:r>
        <w:rPr>
          <w:rFonts w:hint="eastAsia" w:ascii="仿宋_GB2312" w:hAnsi="仿宋_GB2312" w:eastAsia="仿宋_GB2312" w:cs="仿宋_GB2312"/>
          <w:color w:val="000000"/>
          <w:sz w:val="28"/>
          <w:szCs w:val="28"/>
          <w:highlight w:val="none"/>
          <w:lang w:val="zh-CN" w:eastAsia="zh-CN"/>
        </w:rPr>
        <w:t>运维总结报告，总结回顾各项运维工作开展情况，重点描述和分析出现的技术问题和服务质量问题，并给出整改方案；</w:t>
      </w:r>
    </w:p>
    <w:p>
      <w:pPr>
        <w:numPr>
          <w:ilvl w:val="0"/>
          <w:numId w:val="8"/>
        </w:num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故障处理完毕后48小时内出具故障处理报告，写明故障原因、处理措施、故障影响等内容。</w:t>
      </w:r>
    </w:p>
    <w:p>
      <w:pPr>
        <w:pStyle w:val="55"/>
        <w:numPr>
          <w:ilvl w:val="0"/>
          <w:numId w:val="0"/>
        </w:numPr>
        <w:ind w:left="420"/>
        <w:rPr>
          <w:rFonts w:hint="eastAsia"/>
          <w:sz w:val="30"/>
          <w:szCs w:val="30"/>
          <w:highlight w:val="none"/>
          <w:lang w:val="en-US" w:eastAsia="zh-CN"/>
        </w:rPr>
      </w:pPr>
      <w:r>
        <w:rPr>
          <w:rFonts w:hint="eastAsia"/>
          <w:sz w:val="30"/>
          <w:szCs w:val="30"/>
          <w:highlight w:val="none"/>
        </w:rPr>
        <w:t>（三）</w:t>
      </w:r>
      <w:r>
        <w:rPr>
          <w:rFonts w:hint="eastAsia"/>
          <w:sz w:val="30"/>
          <w:szCs w:val="30"/>
          <w:highlight w:val="none"/>
          <w:lang w:val="en-US" w:eastAsia="zh-CN"/>
        </w:rPr>
        <w:t>技术要求</w:t>
      </w:r>
    </w:p>
    <w:p>
      <w:pPr>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本项目包含系统运维和系统功能升级及二次开发工作，因此</w:t>
      </w:r>
      <w:r>
        <w:rPr>
          <w:rFonts w:hint="eastAsia" w:ascii="仿宋_GB2312" w:hAnsi="仿宋_GB2312" w:eastAsia="仿宋_GB2312" w:cs="仿宋_GB2312"/>
          <w:b/>
          <w:bCs/>
          <w:color w:val="000000"/>
          <w:sz w:val="28"/>
          <w:szCs w:val="28"/>
          <w:highlight w:val="none"/>
          <w:lang w:val="en-US" w:eastAsia="zh-CN"/>
        </w:rPr>
        <w:t>要求项目成员必须具备下列技术能力</w:t>
      </w:r>
      <w:r>
        <w:rPr>
          <w:rFonts w:hint="eastAsia" w:ascii="仿宋_GB2312" w:hAnsi="仿宋_GB2312" w:eastAsia="仿宋_GB2312" w:cs="仿宋_GB2312"/>
          <w:color w:val="000000"/>
          <w:sz w:val="28"/>
          <w:szCs w:val="28"/>
          <w:highlight w:val="none"/>
          <w:lang w:val="en-US" w:eastAsia="zh-CN"/>
        </w:rPr>
        <w:t>：</w:t>
      </w:r>
    </w:p>
    <w:p>
      <w:pPr>
        <w:numPr>
          <w:ilvl w:val="0"/>
          <w:numId w:val="9"/>
        </w:numPr>
        <w:ind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具有丰富的K8S开发经验，具有较大规模K8S使用经验，对pod自动化配置和性能监控有较深的理解，同时对Containerd、Docker容器技术有丰富的经验；</w:t>
      </w:r>
    </w:p>
    <w:p>
      <w:pPr>
        <w:numPr>
          <w:ilvl w:val="0"/>
          <w:numId w:val="9"/>
        </w:numPr>
        <w:ind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对linux系列操作系统有专业的技术人员支持，能够进行系统环境部署及修复系统漏洞；</w:t>
      </w:r>
    </w:p>
    <w:p>
      <w:pPr>
        <w:numPr>
          <w:ilvl w:val="0"/>
          <w:numId w:val="9"/>
        </w:numPr>
        <w:ind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需具有熟练使用nginx反向代理、负载均衡、HTTP服务器等技术；</w:t>
      </w:r>
    </w:p>
    <w:p>
      <w:pPr>
        <w:numPr>
          <w:ilvl w:val="0"/>
          <w:numId w:val="9"/>
        </w:numPr>
        <w:ind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熟练nodered物联网工具，对其流编程技术有专业的技术人员支持；</w:t>
      </w:r>
    </w:p>
    <w:p>
      <w:pPr>
        <w:numPr>
          <w:ilvl w:val="0"/>
          <w:numId w:val="9"/>
        </w:numPr>
        <w:ind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熟练掌握postgreSQL关系型数据库、ClickHouse列式数据库，具备设计数据结构，优化SQL查询，以及支持分布式部署；</w:t>
      </w:r>
    </w:p>
    <w:p>
      <w:pPr>
        <w:numPr>
          <w:ilvl w:val="0"/>
          <w:numId w:val="9"/>
        </w:numPr>
        <w:ind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熟练掌握Spring Boot微服务，并整合Dubbo+Zookeeper进行项目开发；熟练掌握golang微服务架构</w:t>
      </w:r>
    </w:p>
    <w:p>
      <w:pPr>
        <w:numPr>
          <w:ilvl w:val="0"/>
          <w:numId w:val="9"/>
        </w:numPr>
        <w:ind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熟悉前端vue框架、Ionic 6.0 的 Hybrid App 框架及主流websocket框架；</w:t>
      </w:r>
    </w:p>
    <w:p>
      <w:pPr>
        <w:numPr>
          <w:ilvl w:val="0"/>
          <w:numId w:val="9"/>
        </w:numPr>
        <w:ind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熟练TCP、OPC等服务编程；</w:t>
      </w:r>
    </w:p>
    <w:p>
      <w:pPr>
        <w:numPr>
          <w:ilvl w:val="0"/>
          <w:numId w:val="9"/>
        </w:numPr>
        <w:ind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对海量数据存储、分析及流计算处理有一定经验。</w:t>
      </w:r>
    </w:p>
    <w:p>
      <w:pPr>
        <w:pStyle w:val="55"/>
        <w:numPr>
          <w:ilvl w:val="0"/>
          <w:numId w:val="0"/>
        </w:numPr>
        <w:ind w:left="420"/>
        <w:rPr>
          <w:rFonts w:hint="default" w:eastAsia="仿宋"/>
          <w:sz w:val="30"/>
          <w:szCs w:val="30"/>
          <w:highlight w:val="none"/>
          <w:lang w:val="en-US" w:eastAsia="zh-CN"/>
        </w:rPr>
      </w:pPr>
      <w:r>
        <w:rPr>
          <w:rFonts w:hint="eastAsia"/>
          <w:sz w:val="30"/>
          <w:szCs w:val="30"/>
          <w:highlight w:val="none"/>
        </w:rPr>
        <w:t>（</w:t>
      </w:r>
      <w:r>
        <w:rPr>
          <w:rFonts w:hint="eastAsia"/>
          <w:sz w:val="30"/>
          <w:szCs w:val="30"/>
          <w:highlight w:val="none"/>
          <w:lang w:val="en-US" w:eastAsia="zh-CN"/>
        </w:rPr>
        <w:t>四</w:t>
      </w:r>
      <w:r>
        <w:rPr>
          <w:rFonts w:hint="eastAsia"/>
          <w:sz w:val="30"/>
          <w:szCs w:val="30"/>
          <w:highlight w:val="none"/>
        </w:rPr>
        <w:t>）</w:t>
      </w:r>
      <w:r>
        <w:rPr>
          <w:rFonts w:hint="eastAsia"/>
          <w:sz w:val="30"/>
          <w:szCs w:val="30"/>
          <w:highlight w:val="none"/>
          <w:lang w:val="en-US" w:eastAsia="zh-CN"/>
        </w:rPr>
        <w:t>运维时间要求</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针对公司的工作日制度，提供系统级的日常维护、定期巡检、性能测试、故障排查等服务。</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具体内容包括：</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1.工作日服务</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主要指远程值守服务，每周一次对平台软件、数据库、网络状态进行监视、管理和维护，通过对系统运行日志的分析提前发现并排除可能发生的潜在故障，并在2小时内排除普通故障，4小时内排除较大故障，8小时内排除重大故障，24小时内排除特大故障。</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2.故障响应服务</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除了远程值守服务方式外，同时，提供7×24小时故障响应服务具体包括：</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维护期内提供电话、传真、电子邮件等方式的咨询和支持服务。</w:t>
      </w:r>
    </w:p>
    <w:p>
      <w:pPr>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系统出现故障无法远程解决时，</w:t>
      </w:r>
      <w:r>
        <w:rPr>
          <w:rFonts w:hint="eastAsia" w:ascii="仿宋_GB2312" w:hAnsi="仿宋_GB2312" w:eastAsia="仿宋_GB2312" w:cs="仿宋_GB2312"/>
          <w:color w:val="000000"/>
          <w:sz w:val="28"/>
          <w:szCs w:val="28"/>
          <w:highlight w:val="none"/>
          <w:lang w:val="en-US" w:eastAsia="zh-CN"/>
        </w:rPr>
        <w:t>12</w:t>
      </w:r>
      <w:r>
        <w:rPr>
          <w:rFonts w:hint="eastAsia" w:ascii="仿宋_GB2312" w:hAnsi="仿宋_GB2312" w:eastAsia="仿宋_GB2312" w:cs="仿宋_GB2312"/>
          <w:color w:val="000000"/>
          <w:sz w:val="28"/>
          <w:szCs w:val="28"/>
          <w:highlight w:val="none"/>
        </w:rPr>
        <w:t>小时内派专业工程师赶赴现场进行故障诊断及处理，到达现场后，在1小时内排除普通故障，2小时内排除较大故障，8小时内排除重大故障，24小时内排除特大故障。</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一般故障，</w:t>
      </w:r>
      <w:r>
        <w:rPr>
          <w:rFonts w:hint="eastAsia" w:ascii="仿宋_GB2312" w:hAnsi="仿宋_GB2312" w:eastAsia="仿宋_GB2312" w:cs="仿宋_GB2312"/>
          <w:color w:val="000000"/>
          <w:sz w:val="28"/>
          <w:szCs w:val="28"/>
          <w:highlight w:val="none"/>
          <w:lang w:val="en-US" w:eastAsia="zh-CN"/>
        </w:rPr>
        <w:t>遵循</w:t>
      </w:r>
      <w:r>
        <w:rPr>
          <w:rFonts w:hint="eastAsia" w:ascii="仿宋_GB2312" w:hAnsi="仿宋_GB2312" w:eastAsia="仿宋_GB2312" w:cs="仿宋_GB2312"/>
          <w:color w:val="000000"/>
          <w:sz w:val="28"/>
          <w:szCs w:val="28"/>
          <w:highlight w:val="none"/>
        </w:rPr>
        <w:t>工作日</w:t>
      </w:r>
      <w:r>
        <w:rPr>
          <w:rFonts w:hint="eastAsia" w:ascii="仿宋_GB2312" w:hAnsi="仿宋_GB2312" w:eastAsia="仿宋_GB2312" w:cs="仿宋_GB2312"/>
          <w:color w:val="000000"/>
          <w:sz w:val="28"/>
          <w:szCs w:val="28"/>
          <w:highlight w:val="none"/>
          <w:lang w:val="en-US" w:eastAsia="zh-CN"/>
        </w:rPr>
        <w:t>服务</w:t>
      </w:r>
      <w:r>
        <w:rPr>
          <w:rFonts w:hint="eastAsia" w:ascii="仿宋_GB2312" w:hAnsi="仿宋_GB2312" w:eastAsia="仿宋_GB2312" w:cs="仿宋_GB2312"/>
          <w:color w:val="000000"/>
          <w:sz w:val="28"/>
          <w:szCs w:val="28"/>
          <w:highlight w:val="none"/>
        </w:rPr>
        <w:t>响应</w:t>
      </w:r>
      <w:r>
        <w:rPr>
          <w:rFonts w:hint="eastAsia" w:ascii="仿宋_GB2312" w:hAnsi="仿宋_GB2312" w:eastAsia="仿宋_GB2312" w:cs="仿宋_GB2312"/>
          <w:color w:val="000000"/>
          <w:sz w:val="28"/>
          <w:szCs w:val="28"/>
          <w:highlight w:val="none"/>
          <w:lang w:val="en-US" w:eastAsia="zh-CN"/>
        </w:rPr>
        <w:t>要求</w:t>
      </w:r>
      <w:r>
        <w:rPr>
          <w:rFonts w:hint="eastAsia" w:ascii="仿宋_GB2312" w:hAnsi="仿宋_GB2312" w:eastAsia="仿宋_GB2312" w:cs="仿宋_GB2312"/>
          <w:color w:val="000000"/>
          <w:sz w:val="28"/>
          <w:szCs w:val="28"/>
          <w:highlight w:val="none"/>
        </w:rPr>
        <w:t>。</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3.其他时间及夜间服务</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当系统在非工作日出现异常无法远程解决时，维护人员在</w:t>
      </w:r>
      <w:r>
        <w:rPr>
          <w:rFonts w:hint="eastAsia" w:ascii="仿宋_GB2312" w:hAnsi="仿宋_GB2312" w:eastAsia="仿宋_GB2312" w:cs="仿宋_GB2312"/>
          <w:color w:val="000000"/>
          <w:sz w:val="28"/>
          <w:szCs w:val="28"/>
          <w:highlight w:val="none"/>
          <w:lang w:val="en-US" w:eastAsia="zh-CN"/>
        </w:rPr>
        <w:t>24</w:t>
      </w:r>
      <w:r>
        <w:rPr>
          <w:rFonts w:hint="eastAsia" w:ascii="仿宋_GB2312" w:hAnsi="仿宋_GB2312" w:eastAsia="仿宋_GB2312" w:cs="仿宋_GB2312"/>
          <w:color w:val="000000"/>
          <w:sz w:val="28"/>
          <w:szCs w:val="28"/>
          <w:highlight w:val="none"/>
        </w:rPr>
        <w:t>小时内赶赴现场并排除系统普通故障，特大故障在24小时内处理完毕。</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4.临时保障服务</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当遇到重大活动需要提供临时保障服务时，维护人员须在需要保障服务的前一天进驻现场，并对软件平台、</w:t>
      </w:r>
      <w:r>
        <w:rPr>
          <w:rFonts w:hint="eastAsia" w:ascii="仿宋_GB2312" w:hAnsi="仿宋_GB2312" w:eastAsia="仿宋_GB2312" w:cs="仿宋_GB2312"/>
          <w:color w:val="000000"/>
          <w:sz w:val="28"/>
          <w:szCs w:val="28"/>
          <w:highlight w:val="none"/>
          <w:lang w:val="en-US" w:eastAsia="zh-CN"/>
        </w:rPr>
        <w:t>数据传输情况、</w:t>
      </w:r>
      <w:r>
        <w:rPr>
          <w:rFonts w:hint="eastAsia" w:ascii="仿宋_GB2312" w:hAnsi="仿宋_GB2312" w:eastAsia="仿宋_GB2312" w:cs="仿宋_GB2312"/>
          <w:color w:val="000000"/>
          <w:sz w:val="28"/>
          <w:szCs w:val="28"/>
          <w:highlight w:val="none"/>
        </w:rPr>
        <w:t>网络配置等进行临时性检查，排除隐患，保证平台正常运行。</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5.月度检查</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每月对各系统、</w:t>
      </w:r>
      <w:r>
        <w:rPr>
          <w:rFonts w:hint="eastAsia" w:ascii="仿宋_GB2312" w:hAnsi="仿宋_GB2312" w:eastAsia="仿宋_GB2312" w:cs="仿宋_GB2312"/>
          <w:color w:val="000000"/>
          <w:sz w:val="28"/>
          <w:szCs w:val="28"/>
          <w:highlight w:val="none"/>
          <w:lang w:val="en-US" w:eastAsia="zh-CN"/>
        </w:rPr>
        <w:t>数据传输存储情况</w:t>
      </w:r>
      <w:r>
        <w:rPr>
          <w:rFonts w:hint="eastAsia" w:ascii="仿宋_GB2312" w:hAnsi="仿宋_GB2312" w:eastAsia="仿宋_GB2312" w:cs="仿宋_GB2312"/>
          <w:color w:val="000000"/>
          <w:sz w:val="28"/>
          <w:szCs w:val="28"/>
          <w:highlight w:val="none"/>
        </w:rPr>
        <w:t>进行月度检查，</w:t>
      </w:r>
      <w:r>
        <w:rPr>
          <w:rFonts w:hint="eastAsia" w:ascii="仿宋_GB2312" w:hAnsi="仿宋_GB2312" w:eastAsia="仿宋_GB2312" w:cs="仿宋_GB2312"/>
          <w:color w:val="000000"/>
          <w:sz w:val="28"/>
          <w:szCs w:val="28"/>
          <w:highlight w:val="none"/>
          <w:lang w:val="en-US" w:eastAsia="zh-CN"/>
        </w:rPr>
        <w:t>对系统及数据进行月度的增量备份，</w:t>
      </w:r>
      <w:r>
        <w:rPr>
          <w:rFonts w:hint="eastAsia" w:ascii="仿宋_GB2312" w:hAnsi="仿宋_GB2312" w:eastAsia="仿宋_GB2312" w:cs="仿宋_GB2312"/>
          <w:color w:val="000000"/>
          <w:sz w:val="28"/>
          <w:szCs w:val="28"/>
          <w:highlight w:val="none"/>
        </w:rPr>
        <w:t>对检查中存在的故障及安全隐患进行处理。每月第一周向用户单位提交上月的《月度巡检报告》，报请用户单位审批签署。</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6.季度检查</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每季度对</w:t>
      </w:r>
      <w:r>
        <w:rPr>
          <w:rFonts w:hint="eastAsia" w:ascii="仿宋_GB2312" w:hAnsi="仿宋_GB2312" w:eastAsia="仿宋_GB2312" w:cs="仿宋_GB2312"/>
          <w:color w:val="000000"/>
          <w:sz w:val="28"/>
          <w:szCs w:val="28"/>
          <w:highlight w:val="none"/>
          <w:lang w:val="en-US" w:eastAsia="zh-CN"/>
        </w:rPr>
        <w:t>各</w:t>
      </w:r>
      <w:r>
        <w:rPr>
          <w:rFonts w:hint="eastAsia" w:ascii="仿宋_GB2312" w:hAnsi="仿宋_GB2312" w:eastAsia="仿宋_GB2312" w:cs="仿宋_GB2312"/>
          <w:color w:val="000000"/>
          <w:sz w:val="28"/>
          <w:szCs w:val="28"/>
          <w:highlight w:val="none"/>
        </w:rPr>
        <w:t>系统、</w:t>
      </w:r>
      <w:r>
        <w:rPr>
          <w:rFonts w:hint="eastAsia" w:ascii="仿宋_GB2312" w:hAnsi="仿宋_GB2312" w:eastAsia="仿宋_GB2312" w:cs="仿宋_GB2312"/>
          <w:color w:val="000000"/>
          <w:sz w:val="28"/>
          <w:szCs w:val="28"/>
          <w:highlight w:val="none"/>
          <w:lang w:val="en-US" w:eastAsia="zh-CN"/>
        </w:rPr>
        <w:t>数据传输存储情况</w:t>
      </w:r>
      <w:r>
        <w:rPr>
          <w:rFonts w:hint="eastAsia" w:ascii="仿宋_GB2312" w:hAnsi="仿宋_GB2312" w:eastAsia="仿宋_GB2312" w:cs="仿宋_GB2312"/>
          <w:color w:val="000000"/>
          <w:sz w:val="28"/>
          <w:szCs w:val="28"/>
          <w:highlight w:val="none"/>
        </w:rPr>
        <w:t>进行月度检查，</w:t>
      </w:r>
      <w:r>
        <w:rPr>
          <w:rFonts w:hint="eastAsia" w:ascii="仿宋_GB2312" w:hAnsi="仿宋_GB2312" w:eastAsia="仿宋_GB2312" w:cs="仿宋_GB2312"/>
          <w:color w:val="000000"/>
          <w:sz w:val="28"/>
          <w:szCs w:val="28"/>
          <w:highlight w:val="none"/>
          <w:lang w:val="en-US" w:eastAsia="zh-CN"/>
        </w:rPr>
        <w:t>对系统及数据进行全量备份和异地存储，</w:t>
      </w:r>
      <w:r>
        <w:rPr>
          <w:rFonts w:hint="eastAsia" w:ascii="仿宋_GB2312" w:hAnsi="仿宋_GB2312" w:eastAsia="仿宋_GB2312" w:cs="仿宋_GB2312"/>
          <w:color w:val="000000"/>
          <w:sz w:val="28"/>
          <w:szCs w:val="28"/>
          <w:highlight w:val="none"/>
        </w:rPr>
        <w:t>对检查中存在的故障及安全隐患进行处理。</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7.年度检查</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每年对整个系统</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运行环境进行运行评估和风险分析</w:t>
      </w:r>
      <w:r>
        <w:rPr>
          <w:rFonts w:hint="eastAsia" w:ascii="仿宋_GB2312" w:hAnsi="仿宋_GB2312" w:eastAsia="仿宋_GB2312" w:cs="仿宋_GB2312"/>
          <w:color w:val="000000"/>
          <w:sz w:val="28"/>
          <w:szCs w:val="28"/>
          <w:highlight w:val="none"/>
        </w:rPr>
        <w:t>，并对下一年可能存在的问题进行风险预测，提交完整的评估报告。</w:t>
      </w:r>
    </w:p>
    <w:p>
      <w:pPr>
        <w:pStyle w:val="4"/>
        <w:rPr>
          <w:highlight w:val="none"/>
        </w:rPr>
      </w:pPr>
      <w:bookmarkStart w:id="61" w:name="_Toc15570"/>
      <w:bookmarkStart w:id="62" w:name="_Toc29835"/>
      <w:bookmarkStart w:id="63" w:name="_Toc23330"/>
      <w:bookmarkStart w:id="64" w:name="_Toc25925"/>
      <w:bookmarkStart w:id="65" w:name="_Toc4680"/>
      <w:bookmarkStart w:id="66" w:name="_Toc23353"/>
      <w:bookmarkStart w:id="67" w:name="_Toc18538"/>
      <w:bookmarkStart w:id="68" w:name="_Toc1496"/>
      <w:bookmarkStart w:id="69" w:name="_Toc537"/>
      <w:bookmarkStart w:id="70" w:name="_Toc12135"/>
      <w:bookmarkStart w:id="71" w:name="_Toc1284"/>
    </w:p>
    <w:p>
      <w:pPr>
        <w:pStyle w:val="4"/>
        <w:rPr>
          <w:highlight w:val="none"/>
        </w:rPr>
      </w:pPr>
    </w:p>
    <w:bookmarkEnd w:id="61"/>
    <w:bookmarkEnd w:id="62"/>
    <w:bookmarkEnd w:id="63"/>
    <w:bookmarkEnd w:id="64"/>
    <w:bookmarkEnd w:id="65"/>
    <w:bookmarkEnd w:id="66"/>
    <w:bookmarkEnd w:id="67"/>
    <w:bookmarkEnd w:id="68"/>
    <w:bookmarkEnd w:id="69"/>
    <w:bookmarkEnd w:id="70"/>
    <w:bookmarkEnd w:id="71"/>
    <w:p>
      <w:pPr>
        <w:pStyle w:val="39"/>
        <w:rPr>
          <w:highlight w:val="none"/>
        </w:rPr>
      </w:pPr>
    </w:p>
    <w:p>
      <w:pPr>
        <w:pStyle w:val="4"/>
        <w:rPr>
          <w:highlight w:val="none"/>
        </w:rPr>
      </w:pPr>
      <w:bookmarkStart w:id="72" w:name="_Toc19088"/>
      <w:bookmarkStart w:id="73" w:name="_Toc8183"/>
      <w:bookmarkStart w:id="74" w:name="_Toc12980"/>
      <w:bookmarkStart w:id="75" w:name="_Toc19686"/>
      <w:bookmarkStart w:id="76" w:name="_Toc88209949"/>
      <w:bookmarkStart w:id="77" w:name="_Toc12968"/>
      <w:bookmarkStart w:id="78" w:name="_Toc12721"/>
      <w:bookmarkStart w:id="79" w:name="_Toc22797"/>
      <w:bookmarkStart w:id="80" w:name="_Toc1375"/>
      <w:bookmarkStart w:id="81" w:name="_Toc87616386"/>
      <w:bookmarkStart w:id="82" w:name="_Toc13309"/>
      <w:bookmarkStart w:id="83" w:name="_Toc323"/>
      <w:bookmarkStart w:id="84" w:name="_Toc22501"/>
    </w:p>
    <w:p>
      <w:pPr>
        <w:rPr>
          <w:highlight w:val="none"/>
        </w:rPr>
      </w:pPr>
    </w:p>
    <w:p>
      <w:pPr>
        <w:pStyle w:val="2"/>
        <w:rPr>
          <w:highlight w:val="none"/>
        </w:rPr>
      </w:pPr>
    </w:p>
    <w:p>
      <w:pPr>
        <w:pStyle w:val="2"/>
        <w:rPr>
          <w:highlight w:val="none"/>
        </w:rPr>
      </w:pPr>
    </w:p>
    <w:p>
      <w:pPr>
        <w:pStyle w:val="4"/>
        <w:rPr>
          <w:rFonts w:hint="eastAsia"/>
          <w:highlight w:val="none"/>
        </w:rPr>
      </w:pPr>
    </w:p>
    <w:p>
      <w:pPr>
        <w:pStyle w:val="4"/>
        <w:rPr>
          <w:rFonts w:hint="eastAsia"/>
          <w:highlight w:val="none"/>
        </w:rPr>
      </w:pPr>
      <w:r>
        <w:rPr>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685165</wp:posOffset>
                </wp:positionV>
                <wp:extent cx="958850" cy="0"/>
                <wp:effectExtent l="13335" t="13970" r="8890" b="5080"/>
                <wp:wrapNone/>
                <wp:docPr id="18"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84.9pt;margin-top:53.95pt;height:0pt;width:75.5pt;z-index:251672576;mso-width-relative:page;mso-height-relative:page;" filled="f" stroked="t" coordsize="21600,21600" o:gfxdata="UEsDBAoAAAAAAIdO4kAAAAAAAAAAAAAAAAAEAAAAZHJzL1BLAwQUAAAACACHTuJAtncMvtcAAAAL&#10;AQAADwAAAGRycy9kb3ducmV2LnhtbE2PQUvDQBCF74L/YZmCF7G7ibSamE0RwYNH24LXbXZMYrOz&#10;Ibtpan+9UyjU47z3ePO9YnV0nTjgEFpPGpK5AoFUedtSrWG7eX94BhGiIWs6T6jhFwOsytubwuTW&#10;T/SJh3WsBZdQyI2GJsY+lzJUDToT5r5HYu/bD85EPoda2sFMXO46mSq1lM60xB8a0+Nbg9V+PToN&#10;GMZFol4zV28/TtP9V3r6mfqN1nezRL2AiHiM1zCc8RkdSmba+ZFsEJ2Gx2XG6JEN9ZSB4MQiVazs&#10;LoosC/l/Q/kHUEsDBBQAAAAIAIdO4kB8DWk10AEAALMDAAAOAAAAZHJzL2Uyb0RvYy54bWytU8GO&#10;2jAQvVfqP1i+lwASFY0Iqwq0vWxbpN1+gHGcxKrtsWYMgb/v2MC2pZc9NAfL9njem/dmsno4eSeO&#10;BslCaORsMpXCBA2tDX0jf7w8flhKQUmFVjkIppFnQ/Jh/f7daoy1mcMArjUoGCRQPcZGDinFuqpI&#10;D8YrmkA0gYMdoFeJj9hXLaqR0b2r5tPpx2oEbCOCNkR8u70E5RUR3wIIXWe12YI+eBPSBRWNU4kl&#10;0WAjyXWptuuMTt+7jkwSrpGsNJWVSXi/z2u1Xqm6RxUHq68lqLeUcKfJKxuY9BVqq5ISB7T/QHmr&#10;EQi6NNHgq4uQ4girmE3vvHkeVDRFC1tN8dV0+n+w+ttxh8K2PAnc96A8d/zzIUGhFvNFNmiMVPO7&#10;TdhhlqhP4Tk+gf5JIsBmUKE35fXLOXLyLGdUf6XkA0Wm2Y9foeU3igmKW6cOfYZkH8SpNOX82hRz&#10;SkLz5afFcrngdulbqFL1LS8ipS8GvMibRlJCZfshbSAE7jzgrLCo4xOlXJWqbwmZNMCjda4MgAti&#10;zEysN0cInG1zsByw328ciqPKI1S+IvHuGcIhtBcSF64OZNEX+/bQnnd4c4Z7Waq5zl0elj/PJfv3&#10;v7b+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Z3DL7XAAAACwEAAA8AAAAAAAAAAQAgAAAAIgAA&#10;AGRycy9kb3ducmV2LnhtbFBLAQIUABQAAAAIAIdO4kB8DWk10AEAALMDAAAOAAAAAAAAAAEAIAAA&#10;ACYBAABkcnMvZTJvRG9jLnhtbFBLBQYAAAAABgAGAFkBAABoBQAAAAA=&#10;">
                <v:fill on="f" focussize="0,0"/>
                <v:stroke color="#000000" joinstyle="round"/>
                <v:imagedata o:title=""/>
                <o:lock v:ext="edit" aspectratio="f"/>
              </v:shape>
            </w:pict>
          </mc:Fallback>
        </mc:AlternateContent>
      </w:r>
    </w:p>
    <w:p>
      <w:pPr>
        <w:pStyle w:val="4"/>
        <w:rPr>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2333625</wp:posOffset>
                </wp:positionH>
                <wp:positionV relativeFrom="paragraph">
                  <wp:posOffset>575310</wp:posOffset>
                </wp:positionV>
                <wp:extent cx="958850" cy="0"/>
                <wp:effectExtent l="5715" t="13335" r="6985" b="5715"/>
                <wp:wrapNone/>
                <wp:docPr id="1"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3.75pt;margin-top:45.3pt;height:0pt;width:75.5pt;z-index:251673600;mso-width-relative:page;mso-height-relative:page;" filled="f" stroked="t" coordsize="21600,21600" o:gfxdata="UEsDBAoAAAAAAIdO4kAAAAAAAAAAAAAAAAAEAAAAZHJzL1BLAwQUAAAACACHTuJAX/hSZ9cAAAAJ&#10;AQAADwAAAGRycy9kb3ducmV2LnhtbE2PwU7DMAyG70h7h8iTuCCWdKhlK02nCYkDR7ZJXLPGtGWN&#10;UzXpOvb0GHGAo39/+v252FxcJ844hNaThmShQCBV3rZUazjsX+5XIEI0ZE3nCTV8YYBNObspTG79&#10;RG943sVacAmF3GhoYuxzKUPVoDNh4Xsk3n34wZnI41BLO5iJy10nl0pl0pmW+EJjenxusDrtRqcB&#10;w5gmart29eH1Ot29L6+fU7/X+naeqCcQES/xD4YffVaHkp2OfiQbRKfhIXtMGdWwVhkIBtJkxcHx&#10;N5BlIf9/UH4DUEsDBBQAAAAIAIdO4kCdd9Kv0wEAALIDAAAOAAAAZHJzL2Uyb0RvYy54bWytU01v&#10;2zAMvQ/YfxB0X5wEy5AZcYohQXfptgLtfoAiy7YwSRRIJU7+/SjlY1136WE+CJJIvsf3KK/ujt6J&#10;g0GyEBo5m0ylMEFDa0PfyJ/P9x+WUlBSoVUOgmnkyZC8W79/txpjbeYwgGsNCgYJVI+xkUNKsa4q&#10;0oPxiiYQTeBgB+hV4iP2VYtqZHTvqvl0+qkaAduIoA0R327PQXlBxLcAQtdZbbag996EdEZF41Ri&#10;STTYSHJduu06o9OPriOThGskK01lZRLe7/JarVeq7lHFwepLC+otLbzS5JUNTHqD2qqkxB7tP1De&#10;agSCLk00+OospDjCKmbTV948DSqaooWtpngznf4frP5+eERhW34JUgTleeBf9gkKs5h/zP6MkWpO&#10;24RHzAr1MTzFB9C/SATYDCr0pmQ/nyIXz3JF9VdJPlBklt34DVrOUUxQ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4UmfXAAAACQEAAA8AAAAAAAAAAQAgAAAA&#10;IgAAAGRycy9kb3ducmV2LnhtbFBLAQIUABQAAAAIAIdO4kCdd9Kv0wEAALIDAAAOAAAAAAAAAAEA&#10;IAAAACYBAABkcnMvZTJvRG9jLnhtbFBLBQYAAAAABgAGAFkBAABrBQAAAAA=&#10;">
                <v:fill on="f" focussize="0,0"/>
                <v:stroke color="#000000" joinstyle="round"/>
                <v:imagedata o:title=""/>
                <o:lock v:ext="edit" aspectratio="f"/>
              </v:shape>
            </w:pict>
          </mc:Fallback>
        </mc:AlternateContent>
      </w:r>
      <w:r>
        <w:rPr>
          <w:rFonts w:hint="eastAsia"/>
          <w:highlight w:val="none"/>
        </w:rPr>
        <w:t>第六章</w:t>
      </w:r>
    </w:p>
    <w:p>
      <w:pPr>
        <w:pStyle w:val="4"/>
        <w:rPr>
          <w:highlight w:val="none"/>
        </w:rPr>
      </w:pPr>
      <w:r>
        <w:rPr>
          <w:rFonts w:hint="eastAsia"/>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ascii="方正小标宋简体" w:eastAsia="方正小标宋简体"/>
          <w:sz w:val="28"/>
          <w:szCs w:val="28"/>
          <w:highlight w:val="none"/>
        </w:rPr>
      </w:pPr>
      <w:r>
        <w:rPr>
          <w:rFonts w:ascii="方正小标宋简体" w:eastAsia="方正小标宋简体"/>
          <w:sz w:val="28"/>
          <w:szCs w:val="28"/>
          <w:highlight w:val="none"/>
        </w:rPr>
        <w:br w:type="page"/>
      </w:r>
    </w:p>
    <w:p>
      <w:pPr>
        <w:autoSpaceDE w:val="0"/>
        <w:autoSpaceDN w:val="0"/>
        <w:adjustRightInd w:val="0"/>
        <w:snapToGrid w:val="0"/>
        <w:spacing w:line="300" w:lineRule="auto"/>
        <w:ind w:right="32"/>
        <w:jc w:val="right"/>
        <w:rPr>
          <w:rFonts w:ascii="宋体" w:hAnsi="宋体" w:cs="宋体"/>
          <w:color w:val="000000" w:themeColor="text1"/>
          <w:szCs w:val="21"/>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bookmarkStart w:id="85" w:name="_Toc22764"/>
      <w:bookmarkStart w:id="86" w:name="_Toc12769"/>
      <w:bookmarkStart w:id="87" w:name="_Toc24490"/>
      <w:bookmarkStart w:id="88" w:name="_Toc88209951"/>
      <w:bookmarkStart w:id="89" w:name="_Toc30157"/>
      <w:bookmarkStart w:id="90" w:name="_Toc10840"/>
      <w:bookmarkStart w:id="91" w:name="_Toc87616388"/>
      <w:bookmarkStart w:id="92" w:name="_Toc24815"/>
      <w:bookmarkStart w:id="93" w:name="_Toc5342"/>
      <w:bookmarkStart w:id="94" w:name="_Toc21675"/>
      <w:bookmarkStart w:id="95" w:name="_Toc31564"/>
      <w:bookmarkStart w:id="96" w:name="_Toc12610"/>
      <w:bookmarkStart w:id="97" w:name="_Toc17119"/>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hint="eastAsia" w:ascii="宋体" w:hAnsi="宋体" w:cs="宋体"/>
          <w:b/>
          <w:bCs/>
          <w:color w:val="000000" w:themeColor="text1"/>
          <w:sz w:val="44"/>
          <w:szCs w:val="44"/>
          <w:highlight w:val="none"/>
          <w:u w:val="single"/>
          <w14:textFill>
            <w14:solidFill>
              <w14:schemeClr w14:val="tx1"/>
            </w14:solidFill>
          </w14:textFill>
        </w:rPr>
      </w:pPr>
      <w:r>
        <w:rPr>
          <w:rFonts w:hint="eastAsia" w:ascii="宋体" w:hAnsi="宋体" w:cs="宋体"/>
          <w:b/>
          <w:bCs/>
          <w:color w:val="000000" w:themeColor="text1"/>
          <w:sz w:val="44"/>
          <w:szCs w:val="44"/>
          <w:highlight w:val="none"/>
          <w:u w:val="single"/>
          <w14:textFill>
            <w14:solidFill>
              <w14:schemeClr w14:val="tx1"/>
            </w14:solidFill>
          </w14:textFill>
        </w:rPr>
        <w:t>202</w:t>
      </w:r>
      <w:r>
        <w:rPr>
          <w:rFonts w:hint="eastAsia" w:ascii="宋体" w:hAnsi="宋体" w:cs="宋体"/>
          <w:b/>
          <w:bCs/>
          <w:color w:val="000000" w:themeColor="text1"/>
          <w:sz w:val="44"/>
          <w:szCs w:val="44"/>
          <w:highlight w:val="none"/>
          <w:u w:val="single"/>
          <w:lang w:val="en-US" w:eastAsia="zh-CN"/>
          <w14:textFill>
            <w14:solidFill>
              <w14:schemeClr w14:val="tx1"/>
            </w14:solidFill>
          </w14:textFill>
        </w:rPr>
        <w:t>3</w:t>
      </w:r>
      <w:r>
        <w:rPr>
          <w:rFonts w:hint="eastAsia" w:ascii="宋体" w:hAnsi="宋体" w:cs="宋体"/>
          <w:b/>
          <w:bCs/>
          <w:color w:val="000000" w:themeColor="text1"/>
          <w:sz w:val="44"/>
          <w:szCs w:val="44"/>
          <w:highlight w:val="none"/>
          <w:u w:val="single"/>
          <w14:textFill>
            <w14:solidFill>
              <w14:schemeClr w14:val="tx1"/>
            </w14:solidFill>
          </w14:textFill>
        </w:rPr>
        <w:t>-202</w:t>
      </w:r>
      <w:r>
        <w:rPr>
          <w:rFonts w:hint="eastAsia" w:ascii="宋体" w:hAnsi="宋体" w:cs="宋体"/>
          <w:b/>
          <w:bCs/>
          <w:color w:val="000000" w:themeColor="text1"/>
          <w:sz w:val="44"/>
          <w:szCs w:val="44"/>
          <w:highlight w:val="none"/>
          <w:u w:val="single"/>
          <w:lang w:val="en-US" w:eastAsia="zh-CN"/>
          <w14:textFill>
            <w14:solidFill>
              <w14:schemeClr w14:val="tx1"/>
            </w14:solidFill>
          </w14:textFill>
        </w:rPr>
        <w:t>5</w:t>
      </w:r>
      <w:r>
        <w:rPr>
          <w:rFonts w:hint="eastAsia" w:ascii="宋体" w:hAnsi="宋体" w:cs="宋体"/>
          <w:b/>
          <w:bCs/>
          <w:color w:val="000000" w:themeColor="text1"/>
          <w:sz w:val="44"/>
          <w:szCs w:val="44"/>
          <w:highlight w:val="none"/>
          <w:u w:val="single"/>
          <w14:textFill>
            <w14:solidFill>
              <w14:schemeClr w14:val="tx1"/>
            </w14:solidFill>
          </w14:textFill>
        </w:rPr>
        <w:t>年度净水智慧运营管理平台</w:t>
      </w:r>
    </w:p>
    <w:p>
      <w:pPr>
        <w:spacing w:line="400" w:lineRule="atLeast"/>
        <w:jc w:val="center"/>
        <w:rPr>
          <w:rFonts w:asciiTheme="majorHAnsi" w:hAnsiTheme="majorHAnsi" w:eastAsiaTheme="majorEastAsia"/>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u w:val="single"/>
          <w14:textFill>
            <w14:solidFill>
              <w14:schemeClr w14:val="tx1"/>
            </w14:solidFill>
          </w14:textFill>
        </w:rPr>
        <w:t>运维服务项目</w:t>
      </w:r>
      <w:r>
        <w:rPr>
          <w:rFonts w:hint="eastAsia" w:ascii="宋体" w:hAnsi="宋体" w:cs="宋体"/>
          <w:b/>
          <w:bCs/>
          <w:color w:val="000000" w:themeColor="text1"/>
          <w:sz w:val="44"/>
          <w:szCs w:val="44"/>
          <w:highlight w:val="none"/>
          <w14:textFill>
            <w14:solidFill>
              <w14:schemeClr w14:val="tx1"/>
            </w14:solidFill>
          </w14:textFill>
        </w:rPr>
        <w:t>合同</w:t>
      </w: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项目名称</w:t>
      </w:r>
      <w:r>
        <w:rPr>
          <w:rFonts w:ascii="宋体" w:hAnsi="宋体" w:cs="宋体"/>
          <w:b/>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lang w:val="en-GB"/>
          <w14:textFill>
            <w14:solidFill>
              <w14:schemeClr w14:val="tx1"/>
            </w14:solidFill>
          </w14:textFill>
        </w:rPr>
        <w:t>广州市净水有限公司202</w:t>
      </w:r>
      <w:r>
        <w:rPr>
          <w:rFonts w:hint="eastAsia" w:ascii="宋体" w:hAnsi="宋体" w:cs="宋体"/>
          <w:b/>
          <w:color w:val="000000" w:themeColor="text1"/>
          <w:sz w:val="30"/>
          <w:szCs w:val="30"/>
          <w:highlight w:val="none"/>
          <w:lang w:val="en-GB" w:eastAsia="zh-CN"/>
          <w14:textFill>
            <w14:solidFill>
              <w14:schemeClr w14:val="tx1"/>
            </w14:solidFill>
          </w14:textFill>
        </w:rPr>
        <w:t>3</w:t>
      </w:r>
      <w:r>
        <w:rPr>
          <w:rFonts w:hint="eastAsia" w:ascii="宋体" w:hAnsi="宋体" w:cs="宋体"/>
          <w:b/>
          <w:color w:val="000000" w:themeColor="text1"/>
          <w:sz w:val="30"/>
          <w:szCs w:val="30"/>
          <w:highlight w:val="none"/>
          <w:lang w:val="en-GB"/>
          <w14:textFill>
            <w14:solidFill>
              <w14:schemeClr w14:val="tx1"/>
            </w14:solidFill>
          </w14:textFill>
        </w:rPr>
        <w:t>-202</w:t>
      </w:r>
      <w:r>
        <w:rPr>
          <w:rFonts w:hint="eastAsia" w:ascii="宋体" w:hAnsi="宋体" w:cs="宋体"/>
          <w:b/>
          <w:color w:val="000000" w:themeColor="text1"/>
          <w:sz w:val="30"/>
          <w:szCs w:val="30"/>
          <w:highlight w:val="none"/>
          <w:lang w:val="en-GB" w:eastAsia="zh-CN"/>
          <w14:textFill>
            <w14:solidFill>
              <w14:schemeClr w14:val="tx1"/>
            </w14:solidFill>
          </w14:textFill>
        </w:rPr>
        <w:t>5</w:t>
      </w:r>
      <w:r>
        <w:rPr>
          <w:rFonts w:hint="eastAsia" w:ascii="宋体" w:hAnsi="宋体" w:cs="宋体"/>
          <w:b/>
          <w:color w:val="000000" w:themeColor="text1"/>
          <w:sz w:val="30"/>
          <w:szCs w:val="30"/>
          <w:highlight w:val="none"/>
          <w:lang w:val="en-GB"/>
          <w14:textFill>
            <w14:solidFill>
              <w14:schemeClr w14:val="tx1"/>
            </w14:solidFill>
          </w14:textFill>
        </w:rPr>
        <w:t>年度净水智慧运营管理平台运维服务项目</w:t>
      </w:r>
      <w:r>
        <w:rPr>
          <w:rFonts w:hint="eastAsia" w:ascii="宋体" w:hAnsi="宋体" w:cs="宋体"/>
          <w:b/>
          <w:color w:val="000000" w:themeColor="text1"/>
          <w:sz w:val="30"/>
          <w:szCs w:val="30"/>
          <w:highlight w:val="none"/>
          <w:lang w:val="en-GB" w:eastAsia="zh-CN"/>
          <w14:textFill>
            <w14:solidFill>
              <w14:schemeClr w14:val="tx1"/>
            </w14:solidFill>
          </w14:textFill>
        </w:rPr>
        <w:t>（</w:t>
      </w:r>
      <w:r>
        <w:rPr>
          <w:rFonts w:hint="eastAsia" w:ascii="宋体" w:hAnsi="宋体" w:cs="宋体"/>
          <w:b/>
          <w:color w:val="000000" w:themeColor="text1"/>
          <w:sz w:val="30"/>
          <w:szCs w:val="30"/>
          <w:highlight w:val="none"/>
          <w:lang w:val="en-US" w:eastAsia="zh-CN"/>
          <w14:textFill>
            <w14:solidFill>
              <w14:schemeClr w14:val="tx1"/>
            </w14:solidFill>
          </w14:textFill>
        </w:rPr>
        <w:t>第二次</w:t>
      </w:r>
      <w:r>
        <w:rPr>
          <w:rFonts w:hint="eastAsia" w:ascii="宋体" w:hAnsi="宋体" w:cs="宋体"/>
          <w:b/>
          <w:color w:val="000000" w:themeColor="text1"/>
          <w:sz w:val="30"/>
          <w:szCs w:val="30"/>
          <w:highlight w:val="none"/>
          <w:lang w:val="en-GB" w:eastAsia="zh-CN"/>
          <w14:textFill>
            <w14:solidFill>
              <w14:schemeClr w14:val="tx1"/>
            </w14:solidFill>
          </w14:textFill>
        </w:rPr>
        <w:t>）</w:t>
      </w:r>
    </w:p>
    <w:p>
      <w:pPr>
        <w:pStyle w:val="2"/>
        <w:rPr>
          <w:rFonts w:hint="eastAsia"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w:t>
      </w:r>
      <w:r>
        <w:rPr>
          <w:rFonts w:ascii="宋体" w:hAnsi="宋体" w:cs="宋体"/>
          <w:b/>
          <w:bCs/>
          <w:color w:val="000000" w:themeColor="text1"/>
          <w:sz w:val="30"/>
          <w:szCs w:val="30"/>
          <w:highlight w:val="none"/>
          <w14:textFill>
            <w14:solidFill>
              <w14:schemeClr w14:val="tx1"/>
            </w14:solidFill>
          </w14:textFill>
        </w:rPr>
        <w:t xml:space="preserve">[     ]    </w:t>
      </w:r>
      <w:r>
        <w:rPr>
          <w:rFonts w:hint="eastAsia" w:ascii="宋体" w:hAnsi="宋体" w:cs="宋体"/>
          <w:b/>
          <w:bCs/>
          <w:color w:val="000000" w:themeColor="text1"/>
          <w:sz w:val="30"/>
          <w:szCs w:val="30"/>
          <w:highlight w:val="none"/>
          <w14:textFill>
            <w14:solidFill>
              <w14:schemeClr w14:val="tx1"/>
            </w14:solidFill>
          </w14:textFill>
        </w:rPr>
        <w:t>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14:textFill>
            <w14:solidFill>
              <w14:schemeClr w14:val="tx1"/>
            </w14:solidFill>
          </w14:textFill>
        </w:rPr>
        <w:t xml:space="preserve"> </w:t>
      </w: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rPr>
          <w:rFonts w:ascii="宋体" w:hAnsi="宋体" w:cs="宋体"/>
          <w:color w:val="000000" w:themeColor="text1"/>
          <w:sz w:val="24"/>
          <w:highlight w:val="none"/>
          <w:u w:val="single"/>
          <w14:textFill>
            <w14:solidFill>
              <w14:schemeClr w14:val="tx1"/>
            </w14:solidFill>
          </w14:textFill>
        </w:rPr>
      </w:pPr>
    </w:p>
    <w:p>
      <w:pPr>
        <w:rPr>
          <w:rFonts w:hint="eastAsia" w:ascii="宋体" w:hAnsi="宋体" w:cs="宋体"/>
          <w:color w:val="000000" w:themeColor="text1"/>
          <w:sz w:val="24"/>
          <w:highlight w:val="none"/>
          <w:u w:val="single"/>
          <w14:textFill>
            <w14:solidFill>
              <w14:schemeClr w14:val="tx1"/>
            </w14:solidFill>
          </w14:textFill>
        </w:rPr>
      </w:pPr>
    </w:p>
    <w:p>
      <w:pPr>
        <w:ind w:firstLine="480" w:firstLineChars="200"/>
        <w:rPr>
          <w:rFonts w:hint="eastAsia" w:ascii="宋体" w:hAnsi="宋体" w:cs="宋体"/>
          <w:color w:val="000000" w:themeColor="text1"/>
          <w:sz w:val="24"/>
          <w:highlight w:val="none"/>
          <w:u w:val="single"/>
          <w14:textFill>
            <w14:solidFill>
              <w14:schemeClr w14:val="tx1"/>
            </w14:solidFill>
          </w14:textFill>
        </w:rPr>
      </w:pPr>
    </w:p>
    <w:p>
      <w:pPr>
        <w:ind w:firstLine="480" w:firstLineChars="200"/>
        <w:rPr>
          <w:rFonts w:hint="eastAsia" w:ascii="宋体" w:hAnsi="宋体" w:cs="宋体"/>
          <w:color w:val="000000" w:themeColor="text1"/>
          <w:sz w:val="24"/>
          <w:highlight w:val="none"/>
          <w:u w:val="single"/>
          <w14:textFill>
            <w14:solidFill>
              <w14:schemeClr w14:val="tx1"/>
            </w14:solidFill>
          </w14:textFill>
        </w:rPr>
      </w:pPr>
    </w:p>
    <w:p>
      <w:pPr>
        <w:ind w:firstLine="480" w:firstLineChars="200"/>
        <w:rPr>
          <w:rFonts w:hint="eastAsia" w:ascii="宋体" w:hAnsi="宋体" w:cs="宋体"/>
          <w:color w:val="000000" w:themeColor="text1"/>
          <w:sz w:val="24"/>
          <w:highlight w:val="none"/>
          <w:u w:val="single"/>
          <w14:textFill>
            <w14:solidFill>
              <w14:schemeClr w14:val="tx1"/>
            </w14:solidFill>
          </w14:textFill>
        </w:rPr>
      </w:pPr>
    </w:p>
    <w:p>
      <w:pPr>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广州市净水有限公司</w:t>
      </w:r>
      <w:r>
        <w:rPr>
          <w:rFonts w:hint="eastAsia" w:ascii="宋体" w:hAnsi="宋体" w:cs="宋体"/>
          <w:color w:val="000000" w:themeColor="text1"/>
          <w:sz w:val="24"/>
          <w:highlight w:val="none"/>
          <w14:textFill>
            <w14:solidFill>
              <w14:schemeClr w14:val="tx1"/>
            </w14:solidFill>
          </w14:textFill>
        </w:rPr>
        <w:t>（以下简称“甲方”）与</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（以下简称“乙</w:t>
      </w:r>
    </w:p>
    <w:p>
      <w:pPr>
        <w:keepNext w:val="0"/>
        <w:keepLines w:val="0"/>
        <w:pageBreakBefore w:val="0"/>
        <w:widowControl w:val="0"/>
        <w:kinsoku/>
        <w:wordWrap/>
        <w:overflowPunct/>
        <w:topLinePunct w:val="0"/>
        <w:autoSpaceDE/>
        <w:autoSpaceDN/>
        <w:bidi w:val="0"/>
        <w:adjustRightInd/>
        <w:snapToGrid/>
        <w:spacing w:line="0" w:lineRule="atLeast"/>
        <w:ind w:left="0" w:firstLine="0" w:firstLineChars="0"/>
        <w:textAlignment w:val="auto"/>
        <w:rPr>
          <w:rFonts w:ascii="宋体" w:hAnsi="宋体" w:cs="Arial"/>
          <w:color w:val="000000" w:themeColor="text1"/>
          <w:sz w:val="24"/>
          <w:highlight w:val="none"/>
          <w:u w:val="single"/>
          <w:shd w:val="clear"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方”）依照</w:t>
      </w:r>
      <w:r>
        <w:rPr>
          <w:rFonts w:hint="eastAsia" w:ascii="宋体" w:hAnsi="宋体" w:cs="Arial"/>
          <w:color w:val="000000" w:themeColor="text1"/>
          <w:sz w:val="24"/>
          <w:highlight w:val="none"/>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highlight w:val="none"/>
          <w14:textFill>
            <w14:solidFill>
              <w14:schemeClr w14:val="tx1"/>
            </w14:solidFill>
          </w14:textFill>
        </w:rPr>
        <w:t>法律法规，就</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GB"/>
          <w14:textFill>
            <w14:solidFill>
              <w14:schemeClr w14:val="tx1"/>
            </w14:solidFill>
          </w14:textFill>
        </w:rPr>
        <w:t>广州市净水有限公司202</w:t>
      </w:r>
      <w:r>
        <w:rPr>
          <w:rFonts w:hint="eastAsia" w:ascii="宋体" w:hAnsi="宋体"/>
          <w:color w:val="000000" w:themeColor="text1"/>
          <w:sz w:val="24"/>
          <w:highlight w:val="none"/>
          <w:u w:val="single"/>
          <w:lang w:val="en-GB" w:eastAsia="zh-CN"/>
          <w14:textFill>
            <w14:solidFill>
              <w14:schemeClr w14:val="tx1"/>
            </w14:solidFill>
          </w14:textFill>
        </w:rPr>
        <w:t>3</w:t>
      </w:r>
      <w:r>
        <w:rPr>
          <w:rFonts w:hint="eastAsia" w:ascii="宋体" w:hAnsi="宋体"/>
          <w:color w:val="000000" w:themeColor="text1"/>
          <w:sz w:val="24"/>
          <w:highlight w:val="none"/>
          <w:u w:val="single"/>
          <w:lang w:val="en-GB"/>
          <w14:textFill>
            <w14:solidFill>
              <w14:schemeClr w14:val="tx1"/>
            </w14:solidFill>
          </w14:textFill>
        </w:rPr>
        <w:t>-202</w:t>
      </w:r>
      <w:r>
        <w:rPr>
          <w:rFonts w:hint="eastAsia" w:ascii="宋体" w:hAnsi="宋体"/>
          <w:color w:val="000000" w:themeColor="text1"/>
          <w:sz w:val="24"/>
          <w:highlight w:val="none"/>
          <w:u w:val="single"/>
          <w:lang w:val="en-GB" w:eastAsia="zh-CN"/>
          <w14:textFill>
            <w14:solidFill>
              <w14:schemeClr w14:val="tx1"/>
            </w14:solidFill>
          </w14:textFill>
        </w:rPr>
        <w:t>5</w:t>
      </w:r>
      <w:r>
        <w:rPr>
          <w:rFonts w:hint="eastAsia" w:ascii="宋体" w:hAnsi="宋体"/>
          <w:color w:val="000000" w:themeColor="text1"/>
          <w:sz w:val="24"/>
          <w:highlight w:val="none"/>
          <w:u w:val="single"/>
          <w:lang w:val="en-GB"/>
          <w14:textFill>
            <w14:solidFill>
              <w14:schemeClr w14:val="tx1"/>
            </w14:solidFill>
          </w14:textFill>
        </w:rPr>
        <w:t>年度净水智慧运营管理平台运维服务项目</w:t>
      </w:r>
      <w:r>
        <w:rPr>
          <w:rFonts w:hint="eastAsia" w:ascii="宋体" w:hAnsi="宋体"/>
          <w:color w:val="000000" w:themeColor="text1"/>
          <w:sz w:val="24"/>
          <w:highlight w:val="none"/>
          <w:u w:val="single"/>
          <w:lang w:val="en-GB"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第二次</w:t>
      </w:r>
      <w:r>
        <w:rPr>
          <w:rFonts w:hint="eastAsia" w:ascii="宋体" w:hAnsi="宋体"/>
          <w:color w:val="000000" w:themeColor="text1"/>
          <w:sz w:val="24"/>
          <w:highlight w:val="none"/>
          <w:u w:val="single"/>
          <w:lang w:val="en-GB"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遵循平等、自愿、公平和诚实信用的原则，经双方协商一致，特订立本合同。</w:t>
      </w:r>
    </w:p>
    <w:p>
      <w:pPr>
        <w:spacing w:before="93" w:beforeLines="30" w:line="500" w:lineRule="exact"/>
        <w:ind w:left="210" w:leftChars="100"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一、组成合同的文件及优先顺序</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⑴</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在本合同实施过程双方签署的补充与修正文件</w:t>
      </w:r>
      <w:r>
        <w:rPr>
          <w:rFonts w:hint="eastAsia" w:ascii="宋体" w:hAnsi="宋体" w:cs="宋体"/>
          <w:bCs/>
          <w:color w:val="000000" w:themeColor="text1"/>
          <w:sz w:val="24"/>
          <w:highlight w:val="none"/>
          <w14:textFill>
            <w14:solidFill>
              <w14:schemeClr w14:val="tx1"/>
            </w14:solidFill>
          </w14:textFill>
        </w:rPr>
        <w:t>；</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⑵</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本合同书；</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⑶</w:t>
      </w:r>
      <w:r>
        <w:rPr>
          <w:rFonts w:ascii="宋体" w:hAnsi="宋体" w:cs="宋体"/>
          <w:bCs/>
          <w:color w:val="000000" w:themeColor="text1"/>
          <w:sz w:val="24"/>
          <w:highlight w:val="none"/>
          <w14:textFill>
            <w14:solidFill>
              <w14:schemeClr w14:val="tx1"/>
            </w14:solidFill>
          </w14:textFill>
        </w:rPr>
        <w:t xml:space="preserve"> </w:t>
      </w:r>
      <w:r>
        <w:rPr>
          <w:rFonts w:hint="eastAsia" w:asciiTheme="minorEastAsia" w:hAnsiTheme="minorEastAsia" w:cstheme="minorEastAsia"/>
          <w:bCs/>
          <w:color w:val="000000" w:themeColor="text1"/>
          <w:sz w:val="24"/>
          <w:highlight w:val="none"/>
          <w14:textFill>
            <w14:solidFill>
              <w14:schemeClr w14:val="tx1"/>
            </w14:solidFill>
          </w14:textFill>
        </w:rPr>
        <w:t>中标通知书/发包通知书/成交通知书/委托函；</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⑷</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招标文件</w:t>
      </w:r>
      <w:r>
        <w:rPr>
          <w:rFonts w:ascii="宋体" w:hAnsi="宋体" w:cs="宋体"/>
          <w:bCs/>
          <w:color w:val="000000" w:themeColor="text1"/>
          <w:sz w:val="24"/>
          <w:highlight w:val="none"/>
          <w14:textFill>
            <w14:solidFill>
              <w14:schemeClr w14:val="tx1"/>
            </w14:solidFill>
          </w14:textFill>
        </w:rPr>
        <w:t>/询价文件；</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⑸</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投标文件</w:t>
      </w:r>
      <w:r>
        <w:rPr>
          <w:rFonts w:ascii="宋体" w:hAnsi="宋体" w:cs="宋体"/>
          <w:bCs/>
          <w:color w:val="000000" w:themeColor="text1"/>
          <w:sz w:val="24"/>
          <w:highlight w:val="none"/>
          <w14:textFill>
            <w14:solidFill>
              <w14:schemeClr w14:val="tx1"/>
            </w14:solidFill>
          </w14:textFill>
        </w:rPr>
        <w:t>/响应文件；</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⑹</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标准、规范及有关技术性文件；</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⑺</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技术需求</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⑻本合同其他附件；</w:t>
      </w:r>
    </w:p>
    <w:p>
      <w:pPr>
        <w:spacing w:line="500" w:lineRule="exact"/>
        <w:ind w:firstLine="482"/>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w:t>
      </w:r>
      <w:r>
        <w:rPr>
          <w:rFonts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维护概况及内容</w:t>
      </w:r>
    </w:p>
    <w:p>
      <w:pPr>
        <w:spacing w:line="50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2.1服务地点：</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广州市</w:t>
      </w:r>
      <w:r>
        <w:rPr>
          <w:rFonts w:ascii="宋体" w:hAnsi="宋体" w:cs="宋体"/>
          <w:color w:val="000000" w:themeColor="text1"/>
          <w:sz w:val="24"/>
          <w:highlight w:val="none"/>
          <w:u w:val="single"/>
          <w14:textFill>
            <w14:solidFill>
              <w14:schemeClr w14:val="tx1"/>
            </w14:solidFill>
          </w14:textFill>
        </w:rPr>
        <w:t xml:space="preserve"> 。</w:t>
      </w:r>
    </w:p>
    <w:p>
      <w:pPr>
        <w:spacing w:line="360" w:lineRule="auto"/>
        <w:ind w:left="420" w:leftChars="200"/>
        <w:rPr>
          <w:highlight w:val="none"/>
        </w:rPr>
      </w:pPr>
      <w:r>
        <w:rPr>
          <w:rFonts w:ascii="宋体" w:hAnsi="宋体" w:cs="宋体"/>
          <w:color w:val="000000" w:themeColor="text1"/>
          <w:sz w:val="24"/>
          <w:highlight w:val="none"/>
          <w14:textFill>
            <w14:solidFill>
              <w14:schemeClr w14:val="tx1"/>
            </w14:solidFill>
          </w14:textFill>
        </w:rPr>
        <w:t>2.2服务内容：</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净水公司智慧运营管理平台软件及APP应用共40多项功能模块运维、平台功能升级开发、生产数据共享中心运维、系统运行环境的安全漏洞补丁修复、数据定期校对巡检、应用服务及数据定期备份、协助13座厂自控数据传输问题排查、保障智慧运营平台安全稳定运行。详见第五章运维方案中的</w:t>
      </w:r>
      <w:r>
        <w:rPr>
          <w:rFonts w:hint="eastAsia" w:ascii="宋体" w:hAnsi="宋体" w:eastAsia="宋体"/>
          <w:color w:val="000000" w:themeColor="text1"/>
          <w:sz w:val="24"/>
          <w:highlight w:val="none"/>
          <w:u w:val="single"/>
          <w14:textFill>
            <w14:solidFill>
              <w14:schemeClr w14:val="tx1"/>
            </w14:solidFill>
          </w14:textFill>
        </w:rPr>
        <w:t>服务内容/技术需求</w:t>
      </w:r>
    </w:p>
    <w:p>
      <w:pPr>
        <w:spacing w:line="50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2.3维护目标：</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u w:val="single"/>
          <w14:textFill>
            <w14:solidFill>
              <w14:schemeClr w14:val="tx1"/>
            </w14:solidFill>
          </w14:textFill>
        </w:rPr>
        <w:t>本项目目的为保障净水智慧运营管理平台运行</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的安全稳定</w:t>
      </w:r>
      <w:r>
        <w:rPr>
          <w:rFonts w:ascii="宋体" w:hAnsi="宋体" w:cs="宋体"/>
          <w:color w:val="000000" w:themeColor="text1"/>
          <w:sz w:val="24"/>
          <w:highlight w:val="none"/>
          <w:u w:val="single"/>
          <w14:textFill>
            <w14:solidFill>
              <w14:schemeClr w14:val="tx1"/>
            </w14:solidFill>
          </w14:textFill>
        </w:rPr>
        <w:t>。</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乙方须向甲方提供以下资料：</w:t>
      </w:r>
    </w:p>
    <w:p>
      <w:pPr>
        <w:spacing w:line="500" w:lineRule="exact"/>
        <w:ind w:firstLine="56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合同签订后3日内提供服务计划书，包括不限于：运维服务计划、技术服务人员名单、驻场服务人员名单、7×24小时联系电话等。</w:t>
      </w:r>
    </w:p>
    <w:p>
      <w:pPr>
        <w:pStyle w:val="2"/>
        <w:rPr>
          <w:highlight w:val="none"/>
        </w:rPr>
      </w:pPr>
    </w:p>
    <w:p>
      <w:pPr>
        <w:pStyle w:val="2"/>
        <w:rPr>
          <w:highlight w:val="none"/>
        </w:rPr>
      </w:pPr>
    </w:p>
    <w:p>
      <w:pPr>
        <w:pStyle w:val="2"/>
        <w:rPr>
          <w:rFonts w:hint="eastAsia"/>
          <w:highlight w:val="none"/>
        </w:rPr>
      </w:pPr>
    </w:p>
    <w:p>
      <w:pPr>
        <w:spacing w:line="500" w:lineRule="exact"/>
        <w:ind w:firstLine="562"/>
        <w:outlineLvl w:val="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w:t>
      </w:r>
      <w:r>
        <w:rPr>
          <w:rFonts w:hint="eastAsia" w:ascii="宋体" w:hAnsi="宋体"/>
          <w:b/>
          <w:color w:val="000000" w:themeColor="text1"/>
          <w:sz w:val="24"/>
          <w:highlight w:val="none"/>
          <w14:textFill>
            <w14:solidFill>
              <w14:schemeClr w14:val="tx1"/>
            </w14:solidFill>
          </w14:textFill>
        </w:rPr>
        <w:t>服务期限：</w:t>
      </w:r>
      <w:r>
        <w:rPr>
          <w:rFonts w:ascii="宋体" w:hAnsi="宋体"/>
          <w:b/>
          <w:color w:val="000000" w:themeColor="text1"/>
          <w:sz w:val="24"/>
          <w:highlight w:val="none"/>
          <w:u w:val="single"/>
          <w14:textFill>
            <w14:solidFill>
              <w14:schemeClr w14:val="tx1"/>
            </w14:solidFill>
          </w14:textFill>
        </w:rPr>
        <w:t>202</w:t>
      </w:r>
      <w:r>
        <w:rPr>
          <w:rFonts w:hint="eastAsia" w:ascii="宋体" w:hAnsi="宋体"/>
          <w:b/>
          <w:color w:val="000000" w:themeColor="text1"/>
          <w:sz w:val="24"/>
          <w:highlight w:val="none"/>
          <w:u w:val="single"/>
          <w:lang w:val="en-US" w:eastAsia="zh-CN"/>
          <w14:textFill>
            <w14:solidFill>
              <w14:schemeClr w14:val="tx1"/>
            </w14:solidFill>
          </w14:textFill>
        </w:rPr>
        <w:t>3</w:t>
      </w:r>
      <w:r>
        <w:rPr>
          <w:rFonts w:hint="eastAsia" w:ascii="宋体" w:hAnsi="宋体"/>
          <w:b/>
          <w:color w:val="000000" w:themeColor="text1"/>
          <w:sz w:val="24"/>
          <w:highlight w:val="none"/>
          <w:u w:val="single"/>
          <w14:textFill>
            <w14:solidFill>
              <w14:schemeClr w14:val="tx1"/>
            </w14:solidFill>
          </w14:textFill>
        </w:rPr>
        <w:t>年</w:t>
      </w:r>
      <w:r>
        <w:rPr>
          <w:rFonts w:hint="eastAsia" w:ascii="宋体" w:hAnsi="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月</w:t>
      </w:r>
      <w:r>
        <w:rPr>
          <w:rFonts w:hint="eastAsia" w:ascii="宋体" w:hAnsi="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日至</w:t>
      </w:r>
      <w:r>
        <w:rPr>
          <w:rFonts w:ascii="宋体" w:hAnsi="宋体"/>
          <w:b/>
          <w:color w:val="000000" w:themeColor="text1"/>
          <w:sz w:val="24"/>
          <w:highlight w:val="none"/>
          <w:u w:val="single"/>
          <w14:textFill>
            <w14:solidFill>
              <w14:schemeClr w14:val="tx1"/>
            </w14:solidFill>
          </w14:textFill>
        </w:rPr>
        <w:t>202</w:t>
      </w:r>
      <w:r>
        <w:rPr>
          <w:rFonts w:hint="eastAsia" w:ascii="宋体" w:hAnsi="宋体"/>
          <w:b/>
          <w:color w:val="000000" w:themeColor="text1"/>
          <w:sz w:val="24"/>
          <w:highlight w:val="none"/>
          <w:u w:val="single"/>
          <w:lang w:val="en-US" w:eastAsia="zh-CN"/>
          <w14:textFill>
            <w14:solidFill>
              <w14:schemeClr w14:val="tx1"/>
            </w14:solidFill>
          </w14:textFill>
        </w:rPr>
        <w:t>6</w:t>
      </w:r>
      <w:r>
        <w:rPr>
          <w:rFonts w:hint="eastAsia" w:ascii="宋体" w:hAnsi="宋体"/>
          <w:b/>
          <w:color w:val="000000" w:themeColor="text1"/>
          <w:sz w:val="24"/>
          <w:highlight w:val="none"/>
          <w:u w:val="single"/>
          <w14:textFill>
            <w14:solidFill>
              <w14:schemeClr w14:val="tx1"/>
            </w14:solidFill>
          </w14:textFill>
        </w:rPr>
        <w:t>年</w:t>
      </w:r>
      <w:r>
        <w:rPr>
          <w:rFonts w:hint="eastAsia" w:ascii="宋体" w:hAnsi="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月</w:t>
      </w:r>
      <w:r>
        <w:rPr>
          <w:rFonts w:hint="eastAsia" w:ascii="宋体" w:hAnsi="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日止。</w:t>
      </w:r>
    </w:p>
    <w:p>
      <w:pPr>
        <w:spacing w:line="500" w:lineRule="exact"/>
        <w:ind w:firstLine="602" w:firstLineChars="250"/>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四、合同价及支付方式</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4.1合同暂定总价为：</w:t>
      </w:r>
      <w:r>
        <w:rPr>
          <w:rFonts w:hint="eastAsia" w:ascii="宋体" w:hAnsi="宋体" w:cs="宋体"/>
          <w:b/>
          <w:color w:val="000000" w:themeColor="text1"/>
          <w:sz w:val="24"/>
          <w:highlight w:val="none"/>
          <w:u w:val="single"/>
          <w14:textFill>
            <w14:solidFill>
              <w14:schemeClr w14:val="tx1"/>
            </w14:solidFill>
          </w14:textFill>
        </w:rPr>
        <w:t>人民币        元</w:t>
      </w:r>
      <w:r>
        <w:rPr>
          <w:rFonts w:hint="eastAsia" w:ascii="宋体" w:hAnsi="宋体" w:cs="宋体"/>
          <w:color w:val="000000" w:themeColor="text1"/>
          <w:sz w:val="24"/>
          <w:highlight w:val="none"/>
          <w14:textFill>
            <w14:solidFill>
              <w14:schemeClr w14:val="tx1"/>
            </w14:solidFill>
          </w14:textFill>
        </w:rPr>
        <w:t>（大写</w:t>
      </w:r>
      <w:r>
        <w:rPr>
          <w:rFonts w:ascii="宋体" w:hAnsi="宋体" w:cs="宋体"/>
          <w:color w:val="000000" w:themeColor="text1"/>
          <w:sz w:val="24"/>
          <w:highlight w:val="none"/>
          <w14:textFill>
            <w14:solidFill>
              <w14:schemeClr w14:val="tx1"/>
            </w14:solidFill>
          </w14:textFill>
        </w:rPr>
        <w:t>:</w:t>
      </w:r>
      <w:r>
        <w:rPr>
          <w:rFonts w:ascii="宋体" w:hAnsi="宋体" w:cs="宋体"/>
          <w:b/>
          <w:color w:val="000000" w:themeColor="text1"/>
          <w:sz w:val="24"/>
          <w:highlight w:val="none"/>
          <w:u w:val="single"/>
          <w14:textFill>
            <w14:solidFill>
              <w14:schemeClr w14:val="tx1"/>
            </w14:solidFill>
          </w14:textFill>
        </w:rPr>
        <w:t xml:space="preserve"> </w:t>
      </w:r>
      <w:r>
        <w:rPr>
          <w:rFonts w:hint="eastAsia" w:ascii="宋体" w:hAnsi="宋体" w:cs="宋体"/>
          <w:b/>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4.2</w:t>
      </w:r>
      <w:r>
        <w:rPr>
          <w:rFonts w:hint="eastAsia" w:ascii="宋体" w:hAnsi="宋体" w:cs="宋体"/>
          <w:color w:val="000000" w:themeColor="text1"/>
          <w:kern w:val="0"/>
          <w:sz w:val="24"/>
          <w:highlight w:val="none"/>
          <w14:textFill>
            <w14:solidFill>
              <w14:schemeClr w14:val="tx1"/>
            </w14:solidFill>
          </w14:textFill>
        </w:rPr>
        <w:t>本合同约定的价格为含税价价格</w:t>
      </w:r>
      <w:r>
        <w:rPr>
          <w:rFonts w:hint="eastAsia" w:ascii="宋体" w:hAnsi="宋体" w:cs="宋体"/>
          <w:color w:val="000000" w:themeColor="text1"/>
          <w:sz w:val="24"/>
          <w:highlight w:val="none"/>
          <w14:textFill>
            <w14:solidFill>
              <w14:schemeClr w14:val="tx1"/>
            </w14:solidFill>
          </w14:textFill>
        </w:rPr>
        <w:t>（税率</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b/>
          <w:color w:val="000000" w:themeColor="text1"/>
          <w:spacing w:val="2"/>
          <w:kern w:val="36"/>
          <w:position w:val="2"/>
          <w:sz w:val="24"/>
          <w:highlight w:val="none"/>
          <w14:textFill>
            <w14:solidFill>
              <w14:schemeClr w14:val="tx1"/>
            </w14:solidFill>
          </w14:textFill>
        </w:rPr>
      </w:pPr>
      <w:r>
        <w:rPr>
          <w:rFonts w:hint="eastAsia" w:ascii="宋体" w:hAnsi="宋体"/>
          <w:b/>
          <w:color w:val="000000" w:themeColor="text1"/>
          <w:spacing w:val="2"/>
          <w:kern w:val="36"/>
          <w:position w:val="2"/>
          <w:sz w:val="24"/>
          <w:highlight w:val="none"/>
          <w14:textFill>
            <w14:solidFill>
              <w14:schemeClr w14:val="tx1"/>
            </w14:solidFill>
          </w14:textFill>
        </w:rPr>
        <w:t>五、付款及履约担保：</w:t>
      </w:r>
    </w:p>
    <w:p>
      <w:pPr>
        <w:spacing w:line="500" w:lineRule="exact"/>
        <w:ind w:firstLine="488" w:firstLineChars="200"/>
        <w:rPr>
          <w:rFonts w:ascii="宋体" w:hAnsi="宋体" w:cs="宋体"/>
          <w:bCs/>
          <w:color w:val="000000" w:themeColor="text1"/>
          <w:sz w:val="24"/>
          <w:highlight w:val="none"/>
          <w:u w:val="single"/>
          <w14:textFill>
            <w14:solidFill>
              <w14:schemeClr w14:val="tx1"/>
            </w14:solidFill>
          </w14:textFill>
        </w:rPr>
      </w:pPr>
      <w:r>
        <w:rPr>
          <w:rFonts w:ascii="宋体" w:hAnsi="宋体" w:eastAsia="宋体"/>
          <w:bCs/>
          <w:color w:val="000000" w:themeColor="text1"/>
          <w:spacing w:val="2"/>
          <w:kern w:val="36"/>
          <w:position w:val="2"/>
          <w:sz w:val="24"/>
          <w:highlight w:val="none"/>
          <w14:textFill>
            <w14:solidFill>
              <w14:schemeClr w14:val="tx1"/>
            </w14:solidFill>
          </w14:textFill>
        </w:rPr>
        <w:t>5.1</w:t>
      </w:r>
      <w:r>
        <w:rPr>
          <w:rFonts w:hint="eastAsia" w:ascii="宋体" w:hAnsi="宋体" w:eastAsia="宋体" w:cs="宋体"/>
          <w:bCs/>
          <w:color w:val="000000" w:themeColor="text1"/>
          <w:sz w:val="24"/>
          <w:highlight w:val="none"/>
          <w14:textFill>
            <w14:solidFill>
              <w14:schemeClr w14:val="tx1"/>
            </w14:solidFill>
          </w14:textFill>
        </w:rPr>
        <w:t>预付款的支付：</w:t>
      </w:r>
      <w:r>
        <w:rPr>
          <w:rFonts w:ascii="宋体" w:hAnsi="宋体" w:eastAsia="宋体" w:cs="宋体"/>
          <w:bCs/>
          <w:color w:val="000000" w:themeColor="text1"/>
          <w:sz w:val="24"/>
          <w:highlight w:val="none"/>
          <w14:textFill>
            <w14:solidFill>
              <w14:schemeClr w14:val="tx1"/>
            </w14:solidFill>
          </w14:textFill>
        </w:rPr>
        <w:sym w:font="Wingdings" w:char="00FE"/>
      </w:r>
      <w:r>
        <w:rPr>
          <w:rFonts w:hint="eastAsia" w:ascii="宋体" w:hAnsi="宋体" w:eastAsia="宋体" w:cs="宋体"/>
          <w:bCs/>
          <w:color w:val="000000" w:themeColor="text1"/>
          <w:sz w:val="24"/>
          <w:highlight w:val="none"/>
          <w14:textFill>
            <w14:solidFill>
              <w14:schemeClr w14:val="tx1"/>
            </w14:solidFill>
          </w14:textFill>
        </w:rPr>
        <w:t>无；</w:t>
      </w:r>
      <w:r>
        <w:rPr>
          <w:rFonts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sym w:font="Wingdings" w:char="F0A8"/>
      </w:r>
      <w:r>
        <w:rPr>
          <w:rFonts w:hint="eastAsia" w:ascii="宋体" w:hAnsi="宋体" w:eastAsia="宋体" w:cs="宋体"/>
          <w:bCs/>
          <w:color w:val="000000" w:themeColor="text1"/>
          <w:sz w:val="24"/>
          <w:highlight w:val="none"/>
          <w14:textFill>
            <w14:solidFill>
              <w14:schemeClr w14:val="tx1"/>
            </w14:solidFill>
          </w14:textFill>
        </w:rPr>
        <w:t>有，</w:t>
      </w:r>
      <w:r>
        <w:rPr>
          <w:rFonts w:hint="eastAsia" w:ascii="宋体" w:hAnsi="宋体" w:cs="宋体"/>
          <w:bCs/>
          <w:color w:val="000000" w:themeColor="text1"/>
          <w:sz w:val="24"/>
          <w:highlight w:val="none"/>
          <w14:textFill>
            <w14:solidFill>
              <w14:schemeClr w14:val="tx1"/>
            </w14:solidFill>
          </w14:textFill>
        </w:rPr>
        <w:t>合同签订后乙方开具等额的增值税专用发票及提交履约担保担保（如有）</w:t>
      </w:r>
      <w:r>
        <w:rPr>
          <w:rFonts w:hint="eastAsia" w:ascii="宋体" w:hAnsi="宋体" w:eastAsia="宋体" w:cs="宋体"/>
          <w:bCs/>
          <w:color w:val="000000" w:themeColor="text1"/>
          <w:sz w:val="24"/>
          <w:highlight w:val="none"/>
          <w14:textFill>
            <w14:solidFill>
              <w14:schemeClr w14:val="tx1"/>
            </w14:solidFill>
          </w14:textFill>
        </w:rPr>
        <w:t>，由乙方提交</w:t>
      </w:r>
      <w:r>
        <w:rPr>
          <w:rFonts w:hint="eastAsia" w:ascii="宋体" w:hAnsi="宋体" w:eastAsia="宋体" w:cs="宋体"/>
          <w:bCs/>
          <w:color w:val="000000" w:themeColor="text1"/>
          <w:sz w:val="24"/>
          <w:highlight w:val="none"/>
          <w:u w:val="single"/>
          <w14:textFill>
            <w14:solidFill>
              <w14:schemeClr w14:val="tx1"/>
            </w14:solidFill>
          </w14:textFill>
        </w:rPr>
        <w:t>申请支付资料</w:t>
      </w:r>
      <w:r>
        <w:rPr>
          <w:rFonts w:hint="eastAsia" w:ascii="宋体" w:hAnsi="宋体" w:eastAsia="宋体" w:cs="宋体"/>
          <w:bCs/>
          <w:color w:val="000000" w:themeColor="text1"/>
          <w:sz w:val="24"/>
          <w:highlight w:val="none"/>
          <w14:textFill>
            <w14:solidFill>
              <w14:schemeClr w14:val="tx1"/>
            </w14:solidFill>
          </w14:textFill>
        </w:rPr>
        <w:t>及开具等额的增值税专用发票后</w:t>
      </w:r>
      <w:r>
        <w:rPr>
          <w:rFonts w:ascii="宋体" w:hAnsi="宋体" w:eastAsia="宋体" w:cs="宋体"/>
          <w:bCs/>
          <w:color w:val="000000" w:themeColor="text1"/>
          <w:sz w:val="24"/>
          <w:highlight w:val="none"/>
          <w:u w:val="single"/>
          <w14:textFill>
            <w14:solidFill>
              <w14:schemeClr w14:val="tx1"/>
            </w14:solidFill>
          </w14:textFill>
        </w:rPr>
        <w:t>15</w:t>
      </w:r>
      <w:r>
        <w:rPr>
          <w:rFonts w:hint="eastAsia" w:ascii="宋体" w:hAnsi="宋体" w:eastAsia="宋体" w:cs="宋体"/>
          <w:bCs/>
          <w:color w:val="000000" w:themeColor="text1"/>
          <w:sz w:val="24"/>
          <w:highlight w:val="none"/>
          <w:u w:val="single"/>
          <w14:textFill>
            <w14:solidFill>
              <w14:schemeClr w14:val="tx1"/>
            </w14:solidFill>
          </w14:textFill>
        </w:rPr>
        <w:t>个</w:t>
      </w:r>
      <w:r>
        <w:rPr>
          <w:rFonts w:hint="eastAsia" w:ascii="宋体" w:hAnsi="宋体" w:eastAsia="宋体" w:cs="宋体"/>
          <w:bCs/>
          <w:color w:val="000000" w:themeColor="text1"/>
          <w:sz w:val="24"/>
          <w:highlight w:val="none"/>
          <w14:textFill>
            <w14:solidFill>
              <w14:schemeClr w14:val="tx1"/>
            </w14:solidFill>
          </w14:textFill>
        </w:rPr>
        <w:t>工作日内，甲方支付合同</w:t>
      </w:r>
      <w:r>
        <w:rPr>
          <w:rFonts w:hint="eastAsia" w:ascii="宋体" w:hAnsi="宋体" w:eastAsia="宋体" w:cs="宋体"/>
          <w:color w:val="000000" w:themeColor="text1"/>
          <w:sz w:val="24"/>
          <w:highlight w:val="none"/>
          <w14:textFill>
            <w14:solidFill>
              <w14:schemeClr w14:val="tx1"/>
            </w14:solidFill>
          </w14:textFill>
        </w:rPr>
        <w:t>暂定总价</w:t>
      </w:r>
      <w:r>
        <w:rPr>
          <w:rFonts w:hint="eastAsia" w:ascii="宋体" w:hAnsi="宋体" w:eastAsia="宋体" w:cs="宋体"/>
          <w:bCs/>
          <w:color w:val="000000" w:themeColor="text1"/>
          <w:sz w:val="24"/>
          <w:highlight w:val="none"/>
          <w14:textFill>
            <w14:solidFill>
              <w14:schemeClr w14:val="tx1"/>
            </w14:solidFill>
          </w14:textFill>
        </w:rPr>
        <w:t>的</w:t>
      </w:r>
      <w:r>
        <w:rPr>
          <w:rFonts w:ascii="宋体" w:hAnsi="宋体" w:eastAsia="宋体" w:cs="宋体"/>
          <w:bCs/>
          <w:color w:val="000000" w:themeColor="text1"/>
          <w:sz w:val="24"/>
          <w:highlight w:val="none"/>
          <w:u w:val="single"/>
          <w14:textFill>
            <w14:solidFill>
              <w14:schemeClr w14:val="tx1"/>
            </w14:solidFill>
          </w14:textFill>
        </w:rPr>
        <w:t xml:space="preserve"> （不得超过30%）</w:t>
      </w:r>
      <w:r>
        <w:rPr>
          <w:rFonts w:hint="eastAsia" w:ascii="宋体" w:hAnsi="宋体" w:eastAsia="宋体" w:cs="宋体"/>
          <w:color w:val="000000" w:themeColor="text1"/>
          <w:sz w:val="24"/>
          <w:highlight w:val="none"/>
          <w14:textFill>
            <w14:solidFill>
              <w14:schemeClr w14:val="tx1"/>
            </w14:solidFill>
          </w14:textFill>
        </w:rPr>
        <w:t>即</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，（大写：…）</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w:t>
      </w:r>
    </w:p>
    <w:p>
      <w:pPr>
        <w:pStyle w:val="15"/>
        <w:ind w:firstLine="480" w:firstLine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5.2</w:t>
      </w:r>
      <w:r>
        <w:rPr>
          <w:rFonts w:hint="eastAsia" w:hAnsi="宋体"/>
          <w:color w:val="000000" w:themeColor="text1"/>
          <w:highlight w:val="none"/>
          <w:u w:val="single"/>
          <w14:textFill>
            <w14:solidFill>
              <w14:schemeClr w14:val="tx1"/>
            </w14:solidFill>
          </w14:textFill>
        </w:rPr>
        <w:t>项目服务至</w:t>
      </w:r>
      <w:r>
        <w:rPr>
          <w:rFonts w:hint="eastAsia" w:hAnsi="宋体"/>
          <w:color w:val="000000" w:themeColor="text1"/>
          <w:highlight w:val="none"/>
          <w:u w:val="single"/>
          <w:lang w:val="en-US" w:eastAsia="zh-CN"/>
          <w14:textFill>
            <w14:solidFill>
              <w14:schemeClr w14:val="tx1"/>
            </w14:solidFill>
          </w14:textFill>
        </w:rPr>
        <w:t>2024年 月 日</w:t>
      </w:r>
      <w:r>
        <w:rPr>
          <w:rFonts w:hint="eastAsia" w:hAnsi="宋体"/>
          <w:color w:val="000000" w:themeColor="text1"/>
          <w:highlight w:val="none"/>
          <w:u w:val="single"/>
          <w14:textFill>
            <w14:solidFill>
              <w14:schemeClr w14:val="tx1"/>
            </w14:solidFill>
          </w14:textFill>
        </w:rPr>
        <w:t>（时间节点）</w:t>
      </w:r>
      <w:r>
        <w:rPr>
          <w:rFonts w:hint="eastAsia" w:hAnsi="宋体"/>
          <w:color w:val="000000" w:themeColor="text1"/>
          <w:highlight w:val="none"/>
          <w14:textFill>
            <w14:solidFill>
              <w14:schemeClr w14:val="tx1"/>
            </w14:solidFill>
          </w14:textFill>
        </w:rPr>
        <w:t>，乙方提交阶段性总结报告经甲方审核通过后，乙方提交</w:t>
      </w:r>
      <w:r>
        <w:rPr>
          <w:rFonts w:hint="eastAsia" w:hAnsi="宋体"/>
          <w:color w:val="000000" w:themeColor="text1"/>
          <w:highlight w:val="none"/>
          <w:u w:val="single"/>
          <w14:textFill>
            <w14:solidFill>
              <w14:schemeClr w14:val="tx1"/>
            </w14:solidFill>
          </w14:textFill>
        </w:rPr>
        <w:t>申请支付资料</w:t>
      </w:r>
      <w:r>
        <w:rPr>
          <w:rFonts w:hint="eastAsia" w:hAnsi="宋体"/>
          <w:color w:val="000000" w:themeColor="text1"/>
          <w:highlight w:val="none"/>
          <w14:textFill>
            <w14:solidFill>
              <w14:schemeClr w14:val="tx1"/>
            </w14:solidFill>
          </w14:textFill>
        </w:rPr>
        <w:t>及等额发票后</w:t>
      </w:r>
      <w:r>
        <w:rPr>
          <w:rFonts w:hAnsi="宋体"/>
          <w:color w:val="000000" w:themeColor="text1"/>
          <w:highlight w:val="none"/>
          <w:u w:val="single"/>
          <w14:textFill>
            <w14:solidFill>
              <w14:schemeClr w14:val="tx1"/>
            </w14:solidFill>
          </w14:textFill>
        </w:rPr>
        <w:t xml:space="preserve">15 </w:t>
      </w:r>
      <w:r>
        <w:rPr>
          <w:rFonts w:hint="eastAsia" w:hAnsi="宋体"/>
          <w:color w:val="000000" w:themeColor="text1"/>
          <w:highlight w:val="none"/>
          <w14:textFill>
            <w14:solidFill>
              <w14:schemeClr w14:val="tx1"/>
            </w14:solidFill>
          </w14:textFill>
        </w:rPr>
        <w:t>个工作日内，甲方支付至合同暂定总价的</w:t>
      </w:r>
      <w:r>
        <w:rPr>
          <w:rFonts w:hint="eastAsia" w:hAnsi="宋体"/>
          <w:color w:val="000000" w:themeColor="text1"/>
          <w:highlight w:val="none"/>
          <w:u w:val="single"/>
          <w:lang w:val="en-US" w:eastAsia="zh-CN"/>
          <w14:textFill>
            <w14:solidFill>
              <w14:schemeClr w14:val="tx1"/>
            </w14:solidFill>
          </w14:textFill>
        </w:rPr>
        <w:t>2</w:t>
      </w:r>
      <w:r>
        <w:rPr>
          <w:rFonts w:hAnsi="宋体"/>
          <w:color w:val="000000" w:themeColor="text1"/>
          <w:highlight w:val="none"/>
          <w:u w:val="single"/>
          <w14:textFill>
            <w14:solidFill>
              <w14:schemeClr w14:val="tx1"/>
            </w14:solidFill>
          </w14:textFill>
        </w:rPr>
        <w:t>0</w:t>
      </w:r>
      <w:r>
        <w:rPr>
          <w:rFonts w:hint="eastAsia" w:hAnsi="宋体"/>
          <w:color w:val="000000" w:themeColor="text1"/>
          <w:highlight w:val="none"/>
          <w14:textFill>
            <w14:solidFill>
              <w14:schemeClr w14:val="tx1"/>
            </w14:solidFill>
          </w14:textFill>
        </w:rPr>
        <w:t>％即￥</w:t>
      </w:r>
      <w:r>
        <w:rPr>
          <w:rFonts w:hint="eastAsia" w:hAnsi="宋体"/>
          <w:color w:val="000000" w:themeColor="text1"/>
          <w:highlight w:val="none"/>
          <w:u w:val="single"/>
          <w14:textFill>
            <w14:solidFill>
              <w14:schemeClr w14:val="tx1"/>
            </w14:solidFill>
          </w14:textFill>
        </w:rPr>
        <w:t>…</w:t>
      </w:r>
      <w:r>
        <w:rPr>
          <w:rFonts w:hint="eastAsia" w:hAnsi="宋体"/>
          <w:color w:val="000000" w:themeColor="text1"/>
          <w:highlight w:val="none"/>
          <w14:textFill>
            <w14:solidFill>
              <w14:schemeClr w14:val="tx1"/>
            </w14:solidFill>
          </w14:textFill>
        </w:rPr>
        <w:t>。</w:t>
      </w:r>
    </w:p>
    <w:p>
      <w:pPr>
        <w:pStyle w:val="15"/>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u w:val="single"/>
          <w:lang w:val="en-US" w:eastAsia="zh-CN"/>
          <w14:textFill>
            <w14:solidFill>
              <w14:schemeClr w14:val="tx1"/>
            </w14:solidFill>
          </w14:textFill>
        </w:rPr>
        <w:t>5.3</w:t>
      </w:r>
      <w:r>
        <w:rPr>
          <w:rFonts w:hint="eastAsia" w:hAnsi="宋体"/>
          <w:color w:val="000000" w:themeColor="text1"/>
          <w:highlight w:val="none"/>
          <w:u w:val="single"/>
          <w14:textFill>
            <w14:solidFill>
              <w14:schemeClr w14:val="tx1"/>
            </w14:solidFill>
          </w14:textFill>
        </w:rPr>
        <w:t>项目服务至</w:t>
      </w:r>
      <w:r>
        <w:rPr>
          <w:rFonts w:hAnsi="宋体"/>
          <w:color w:val="000000" w:themeColor="text1"/>
          <w:highlight w:val="none"/>
          <w:u w:val="single"/>
          <w14:textFill>
            <w14:solidFill>
              <w14:schemeClr w14:val="tx1"/>
            </w14:solidFill>
          </w14:textFill>
        </w:rPr>
        <w:t xml:space="preserve"> 202</w:t>
      </w:r>
      <w:r>
        <w:rPr>
          <w:rFonts w:hint="eastAsia" w:hAnsi="宋体"/>
          <w:color w:val="000000" w:themeColor="text1"/>
          <w:highlight w:val="none"/>
          <w:u w:val="single"/>
          <w:lang w:val="en-US" w:eastAsia="zh-CN"/>
          <w14:textFill>
            <w14:solidFill>
              <w14:schemeClr w14:val="tx1"/>
            </w14:solidFill>
          </w14:textFill>
        </w:rPr>
        <w:t>4</w:t>
      </w:r>
      <w:r>
        <w:rPr>
          <w:rFonts w:hint="eastAsia" w:hAnsi="宋体"/>
          <w:color w:val="000000" w:themeColor="text1"/>
          <w:highlight w:val="none"/>
          <w:u w:val="single"/>
          <w14:textFill>
            <w14:solidFill>
              <w14:schemeClr w14:val="tx1"/>
            </w14:solidFill>
          </w14:textFill>
        </w:rPr>
        <w:t>年</w:t>
      </w:r>
      <w:r>
        <w:rPr>
          <w:rFonts w:hint="eastAsia" w:hAnsi="宋体"/>
          <w:color w:val="000000" w:themeColor="text1"/>
          <w:highlight w:val="none"/>
          <w:u w:val="single"/>
          <w:lang w:val="en-US" w:eastAsia="zh-CN"/>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月</w:t>
      </w:r>
      <w:r>
        <w:rPr>
          <w:rFonts w:hint="eastAsia" w:hAnsi="宋体"/>
          <w:color w:val="000000" w:themeColor="text1"/>
          <w:highlight w:val="none"/>
          <w:u w:val="single"/>
          <w:lang w:val="en-US" w:eastAsia="zh-CN"/>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日（时间节点）</w:t>
      </w:r>
      <w:r>
        <w:rPr>
          <w:rFonts w:hint="eastAsia" w:hAnsi="宋体"/>
          <w:color w:val="000000" w:themeColor="text1"/>
          <w:highlight w:val="none"/>
          <w14:textFill>
            <w14:solidFill>
              <w14:schemeClr w14:val="tx1"/>
            </w14:solidFill>
          </w14:textFill>
        </w:rPr>
        <w:t>，乙方提交阶段性总结报告经甲方审核通过后，乙方提交</w:t>
      </w:r>
      <w:r>
        <w:rPr>
          <w:rFonts w:hint="eastAsia" w:hAnsi="宋体"/>
          <w:color w:val="000000" w:themeColor="text1"/>
          <w:highlight w:val="none"/>
          <w:u w:val="single"/>
          <w14:textFill>
            <w14:solidFill>
              <w14:schemeClr w14:val="tx1"/>
            </w14:solidFill>
          </w14:textFill>
        </w:rPr>
        <w:t>申请支付资料</w:t>
      </w:r>
      <w:r>
        <w:rPr>
          <w:rFonts w:hint="eastAsia" w:hAnsi="宋体"/>
          <w:color w:val="000000" w:themeColor="text1"/>
          <w:highlight w:val="none"/>
          <w14:textFill>
            <w14:solidFill>
              <w14:schemeClr w14:val="tx1"/>
            </w14:solidFill>
          </w14:textFill>
        </w:rPr>
        <w:t>及等额发票后</w:t>
      </w:r>
      <w:r>
        <w:rPr>
          <w:rFonts w:hAnsi="宋体"/>
          <w:color w:val="000000" w:themeColor="text1"/>
          <w:highlight w:val="none"/>
          <w:u w:val="single"/>
          <w14:textFill>
            <w14:solidFill>
              <w14:schemeClr w14:val="tx1"/>
            </w14:solidFill>
          </w14:textFill>
        </w:rPr>
        <w:t xml:space="preserve">15 </w:t>
      </w:r>
      <w:r>
        <w:rPr>
          <w:rFonts w:hint="eastAsia" w:hAnsi="宋体"/>
          <w:color w:val="000000" w:themeColor="text1"/>
          <w:highlight w:val="none"/>
          <w14:textFill>
            <w14:solidFill>
              <w14:schemeClr w14:val="tx1"/>
            </w14:solidFill>
          </w14:textFill>
        </w:rPr>
        <w:t>个工作日内，甲方支付至合同暂定总价的</w:t>
      </w:r>
      <w:r>
        <w:rPr>
          <w:rFonts w:hint="eastAsia" w:hAnsi="宋体"/>
          <w:color w:val="000000" w:themeColor="text1"/>
          <w:highlight w:val="none"/>
          <w:u w:val="single"/>
          <w:lang w:val="en-US" w:eastAsia="zh-CN"/>
          <w14:textFill>
            <w14:solidFill>
              <w14:schemeClr w14:val="tx1"/>
            </w14:solidFill>
          </w14:textFill>
        </w:rPr>
        <w:t>4</w:t>
      </w:r>
      <w:r>
        <w:rPr>
          <w:rFonts w:hAnsi="宋体"/>
          <w:color w:val="000000" w:themeColor="text1"/>
          <w:highlight w:val="none"/>
          <w:u w:val="single"/>
          <w14:textFill>
            <w14:solidFill>
              <w14:schemeClr w14:val="tx1"/>
            </w14:solidFill>
          </w14:textFill>
        </w:rPr>
        <w:t>0</w:t>
      </w:r>
      <w:r>
        <w:rPr>
          <w:rFonts w:hint="eastAsia" w:hAnsi="宋体"/>
          <w:color w:val="000000" w:themeColor="text1"/>
          <w:highlight w:val="none"/>
          <w14:textFill>
            <w14:solidFill>
              <w14:schemeClr w14:val="tx1"/>
            </w14:solidFill>
          </w14:textFill>
        </w:rPr>
        <w:t>％即￥</w:t>
      </w:r>
      <w:r>
        <w:rPr>
          <w:rFonts w:hint="eastAsia" w:hAnsi="宋体"/>
          <w:color w:val="000000" w:themeColor="text1"/>
          <w:highlight w:val="none"/>
          <w:u w:val="single"/>
          <w14:textFill>
            <w14:solidFill>
              <w14:schemeClr w14:val="tx1"/>
            </w14:solidFill>
          </w14:textFill>
        </w:rPr>
        <w:t>…</w:t>
      </w:r>
      <w:r>
        <w:rPr>
          <w:rFonts w:hint="eastAsia" w:hAnsi="宋体"/>
          <w:color w:val="000000" w:themeColor="text1"/>
          <w:highlight w:val="none"/>
          <w14:textFill>
            <w14:solidFill>
              <w14:schemeClr w14:val="tx1"/>
            </w14:solidFill>
          </w14:textFill>
        </w:rPr>
        <w:t>。</w:t>
      </w:r>
    </w:p>
    <w:p>
      <w:pPr>
        <w:pStyle w:val="15"/>
        <w:ind w:firstLine="480" w:firstLineChars="200"/>
        <w:rPr>
          <w:highlight w:val="none"/>
        </w:rPr>
      </w:pPr>
      <w:r>
        <w:rPr>
          <w:rFonts w:hint="eastAsia" w:hAnsi="宋体"/>
          <w:color w:val="000000" w:themeColor="text1"/>
          <w:highlight w:val="none"/>
          <w:u w:val="single"/>
          <w:lang w:val="en-US" w:eastAsia="zh-CN"/>
          <w14:textFill>
            <w14:solidFill>
              <w14:schemeClr w14:val="tx1"/>
            </w14:solidFill>
          </w14:textFill>
        </w:rPr>
        <w:t>5.4</w:t>
      </w:r>
      <w:r>
        <w:rPr>
          <w:rFonts w:hint="eastAsia" w:hAnsi="宋体"/>
          <w:color w:val="000000" w:themeColor="text1"/>
          <w:highlight w:val="none"/>
          <w:u w:val="single"/>
          <w14:textFill>
            <w14:solidFill>
              <w14:schemeClr w14:val="tx1"/>
            </w14:solidFill>
          </w14:textFill>
        </w:rPr>
        <w:t>项目服务至</w:t>
      </w:r>
      <w:r>
        <w:rPr>
          <w:rFonts w:hAnsi="宋体"/>
          <w:color w:val="000000" w:themeColor="text1"/>
          <w:highlight w:val="none"/>
          <w:u w:val="single"/>
          <w14:textFill>
            <w14:solidFill>
              <w14:schemeClr w14:val="tx1"/>
            </w14:solidFill>
          </w14:textFill>
        </w:rPr>
        <w:t xml:space="preserve"> 202</w:t>
      </w:r>
      <w:r>
        <w:rPr>
          <w:rFonts w:hint="eastAsia" w:hAnsi="宋体"/>
          <w:color w:val="000000" w:themeColor="text1"/>
          <w:highlight w:val="none"/>
          <w:u w:val="single"/>
          <w:lang w:val="en-US" w:eastAsia="zh-CN"/>
          <w14:textFill>
            <w14:solidFill>
              <w14:schemeClr w14:val="tx1"/>
            </w14:solidFill>
          </w14:textFill>
        </w:rPr>
        <w:t>5</w:t>
      </w:r>
      <w:r>
        <w:rPr>
          <w:rFonts w:hint="eastAsia" w:hAnsi="宋体"/>
          <w:color w:val="000000" w:themeColor="text1"/>
          <w:highlight w:val="none"/>
          <w:u w:val="single"/>
          <w14:textFill>
            <w14:solidFill>
              <w14:schemeClr w14:val="tx1"/>
            </w14:solidFill>
          </w14:textFill>
        </w:rPr>
        <w:t>年</w:t>
      </w:r>
      <w:r>
        <w:rPr>
          <w:rFonts w:hint="eastAsia" w:hAnsi="宋体"/>
          <w:color w:val="000000" w:themeColor="text1"/>
          <w:highlight w:val="none"/>
          <w:u w:val="single"/>
          <w:lang w:val="en-US" w:eastAsia="zh-CN"/>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月</w:t>
      </w:r>
      <w:r>
        <w:rPr>
          <w:rFonts w:hint="eastAsia" w:hAnsi="宋体"/>
          <w:color w:val="000000" w:themeColor="text1"/>
          <w:highlight w:val="none"/>
          <w:u w:val="single"/>
          <w:lang w:val="en-US" w:eastAsia="zh-CN"/>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日（时间节点）</w:t>
      </w:r>
      <w:r>
        <w:rPr>
          <w:rFonts w:hint="eastAsia" w:hAnsi="宋体"/>
          <w:color w:val="000000" w:themeColor="text1"/>
          <w:highlight w:val="none"/>
          <w14:textFill>
            <w14:solidFill>
              <w14:schemeClr w14:val="tx1"/>
            </w14:solidFill>
          </w14:textFill>
        </w:rPr>
        <w:t>，乙方提交阶段性总结报告经甲方审核通过后，乙方提交</w:t>
      </w:r>
      <w:r>
        <w:rPr>
          <w:rFonts w:hint="eastAsia" w:hAnsi="宋体"/>
          <w:color w:val="000000" w:themeColor="text1"/>
          <w:highlight w:val="none"/>
          <w:u w:val="single"/>
          <w14:textFill>
            <w14:solidFill>
              <w14:schemeClr w14:val="tx1"/>
            </w14:solidFill>
          </w14:textFill>
        </w:rPr>
        <w:t>申请支付资料</w:t>
      </w:r>
      <w:r>
        <w:rPr>
          <w:rFonts w:hint="eastAsia" w:hAnsi="宋体"/>
          <w:color w:val="000000" w:themeColor="text1"/>
          <w:highlight w:val="none"/>
          <w14:textFill>
            <w14:solidFill>
              <w14:schemeClr w14:val="tx1"/>
            </w14:solidFill>
          </w14:textFill>
        </w:rPr>
        <w:t>及等额发票后</w:t>
      </w:r>
      <w:r>
        <w:rPr>
          <w:rFonts w:hAnsi="宋体"/>
          <w:color w:val="000000" w:themeColor="text1"/>
          <w:highlight w:val="none"/>
          <w:u w:val="single"/>
          <w14:textFill>
            <w14:solidFill>
              <w14:schemeClr w14:val="tx1"/>
            </w14:solidFill>
          </w14:textFill>
        </w:rPr>
        <w:t xml:space="preserve">15 </w:t>
      </w:r>
      <w:r>
        <w:rPr>
          <w:rFonts w:hint="eastAsia" w:hAnsi="宋体"/>
          <w:color w:val="000000" w:themeColor="text1"/>
          <w:highlight w:val="none"/>
          <w14:textFill>
            <w14:solidFill>
              <w14:schemeClr w14:val="tx1"/>
            </w14:solidFill>
          </w14:textFill>
        </w:rPr>
        <w:t>个工作日内，甲方支付至合同暂定总价的</w:t>
      </w:r>
      <w:r>
        <w:rPr>
          <w:rFonts w:hint="eastAsia" w:hAnsi="宋体"/>
          <w:color w:val="000000" w:themeColor="text1"/>
          <w:highlight w:val="none"/>
          <w:u w:val="single"/>
          <w:lang w:val="en-US" w:eastAsia="zh-CN"/>
          <w14:textFill>
            <w14:solidFill>
              <w14:schemeClr w14:val="tx1"/>
            </w14:solidFill>
          </w14:textFill>
        </w:rPr>
        <w:t>6</w:t>
      </w:r>
      <w:r>
        <w:rPr>
          <w:rFonts w:hAnsi="宋体"/>
          <w:color w:val="000000" w:themeColor="text1"/>
          <w:highlight w:val="none"/>
          <w:u w:val="single"/>
          <w14:textFill>
            <w14:solidFill>
              <w14:schemeClr w14:val="tx1"/>
            </w14:solidFill>
          </w14:textFill>
        </w:rPr>
        <w:t>0</w:t>
      </w:r>
      <w:r>
        <w:rPr>
          <w:rFonts w:hint="eastAsia" w:hAnsi="宋体"/>
          <w:color w:val="000000" w:themeColor="text1"/>
          <w:highlight w:val="none"/>
          <w14:textFill>
            <w14:solidFill>
              <w14:schemeClr w14:val="tx1"/>
            </w14:solidFill>
          </w14:textFill>
        </w:rPr>
        <w:t>％即￥</w:t>
      </w:r>
      <w:r>
        <w:rPr>
          <w:rFonts w:hint="eastAsia" w:hAnsi="宋体"/>
          <w:color w:val="000000" w:themeColor="text1"/>
          <w:highlight w:val="none"/>
          <w:u w:val="single"/>
          <w14:textFill>
            <w14:solidFill>
              <w14:schemeClr w14:val="tx1"/>
            </w14:solidFill>
          </w14:textFill>
        </w:rPr>
        <w:t>…</w:t>
      </w:r>
      <w:r>
        <w:rPr>
          <w:rFonts w:hint="eastAsia" w:hAnsi="宋体"/>
          <w:color w:val="000000" w:themeColor="text1"/>
          <w:highlight w:val="none"/>
          <w14:textFill>
            <w14:solidFill>
              <w14:schemeClr w14:val="tx1"/>
            </w14:solidFill>
          </w14:textFill>
        </w:rPr>
        <w:t>。</w:t>
      </w:r>
    </w:p>
    <w:p>
      <w:pPr>
        <w:spacing w:line="500" w:lineRule="exact"/>
        <w:ind w:firstLine="480" w:firstLineChars="200"/>
        <w:outlineLvl w:val="1"/>
        <w:rPr>
          <w:rFonts w:ascii="宋体" w:hAnsi="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ascii="宋体" w:hAnsi="宋体" w:eastAsia="宋体" w:cs="宋体"/>
          <w:color w:val="000000" w:themeColor="text1"/>
          <w:sz w:val="24"/>
          <w:highlight w:val="none"/>
          <w14:textFill>
            <w14:solidFill>
              <w14:schemeClr w14:val="tx1"/>
            </w14:solidFill>
          </w14:textFill>
        </w:rPr>
        <w:t>合同履约完毕</w:t>
      </w:r>
      <w:r>
        <w:rPr>
          <w:rFonts w:hint="eastAsia" w:ascii="宋体" w:hAnsi="宋体" w:eastAsia="宋体" w:cs="宋体"/>
          <w:color w:val="000000" w:themeColor="text1"/>
          <w:sz w:val="24"/>
          <w:highlight w:val="none"/>
          <w14:textFill>
            <w14:solidFill>
              <w14:schemeClr w14:val="tx1"/>
            </w14:solidFill>
          </w14:textFill>
        </w:rPr>
        <w:t>并经甲方验收合格后</w:t>
      </w:r>
      <w:r>
        <w:rPr>
          <w:rFonts w:ascii="宋体" w:hAnsi="宋体" w:eastAsia="宋体" w:cs="宋体"/>
          <w:color w:val="000000" w:themeColor="text1"/>
          <w:sz w:val="24"/>
          <w:highlight w:val="none"/>
          <w14:textFill>
            <w14:solidFill>
              <w14:schemeClr w14:val="tx1"/>
            </w14:solidFill>
          </w14:textFill>
        </w:rPr>
        <w:t>5日内</w:t>
      </w:r>
      <w:r>
        <w:rPr>
          <w:rFonts w:hint="eastAsia" w:ascii="宋体" w:hAnsi="宋体" w:eastAsia="宋体" w:cs="宋体"/>
          <w:color w:val="000000" w:themeColor="text1"/>
          <w:sz w:val="24"/>
          <w:highlight w:val="none"/>
          <w14:textFill>
            <w14:solidFill>
              <w14:schemeClr w14:val="tx1"/>
            </w14:solidFill>
          </w14:textFill>
        </w:rPr>
        <w:t>，乙方提交工作总结报告。经甲方或甲方委托有资质第三方机构结算审核后，由乙方提交申请支付资料及等额发票后</w:t>
      </w:r>
      <w:r>
        <w:rPr>
          <w:rFonts w:ascii="宋体" w:hAnsi="宋体" w:eastAsia="宋体" w:cs="宋体"/>
          <w:color w:val="000000" w:themeColor="text1"/>
          <w:sz w:val="24"/>
          <w:highlight w:val="none"/>
          <w:u w:val="single"/>
          <w14:textFill>
            <w14:solidFill>
              <w14:schemeClr w14:val="tx1"/>
            </w14:solidFill>
          </w14:textFill>
        </w:rPr>
        <w:t xml:space="preserve"> 15 </w:t>
      </w:r>
      <w:r>
        <w:rPr>
          <w:rFonts w:hint="eastAsia" w:ascii="宋体" w:hAnsi="宋体" w:eastAsia="宋体" w:cs="宋体"/>
          <w:color w:val="000000" w:themeColor="text1"/>
          <w:sz w:val="24"/>
          <w:highlight w:val="none"/>
          <w14:textFill>
            <w14:solidFill>
              <w14:schemeClr w14:val="tx1"/>
            </w14:solidFill>
          </w14:textFill>
        </w:rPr>
        <w:t>个工作日内，甲方支付至合同结算价的</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100%</w:t>
      </w:r>
      <w:r>
        <w:rPr>
          <w:rFonts w:hint="eastAsia" w:ascii="宋体" w:hAnsi="宋体" w:cs="宋体"/>
          <w:color w:val="000000" w:themeColor="text1"/>
          <w:sz w:val="24"/>
          <w:highlight w:val="none"/>
          <w:u w:val="single"/>
          <w14:textFill>
            <w14:solidFill>
              <w14:schemeClr w14:val="tx1"/>
            </w14:solidFill>
          </w14:textFill>
        </w:rPr>
        <w:t>。</w:t>
      </w:r>
    </w:p>
    <w:p>
      <w:pPr>
        <w:spacing w:line="500" w:lineRule="exact"/>
        <w:ind w:firstLine="5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乙方收款账户：</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pPr>
        <w:spacing w:line="500" w:lineRule="exact"/>
        <w:ind w:firstLine="840" w:firstLineChars="3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收款账号：</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pPr>
        <w:spacing w:line="500" w:lineRule="exact"/>
        <w:ind w:firstLine="840" w:firstLineChars="3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开户行：</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乙方在收款前需提交等额增值税专用发票给甲方。</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增值税专用发票信息：</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 xml:space="preserve">                            </w:t>
      </w:r>
    </w:p>
    <w:p>
      <w:pPr>
        <w:spacing w:line="500" w:lineRule="exact"/>
        <w:ind w:firstLine="480" w:firstLineChars="20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履约担保：</w:t>
      </w:r>
      <w:r>
        <w:rPr>
          <w:rFonts w:ascii="宋体" w:hAnsi="宋体" w:eastAsia="宋体" w:cs="宋体"/>
          <w:bCs/>
          <w:color w:val="000000" w:themeColor="text1"/>
          <w:sz w:val="24"/>
          <w:highlight w:val="none"/>
          <w14:textFill>
            <w14:solidFill>
              <w14:schemeClr w14:val="tx1"/>
            </w14:solidFill>
          </w14:textFill>
        </w:rPr>
        <w:sym w:font="Wingdings" w:char="00FE"/>
      </w:r>
      <w:r>
        <w:rPr>
          <w:rFonts w:hint="eastAsia" w:ascii="宋体" w:hAnsi="宋体" w:eastAsia="宋体" w:cs="宋体"/>
          <w:bCs/>
          <w:color w:val="000000" w:themeColor="text1"/>
          <w:sz w:val="24"/>
          <w:highlight w:val="none"/>
          <w14:textFill>
            <w14:solidFill>
              <w14:schemeClr w14:val="tx1"/>
            </w14:solidFill>
          </w14:textFill>
        </w:rPr>
        <w:t>无</w:t>
      </w: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□有，乙方于本合同签订后</w:t>
      </w:r>
      <w:r>
        <w:rPr>
          <w:rFonts w:hint="eastAsia" w:ascii="宋体" w:hAnsi="宋体" w:cs="宋体"/>
          <w:color w:val="000000" w:themeColor="text1"/>
          <w:sz w:val="24"/>
          <w:highlight w:val="none"/>
          <w:u w:val="single"/>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日内按照</w:t>
      </w:r>
      <w:r>
        <w:rPr>
          <w:rFonts w:hint="eastAsia" w:ascii="宋体" w:hAnsi="宋体" w:cs="宋体"/>
          <w:color w:val="000000" w:themeColor="text1"/>
          <w:sz w:val="24"/>
          <w:highlight w:val="none"/>
          <w:u w:val="single"/>
          <w14:textFill>
            <w14:solidFill>
              <w14:schemeClr w14:val="tx1"/>
            </w14:solidFill>
          </w14:textFill>
        </w:rPr>
        <w:t>合同暂定总价的10%提供履约保证金，</w:t>
      </w:r>
      <w:r>
        <w:rPr>
          <w:rFonts w:hint="eastAsia" w:ascii="宋体" w:hAnsi="宋体" w:cs="宋体"/>
          <w:color w:val="000000" w:themeColor="text1"/>
          <w:sz w:val="24"/>
          <w:highlight w:val="none"/>
          <w14:textFill>
            <w14:solidFill>
              <w14:schemeClr w14:val="tx1"/>
            </w14:solidFill>
          </w14:textFill>
        </w:rPr>
        <w:t>金额：</w:t>
      </w:r>
      <w:r>
        <w:rPr>
          <w:rFonts w:hint="eastAsia" w:ascii="宋体" w:hAnsi="宋体" w:cs="宋体"/>
          <w:color w:val="000000" w:themeColor="text1"/>
          <w:sz w:val="24"/>
          <w:highlight w:val="none"/>
          <w:u w:val="single"/>
          <w14:textFill>
            <w14:solidFill>
              <w14:schemeClr w14:val="tx1"/>
            </w14:solidFill>
          </w14:textFill>
        </w:rPr>
        <w:t>…（大写人民币：…），</w:t>
      </w:r>
      <w:r>
        <w:rPr>
          <w:rFonts w:hint="eastAsia" w:ascii="宋体" w:hAnsi="宋体" w:cs="宋体"/>
          <w:color w:val="000000" w:themeColor="text1"/>
          <w:sz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highlight w:val="none"/>
          <w:u w:val="single"/>
          <w14:textFill>
            <w14:solidFill>
              <w14:schemeClr w14:val="tx1"/>
            </w14:solidFill>
          </w14:textFill>
        </w:rPr>
        <w:t>合同暂定总价20%</w:t>
      </w:r>
      <w:r>
        <w:rPr>
          <w:rFonts w:hint="eastAsia" w:ascii="宋体" w:hAnsi="宋体" w:cs="宋体"/>
          <w:color w:val="000000" w:themeColor="text1"/>
          <w:sz w:val="24"/>
          <w:highlight w:val="none"/>
          <w14:textFill>
            <w14:solidFill>
              <w14:schemeClr w14:val="tx1"/>
            </w14:solidFill>
          </w14:textFill>
        </w:rPr>
        <w:t>作为违约金。</w:t>
      </w:r>
    </w:p>
    <w:p>
      <w:pPr>
        <w:pStyle w:val="23"/>
        <w:spacing w:before="156" w:beforeAutospacing="0" w:after="156" w:afterAutospacing="0" w:line="50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w:t>
      </w:r>
      <w:r>
        <w:rPr>
          <w:rFonts w:hint="eastAsia" w:cs="宋体"/>
          <w:color w:val="000000" w:themeColor="text1"/>
          <w:highlight w:val="none"/>
          <w:lang w:val="en-US" w:eastAsia="zh-CN"/>
          <w14:textFill>
            <w14:solidFill>
              <w14:schemeClr w14:val="tx1"/>
            </w14:solidFill>
          </w14:textFill>
        </w:rPr>
        <w:t>9</w:t>
      </w:r>
      <w:r>
        <w:rPr>
          <w:rFonts w:hint="eastAsia" w:cs="宋体"/>
          <w:color w:val="000000" w:themeColor="text1"/>
          <w:highlight w:val="none"/>
          <w14:textFill>
            <w14:solidFill>
              <w14:schemeClr w14:val="tx1"/>
            </w14:solidFill>
          </w14:textFill>
        </w:rPr>
        <w:t>.1履约担保按以下任一种形式提供：</w:t>
      </w:r>
    </w:p>
    <w:p>
      <w:pPr>
        <w:pStyle w:val="23"/>
        <w:spacing w:before="156" w:beforeAutospacing="0" w:after="156" w:afterAutospacing="0" w:line="5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（1）符合甲方要求（详见附件8保函格式）的银行独立保函，</w:t>
      </w:r>
    </w:p>
    <w:p>
      <w:pPr>
        <w:pStyle w:val="23"/>
        <w:spacing w:before="156" w:beforeAutospacing="0" w:after="156" w:afterAutospacing="0" w:line="5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户名：广州市净水有限公司</w:t>
      </w:r>
    </w:p>
    <w:p>
      <w:pPr>
        <w:tabs>
          <w:tab w:val="left" w:pos="1995"/>
        </w:tabs>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账号：82010154900000342</w:t>
      </w:r>
    </w:p>
    <w:p>
      <w:pPr>
        <w:tabs>
          <w:tab w:val="left" w:pos="1995"/>
        </w:tabs>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开户行：浦发银行广州分行</w:t>
      </w:r>
    </w:p>
    <w:p>
      <w:pPr>
        <w:spacing w:line="500" w:lineRule="exact"/>
        <w:ind w:firstLine="480" w:firstLineChars="20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.2履约担保的担保期限和返还</w:t>
      </w:r>
    </w:p>
    <w:p>
      <w:pPr>
        <w:spacing w:line="500" w:lineRule="exact"/>
        <w:ind w:firstLine="48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⑵ 履约银行保函在合同履行完成后，由乙方提出申请，甲方在28日内返还，不支付利息： </w:t>
      </w:r>
    </w:p>
    <w:p>
      <w:pPr>
        <w:spacing w:line="500" w:lineRule="exact"/>
        <w:ind w:firstLine="600" w:firstLineChars="25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highlight w:val="none"/>
          <w:u w:val="single"/>
          <w14:textFill>
            <w14:solidFill>
              <w14:schemeClr w14:val="tx1"/>
            </w14:solidFill>
          </w14:textFill>
        </w:rPr>
        <w:t xml:space="preserve"> 7 </w:t>
      </w:r>
      <w:r>
        <w:rPr>
          <w:rFonts w:hint="eastAsia" w:ascii="宋体" w:hAnsi="宋体" w:cs="宋体"/>
          <w:color w:val="000000" w:themeColor="text1"/>
          <w:sz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2"/>
        <w:rPr>
          <w:rFonts w:hint="eastAsia"/>
          <w:highlight w:val="none"/>
        </w:rPr>
      </w:pPr>
    </w:p>
    <w:p>
      <w:pPr>
        <w:pStyle w:val="23"/>
        <w:spacing w:before="156" w:beforeAutospacing="0" w:after="156" w:afterAutospacing="0" w:line="500" w:lineRule="exact"/>
        <w:ind w:left="199" w:leftChars="95" w:firstLine="360" w:firstLineChars="15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.3甲方按本合同规定提取履约担保金额后，乙方应在收到甲方通知后</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付款方式：</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highlight w:val="none"/>
          <w14:textFill>
            <w14:solidFill>
              <w14:schemeClr w14:val="tx1"/>
            </w14:solidFill>
          </w14:textFill>
        </w:rPr>
        <w:t xml:space="preserve">网银支付；  </w:t>
      </w:r>
      <w:r>
        <w:rPr>
          <w:rFonts w:hint="eastAsia" w:ascii="宋体" w:hAnsi="宋体" w:cs="宋体"/>
          <w:color w:val="000000" w:themeColor="text1"/>
          <w:sz w:val="24"/>
          <w:highlight w:val="none"/>
          <w14:textFill>
            <w14:solidFill>
              <w14:schemeClr w14:val="tx1"/>
            </w14:solidFill>
          </w14:textFill>
        </w:rPr>
        <w:sym w:font="Wingdings" w:char="00A8"/>
      </w:r>
      <w:r>
        <w:rPr>
          <w:rFonts w:hint="eastAsia" w:ascii="宋体" w:hAnsi="宋体" w:cs="宋体"/>
          <w:color w:val="000000" w:themeColor="text1"/>
          <w:sz w:val="24"/>
          <w:highlight w:val="none"/>
          <w14:textFill>
            <w14:solidFill>
              <w14:schemeClr w14:val="tx1"/>
            </w14:solidFill>
          </w14:textFill>
        </w:rPr>
        <w:t xml:space="preserve">支票；   </w:t>
      </w:r>
      <w:r>
        <w:rPr>
          <w:rFonts w:hint="eastAsia" w:ascii="宋体" w:hAnsi="宋体" w:cs="宋体"/>
          <w:color w:val="000000" w:themeColor="text1"/>
          <w:sz w:val="24"/>
          <w:highlight w:val="none"/>
          <w14:textFill>
            <w14:solidFill>
              <w14:schemeClr w14:val="tx1"/>
            </w14:solidFill>
          </w14:textFill>
        </w:rPr>
        <w:sym w:font="Wingdings" w:char="00A8"/>
      </w:r>
      <w:r>
        <w:rPr>
          <w:rFonts w:hint="eastAsia" w:ascii="宋体" w:hAnsi="宋体" w:cs="宋体"/>
          <w:color w:val="000000" w:themeColor="text1"/>
          <w:sz w:val="24"/>
          <w:highlight w:val="none"/>
          <w14:textFill>
            <w14:solidFill>
              <w14:schemeClr w14:val="tx1"/>
            </w14:solidFill>
          </w14:textFill>
        </w:rPr>
        <w:t>其他：</w:t>
      </w:r>
      <w:r>
        <w:rPr>
          <w:rFonts w:hint="eastAsia" w:ascii="宋体" w:hAnsi="宋体" w:cs="宋体"/>
          <w:color w:val="000000" w:themeColor="text1"/>
          <w:sz w:val="24"/>
          <w:highlight w:val="none"/>
          <w:u w:val="single"/>
          <w14:textFill>
            <w14:solidFill>
              <w14:schemeClr w14:val="tx1"/>
            </w14:solidFill>
          </w14:textFill>
        </w:rPr>
        <w:t xml:space="preserve"> … </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（建议采用网银支付、支票两种形式中之一）</w:t>
      </w:r>
    </w:p>
    <w:p>
      <w:pPr>
        <w:spacing w:line="50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结算价超过合同暂定总价时，暂停合同的工程款支付程序，签订补充协议后支付。</w:t>
      </w:r>
    </w:p>
    <w:p>
      <w:pPr>
        <w:spacing w:line="500" w:lineRule="exact"/>
        <w:ind w:firstLine="562"/>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六、双方责任</w:t>
      </w:r>
    </w:p>
    <w:p>
      <w:pPr>
        <w:pStyle w:val="51"/>
        <w:spacing w:line="500" w:lineRule="exact"/>
        <w:ind w:firstLineChars="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6.1</w:t>
      </w:r>
      <w:r>
        <w:rPr>
          <w:rFonts w:hint="eastAsia" w:ascii="宋体" w:hAnsi="宋体"/>
          <w:color w:val="000000" w:themeColor="text1"/>
          <w:sz w:val="24"/>
          <w:szCs w:val="24"/>
          <w:highlight w:val="none"/>
          <w14:textFill>
            <w14:solidFill>
              <w14:schemeClr w14:val="tx1"/>
            </w14:solidFill>
          </w14:textFill>
        </w:rPr>
        <w:t>乙方不得传播公司内部网络、服务器、应用系统等有关的资料。</w:t>
      </w:r>
    </w:p>
    <w:p>
      <w:pPr>
        <w:spacing w:line="500" w:lineRule="exact"/>
        <w:ind w:left="5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6.2乙方履行合同时，应严格遵守国家法律法规和甲方相关的各项规章制</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度，服从甲方管理指挥。乙方不按规范作业或者乙方原因造成的财产损失、人员伤亡，由乙方自行承担责任。</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6.4</w:t>
      </w:r>
      <w:r>
        <w:rPr>
          <w:rFonts w:hint="eastAsia" w:ascii="宋体" w:hAnsi="宋体"/>
          <w:color w:val="000000" w:themeColor="text1"/>
          <w:sz w:val="24"/>
          <w:highlight w:val="none"/>
          <w14:textFill>
            <w14:solidFill>
              <w14:schemeClr w14:val="tx1"/>
            </w14:solidFill>
          </w14:textFill>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6.5</w:t>
      </w:r>
      <w:r>
        <w:rPr>
          <w:rFonts w:hint="eastAsia" w:ascii="宋体" w:hAnsi="宋体"/>
          <w:color w:val="000000" w:themeColor="text1"/>
          <w:sz w:val="24"/>
          <w:highlight w:val="none"/>
          <w14:textFill>
            <w14:solidFill>
              <w14:schemeClr w14:val="tx1"/>
            </w14:solidFill>
          </w14:textFill>
        </w:rPr>
        <w:t xml:space="preserve">乙方严禁擅自安装、拆卸、调整、挪动任何设备。 </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sz w:val="24"/>
          <w:highlight w:val="none"/>
          <w:u w:val="single"/>
        </w:rPr>
      </w:pPr>
      <w:r>
        <w:rPr>
          <w:rFonts w:ascii="宋体" w:hAnsi="宋体"/>
          <w:sz w:val="24"/>
          <w:highlight w:val="none"/>
        </w:rPr>
        <w:t>6.7</w:t>
      </w:r>
      <w:r>
        <w:rPr>
          <w:rFonts w:hint="eastAsia" w:ascii="宋体" w:hAnsi="宋体" w:cs="宋体"/>
          <w:sz w:val="24"/>
          <w:highlight w:val="none"/>
        </w:rPr>
        <w:t>驻场服务：</w:t>
      </w:r>
      <w:r>
        <w:rPr>
          <w:rFonts w:hint="eastAsia" w:ascii="宋体" w:hAnsi="宋体" w:cs="宋体"/>
          <w:sz w:val="24"/>
          <w:szCs w:val="24"/>
          <w:highlight w:val="none"/>
          <w:u w:val="single"/>
        </w:rPr>
        <w:t xml:space="preserve"> /。</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6.8乙方应及时做好软件、数据备份，防止数据丢失。</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6.9甲方发现故障时及时通知乙方，乙方在收到通知</w:t>
      </w:r>
      <w:r>
        <w:rPr>
          <w:rFonts w:ascii="宋体" w:hAnsi="宋体"/>
          <w:color w:val="000000" w:themeColor="text1"/>
          <w:sz w:val="24"/>
          <w:highlight w:val="none"/>
          <w:u w:val="single"/>
          <w14:textFill>
            <w14:solidFill>
              <w14:schemeClr w14:val="tx1"/>
            </w14:solidFill>
          </w14:textFill>
        </w:rPr>
        <w:t xml:space="preserve"> 4</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小时内提供维护，并排除故障。</w:t>
      </w:r>
      <w:r>
        <w:rPr>
          <w:rFonts w:hint="eastAsia" w:ascii="宋体" w:hAnsi="宋体"/>
          <w:color w:val="000000" w:themeColor="text1"/>
          <w:sz w:val="24"/>
          <w:highlight w:val="none"/>
          <w14:textFill>
            <w14:solidFill>
              <w14:schemeClr w14:val="tx1"/>
            </w14:solidFill>
          </w14:textFill>
        </w:rPr>
        <w:t>如现场无法解决的，应同步出具应急方案，并配合甲方启动应急方案，确保甲方软件</w:t>
      </w:r>
      <w:r>
        <w:rPr>
          <w:rFonts w:hint="eastAsia" w:ascii="宋体" w:hAnsi="宋体"/>
          <w:color w:val="000000" w:themeColor="text1"/>
          <w:sz w:val="24"/>
          <w:highlight w:val="none"/>
          <w:lang w:val="en-US" w:eastAsia="zh-CN"/>
          <w14:textFill>
            <w14:solidFill>
              <w14:schemeClr w14:val="tx1"/>
            </w14:solidFill>
          </w14:textFill>
        </w:rPr>
        <w:t>系统、</w:t>
      </w:r>
      <w:r>
        <w:rPr>
          <w:rFonts w:hint="eastAsia" w:ascii="宋体" w:hAnsi="宋体"/>
          <w:color w:val="000000" w:themeColor="text1"/>
          <w:sz w:val="24"/>
          <w:highlight w:val="none"/>
          <w14:textFill>
            <w14:solidFill>
              <w14:schemeClr w14:val="tx1"/>
            </w14:solidFill>
          </w14:textFill>
        </w:rPr>
        <w:t>数据</w:t>
      </w:r>
      <w:r>
        <w:rPr>
          <w:rFonts w:hint="eastAsia" w:ascii="宋体" w:hAnsi="宋体"/>
          <w:color w:val="000000" w:themeColor="text1"/>
          <w:sz w:val="24"/>
          <w:highlight w:val="none"/>
          <w:lang w:val="en-US" w:eastAsia="zh-CN"/>
          <w14:textFill>
            <w14:solidFill>
              <w14:schemeClr w14:val="tx1"/>
            </w14:solidFill>
          </w14:textFill>
        </w:rPr>
        <w:t>传输</w:t>
      </w:r>
      <w:r>
        <w:rPr>
          <w:rFonts w:hint="eastAsia" w:ascii="宋体" w:hAnsi="宋体"/>
          <w:color w:val="000000" w:themeColor="text1"/>
          <w:sz w:val="24"/>
          <w:highlight w:val="none"/>
          <w14:textFill>
            <w14:solidFill>
              <w14:schemeClr w14:val="tx1"/>
            </w14:solidFill>
          </w14:textFill>
        </w:rPr>
        <w:t>正常运行。</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6.10甲方保证所涉及的</w:t>
      </w:r>
      <w:r>
        <w:rPr>
          <w:rFonts w:hint="eastAsia" w:ascii="宋体" w:hAnsi="宋体"/>
          <w:color w:val="000000" w:themeColor="text1"/>
          <w:sz w:val="24"/>
          <w:highlight w:val="none"/>
          <w:u w:val="single"/>
          <w14:textFill>
            <w14:solidFill>
              <w14:schemeClr w14:val="tx1"/>
            </w14:solidFill>
          </w14:textFill>
        </w:rPr>
        <w:t>系统或设备</w:t>
      </w:r>
      <w:r>
        <w:rPr>
          <w:rFonts w:hint="eastAsia" w:ascii="宋体" w:hAnsi="宋体"/>
          <w:color w:val="000000" w:themeColor="text1"/>
          <w:sz w:val="24"/>
          <w:highlight w:val="none"/>
          <w14:textFill>
            <w14:solidFill>
              <w14:schemeClr w14:val="tx1"/>
            </w14:solidFill>
          </w14:textFill>
        </w:rPr>
        <w:t>处于良好运行环境。</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6.11甲方对本合同所保修的</w:t>
      </w:r>
      <w:r>
        <w:rPr>
          <w:rFonts w:hint="eastAsia" w:ascii="宋体" w:hAnsi="宋体"/>
          <w:color w:val="000000" w:themeColor="text1"/>
          <w:sz w:val="24"/>
          <w:highlight w:val="none"/>
          <w:u w:val="single"/>
          <w14:textFill>
            <w14:solidFill>
              <w14:schemeClr w14:val="tx1"/>
            </w14:solidFill>
          </w14:textFill>
        </w:rPr>
        <w:t>系统或设备</w:t>
      </w:r>
      <w:r>
        <w:rPr>
          <w:rFonts w:hint="eastAsia" w:ascii="宋体" w:hAnsi="宋体"/>
          <w:color w:val="000000" w:themeColor="text1"/>
          <w:sz w:val="24"/>
          <w:highlight w:val="none"/>
          <w14:textFill>
            <w14:solidFill>
              <w14:schemeClr w14:val="tx1"/>
            </w14:solidFill>
          </w14:textFill>
        </w:rPr>
        <w:t>进行系统升级扩容等变更时，应及时通知乙方派工程师到场协助，便于乙方掌握设备变化情况。</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6.12乙方负责对甲方涉及</w:t>
      </w:r>
      <w:r>
        <w:rPr>
          <w:rFonts w:hint="eastAsia" w:ascii="宋体" w:hAnsi="宋体"/>
          <w:color w:val="000000" w:themeColor="text1"/>
          <w:sz w:val="24"/>
          <w:highlight w:val="none"/>
          <w:u w:val="single"/>
          <w14:textFill>
            <w14:solidFill>
              <w14:schemeClr w14:val="tx1"/>
            </w14:solidFill>
          </w14:textFill>
        </w:rPr>
        <w:t>系统</w:t>
      </w:r>
      <w:r>
        <w:rPr>
          <w:rFonts w:hint="eastAsia" w:ascii="宋体" w:hAnsi="宋体"/>
          <w:color w:val="000000" w:themeColor="text1"/>
          <w:sz w:val="24"/>
          <w:highlight w:val="none"/>
          <w14:textFill>
            <w14:solidFill>
              <w14:schemeClr w14:val="tx1"/>
            </w14:solidFill>
          </w14:textFill>
        </w:rPr>
        <w:t>管理技术人员进行</w:t>
      </w:r>
      <w:r>
        <w:rPr>
          <w:rFonts w:hint="eastAsia" w:ascii="宋体" w:hAnsi="宋体"/>
          <w:color w:val="000000" w:themeColor="text1"/>
          <w:sz w:val="24"/>
          <w:highlight w:val="none"/>
          <w:u w:val="single"/>
          <w14:textFill>
            <w14:solidFill>
              <w14:schemeClr w14:val="tx1"/>
            </w14:solidFill>
          </w14:textFill>
        </w:rPr>
        <w:t>系统</w:t>
      </w:r>
      <w:r>
        <w:rPr>
          <w:rFonts w:hint="eastAsia" w:ascii="宋体" w:hAnsi="宋体"/>
          <w:color w:val="000000" w:themeColor="text1"/>
          <w:sz w:val="24"/>
          <w:highlight w:val="none"/>
          <w14:textFill>
            <w14:solidFill>
              <w14:schemeClr w14:val="tx1"/>
            </w14:solidFill>
          </w14:textFill>
        </w:rPr>
        <w:t>使用方法的专项培训。</w:t>
      </w:r>
    </w:p>
    <w:p>
      <w:pPr>
        <w:spacing w:line="500" w:lineRule="exact"/>
        <w:ind w:firstLine="562"/>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七、违约责任</w:t>
      </w:r>
    </w:p>
    <w:p>
      <w:pPr>
        <w:spacing w:line="500" w:lineRule="exact"/>
        <w:ind w:firstLine="560"/>
        <w:rPr>
          <w:rFonts w:ascii="宋体" w:hAnsi="宋体" w:cs="宋体"/>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7.1</w:t>
      </w:r>
      <w:r>
        <w:rPr>
          <w:rFonts w:hint="eastAsia" w:ascii="宋体" w:hAnsi="宋体" w:cs="宋体"/>
          <w:bCs/>
          <w:color w:val="000000" w:themeColor="text1"/>
          <w:sz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cs="宋体"/>
          <w:bCs/>
          <w:color w:val="000000" w:themeColor="text1"/>
          <w:sz w:val="24"/>
          <w:highlight w:val="none"/>
          <w14:textFill>
            <w14:solidFill>
              <w14:schemeClr w14:val="tx1"/>
            </w14:solidFill>
          </w14:textFill>
        </w:rPr>
        <w:t>1日支付违约金人民币</w:t>
      </w:r>
      <w:r>
        <w:rPr>
          <w:rFonts w:ascii="宋体" w:hAnsi="宋体" w:cs="宋体"/>
          <w:bCs/>
          <w:color w:val="000000" w:themeColor="text1"/>
          <w:sz w:val="24"/>
          <w:highlight w:val="none"/>
          <w:u w:val="single"/>
          <w14:textFill>
            <w14:solidFill>
              <w14:schemeClr w14:val="tx1"/>
            </w14:solidFill>
          </w14:textFill>
        </w:rPr>
        <w:t>1万元</w:t>
      </w:r>
      <w:r>
        <w:rPr>
          <w:rFonts w:hint="eastAsia" w:ascii="宋体" w:hAnsi="宋体" w:cs="宋体"/>
          <w:bCs/>
          <w:color w:val="000000" w:themeColor="text1"/>
          <w:sz w:val="24"/>
          <w:highlight w:val="none"/>
          <w14:textFill>
            <w14:solidFill>
              <w14:schemeClr w14:val="tx1"/>
            </w14:solidFill>
          </w14:textFill>
        </w:rPr>
        <w:t>，超过</w:t>
      </w:r>
      <w:r>
        <w:rPr>
          <w:rFonts w:hint="eastAsia" w:ascii="宋体" w:hAnsi="宋体" w:cs="宋体"/>
          <w:bCs/>
          <w:color w:val="000000" w:themeColor="text1"/>
          <w:sz w:val="24"/>
          <w:highlight w:val="none"/>
          <w:u w:val="single"/>
          <w:lang w:val="en-US" w:eastAsia="zh-CN"/>
          <w14:textFill>
            <w14:solidFill>
              <w14:schemeClr w14:val="tx1"/>
            </w14:solidFill>
          </w14:textFill>
        </w:rPr>
        <w:t>7</w:t>
      </w:r>
      <w:r>
        <w:rPr>
          <w:rFonts w:hint="eastAsia" w:ascii="宋体" w:hAnsi="宋体" w:cs="宋体"/>
          <w:bCs/>
          <w:color w:val="000000" w:themeColor="text1"/>
          <w:sz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highlight w:val="none"/>
          <w:u w:val="single"/>
          <w14:textFill>
            <w14:solidFill>
              <w14:schemeClr w14:val="tx1"/>
            </w14:solidFill>
          </w14:textFill>
        </w:rPr>
        <w:t>合同暂定总价的</w:t>
      </w:r>
      <w:r>
        <w:rPr>
          <w:rFonts w:ascii="宋体" w:hAnsi="宋体" w:cs="宋体"/>
          <w:bCs/>
          <w:color w:val="000000" w:themeColor="text1"/>
          <w:sz w:val="24"/>
          <w:highlight w:val="none"/>
          <w:u w:val="single"/>
          <w14:textFill>
            <w14:solidFill>
              <w14:schemeClr w14:val="tx1"/>
            </w14:solidFill>
          </w14:textFill>
        </w:rPr>
        <w:t>20%</w:t>
      </w:r>
      <w:r>
        <w:rPr>
          <w:rFonts w:hint="eastAsia" w:ascii="宋体" w:hAnsi="宋体" w:cs="宋体"/>
          <w:bCs/>
          <w:color w:val="000000" w:themeColor="text1"/>
          <w:sz w:val="24"/>
          <w:highlight w:val="none"/>
          <w14:textFill>
            <w14:solidFill>
              <w14:schemeClr w14:val="tx1"/>
            </w14:solidFill>
          </w14:textFill>
        </w:rPr>
        <w:t>作为违约金，由此造成的责任及损失由乙方承担。</w:t>
      </w:r>
      <w:r>
        <w:rPr>
          <w:rFonts w:hint="eastAsia" w:ascii="宋体" w:hAnsi="宋体"/>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如合同另行约定违约责任，从其约定</w:t>
      </w:r>
      <w:r>
        <w:rPr>
          <w:rFonts w:hint="eastAsia" w:ascii="宋体" w:hAnsi="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w:t>
      </w: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7.2由于乙方原因造成甲方设备及其他硬件损坏，乙方按照损坏设备的原价赔偿并负责恢复设备使用。</w:t>
      </w: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7.3乙方未能及时处理故障，每延误故障处理1日，甲方有权要求乙方支付</w:t>
      </w:r>
      <w:r>
        <w:rPr>
          <w:rFonts w:hint="eastAsia" w:ascii="宋体" w:hAnsi="宋体"/>
          <w:color w:val="000000" w:themeColor="text1"/>
          <w:sz w:val="24"/>
          <w:highlight w:val="none"/>
          <w:u w:val="single"/>
          <w14:textFill>
            <w14:solidFill>
              <w14:schemeClr w14:val="tx1"/>
            </w14:solidFill>
          </w14:textFill>
        </w:rPr>
        <w:t xml:space="preserve">合同暂定总价的 </w:t>
      </w:r>
      <w:r>
        <w:rPr>
          <w:rFonts w:ascii="宋体" w:hAnsi="宋体" w:cs="Arial Unicode MS"/>
          <w:color w:val="000000" w:themeColor="text1"/>
          <w:sz w:val="24"/>
          <w:highlight w:val="none"/>
          <w:u w:val="single"/>
          <w14:textFill>
            <w14:solidFill>
              <w14:schemeClr w14:val="tx1"/>
            </w14:solidFill>
          </w14:textFill>
        </w:rPr>
        <w:t xml:space="preserve">10 </w:t>
      </w:r>
      <w:r>
        <w:rPr>
          <w:rFonts w:hint="eastAsia"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作为违约金。</w:t>
      </w: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7.4乙方无正当理由终止合同，双方按实际工作量结算后，乙方向甲方支付</w:t>
      </w:r>
      <w:r>
        <w:rPr>
          <w:rFonts w:hint="eastAsia" w:ascii="宋体" w:hAnsi="宋体"/>
          <w:color w:val="000000" w:themeColor="text1"/>
          <w:sz w:val="24"/>
          <w:highlight w:val="none"/>
          <w:u w:val="single"/>
          <w14:textFill>
            <w14:solidFill>
              <w14:schemeClr w14:val="tx1"/>
            </w14:solidFill>
          </w14:textFill>
        </w:rPr>
        <w:t>合同暂定总价的10%</w:t>
      </w:r>
      <w:r>
        <w:rPr>
          <w:rFonts w:hint="eastAsia" w:ascii="宋体" w:hAnsi="宋体"/>
          <w:color w:val="000000" w:themeColor="text1"/>
          <w:sz w:val="24"/>
          <w:highlight w:val="none"/>
          <w14:textFill>
            <w14:solidFill>
              <w14:schemeClr w14:val="tx1"/>
            </w14:solidFill>
          </w14:textFill>
        </w:rPr>
        <w:t>作为违约金。</w:t>
      </w: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7.5甲方无正当理由终止合同，双方按实际工作量结算后，甲方向乙方支付</w:t>
      </w:r>
      <w:r>
        <w:rPr>
          <w:rFonts w:hint="eastAsia" w:ascii="宋体" w:hAnsi="宋体"/>
          <w:color w:val="000000" w:themeColor="text1"/>
          <w:sz w:val="24"/>
          <w:highlight w:val="none"/>
          <w:u w:val="single"/>
          <w14:textFill>
            <w14:solidFill>
              <w14:schemeClr w14:val="tx1"/>
            </w14:solidFill>
          </w14:textFill>
        </w:rPr>
        <w:t>合同暂定总价的10%</w:t>
      </w:r>
      <w:r>
        <w:rPr>
          <w:rFonts w:hint="eastAsia" w:ascii="宋体" w:hAnsi="宋体"/>
          <w:color w:val="000000" w:themeColor="text1"/>
          <w:sz w:val="24"/>
          <w:highlight w:val="none"/>
          <w14:textFill>
            <w14:solidFill>
              <w14:schemeClr w14:val="tx1"/>
            </w14:solidFill>
          </w14:textFill>
        </w:rPr>
        <w:t>作为违约金。</w:t>
      </w:r>
    </w:p>
    <w:p>
      <w:pPr>
        <w:topLinePunct/>
        <w:spacing w:line="500" w:lineRule="exact"/>
        <w:ind w:firstLine="480" w:firstLineChars="200"/>
        <w:rPr>
          <w:rFonts w:hint="default" w:ascii="宋体" w:hAnsi="宋体" w:eastAsiaTheme="minorEastAsia"/>
          <w:color w:val="auto"/>
          <w:sz w:val="24"/>
          <w:highlight w:val="none"/>
          <w:lang w:val="en-US" w:eastAsia="zh-CN"/>
        </w:rPr>
      </w:pPr>
      <w:r>
        <w:rPr>
          <w:rFonts w:hint="eastAsia" w:ascii="宋体" w:hAnsi="宋体"/>
          <w:color w:val="auto"/>
          <w:sz w:val="24"/>
          <w:highlight w:val="none"/>
        </w:rPr>
        <w:t>7.6</w:t>
      </w:r>
      <w:r>
        <w:rPr>
          <w:rFonts w:hint="eastAsia" w:ascii="宋体" w:hAnsi="宋体"/>
          <w:color w:val="auto"/>
          <w:sz w:val="24"/>
          <w:highlight w:val="none"/>
          <w:lang w:val="en-US" w:eastAsia="zh-CN"/>
        </w:rPr>
        <w:t>因甲方业务调整或其他变化需终止合同，双方经协商同意后，按实际工作量结算，无需支付违约金。</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7.7因不可抗力因素引起合同不能按期履行，由双方另行协商解决。</w:t>
      </w:r>
    </w:p>
    <w:p>
      <w:pPr>
        <w:spacing w:before="156" w:beforeLines="50" w:after="156" w:afterLines="50" w:line="500" w:lineRule="exact"/>
        <w:ind w:firstLine="422" w:firstLineChars="175"/>
        <w:jc w:val="left"/>
        <w:rPr>
          <w:rFonts w:ascii="宋体" w:hAnsi="宋体" w:cs="宋体"/>
          <w:color w:val="000000" w:themeColor="text1"/>
          <w:sz w:val="24"/>
          <w:highlight w:val="none"/>
          <w14:textFill>
            <w14:solidFill>
              <w14:schemeClr w14:val="tx1"/>
            </w14:solidFill>
          </w14:textFill>
        </w:rPr>
      </w:pPr>
      <w:bookmarkStart w:id="98" w:name="_Toc107446862"/>
      <w:bookmarkStart w:id="99" w:name="_Toc19692"/>
      <w:bookmarkStart w:id="100" w:name="_Toc183666531"/>
      <w:bookmarkStart w:id="101" w:name="_Toc306350467"/>
      <w:bookmarkStart w:id="102" w:name="_Toc518993000"/>
      <w:bookmarkStart w:id="103" w:name="_Toc520190040"/>
      <w:bookmarkStart w:id="104" w:name="_Toc474245226"/>
      <w:bookmarkStart w:id="105" w:name="_Toc107447255"/>
      <w:r>
        <w:rPr>
          <w:rFonts w:hint="eastAsia" w:ascii="宋体" w:hAnsi="宋体" w:cs="宋体"/>
          <w:b/>
          <w:bCs/>
          <w:color w:val="000000" w:themeColor="text1"/>
          <w:sz w:val="24"/>
          <w:highlight w:val="none"/>
          <w14:textFill>
            <w14:solidFill>
              <w14:schemeClr w14:val="tx1"/>
            </w14:solidFill>
          </w14:textFill>
        </w:rPr>
        <w:t>八、不可抗力</w:t>
      </w:r>
      <w:bookmarkEnd w:id="98"/>
      <w:bookmarkEnd w:id="99"/>
      <w:bookmarkEnd w:id="100"/>
      <w:bookmarkEnd w:id="101"/>
      <w:bookmarkEnd w:id="102"/>
      <w:bookmarkEnd w:id="103"/>
      <w:bookmarkEnd w:id="104"/>
      <w:bookmarkEnd w:id="105"/>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bookmarkStart w:id="106" w:name="_Toc183666532"/>
      <w:bookmarkStart w:id="107" w:name="_Toc306350468"/>
      <w:bookmarkStart w:id="108" w:name="_Toc12010"/>
      <w:r>
        <w:rPr>
          <w:rFonts w:ascii="宋体" w:hAnsi="宋体" w:cs="宋体"/>
          <w:bCs/>
          <w:color w:val="000000" w:themeColor="text1"/>
          <w:sz w:val="24"/>
          <w:highlight w:val="none"/>
          <w14:textFill>
            <w14:solidFill>
              <w14:schemeClr w14:val="tx1"/>
            </w14:solidFill>
          </w14:textFill>
        </w:rPr>
        <w:t xml:space="preserve">8.1 </w:t>
      </w:r>
      <w:r>
        <w:rPr>
          <w:rFonts w:hint="eastAsia" w:ascii="宋体" w:hAnsi="宋体" w:cs="宋体"/>
          <w:bCs/>
          <w:color w:val="000000" w:themeColor="text1"/>
          <w:sz w:val="24"/>
          <w:highlight w:val="none"/>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⑴</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⑵</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8.2 </w:t>
      </w:r>
      <w:r>
        <w:rPr>
          <w:rFonts w:hint="eastAsia" w:ascii="宋体" w:hAnsi="宋体" w:cs="宋体"/>
          <w:bCs/>
          <w:color w:val="000000" w:themeColor="text1"/>
          <w:sz w:val="24"/>
          <w:highlight w:val="none"/>
          <w14:textFill>
            <w14:solidFill>
              <w14:schemeClr w14:val="tx1"/>
            </w14:solidFill>
          </w14:textFill>
        </w:rPr>
        <w:t>声称受到不可抗力影响的一方，应在发生不可抗力或知道发生不可抗力之后</w:t>
      </w:r>
      <w:r>
        <w:rPr>
          <w:rFonts w:ascii="宋体" w:hAnsi="宋体" w:cs="宋体"/>
          <w:bCs/>
          <w:color w:val="000000" w:themeColor="text1"/>
          <w:sz w:val="24"/>
          <w:highlight w:val="none"/>
          <w14:textFill>
            <w14:solidFill>
              <w14:schemeClr w14:val="tx1"/>
            </w14:solidFill>
          </w14:textFill>
        </w:rPr>
        <w:t>5日内书面通知另一方，详细描述不可抗力的发生情况和对该方履行在本合同项</w:t>
      </w:r>
      <w:r>
        <w:rPr>
          <w:rFonts w:hint="eastAsia" w:ascii="宋体" w:hAnsi="宋体" w:cs="宋体"/>
          <w:bCs/>
          <w:color w:val="000000" w:themeColor="text1"/>
          <w:sz w:val="24"/>
          <w:highlight w:val="none"/>
          <w14:textFill>
            <w14:solidFill>
              <w14:schemeClr w14:val="tx1"/>
            </w14:solidFill>
          </w14:textFill>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8.4 </w:t>
      </w:r>
      <w:r>
        <w:rPr>
          <w:rFonts w:hint="eastAsia" w:ascii="宋体" w:hAnsi="宋体" w:cs="宋体"/>
          <w:bCs/>
          <w:color w:val="000000" w:themeColor="text1"/>
          <w:sz w:val="24"/>
          <w:highlight w:val="none"/>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09" w:name="_Toc107446864"/>
      <w:bookmarkStart w:id="110" w:name="_Toc107447257"/>
      <w:bookmarkStart w:id="111" w:name="_Toc520190041"/>
      <w:bookmarkStart w:id="112" w:name="_Toc518993001"/>
      <w:bookmarkStart w:id="113" w:name="_Toc118172294"/>
      <w:bookmarkStart w:id="114" w:name="_Toc474245227"/>
    </w:p>
    <w:p>
      <w:pPr>
        <w:spacing w:before="156" w:beforeLines="50" w:after="156" w:afterLines="50" w:line="500" w:lineRule="exact"/>
        <w:ind w:firstLine="482"/>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九、</w:t>
      </w:r>
      <w:r>
        <w:rPr>
          <w:rFonts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争议解决</w:t>
      </w:r>
      <w:bookmarkEnd w:id="106"/>
      <w:bookmarkEnd w:id="107"/>
      <w:bookmarkEnd w:id="108"/>
      <w:bookmarkEnd w:id="109"/>
      <w:bookmarkEnd w:id="110"/>
      <w:bookmarkEnd w:id="111"/>
      <w:bookmarkEnd w:id="112"/>
      <w:bookmarkEnd w:id="113"/>
      <w:bookmarkEnd w:id="114"/>
    </w:p>
    <w:p>
      <w:pPr>
        <w:spacing w:line="500" w:lineRule="exact"/>
        <w:ind w:firstLine="482"/>
        <w:rPr>
          <w:rFonts w:ascii="宋体" w:hAnsi="宋体" w:cs="宋体"/>
          <w:bCs/>
          <w:color w:val="000000" w:themeColor="text1"/>
          <w:sz w:val="24"/>
          <w:highlight w:val="none"/>
          <w14:textFill>
            <w14:solidFill>
              <w14:schemeClr w14:val="tx1"/>
            </w14:solidFill>
          </w14:textFill>
        </w:rPr>
      </w:pPr>
      <w:bookmarkStart w:id="115" w:name="_Toc183666533"/>
      <w:bookmarkStart w:id="116" w:name="_Toc306350469"/>
      <w:r>
        <w:rPr>
          <w:rFonts w:ascii="宋体" w:hAnsi="宋体" w:cs="宋体"/>
          <w:bCs/>
          <w:color w:val="000000" w:themeColor="text1"/>
          <w:sz w:val="24"/>
          <w:highlight w:val="none"/>
          <w14:textFill>
            <w14:solidFill>
              <w14:schemeClr w14:val="tx1"/>
            </w14:solidFill>
          </w14:textFill>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9.2 </w:t>
      </w:r>
      <w:r>
        <w:rPr>
          <w:rFonts w:hint="eastAsia" w:ascii="宋体" w:hAnsi="宋体" w:cs="宋体"/>
          <w:color w:val="000000" w:themeColor="text1"/>
          <w:sz w:val="24"/>
          <w:highlight w:val="none"/>
          <w14:textFill>
            <w14:solidFill>
              <w14:schemeClr w14:val="tx1"/>
            </w14:solidFill>
          </w14:textFill>
        </w:rPr>
        <w:t>在甲方同意的情况下，除有争端之外的合同其它部分在争端解决前应继续执行。</w:t>
      </w:r>
      <w:bookmarkEnd w:id="115"/>
      <w:bookmarkEnd w:id="116"/>
      <w:bookmarkStart w:id="117" w:name="_Toc518993003"/>
      <w:bookmarkStart w:id="118" w:name="_Toc520190043"/>
      <w:bookmarkStart w:id="119" w:name="_Toc474245229"/>
    </w:p>
    <w:p>
      <w:pPr>
        <w:spacing w:line="500" w:lineRule="exact"/>
        <w:ind w:firstLine="482"/>
        <w:jc w:val="left"/>
        <w:rPr>
          <w:rFonts w:ascii="宋体" w:hAnsi="宋体" w:cs="宋体"/>
          <w:b/>
          <w:bCs/>
          <w:color w:val="000000" w:themeColor="text1"/>
          <w:sz w:val="24"/>
          <w:highlight w:val="none"/>
          <w14:textFill>
            <w14:solidFill>
              <w14:schemeClr w14:val="tx1"/>
            </w14:solidFill>
          </w14:textFill>
        </w:rPr>
      </w:pPr>
      <w:bookmarkStart w:id="120" w:name="_Toc107447264"/>
      <w:bookmarkStart w:id="121" w:name="_Toc107446871"/>
      <w:r>
        <w:rPr>
          <w:rFonts w:hint="eastAsia" w:ascii="宋体" w:hAnsi="宋体" w:cs="宋体"/>
          <w:b/>
          <w:bCs/>
          <w:color w:val="000000" w:themeColor="text1"/>
          <w:sz w:val="24"/>
          <w:highlight w:val="none"/>
          <w14:textFill>
            <w14:solidFill>
              <w14:schemeClr w14:val="tx1"/>
            </w14:solidFill>
          </w14:textFill>
        </w:rPr>
        <w:t>十、合同生效及其他</w:t>
      </w:r>
      <w:bookmarkEnd w:id="117"/>
      <w:bookmarkEnd w:id="118"/>
      <w:bookmarkEnd w:id="119"/>
      <w:bookmarkEnd w:id="120"/>
      <w:bookmarkEnd w:id="121"/>
    </w:p>
    <w:p>
      <w:pPr>
        <w:spacing w:line="500" w:lineRule="exact"/>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10.1本合同经双方法定代表人或授权代表签字并加盖双方公章后生效.</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10.2本合同正文一式</w:t>
      </w:r>
      <w:r>
        <w:rPr>
          <w:rFonts w:ascii="宋体" w:hAnsi="宋体" w:cs="宋体"/>
          <w:color w:val="000000" w:themeColor="text1"/>
          <w:sz w:val="24"/>
          <w:highlight w:val="none"/>
          <w:u w:val="single"/>
          <w14:textFill>
            <w14:solidFill>
              <w14:schemeClr w14:val="tx1"/>
            </w14:solidFill>
          </w14:textFill>
        </w:rPr>
        <w:t xml:space="preserve">  6 </w:t>
      </w:r>
      <w:r>
        <w:rPr>
          <w:rFonts w:ascii="宋体" w:hAnsi="宋体" w:cs="宋体"/>
          <w:color w:val="000000" w:themeColor="text1"/>
          <w:sz w:val="24"/>
          <w:highlight w:val="none"/>
          <w14:textFill>
            <w14:solidFill>
              <w14:schemeClr w14:val="tx1"/>
            </w14:solidFill>
          </w14:textFill>
        </w:rPr>
        <w:t xml:space="preserve"> 份，其中：甲方</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份，乙方</w:t>
      </w:r>
      <w:r>
        <w:rPr>
          <w:rFonts w:hint="eastAsia" w:ascii="宋体" w:hAnsi="宋体" w:cs="宋体"/>
          <w:color w:val="000000" w:themeColor="text1"/>
          <w:sz w:val="24"/>
          <w:highlight w:val="none"/>
          <w:u w:val="singl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份。</w:t>
      </w:r>
    </w:p>
    <w:p>
      <w:pPr>
        <w:spacing w:line="500" w:lineRule="exact"/>
        <w:ind w:firstLine="48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10.3</w:t>
      </w:r>
      <w:r>
        <w:rPr>
          <w:rFonts w:hint="eastAsia" w:ascii="宋体" w:hAnsi="宋体" w:cs="宋体"/>
          <w:color w:val="000000" w:themeColor="text1"/>
          <w:sz w:val="24"/>
          <w:highlight w:val="none"/>
          <w14:textFill>
            <w14:solidFill>
              <w14:schemeClr w14:val="tx1"/>
            </w14:solidFill>
          </w14:textFill>
        </w:rPr>
        <w:t>补</w:t>
      </w:r>
      <w:r>
        <w:rPr>
          <w:rFonts w:ascii="宋体" w:hAnsi="宋体" w:cs="宋体"/>
          <w:color w:val="000000" w:themeColor="text1"/>
          <w:sz w:val="24"/>
          <w:highlight w:val="none"/>
          <w14:textFill>
            <w14:solidFill>
              <w14:schemeClr w14:val="tx1"/>
            </w14:solidFill>
          </w14:textFill>
        </w:rPr>
        <w:t>充条款</w:t>
      </w:r>
      <w:r>
        <w:rPr>
          <w:rFonts w:hint="eastAsia" w:ascii="宋体" w:hAnsi="宋体" w:cs="宋体"/>
          <w:color w:val="000000" w:themeColor="text1"/>
          <w:sz w:val="24"/>
          <w:highlight w:val="none"/>
          <w:u w:val="single"/>
          <w14:textFill>
            <w14:solidFill>
              <w14:schemeClr w14:val="tx1"/>
            </w14:solidFill>
          </w14:textFill>
        </w:rPr>
        <w:t>：/。</w:t>
      </w:r>
    </w:p>
    <w:p>
      <w:pPr>
        <w:pStyle w:val="2"/>
        <w:rPr>
          <w:rFonts w:eastAsia="宋体" w:cs="宋体"/>
          <w:color w:val="000000" w:themeColor="text1"/>
          <w:highlight w:val="none"/>
          <w:u w:val="single"/>
          <w14:textFill>
            <w14:solidFill>
              <w14:schemeClr w14:val="tx1"/>
            </w14:solidFill>
          </w14:textFill>
        </w:rPr>
      </w:pP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w:t>
      </w: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bCs/>
          <w:color w:val="000000" w:themeColor="text1"/>
          <w:sz w:val="24"/>
          <w:highlight w:val="none"/>
          <w14:textFill>
            <w14:solidFill>
              <w14:schemeClr w14:val="tx1"/>
            </w14:solidFill>
          </w14:textFill>
        </w:rPr>
        <w:t>中标通知书/发包通知书/成交通知书/委托函；</w:t>
      </w:r>
      <w:r>
        <w:rPr>
          <w:rFonts w:hint="eastAsia" w:ascii="宋体" w:hAnsi="宋体" w:cs="宋体"/>
          <w:color w:val="000000" w:themeColor="text1"/>
          <w:sz w:val="24"/>
          <w:highlight w:val="none"/>
          <w14:textFill>
            <w14:solidFill>
              <w14:schemeClr w14:val="tx1"/>
            </w14:solidFill>
          </w14:textFill>
        </w:rPr>
        <w:t>（如有）</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廉洁协议</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 保密协议</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4. </w:t>
      </w:r>
      <w:r>
        <w:rPr>
          <w:rFonts w:hint="eastAsia" w:ascii="宋体" w:hAnsi="宋体"/>
          <w:color w:val="000000" w:themeColor="text1"/>
          <w:sz w:val="24"/>
          <w:highlight w:val="none"/>
          <w14:textFill>
            <w14:solidFill>
              <w14:schemeClr w14:val="tx1"/>
            </w14:solidFill>
          </w14:textFill>
        </w:rPr>
        <w:t>安全管理协议书（具体以安全办通知为准）</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5. </w:t>
      </w:r>
      <w:r>
        <w:rPr>
          <w:rFonts w:hint="eastAsia" w:ascii="宋体" w:hAnsi="宋体"/>
          <w:color w:val="000000" w:themeColor="text1"/>
          <w:sz w:val="24"/>
          <w:highlight w:val="none"/>
          <w14:textFill>
            <w14:solidFill>
              <w14:schemeClr w14:val="tx1"/>
            </w14:solidFill>
          </w14:textFill>
        </w:rPr>
        <w:t>服务内容/技术需求</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6.项目投入人员架构表</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7.履约保函（模板）（如需）</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.授权委托证明（如需）</w:t>
      </w:r>
    </w:p>
    <w:p>
      <w:pPr>
        <w:spacing w:line="500" w:lineRule="exact"/>
        <w:ind w:firstLine="1320" w:firstLineChars="550"/>
        <w:rPr>
          <w:rFonts w:ascii="宋体" w:hAnsi="宋体"/>
          <w:color w:val="000000" w:themeColor="text1"/>
          <w:sz w:val="24"/>
          <w:highlight w:val="none"/>
          <w14:textFill>
            <w14:solidFill>
              <w14:schemeClr w14:val="tx1"/>
            </w14:solidFill>
          </w14:textFill>
        </w:rPr>
      </w:pP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甲方：广州市净水有限公司（盖章）</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乙方：（盖章）</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法定代表人或</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授权代理人：</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授权代理人：</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地址：</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经办人：</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经办人：</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p>
    <w:p>
      <w:pPr>
        <w:spacing w:line="500" w:lineRule="exact"/>
        <w:ind w:left="6360" w:hanging="6360" w:hangingChars="26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传真：</w:t>
      </w:r>
    </w:p>
    <w:p>
      <w:pPr>
        <w:spacing w:line="480" w:lineRule="exact"/>
        <w:ind w:left="6360" w:hanging="6360" w:hangingChars="26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签署日期：</w:t>
      </w:r>
      <w:r>
        <w:rPr>
          <w:rFonts w:ascii="宋体" w:hAnsi="宋体" w:cs="宋体"/>
          <w:color w:val="000000" w:themeColor="text1"/>
          <w:sz w:val="24"/>
          <w:highlight w:val="none"/>
          <w14:textFill>
            <w14:solidFill>
              <w14:schemeClr w14:val="tx1"/>
            </w14:solidFill>
          </w14:textFill>
        </w:rPr>
        <w:t xml:space="preserve">    年    月    日         签署日期：    年    月    日  </w:t>
      </w:r>
    </w:p>
    <w:p>
      <w:pPr>
        <w:widowControl/>
        <w:jc w:val="left"/>
        <w:rPr>
          <w:rFonts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sectPr>
          <w:footerReference r:id="rId9" w:type="first"/>
          <w:footerReference r:id="rId7" w:type="default"/>
          <w:footerReference r:id="rId8" w:type="even"/>
          <w:pgSz w:w="11906" w:h="16838"/>
          <w:pgMar w:top="1418" w:right="1474" w:bottom="1985" w:left="1588" w:header="851" w:footer="992" w:gutter="0"/>
          <w:cols w:space="425" w:num="1"/>
          <w:titlePg/>
          <w:docGrid w:type="lines" w:linePitch="312" w:charSpace="0"/>
        </w:sectPr>
      </w:pPr>
    </w:p>
    <w:p>
      <w:pPr>
        <w:widowControl/>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附件1</w:t>
      </w:r>
    </w:p>
    <w:p>
      <w:pPr>
        <w:widowControl/>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附件2</w:t>
      </w:r>
    </w:p>
    <w:p>
      <w:pPr>
        <w:spacing w:line="520" w:lineRule="exact"/>
        <w:jc w:val="center"/>
        <w:rPr>
          <w:rFonts w:hint="eastAsia" w:ascii="宋体" w:hAnsi="宋体" w:eastAsia="宋体" w:cs="宋体"/>
          <w:bCs/>
          <w:sz w:val="21"/>
          <w:szCs w:val="21"/>
          <w:highlight w:val="none"/>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bCs/>
          <w:sz w:val="21"/>
          <w:szCs w:val="21"/>
          <w:highlight w:val="none"/>
        </w:rPr>
        <w:t>廉洁协议</w:t>
      </w:r>
    </w:p>
    <w:p>
      <w:pPr>
        <w:spacing w:line="520" w:lineRule="exact"/>
        <w:ind w:firstLine="472" w:firstLineChars="225"/>
        <w:rPr>
          <w:rFonts w:hint="eastAsia" w:ascii="宋体" w:hAnsi="宋体" w:eastAsia="宋体" w:cs="宋体"/>
          <w:bCs/>
          <w:sz w:val="21"/>
          <w:szCs w:val="21"/>
          <w:highlight w:val="none"/>
        </w:rPr>
      </w:pPr>
      <w:r>
        <w:rPr>
          <w:rFonts w:hint="eastAsia" w:ascii="宋体" w:hAnsi="宋体" w:eastAsia="宋体" w:cs="宋体"/>
          <w:bCs/>
          <w:sz w:val="21"/>
          <w:szCs w:val="21"/>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sz w:val="21"/>
          <w:szCs w:val="21"/>
          <w:highlight w:val="none"/>
          <w:u w:val="single"/>
        </w:rPr>
        <w:t>广州市净水有限公司</w:t>
      </w:r>
      <w:r>
        <w:rPr>
          <w:rFonts w:hint="eastAsia" w:ascii="宋体" w:hAnsi="宋体" w:eastAsia="宋体" w:cs="宋体"/>
          <w:bCs/>
          <w:sz w:val="21"/>
          <w:szCs w:val="21"/>
          <w:highlight w:val="none"/>
        </w:rPr>
        <w:t>(以下称甲方)与(以下称乙方)，特此订立本协议共同遵照执行。</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第一条 甲乙双方的权利和义务</w:t>
      </w:r>
    </w:p>
    <w:p>
      <w:pPr>
        <w:spacing w:line="520" w:lineRule="exact"/>
        <w:ind w:firstLine="315" w:firstLineChars="15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（一）甲乙双方严格遵守国家关于市场准入、项目招标投标、市场经营活动等有关法律、法规相关政策及廉政建设的各项规定。</w:t>
      </w:r>
    </w:p>
    <w:p>
      <w:pPr>
        <w:spacing w:line="520" w:lineRule="exact"/>
        <w:ind w:firstLine="315" w:firstLineChars="15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（二）严格执行</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合同（以下简称：主合同），自觉履行合同约定的相关义务。</w:t>
      </w:r>
    </w:p>
    <w:p>
      <w:pPr>
        <w:spacing w:line="520" w:lineRule="exact"/>
        <w:ind w:firstLine="315" w:firstLineChars="15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（三）在业务活动中坚持公开、公正、诚信、透明的原则，不得损害国家、集体利益。</w:t>
      </w:r>
    </w:p>
    <w:p>
      <w:pPr>
        <w:spacing w:line="520" w:lineRule="exact"/>
        <w:ind w:firstLine="315" w:firstLineChars="150"/>
        <w:rPr>
          <w:rFonts w:hint="eastAsia" w:ascii="宋体" w:hAnsi="宋体" w:eastAsia="宋体" w:cs="宋体"/>
          <w:bCs/>
          <w:sz w:val="21"/>
          <w:szCs w:val="21"/>
          <w:highlight w:val="none"/>
        </w:rPr>
      </w:pPr>
      <w:r>
        <w:rPr>
          <w:rFonts w:hint="eastAsia" w:ascii="宋体" w:hAnsi="宋体" w:eastAsia="宋体" w:cs="宋体"/>
          <w:bCs/>
          <w:sz w:val="21"/>
          <w:szCs w:val="21"/>
          <w:highlight w:val="none"/>
        </w:rPr>
        <w:t>（四）建立健全廉洁从业制度，开展廉洁教育，公布举报电话，监督并认真查处不廉洁及违法违纪行为。</w:t>
      </w:r>
    </w:p>
    <w:p>
      <w:pPr>
        <w:spacing w:line="520" w:lineRule="exact"/>
        <w:ind w:firstLine="315" w:firstLineChars="15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（五）发现对方在业务活动中有不廉洁行为，应及时提醒对方纠正。情节严重的，应向其有关监督部门检举。</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第二条甲方的义务</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（一）甲方及其工作人员不得索要或接受乙方的礼金、有价证券和贵重物品，不得在乙方报销任何应由甲方或个人支付的费用等。</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（三）甲方及其工作人员不得要求或者接受乙方为其住房装修、婚丧嫁娶活动、配偶子女工作安排以及出国出境、旅游等提供方便等。</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（四）甲方工作人员不得在乙方或与乙方有股权关联的企业兼职，不得向乙方介绍家属或者亲友从事与甲方业务有关的经济活动。</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（六）甲方工作人员不得利用职务之便收受乙方以回扣、手续费、加班费、咨询费、劳务费、协调费、辛苦费等各种名义给予或赠送的钱物。</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（七）甲方工作人员不得接受乙方给予或赠送的干股或红利。</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(八）不得存在其他违反廉洁规定的行为。</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第三条乙方的义务</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（一）乙方不得以任何理由向甲方及其工作人员行贿或馈赠礼金、有价证券、贵重礼品。</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（二)乙方不得以任何名义为甲方及其工作人员报销应由甲方单位或个人支付的任何费用。</w:t>
      </w:r>
    </w:p>
    <w:p>
      <w:pPr>
        <w:spacing w:line="520" w:lineRule="exact"/>
        <w:ind w:left="25" w:leftChars="12"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（三）乙方不得以任何理由安排甲方工作人员参加可能影响相关业务公开、公正、公平性的宴请及娱乐活动。</w:t>
      </w:r>
    </w:p>
    <w:p>
      <w:pPr>
        <w:pStyle w:val="17"/>
        <w:spacing w:line="520" w:lineRule="exact"/>
        <w:rPr>
          <w:rFonts w:hint="eastAsia" w:ascii="宋体" w:hAnsi="宋体" w:eastAsia="宋体" w:cs="宋体"/>
          <w:bCs/>
          <w:sz w:val="21"/>
          <w:szCs w:val="21"/>
          <w:highlight w:val="none"/>
        </w:rPr>
      </w:pPr>
      <w:r>
        <w:rPr>
          <w:rFonts w:hint="eastAsia" w:ascii="宋体" w:hAnsi="宋体" w:eastAsia="宋体" w:cs="宋体"/>
          <w:bCs/>
          <w:sz w:val="21"/>
          <w:szCs w:val="21"/>
          <w:highlight w:val="none"/>
        </w:rPr>
        <w:t>（四）乙方不得为甲方单位和个人购置或提供通讯工具和高档办公用品等物品，也不得为甲方提供与工作无关的房屋、汽车等。</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（五）乙方不得擅自与甲方工作人员就主合同中的质量、数量、价格、工程量、验收等条款进行私下商谈或者达成默契。</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（六）乙方不得以回扣、手续费、加班费、咨询费、劳务费、协调费、辛苦费等各种名义向甲方工作人员给予或赠送钱物。</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（七）乙方不得向甲方工作人员提供干股或红利。</w:t>
      </w:r>
    </w:p>
    <w:p>
      <w:pPr>
        <w:spacing w:line="520" w:lineRule="exact"/>
        <w:ind w:left="15" w:leftChars="7"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(八）不得存在其他违反廉洁规定的行为。</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第四条违约责任</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甲方举报投诉联系部门：广州市净水有限公司</w:t>
      </w:r>
      <w:r>
        <w:rPr>
          <w:rFonts w:hint="eastAsia" w:ascii="宋体" w:hAnsi="宋体" w:eastAsia="宋体" w:cs="宋体"/>
          <w:bCs/>
          <w:sz w:val="21"/>
          <w:szCs w:val="21"/>
          <w:highlight w:val="none"/>
          <w:u w:val="single"/>
        </w:rPr>
        <w:t>纪检室</w:t>
      </w:r>
      <w:r>
        <w:rPr>
          <w:rFonts w:hint="eastAsia" w:ascii="宋体" w:hAnsi="宋体" w:eastAsia="宋体" w:cs="宋体"/>
          <w:bCs/>
          <w:sz w:val="21"/>
          <w:szCs w:val="21"/>
          <w:highlight w:val="none"/>
        </w:rPr>
        <w:t>，联系电话：</w:t>
      </w:r>
      <w:r>
        <w:rPr>
          <w:rFonts w:hint="eastAsia" w:ascii="宋体" w:hAnsi="宋体" w:eastAsia="宋体" w:cs="宋体"/>
          <w:bCs/>
          <w:sz w:val="21"/>
          <w:szCs w:val="21"/>
          <w:highlight w:val="none"/>
          <w:u w:val="single"/>
        </w:rPr>
        <w:t xml:space="preserve"> 020-38890265 </w:t>
      </w:r>
      <w:r>
        <w:rPr>
          <w:rFonts w:hint="eastAsia" w:ascii="宋体" w:hAnsi="宋体" w:eastAsia="宋体" w:cs="宋体"/>
          <w:bCs/>
          <w:sz w:val="21"/>
          <w:szCs w:val="21"/>
          <w:highlight w:val="none"/>
        </w:rPr>
        <w:t>。</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1、扣除主合同的全部履约保证金；</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2、解除主合同；</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3、追究乙方其他违约责任；</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4、根据甲方的有关规章制度，在一定时间内暂停乙方参与甲方及下属单位所有项目的交易资格；</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5、根据甲方的有关规章制度，将乙方清退出甲方相关企业库；</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6、根据甲方上级单位、行政主管部门的意见、决定执行；</w:t>
      </w:r>
    </w:p>
    <w:p>
      <w:pPr>
        <w:pStyle w:val="23"/>
        <w:spacing w:beforeAutospacing="0"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7、按规定向有关行政监督部门、乙方业务管理部门进行投诉、报告。</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乙方无条件接受甲方的处理决定并承担给甲方造成的损失，全额返还通过不正当手段获取的非法所得，并承担相应的法律责任。</w:t>
      </w:r>
    </w:p>
    <w:p>
      <w:pPr>
        <w:spacing w:line="520" w:lineRule="exact"/>
        <w:ind w:firstLine="420" w:firstLineChars="200"/>
        <w:rPr>
          <w:rFonts w:hint="eastAsia" w:ascii="宋体" w:hAnsi="宋体" w:eastAsia="宋体" w:cs="宋体"/>
          <w:bCs/>
          <w:kern w:val="0"/>
          <w:sz w:val="21"/>
          <w:szCs w:val="21"/>
          <w:highlight w:val="none"/>
        </w:rPr>
      </w:pPr>
      <w:r>
        <w:rPr>
          <w:rFonts w:hint="eastAsia" w:ascii="宋体" w:hAnsi="宋体" w:eastAsia="宋体" w:cs="宋体"/>
          <w:bCs/>
          <w:sz w:val="21"/>
          <w:szCs w:val="21"/>
          <w:highlight w:val="none"/>
        </w:rPr>
        <w:t xml:space="preserve">第五条 </w:t>
      </w:r>
      <w:r>
        <w:rPr>
          <w:rFonts w:hint="eastAsia" w:ascii="宋体" w:hAnsi="宋体" w:eastAsia="宋体" w:cs="宋体"/>
          <w:bCs/>
          <w:kern w:val="0"/>
          <w:sz w:val="21"/>
          <w:szCs w:val="21"/>
          <w:highlight w:val="none"/>
        </w:rPr>
        <w:t xml:space="preserve">本协议执行情况，接受有管辖权的纪检、监察部门的监督，双方应予以配合检查调查。 </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第六条本协议作为</w:t>
      </w:r>
      <w:r>
        <w:rPr>
          <w:rFonts w:hint="eastAsia" w:ascii="宋体" w:hAnsi="宋体" w:eastAsia="宋体" w:cs="宋体"/>
          <w:bCs/>
          <w:sz w:val="21"/>
          <w:szCs w:val="21"/>
          <w:highlight w:val="none"/>
          <w:u w:val="single"/>
        </w:rPr>
        <w:t>（合同名称）+（合同编号）</w:t>
      </w:r>
      <w:r>
        <w:rPr>
          <w:rFonts w:hint="eastAsia" w:ascii="宋体" w:hAnsi="宋体" w:eastAsia="宋体" w:cs="宋体"/>
          <w:bCs/>
          <w:sz w:val="21"/>
          <w:szCs w:val="21"/>
          <w:highlight w:val="none"/>
        </w:rPr>
        <w:t>合同的附件，并具有同等的法律效力，本协议自双方签字盖章之日起生效，与主合同同时终止。</w:t>
      </w:r>
    </w:p>
    <w:p>
      <w:pPr>
        <w:spacing w:line="5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第七条本协议一式</w:t>
      </w:r>
      <w:r>
        <w:rPr>
          <w:rFonts w:hint="eastAsia" w:ascii="宋体" w:hAnsi="宋体" w:eastAsia="宋体" w:cs="宋体"/>
          <w:bCs/>
          <w:sz w:val="21"/>
          <w:szCs w:val="21"/>
          <w:highlight w:val="none"/>
          <w:u w:val="single"/>
        </w:rPr>
        <w:t>6</w:t>
      </w:r>
      <w:r>
        <w:rPr>
          <w:rFonts w:hint="eastAsia" w:ascii="宋体" w:hAnsi="宋体" w:eastAsia="宋体" w:cs="宋体"/>
          <w:bCs/>
          <w:sz w:val="21"/>
          <w:szCs w:val="21"/>
          <w:highlight w:val="none"/>
        </w:rPr>
        <w:t>份，甲方</w:t>
      </w:r>
      <w:r>
        <w:rPr>
          <w:rFonts w:hint="eastAsia" w:ascii="宋体" w:hAnsi="宋体" w:eastAsia="宋体" w:cs="宋体"/>
          <w:bCs/>
          <w:sz w:val="21"/>
          <w:szCs w:val="21"/>
          <w:highlight w:val="none"/>
          <w:u w:val="single"/>
          <w:lang w:val="en-US" w:eastAsia="zh-CN"/>
        </w:rPr>
        <w:t>4</w:t>
      </w:r>
      <w:r>
        <w:rPr>
          <w:rFonts w:hint="eastAsia" w:ascii="宋体" w:hAnsi="宋体" w:eastAsia="宋体" w:cs="宋体"/>
          <w:bCs/>
          <w:sz w:val="21"/>
          <w:szCs w:val="21"/>
          <w:highlight w:val="none"/>
        </w:rPr>
        <w:t>份，乙方</w:t>
      </w:r>
      <w:r>
        <w:rPr>
          <w:rFonts w:hint="eastAsia" w:ascii="宋体" w:hAnsi="宋体" w:eastAsia="宋体" w:cs="宋体"/>
          <w:bCs/>
          <w:sz w:val="21"/>
          <w:szCs w:val="21"/>
          <w:highlight w:val="none"/>
          <w:u w:val="single"/>
          <w:lang w:val="en-US" w:eastAsia="zh-CN"/>
        </w:rPr>
        <w:t>2</w:t>
      </w:r>
      <w:r>
        <w:rPr>
          <w:rFonts w:hint="eastAsia" w:ascii="宋体" w:hAnsi="宋体" w:eastAsia="宋体" w:cs="宋体"/>
          <w:bCs/>
          <w:sz w:val="21"/>
          <w:szCs w:val="21"/>
          <w:highlight w:val="none"/>
        </w:rPr>
        <w:t>份。</w:t>
      </w:r>
    </w:p>
    <w:p>
      <w:pPr>
        <w:spacing w:line="520" w:lineRule="exact"/>
        <w:ind w:firstLine="420" w:firstLineChars="200"/>
        <w:rPr>
          <w:rFonts w:hint="eastAsia" w:ascii="宋体" w:hAnsi="宋体" w:eastAsia="宋体" w:cs="宋体"/>
          <w:bCs/>
          <w:sz w:val="21"/>
          <w:szCs w:val="21"/>
          <w:highlight w:val="none"/>
        </w:rPr>
      </w:pPr>
    </w:p>
    <w:p>
      <w:pPr>
        <w:spacing w:line="520" w:lineRule="exact"/>
        <w:rPr>
          <w:rFonts w:hint="eastAsia" w:ascii="宋体" w:hAnsi="宋体" w:eastAsia="宋体" w:cs="宋体"/>
          <w:bCs/>
          <w:sz w:val="21"/>
          <w:szCs w:val="21"/>
          <w:highlight w:val="none"/>
        </w:rPr>
      </w:pPr>
      <w:r>
        <w:rPr>
          <w:rFonts w:hint="eastAsia" w:ascii="宋体" w:hAnsi="宋体" w:eastAsia="宋体" w:cs="宋体"/>
          <w:bCs/>
          <w:sz w:val="21"/>
          <w:szCs w:val="21"/>
          <w:highlight w:val="none"/>
        </w:rPr>
        <w:t>甲方（盖章）：                     乙方（盖章）：</w:t>
      </w:r>
    </w:p>
    <w:p>
      <w:pPr>
        <w:pStyle w:val="36"/>
        <w:tabs>
          <w:tab w:val="left" w:pos="5100"/>
        </w:tabs>
        <w:spacing w:line="520" w:lineRule="exact"/>
        <w:ind w:left="7200" w:firstLine="0" w:firstLineChars="0"/>
        <w:jc w:val="left"/>
        <w:rPr>
          <w:rFonts w:hint="eastAsia" w:ascii="宋体" w:hAnsi="宋体" w:eastAsia="宋体" w:cs="宋体"/>
          <w:bCs/>
          <w:sz w:val="21"/>
          <w:szCs w:val="21"/>
          <w:highlight w:val="none"/>
        </w:rPr>
      </w:pPr>
    </w:p>
    <w:p>
      <w:pPr>
        <w:tabs>
          <w:tab w:val="left" w:pos="5100"/>
        </w:tabs>
        <w:spacing w:line="520" w:lineRule="exact"/>
        <w:ind w:left="8400" w:hanging="6300" w:hangingChars="30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签约代表：                         签约代表：</w:t>
      </w:r>
    </w:p>
    <w:p>
      <w:pPr>
        <w:tabs>
          <w:tab w:val="left" w:pos="4170"/>
        </w:tabs>
        <w:spacing w:line="520" w:lineRule="exact"/>
        <w:rPr>
          <w:rFonts w:hint="eastAsia" w:ascii="宋体" w:hAnsi="宋体" w:eastAsia="宋体" w:cs="宋体"/>
          <w:bCs/>
          <w:sz w:val="21"/>
          <w:szCs w:val="21"/>
          <w:highlight w:val="none"/>
        </w:rPr>
      </w:pPr>
      <w:r>
        <w:rPr>
          <w:rFonts w:hint="eastAsia" w:ascii="宋体" w:hAnsi="宋体" w:eastAsia="宋体" w:cs="宋体"/>
          <w:bCs/>
          <w:sz w:val="21"/>
          <w:szCs w:val="21"/>
          <w:highlight w:val="none"/>
        </w:rPr>
        <w:t>日期:    年  月  日</w:t>
      </w:r>
      <w:r>
        <w:rPr>
          <w:rFonts w:hint="eastAsia" w:ascii="宋体" w:hAnsi="宋体" w:eastAsia="宋体" w:cs="宋体"/>
          <w:bCs/>
          <w:sz w:val="21"/>
          <w:szCs w:val="21"/>
          <w:highlight w:val="none"/>
        </w:rPr>
        <w:tab/>
      </w:r>
      <w:r>
        <w:rPr>
          <w:rFonts w:hint="eastAsia" w:ascii="宋体" w:hAnsi="宋体" w:eastAsia="宋体" w:cs="宋体"/>
          <w:bCs/>
          <w:sz w:val="21"/>
          <w:szCs w:val="21"/>
          <w:highlight w:val="none"/>
        </w:rPr>
        <w:t>日期：  年  月  日</w:t>
      </w:r>
    </w:p>
    <w:p>
      <w:pPr>
        <w:spacing w:line="540" w:lineRule="exact"/>
        <w:rPr>
          <w:rFonts w:hint="eastAsia" w:ascii="宋体" w:hAnsi="宋体" w:eastAsia="宋体" w:cs="宋体"/>
          <w:color w:val="000000" w:themeColor="text1"/>
          <w:sz w:val="21"/>
          <w:szCs w:val="21"/>
          <w:highlight w:val="none"/>
          <w14:textFill>
            <w14:solidFill>
              <w14:schemeClr w14:val="tx1"/>
            </w14:solidFill>
          </w14:textFill>
        </w:rPr>
        <w:sectPr>
          <w:pgSz w:w="11906" w:h="16838"/>
          <w:pgMar w:top="1418" w:right="1474" w:bottom="1985" w:left="1588" w:header="851" w:footer="992" w:gutter="0"/>
          <w:cols w:space="425" w:num="1"/>
          <w:titlePg/>
          <w:docGrid w:type="lines" w:linePitch="312" w:charSpace="0"/>
        </w:sectPr>
      </w:pP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2023-2025年度净水智慧运营管理平台运维服务项目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6"/>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3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3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（合同名称）+（合同编号）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60" w:lineRule="exact"/>
        <w:rPr>
          <w:rFonts w:hint="eastAsia" w:ascii="宋体" w:hAnsi="宋体" w:cs="宋体"/>
          <w:color w:val="000000" w:themeColor="text1"/>
          <w:szCs w:val="21"/>
          <w:highlight w:val="none"/>
          <w14:textFill>
            <w14:solidFill>
              <w14:schemeClr w14:val="tx1"/>
            </w14:solidFill>
          </w14:textFill>
        </w:rPr>
        <w:sectPr>
          <w:footerReference r:id="rId11" w:type="first"/>
          <w:footerReference r:id="rId10" w:type="default"/>
          <w:pgSz w:w="11906" w:h="16838"/>
          <w:pgMar w:top="1418" w:right="1474" w:bottom="1985" w:left="1588" w:header="851" w:footer="992" w:gutter="0"/>
          <w:cols w:space="425" w:num="1"/>
          <w:titlePg/>
          <w:docGrid w:type="lines" w:linePitch="312" w:charSpace="0"/>
        </w:sectPr>
      </w:pPr>
    </w:p>
    <w:p>
      <w:pPr>
        <w:spacing w:line="5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r>
        <w:rPr>
          <w:rFonts w:hint="eastAsia" w:ascii="宋体" w:hAnsi="宋体" w:cs="宋体"/>
          <w:b/>
          <w:color w:val="000000" w:themeColor="text1"/>
          <w:szCs w:val="21"/>
          <w:highlight w:val="none"/>
          <w14:textFill>
            <w14:solidFill>
              <w14:schemeClr w14:val="tx1"/>
            </w14:solidFill>
          </w14:textFill>
        </w:rPr>
        <w:t>安全管理协议书</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7"/>
          <w:rFonts w:ascii="宋体" w:hAnsi="宋体" w:cs="宋体"/>
          <w:b w:val="0"/>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w:t>
      </w:r>
      <w:bookmarkStart w:id="122" w:name="_Toc21391"/>
      <w:r>
        <w:rPr>
          <w:rFonts w:hint="eastAsia" w:ascii="宋体" w:hAnsi="宋体" w:cs="宋体"/>
          <w:color w:val="000000" w:themeColor="text1"/>
          <w:szCs w:val="21"/>
          <w:highlight w:val="none"/>
          <w14:textFill>
            <w14:solidFill>
              <w14:schemeClr w14:val="tx1"/>
            </w14:solidFill>
          </w14:textFill>
        </w:rPr>
        <w:t xml:space="preserve">: </w:t>
      </w:r>
    </w:p>
    <w:bookmarkEnd w:id="122"/>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cs="宋体"/>
          <w:color w:val="000000" w:themeColor="text1"/>
          <w:sz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p>
    <w:p>
      <w:pPr>
        <w:pStyle w:val="39"/>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w:t>
      </w:r>
      <w:r>
        <w:rPr>
          <w:rFonts w:hint="eastAsia" w:ascii="宋体" w:hAnsi="宋体" w:cs="宋体"/>
          <w:color w:val="000000" w:themeColor="text1"/>
          <w:szCs w:val="21"/>
          <w:highlight w:val="none"/>
          <w:lang w:val="en-US" w:eastAsia="zh-CN"/>
          <w14:textFill>
            <w14:solidFill>
              <w14:schemeClr w14:val="tx1"/>
            </w14:solidFill>
          </w14:textFill>
        </w:rPr>
        <w:t>发包人</w:t>
      </w:r>
      <w:r>
        <w:rPr>
          <w:rFonts w:hint="eastAsia" w:ascii="宋体" w:hAnsi="宋体" w:cs="宋体"/>
          <w:color w:val="000000" w:themeColor="text1"/>
          <w:szCs w:val="21"/>
          <w:highlight w:val="none"/>
          <w14:textFill>
            <w14:solidFill>
              <w14:schemeClr w14:val="tx1"/>
            </w14:solidFill>
          </w14:textFill>
        </w:rPr>
        <w:t>执</w:t>
      </w:r>
      <w:r>
        <w:rPr>
          <w:rFonts w:hint="eastAsia" w:ascii="宋体" w:hAnsi="宋体" w:cs="宋体"/>
          <w:color w:val="000000" w:themeColor="text1"/>
          <w:szCs w:val="21"/>
          <w:highlight w:val="none"/>
          <w:u w:val="single"/>
          <w14:textFill>
            <w14:solidFill>
              <w14:schemeClr w14:val="tx1"/>
            </w14:solidFill>
          </w14:textFill>
        </w:rPr>
        <w:t xml:space="preserve"> 4 </w:t>
      </w:r>
      <w:r>
        <w:rPr>
          <w:rFonts w:hint="eastAsia" w:ascii="宋体" w:hAnsi="宋体" w:cs="宋体"/>
          <w:color w:val="000000" w:themeColor="text1"/>
          <w:szCs w:val="21"/>
          <w:highlight w:val="none"/>
          <w14:textFill>
            <w14:solidFill>
              <w14:schemeClr w14:val="tx1"/>
            </w14:solidFill>
          </w14:textFill>
        </w:rPr>
        <w:t>份，</w:t>
      </w:r>
      <w:r>
        <w:rPr>
          <w:rFonts w:hint="eastAsia" w:ascii="宋体" w:hAnsi="宋体" w:cs="宋体"/>
          <w:color w:val="000000" w:themeColor="text1"/>
          <w:szCs w:val="21"/>
          <w:highlight w:val="none"/>
          <w:lang w:val="en-US" w:eastAsia="zh-CN"/>
          <w14:textFill>
            <w14:solidFill>
              <w14:schemeClr w14:val="tx1"/>
            </w14:solidFill>
          </w14:textFill>
        </w:rPr>
        <w:t>承包人</w:t>
      </w:r>
      <w:r>
        <w:rPr>
          <w:rFonts w:hint="eastAsia" w:ascii="宋体" w:hAnsi="宋体" w:cs="宋体"/>
          <w:color w:val="000000" w:themeColor="text1"/>
          <w:szCs w:val="21"/>
          <w:highlight w:val="none"/>
          <w14:textFill>
            <w14:solidFill>
              <w14:schemeClr w14:val="tx1"/>
            </w14:solidFill>
          </w14:textFill>
        </w:rPr>
        <w:t>执</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份。</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年   月  　日</w:t>
      </w:r>
    </w:p>
    <w:p>
      <w:pPr>
        <w:adjustRightInd w:val="0"/>
        <w:snapToGrid w:val="0"/>
        <w:jc w:val="left"/>
        <w:rPr>
          <w:rFonts w:hint="eastAsia" w:ascii="仿宋_GB2312" w:hAnsi="仿宋_GB2312" w:eastAsia="仿宋_GB2312" w:cs="仿宋_GB2312"/>
          <w:sz w:val="24"/>
          <w:highlight w:val="none"/>
        </w:rPr>
      </w:pPr>
    </w:p>
    <w:p>
      <w:pPr>
        <w:spacing w:line="560" w:lineRule="exact"/>
        <w:rPr>
          <w:rFonts w:hint="eastAsia" w:ascii="宋体" w:hAnsi="宋体" w:cs="宋体"/>
          <w:color w:val="000000" w:themeColor="text1"/>
          <w:szCs w:val="21"/>
          <w:highlight w:val="none"/>
          <w14:textFill>
            <w14:solidFill>
              <w14:schemeClr w14:val="tx1"/>
            </w14:solidFill>
          </w14:textFill>
        </w:rPr>
        <w:sectPr>
          <w:footerReference r:id="rId13" w:type="first"/>
          <w:footerReference r:id="rId12" w:type="default"/>
          <w:pgSz w:w="11906" w:h="16838"/>
          <w:pgMar w:top="1418" w:right="1474" w:bottom="1985" w:left="1588" w:header="851" w:footer="992" w:gutter="0"/>
          <w:cols w:space="425" w:num="1"/>
          <w:titlePg/>
          <w:docGrid w:type="lines" w:linePitch="312" w:charSpace="0"/>
        </w:sectPr>
      </w:pPr>
    </w:p>
    <w:p>
      <w:pPr>
        <w:spacing w:line="560" w:lineRule="exact"/>
        <w:rPr>
          <w:rFonts w:hint="eastAsia" w:ascii="宋体" w:hAnsi="宋体" w:cs="宋体"/>
          <w:b/>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b/>
          <w:color w:val="000000" w:themeColor="text1"/>
          <w:szCs w:val="21"/>
          <w:highlight w:val="none"/>
          <w:lang w:val="en-US" w:eastAsia="zh-CN"/>
          <w14:textFill>
            <w14:solidFill>
              <w14:schemeClr w14:val="tx1"/>
            </w14:solidFill>
          </w14:textFill>
        </w:rPr>
        <w:t>服务内容</w:t>
      </w:r>
    </w:p>
    <w:p>
      <w:pPr>
        <w:pStyle w:val="55"/>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运维范围</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对净水智慧运营管理平台、统一配置管理后台、数据共享平台、H5S视频管理平台、第三方业务系统数据对接、13座厂数据传输的日常运行维护、软件升级、备份检查，具体</w:t>
      </w:r>
      <w:r>
        <w:rPr>
          <w:rFonts w:hint="eastAsia" w:ascii="宋体" w:hAnsi="宋体" w:eastAsia="宋体" w:cs="宋体"/>
          <w:color w:val="000000"/>
          <w:sz w:val="21"/>
          <w:szCs w:val="21"/>
          <w:highlight w:val="none"/>
          <w:lang w:val="zh-CN"/>
        </w:rPr>
        <w:t>运维范围如下：</w:t>
      </w:r>
    </w:p>
    <w:tbl>
      <w:tblPr>
        <w:tblStyle w:val="24"/>
        <w:tblW w:w="8909" w:type="dxa"/>
        <w:jc w:val="center"/>
        <w:tblLayout w:type="autofit"/>
        <w:tblCellMar>
          <w:top w:w="0" w:type="dxa"/>
          <w:left w:w="0" w:type="dxa"/>
          <w:bottom w:w="0" w:type="dxa"/>
          <w:right w:w="0" w:type="dxa"/>
        </w:tblCellMar>
      </w:tblPr>
      <w:tblGrid>
        <w:gridCol w:w="634"/>
        <w:gridCol w:w="2537"/>
        <w:gridCol w:w="5738"/>
      </w:tblGrid>
      <w:tr>
        <w:tblPrEx>
          <w:tblCellMar>
            <w:top w:w="0" w:type="dxa"/>
            <w:left w:w="0" w:type="dxa"/>
            <w:bottom w:w="0" w:type="dxa"/>
            <w:right w:w="0" w:type="dxa"/>
          </w:tblCellMar>
        </w:tblPrEx>
        <w:trPr>
          <w:trHeight w:val="499"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b/>
                <w:bCs/>
                <w:color w:val="000000"/>
                <w:kern w:val="24"/>
                <w:sz w:val="21"/>
                <w:szCs w:val="21"/>
                <w:highlight w:val="none"/>
              </w:rPr>
              <w:t>序号</w:t>
            </w:r>
          </w:p>
        </w:tc>
        <w:tc>
          <w:tcPr>
            <w:tcW w:w="253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b/>
                <w:bCs/>
                <w:color w:val="000000"/>
                <w:kern w:val="24"/>
                <w:sz w:val="21"/>
                <w:szCs w:val="21"/>
                <w:highlight w:val="none"/>
                <w:lang w:val="en-US" w:eastAsia="zh-CN"/>
              </w:rPr>
              <w:t>维护项</w:t>
            </w:r>
          </w:p>
        </w:tc>
        <w:tc>
          <w:tcPr>
            <w:tcW w:w="573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b/>
                <w:bCs/>
                <w:color w:val="000000"/>
                <w:kern w:val="24"/>
                <w:sz w:val="21"/>
                <w:szCs w:val="21"/>
                <w:highlight w:val="none"/>
              </w:rPr>
              <w:t>维护内容</w:t>
            </w:r>
          </w:p>
        </w:tc>
      </w:tr>
      <w:tr>
        <w:tblPrEx>
          <w:tblCellMar>
            <w:top w:w="0" w:type="dxa"/>
            <w:left w:w="0" w:type="dxa"/>
            <w:bottom w:w="0" w:type="dxa"/>
            <w:right w:w="0" w:type="dxa"/>
          </w:tblCellMar>
        </w:tblPrEx>
        <w:trPr>
          <w:trHeight w:val="779" w:hRule="atLeast"/>
          <w:jc w:val="center"/>
        </w:trPr>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color w:val="000000"/>
                <w:kern w:val="24"/>
                <w:sz w:val="21"/>
                <w:szCs w:val="21"/>
                <w:highlight w:val="none"/>
              </w:rPr>
              <w:t>1</w:t>
            </w:r>
          </w:p>
        </w:tc>
        <w:tc>
          <w:tcPr>
            <w:tcW w:w="25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color w:val="000000"/>
                <w:kern w:val="24"/>
                <w:sz w:val="21"/>
                <w:szCs w:val="21"/>
                <w:highlight w:val="none"/>
              </w:rPr>
              <w:t>智慧运营管理平台</w:t>
            </w:r>
            <w:r>
              <w:rPr>
                <w:rFonts w:hint="eastAsia" w:ascii="宋体" w:hAnsi="宋体" w:eastAsia="宋体" w:cs="宋体"/>
                <w:color w:val="000000"/>
                <w:kern w:val="24"/>
                <w:sz w:val="21"/>
                <w:szCs w:val="21"/>
                <w:highlight w:val="none"/>
                <w:lang w:val="en-US" w:eastAsia="zh-CN"/>
              </w:rPr>
              <w:t>PC端</w:t>
            </w:r>
          </w:p>
        </w:tc>
        <w:tc>
          <w:tcPr>
            <w:tcW w:w="57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24"/>
                <w:sz w:val="21"/>
                <w:szCs w:val="21"/>
                <w:highlight w:val="none"/>
                <w:lang w:val="en-US" w:eastAsia="zh-CN"/>
              </w:rPr>
              <w:t>业务管理44个功能页、基础设置18个功能页的日常巡检运维、故障处理、点位更新等。</w:t>
            </w:r>
          </w:p>
        </w:tc>
      </w:tr>
      <w:tr>
        <w:tblPrEx>
          <w:tblCellMar>
            <w:top w:w="0" w:type="dxa"/>
            <w:left w:w="0" w:type="dxa"/>
            <w:bottom w:w="0" w:type="dxa"/>
            <w:right w:w="0" w:type="dxa"/>
          </w:tblCellMar>
        </w:tblPrEx>
        <w:trPr>
          <w:trHeight w:val="729" w:hRule="atLeast"/>
          <w:jc w:val="center"/>
        </w:trPr>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4"/>
                <w:sz w:val="21"/>
                <w:szCs w:val="21"/>
                <w:highlight w:val="none"/>
              </w:rPr>
            </w:pPr>
            <w:r>
              <w:rPr>
                <w:rFonts w:hint="eastAsia" w:ascii="宋体" w:hAnsi="宋体" w:eastAsia="宋体" w:cs="宋体"/>
                <w:color w:val="000000"/>
                <w:kern w:val="24"/>
                <w:sz w:val="21"/>
                <w:szCs w:val="21"/>
                <w:highlight w:val="none"/>
              </w:rPr>
              <w:t>2</w:t>
            </w:r>
          </w:p>
        </w:tc>
        <w:tc>
          <w:tcPr>
            <w:tcW w:w="25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rPr>
              <w:t>智慧运营管理平台</w:t>
            </w:r>
            <w:r>
              <w:rPr>
                <w:rFonts w:hint="eastAsia" w:ascii="宋体" w:hAnsi="宋体" w:eastAsia="宋体" w:cs="宋体"/>
                <w:color w:val="000000"/>
                <w:kern w:val="24"/>
                <w:sz w:val="21"/>
                <w:szCs w:val="21"/>
                <w:highlight w:val="none"/>
                <w:lang w:val="en-US" w:eastAsia="zh-CN"/>
              </w:rPr>
              <w:t>大屏</w:t>
            </w:r>
          </w:p>
        </w:tc>
        <w:tc>
          <w:tcPr>
            <w:tcW w:w="57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大屏7个功能页的日常巡检运维、故障处理、企业资料/点位更新等。</w:t>
            </w:r>
          </w:p>
        </w:tc>
      </w:tr>
      <w:tr>
        <w:tblPrEx>
          <w:tblCellMar>
            <w:top w:w="0" w:type="dxa"/>
            <w:left w:w="0" w:type="dxa"/>
            <w:bottom w:w="0" w:type="dxa"/>
            <w:right w:w="0" w:type="dxa"/>
          </w:tblCellMar>
        </w:tblPrEx>
        <w:trPr>
          <w:trHeight w:val="763" w:hRule="atLeast"/>
          <w:jc w:val="center"/>
        </w:trPr>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4"/>
                <w:sz w:val="21"/>
                <w:szCs w:val="21"/>
                <w:highlight w:val="none"/>
              </w:rPr>
            </w:pPr>
            <w:r>
              <w:rPr>
                <w:rFonts w:hint="eastAsia" w:ascii="宋体" w:hAnsi="宋体" w:eastAsia="宋体" w:cs="宋体"/>
                <w:color w:val="000000"/>
                <w:kern w:val="24"/>
                <w:sz w:val="21"/>
                <w:szCs w:val="21"/>
                <w:highlight w:val="none"/>
              </w:rPr>
              <w:t>3</w:t>
            </w:r>
          </w:p>
        </w:tc>
        <w:tc>
          <w:tcPr>
            <w:tcW w:w="25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rPr>
              <w:t>智慧运营管理平台</w:t>
            </w:r>
            <w:r>
              <w:rPr>
                <w:rFonts w:hint="eastAsia" w:ascii="宋体" w:hAnsi="宋体" w:eastAsia="宋体" w:cs="宋体"/>
                <w:color w:val="000000"/>
                <w:kern w:val="24"/>
                <w:sz w:val="21"/>
                <w:szCs w:val="21"/>
                <w:highlight w:val="none"/>
                <w:lang w:val="en-US" w:eastAsia="zh-CN"/>
              </w:rPr>
              <w:t>APP</w:t>
            </w:r>
          </w:p>
        </w:tc>
        <w:tc>
          <w:tcPr>
            <w:tcW w:w="57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26个功能页的日常巡检运维、故障处理、点位更新等。</w:t>
            </w:r>
          </w:p>
        </w:tc>
      </w:tr>
      <w:tr>
        <w:tblPrEx>
          <w:tblCellMar>
            <w:top w:w="0" w:type="dxa"/>
            <w:left w:w="0" w:type="dxa"/>
            <w:bottom w:w="0" w:type="dxa"/>
            <w:right w:w="0" w:type="dxa"/>
          </w:tblCellMar>
        </w:tblPrEx>
        <w:trPr>
          <w:trHeight w:val="901" w:hRule="atLeast"/>
          <w:jc w:val="center"/>
        </w:trPr>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color w:val="000000"/>
                <w:kern w:val="24"/>
                <w:sz w:val="21"/>
                <w:szCs w:val="21"/>
                <w:highlight w:val="none"/>
              </w:rPr>
              <w:t>4</w:t>
            </w:r>
          </w:p>
        </w:tc>
        <w:tc>
          <w:tcPr>
            <w:tcW w:w="25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color w:val="000000"/>
                <w:kern w:val="24"/>
                <w:sz w:val="21"/>
                <w:szCs w:val="21"/>
                <w:highlight w:val="none"/>
              </w:rPr>
              <w:t>统一配置管理后台</w:t>
            </w:r>
          </w:p>
        </w:tc>
        <w:tc>
          <w:tcPr>
            <w:tcW w:w="57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系统管理、权限管理、消息管理、短信管理4个模块的维护和配置。</w:t>
            </w:r>
          </w:p>
        </w:tc>
      </w:tr>
      <w:tr>
        <w:tblPrEx>
          <w:tblCellMar>
            <w:top w:w="0" w:type="dxa"/>
            <w:left w:w="0" w:type="dxa"/>
            <w:bottom w:w="0" w:type="dxa"/>
            <w:right w:w="0" w:type="dxa"/>
          </w:tblCellMar>
        </w:tblPrEx>
        <w:trPr>
          <w:trHeight w:val="2489" w:hRule="atLeast"/>
          <w:jc w:val="center"/>
        </w:trPr>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color w:val="000000"/>
                <w:kern w:val="24"/>
                <w:sz w:val="21"/>
                <w:szCs w:val="21"/>
                <w:highlight w:val="none"/>
              </w:rPr>
              <w:t>5</w:t>
            </w:r>
          </w:p>
        </w:tc>
        <w:tc>
          <w:tcPr>
            <w:tcW w:w="25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color w:val="000000"/>
                <w:kern w:val="24"/>
                <w:sz w:val="21"/>
                <w:szCs w:val="21"/>
                <w:highlight w:val="none"/>
              </w:rPr>
              <w:t>数据共享</w:t>
            </w:r>
            <w:r>
              <w:rPr>
                <w:rFonts w:hint="eastAsia" w:ascii="宋体" w:hAnsi="宋体" w:eastAsia="宋体" w:cs="宋体"/>
                <w:color w:val="000000"/>
                <w:kern w:val="24"/>
                <w:sz w:val="21"/>
                <w:szCs w:val="21"/>
                <w:highlight w:val="none"/>
                <w:lang w:val="en-US" w:eastAsia="zh-CN"/>
              </w:rPr>
              <w:t>中心</w:t>
            </w:r>
          </w:p>
        </w:tc>
        <w:tc>
          <w:tcPr>
            <w:tcW w:w="57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1、数据共享平台：元数据管理、数据集成、调度管理、数据共享服务、系统管理5个模块的维护和配置；</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2、数据处理接口：确保采集任务日常监控与异常任务处理接口正常运行；</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bidi="ar-SA"/>
              </w:rPr>
            </w:pPr>
            <w:r>
              <w:rPr>
                <w:rFonts w:hint="eastAsia" w:ascii="宋体" w:hAnsi="宋体" w:eastAsia="宋体" w:cs="宋体"/>
                <w:color w:val="000000"/>
                <w:kern w:val="24"/>
                <w:sz w:val="21"/>
                <w:szCs w:val="21"/>
                <w:highlight w:val="none"/>
                <w:lang w:val="en-US" w:eastAsia="zh-CN"/>
              </w:rPr>
              <w:t>3、数据共享接口：确保数据共享接口正常运行，配合外部系统排查接口问题；</w:t>
            </w:r>
          </w:p>
        </w:tc>
      </w:tr>
      <w:tr>
        <w:tblPrEx>
          <w:tblCellMar>
            <w:top w:w="0" w:type="dxa"/>
            <w:left w:w="0" w:type="dxa"/>
            <w:bottom w:w="0" w:type="dxa"/>
            <w:right w:w="0" w:type="dxa"/>
          </w:tblCellMar>
        </w:tblPrEx>
        <w:trPr>
          <w:trHeight w:val="1091" w:hRule="atLeast"/>
          <w:jc w:val="center"/>
        </w:trPr>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color w:val="000000"/>
                <w:kern w:val="24"/>
                <w:sz w:val="21"/>
                <w:szCs w:val="21"/>
                <w:highlight w:val="none"/>
              </w:rPr>
              <w:t>6</w:t>
            </w:r>
          </w:p>
        </w:tc>
        <w:tc>
          <w:tcPr>
            <w:tcW w:w="25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color w:val="000000"/>
                <w:kern w:val="24"/>
                <w:sz w:val="21"/>
                <w:szCs w:val="21"/>
                <w:highlight w:val="none"/>
              </w:rPr>
              <w:t>H5S视频管理平台</w:t>
            </w:r>
          </w:p>
        </w:tc>
        <w:tc>
          <w:tcPr>
            <w:tcW w:w="57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根据厂家更新情况升级软件包，进行视频状态巡检，跟踪处理异常视频，根据业主要求更新配置。</w:t>
            </w:r>
          </w:p>
        </w:tc>
      </w:tr>
      <w:tr>
        <w:tblPrEx>
          <w:tblCellMar>
            <w:top w:w="0" w:type="dxa"/>
            <w:left w:w="0" w:type="dxa"/>
            <w:bottom w:w="0" w:type="dxa"/>
            <w:right w:w="0" w:type="dxa"/>
          </w:tblCellMar>
        </w:tblPrEx>
        <w:trPr>
          <w:trHeight w:val="499" w:hRule="atLeast"/>
          <w:jc w:val="center"/>
        </w:trPr>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color w:val="000000"/>
                <w:kern w:val="24"/>
                <w:sz w:val="21"/>
                <w:szCs w:val="21"/>
                <w:highlight w:val="none"/>
              </w:rPr>
              <w:t>7</w:t>
            </w:r>
          </w:p>
        </w:tc>
        <w:tc>
          <w:tcPr>
            <w:tcW w:w="25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数据采集存储管理</w:t>
            </w:r>
          </w:p>
        </w:tc>
        <w:tc>
          <w:tcPr>
            <w:tcW w:w="57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1、数据采集维护：13座厂的自控点位数据维护、采集点位定期校对及更新；</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2、数据存储备份：定期备份系统及数据，进行备份任务有效性检查。</w:t>
            </w:r>
          </w:p>
        </w:tc>
      </w:tr>
      <w:tr>
        <w:tblPrEx>
          <w:tblCellMar>
            <w:top w:w="0" w:type="dxa"/>
            <w:left w:w="0" w:type="dxa"/>
            <w:bottom w:w="0" w:type="dxa"/>
            <w:right w:w="0" w:type="dxa"/>
          </w:tblCellMar>
        </w:tblPrEx>
        <w:trPr>
          <w:trHeight w:val="499" w:hRule="atLeast"/>
          <w:jc w:val="center"/>
        </w:trPr>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rPr>
            </w:pPr>
            <w:r>
              <w:rPr>
                <w:rFonts w:hint="eastAsia" w:ascii="宋体" w:hAnsi="宋体" w:eastAsia="宋体" w:cs="宋体"/>
                <w:color w:val="000000"/>
                <w:kern w:val="24"/>
                <w:sz w:val="21"/>
                <w:szCs w:val="21"/>
                <w:highlight w:val="none"/>
              </w:rPr>
              <w:t>8</w:t>
            </w:r>
          </w:p>
        </w:tc>
        <w:tc>
          <w:tcPr>
            <w:tcW w:w="25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系统功能优化</w:t>
            </w:r>
          </w:p>
        </w:tc>
        <w:tc>
          <w:tcPr>
            <w:tcW w:w="57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按业务需求进行系统功能升级优化，含100人/天的二次开发工作量。</w:t>
            </w:r>
          </w:p>
        </w:tc>
      </w:tr>
      <w:tr>
        <w:tblPrEx>
          <w:tblCellMar>
            <w:top w:w="0" w:type="dxa"/>
            <w:left w:w="0" w:type="dxa"/>
            <w:bottom w:w="0" w:type="dxa"/>
            <w:right w:w="0" w:type="dxa"/>
          </w:tblCellMar>
        </w:tblPrEx>
        <w:trPr>
          <w:trHeight w:val="499" w:hRule="atLeast"/>
          <w:jc w:val="center"/>
        </w:trPr>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9</w:t>
            </w:r>
          </w:p>
        </w:tc>
        <w:tc>
          <w:tcPr>
            <w:tcW w:w="25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驻场服务</w:t>
            </w:r>
          </w:p>
        </w:tc>
        <w:tc>
          <w:tcPr>
            <w:tcW w:w="57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1、每3个月到甲方驻场5个工作日，进行现场安全运维、点位数据校对维护、系统演示保障；</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4"/>
                <w:sz w:val="21"/>
                <w:szCs w:val="21"/>
                <w:highlight w:val="none"/>
                <w:lang w:val="en-US" w:eastAsia="zh-CN"/>
              </w:rPr>
            </w:pPr>
            <w:r>
              <w:rPr>
                <w:rFonts w:hint="eastAsia" w:ascii="宋体" w:hAnsi="宋体" w:eastAsia="宋体" w:cs="宋体"/>
                <w:color w:val="000000"/>
                <w:kern w:val="24"/>
                <w:sz w:val="21"/>
                <w:szCs w:val="21"/>
                <w:highlight w:val="none"/>
                <w:lang w:val="en-US" w:eastAsia="zh-CN"/>
              </w:rPr>
              <w:t>2、重大活动保障：对甲方重大活动提供现场的临时性保障支持。</w:t>
            </w:r>
          </w:p>
        </w:tc>
      </w:tr>
    </w:tbl>
    <w:p>
      <w:pPr>
        <w:pStyle w:val="55"/>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工作内容</w:t>
      </w:r>
    </w:p>
    <w:p>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sz w:val="21"/>
          <w:szCs w:val="21"/>
          <w:highlight w:val="none"/>
          <w:lang w:val="zh-CN"/>
        </w:rPr>
      </w:pPr>
      <w:r>
        <w:rPr>
          <w:rFonts w:hint="eastAsia" w:ascii="宋体" w:hAnsi="宋体" w:eastAsia="宋体" w:cs="宋体"/>
          <w:b/>
          <w:bCs/>
          <w:color w:val="000000"/>
          <w:sz w:val="21"/>
          <w:szCs w:val="21"/>
          <w:highlight w:val="none"/>
          <w:lang w:val="zh-CN"/>
        </w:rPr>
        <w:t>1.系统日常运行维护</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zh-CN"/>
        </w:rPr>
        <w:t>对智慧运营管理平台PC端、大屏、APP、统一配置管理后台、数据共享平台、</w:t>
      </w:r>
      <w:r>
        <w:rPr>
          <w:rFonts w:hint="eastAsia" w:ascii="宋体" w:hAnsi="宋体" w:eastAsia="宋体" w:cs="宋体"/>
          <w:color w:val="000000"/>
          <w:sz w:val="21"/>
          <w:szCs w:val="21"/>
          <w:highlight w:val="none"/>
          <w:lang w:val="en-US" w:eastAsia="zh-CN"/>
        </w:rPr>
        <w:t>H5S视频管理平台等系统进行日常运行维护。具体服务内容如下：</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维护</w:t>
      </w:r>
      <w:r>
        <w:rPr>
          <w:rFonts w:hint="eastAsia" w:ascii="宋体" w:hAnsi="宋体" w:eastAsia="宋体" w:cs="宋体"/>
          <w:color w:val="000000"/>
          <w:sz w:val="21"/>
          <w:szCs w:val="21"/>
          <w:highlight w:val="none"/>
          <w:lang w:val="en-US" w:eastAsia="zh-CN"/>
        </w:rPr>
        <w:t>本项目所有系统、PostgreSQL、clickhouse</w:t>
      </w:r>
      <w:r>
        <w:rPr>
          <w:rFonts w:hint="eastAsia" w:ascii="宋体" w:hAnsi="宋体" w:eastAsia="宋体" w:cs="宋体"/>
          <w:color w:val="000000"/>
          <w:sz w:val="21"/>
          <w:szCs w:val="21"/>
          <w:highlight w:val="none"/>
          <w:lang w:val="zh-CN" w:eastAsia="zh-CN"/>
        </w:rPr>
        <w:t>数据库</w:t>
      </w:r>
      <w:r>
        <w:rPr>
          <w:rFonts w:hint="eastAsia" w:ascii="宋体" w:hAnsi="宋体" w:eastAsia="宋体" w:cs="宋体"/>
          <w:color w:val="000000"/>
          <w:sz w:val="21"/>
          <w:szCs w:val="21"/>
          <w:highlight w:val="none"/>
          <w:lang w:val="en-US" w:eastAsia="zh-CN"/>
        </w:rPr>
        <w:t>及相关组件</w:t>
      </w:r>
      <w:r>
        <w:rPr>
          <w:rFonts w:hint="eastAsia" w:ascii="宋体" w:hAnsi="宋体" w:eastAsia="宋体" w:cs="宋体"/>
          <w:color w:val="000000"/>
          <w:sz w:val="21"/>
          <w:szCs w:val="21"/>
          <w:highlight w:val="none"/>
          <w:lang w:val="zh-CN" w:eastAsia="zh-CN"/>
        </w:rPr>
        <w:t>的正常运行；</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每日</w:t>
      </w:r>
      <w:r>
        <w:rPr>
          <w:rFonts w:hint="eastAsia" w:ascii="宋体" w:hAnsi="宋体" w:eastAsia="宋体" w:cs="宋体"/>
          <w:color w:val="000000"/>
          <w:sz w:val="21"/>
          <w:szCs w:val="21"/>
          <w:highlight w:val="none"/>
          <w:lang w:val="zh-CN" w:eastAsia="zh-CN"/>
        </w:rPr>
        <w:t>检查</w:t>
      </w:r>
      <w:r>
        <w:rPr>
          <w:rFonts w:hint="eastAsia" w:ascii="宋体" w:hAnsi="宋体" w:eastAsia="宋体" w:cs="宋体"/>
          <w:color w:val="000000"/>
          <w:sz w:val="21"/>
          <w:szCs w:val="21"/>
          <w:highlight w:val="none"/>
          <w:lang w:val="en-US" w:eastAsia="zh-CN"/>
        </w:rPr>
        <w:t>平台</w:t>
      </w:r>
      <w:r>
        <w:rPr>
          <w:rFonts w:hint="eastAsia" w:ascii="宋体" w:hAnsi="宋体" w:eastAsia="宋体" w:cs="宋体"/>
          <w:color w:val="000000"/>
          <w:sz w:val="21"/>
          <w:szCs w:val="21"/>
          <w:highlight w:val="none"/>
          <w:lang w:val="zh-CN" w:eastAsia="zh-CN"/>
        </w:rPr>
        <w:t>运行状态、</w:t>
      </w:r>
      <w:r>
        <w:rPr>
          <w:rFonts w:hint="eastAsia" w:ascii="宋体" w:hAnsi="宋体" w:eastAsia="宋体" w:cs="宋体"/>
          <w:color w:val="000000"/>
          <w:sz w:val="21"/>
          <w:szCs w:val="21"/>
          <w:highlight w:val="none"/>
          <w:lang w:val="en-US" w:eastAsia="zh-CN"/>
        </w:rPr>
        <w:t>数据库运行状态，并将检查情况同步报送业主</w:t>
      </w:r>
      <w:r>
        <w:rPr>
          <w:rFonts w:hint="eastAsia" w:ascii="宋体" w:hAnsi="宋体" w:eastAsia="宋体" w:cs="宋体"/>
          <w:color w:val="000000"/>
          <w:sz w:val="21"/>
          <w:szCs w:val="21"/>
          <w:highlight w:val="none"/>
          <w:lang w:val="zh-CN" w:eastAsia="zh-CN"/>
        </w:rPr>
        <w:t>；</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每周进行系统、数据库的备份，每月导出数据备份日志提交业主</w:t>
      </w:r>
      <w:r>
        <w:rPr>
          <w:rFonts w:hint="eastAsia" w:ascii="宋体" w:hAnsi="宋体" w:eastAsia="宋体" w:cs="宋体"/>
          <w:color w:val="000000"/>
          <w:sz w:val="21"/>
          <w:szCs w:val="21"/>
          <w:highlight w:val="none"/>
          <w:lang w:val="zh-CN" w:eastAsia="zh-CN"/>
        </w:rPr>
        <w:t>；</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每周</w:t>
      </w:r>
      <w:r>
        <w:rPr>
          <w:rFonts w:hint="eastAsia" w:ascii="宋体" w:hAnsi="宋体" w:eastAsia="宋体" w:cs="宋体"/>
          <w:color w:val="000000"/>
          <w:sz w:val="21"/>
          <w:szCs w:val="21"/>
          <w:highlight w:val="none"/>
          <w:lang w:val="zh-CN" w:eastAsia="zh-CN"/>
        </w:rPr>
        <w:t>检查数据采集情况、数据采集接口的运行情况</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val="zh-CN" w:eastAsia="zh-CN"/>
        </w:rPr>
        <w:t>对系统大数据平台中厂站、报表系统、药剂系统、碳排放</w:t>
      </w:r>
      <w:r>
        <w:rPr>
          <w:rFonts w:hint="eastAsia" w:ascii="宋体" w:hAnsi="宋体" w:eastAsia="宋体" w:cs="宋体"/>
          <w:color w:val="000000"/>
          <w:sz w:val="21"/>
          <w:szCs w:val="21"/>
          <w:highlight w:val="none"/>
          <w:lang w:val="en-US" w:eastAsia="zh-CN"/>
        </w:rPr>
        <w:t>等</w:t>
      </w:r>
      <w:r>
        <w:rPr>
          <w:rFonts w:hint="eastAsia" w:ascii="宋体" w:hAnsi="宋体" w:eastAsia="宋体" w:cs="宋体"/>
          <w:color w:val="000000"/>
          <w:sz w:val="21"/>
          <w:szCs w:val="21"/>
          <w:highlight w:val="none"/>
          <w:lang w:val="zh-CN" w:eastAsia="zh-CN"/>
        </w:rPr>
        <w:t>系统对接的数据源连接状态进行定期检查，如有问题及时向各外部系统进行反馈跟踪处理；</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每3个月到现场进行数据点位校对更新，</w:t>
      </w:r>
      <w:r>
        <w:rPr>
          <w:rFonts w:hint="eastAsia" w:ascii="宋体" w:hAnsi="宋体" w:eastAsia="宋体" w:cs="宋体"/>
          <w:color w:val="000000"/>
          <w:sz w:val="21"/>
          <w:szCs w:val="21"/>
          <w:highlight w:val="none"/>
          <w:lang w:val="zh-CN" w:eastAsia="zh-CN"/>
        </w:rPr>
        <w:t>解决数据采集过程中遇到的问题；</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每周检查数据共享接口的运行情况，根据业主需求配置共享接口，配合外部系统排查数据共享问题，解决数据共享过程中遇到的问题；</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对部署的系统应用与数据库的服务、数据库空间、主机磁盘空间、 主机CPU资源、主机内存等进行</w:t>
      </w:r>
      <w:r>
        <w:rPr>
          <w:rFonts w:hint="eastAsia" w:ascii="宋体" w:hAnsi="宋体" w:eastAsia="宋体" w:cs="宋体"/>
          <w:color w:val="000000"/>
          <w:sz w:val="21"/>
          <w:szCs w:val="21"/>
          <w:highlight w:val="none"/>
          <w:lang w:val="en-US" w:eastAsia="zh-CN"/>
        </w:rPr>
        <w:t>每日</w:t>
      </w:r>
      <w:r>
        <w:rPr>
          <w:rFonts w:hint="eastAsia" w:ascii="宋体" w:hAnsi="宋体" w:eastAsia="宋体" w:cs="宋体"/>
          <w:color w:val="000000"/>
          <w:sz w:val="21"/>
          <w:szCs w:val="21"/>
          <w:highlight w:val="none"/>
          <w:lang w:val="zh-CN" w:eastAsia="zh-CN"/>
        </w:rPr>
        <w:t>巡检，根据业主要求进行系统安全漏洞修复，保障服务正常运行；</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解决</w:t>
      </w:r>
      <w:r>
        <w:rPr>
          <w:rFonts w:hint="eastAsia" w:ascii="宋体" w:hAnsi="宋体" w:eastAsia="宋体" w:cs="宋体"/>
          <w:color w:val="000000"/>
          <w:sz w:val="21"/>
          <w:szCs w:val="21"/>
          <w:highlight w:val="none"/>
          <w:lang w:val="en-US" w:eastAsia="zh-CN"/>
        </w:rPr>
        <w:t>普通</w:t>
      </w:r>
      <w:r>
        <w:rPr>
          <w:rFonts w:hint="eastAsia" w:ascii="宋体" w:hAnsi="宋体" w:eastAsia="宋体" w:cs="宋体"/>
          <w:color w:val="000000"/>
          <w:sz w:val="21"/>
          <w:szCs w:val="21"/>
          <w:highlight w:val="none"/>
          <w:lang w:val="zh-CN" w:eastAsia="zh-CN"/>
        </w:rPr>
        <w:t>用户在使用</w:t>
      </w:r>
      <w:r>
        <w:rPr>
          <w:rFonts w:hint="eastAsia" w:ascii="宋体" w:hAnsi="宋体" w:eastAsia="宋体" w:cs="宋体"/>
          <w:color w:val="000000"/>
          <w:sz w:val="21"/>
          <w:szCs w:val="21"/>
          <w:highlight w:val="none"/>
          <w:lang w:val="en-US" w:eastAsia="zh-CN"/>
        </w:rPr>
        <w:t>平台</w:t>
      </w:r>
      <w:r>
        <w:rPr>
          <w:rFonts w:hint="eastAsia" w:ascii="宋体" w:hAnsi="宋体" w:eastAsia="宋体" w:cs="宋体"/>
          <w:color w:val="000000"/>
          <w:sz w:val="21"/>
          <w:szCs w:val="21"/>
          <w:highlight w:val="none"/>
          <w:lang w:val="zh-CN" w:eastAsia="zh-CN"/>
        </w:rPr>
        <w:t>过程中遇到的疑难问题；</w:t>
      </w:r>
      <w:r>
        <w:rPr>
          <w:rFonts w:hint="eastAsia" w:ascii="宋体" w:hAnsi="宋体" w:eastAsia="宋体" w:cs="宋体"/>
          <w:color w:val="000000"/>
          <w:sz w:val="21"/>
          <w:szCs w:val="21"/>
          <w:highlight w:val="none"/>
          <w:lang w:val="zh-CN"/>
        </w:rPr>
        <w:t>帮助解答</w:t>
      </w:r>
      <w:r>
        <w:rPr>
          <w:rFonts w:hint="eastAsia" w:ascii="宋体" w:hAnsi="宋体" w:eastAsia="宋体" w:cs="宋体"/>
          <w:color w:val="000000"/>
          <w:sz w:val="21"/>
          <w:szCs w:val="21"/>
          <w:highlight w:val="none"/>
          <w:lang w:val="en-US" w:eastAsia="zh-CN"/>
        </w:rPr>
        <w:t>业主</w:t>
      </w:r>
      <w:r>
        <w:rPr>
          <w:rFonts w:hint="eastAsia" w:ascii="宋体" w:hAnsi="宋体" w:eastAsia="宋体" w:cs="宋体"/>
          <w:color w:val="000000"/>
          <w:sz w:val="21"/>
          <w:szCs w:val="21"/>
          <w:highlight w:val="none"/>
          <w:lang w:val="zh-CN"/>
        </w:rPr>
        <w:t>提出的系统相关的各种业务和技术问题，包括技术咨询、指导和信息提供等；</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指导协助</w:t>
      </w:r>
      <w:r>
        <w:rPr>
          <w:rFonts w:hint="eastAsia" w:ascii="宋体" w:hAnsi="宋体" w:eastAsia="宋体" w:cs="宋体"/>
          <w:color w:val="000000"/>
          <w:sz w:val="21"/>
          <w:szCs w:val="21"/>
          <w:highlight w:val="none"/>
          <w:lang w:val="en-US" w:eastAsia="zh-CN"/>
        </w:rPr>
        <w:t>业主方系统管理员进行系统常见问题及故障处理，并按业主要求进行管理员培训；</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提供40人日的驻场运维服务，并提供重大活动现场技术保障、节假日远程技术保障；</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本项目运维范围内的系统若有版本升级，需在保障业主方网络环境安全的前提下，及时完成系统的软件包升级配置工作。</w:t>
      </w:r>
    </w:p>
    <w:p>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w:t>
      </w:r>
      <w:r>
        <w:rPr>
          <w:rFonts w:hint="eastAsia" w:ascii="宋体" w:hAnsi="宋体" w:eastAsia="宋体" w:cs="宋体"/>
          <w:b/>
          <w:bCs/>
          <w:color w:val="000000"/>
          <w:sz w:val="21"/>
          <w:szCs w:val="21"/>
          <w:highlight w:val="none"/>
          <w:lang w:val="zh-CN"/>
        </w:rPr>
        <w:t>.系统</w:t>
      </w:r>
      <w:r>
        <w:rPr>
          <w:rFonts w:hint="eastAsia" w:ascii="宋体" w:hAnsi="宋体" w:eastAsia="宋体" w:cs="宋体"/>
          <w:b/>
          <w:bCs/>
          <w:color w:val="000000"/>
          <w:sz w:val="21"/>
          <w:szCs w:val="21"/>
          <w:highlight w:val="none"/>
          <w:lang w:val="en-US" w:eastAsia="zh-CN"/>
        </w:rPr>
        <w:t>突发故障处理</w:t>
      </w:r>
    </w:p>
    <w:p>
      <w:pPr>
        <w:pageBreakBefore w:val="0"/>
        <w:widowControl w:val="0"/>
        <w:numPr>
          <w:ilvl w:val="0"/>
          <w:numId w:val="7"/>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及时解决系统运行过程中发生的突发事件，</w:t>
      </w:r>
      <w:r>
        <w:rPr>
          <w:rFonts w:hint="eastAsia" w:ascii="宋体" w:hAnsi="宋体" w:eastAsia="宋体" w:cs="宋体"/>
          <w:color w:val="000000"/>
          <w:sz w:val="21"/>
          <w:szCs w:val="21"/>
          <w:highlight w:val="none"/>
          <w:lang w:val="en-US" w:eastAsia="zh-CN"/>
        </w:rPr>
        <w:t>对于可能影响营运工作的功能，要求8小时内</w:t>
      </w:r>
      <w:r>
        <w:rPr>
          <w:rFonts w:hint="eastAsia" w:ascii="宋体" w:hAnsi="宋体" w:eastAsia="宋体" w:cs="宋体"/>
          <w:color w:val="000000"/>
          <w:sz w:val="21"/>
          <w:szCs w:val="21"/>
          <w:highlight w:val="none"/>
          <w:lang w:val="zh-CN" w:eastAsia="zh-CN"/>
        </w:rPr>
        <w:t>排除系统自身故障恢复正常运行。</w:t>
      </w:r>
    </w:p>
    <w:p>
      <w:pPr>
        <w:pageBreakBefore w:val="0"/>
        <w:widowControl w:val="0"/>
        <w:numPr>
          <w:ilvl w:val="0"/>
          <w:numId w:val="7"/>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针对非网络因素导致的系统响应慢、功能使用异常、显示异常等问题进行修复；</w:t>
      </w:r>
    </w:p>
    <w:p>
      <w:pPr>
        <w:pageBreakBefore w:val="0"/>
        <w:widowControl w:val="0"/>
        <w:numPr>
          <w:ilvl w:val="0"/>
          <w:numId w:val="7"/>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当发生服务器故障或者数据问题时，对本项目的系统、数据及3D资料等相关信息进行还原操作。</w:t>
      </w:r>
    </w:p>
    <w:p>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lang w:val="zh-CN"/>
        </w:rPr>
        <w:t>.</w:t>
      </w:r>
      <w:r>
        <w:rPr>
          <w:rFonts w:hint="eastAsia" w:ascii="宋体" w:hAnsi="宋体" w:eastAsia="宋体" w:cs="宋体"/>
          <w:b/>
          <w:bCs/>
          <w:color w:val="000000"/>
          <w:sz w:val="21"/>
          <w:szCs w:val="21"/>
          <w:highlight w:val="none"/>
          <w:lang w:val="en-US" w:eastAsia="zh-CN"/>
        </w:rPr>
        <w:t>系统功能优化开发</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运维期间配合业主梳理业务需求，</w:t>
      </w:r>
      <w:r>
        <w:rPr>
          <w:rFonts w:hint="eastAsia" w:ascii="宋体" w:hAnsi="宋体" w:eastAsia="宋体" w:cs="宋体"/>
          <w:color w:val="000000"/>
          <w:sz w:val="21"/>
          <w:szCs w:val="21"/>
          <w:highlight w:val="none"/>
          <w:lang w:val="zh-CN"/>
        </w:rPr>
        <w:t>从应用系统角度</w:t>
      </w:r>
      <w:r>
        <w:rPr>
          <w:rFonts w:hint="eastAsia" w:ascii="宋体" w:hAnsi="宋体" w:eastAsia="宋体" w:cs="宋体"/>
          <w:color w:val="000000"/>
          <w:sz w:val="21"/>
          <w:szCs w:val="21"/>
          <w:highlight w:val="none"/>
          <w:lang w:val="en-US" w:eastAsia="zh-CN"/>
        </w:rPr>
        <w:t>提出优化设计意见</w:t>
      </w:r>
      <w:r>
        <w:rPr>
          <w:rFonts w:hint="eastAsia" w:ascii="宋体" w:hAnsi="宋体" w:eastAsia="宋体" w:cs="宋体"/>
          <w:color w:val="000000"/>
          <w:sz w:val="21"/>
          <w:szCs w:val="21"/>
          <w:highlight w:val="none"/>
          <w:lang w:val="zh-CN"/>
        </w:rPr>
        <w:t>，</w:t>
      </w:r>
      <w:r>
        <w:rPr>
          <w:rFonts w:hint="eastAsia" w:ascii="宋体" w:hAnsi="宋体" w:eastAsia="宋体" w:cs="宋体"/>
          <w:color w:val="000000"/>
          <w:sz w:val="21"/>
          <w:szCs w:val="21"/>
          <w:highlight w:val="none"/>
          <w:lang w:val="en-US" w:eastAsia="zh-CN"/>
        </w:rPr>
        <w:t>并提供100人天的二次开发工作量，</w:t>
      </w:r>
      <w:r>
        <w:rPr>
          <w:rFonts w:hint="eastAsia" w:ascii="宋体" w:hAnsi="宋体" w:eastAsia="宋体" w:cs="宋体"/>
          <w:color w:val="000000"/>
          <w:sz w:val="21"/>
          <w:szCs w:val="21"/>
          <w:highlight w:val="none"/>
          <w:lang w:val="zh-CN"/>
        </w:rPr>
        <w:t>进行</w:t>
      </w:r>
      <w:r>
        <w:rPr>
          <w:rFonts w:hint="eastAsia" w:ascii="宋体" w:hAnsi="宋体" w:eastAsia="宋体" w:cs="宋体"/>
          <w:color w:val="000000"/>
          <w:sz w:val="21"/>
          <w:szCs w:val="21"/>
          <w:highlight w:val="none"/>
          <w:lang w:val="en-US" w:eastAsia="zh-CN"/>
        </w:rPr>
        <w:t>系统新增功能开发、其他业务系统的页面集成（单点登录、功能嵌入）和数据对接等工作</w:t>
      </w:r>
      <w:r>
        <w:rPr>
          <w:rFonts w:hint="eastAsia" w:ascii="宋体" w:hAnsi="宋体" w:eastAsia="宋体" w:cs="宋体"/>
          <w:color w:val="000000"/>
          <w:sz w:val="21"/>
          <w:szCs w:val="21"/>
          <w:highlight w:val="none"/>
          <w:lang w:val="zh-CN"/>
        </w:rPr>
        <w:t>。</w:t>
      </w:r>
    </w:p>
    <w:p>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4</w:t>
      </w:r>
      <w:r>
        <w:rPr>
          <w:rFonts w:hint="eastAsia" w:ascii="宋体" w:hAnsi="宋体" w:eastAsia="宋体" w:cs="宋体"/>
          <w:b/>
          <w:bCs/>
          <w:color w:val="000000"/>
          <w:sz w:val="21"/>
          <w:szCs w:val="21"/>
          <w:highlight w:val="none"/>
          <w:lang w:val="zh-CN" w:eastAsia="zh-CN"/>
        </w:rPr>
        <w:t>.运维</w:t>
      </w:r>
      <w:r>
        <w:rPr>
          <w:rFonts w:hint="eastAsia" w:ascii="宋体" w:hAnsi="宋体" w:eastAsia="宋体" w:cs="宋体"/>
          <w:b/>
          <w:bCs/>
          <w:color w:val="000000"/>
          <w:sz w:val="21"/>
          <w:szCs w:val="21"/>
          <w:highlight w:val="none"/>
          <w:lang w:val="en-US" w:eastAsia="zh-CN"/>
        </w:rPr>
        <w:t>记录及报告</w:t>
      </w:r>
    </w:p>
    <w:p>
      <w:pPr>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提供运维记录台账，当日问题当日录入，及时更新处理措施及情况；</w:t>
      </w:r>
    </w:p>
    <w:p>
      <w:pPr>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出具每月</w:t>
      </w:r>
      <w:r>
        <w:rPr>
          <w:rFonts w:hint="eastAsia" w:ascii="宋体" w:hAnsi="宋体" w:eastAsia="宋体" w:cs="宋体"/>
          <w:color w:val="000000"/>
          <w:sz w:val="21"/>
          <w:szCs w:val="21"/>
          <w:highlight w:val="none"/>
          <w:lang w:val="zh-CN" w:eastAsia="zh-CN"/>
        </w:rPr>
        <w:t>运维总结报告，总结回顾各项运维工作开展情况，重点描述和分析出现的技术问题和服务质量问题，并给出整改方案；</w:t>
      </w:r>
    </w:p>
    <w:p>
      <w:pPr>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故障处理完毕后48小时内出具故障处理报告，写明故障原因、处理措施、故障影响等内容。</w:t>
      </w:r>
    </w:p>
    <w:p>
      <w:pPr>
        <w:pStyle w:val="55"/>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技术要求</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本项目包含系统运维和系统功能升级及二次开发工作，因此</w:t>
      </w:r>
      <w:r>
        <w:rPr>
          <w:rFonts w:hint="eastAsia" w:ascii="宋体" w:hAnsi="宋体" w:eastAsia="宋体" w:cs="宋体"/>
          <w:b/>
          <w:bCs/>
          <w:color w:val="000000"/>
          <w:sz w:val="21"/>
          <w:szCs w:val="21"/>
          <w:highlight w:val="none"/>
          <w:lang w:val="en-US" w:eastAsia="zh-CN"/>
        </w:rPr>
        <w:t>要求项目成员必须具备下列技术能力</w:t>
      </w:r>
      <w:r>
        <w:rPr>
          <w:rFonts w:hint="eastAsia" w:ascii="宋体" w:hAnsi="宋体" w:eastAsia="宋体" w:cs="宋体"/>
          <w:color w:val="000000"/>
          <w:sz w:val="21"/>
          <w:szCs w:val="21"/>
          <w:highlight w:val="none"/>
          <w:lang w:val="en-US" w:eastAsia="zh-CN"/>
        </w:rPr>
        <w:t>：</w:t>
      </w:r>
    </w:p>
    <w:p>
      <w:pPr>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具有丰富的K8S开发经验，具有较大规模K8S使用经验，对pod自动化配置和性能监控有较深的理解，同时对Containerd、Docker容器技术有丰富的经验；</w:t>
      </w:r>
    </w:p>
    <w:p>
      <w:pPr>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对linux系列操作系统有专业的技术人员支持，能够进行系统环境部署及修复系统漏洞；</w:t>
      </w:r>
    </w:p>
    <w:p>
      <w:pPr>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需具有熟练使用nginx反向代理、负载均衡、HTTP服务器等技术；</w:t>
      </w:r>
    </w:p>
    <w:p>
      <w:pPr>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熟练nodered物联网工具，对其流编程技术有专业的技术人员支持；</w:t>
      </w:r>
    </w:p>
    <w:p>
      <w:pPr>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熟练掌握postgreSQL关系型数据库、ClickHouse列式数据库，具备设计数据结构，优化SQL查询，以及支持分布式部署；</w:t>
      </w:r>
    </w:p>
    <w:p>
      <w:pPr>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熟练掌握Spring Boot微服务，并整合Dubbo+Zookeeper进行项目开发；熟练掌握golang微服务架构</w:t>
      </w:r>
    </w:p>
    <w:p>
      <w:pPr>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熟悉前端vue框架、Ionic 6.0 的 Hybrid App 框架及主流websocket框架；</w:t>
      </w:r>
    </w:p>
    <w:p>
      <w:pPr>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熟练TCP、OPC等服务编程；</w:t>
      </w:r>
    </w:p>
    <w:p>
      <w:pPr>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对海量数据存储、分析及流计算处理有一定经验。</w:t>
      </w:r>
    </w:p>
    <w:p>
      <w:pPr>
        <w:pStyle w:val="55"/>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运维时间要求</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针对公司的工作日制度，提供系统级的日常维护、定期巡检、性能测试、故障排查等服务。</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具体内容包括：</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1.工作日服务</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要指远程值守服务，每周一次对平台软件、数据库、网络状态进行监视、管理和维护，通过对系统运行日志的分析提前发现并排除可能发生的潜在故障，并在2小时内排除普通故障，4小时内排除较大故障，8小时内排除重大故障，24小时内排除特大故障。</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2.故障响应服务</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除了远程值守服务方式外，同时，提供7×24小时故障响应服务具体包括：</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维护期内提供电话、传真、电子邮件等方式的咨询和支持服务。</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系统出现故障无法远程解决时，</w:t>
      </w:r>
      <w:r>
        <w:rPr>
          <w:rFonts w:hint="eastAsia" w:ascii="宋体" w:hAnsi="宋体"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小时内派专业工程师赶赴现场进行故障诊断及处理，到达现场后，在1小时内排除普通故障，2小时内排除较大故障，8小时内排除重大故障，24小时内排除特大故障。</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一般故障，</w:t>
      </w:r>
      <w:r>
        <w:rPr>
          <w:rFonts w:hint="eastAsia" w:ascii="宋体" w:hAnsi="宋体" w:eastAsia="宋体" w:cs="宋体"/>
          <w:color w:val="000000"/>
          <w:sz w:val="21"/>
          <w:szCs w:val="21"/>
          <w:highlight w:val="none"/>
          <w:lang w:val="en-US" w:eastAsia="zh-CN"/>
        </w:rPr>
        <w:t>遵循</w:t>
      </w:r>
      <w:r>
        <w:rPr>
          <w:rFonts w:hint="eastAsia" w:ascii="宋体" w:hAnsi="宋体" w:eastAsia="宋体" w:cs="宋体"/>
          <w:color w:val="000000"/>
          <w:sz w:val="21"/>
          <w:szCs w:val="21"/>
          <w:highlight w:val="none"/>
        </w:rPr>
        <w:t>工作日</w:t>
      </w:r>
      <w:r>
        <w:rPr>
          <w:rFonts w:hint="eastAsia" w:ascii="宋体" w:hAnsi="宋体" w:eastAsia="宋体" w:cs="宋体"/>
          <w:color w:val="000000"/>
          <w:sz w:val="21"/>
          <w:szCs w:val="21"/>
          <w:highlight w:val="none"/>
          <w:lang w:val="en-US" w:eastAsia="zh-CN"/>
        </w:rPr>
        <w:t>服务</w:t>
      </w:r>
      <w:r>
        <w:rPr>
          <w:rFonts w:hint="eastAsia" w:ascii="宋体" w:hAnsi="宋体" w:eastAsia="宋体" w:cs="宋体"/>
          <w:color w:val="000000"/>
          <w:sz w:val="21"/>
          <w:szCs w:val="21"/>
          <w:highlight w:val="none"/>
        </w:rPr>
        <w:t>响应</w:t>
      </w:r>
      <w:r>
        <w:rPr>
          <w:rFonts w:hint="eastAsia" w:ascii="宋体" w:hAnsi="宋体" w:eastAsia="宋体" w:cs="宋体"/>
          <w:color w:val="000000"/>
          <w:sz w:val="21"/>
          <w:szCs w:val="21"/>
          <w:highlight w:val="none"/>
          <w:lang w:val="en-US" w:eastAsia="zh-CN"/>
        </w:rPr>
        <w:t>要求</w:t>
      </w:r>
      <w:r>
        <w:rPr>
          <w:rFonts w:hint="eastAsia" w:ascii="宋体" w:hAnsi="宋体" w:eastAsia="宋体" w:cs="宋体"/>
          <w:color w:val="000000"/>
          <w:sz w:val="21"/>
          <w:szCs w:val="21"/>
          <w:highlight w:val="none"/>
        </w:rPr>
        <w:t>。</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3.其他时间及夜间服务</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当系统在非工作日出现异常无法远程解决时，维护人员在</w:t>
      </w:r>
      <w:r>
        <w:rPr>
          <w:rFonts w:hint="eastAsia" w:ascii="宋体" w:hAnsi="宋体" w:eastAsia="宋体" w:cs="宋体"/>
          <w:color w:val="000000"/>
          <w:sz w:val="21"/>
          <w:szCs w:val="21"/>
          <w:highlight w:val="none"/>
          <w:lang w:val="en-US" w:eastAsia="zh-CN"/>
        </w:rPr>
        <w:t>24</w:t>
      </w:r>
      <w:r>
        <w:rPr>
          <w:rFonts w:hint="eastAsia" w:ascii="宋体" w:hAnsi="宋体" w:eastAsia="宋体" w:cs="宋体"/>
          <w:color w:val="000000"/>
          <w:sz w:val="21"/>
          <w:szCs w:val="21"/>
          <w:highlight w:val="none"/>
        </w:rPr>
        <w:t>小时内赶赴现场并排除系统普通故障，特大故障在24小时内处理完毕。</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4.临时保障服务</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当遇到重大活动需要提供临时保障服务时，维护人员须在需要保障服务的前一天进驻现场，并对软件平台、</w:t>
      </w:r>
      <w:r>
        <w:rPr>
          <w:rFonts w:hint="eastAsia" w:ascii="宋体" w:hAnsi="宋体" w:eastAsia="宋体" w:cs="宋体"/>
          <w:color w:val="000000"/>
          <w:sz w:val="21"/>
          <w:szCs w:val="21"/>
          <w:highlight w:val="none"/>
          <w:lang w:val="en-US" w:eastAsia="zh-CN"/>
        </w:rPr>
        <w:t>数据传输情况、</w:t>
      </w:r>
      <w:r>
        <w:rPr>
          <w:rFonts w:hint="eastAsia" w:ascii="宋体" w:hAnsi="宋体" w:eastAsia="宋体" w:cs="宋体"/>
          <w:color w:val="000000"/>
          <w:sz w:val="21"/>
          <w:szCs w:val="21"/>
          <w:highlight w:val="none"/>
        </w:rPr>
        <w:t>网络配置等进行临时性检查，排除隐患，保证平台正常运行。</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5.月度检查</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每月对各系统、</w:t>
      </w:r>
      <w:r>
        <w:rPr>
          <w:rFonts w:hint="eastAsia" w:ascii="宋体" w:hAnsi="宋体" w:eastAsia="宋体" w:cs="宋体"/>
          <w:color w:val="000000"/>
          <w:sz w:val="21"/>
          <w:szCs w:val="21"/>
          <w:highlight w:val="none"/>
          <w:lang w:val="en-US" w:eastAsia="zh-CN"/>
        </w:rPr>
        <w:t>数据传输存储情况</w:t>
      </w:r>
      <w:r>
        <w:rPr>
          <w:rFonts w:hint="eastAsia" w:ascii="宋体" w:hAnsi="宋体" w:eastAsia="宋体" w:cs="宋体"/>
          <w:color w:val="000000"/>
          <w:sz w:val="21"/>
          <w:szCs w:val="21"/>
          <w:highlight w:val="none"/>
        </w:rPr>
        <w:t>进行月度检查，</w:t>
      </w:r>
      <w:r>
        <w:rPr>
          <w:rFonts w:hint="eastAsia" w:ascii="宋体" w:hAnsi="宋体" w:eastAsia="宋体" w:cs="宋体"/>
          <w:color w:val="000000"/>
          <w:sz w:val="21"/>
          <w:szCs w:val="21"/>
          <w:highlight w:val="none"/>
          <w:lang w:val="en-US" w:eastAsia="zh-CN"/>
        </w:rPr>
        <w:t>对系统及数据进行月度的增量备份，</w:t>
      </w:r>
      <w:r>
        <w:rPr>
          <w:rFonts w:hint="eastAsia" w:ascii="宋体" w:hAnsi="宋体" w:eastAsia="宋体" w:cs="宋体"/>
          <w:color w:val="000000"/>
          <w:sz w:val="21"/>
          <w:szCs w:val="21"/>
          <w:highlight w:val="none"/>
        </w:rPr>
        <w:t>对检查中存在的故障及安全隐患进行处理。每月第一周向用户单位提交上月的《月度巡检报告》，报请用户单位审批签署。</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6.季度检查</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每季度对</w:t>
      </w:r>
      <w:r>
        <w:rPr>
          <w:rFonts w:hint="eastAsia" w:ascii="宋体" w:hAnsi="宋体" w:eastAsia="宋体" w:cs="宋体"/>
          <w:color w:val="000000"/>
          <w:sz w:val="21"/>
          <w:szCs w:val="21"/>
          <w:highlight w:val="none"/>
          <w:lang w:val="en-US" w:eastAsia="zh-CN"/>
        </w:rPr>
        <w:t>各</w:t>
      </w:r>
      <w:r>
        <w:rPr>
          <w:rFonts w:hint="eastAsia" w:ascii="宋体" w:hAnsi="宋体" w:eastAsia="宋体" w:cs="宋体"/>
          <w:color w:val="000000"/>
          <w:sz w:val="21"/>
          <w:szCs w:val="21"/>
          <w:highlight w:val="none"/>
        </w:rPr>
        <w:t>系统、</w:t>
      </w:r>
      <w:r>
        <w:rPr>
          <w:rFonts w:hint="eastAsia" w:ascii="宋体" w:hAnsi="宋体" w:eastAsia="宋体" w:cs="宋体"/>
          <w:color w:val="000000"/>
          <w:sz w:val="21"/>
          <w:szCs w:val="21"/>
          <w:highlight w:val="none"/>
          <w:lang w:val="en-US" w:eastAsia="zh-CN"/>
        </w:rPr>
        <w:t>数据传输存储情况</w:t>
      </w:r>
      <w:r>
        <w:rPr>
          <w:rFonts w:hint="eastAsia" w:ascii="宋体" w:hAnsi="宋体" w:eastAsia="宋体" w:cs="宋体"/>
          <w:color w:val="000000"/>
          <w:sz w:val="21"/>
          <w:szCs w:val="21"/>
          <w:highlight w:val="none"/>
        </w:rPr>
        <w:t>进行月度检查，</w:t>
      </w:r>
      <w:r>
        <w:rPr>
          <w:rFonts w:hint="eastAsia" w:ascii="宋体" w:hAnsi="宋体" w:eastAsia="宋体" w:cs="宋体"/>
          <w:color w:val="000000"/>
          <w:sz w:val="21"/>
          <w:szCs w:val="21"/>
          <w:highlight w:val="none"/>
          <w:lang w:val="en-US" w:eastAsia="zh-CN"/>
        </w:rPr>
        <w:t>对系统及数据进行全量备份和异地存储，</w:t>
      </w:r>
      <w:r>
        <w:rPr>
          <w:rFonts w:hint="eastAsia" w:ascii="宋体" w:hAnsi="宋体" w:eastAsia="宋体" w:cs="宋体"/>
          <w:color w:val="000000"/>
          <w:sz w:val="21"/>
          <w:szCs w:val="21"/>
          <w:highlight w:val="none"/>
        </w:rPr>
        <w:t>对检查中存在的故障及安全隐患进行处理。</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7.年度检查</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每年对整个系统</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运行环境进行运行评估和风险分析</w:t>
      </w:r>
      <w:r>
        <w:rPr>
          <w:rFonts w:hint="eastAsia" w:ascii="宋体" w:hAnsi="宋体" w:eastAsia="宋体" w:cs="宋体"/>
          <w:color w:val="000000"/>
          <w:sz w:val="21"/>
          <w:szCs w:val="21"/>
          <w:highlight w:val="none"/>
        </w:rPr>
        <w:t>，并对下一年可能存在的问题进行风险预测，提交完整的评估报告。</w:t>
      </w:r>
    </w:p>
    <w:p>
      <w:pPr>
        <w:pStyle w:val="2"/>
        <w:ind w:left="0" w:leftChars="0" w:firstLine="0" w:firstLineChars="0"/>
        <w:rPr>
          <w:rFonts w:hint="eastAsia"/>
          <w:highlight w:val="none"/>
          <w:lang w:eastAsia="zh-CN"/>
        </w:rPr>
      </w:pPr>
    </w:p>
    <w:p>
      <w:pPr>
        <w:spacing w:line="560" w:lineRule="exact"/>
        <w:rPr>
          <w:rFonts w:hint="eastAsia" w:ascii="宋体" w:hAnsi="宋体" w:cs="宋体"/>
          <w:color w:val="000000" w:themeColor="text1"/>
          <w:szCs w:val="21"/>
          <w:highlight w:val="none"/>
          <w:lang w:val="en-US" w:eastAsia="zh-CN"/>
          <w14:textFill>
            <w14:solidFill>
              <w14:schemeClr w14:val="tx1"/>
            </w14:solidFill>
          </w14:textFill>
        </w:rPr>
        <w:sectPr>
          <w:pgSz w:w="11906" w:h="16838"/>
          <w:pgMar w:top="1418" w:right="1474" w:bottom="1985" w:left="1588" w:header="851" w:footer="992" w:gutter="0"/>
          <w:cols w:space="425" w:num="1"/>
          <w:titlePg/>
          <w:docGrid w:type="lines" w:linePitch="312" w:charSpace="0"/>
        </w:sectPr>
      </w:pPr>
    </w:p>
    <w:p>
      <w:pPr>
        <w:spacing w:line="360" w:lineRule="auto"/>
        <w:jc w:val="left"/>
        <w:rPr>
          <w:rFonts w:hint="default"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附件6项目投入人员架构表</w:t>
      </w: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附件7履约保函（模板）</w:t>
      </w:r>
    </w:p>
    <w:p>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履约保函（模板）</w:t>
      </w:r>
    </w:p>
    <w:p>
      <w:pPr>
        <w:rPr>
          <w:rFonts w:ascii="宋体" w:hAnsi="宋体" w:cs="宋体"/>
          <w:color w:val="000000" w:themeColor="text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（受益人）</w:t>
      </w:r>
      <w:r>
        <w:rPr>
          <w:rFonts w:hint="eastAsia" w:ascii="宋体" w:hAnsi="宋体" w:cs="宋体"/>
          <w:color w:val="000000" w:themeColor="text1"/>
          <w:szCs w:val="21"/>
          <w:highlight w:val="none"/>
          <w14:textFill>
            <w14:solidFill>
              <w14:schemeClr w14:val="tx1"/>
            </w14:solidFill>
          </w14:textFill>
        </w:rPr>
        <w:br w:type="textWrapping"/>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（以下简称“委托人”）与贵方于</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签订了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一、我行保证在收到贵单位于保函有效期内送达的依本保函约定的索赔申请后，在</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个</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工作日内无条件和不可改变地向贵单位支付最高金额不超过人民币元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）的履约保证金，并放弃向你方提出任何异议和追索的权利。</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二、贵单位的索赔申请应符合下述条件：</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（一）贵单位法定代表人或其授权代表签字并加盖单位公章；</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（二）在保函有效期内送达我行；</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（三）明确的索赔金额（不得超过本保函第一条所列之限额）。</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三、本保函自签发之日起生效，有效期至</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。本保函于下述任一事项发生之时立即失效，我行在本保函项下的保证义务即刻解除：</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（一）本保函有效期限届满；</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（二）我行保证的义务履行完毕。</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五、我行向你方支付索赔金额后，本保函担保金额即按贵方通知的索赔金额予以递减。</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六、保函失效后请将保函退回我行注销，无论正本最终退回与否，不影响本保函依上述约定自动失效。</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pPr>
        <w:ind w:firstLine="420"/>
        <w:rPr>
          <w:rFonts w:ascii="宋体" w:hAnsi="宋体" w:cs="宋体"/>
          <w:color w:val="000000" w:themeColor="text1"/>
          <w:szCs w:val="21"/>
          <w:highlight w:val="none"/>
          <w14:textFill>
            <w14:solidFill>
              <w14:schemeClr w14:val="tx1"/>
            </w14:solidFill>
          </w14:textFill>
        </w:rPr>
      </w:pP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落款</w:t>
      </w:r>
    </w:p>
    <w:p>
      <w:pPr>
        <w:ind w:firstLine="420"/>
        <w:rPr>
          <w:rFonts w:ascii="宋体" w:hAnsi="宋体" w:cs="宋体"/>
          <w:color w:val="000000" w:themeColor="text1"/>
          <w:szCs w:val="21"/>
          <w:highlight w:val="none"/>
          <w14:textFill>
            <w14:solidFill>
              <w14:schemeClr w14:val="tx1"/>
            </w14:solidFill>
          </w14:textFill>
        </w:rPr>
      </w:pP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保函说明：</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保函不得有下列或类似含义的表述：</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1.银行承担的为连带责任保证、一般保证。</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2.未经银行书面同意，受益人与申请人修改合同或其项下附件时，银行的保证义务解除。</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3.合同撤销或无效的，保函失效。</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4.申请人对受益人的抗辩，银行有权向受益人主张。</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5.受益人请求付款的请款单据包含法院裁判文书、仲裁裁决、第三方单位出具的鉴定书等申请人违约的证明材料。</w:t>
      </w: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附件8授权委托证明</w:t>
      </w: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eastAsia="方正小标宋简体" w:asciiTheme="minorHAnsi" w:hAnsiTheme="minorHAnsi" w:cstheme="minorBidi"/>
          <w:bCs/>
          <w:color w:val="auto"/>
          <w:kern w:val="44"/>
          <w:sz w:val="44"/>
          <w:szCs w:val="44"/>
          <w:highlight w:val="none"/>
          <w:lang w:val="en-US" w:eastAsia="zh-CN" w:bidi="ar-SA"/>
        </w:rPr>
      </w:pPr>
      <w:r>
        <w:rPr>
          <w:sz w:val="44"/>
        </w:rPr>
        <mc:AlternateContent>
          <mc:Choice Requires="wps">
            <w:drawing>
              <wp:anchor distT="0" distB="0" distL="114300" distR="114300" simplePos="0" relativeHeight="251674624" behindDoc="0" locked="0" layoutInCell="1" allowOverlap="1">
                <wp:simplePos x="0" y="0"/>
                <wp:positionH relativeFrom="column">
                  <wp:posOffset>2320290</wp:posOffset>
                </wp:positionH>
                <wp:positionV relativeFrom="paragraph">
                  <wp:posOffset>401320</wp:posOffset>
                </wp:positionV>
                <wp:extent cx="1163320" cy="6985"/>
                <wp:effectExtent l="0" t="0" r="0" b="0"/>
                <wp:wrapNone/>
                <wp:docPr id="2" name="直接连接符 2"/>
                <wp:cNvGraphicFramePr/>
                <a:graphic xmlns:a="http://schemas.openxmlformats.org/drawingml/2006/main">
                  <a:graphicData uri="http://schemas.microsoft.com/office/word/2010/wordprocessingShape">
                    <wps:wsp>
                      <wps:cNvCnPr/>
                      <wps:spPr>
                        <a:xfrm flipV="1">
                          <a:off x="3328670" y="2190750"/>
                          <a:ext cx="11633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82.7pt;margin-top:31.6pt;height:0.55pt;width:91.6pt;z-index:251674624;mso-width-relative:page;mso-height-relative:page;" filled="f" stroked="t" coordsize="21600,21600" o:gfxdata="UEsDBAoAAAAAAIdO4kAAAAAAAAAAAAAAAAAEAAAAZHJzL1BLAwQUAAAACACHTuJAX0KHHtgAAAAJ&#10;AQAADwAAAGRycy9kb3ducmV2LnhtbE2PwU7DMAyG70i8Q2QkbixZ21WjNJ0QAi5ISIzCOW1MW9E4&#10;VZN14+0xJ3a0/en395e7kxvFgnMYPGlYrxQIpNbbgToN9fvTzRZEiIasGT2hhh8MsKsuL0pTWH+k&#10;N1z2sRMcQqEwGvoYp0LK0PboTFj5CYlvX352JvI4d9LO5sjhbpSJUrl0ZiD+0JsJH3psv/cHp+H+&#10;8+UxfV0a50d729Uf1tXqOdH6+mqt7kBEPMV/GP70WR0qdmr8gWwQo4Y032SMasjTBAQDm2ybg2h4&#10;kaUgq1KeN6h+AVBLAwQUAAAACACHTuJA3FVl2AYCAADsAwAADgAAAGRycy9lMm9Eb2MueG1srVO7&#10;btswFN0L9B8I7rUegR1bsJwhRrr0YaBtdpqiJAJ8gZex7J/oDxTo1k4du/dvmn5GLykladMlQz0Q&#10;5OW5h/ccH60vjlqRg/AgralpMcspEYbbRpquph/eX71YUgKBmYYpa0RNTwLoxeb5s/XgKlHa3qpG&#10;eIIkBqrB1bQPwVVZBrwXmsHMOmHwsrVes4BH32WNZwOya5WVeb7IBusb5y0XAFjdjpd0YvRPIbRt&#10;K7nYWn6jhQkjqxeKBZQEvXRAN2nathU8vG1bEIGomqLSkFZ8BPf7uGabNas6z1wv+TQCe8oIjzRp&#10;Jg0+ek+1ZYGRGy//odKSewu2DTNudTYKSY6giiJ/5M27njmRtKDV4O5Nh/9Hy98cdp7IpqYlJYZp&#10;/MNvP33/+fHLrx+fcb399pWU0aTBQYXYS7Pz0wnczkfFx9Zr0irprjFNyQNURY41PTsrl4tzNPqE&#10;5MUqP59PdotjIBwBRbFADAI4Ihar5Tw+lI2Mkdl5CC+F1SRuaqqkiWawih1eQRihd5BYNvZKKoV1&#10;VilDhpqu5uUcyRmGtMVw4FY7FAqmo4SpDtPPg0+MYJVsYndsBt/tL5UnBxYzk34jqGeNGKurOZbH&#10;7AALr20zlov8ro4qJpqk6C/+OPOWQT/2pKtJuDKIjk6P3sbd3janZHmqYwgS3xTYmLI/z6n74SPd&#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fQoce2AAAAAkBAAAPAAAAAAAAAAEAIAAAACIAAABk&#10;cnMvZG93bnJldi54bWxQSwECFAAUAAAACACHTuJA3FVl2AYCAADsAwAADgAAAAAAAAABACAAAAAn&#10;AQAAZHJzL2Uyb0RvYy54bWxQSwUGAAAAAAYABgBZAQAAnwUAAAAA&#10;">
                <v:fill on="f" focussize="0,0"/>
                <v:stroke color="#000000 [3200]" joinstyle="round"/>
                <v:imagedata o:title=""/>
                <o:lock v:ext="edit" aspectratio="f"/>
              </v:line>
            </w:pict>
          </mc:Fallback>
        </mc:AlternateContent>
      </w:r>
    </w:p>
    <w:p>
      <w:pPr>
        <w:pStyle w:val="2"/>
        <w:jc w:val="center"/>
        <w:rPr>
          <w:rFonts w:hint="eastAsia" w:eastAsia="方正小标宋简体" w:asciiTheme="minorHAnsi" w:hAnsiTheme="minorHAnsi" w:cstheme="minorBidi"/>
          <w:bCs/>
          <w:color w:val="auto"/>
          <w:kern w:val="44"/>
          <w:sz w:val="44"/>
          <w:szCs w:val="44"/>
          <w:highlight w:val="none"/>
          <w:lang w:val="en-US" w:eastAsia="zh-CN" w:bidi="ar-SA"/>
        </w:rPr>
      </w:pPr>
      <w:r>
        <w:rPr>
          <w:sz w:val="44"/>
        </w:rPr>
        <mc:AlternateContent>
          <mc:Choice Requires="wps">
            <w:drawing>
              <wp:anchor distT="0" distB="0" distL="114300" distR="114300" simplePos="0" relativeHeight="251675648" behindDoc="0" locked="0" layoutInCell="1" allowOverlap="1">
                <wp:simplePos x="0" y="0"/>
                <wp:positionH relativeFrom="column">
                  <wp:posOffset>2286000</wp:posOffset>
                </wp:positionH>
                <wp:positionV relativeFrom="paragraph">
                  <wp:posOffset>542925</wp:posOffset>
                </wp:positionV>
                <wp:extent cx="1224915" cy="0"/>
                <wp:effectExtent l="0" t="0" r="0" b="0"/>
                <wp:wrapNone/>
                <wp:docPr id="3" name="直接连接符 3"/>
                <wp:cNvGraphicFramePr/>
                <a:graphic xmlns:a="http://schemas.openxmlformats.org/drawingml/2006/main">
                  <a:graphicData uri="http://schemas.microsoft.com/office/word/2010/wordprocessingShape">
                    <wps:wsp>
                      <wps:cNvCnPr/>
                      <wps:spPr>
                        <a:xfrm>
                          <a:off x="3294380" y="2844165"/>
                          <a:ext cx="12249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0pt;margin-top:42.75pt;height:0pt;width:96.45pt;z-index:251675648;mso-width-relative:page;mso-height-relative:page;" filled="f" stroked="t" coordsize="21600,21600" o:gfxdata="UEsDBAoAAAAAAIdO4kAAAAAAAAAAAAAAAAAEAAAAZHJzL1BLAwQUAAAACACHTuJAPFSfuNcAAAAJ&#10;AQAADwAAAGRycy9kb3ducmV2LnhtbE2PS0/DMBCE70j8B2uRuFSt3VSp2hCnByA3LvShXrfxkkTE&#10;6zR2H/DrMeJAj7Mzmv0mX11tJ840+NaxhulEgSCunGm51rDdlOMFCB+QDXaOScMXeVgV93c5ZsZd&#10;+J3O61CLWMI+Qw1NCH0mpa8asugnrieO3ocbLIYoh1qaAS+x3HYyUWouLbYcPzTY03ND1ef6ZDX4&#10;ckfH8ntUjdR+VjtKji9vr6j148NUPYEIdA3/YfjFj+hQRKaDO7HxotMwm6u4JWhYpCmIGEjTZAni&#10;8HeQRS5vFxQ/UEsDBBQAAAAIAIdO4kCZlfp85gEAAKYDAAAOAAAAZHJzL2Uyb0RvYy54bWytU82O&#10;0zAQviPxDpbvNG3artqo6R62Wi4IKgEP4Dp2Ysl/8nib9iV4ASRucOLInbdheQzGTtg/LnsgB2ds&#10;f/lmvm8mm8uT0eQoAihnazqbTCkRlrtG2bamHz9cv1pRApHZhmlnRU3PAujl9uWLTe8rUbrO6UYE&#10;giQWqt7XtIvRV0UBvBOGwcR5YfFSumBYxG1oiyawHtmNLsrp9KLoXWh8cFwA4OluuKQjY3gOoZNS&#10;cbFz/MYIGwfWIDSLKAk65YFuc7VSCh7fSQkiEl1TVBrzikkwPqS12G5Y1QbmO8XHEthzSniiyTBl&#10;Mekd1Y5FRm6C+ofKKB4cOBkn3JliEJIdQRWz6RNv3nfMi6wFrQZ/Zzr8P1r+9rgPRDU1nVNimcGG&#10;337+8evT198/v+B6+/0bmSeTeg8VYq/sPow78PuQFJ9kMOmNWsgJacr1Yr5Ce881LVeLxexiOZgs&#10;TpFwBMzKcrGeLSnhiMgNKO5JfID4WjhDUlBTrWzSzyp2fAMREyP0LyQdW3ettM491Jb0NV0vy8TM&#10;cC4lzgOGxqM2sC0lTLc48DyGzAhOqyZ9nXggtIcrHciRpTHJTyoasz2CpdQ7Bt2Ay1cjTFtEJ48G&#10;V1J0cM05m5XPsX2Zbxy1NB8P9/nr+99r+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8VJ+41wAA&#10;AAkBAAAPAAAAAAAAAAEAIAAAACIAAABkcnMvZG93bnJldi54bWxQSwECFAAUAAAACACHTuJAmZX6&#10;fOYBAACmAwAADgAAAAAAAAABACAAAAAmAQAAZHJzL2Uyb0RvYy54bWxQSwUGAAAAAAYABgBZAQAA&#10;fgUAAAAA&#10;">
                <v:fill on="f" focussize="0,0"/>
                <v:stroke color="#000000 [3213]" joinstyle="round"/>
                <v:imagedata o:title=""/>
                <o:lock v:ext="edit" aspectratio="f"/>
              </v:line>
            </w:pict>
          </mc:Fallback>
        </mc:AlternateContent>
      </w:r>
      <w:r>
        <w:rPr>
          <w:rFonts w:hint="eastAsia" w:eastAsia="方正小标宋简体" w:asciiTheme="minorHAnsi" w:hAnsiTheme="minorHAnsi" w:cstheme="minorBidi"/>
          <w:bCs/>
          <w:color w:val="auto"/>
          <w:kern w:val="44"/>
          <w:sz w:val="44"/>
          <w:szCs w:val="44"/>
          <w:highlight w:val="none"/>
          <w:lang w:val="en-US" w:eastAsia="zh-CN" w:bidi="ar-SA"/>
        </w:rPr>
        <w:t>第七章</w:t>
      </w:r>
    </w:p>
    <w:p>
      <w:pPr>
        <w:pStyle w:val="4"/>
        <w:rPr>
          <w:rFonts w:ascii="方正小标宋简体" w:eastAsia="方正小标宋简体"/>
          <w:sz w:val="44"/>
          <w:szCs w:val="44"/>
          <w:highlight w:val="none"/>
        </w:rPr>
      </w:pPr>
      <w:r>
        <w:rPr>
          <w:rFonts w:hint="eastAsia"/>
          <w:highlight w:val="none"/>
        </w:rPr>
        <w:t>响应文件格式要求</w:t>
      </w:r>
      <w:bookmarkEnd w:id="85"/>
      <w:bookmarkEnd w:id="86"/>
      <w:bookmarkEnd w:id="87"/>
      <w:bookmarkEnd w:id="88"/>
      <w:bookmarkEnd w:id="89"/>
      <w:bookmarkEnd w:id="90"/>
      <w:bookmarkEnd w:id="91"/>
      <w:bookmarkEnd w:id="92"/>
      <w:bookmarkEnd w:id="93"/>
      <w:bookmarkEnd w:id="94"/>
      <w:bookmarkEnd w:id="95"/>
      <w:bookmarkEnd w:id="96"/>
      <w:bookmarkEnd w:id="97"/>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156" w:beforeLines="50" w:after="156" w:afterLines="50" w:line="600" w:lineRule="exact"/>
        <w:jc w:val="both"/>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highlight w:val="none"/>
        </w:rPr>
      </w:pPr>
    </w:p>
    <w:p>
      <w:pPr>
        <w:adjustRightInd w:val="0"/>
        <w:snapToGrid w:val="0"/>
        <w:spacing w:before="156" w:beforeLines="50" w:after="156" w:afterLines="50" w:line="600" w:lineRule="exact"/>
        <w:jc w:val="center"/>
        <w:rPr>
          <w:rFonts w:ascii="方正小标宋简体" w:eastAsia="方正小标宋简体"/>
          <w:sz w:val="48"/>
          <w:szCs w:val="48"/>
          <w:highlight w:val="none"/>
        </w:rPr>
      </w:pPr>
      <w:r>
        <w:rPr>
          <w:rFonts w:hint="eastAsia" w:ascii="仿宋_GB2312" w:eastAsia="仿宋_GB2312"/>
          <w:sz w:val="30"/>
          <w:szCs w:val="30"/>
          <w:highlight w:val="none"/>
        </w:rPr>
        <w:t>（项目编号：   ）</w:t>
      </w: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pStyle w:val="2"/>
        <w:ind w:left="0" w:leftChars="0" w:firstLine="0" w:firstLineChars="0"/>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adjustRightInd w:val="0"/>
        <w:snapToGrid w:val="0"/>
        <w:spacing w:before="156" w:beforeLines="50" w:after="156" w:afterLines="50" w:line="600" w:lineRule="exact"/>
        <w:rPr>
          <w:rFonts w:ascii="方正小标宋简体" w:eastAsia="方正小标宋简体"/>
          <w:sz w:val="30"/>
          <w:szCs w:val="30"/>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23" w:name="_Toc87616389"/>
      <w:bookmarkStart w:id="124" w:name="_Toc88209952"/>
      <w:r>
        <w:rPr>
          <w:rFonts w:hint="eastAsia" w:ascii="仿宋_GB2312" w:eastAsia="仿宋_GB2312"/>
          <w:sz w:val="28"/>
          <w:szCs w:val="28"/>
          <w:highlight w:val="none"/>
        </w:rPr>
        <w:t>1.响应函</w:t>
      </w:r>
      <w:bookmarkEnd w:id="123"/>
      <w:bookmarkEnd w:id="124"/>
    </w:p>
    <w:p>
      <w:pPr>
        <w:spacing w:line="600" w:lineRule="exact"/>
        <w:rPr>
          <w:rFonts w:ascii="仿宋_GB2312" w:eastAsia="仿宋_GB2312"/>
          <w:sz w:val="28"/>
          <w:szCs w:val="28"/>
          <w:highlight w:val="none"/>
        </w:rPr>
      </w:pPr>
      <w:bookmarkStart w:id="125" w:name="_Toc88209953"/>
      <w:bookmarkStart w:id="126" w:name="_Toc87616390"/>
      <w:r>
        <w:rPr>
          <w:rFonts w:hint="eastAsia" w:ascii="仿宋_GB2312" w:eastAsia="仿宋_GB2312"/>
          <w:sz w:val="28"/>
          <w:szCs w:val="28"/>
          <w:highlight w:val="none"/>
        </w:rPr>
        <w:t>2.法定代表人证明或授权委托书</w:t>
      </w:r>
      <w:bookmarkEnd w:id="125"/>
      <w:bookmarkEnd w:id="126"/>
      <w:bookmarkStart w:id="127" w:name="_Toc88209956"/>
      <w:bookmarkStart w:id="128" w:name="_Toc87616393"/>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w:t>
      </w:r>
      <w:r>
        <w:rPr>
          <w:rFonts w:hint="eastAsia" w:ascii="仿宋_GB2312" w:eastAsia="仿宋_GB2312"/>
          <w:sz w:val="28"/>
          <w:szCs w:val="28"/>
          <w:highlight w:val="none"/>
          <w:lang w:val="en-US" w:eastAsia="zh-CN"/>
        </w:rPr>
        <w:t>承诺函</w:t>
      </w:r>
      <w:r>
        <w:rPr>
          <w:rFonts w:hint="eastAsia" w:ascii="仿宋_GB2312" w:eastAsia="仿宋_GB2312"/>
          <w:sz w:val="28"/>
          <w:szCs w:val="28"/>
          <w:highlight w:val="none"/>
        </w:rPr>
        <w:br w:type="textWrapping"/>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其他资料</w:t>
      </w:r>
      <w:bookmarkEnd w:id="127"/>
      <w:bookmarkEnd w:id="128"/>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color w:val="auto"/>
          <w:highlight w:val="none"/>
        </w:rPr>
      </w:pPr>
    </w:p>
    <w:p>
      <w:pPr>
        <w:pStyle w:val="6"/>
        <w:rPr>
          <w:rFonts w:asciiTheme="minorEastAsia" w:hAnsiTheme="minorEastAsia" w:eastAsiaTheme="minorEastAsia"/>
          <w:sz w:val="28"/>
          <w:szCs w:val="28"/>
          <w:highlight w:val="none"/>
        </w:rPr>
      </w:pPr>
      <w:bookmarkStart w:id="129" w:name="_Toc87616394"/>
      <w:bookmarkStart w:id="130" w:name="_Toc6313"/>
      <w:bookmarkStart w:id="131" w:name="_Toc12665"/>
      <w:bookmarkStart w:id="132" w:name="_Toc28619645"/>
      <w:bookmarkStart w:id="133" w:name="_Toc88209957"/>
      <w:r>
        <w:rPr>
          <w:rFonts w:hint="eastAsia" w:asciiTheme="minorEastAsia" w:hAnsiTheme="minorEastAsia" w:eastAsiaTheme="minorEastAsia"/>
          <w:sz w:val="28"/>
          <w:szCs w:val="28"/>
          <w:highlight w:val="none"/>
        </w:rPr>
        <w:t>1.响应函</w:t>
      </w:r>
      <w:bookmarkEnd w:id="129"/>
      <w:bookmarkEnd w:id="130"/>
      <w:bookmarkEnd w:id="131"/>
      <w:bookmarkEnd w:id="132"/>
      <w:bookmarkEnd w:id="133"/>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（项目名称</w:t>
      </w:r>
      <w:r>
        <w:rPr>
          <w:rFonts w:hint="eastAsia" w:ascii="仿宋_GB2312" w:hAnsi="黑体" w:eastAsia="仿宋_GB2312"/>
          <w:sz w:val="28"/>
          <w:szCs w:val="28"/>
          <w:highlight w:val="none"/>
          <w:u w:val="single"/>
          <w:lang w:eastAsia="zh-CN"/>
        </w:rPr>
        <w:t>（</w:t>
      </w:r>
      <w:r>
        <w:rPr>
          <w:rFonts w:hint="eastAsia" w:ascii="仿宋_GB2312" w:hAnsi="黑体" w:eastAsia="仿宋_GB2312"/>
          <w:sz w:val="28"/>
          <w:szCs w:val="28"/>
          <w:highlight w:val="none"/>
          <w:u w:val="single"/>
          <w:lang w:val="en-US" w:eastAsia="zh-CN"/>
        </w:rPr>
        <w:t>第二次</w:t>
      </w:r>
      <w:r>
        <w:rPr>
          <w:rFonts w:hint="eastAsia" w:ascii="仿宋_GB2312" w:hAnsi="黑体" w:eastAsia="仿宋_GB2312"/>
          <w:sz w:val="28"/>
          <w:szCs w:val="28"/>
          <w:highlight w:val="none"/>
          <w:u w:val="single"/>
          <w:lang w:eastAsia="zh-CN"/>
        </w:rPr>
        <w:t>）</w:t>
      </w:r>
      <w:r>
        <w:rPr>
          <w:rFonts w:hint="eastAsia" w:ascii="仿宋_GB2312" w:hAnsi="黑体" w:eastAsia="仿宋_GB2312"/>
          <w:sz w:val="28"/>
          <w:szCs w:val="28"/>
          <w:highlight w:val="none"/>
          <w:u w:val="single"/>
        </w:rPr>
        <w:t xml:space="preserve">、项目编号、标段/标包号）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货物</w:t>
      </w:r>
      <w:r>
        <w:rPr>
          <w:rFonts w:hint="eastAsia" w:ascii="仿宋" w:hAnsi="仿宋" w:eastAsia="仿宋" w:cs="仿宋"/>
          <w:sz w:val="28"/>
          <w:szCs w:val="28"/>
          <w:highlight w:val="none"/>
          <w:lang w:eastAsia="zh-CN"/>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left="559" w:leftChars="266"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r>
        <w:rPr>
          <w:rFonts w:ascii="仿宋_GB2312" w:hAnsi="黑体" w:eastAsia="仿宋_GB2312"/>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imes New Roman"/>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asciiTheme="minorEastAsia" w:hAnsiTheme="minorEastAsia"/>
          <w:sz w:val="28"/>
          <w:szCs w:val="28"/>
          <w:highlight w:val="none"/>
        </w:rPr>
      </w:pPr>
      <w:bookmarkStart w:id="134" w:name="_Toc88209958"/>
      <w:bookmarkStart w:id="135" w:name="_Toc87616395"/>
      <w:bookmarkStart w:id="136" w:name="_Toc22527"/>
      <w:bookmarkStart w:id="137" w:name="_Toc29833"/>
    </w:p>
    <w:p>
      <w:pPr>
        <w:pStyle w:val="2"/>
        <w:rPr>
          <w:rFonts w:asciiTheme="minorEastAsia" w:hAnsiTheme="minorEastAsia"/>
          <w:sz w:val="28"/>
          <w:szCs w:val="28"/>
          <w:highlight w:val="none"/>
        </w:rPr>
      </w:pPr>
    </w:p>
    <w:p>
      <w:pPr>
        <w:pStyle w:val="2"/>
        <w:rPr>
          <w:rFonts w:asciiTheme="minorEastAsia" w:hAnsiTheme="minorEastAsia"/>
          <w:sz w:val="28"/>
          <w:szCs w:val="28"/>
          <w:highlight w:val="none"/>
        </w:rPr>
      </w:pP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34"/>
      <w:bookmarkEnd w:id="135"/>
      <w:bookmarkEnd w:id="136"/>
      <w:bookmarkEnd w:id="137"/>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41"/>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5"/>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highlight w:val="none"/>
        </w:rPr>
      </w:pPr>
    </w:p>
    <w:p>
      <w:pPr>
        <w:pStyle w:val="1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sz w:val="30"/>
          <w:szCs w:val="30"/>
          <w:highlight w:val="none"/>
        </w:rPr>
      </w:pPr>
      <w:r>
        <w:rPr>
          <w:rFonts w:hint="eastAsia" w:ascii="仿宋_GB2312" w:hAnsi="宋体" w:eastAsia="仿宋_GB2312"/>
          <w:sz w:val="30"/>
          <w:szCs w:val="30"/>
          <w:highlight w:val="none"/>
        </w:rPr>
        <w:t>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adjustRightInd w:val="0"/>
        <w:snapToGrid w:val="0"/>
        <w:spacing w:line="600" w:lineRule="exact"/>
        <w:jc w:val="left"/>
        <w:rPr>
          <w:rFonts w:ascii="仿宋_GB2312" w:hAnsi="宋体" w:eastAsia="仿宋_GB2312" w:cs="宋体"/>
          <w:kern w:val="0"/>
          <w:sz w:val="28"/>
          <w:szCs w:val="28"/>
          <w:highlight w:val="none"/>
        </w:rPr>
      </w:pPr>
      <w:r>
        <w:rPr>
          <w:rFonts w:ascii="仿宋_GB2312" w:hAnsi="宋体" w:eastAsia="仿宋_GB2312" w:cs="宋体"/>
          <w:kern w:val="0"/>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406400</wp:posOffset>
                </wp:positionH>
                <wp:positionV relativeFrom="paragraph">
                  <wp:posOffset>187960</wp:posOffset>
                </wp:positionV>
                <wp:extent cx="3771900" cy="1287780"/>
                <wp:effectExtent l="0" t="0" r="0" b="762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438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pSEEkCAACW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64jPO&#10;nLAk+N2327vvP+9+fGWTRE/nQ0lR157iYv8Sehqa3GrwVyA/BebgvBVurc4QoWuVqKm8cbpZ7F0d&#10;cEICWXVvoKY8YhMhA/UN2sQdscEInaS5eZBG9ZFJ+vh8Ph8fj8glyTeeLObzRRavEOX9dY8hvlJg&#10;WTpUHEn7DC+2VyGmckR5H5KyBTC6vtTGZAPXq3ODbCtoTi7zkzs4CDOOdRU/nk1mAwP/hBjl528Q&#10;VkdaH6NtxRf7QcalOlQe2V29ib7E2MBd7Ff9To4V1DdEJMIwzrTMdGgBv3DW0ShXPHzeCFScmdeO&#10;xDgeT6dp9rMxnc0nZOC+Z7XvEU4SVMUjZ8PxPA77svGo1y1lGuR3cEYCNjpTm0odqtrJTuOaGd+t&#10;VtqHfT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G5aUhB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（项目名称、项目编号、标段/标包号）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39"/>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8"/>
        <w:spacing w:after="0" w:line="600" w:lineRule="exact"/>
        <w:rPr>
          <w:rFonts w:ascii="仿宋_GB2312" w:eastAsia="仿宋_GB2312"/>
          <w:highlight w:val="none"/>
        </w:rPr>
      </w:pPr>
      <w:r>
        <w:rPr>
          <w:rFonts w:ascii="仿宋_GB2312" w:eastAsia="仿宋_GB2312"/>
          <w:sz w:val="44"/>
          <w:szCs w:val="44"/>
          <w:highlight w:val="none"/>
          <w:u w:val="single"/>
        </w:rPr>
        <mc:AlternateContent>
          <mc:Choice Requires="wps">
            <w:drawing>
              <wp:anchor distT="0" distB="0" distL="114300" distR="114300" simplePos="0" relativeHeight="251665408" behindDoc="0" locked="0" layoutInCell="1" allowOverlap="1">
                <wp:simplePos x="0" y="0"/>
                <wp:positionH relativeFrom="column">
                  <wp:posOffset>615950</wp:posOffset>
                </wp:positionH>
                <wp:positionV relativeFrom="paragraph">
                  <wp:posOffset>200025</wp:posOffset>
                </wp:positionV>
                <wp:extent cx="3771900" cy="1287780"/>
                <wp:effectExtent l="0" t="0" r="0" b="762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H6sdQp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k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B+rHUK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highlight w:val="none"/>
        </w:rPr>
      </w:pPr>
    </w:p>
    <w:p>
      <w:pPr>
        <w:pStyle w:val="8"/>
        <w:spacing w:after="0" w:line="600" w:lineRule="exact"/>
        <w:rPr>
          <w:rFonts w:ascii="仿宋_GB2312" w:eastAsia="仿宋_GB2312"/>
          <w:highlight w:val="none"/>
        </w:rPr>
      </w:pPr>
    </w:p>
    <w:p>
      <w:pPr>
        <w:pStyle w:val="8"/>
        <w:spacing w:after="0" w:line="600" w:lineRule="exact"/>
        <w:ind w:firstLine="0"/>
        <w:rPr>
          <w:rFonts w:ascii="仿宋_GB2312" w:eastAsia="仿宋_GB2312"/>
          <w:highlight w:val="none"/>
        </w:rPr>
      </w:pPr>
    </w:p>
    <w:p>
      <w:pPr>
        <w:pStyle w:val="8"/>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38" w:name="_Toc19830"/>
      <w:bookmarkStart w:id="139" w:name="_Toc8086"/>
      <w:bookmarkStart w:id="140" w:name="_Toc88209963"/>
      <w:bookmarkStart w:id="141" w:name="_Toc87616400"/>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38"/>
      <w:bookmarkEnd w:id="139"/>
      <w:bookmarkEnd w:id="140"/>
      <w:bookmarkEnd w:id="141"/>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cs="Times New Roman" w:asciiTheme="minorEastAsia" w:hAnsiTheme="minorEastAsia"/>
          <w:b/>
          <w:bCs/>
          <w:sz w:val="28"/>
          <w:szCs w:val="28"/>
          <w:highlight w:val="none"/>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rPr>
        <w:t>。</w:t>
      </w:r>
      <w:r>
        <w:rPr>
          <w:rFonts w:hint="eastAsia" w:cs="Times New Roman" w:asciiTheme="minorEastAsia" w:hAnsiTheme="minorEastAsia"/>
          <w:b/>
          <w:bCs/>
          <w:sz w:val="28"/>
          <w:szCs w:val="28"/>
          <w:highlight w:val="none"/>
        </w:rPr>
        <w:t>（相关证明文件附后）</w:t>
      </w:r>
    </w:p>
    <w:p>
      <w:pPr>
        <w:adjustRightInd w:val="0"/>
        <w:snapToGrid w:val="0"/>
        <w:spacing w:line="360" w:lineRule="auto"/>
        <w:jc w:val="right"/>
        <w:rPr>
          <w:rFonts w:ascii="宋体" w:hAnsi="宋体" w:eastAsia="宋体" w:cs="宋体"/>
          <w:sz w:val="24"/>
          <w:szCs w:val="24"/>
          <w:highlight w:val="none"/>
          <w:lang w:val="en-GB"/>
        </w:rPr>
      </w:pPr>
      <w:bookmarkStart w:id="142" w:name="_Hlk59025866"/>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ind w:firstLine="6720" w:firstLineChars="2800"/>
        <w:jc w:val="left"/>
        <w:rPr>
          <w:rFonts w:cs="Times New Roman" w:asciiTheme="minorEastAsia" w:hAnsiTheme="minorEastAsia"/>
          <w:b/>
          <w:bCs/>
          <w:sz w:val="28"/>
          <w:szCs w:val="28"/>
          <w:highlight w:val="none"/>
        </w:rPr>
      </w:pPr>
      <w:r>
        <w:rPr>
          <w:rFonts w:hint="eastAsia" w:ascii="宋体" w:hAnsi="宋体" w:eastAsia="宋体" w:cs="宋体"/>
          <w:sz w:val="24"/>
          <w:szCs w:val="24"/>
          <w:highlight w:val="none"/>
          <w:lang w:val="en-GB"/>
        </w:rPr>
        <w:t>年  月  日</w:t>
      </w:r>
    </w:p>
    <w:p>
      <w:pPr>
        <w:adjustRightInd w:val="0"/>
        <w:snapToGrid w:val="0"/>
        <w:spacing w:line="360" w:lineRule="auto"/>
        <w:jc w:val="left"/>
        <w:rPr>
          <w:rFonts w:hint="eastAsia" w:cs="Times New Roman" w:asciiTheme="minorEastAsia" w:hAnsiTheme="minorEastAsia"/>
          <w:b/>
          <w:bCs/>
          <w:sz w:val="28"/>
          <w:szCs w:val="28"/>
          <w:highlight w:val="none"/>
        </w:rPr>
      </w:pPr>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42"/>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u w:val="single"/>
          <w:lang w:val="en-GB"/>
        </w:rPr>
        <w:t>广州市净水有限公司202</w:t>
      </w:r>
      <w:r>
        <w:rPr>
          <w:rFonts w:hint="eastAsia" w:ascii="宋体" w:hAnsi="宋体" w:eastAsia="宋体" w:cs="宋体"/>
          <w:sz w:val="24"/>
          <w:szCs w:val="24"/>
          <w:highlight w:val="none"/>
          <w:u w:val="single"/>
          <w:lang w:val="en-GB" w:eastAsia="zh-CN"/>
        </w:rPr>
        <w:t>3</w:t>
      </w:r>
      <w:r>
        <w:rPr>
          <w:rFonts w:hint="eastAsia" w:ascii="宋体" w:hAnsi="宋体" w:eastAsia="宋体" w:cs="宋体"/>
          <w:sz w:val="24"/>
          <w:szCs w:val="24"/>
          <w:highlight w:val="none"/>
          <w:u w:val="single"/>
          <w:lang w:val="en-GB"/>
        </w:rPr>
        <w:t>-202</w:t>
      </w:r>
      <w:r>
        <w:rPr>
          <w:rFonts w:hint="eastAsia" w:ascii="宋体" w:hAnsi="宋体" w:eastAsia="宋体" w:cs="宋体"/>
          <w:sz w:val="24"/>
          <w:szCs w:val="24"/>
          <w:highlight w:val="none"/>
          <w:u w:val="single"/>
          <w:lang w:val="en-GB" w:eastAsia="zh-CN"/>
        </w:rPr>
        <w:t>5</w:t>
      </w:r>
      <w:r>
        <w:rPr>
          <w:rFonts w:hint="eastAsia" w:ascii="宋体" w:hAnsi="宋体" w:eastAsia="宋体" w:cs="宋体"/>
          <w:sz w:val="24"/>
          <w:szCs w:val="24"/>
          <w:highlight w:val="none"/>
          <w:u w:val="single"/>
          <w:lang w:val="en-GB"/>
        </w:rPr>
        <w:t>年度净水智慧运营管理平台运维服务项目</w:t>
      </w:r>
      <w:r>
        <w:rPr>
          <w:rFonts w:hint="eastAsia" w:ascii="宋体" w:hAnsi="宋体" w:eastAsia="宋体" w:cs="宋体"/>
          <w:sz w:val="24"/>
          <w:szCs w:val="24"/>
          <w:highlight w:val="none"/>
          <w:u w:val="single"/>
          <w:lang w:val="en-GB" w:eastAsia="zh-CN"/>
        </w:rPr>
        <w:t>（</w:t>
      </w:r>
      <w:r>
        <w:rPr>
          <w:rFonts w:hint="eastAsia" w:ascii="宋体" w:hAnsi="宋体" w:eastAsia="宋体" w:cs="宋体"/>
          <w:sz w:val="24"/>
          <w:szCs w:val="24"/>
          <w:highlight w:val="none"/>
          <w:u w:val="single"/>
          <w:lang w:val="en-US" w:eastAsia="zh-CN"/>
        </w:rPr>
        <w:t>第二次</w:t>
      </w:r>
      <w:r>
        <w:rPr>
          <w:rFonts w:hint="eastAsia" w:ascii="宋体" w:hAnsi="宋体" w:eastAsia="宋体" w:cs="宋体"/>
          <w:sz w:val="24"/>
          <w:szCs w:val="24"/>
          <w:highlight w:val="none"/>
          <w:u w:val="single"/>
          <w:lang w:val="en-GB" w:eastAsia="zh-CN"/>
        </w:rPr>
        <w:t>）</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（2）与本项目其他供应商存在控股或管理关系。</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（3）被本项目所在地省级以上行业主管部门依法暂停、取消投标或禁止参加采购活动且处于有效期内的。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（4）处于被责令停产停业、暂扣或者吊销执照、暂扣或者吊销许可证、吊销资质证书状态。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（5）进入清算程序，或被宣告破产，或其他丧失履约能力情形的。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（6）近三年内因发生质量或安全生产事故等受到行政处罚且在处罚期内的。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（7）被最高人民法院在“信用中国”网站（www.creditchina.gov.cn）或各级信用信息共享平台中列入失信被执行人名单。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（8）被“全国企业信用信息公示系统”（网址：http://www.gsxt.gov.cn/）列入经营异常名录和严重违法企业名单。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（10）其他违法违纪行为，经审查认为不宜被邀请参加采购活动的。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（11）其他禁止情形：</w:t>
      </w: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
        <w:ind w:firstLine="0"/>
        <w:rPr>
          <w:color w:val="auto"/>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tcPr>
          <w:p>
            <w:pPr>
              <w:jc w:val="center"/>
              <w:rPr>
                <w:rFonts w:ascii="仿宋" w:hAnsi="仿宋" w:eastAsia="仿宋" w:cs="仿宋_GB2312"/>
                <w:b/>
                <w:sz w:val="28"/>
                <w:szCs w:val="28"/>
                <w:highlight w:val="none"/>
              </w:rPr>
            </w:pPr>
          </w:p>
        </w:tc>
        <w:tc>
          <w:tcPr>
            <w:tcW w:w="161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bl>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pStyle w:val="2"/>
        <w:ind w:firstLine="6720" w:firstLineChars="2800"/>
        <w:rPr>
          <w:rFonts w:ascii="仿宋_GB2312" w:eastAsia="仿宋_GB2312" w:hAnsiTheme="minorEastAsia"/>
          <w:color w:val="auto"/>
          <w:sz w:val="28"/>
          <w:szCs w:val="28"/>
          <w:highlight w:val="none"/>
        </w:rPr>
      </w:pPr>
      <w:r>
        <w:rPr>
          <w:rFonts w:hint="eastAsia" w:ascii="宋体" w:hAnsi="宋体" w:eastAsia="宋体" w:cs="宋体"/>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rPr>
          <w:rFonts w:hint="eastAsia" w:ascii="仿宋_GB2312" w:eastAsia="仿宋_GB2312" w:hAnsiTheme="minorEastAsia"/>
          <w:sz w:val="28"/>
          <w:szCs w:val="28"/>
          <w:highlight w:val="none"/>
        </w:rPr>
      </w:pPr>
      <w:bookmarkStart w:id="143" w:name="_Toc32430"/>
      <w:bookmarkStart w:id="144" w:name="_Toc19423"/>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5</w:t>
      </w:r>
      <w:r>
        <w:rPr>
          <w:rFonts w:hint="eastAsia" w:asciiTheme="minorEastAsia" w:hAnsiTheme="minorEastAsia" w:eastAsiaTheme="minorEastAsia"/>
          <w:sz w:val="28"/>
          <w:szCs w:val="28"/>
          <w:highlight w:val="none"/>
        </w:rPr>
        <w:t>.报价表</w:t>
      </w:r>
      <w:bookmarkEnd w:id="143"/>
      <w:bookmarkEnd w:id="144"/>
    </w:p>
    <w:tbl>
      <w:tblPr>
        <w:tblStyle w:val="24"/>
        <w:tblW w:w="5273" w:type="pct"/>
        <w:tblInd w:w="-4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1102"/>
        <w:gridCol w:w="1522"/>
        <w:gridCol w:w="3353"/>
        <w:gridCol w:w="962"/>
        <w:gridCol w:w="939"/>
        <w:gridCol w:w="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运维项</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运维内容</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服务期</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单价（元）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基础平台软件</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1、保障系统正常运行，各模块功能正常使用，如发现BUG提供及时修复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2、定期做应用服务和数据备份远程巡检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3、当发生服务器故障时负责对应用和数据进行还原操作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4、系统所在服务器的漏洞补丁修复</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27个月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智慧运营管理平台</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WEB SCADA</w:t>
            </w:r>
          </w:p>
        </w:tc>
        <w:tc>
          <w:tcPr>
            <w:tcW w:w="17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1、保障系统正常运行，各模块功能正常使用，如发现BUG提供及时修复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2、定期做应用服务和数据备份远程巡检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3、当发生服务器故障时负责对应用和数据进行还原操作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4、系统所在服务器的漏洞补丁修复</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27个月</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可视化综合监管“一张图”</w:t>
            </w:r>
          </w:p>
        </w:tc>
        <w:tc>
          <w:tcPr>
            <w:tcW w:w="1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分项监管中心</w:t>
            </w:r>
          </w:p>
        </w:tc>
        <w:tc>
          <w:tcPr>
            <w:tcW w:w="1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报表管理</w:t>
            </w:r>
          </w:p>
        </w:tc>
        <w:tc>
          <w:tcPr>
            <w:tcW w:w="1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报警管理</w:t>
            </w:r>
          </w:p>
        </w:tc>
        <w:tc>
          <w:tcPr>
            <w:tcW w:w="1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第三方业务系统数据对接</w:t>
            </w:r>
          </w:p>
        </w:tc>
        <w:tc>
          <w:tcPr>
            <w:tcW w:w="1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移动APP</w:t>
            </w:r>
          </w:p>
        </w:tc>
        <w:tc>
          <w:tcPr>
            <w:tcW w:w="1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配置管理系统</w:t>
            </w:r>
          </w:p>
        </w:tc>
        <w:tc>
          <w:tcPr>
            <w:tcW w:w="1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生产数据共享中心</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1、保障系统正常运行，各模块功能正常使用，如发现BUG提供及时修复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2、定期做应用服务和数据备份远程巡检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3、当发生服务器故障时负责对应用和数据进行还原操作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4、系统所在服务器的漏洞补丁修复</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27个月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网络调试</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1、当发生网络连通性问题时，配合业主信息部门针对应用中网络相关的配置进行恢复和测试。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2、日常对网络连通性进行巡查。</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27个月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3D模型</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1、当发生服务器故障或者数据问题时，配合业主对3D数据资料进行还原操作。</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27个月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数据采集及现场调试</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1、配合自控厂家排查软件平台层面的数据采集问题</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27个月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驻场运维服务</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1、每3个月到业主方驻场5个工作日，进行现场安全运维、点位数据校对维护、系统演示保障，具体时间根据业主需求安排</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40人天</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系统功能优化</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1、按照业主需求进行进行系统升级优化，预留100人/天工作量，原则上优化内容不超过预留工作量。</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100人天</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运维费总额</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p>
        </w:tc>
      </w:tr>
    </w:tbl>
    <w:p>
      <w:pPr>
        <w:adjustRightInd w:val="0"/>
        <w:snapToGrid w:val="0"/>
        <w:spacing w:line="600" w:lineRule="exact"/>
        <w:ind w:firstLine="0"/>
        <w:rPr>
          <w:rFonts w:ascii="仿宋_GB2312" w:eastAsia="仿宋_GB2312" w:hAnsiTheme="minorEastAsia"/>
          <w:sz w:val="28"/>
          <w:szCs w:val="28"/>
          <w:highlight w:val="none"/>
        </w:rPr>
      </w:pPr>
    </w:p>
    <w:p>
      <w:pPr>
        <w:adjustRightInd w:val="0"/>
        <w:snapToGrid w:val="0"/>
        <w:spacing w:line="600" w:lineRule="exact"/>
        <w:ind w:firstLine="6447" w:firstLineChars="3070"/>
        <w:rPr>
          <w:rFonts w:ascii="仿宋_GB2312" w:eastAsia="仿宋_GB2312" w:hAnsiTheme="minorEastAsia"/>
          <w:sz w:val="28"/>
          <w:szCs w:val="28"/>
          <w:highlight w:val="none"/>
        </w:rPr>
      </w:pPr>
      <w:r>
        <w:rPr>
          <w:rFonts w:hint="eastAsia" w:cs="宋体" w:eastAsiaTheme="minorEastAsia"/>
          <w:color w:val="auto"/>
          <w:kern w:val="2"/>
          <w:highlight w:val="none"/>
          <w:lang w:val="en-GB" w:eastAsia="zh-CN"/>
        </w:rPr>
        <w:t>供应商名称（加盖公章）：</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w:t>
      </w:r>
      <w:r>
        <w:rPr>
          <w:rFonts w:hint="eastAsia" w:cs="宋体"/>
          <w:color w:val="auto"/>
          <w:kern w:val="2"/>
          <w:highlight w:val="none"/>
          <w:lang w:val="en-US" w:eastAsia="zh-CN"/>
        </w:rPr>
        <w:t xml:space="preserve">       </w:t>
      </w:r>
      <w:r>
        <w:rPr>
          <w:rFonts w:hint="eastAsia" w:cs="宋体" w:eastAsiaTheme="minorEastAsia"/>
          <w:color w:val="auto"/>
          <w:kern w:val="2"/>
          <w:highlight w:val="none"/>
          <w:lang w:val="en-GB" w:eastAsia="zh-CN"/>
        </w:rPr>
        <w:t>年 月 日</w:t>
      </w:r>
    </w:p>
    <w:p>
      <w:pPr>
        <w:adjustRightInd w:val="0"/>
        <w:snapToGrid w:val="0"/>
        <w:spacing w:line="600" w:lineRule="exact"/>
        <w:ind w:firstLine="570"/>
        <w:rPr>
          <w:rFonts w:ascii="仿宋_GB2312" w:eastAsia="仿宋_GB2312" w:hAnsiTheme="minorEastAsia"/>
          <w:sz w:val="28"/>
          <w:szCs w:val="28"/>
          <w:highlight w:val="none"/>
        </w:rPr>
      </w:pPr>
    </w:p>
    <w:p>
      <w:pPr>
        <w:adjustRightInd w:val="0"/>
        <w:snapToGrid w:val="0"/>
        <w:spacing w:line="600" w:lineRule="exact"/>
        <w:ind w:firstLine="570"/>
        <w:rPr>
          <w:rFonts w:ascii="仿宋_GB2312" w:eastAsia="仿宋_GB2312" w:hAnsiTheme="minorEastAsia"/>
          <w:sz w:val="28"/>
          <w:szCs w:val="28"/>
          <w:highlight w:val="none"/>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eastAsia" w:cs="宋体" w:eastAsiaTheme="minorEastAsia"/>
          <w:color w:val="auto"/>
          <w:kern w:val="2"/>
          <w:highlight w:val="none"/>
          <w:lang w:val="en-GB" w:eastAsia="zh-CN"/>
        </w:rPr>
      </w:pPr>
    </w:p>
    <w:p>
      <w:pPr>
        <w:pStyle w:val="2"/>
        <w:ind w:firstLine="0"/>
        <w:rPr>
          <w:rFonts w:hint="default" w:eastAsia="等线"/>
          <w:color w:val="auto"/>
          <w:highlight w:val="none"/>
          <w:lang w:val="en-US" w:eastAsia="zh-CN"/>
        </w:rPr>
      </w:pPr>
      <w:r>
        <w:rPr>
          <w:rFonts w:hint="eastAsia" w:cs="Times New Roman" w:asciiTheme="majorEastAsia" w:hAnsiTheme="majorEastAsia" w:eastAsiaTheme="majorEastAsia"/>
          <w:b/>
          <w:bCs/>
          <w:color w:val="auto"/>
          <w:kern w:val="2"/>
          <w:sz w:val="28"/>
          <w:szCs w:val="28"/>
          <w:highlight w:val="none"/>
          <w:lang w:val="en-GB" w:eastAsia="zh-CN" w:bidi="ar-SA"/>
        </w:rPr>
        <w:t>6.承诺函</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广州市净水有限公司：</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我司承诺，采购文件中所有要求均为实质性响应条款，我司完成能满足运维需求中所有要求，如因我方提供资料不实或与需求书中所有条款不符而造成的责任和后果由我司承担。</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供应商名称（加盖公章）：</w:t>
      </w:r>
      <w:r>
        <w:rPr>
          <w:rFonts w:hint="eastAsia" w:cs="宋体" w:eastAsiaTheme="minorEastAsia"/>
          <w:color w:val="auto"/>
          <w:kern w:val="2"/>
          <w:highlight w:val="none"/>
          <w:lang w:val="en-GB" w:eastAsia="zh-CN"/>
        </w:rPr>
        <w:br w:type="textWrapping"/>
      </w:r>
      <w:r>
        <w:rPr>
          <w:rFonts w:hint="eastAsia" w:cs="宋体" w:eastAsiaTheme="minorEastAsia"/>
          <w:color w:val="auto"/>
          <w:kern w:val="2"/>
          <w:highlight w:val="none"/>
          <w:lang w:val="en-GB" w:eastAsia="zh-CN"/>
        </w:rPr>
        <w:t xml:space="preserve">                                                           年 月 日</w:t>
      </w:r>
    </w:p>
    <w:p>
      <w:pPr>
        <w:pStyle w:val="6"/>
        <w:rPr>
          <w:rFonts w:hint="eastAsia" w:eastAsiaTheme="majorEastAsia"/>
          <w:highlight w:val="none"/>
          <w:lang w:val="en-US" w:eastAsia="zh-CN"/>
        </w:rPr>
      </w:pPr>
      <w:bookmarkStart w:id="145" w:name="_Toc88209965"/>
      <w:bookmarkStart w:id="146" w:name="_Toc87616402"/>
      <w:bookmarkStart w:id="147" w:name="_Toc6058"/>
      <w:bookmarkStart w:id="148" w:name="_Toc16386"/>
    </w:p>
    <w:p>
      <w:pPr>
        <w:pStyle w:val="6"/>
        <w:rPr>
          <w:rFonts w:hint="eastAsia" w:eastAsiaTheme="majorEastAsia"/>
          <w:highlight w:val="none"/>
          <w:lang w:val="en-US" w:eastAsia="zh-CN"/>
        </w:rPr>
      </w:pPr>
    </w:p>
    <w:p>
      <w:pPr>
        <w:pStyle w:val="6"/>
        <w:rPr>
          <w:rFonts w:hint="eastAsia" w:eastAsiaTheme="majorEastAsia"/>
          <w:highlight w:val="none"/>
          <w:lang w:val="en-US" w:eastAsia="zh-CN"/>
        </w:rPr>
      </w:pPr>
    </w:p>
    <w:p>
      <w:pPr>
        <w:pStyle w:val="6"/>
        <w:rPr>
          <w:rFonts w:hint="eastAsia" w:eastAsiaTheme="majorEastAsia"/>
          <w:highlight w:val="none"/>
          <w:lang w:val="en-US" w:eastAsia="zh-CN"/>
        </w:rPr>
      </w:pPr>
    </w:p>
    <w:p>
      <w:pPr>
        <w:pStyle w:val="6"/>
        <w:rPr>
          <w:rFonts w:hint="eastAsia" w:eastAsiaTheme="majorEastAsia"/>
          <w:highlight w:val="none"/>
          <w:lang w:val="en-US" w:eastAsia="zh-CN"/>
        </w:rPr>
      </w:pPr>
    </w:p>
    <w:p>
      <w:pPr>
        <w:pStyle w:val="6"/>
        <w:rPr>
          <w:rFonts w:asciiTheme="majorEastAsia" w:hAnsiTheme="majorEastAsia" w:eastAsiaTheme="majorEastAsia"/>
          <w:sz w:val="28"/>
          <w:szCs w:val="28"/>
          <w:highlight w:val="none"/>
        </w:rPr>
      </w:pPr>
      <w:r>
        <w:rPr>
          <w:rFonts w:hint="eastAsia" w:eastAsiaTheme="majorEastAsia"/>
          <w:highlight w:val="none"/>
          <w:lang w:val="en-US" w:eastAsia="zh-CN"/>
        </w:rPr>
        <w:t>7</w:t>
      </w:r>
      <w:r>
        <w:rPr>
          <w:rFonts w:hint="eastAsia" w:asciiTheme="majorEastAsia" w:hAnsiTheme="majorEastAsia" w:eastAsiaTheme="majorEastAsia"/>
          <w:sz w:val="28"/>
          <w:szCs w:val="28"/>
          <w:highlight w:val="none"/>
        </w:rPr>
        <w:t>.其他资料</w:t>
      </w:r>
      <w:bookmarkEnd w:id="145"/>
      <w:bookmarkEnd w:id="146"/>
      <w:bookmarkEnd w:id="147"/>
      <w:bookmarkEnd w:id="148"/>
    </w:p>
    <w:p>
      <w:pPr>
        <w:adjustRightInd w:val="0"/>
        <w:snapToGrid w:val="0"/>
        <w:spacing w:line="600" w:lineRule="exact"/>
        <w:ind w:firstLine="57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sectPr>
      <w:footerReference r:id="rId15" w:type="first"/>
      <w:footerReference r:id="rId14" w:type="default"/>
      <w:pgSz w:w="11906" w:h="16838"/>
      <w:pgMar w:top="141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60"/>
        <w:tab w:val="clear" w:pos="4153"/>
      </w:tabs>
      <w:rPr>
        <w:rStyle w:val="28"/>
      </w:rPr>
    </w:pPr>
    <w:r>
      <w:rPr>
        <w:rFonts w:hint="eastAsia"/>
      </w:rPr>
      <w:tab/>
    </w:r>
  </w:p>
  <w:p>
    <w:pPr>
      <w:pStyle w:val="1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155585"/>
    </w:sdtPr>
    <w:sdtContent>
      <w:p>
        <w:pPr>
          <w:pStyle w:val="19"/>
          <w:jc w:val="center"/>
        </w:pPr>
        <w:r>
          <w:fldChar w:fldCharType="begin"/>
        </w:r>
        <w:r>
          <w:instrText xml:space="preserve">PAGE   \* MERGEFORMAT</w:instrText>
        </w:r>
        <w:r>
          <w:fldChar w:fldCharType="separate"/>
        </w:r>
        <w:r>
          <w:rPr>
            <w:lang w:val="zh-CN"/>
          </w:rPr>
          <w:t>23</w:t>
        </w:r>
        <w:r>
          <w:fldChar w:fldCharType="end"/>
        </w:r>
      </w:p>
    </w:sdtContent>
  </w:sdt>
  <w:p>
    <w:pPr>
      <w:pStyle w:val="1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136429"/>
    </w:sdtPr>
    <w:sdtContent>
      <w:p>
        <w:pPr>
          <w:pStyle w:val="19"/>
          <w:jc w:val="center"/>
        </w:pPr>
      </w:p>
    </w:sdtContent>
  </w:sdt>
  <w:p>
    <w:pPr>
      <w:pStyle w:val="1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155585"/>
    </w:sdtPr>
    <w:sdtContent>
      <w:p>
        <w:pPr>
          <w:pStyle w:val="19"/>
          <w:jc w:val="center"/>
        </w:pPr>
        <w:r>
          <w:fldChar w:fldCharType="begin"/>
        </w:r>
        <w:r>
          <w:instrText xml:space="preserve">PAGE   \* MERGEFORMAT</w:instrText>
        </w:r>
        <w:r>
          <w:fldChar w:fldCharType="separate"/>
        </w:r>
        <w:r>
          <w:rPr>
            <w:lang w:val="zh-CN"/>
          </w:rPr>
          <w:t>23</w:t>
        </w:r>
        <w:r>
          <w:fldChar w:fldCharType="end"/>
        </w:r>
      </w:p>
    </w:sdtContent>
  </w:sdt>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8"/>
      </w:rPr>
    </w:pPr>
    <w:r>
      <w:fldChar w:fldCharType="begin"/>
    </w:r>
    <w:r>
      <w:rPr>
        <w:rStyle w:val="28"/>
      </w:rPr>
      <w:instrText xml:space="preserve">PAGE  </w:instrText>
    </w:r>
    <w:r>
      <w:fldChar w:fldCharType="separate"/>
    </w:r>
    <w:r>
      <w:rPr>
        <w:rStyle w:val="28"/>
      </w:rPr>
      <w:t>23</w: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60"/>
        <w:tab w:val="clear" w:pos="4153"/>
      </w:tabs>
      <w:rPr>
        <w:rStyle w:val="28"/>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ab/>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136429"/>
    </w:sdtPr>
    <w:sdtContent>
      <w:p>
        <w:pPr>
          <w:pStyle w:val="19"/>
          <w:jc w:val="center"/>
        </w:pPr>
      </w:p>
    </w:sdtContent>
  </w:sdt>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155585"/>
    </w:sdtPr>
    <w:sdtContent>
      <w:p>
        <w:pPr>
          <w:pStyle w:val="19"/>
          <w:jc w:val="center"/>
        </w:pPr>
        <w:r>
          <w:fldChar w:fldCharType="begin"/>
        </w:r>
        <w:r>
          <w:instrText xml:space="preserve">PAGE   \* MERGEFORMAT</w:instrText>
        </w:r>
        <w:r>
          <w:fldChar w:fldCharType="separate"/>
        </w:r>
        <w:r>
          <w:rPr>
            <w:lang w:val="zh-CN"/>
          </w:rPr>
          <w:t>23</w:t>
        </w:r>
        <w:r>
          <w:fldChar w:fldCharType="end"/>
        </w:r>
      </w:p>
    </w:sdtContent>
  </w:sdt>
  <w:p>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136429"/>
    </w:sdtPr>
    <w:sdtContent>
      <w:p>
        <w:pPr>
          <w:pStyle w:val="19"/>
          <w:jc w:val="center"/>
        </w:pPr>
      </w:p>
    </w:sdtContent>
  </w:sdt>
  <w:p>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155585"/>
    </w:sdtPr>
    <w:sdtContent>
      <w:p>
        <w:pPr>
          <w:pStyle w:val="19"/>
          <w:jc w:val="center"/>
        </w:pPr>
        <w:r>
          <w:fldChar w:fldCharType="begin"/>
        </w:r>
        <w:r>
          <w:instrText xml:space="preserve">PAGE   \* MERGEFORMAT</w:instrText>
        </w:r>
        <w:r>
          <w:fldChar w:fldCharType="separate"/>
        </w:r>
        <w:r>
          <w:rPr>
            <w:lang w:val="zh-CN"/>
          </w:rPr>
          <w:t>23</w:t>
        </w:r>
        <w:r>
          <w:fldChar w:fldCharType="end"/>
        </w:r>
      </w:p>
    </w:sdtContent>
  </w:sdt>
  <w:p>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136429"/>
    </w:sdtPr>
    <w:sdtContent>
      <w:p>
        <w:pPr>
          <w:pStyle w:val="19"/>
          <w:jc w:val="center"/>
        </w:pPr>
      </w:p>
    </w:sdtContent>
  </w:sdt>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B9A88"/>
    <w:multiLevelType w:val="singleLevel"/>
    <w:tmpl w:val="A18B9A88"/>
    <w:lvl w:ilvl="0" w:tentative="0">
      <w:start w:val="1"/>
      <w:numFmt w:val="decimal"/>
      <w:suff w:val="nothing"/>
      <w:lvlText w:val="（%1）"/>
      <w:lvlJc w:val="left"/>
    </w:lvl>
  </w:abstractNum>
  <w:abstractNum w:abstractNumId="1">
    <w:nsid w:val="B77A1A73"/>
    <w:multiLevelType w:val="singleLevel"/>
    <w:tmpl w:val="B77A1A73"/>
    <w:lvl w:ilvl="0" w:tentative="0">
      <w:start w:val="1"/>
      <w:numFmt w:val="chineseCounting"/>
      <w:suff w:val="nothing"/>
      <w:lvlText w:val="%1、"/>
      <w:lvlJc w:val="left"/>
      <w:pPr>
        <w:ind w:left="0" w:firstLine="420"/>
      </w:pPr>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CF265B7B"/>
    <w:multiLevelType w:val="singleLevel"/>
    <w:tmpl w:val="CF265B7B"/>
    <w:lvl w:ilvl="0" w:tentative="0">
      <w:start w:val="1"/>
      <w:numFmt w:val="decimal"/>
      <w:suff w:val="nothing"/>
      <w:lvlText w:val="（%1）"/>
      <w:lvlJc w:val="left"/>
    </w:lvl>
  </w:abstractNum>
  <w:abstractNum w:abstractNumId="4">
    <w:nsid w:val="EE1DD493"/>
    <w:multiLevelType w:val="singleLevel"/>
    <w:tmpl w:val="EE1DD493"/>
    <w:lvl w:ilvl="0" w:tentative="0">
      <w:start w:val="1"/>
      <w:numFmt w:val="decimal"/>
      <w:suff w:val="nothing"/>
      <w:lvlText w:val="（%1）"/>
      <w:lvlJc w:val="left"/>
    </w:lvl>
  </w:abstractNum>
  <w:abstractNum w:abstractNumId="5">
    <w:nsid w:val="245C23D4"/>
    <w:multiLevelType w:val="multilevel"/>
    <w:tmpl w:val="245C23D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25F2470"/>
    <w:multiLevelType w:val="multilevel"/>
    <w:tmpl w:val="325F2470"/>
    <w:lvl w:ilvl="0" w:tentative="0">
      <w:start w:val="1"/>
      <w:numFmt w:val="decimal"/>
      <w:pStyle w:val="5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734DCE6"/>
    <w:multiLevelType w:val="singleLevel"/>
    <w:tmpl w:val="4734DCE6"/>
    <w:lvl w:ilvl="0" w:tentative="0">
      <w:start w:val="1"/>
      <w:numFmt w:val="decimal"/>
      <w:lvlText w:val="%1."/>
      <w:lvlJc w:val="left"/>
      <w:pPr>
        <w:tabs>
          <w:tab w:val="left" w:pos="312"/>
        </w:tabs>
      </w:pPr>
    </w:lvl>
  </w:abstractNum>
  <w:abstractNum w:abstractNumId="8">
    <w:nsid w:val="592AC448"/>
    <w:multiLevelType w:val="singleLevel"/>
    <w:tmpl w:val="592AC448"/>
    <w:lvl w:ilvl="0" w:tentative="0">
      <w:start w:val="1"/>
      <w:numFmt w:val="decimal"/>
      <w:suff w:val="nothing"/>
      <w:lvlText w:val="（%1）"/>
      <w:lvlJc w:val="left"/>
    </w:lvl>
  </w:abstractNum>
  <w:abstractNum w:abstractNumId="9">
    <w:nsid w:val="705D32C3"/>
    <w:multiLevelType w:val="singleLevel"/>
    <w:tmpl w:val="705D32C3"/>
    <w:lvl w:ilvl="0" w:tentative="0">
      <w:start w:val="5"/>
      <w:numFmt w:val="decimal"/>
      <w:lvlText w:val="%1."/>
      <w:lvlJc w:val="left"/>
      <w:pPr>
        <w:tabs>
          <w:tab w:val="left" w:pos="312"/>
        </w:tabs>
      </w:pPr>
    </w:lvl>
  </w:abstractNum>
  <w:num w:numId="1">
    <w:abstractNumId w:val="6"/>
  </w:num>
  <w:num w:numId="2">
    <w:abstractNumId w:val="2"/>
  </w:num>
  <w:num w:numId="3">
    <w:abstractNumId w:val="9"/>
  </w:num>
  <w:num w:numId="4">
    <w:abstractNumId w:val="7"/>
  </w:num>
  <w:num w:numId="5">
    <w:abstractNumId w:val="5"/>
  </w:num>
  <w:num w:numId="6">
    <w:abstractNumId w:val="8"/>
  </w:num>
  <w:num w:numId="7">
    <w:abstractNumId w:val="4"/>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8A"/>
    <w:rsid w:val="00013124"/>
    <w:rsid w:val="00147CBF"/>
    <w:rsid w:val="001548A7"/>
    <w:rsid w:val="0019004F"/>
    <w:rsid w:val="001B74CE"/>
    <w:rsid w:val="00200BF5"/>
    <w:rsid w:val="002F4E7B"/>
    <w:rsid w:val="003749F3"/>
    <w:rsid w:val="003D60BA"/>
    <w:rsid w:val="00411689"/>
    <w:rsid w:val="00470313"/>
    <w:rsid w:val="004856D8"/>
    <w:rsid w:val="00553A15"/>
    <w:rsid w:val="005733FA"/>
    <w:rsid w:val="005C5E51"/>
    <w:rsid w:val="005D618A"/>
    <w:rsid w:val="005E7F32"/>
    <w:rsid w:val="006A16B3"/>
    <w:rsid w:val="006A4FAF"/>
    <w:rsid w:val="006B31D4"/>
    <w:rsid w:val="006B3C68"/>
    <w:rsid w:val="006C4EA0"/>
    <w:rsid w:val="006D4295"/>
    <w:rsid w:val="006D613A"/>
    <w:rsid w:val="006E6AAF"/>
    <w:rsid w:val="00723B7E"/>
    <w:rsid w:val="00733049"/>
    <w:rsid w:val="007409F8"/>
    <w:rsid w:val="00755C4A"/>
    <w:rsid w:val="00766978"/>
    <w:rsid w:val="007C0032"/>
    <w:rsid w:val="007C03D4"/>
    <w:rsid w:val="007F7AD8"/>
    <w:rsid w:val="008510D7"/>
    <w:rsid w:val="008B2A07"/>
    <w:rsid w:val="00906C57"/>
    <w:rsid w:val="00911ECD"/>
    <w:rsid w:val="0095020F"/>
    <w:rsid w:val="009A4C4B"/>
    <w:rsid w:val="009B3CF8"/>
    <w:rsid w:val="009D1785"/>
    <w:rsid w:val="009D40BF"/>
    <w:rsid w:val="00A02DDD"/>
    <w:rsid w:val="00A042E0"/>
    <w:rsid w:val="00A06D4E"/>
    <w:rsid w:val="00A366DA"/>
    <w:rsid w:val="00AC74B3"/>
    <w:rsid w:val="00AD2464"/>
    <w:rsid w:val="00B15CDC"/>
    <w:rsid w:val="00B2478D"/>
    <w:rsid w:val="00B26BB1"/>
    <w:rsid w:val="00B26E21"/>
    <w:rsid w:val="00B70B74"/>
    <w:rsid w:val="00BC6DB3"/>
    <w:rsid w:val="00BD4E0B"/>
    <w:rsid w:val="00BE4F37"/>
    <w:rsid w:val="00BE5FEA"/>
    <w:rsid w:val="00BE6BB6"/>
    <w:rsid w:val="00C12756"/>
    <w:rsid w:val="00C71EE2"/>
    <w:rsid w:val="00C7611B"/>
    <w:rsid w:val="00C957D0"/>
    <w:rsid w:val="00CB7707"/>
    <w:rsid w:val="00D344A3"/>
    <w:rsid w:val="00D645C3"/>
    <w:rsid w:val="00DA530B"/>
    <w:rsid w:val="00DB3944"/>
    <w:rsid w:val="00DB4685"/>
    <w:rsid w:val="00E41CA4"/>
    <w:rsid w:val="00E80084"/>
    <w:rsid w:val="00EB49AB"/>
    <w:rsid w:val="00EF4E5B"/>
    <w:rsid w:val="00F15611"/>
    <w:rsid w:val="00F83B64"/>
    <w:rsid w:val="00F86C17"/>
    <w:rsid w:val="00FC00B1"/>
    <w:rsid w:val="00FD3425"/>
    <w:rsid w:val="00FD3864"/>
    <w:rsid w:val="00FD3959"/>
    <w:rsid w:val="00FE07B6"/>
    <w:rsid w:val="00FE4EC1"/>
    <w:rsid w:val="013E3461"/>
    <w:rsid w:val="01A324E9"/>
    <w:rsid w:val="02090C75"/>
    <w:rsid w:val="020A3667"/>
    <w:rsid w:val="020F28FF"/>
    <w:rsid w:val="02A23A3C"/>
    <w:rsid w:val="02D377D8"/>
    <w:rsid w:val="035D130A"/>
    <w:rsid w:val="039110A9"/>
    <w:rsid w:val="03AC246A"/>
    <w:rsid w:val="03B23056"/>
    <w:rsid w:val="03DC3EBA"/>
    <w:rsid w:val="03F9794D"/>
    <w:rsid w:val="04014900"/>
    <w:rsid w:val="046A2461"/>
    <w:rsid w:val="051C2970"/>
    <w:rsid w:val="055A62F1"/>
    <w:rsid w:val="060C3611"/>
    <w:rsid w:val="06483EEA"/>
    <w:rsid w:val="06C64829"/>
    <w:rsid w:val="070E7B6E"/>
    <w:rsid w:val="07766E4B"/>
    <w:rsid w:val="077D16D2"/>
    <w:rsid w:val="082A69F3"/>
    <w:rsid w:val="08675FC8"/>
    <w:rsid w:val="09B713FD"/>
    <w:rsid w:val="09C76704"/>
    <w:rsid w:val="09ED4357"/>
    <w:rsid w:val="09EF6ACC"/>
    <w:rsid w:val="0A315056"/>
    <w:rsid w:val="0A693BDD"/>
    <w:rsid w:val="0AA213B4"/>
    <w:rsid w:val="0AF61C7E"/>
    <w:rsid w:val="0AFB45AD"/>
    <w:rsid w:val="0B351E9B"/>
    <w:rsid w:val="0B4C50D3"/>
    <w:rsid w:val="0B806B92"/>
    <w:rsid w:val="0B827E94"/>
    <w:rsid w:val="0B842F76"/>
    <w:rsid w:val="0BD070E1"/>
    <w:rsid w:val="0C247926"/>
    <w:rsid w:val="0CAA5A01"/>
    <w:rsid w:val="0D794204"/>
    <w:rsid w:val="0E2125D1"/>
    <w:rsid w:val="0E214211"/>
    <w:rsid w:val="0E5F2769"/>
    <w:rsid w:val="0F4D75A3"/>
    <w:rsid w:val="0F5B2DCA"/>
    <w:rsid w:val="0FD36447"/>
    <w:rsid w:val="0FED051E"/>
    <w:rsid w:val="0FEE4C29"/>
    <w:rsid w:val="0FF4627E"/>
    <w:rsid w:val="10031608"/>
    <w:rsid w:val="10046082"/>
    <w:rsid w:val="104974DD"/>
    <w:rsid w:val="108F41A5"/>
    <w:rsid w:val="111703D2"/>
    <w:rsid w:val="112B101A"/>
    <w:rsid w:val="119B53FC"/>
    <w:rsid w:val="11B7334F"/>
    <w:rsid w:val="120644D5"/>
    <w:rsid w:val="1215733B"/>
    <w:rsid w:val="122438E1"/>
    <w:rsid w:val="12424CDC"/>
    <w:rsid w:val="129A2738"/>
    <w:rsid w:val="129A5607"/>
    <w:rsid w:val="12B56BF1"/>
    <w:rsid w:val="12CB1A89"/>
    <w:rsid w:val="131840FB"/>
    <w:rsid w:val="13467417"/>
    <w:rsid w:val="136A5BAE"/>
    <w:rsid w:val="136E76CF"/>
    <w:rsid w:val="145F08C6"/>
    <w:rsid w:val="147F1D96"/>
    <w:rsid w:val="15776308"/>
    <w:rsid w:val="15BC6B3C"/>
    <w:rsid w:val="16360A7B"/>
    <w:rsid w:val="164D40B0"/>
    <w:rsid w:val="1694429A"/>
    <w:rsid w:val="16EA37F9"/>
    <w:rsid w:val="1733598B"/>
    <w:rsid w:val="17635326"/>
    <w:rsid w:val="17B803EA"/>
    <w:rsid w:val="1815096B"/>
    <w:rsid w:val="18236EFD"/>
    <w:rsid w:val="189D5B1F"/>
    <w:rsid w:val="18A34CD0"/>
    <w:rsid w:val="19A53EA8"/>
    <w:rsid w:val="19B64DBC"/>
    <w:rsid w:val="19EC6A4A"/>
    <w:rsid w:val="1A373ACF"/>
    <w:rsid w:val="1A895341"/>
    <w:rsid w:val="1B0D071F"/>
    <w:rsid w:val="1B4568CE"/>
    <w:rsid w:val="1B9015B7"/>
    <w:rsid w:val="1B950DA6"/>
    <w:rsid w:val="1BF54245"/>
    <w:rsid w:val="1CCA21D4"/>
    <w:rsid w:val="1CD21B97"/>
    <w:rsid w:val="1D0E6976"/>
    <w:rsid w:val="1D5A79EE"/>
    <w:rsid w:val="1E0E2CD0"/>
    <w:rsid w:val="1E831280"/>
    <w:rsid w:val="1EBC4704"/>
    <w:rsid w:val="1F172EB5"/>
    <w:rsid w:val="1F431670"/>
    <w:rsid w:val="1F94592D"/>
    <w:rsid w:val="1FB860DE"/>
    <w:rsid w:val="20344F72"/>
    <w:rsid w:val="203C5A02"/>
    <w:rsid w:val="209D4C94"/>
    <w:rsid w:val="20BE643C"/>
    <w:rsid w:val="20E84705"/>
    <w:rsid w:val="218400BA"/>
    <w:rsid w:val="21AB1E2F"/>
    <w:rsid w:val="21D40498"/>
    <w:rsid w:val="21EC3A0B"/>
    <w:rsid w:val="22767047"/>
    <w:rsid w:val="23110016"/>
    <w:rsid w:val="234A308C"/>
    <w:rsid w:val="23A05588"/>
    <w:rsid w:val="23D034C4"/>
    <w:rsid w:val="240476A1"/>
    <w:rsid w:val="24DB3341"/>
    <w:rsid w:val="25431AEB"/>
    <w:rsid w:val="25BE3BFB"/>
    <w:rsid w:val="25BF43FD"/>
    <w:rsid w:val="25F86BCD"/>
    <w:rsid w:val="2605748B"/>
    <w:rsid w:val="264544A6"/>
    <w:rsid w:val="268E2070"/>
    <w:rsid w:val="269E416A"/>
    <w:rsid w:val="26C11C6B"/>
    <w:rsid w:val="26DD6AEC"/>
    <w:rsid w:val="272100D3"/>
    <w:rsid w:val="272C72FC"/>
    <w:rsid w:val="275131CB"/>
    <w:rsid w:val="276E1182"/>
    <w:rsid w:val="27EB149D"/>
    <w:rsid w:val="27FD3E52"/>
    <w:rsid w:val="28E11370"/>
    <w:rsid w:val="294A756A"/>
    <w:rsid w:val="29781BF8"/>
    <w:rsid w:val="29C33ED0"/>
    <w:rsid w:val="29D5322D"/>
    <w:rsid w:val="2A025DD9"/>
    <w:rsid w:val="2A2619CB"/>
    <w:rsid w:val="2A530B57"/>
    <w:rsid w:val="2A7C2231"/>
    <w:rsid w:val="2A93327D"/>
    <w:rsid w:val="2ABB753D"/>
    <w:rsid w:val="2AFE6EC4"/>
    <w:rsid w:val="2B390705"/>
    <w:rsid w:val="2B5430CC"/>
    <w:rsid w:val="2B7A49FA"/>
    <w:rsid w:val="2C615D26"/>
    <w:rsid w:val="2CAC7FCD"/>
    <w:rsid w:val="2CB679ED"/>
    <w:rsid w:val="2D173C07"/>
    <w:rsid w:val="2D424A86"/>
    <w:rsid w:val="2DDA66B7"/>
    <w:rsid w:val="2E5A3435"/>
    <w:rsid w:val="2E7B52DB"/>
    <w:rsid w:val="2ED60115"/>
    <w:rsid w:val="2F324CFE"/>
    <w:rsid w:val="2F7022F7"/>
    <w:rsid w:val="2FBA09F1"/>
    <w:rsid w:val="2FEF2ACF"/>
    <w:rsid w:val="30540211"/>
    <w:rsid w:val="30F140F9"/>
    <w:rsid w:val="31112A0D"/>
    <w:rsid w:val="311F4B20"/>
    <w:rsid w:val="312D7741"/>
    <w:rsid w:val="316F137F"/>
    <w:rsid w:val="31DF525F"/>
    <w:rsid w:val="31EC162B"/>
    <w:rsid w:val="32324C2E"/>
    <w:rsid w:val="327171DF"/>
    <w:rsid w:val="331D573E"/>
    <w:rsid w:val="341E3434"/>
    <w:rsid w:val="34306758"/>
    <w:rsid w:val="34BB4442"/>
    <w:rsid w:val="360B7EBA"/>
    <w:rsid w:val="36416867"/>
    <w:rsid w:val="367E14EA"/>
    <w:rsid w:val="369C32FD"/>
    <w:rsid w:val="36CD6060"/>
    <w:rsid w:val="36D02AE0"/>
    <w:rsid w:val="37666E72"/>
    <w:rsid w:val="38081EA3"/>
    <w:rsid w:val="38167A04"/>
    <w:rsid w:val="381C3783"/>
    <w:rsid w:val="38972801"/>
    <w:rsid w:val="394B167A"/>
    <w:rsid w:val="39DA2868"/>
    <w:rsid w:val="3A055F4B"/>
    <w:rsid w:val="3A1D055D"/>
    <w:rsid w:val="3A4E4336"/>
    <w:rsid w:val="3A6007FE"/>
    <w:rsid w:val="3AF93D6C"/>
    <w:rsid w:val="3B6B467F"/>
    <w:rsid w:val="3B7C2CE4"/>
    <w:rsid w:val="3BAE5737"/>
    <w:rsid w:val="3BAF716B"/>
    <w:rsid w:val="3C0B5355"/>
    <w:rsid w:val="3C3511EC"/>
    <w:rsid w:val="3C3624F1"/>
    <w:rsid w:val="3CBB4EEA"/>
    <w:rsid w:val="3CD4176B"/>
    <w:rsid w:val="3D1F44D9"/>
    <w:rsid w:val="3D5C38CD"/>
    <w:rsid w:val="3E5070F1"/>
    <w:rsid w:val="3EC370CB"/>
    <w:rsid w:val="3EEE35A0"/>
    <w:rsid w:val="3F6C3589"/>
    <w:rsid w:val="3F850180"/>
    <w:rsid w:val="3F9004D6"/>
    <w:rsid w:val="400E4D5E"/>
    <w:rsid w:val="40E1138C"/>
    <w:rsid w:val="413814BA"/>
    <w:rsid w:val="413927A4"/>
    <w:rsid w:val="41872511"/>
    <w:rsid w:val="41DF1251"/>
    <w:rsid w:val="424236D9"/>
    <w:rsid w:val="42466655"/>
    <w:rsid w:val="42C82F57"/>
    <w:rsid w:val="435707E5"/>
    <w:rsid w:val="43B555D9"/>
    <w:rsid w:val="43C76AF7"/>
    <w:rsid w:val="43E97E4A"/>
    <w:rsid w:val="43EB3A41"/>
    <w:rsid w:val="43F0383B"/>
    <w:rsid w:val="446828F0"/>
    <w:rsid w:val="45093E85"/>
    <w:rsid w:val="45C13B4D"/>
    <w:rsid w:val="45D4223E"/>
    <w:rsid w:val="46054BCA"/>
    <w:rsid w:val="464C6AFC"/>
    <w:rsid w:val="468B0091"/>
    <w:rsid w:val="46A107C3"/>
    <w:rsid w:val="46B15CE2"/>
    <w:rsid w:val="46BE113D"/>
    <w:rsid w:val="46E44B13"/>
    <w:rsid w:val="4703508A"/>
    <w:rsid w:val="475023F8"/>
    <w:rsid w:val="479D361E"/>
    <w:rsid w:val="47B74789"/>
    <w:rsid w:val="47DE75A5"/>
    <w:rsid w:val="480F2B9D"/>
    <w:rsid w:val="48282920"/>
    <w:rsid w:val="485321E0"/>
    <w:rsid w:val="48546AD3"/>
    <w:rsid w:val="48786BB2"/>
    <w:rsid w:val="48CA4868"/>
    <w:rsid w:val="48EF7FF1"/>
    <w:rsid w:val="48F005D3"/>
    <w:rsid w:val="49034EF2"/>
    <w:rsid w:val="49547ADD"/>
    <w:rsid w:val="49732351"/>
    <w:rsid w:val="498F4AF1"/>
    <w:rsid w:val="49C05787"/>
    <w:rsid w:val="49CF518D"/>
    <w:rsid w:val="4A5A140A"/>
    <w:rsid w:val="4A7632DC"/>
    <w:rsid w:val="4A8423CD"/>
    <w:rsid w:val="4ADA1F63"/>
    <w:rsid w:val="4AE23D89"/>
    <w:rsid w:val="4AF23953"/>
    <w:rsid w:val="4B2038D0"/>
    <w:rsid w:val="4B296E7D"/>
    <w:rsid w:val="4B79394E"/>
    <w:rsid w:val="4B877F28"/>
    <w:rsid w:val="4C2255E9"/>
    <w:rsid w:val="4C915B1B"/>
    <w:rsid w:val="4D443C0E"/>
    <w:rsid w:val="4D916BA6"/>
    <w:rsid w:val="4DC44169"/>
    <w:rsid w:val="4DE24E21"/>
    <w:rsid w:val="4E1B19A3"/>
    <w:rsid w:val="4E48787F"/>
    <w:rsid w:val="4EB60BDD"/>
    <w:rsid w:val="4EF0709E"/>
    <w:rsid w:val="4F0469A4"/>
    <w:rsid w:val="50540C73"/>
    <w:rsid w:val="50E7351D"/>
    <w:rsid w:val="513C6A7B"/>
    <w:rsid w:val="520F474D"/>
    <w:rsid w:val="532D486F"/>
    <w:rsid w:val="5333545B"/>
    <w:rsid w:val="535B783A"/>
    <w:rsid w:val="538D0E89"/>
    <w:rsid w:val="5450213C"/>
    <w:rsid w:val="54D24048"/>
    <w:rsid w:val="54D64CD5"/>
    <w:rsid w:val="55887D69"/>
    <w:rsid w:val="561A0928"/>
    <w:rsid w:val="56423872"/>
    <w:rsid w:val="56590EFD"/>
    <w:rsid w:val="569E06BC"/>
    <w:rsid w:val="56B279F0"/>
    <w:rsid w:val="56F20F86"/>
    <w:rsid w:val="579575AF"/>
    <w:rsid w:val="579D710E"/>
    <w:rsid w:val="581F22F6"/>
    <w:rsid w:val="582A0AF0"/>
    <w:rsid w:val="584A0A6A"/>
    <w:rsid w:val="586E1E17"/>
    <w:rsid w:val="58862C35"/>
    <w:rsid w:val="58905FBE"/>
    <w:rsid w:val="58C14957"/>
    <w:rsid w:val="58CC23D2"/>
    <w:rsid w:val="58E66050"/>
    <w:rsid w:val="58F33A79"/>
    <w:rsid w:val="59D101A8"/>
    <w:rsid w:val="5A7A6E3F"/>
    <w:rsid w:val="5AE83A50"/>
    <w:rsid w:val="5B353193"/>
    <w:rsid w:val="5B5D75DF"/>
    <w:rsid w:val="5BAB2917"/>
    <w:rsid w:val="5BEE5893"/>
    <w:rsid w:val="5BFC33FA"/>
    <w:rsid w:val="5C04609D"/>
    <w:rsid w:val="5C3107A4"/>
    <w:rsid w:val="5C332B87"/>
    <w:rsid w:val="5C3B1B93"/>
    <w:rsid w:val="5C7241CF"/>
    <w:rsid w:val="5C9220DF"/>
    <w:rsid w:val="5C9D5397"/>
    <w:rsid w:val="5D4A15F3"/>
    <w:rsid w:val="5D69542A"/>
    <w:rsid w:val="5D783B72"/>
    <w:rsid w:val="5DF71BF7"/>
    <w:rsid w:val="5E0930EF"/>
    <w:rsid w:val="5E3D4D53"/>
    <w:rsid w:val="5E4717E6"/>
    <w:rsid w:val="5E55774C"/>
    <w:rsid w:val="5E8A70FF"/>
    <w:rsid w:val="5FD17356"/>
    <w:rsid w:val="60045F96"/>
    <w:rsid w:val="60104DDC"/>
    <w:rsid w:val="605C0804"/>
    <w:rsid w:val="6189617B"/>
    <w:rsid w:val="61B52BB6"/>
    <w:rsid w:val="61B749C2"/>
    <w:rsid w:val="62280D20"/>
    <w:rsid w:val="62687DF8"/>
    <w:rsid w:val="62CA2457"/>
    <w:rsid w:val="638240A1"/>
    <w:rsid w:val="63833423"/>
    <w:rsid w:val="63A5257B"/>
    <w:rsid w:val="63BD3DCC"/>
    <w:rsid w:val="63C61741"/>
    <w:rsid w:val="64560967"/>
    <w:rsid w:val="64590086"/>
    <w:rsid w:val="656B1D10"/>
    <w:rsid w:val="65A94287"/>
    <w:rsid w:val="65B841F9"/>
    <w:rsid w:val="66022B28"/>
    <w:rsid w:val="6616283E"/>
    <w:rsid w:val="664A38E2"/>
    <w:rsid w:val="66581E87"/>
    <w:rsid w:val="66F85F40"/>
    <w:rsid w:val="66FA11D5"/>
    <w:rsid w:val="674302C7"/>
    <w:rsid w:val="680A5986"/>
    <w:rsid w:val="680D5F4B"/>
    <w:rsid w:val="68113F51"/>
    <w:rsid w:val="684828EC"/>
    <w:rsid w:val="68E94770"/>
    <w:rsid w:val="68F949C9"/>
    <w:rsid w:val="695A4290"/>
    <w:rsid w:val="69A04276"/>
    <w:rsid w:val="69E234FB"/>
    <w:rsid w:val="6A334932"/>
    <w:rsid w:val="6A3353FF"/>
    <w:rsid w:val="6A5D63E6"/>
    <w:rsid w:val="6A5F24D1"/>
    <w:rsid w:val="6A863E32"/>
    <w:rsid w:val="6ACA70C4"/>
    <w:rsid w:val="6AE347EB"/>
    <w:rsid w:val="6B330365"/>
    <w:rsid w:val="6B434AF0"/>
    <w:rsid w:val="6B57675A"/>
    <w:rsid w:val="6B87098A"/>
    <w:rsid w:val="6BDD7B4D"/>
    <w:rsid w:val="6C26359C"/>
    <w:rsid w:val="6D0362F3"/>
    <w:rsid w:val="6D9415A6"/>
    <w:rsid w:val="6EBC0B3A"/>
    <w:rsid w:val="6EF51C7D"/>
    <w:rsid w:val="6F55072F"/>
    <w:rsid w:val="6F8363E5"/>
    <w:rsid w:val="6FA80CCD"/>
    <w:rsid w:val="6FAC3CC5"/>
    <w:rsid w:val="6FC746F5"/>
    <w:rsid w:val="70317AC6"/>
    <w:rsid w:val="704B26F7"/>
    <w:rsid w:val="70697B21"/>
    <w:rsid w:val="70863262"/>
    <w:rsid w:val="70A41B8B"/>
    <w:rsid w:val="70A76ED3"/>
    <w:rsid w:val="70B323BE"/>
    <w:rsid w:val="71860B17"/>
    <w:rsid w:val="723B27CC"/>
    <w:rsid w:val="72687227"/>
    <w:rsid w:val="72A03FD9"/>
    <w:rsid w:val="72E70308"/>
    <w:rsid w:val="73406CFF"/>
    <w:rsid w:val="7383028C"/>
    <w:rsid w:val="73A25E44"/>
    <w:rsid w:val="741F68CF"/>
    <w:rsid w:val="74373C1B"/>
    <w:rsid w:val="75252DF3"/>
    <w:rsid w:val="75621536"/>
    <w:rsid w:val="75BF3154"/>
    <w:rsid w:val="764A07CF"/>
    <w:rsid w:val="764F6B3D"/>
    <w:rsid w:val="76CD2B7B"/>
    <w:rsid w:val="76D80645"/>
    <w:rsid w:val="76E03371"/>
    <w:rsid w:val="774973F9"/>
    <w:rsid w:val="775F4B7F"/>
    <w:rsid w:val="776908A2"/>
    <w:rsid w:val="77B7487E"/>
    <w:rsid w:val="7807081C"/>
    <w:rsid w:val="780E5898"/>
    <w:rsid w:val="782642CC"/>
    <w:rsid w:val="7894095E"/>
    <w:rsid w:val="78964555"/>
    <w:rsid w:val="78CF4963"/>
    <w:rsid w:val="78EB37E2"/>
    <w:rsid w:val="79000679"/>
    <w:rsid w:val="791C0FE5"/>
    <w:rsid w:val="79A416F0"/>
    <w:rsid w:val="79B03EB6"/>
    <w:rsid w:val="7AE15A5C"/>
    <w:rsid w:val="7AE61ECD"/>
    <w:rsid w:val="7AF37579"/>
    <w:rsid w:val="7AF87F64"/>
    <w:rsid w:val="7B1C0C84"/>
    <w:rsid w:val="7B5A62DF"/>
    <w:rsid w:val="7B7A04A8"/>
    <w:rsid w:val="7C0C3F6D"/>
    <w:rsid w:val="7C22163C"/>
    <w:rsid w:val="7C457B4B"/>
    <w:rsid w:val="7C52060D"/>
    <w:rsid w:val="7C595075"/>
    <w:rsid w:val="7C647E50"/>
    <w:rsid w:val="7C6B07B2"/>
    <w:rsid w:val="7D133243"/>
    <w:rsid w:val="7D945420"/>
    <w:rsid w:val="7E394207"/>
    <w:rsid w:val="7E4007A2"/>
    <w:rsid w:val="7E5A608D"/>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semiHidden/>
    <w:unhideWhenUsed/>
    <w:qFormat/>
    <w:uiPriority w:val="99"/>
    <w:pPr>
      <w:jc w:val="left"/>
    </w:pPr>
  </w:style>
  <w:style w:type="paragraph" w:styleId="10">
    <w:name w:val="Body Text 3"/>
    <w:basedOn w:val="1"/>
    <w:link w:val="43"/>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Body Text 2"/>
    <w:basedOn w:val="1"/>
    <w:qFormat/>
    <w:uiPriority w:val="0"/>
    <w:pPr>
      <w:spacing w:after="120" w:line="480" w:lineRule="auto"/>
    </w:p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link w:val="52"/>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link w:val="49"/>
    <w:semiHidden/>
    <w:unhideWhenUsed/>
    <w:qFormat/>
    <w:uiPriority w:val="99"/>
    <w:pPr>
      <w:spacing w:after="120" w:line="480" w:lineRule="auto"/>
      <w:ind w:left="420" w:leftChars="200"/>
    </w:pPr>
    <w:rPr>
      <w:rFonts w:ascii="Times New Roman" w:hAnsi="Times New Roman" w:eastAsia="宋体" w:cs="Times New Roman"/>
      <w:szCs w:val="24"/>
    </w:rPr>
  </w:style>
  <w:style w:type="paragraph" w:styleId="18">
    <w:name w:val="Balloon Text"/>
    <w:basedOn w:val="1"/>
    <w:link w:val="38"/>
    <w:semiHidden/>
    <w:unhideWhenUsed/>
    <w:qFormat/>
    <w:uiPriority w:val="99"/>
    <w:rPr>
      <w:sz w:val="18"/>
      <w:szCs w:val="18"/>
    </w:rPr>
  </w:style>
  <w:style w:type="paragraph" w:styleId="19">
    <w:name w:val="footer"/>
    <w:basedOn w:val="1"/>
    <w:link w:val="32"/>
    <w:unhideWhenUsed/>
    <w:qFormat/>
    <w:uiPriority w:val="99"/>
    <w:pPr>
      <w:tabs>
        <w:tab w:val="center" w:pos="4153"/>
        <w:tab w:val="right" w:pos="8306"/>
      </w:tabs>
      <w:snapToGrid w:val="0"/>
      <w:jc w:val="left"/>
    </w:pPr>
    <w:rPr>
      <w:sz w:val="18"/>
      <w:szCs w:val="18"/>
    </w:rPr>
  </w:style>
  <w:style w:type="paragraph" w:styleId="20">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qFormat/>
    <w:uiPriority w:val="0"/>
    <w:rPr>
      <w:kern w:val="2"/>
      <w:sz w:val="24"/>
      <w:szCs w:val="24"/>
    </w:rPr>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页眉 字符"/>
    <w:basedOn w:val="26"/>
    <w:link w:val="20"/>
    <w:qFormat/>
    <w:uiPriority w:val="99"/>
    <w:rPr>
      <w:sz w:val="18"/>
      <w:szCs w:val="18"/>
    </w:rPr>
  </w:style>
  <w:style w:type="character" w:customStyle="1" w:styleId="32">
    <w:name w:val="页脚 字符"/>
    <w:basedOn w:val="26"/>
    <w:link w:val="19"/>
    <w:qFormat/>
    <w:uiPriority w:val="99"/>
    <w:rPr>
      <w:sz w:val="18"/>
      <w:szCs w:val="18"/>
    </w:rPr>
  </w:style>
  <w:style w:type="character" w:customStyle="1" w:styleId="33">
    <w:name w:val="标题 1 字符"/>
    <w:basedOn w:val="26"/>
    <w:link w:val="4"/>
    <w:qFormat/>
    <w:uiPriority w:val="9"/>
    <w:rPr>
      <w:rFonts w:eastAsia="方正小标宋简体"/>
      <w:bCs/>
      <w:kern w:val="44"/>
      <w:sz w:val="44"/>
      <w:szCs w:val="44"/>
    </w:rPr>
  </w:style>
  <w:style w:type="character" w:customStyle="1" w:styleId="34">
    <w:name w:val="标题 2 字符"/>
    <w:basedOn w:val="26"/>
    <w:link w:val="5"/>
    <w:qFormat/>
    <w:uiPriority w:val="9"/>
    <w:rPr>
      <w:rFonts w:eastAsia="方正小标宋简体" w:asciiTheme="majorHAnsi" w:hAnsiTheme="majorHAnsi" w:cstheme="majorBidi"/>
      <w:bCs/>
      <w:sz w:val="36"/>
      <w:szCs w:val="32"/>
    </w:rPr>
  </w:style>
  <w:style w:type="character" w:customStyle="1" w:styleId="35">
    <w:name w:val="标题 3 字符"/>
    <w:basedOn w:val="26"/>
    <w:link w:val="6"/>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字符"/>
    <w:basedOn w:val="26"/>
    <w:link w:val="18"/>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5"/>
    <w:next w:val="15"/>
    <w:qFormat/>
    <w:uiPriority w:val="0"/>
    <w:pPr>
      <w:spacing w:after="373"/>
    </w:pPr>
    <w:rPr>
      <w:color w:val="auto"/>
    </w:rPr>
  </w:style>
  <w:style w:type="paragraph" w:customStyle="1" w:styleId="41">
    <w:name w:val="CM91"/>
    <w:basedOn w:val="15"/>
    <w:next w:val="15"/>
    <w:qFormat/>
    <w:uiPriority w:val="0"/>
    <w:pPr>
      <w:spacing w:after="160"/>
    </w:pPr>
    <w:rPr>
      <w:color w:val="auto"/>
    </w:rPr>
  </w:style>
  <w:style w:type="character" w:customStyle="1" w:styleId="42">
    <w:name w:val="正文文本 3 Char"/>
    <w:qFormat/>
    <w:uiPriority w:val="99"/>
    <w:rPr>
      <w:sz w:val="16"/>
      <w:szCs w:val="16"/>
    </w:rPr>
  </w:style>
  <w:style w:type="character" w:customStyle="1" w:styleId="43">
    <w:name w:val="正文文本 3 字符"/>
    <w:basedOn w:val="26"/>
    <w:link w:val="10"/>
    <w:semiHidden/>
    <w:qFormat/>
    <w:uiPriority w:val="99"/>
    <w:rPr>
      <w:sz w:val="16"/>
      <w:szCs w:val="16"/>
    </w:rPr>
  </w:style>
  <w:style w:type="character" w:customStyle="1" w:styleId="44">
    <w:name w:val="列出段落 字符"/>
    <w:link w:val="36"/>
    <w:qFormat/>
    <w:uiPriority w:val="34"/>
  </w:style>
  <w:style w:type="paragraph" w:customStyle="1" w:styleId="45">
    <w:name w:val="1"/>
    <w:basedOn w:val="1"/>
    <w:next w:val="14"/>
    <w:qFormat/>
    <w:uiPriority w:val="99"/>
    <w:rPr>
      <w:rFonts w:ascii="宋体" w:hAnsi="Courier New"/>
    </w:rPr>
  </w:style>
  <w:style w:type="paragraph" w:customStyle="1" w:styleId="46">
    <w:name w:val="WPSOffice手动目录 1"/>
    <w:qFormat/>
    <w:uiPriority w:val="0"/>
    <w:rPr>
      <w:rFonts w:asciiTheme="minorHAnsi" w:hAnsiTheme="minorHAnsi" w:eastAsiaTheme="minorEastAsia" w:cstheme="minorBidi"/>
      <w:lang w:val="en-US" w:eastAsia="zh-CN" w:bidi="ar-SA"/>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8">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9">
    <w:name w:val="正文文本缩进 2 字符"/>
    <w:basedOn w:val="26"/>
    <w:link w:val="17"/>
    <w:semiHidden/>
    <w:qFormat/>
    <w:uiPriority w:val="99"/>
    <w:rPr>
      <w:rFonts w:ascii="Times New Roman" w:hAnsi="Times New Roman" w:eastAsia="宋体" w:cs="Times New Roman"/>
      <w:kern w:val="2"/>
      <w:sz w:val="21"/>
      <w:szCs w:val="24"/>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列出段落3"/>
    <w:basedOn w:val="1"/>
    <w:qFormat/>
    <w:uiPriority w:val="0"/>
    <w:pPr>
      <w:ind w:firstLine="420" w:firstLineChars="200"/>
    </w:pPr>
    <w:rPr>
      <w:rFonts w:ascii="Calibri" w:hAnsi="Calibri" w:eastAsia="宋体" w:cs="Times New Roman"/>
    </w:rPr>
  </w:style>
  <w:style w:type="character" w:customStyle="1" w:styleId="52">
    <w:name w:val="纯文本 字符"/>
    <w:basedOn w:val="26"/>
    <w:link w:val="14"/>
    <w:qFormat/>
    <w:uiPriority w:val="0"/>
    <w:rPr>
      <w:rFonts w:ascii="宋体" w:hAnsi="Courier New"/>
      <w:kern w:val="2"/>
      <w:sz w:val="21"/>
      <w:szCs w:val="21"/>
    </w:rPr>
  </w:style>
  <w:style w:type="paragraph" w:customStyle="1" w:styleId="53">
    <w:name w:val="_Style 4"/>
    <w:basedOn w:val="4"/>
    <w:next w:val="1"/>
    <w:qFormat/>
    <w:uiPriority w:val="0"/>
    <w:pPr>
      <w:keepNext w:val="0"/>
      <w:keepLines w:val="0"/>
      <w:spacing w:before="0" w:after="0" w:line="576" w:lineRule="auto"/>
      <w:jc w:val="left"/>
      <w:outlineLvl w:val="9"/>
    </w:pPr>
    <w:rPr>
      <w:rFonts w:ascii="Calibri" w:hAnsi="Calibri" w:eastAsia="黑体" w:cs="Times New Roman"/>
      <w:bCs w:val="0"/>
      <w:kern w:val="0"/>
      <w:lang w:eastAsia="en-US"/>
    </w:rPr>
  </w:style>
  <w:style w:type="character" w:customStyle="1" w:styleId="54">
    <w:name w:val="标题3 字符"/>
    <w:link w:val="55"/>
    <w:qFormat/>
    <w:uiPriority w:val="0"/>
    <w:rPr>
      <w:rFonts w:eastAsia="仿宋"/>
      <w:bCs/>
      <w:kern w:val="2"/>
      <w:sz w:val="32"/>
      <w:szCs w:val="32"/>
    </w:rPr>
  </w:style>
  <w:style w:type="paragraph" w:customStyle="1" w:styleId="55">
    <w:name w:val="标题3"/>
    <w:basedOn w:val="6"/>
    <w:next w:val="7"/>
    <w:link w:val="54"/>
    <w:qFormat/>
    <w:uiPriority w:val="0"/>
    <w:pPr>
      <w:numPr>
        <w:ilvl w:val="0"/>
        <w:numId w:val="1"/>
      </w:numPr>
    </w:pPr>
    <w:rPr>
      <w:rFonts w:eastAsia="仿宋" w:asciiTheme="minorHAnsi" w:hAnsiTheme="minorHAnsi" w:cstheme="minorBidi"/>
      <w:b w:val="0"/>
    </w:rPr>
  </w:style>
  <w:style w:type="character" w:customStyle="1" w:styleId="56">
    <w:name w:val="页脚 Char"/>
    <w:qFormat/>
    <w:uiPriority w:val="99"/>
    <w:rPr>
      <w:kern w:val="2"/>
      <w:sz w:val="18"/>
      <w:szCs w:val="24"/>
    </w:rPr>
  </w:style>
  <w:style w:type="character" w:customStyle="1" w:styleId="57">
    <w:name w:val="标题 4 字符"/>
    <w:basedOn w:val="26"/>
    <w:link w:val="7"/>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3864</Words>
  <Characters>22027</Characters>
  <Lines>183</Lines>
  <Paragraphs>51</Paragraphs>
  <TotalTime>7</TotalTime>
  <ScaleCrop>false</ScaleCrop>
  <LinksUpToDate>false</LinksUpToDate>
  <CharactersWithSpaces>25840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2022-06-09T02:43:00Z</dcterms:created>
  <dc:creator>陈义春</dc:creator>
  <cp:lastModifiedBy>琳</cp:lastModifiedBy>
  <cp:lastPrinted>2023-09-20T00:39:00Z</cp:lastPrinted>
  <dcterms:modified xsi:type="dcterms:W3CDTF">2023-12-11T08:08:51Z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89013B13E8C847B39EBED560A77D202D</vt:lpwstr>
  </property>
</Properties>
</file>