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广州市净水有限公司龙归分公司</w:t>
      </w: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2024年厂区网络系统及视频监控</w:t>
      </w: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系统改造项目</w:t>
      </w:r>
    </w:p>
    <w:p>
      <w:pPr>
        <w:pStyle w:val="2"/>
        <w:rPr>
          <w:rFonts w:hint="default"/>
          <w:color w:val="auto"/>
          <w:highlight w:val="none"/>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pStyle w:val="2"/>
        <w:rPr>
          <w:rFonts w:hint="eastAsia" w:ascii="仿宋_GB2312" w:eastAsia="仿宋_GB2312"/>
          <w:color w:val="auto"/>
          <w:sz w:val="32"/>
          <w:szCs w:val="32"/>
          <w:highlight w:val="none"/>
        </w:rPr>
      </w:pPr>
    </w:p>
    <w:p>
      <w:pPr>
        <w:pStyle w:val="2"/>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十二</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6"/>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0" w:name="_Toc26148"/>
      <w:bookmarkStart w:id="1" w:name="_Toc18145"/>
    </w:p>
    <w:p>
      <w:pPr>
        <w:rPr>
          <w:rFonts w:hint="eastAsia"/>
          <w:color w:val="auto"/>
          <w:highlight w:val="none"/>
        </w:rPr>
      </w:pPr>
    </w:p>
    <w:p>
      <w:pPr>
        <w:pStyle w:val="3"/>
        <w:rPr>
          <w:rFonts w:hint="eastAsia"/>
          <w:color w:val="auto"/>
          <w:highlight w:val="none"/>
        </w:rPr>
      </w:pPr>
      <w:bookmarkStart w:id="2" w:name="_Toc1711"/>
      <w:bookmarkStart w:id="3" w:name="_Toc17696"/>
    </w:p>
    <w:p>
      <w:pPr>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3"/>
        <w:rPr>
          <w:rFonts w:hint="eastAsia"/>
          <w:color w:val="auto"/>
          <w:highlight w:val="none"/>
        </w:rPr>
      </w:pPr>
      <w:bookmarkStart w:id="4" w:name="_Toc19609"/>
      <w:bookmarkStart w:id="5" w:name="_Toc31938"/>
      <w:bookmarkStart w:id="6" w:name="_Toc7519"/>
      <w:bookmarkStart w:id="7" w:name="_Toc11322"/>
      <w:bookmarkStart w:id="8" w:name="_Toc4275"/>
      <w:bookmarkStart w:id="9" w:name="_Toc1669"/>
      <w:bookmarkStart w:id="10" w:name="_Toc17801"/>
    </w:p>
    <w:p>
      <w:pPr>
        <w:pStyle w:val="3"/>
        <w:rPr>
          <w:rFonts w:hint="eastAsia"/>
          <w:color w:val="auto"/>
          <w:highlight w:val="none"/>
        </w:rPr>
      </w:pPr>
    </w:p>
    <w:p>
      <w:pPr>
        <w:pStyle w:val="3"/>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2309495</wp:posOffset>
                </wp:positionH>
                <wp:positionV relativeFrom="paragraph">
                  <wp:posOffset>551815</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1.85pt;margin-top:43.45pt;height:0pt;width:75.5pt;z-index:251668480;mso-width-relative:page;mso-height-relative:page;" filled="f" stroked="t" coordsize="21600,21600" o:gfxdata="UEsDBAoAAAAAAIdO4kAAAAAAAAAAAAAAAAAEAAAAZHJzL1BLAwQUAAAACACHTuJAlpCVS9cAAAAJ&#10;AQAADwAAAGRycy9kb3ducmV2LnhtbE2PwU7DMAyG70h7h8hIXBBLurGylabThMRhR7ZJXLPGtIXG&#10;qZp0HXv6GXGAo39/+v05X59dK07Yh8aThmSqQCCV3jZUaTjsXx+WIEI0ZE3rCTV8Y4B1MbnJTWb9&#10;SG942sVKcAmFzGioY+wyKUNZozNh6jsk3n343pnIY19J25uRy10rZ0ql0pmG+EJtOnypsfzaDU4D&#10;hmGRqM3KVYftZbx/n10+x26v9d1top5BRDzHPxh+9FkdCnY6+oFsEK2GeTp/YlTDMl2BYGCRPHJw&#10;/A1kkcv/HxRX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lpCVS9cAAAAJ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2324735</wp:posOffset>
                </wp:positionH>
                <wp:positionV relativeFrom="paragraph">
                  <wp:posOffset>15240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3.05pt;margin-top:1.2pt;height:0pt;width:75.5pt;z-index:251667456;mso-width-relative:page;mso-height-relative:page;" filled="f" stroked="t" coordsize="21600,21600" o:gfxdata="UEsDBAoAAAAAAIdO4kAAAAAAAAAAAAAAAAAEAAAAZHJzL1BLAwQUAAAACACHTuJAG9ORNNQAAAAH&#10;AQAADwAAAGRycy9kb3ducmV2LnhtbE2OwU7DMBBE70j8g7VIXBC1HWiAEKdCSBw40lbi6sZLEojX&#10;Uew0pV/PwqUcn2Y088rVwfdij2PsAhnQCwUCqQ6uo8bAdvNyfQ8iJkvO9oHQwDdGWFXnZ6UtXJjp&#10;Dffr1AgeoVhYA21KQyFlrFv0Ni7CgMTZRxi9TYxjI91oZx73vcyUyqW3HfFDawd8brH+Wk/eAMZp&#10;qdXTg2+2r8f56j07fs7DxpjLC60eQSQ8pFMZfvVZHSp22oWJXBS9gZs811w1kN2C4Hyp75h3fyyr&#10;Uv73r34AUEsDBBQAAAAIAIdO4kAPrIeI8wEAAOQDAAAOAAAAZHJzL2Uyb0RvYy54bWytU82O0zAQ&#10;viPxDpbvNE2lrkrUdA8tywVBJeABpo6TWPKfPN6mvXFDPAM3jrwDvM1K7FswdrpdWC49kIMz9sx8&#10;M9/n8fL6YDTby4DK2ZqXkyln0grXKNvV/OOHmxcLzjCCbUA7K2t+lMivV8+fLQdfyZnrnW5kYARi&#10;sRp8zfsYfVUUKHppACfOS0vO1gUDkbahK5oAA6EbXcym06ticKHxwQmJSKeb0clPiOESQNe2SsiN&#10;E7dG2jiiBqkhEiXslUe+yt22rRTxXduijEzXnJjGvFIRsndpLVZLqLoAvlfi1AJc0sITTgaUpaJn&#10;qA1EYLdB/QNllAgOXRsnwpliJJIVIRbl9Ik273vwMnMhqdGfRcf/Byve7reBqYYmoeTMgqEb//X5&#10;+/2nL3dff979+MbKq6TR4LGi0LXdhtMO/TYkwoc2mPQnKuyQdT2edZWHyAQdvpwvFnNSXDy4isc8&#10;HzC+ls6wZNQcYwDV9XHtrKXLc6HMssL+DUaqTIkPCamotmxI8LM5gQMNY0tDQKbxRAhtl3PRadXc&#10;KK1TBoZut9aB7SENRP4SP8L9KywV2QD2Y1x2jaPSS2he2YbFoyelLL0QnlowsuFMS3pQySJAqCIo&#10;fUkkldaWOkgSj6Ima+eaY9Y6n9Pl5x5Pg5qm6899zn58nK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G9ORNNQAAAAHAQAADwAAAAAAAAABACAAAAAiAAAAZHJzL2Rvd25yZXYueG1sUEsBAhQAFAAA&#10;AAgAh07iQA+sh4jzAQAA5AMAAA4AAAAAAAAAAQAgAAAAIwEAAGRycy9lMm9Eb2MueG1sUEsFBgAA&#10;AAAGAAYAWQEAAIgFA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8"/>
        <w:rPr>
          <w:color w:val="auto"/>
          <w:highlight w:val="none"/>
        </w:rPr>
      </w:pPr>
    </w:p>
    <w:p>
      <w:pPr>
        <w:pStyle w:val="3"/>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t>广州市净水有限公司龙归分公司2024年厂区网络系统及视频监控系统改造项目</w:t>
      </w:r>
      <w:r>
        <w:rPr>
          <w:rFonts w:hint="eastAsia" w:ascii="仿宋_GB2312" w:eastAsia="仿宋_GB2312"/>
          <w:color w:val="auto"/>
          <w:sz w:val="28"/>
          <w:szCs w:val="28"/>
          <w:highlight w:val="none"/>
        </w:rPr>
        <w:t>已具备采购条件，</w:t>
      </w:r>
      <w:r>
        <w:rPr>
          <w:rFonts w:hint="eastAsia" w:ascii="仿宋_GB2312" w:eastAsia="仿宋_GB2312"/>
          <w:color w:val="auto"/>
          <w:sz w:val="28"/>
          <w:szCs w:val="28"/>
          <w:highlight w:val="none"/>
        </w:rPr>
        <w:t>现</w:t>
      </w:r>
      <w:r>
        <w:rPr>
          <w:rFonts w:hint="eastAsia" w:ascii="仿宋_GB2312" w:eastAsia="仿宋_GB2312"/>
          <w:color w:val="auto"/>
          <w:sz w:val="28"/>
          <w:szCs w:val="28"/>
          <w:highlight w:val="none"/>
          <w:lang w:val="en-US" w:eastAsia="zh-CN"/>
        </w:rPr>
        <w:t>邀请合格</w:t>
      </w:r>
      <w:r>
        <w:rPr>
          <w:rFonts w:hint="eastAsia" w:ascii="仿宋_GB2312" w:eastAsia="仿宋_GB2312"/>
          <w:color w:val="auto"/>
          <w:sz w:val="28"/>
          <w:szCs w:val="28"/>
          <w:highlight w:val="none"/>
          <w:u w:val="none"/>
          <w:lang w:val="en-US" w:eastAsia="zh-CN"/>
        </w:rPr>
        <w:t>单位</w:t>
      </w:r>
      <w:r>
        <w:rPr>
          <w:rFonts w:hint="eastAsia" w:ascii="仿宋_GB2312" w:eastAsia="仿宋_GB2312"/>
          <w:color w:val="auto"/>
          <w:sz w:val="28"/>
          <w:szCs w:val="28"/>
          <w:highlight w:val="none"/>
        </w:rPr>
        <w:t>参加本</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施工  □货物 □服务项目采购活动，采用</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lang w:val="en-US" w:eastAsia="zh-CN"/>
        </w:rPr>
        <w:t>邀请</w:t>
      </w:r>
      <w:r>
        <w:rPr>
          <w:rFonts w:hint="eastAsia" w:ascii="仿宋_GB2312" w:eastAsia="仿宋_GB2312"/>
          <w:color w:val="auto"/>
          <w:sz w:val="28"/>
          <w:szCs w:val="28"/>
          <w:highlight w:val="none"/>
          <w:u w:val="single"/>
        </w:rPr>
        <w:t>询比</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sym w:font="Wingdings 2" w:char="0052"/>
      </w:r>
      <w:r>
        <w:rPr>
          <w:rFonts w:hint="eastAsia" w:ascii="仿宋_GB2312" w:eastAsia="仿宋_GB2312"/>
          <w:color w:val="auto"/>
          <w:sz w:val="28"/>
          <w:szCs w:val="28"/>
          <w:highlight w:val="none"/>
          <w:u w:val="single"/>
          <w:lang w:val="en-US" w:eastAsia="zh-CN"/>
        </w:rPr>
        <w:t>公开询比</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 xml:space="preserve"> 广州市净水有限公司龙归分公司2024年厂区网络系统及视频监控系统改造项目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 xml:space="preserve"> XJ-20231208-5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890632.619元</w:t>
      </w:r>
      <w:r>
        <w:rPr>
          <w:rFonts w:hint="eastAsia" w:ascii="仿宋_GB2312" w:eastAsia="仿宋_GB2312"/>
          <w:color w:val="auto"/>
          <w:sz w:val="28"/>
          <w:szCs w:val="28"/>
          <w:highlight w:val="none"/>
          <w:u w:val="single"/>
        </w:rPr>
        <w:t>（其中不含税工程造价为</w:t>
      </w:r>
      <w:r>
        <w:rPr>
          <w:rFonts w:hint="eastAsia" w:ascii="仿宋_GB2312" w:eastAsia="仿宋_GB2312"/>
          <w:color w:val="auto"/>
          <w:sz w:val="28"/>
          <w:szCs w:val="28"/>
          <w:highlight w:val="none"/>
          <w:u w:val="single"/>
          <w:lang w:val="en-US" w:eastAsia="zh-CN"/>
        </w:rPr>
        <w:t>817094.145</w:t>
      </w:r>
      <w:r>
        <w:rPr>
          <w:rFonts w:hint="eastAsia" w:ascii="仿宋_GB2312" w:eastAsia="仿宋_GB2312"/>
          <w:color w:val="auto"/>
          <w:sz w:val="28"/>
          <w:szCs w:val="28"/>
          <w:highlight w:val="none"/>
          <w:u w:val="single"/>
        </w:rPr>
        <w:t>元，</w:t>
      </w:r>
      <w:r>
        <w:rPr>
          <w:rFonts w:hint="eastAsia" w:ascii="仿宋_GB2312" w:eastAsia="仿宋_GB2312"/>
          <w:color w:val="auto"/>
          <w:sz w:val="28"/>
          <w:szCs w:val="28"/>
          <w:highlight w:val="none"/>
          <w:u w:val="single"/>
          <w:lang w:val="en-US" w:eastAsia="zh-CN"/>
        </w:rPr>
        <w:t>暂列金为71127.241元，</w:t>
      </w:r>
      <w:r>
        <w:rPr>
          <w:rFonts w:hint="eastAsia" w:ascii="仿宋_GB2312" w:eastAsia="仿宋_GB2312"/>
          <w:color w:val="auto"/>
          <w:sz w:val="28"/>
          <w:szCs w:val="28"/>
          <w:highlight w:val="none"/>
          <w:u w:val="single"/>
        </w:rPr>
        <w:t>税率为9%</w:t>
      </w:r>
      <w:r>
        <w:rPr>
          <w:rFonts w:hint="eastAsia" w:ascii="仿宋_GB2312" w:eastAsia="仿宋_GB2312"/>
          <w:color w:val="auto"/>
          <w:sz w:val="28"/>
          <w:szCs w:val="28"/>
          <w:highlight w:val="none"/>
          <w:u w:val="single"/>
          <w:lang w:val="en-US" w:eastAsia="zh-CN"/>
        </w:rPr>
        <w:t>)</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龙归分公司一二期厂区</w:t>
      </w:r>
      <w:r>
        <w:rPr>
          <w:rFonts w:hint="eastAsia" w:ascii="仿宋_GB2312" w:eastAsia="仿宋_GB2312"/>
          <w:color w:val="auto"/>
          <w:sz w:val="28"/>
          <w:szCs w:val="28"/>
          <w:highlight w:val="none"/>
          <w:u w:val="single"/>
        </w:rPr>
        <w:t>部分网络设备、视频监控设备，早期摄像头进行改造，改造完成后，网络支撑能力可极大提升办公效率、满足生产需求，实现网络、视频统一管理。</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t>备注：该项目所用相关设备到货后，依次施工，制定安全措施和办公保障方案，进行现场技术交底，保证施工过程中不影响分公司日常办公</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rPr>
        <w:t xml:space="preserve">完工后，施工单位需要将旧网线、电缆、套管等运离并自行处置。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计划工期   □交货期  □服务期为</w:t>
      </w:r>
      <w:r>
        <w:rPr>
          <w:rFonts w:hint="eastAsia" w:ascii="仿宋_GB2312" w:eastAsia="仿宋_GB2312"/>
          <w:color w:val="auto"/>
          <w:sz w:val="28"/>
          <w:szCs w:val="28"/>
          <w:highlight w:val="none"/>
          <w:u w:val="single"/>
          <w:lang w:val="en-US" w:eastAsia="zh-CN"/>
        </w:rPr>
        <w:t>60个日历日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建设地点  □交货地点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广州市净水有限公司龙归分公司                                 </w:t>
      </w:r>
      <w:r>
        <w:rPr>
          <w:rFonts w:hint="eastAsia" w:ascii="仿宋_GB2312" w:eastAsia="仿宋_GB2312"/>
          <w:color w:val="auto"/>
          <w:sz w:val="28"/>
          <w:szCs w:val="28"/>
          <w:highlight w:val="none"/>
          <w:u w:val="single"/>
        </w:rPr>
        <w:t xml:space="preserve">        </w:t>
      </w:r>
    </w:p>
    <w:p>
      <w:pPr>
        <w:pStyle w:val="21"/>
        <w:widowControl/>
        <w:numPr>
          <w:ilvl w:val="0"/>
          <w:numId w:val="0"/>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jc w:val="both"/>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施工质量要求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货物质量标准或主要技术性能指标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lang w:val="en-US" w:eastAsia="zh-CN"/>
        </w:rPr>
        <w:t>详见第五章采购需求</w:t>
      </w:r>
    </w:p>
    <w:p>
      <w:pPr>
        <w:adjustRightInd w:val="0"/>
        <w:snapToGrid w:val="0"/>
        <w:spacing w:line="600" w:lineRule="exact"/>
        <w:ind w:left="0" w:right="-370" w:rightChars="-176" w:firstLine="0" w:firstLineChars="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eastAsia" w:ascii="仿宋_GB2312" w:eastAsia="仿宋_GB2312"/>
          <w:color w:val="auto"/>
          <w:sz w:val="28"/>
          <w:szCs w:val="28"/>
          <w:highlight w:val="none"/>
          <w:u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hAnsi="仿宋" w:eastAsia="仿宋_GB2312" w:cs="仿宋_GB2312"/>
          <w:color w:val="auto"/>
          <w:sz w:val="28"/>
          <w:szCs w:val="28"/>
          <w:highlight w:val="none"/>
          <w:u w:val="none"/>
        </w:rPr>
        <w:t>电子与智能化工程专业承包二级（或以上级别）资质</w:t>
      </w:r>
      <w:r>
        <w:rPr>
          <w:rFonts w:hint="eastAsia" w:ascii="仿宋_GB2312" w:hAnsi="仿宋" w:eastAsia="仿宋_GB2312" w:cs="仿宋_GB2312"/>
          <w:color w:val="auto"/>
          <w:sz w:val="28"/>
          <w:szCs w:val="28"/>
          <w:highlight w:val="none"/>
          <w:u w:val="none"/>
          <w:lang w:eastAsia="zh-CN"/>
        </w:rPr>
        <w:t>，</w:t>
      </w:r>
      <w:r>
        <w:rPr>
          <w:rFonts w:hint="eastAsia" w:ascii="仿宋_GB2312" w:eastAsia="仿宋_GB2312"/>
          <w:color w:val="auto"/>
          <w:sz w:val="28"/>
          <w:szCs w:val="28"/>
          <w:highlight w:val="none"/>
          <w:lang w:val="en-US" w:eastAsia="zh-CN"/>
        </w:rPr>
        <w:t>同时持有建设主管部门颁发且在有效期内的《安全生产许可证》</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 w:hAnsi="仿宋" w:eastAsia="仿宋" w:cs="仿宋"/>
          <w:color w:val="auto"/>
          <w:kern w:val="0"/>
          <w:sz w:val="28"/>
          <w:szCs w:val="28"/>
          <w:highlight w:val="none"/>
          <w:u w:val="none"/>
        </w:rPr>
        <w:t>20</w:t>
      </w:r>
      <w:r>
        <w:rPr>
          <w:rFonts w:hint="eastAsia" w:ascii="仿宋" w:hAnsi="仿宋" w:eastAsia="仿宋" w:cs="仿宋"/>
          <w:color w:val="auto"/>
          <w:kern w:val="0"/>
          <w:sz w:val="28"/>
          <w:szCs w:val="28"/>
          <w:highlight w:val="none"/>
          <w:u w:val="none"/>
          <w:lang w:val="en-US" w:eastAsia="zh-CN"/>
        </w:rPr>
        <w:t>20</w:t>
      </w:r>
      <w:r>
        <w:rPr>
          <w:rFonts w:hint="eastAsia" w:ascii="仿宋" w:hAnsi="仿宋" w:eastAsia="仿宋" w:cs="仿宋"/>
          <w:color w:val="auto"/>
          <w:kern w:val="0"/>
          <w:sz w:val="28"/>
          <w:szCs w:val="28"/>
          <w:highlight w:val="none"/>
          <w:u w:val="none"/>
        </w:rPr>
        <w:t>年1月1日至今</w:t>
      </w:r>
      <w:r>
        <w:rPr>
          <w:rFonts w:hint="eastAsia" w:ascii="仿宋" w:hAnsi="仿宋" w:eastAsia="仿宋" w:cs="仿宋"/>
          <w:color w:val="auto"/>
          <w:kern w:val="0"/>
          <w:sz w:val="28"/>
          <w:szCs w:val="28"/>
          <w:highlight w:val="none"/>
          <w:u w:val="none"/>
          <w:lang w:eastAsia="zh-CN"/>
        </w:rPr>
        <w:t>，</w:t>
      </w:r>
      <w:r>
        <w:rPr>
          <w:rFonts w:hint="eastAsia" w:ascii="仿宋" w:hAnsi="仿宋" w:eastAsia="仿宋" w:cs="仿宋"/>
          <w:color w:val="auto"/>
          <w:kern w:val="0"/>
          <w:sz w:val="28"/>
          <w:szCs w:val="28"/>
          <w:highlight w:val="none"/>
          <w:u w:val="none"/>
          <w:lang w:val="en-US" w:eastAsia="zh-CN"/>
        </w:rPr>
        <w:t>最少</w:t>
      </w:r>
      <w:r>
        <w:rPr>
          <w:rFonts w:hint="eastAsia" w:ascii="仿宋" w:hAnsi="仿宋" w:eastAsia="仿宋" w:cs="仿宋"/>
          <w:color w:val="auto"/>
          <w:kern w:val="0"/>
          <w:sz w:val="28"/>
          <w:szCs w:val="28"/>
          <w:highlight w:val="none"/>
          <w:u w:val="none"/>
        </w:rPr>
        <w:t>具有</w:t>
      </w:r>
      <w:r>
        <w:rPr>
          <w:rFonts w:hint="eastAsia" w:ascii="仿宋" w:hAnsi="仿宋" w:eastAsia="仿宋" w:cs="仿宋"/>
          <w:color w:val="auto"/>
          <w:kern w:val="0"/>
          <w:sz w:val="28"/>
          <w:szCs w:val="28"/>
          <w:highlight w:val="none"/>
          <w:u w:val="none"/>
          <w:lang w:val="en-US" w:eastAsia="zh-CN"/>
        </w:rPr>
        <w:t>一项类似网络</w:t>
      </w:r>
      <w:r>
        <w:rPr>
          <w:rFonts w:hint="eastAsia" w:ascii="仿宋" w:hAnsi="仿宋" w:eastAsia="仿宋" w:cs="仿宋"/>
          <w:color w:val="auto"/>
          <w:kern w:val="0"/>
          <w:sz w:val="28"/>
          <w:szCs w:val="28"/>
          <w:highlight w:val="none"/>
          <w:u w:val="none"/>
        </w:rPr>
        <w:t>系统安装</w:t>
      </w:r>
      <w:r>
        <w:rPr>
          <w:rFonts w:hint="eastAsia" w:ascii="仿宋" w:hAnsi="仿宋" w:eastAsia="仿宋" w:cs="仿宋"/>
          <w:color w:val="auto"/>
          <w:kern w:val="0"/>
          <w:sz w:val="28"/>
          <w:szCs w:val="28"/>
          <w:highlight w:val="none"/>
          <w:u w:val="none"/>
          <w:lang w:val="en-US" w:eastAsia="zh-CN"/>
        </w:rPr>
        <w:t>或改造</w:t>
      </w:r>
      <w:r>
        <w:rPr>
          <w:rFonts w:hint="eastAsia" w:ascii="仿宋" w:hAnsi="仿宋" w:eastAsia="仿宋" w:cs="仿宋"/>
          <w:color w:val="auto"/>
          <w:kern w:val="0"/>
          <w:sz w:val="28"/>
          <w:szCs w:val="28"/>
          <w:highlight w:val="none"/>
          <w:u w:val="none"/>
        </w:rPr>
        <w:t>业绩</w:t>
      </w:r>
      <w:r>
        <w:rPr>
          <w:rFonts w:hint="eastAsia" w:ascii="仿宋_GB2312" w:eastAsia="仿宋_GB2312"/>
          <w:color w:val="auto"/>
          <w:sz w:val="28"/>
          <w:szCs w:val="28"/>
          <w:highlight w:val="none"/>
        </w:rPr>
        <w:t>。（提供合同复印件证明，包括但不限于项目名称、金额及实施内容、合同盖章、签订日期，加盖单位公章）</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）报价单位拟担任本工程项目负责人和安全员的人员资质须满足下列要求，且项目负责人不得同时兼任本项目专职安全人员；</w:t>
      </w:r>
    </w:p>
    <w:p>
      <w:pPr>
        <w:pStyle w:val="21"/>
        <w:widowControl/>
        <w:pBdr>
          <w:top w:val="none" w:color="auto" w:sz="0" w:space="0"/>
          <w:left w:val="none" w:color="auto" w:sz="0" w:space="0"/>
          <w:bottom w:val="none" w:color="auto" w:sz="0" w:space="0"/>
          <w:right w:val="none" w:color="auto" w:sz="0" w:space="0"/>
        </w:pBdr>
        <w:shd w:val="clear" w:color="auto" w:fill="FFFFFF"/>
        <w:adjustRightInd w:val="0"/>
        <w:snapToGrid w:val="0"/>
        <w:spacing w:before="0" w:beforeAutospacing="0" w:after="0" w:afterAutospacing="0" w:line="600" w:lineRule="exact"/>
        <w:ind w:firstLine="840" w:firstLineChars="300"/>
        <w:jc w:val="both"/>
        <w:rPr>
          <w:rFonts w:hint="eastAsia" w:ascii="仿宋" w:hAnsi="仿宋" w:eastAsia="仿宋" w:cs="仿宋"/>
          <w:color w:val="auto"/>
          <w:sz w:val="28"/>
          <w:szCs w:val="28"/>
          <w:highlight w:val="none"/>
          <w:u w:val="single"/>
        </w:rPr>
      </w:pPr>
      <w:r>
        <w:rPr>
          <w:rFonts w:hint="eastAsia" w:ascii="仿宋_GB2312" w:eastAsia="仿宋_GB2312"/>
          <w:color w:val="auto"/>
          <w:sz w:val="28"/>
          <w:szCs w:val="28"/>
          <w:highlight w:val="none"/>
          <w:lang w:val="en-US" w:eastAsia="zh-CN"/>
        </w:rPr>
        <w:t>4.1</w:t>
      </w:r>
      <w:r>
        <w:rPr>
          <w:rFonts w:hint="eastAsia" w:ascii="仿宋" w:hAnsi="仿宋" w:eastAsia="仿宋" w:cs="仿宋"/>
          <w:color w:val="auto"/>
          <w:sz w:val="28"/>
          <w:szCs w:val="28"/>
          <w:highlight w:val="none"/>
          <w:u w:val="single"/>
        </w:rPr>
        <w:t>负责人要求：</w:t>
      </w:r>
      <w:r>
        <w:rPr>
          <w:rFonts w:hint="eastAsia" w:ascii="仿宋" w:hAnsi="仿宋" w:eastAsia="仿宋" w:cs="仿宋"/>
          <w:color w:val="auto"/>
          <w:sz w:val="28"/>
          <w:szCs w:val="28"/>
          <w:highlight w:val="none"/>
          <w:u w:val="single"/>
          <w:lang w:val="en-US" w:eastAsia="zh-CN"/>
        </w:rPr>
        <w:t>机电</w:t>
      </w:r>
      <w:r>
        <w:rPr>
          <w:rFonts w:hint="eastAsia" w:ascii="仿宋" w:hAnsi="仿宋" w:eastAsia="仿宋" w:cs="仿宋"/>
          <w:color w:val="auto"/>
          <w:sz w:val="28"/>
          <w:szCs w:val="28"/>
          <w:highlight w:val="none"/>
          <w:u w:val="single"/>
        </w:rPr>
        <w:t>专业二级（或以上级别）的注册建造师，同时持有项目负责人安全生产考核合格证（B类）（或能够提供广东省建筑施工企业管理人员安全生产考核信息系统安全生产管理人员证书信息的网页截图）；（注：根据广东省建设信息中心关于启用新版“广东省建设执业资格注册管理信息系统”的通知，注册建造师电子证书须由本人在个人签名处手写签名，未手写签名或与签名图像笔迹不一致的，电子证书无效）</w:t>
      </w:r>
    </w:p>
    <w:p>
      <w:pPr>
        <w:pStyle w:val="21"/>
        <w:widowControl/>
        <w:pBdr>
          <w:top w:val="none" w:color="auto" w:sz="0" w:space="0"/>
          <w:left w:val="none" w:color="auto" w:sz="0" w:space="0"/>
          <w:bottom w:val="none" w:color="auto" w:sz="0" w:space="0"/>
          <w:right w:val="none" w:color="auto" w:sz="0" w:space="0"/>
        </w:pBdr>
        <w:shd w:val="clear" w:color="auto" w:fill="FFFFFF"/>
        <w:adjustRightInd w:val="0"/>
        <w:snapToGrid w:val="0"/>
        <w:spacing w:before="0" w:beforeAutospacing="0" w:after="0" w:afterAutospacing="0" w:line="600" w:lineRule="exact"/>
        <w:ind w:firstLine="840" w:firstLineChars="300"/>
        <w:jc w:val="both"/>
        <w:rPr>
          <w:rFonts w:ascii="仿宋_GB2312" w:eastAsia="仿宋_GB2312"/>
          <w:color w:val="auto"/>
          <w:sz w:val="28"/>
          <w:szCs w:val="28"/>
          <w:highlight w:val="none"/>
          <w:u w:val="single"/>
        </w:rPr>
      </w:pPr>
      <w:r>
        <w:rPr>
          <w:rFonts w:hint="eastAsia" w:ascii="仿宋" w:hAnsi="仿宋" w:eastAsia="仿宋" w:cs="仿宋"/>
          <w:color w:val="auto"/>
          <w:sz w:val="28"/>
          <w:szCs w:val="28"/>
          <w:highlight w:val="none"/>
          <w:u w:val="single"/>
          <w:lang w:val="en-US" w:eastAsia="zh-CN"/>
        </w:rPr>
        <w:t>4.2</w:t>
      </w:r>
      <w:r>
        <w:rPr>
          <w:rFonts w:hint="eastAsia" w:ascii="仿宋" w:hAnsi="仿宋" w:eastAsia="仿宋" w:cs="仿宋"/>
          <w:color w:val="auto"/>
          <w:sz w:val="28"/>
          <w:szCs w:val="28"/>
          <w:highlight w:val="none"/>
          <w:u w:val="single"/>
        </w:rPr>
        <w:t>专职安全人员要求：须具有安全生产考核合格证（C类）（或能够提供广东省建筑施工企业管理人员安全生产考核信息系统安全生产管理人员证书信息的网页截图）。</w:t>
      </w:r>
    </w:p>
    <w:p>
      <w:pPr>
        <w:pStyle w:val="22"/>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中选后于</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日内，报价单位须提供项目所涉及的</w:t>
      </w:r>
      <w:r>
        <w:rPr>
          <w:rFonts w:hint="eastAsia" w:ascii="仿宋_GB2312" w:eastAsia="仿宋_GB2312"/>
          <w:color w:val="auto"/>
          <w:sz w:val="28"/>
          <w:szCs w:val="28"/>
          <w:highlight w:val="none"/>
          <w:u w:val="single"/>
          <w:lang w:val="en-US" w:eastAsia="zh-CN"/>
        </w:rPr>
        <w:t>视频监控设备、网络系统设备</w:t>
      </w:r>
      <w:r>
        <w:rPr>
          <w:rFonts w:hint="eastAsia" w:ascii="仿宋_GB2312" w:eastAsia="仿宋_GB2312"/>
          <w:color w:val="auto"/>
          <w:sz w:val="28"/>
          <w:szCs w:val="28"/>
          <w:highlight w:val="none"/>
          <w:u w:val="single"/>
        </w:rPr>
        <w:t>原厂授权函以及原厂售后服务承诺函</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（8）被最高人民法院在</w:t>
      </w:r>
      <w:r>
        <w:rPr>
          <w:rFonts w:ascii="仿宋_GB2312" w:eastAsia="仿宋_GB2312"/>
          <w:color w:val="auto"/>
          <w:sz w:val="28"/>
          <w:szCs w:val="28"/>
          <w:highlight w:val="none"/>
        </w:rPr>
        <w:t>“</w:t>
      </w:r>
      <w:r>
        <w:rPr>
          <w:rFonts w:hint="eastAsia" w:ascii="仿宋_GB2312" w:eastAsia="仿宋_GB2312"/>
          <w:color w:val="auto"/>
          <w:sz w:val="28"/>
          <w:szCs w:val="28"/>
          <w:highlight w:val="none"/>
        </w:rPr>
        <w:t>信用中国</w:t>
      </w:r>
      <w:r>
        <w:rPr>
          <w:rFonts w:ascii="仿宋_GB2312" w:eastAsia="仿宋_GB2312"/>
          <w:color w:val="auto"/>
          <w:sz w:val="28"/>
          <w:szCs w:val="28"/>
          <w:highlight w:val="none"/>
        </w:rPr>
        <w:t>”</w:t>
      </w:r>
      <w:r>
        <w:rPr>
          <w:rFonts w:hint="eastAsia" w:ascii="仿宋_GB2312" w:eastAsia="仿宋_GB2312"/>
          <w:color w:val="auto"/>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不组织</w:t>
      </w:r>
    </w:p>
    <w:p>
      <w:pPr>
        <w:adjustRightInd w:val="0"/>
        <w:snapToGrid w:val="0"/>
        <w:spacing w:line="600" w:lineRule="exact"/>
        <w:rPr>
          <w:rFonts w:hint="eastAsia" w:ascii="仿宋_GB2312" w:eastAsia="仿宋_GB2312"/>
          <w:color w:val="auto"/>
          <w:sz w:val="28"/>
          <w:szCs w:val="28"/>
          <w:highlight w:val="none"/>
          <w:lang w:val="zh-CN" w:eastAsia="zh-CN"/>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供应商可</w:t>
      </w:r>
      <w:r>
        <w:rPr>
          <w:rFonts w:hint="eastAsia" w:ascii="仿宋_GB2312" w:eastAsia="仿宋_GB2312"/>
          <w:color w:val="auto"/>
          <w:sz w:val="28"/>
          <w:szCs w:val="28"/>
          <w:highlight w:val="none"/>
          <w:lang w:val="zh-CN" w:eastAsia="zh-CN"/>
        </w:rPr>
        <w:t>自行</w:t>
      </w:r>
      <w:r>
        <w:rPr>
          <w:rFonts w:hint="eastAsia" w:ascii="仿宋_GB2312" w:eastAsia="仿宋_GB2312"/>
          <w:color w:val="auto"/>
          <w:sz w:val="28"/>
          <w:szCs w:val="28"/>
          <w:highlight w:val="none"/>
          <w:lang w:val="en-US" w:eastAsia="zh-CN"/>
        </w:rPr>
        <w:t>选择是否前往现场踏勘</w:t>
      </w:r>
      <w:r>
        <w:rPr>
          <w:rFonts w:hint="eastAsia" w:ascii="仿宋_GB2312" w:eastAsia="仿宋_GB2312"/>
          <w:color w:val="auto"/>
          <w:sz w:val="28"/>
          <w:szCs w:val="28"/>
          <w:highlight w:val="none"/>
          <w:lang w:val="zh-CN" w:eastAsia="zh-CN"/>
        </w:rPr>
        <w:t>，</w:t>
      </w:r>
      <w:r>
        <w:rPr>
          <w:rFonts w:hint="eastAsia" w:ascii="仿宋_GB2312" w:eastAsia="仿宋_GB2312"/>
          <w:color w:val="auto"/>
          <w:sz w:val="28"/>
          <w:szCs w:val="28"/>
          <w:highlight w:val="none"/>
          <w:lang w:val="en-US" w:eastAsia="zh-CN"/>
        </w:rPr>
        <w:t>若前往现场踏勘须在规定时间内到达集中地点，逾期不再接待</w:t>
      </w:r>
      <w:r>
        <w:rPr>
          <w:rFonts w:hint="eastAsia" w:ascii="仿宋_GB2312" w:eastAsia="仿宋_GB2312"/>
          <w:color w:val="auto"/>
          <w:sz w:val="28"/>
          <w:szCs w:val="28"/>
          <w:highlight w:val="none"/>
          <w:lang w:val="zh-CN" w:eastAsia="zh-CN"/>
        </w:rPr>
        <w:t>。</w:t>
      </w:r>
    </w:p>
    <w:p>
      <w:pPr>
        <w:snapToGrid w:val="0"/>
        <w:spacing w:line="600" w:lineRule="exac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踏勘现场联系人：</w:t>
      </w:r>
    </w:p>
    <w:p>
      <w:pPr>
        <w:snapToGrid w:val="0"/>
        <w:spacing w:line="600" w:lineRule="exac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踏勘现场联系人联系方式：</w:t>
      </w:r>
    </w:p>
    <w:p>
      <w:pPr>
        <w:adjustRightInd w:val="0"/>
        <w:snapToGrid w:val="0"/>
        <w:spacing w:line="600" w:lineRule="exact"/>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踏勘时间：</w:t>
      </w:r>
      <w:r>
        <w:rPr>
          <w:rFonts w:hint="eastAsia" w:ascii="仿宋_GB2312" w:eastAsia="仿宋_GB2312"/>
          <w:color w:val="auto"/>
          <w:sz w:val="28"/>
          <w:szCs w:val="28"/>
          <w:highlight w:val="none"/>
          <w:lang w:val="en-US" w:eastAsia="zh-CN"/>
        </w:rPr>
        <w:t xml:space="preserve"> </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color w:val="auto"/>
          <w:sz w:val="28"/>
          <w:szCs w:val="28"/>
          <w:highlight w:val="none"/>
          <w:lang w:val="en-US" w:eastAsia="zh-CN"/>
        </w:rPr>
        <w:t xml:space="preserve"> </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14</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14</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14</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1</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rPr>
        <w:t xml:space="preserve"> 月</w:t>
      </w:r>
      <w:r>
        <w:rPr>
          <w:rFonts w:hint="eastAsia" w:ascii="仿宋_GB2312" w:eastAsia="仿宋_GB2312"/>
          <w:color w:val="auto"/>
          <w:sz w:val="28"/>
          <w:szCs w:val="28"/>
          <w:highlight w:val="none"/>
          <w:u w:val="single"/>
          <w:lang w:val="en-US" w:eastAsia="zh-CN"/>
        </w:rPr>
        <w:t>14</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1</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递交地址：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（2）“组织”选择“公司本部”，“部门”选择“招投标合同管理部”。</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（3）“被访人员”选择“招标部”，“手机号”：“62315524”。</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 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lang w:val="en-US" w:eastAsia="zh-CN"/>
              </w:rPr>
              <w:t xml:space="preserve"> 2023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12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8 </w:t>
            </w:r>
            <w:r>
              <w:rPr>
                <w:rFonts w:hint="eastAsia" w:ascii="仿宋_GB2312" w:eastAsia="仿宋_GB2312"/>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9"/>
        <w:rPr>
          <w:rFonts w:hint="eastAsia" w:ascii="仿宋_GB2312" w:eastAsia="仿宋_GB2312" w:hAnsiTheme="majorEastAsia"/>
          <w:color w:val="auto"/>
          <w:sz w:val="28"/>
          <w:szCs w:val="28"/>
          <w:highlight w:val="none"/>
        </w:rPr>
      </w:pPr>
    </w:p>
    <w:p>
      <w:pPr>
        <w:pStyle w:val="29"/>
        <w:rPr>
          <w:rFonts w:hint="eastAsia" w:ascii="仿宋_GB2312" w:eastAsia="仿宋_GB2312" w:hAnsiTheme="majorEastAsia"/>
          <w:color w:val="auto"/>
          <w:sz w:val="28"/>
          <w:szCs w:val="28"/>
          <w:highlight w:val="none"/>
        </w:rPr>
      </w:pPr>
    </w:p>
    <w:p>
      <w:pPr>
        <w:pStyle w:val="29"/>
        <w:rPr>
          <w:rFonts w:hint="eastAsia" w:ascii="仿宋_GB2312" w:eastAsia="仿宋_GB2312" w:hAnsiTheme="majorEastAsia"/>
          <w:color w:val="auto"/>
          <w:sz w:val="28"/>
          <w:szCs w:val="28"/>
          <w:highlight w:val="none"/>
        </w:rPr>
      </w:pPr>
    </w:p>
    <w:p>
      <w:pPr>
        <w:pStyle w:val="29"/>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3"/>
        <w:rPr>
          <w:rFonts w:hint="eastAsia"/>
          <w:color w:val="auto"/>
          <w:highlight w:val="none"/>
        </w:rPr>
      </w:pPr>
      <w:bookmarkStart w:id="13" w:name="_Toc10891"/>
    </w:p>
    <w:p>
      <w:pPr>
        <w:pStyle w:val="3"/>
        <w:rPr>
          <w:rFonts w:hint="eastAsia"/>
          <w:color w:val="auto"/>
          <w:highlight w:val="none"/>
        </w:rPr>
      </w:pPr>
      <w:bookmarkStart w:id="14" w:name="_Toc32588"/>
      <w:bookmarkStart w:id="15" w:name="_Toc9448"/>
      <w:bookmarkStart w:id="16" w:name="_Toc19295"/>
      <w:bookmarkStart w:id="17" w:name="_Toc16705"/>
      <w:bookmarkStart w:id="18" w:name="_Toc25603"/>
      <w:bookmarkStart w:id="19" w:name="_Toc2324"/>
      <w:bookmarkStart w:id="20" w:name="_Toc2331"/>
      <w:bookmarkStart w:id="21" w:name="_Toc16557"/>
      <w:bookmarkStart w:id="22" w:name="_Toc23749"/>
      <w:bookmarkStart w:id="23" w:name="_Toc7340"/>
    </w:p>
    <w:p>
      <w:pPr>
        <w:pStyle w:val="3"/>
        <w:rPr>
          <w:color w:val="auto"/>
          <w:highlight w:val="none"/>
        </w:rPr>
      </w:pP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2325370</wp:posOffset>
                </wp:positionH>
                <wp:positionV relativeFrom="paragraph">
                  <wp:posOffset>613410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3.1pt;margin-top:48.3pt;height:0pt;width:75.5pt;z-index:25167052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2310130</wp:posOffset>
                </wp:positionH>
                <wp:positionV relativeFrom="paragraph">
                  <wp:posOffset>7620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1.9pt;margin-top:0.6pt;height:0pt;width:75.5pt;z-index:251669504;mso-width-relative:page;mso-height-relative:page;" filled="f" stroked="t" coordsize="21600,21600" o:gfxdata="UEsDBAoAAAAAAIdO4kAAAAAAAAAAAAAAAAAEAAAAZHJzL1BLAwQUAAAACACHTuJAqKn8h9MAAAAH&#10;AQAADwAAAGRycy9kb3ducmV2LnhtbE2OQU/CQBBG7yb+h82QeDGy2yJEarfEmHjwKJBwXbpDW+nO&#10;Nt0tRX69oxc4vrzJNy9fnV0rTtiHxpOGZKpAIJXeNlRp2G4+nl5AhGjImtYTavjBAKvi/i43mfUj&#10;feFpHSvBIxQyo6GOscukDGWNzoSp75DYHXzvTGTsK2l7M/K4a2Wq1EI60xB/qE2H7zWWx/XgNGAY&#10;5ol6W7pq+3kZH3fp5XvsNlo/TBL1CiLiOV6P4S+f06Hgpr0fyAbRapgtZpweWaQg2M+TZ+b9P8si&#10;l7f9xS9QSwMEFAAAAAgAh07iQPZi7erzAQAA5AMAAA4AAABkcnMvZTJvRG9jLnhtbK1TvY4TMRDu&#10;kXgHyz3ZJCgot8rmioSjQRAJeICJ7c1a8p88vmzS0SGegY6Sd4C3OQnegrE3l4OjScEW3rFn5pv5&#10;Po8X1wdr2F5F1N41fDIac6ac8FK7XcM/vL95NucMEzgJxjvV8KNCfr18+mTRh1pNfeeNVJERiMO6&#10;Dw3vUgp1VaHolAUc+aAcOVsfLSTaxl0lI/SEbk01HY9fVL2PMkQvFCKdrgcnPyHGSwB922qh1l7c&#10;WuXSgBqVgUSUsNMB+bJ027ZKpLdtiyox03BimspKRcje5rVaLqDeRQidFqcW4JIWHnGyoB0VPUOt&#10;IQG7jfofKKtF9OjbNBLeVgORogixmIwfafOug6AKF5Iaw1l0/H+w4s1+E5mWNAnPOXNg6cZ/fvr2&#10;6+Pnuy8/7r5/ZZOrrFEfsKbQldvE0w7DJmbChzba/Ccq7FB0PZ51VYfEBB1ezebzGSku7l3VQ16I&#10;mF4pb1k2Go4pgt51aeWdo8vzcVJkhf1rTFSZEu8TclHjWJ/hpzMCBxrGloaATBuIELpdyUVvtLzR&#10;xuQMjLvtykS2hzwQ5cv8CPevsFxkDdgNccU1jEqnQL50kqVjIKUcvRCeW7BKcmYUPahsESDUCbS5&#10;JJJKG0cdZIkHUbO19fJYtC7ndPmlx9Og5un6c1+yHx7n8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oqfyH0wAAAAcBAAAPAAAAAAAAAAEAIAAAACIAAABkcnMvZG93bnJldi54bWxQSwECFAAUAAAA&#10;CACHTuJA9mLt6vMBAADkAwAADgAAAAAAAAABACAAAAAiAQAAZHJzL2Uyb0RvYy54bWxQSwUGAAAA&#10;AAYABgBZAQAAhw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4"/>
        <w:rPr>
          <w:rFonts w:hint="eastAsia"/>
          <w:color w:val="auto"/>
          <w:highlight w:val="none"/>
        </w:rPr>
      </w:pPr>
    </w:p>
    <w:p>
      <w:pPr>
        <w:pStyle w:val="4"/>
        <w:rPr>
          <w:rFonts w:hint="eastAsia"/>
          <w:color w:val="auto"/>
          <w:highlight w:val="none"/>
        </w:rPr>
      </w:pPr>
      <w:bookmarkStart w:id="24" w:name="_Toc2339"/>
      <w:bookmarkStart w:id="25" w:name="_Toc3416"/>
      <w:r>
        <w:rPr>
          <w:rFonts w:hint="eastAsia"/>
          <w:color w:val="auto"/>
          <w:highlight w:val="none"/>
        </w:rPr>
        <w:t>供应商须知</w:t>
      </w:r>
      <w:bookmarkEnd w:id="24"/>
      <w:bookmarkEnd w:id="25"/>
    </w:p>
    <w:p>
      <w:pPr>
        <w:rPr>
          <w:rFonts w:hint="eastAsia"/>
          <w:color w:val="auto"/>
          <w:highlight w:val="none"/>
        </w:rPr>
      </w:pPr>
    </w:p>
    <w:p>
      <w:pPr>
        <w:pStyle w:val="22"/>
        <w:rPr>
          <w:color w:val="auto"/>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ind w:left="0" w:leftChars="0" w:firstLine="0" w:firstLineChars="0"/>
        <w:rPr>
          <w:rFonts w:hint="eastAsia"/>
          <w:color w:val="auto"/>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spacing w:line="560" w:lineRule="exact"/>
        <w:ind w:firstLine="555"/>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（10）非法定代表人或</w:t>
      </w:r>
      <w:r>
        <w:rPr>
          <w:rFonts w:hint="eastAsia" w:ascii="仿宋_GB2312" w:eastAsia="仿宋_GB2312" w:hAnsiTheme="minorHAnsi"/>
          <w:color w:val="auto"/>
          <w:sz w:val="28"/>
          <w:szCs w:val="28"/>
          <w:highlight w:val="none"/>
          <w:lang w:val="en-US" w:eastAsia="zh-CN"/>
        </w:rPr>
        <w:t>授权委托代理人</w:t>
      </w:r>
      <w:r>
        <w:rPr>
          <w:rFonts w:hint="eastAsia" w:ascii="仿宋_GB2312" w:eastAsia="仿宋_GB2312"/>
          <w:color w:val="auto"/>
          <w:sz w:val="28"/>
          <w:szCs w:val="28"/>
          <w:highlight w:val="none"/>
          <w:lang w:val="en-US" w:eastAsia="zh-CN"/>
        </w:rPr>
        <w:t>递交响应文件。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8"/>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8"/>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8"/>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8"/>
        <w:rPr>
          <w:color w:val="auto"/>
          <w:highlight w:val="none"/>
        </w:rPr>
      </w:pPr>
    </w:p>
    <w:p>
      <w:pPr>
        <w:pStyle w:val="38"/>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color w:val="auto"/>
          <w:sz w:val="44"/>
          <w:szCs w:val="44"/>
          <w:highlight w:val="none"/>
        </w:rPr>
      </w:pPr>
    </w:p>
    <w:p>
      <w:pPr>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关于</w:t>
      </w:r>
      <w:r>
        <w:rPr>
          <w:rFonts w:hint="eastAsia" w:ascii="宋体" w:hAnsi="宋体" w:cs="宋体"/>
          <w:b/>
          <w:bCs/>
          <w:color w:val="auto"/>
          <w:sz w:val="44"/>
          <w:szCs w:val="44"/>
          <w:highlight w:val="none"/>
          <w:lang w:val="en-US" w:eastAsia="zh-CN"/>
        </w:rPr>
        <w:t>**</w:t>
      </w:r>
      <w:r>
        <w:rPr>
          <w:rFonts w:ascii="宋体" w:hAnsi="宋体" w:cs="宋体"/>
          <w:b/>
          <w:bCs/>
          <w:color w:val="auto"/>
          <w:sz w:val="44"/>
          <w:szCs w:val="44"/>
          <w:highlight w:val="none"/>
        </w:rPr>
        <w:t>项目异议书</w:t>
      </w:r>
    </w:p>
    <w:p>
      <w:pPr>
        <w:widowControl/>
        <w:spacing w:line="408" w:lineRule="auto"/>
        <w:jc w:val="center"/>
        <w:rPr>
          <w:rFonts w:hAnsi="宋体" w:cs="仿宋_GB2312"/>
          <w:color w:val="auto"/>
          <w:kern w:val="0"/>
          <w:sz w:val="24"/>
          <w:highlight w:val="none"/>
        </w:rPr>
      </w:pPr>
      <w:r>
        <w:rPr>
          <w:rFonts w:hAnsi="宋体" w:cs="仿宋_GB2312"/>
          <w:color w:val="auto"/>
          <w:kern w:val="0"/>
          <w:sz w:val="24"/>
          <w:highlight w:val="none"/>
        </w:rPr>
        <w:t>(参考格式)</w:t>
      </w:r>
    </w:p>
    <w:p>
      <w:pPr>
        <w:rPr>
          <w:color w:val="auto"/>
          <w:kern w:val="0"/>
          <w:sz w:val="28"/>
          <w:szCs w:val="28"/>
          <w:highlight w:val="none"/>
        </w:rPr>
      </w:pPr>
      <w:r>
        <w:rPr>
          <w:rFonts w:hint="eastAsia"/>
          <w:color w:val="auto"/>
          <w:kern w:val="0"/>
          <w:sz w:val="28"/>
          <w:szCs w:val="28"/>
          <w:highlight w:val="none"/>
        </w:rPr>
        <w:t>项目名称：</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异议人：</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住所地：</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邮编：</w:t>
      </w:r>
    </w:p>
    <w:p>
      <w:pPr>
        <w:widowControl/>
        <w:jc w:val="left"/>
        <w:rPr>
          <w:rFonts w:hint="eastAsia" w:hAnsi="宋体" w:eastAsia="宋体" w:cs="宋体"/>
          <w:color w:val="auto"/>
          <w:kern w:val="0"/>
          <w:sz w:val="28"/>
          <w:szCs w:val="28"/>
          <w:highlight w:val="none"/>
          <w:lang w:eastAsia="zh-CN"/>
        </w:rPr>
      </w:pPr>
      <w:r>
        <w:rPr>
          <w:rFonts w:hint="eastAsia" w:hAnsi="宋体" w:cs="仿宋_GB2312"/>
          <w:color w:val="auto"/>
          <w:kern w:val="0"/>
          <w:sz w:val="28"/>
          <w:szCs w:val="28"/>
          <w:highlight w:val="none"/>
        </w:rPr>
        <w:t>法定代表人：</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r>
        <w:rPr>
          <w:rFonts w:hint="eastAsia" w:hAnsi="宋体" w:cs="仿宋_GB2312"/>
          <w:color w:val="auto"/>
          <w:kern w:val="0"/>
          <w:sz w:val="28"/>
          <w:szCs w:val="28"/>
          <w:highlight w:val="none"/>
          <w:lang w:eastAsia="zh-CN"/>
        </w:rPr>
        <w:t>：</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异议人授权代表：</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性别：</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住址：</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提起异议事项的基本事实：</w:t>
      </w:r>
    </w:p>
    <w:p>
      <w:pPr>
        <w:widowControl/>
        <w:jc w:val="left"/>
        <w:rPr>
          <w:rFonts w:hAnsi="宋体" w:cs="宋体"/>
          <w:color w:val="auto"/>
          <w:kern w:val="0"/>
          <w:sz w:val="28"/>
          <w:szCs w:val="28"/>
          <w:highlight w:val="non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相关请求及主张：</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有效线索和相关证明材料：</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异议提起人与项目有利害关系的证明材料（见说明）：</w:t>
      </w:r>
    </w:p>
    <w:p>
      <w:pPr>
        <w:widowControl/>
        <w:jc w:val="left"/>
        <w:rPr>
          <w:rFonts w:hAnsi="宋体" w:cs="宋体"/>
          <w:color w:val="auto"/>
          <w:kern w:val="0"/>
          <w:sz w:val="28"/>
          <w:szCs w:val="28"/>
          <w:highlight w:val="none"/>
        </w:rPr>
      </w:pPr>
      <w:r>
        <w:rPr>
          <w:rFonts w:hAnsi="宋体" w:cs="仿宋_GB2312"/>
          <w:color w:val="auto"/>
          <w:kern w:val="0"/>
          <w:sz w:val="28"/>
          <w:szCs w:val="28"/>
          <w:highlight w:val="none"/>
        </w:rPr>
        <w:t xml:space="preserve">  此致</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u w:val="single"/>
        </w:rPr>
        <w:t>（采购人）</w:t>
      </w: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异议人（公章）：</w:t>
      </w:r>
    </w:p>
    <w:p>
      <w:pPr>
        <w:widowControl/>
        <w:ind w:left="99" w:leftChars="47" w:firstLine="1960" w:firstLineChars="700"/>
        <w:jc w:val="left"/>
        <w:rPr>
          <w:rFonts w:hAnsi="宋体" w:cs="仿宋_GB2312"/>
          <w:color w:val="auto"/>
          <w:kern w:val="0"/>
          <w:sz w:val="28"/>
          <w:szCs w:val="28"/>
          <w:highlight w:val="none"/>
        </w:rPr>
      </w:pPr>
    </w:p>
    <w:p>
      <w:pPr>
        <w:widowControl/>
        <w:ind w:left="99" w:leftChars="47" w:firstLine="1960" w:firstLineChars="700"/>
        <w:jc w:val="left"/>
        <w:rPr>
          <w:rFonts w:hAnsi="宋体" w:cs="仿宋_GB2312"/>
          <w:color w:val="auto"/>
          <w:kern w:val="0"/>
          <w:sz w:val="28"/>
          <w:szCs w:val="28"/>
          <w:highlight w:val="none"/>
          <w:u w:val="single"/>
        </w:rPr>
      </w:pPr>
      <w:r>
        <w:rPr>
          <w:rFonts w:hint="eastAsia" w:hAnsi="宋体" w:cs="仿宋_GB2312"/>
          <w:color w:val="auto"/>
          <w:kern w:val="0"/>
          <w:sz w:val="28"/>
          <w:szCs w:val="28"/>
          <w:highlight w:val="none"/>
        </w:rPr>
        <w:t>法定代表人或授权代表（签字）</w:t>
      </w:r>
    </w:p>
    <w:p>
      <w:pPr>
        <w:widowControl/>
        <w:ind w:left="99" w:leftChars="47" w:firstLine="1960" w:firstLineChars="700"/>
        <w:jc w:val="left"/>
        <w:rPr>
          <w:rFonts w:hAnsi="宋体" w:cs="仿宋_GB2312"/>
          <w:color w:val="auto"/>
          <w:kern w:val="0"/>
          <w:sz w:val="28"/>
          <w:szCs w:val="28"/>
          <w:highlight w:val="none"/>
          <w:u w:val="single"/>
        </w:rPr>
      </w:pPr>
    </w:p>
    <w:p>
      <w:pPr>
        <w:widowControl/>
        <w:ind w:firstLine="560" w:firstLineChars="200"/>
        <w:jc w:val="center"/>
        <w:rPr>
          <w:rFonts w:hAnsi="宋体" w:cs="宋体"/>
          <w:color w:val="auto"/>
          <w:kern w:val="0"/>
          <w:sz w:val="28"/>
          <w:szCs w:val="28"/>
          <w:highlight w:val="none"/>
        </w:rPr>
      </w:pPr>
      <w:r>
        <w:rPr>
          <w:rFonts w:hAnsi="宋体" w:cs="仿宋_GB2312"/>
          <w:color w:val="auto"/>
          <w:kern w:val="0"/>
          <w:sz w:val="28"/>
          <w:szCs w:val="28"/>
          <w:highlight w:val="none"/>
        </w:rPr>
        <w:t xml:space="preserve">                                     年    月   日</w:t>
      </w:r>
    </w:p>
    <w:p>
      <w:pPr>
        <w:widowControl/>
        <w:jc w:val="left"/>
        <w:rPr>
          <w:rFonts w:hAnsi="宋体" w:cs="仿宋_GB2312"/>
          <w:bCs/>
          <w:color w:val="auto"/>
          <w:kern w:val="0"/>
          <w:sz w:val="24"/>
          <w:highlight w:val="none"/>
        </w:rPr>
      </w:pPr>
    </w:p>
    <w:p>
      <w:pPr>
        <w:rPr>
          <w:rFonts w:hAnsi="仿宋"/>
          <w:color w:val="auto"/>
          <w:sz w:val="24"/>
          <w:highlight w:val="none"/>
        </w:rPr>
      </w:pPr>
      <w:r>
        <w:rPr>
          <w:rFonts w:hint="eastAsia" w:hAnsi="仿宋"/>
          <w:color w:val="auto"/>
          <w:sz w:val="24"/>
          <w:highlight w:val="none"/>
        </w:rPr>
        <w:t>说明：</w:t>
      </w:r>
    </w:p>
    <w:p>
      <w:pPr>
        <w:rPr>
          <w:rFonts w:hAnsi="仿宋"/>
          <w:color w:val="auto"/>
          <w:sz w:val="24"/>
          <w:highlight w:val="none"/>
        </w:rPr>
      </w:pPr>
    </w:p>
    <w:p>
      <w:pPr>
        <w:rPr>
          <w:rFonts w:hAnsi="仿宋"/>
          <w:color w:val="auto"/>
          <w:sz w:val="24"/>
          <w:highlight w:val="none"/>
        </w:rPr>
      </w:pPr>
      <w:r>
        <w:rPr>
          <w:rFonts w:hAnsi="仿宋"/>
          <w:color w:val="auto"/>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color w:val="auto"/>
          <w:sz w:val="24"/>
          <w:highlight w:val="none"/>
        </w:rPr>
      </w:pPr>
      <w:r>
        <w:rPr>
          <w:rFonts w:hAnsi="仿宋"/>
          <w:color w:val="auto"/>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color w:val="auto"/>
          <w:sz w:val="24"/>
          <w:highlight w:val="none"/>
        </w:rPr>
      </w:pPr>
      <w:r>
        <w:rPr>
          <w:rFonts w:hAnsi="仿宋"/>
          <w:color w:val="auto"/>
          <w:sz w:val="24"/>
          <w:highlight w:val="none"/>
        </w:rPr>
        <w:t>3.为证明与异议项目有利害关系，投标人以外的其他异议提起人应当提供相应证明材料：</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1）属潜在投标人的，提交符合法定有关资格要求的证明文件；</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2）属特定分包人或者供应商的，提交证明其与该项目投标人绑定投标的附条件生效协议以及能证明其能履行该协议项下的合同义务的能力的证明文件。</w:t>
      </w:r>
      <w:r>
        <w:rPr>
          <w:rFonts w:hAnsi="仿宋"/>
          <w:color w:val="auto"/>
          <w:sz w:val="24"/>
          <w:highlight w:val="none"/>
        </w:rPr>
        <w:tab/>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3）可证明与异议项目有利害关系的其他证明文件。</w:t>
      </w:r>
    </w:p>
    <w:p>
      <w:pPr>
        <w:rPr>
          <w:color w:val="auto"/>
          <w:highlight w:val="none"/>
        </w:rPr>
      </w:pPr>
    </w:p>
    <w:p>
      <w:pPr>
        <w:pStyle w:val="2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asciiTheme="minorHAnsi" w:hAnsiTheme="minorHAnsi" w:cstheme="minorBidi"/>
          <w:color w:val="auto"/>
          <w:kern w:val="44"/>
          <w:sz w:val="44"/>
          <w:szCs w:val="44"/>
          <w:highlight w:val="none"/>
        </w:rPr>
      </w:pPr>
      <w:bookmarkStart w:id="26" w:name="_Toc2867"/>
      <w:bookmarkStart w:id="27" w:name="_Toc21455"/>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2310765</wp:posOffset>
                </wp:positionH>
                <wp:positionV relativeFrom="paragraph">
                  <wp:posOffset>672465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1.95pt;margin-top:52.95pt;height:0pt;width:75.5pt;z-index:251660288;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59264"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59264;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8"/>
        <w:rPr>
          <w:color w:val="auto"/>
          <w:highlight w:val="none"/>
        </w:rPr>
      </w:pPr>
    </w:p>
    <w:p>
      <w:pPr>
        <w:pStyle w:val="4"/>
        <w:rPr>
          <w:color w:val="auto"/>
          <w:highlight w:val="none"/>
        </w:rPr>
      </w:pPr>
      <w:bookmarkStart w:id="28" w:name="_Toc87616371"/>
      <w:bookmarkStart w:id="29" w:name="_Toc7303"/>
      <w:bookmarkStart w:id="30" w:name="_Toc88209934"/>
      <w:bookmarkStart w:id="31" w:name="_Toc7040"/>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4"/>
        <w:rPr>
          <w:color w:val="auto"/>
          <w:highlight w:val="none"/>
        </w:rPr>
      </w:pPr>
      <w:bookmarkStart w:id="32" w:name="_Toc24895"/>
      <w:bookmarkStart w:id="33" w:name="_Toc3789"/>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color w:val="auto"/>
          <w:highlight w:val="none"/>
        </w:rPr>
      </w:pPr>
      <w:bookmarkStart w:id="34" w:name="_Toc7118"/>
      <w:bookmarkStart w:id="35" w:name="_Toc14552"/>
      <w:bookmarkStart w:id="36" w:name="_Toc19759"/>
      <w:bookmarkStart w:id="37" w:name="_Toc4952"/>
      <w:bookmarkStart w:id="38" w:name="_Toc7437"/>
      <w:bookmarkStart w:id="39" w:name="_Toc20594"/>
      <w:bookmarkStart w:id="40" w:name="_Toc10930"/>
      <w:bookmarkStart w:id="41" w:name="_Toc14870"/>
      <w:bookmarkStart w:id="42" w:name="_Toc19050"/>
      <w:bookmarkStart w:id="43" w:name="_Toc3156"/>
      <w:bookmarkStart w:id="44" w:name="_Toc23581"/>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233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131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8"/>
        <w:rPr>
          <w:color w:val="auto"/>
          <w:highlight w:val="none"/>
        </w:rPr>
      </w:pPr>
    </w:p>
    <w:p>
      <w:pPr>
        <w:pStyle w:val="3"/>
        <w:rPr>
          <w:color w:val="auto"/>
          <w:highlight w:val="none"/>
        </w:rPr>
      </w:pPr>
      <w:bookmarkStart w:id="45" w:name="_Toc7831"/>
      <w:bookmarkStart w:id="46" w:name="_Toc13898"/>
      <w:bookmarkStart w:id="47" w:name="_Toc21840"/>
      <w:bookmarkStart w:id="48" w:name="_Toc30530"/>
      <w:bookmarkStart w:id="49" w:name="_Toc29484"/>
      <w:bookmarkStart w:id="50" w:name="_Toc12177"/>
      <w:bookmarkStart w:id="51" w:name="_Toc32607"/>
      <w:bookmarkStart w:id="52" w:name="_Toc88209941"/>
      <w:bookmarkStart w:id="53" w:name="_Toc29345"/>
      <w:bookmarkStart w:id="54" w:name="_Toc6308"/>
      <w:bookmarkStart w:id="55" w:name="_Toc87616378"/>
      <w:bookmarkStart w:id="56" w:name="_Toc22212"/>
      <w:bookmarkStart w:id="57" w:name="_Toc21079"/>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4"/>
        <w:rPr>
          <w:color w:val="auto"/>
          <w:highlight w:val="none"/>
        </w:rPr>
      </w:pPr>
      <w:bookmarkStart w:id="58" w:name="_Toc26826"/>
      <w:bookmarkStart w:id="59" w:name="_Toc23033"/>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48"/>
        <w:gridCol w:w="2112"/>
        <w:gridCol w:w="5486"/>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法定代表人授权委托</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有授权书</w:t>
            </w:r>
            <w:r>
              <w:rPr>
                <w:rFonts w:hint="eastAsia" w:ascii="仿宋_GB2312" w:eastAsia="仿宋_GB2312"/>
                <w:color w:val="auto"/>
                <w:sz w:val="24"/>
                <w:szCs w:val="24"/>
                <w:highlight w:val="none"/>
              </w:rPr>
              <w:t>，</w:t>
            </w:r>
            <w:r>
              <w:rPr>
                <w:rFonts w:ascii="仿宋_GB2312" w:eastAsia="仿宋_GB2312"/>
                <w:color w:val="auto"/>
                <w:sz w:val="24"/>
                <w:szCs w:val="24"/>
                <w:highlight w:val="none"/>
              </w:rPr>
              <w:t>授权书有法定代表人及其委托代理人签字并加盖单位</w:t>
            </w:r>
            <w:r>
              <w:rPr>
                <w:rFonts w:hint="eastAsia" w:ascii="仿宋_GB2312" w:eastAsia="仿宋_GB2312"/>
                <w:color w:val="auto"/>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3"/>
        <w:rPr>
          <w:color w:val="auto"/>
          <w:highlight w:val="none"/>
        </w:rPr>
      </w:pPr>
      <w:bookmarkStart w:id="60" w:name="_Toc88209947"/>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2325370</wp:posOffset>
                </wp:positionH>
                <wp:positionV relativeFrom="paragraph">
                  <wp:posOffset>822960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3.1pt;margin-top:64.8pt;height:0pt;width:75.5pt;z-index:25167257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155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4"/>
        <w:rPr>
          <w:rFonts w:hint="eastAsia"/>
          <w:color w:val="auto"/>
          <w:highlight w:val="none"/>
        </w:rPr>
      </w:pPr>
    </w:p>
    <w:p>
      <w:pPr>
        <w:pStyle w:val="4"/>
        <w:rPr>
          <w:rFonts w:hint="eastAsia"/>
          <w:color w:val="auto"/>
          <w:szCs w:val="44"/>
          <w:highlight w:val="none"/>
        </w:rPr>
      </w:pPr>
      <w:r>
        <w:rPr>
          <w:rFonts w:hint="eastAsia"/>
          <w:color w:val="auto"/>
          <w:szCs w:val="44"/>
          <w:highlight w:val="none"/>
        </w:rPr>
        <w:t>采购需求</w:t>
      </w:r>
    </w:p>
    <w:p>
      <w:pPr>
        <w:pStyle w:val="4"/>
        <w:rPr>
          <w:rFonts w:hint="eastAsia"/>
          <w:color w:val="auto"/>
          <w:szCs w:val="44"/>
          <w:highlight w:val="none"/>
        </w:rPr>
      </w:pPr>
    </w:p>
    <w:bookmarkEnd w:id="60"/>
    <w:p>
      <w:pPr>
        <w:ind w:firstLine="560" w:firstLineChars="200"/>
        <w:rPr>
          <w:rFonts w:ascii="仿宋_GB2312" w:eastAsia="仿宋_GB2312"/>
          <w:color w:val="auto"/>
          <w:sz w:val="28"/>
          <w:szCs w:val="28"/>
          <w:highlight w:val="none"/>
        </w:rPr>
      </w:pPr>
    </w:p>
    <w:p>
      <w:pPr>
        <w:pStyle w:val="22"/>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9"/>
        <w:rPr>
          <w:rFonts w:ascii="仿宋_GB2312" w:eastAsia="仿宋_GB2312"/>
          <w:color w:val="auto"/>
          <w:sz w:val="28"/>
          <w:szCs w:val="28"/>
          <w:highlight w:val="none"/>
        </w:rPr>
      </w:pPr>
    </w:p>
    <w:p>
      <w:pPr>
        <w:pStyle w:val="29"/>
        <w:rPr>
          <w:rFonts w:ascii="仿宋_GB2312" w:eastAsia="仿宋_GB2312"/>
          <w:color w:val="auto"/>
          <w:sz w:val="28"/>
          <w:szCs w:val="28"/>
          <w:highlight w:val="none"/>
        </w:rPr>
      </w:pPr>
    </w:p>
    <w:p>
      <w:pPr>
        <w:pStyle w:val="29"/>
        <w:rPr>
          <w:rFonts w:ascii="仿宋_GB2312" w:eastAsia="仿宋_GB2312"/>
          <w:color w:val="auto"/>
          <w:sz w:val="28"/>
          <w:szCs w:val="28"/>
          <w:highlight w:val="none"/>
        </w:rPr>
      </w:pPr>
    </w:p>
    <w:p>
      <w:pPr>
        <w:pStyle w:val="29"/>
        <w:rPr>
          <w:rFonts w:ascii="仿宋_GB2312" w:eastAsia="仿宋_GB2312"/>
          <w:color w:val="auto"/>
          <w:sz w:val="28"/>
          <w:szCs w:val="28"/>
          <w:highlight w:val="none"/>
        </w:rPr>
      </w:pPr>
    </w:p>
    <w:p>
      <w:pPr>
        <w:pStyle w:val="29"/>
        <w:rPr>
          <w:rFonts w:ascii="仿宋_GB2312" w:eastAsia="仿宋_GB2312"/>
          <w:color w:val="auto"/>
          <w:sz w:val="28"/>
          <w:szCs w:val="28"/>
          <w:highlight w:val="none"/>
        </w:rPr>
      </w:pPr>
    </w:p>
    <w:p>
      <w:pPr>
        <w:pStyle w:val="29"/>
        <w:rPr>
          <w:rFonts w:ascii="仿宋_GB2312" w:eastAsia="仿宋_GB2312"/>
          <w:color w:val="auto"/>
          <w:sz w:val="28"/>
          <w:szCs w:val="28"/>
          <w:highlight w:val="none"/>
        </w:rPr>
      </w:pPr>
    </w:p>
    <w:p>
      <w:pPr>
        <w:pStyle w:val="29"/>
        <w:rPr>
          <w:rFonts w:ascii="仿宋_GB2312" w:eastAsia="仿宋_GB2312"/>
          <w:color w:val="auto"/>
          <w:sz w:val="28"/>
          <w:szCs w:val="28"/>
          <w:highlight w:val="none"/>
        </w:rPr>
      </w:pPr>
    </w:p>
    <w:p>
      <w:pPr>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36"/>
          <w:szCs w:val="36"/>
          <w:highlight w:val="none"/>
          <w:lang w:val="en-US" w:eastAsia="zh-CN"/>
        </w:rPr>
        <w:t>技术要求：</w:t>
      </w:r>
    </w:p>
    <w:p>
      <w:pPr>
        <w:rPr>
          <w:rFonts w:hAnsi="宋体" w:cs="宋体"/>
          <w:color w:val="auto"/>
          <w:sz w:val="28"/>
          <w:szCs w:val="28"/>
          <w:highlight w:val="none"/>
        </w:rPr>
      </w:pPr>
      <w:r>
        <w:rPr>
          <w:rFonts w:hint="eastAsia" w:hAnsi="宋体" w:cs="宋体"/>
          <w:color w:val="auto"/>
          <w:sz w:val="28"/>
          <w:szCs w:val="28"/>
          <w:highlight w:val="none"/>
        </w:rPr>
        <w:t>1、网络设备更新</w:t>
      </w:r>
    </w:p>
    <w:p>
      <w:pPr>
        <w:ind w:firstLine="560" w:firstLineChars="200"/>
        <w:rPr>
          <w:rFonts w:hAnsi="宋体" w:cs="宋体"/>
          <w:color w:val="auto"/>
          <w:sz w:val="28"/>
          <w:szCs w:val="28"/>
          <w:highlight w:val="none"/>
        </w:rPr>
      </w:pPr>
      <w:r>
        <w:rPr>
          <w:rFonts w:hint="eastAsia"/>
          <w:color w:val="auto"/>
          <w:sz w:val="28"/>
          <w:szCs w:val="28"/>
          <w:highlight w:val="none"/>
          <w:lang w:val="en-US" w:eastAsia="zh-CN"/>
        </w:rPr>
        <w:t>更新视频存储主机，配套数据服务器，部署安防综合管理平台，打通并接入龙归三期视频监控系统，实现统一部署、统一配置、统一管理和统一调度。</w:t>
      </w:r>
      <w:r>
        <w:rPr>
          <w:rFonts w:hint="eastAsia" w:hAnsi="宋体" w:cs="宋体"/>
          <w:color w:val="auto"/>
          <w:sz w:val="28"/>
          <w:szCs w:val="28"/>
          <w:highlight w:val="none"/>
          <w:lang w:val="en-US" w:eastAsia="zh-CN"/>
        </w:rPr>
        <w:t>部署1台高性能、高可用性、功能丰富的出口一体化智能应用网关设备，满足用户对 网络流量细粒度的可视、可控、可审计的核心需求，同时能够提供精准的应用分流、应用负载均衡。</w:t>
      </w:r>
      <w:r>
        <w:rPr>
          <w:rFonts w:hint="eastAsia" w:hAnsi="宋体" w:cs="宋体"/>
          <w:color w:val="auto"/>
          <w:sz w:val="28"/>
          <w:szCs w:val="28"/>
          <w:highlight w:val="none"/>
        </w:rPr>
        <w:t>采用</w:t>
      </w:r>
      <w:r>
        <w:rPr>
          <w:rFonts w:hint="eastAsia" w:hAnsi="宋体" w:cs="宋体"/>
          <w:color w:val="auto"/>
          <w:sz w:val="28"/>
          <w:szCs w:val="28"/>
          <w:highlight w:val="none"/>
          <w:lang w:val="en-US" w:eastAsia="zh-CN"/>
        </w:rPr>
        <w:t>3</w:t>
      </w:r>
      <w:r>
        <w:rPr>
          <w:rFonts w:hint="eastAsia" w:hAnsi="宋体" w:cs="宋体"/>
          <w:color w:val="auto"/>
          <w:sz w:val="28"/>
          <w:szCs w:val="28"/>
          <w:highlight w:val="none"/>
        </w:rPr>
        <w:t>台核心交换机对不同业务系统网络流量进行管理，办公网配备2台业务汇聚交换机；工控网配备2台业务汇聚交换机；视频监控网配备</w:t>
      </w:r>
      <w:r>
        <w:rPr>
          <w:rFonts w:hint="eastAsia" w:hAnsi="宋体" w:cs="宋体"/>
          <w:color w:val="auto"/>
          <w:sz w:val="28"/>
          <w:szCs w:val="28"/>
          <w:highlight w:val="none"/>
          <w:lang w:val="en-US" w:eastAsia="zh-CN"/>
        </w:rPr>
        <w:t>3</w:t>
      </w:r>
      <w:r>
        <w:rPr>
          <w:rFonts w:hint="eastAsia" w:hAnsi="宋体" w:cs="宋体"/>
          <w:color w:val="auto"/>
          <w:sz w:val="28"/>
          <w:szCs w:val="28"/>
          <w:highlight w:val="none"/>
        </w:rPr>
        <w:t>台业务汇聚交换机。从网络骨干架构上，达到主次分明、条例清晰。</w:t>
      </w:r>
    </w:p>
    <w:p>
      <w:pPr>
        <w:ind w:firstLine="563"/>
        <w:rPr>
          <w:rFonts w:hAnsi="宋体" w:cs="宋体"/>
          <w:color w:val="auto"/>
          <w:sz w:val="28"/>
          <w:szCs w:val="28"/>
          <w:highlight w:val="none"/>
        </w:rPr>
      </w:pPr>
      <w:r>
        <w:rPr>
          <w:rFonts w:hint="eastAsia" w:hAnsi="宋体" w:cs="宋体"/>
          <w:color w:val="auto"/>
          <w:sz w:val="28"/>
          <w:szCs w:val="28"/>
          <w:highlight w:val="none"/>
        </w:rPr>
        <w:t>详情如下：</w:t>
      </w:r>
    </w:p>
    <w:tbl>
      <w:tblPr>
        <w:tblStyle w:val="23"/>
        <w:tblW w:w="9840" w:type="dxa"/>
        <w:tblInd w:w="0" w:type="dxa"/>
        <w:tblLayout w:type="autofit"/>
        <w:tblCellMar>
          <w:top w:w="0" w:type="dxa"/>
          <w:left w:w="108" w:type="dxa"/>
          <w:bottom w:w="0" w:type="dxa"/>
          <w:right w:w="108" w:type="dxa"/>
        </w:tblCellMar>
      </w:tblPr>
      <w:tblGrid>
        <w:gridCol w:w="2460"/>
        <w:gridCol w:w="2460"/>
        <w:gridCol w:w="2460"/>
        <w:gridCol w:w="2460"/>
      </w:tblGrid>
      <w:tr>
        <w:tblPrEx>
          <w:tblCellMar>
            <w:top w:w="0" w:type="dxa"/>
            <w:left w:w="108" w:type="dxa"/>
            <w:bottom w:w="0" w:type="dxa"/>
            <w:right w:w="108" w:type="dxa"/>
          </w:tblCellMar>
        </w:tblPrEx>
        <w:trPr>
          <w:trHeight w:val="635" w:hRule="atLeast"/>
        </w:trPr>
        <w:tc>
          <w:tcPr>
            <w:tcW w:w="24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序号</w:t>
            </w:r>
          </w:p>
        </w:tc>
        <w:tc>
          <w:tcPr>
            <w:tcW w:w="24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业务系统</w:t>
            </w:r>
          </w:p>
        </w:tc>
        <w:tc>
          <w:tcPr>
            <w:tcW w:w="24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核心交换机</w:t>
            </w:r>
          </w:p>
        </w:tc>
        <w:tc>
          <w:tcPr>
            <w:tcW w:w="24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业务交换机</w:t>
            </w:r>
          </w:p>
        </w:tc>
      </w:tr>
      <w:tr>
        <w:tblPrEx>
          <w:tblCellMar>
            <w:top w:w="0" w:type="dxa"/>
            <w:left w:w="108" w:type="dxa"/>
            <w:bottom w:w="0" w:type="dxa"/>
            <w:right w:w="108" w:type="dxa"/>
          </w:tblCellMar>
        </w:tblPrEx>
        <w:trPr>
          <w:trHeight w:val="396" w:hRule="atLeast"/>
        </w:trPr>
        <w:tc>
          <w:tcPr>
            <w:tcW w:w="24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1</w:t>
            </w:r>
          </w:p>
        </w:tc>
        <w:tc>
          <w:tcPr>
            <w:tcW w:w="2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办公</w:t>
            </w:r>
          </w:p>
        </w:tc>
        <w:tc>
          <w:tcPr>
            <w:tcW w:w="246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eastAsia="宋体"/>
                <w:color w:val="auto"/>
                <w:kern w:val="0"/>
                <w:sz w:val="20"/>
                <w:szCs w:val="20"/>
                <w:highlight w:val="none"/>
                <w:lang w:eastAsia="zh-CN"/>
              </w:rPr>
            </w:pPr>
            <w:r>
              <w:rPr>
                <w:rFonts w:hint="eastAsia" w:ascii="Times New Roman" w:eastAsia="宋体"/>
                <w:color w:val="auto"/>
                <w:kern w:val="0"/>
                <w:sz w:val="20"/>
                <w:szCs w:val="20"/>
                <w:highlight w:val="none"/>
                <w:lang w:val="en-US" w:eastAsia="zh-CN"/>
              </w:rPr>
              <w:t>1</w:t>
            </w:r>
          </w:p>
        </w:tc>
        <w:tc>
          <w:tcPr>
            <w:tcW w:w="2460" w:type="dxa"/>
            <w:tcBorders>
              <w:top w:val="nil"/>
              <w:left w:val="nil"/>
              <w:bottom w:val="single" w:color="auto" w:sz="4" w:space="0"/>
              <w:right w:val="single" w:color="auto" w:sz="4" w:space="0"/>
            </w:tcBorders>
            <w:shd w:val="clear" w:color="auto" w:fill="auto"/>
            <w:vAlign w:val="center"/>
          </w:tcPr>
          <w:p>
            <w:pPr>
              <w:widowControl/>
              <w:jc w:val="center"/>
              <w:rPr>
                <w:rFonts w:ascii="Times New Roman" w:eastAsia="宋体"/>
                <w:color w:val="auto"/>
                <w:kern w:val="0"/>
                <w:sz w:val="20"/>
                <w:szCs w:val="20"/>
                <w:highlight w:val="none"/>
              </w:rPr>
            </w:pPr>
            <w:r>
              <w:rPr>
                <w:rFonts w:hint="eastAsia" w:ascii="Times New Roman" w:eastAsia="宋体"/>
                <w:color w:val="auto"/>
                <w:kern w:val="0"/>
                <w:sz w:val="20"/>
                <w:szCs w:val="20"/>
                <w:highlight w:val="none"/>
              </w:rPr>
              <w:t>2</w:t>
            </w:r>
          </w:p>
        </w:tc>
      </w:tr>
      <w:tr>
        <w:tblPrEx>
          <w:tblCellMar>
            <w:top w:w="0" w:type="dxa"/>
            <w:left w:w="108" w:type="dxa"/>
            <w:bottom w:w="0" w:type="dxa"/>
            <w:right w:w="108" w:type="dxa"/>
          </w:tblCellMar>
        </w:tblPrEx>
        <w:trPr>
          <w:trHeight w:val="341" w:hRule="atLeast"/>
        </w:trPr>
        <w:tc>
          <w:tcPr>
            <w:tcW w:w="24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2</w:t>
            </w:r>
          </w:p>
        </w:tc>
        <w:tc>
          <w:tcPr>
            <w:tcW w:w="2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自控</w:t>
            </w:r>
          </w:p>
        </w:tc>
        <w:tc>
          <w:tcPr>
            <w:tcW w:w="246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eastAsia="宋体"/>
                <w:color w:val="auto"/>
                <w:kern w:val="0"/>
                <w:sz w:val="20"/>
                <w:szCs w:val="20"/>
                <w:highlight w:val="none"/>
                <w:lang w:eastAsia="zh-CN"/>
              </w:rPr>
            </w:pPr>
            <w:r>
              <w:rPr>
                <w:rFonts w:hint="eastAsia" w:ascii="Times New Roman" w:eastAsia="宋体"/>
                <w:color w:val="auto"/>
                <w:kern w:val="0"/>
                <w:sz w:val="20"/>
                <w:szCs w:val="20"/>
                <w:highlight w:val="none"/>
                <w:lang w:val="en-US" w:eastAsia="zh-CN"/>
              </w:rPr>
              <w:t>1</w:t>
            </w:r>
          </w:p>
        </w:tc>
        <w:tc>
          <w:tcPr>
            <w:tcW w:w="2460" w:type="dxa"/>
            <w:tcBorders>
              <w:top w:val="nil"/>
              <w:left w:val="nil"/>
              <w:bottom w:val="single" w:color="auto" w:sz="4" w:space="0"/>
              <w:right w:val="single" w:color="auto" w:sz="4" w:space="0"/>
            </w:tcBorders>
            <w:shd w:val="clear" w:color="auto" w:fill="auto"/>
            <w:vAlign w:val="center"/>
          </w:tcPr>
          <w:p>
            <w:pPr>
              <w:widowControl/>
              <w:jc w:val="center"/>
              <w:rPr>
                <w:rFonts w:ascii="Times New Roman" w:eastAsia="宋体"/>
                <w:color w:val="auto"/>
                <w:kern w:val="0"/>
                <w:sz w:val="20"/>
                <w:szCs w:val="20"/>
                <w:highlight w:val="none"/>
              </w:rPr>
            </w:pPr>
            <w:r>
              <w:rPr>
                <w:rFonts w:hint="eastAsia" w:ascii="Times New Roman" w:eastAsia="宋体"/>
                <w:color w:val="auto"/>
                <w:kern w:val="0"/>
                <w:sz w:val="20"/>
                <w:szCs w:val="20"/>
                <w:highlight w:val="none"/>
              </w:rPr>
              <w:t>2</w:t>
            </w:r>
          </w:p>
        </w:tc>
      </w:tr>
      <w:tr>
        <w:tblPrEx>
          <w:tblCellMar>
            <w:top w:w="0" w:type="dxa"/>
            <w:left w:w="108" w:type="dxa"/>
            <w:bottom w:w="0" w:type="dxa"/>
            <w:right w:w="108" w:type="dxa"/>
          </w:tblCellMar>
        </w:tblPrEx>
        <w:trPr>
          <w:trHeight w:val="378" w:hRule="atLeast"/>
        </w:trPr>
        <w:tc>
          <w:tcPr>
            <w:tcW w:w="24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3</w:t>
            </w:r>
          </w:p>
        </w:tc>
        <w:tc>
          <w:tcPr>
            <w:tcW w:w="2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监控</w:t>
            </w:r>
          </w:p>
        </w:tc>
        <w:tc>
          <w:tcPr>
            <w:tcW w:w="246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eastAsia="宋体"/>
                <w:color w:val="auto"/>
                <w:kern w:val="0"/>
                <w:sz w:val="20"/>
                <w:szCs w:val="20"/>
                <w:highlight w:val="none"/>
                <w:lang w:eastAsia="zh-CN"/>
              </w:rPr>
            </w:pPr>
            <w:r>
              <w:rPr>
                <w:rFonts w:hint="eastAsia" w:ascii="Times New Roman" w:eastAsia="宋体"/>
                <w:color w:val="auto"/>
                <w:kern w:val="0"/>
                <w:sz w:val="20"/>
                <w:szCs w:val="20"/>
                <w:highlight w:val="none"/>
                <w:lang w:val="en-US" w:eastAsia="zh-CN"/>
              </w:rPr>
              <w:t>1</w:t>
            </w:r>
          </w:p>
        </w:tc>
        <w:tc>
          <w:tcPr>
            <w:tcW w:w="246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eastAsia="宋体"/>
                <w:color w:val="auto"/>
                <w:kern w:val="0"/>
                <w:sz w:val="20"/>
                <w:szCs w:val="20"/>
                <w:highlight w:val="none"/>
                <w:lang w:eastAsia="zh-CN"/>
              </w:rPr>
            </w:pPr>
            <w:r>
              <w:rPr>
                <w:rFonts w:hint="eastAsia" w:ascii="Times New Roman" w:eastAsia="宋体"/>
                <w:color w:val="auto"/>
                <w:kern w:val="0"/>
                <w:sz w:val="20"/>
                <w:szCs w:val="20"/>
                <w:highlight w:val="none"/>
                <w:lang w:val="en-US" w:eastAsia="zh-CN"/>
              </w:rPr>
              <w:t>3</w:t>
            </w:r>
          </w:p>
        </w:tc>
      </w:tr>
      <w:tr>
        <w:tblPrEx>
          <w:tblCellMar>
            <w:top w:w="0" w:type="dxa"/>
            <w:left w:w="108" w:type="dxa"/>
            <w:bottom w:w="0" w:type="dxa"/>
            <w:right w:w="108" w:type="dxa"/>
          </w:tblCellMar>
        </w:tblPrEx>
        <w:trPr>
          <w:trHeight w:val="351" w:hRule="atLeast"/>
        </w:trPr>
        <w:tc>
          <w:tcPr>
            <w:tcW w:w="24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总计</w:t>
            </w:r>
          </w:p>
        </w:tc>
        <w:tc>
          <w:tcPr>
            <w:tcW w:w="246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eastAsia="宋体"/>
                <w:b/>
                <w:bCs/>
                <w:color w:val="auto"/>
                <w:kern w:val="0"/>
                <w:sz w:val="20"/>
                <w:szCs w:val="20"/>
                <w:highlight w:val="none"/>
              </w:rPr>
            </w:pPr>
            <w:r>
              <w:rPr>
                <w:rFonts w:hint="eastAsia" w:ascii="Times New Roman" w:eastAsia="宋体"/>
                <w:b/>
                <w:bCs/>
                <w:color w:val="auto"/>
                <w:kern w:val="0"/>
                <w:sz w:val="20"/>
                <w:szCs w:val="20"/>
                <w:highlight w:val="none"/>
              </w:rPr>
              <w:t xml:space="preserve"> </w:t>
            </w:r>
          </w:p>
        </w:tc>
        <w:tc>
          <w:tcPr>
            <w:tcW w:w="24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eastAsia="宋体"/>
                <w:b/>
                <w:bCs/>
                <w:color w:val="auto"/>
                <w:kern w:val="0"/>
                <w:sz w:val="20"/>
                <w:szCs w:val="20"/>
                <w:highlight w:val="none"/>
                <w:lang w:eastAsia="zh-CN"/>
              </w:rPr>
            </w:pPr>
            <w:r>
              <w:rPr>
                <w:rFonts w:hint="eastAsia" w:ascii="Times New Roman" w:eastAsia="宋体"/>
                <w:b/>
                <w:bCs/>
                <w:color w:val="auto"/>
                <w:kern w:val="0"/>
                <w:sz w:val="20"/>
                <w:szCs w:val="20"/>
                <w:highlight w:val="none"/>
                <w:lang w:val="en-US" w:eastAsia="zh-CN"/>
              </w:rPr>
              <w:t>3</w:t>
            </w:r>
          </w:p>
        </w:tc>
        <w:tc>
          <w:tcPr>
            <w:tcW w:w="24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eastAsia="宋体"/>
                <w:b/>
                <w:bCs/>
                <w:color w:val="auto"/>
                <w:kern w:val="0"/>
                <w:sz w:val="20"/>
                <w:szCs w:val="20"/>
                <w:highlight w:val="none"/>
                <w:lang w:eastAsia="zh-CN"/>
              </w:rPr>
            </w:pPr>
            <w:r>
              <w:rPr>
                <w:rFonts w:hint="eastAsia" w:ascii="Times New Roman" w:eastAsia="宋体"/>
                <w:b/>
                <w:bCs/>
                <w:color w:val="auto"/>
                <w:kern w:val="0"/>
                <w:sz w:val="20"/>
                <w:szCs w:val="20"/>
                <w:highlight w:val="none"/>
                <w:lang w:val="en-US" w:eastAsia="zh-CN"/>
              </w:rPr>
              <w:t>7</w:t>
            </w:r>
          </w:p>
        </w:tc>
      </w:tr>
    </w:tbl>
    <w:p>
      <w:pPr>
        <w:rPr>
          <w:rFonts w:hAnsi="宋体" w:cs="宋体"/>
          <w:color w:val="auto"/>
          <w:sz w:val="28"/>
          <w:szCs w:val="28"/>
          <w:highlight w:val="none"/>
        </w:rPr>
      </w:pPr>
    </w:p>
    <w:p>
      <w:pPr>
        <w:rPr>
          <w:rFonts w:hAnsi="宋体" w:cs="宋体"/>
          <w:color w:val="auto"/>
          <w:sz w:val="28"/>
          <w:szCs w:val="28"/>
          <w:highlight w:val="none"/>
        </w:rPr>
      </w:pPr>
      <w:r>
        <w:rPr>
          <w:rFonts w:hint="eastAsia" w:hAnsi="宋体" w:cs="宋体"/>
          <w:color w:val="auto"/>
          <w:sz w:val="28"/>
          <w:szCs w:val="28"/>
          <w:highlight w:val="none"/>
        </w:rPr>
        <w:t>2、综合布线改造</w:t>
      </w:r>
    </w:p>
    <w:p>
      <w:pPr>
        <w:ind w:firstLine="563"/>
        <w:rPr>
          <w:rFonts w:hAnsi="宋体" w:cs="宋体"/>
          <w:color w:val="auto"/>
          <w:sz w:val="28"/>
          <w:szCs w:val="28"/>
          <w:highlight w:val="none"/>
        </w:rPr>
      </w:pPr>
      <w:r>
        <w:rPr>
          <w:rFonts w:hint="eastAsia" w:hAnsi="宋体" w:cs="宋体"/>
          <w:color w:val="auto"/>
          <w:sz w:val="28"/>
          <w:szCs w:val="28"/>
          <w:highlight w:val="none"/>
        </w:rPr>
        <w:t>在可实施的情况下，替换机房旧机柜，根据从物理层面对业务系统分类，合理分配机柜。拆除老旧线路，将机房内的网线，全部更新为六类网线。整理光缆路由，按规范敷设线路。</w:t>
      </w:r>
    </w:p>
    <w:p>
      <w:pPr>
        <w:ind w:firstLine="563"/>
        <w:rPr>
          <w:rFonts w:hAnsi="宋体" w:cs="宋体"/>
          <w:color w:val="auto"/>
          <w:sz w:val="28"/>
          <w:szCs w:val="28"/>
          <w:highlight w:val="none"/>
        </w:rPr>
      </w:pPr>
      <w:r>
        <w:rPr>
          <w:rFonts w:hint="eastAsia" w:hAnsi="宋体" w:cs="宋体"/>
          <w:color w:val="auto"/>
          <w:sz w:val="28"/>
          <w:szCs w:val="28"/>
          <w:highlight w:val="none"/>
        </w:rPr>
        <w:t>更换机柜内网线跳线约1</w:t>
      </w:r>
      <w:r>
        <w:rPr>
          <w:rFonts w:hAnsi="宋体" w:cs="宋体"/>
          <w:color w:val="auto"/>
          <w:sz w:val="28"/>
          <w:szCs w:val="28"/>
          <w:highlight w:val="none"/>
        </w:rPr>
        <w:t>10</w:t>
      </w:r>
      <w:r>
        <w:rPr>
          <w:rFonts w:hint="eastAsia" w:hAnsi="宋体" w:cs="宋体"/>
          <w:color w:val="auto"/>
          <w:sz w:val="28"/>
          <w:szCs w:val="28"/>
          <w:highlight w:val="none"/>
        </w:rPr>
        <w:t>条，光纤跳线约7</w:t>
      </w:r>
      <w:r>
        <w:rPr>
          <w:rFonts w:hAnsi="宋体" w:cs="宋体"/>
          <w:color w:val="auto"/>
          <w:sz w:val="28"/>
          <w:szCs w:val="28"/>
          <w:highlight w:val="none"/>
        </w:rPr>
        <w:t>0</w:t>
      </w:r>
      <w:r>
        <w:rPr>
          <w:rFonts w:hint="eastAsia" w:hAnsi="宋体" w:cs="宋体"/>
          <w:color w:val="auto"/>
          <w:sz w:val="28"/>
          <w:szCs w:val="28"/>
          <w:highlight w:val="none"/>
        </w:rPr>
        <w:t>条。更换机柜内光纤收发器4</w:t>
      </w:r>
      <w:r>
        <w:rPr>
          <w:rFonts w:hAnsi="宋体" w:cs="宋体"/>
          <w:color w:val="auto"/>
          <w:sz w:val="28"/>
          <w:szCs w:val="28"/>
          <w:highlight w:val="none"/>
        </w:rPr>
        <w:t>5</w:t>
      </w:r>
      <w:r>
        <w:rPr>
          <w:rFonts w:hint="eastAsia" w:hAnsi="宋体" w:cs="宋体"/>
          <w:color w:val="auto"/>
          <w:sz w:val="28"/>
          <w:szCs w:val="28"/>
          <w:highlight w:val="none"/>
        </w:rPr>
        <w:t>台。</w:t>
      </w:r>
    </w:p>
    <w:p>
      <w:pPr>
        <w:rPr>
          <w:rFonts w:hAnsi="宋体" w:cs="宋体"/>
          <w:color w:val="auto"/>
          <w:sz w:val="28"/>
          <w:szCs w:val="28"/>
          <w:highlight w:val="none"/>
        </w:rPr>
      </w:pPr>
      <w:r>
        <w:rPr>
          <w:rFonts w:hint="eastAsia" w:hAnsi="宋体" w:cs="宋体"/>
          <w:color w:val="auto"/>
          <w:sz w:val="28"/>
          <w:szCs w:val="28"/>
          <w:highlight w:val="none"/>
        </w:rPr>
        <w:t>3、电气改造</w:t>
      </w:r>
    </w:p>
    <w:p>
      <w:pPr>
        <w:ind w:firstLine="560" w:firstLineChars="200"/>
        <w:rPr>
          <w:rFonts w:hint="eastAsia" w:eastAsia="仿宋_GB2312"/>
          <w:color w:val="auto"/>
          <w:sz w:val="28"/>
          <w:szCs w:val="28"/>
          <w:highlight w:val="none"/>
          <w:lang w:eastAsia="zh-CN"/>
        </w:rPr>
      </w:pPr>
      <w:r>
        <w:rPr>
          <w:rFonts w:hint="eastAsia"/>
          <w:color w:val="auto"/>
          <w:sz w:val="28"/>
          <w:szCs w:val="28"/>
          <w:highlight w:val="none"/>
        </w:rPr>
        <w:t>优化机房电气线路并配置 U</w:t>
      </w:r>
      <w:r>
        <w:rPr>
          <w:color w:val="auto"/>
          <w:sz w:val="28"/>
          <w:szCs w:val="28"/>
          <w:highlight w:val="none"/>
        </w:rPr>
        <w:t>PS</w:t>
      </w:r>
      <w:r>
        <w:rPr>
          <w:rFonts w:hint="eastAsia"/>
          <w:color w:val="auto"/>
          <w:sz w:val="28"/>
          <w:szCs w:val="28"/>
          <w:highlight w:val="none"/>
        </w:rPr>
        <w:t>不间断电源</w:t>
      </w:r>
      <w:r>
        <w:rPr>
          <w:rFonts w:hint="eastAsia"/>
          <w:color w:val="auto"/>
          <w:sz w:val="28"/>
          <w:szCs w:val="28"/>
          <w:highlight w:val="none"/>
          <w:lang w:val="en-US" w:eastAsia="zh-CN"/>
        </w:rPr>
        <w:t>1套</w:t>
      </w:r>
      <w:r>
        <w:rPr>
          <w:rFonts w:hint="eastAsia"/>
          <w:color w:val="auto"/>
          <w:sz w:val="28"/>
          <w:szCs w:val="28"/>
          <w:highlight w:val="none"/>
        </w:rPr>
        <w:t>，2</w:t>
      </w:r>
      <w:r>
        <w:rPr>
          <w:color w:val="auto"/>
          <w:sz w:val="28"/>
          <w:szCs w:val="28"/>
          <w:highlight w:val="none"/>
        </w:rPr>
        <w:t>0</w:t>
      </w:r>
      <w:r>
        <w:rPr>
          <w:rFonts w:hint="eastAsia"/>
          <w:color w:val="auto"/>
          <w:sz w:val="28"/>
          <w:szCs w:val="28"/>
          <w:highlight w:val="none"/>
        </w:rPr>
        <w:t>KVA</w:t>
      </w:r>
      <w:r>
        <w:rPr>
          <w:rFonts w:hint="eastAsia"/>
          <w:color w:val="auto"/>
          <w:sz w:val="28"/>
          <w:szCs w:val="28"/>
          <w:highlight w:val="none"/>
          <w:lang w:val="en-US" w:eastAsia="zh-CN"/>
        </w:rPr>
        <w:t>/18KW高频在线式UPS电源，</w:t>
      </w:r>
      <w:r>
        <w:rPr>
          <w:rFonts w:hint="eastAsia"/>
          <w:color w:val="auto"/>
          <w:sz w:val="28"/>
          <w:szCs w:val="28"/>
          <w:highlight w:val="none"/>
        </w:rPr>
        <w:t>配置蓄电池及电池柜，后备供电时间不少于</w:t>
      </w:r>
      <w:r>
        <w:rPr>
          <w:rFonts w:hint="eastAsia"/>
          <w:color w:val="auto"/>
          <w:sz w:val="28"/>
          <w:szCs w:val="28"/>
          <w:highlight w:val="none"/>
          <w:lang w:val="en-US" w:eastAsia="zh-CN"/>
        </w:rPr>
        <w:t>6</w:t>
      </w:r>
      <w:r>
        <w:rPr>
          <w:rFonts w:hint="eastAsia"/>
          <w:color w:val="auto"/>
          <w:sz w:val="28"/>
          <w:szCs w:val="28"/>
          <w:highlight w:val="none"/>
        </w:rPr>
        <w:t>0分钟，要求UPS主机与蓄电池为同一品牌</w:t>
      </w:r>
      <w:r>
        <w:rPr>
          <w:rFonts w:hint="eastAsia"/>
          <w:color w:val="auto"/>
          <w:sz w:val="28"/>
          <w:szCs w:val="28"/>
          <w:highlight w:val="none"/>
          <w:lang w:eastAsia="zh-CN"/>
        </w:rPr>
        <w:t>。</w:t>
      </w:r>
    </w:p>
    <w:p>
      <w:pPr>
        <w:ind w:firstLine="560" w:firstLineChars="200"/>
        <w:rPr>
          <w:rFonts w:hint="eastAsia"/>
          <w:color w:val="auto"/>
          <w:highlight w:val="none"/>
          <w:lang w:eastAsia="zh-CN"/>
        </w:rPr>
      </w:pPr>
      <w:r>
        <w:rPr>
          <w:rFonts w:hint="eastAsia"/>
          <w:color w:val="auto"/>
          <w:sz w:val="28"/>
          <w:szCs w:val="28"/>
          <w:highlight w:val="none"/>
        </w:rPr>
        <w:t>配置</w:t>
      </w:r>
      <w:r>
        <w:rPr>
          <w:rFonts w:hint="eastAsia"/>
          <w:color w:val="auto"/>
          <w:sz w:val="28"/>
          <w:szCs w:val="28"/>
          <w:highlight w:val="none"/>
          <w:lang w:val="en-US" w:eastAsia="zh-CN"/>
        </w:rPr>
        <w:t>PLC柜UPS</w:t>
      </w:r>
      <w:r>
        <w:rPr>
          <w:rFonts w:hint="eastAsia"/>
          <w:color w:val="auto"/>
          <w:sz w:val="28"/>
          <w:szCs w:val="28"/>
          <w:highlight w:val="none"/>
        </w:rPr>
        <w:t>不间断电源</w:t>
      </w:r>
      <w:r>
        <w:rPr>
          <w:rFonts w:hint="eastAsia"/>
          <w:color w:val="auto"/>
          <w:sz w:val="28"/>
          <w:szCs w:val="28"/>
          <w:highlight w:val="none"/>
          <w:lang w:val="en-US" w:eastAsia="zh-CN"/>
        </w:rPr>
        <w:t xml:space="preserve"> 4套</w:t>
      </w:r>
      <w:r>
        <w:rPr>
          <w:rFonts w:hint="eastAsia"/>
          <w:color w:val="auto"/>
          <w:sz w:val="28"/>
          <w:szCs w:val="28"/>
          <w:highlight w:val="none"/>
        </w:rPr>
        <w:t>，3000VA/2400W 在线式UPS不间断电源，配置蓄电池组</w:t>
      </w:r>
      <w:r>
        <w:rPr>
          <w:rFonts w:hint="eastAsia"/>
          <w:color w:val="auto"/>
          <w:sz w:val="28"/>
          <w:szCs w:val="28"/>
          <w:highlight w:val="none"/>
          <w:lang w:val="en-US" w:eastAsia="zh-CN"/>
        </w:rPr>
        <w:t>及电池柜</w:t>
      </w:r>
      <w:r>
        <w:rPr>
          <w:rFonts w:hint="eastAsia"/>
          <w:color w:val="auto"/>
          <w:sz w:val="28"/>
          <w:szCs w:val="28"/>
          <w:highlight w:val="none"/>
        </w:rPr>
        <w:t>，后备供电时间不少于30分钟，要求UPS主机与蓄电池为同一品牌</w:t>
      </w:r>
      <w:r>
        <w:rPr>
          <w:rFonts w:hint="eastAsia"/>
          <w:color w:val="auto"/>
          <w:sz w:val="28"/>
          <w:szCs w:val="28"/>
          <w:highlight w:val="none"/>
          <w:lang w:eastAsia="zh-CN"/>
        </w:rPr>
        <w:t>。</w:t>
      </w:r>
    </w:p>
    <w:p>
      <w:pPr>
        <w:rPr>
          <w:rFonts w:hAnsi="宋体" w:cs="宋体"/>
          <w:color w:val="auto"/>
          <w:sz w:val="28"/>
          <w:szCs w:val="28"/>
          <w:highlight w:val="none"/>
        </w:rPr>
      </w:pPr>
      <w:r>
        <w:rPr>
          <w:rFonts w:hAnsi="宋体" w:cs="宋体"/>
          <w:color w:val="auto"/>
          <w:sz w:val="28"/>
          <w:szCs w:val="28"/>
          <w:highlight w:val="none"/>
        </w:rPr>
        <w:t>4</w:t>
      </w:r>
      <w:r>
        <w:rPr>
          <w:rFonts w:hint="eastAsia" w:hAnsi="宋体" w:cs="宋体"/>
          <w:color w:val="auto"/>
          <w:sz w:val="28"/>
          <w:szCs w:val="28"/>
          <w:highlight w:val="none"/>
        </w:rPr>
        <w:t>、视频监控改造</w:t>
      </w:r>
    </w:p>
    <w:p>
      <w:pPr>
        <w:ind w:firstLine="563"/>
        <w:rPr>
          <w:rFonts w:hAnsi="宋体" w:cs="宋体"/>
          <w:color w:val="auto"/>
          <w:sz w:val="28"/>
          <w:szCs w:val="28"/>
          <w:highlight w:val="none"/>
        </w:rPr>
      </w:pPr>
      <w:r>
        <w:rPr>
          <w:rFonts w:hint="eastAsia" w:hAnsi="宋体" w:cs="宋体"/>
          <w:color w:val="auto"/>
          <w:sz w:val="28"/>
          <w:szCs w:val="28"/>
          <w:highlight w:val="none"/>
        </w:rPr>
        <w:t>由于与公司综合安防管理平台的兼容性较差，需更换一期建设的2台大华视频监控主机，并增加硬盘数量使分公司所有摄像头录像数据保存时间大于9</w:t>
      </w:r>
      <w:r>
        <w:rPr>
          <w:rFonts w:hAnsi="宋体" w:cs="宋体"/>
          <w:color w:val="auto"/>
          <w:sz w:val="28"/>
          <w:szCs w:val="28"/>
          <w:highlight w:val="none"/>
        </w:rPr>
        <w:t>0</w:t>
      </w:r>
      <w:r>
        <w:rPr>
          <w:rFonts w:hint="eastAsia" w:hAnsi="宋体" w:cs="宋体"/>
          <w:color w:val="auto"/>
          <w:sz w:val="28"/>
          <w:szCs w:val="28"/>
          <w:highlight w:val="none"/>
        </w:rPr>
        <w:t>天；同时更换两台大华硬盘录像机下辖的部分摄像头共1</w:t>
      </w:r>
      <w:r>
        <w:rPr>
          <w:rFonts w:hAnsi="宋体" w:cs="宋体"/>
          <w:color w:val="auto"/>
          <w:sz w:val="28"/>
          <w:szCs w:val="28"/>
          <w:highlight w:val="none"/>
        </w:rPr>
        <w:t>5</w:t>
      </w:r>
      <w:r>
        <w:rPr>
          <w:rFonts w:hint="eastAsia" w:hAnsi="宋体" w:cs="宋体"/>
          <w:color w:val="auto"/>
          <w:sz w:val="28"/>
          <w:szCs w:val="28"/>
          <w:highlight w:val="none"/>
        </w:rPr>
        <w:t>台球型摄像头；更新改造原监控系统的集中管理软件，要求管理软件具有运维功能。</w:t>
      </w:r>
    </w:p>
    <w:p>
      <w:pPr>
        <w:rPr>
          <w:rFonts w:hint="eastAsia" w:hAnsi="宋体" w:cs="宋体"/>
          <w:color w:val="auto"/>
          <w:sz w:val="28"/>
          <w:szCs w:val="28"/>
          <w:highlight w:val="none"/>
        </w:rPr>
      </w:pPr>
      <w:r>
        <w:rPr>
          <w:rFonts w:hAnsi="宋体" w:cs="宋体"/>
          <w:color w:val="auto"/>
          <w:sz w:val="28"/>
          <w:szCs w:val="28"/>
          <w:highlight w:val="none"/>
        </w:rPr>
        <w:t>5.</w:t>
      </w:r>
      <w:r>
        <w:rPr>
          <w:rFonts w:hint="eastAsia" w:hAnsi="宋体" w:cs="宋体"/>
          <w:color w:val="auto"/>
          <w:sz w:val="28"/>
          <w:szCs w:val="28"/>
          <w:highlight w:val="none"/>
        </w:rPr>
        <w:t>需提前告知机房施工持续时间，维持原有设备运行的情况下逐步施工，减少对原有业务系统的影响下完成拆除替换。</w:t>
      </w:r>
    </w:p>
    <w:p>
      <w:pPr>
        <w:ind w:firstLine="563"/>
        <w:rPr>
          <w:rFonts w:hAnsi="宋体" w:cs="宋体"/>
          <w:color w:val="auto"/>
          <w:sz w:val="28"/>
          <w:szCs w:val="28"/>
          <w:highlight w:val="none"/>
        </w:rPr>
      </w:pPr>
      <w:r>
        <w:rPr>
          <w:rFonts w:hint="eastAsia" w:hAnsi="宋体" w:cs="宋体"/>
          <w:color w:val="auto"/>
          <w:sz w:val="28"/>
          <w:szCs w:val="28"/>
          <w:highlight w:val="none"/>
          <w:lang w:val="en-US" w:eastAsia="zh-CN"/>
        </w:rPr>
        <w:t>主要</w:t>
      </w:r>
      <w:r>
        <w:rPr>
          <w:rFonts w:hint="eastAsia" w:hAnsi="宋体" w:cs="宋体"/>
          <w:color w:val="auto"/>
          <w:sz w:val="28"/>
          <w:szCs w:val="28"/>
          <w:highlight w:val="none"/>
        </w:rPr>
        <w:t>增加设备</w:t>
      </w:r>
      <w:r>
        <w:rPr>
          <w:rFonts w:hint="eastAsia" w:hAnsi="宋体" w:cs="宋体"/>
          <w:color w:val="auto"/>
          <w:sz w:val="28"/>
          <w:szCs w:val="28"/>
          <w:highlight w:val="none"/>
          <w:lang w:val="en-US" w:eastAsia="zh-CN"/>
        </w:rPr>
        <w:t>规格</w:t>
      </w:r>
      <w:r>
        <w:rPr>
          <w:rFonts w:hint="eastAsia" w:hAnsi="宋体" w:cs="宋体"/>
          <w:color w:val="auto"/>
          <w:sz w:val="28"/>
          <w:szCs w:val="28"/>
          <w:highlight w:val="none"/>
        </w:rPr>
        <w:t>清单</w:t>
      </w:r>
      <w:r>
        <w:rPr>
          <w:rFonts w:hint="eastAsia" w:hAnsi="宋体" w:cs="宋体"/>
          <w:color w:val="auto"/>
          <w:sz w:val="28"/>
          <w:szCs w:val="28"/>
          <w:highlight w:val="none"/>
          <w:lang w:val="en-US" w:eastAsia="zh-CN"/>
        </w:rPr>
        <w:t>要求</w:t>
      </w:r>
      <w:r>
        <w:rPr>
          <w:rFonts w:hint="eastAsia" w:hAnsi="宋体" w:cs="宋体"/>
          <w:color w:val="auto"/>
          <w:sz w:val="28"/>
          <w:szCs w:val="28"/>
          <w:highlight w:val="none"/>
        </w:rPr>
        <w:t>如下：</w:t>
      </w:r>
    </w:p>
    <w:tbl>
      <w:tblPr>
        <w:tblStyle w:val="23"/>
        <w:tblW w:w="9844" w:type="dxa"/>
        <w:tblInd w:w="0" w:type="dxa"/>
        <w:tblLayout w:type="fixed"/>
        <w:tblCellMar>
          <w:top w:w="0" w:type="dxa"/>
          <w:left w:w="108" w:type="dxa"/>
          <w:bottom w:w="0" w:type="dxa"/>
          <w:right w:w="108" w:type="dxa"/>
        </w:tblCellMar>
      </w:tblPr>
      <w:tblGrid>
        <w:gridCol w:w="580"/>
        <w:gridCol w:w="1040"/>
        <w:gridCol w:w="779"/>
        <w:gridCol w:w="692"/>
        <w:gridCol w:w="666"/>
        <w:gridCol w:w="6087"/>
      </w:tblGrid>
      <w:tr>
        <w:tblPrEx>
          <w:tblCellMar>
            <w:top w:w="0" w:type="dxa"/>
            <w:left w:w="108" w:type="dxa"/>
            <w:bottom w:w="0" w:type="dxa"/>
            <w:right w:w="108" w:type="dxa"/>
          </w:tblCellMar>
        </w:tblPrEx>
        <w:trPr>
          <w:trHeight w:val="270" w:hRule="atLeast"/>
        </w:trPr>
        <w:tc>
          <w:tcPr>
            <w:tcW w:w="58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序号</w:t>
            </w:r>
          </w:p>
        </w:tc>
        <w:tc>
          <w:tcPr>
            <w:tcW w:w="104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名称</w:t>
            </w:r>
          </w:p>
        </w:tc>
        <w:tc>
          <w:tcPr>
            <w:tcW w:w="77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类别</w:t>
            </w:r>
          </w:p>
        </w:tc>
        <w:tc>
          <w:tcPr>
            <w:tcW w:w="69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单位</w:t>
            </w:r>
          </w:p>
        </w:tc>
        <w:tc>
          <w:tcPr>
            <w:tcW w:w="66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数量</w:t>
            </w:r>
          </w:p>
        </w:tc>
        <w:tc>
          <w:tcPr>
            <w:tcW w:w="6087"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default" w:ascii="仿宋" w:hAnsi="仿宋" w:eastAsia="仿宋" w:cs="宋体"/>
                <w:color w:val="auto"/>
                <w:kern w:val="0"/>
                <w:sz w:val="20"/>
                <w:szCs w:val="20"/>
                <w:highlight w:val="none"/>
                <w:lang w:val="en-US" w:eastAsia="zh-CN"/>
              </w:rPr>
            </w:pPr>
            <w:r>
              <w:rPr>
                <w:rFonts w:hint="eastAsia" w:ascii="仿宋" w:hAnsi="仿宋" w:eastAsia="仿宋" w:cs="宋体"/>
                <w:color w:val="auto"/>
                <w:kern w:val="0"/>
                <w:sz w:val="20"/>
                <w:szCs w:val="20"/>
                <w:highlight w:val="none"/>
                <w:lang w:val="en-US" w:eastAsia="zh-CN"/>
              </w:rPr>
              <w:t>规格参数</w:t>
            </w:r>
          </w:p>
        </w:tc>
      </w:tr>
      <w:tr>
        <w:tblPrEx>
          <w:tblCellMar>
            <w:top w:w="0" w:type="dxa"/>
            <w:left w:w="108" w:type="dxa"/>
            <w:bottom w:w="0" w:type="dxa"/>
            <w:right w:w="108" w:type="dxa"/>
          </w:tblCellMar>
        </w:tblPrEx>
        <w:trPr>
          <w:trHeight w:val="816"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1</w:t>
            </w:r>
          </w:p>
        </w:tc>
        <w:tc>
          <w:tcPr>
            <w:tcW w:w="104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前端产品/球型网络摄像机</w:t>
            </w:r>
          </w:p>
        </w:tc>
        <w:tc>
          <w:tcPr>
            <w:tcW w:w="77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智能球机</w:t>
            </w:r>
          </w:p>
        </w:tc>
        <w:tc>
          <w:tcPr>
            <w:tcW w:w="69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台</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1</w:t>
            </w:r>
            <w:r>
              <w:rPr>
                <w:rFonts w:ascii="仿宋" w:hAnsi="仿宋" w:eastAsia="仿宋" w:cs="宋体"/>
                <w:color w:val="auto"/>
                <w:kern w:val="0"/>
                <w:sz w:val="20"/>
                <w:szCs w:val="20"/>
                <w:highlight w:val="none"/>
              </w:rPr>
              <w:t>5</w:t>
            </w:r>
          </w:p>
        </w:tc>
        <w:tc>
          <w:tcPr>
            <w:tcW w:w="608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 w:val="20"/>
                <w:szCs w:val="20"/>
                <w:highlight w:val="none"/>
                <w:u w:val="none"/>
              </w:rPr>
            </w:pPr>
            <w:r>
              <w:rPr>
                <w:rFonts w:hint="eastAsia" w:ascii="仿宋" w:hAnsi="仿宋" w:eastAsia="仿宋" w:cs="宋体"/>
                <w:color w:val="auto"/>
                <w:kern w:val="0"/>
                <w:sz w:val="20"/>
                <w:szCs w:val="20"/>
                <w:highlight w:val="none"/>
                <w:u w:val="none"/>
              </w:rPr>
              <w:t>视频输出支持1920×1080@25fps，分辨力不小于1100TVL</w:t>
            </w:r>
          </w:p>
          <w:p>
            <w:pPr>
              <w:widowControl/>
              <w:jc w:val="left"/>
              <w:rPr>
                <w:rFonts w:ascii="仿宋" w:hAnsi="仿宋" w:eastAsia="仿宋" w:cs="宋体"/>
                <w:color w:val="auto"/>
                <w:kern w:val="0"/>
                <w:sz w:val="20"/>
                <w:szCs w:val="20"/>
                <w:highlight w:val="none"/>
                <w:u w:val="none"/>
              </w:rPr>
            </w:pPr>
            <w:r>
              <w:rPr>
                <w:rFonts w:hint="eastAsia" w:ascii="仿宋" w:hAnsi="仿宋" w:eastAsia="仿宋" w:cs="宋体"/>
                <w:color w:val="auto"/>
                <w:kern w:val="0"/>
                <w:sz w:val="20"/>
                <w:szCs w:val="20"/>
                <w:highlight w:val="none"/>
                <w:u w:val="none"/>
              </w:rPr>
              <w:t>镜头支持23倍光学变焦，焦距范围不小于4.8-110mm</w:t>
            </w:r>
          </w:p>
          <w:p>
            <w:pPr>
              <w:widowControl/>
              <w:jc w:val="left"/>
              <w:rPr>
                <w:rFonts w:ascii="仿宋" w:hAnsi="仿宋" w:eastAsia="仿宋" w:cs="宋体"/>
                <w:color w:val="auto"/>
                <w:kern w:val="0"/>
                <w:sz w:val="20"/>
                <w:szCs w:val="20"/>
                <w:highlight w:val="none"/>
                <w:u w:val="none"/>
              </w:rPr>
            </w:pPr>
            <w:r>
              <w:rPr>
                <w:rFonts w:hint="eastAsia" w:ascii="仿宋" w:hAnsi="仿宋" w:eastAsia="仿宋" w:cs="宋体"/>
                <w:color w:val="auto"/>
                <w:kern w:val="0"/>
                <w:sz w:val="20"/>
                <w:szCs w:val="20"/>
                <w:highlight w:val="none"/>
                <w:u w:val="none"/>
              </w:rPr>
              <w:t>内置混合补光灯，红外补光距离可达150m，白光补光距离可达30m</w:t>
            </w:r>
          </w:p>
          <w:p>
            <w:pPr>
              <w:widowControl/>
              <w:jc w:val="left"/>
              <w:rPr>
                <w:rFonts w:hint="eastAsia" w:ascii="仿宋" w:hAnsi="仿宋" w:eastAsia="仿宋" w:cs="宋体"/>
                <w:color w:val="auto"/>
                <w:kern w:val="0"/>
                <w:sz w:val="20"/>
                <w:szCs w:val="20"/>
                <w:highlight w:val="none"/>
                <w:u w:val="none"/>
                <w:lang w:eastAsia="zh-CN"/>
              </w:rPr>
            </w:pPr>
            <w:r>
              <w:rPr>
                <w:rFonts w:hint="eastAsia" w:ascii="仿宋" w:hAnsi="仿宋" w:eastAsia="仿宋" w:cs="宋体"/>
                <w:color w:val="auto"/>
                <w:kern w:val="0"/>
                <w:sz w:val="20"/>
                <w:szCs w:val="20"/>
                <w:highlight w:val="none"/>
                <w:u w:val="none"/>
              </w:rPr>
              <w:t>▲支持最低照度可达彩色0.0002Lux，黑白0.0001Lux</w:t>
            </w:r>
          </w:p>
          <w:p>
            <w:pPr>
              <w:widowControl/>
              <w:jc w:val="left"/>
              <w:rPr>
                <w:rFonts w:ascii="仿宋" w:hAnsi="仿宋" w:eastAsia="仿宋" w:cs="宋体"/>
                <w:color w:val="auto"/>
                <w:kern w:val="0"/>
                <w:sz w:val="20"/>
                <w:szCs w:val="20"/>
                <w:highlight w:val="none"/>
                <w:u w:val="none"/>
              </w:rPr>
            </w:pPr>
            <w:r>
              <w:rPr>
                <w:rFonts w:hint="eastAsia" w:ascii="仿宋" w:hAnsi="仿宋" w:eastAsia="仿宋" w:cs="宋体"/>
                <w:color w:val="auto"/>
                <w:kern w:val="0"/>
                <w:sz w:val="20"/>
                <w:szCs w:val="20"/>
                <w:highlight w:val="none"/>
                <w:u w:val="none"/>
              </w:rPr>
              <w:t>水平旋转范围为360°连续旋转，垂直旋转范围为-15°-90° ，支持水平手控速度不小于120°/S，云台定位精度为±0.1°</w:t>
            </w:r>
          </w:p>
          <w:p>
            <w:pPr>
              <w:widowControl/>
              <w:jc w:val="left"/>
              <w:rPr>
                <w:rFonts w:ascii="仿宋" w:hAnsi="仿宋" w:eastAsia="仿宋" w:cs="宋体"/>
                <w:color w:val="auto"/>
                <w:kern w:val="0"/>
                <w:sz w:val="20"/>
                <w:szCs w:val="20"/>
                <w:highlight w:val="none"/>
                <w:u w:val="none"/>
              </w:rPr>
            </w:pPr>
            <w:r>
              <w:rPr>
                <w:rFonts w:hint="eastAsia" w:ascii="仿宋" w:hAnsi="仿宋" w:eastAsia="仿宋" w:cs="宋体"/>
                <w:color w:val="auto"/>
                <w:kern w:val="0"/>
                <w:sz w:val="20"/>
                <w:szCs w:val="20"/>
                <w:highlight w:val="none"/>
                <w:u w:val="none"/>
              </w:rPr>
              <w:t>支持300个预置位，可按照所设置的预置位完成不小于8条巡航路径，支持不小于4条模式路径设置，支持预置位视频冻结功能</w:t>
            </w:r>
          </w:p>
          <w:p>
            <w:pPr>
              <w:widowControl/>
              <w:jc w:val="left"/>
              <w:rPr>
                <w:rFonts w:ascii="仿宋" w:hAnsi="仿宋" w:eastAsia="仿宋" w:cs="宋体"/>
                <w:color w:val="auto"/>
                <w:kern w:val="0"/>
                <w:sz w:val="20"/>
                <w:szCs w:val="20"/>
                <w:highlight w:val="none"/>
                <w:u w:val="none"/>
              </w:rPr>
            </w:pPr>
            <w:r>
              <w:rPr>
                <w:rFonts w:hint="eastAsia" w:ascii="仿宋" w:hAnsi="仿宋" w:eastAsia="仿宋" w:cs="宋体"/>
                <w:color w:val="auto"/>
                <w:kern w:val="0"/>
                <w:sz w:val="20"/>
                <w:szCs w:val="20"/>
                <w:highlight w:val="none"/>
                <w:u w:val="none"/>
              </w:rPr>
              <w:t>支持区域入侵侦测、越界侦测、进入区域侦测和离开区域侦等智能侦测</w:t>
            </w:r>
          </w:p>
          <w:p>
            <w:pPr>
              <w:widowControl/>
              <w:jc w:val="left"/>
              <w:rPr>
                <w:rFonts w:ascii="仿宋" w:hAnsi="仿宋" w:eastAsia="仿宋" w:cs="宋体"/>
                <w:color w:val="auto"/>
                <w:kern w:val="0"/>
                <w:sz w:val="20"/>
                <w:szCs w:val="20"/>
                <w:highlight w:val="none"/>
                <w:u w:val="none"/>
              </w:rPr>
            </w:pPr>
            <w:r>
              <w:rPr>
                <w:rFonts w:hint="eastAsia" w:ascii="仿宋" w:hAnsi="仿宋" w:eastAsia="仿宋" w:cs="宋体"/>
                <w:color w:val="auto"/>
                <w:kern w:val="0"/>
                <w:sz w:val="20"/>
                <w:szCs w:val="20"/>
                <w:highlight w:val="none"/>
                <w:u w:val="none"/>
              </w:rPr>
              <w:t>内置加热玻璃，有效除雾</w:t>
            </w:r>
          </w:p>
          <w:p>
            <w:pPr>
              <w:widowControl/>
              <w:jc w:val="left"/>
              <w:rPr>
                <w:rFonts w:ascii="仿宋" w:hAnsi="仿宋" w:eastAsia="仿宋" w:cs="宋体"/>
                <w:color w:val="auto"/>
                <w:kern w:val="0"/>
                <w:sz w:val="20"/>
                <w:szCs w:val="20"/>
                <w:highlight w:val="none"/>
                <w:u w:val="none"/>
              </w:rPr>
            </w:pPr>
            <w:r>
              <w:rPr>
                <w:rFonts w:hint="eastAsia" w:ascii="仿宋" w:hAnsi="仿宋" w:eastAsia="仿宋" w:cs="宋体"/>
                <w:color w:val="auto"/>
                <w:kern w:val="0"/>
                <w:sz w:val="20"/>
                <w:szCs w:val="20"/>
                <w:highlight w:val="none"/>
                <w:u w:val="none"/>
              </w:rPr>
              <w:t>支持透雾、强光抑制、电子防抖、数字降噪、防补光过曝功能</w:t>
            </w:r>
          </w:p>
          <w:p>
            <w:pPr>
              <w:widowControl/>
              <w:jc w:val="left"/>
              <w:rPr>
                <w:rFonts w:hint="eastAsia" w:ascii="仿宋" w:hAnsi="仿宋" w:eastAsia="仿宋" w:cs="宋体"/>
                <w:color w:val="auto"/>
                <w:kern w:val="0"/>
                <w:sz w:val="20"/>
                <w:szCs w:val="20"/>
                <w:highlight w:val="none"/>
                <w:u w:val="none"/>
              </w:rPr>
            </w:pPr>
            <w:r>
              <w:rPr>
                <w:rFonts w:hint="eastAsia" w:ascii="仿宋" w:hAnsi="仿宋" w:eastAsia="仿宋" w:cs="宋体"/>
                <w:color w:val="auto"/>
                <w:kern w:val="0"/>
                <w:sz w:val="20"/>
                <w:szCs w:val="20"/>
                <w:highlight w:val="none"/>
                <w:u w:val="none"/>
                <w:lang w:eastAsia="zh-CN"/>
              </w:rPr>
              <w:t>▲</w:t>
            </w:r>
            <w:r>
              <w:rPr>
                <w:rFonts w:hint="eastAsia" w:ascii="仿宋" w:hAnsi="仿宋" w:eastAsia="仿宋" w:cs="宋体"/>
                <w:color w:val="auto"/>
                <w:kern w:val="0"/>
                <w:sz w:val="20"/>
                <w:szCs w:val="20"/>
                <w:highlight w:val="none"/>
                <w:u w:val="none"/>
              </w:rPr>
              <w:t>动态范围不小于106dB，信噪比≥65dB，网络延时不大于100ms</w:t>
            </w:r>
          </w:p>
          <w:p>
            <w:pPr>
              <w:widowControl/>
              <w:jc w:val="left"/>
              <w:rPr>
                <w:rFonts w:hint="eastAsia" w:ascii="仿宋" w:hAnsi="仿宋" w:eastAsia="仿宋" w:cs="宋体"/>
                <w:color w:val="auto"/>
                <w:kern w:val="0"/>
                <w:sz w:val="20"/>
                <w:szCs w:val="20"/>
                <w:highlight w:val="none"/>
                <w:u w:val="none"/>
              </w:rPr>
            </w:pPr>
            <w:r>
              <w:rPr>
                <w:rFonts w:hint="eastAsia" w:ascii="仿宋" w:hAnsi="仿宋" w:eastAsia="仿宋" w:cs="宋体"/>
                <w:color w:val="auto"/>
                <w:kern w:val="0"/>
                <w:sz w:val="20"/>
                <w:szCs w:val="20"/>
                <w:highlight w:val="none"/>
                <w:u w:val="none"/>
                <w:lang w:eastAsia="zh-CN"/>
              </w:rPr>
              <w:t>▲</w:t>
            </w:r>
            <w:r>
              <w:rPr>
                <w:rFonts w:hint="eastAsia" w:ascii="仿宋" w:hAnsi="仿宋" w:eastAsia="仿宋" w:cs="宋体"/>
                <w:color w:val="auto"/>
                <w:kern w:val="0"/>
                <w:sz w:val="20"/>
                <w:szCs w:val="20"/>
                <w:highlight w:val="none"/>
                <w:u w:val="none"/>
              </w:rPr>
              <w:t>网络传输能力满足发送1000个数据包，重复测试3次，每次丢包数不大于2个，且在丢包率为10%的网络环境下，仍可正常显示监视画面</w:t>
            </w:r>
          </w:p>
          <w:p>
            <w:pPr>
              <w:widowControl/>
              <w:jc w:val="left"/>
              <w:rPr>
                <w:rFonts w:ascii="仿宋" w:hAnsi="仿宋" w:eastAsia="仿宋" w:cs="宋体"/>
                <w:color w:val="auto"/>
                <w:kern w:val="0"/>
                <w:sz w:val="20"/>
                <w:szCs w:val="20"/>
                <w:highlight w:val="none"/>
                <w:u w:val="none"/>
              </w:rPr>
            </w:pPr>
            <w:r>
              <w:rPr>
                <w:rFonts w:hint="eastAsia" w:ascii="仿宋" w:hAnsi="仿宋" w:eastAsia="仿宋" w:cs="宋体"/>
                <w:color w:val="auto"/>
                <w:kern w:val="0"/>
                <w:sz w:val="20"/>
                <w:szCs w:val="20"/>
                <w:highlight w:val="none"/>
                <w:u w:val="none"/>
              </w:rPr>
              <w:t>支持1对音频输入/输出接口，支持2路报警输入、1路报警输出，最大支持256G SD卡本地存储</w:t>
            </w:r>
          </w:p>
          <w:p>
            <w:pPr>
              <w:widowControl/>
              <w:jc w:val="left"/>
              <w:rPr>
                <w:rFonts w:ascii="仿宋" w:hAnsi="仿宋" w:eastAsia="仿宋" w:cs="宋体"/>
                <w:color w:val="auto"/>
                <w:kern w:val="0"/>
                <w:sz w:val="20"/>
                <w:szCs w:val="20"/>
                <w:highlight w:val="none"/>
                <w:u w:val="none"/>
              </w:rPr>
            </w:pPr>
            <w:r>
              <w:rPr>
                <w:rFonts w:hint="eastAsia" w:ascii="仿宋" w:hAnsi="仿宋" w:eastAsia="仿宋" w:cs="宋体"/>
                <w:color w:val="auto"/>
                <w:kern w:val="0"/>
                <w:sz w:val="20"/>
                <w:szCs w:val="20"/>
                <w:highlight w:val="none"/>
                <w:u w:val="none"/>
              </w:rPr>
              <w:t>应具备较好的防护性能，支持IP66，6kV防浪涌，工作温度范围可达-40℃-70℃</w:t>
            </w:r>
          </w:p>
        </w:tc>
      </w:tr>
      <w:tr>
        <w:tblPrEx>
          <w:tblCellMar>
            <w:top w:w="0" w:type="dxa"/>
            <w:left w:w="108" w:type="dxa"/>
            <w:bottom w:w="0" w:type="dxa"/>
            <w:right w:w="108" w:type="dxa"/>
          </w:tblCellMar>
        </w:tblPrEx>
        <w:trPr>
          <w:trHeight w:val="816"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2</w:t>
            </w:r>
          </w:p>
        </w:tc>
        <w:tc>
          <w:tcPr>
            <w:tcW w:w="104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综合安防管理平台</w:t>
            </w:r>
          </w:p>
        </w:tc>
        <w:tc>
          <w:tcPr>
            <w:tcW w:w="77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软件平台</w:t>
            </w:r>
          </w:p>
        </w:tc>
        <w:tc>
          <w:tcPr>
            <w:tcW w:w="69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台</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1</w:t>
            </w:r>
          </w:p>
        </w:tc>
        <w:tc>
          <w:tcPr>
            <w:tcW w:w="608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 w:val="20"/>
                <w:szCs w:val="20"/>
                <w:highlight w:val="none"/>
                <w:u w:val="none"/>
              </w:rPr>
            </w:pPr>
            <w:r>
              <w:rPr>
                <w:rFonts w:hint="eastAsia" w:ascii="仿宋" w:hAnsi="仿宋" w:eastAsia="仿宋" w:cs="宋体"/>
                <w:color w:val="auto"/>
                <w:kern w:val="0"/>
                <w:sz w:val="20"/>
                <w:szCs w:val="20"/>
                <w:highlight w:val="none"/>
                <w:u w:val="none"/>
              </w:rPr>
              <w:t>要求支持对用户、角色、组织、区域、人员、车辆、卡片、设备等基础资源进行管理调配</w:t>
            </w:r>
          </w:p>
          <w:p>
            <w:pPr>
              <w:widowControl/>
              <w:jc w:val="left"/>
              <w:rPr>
                <w:rFonts w:ascii="仿宋" w:hAnsi="仿宋" w:eastAsia="仿宋" w:cs="宋体"/>
                <w:color w:val="auto"/>
                <w:kern w:val="0"/>
                <w:sz w:val="20"/>
                <w:szCs w:val="20"/>
                <w:highlight w:val="none"/>
                <w:u w:val="none"/>
              </w:rPr>
            </w:pPr>
            <w:r>
              <w:rPr>
                <w:rFonts w:hint="eastAsia" w:ascii="仿宋" w:hAnsi="仿宋" w:eastAsia="仿宋" w:cs="宋体"/>
                <w:color w:val="auto"/>
                <w:kern w:val="0"/>
                <w:sz w:val="20"/>
                <w:szCs w:val="20"/>
                <w:highlight w:val="none"/>
                <w:u w:val="none"/>
              </w:rPr>
              <w:t>要求最大支持用户200000个，最大支持500个用户并发登录请求以及5000个用户同时在线</w:t>
            </w:r>
          </w:p>
          <w:p>
            <w:pPr>
              <w:widowControl/>
              <w:jc w:val="left"/>
              <w:rPr>
                <w:rFonts w:ascii="仿宋" w:hAnsi="仿宋" w:eastAsia="仿宋" w:cs="宋体"/>
                <w:color w:val="auto"/>
                <w:kern w:val="0"/>
                <w:sz w:val="20"/>
                <w:szCs w:val="20"/>
                <w:highlight w:val="none"/>
                <w:u w:val="none"/>
              </w:rPr>
            </w:pPr>
            <w:r>
              <w:rPr>
                <w:rFonts w:hint="eastAsia" w:ascii="仿宋" w:hAnsi="仿宋" w:eastAsia="仿宋" w:cs="宋体"/>
                <w:color w:val="auto"/>
                <w:kern w:val="0"/>
                <w:sz w:val="20"/>
                <w:szCs w:val="20"/>
                <w:highlight w:val="none"/>
                <w:u w:val="none"/>
              </w:rPr>
              <w:t>要求支持用户权限管理。</w:t>
            </w:r>
          </w:p>
          <w:p>
            <w:pPr>
              <w:widowControl/>
              <w:jc w:val="left"/>
              <w:rPr>
                <w:rFonts w:ascii="仿宋" w:hAnsi="仿宋" w:eastAsia="仿宋" w:cs="宋体"/>
                <w:color w:val="auto"/>
                <w:kern w:val="0"/>
                <w:sz w:val="20"/>
                <w:szCs w:val="20"/>
                <w:highlight w:val="none"/>
                <w:u w:val="none"/>
              </w:rPr>
            </w:pPr>
            <w:r>
              <w:rPr>
                <w:rFonts w:hint="eastAsia" w:ascii="仿宋" w:hAnsi="仿宋" w:eastAsia="仿宋" w:cs="宋体"/>
                <w:color w:val="auto"/>
                <w:kern w:val="0"/>
                <w:sz w:val="20"/>
                <w:szCs w:val="20"/>
                <w:highlight w:val="none"/>
                <w:u w:val="none"/>
              </w:rPr>
              <w:t>要求支持多网域访问</w:t>
            </w:r>
          </w:p>
          <w:p>
            <w:pPr>
              <w:widowControl/>
              <w:jc w:val="left"/>
              <w:rPr>
                <w:rFonts w:hint="eastAsia" w:ascii="仿宋" w:hAnsi="仿宋" w:eastAsia="仿宋" w:cs="宋体"/>
                <w:color w:val="auto"/>
                <w:kern w:val="0"/>
                <w:sz w:val="20"/>
                <w:szCs w:val="20"/>
                <w:highlight w:val="none"/>
                <w:u w:val="none"/>
              </w:rPr>
            </w:pPr>
            <w:r>
              <w:rPr>
                <w:rFonts w:hint="eastAsia" w:ascii="仿宋" w:hAnsi="仿宋" w:eastAsia="仿宋" w:cs="宋体"/>
                <w:color w:val="auto"/>
                <w:kern w:val="0"/>
                <w:sz w:val="20"/>
                <w:szCs w:val="20"/>
                <w:highlight w:val="none"/>
                <w:u w:val="none"/>
              </w:rPr>
              <w:t>▲要求支持AD域</w:t>
            </w:r>
          </w:p>
          <w:p>
            <w:pPr>
              <w:widowControl/>
              <w:jc w:val="left"/>
              <w:rPr>
                <w:rFonts w:ascii="仿宋" w:hAnsi="仿宋" w:eastAsia="仿宋" w:cs="宋体"/>
                <w:color w:val="auto"/>
                <w:kern w:val="0"/>
                <w:sz w:val="20"/>
                <w:szCs w:val="20"/>
                <w:highlight w:val="none"/>
                <w:u w:val="none"/>
              </w:rPr>
            </w:pPr>
            <w:r>
              <w:rPr>
                <w:rFonts w:hint="eastAsia" w:ascii="仿宋" w:hAnsi="仿宋" w:eastAsia="仿宋" w:cs="宋体"/>
                <w:color w:val="auto"/>
                <w:kern w:val="0"/>
                <w:sz w:val="20"/>
                <w:szCs w:val="20"/>
                <w:highlight w:val="none"/>
                <w:u w:val="none"/>
              </w:rPr>
              <w:t>要求运行管理中心提供统一的认证、授权管理机制，支持HTTPS以及密码安全加密访问认证</w:t>
            </w:r>
          </w:p>
          <w:p>
            <w:pPr>
              <w:widowControl/>
              <w:jc w:val="left"/>
              <w:rPr>
                <w:rFonts w:ascii="仿宋" w:hAnsi="仿宋" w:eastAsia="仿宋" w:cs="宋体"/>
                <w:color w:val="auto"/>
                <w:kern w:val="0"/>
                <w:sz w:val="20"/>
                <w:szCs w:val="20"/>
                <w:highlight w:val="none"/>
                <w:u w:val="none"/>
              </w:rPr>
            </w:pPr>
            <w:r>
              <w:rPr>
                <w:rFonts w:hint="eastAsia" w:ascii="仿宋" w:hAnsi="仿宋" w:eastAsia="仿宋" w:cs="宋体"/>
                <w:color w:val="auto"/>
                <w:kern w:val="0"/>
                <w:sz w:val="20"/>
                <w:szCs w:val="20"/>
                <w:highlight w:val="none"/>
                <w:u w:val="none"/>
              </w:rPr>
              <w:t>要求支持验证码、连续登陆尝试次数、用户IP地址限制等多种验证方式</w:t>
            </w:r>
          </w:p>
          <w:p>
            <w:pPr>
              <w:widowControl/>
              <w:jc w:val="left"/>
              <w:rPr>
                <w:rFonts w:hint="eastAsia" w:ascii="仿宋" w:hAnsi="仿宋" w:eastAsia="仿宋" w:cs="宋体"/>
                <w:color w:val="auto"/>
                <w:kern w:val="0"/>
                <w:sz w:val="20"/>
                <w:szCs w:val="20"/>
                <w:highlight w:val="none"/>
                <w:u w:val="none"/>
              </w:rPr>
            </w:pPr>
            <w:r>
              <w:rPr>
                <w:rFonts w:hint="eastAsia" w:ascii="仿宋" w:hAnsi="仿宋" w:eastAsia="仿宋" w:cs="宋体"/>
                <w:color w:val="auto"/>
                <w:kern w:val="0"/>
                <w:sz w:val="20"/>
                <w:szCs w:val="20"/>
                <w:highlight w:val="none"/>
                <w:u w:val="none"/>
              </w:rPr>
              <w:t>▲要求支持根据用户使用习惯自定义配置快捷功能入口，支持首页投放大屏展示，支持最近7天每日的用户活跃数统计</w:t>
            </w:r>
          </w:p>
          <w:p>
            <w:pPr>
              <w:widowControl/>
              <w:jc w:val="left"/>
              <w:rPr>
                <w:rFonts w:ascii="仿宋" w:hAnsi="仿宋" w:eastAsia="仿宋" w:cs="宋体"/>
                <w:color w:val="auto"/>
                <w:kern w:val="0"/>
                <w:sz w:val="20"/>
                <w:szCs w:val="20"/>
                <w:highlight w:val="none"/>
                <w:u w:val="none"/>
              </w:rPr>
            </w:pPr>
            <w:r>
              <w:rPr>
                <w:rFonts w:hint="eastAsia" w:ascii="仿宋" w:hAnsi="仿宋" w:eastAsia="仿宋" w:cs="宋体"/>
                <w:color w:val="auto"/>
                <w:kern w:val="0"/>
                <w:sz w:val="20"/>
                <w:szCs w:val="20"/>
                <w:highlight w:val="none"/>
                <w:u w:val="none"/>
              </w:rPr>
              <w:t>要求支持对组织架构及信息查看、查询、添加、删除、修改、导入、导出；支持对人员信息查看、添加、删除、批量导入；支持对用户人员查看、添加、注销，支持对用户密码修改，账号启用、禁用</w:t>
            </w:r>
          </w:p>
          <w:p>
            <w:pPr>
              <w:widowControl/>
              <w:jc w:val="left"/>
              <w:rPr>
                <w:rFonts w:hint="eastAsia" w:ascii="仿宋" w:hAnsi="仿宋" w:eastAsia="仿宋" w:cs="宋体"/>
                <w:color w:val="auto"/>
                <w:kern w:val="0"/>
                <w:sz w:val="20"/>
                <w:szCs w:val="20"/>
                <w:highlight w:val="none"/>
                <w:u w:val="none"/>
                <w:lang w:eastAsia="zh-CN"/>
              </w:rPr>
            </w:pPr>
            <w:r>
              <w:rPr>
                <w:rFonts w:hint="eastAsia" w:ascii="仿宋" w:hAnsi="仿宋" w:eastAsia="仿宋" w:cs="宋体"/>
                <w:color w:val="auto"/>
                <w:kern w:val="0"/>
                <w:sz w:val="20"/>
                <w:szCs w:val="20"/>
                <w:highlight w:val="none"/>
                <w:u w:val="none"/>
              </w:rPr>
              <w:t>▲要求支持以中心管理服务为核心的网络拓扑结构，支持对系统中的分组、服务器、组件等统计概览、查看</w:t>
            </w:r>
          </w:p>
          <w:p>
            <w:pPr>
              <w:widowControl/>
              <w:jc w:val="left"/>
              <w:rPr>
                <w:rFonts w:ascii="仿宋" w:hAnsi="仿宋" w:eastAsia="仿宋" w:cs="宋体"/>
                <w:color w:val="auto"/>
                <w:kern w:val="0"/>
                <w:sz w:val="20"/>
                <w:szCs w:val="20"/>
                <w:highlight w:val="none"/>
                <w:u w:val="none"/>
              </w:rPr>
            </w:pPr>
            <w:r>
              <w:rPr>
                <w:rFonts w:hint="eastAsia" w:ascii="仿宋" w:hAnsi="仿宋" w:eastAsia="仿宋" w:cs="宋体"/>
                <w:color w:val="auto"/>
                <w:kern w:val="0"/>
                <w:sz w:val="20"/>
                <w:szCs w:val="20"/>
                <w:highlight w:val="none"/>
                <w:u w:val="none"/>
              </w:rPr>
              <w:t>要求支持统计服务器在线率及各服务器在线详情</w:t>
            </w:r>
          </w:p>
          <w:p>
            <w:pPr>
              <w:widowControl/>
              <w:jc w:val="left"/>
              <w:rPr>
                <w:rFonts w:ascii="仿宋" w:hAnsi="仿宋" w:eastAsia="仿宋" w:cs="宋体"/>
                <w:color w:val="auto"/>
                <w:kern w:val="0"/>
                <w:sz w:val="20"/>
                <w:szCs w:val="20"/>
                <w:highlight w:val="none"/>
                <w:u w:val="none"/>
              </w:rPr>
            </w:pPr>
            <w:r>
              <w:rPr>
                <w:rFonts w:hint="eastAsia" w:ascii="仿宋" w:hAnsi="仿宋" w:eastAsia="仿宋" w:cs="宋体"/>
                <w:color w:val="auto"/>
                <w:kern w:val="0"/>
                <w:sz w:val="20"/>
                <w:szCs w:val="20"/>
                <w:highlight w:val="none"/>
                <w:u w:val="none"/>
              </w:rPr>
              <w:t>要求支持多色彩（红、橙、黄）展示运行告警状态，支持告警统计、概览、处理，支持告警记录查看、查询，支持告警单条、批量处理；支持系统最近7天每日告警数统计，支持评分量化系统监控指数，显示系统运行状态</w:t>
            </w:r>
          </w:p>
          <w:p>
            <w:pPr>
              <w:widowControl/>
              <w:jc w:val="left"/>
              <w:rPr>
                <w:rFonts w:ascii="仿宋" w:hAnsi="仿宋" w:eastAsia="仿宋" w:cs="宋体"/>
                <w:color w:val="auto"/>
                <w:kern w:val="0"/>
                <w:sz w:val="20"/>
                <w:szCs w:val="20"/>
                <w:highlight w:val="none"/>
                <w:u w:val="none"/>
              </w:rPr>
            </w:pPr>
            <w:r>
              <w:rPr>
                <w:rFonts w:hint="eastAsia" w:ascii="仿宋" w:hAnsi="仿宋" w:eastAsia="仿宋" w:cs="宋体"/>
                <w:color w:val="auto"/>
                <w:kern w:val="0"/>
                <w:sz w:val="20"/>
                <w:szCs w:val="20"/>
                <w:highlight w:val="none"/>
                <w:u w:val="none"/>
              </w:rPr>
              <w:t>要求支持导航视图管理，对系统内各节点进行查看、增加、删除、修改，展示、查找；支持对系统内所有服务器进行监控，包括名称、IP地址、状态、未处理告警数、CPU使用率、内存使用率、磁盘容量、主机代理版等；支持对系统内所有组件信息进行监控，组件信息包含：组件名称、未处理告警数、所属服务器、最近操作时间、授权状态、维保期限、使用期限等</w:t>
            </w:r>
          </w:p>
          <w:p>
            <w:pPr>
              <w:widowControl/>
              <w:jc w:val="left"/>
              <w:rPr>
                <w:rFonts w:ascii="仿宋" w:hAnsi="仿宋" w:eastAsia="仿宋" w:cs="宋体"/>
                <w:color w:val="auto"/>
                <w:kern w:val="0"/>
                <w:sz w:val="20"/>
                <w:szCs w:val="20"/>
                <w:highlight w:val="none"/>
                <w:u w:val="none"/>
              </w:rPr>
            </w:pPr>
            <w:r>
              <w:rPr>
                <w:rFonts w:hint="eastAsia" w:ascii="仿宋" w:hAnsi="仿宋" w:eastAsia="仿宋" w:cs="宋体"/>
                <w:color w:val="auto"/>
                <w:kern w:val="0"/>
                <w:sz w:val="20"/>
                <w:szCs w:val="20"/>
                <w:highlight w:val="none"/>
                <w:u w:val="none"/>
              </w:rPr>
              <w:t>要求支持软件包（组件包、设备驱动包、语言包、皮肤包）上传、搜索查询、移除、更新、查看；支持对服务的参数配置进行查看、修改、下发、查询；支持告警策略配置查看、设置、修改、启用；支持校时配置、启用、停止功能；支持集群管理，支持集群信息查看、添加、删除；支持授权查看管理，支持导入、移除授权文件；支持在线授权激活，支持离线授权激活；支持在线、离线授权反激活</w:t>
            </w:r>
          </w:p>
          <w:p>
            <w:pPr>
              <w:widowControl/>
              <w:jc w:val="left"/>
              <w:rPr>
                <w:rFonts w:ascii="仿宋" w:hAnsi="仿宋" w:eastAsia="仿宋" w:cs="宋体"/>
                <w:color w:val="auto"/>
                <w:kern w:val="0"/>
                <w:sz w:val="20"/>
                <w:szCs w:val="20"/>
                <w:highlight w:val="none"/>
                <w:u w:val="none"/>
              </w:rPr>
            </w:pPr>
            <w:r>
              <w:rPr>
                <w:rFonts w:hint="eastAsia" w:ascii="仿宋" w:hAnsi="仿宋" w:eastAsia="仿宋" w:cs="宋体"/>
                <w:color w:val="auto"/>
                <w:kern w:val="0"/>
                <w:sz w:val="20"/>
                <w:szCs w:val="20"/>
                <w:highlight w:val="none"/>
                <w:u w:val="none"/>
              </w:rPr>
              <w:t>要求支持对系统服务查询、添加、删除、编辑，服务详情查看；支持系统日志和业务日志的管理、查看、搜索、导出</w:t>
            </w:r>
          </w:p>
          <w:p>
            <w:pPr>
              <w:widowControl/>
              <w:jc w:val="left"/>
              <w:rPr>
                <w:rFonts w:hint="eastAsia" w:ascii="仿宋" w:hAnsi="仿宋" w:eastAsia="仿宋" w:cs="宋体"/>
                <w:color w:val="auto"/>
                <w:kern w:val="0"/>
                <w:sz w:val="20"/>
                <w:szCs w:val="20"/>
                <w:highlight w:val="none"/>
                <w:u w:val="none"/>
                <w:lang w:eastAsia="zh-CN"/>
              </w:rPr>
            </w:pPr>
            <w:r>
              <w:rPr>
                <w:rFonts w:hint="eastAsia" w:ascii="仿宋" w:hAnsi="仿宋" w:eastAsia="仿宋" w:cs="宋体"/>
                <w:color w:val="auto"/>
                <w:kern w:val="0"/>
                <w:sz w:val="20"/>
                <w:szCs w:val="20"/>
                <w:highlight w:val="none"/>
                <w:u w:val="none"/>
              </w:rPr>
              <w:t>▲要求支持知识库搜索查询、导入、导出，支持经验分享</w:t>
            </w:r>
          </w:p>
          <w:p>
            <w:pPr>
              <w:widowControl/>
              <w:jc w:val="left"/>
              <w:rPr>
                <w:rFonts w:ascii="仿宋" w:hAnsi="仿宋" w:eastAsia="仿宋" w:cs="宋体"/>
                <w:color w:val="auto"/>
                <w:kern w:val="0"/>
                <w:sz w:val="20"/>
                <w:szCs w:val="20"/>
                <w:highlight w:val="none"/>
                <w:u w:val="none"/>
              </w:rPr>
            </w:pPr>
            <w:r>
              <w:rPr>
                <w:rFonts w:hint="eastAsia" w:ascii="仿宋" w:hAnsi="仿宋" w:eastAsia="仿宋" w:cs="宋体"/>
                <w:color w:val="auto"/>
                <w:kern w:val="0"/>
                <w:sz w:val="20"/>
                <w:szCs w:val="20"/>
                <w:highlight w:val="none"/>
                <w:u w:val="none"/>
              </w:rPr>
              <w:t>支持按校区名称查询校区信息，支持列表展示校区信息，包括：校区名称、园区类型、所属安保区域、责任人、操作（查看详情、编辑、删除）</w:t>
            </w:r>
          </w:p>
          <w:p>
            <w:pPr>
              <w:widowControl/>
              <w:jc w:val="left"/>
              <w:rPr>
                <w:rFonts w:ascii="仿宋" w:hAnsi="仿宋" w:eastAsia="仿宋" w:cs="宋体"/>
                <w:color w:val="auto"/>
                <w:kern w:val="0"/>
                <w:sz w:val="20"/>
                <w:szCs w:val="20"/>
                <w:highlight w:val="none"/>
                <w:u w:val="none"/>
              </w:rPr>
            </w:pPr>
            <w:r>
              <w:rPr>
                <w:rFonts w:hint="eastAsia" w:ascii="仿宋" w:hAnsi="仿宋" w:eastAsia="仿宋" w:cs="宋体"/>
                <w:color w:val="auto"/>
                <w:kern w:val="0"/>
                <w:sz w:val="20"/>
                <w:szCs w:val="20"/>
                <w:highlight w:val="none"/>
                <w:u w:val="none"/>
              </w:rPr>
              <w:t>要求监控点最多管理容量为1000000路</w:t>
            </w:r>
          </w:p>
          <w:p>
            <w:pPr>
              <w:widowControl/>
              <w:jc w:val="left"/>
              <w:rPr>
                <w:rFonts w:ascii="仿宋" w:hAnsi="仿宋" w:eastAsia="仿宋" w:cs="宋体"/>
                <w:color w:val="auto"/>
                <w:kern w:val="0"/>
                <w:sz w:val="20"/>
                <w:szCs w:val="20"/>
                <w:highlight w:val="none"/>
                <w:u w:val="none"/>
              </w:rPr>
            </w:pPr>
            <w:r>
              <w:rPr>
                <w:rFonts w:hint="eastAsia" w:ascii="仿宋" w:hAnsi="仿宋" w:eastAsia="仿宋" w:cs="宋体"/>
                <w:color w:val="auto"/>
                <w:kern w:val="0"/>
                <w:sz w:val="20"/>
                <w:szCs w:val="20"/>
                <w:highlight w:val="none"/>
                <w:u w:val="none"/>
              </w:rPr>
              <w:t>要求支持电视墙场景管理和场景切换</w:t>
            </w:r>
          </w:p>
          <w:p>
            <w:pPr>
              <w:widowControl/>
              <w:jc w:val="left"/>
              <w:rPr>
                <w:rFonts w:ascii="仿宋" w:hAnsi="仿宋" w:eastAsia="仿宋" w:cs="宋体"/>
                <w:color w:val="auto"/>
                <w:kern w:val="0"/>
                <w:sz w:val="20"/>
                <w:szCs w:val="20"/>
                <w:highlight w:val="none"/>
                <w:u w:val="none"/>
              </w:rPr>
            </w:pPr>
            <w:r>
              <w:rPr>
                <w:rFonts w:hint="eastAsia" w:ascii="仿宋" w:hAnsi="仿宋" w:eastAsia="仿宋" w:cs="宋体"/>
                <w:color w:val="auto"/>
                <w:kern w:val="0"/>
                <w:sz w:val="20"/>
                <w:szCs w:val="20"/>
                <w:highlight w:val="none"/>
                <w:u w:val="none"/>
              </w:rPr>
              <w:t>要求支持大屏控制，可对大屏进行1/4/9/16/25分屏、拼接、开窗、窗口漫游的操作，通过客户端支持电视墙开窗后支持分割，并可将大屏分屏配置另保存为场景</w:t>
            </w:r>
          </w:p>
        </w:tc>
      </w:tr>
      <w:tr>
        <w:tblPrEx>
          <w:tblCellMar>
            <w:top w:w="0" w:type="dxa"/>
            <w:left w:w="108" w:type="dxa"/>
            <w:bottom w:w="0" w:type="dxa"/>
            <w:right w:w="108" w:type="dxa"/>
          </w:tblCellMar>
        </w:tblPrEx>
        <w:trPr>
          <w:trHeight w:val="816" w:hRule="atLeast"/>
        </w:trPr>
        <w:tc>
          <w:tcPr>
            <w:tcW w:w="580" w:type="dxa"/>
            <w:vMerge w:val="restart"/>
            <w:tcBorders>
              <w:top w:val="nil"/>
              <w:left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3</w:t>
            </w:r>
          </w:p>
        </w:tc>
        <w:tc>
          <w:tcPr>
            <w:tcW w:w="104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分公司综合安防管理平台接入授权</w:t>
            </w:r>
          </w:p>
        </w:tc>
        <w:tc>
          <w:tcPr>
            <w:tcW w:w="77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授权文件</w:t>
            </w:r>
          </w:p>
        </w:tc>
        <w:tc>
          <w:tcPr>
            <w:tcW w:w="69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路</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szCs w:val="20"/>
                <w:highlight w:val="none"/>
              </w:rPr>
            </w:pPr>
            <w:r>
              <w:rPr>
                <w:rFonts w:ascii="仿宋" w:hAnsi="仿宋" w:eastAsia="仿宋" w:cs="宋体"/>
                <w:color w:val="auto"/>
                <w:kern w:val="0"/>
                <w:sz w:val="20"/>
                <w:szCs w:val="20"/>
                <w:highlight w:val="none"/>
              </w:rPr>
              <w:t>450</w:t>
            </w:r>
          </w:p>
        </w:tc>
        <w:tc>
          <w:tcPr>
            <w:tcW w:w="6087" w:type="dxa"/>
            <w:vMerge w:val="restart"/>
            <w:tcBorders>
              <w:top w:val="nil"/>
              <w:left w:val="nil"/>
              <w:right w:val="single" w:color="auto" w:sz="4" w:space="0"/>
            </w:tcBorders>
            <w:shd w:val="clear" w:color="auto" w:fill="auto"/>
            <w:vAlign w:val="center"/>
          </w:tcPr>
          <w:p>
            <w:pPr>
              <w:widowControl/>
              <w:jc w:val="left"/>
              <w:rPr>
                <w:rFonts w:ascii="仿宋" w:hAnsi="仿宋" w:eastAsia="仿宋" w:cs="宋体"/>
                <w:color w:val="auto"/>
                <w:kern w:val="0"/>
                <w:sz w:val="20"/>
                <w:szCs w:val="20"/>
                <w:highlight w:val="none"/>
                <w:u w:val="none"/>
              </w:rPr>
            </w:pPr>
            <w:r>
              <w:rPr>
                <w:rFonts w:hint="eastAsia" w:ascii="仿宋" w:hAnsi="仿宋" w:eastAsia="仿宋" w:cs="宋体"/>
                <w:color w:val="auto"/>
                <w:kern w:val="0"/>
                <w:sz w:val="20"/>
                <w:szCs w:val="20"/>
                <w:highlight w:val="none"/>
                <w:u w:val="none"/>
              </w:rPr>
              <w:t>其中本地使用视频监控授权、设备网络管理授权、视频质量诊断授权各4</w:t>
            </w:r>
            <w:r>
              <w:rPr>
                <w:rFonts w:ascii="仿宋" w:hAnsi="仿宋" w:eastAsia="仿宋" w:cs="宋体"/>
                <w:color w:val="auto"/>
                <w:kern w:val="0"/>
                <w:sz w:val="20"/>
                <w:szCs w:val="20"/>
                <w:highlight w:val="none"/>
                <w:u w:val="none"/>
              </w:rPr>
              <w:t>50</w:t>
            </w:r>
            <w:r>
              <w:rPr>
                <w:rFonts w:hint="eastAsia" w:ascii="仿宋" w:hAnsi="仿宋" w:eastAsia="仿宋" w:cs="宋体"/>
                <w:color w:val="auto"/>
                <w:kern w:val="0"/>
                <w:sz w:val="20"/>
                <w:szCs w:val="20"/>
                <w:highlight w:val="none"/>
                <w:u w:val="none"/>
              </w:rPr>
              <w:t>路；公司级综合管理平台视频监控授权、设备网络管理授权、视频质量诊断授权各1</w:t>
            </w:r>
            <w:r>
              <w:rPr>
                <w:rFonts w:ascii="仿宋" w:hAnsi="仿宋" w:eastAsia="仿宋" w:cs="宋体"/>
                <w:color w:val="auto"/>
                <w:kern w:val="0"/>
                <w:sz w:val="20"/>
                <w:szCs w:val="20"/>
                <w:highlight w:val="none"/>
                <w:u w:val="none"/>
              </w:rPr>
              <w:t>50</w:t>
            </w:r>
            <w:r>
              <w:rPr>
                <w:rFonts w:hint="eastAsia" w:ascii="仿宋" w:hAnsi="仿宋" w:eastAsia="仿宋" w:cs="宋体"/>
                <w:color w:val="auto"/>
                <w:kern w:val="0"/>
                <w:sz w:val="20"/>
                <w:szCs w:val="20"/>
                <w:highlight w:val="none"/>
                <w:u w:val="none"/>
              </w:rPr>
              <w:t>路；为方便接入，所有授权品牌需与公司综合管理平台平台保持一致。（公司综合管理平台为海康ISC）。</w:t>
            </w:r>
          </w:p>
        </w:tc>
      </w:tr>
      <w:tr>
        <w:tblPrEx>
          <w:tblCellMar>
            <w:top w:w="0" w:type="dxa"/>
            <w:left w:w="108" w:type="dxa"/>
            <w:bottom w:w="0" w:type="dxa"/>
            <w:right w:w="108" w:type="dxa"/>
          </w:tblCellMar>
        </w:tblPrEx>
        <w:trPr>
          <w:trHeight w:val="816" w:hRule="atLeast"/>
        </w:trPr>
        <w:tc>
          <w:tcPr>
            <w:tcW w:w="580"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auto"/>
                <w:kern w:val="0"/>
                <w:sz w:val="20"/>
                <w:szCs w:val="20"/>
                <w:highlight w:val="none"/>
              </w:rPr>
            </w:pPr>
          </w:p>
        </w:tc>
        <w:tc>
          <w:tcPr>
            <w:tcW w:w="104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总公司综合安防平台运维授权</w:t>
            </w:r>
          </w:p>
        </w:tc>
        <w:tc>
          <w:tcPr>
            <w:tcW w:w="77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授权文件</w:t>
            </w:r>
          </w:p>
        </w:tc>
        <w:tc>
          <w:tcPr>
            <w:tcW w:w="6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路</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1</w:t>
            </w:r>
            <w:r>
              <w:rPr>
                <w:rFonts w:ascii="仿宋" w:hAnsi="仿宋" w:eastAsia="仿宋" w:cs="宋体"/>
                <w:color w:val="auto"/>
                <w:kern w:val="0"/>
                <w:sz w:val="20"/>
                <w:szCs w:val="20"/>
                <w:highlight w:val="none"/>
              </w:rPr>
              <w:t>50</w:t>
            </w:r>
          </w:p>
        </w:tc>
        <w:tc>
          <w:tcPr>
            <w:tcW w:w="6087" w:type="dxa"/>
            <w:vMerge w:val="continue"/>
            <w:tcBorders>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color w:val="auto"/>
                <w:kern w:val="0"/>
                <w:sz w:val="20"/>
                <w:szCs w:val="20"/>
                <w:highlight w:val="none"/>
                <w:u w:val="none"/>
              </w:rPr>
            </w:pPr>
          </w:p>
        </w:tc>
      </w:tr>
      <w:tr>
        <w:tblPrEx>
          <w:tblCellMar>
            <w:top w:w="0" w:type="dxa"/>
            <w:left w:w="108" w:type="dxa"/>
            <w:bottom w:w="0" w:type="dxa"/>
            <w:right w:w="108" w:type="dxa"/>
          </w:tblCellMar>
        </w:tblPrEx>
        <w:trPr>
          <w:trHeight w:val="816"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szCs w:val="20"/>
                <w:highlight w:val="none"/>
              </w:rPr>
            </w:pPr>
            <w:r>
              <w:rPr>
                <w:rFonts w:ascii="仿宋" w:hAnsi="仿宋" w:eastAsia="仿宋" w:cs="宋体"/>
                <w:color w:val="auto"/>
                <w:kern w:val="0"/>
                <w:sz w:val="20"/>
                <w:szCs w:val="20"/>
                <w:highlight w:val="none"/>
              </w:rPr>
              <w:t>4</w:t>
            </w:r>
          </w:p>
        </w:tc>
        <w:tc>
          <w:tcPr>
            <w:tcW w:w="104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视频存储主机</w:t>
            </w:r>
          </w:p>
        </w:tc>
        <w:tc>
          <w:tcPr>
            <w:tcW w:w="77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IoT-CVR存储</w:t>
            </w:r>
          </w:p>
        </w:tc>
        <w:tc>
          <w:tcPr>
            <w:tcW w:w="69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台</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szCs w:val="20"/>
                <w:highlight w:val="none"/>
              </w:rPr>
            </w:pPr>
            <w:r>
              <w:rPr>
                <w:rFonts w:ascii="仿宋" w:hAnsi="仿宋" w:eastAsia="仿宋" w:cs="宋体"/>
                <w:color w:val="auto"/>
                <w:kern w:val="0"/>
                <w:sz w:val="20"/>
                <w:szCs w:val="20"/>
                <w:highlight w:val="none"/>
              </w:rPr>
              <w:t>2</w:t>
            </w:r>
          </w:p>
        </w:tc>
        <w:tc>
          <w:tcPr>
            <w:tcW w:w="608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 w:val="20"/>
                <w:szCs w:val="20"/>
                <w:highlight w:val="none"/>
                <w:u w:val="none"/>
              </w:rPr>
            </w:pPr>
            <w:r>
              <w:rPr>
                <w:rFonts w:hint="eastAsia" w:ascii="仿宋" w:hAnsi="仿宋" w:eastAsia="仿宋" w:cs="宋体"/>
                <w:color w:val="auto"/>
                <w:kern w:val="0"/>
                <w:sz w:val="20"/>
                <w:szCs w:val="20"/>
                <w:highlight w:val="none"/>
                <w:u w:val="none"/>
              </w:rPr>
              <w:t>单台存储设备包含5</w:t>
            </w:r>
            <w:r>
              <w:rPr>
                <w:rFonts w:ascii="仿宋" w:hAnsi="仿宋" w:eastAsia="仿宋" w:cs="宋体"/>
                <w:color w:val="auto"/>
                <w:kern w:val="0"/>
                <w:sz w:val="20"/>
                <w:szCs w:val="20"/>
                <w:highlight w:val="none"/>
                <w:u w:val="none"/>
              </w:rPr>
              <w:t>0</w:t>
            </w:r>
            <w:r>
              <w:rPr>
                <w:rFonts w:hint="eastAsia" w:ascii="仿宋" w:hAnsi="仿宋" w:eastAsia="仿宋" w:cs="宋体"/>
                <w:color w:val="auto"/>
                <w:kern w:val="0"/>
                <w:sz w:val="20"/>
                <w:szCs w:val="20"/>
                <w:highlight w:val="none"/>
                <w:u w:val="none"/>
              </w:rPr>
              <w:t>块8T硬盘</w:t>
            </w:r>
          </w:p>
          <w:p>
            <w:pPr>
              <w:widowControl/>
              <w:jc w:val="left"/>
              <w:rPr>
                <w:rFonts w:ascii="仿宋" w:hAnsi="仿宋" w:eastAsia="仿宋" w:cs="宋体"/>
                <w:color w:val="auto"/>
                <w:kern w:val="0"/>
                <w:sz w:val="20"/>
                <w:szCs w:val="20"/>
                <w:highlight w:val="none"/>
                <w:u w:val="none"/>
              </w:rPr>
            </w:pPr>
            <w:r>
              <w:rPr>
                <w:rFonts w:hint="eastAsia" w:ascii="仿宋" w:hAnsi="仿宋" w:eastAsia="仿宋" w:cs="宋体"/>
                <w:color w:val="auto"/>
                <w:kern w:val="0"/>
                <w:sz w:val="20"/>
                <w:szCs w:val="20"/>
                <w:highlight w:val="none"/>
                <w:u w:val="none"/>
                <w:lang w:eastAsia="zh-CN"/>
              </w:rPr>
              <w:t>▲</w:t>
            </w:r>
            <w:r>
              <w:rPr>
                <w:rFonts w:hint="eastAsia" w:ascii="仿宋" w:hAnsi="仿宋" w:eastAsia="仿宋" w:cs="宋体"/>
                <w:color w:val="auto"/>
                <w:kern w:val="0"/>
                <w:sz w:val="20"/>
                <w:szCs w:val="20"/>
                <w:highlight w:val="none"/>
                <w:u w:val="single"/>
              </w:rPr>
              <w:t>服务器配置：≥1颗64位多核处理器，≥4GB内存，内存支持扩展到≥128GB，内置SSD固态硬盘（可以扩展到2个SSD作为缓存盘），配置≥6个风扇，可热插拔冗余温控调速风扇。</w:t>
            </w:r>
            <w:r>
              <w:rPr>
                <w:rFonts w:hint="eastAsia" w:ascii="仿宋" w:hAnsi="仿宋" w:eastAsia="仿宋" w:cs="宋体"/>
                <w:color w:val="auto"/>
                <w:kern w:val="0"/>
                <w:sz w:val="20"/>
                <w:szCs w:val="20"/>
                <w:highlight w:val="none"/>
                <w:u w:val="single"/>
                <w:lang w:eastAsia="zh-CN"/>
              </w:rPr>
              <w:t>（</w:t>
            </w:r>
            <w:r>
              <w:rPr>
                <w:rFonts w:hint="eastAsia" w:ascii="仿宋" w:hAnsi="仿宋" w:eastAsia="仿宋" w:cs="宋体"/>
                <w:color w:val="auto"/>
                <w:kern w:val="0"/>
                <w:sz w:val="20"/>
                <w:szCs w:val="20"/>
                <w:highlight w:val="none"/>
                <w:u w:val="single"/>
                <w:lang w:val="en-US" w:eastAsia="zh-CN"/>
              </w:rPr>
              <w:t>提供公安部检测报告证明</w:t>
            </w:r>
            <w:r>
              <w:rPr>
                <w:rFonts w:hint="eastAsia" w:ascii="仿宋" w:hAnsi="仿宋" w:eastAsia="仿宋" w:cs="宋体"/>
                <w:color w:val="auto"/>
                <w:kern w:val="0"/>
                <w:sz w:val="20"/>
                <w:szCs w:val="20"/>
                <w:highlight w:val="none"/>
                <w:u w:val="single"/>
                <w:lang w:eastAsia="zh-CN"/>
              </w:rPr>
              <w:t>）</w:t>
            </w:r>
          </w:p>
          <w:p>
            <w:pPr>
              <w:widowControl/>
              <w:jc w:val="left"/>
              <w:rPr>
                <w:rFonts w:ascii="仿宋" w:hAnsi="仿宋" w:eastAsia="仿宋" w:cs="宋体"/>
                <w:color w:val="auto"/>
                <w:kern w:val="0"/>
                <w:sz w:val="20"/>
                <w:szCs w:val="20"/>
                <w:highlight w:val="none"/>
                <w:u w:val="none"/>
              </w:rPr>
            </w:pPr>
            <w:r>
              <w:rPr>
                <w:rFonts w:hint="eastAsia" w:ascii="仿宋" w:hAnsi="仿宋" w:eastAsia="仿宋" w:cs="宋体"/>
                <w:color w:val="auto"/>
                <w:kern w:val="0"/>
                <w:sz w:val="20"/>
                <w:szCs w:val="20"/>
                <w:highlight w:val="none"/>
                <w:u w:val="none"/>
                <w:lang w:eastAsia="zh-CN"/>
              </w:rPr>
              <w:t>▲</w:t>
            </w:r>
            <w:r>
              <w:rPr>
                <w:rFonts w:hint="eastAsia" w:ascii="仿宋" w:hAnsi="仿宋" w:eastAsia="仿宋" w:cs="宋体"/>
                <w:color w:val="auto"/>
                <w:kern w:val="0"/>
                <w:sz w:val="20"/>
                <w:szCs w:val="20"/>
                <w:highlight w:val="none"/>
                <w:u w:val="none"/>
              </w:rPr>
              <w:t>支持热插拔1+1AC220V 或 1+1 直流冗余金牌电源供电（照片证明）或采用可热插拔3+1AC220V 或 3+1直流冗余，机箱具备防尘滤网，采用双立柱防震设计</w:t>
            </w:r>
          </w:p>
          <w:p>
            <w:pPr>
              <w:widowControl/>
              <w:jc w:val="left"/>
              <w:rPr>
                <w:rFonts w:ascii="仿宋" w:hAnsi="仿宋" w:eastAsia="仿宋" w:cs="宋体"/>
                <w:color w:val="auto"/>
                <w:kern w:val="0"/>
                <w:sz w:val="20"/>
                <w:szCs w:val="20"/>
                <w:highlight w:val="none"/>
                <w:u w:val="none"/>
              </w:rPr>
            </w:pPr>
            <w:r>
              <w:rPr>
                <w:rFonts w:hint="eastAsia" w:ascii="仿宋" w:hAnsi="仿宋" w:eastAsia="仿宋" w:cs="宋体"/>
                <w:color w:val="auto"/>
                <w:kern w:val="0"/>
                <w:sz w:val="20"/>
                <w:szCs w:val="20"/>
                <w:highlight w:val="none"/>
                <w:u w:val="none"/>
                <w:lang w:eastAsia="zh-CN"/>
              </w:rPr>
              <w:t>▲</w:t>
            </w:r>
            <w:r>
              <w:rPr>
                <w:rFonts w:hint="eastAsia" w:ascii="仿宋" w:hAnsi="仿宋" w:eastAsia="仿宋" w:cs="宋体"/>
                <w:color w:val="auto"/>
                <w:kern w:val="0"/>
                <w:sz w:val="20"/>
                <w:szCs w:val="20"/>
                <w:highlight w:val="none"/>
                <w:u w:val="none"/>
              </w:rPr>
              <w:t>标配≥2个千兆网口，可增扩≥6个千兆网口，或可增扩≥4个10Gb光纤接口；支持≥12级扩展柜级联扩展；可支持12GB SAS扩展口（以</w:t>
            </w:r>
          </w:p>
          <w:p>
            <w:pPr>
              <w:widowControl/>
              <w:jc w:val="left"/>
              <w:rPr>
                <w:rFonts w:ascii="仿宋" w:hAnsi="仿宋" w:eastAsia="仿宋" w:cs="宋体"/>
                <w:color w:val="auto"/>
                <w:kern w:val="0"/>
                <w:sz w:val="20"/>
                <w:szCs w:val="20"/>
                <w:highlight w:val="none"/>
                <w:u w:val="none"/>
              </w:rPr>
            </w:pPr>
            <w:r>
              <w:rPr>
                <w:rFonts w:hint="eastAsia" w:ascii="仿宋" w:hAnsi="仿宋" w:eastAsia="仿宋" w:cs="宋体"/>
                <w:color w:val="auto"/>
                <w:kern w:val="0"/>
                <w:sz w:val="20"/>
                <w:szCs w:val="20"/>
                <w:highlight w:val="none"/>
                <w:u w:val="none"/>
              </w:rPr>
              <w:t>可接入硬盘≥72块；可接入2T/3T/4T/6T/8T/10T/12T/14T/16T/18T/20T SATA/SAS硬盘；支持NL-SAS 硬盘、HDD硬盘、SSD硬盘、氦气硬盘、空气硬盘；支持 CMR或SMR硬盘；支持硬盘交错/分时启动。</w:t>
            </w:r>
          </w:p>
          <w:p>
            <w:pPr>
              <w:widowControl/>
              <w:jc w:val="left"/>
              <w:rPr>
                <w:rFonts w:ascii="仿宋" w:hAnsi="仿宋" w:eastAsia="仿宋" w:cs="宋体"/>
                <w:color w:val="auto"/>
                <w:kern w:val="0"/>
                <w:sz w:val="20"/>
                <w:szCs w:val="20"/>
                <w:highlight w:val="none"/>
                <w:u w:val="none"/>
              </w:rPr>
            </w:pPr>
            <w:r>
              <w:rPr>
                <w:rFonts w:hint="eastAsia" w:ascii="仿宋" w:hAnsi="仿宋" w:eastAsia="仿宋" w:cs="宋体"/>
                <w:color w:val="auto"/>
                <w:kern w:val="0"/>
                <w:sz w:val="20"/>
                <w:szCs w:val="20"/>
                <w:highlight w:val="none"/>
                <w:u w:val="none"/>
              </w:rPr>
              <w:t>支持SATA和SAS混插，支持不同品牌（希捷、西数、东芝）的硬盘混插；支持不同大小的硬盘混合使用，可显示硬盘的总容量（各个硬盘容量之和）</w:t>
            </w:r>
          </w:p>
          <w:p>
            <w:pPr>
              <w:widowControl/>
              <w:jc w:val="left"/>
              <w:rPr>
                <w:rFonts w:ascii="仿宋" w:hAnsi="仿宋" w:eastAsia="仿宋" w:cs="宋体"/>
                <w:color w:val="auto"/>
                <w:kern w:val="0"/>
                <w:sz w:val="20"/>
                <w:szCs w:val="20"/>
                <w:highlight w:val="none"/>
                <w:u w:val="none"/>
              </w:rPr>
            </w:pPr>
            <w:r>
              <w:rPr>
                <w:rFonts w:hint="eastAsia" w:ascii="仿宋" w:hAnsi="仿宋" w:eastAsia="仿宋" w:cs="宋体"/>
                <w:color w:val="auto"/>
                <w:kern w:val="0"/>
                <w:sz w:val="20"/>
                <w:szCs w:val="20"/>
                <w:highlight w:val="none"/>
                <w:u w:val="none"/>
              </w:rPr>
              <w:t>配备独立元数据系统、支持元数据系统组成RAID和网络RAID（N+M配置，且M≥8）</w:t>
            </w:r>
          </w:p>
          <w:p>
            <w:pPr>
              <w:widowControl/>
              <w:jc w:val="left"/>
              <w:rPr>
                <w:rFonts w:ascii="仿宋" w:hAnsi="仿宋" w:eastAsia="仿宋" w:cs="宋体"/>
                <w:color w:val="auto"/>
                <w:kern w:val="0"/>
                <w:sz w:val="20"/>
                <w:szCs w:val="20"/>
                <w:highlight w:val="none"/>
                <w:u w:val="none"/>
              </w:rPr>
            </w:pPr>
            <w:r>
              <w:rPr>
                <w:rFonts w:hint="eastAsia" w:ascii="仿宋" w:hAnsi="仿宋" w:eastAsia="仿宋" w:cs="宋体"/>
                <w:color w:val="auto"/>
                <w:kern w:val="0"/>
                <w:sz w:val="20"/>
                <w:szCs w:val="20"/>
                <w:highlight w:val="none"/>
                <w:u w:val="none"/>
              </w:rPr>
              <w:t>网络中断后重新恢复，可续存断网期间存储在前端设备中的录像文件，并可通过IE浏览器设置自动回传和手动回传；支持256路4Mbps的录像回传。</w:t>
            </w:r>
          </w:p>
          <w:p>
            <w:pPr>
              <w:widowControl/>
              <w:jc w:val="left"/>
              <w:rPr>
                <w:rFonts w:ascii="仿宋" w:hAnsi="仿宋" w:eastAsia="仿宋" w:cs="宋体"/>
                <w:color w:val="auto"/>
                <w:kern w:val="0"/>
                <w:sz w:val="20"/>
                <w:szCs w:val="20"/>
                <w:highlight w:val="none"/>
                <w:u w:val="none"/>
              </w:rPr>
            </w:pPr>
            <w:r>
              <w:rPr>
                <w:rFonts w:hint="eastAsia" w:ascii="仿宋" w:hAnsi="仿宋" w:eastAsia="仿宋" w:cs="宋体"/>
                <w:color w:val="auto"/>
                <w:kern w:val="0"/>
                <w:sz w:val="20"/>
                <w:szCs w:val="20"/>
                <w:highlight w:val="none"/>
                <w:u w:val="none"/>
                <w:lang w:eastAsia="zh-CN"/>
              </w:rPr>
              <w:t>▲</w:t>
            </w:r>
            <w:r>
              <w:rPr>
                <w:rFonts w:hint="eastAsia" w:ascii="仿宋" w:hAnsi="仿宋" w:eastAsia="仿宋" w:cs="宋体"/>
                <w:color w:val="auto"/>
                <w:kern w:val="0"/>
                <w:sz w:val="20"/>
                <w:szCs w:val="20"/>
                <w:highlight w:val="none"/>
                <w:u w:val="none"/>
              </w:rPr>
              <w:t>支持网络raid纠删码技术，多台存储设备组建网络RAID，设置为负载均衡；单台或多台存储设备组建网络RAID，允许每组RAID中任意任意1-12个磁盘发生故障，数据不丢失，存储服务不中断。允许每组RAID中任意12块硬盘发生故障，业务不中断。</w:t>
            </w:r>
          </w:p>
          <w:p>
            <w:pPr>
              <w:widowControl/>
              <w:jc w:val="left"/>
              <w:rPr>
                <w:rFonts w:ascii="仿宋" w:hAnsi="仿宋" w:eastAsia="仿宋" w:cs="宋体"/>
                <w:color w:val="auto"/>
                <w:kern w:val="0"/>
                <w:sz w:val="20"/>
                <w:szCs w:val="20"/>
                <w:highlight w:val="none"/>
                <w:u w:val="none"/>
              </w:rPr>
            </w:pPr>
            <w:r>
              <w:rPr>
                <w:rFonts w:hint="eastAsia" w:ascii="仿宋" w:hAnsi="仿宋" w:eastAsia="仿宋" w:cs="宋体"/>
                <w:color w:val="auto"/>
                <w:kern w:val="0"/>
                <w:sz w:val="20"/>
                <w:szCs w:val="20"/>
                <w:highlight w:val="none"/>
                <w:u w:val="none"/>
                <w:lang w:eastAsia="zh-CN"/>
              </w:rPr>
              <w:t>▲</w:t>
            </w:r>
            <w:r>
              <w:rPr>
                <w:rFonts w:hint="eastAsia" w:ascii="仿宋" w:hAnsi="仿宋" w:eastAsia="仿宋" w:cs="宋体"/>
                <w:color w:val="auto"/>
                <w:kern w:val="0"/>
                <w:sz w:val="20"/>
                <w:szCs w:val="20"/>
                <w:highlight w:val="none"/>
                <w:u w:val="none"/>
              </w:rPr>
              <w:t>支持视音频、图片、智能数据流进行混合直存，无须存储服务器和图片服务器的参与，平台服务器宕机时，存储业务正常；支持国际GB/T 28181和Onvif视频流直存模式；支持iSCSI直存功能，前端网络摄像机和设备之间可直接通过iSCSI协议进行块存储；</w:t>
            </w:r>
          </w:p>
          <w:p>
            <w:pPr>
              <w:widowControl/>
              <w:jc w:val="left"/>
              <w:rPr>
                <w:rFonts w:ascii="仿宋" w:hAnsi="仿宋" w:eastAsia="仿宋" w:cs="宋体"/>
                <w:color w:val="auto"/>
                <w:kern w:val="0"/>
                <w:sz w:val="20"/>
                <w:szCs w:val="20"/>
                <w:highlight w:val="none"/>
                <w:u w:val="none"/>
              </w:rPr>
            </w:pPr>
            <w:r>
              <w:rPr>
                <w:rFonts w:hint="eastAsia" w:ascii="仿宋" w:hAnsi="仿宋" w:eastAsia="仿宋" w:cs="宋体"/>
                <w:color w:val="auto"/>
                <w:kern w:val="0"/>
                <w:sz w:val="20"/>
                <w:szCs w:val="20"/>
                <w:highlight w:val="none"/>
                <w:u w:val="none"/>
              </w:rPr>
              <w:t>支持视频矫正功能，可将接入的鱼眼摄像机、双目摄像机和全景自拼接摄像机、智能相机、热成像摄像机的图像以多画面分割方式显示并进行调整；支持画中画通道视频显示和存储</w:t>
            </w:r>
          </w:p>
          <w:p>
            <w:pPr>
              <w:widowControl/>
              <w:jc w:val="left"/>
              <w:rPr>
                <w:rFonts w:ascii="仿宋" w:hAnsi="仿宋" w:eastAsia="仿宋" w:cs="宋体"/>
                <w:color w:val="auto"/>
                <w:kern w:val="0"/>
                <w:sz w:val="20"/>
                <w:szCs w:val="20"/>
                <w:highlight w:val="none"/>
                <w:u w:val="none"/>
              </w:rPr>
            </w:pPr>
            <w:r>
              <w:rPr>
                <w:rFonts w:hint="eastAsia" w:ascii="仿宋" w:hAnsi="仿宋" w:eastAsia="仿宋" w:cs="宋体"/>
                <w:color w:val="auto"/>
                <w:kern w:val="0"/>
                <w:sz w:val="20"/>
                <w:szCs w:val="20"/>
                <w:highlight w:val="none"/>
                <w:u w:val="none"/>
              </w:rPr>
              <w:t>根据数据对象的重要性、访问频率等属性按照预先设定的分层存储区域可进行自动分层存储并可实现快速访问</w:t>
            </w:r>
          </w:p>
          <w:p>
            <w:pPr>
              <w:widowControl/>
              <w:jc w:val="left"/>
              <w:rPr>
                <w:rFonts w:ascii="仿宋" w:hAnsi="仿宋" w:eastAsia="仿宋" w:cs="宋体"/>
                <w:color w:val="auto"/>
                <w:kern w:val="0"/>
                <w:sz w:val="20"/>
                <w:szCs w:val="20"/>
                <w:highlight w:val="none"/>
                <w:u w:val="none"/>
              </w:rPr>
            </w:pPr>
            <w:r>
              <w:rPr>
                <w:rFonts w:hint="eastAsia" w:ascii="仿宋" w:hAnsi="仿宋" w:eastAsia="仿宋" w:cs="宋体"/>
                <w:color w:val="auto"/>
                <w:kern w:val="0"/>
                <w:sz w:val="20"/>
                <w:szCs w:val="20"/>
                <w:highlight w:val="none"/>
                <w:u w:val="none"/>
              </w:rPr>
              <w:t>支持 ONVIF、PSIA、TCP/IP、UDP、SIP、SIP2.0、RTSP、RTP、RTCP、iSCSI、CIFS(SMB)、NFS、FTP、HTTP、AFP、RSYNC、SNMP、IPV4、IPV6、HLS、S3、OSS等协议</w:t>
            </w:r>
          </w:p>
          <w:p>
            <w:pPr>
              <w:widowControl/>
              <w:jc w:val="left"/>
              <w:rPr>
                <w:rFonts w:hint="eastAsia" w:ascii="仿宋" w:hAnsi="仿宋" w:eastAsia="仿宋" w:cs="宋体"/>
                <w:color w:val="auto"/>
                <w:kern w:val="0"/>
                <w:sz w:val="20"/>
                <w:szCs w:val="20"/>
                <w:highlight w:val="none"/>
                <w:u w:val="none"/>
                <w:lang w:eastAsia="zh-CN"/>
              </w:rPr>
            </w:pPr>
            <w:r>
              <w:rPr>
                <w:rFonts w:hint="eastAsia" w:ascii="仿宋" w:hAnsi="仿宋" w:eastAsia="仿宋" w:cs="宋体"/>
                <w:color w:val="auto"/>
                <w:kern w:val="0"/>
                <w:sz w:val="20"/>
                <w:szCs w:val="20"/>
                <w:highlight w:val="none"/>
                <w:u w:val="none"/>
                <w:lang w:eastAsia="zh-CN"/>
              </w:rPr>
              <w:t>▲</w:t>
            </w:r>
            <w:r>
              <w:rPr>
                <w:rFonts w:hint="eastAsia" w:ascii="仿宋" w:hAnsi="仿宋" w:eastAsia="仿宋" w:cs="宋体"/>
                <w:color w:val="auto"/>
                <w:kern w:val="0"/>
                <w:sz w:val="20"/>
                <w:szCs w:val="20"/>
                <w:highlight w:val="none"/>
                <w:u w:val="none"/>
              </w:rPr>
              <w:t>应能接入并存储3072Mbps视频图像，同时转发3072Mbps的视频图像，同时下载3072Mbps的视频图像；同时回放600Mbps的视频图像；在转发模式下，可进行4096路2Mbps视频码流转发；在总带宽不变的情况下，接入、转发、回放间的性能值可自由调整。</w:t>
            </w:r>
          </w:p>
          <w:p>
            <w:pPr>
              <w:widowControl/>
              <w:jc w:val="left"/>
              <w:rPr>
                <w:rFonts w:hint="eastAsia" w:ascii="仿宋" w:hAnsi="仿宋" w:eastAsia="仿宋" w:cs="宋体"/>
                <w:color w:val="auto"/>
                <w:kern w:val="0"/>
                <w:sz w:val="20"/>
                <w:szCs w:val="20"/>
                <w:highlight w:val="none"/>
                <w:u w:val="none"/>
                <w:lang w:eastAsia="zh-CN"/>
              </w:rPr>
            </w:pPr>
            <w:r>
              <w:rPr>
                <w:rFonts w:hint="eastAsia" w:ascii="仿宋" w:hAnsi="仿宋" w:eastAsia="仿宋" w:cs="宋体"/>
                <w:color w:val="auto"/>
                <w:kern w:val="0"/>
                <w:sz w:val="20"/>
                <w:szCs w:val="20"/>
                <w:highlight w:val="none"/>
                <w:u w:val="none"/>
                <w:lang w:eastAsia="zh-CN"/>
              </w:rPr>
              <w:t>▲</w:t>
            </w:r>
            <w:r>
              <w:rPr>
                <w:rFonts w:hint="eastAsia" w:ascii="仿宋" w:hAnsi="仿宋" w:eastAsia="仿宋" w:cs="宋体"/>
                <w:color w:val="auto"/>
                <w:kern w:val="0"/>
                <w:sz w:val="20"/>
                <w:szCs w:val="20"/>
                <w:highlight w:val="none"/>
                <w:u w:val="none"/>
              </w:rPr>
              <w:t>支持不低于1536Mbps图片转发；支持不低于1536Mbps图片并发输入，同时不低于1536Mbps图片并发输出</w:t>
            </w:r>
          </w:p>
          <w:p>
            <w:pPr>
              <w:widowControl/>
              <w:jc w:val="left"/>
              <w:rPr>
                <w:rFonts w:ascii="仿宋" w:hAnsi="仿宋" w:eastAsia="仿宋" w:cs="宋体"/>
                <w:color w:val="auto"/>
                <w:kern w:val="0"/>
                <w:sz w:val="20"/>
                <w:szCs w:val="20"/>
                <w:highlight w:val="none"/>
                <w:u w:val="none"/>
              </w:rPr>
            </w:pPr>
            <w:r>
              <w:rPr>
                <w:rFonts w:hint="eastAsia" w:ascii="仿宋" w:hAnsi="仿宋" w:eastAsia="仿宋" w:cs="宋体"/>
                <w:color w:val="auto"/>
                <w:kern w:val="0"/>
                <w:sz w:val="20"/>
                <w:szCs w:val="20"/>
                <w:highlight w:val="none"/>
                <w:u w:val="none"/>
              </w:rPr>
              <w:t>可在视频画面上绘制区域或界线，检索指定范围内的报警录像；可输入车牌号码可查证出相关图片和视频；可按照报警事件进行检索。可通过客户端将交通卡口数据（包括车标、车道、车速范围、车牌及车身颜色），行为分析的图片及数据（包括进入警戒线、进入警戒区、物品遗留、人脸检测）直接存入存储服务器，并可通过客户端进行检索、查看、下载图片及进行录像</w:t>
            </w:r>
          </w:p>
          <w:p>
            <w:pPr>
              <w:widowControl/>
              <w:jc w:val="left"/>
              <w:rPr>
                <w:rFonts w:hint="eastAsia" w:ascii="仿宋" w:hAnsi="仿宋" w:eastAsia="仿宋" w:cs="宋体"/>
                <w:color w:val="auto"/>
                <w:kern w:val="0"/>
                <w:sz w:val="20"/>
                <w:szCs w:val="20"/>
                <w:highlight w:val="none"/>
                <w:u w:val="none"/>
                <w:lang w:eastAsia="zh-CN"/>
              </w:rPr>
            </w:pPr>
            <w:r>
              <w:rPr>
                <w:rFonts w:hint="eastAsia" w:ascii="仿宋" w:hAnsi="仿宋" w:eastAsia="仿宋" w:cs="宋体"/>
                <w:color w:val="auto"/>
                <w:kern w:val="0"/>
                <w:sz w:val="20"/>
                <w:szCs w:val="20"/>
                <w:highlight w:val="none"/>
                <w:u w:val="none"/>
              </w:rPr>
              <w:t>支持磁盘冷启动，设备内的磁盘发生非物理性损坏导致的读写中断等异常时，设备可自动判断磁盘损坏程度，可通过磁盘冷启动进行恢复操作，业务不中断</w:t>
            </w:r>
            <w:r>
              <w:rPr>
                <w:rFonts w:hint="eastAsia" w:ascii="仿宋" w:hAnsi="仿宋" w:eastAsia="仿宋" w:cs="宋体"/>
                <w:color w:val="auto"/>
                <w:kern w:val="0"/>
                <w:sz w:val="20"/>
                <w:szCs w:val="20"/>
                <w:highlight w:val="none"/>
                <w:u w:val="none"/>
                <w:lang w:eastAsia="zh-CN"/>
              </w:rPr>
              <w:t>。</w:t>
            </w:r>
          </w:p>
          <w:p>
            <w:pPr>
              <w:widowControl/>
              <w:jc w:val="left"/>
              <w:rPr>
                <w:rFonts w:hint="eastAsia" w:ascii="仿宋" w:hAnsi="仿宋" w:eastAsia="仿宋" w:cs="宋体"/>
                <w:color w:val="auto"/>
                <w:kern w:val="0"/>
                <w:sz w:val="20"/>
                <w:szCs w:val="20"/>
                <w:highlight w:val="none"/>
                <w:u w:val="none"/>
                <w:lang w:eastAsia="zh-CN"/>
              </w:rPr>
            </w:pPr>
            <w:r>
              <w:rPr>
                <w:rFonts w:hint="eastAsia" w:ascii="仿宋" w:hAnsi="仿宋" w:eastAsia="仿宋" w:cs="宋体"/>
                <w:color w:val="auto"/>
                <w:kern w:val="0"/>
                <w:sz w:val="20"/>
                <w:szCs w:val="20"/>
                <w:highlight w:val="none"/>
                <w:u w:val="none"/>
                <w:lang w:eastAsia="zh-CN"/>
              </w:rPr>
              <w:t>▲</w:t>
            </w:r>
            <w:r>
              <w:rPr>
                <w:rFonts w:hint="eastAsia" w:ascii="仿宋" w:hAnsi="仿宋" w:eastAsia="仿宋" w:cs="宋体"/>
                <w:color w:val="auto"/>
                <w:kern w:val="0"/>
                <w:sz w:val="20"/>
                <w:szCs w:val="20"/>
                <w:highlight w:val="none"/>
                <w:u w:val="none"/>
              </w:rPr>
              <w:t>可根据业务需要配置重构速度，支持低速、中速、高速和全速四种重构速度配置，可通过客户端软件显示重构速度；RAID模式下，当RAID内某一块硬盘发生故障，更换该硬盘或热备盘替换时，可自动进行RAID重构；当RAID处于降级或重构状态下，不影响数据写入；可将损坏RAID按照RAID损坏等级进行重构。</w:t>
            </w:r>
          </w:p>
          <w:p>
            <w:pPr>
              <w:widowControl/>
              <w:jc w:val="left"/>
              <w:rPr>
                <w:rFonts w:ascii="仿宋" w:hAnsi="仿宋" w:eastAsia="仿宋" w:cs="宋体"/>
                <w:color w:val="auto"/>
                <w:kern w:val="0"/>
                <w:sz w:val="20"/>
                <w:szCs w:val="20"/>
                <w:highlight w:val="none"/>
                <w:u w:val="none"/>
              </w:rPr>
            </w:pPr>
            <w:r>
              <w:rPr>
                <w:rFonts w:hint="eastAsia" w:ascii="仿宋" w:hAnsi="仿宋" w:eastAsia="仿宋" w:cs="宋体"/>
                <w:color w:val="auto"/>
                <w:kern w:val="0"/>
                <w:sz w:val="20"/>
                <w:szCs w:val="20"/>
                <w:highlight w:val="none"/>
                <w:u w:val="none"/>
              </w:rPr>
              <w:t>支持查看硬盘体检报告、硬盘深度体检和磁盘档案；支持下载单个硬盘或批量硬盘的报告，支持按时间显示硬盘的坏扇区、温度、振动变化趋势的曲线图；支持硬盘体检报告打印输出；支持查看硬盘体检的历史记录、硬盘健康状态，并对硬盘健康状态进行分级分类，包括健康（良好、正常）、亚健康（警告、即将损坏）、故障（错误、损坏）等</w:t>
            </w:r>
          </w:p>
          <w:p>
            <w:pPr>
              <w:widowControl/>
              <w:jc w:val="left"/>
              <w:rPr>
                <w:rFonts w:ascii="仿宋" w:hAnsi="仿宋" w:eastAsia="仿宋" w:cs="宋体"/>
                <w:color w:val="auto"/>
                <w:kern w:val="0"/>
                <w:sz w:val="20"/>
                <w:szCs w:val="20"/>
                <w:highlight w:val="none"/>
                <w:u w:val="none"/>
              </w:rPr>
            </w:pPr>
            <w:r>
              <w:rPr>
                <w:rFonts w:hint="eastAsia" w:ascii="仿宋" w:hAnsi="仿宋" w:eastAsia="仿宋" w:cs="宋体"/>
                <w:color w:val="auto"/>
                <w:kern w:val="0"/>
                <w:sz w:val="20"/>
                <w:szCs w:val="20"/>
                <w:highlight w:val="none"/>
                <w:u w:val="none"/>
              </w:rPr>
              <w:t>可扩展支持将前端一路视频流同时存入两台存储；支持双机间编码器和录像同步，故障时可进行互相接管</w:t>
            </w:r>
          </w:p>
          <w:p>
            <w:pPr>
              <w:widowControl/>
              <w:jc w:val="left"/>
              <w:rPr>
                <w:rFonts w:ascii="仿宋" w:hAnsi="仿宋" w:eastAsia="仿宋" w:cs="宋体"/>
                <w:color w:val="auto"/>
                <w:kern w:val="0"/>
                <w:sz w:val="20"/>
                <w:szCs w:val="20"/>
                <w:highlight w:val="none"/>
                <w:u w:val="none"/>
              </w:rPr>
            </w:pPr>
            <w:r>
              <w:rPr>
                <w:rFonts w:hint="eastAsia" w:ascii="仿宋" w:hAnsi="仿宋" w:eastAsia="仿宋" w:cs="宋体"/>
                <w:color w:val="auto"/>
                <w:kern w:val="0"/>
                <w:sz w:val="20"/>
                <w:szCs w:val="20"/>
                <w:highlight w:val="none"/>
                <w:u w:val="none"/>
              </w:rPr>
              <w:t>可根据事件名称查询所有相关联的不同前端或时间的录像段并进行回放和下载</w:t>
            </w:r>
          </w:p>
          <w:p>
            <w:pPr>
              <w:widowControl/>
              <w:jc w:val="left"/>
              <w:rPr>
                <w:rFonts w:hint="eastAsia" w:ascii="仿宋" w:hAnsi="仿宋" w:eastAsia="仿宋" w:cs="宋体"/>
                <w:color w:val="auto"/>
                <w:kern w:val="0"/>
                <w:sz w:val="20"/>
                <w:szCs w:val="20"/>
                <w:highlight w:val="none"/>
                <w:u w:val="none"/>
                <w:lang w:eastAsia="zh-CN"/>
              </w:rPr>
            </w:pPr>
            <w:r>
              <w:rPr>
                <w:rFonts w:hint="eastAsia" w:ascii="仿宋" w:hAnsi="仿宋" w:eastAsia="仿宋" w:cs="宋体"/>
                <w:color w:val="auto"/>
                <w:kern w:val="0"/>
                <w:sz w:val="20"/>
                <w:szCs w:val="20"/>
                <w:highlight w:val="none"/>
                <w:u w:val="none"/>
                <w:lang w:eastAsia="zh-CN"/>
              </w:rPr>
              <w:t>▲</w:t>
            </w:r>
            <w:r>
              <w:rPr>
                <w:rFonts w:hint="eastAsia" w:ascii="仿宋" w:hAnsi="仿宋" w:eastAsia="仿宋" w:cs="宋体"/>
                <w:color w:val="auto"/>
                <w:kern w:val="0"/>
                <w:sz w:val="20"/>
                <w:szCs w:val="20"/>
                <w:highlight w:val="none"/>
                <w:u w:val="none"/>
              </w:rPr>
              <w:t>可对指定事件的1个或多个不同时间段的录像段添加标签，并自动备份到存档卷中，使之不会被覆盖删除，并根据标签查询录像，可将相同标签的录像进行统一回放、下载；可对录像卷和存档卷配置不同的存储周期</w:t>
            </w:r>
          </w:p>
          <w:p>
            <w:pPr>
              <w:widowControl/>
              <w:jc w:val="left"/>
              <w:rPr>
                <w:rFonts w:ascii="仿宋" w:hAnsi="仿宋" w:eastAsia="仿宋" w:cs="宋体"/>
                <w:color w:val="auto"/>
                <w:kern w:val="0"/>
                <w:sz w:val="20"/>
                <w:szCs w:val="20"/>
                <w:highlight w:val="none"/>
                <w:u w:val="none"/>
              </w:rPr>
            </w:pPr>
            <w:r>
              <w:rPr>
                <w:rFonts w:hint="eastAsia" w:ascii="仿宋" w:hAnsi="仿宋" w:eastAsia="仿宋" w:cs="宋体"/>
                <w:color w:val="auto"/>
                <w:kern w:val="0"/>
                <w:sz w:val="20"/>
                <w:szCs w:val="20"/>
                <w:highlight w:val="none"/>
                <w:u w:val="none"/>
              </w:rPr>
              <w:t>支持大于4个容器，存储业务模块可存放在不同容器中，业务之间互相隔离，一个业务模块发生故障时，不影响其它业务模块。当一个业务模块异常，系统可自动重启业务模块并恢复原有业务；</w:t>
            </w:r>
          </w:p>
          <w:p>
            <w:pPr>
              <w:widowControl/>
              <w:jc w:val="left"/>
              <w:rPr>
                <w:rFonts w:hint="eastAsia" w:ascii="仿宋" w:hAnsi="仿宋" w:eastAsia="仿宋" w:cs="宋体"/>
                <w:color w:val="auto"/>
                <w:kern w:val="0"/>
                <w:sz w:val="20"/>
                <w:szCs w:val="20"/>
                <w:highlight w:val="none"/>
                <w:u w:val="none"/>
                <w:lang w:eastAsia="zh-CN"/>
              </w:rPr>
            </w:pPr>
            <w:r>
              <w:rPr>
                <w:rFonts w:hint="eastAsia" w:ascii="仿宋" w:hAnsi="仿宋" w:eastAsia="仿宋" w:cs="宋体"/>
                <w:color w:val="auto"/>
                <w:kern w:val="0"/>
                <w:sz w:val="20"/>
                <w:szCs w:val="20"/>
                <w:highlight w:val="none"/>
                <w:u w:val="none"/>
                <w:lang w:eastAsia="zh-CN"/>
              </w:rPr>
              <w:t>▲</w:t>
            </w:r>
            <w:r>
              <w:rPr>
                <w:rFonts w:hint="eastAsia" w:ascii="仿宋" w:hAnsi="仿宋" w:eastAsia="仿宋" w:cs="宋体"/>
                <w:color w:val="auto"/>
                <w:kern w:val="0"/>
                <w:sz w:val="20"/>
                <w:szCs w:val="20"/>
                <w:highlight w:val="none"/>
                <w:u w:val="none"/>
              </w:rPr>
              <w:t>可在KVM虚拟化环境下进行U盘等硬件热插拔；可对虚机镜像进行异常监控；可在无独立显卡情况下，使用主板CPU集成显卡为虚拟机提供视频图像显示能力</w:t>
            </w:r>
          </w:p>
        </w:tc>
      </w:tr>
      <w:tr>
        <w:tblPrEx>
          <w:tblCellMar>
            <w:top w:w="0" w:type="dxa"/>
            <w:left w:w="108" w:type="dxa"/>
            <w:bottom w:w="0" w:type="dxa"/>
            <w:right w:w="108" w:type="dxa"/>
          </w:tblCellMar>
        </w:tblPrEx>
        <w:trPr>
          <w:trHeight w:val="855"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5</w:t>
            </w:r>
          </w:p>
        </w:tc>
        <w:tc>
          <w:tcPr>
            <w:tcW w:w="104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数据服务器</w:t>
            </w:r>
          </w:p>
        </w:tc>
        <w:tc>
          <w:tcPr>
            <w:tcW w:w="77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intel双路通用服务器</w:t>
            </w:r>
          </w:p>
        </w:tc>
        <w:tc>
          <w:tcPr>
            <w:tcW w:w="69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台</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1</w:t>
            </w:r>
          </w:p>
        </w:tc>
        <w:tc>
          <w:tcPr>
            <w:tcW w:w="608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2U双路标准机架式服务器</w:t>
            </w:r>
          </w:p>
          <w:p>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CPU：配置1颗intel至强4210R处理器，核数≥10核，主频≥2.4GHz</w:t>
            </w:r>
          </w:p>
          <w:p>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内存：配置64G DDR4，16根内存插槽，最大支持扩展至2TB内存</w:t>
            </w:r>
          </w:p>
          <w:p>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硬盘：配置2块1.2T 10K 2.5寸 SAS硬盘；最高支持12块3.5寸(兼容2.5寸)热插拔SAS/SATA硬盘，支持可选2块后置热插拔2.5寸硬盘</w:t>
            </w:r>
          </w:p>
          <w:p>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阵列卡：配置SAS_HBA卡，支持RAID 0/1/10 ;</w:t>
            </w:r>
          </w:p>
          <w:p>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PCIE扩展：支持6个PCIE扩展插槽</w:t>
            </w:r>
          </w:p>
          <w:p>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网口：板载2个千兆电口；   支持选配10GbE、25GbE SFP+等多种网络接口</w:t>
            </w:r>
          </w:p>
          <w:p>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其他接口：1个RJ45管理接口，后置2个USB 3.0接口，前置2个USB2.0接口，1个VGA接口</w:t>
            </w:r>
          </w:p>
          <w:p>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 xml:space="preserve">电源：标配550W（1+1）高效铂金CRPS冗余电源 </w:t>
            </w:r>
          </w:p>
        </w:tc>
      </w:tr>
      <w:tr>
        <w:tblPrEx>
          <w:tblCellMar>
            <w:top w:w="0" w:type="dxa"/>
            <w:left w:w="108" w:type="dxa"/>
            <w:bottom w:w="0" w:type="dxa"/>
            <w:right w:w="108" w:type="dxa"/>
          </w:tblCellMar>
        </w:tblPrEx>
        <w:trPr>
          <w:trHeight w:val="855"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6</w:t>
            </w:r>
          </w:p>
        </w:tc>
        <w:tc>
          <w:tcPr>
            <w:tcW w:w="104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网络核心层设备</w:t>
            </w:r>
          </w:p>
        </w:tc>
        <w:tc>
          <w:tcPr>
            <w:tcW w:w="77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核心交换机</w:t>
            </w:r>
          </w:p>
        </w:tc>
        <w:tc>
          <w:tcPr>
            <w:tcW w:w="69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台</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auto"/>
                <w:kern w:val="0"/>
                <w:sz w:val="20"/>
                <w:szCs w:val="20"/>
                <w:highlight w:val="none"/>
                <w:lang w:eastAsia="zh-CN"/>
              </w:rPr>
            </w:pPr>
            <w:r>
              <w:rPr>
                <w:rFonts w:hint="eastAsia" w:ascii="仿宋" w:hAnsi="仿宋" w:eastAsia="仿宋" w:cs="宋体"/>
                <w:color w:val="auto"/>
                <w:kern w:val="0"/>
                <w:sz w:val="20"/>
                <w:szCs w:val="20"/>
                <w:highlight w:val="none"/>
                <w:lang w:val="en-US" w:eastAsia="zh-CN"/>
              </w:rPr>
              <w:t>3</w:t>
            </w:r>
          </w:p>
        </w:tc>
        <w:tc>
          <w:tcPr>
            <w:tcW w:w="608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 w:val="20"/>
                <w:szCs w:val="20"/>
                <w:highlight w:val="none"/>
              </w:rPr>
            </w:pPr>
            <w:r>
              <w:rPr>
                <w:rFonts w:ascii="仿宋" w:hAnsi="仿宋" w:eastAsia="仿宋" w:cs="宋体"/>
                <w:color w:val="auto"/>
                <w:kern w:val="0"/>
                <w:sz w:val="20"/>
                <w:szCs w:val="20"/>
                <w:highlight w:val="none"/>
              </w:rPr>
              <w:t>万兆SFP+光口≥24个，千兆电口≥24个，40GQSFP+光口≥2个；</w:t>
            </w:r>
          </w:p>
          <w:p>
            <w:pPr>
              <w:widowControl/>
              <w:jc w:val="left"/>
              <w:rPr>
                <w:rFonts w:ascii="仿宋" w:hAnsi="仿宋" w:eastAsia="仿宋" w:cs="宋体"/>
                <w:color w:val="auto"/>
                <w:kern w:val="0"/>
                <w:sz w:val="20"/>
                <w:szCs w:val="20"/>
                <w:highlight w:val="none"/>
              </w:rPr>
            </w:pPr>
            <w:r>
              <w:rPr>
                <w:rFonts w:ascii="仿宋" w:hAnsi="仿宋" w:eastAsia="仿宋" w:cs="宋体"/>
                <w:color w:val="auto"/>
                <w:kern w:val="0"/>
                <w:sz w:val="20"/>
                <w:szCs w:val="20"/>
                <w:highlight w:val="none"/>
              </w:rPr>
              <w:t>交换性能≥2.56Tbps/23.04Tbps，包转发率≥1080Mpps，若存在双参数，以生产制造商官网最小参数为准；</w:t>
            </w:r>
          </w:p>
          <w:p>
            <w:pPr>
              <w:widowControl/>
              <w:jc w:val="left"/>
              <w:rPr>
                <w:rFonts w:ascii="仿宋" w:hAnsi="仿宋" w:eastAsia="仿宋" w:cs="宋体"/>
                <w:color w:val="auto"/>
                <w:kern w:val="0"/>
                <w:sz w:val="20"/>
                <w:szCs w:val="20"/>
                <w:highlight w:val="none"/>
              </w:rPr>
            </w:pPr>
            <w:r>
              <w:rPr>
                <w:rFonts w:ascii="仿宋" w:hAnsi="仿宋" w:eastAsia="仿宋" w:cs="宋体"/>
                <w:color w:val="auto"/>
                <w:kern w:val="0"/>
                <w:sz w:val="20"/>
                <w:szCs w:val="20"/>
                <w:highlight w:val="none"/>
              </w:rPr>
              <w:t>支持可热插拔双电源模块1+1冗余；</w:t>
            </w:r>
          </w:p>
          <w:p>
            <w:pPr>
              <w:widowControl/>
              <w:jc w:val="left"/>
              <w:rPr>
                <w:rFonts w:ascii="仿宋" w:hAnsi="仿宋" w:eastAsia="仿宋" w:cs="宋体"/>
                <w:color w:val="auto"/>
                <w:kern w:val="0"/>
                <w:sz w:val="20"/>
                <w:szCs w:val="20"/>
                <w:highlight w:val="none"/>
              </w:rPr>
            </w:pPr>
            <w:r>
              <w:rPr>
                <w:rFonts w:ascii="仿宋" w:hAnsi="仿宋" w:eastAsia="仿宋" w:cs="宋体"/>
                <w:color w:val="auto"/>
                <w:kern w:val="0"/>
                <w:sz w:val="20"/>
                <w:szCs w:val="20"/>
                <w:highlight w:val="none"/>
              </w:rPr>
              <w:t>支持IEEE802.3az标准的EEE节能技术：当EEE使能时，大幅度减小端口在该阶段的功耗，达到节能目的；</w:t>
            </w:r>
          </w:p>
          <w:p>
            <w:pPr>
              <w:widowControl/>
              <w:jc w:val="left"/>
              <w:rPr>
                <w:rFonts w:ascii="仿宋" w:hAnsi="仿宋" w:eastAsia="仿宋" w:cs="宋体"/>
                <w:color w:val="auto"/>
                <w:kern w:val="0"/>
                <w:sz w:val="20"/>
                <w:szCs w:val="20"/>
                <w:highlight w:val="none"/>
              </w:rPr>
            </w:pPr>
            <w:r>
              <w:rPr>
                <w:rFonts w:ascii="仿宋" w:hAnsi="仿宋" w:eastAsia="仿宋" w:cs="宋体"/>
                <w:color w:val="auto"/>
                <w:kern w:val="0"/>
                <w:sz w:val="20"/>
                <w:szCs w:val="20"/>
                <w:highlight w:val="none"/>
              </w:rPr>
              <w:t>支持MAC地址≥32K，支持MAC地址自动学习、源MAC地址过滤、接口MAC地址学习个数限制；</w:t>
            </w:r>
          </w:p>
          <w:p>
            <w:pPr>
              <w:widowControl/>
              <w:jc w:val="left"/>
              <w:rPr>
                <w:rFonts w:ascii="仿宋" w:hAnsi="仿宋" w:eastAsia="仿宋" w:cs="宋体"/>
                <w:color w:val="auto"/>
                <w:kern w:val="0"/>
                <w:sz w:val="20"/>
                <w:szCs w:val="20"/>
                <w:highlight w:val="none"/>
              </w:rPr>
            </w:pPr>
            <w:r>
              <w:rPr>
                <w:rFonts w:ascii="仿宋" w:hAnsi="仿宋" w:eastAsia="仿宋" w:cs="宋体"/>
                <w:color w:val="auto"/>
                <w:kern w:val="0"/>
                <w:sz w:val="20"/>
                <w:szCs w:val="20"/>
                <w:highlight w:val="none"/>
              </w:rPr>
              <w:t>支持基于端口或堆叠口的ACL策略、基于源目IP/MAC地址的ACL策略、基于协议的ACL策略、基于时间的ACL策略；</w:t>
            </w:r>
          </w:p>
          <w:p>
            <w:pPr>
              <w:widowControl/>
              <w:jc w:val="left"/>
              <w:rPr>
                <w:rFonts w:hint="eastAsia" w:ascii="仿宋" w:hAnsi="仿宋" w:eastAsia="仿宋" w:cs="宋体"/>
                <w:color w:val="auto"/>
                <w:kern w:val="0"/>
                <w:sz w:val="20"/>
                <w:szCs w:val="20"/>
                <w:highlight w:val="none"/>
                <w:lang w:eastAsia="zh-CN"/>
              </w:rPr>
            </w:pPr>
            <w:r>
              <w:rPr>
                <w:rFonts w:hint="eastAsia" w:ascii="仿宋" w:hAnsi="仿宋" w:eastAsia="仿宋" w:cs="宋体"/>
                <w:color w:val="auto"/>
                <w:kern w:val="0"/>
                <w:sz w:val="20"/>
                <w:szCs w:val="20"/>
                <w:highlight w:val="none"/>
              </w:rPr>
              <w:t>▲</w:t>
            </w:r>
            <w:r>
              <w:rPr>
                <w:rFonts w:ascii="仿宋" w:hAnsi="仿宋" w:eastAsia="仿宋" w:cs="宋体"/>
                <w:color w:val="auto"/>
                <w:kern w:val="0"/>
                <w:sz w:val="20"/>
                <w:szCs w:val="20"/>
                <w:highlight w:val="none"/>
              </w:rPr>
              <w:t>支持M-LAG技术，跨设备链路聚合，要求配对的设备有独立的控制平面；</w:t>
            </w:r>
            <w:r>
              <w:rPr>
                <w:rFonts w:hint="eastAsia" w:ascii="仿宋" w:hAnsi="仿宋" w:eastAsia="仿宋" w:cs="宋体"/>
                <w:color w:val="auto"/>
                <w:kern w:val="0"/>
                <w:sz w:val="20"/>
                <w:szCs w:val="20"/>
                <w:highlight w:val="none"/>
                <w:lang w:eastAsia="zh-CN"/>
              </w:rPr>
              <w:t>(</w:t>
            </w:r>
            <w:r>
              <w:rPr>
                <w:rFonts w:hint="eastAsia" w:ascii="仿宋" w:hAnsi="仿宋" w:eastAsia="仿宋" w:cs="宋体"/>
                <w:color w:val="auto"/>
                <w:kern w:val="0"/>
                <w:sz w:val="20"/>
                <w:szCs w:val="20"/>
                <w:highlight w:val="none"/>
                <w:lang w:val="en-US" w:eastAsia="zh-CN"/>
              </w:rPr>
              <w:t>提供具有</w:t>
            </w:r>
            <w:r>
              <w:rPr>
                <w:rFonts w:hint="eastAsia" w:ascii="仿宋" w:hAnsi="仿宋" w:eastAsia="仿宋" w:cs="宋体"/>
                <w:color w:val="auto"/>
                <w:kern w:val="0"/>
                <w:sz w:val="20"/>
                <w:szCs w:val="20"/>
                <w:highlight w:val="none"/>
                <w:lang w:eastAsia="zh-CN"/>
              </w:rPr>
              <w:t>CMA和CNAS认证章的第三方机构测试报</w:t>
            </w:r>
            <w:r>
              <w:rPr>
                <w:rFonts w:hint="eastAsia" w:ascii="仿宋" w:hAnsi="仿宋" w:eastAsia="仿宋" w:cs="宋体"/>
                <w:color w:val="auto"/>
                <w:kern w:val="0"/>
                <w:sz w:val="20"/>
                <w:szCs w:val="20"/>
                <w:highlight w:val="none"/>
                <w:lang w:val="en-US" w:eastAsia="zh-CN"/>
              </w:rPr>
              <w:t>证明</w:t>
            </w:r>
            <w:r>
              <w:rPr>
                <w:rFonts w:hint="eastAsia" w:ascii="仿宋" w:hAnsi="仿宋" w:eastAsia="仿宋" w:cs="宋体"/>
                <w:color w:val="auto"/>
                <w:kern w:val="0"/>
                <w:sz w:val="20"/>
                <w:szCs w:val="20"/>
                <w:highlight w:val="none"/>
                <w:lang w:eastAsia="zh-CN"/>
              </w:rPr>
              <w:t>）</w:t>
            </w:r>
          </w:p>
          <w:p>
            <w:pPr>
              <w:widowControl/>
              <w:jc w:val="left"/>
              <w:rPr>
                <w:rFonts w:ascii="仿宋" w:hAnsi="仿宋" w:eastAsia="仿宋" w:cs="宋体"/>
                <w:color w:val="auto"/>
                <w:kern w:val="0"/>
                <w:sz w:val="20"/>
                <w:szCs w:val="20"/>
                <w:highlight w:val="none"/>
              </w:rPr>
            </w:pPr>
            <w:r>
              <w:rPr>
                <w:rFonts w:ascii="仿宋" w:hAnsi="仿宋" w:eastAsia="仿宋" w:cs="宋体"/>
                <w:color w:val="auto"/>
                <w:kern w:val="0"/>
                <w:sz w:val="20"/>
                <w:szCs w:val="20"/>
                <w:highlight w:val="none"/>
              </w:rPr>
              <w:t>支持Qos特性，通过多种调度模式（例如：轮询模式、严格优先模式等）实现流量基于报文或端口的优先级；</w:t>
            </w:r>
          </w:p>
          <w:p>
            <w:pPr>
              <w:widowControl/>
              <w:jc w:val="left"/>
              <w:rPr>
                <w:rFonts w:ascii="仿宋" w:hAnsi="仿宋" w:eastAsia="仿宋" w:cs="宋体"/>
                <w:color w:val="auto"/>
                <w:kern w:val="0"/>
                <w:sz w:val="20"/>
                <w:szCs w:val="20"/>
                <w:highlight w:val="none"/>
              </w:rPr>
            </w:pPr>
            <w:r>
              <w:rPr>
                <w:rFonts w:ascii="仿宋" w:hAnsi="仿宋" w:eastAsia="仿宋" w:cs="宋体"/>
                <w:color w:val="auto"/>
                <w:kern w:val="0"/>
                <w:sz w:val="20"/>
                <w:szCs w:val="20"/>
                <w:highlight w:val="none"/>
              </w:rPr>
              <w:t>支持DHCPSnooping，可将交换机端口设置为信任端口或非信任端口，非信任端口也可设置白名单响应DHCP报文；</w:t>
            </w:r>
          </w:p>
          <w:p>
            <w:pPr>
              <w:widowControl/>
              <w:jc w:val="left"/>
              <w:rPr>
                <w:rFonts w:ascii="仿宋" w:hAnsi="仿宋" w:eastAsia="仿宋" w:cs="宋体"/>
                <w:color w:val="auto"/>
                <w:kern w:val="0"/>
                <w:sz w:val="20"/>
                <w:szCs w:val="20"/>
                <w:highlight w:val="none"/>
              </w:rPr>
            </w:pPr>
            <w:r>
              <w:rPr>
                <w:rFonts w:ascii="仿宋" w:hAnsi="仿宋" w:eastAsia="仿宋" w:cs="宋体"/>
                <w:color w:val="auto"/>
                <w:kern w:val="0"/>
                <w:sz w:val="20"/>
                <w:szCs w:val="20"/>
                <w:highlight w:val="none"/>
              </w:rPr>
              <w:t>支持STP、RSTP、MSTP防环协议；</w:t>
            </w:r>
          </w:p>
          <w:p>
            <w:pPr>
              <w:widowControl/>
              <w:jc w:val="left"/>
              <w:rPr>
                <w:rFonts w:ascii="仿宋" w:hAnsi="仿宋" w:eastAsia="仿宋" w:cs="宋体"/>
                <w:color w:val="auto"/>
                <w:kern w:val="0"/>
                <w:sz w:val="20"/>
                <w:szCs w:val="20"/>
                <w:highlight w:val="none"/>
              </w:rPr>
            </w:pPr>
            <w:r>
              <w:rPr>
                <w:rFonts w:ascii="仿宋" w:hAnsi="仿宋" w:eastAsia="仿宋" w:cs="宋体"/>
                <w:color w:val="auto"/>
                <w:kern w:val="0"/>
                <w:sz w:val="20"/>
                <w:szCs w:val="20"/>
                <w:highlight w:val="none"/>
              </w:rPr>
              <w:t>支持IGMPv1/v2/v3Snooping组播协议；</w:t>
            </w:r>
          </w:p>
          <w:p>
            <w:pPr>
              <w:widowControl/>
              <w:jc w:val="left"/>
              <w:rPr>
                <w:rFonts w:ascii="仿宋" w:hAnsi="仿宋" w:eastAsia="仿宋" w:cs="宋体"/>
                <w:color w:val="auto"/>
                <w:kern w:val="0"/>
                <w:sz w:val="20"/>
                <w:szCs w:val="20"/>
                <w:highlight w:val="none"/>
              </w:rPr>
            </w:pPr>
            <w:r>
              <w:rPr>
                <w:rFonts w:ascii="仿宋" w:hAnsi="仿宋" w:eastAsia="仿宋" w:cs="宋体"/>
                <w:color w:val="auto"/>
                <w:kern w:val="0"/>
                <w:sz w:val="20"/>
                <w:szCs w:val="20"/>
                <w:highlight w:val="none"/>
              </w:rPr>
              <w:t>支持终端IP-MAC绑定，当IP+MAC不对应时，可以将终端加入黑名单实现断开终端流量；</w:t>
            </w:r>
          </w:p>
          <w:p>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w:t>
            </w:r>
            <w:r>
              <w:rPr>
                <w:rFonts w:ascii="仿宋" w:hAnsi="仿宋" w:eastAsia="仿宋" w:cs="宋体"/>
                <w:color w:val="auto"/>
                <w:kern w:val="0"/>
                <w:sz w:val="20"/>
                <w:szCs w:val="20"/>
                <w:highlight w:val="none"/>
              </w:rPr>
              <w:t>支持终端类型库，基于指纹自动识别PC、路由器、摄像头设备、无线AP等；</w:t>
            </w:r>
          </w:p>
          <w:p>
            <w:pPr>
              <w:widowControl/>
              <w:jc w:val="left"/>
              <w:rPr>
                <w:rFonts w:ascii="仿宋" w:hAnsi="仿宋" w:eastAsia="仿宋" w:cs="宋体"/>
                <w:color w:val="auto"/>
                <w:kern w:val="0"/>
                <w:sz w:val="20"/>
                <w:szCs w:val="20"/>
                <w:highlight w:val="none"/>
              </w:rPr>
            </w:pPr>
            <w:r>
              <w:rPr>
                <w:rFonts w:ascii="仿宋" w:hAnsi="仿宋" w:eastAsia="仿宋" w:cs="宋体"/>
                <w:color w:val="auto"/>
                <w:kern w:val="0"/>
                <w:sz w:val="20"/>
                <w:szCs w:val="20"/>
                <w:highlight w:val="none"/>
              </w:rPr>
              <w:t>支持端口保护、隔离，并有效防止DOS、ARP攻击，支持对CPU的保护功能；</w:t>
            </w:r>
          </w:p>
          <w:p>
            <w:pPr>
              <w:widowControl/>
              <w:jc w:val="left"/>
              <w:rPr>
                <w:rFonts w:ascii="仿宋" w:hAnsi="仿宋" w:eastAsia="仿宋" w:cs="宋体"/>
                <w:color w:val="auto"/>
                <w:kern w:val="0"/>
                <w:sz w:val="20"/>
                <w:szCs w:val="20"/>
                <w:highlight w:val="none"/>
              </w:rPr>
            </w:pPr>
            <w:r>
              <w:rPr>
                <w:rFonts w:ascii="仿宋" w:hAnsi="仿宋" w:eastAsia="仿宋" w:cs="宋体"/>
                <w:color w:val="auto"/>
                <w:kern w:val="0"/>
                <w:sz w:val="20"/>
                <w:szCs w:val="20"/>
                <w:highlight w:val="none"/>
              </w:rPr>
              <w:t>支持禁止通过内网PC端进行私接随身WiFi共享；</w:t>
            </w:r>
          </w:p>
          <w:p>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w:t>
            </w:r>
            <w:r>
              <w:rPr>
                <w:rFonts w:ascii="仿宋" w:hAnsi="仿宋" w:eastAsia="仿宋" w:cs="宋体"/>
                <w:color w:val="auto"/>
                <w:kern w:val="0"/>
                <w:sz w:val="20"/>
                <w:szCs w:val="20"/>
                <w:highlight w:val="none"/>
              </w:rPr>
              <w:t>支持在交换机上创建东西向安全策略，实现全网安全风险拦截；</w:t>
            </w:r>
          </w:p>
        </w:tc>
      </w:tr>
      <w:tr>
        <w:tblPrEx>
          <w:tblCellMar>
            <w:top w:w="0" w:type="dxa"/>
            <w:left w:w="108" w:type="dxa"/>
            <w:bottom w:w="0" w:type="dxa"/>
            <w:right w:w="108" w:type="dxa"/>
          </w:tblCellMar>
        </w:tblPrEx>
        <w:trPr>
          <w:trHeight w:val="370"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7</w:t>
            </w:r>
          </w:p>
        </w:tc>
        <w:tc>
          <w:tcPr>
            <w:tcW w:w="104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网络汇聚层设备</w:t>
            </w:r>
          </w:p>
        </w:tc>
        <w:tc>
          <w:tcPr>
            <w:tcW w:w="77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24口全光口交换机</w:t>
            </w:r>
          </w:p>
        </w:tc>
        <w:tc>
          <w:tcPr>
            <w:tcW w:w="69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台</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auto"/>
                <w:kern w:val="0"/>
                <w:sz w:val="20"/>
                <w:szCs w:val="20"/>
                <w:highlight w:val="none"/>
                <w:lang w:eastAsia="zh-CN"/>
              </w:rPr>
            </w:pPr>
            <w:r>
              <w:rPr>
                <w:rFonts w:hint="eastAsia" w:ascii="仿宋" w:hAnsi="仿宋" w:eastAsia="仿宋" w:cs="宋体"/>
                <w:color w:val="auto"/>
                <w:kern w:val="0"/>
                <w:sz w:val="20"/>
                <w:szCs w:val="20"/>
                <w:highlight w:val="none"/>
                <w:lang w:val="en-US" w:eastAsia="zh-CN"/>
              </w:rPr>
              <w:t>4</w:t>
            </w:r>
          </w:p>
        </w:tc>
        <w:tc>
          <w:tcPr>
            <w:tcW w:w="608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w:t>
            </w:r>
            <w:r>
              <w:rPr>
                <w:rFonts w:hint="eastAsia" w:ascii="仿宋" w:hAnsi="仿宋" w:eastAsia="仿宋" w:cs="宋体"/>
                <w:color w:val="auto"/>
                <w:kern w:val="0"/>
                <w:sz w:val="20"/>
                <w:szCs w:val="20"/>
                <w:highlight w:val="none"/>
                <w:lang w:val="en-US" w:eastAsia="zh-CN"/>
              </w:rPr>
              <w:t xml:space="preserve"> </w:t>
            </w:r>
            <w:r>
              <w:rPr>
                <w:rFonts w:hint="eastAsia" w:ascii="仿宋" w:hAnsi="仿宋" w:eastAsia="仿宋" w:cs="宋体"/>
                <w:color w:val="auto"/>
                <w:kern w:val="0"/>
                <w:sz w:val="20"/>
                <w:szCs w:val="20"/>
                <w:highlight w:val="none"/>
                <w:u w:val="single"/>
              </w:rPr>
              <w:t>100/1000Base-X千兆光口≥24个，千兆电Combo口≥4个（可与24个光口中的4个复用），10GSFP+万兆光口≥4个（官网截图以及官网链接</w:t>
            </w:r>
            <w:r>
              <w:rPr>
                <w:rFonts w:hint="eastAsia" w:ascii="仿宋" w:hAnsi="仿宋" w:eastAsia="仿宋" w:cs="宋体"/>
                <w:color w:val="auto"/>
                <w:kern w:val="0"/>
                <w:sz w:val="20"/>
                <w:szCs w:val="20"/>
                <w:highlight w:val="none"/>
                <w:u w:val="single"/>
                <w:lang w:val="en-US" w:eastAsia="zh-CN"/>
              </w:rPr>
              <w:t>证明</w:t>
            </w:r>
            <w:r>
              <w:rPr>
                <w:rFonts w:hint="eastAsia" w:ascii="仿宋" w:hAnsi="仿宋" w:eastAsia="仿宋" w:cs="宋体"/>
                <w:color w:val="auto"/>
                <w:kern w:val="0"/>
                <w:sz w:val="20"/>
                <w:szCs w:val="20"/>
                <w:highlight w:val="none"/>
                <w:u w:val="single"/>
              </w:rPr>
              <w:t>）；</w:t>
            </w:r>
          </w:p>
          <w:p>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支持IEEE802.3az标准的EEE节能技术：当EEE使能时，大幅度减小端口在该阶段的功耗，达到节能目的；</w:t>
            </w:r>
          </w:p>
          <w:p>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交换性能≥432Gbps/4.32Tbps，包转发率≥156Mpps/168Mpps，若存在双参数，以生产制造商官网最小参数为准；</w:t>
            </w:r>
          </w:p>
          <w:p>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支持MAC地址≥16K，支持MAC地址自动学习、源MAC地址过滤、接口MAC地址学习个数限制；</w:t>
            </w:r>
          </w:p>
          <w:p>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支持基于端口或堆叠口的ACL策略、基于源目IP/MAC地址的ACL策略、基于协议的ACL策略、基于时间的ACL策略；</w:t>
            </w:r>
          </w:p>
          <w:p>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u w:val="single"/>
              </w:rPr>
              <w:t>▲支持M-LAG技术，跨设备链路聚合（非堆叠技术实现），要求配对的设备有独立的控制平面</w:t>
            </w:r>
            <w:r>
              <w:rPr>
                <w:rFonts w:hint="eastAsia" w:ascii="仿宋" w:hAnsi="仿宋" w:eastAsia="仿宋" w:cs="宋体"/>
                <w:b w:val="0"/>
                <w:bCs w:val="0"/>
                <w:color w:val="auto"/>
                <w:kern w:val="0"/>
                <w:sz w:val="20"/>
                <w:szCs w:val="20"/>
                <w:highlight w:val="none"/>
                <w:u w:val="single"/>
              </w:rPr>
              <w:t>；</w:t>
            </w:r>
            <w:r>
              <w:rPr>
                <w:rFonts w:hint="eastAsia" w:ascii="仿宋" w:hAnsi="仿宋" w:eastAsia="仿宋" w:cs="宋体"/>
                <w:b w:val="0"/>
                <w:bCs w:val="0"/>
                <w:color w:val="auto"/>
                <w:kern w:val="0"/>
                <w:sz w:val="20"/>
                <w:szCs w:val="20"/>
                <w:highlight w:val="none"/>
                <w:u w:val="single"/>
                <w:lang w:eastAsia="zh-CN"/>
              </w:rPr>
              <w:t>(</w:t>
            </w:r>
            <w:r>
              <w:rPr>
                <w:rFonts w:hint="eastAsia" w:ascii="仿宋" w:hAnsi="仿宋" w:eastAsia="仿宋" w:cs="宋体"/>
                <w:b w:val="0"/>
                <w:bCs w:val="0"/>
                <w:color w:val="auto"/>
                <w:kern w:val="0"/>
                <w:sz w:val="20"/>
                <w:szCs w:val="20"/>
                <w:highlight w:val="none"/>
                <w:u w:val="single"/>
                <w:lang w:val="en-US" w:eastAsia="zh-CN"/>
              </w:rPr>
              <w:t>提供具有</w:t>
            </w:r>
            <w:r>
              <w:rPr>
                <w:rFonts w:hint="eastAsia" w:ascii="仿宋" w:hAnsi="仿宋" w:eastAsia="仿宋" w:cs="宋体"/>
                <w:b w:val="0"/>
                <w:bCs w:val="0"/>
                <w:color w:val="auto"/>
                <w:kern w:val="0"/>
                <w:sz w:val="20"/>
                <w:szCs w:val="20"/>
                <w:highlight w:val="none"/>
                <w:u w:val="single"/>
                <w:lang w:eastAsia="zh-CN"/>
              </w:rPr>
              <w:t>CMA和CNAS认证章的第三方机构测试报</w:t>
            </w:r>
            <w:r>
              <w:rPr>
                <w:rFonts w:hint="eastAsia" w:ascii="仿宋" w:hAnsi="仿宋" w:eastAsia="仿宋" w:cs="宋体"/>
                <w:b w:val="0"/>
                <w:bCs w:val="0"/>
                <w:color w:val="auto"/>
                <w:kern w:val="0"/>
                <w:sz w:val="20"/>
                <w:szCs w:val="20"/>
                <w:highlight w:val="none"/>
                <w:u w:val="single"/>
                <w:lang w:val="en-US" w:eastAsia="zh-CN"/>
              </w:rPr>
              <w:t>证明</w:t>
            </w:r>
            <w:r>
              <w:rPr>
                <w:rFonts w:hint="eastAsia" w:ascii="仿宋" w:hAnsi="仿宋" w:eastAsia="仿宋" w:cs="宋体"/>
                <w:b w:val="0"/>
                <w:bCs w:val="0"/>
                <w:color w:val="auto"/>
                <w:kern w:val="0"/>
                <w:sz w:val="20"/>
                <w:szCs w:val="20"/>
                <w:highlight w:val="none"/>
                <w:u w:val="single"/>
                <w:lang w:eastAsia="zh-CN"/>
              </w:rPr>
              <w:t>）</w:t>
            </w:r>
          </w:p>
          <w:p>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支持QoS特性，通过多种调度模式（例如：轮询模式、严格优先模式等）实现流量基于报文或端口的优先级；</w:t>
            </w:r>
          </w:p>
          <w:p>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支持DHCPSnooping，可将交换机端口设置为信任端口或非信任端口，非信任端口也可设置白名单响应DHCP报文；</w:t>
            </w:r>
          </w:p>
          <w:p>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支持STP、RSTP、MSTP防环协议；</w:t>
            </w:r>
          </w:p>
          <w:p>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支持IGMPv1/v2/v3Snooping组播协议；</w:t>
            </w:r>
          </w:p>
          <w:p>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支持终端IP-MAC绑定，当IP+MAC不对应时，可以将终端加入黑名单实现断开终端流量；</w:t>
            </w:r>
          </w:p>
          <w:p>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▲支持终端类型库，基于指纹自动识别PC、路由器、摄像头设备、无线AP等；</w:t>
            </w:r>
          </w:p>
          <w:p>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支持端口保护、隔离，并有效防止DOS、ARP攻击，支持对CPU的保护功能；</w:t>
            </w:r>
          </w:p>
          <w:p>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支持禁止通过内网PC端进行私接随身WiFi共享；</w:t>
            </w:r>
          </w:p>
          <w:p>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▲支持在交换机上创建东西向安全策略，实现全网安全风险拦截；</w:t>
            </w:r>
          </w:p>
        </w:tc>
      </w:tr>
      <w:tr>
        <w:tblPrEx>
          <w:tblCellMar>
            <w:top w:w="0" w:type="dxa"/>
            <w:left w:w="108" w:type="dxa"/>
            <w:bottom w:w="0" w:type="dxa"/>
            <w:right w:w="108" w:type="dxa"/>
          </w:tblCellMar>
        </w:tblPrEx>
        <w:trPr>
          <w:trHeight w:val="370"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8</w:t>
            </w:r>
          </w:p>
        </w:tc>
        <w:tc>
          <w:tcPr>
            <w:tcW w:w="104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color w:val="auto"/>
                <w:kern w:val="0"/>
                <w:sz w:val="20"/>
                <w:szCs w:val="20"/>
                <w:highlight w:val="none"/>
                <w:lang w:val="en-US" w:eastAsia="zh-CN" w:bidi="ar-SA"/>
              </w:rPr>
            </w:pPr>
            <w:r>
              <w:rPr>
                <w:rFonts w:hint="eastAsia" w:ascii="仿宋" w:hAnsi="仿宋" w:eastAsia="仿宋" w:cs="宋体"/>
                <w:color w:val="auto"/>
                <w:kern w:val="0"/>
                <w:sz w:val="20"/>
                <w:szCs w:val="20"/>
                <w:highlight w:val="none"/>
              </w:rPr>
              <w:t>网络汇聚层设备</w:t>
            </w:r>
          </w:p>
        </w:tc>
        <w:tc>
          <w:tcPr>
            <w:tcW w:w="77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color w:val="auto"/>
                <w:kern w:val="0"/>
                <w:sz w:val="20"/>
                <w:szCs w:val="20"/>
                <w:highlight w:val="none"/>
                <w:lang w:val="en-US" w:eastAsia="zh-CN" w:bidi="ar-SA"/>
              </w:rPr>
            </w:pPr>
            <w:r>
              <w:rPr>
                <w:rFonts w:hint="eastAsia" w:ascii="仿宋" w:hAnsi="仿宋" w:eastAsia="仿宋" w:cs="宋体"/>
                <w:color w:val="auto"/>
                <w:kern w:val="0"/>
                <w:sz w:val="20"/>
                <w:szCs w:val="20"/>
                <w:highlight w:val="none"/>
                <w:lang w:val="en-US" w:eastAsia="zh-CN"/>
              </w:rPr>
              <w:t>48</w:t>
            </w:r>
            <w:r>
              <w:rPr>
                <w:rFonts w:hint="eastAsia" w:ascii="仿宋" w:hAnsi="仿宋" w:eastAsia="仿宋" w:cs="宋体"/>
                <w:color w:val="auto"/>
                <w:kern w:val="0"/>
                <w:sz w:val="20"/>
                <w:szCs w:val="20"/>
                <w:highlight w:val="none"/>
              </w:rPr>
              <w:t>口交换机</w:t>
            </w:r>
          </w:p>
        </w:tc>
        <w:tc>
          <w:tcPr>
            <w:tcW w:w="6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auto"/>
                <w:kern w:val="0"/>
                <w:sz w:val="20"/>
                <w:szCs w:val="20"/>
                <w:highlight w:val="none"/>
                <w:lang w:val="en-US" w:eastAsia="zh-CN" w:bidi="ar-SA"/>
              </w:rPr>
            </w:pPr>
            <w:r>
              <w:rPr>
                <w:rFonts w:hint="eastAsia" w:ascii="仿宋" w:hAnsi="仿宋" w:eastAsia="仿宋" w:cs="宋体"/>
                <w:color w:val="auto"/>
                <w:kern w:val="0"/>
                <w:sz w:val="20"/>
                <w:szCs w:val="20"/>
                <w:highlight w:val="none"/>
              </w:rPr>
              <w:t>台</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auto"/>
                <w:kern w:val="0"/>
                <w:sz w:val="20"/>
                <w:szCs w:val="20"/>
                <w:highlight w:val="none"/>
                <w:lang w:val="en-US" w:eastAsia="zh-CN" w:bidi="ar-SA"/>
              </w:rPr>
            </w:pPr>
            <w:r>
              <w:rPr>
                <w:rFonts w:hint="eastAsia" w:ascii="仿宋" w:hAnsi="仿宋" w:eastAsia="仿宋" w:cs="宋体"/>
                <w:color w:val="auto"/>
                <w:kern w:val="0"/>
                <w:sz w:val="20"/>
                <w:szCs w:val="20"/>
                <w:highlight w:val="none"/>
                <w:lang w:val="en-US" w:eastAsia="zh-CN"/>
              </w:rPr>
              <w:t>2</w:t>
            </w:r>
          </w:p>
        </w:tc>
        <w:tc>
          <w:tcPr>
            <w:tcW w:w="608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千兆SFP光口≥48个，SFP+光口≥4个；</w:t>
            </w:r>
          </w:p>
          <w:p>
            <w:pPr>
              <w:widowControl/>
              <w:jc w:val="left"/>
              <w:rPr>
                <w:rFonts w:hint="eastAsia"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交换性能≥758Gbps/7.58Tbps，包转发率≥432Mpps，若存在双参数，以生产制造商官网最小参数为准；</w:t>
            </w:r>
          </w:p>
          <w:p>
            <w:pPr>
              <w:widowControl/>
              <w:jc w:val="left"/>
              <w:rPr>
                <w:rFonts w:hint="eastAsia"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支持双交流电源模块1+1冗余（可热插拔）；</w:t>
            </w:r>
          </w:p>
          <w:p>
            <w:pPr>
              <w:widowControl/>
              <w:jc w:val="left"/>
              <w:rPr>
                <w:rFonts w:hint="eastAsia"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支持IEEE802.3az标准的EEE节能技术：当EEE使能时，大幅度减小端口在该阶段的功耗，达到节能目的；</w:t>
            </w:r>
          </w:p>
          <w:p>
            <w:pPr>
              <w:widowControl/>
              <w:jc w:val="left"/>
              <w:rPr>
                <w:rFonts w:hint="eastAsia"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支持MAC地址≥32K，支持MAC地址自动学习、源MAC地址过滤、接口MAC地址学习个数限制；</w:t>
            </w:r>
          </w:p>
          <w:p>
            <w:pPr>
              <w:widowControl/>
              <w:jc w:val="left"/>
              <w:rPr>
                <w:rFonts w:hint="eastAsia"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支持基于端口或堆叠口的ACL策略、基于源目IP/MAC地址的ACL策略、基于协议的ACL策略、基于时间的ACL策略；</w:t>
            </w:r>
          </w:p>
          <w:p>
            <w:pPr>
              <w:widowControl/>
              <w:jc w:val="left"/>
              <w:rPr>
                <w:rFonts w:hint="eastAsia"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▲支持M-LAG技术，跨设备链路聚合，要求配对的设备有独立的控制平面；</w:t>
            </w:r>
          </w:p>
          <w:p>
            <w:pPr>
              <w:widowControl/>
              <w:jc w:val="left"/>
              <w:rPr>
                <w:rFonts w:hint="eastAsia"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支持Qos特性，通过多种调度模式（例如：轮询模式、严格优先模式等）实现流量基于报文或端口的优先级；</w:t>
            </w:r>
          </w:p>
          <w:p>
            <w:pPr>
              <w:widowControl/>
              <w:jc w:val="left"/>
              <w:rPr>
                <w:rFonts w:hint="eastAsia"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支持DHCPSnooping，可将交换机端口设置为信任端口或非信任端口，非信任端口也可设置白名单响应DHCP报文；</w:t>
            </w:r>
          </w:p>
          <w:p>
            <w:pPr>
              <w:widowControl/>
              <w:jc w:val="left"/>
              <w:rPr>
                <w:rFonts w:hint="eastAsia"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支持STP、RSTP、MSTP防环协议；</w:t>
            </w:r>
          </w:p>
          <w:p>
            <w:pPr>
              <w:widowControl/>
              <w:jc w:val="left"/>
              <w:rPr>
                <w:rFonts w:hint="eastAsia"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支持终端IP-MAC绑定，当IP+MAC不对应时，可以将终端加入黑名单实现断开终端流量；</w:t>
            </w:r>
          </w:p>
          <w:p>
            <w:pPr>
              <w:widowControl/>
              <w:jc w:val="left"/>
              <w:rPr>
                <w:rFonts w:hint="eastAsia"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▲支持终端类型库，基于指纹自动识别PC、路由器、摄像头设备、无线AP等；</w:t>
            </w:r>
          </w:p>
          <w:p>
            <w:pPr>
              <w:widowControl/>
              <w:jc w:val="left"/>
              <w:rPr>
                <w:rFonts w:hint="eastAsia"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支持端口保护、隔离，并有效防止DOS、ARP攻击，支持对CPU的保护功能；</w:t>
            </w:r>
          </w:p>
          <w:p>
            <w:pPr>
              <w:widowControl/>
              <w:jc w:val="left"/>
              <w:rPr>
                <w:rFonts w:hint="eastAsia"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支持禁止通过内网PC端进行私接随身WiFi共享；</w:t>
            </w:r>
          </w:p>
          <w:p>
            <w:pPr>
              <w:widowControl/>
              <w:jc w:val="left"/>
              <w:rPr>
                <w:rFonts w:hint="eastAsia"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▲支持在交换机上创建东西向安全策略，实现全网安全风险拦截；</w:t>
            </w:r>
          </w:p>
        </w:tc>
      </w:tr>
      <w:tr>
        <w:tblPrEx>
          <w:tblCellMar>
            <w:top w:w="0" w:type="dxa"/>
            <w:left w:w="108" w:type="dxa"/>
            <w:bottom w:w="0" w:type="dxa"/>
            <w:right w:w="108" w:type="dxa"/>
          </w:tblCellMar>
        </w:tblPrEx>
        <w:trPr>
          <w:trHeight w:val="370"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auto"/>
                <w:kern w:val="0"/>
                <w:sz w:val="20"/>
                <w:szCs w:val="20"/>
                <w:highlight w:val="none"/>
                <w:lang w:eastAsia="zh-CN"/>
              </w:rPr>
            </w:pPr>
            <w:r>
              <w:rPr>
                <w:rFonts w:hint="eastAsia" w:ascii="仿宋" w:hAnsi="仿宋" w:eastAsia="仿宋" w:cs="宋体"/>
                <w:color w:val="auto"/>
                <w:kern w:val="0"/>
                <w:sz w:val="20"/>
                <w:szCs w:val="20"/>
                <w:highlight w:val="none"/>
                <w:lang w:val="en-US" w:eastAsia="zh-CN"/>
              </w:rPr>
              <w:t>9</w:t>
            </w:r>
          </w:p>
        </w:tc>
        <w:tc>
          <w:tcPr>
            <w:tcW w:w="104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网络汇聚层设备</w:t>
            </w:r>
          </w:p>
        </w:tc>
        <w:tc>
          <w:tcPr>
            <w:tcW w:w="77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24口交换机</w:t>
            </w:r>
          </w:p>
        </w:tc>
        <w:tc>
          <w:tcPr>
            <w:tcW w:w="69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台</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auto"/>
                <w:kern w:val="0"/>
                <w:sz w:val="20"/>
                <w:szCs w:val="20"/>
                <w:highlight w:val="none"/>
                <w:lang w:eastAsia="zh-CN"/>
              </w:rPr>
            </w:pPr>
            <w:r>
              <w:rPr>
                <w:rFonts w:hint="eastAsia" w:ascii="仿宋" w:hAnsi="仿宋" w:eastAsia="仿宋" w:cs="宋体"/>
                <w:color w:val="auto"/>
                <w:kern w:val="0"/>
                <w:sz w:val="20"/>
                <w:szCs w:val="20"/>
                <w:highlight w:val="none"/>
                <w:lang w:val="en-US" w:eastAsia="zh-CN"/>
              </w:rPr>
              <w:t>1</w:t>
            </w:r>
          </w:p>
        </w:tc>
        <w:tc>
          <w:tcPr>
            <w:tcW w:w="6087" w:type="dxa"/>
            <w:tcBorders>
              <w:top w:val="nil"/>
              <w:left w:val="nil"/>
              <w:bottom w:val="single" w:color="auto" w:sz="4" w:space="0"/>
              <w:right w:val="single" w:color="auto" w:sz="4" w:space="0"/>
            </w:tcBorders>
            <w:shd w:val="clear" w:color="auto" w:fill="auto"/>
            <w:vAlign w:val="center"/>
          </w:tcPr>
          <w:p>
            <w:pPr>
              <w:widowControl/>
              <w:numPr>
                <w:ilvl w:val="0"/>
                <w:numId w:val="0"/>
              </w:numPr>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POE交换机，24个千兆POE电口，4个万兆SFP+光口；交换容量:432Gbps/4.32Tbps 包转发率:156Mpps/168Mpps，支持全端口线速转发；支持IEEE 802.3af/at供电标准，单端口最大输出PoE功率30W，整机最大输出PoE功率370W；支持NAC统一管理、统一查看状态、VLAN等配置管理；支持终端识别、终端准入、安全防护及安全画像可视；支持胖瘦一体化；</w:t>
            </w:r>
          </w:p>
          <w:p>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支持IEEE802.3az标准的EEE节能技术：当EEE使能时，大幅度减小端口在该阶段的功耗，达到节能目的；</w:t>
            </w:r>
          </w:p>
          <w:p>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交换性能≥432Gbps/4.32Tbps，包转发率≥156Mpps/168Mpps，若存在双参数，以生产制造商官网最小参数为准；</w:t>
            </w:r>
          </w:p>
          <w:p>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支持MAC地址≥16K，支持MAC地址自动学习、源MAC地址过滤、接口MAC地址学习个数限制；</w:t>
            </w:r>
          </w:p>
        </w:tc>
      </w:tr>
      <w:tr>
        <w:tblPrEx>
          <w:tblCellMar>
            <w:top w:w="0" w:type="dxa"/>
            <w:left w:w="108" w:type="dxa"/>
            <w:bottom w:w="0" w:type="dxa"/>
            <w:right w:w="108" w:type="dxa"/>
          </w:tblCellMar>
        </w:tblPrEx>
        <w:trPr>
          <w:trHeight w:val="370"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auto"/>
                <w:kern w:val="0"/>
                <w:sz w:val="20"/>
                <w:szCs w:val="20"/>
                <w:highlight w:val="none"/>
                <w:lang w:val="en-US" w:eastAsia="zh-CN"/>
              </w:rPr>
            </w:pPr>
            <w:r>
              <w:rPr>
                <w:rFonts w:hint="eastAsia" w:ascii="仿宋" w:hAnsi="仿宋" w:eastAsia="仿宋" w:cs="宋体"/>
                <w:color w:val="auto"/>
                <w:kern w:val="0"/>
                <w:sz w:val="20"/>
                <w:szCs w:val="20"/>
                <w:highlight w:val="none"/>
                <w:lang w:val="en-US" w:eastAsia="zh-CN"/>
              </w:rPr>
              <w:t>10</w:t>
            </w:r>
          </w:p>
        </w:tc>
        <w:tc>
          <w:tcPr>
            <w:tcW w:w="104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lang w:val="en-US" w:eastAsia="zh-CN"/>
              </w:rPr>
              <w:t>流量管控主机</w:t>
            </w:r>
          </w:p>
        </w:tc>
        <w:tc>
          <w:tcPr>
            <w:tcW w:w="77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全网</w:t>
            </w:r>
            <w:r>
              <w:rPr>
                <w:rFonts w:hint="eastAsia" w:ascii="仿宋" w:hAnsi="仿宋" w:eastAsia="仿宋" w:cs="宋体"/>
                <w:color w:val="auto"/>
                <w:kern w:val="0"/>
                <w:sz w:val="20"/>
                <w:szCs w:val="20"/>
                <w:highlight w:val="none"/>
                <w:lang w:val="en-US" w:eastAsia="zh-CN"/>
              </w:rPr>
              <w:t>流量管控/</w:t>
            </w:r>
            <w:r>
              <w:rPr>
                <w:rFonts w:hint="eastAsia" w:ascii="仿宋" w:hAnsi="仿宋" w:eastAsia="仿宋" w:cs="宋体"/>
                <w:color w:val="auto"/>
                <w:kern w:val="0"/>
                <w:sz w:val="20"/>
                <w:szCs w:val="20"/>
                <w:highlight w:val="none"/>
              </w:rPr>
              <w:t>行为管理</w:t>
            </w:r>
          </w:p>
        </w:tc>
        <w:tc>
          <w:tcPr>
            <w:tcW w:w="69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auto"/>
                <w:kern w:val="0"/>
                <w:sz w:val="20"/>
                <w:szCs w:val="20"/>
                <w:highlight w:val="none"/>
                <w:lang w:val="en-US" w:eastAsia="zh-CN"/>
              </w:rPr>
            </w:pPr>
            <w:r>
              <w:rPr>
                <w:rFonts w:hint="eastAsia" w:ascii="仿宋" w:hAnsi="仿宋" w:eastAsia="仿宋" w:cs="宋体"/>
                <w:color w:val="auto"/>
                <w:kern w:val="0"/>
                <w:sz w:val="20"/>
                <w:szCs w:val="20"/>
                <w:highlight w:val="none"/>
                <w:lang w:val="en-US" w:eastAsia="zh-CN"/>
              </w:rPr>
              <w:t>台</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auto"/>
                <w:kern w:val="0"/>
                <w:sz w:val="20"/>
                <w:szCs w:val="20"/>
                <w:highlight w:val="none"/>
                <w:lang w:val="en-US" w:eastAsia="zh-CN"/>
              </w:rPr>
            </w:pPr>
            <w:r>
              <w:rPr>
                <w:rFonts w:hint="eastAsia" w:ascii="仿宋" w:hAnsi="仿宋" w:eastAsia="仿宋" w:cs="宋体"/>
                <w:color w:val="auto"/>
                <w:kern w:val="0"/>
                <w:sz w:val="20"/>
                <w:szCs w:val="20"/>
                <w:highlight w:val="none"/>
                <w:lang w:val="en-US" w:eastAsia="zh-CN"/>
              </w:rPr>
              <w:t>1</w:t>
            </w:r>
          </w:p>
        </w:tc>
        <w:tc>
          <w:tcPr>
            <w:tcW w:w="6087" w:type="dxa"/>
            <w:tcBorders>
              <w:top w:val="nil"/>
              <w:left w:val="nil"/>
              <w:bottom w:val="single" w:color="auto" w:sz="4" w:space="0"/>
              <w:right w:val="single" w:color="auto" w:sz="4" w:space="0"/>
            </w:tcBorders>
            <w:shd w:val="clear" w:color="auto" w:fill="auto"/>
            <w:vAlign w:val="center"/>
          </w:tcPr>
          <w:p>
            <w:pPr>
              <w:widowControl/>
              <w:numPr>
                <w:ilvl w:val="0"/>
                <w:numId w:val="0"/>
              </w:numPr>
              <w:jc w:val="left"/>
              <w:rPr>
                <w:rFonts w:hint="eastAsia" w:ascii="仿宋" w:hAnsi="仿宋" w:eastAsia="仿宋" w:cs="宋体"/>
                <w:color w:val="auto"/>
                <w:kern w:val="0"/>
                <w:sz w:val="20"/>
                <w:szCs w:val="20"/>
                <w:highlight w:val="none"/>
                <w:lang w:val="en-US" w:eastAsia="zh-CN"/>
              </w:rPr>
            </w:pPr>
            <w:r>
              <w:rPr>
                <w:rFonts w:hint="eastAsia" w:ascii="仿宋" w:hAnsi="仿宋" w:eastAsia="仿宋" w:cs="宋体"/>
                <w:color w:val="auto"/>
                <w:kern w:val="0"/>
                <w:sz w:val="20"/>
                <w:szCs w:val="20"/>
                <w:highlight w:val="none"/>
                <w:lang w:val="en-US" w:eastAsia="zh-CN"/>
              </w:rPr>
              <w:t>硬件：1U，内存大小≥8G，硬盘容量≥128G SSD，接口不少于6个千兆电口，不少于2个万兆光口。</w:t>
            </w:r>
          </w:p>
          <w:p>
            <w:pPr>
              <w:widowControl/>
              <w:numPr>
                <w:ilvl w:val="0"/>
                <w:numId w:val="0"/>
              </w:numPr>
              <w:jc w:val="left"/>
              <w:rPr>
                <w:rFonts w:hint="eastAsia" w:ascii="仿宋" w:hAnsi="仿宋" w:eastAsia="仿宋" w:cs="宋体"/>
                <w:color w:val="auto"/>
                <w:kern w:val="0"/>
                <w:sz w:val="20"/>
                <w:szCs w:val="20"/>
                <w:highlight w:val="none"/>
                <w:lang w:eastAsia="zh-CN"/>
              </w:rPr>
            </w:pPr>
            <w:r>
              <w:rPr>
                <w:rFonts w:hint="eastAsia" w:ascii="仿宋" w:hAnsi="仿宋" w:eastAsia="仿宋" w:cs="宋体"/>
                <w:color w:val="auto"/>
                <w:kern w:val="0"/>
                <w:sz w:val="20"/>
                <w:szCs w:val="20"/>
                <w:highlight w:val="none"/>
              </w:rPr>
              <w:t>性能：网络层吞吐量</w:t>
            </w:r>
            <w:r>
              <w:rPr>
                <w:rFonts w:hint="eastAsia" w:ascii="仿宋" w:hAnsi="仿宋" w:eastAsia="仿宋" w:cs="宋体"/>
                <w:color w:val="auto"/>
                <w:kern w:val="0"/>
                <w:sz w:val="20"/>
                <w:szCs w:val="20"/>
                <w:highlight w:val="none"/>
                <w:lang w:val="en-US" w:eastAsia="zh-CN"/>
              </w:rPr>
              <w:t xml:space="preserve">≥5.8 </w:t>
            </w:r>
            <w:r>
              <w:rPr>
                <w:rFonts w:hint="eastAsia" w:ascii="仿宋" w:hAnsi="仿宋" w:eastAsia="仿宋" w:cs="宋体"/>
                <w:color w:val="auto"/>
                <w:kern w:val="0"/>
                <w:sz w:val="20"/>
                <w:szCs w:val="20"/>
                <w:highlight w:val="none"/>
              </w:rPr>
              <w:t>Gbps，应用层吞吐量</w:t>
            </w:r>
            <w:r>
              <w:rPr>
                <w:rFonts w:hint="eastAsia" w:ascii="仿宋" w:hAnsi="仿宋" w:eastAsia="仿宋" w:cs="宋体"/>
                <w:color w:val="auto"/>
                <w:kern w:val="0"/>
                <w:sz w:val="20"/>
                <w:szCs w:val="20"/>
                <w:highlight w:val="none"/>
                <w:lang w:val="en-US" w:eastAsia="zh-CN"/>
              </w:rPr>
              <w:t xml:space="preserve">≥750 </w:t>
            </w:r>
            <w:r>
              <w:rPr>
                <w:rFonts w:hint="eastAsia" w:ascii="仿宋" w:hAnsi="仿宋" w:eastAsia="仿宋" w:cs="宋体"/>
                <w:color w:val="auto"/>
                <w:kern w:val="0"/>
                <w:sz w:val="20"/>
                <w:szCs w:val="20"/>
                <w:highlight w:val="none"/>
              </w:rPr>
              <w:t>Mbps，带宽性能</w:t>
            </w:r>
            <w:r>
              <w:rPr>
                <w:rFonts w:hint="eastAsia" w:ascii="仿宋" w:hAnsi="仿宋" w:eastAsia="仿宋" w:cs="宋体"/>
                <w:color w:val="auto"/>
                <w:kern w:val="0"/>
                <w:sz w:val="20"/>
                <w:szCs w:val="20"/>
                <w:highlight w:val="none"/>
                <w:lang w:val="en-US" w:eastAsia="zh-CN"/>
              </w:rPr>
              <w:t>≥5</w:t>
            </w:r>
            <w:r>
              <w:rPr>
                <w:rFonts w:hint="eastAsia" w:ascii="仿宋" w:hAnsi="仿宋" w:eastAsia="仿宋" w:cs="宋体"/>
                <w:color w:val="auto"/>
                <w:kern w:val="0"/>
                <w:sz w:val="20"/>
                <w:szCs w:val="20"/>
                <w:highlight w:val="none"/>
              </w:rPr>
              <w:t>00</w:t>
            </w:r>
            <w:r>
              <w:rPr>
                <w:rFonts w:hint="eastAsia" w:ascii="仿宋" w:hAnsi="仿宋" w:eastAsia="仿宋" w:cs="宋体"/>
                <w:color w:val="auto"/>
                <w:kern w:val="0"/>
                <w:sz w:val="20"/>
                <w:szCs w:val="20"/>
                <w:highlight w:val="none"/>
                <w:lang w:val="en-US" w:eastAsia="zh-CN"/>
              </w:rPr>
              <w:t xml:space="preserve"> </w:t>
            </w:r>
            <w:r>
              <w:rPr>
                <w:rFonts w:hint="eastAsia" w:ascii="仿宋" w:hAnsi="仿宋" w:eastAsia="仿宋" w:cs="宋体"/>
                <w:color w:val="auto"/>
                <w:kern w:val="0"/>
                <w:sz w:val="20"/>
                <w:szCs w:val="20"/>
                <w:highlight w:val="none"/>
              </w:rPr>
              <w:t>Mbps，支持用户数</w:t>
            </w:r>
            <w:r>
              <w:rPr>
                <w:rFonts w:hint="eastAsia" w:ascii="仿宋" w:hAnsi="仿宋" w:eastAsia="仿宋" w:cs="宋体"/>
                <w:color w:val="auto"/>
                <w:kern w:val="0"/>
                <w:sz w:val="20"/>
                <w:szCs w:val="20"/>
                <w:highlight w:val="none"/>
                <w:lang w:val="en-US" w:eastAsia="zh-CN"/>
              </w:rPr>
              <w:t>≥4000</w:t>
            </w:r>
            <w:r>
              <w:rPr>
                <w:rFonts w:hint="eastAsia" w:ascii="仿宋" w:hAnsi="仿宋" w:eastAsia="仿宋" w:cs="宋体"/>
                <w:color w:val="auto"/>
                <w:kern w:val="0"/>
                <w:sz w:val="20"/>
                <w:szCs w:val="20"/>
                <w:highlight w:val="none"/>
              </w:rPr>
              <w:t>，每秒新建连接数</w:t>
            </w:r>
            <w:r>
              <w:rPr>
                <w:rFonts w:hint="eastAsia" w:ascii="仿宋" w:hAnsi="仿宋" w:eastAsia="仿宋" w:cs="宋体"/>
                <w:color w:val="auto"/>
                <w:kern w:val="0"/>
                <w:sz w:val="20"/>
                <w:szCs w:val="20"/>
                <w:highlight w:val="none"/>
                <w:lang w:val="en-US" w:eastAsia="zh-CN"/>
              </w:rPr>
              <w:t>≥10000</w:t>
            </w:r>
            <w:r>
              <w:rPr>
                <w:rFonts w:hint="eastAsia" w:ascii="仿宋" w:hAnsi="仿宋" w:eastAsia="仿宋" w:cs="宋体"/>
                <w:color w:val="auto"/>
                <w:kern w:val="0"/>
                <w:sz w:val="20"/>
                <w:szCs w:val="20"/>
                <w:highlight w:val="none"/>
              </w:rPr>
              <w:t>，最大并发连接数</w:t>
            </w:r>
            <w:r>
              <w:rPr>
                <w:rFonts w:hint="eastAsia" w:ascii="仿宋" w:hAnsi="仿宋" w:eastAsia="仿宋" w:cs="宋体"/>
                <w:color w:val="auto"/>
                <w:kern w:val="0"/>
                <w:sz w:val="20"/>
                <w:szCs w:val="20"/>
                <w:highlight w:val="none"/>
                <w:lang w:val="en-US" w:eastAsia="zh-CN"/>
              </w:rPr>
              <w:t>≥50</w:t>
            </w:r>
            <w:r>
              <w:rPr>
                <w:rFonts w:hint="eastAsia" w:ascii="仿宋" w:hAnsi="仿宋" w:eastAsia="仿宋" w:cs="宋体"/>
                <w:color w:val="auto"/>
                <w:kern w:val="0"/>
                <w:sz w:val="20"/>
                <w:szCs w:val="20"/>
                <w:highlight w:val="none"/>
              </w:rPr>
              <w:t>0000</w:t>
            </w:r>
            <w:r>
              <w:rPr>
                <w:rFonts w:hint="eastAsia" w:ascii="仿宋" w:hAnsi="仿宋" w:eastAsia="仿宋" w:cs="宋体"/>
                <w:color w:val="auto"/>
                <w:kern w:val="0"/>
                <w:sz w:val="20"/>
                <w:szCs w:val="20"/>
                <w:highlight w:val="none"/>
                <w:lang w:eastAsia="zh-CN"/>
              </w:rPr>
              <w:t>。</w:t>
            </w:r>
          </w:p>
          <w:p>
            <w:pPr>
              <w:widowControl/>
              <w:numPr>
                <w:ilvl w:val="0"/>
                <w:numId w:val="0"/>
              </w:numPr>
              <w:ind w:leftChars="0"/>
              <w:jc w:val="left"/>
              <w:rPr>
                <w:rFonts w:hint="eastAsia"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lang w:val="en-US" w:eastAsia="zh-CN"/>
              </w:rPr>
              <w:t>部署方式：支持网关模式、网桥模式、旁路模式部署，支持两台及两台以上设备同时做主机的部署模式。</w:t>
            </w:r>
          </w:p>
          <w:p>
            <w:pPr>
              <w:widowControl/>
              <w:numPr>
                <w:ilvl w:val="0"/>
                <w:numId w:val="0"/>
              </w:numPr>
              <w:ind w:leftChars="0"/>
              <w:jc w:val="left"/>
              <w:rPr>
                <w:rFonts w:hint="eastAsia"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lang w:val="en-US" w:eastAsia="zh-CN"/>
              </w:rPr>
              <w:t>多台设备支持通过统一平台集中管理、集中配置等，解除集中管理时，要输入中心端的解控秘钥才允许解控</w:t>
            </w:r>
            <w:r>
              <w:rPr>
                <w:rFonts w:hint="eastAsia" w:ascii="仿宋" w:hAnsi="仿宋" w:eastAsia="仿宋" w:cs="宋体"/>
                <w:color w:val="auto"/>
                <w:kern w:val="0"/>
                <w:sz w:val="20"/>
                <w:szCs w:val="20"/>
                <w:highlight w:val="none"/>
              </w:rPr>
              <w:t>。</w:t>
            </w:r>
          </w:p>
          <w:p>
            <w:pPr>
              <w:widowControl/>
              <w:numPr>
                <w:ilvl w:val="0"/>
                <w:numId w:val="0"/>
              </w:numPr>
              <w:ind w:leftChars="0"/>
              <w:jc w:val="left"/>
              <w:rPr>
                <w:rFonts w:hint="eastAsia"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lang w:val="en-US" w:eastAsia="zh-CN"/>
              </w:rPr>
              <w:t>支持触发式WEB认证，用户名密码认证等。</w:t>
            </w:r>
          </w:p>
          <w:p>
            <w:pPr>
              <w:widowControl/>
              <w:numPr>
                <w:ilvl w:val="0"/>
                <w:numId w:val="0"/>
              </w:numPr>
              <w:ind w:leftChars="0"/>
              <w:jc w:val="left"/>
              <w:rPr>
                <w:rFonts w:hint="eastAsia"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lang w:val="en-US" w:eastAsia="zh-CN"/>
              </w:rPr>
              <w:t>支持终端用户账号绑定手机号码和微信号，绑定后可以通过手机验证码和微信扫码实现上网快捷登录认证。</w:t>
            </w:r>
          </w:p>
          <w:p>
            <w:pPr>
              <w:widowControl/>
              <w:numPr>
                <w:ilvl w:val="0"/>
                <w:numId w:val="0"/>
              </w:numPr>
              <w:ind w:leftChars="0"/>
              <w:jc w:val="left"/>
              <w:rPr>
                <w:rFonts w:hint="eastAsia" w:ascii="仿宋" w:hAnsi="仿宋" w:eastAsia="仿宋" w:cs="宋体"/>
                <w:color w:val="auto"/>
                <w:kern w:val="0"/>
                <w:sz w:val="20"/>
                <w:szCs w:val="20"/>
                <w:highlight w:val="none"/>
                <w:lang w:val="en-US" w:eastAsia="zh-CN"/>
              </w:rPr>
            </w:pPr>
            <w:r>
              <w:rPr>
                <w:rFonts w:hint="eastAsia" w:ascii="仿宋" w:hAnsi="仿宋" w:eastAsia="仿宋" w:cs="宋体"/>
                <w:color w:val="auto"/>
                <w:kern w:val="0"/>
                <w:sz w:val="20"/>
                <w:szCs w:val="20"/>
                <w:highlight w:val="none"/>
                <w:lang w:val="en-US" w:eastAsia="zh-CN"/>
              </w:rPr>
              <w:t>支持通过OAuth认证协议对接，支持阿里钉钉，口袋助理，企业微信第三方账号授权认证。</w:t>
            </w:r>
          </w:p>
          <w:p>
            <w:pPr>
              <w:widowControl/>
              <w:numPr>
                <w:ilvl w:val="0"/>
                <w:numId w:val="0"/>
              </w:numPr>
              <w:ind w:leftChars="0"/>
              <w:jc w:val="left"/>
              <w:rPr>
                <w:rFonts w:hint="eastAsia" w:ascii="仿宋" w:hAnsi="仿宋" w:eastAsia="仿宋" w:cs="宋体"/>
                <w:color w:val="auto"/>
                <w:kern w:val="0"/>
                <w:sz w:val="20"/>
                <w:szCs w:val="20"/>
                <w:highlight w:val="none"/>
                <w:lang w:val="en-US" w:eastAsia="zh-CN"/>
              </w:rPr>
            </w:pPr>
            <w:r>
              <w:rPr>
                <w:rFonts w:hint="eastAsia" w:ascii="仿宋" w:hAnsi="仿宋" w:eastAsia="仿宋" w:cs="宋体"/>
                <w:color w:val="auto"/>
                <w:kern w:val="0"/>
                <w:sz w:val="20"/>
                <w:szCs w:val="20"/>
                <w:highlight w:val="none"/>
                <w:lang w:val="en-US" w:eastAsia="zh-CN"/>
              </w:rPr>
              <w:t>支持终端调用管理员指定脚本/程序以满足个性化检查要求，比如检测系统更新是否开启、开放端口、已安装程序列表、终端发通知等对不满足检查要求的终端可弹窗提示、禁止上网。</w:t>
            </w:r>
          </w:p>
          <w:p>
            <w:pPr>
              <w:widowControl/>
              <w:numPr>
                <w:ilvl w:val="0"/>
                <w:numId w:val="0"/>
              </w:numPr>
              <w:ind w:leftChars="0"/>
              <w:jc w:val="left"/>
              <w:rPr>
                <w:rFonts w:hint="eastAsia"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lang w:val="en-US" w:eastAsia="zh-CN"/>
              </w:rPr>
              <w:t>支持在不安装客户端的情况下通过流量状况检查主流杀毒软件的运行情况，对不满足检查要求的终端可重定向页面修复。</w:t>
            </w:r>
          </w:p>
          <w:p>
            <w:pPr>
              <w:widowControl/>
              <w:numPr>
                <w:ilvl w:val="0"/>
                <w:numId w:val="0"/>
              </w:numPr>
              <w:ind w:leftChars="0"/>
              <w:jc w:val="left"/>
              <w:rPr>
                <w:rFonts w:hint="eastAsia" w:ascii="仿宋" w:hAnsi="仿宋" w:eastAsia="仿宋" w:cs="宋体"/>
                <w:color w:val="auto"/>
                <w:kern w:val="0"/>
                <w:sz w:val="20"/>
                <w:szCs w:val="20"/>
                <w:highlight w:val="none"/>
              </w:rPr>
            </w:pPr>
            <w:r>
              <w:rPr>
                <w:rFonts w:hint="eastAsia" w:ascii="仿宋" w:hAnsi="仿宋" w:eastAsia="仿宋" w:cs="仿宋"/>
                <w:color w:val="auto"/>
                <w:sz w:val="20"/>
                <w:szCs w:val="20"/>
                <w:highlight w:val="none"/>
                <w:lang w:val="en-US" w:eastAsia="zh-CN"/>
              </w:rPr>
              <w:t>支持对终端上U盘和移动硬盘接入设置可读写、拒绝、可读、告警；支持U盘和移动硬盘拷贝的文件内容以及插入和拔出行为的审计。</w:t>
            </w:r>
          </w:p>
        </w:tc>
      </w:tr>
      <w:tr>
        <w:tblPrEx>
          <w:tblCellMar>
            <w:top w:w="0" w:type="dxa"/>
            <w:left w:w="108" w:type="dxa"/>
            <w:bottom w:w="0" w:type="dxa"/>
            <w:right w:w="108" w:type="dxa"/>
          </w:tblCellMar>
        </w:tblPrEx>
        <w:trPr>
          <w:trHeight w:val="3277"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仿宋" w:hAnsi="仿宋" w:eastAsia="仿宋" w:cs="宋体"/>
                <w:color w:val="auto"/>
                <w:kern w:val="0"/>
                <w:sz w:val="20"/>
                <w:szCs w:val="20"/>
                <w:highlight w:val="none"/>
                <w:lang w:val="en-US" w:eastAsia="zh-CN"/>
              </w:rPr>
            </w:pPr>
            <w:r>
              <w:rPr>
                <w:rFonts w:hint="eastAsia" w:ascii="仿宋" w:hAnsi="仿宋" w:eastAsia="仿宋" w:cs="宋体"/>
                <w:color w:val="auto"/>
                <w:kern w:val="0"/>
                <w:sz w:val="20"/>
                <w:szCs w:val="20"/>
                <w:highlight w:val="none"/>
                <w:lang w:val="en-US" w:eastAsia="zh-CN"/>
              </w:rPr>
              <w:t>11</w:t>
            </w:r>
          </w:p>
        </w:tc>
        <w:tc>
          <w:tcPr>
            <w:tcW w:w="104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软件授权</w:t>
            </w:r>
          </w:p>
        </w:tc>
        <w:tc>
          <w:tcPr>
            <w:tcW w:w="77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交换机接入授权</w:t>
            </w:r>
          </w:p>
        </w:tc>
        <w:tc>
          <w:tcPr>
            <w:tcW w:w="69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路</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auto"/>
                <w:kern w:val="0"/>
                <w:sz w:val="20"/>
                <w:szCs w:val="20"/>
                <w:highlight w:val="none"/>
                <w:lang w:eastAsia="zh-CN"/>
              </w:rPr>
            </w:pPr>
            <w:r>
              <w:rPr>
                <w:rFonts w:hint="eastAsia" w:ascii="仿宋" w:hAnsi="仿宋" w:eastAsia="仿宋" w:cs="宋体"/>
                <w:color w:val="auto"/>
                <w:kern w:val="0"/>
                <w:sz w:val="20"/>
                <w:szCs w:val="20"/>
                <w:highlight w:val="none"/>
              </w:rPr>
              <w:t>1</w:t>
            </w:r>
            <w:r>
              <w:rPr>
                <w:rFonts w:hint="eastAsia" w:ascii="仿宋" w:hAnsi="仿宋" w:eastAsia="仿宋" w:cs="宋体"/>
                <w:color w:val="auto"/>
                <w:kern w:val="0"/>
                <w:sz w:val="20"/>
                <w:szCs w:val="20"/>
                <w:highlight w:val="none"/>
                <w:lang w:val="en-US" w:eastAsia="zh-CN"/>
              </w:rPr>
              <w:t>0</w:t>
            </w:r>
          </w:p>
        </w:tc>
        <w:tc>
          <w:tcPr>
            <w:tcW w:w="608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color w:val="auto"/>
                <w:kern w:val="0"/>
                <w:sz w:val="20"/>
                <w:szCs w:val="20"/>
                <w:highlight w:val="none"/>
                <w:lang w:eastAsia="zh-CN"/>
              </w:rPr>
            </w:pPr>
            <w:r>
              <w:rPr>
                <w:rFonts w:hint="eastAsia" w:ascii="仿宋" w:hAnsi="仿宋" w:eastAsia="仿宋" w:cs="宋体"/>
                <w:color w:val="auto"/>
                <w:kern w:val="0"/>
                <w:sz w:val="20"/>
                <w:szCs w:val="20"/>
                <w:highlight w:val="none"/>
              </w:rPr>
              <w:t>支持自动发现交换机，并自动生成网络拓扑，用户可以通过浏览拓扑视图了解交换机的层次结构和运行状态</w:t>
            </w:r>
            <w:r>
              <w:rPr>
                <w:rFonts w:hint="eastAsia" w:ascii="仿宋" w:hAnsi="仿宋" w:eastAsia="仿宋" w:cs="宋体"/>
                <w:color w:val="auto"/>
                <w:kern w:val="0"/>
                <w:sz w:val="20"/>
                <w:szCs w:val="20"/>
                <w:highlight w:val="none"/>
                <w:lang w:eastAsia="zh-CN"/>
              </w:rPr>
              <w:t>；</w:t>
            </w:r>
          </w:p>
          <w:p>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支持在拓扑上直接显示在线、离线、待激活、待修复等状态显示，以及查看设备面板化信息、编辑设备基本属性、设置协议参数、删除、保存位置等基本操作；</w:t>
            </w:r>
          </w:p>
          <w:p>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支持兼容接入原部署的网络控制器，型号：NAC-6200H；</w:t>
            </w:r>
          </w:p>
          <w:p>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支持管理员分权分级，不同的管理员拥有不同的管理权限，包括精细的页面修改查看权限和接入点管辖权限以及是否允许登陆数据中心等，方便网络的维护管理；</w:t>
            </w:r>
          </w:p>
        </w:tc>
      </w:tr>
      <w:tr>
        <w:tblPrEx>
          <w:tblCellMar>
            <w:top w:w="0" w:type="dxa"/>
            <w:left w:w="108" w:type="dxa"/>
            <w:bottom w:w="0" w:type="dxa"/>
            <w:right w:w="108" w:type="dxa"/>
          </w:tblCellMar>
        </w:tblPrEx>
        <w:trPr>
          <w:trHeight w:val="855"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auto"/>
                <w:kern w:val="0"/>
                <w:sz w:val="20"/>
                <w:szCs w:val="20"/>
                <w:highlight w:val="none"/>
                <w:lang w:eastAsia="zh-CN"/>
              </w:rPr>
            </w:pPr>
            <w:r>
              <w:rPr>
                <w:rFonts w:hint="eastAsia" w:ascii="仿宋" w:hAnsi="仿宋" w:eastAsia="仿宋" w:cs="宋体"/>
                <w:color w:val="auto"/>
                <w:kern w:val="0"/>
                <w:sz w:val="20"/>
                <w:szCs w:val="20"/>
                <w:highlight w:val="none"/>
              </w:rPr>
              <w:t>1</w:t>
            </w:r>
            <w:r>
              <w:rPr>
                <w:rFonts w:hint="eastAsia" w:ascii="仿宋" w:hAnsi="仿宋" w:eastAsia="仿宋" w:cs="宋体"/>
                <w:color w:val="auto"/>
                <w:kern w:val="0"/>
                <w:sz w:val="20"/>
                <w:szCs w:val="20"/>
                <w:highlight w:val="none"/>
                <w:lang w:val="en-US" w:eastAsia="zh-CN"/>
              </w:rPr>
              <w:t>2</w:t>
            </w:r>
          </w:p>
        </w:tc>
        <w:tc>
          <w:tcPr>
            <w:tcW w:w="104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中控室U</w:t>
            </w:r>
            <w:r>
              <w:rPr>
                <w:rFonts w:ascii="仿宋" w:hAnsi="仿宋" w:eastAsia="仿宋" w:cs="宋体"/>
                <w:color w:val="auto"/>
                <w:kern w:val="0"/>
                <w:sz w:val="20"/>
                <w:szCs w:val="20"/>
                <w:highlight w:val="none"/>
              </w:rPr>
              <w:t>PS</w:t>
            </w:r>
            <w:r>
              <w:rPr>
                <w:rFonts w:hint="eastAsia" w:ascii="仿宋" w:hAnsi="仿宋" w:eastAsia="仿宋" w:cs="宋体"/>
                <w:color w:val="auto"/>
                <w:kern w:val="0"/>
                <w:sz w:val="20"/>
                <w:szCs w:val="20"/>
                <w:highlight w:val="none"/>
              </w:rPr>
              <w:t>不间断电源</w:t>
            </w:r>
          </w:p>
        </w:tc>
        <w:tc>
          <w:tcPr>
            <w:tcW w:w="77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高频三进单出</w:t>
            </w:r>
          </w:p>
        </w:tc>
        <w:tc>
          <w:tcPr>
            <w:tcW w:w="69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套</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1</w:t>
            </w:r>
          </w:p>
        </w:tc>
        <w:tc>
          <w:tcPr>
            <w:tcW w:w="608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color w:val="auto"/>
                <w:kern w:val="0"/>
                <w:sz w:val="20"/>
                <w:szCs w:val="20"/>
                <w:highlight w:val="none"/>
                <w:lang w:eastAsia="zh-CN"/>
              </w:rPr>
            </w:pPr>
            <w:r>
              <w:rPr>
                <w:rFonts w:hint="eastAsia" w:ascii="仿宋" w:hAnsi="仿宋" w:eastAsia="仿宋" w:cs="宋体"/>
                <w:color w:val="auto"/>
                <w:kern w:val="0"/>
                <w:sz w:val="20"/>
                <w:szCs w:val="20"/>
                <w:highlight w:val="none"/>
              </w:rPr>
              <w:t>2</w:t>
            </w:r>
            <w:r>
              <w:rPr>
                <w:rFonts w:ascii="仿宋" w:hAnsi="仿宋" w:eastAsia="仿宋" w:cs="宋体"/>
                <w:color w:val="auto"/>
                <w:kern w:val="0"/>
                <w:sz w:val="20"/>
                <w:szCs w:val="20"/>
                <w:highlight w:val="none"/>
              </w:rPr>
              <w:t>0</w:t>
            </w:r>
            <w:r>
              <w:rPr>
                <w:rFonts w:hint="eastAsia" w:ascii="仿宋" w:hAnsi="仿宋" w:eastAsia="仿宋" w:cs="宋体"/>
                <w:color w:val="auto"/>
                <w:kern w:val="0"/>
                <w:sz w:val="20"/>
                <w:szCs w:val="20"/>
                <w:highlight w:val="none"/>
              </w:rPr>
              <w:t>KVA</w:t>
            </w:r>
            <w:r>
              <w:rPr>
                <w:rFonts w:hint="eastAsia" w:ascii="仿宋" w:hAnsi="仿宋" w:eastAsia="仿宋" w:cs="宋体"/>
                <w:color w:val="auto"/>
                <w:kern w:val="0"/>
                <w:sz w:val="20"/>
                <w:szCs w:val="20"/>
                <w:highlight w:val="none"/>
                <w:lang w:val="en-US" w:eastAsia="zh-CN"/>
              </w:rPr>
              <w:t>/18KW高频在线式UPS电源，</w:t>
            </w:r>
            <w:r>
              <w:rPr>
                <w:rFonts w:hint="eastAsia" w:ascii="仿宋" w:hAnsi="仿宋" w:eastAsia="仿宋" w:cs="宋体"/>
                <w:color w:val="auto"/>
                <w:kern w:val="0"/>
                <w:sz w:val="20"/>
                <w:szCs w:val="20"/>
                <w:highlight w:val="none"/>
              </w:rPr>
              <w:t>配置蓄电池及电池柜，后备供电时间不少于</w:t>
            </w:r>
            <w:r>
              <w:rPr>
                <w:rFonts w:hint="eastAsia" w:ascii="仿宋" w:hAnsi="仿宋" w:eastAsia="仿宋" w:cs="宋体"/>
                <w:color w:val="auto"/>
                <w:kern w:val="0"/>
                <w:sz w:val="20"/>
                <w:szCs w:val="20"/>
                <w:highlight w:val="none"/>
                <w:lang w:val="en-US" w:eastAsia="zh-CN"/>
              </w:rPr>
              <w:t>6</w:t>
            </w:r>
            <w:r>
              <w:rPr>
                <w:rFonts w:hint="eastAsia" w:ascii="仿宋" w:hAnsi="仿宋" w:eastAsia="仿宋" w:cs="宋体"/>
                <w:color w:val="auto"/>
                <w:kern w:val="0"/>
                <w:sz w:val="20"/>
                <w:szCs w:val="20"/>
                <w:highlight w:val="none"/>
              </w:rPr>
              <w:t>0分钟，要求UPS主机与蓄电池为同一品牌</w:t>
            </w:r>
            <w:r>
              <w:rPr>
                <w:rFonts w:hint="eastAsia" w:ascii="仿宋" w:hAnsi="仿宋" w:eastAsia="仿宋" w:cs="宋体"/>
                <w:color w:val="auto"/>
                <w:kern w:val="0"/>
                <w:sz w:val="20"/>
                <w:szCs w:val="20"/>
                <w:highlight w:val="none"/>
                <w:lang w:eastAsia="zh-CN"/>
              </w:rPr>
              <w:t>。</w:t>
            </w:r>
          </w:p>
        </w:tc>
      </w:tr>
      <w:tr>
        <w:tblPrEx>
          <w:tblCellMar>
            <w:top w:w="0" w:type="dxa"/>
            <w:left w:w="108" w:type="dxa"/>
            <w:bottom w:w="0" w:type="dxa"/>
            <w:right w:w="108" w:type="dxa"/>
          </w:tblCellMar>
        </w:tblPrEx>
        <w:trPr>
          <w:trHeight w:val="855"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auto"/>
                <w:kern w:val="0"/>
                <w:sz w:val="20"/>
                <w:szCs w:val="20"/>
                <w:highlight w:val="none"/>
                <w:lang w:eastAsia="zh-CN"/>
              </w:rPr>
            </w:pPr>
            <w:r>
              <w:rPr>
                <w:rFonts w:hint="eastAsia" w:ascii="仿宋" w:hAnsi="仿宋" w:eastAsia="仿宋" w:cs="宋体"/>
                <w:color w:val="auto"/>
                <w:kern w:val="0"/>
                <w:sz w:val="20"/>
                <w:szCs w:val="20"/>
                <w:highlight w:val="none"/>
              </w:rPr>
              <w:t>1</w:t>
            </w:r>
            <w:r>
              <w:rPr>
                <w:rFonts w:hint="eastAsia" w:ascii="仿宋" w:hAnsi="仿宋" w:eastAsia="仿宋" w:cs="宋体"/>
                <w:color w:val="auto"/>
                <w:kern w:val="0"/>
                <w:sz w:val="20"/>
                <w:szCs w:val="20"/>
                <w:highlight w:val="none"/>
                <w:lang w:val="en-US" w:eastAsia="zh-CN"/>
              </w:rPr>
              <w:t>3</w:t>
            </w:r>
          </w:p>
        </w:tc>
        <w:tc>
          <w:tcPr>
            <w:tcW w:w="104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 w:val="20"/>
                <w:szCs w:val="20"/>
                <w:highlight w:val="none"/>
              </w:rPr>
            </w:pPr>
            <w:r>
              <w:rPr>
                <w:rFonts w:ascii="仿宋" w:hAnsi="仿宋" w:eastAsia="仿宋" w:cs="宋体"/>
                <w:color w:val="auto"/>
                <w:kern w:val="0"/>
                <w:sz w:val="20"/>
                <w:szCs w:val="20"/>
                <w:highlight w:val="none"/>
              </w:rPr>
              <w:t>PLC</w:t>
            </w:r>
            <w:r>
              <w:rPr>
                <w:rFonts w:hint="eastAsia" w:ascii="仿宋" w:hAnsi="仿宋" w:eastAsia="仿宋" w:cs="宋体"/>
                <w:color w:val="auto"/>
                <w:kern w:val="0"/>
                <w:sz w:val="20"/>
                <w:szCs w:val="20"/>
                <w:highlight w:val="none"/>
              </w:rPr>
              <w:t>柜U</w:t>
            </w:r>
            <w:r>
              <w:rPr>
                <w:rFonts w:ascii="仿宋" w:hAnsi="仿宋" w:eastAsia="仿宋" w:cs="宋体"/>
                <w:color w:val="auto"/>
                <w:kern w:val="0"/>
                <w:sz w:val="20"/>
                <w:szCs w:val="20"/>
                <w:highlight w:val="none"/>
              </w:rPr>
              <w:t>PS</w:t>
            </w:r>
            <w:r>
              <w:rPr>
                <w:rFonts w:hint="eastAsia" w:ascii="仿宋" w:hAnsi="仿宋" w:eastAsia="仿宋" w:cs="宋体"/>
                <w:color w:val="auto"/>
                <w:kern w:val="0"/>
                <w:sz w:val="20"/>
                <w:szCs w:val="20"/>
                <w:highlight w:val="none"/>
              </w:rPr>
              <w:t>不间断电源</w:t>
            </w:r>
          </w:p>
        </w:tc>
        <w:tc>
          <w:tcPr>
            <w:tcW w:w="77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color w:val="auto"/>
                <w:kern w:val="0"/>
                <w:sz w:val="20"/>
                <w:szCs w:val="20"/>
                <w:highlight w:val="none"/>
                <w:lang w:val="en-US" w:eastAsia="zh-CN"/>
              </w:rPr>
            </w:pPr>
            <w:r>
              <w:rPr>
                <w:rFonts w:hint="eastAsia" w:ascii="仿宋" w:hAnsi="仿宋" w:eastAsia="仿宋" w:cs="宋体"/>
                <w:color w:val="auto"/>
                <w:kern w:val="0"/>
                <w:sz w:val="20"/>
                <w:szCs w:val="20"/>
                <w:highlight w:val="none"/>
                <w:lang w:val="en-US" w:eastAsia="zh-CN"/>
              </w:rPr>
              <w:t>单进单出</w:t>
            </w:r>
          </w:p>
        </w:tc>
        <w:tc>
          <w:tcPr>
            <w:tcW w:w="69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套</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4</w:t>
            </w:r>
          </w:p>
        </w:tc>
        <w:tc>
          <w:tcPr>
            <w:tcW w:w="608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color w:val="auto"/>
                <w:kern w:val="0"/>
                <w:sz w:val="20"/>
                <w:szCs w:val="20"/>
                <w:highlight w:val="none"/>
                <w:lang w:eastAsia="zh-CN"/>
              </w:rPr>
            </w:pPr>
            <w:r>
              <w:rPr>
                <w:rFonts w:hint="eastAsia" w:ascii="仿宋" w:hAnsi="仿宋" w:eastAsia="仿宋" w:cs="宋体"/>
                <w:color w:val="auto"/>
                <w:kern w:val="0"/>
                <w:sz w:val="20"/>
                <w:szCs w:val="20"/>
                <w:highlight w:val="none"/>
              </w:rPr>
              <w:t>3000VA/2400W 在线式UPS不间断电源，配置蓄电池</w:t>
            </w:r>
            <w:r>
              <w:rPr>
                <w:rFonts w:hint="eastAsia" w:ascii="仿宋" w:hAnsi="仿宋" w:eastAsia="仿宋" w:cs="宋体"/>
                <w:color w:val="auto"/>
                <w:kern w:val="0"/>
                <w:sz w:val="20"/>
                <w:szCs w:val="20"/>
                <w:highlight w:val="none"/>
                <w:lang w:val="en-US" w:eastAsia="zh-CN"/>
              </w:rPr>
              <w:t>及电池柜</w:t>
            </w:r>
            <w:r>
              <w:rPr>
                <w:rFonts w:hint="eastAsia" w:ascii="仿宋" w:hAnsi="仿宋" w:eastAsia="仿宋" w:cs="宋体"/>
                <w:color w:val="auto"/>
                <w:kern w:val="0"/>
                <w:sz w:val="20"/>
                <w:szCs w:val="20"/>
                <w:highlight w:val="none"/>
              </w:rPr>
              <w:t>，后备供电时间不少于30分钟，要求UPS主机与蓄电池为同一品牌</w:t>
            </w:r>
            <w:r>
              <w:rPr>
                <w:rFonts w:hint="eastAsia" w:ascii="仿宋" w:hAnsi="仿宋" w:eastAsia="仿宋" w:cs="宋体"/>
                <w:color w:val="auto"/>
                <w:kern w:val="0"/>
                <w:sz w:val="20"/>
                <w:szCs w:val="20"/>
                <w:highlight w:val="none"/>
                <w:lang w:eastAsia="zh-CN"/>
              </w:rPr>
              <w:t>。</w:t>
            </w:r>
          </w:p>
        </w:tc>
      </w:tr>
      <w:tr>
        <w:tblPrEx>
          <w:tblCellMar>
            <w:top w:w="0" w:type="dxa"/>
            <w:left w:w="108" w:type="dxa"/>
            <w:bottom w:w="0" w:type="dxa"/>
            <w:right w:w="108" w:type="dxa"/>
          </w:tblCellMar>
        </w:tblPrEx>
        <w:trPr>
          <w:trHeight w:val="1028"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auto"/>
                <w:kern w:val="0"/>
                <w:sz w:val="20"/>
                <w:szCs w:val="20"/>
                <w:highlight w:val="none"/>
                <w:lang w:eastAsia="zh-CN"/>
              </w:rPr>
            </w:pPr>
            <w:r>
              <w:rPr>
                <w:rFonts w:hint="eastAsia" w:ascii="仿宋" w:hAnsi="仿宋" w:eastAsia="仿宋" w:cs="宋体"/>
                <w:color w:val="auto"/>
                <w:kern w:val="0"/>
                <w:sz w:val="20"/>
                <w:szCs w:val="20"/>
                <w:highlight w:val="none"/>
              </w:rPr>
              <w:t>1</w:t>
            </w:r>
            <w:r>
              <w:rPr>
                <w:rFonts w:hint="eastAsia" w:ascii="仿宋" w:hAnsi="仿宋" w:eastAsia="仿宋" w:cs="宋体"/>
                <w:color w:val="auto"/>
                <w:kern w:val="0"/>
                <w:sz w:val="20"/>
                <w:szCs w:val="20"/>
                <w:highlight w:val="none"/>
                <w:lang w:val="en-US" w:eastAsia="zh-CN"/>
              </w:rPr>
              <w:t>4</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监控摄像头安装调试</w:t>
            </w:r>
          </w:p>
        </w:tc>
        <w:tc>
          <w:tcPr>
            <w:tcW w:w="77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施工类</w:t>
            </w:r>
          </w:p>
        </w:tc>
        <w:tc>
          <w:tcPr>
            <w:tcW w:w="6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台</w:t>
            </w:r>
          </w:p>
        </w:tc>
        <w:tc>
          <w:tcPr>
            <w:tcW w:w="66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1</w:t>
            </w:r>
            <w:r>
              <w:rPr>
                <w:rFonts w:ascii="仿宋" w:hAnsi="仿宋" w:eastAsia="仿宋" w:cs="宋体"/>
                <w:color w:val="auto"/>
                <w:kern w:val="0"/>
                <w:sz w:val="20"/>
                <w:szCs w:val="20"/>
                <w:highlight w:val="none"/>
              </w:rPr>
              <w:t>5</w:t>
            </w:r>
          </w:p>
        </w:tc>
        <w:tc>
          <w:tcPr>
            <w:tcW w:w="608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包含人工费、支架、光缆、网线、套管、设备箱等</w:t>
            </w:r>
          </w:p>
        </w:tc>
      </w:tr>
      <w:tr>
        <w:tblPrEx>
          <w:tblCellMar>
            <w:top w:w="0" w:type="dxa"/>
            <w:left w:w="108" w:type="dxa"/>
            <w:bottom w:w="0" w:type="dxa"/>
            <w:right w:w="108" w:type="dxa"/>
          </w:tblCellMar>
        </w:tblPrEx>
        <w:trPr>
          <w:trHeight w:val="971"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auto"/>
                <w:kern w:val="0"/>
                <w:sz w:val="20"/>
                <w:szCs w:val="20"/>
                <w:highlight w:val="none"/>
                <w:lang w:eastAsia="zh-CN"/>
              </w:rPr>
            </w:pPr>
            <w:r>
              <w:rPr>
                <w:rFonts w:hint="eastAsia" w:ascii="仿宋" w:hAnsi="仿宋" w:eastAsia="仿宋" w:cs="宋体"/>
                <w:color w:val="auto"/>
                <w:kern w:val="0"/>
                <w:sz w:val="20"/>
                <w:szCs w:val="20"/>
                <w:highlight w:val="none"/>
              </w:rPr>
              <w:t>1</w:t>
            </w:r>
            <w:r>
              <w:rPr>
                <w:rFonts w:hint="eastAsia" w:ascii="仿宋" w:hAnsi="仿宋" w:eastAsia="仿宋" w:cs="宋体"/>
                <w:color w:val="auto"/>
                <w:kern w:val="0"/>
                <w:sz w:val="20"/>
                <w:szCs w:val="20"/>
                <w:highlight w:val="none"/>
                <w:lang w:val="en-US" w:eastAsia="zh-CN"/>
              </w:rPr>
              <w:t>5</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机房综合布线</w:t>
            </w:r>
          </w:p>
        </w:tc>
        <w:tc>
          <w:tcPr>
            <w:tcW w:w="77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施工类</w:t>
            </w:r>
          </w:p>
        </w:tc>
        <w:tc>
          <w:tcPr>
            <w:tcW w:w="6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项</w:t>
            </w:r>
          </w:p>
        </w:tc>
        <w:tc>
          <w:tcPr>
            <w:tcW w:w="66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1</w:t>
            </w:r>
          </w:p>
        </w:tc>
        <w:tc>
          <w:tcPr>
            <w:tcW w:w="608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包括理线架、配线架、跳线架、跳线、光纤连接、光纤盒、光模块等</w:t>
            </w:r>
          </w:p>
        </w:tc>
      </w:tr>
    </w:tbl>
    <w:p>
      <w:pPr>
        <w:pStyle w:val="29"/>
        <w:rPr>
          <w:rFonts w:hint="eastAsia" w:ascii="仿宋" w:hAnsi="仿宋" w:eastAsia="仿宋" w:cs="仿宋"/>
          <w:color w:val="auto"/>
          <w:sz w:val="28"/>
          <w:szCs w:val="28"/>
          <w:highlight w:val="none"/>
        </w:rPr>
      </w:pPr>
    </w:p>
    <w:p>
      <w:pPr>
        <w:pStyle w:val="22"/>
        <w:rPr>
          <w:rFonts w:hint="default" w:ascii="仿宋_GB2312" w:eastAsia="仿宋_GB2312"/>
          <w:color w:val="auto"/>
          <w:sz w:val="28"/>
          <w:szCs w:val="28"/>
          <w:highlight w:val="none"/>
          <w:lang w:val="en-US" w:eastAsia="zh-CN"/>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rPr>
          <w:color w:val="auto"/>
          <w:highlight w:val="none"/>
        </w:rPr>
      </w:pPr>
    </w:p>
    <w:p>
      <w:pPr>
        <w:pStyle w:val="22"/>
        <w:ind w:left="0" w:leftChars="0" w:firstLine="0" w:firstLineChars="0"/>
        <w:rPr>
          <w:color w:val="auto"/>
          <w:highlight w:val="none"/>
        </w:rPr>
      </w:pPr>
    </w:p>
    <w:p>
      <w:pPr>
        <w:pStyle w:val="22"/>
        <w:ind w:left="0" w:leftChars="0" w:firstLine="0" w:firstLineChars="0"/>
        <w:rPr>
          <w:color w:val="auto"/>
          <w:highlight w:val="none"/>
        </w:rPr>
      </w:pPr>
    </w:p>
    <w:p>
      <w:pPr>
        <w:pStyle w:val="22"/>
        <w:ind w:left="0" w:leftChars="0" w:firstLine="0" w:firstLineChars="0"/>
        <w:rPr>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2306320</wp:posOffset>
                </wp:positionH>
                <wp:positionV relativeFrom="paragraph">
                  <wp:posOffset>720090</wp:posOffset>
                </wp:positionV>
                <wp:extent cx="958850" cy="0"/>
                <wp:effectExtent l="0" t="4445" r="0" b="5080"/>
                <wp:wrapNone/>
                <wp:docPr id="17"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7769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qQlG48gEAAOMDAAAOAAAAZHJzL2Uyb0RvYy54bWytU0uO&#10;EzEQ3SNxB8t70kmkQKaVziwShg2CSMABKra725J/cnny2bFDnIEdS+4AtxkJbkHZncnAsMmCXrjL&#10;rqpX9Z7Li+uDNWynImrvGj4ZjTlTTnipXdfwD+9vns05wwROgvFONfyokF8vnz5Z7EOtpr73RqrI&#10;CMRhvQ8N71MKdVWh6JUFHPmgHDlbHy0k2saukhH2hG5NNR2Pn1d7H2WIXihEOl0PTn5CjJcA+rbV&#10;Qq29uLXKpQE1KgOJKGGvA/Jl6bZtlUhv2xZVYqbhxDSVlYqQvc1rtVxA3UUIvRanFuCSFh5xsqAd&#10;FT1DrSEBu436HyirRfTo2zQS3lYDkaIIsZiMH2nzroegCheSGsNZdPx/sOLNbhOZljQJLzhzYOnG&#10;f3769uvj57svP+6+f2VXWaJ9wJoiV24TTzsMm5j5Htpo85+YsEOR9XiWVR0SE3R4NZvPZyS4uHdV&#10;D3khYnqlvGXZaDimCLrr08o7R3fn46SoCrvXmKgyJd4n5KLGsX2Gn84IHGgWW5oBMm0gPui6kove&#10;aHmjjckZGLvtykS2gzwP5cv8CPevsFxkDdgPccU1TEqvQL50kqVjIKEcPRCeW7BKcmYUvadsESDU&#10;CbS5JJJKG0cdZIkHUbO19fJYtC7ndPelx9Oc5uH6c1+yH97m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akJRu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2325370</wp:posOffset>
                </wp:positionH>
                <wp:positionV relativeFrom="paragraph">
                  <wp:posOffset>270510</wp:posOffset>
                </wp:positionV>
                <wp:extent cx="958850" cy="0"/>
                <wp:effectExtent l="0" t="4445" r="0" b="5080"/>
                <wp:wrapNone/>
                <wp:docPr id="18"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7667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ZQS0p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WkSqO8OLHX8&#10;56dvvz5+vvvy4+77V7bMEg0Ba/LcuJt42mG4iZnvoY02/4kJOxRZj2dZ1SExQYcvFsvlggQX91fV&#10;Q1yImF4pb1k2Go4pgu76tPHOUe98nBVVYf8aE2WmwPuAnNQ4NmT4+YLAgWaxpRkg0wbig64rseiN&#10;ltfamByBsdttTGR7yPNQvsyPcP9yy0m2gP3oV67GSekVyJdOsnQMJJSjB8JzCVZJzoyi95QtAoQ6&#10;gTaXeFJq46iCLPEoarZ2Xh6L1uWcel9qPM1pHq4/9yX64W2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2UEtKfIBAADj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第六章</w:t>
      </w:r>
    </w:p>
    <w:p>
      <w:pPr>
        <w:pStyle w:val="38"/>
        <w:rPr>
          <w:color w:val="auto"/>
          <w:highlight w:val="none"/>
        </w:rPr>
      </w:pPr>
    </w:p>
    <w:p>
      <w:pPr>
        <w:pStyle w:val="3"/>
        <w:rPr>
          <w:color w:val="auto"/>
          <w:highlight w:val="none"/>
        </w:rPr>
      </w:pPr>
      <w:r>
        <w:rPr>
          <w:rFonts w:hint="eastAsia"/>
          <w:color w:val="auto"/>
          <w:highlight w:val="none"/>
        </w:rPr>
        <w:t>合同</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snapToGrid/>
        <w:spacing w:beforeLines="-2147483648" w:afterLines="-2147483648" w:line="240" w:lineRule="auto"/>
        <w:jc w:val="left"/>
        <w:rPr>
          <w:rFonts w:hint="eastAsia" w:ascii="方正小标宋简体" w:eastAsia="方正小标宋简体"/>
          <w:color w:val="auto"/>
          <w:sz w:val="28"/>
          <w:szCs w:val="28"/>
          <w:highlight w:val="none"/>
        </w:rPr>
      </w:pPr>
      <w:r>
        <w:rPr>
          <w:rFonts w:hint="eastAsia" w:ascii="方正小标宋简体" w:eastAsia="方正小标宋简体"/>
          <w:color w:val="auto"/>
          <w:sz w:val="28"/>
          <w:szCs w:val="28"/>
          <w:highlight w:val="none"/>
        </w:rPr>
        <w:br w:type="page"/>
      </w:r>
    </w:p>
    <w:p>
      <w:pPr>
        <w:spacing w:line="400" w:lineRule="atLeast"/>
        <w:rPr>
          <w:rFonts w:eastAsia="仿宋_GB2312" w:cs="仿宋_GB2312" w:asciiTheme="majorHAnsi" w:hAnsiTheme="majorHAnsi"/>
          <w:color w:val="auto"/>
          <w:sz w:val="52"/>
          <w:szCs w:val="52"/>
          <w:highlight w:val="none"/>
        </w:rPr>
      </w:pPr>
    </w:p>
    <w:p>
      <w:pPr>
        <w:spacing w:line="400" w:lineRule="atLeast"/>
        <w:jc w:val="center"/>
        <w:rPr>
          <w:rFonts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广州市净水有限公司</w:t>
      </w:r>
    </w:p>
    <w:p>
      <w:pPr>
        <w:spacing w:line="400" w:lineRule="atLeast"/>
        <w:jc w:val="center"/>
        <w:rPr>
          <w:rFonts w:cs="Times New Roman" w:asciiTheme="majorHAnsi" w:hAnsiTheme="majorHAnsi" w:eastAsiaTheme="majorEastAsia"/>
          <w:b/>
          <w:bCs/>
          <w:color w:val="auto"/>
          <w:sz w:val="52"/>
          <w:szCs w:val="52"/>
          <w:highlight w:val="none"/>
        </w:rPr>
      </w:pPr>
      <w:r>
        <w:rPr>
          <w:rFonts w:hint="eastAsia" w:ascii="宋体" w:hAnsi="宋体" w:eastAsia="宋体" w:cs="宋体"/>
          <w:b/>
          <w:bCs/>
          <w:color w:val="auto"/>
          <w:sz w:val="48"/>
          <w:szCs w:val="48"/>
          <w:highlight w:val="none"/>
        </w:rPr>
        <w:t>设备维修维护/技改项目合同</w:t>
      </w:r>
    </w:p>
    <w:p>
      <w:pPr>
        <w:ind w:left="1449" w:leftChars="690" w:firstLine="4785" w:firstLineChars="1994"/>
        <w:rPr>
          <w:rFonts w:hint="eastAsia"/>
          <w:color w:val="auto"/>
          <w:sz w:val="24"/>
          <w:highlight w:val="none"/>
        </w:rPr>
      </w:pPr>
    </w:p>
    <w:p>
      <w:pPr>
        <w:pStyle w:val="2"/>
        <w:rPr>
          <w:rFonts w:hint="eastAsia"/>
          <w:color w:val="auto"/>
          <w:highlight w:val="none"/>
        </w:rPr>
      </w:pPr>
    </w:p>
    <w:p>
      <w:pPr>
        <w:pStyle w:val="12"/>
        <w:snapToGrid w:val="0"/>
        <w:spacing w:line="400" w:lineRule="exact"/>
        <w:ind w:right="84" w:rightChars="40" w:firstLine="193" w:firstLineChars="80"/>
        <w:rPr>
          <w:rFonts w:hint="eastAsia" w:hAnsi="宋体" w:eastAsia="宋体"/>
          <w:b/>
          <w:color w:val="auto"/>
          <w:sz w:val="24"/>
          <w:highlight w:val="none"/>
        </w:rPr>
      </w:pPr>
    </w:p>
    <w:p>
      <w:pPr>
        <w:pStyle w:val="12"/>
        <w:snapToGrid w:val="0"/>
        <w:spacing w:line="400" w:lineRule="exact"/>
        <w:ind w:right="84" w:rightChars="40" w:firstLine="192" w:firstLineChars="80"/>
        <w:rPr>
          <w:rFonts w:hint="eastAsia" w:hAnsi="宋体" w:eastAsia="宋体"/>
          <w:bCs/>
          <w:color w:val="auto"/>
          <w:sz w:val="24"/>
          <w:highlight w:val="none"/>
        </w:rPr>
      </w:pPr>
    </w:p>
    <w:p>
      <w:pPr>
        <w:spacing w:line="0" w:lineRule="atLeast"/>
        <w:ind w:left="638" w:leftChars="304" w:firstLine="0" w:firstLineChars="0"/>
        <w:rPr>
          <w:rFonts w:ascii="宋体" w:hAnsi="宋体" w:cs="宋体"/>
          <w:b/>
          <w:color w:val="auto"/>
          <w:sz w:val="30"/>
          <w:szCs w:val="30"/>
          <w:highlight w:val="none"/>
        </w:rPr>
      </w:pPr>
      <w:r>
        <w:rPr>
          <w:rFonts w:hint="eastAsia" w:hAnsi="宋体" w:eastAsia="宋体" w:cs="宋体"/>
          <w:b/>
          <w:color w:val="auto"/>
          <w:sz w:val="30"/>
          <w:szCs w:val="30"/>
          <w:highlight w:val="none"/>
        </w:rPr>
        <w:t>项目名称：</w:t>
      </w:r>
      <w:r>
        <w:rPr>
          <w:rFonts w:hint="eastAsia" w:ascii="宋体" w:hAnsi="宋体" w:cs="宋体"/>
          <w:b/>
          <w:color w:val="auto"/>
          <w:sz w:val="30"/>
          <w:szCs w:val="30"/>
          <w:highlight w:val="none"/>
          <w:lang w:val="en-US" w:eastAsia="zh-CN"/>
        </w:rPr>
        <w:t>广州市净水有限公司</w:t>
      </w:r>
      <w:r>
        <w:rPr>
          <w:rFonts w:hint="eastAsia" w:ascii="宋体" w:hAnsi="宋体" w:cs="宋体"/>
          <w:b/>
          <w:color w:val="auto"/>
          <w:sz w:val="30"/>
          <w:szCs w:val="30"/>
          <w:highlight w:val="none"/>
          <w:lang w:eastAsia="zh-CN"/>
        </w:rPr>
        <w:t>龙归分公司2024年厂区网络系统及视频监控系统改造项目</w:t>
      </w:r>
    </w:p>
    <w:p>
      <w:pPr>
        <w:pStyle w:val="12"/>
        <w:snapToGrid w:val="0"/>
        <w:spacing w:line="400" w:lineRule="exact"/>
        <w:ind w:right="84" w:rightChars="40" w:firstLine="1569"/>
        <w:rPr>
          <w:rFonts w:hint="eastAsia" w:hAnsi="宋体" w:eastAsia="宋体" w:cs="宋体"/>
          <w:b/>
          <w:color w:val="auto"/>
          <w:sz w:val="30"/>
          <w:szCs w:val="30"/>
          <w:highlight w:val="none"/>
        </w:rPr>
      </w:pPr>
    </w:p>
    <w:p>
      <w:pPr>
        <w:pStyle w:val="12"/>
        <w:snapToGrid w:val="0"/>
        <w:ind w:right="84" w:rightChars="40"/>
        <w:rPr>
          <w:rFonts w:hint="eastAsia" w:hAnsi="宋体" w:eastAsia="宋体" w:cs="宋体"/>
          <w:b/>
          <w:color w:val="auto"/>
          <w:sz w:val="30"/>
          <w:szCs w:val="30"/>
          <w:highlight w:val="none"/>
        </w:rPr>
      </w:pPr>
    </w:p>
    <w:p>
      <w:pPr>
        <w:pStyle w:val="12"/>
        <w:snapToGrid w:val="0"/>
        <w:ind w:right="84" w:rightChars="40"/>
        <w:rPr>
          <w:rFonts w:hint="eastAsia" w:hAnsi="宋体" w:eastAsia="宋体" w:cs="宋体"/>
          <w:b/>
          <w:color w:val="auto"/>
          <w:sz w:val="30"/>
          <w:szCs w:val="30"/>
          <w:highlight w:val="none"/>
        </w:rPr>
      </w:pPr>
    </w:p>
    <w:p>
      <w:pPr>
        <w:pStyle w:val="12"/>
        <w:snapToGrid w:val="0"/>
        <w:ind w:right="84" w:rightChars="40"/>
        <w:rPr>
          <w:rFonts w:hint="eastAsia" w:hAnsi="宋体" w:eastAsia="宋体" w:cs="宋体"/>
          <w:b/>
          <w:color w:val="auto"/>
          <w:sz w:val="30"/>
          <w:szCs w:val="30"/>
          <w:highlight w:val="none"/>
        </w:rPr>
      </w:pPr>
    </w:p>
    <w:p>
      <w:pPr>
        <w:pStyle w:val="12"/>
        <w:snapToGrid w:val="0"/>
        <w:ind w:right="84" w:rightChars="40"/>
        <w:rPr>
          <w:rFonts w:hint="eastAsia" w:hAnsi="宋体" w:eastAsia="宋体" w:cs="宋体"/>
          <w:b/>
          <w:color w:val="auto"/>
          <w:sz w:val="30"/>
          <w:szCs w:val="30"/>
          <w:highlight w:val="none"/>
        </w:rPr>
      </w:pPr>
    </w:p>
    <w:p>
      <w:pPr>
        <w:pStyle w:val="12"/>
        <w:snapToGrid w:val="0"/>
        <w:ind w:right="84" w:rightChars="40" w:firstLine="602" w:firstLineChars="200"/>
        <w:jc w:val="left"/>
        <w:rPr>
          <w:rFonts w:hAnsi="宋体" w:eastAsia="宋体" w:cs="宋体"/>
          <w:b/>
          <w:color w:val="auto"/>
          <w:sz w:val="30"/>
          <w:szCs w:val="30"/>
          <w:highlight w:val="none"/>
        </w:rPr>
      </w:pPr>
      <w:r>
        <w:rPr>
          <w:rFonts w:hint="eastAsia" w:hAnsi="宋体" w:eastAsia="宋体" w:cs="宋体"/>
          <w:b/>
          <w:color w:val="auto"/>
          <w:sz w:val="30"/>
          <w:szCs w:val="30"/>
          <w:highlight w:val="none"/>
        </w:rPr>
        <w:t>合同编号：穗净水合[    ]    号</w:t>
      </w:r>
    </w:p>
    <w:p>
      <w:pPr>
        <w:pStyle w:val="12"/>
        <w:snapToGrid w:val="0"/>
        <w:spacing w:line="400" w:lineRule="exact"/>
        <w:ind w:right="84" w:rightChars="40" w:firstLine="602" w:firstLineChars="200"/>
        <w:jc w:val="left"/>
        <w:rPr>
          <w:rFonts w:hint="eastAsia" w:hAnsi="宋体" w:eastAsia="宋体" w:cs="宋体"/>
          <w:b/>
          <w:color w:val="auto"/>
          <w:sz w:val="30"/>
          <w:szCs w:val="30"/>
          <w:highlight w:val="none"/>
        </w:rPr>
      </w:pPr>
      <w:r>
        <w:rPr>
          <w:rFonts w:hint="eastAsia" w:hAnsi="宋体" w:eastAsia="宋体" w:cs="宋体"/>
          <w:b/>
          <w:color w:val="auto"/>
          <w:sz w:val="30"/>
          <w:szCs w:val="30"/>
          <w:highlight w:val="none"/>
        </w:rPr>
        <w:t>项目编号：04082024000001</w:t>
      </w:r>
    </w:p>
    <w:p>
      <w:pPr>
        <w:pStyle w:val="12"/>
        <w:snapToGrid w:val="0"/>
        <w:ind w:right="84" w:rightChars="40" w:firstLine="1569"/>
        <w:rPr>
          <w:rFonts w:hint="eastAsia" w:hAnsi="宋体" w:eastAsia="宋体" w:cs="宋体"/>
          <w:b/>
          <w:color w:val="auto"/>
          <w:sz w:val="30"/>
          <w:szCs w:val="30"/>
          <w:highlight w:val="none"/>
        </w:rPr>
      </w:pPr>
    </w:p>
    <w:p>
      <w:pPr>
        <w:pStyle w:val="12"/>
        <w:snapToGrid w:val="0"/>
        <w:ind w:right="84" w:rightChars="40" w:firstLine="1569"/>
        <w:rPr>
          <w:rFonts w:hint="eastAsia" w:hAnsi="宋体" w:eastAsia="宋体" w:cs="宋体"/>
          <w:b/>
          <w:color w:val="auto"/>
          <w:sz w:val="30"/>
          <w:szCs w:val="30"/>
          <w:highlight w:val="none"/>
        </w:rPr>
      </w:pPr>
    </w:p>
    <w:p>
      <w:pPr>
        <w:pStyle w:val="12"/>
        <w:snapToGrid w:val="0"/>
        <w:ind w:right="84" w:rightChars="40" w:firstLine="1569"/>
        <w:rPr>
          <w:rFonts w:hint="eastAsia" w:hAnsi="宋体" w:eastAsia="宋体" w:cs="宋体"/>
          <w:b/>
          <w:color w:val="auto"/>
          <w:sz w:val="30"/>
          <w:szCs w:val="30"/>
          <w:highlight w:val="none"/>
        </w:rPr>
      </w:pPr>
    </w:p>
    <w:p>
      <w:pPr>
        <w:pStyle w:val="12"/>
        <w:snapToGrid w:val="0"/>
        <w:ind w:right="84" w:rightChars="40" w:firstLine="1569"/>
        <w:rPr>
          <w:rFonts w:hint="eastAsia" w:hAnsi="宋体" w:eastAsia="宋体" w:cs="宋体"/>
          <w:b/>
          <w:color w:val="auto"/>
          <w:sz w:val="30"/>
          <w:szCs w:val="30"/>
          <w:highlight w:val="none"/>
        </w:rPr>
      </w:pPr>
    </w:p>
    <w:p>
      <w:pPr>
        <w:pStyle w:val="12"/>
        <w:snapToGrid w:val="0"/>
        <w:ind w:right="84" w:rightChars="40" w:firstLine="602" w:firstLineChars="200"/>
        <w:rPr>
          <w:rFonts w:hint="eastAsia" w:hAnsi="宋体" w:eastAsia="宋体" w:cs="宋体"/>
          <w:b/>
          <w:color w:val="auto"/>
          <w:sz w:val="30"/>
          <w:szCs w:val="30"/>
          <w:highlight w:val="none"/>
        </w:rPr>
      </w:pPr>
      <w:r>
        <w:rPr>
          <w:rFonts w:hint="eastAsia" w:hAnsi="宋体" w:eastAsia="宋体" w:cs="宋体"/>
          <w:b/>
          <w:color w:val="auto"/>
          <w:sz w:val="30"/>
          <w:szCs w:val="30"/>
          <w:highlight w:val="none"/>
        </w:rPr>
        <w:t>甲方：广州市净水有限公司</w:t>
      </w:r>
    </w:p>
    <w:p>
      <w:pPr>
        <w:pStyle w:val="12"/>
        <w:snapToGrid w:val="0"/>
        <w:ind w:right="84" w:rightChars="40" w:firstLine="1569" w:firstLineChars="521"/>
        <w:rPr>
          <w:rFonts w:hint="eastAsia" w:hAnsi="宋体" w:eastAsia="宋体" w:cs="宋体"/>
          <w:b/>
          <w:color w:val="auto"/>
          <w:sz w:val="30"/>
          <w:szCs w:val="30"/>
          <w:highlight w:val="none"/>
        </w:rPr>
      </w:pPr>
    </w:p>
    <w:p>
      <w:pPr>
        <w:pStyle w:val="12"/>
        <w:snapToGrid w:val="0"/>
        <w:ind w:right="84" w:rightChars="40" w:firstLine="1569"/>
        <w:rPr>
          <w:rFonts w:hint="eastAsia" w:hAnsi="宋体" w:eastAsia="宋体" w:cs="宋体"/>
          <w:b/>
          <w:color w:val="auto"/>
          <w:sz w:val="30"/>
          <w:szCs w:val="30"/>
          <w:highlight w:val="none"/>
        </w:rPr>
      </w:pPr>
    </w:p>
    <w:p>
      <w:pPr>
        <w:pStyle w:val="12"/>
        <w:snapToGrid w:val="0"/>
        <w:ind w:right="84" w:rightChars="40" w:firstLine="602" w:firstLineChars="200"/>
        <w:rPr>
          <w:rFonts w:hint="eastAsia" w:hAnsi="宋体" w:eastAsia="宋体" w:cs="宋体"/>
          <w:b/>
          <w:color w:val="auto"/>
          <w:sz w:val="30"/>
          <w:szCs w:val="30"/>
          <w:highlight w:val="none"/>
        </w:rPr>
      </w:pPr>
      <w:r>
        <w:rPr>
          <w:rFonts w:hint="eastAsia" w:hAnsi="宋体" w:eastAsia="宋体" w:cs="宋体"/>
          <w:b/>
          <w:color w:val="auto"/>
          <w:sz w:val="30"/>
          <w:szCs w:val="30"/>
          <w:highlight w:val="none"/>
        </w:rPr>
        <w:t>乙方：</w:t>
      </w:r>
    </w:p>
    <w:p>
      <w:pPr>
        <w:pStyle w:val="12"/>
        <w:snapToGrid w:val="0"/>
        <w:ind w:right="84" w:rightChars="40" w:firstLine="1569" w:firstLineChars="521"/>
        <w:rPr>
          <w:rFonts w:hint="eastAsia" w:hAnsi="宋体" w:eastAsia="宋体" w:cs="宋体"/>
          <w:b/>
          <w:color w:val="auto"/>
          <w:sz w:val="30"/>
          <w:szCs w:val="30"/>
          <w:highlight w:val="none"/>
        </w:rPr>
      </w:pPr>
      <w:r>
        <w:rPr>
          <w:rFonts w:hint="eastAsia" w:hAnsi="宋体" w:eastAsia="宋体" w:cs="宋体"/>
          <w:b/>
          <w:color w:val="auto"/>
          <w:sz w:val="30"/>
          <w:szCs w:val="30"/>
          <w:highlight w:val="none"/>
        </w:rPr>
        <w:t xml:space="preserve"> </w:t>
      </w:r>
    </w:p>
    <w:p>
      <w:pPr>
        <w:pStyle w:val="12"/>
        <w:snapToGrid w:val="0"/>
        <w:spacing w:line="400" w:lineRule="exact"/>
        <w:ind w:right="84" w:rightChars="40" w:firstLine="1569" w:firstLineChars="521"/>
        <w:rPr>
          <w:rFonts w:hint="eastAsia" w:hAnsi="宋体" w:eastAsia="宋体" w:cs="宋体"/>
          <w:b/>
          <w:color w:val="auto"/>
          <w:sz w:val="30"/>
          <w:szCs w:val="30"/>
          <w:highlight w:val="none"/>
        </w:rPr>
      </w:pPr>
    </w:p>
    <w:p>
      <w:pPr>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签订日期：       年   月   日</w:t>
      </w:r>
    </w:p>
    <w:p>
      <w:pPr>
        <w:ind w:firstLine="602" w:firstLineChars="200"/>
        <w:rPr>
          <w:rFonts w:hint="eastAsia" w:ascii="宋体" w:hAnsi="宋体" w:eastAsia="宋体" w:cs="宋体"/>
          <w:b/>
          <w:color w:val="auto"/>
          <w:sz w:val="30"/>
          <w:szCs w:val="30"/>
          <w:highlight w:val="none"/>
          <w:lang w:val="zh-CN"/>
        </w:rPr>
      </w:pPr>
      <w:r>
        <w:rPr>
          <w:rFonts w:hint="eastAsia" w:ascii="宋体" w:hAnsi="宋体" w:eastAsia="宋体" w:cs="宋体"/>
          <w:b/>
          <w:color w:val="auto"/>
          <w:sz w:val="30"/>
          <w:szCs w:val="30"/>
          <w:highlight w:val="none"/>
        </w:rPr>
        <w:t>签订地点：广州市</w:t>
      </w:r>
    </w:p>
    <w:p>
      <w:pPr>
        <w:pStyle w:val="48"/>
        <w:spacing w:line="500" w:lineRule="exact"/>
        <w:jc w:val="both"/>
        <w:rPr>
          <w:rFonts w:hint="eastAsia" w:ascii="宋体" w:hAnsi="宋体" w:eastAsia="宋体" w:cs="宋体"/>
          <w:b/>
          <w:color w:val="auto"/>
          <w:sz w:val="30"/>
          <w:szCs w:val="30"/>
          <w:highlight w:val="none"/>
          <w:lang w:val="zh-CN" w:eastAsia="zh-CN"/>
        </w:rPr>
        <w:sectPr>
          <w:pgSz w:w="11906" w:h="16838"/>
          <w:pgMar w:top="1644" w:right="1588" w:bottom="1644" w:left="1588" w:header="851" w:footer="992" w:gutter="0"/>
          <w:pgNumType w:fmt="numberInDash"/>
          <w:cols w:space="720" w:num="1"/>
          <w:docGrid w:type="lines" w:linePitch="312" w:charSpace="0"/>
        </w:sectPr>
      </w:pPr>
    </w:p>
    <w:p>
      <w:pPr>
        <w:spacing w:before="93" w:beforeLines="30" w:line="384" w:lineRule="auto"/>
        <w:ind w:left="210" w:leftChars="100" w:firstLine="600" w:firstLineChars="2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根据《中华人民共和国民法典》及其他有关法律、行政法规，</w:t>
      </w:r>
      <w:r>
        <w:rPr>
          <w:rFonts w:hint="eastAsia" w:ascii="宋体" w:hAnsi="宋体" w:eastAsia="宋体" w:cs="宋体"/>
          <w:color w:val="auto"/>
          <w:sz w:val="24"/>
          <w:szCs w:val="24"/>
          <w:highlight w:val="none"/>
          <w:u w:val="single"/>
        </w:rPr>
        <w:t>广州市净水有限公司</w:t>
      </w:r>
      <w:r>
        <w:rPr>
          <w:rFonts w:hint="eastAsia" w:ascii="宋体" w:hAnsi="宋体" w:eastAsia="宋体" w:cs="宋体"/>
          <w:color w:val="auto"/>
          <w:sz w:val="24"/>
          <w:szCs w:val="24"/>
          <w:highlight w:val="none"/>
        </w:rPr>
        <w:t xml:space="preserve"> （以下简称“甲方”）与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（以下简称“乙方”）就</w:t>
      </w:r>
      <w:r>
        <w:rPr>
          <w:rFonts w:hint="eastAsia" w:ascii="宋体" w:hAnsi="宋体" w:eastAsia="宋体" w:cs="宋体"/>
          <w:color w:val="auto"/>
          <w:sz w:val="24"/>
          <w:szCs w:val="24"/>
          <w:highlight w:val="none"/>
          <w:lang w:val="en-US" w:eastAsia="zh-CN"/>
        </w:rPr>
        <w:t>龙归分公司2024年厂区网络系统及视频监控系统改造</w:t>
      </w:r>
      <w:r>
        <w:rPr>
          <w:rFonts w:hint="eastAsia" w:ascii="宋体" w:hAnsi="宋体" w:eastAsia="宋体" w:cs="宋体"/>
          <w:color w:val="auto"/>
          <w:sz w:val="24"/>
          <w:szCs w:val="24"/>
          <w:highlight w:val="none"/>
        </w:rPr>
        <w:t>项目承接工作事宜，遵循平等、自愿、公平和诚实信用的原则，双方协商一致，订立本合同。</w:t>
      </w:r>
    </w:p>
    <w:p>
      <w:pPr>
        <w:spacing w:before="93" w:beforeLines="30" w:line="384" w:lineRule="auto"/>
        <w:ind w:left="210" w:leftChars="100"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第一条 组成合同的文件及优先顺序</w:t>
      </w:r>
    </w:p>
    <w:p>
      <w:pPr>
        <w:spacing w:line="384" w:lineRule="auto"/>
        <w:ind w:firstLine="482"/>
        <w:rPr>
          <w:rFonts w:ascii="宋体" w:hAnsi="宋体" w:eastAsia="宋体" w:cs="宋体"/>
          <w:bCs/>
          <w:color w:val="auto"/>
          <w:sz w:val="24"/>
          <w:szCs w:val="24"/>
          <w:highlight w:val="none"/>
        </w:rPr>
      </w:pPr>
      <w:r>
        <w:rPr>
          <w:rFonts w:hint="eastAsia" w:ascii="Times New Roman" w:hAnsi="宋体" w:eastAsia="宋体" w:cs="宋体"/>
          <w:bCs/>
          <w:color w:val="auto"/>
          <w:sz w:val="24"/>
          <w:szCs w:val="24"/>
          <w:highlight w:val="none"/>
        </w:rPr>
        <w:t>下列文件（如有）均为本合同的组成部分，可视为能相互说明和补充的，如果合同文件存在歧义或相矛盾的地方，则根据以下次序判断：</w:t>
      </w:r>
    </w:p>
    <w:p>
      <w:pPr>
        <w:spacing w:line="384" w:lineRule="auto"/>
        <w:ind w:firstLine="482"/>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⑴ </w:t>
      </w:r>
      <w:r>
        <w:rPr>
          <w:rFonts w:hint="eastAsia" w:ascii="宋体" w:hAnsi="宋体" w:eastAsia="宋体" w:cs="宋体"/>
          <w:color w:val="auto"/>
          <w:sz w:val="24"/>
          <w:szCs w:val="24"/>
          <w:highlight w:val="none"/>
        </w:rPr>
        <w:t>在本合同实施过程双方签署的补充与修正文件</w:t>
      </w:r>
      <w:r>
        <w:rPr>
          <w:rFonts w:hint="eastAsia" w:ascii="宋体" w:hAnsi="宋体" w:eastAsia="宋体" w:cs="宋体"/>
          <w:bCs/>
          <w:color w:val="auto"/>
          <w:sz w:val="24"/>
          <w:szCs w:val="24"/>
          <w:highlight w:val="none"/>
        </w:rPr>
        <w:t>；</w:t>
      </w:r>
    </w:p>
    <w:p>
      <w:pPr>
        <w:spacing w:line="384" w:lineRule="auto"/>
        <w:ind w:firstLine="482"/>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⑵ 本合同书；</w:t>
      </w:r>
    </w:p>
    <w:p>
      <w:pPr>
        <w:spacing w:line="384" w:lineRule="auto"/>
        <w:ind w:firstLine="482"/>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⑶ 中标通知书/发包通知书/成交通知书/委托函；</w:t>
      </w:r>
    </w:p>
    <w:p>
      <w:pPr>
        <w:spacing w:line="384" w:lineRule="auto"/>
        <w:ind w:firstLine="482"/>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⑷ 招标文件/询价文件；</w:t>
      </w:r>
    </w:p>
    <w:p>
      <w:pPr>
        <w:spacing w:line="384" w:lineRule="auto"/>
        <w:ind w:firstLine="482"/>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⑸ 投标文件/响应文件；</w:t>
      </w:r>
    </w:p>
    <w:p>
      <w:pPr>
        <w:spacing w:line="384" w:lineRule="auto"/>
        <w:ind w:firstLine="482"/>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⑹ 标准、规范及有关技术性文件；</w:t>
      </w:r>
    </w:p>
    <w:p>
      <w:pPr>
        <w:spacing w:line="384" w:lineRule="auto"/>
        <w:ind w:firstLine="482"/>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⑺ 图纸；</w:t>
      </w:r>
    </w:p>
    <w:p>
      <w:pPr>
        <w:spacing w:line="384" w:lineRule="auto"/>
        <w:ind w:firstLine="482"/>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⑻ 工程量清单/</w:t>
      </w:r>
      <w:r>
        <w:rPr>
          <w:rFonts w:hint="eastAsia" w:ascii="宋体" w:hAnsi="宋体" w:eastAsia="宋体" w:cs="宋体"/>
          <w:color w:val="auto"/>
          <w:sz w:val="24"/>
          <w:szCs w:val="24"/>
          <w:highlight w:val="none"/>
        </w:rPr>
        <w:t>工程报价单或预算书；</w:t>
      </w:r>
    </w:p>
    <w:p>
      <w:pPr>
        <w:spacing w:line="384" w:lineRule="auto"/>
        <w:ind w:firstLine="482"/>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⑼ 本合同其他附件；</w:t>
      </w:r>
    </w:p>
    <w:p>
      <w:pPr>
        <w:spacing w:line="384" w:lineRule="auto"/>
        <w:ind w:firstLine="48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第二条 项目概况、项目承包范围</w:t>
      </w:r>
    </w:p>
    <w:p>
      <w:pPr>
        <w:spacing w:line="384"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2.1项目名称：</w:t>
      </w:r>
      <w:r>
        <w:rPr>
          <w:rFonts w:hint="eastAsia" w:ascii="宋体" w:hAnsi="宋体" w:eastAsia="宋体" w:cs="宋体"/>
          <w:color w:val="auto"/>
          <w:sz w:val="24"/>
          <w:szCs w:val="24"/>
          <w:highlight w:val="none"/>
          <w:u w:val="single"/>
          <w:lang w:val="en-US" w:eastAsia="zh-CN"/>
        </w:rPr>
        <w:t>广州市净水有限公司龙归分公司2024年厂区网络系统及视频监控系统改造项目</w:t>
      </w:r>
    </w:p>
    <w:p>
      <w:pPr>
        <w:spacing w:line="384"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2.2项目地点：</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广州市净水有限公司龙归分公司</w:t>
      </w:r>
    </w:p>
    <w:p>
      <w:pPr>
        <w:spacing w:line="384" w:lineRule="auto"/>
        <w:ind w:firstLine="480" w:firstLineChars="200"/>
        <w:rPr>
          <w:rFonts w:ascii="宋体" w:hAnsi="宋体" w:eastAsia="宋体" w:cs="宋体"/>
          <w:color w:val="auto"/>
          <w:spacing w:val="8"/>
          <w:sz w:val="24"/>
          <w:szCs w:val="24"/>
          <w:highlight w:val="none"/>
        </w:rPr>
      </w:pPr>
      <w:r>
        <w:rPr>
          <w:rFonts w:hint="eastAsia" w:ascii="宋体" w:hAnsi="宋体" w:eastAsia="宋体" w:cs="宋体"/>
          <w:color w:val="auto"/>
          <w:sz w:val="24"/>
          <w:szCs w:val="24"/>
          <w:highlight w:val="none"/>
        </w:rPr>
        <w:t>2.3项目内容：</w:t>
      </w:r>
      <w:r>
        <w:rPr>
          <w:rFonts w:hint="eastAsia" w:ascii="宋体" w:hAnsi="宋体" w:cs="宋体"/>
          <w:color w:val="auto"/>
          <w:sz w:val="24"/>
          <w:highlight w:val="none"/>
          <w:u w:val="single"/>
          <w:lang w:val="en-US" w:eastAsia="zh-CN"/>
        </w:rPr>
        <w:t>龙归分公司一二期厂区</w:t>
      </w:r>
      <w:r>
        <w:rPr>
          <w:rFonts w:hint="eastAsia" w:ascii="宋体" w:hAnsi="宋体" w:cs="宋体"/>
          <w:color w:val="auto"/>
          <w:sz w:val="24"/>
          <w:highlight w:val="none"/>
          <w:u w:val="single"/>
        </w:rPr>
        <w:t>部分网络设备、视频监控设备，早期摄像头进行改造，改造完成后，网络支撑能力可极大提升办公效率、满足生产需求，实现网络、视频统一管理。</w:t>
      </w:r>
    </w:p>
    <w:p>
      <w:pPr>
        <w:spacing w:line="384"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项目承包范围：包括提供所有需要的材料、机械、人工、设施、完成合同约定的工作和服务。按照甲方审核同意的方案、图纸所包括的实施范围和内容进行施工并在质量保修期内承担项目质量保修责任。（如需可附表）</w:t>
      </w:r>
    </w:p>
    <w:p>
      <w:pPr>
        <w:pStyle w:val="22"/>
        <w:rPr>
          <w:rFonts w:hint="eastAsia"/>
          <w:color w:val="auto"/>
          <w:highlight w:val="none"/>
        </w:rPr>
      </w:pPr>
    </w:p>
    <w:p>
      <w:pPr>
        <w:spacing w:line="384"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第三条 项目承包方式</w:t>
      </w:r>
    </w:p>
    <w:p>
      <w:pPr>
        <w:spacing w:line="384" w:lineRule="auto"/>
        <w:ind w:firstLine="420" w:firstLineChars="200"/>
        <w:rPr>
          <w:rFonts w:ascii="宋体" w:hAnsi="宋体" w:eastAsia="宋体" w:cs="宋体"/>
          <w:color w:val="auto"/>
          <w:sz w:val="24"/>
          <w:szCs w:val="24"/>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 w:val="24"/>
          <w:szCs w:val="24"/>
          <w:highlight w:val="none"/>
        </w:rPr>
        <w:t>包工、包料、包工期、包质量、包安全、包文明施工。综合单价包干、项目措施费</w:t>
      </w:r>
      <w:r>
        <w:rPr>
          <w:rFonts w:hint="eastAsia" w:ascii="宋体" w:hAnsi="宋体" w:eastAsia="宋体" w:cs="宋体"/>
          <w:color w:val="auto"/>
          <w:sz w:val="24"/>
          <w:szCs w:val="24"/>
          <w:highlight w:val="none"/>
          <w:lang w:val="en-US" w:eastAsia="zh-CN"/>
        </w:rPr>
        <w:t>按实结算</w:t>
      </w:r>
      <w:r>
        <w:rPr>
          <w:rFonts w:hint="eastAsia" w:ascii="宋体" w:hAnsi="宋体" w:eastAsia="宋体" w:cs="宋体"/>
          <w:color w:val="auto"/>
          <w:sz w:val="24"/>
          <w:szCs w:val="24"/>
          <w:highlight w:val="none"/>
        </w:rPr>
        <w:t>。（单价包干要求附工程量报价</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工程预算书）</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bCs/>
          <w:color w:val="auto"/>
          <w:sz w:val="24"/>
          <w:highlight w:val="none"/>
        </w:rPr>
        <w:sym w:font="Wingdings" w:char="00A8"/>
      </w:r>
      <w:r>
        <w:rPr>
          <w:rFonts w:hint="eastAsia" w:ascii="宋体" w:hAnsi="宋体" w:eastAsia="宋体" w:cs="宋体"/>
          <w:color w:val="auto"/>
          <w:sz w:val="24"/>
          <w:szCs w:val="24"/>
          <w:highlight w:val="none"/>
        </w:rPr>
        <w:t>包工、包料、包质量、包工期、包安全、包文明施工、包设计、包调试、包验收的施工图纸，以总价包干形式。</w:t>
      </w:r>
    </w:p>
    <w:p>
      <w:pPr>
        <w:spacing w:line="384"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第四条合同价款</w:t>
      </w:r>
    </w:p>
    <w:p>
      <w:pPr>
        <w:spacing w:line="384" w:lineRule="auto"/>
        <w:ind w:firstLine="480" w:firstLineChars="200"/>
        <w:rPr>
          <w:rFonts w:ascii="宋体" w:hAnsi="宋体" w:eastAsia="宋体" w:cs="宋体"/>
          <w:bCs/>
          <w:color w:val="auto"/>
          <w:sz w:val="24"/>
          <w:szCs w:val="24"/>
          <w:highlight w:val="none"/>
          <w:bdr w:val="single" w:color="auto" w:sz="4" w:space="0"/>
        </w:rPr>
      </w:pPr>
      <w:r>
        <w:rPr>
          <w:rFonts w:ascii="宋体" w:hAnsi="宋体" w:eastAsia="宋体" w:cs="宋体"/>
          <w:color w:val="auto"/>
          <w:sz w:val="24"/>
          <w:szCs w:val="24"/>
          <w:highlight w:val="none"/>
        </w:rPr>
        <w:t>4.1</w:t>
      </w:r>
      <w:r>
        <w:rPr>
          <w:rFonts w:hint="eastAsia" w:ascii="宋体" w:hAnsi="宋体" w:eastAsia="宋体" w:cs="宋体"/>
          <w:color w:val="auto"/>
          <w:sz w:val="24"/>
          <w:szCs w:val="24"/>
          <w:highlight w:val="none"/>
        </w:rPr>
        <w:t>合同价款按以下（</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）执行。</w:t>
      </w:r>
    </w:p>
    <w:p>
      <w:pPr>
        <w:spacing w:line="384" w:lineRule="auto"/>
        <w:ind w:firstLine="480" w:firstLineChars="200"/>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w:t>
      </w:r>
      <w:r>
        <w:rPr>
          <w:rFonts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合同暂定总价为：</w:t>
      </w:r>
      <w:r>
        <w:rPr>
          <w:rFonts w:hint="eastAsia" w:ascii="宋体" w:hAnsi="宋体" w:eastAsia="宋体" w:cs="宋体"/>
          <w:b/>
          <w:color w:val="auto"/>
          <w:sz w:val="24"/>
          <w:szCs w:val="24"/>
          <w:highlight w:val="none"/>
          <w:u w:val="single"/>
        </w:rPr>
        <w:t>人民币…元</w:t>
      </w:r>
      <w:r>
        <w:rPr>
          <w:rFonts w:hint="eastAsia" w:ascii="宋体" w:hAnsi="宋体" w:eastAsia="宋体" w:cs="宋体"/>
          <w:color w:val="auto"/>
          <w:sz w:val="24"/>
          <w:szCs w:val="24"/>
          <w:highlight w:val="none"/>
        </w:rPr>
        <w:t>（大写</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）。经甲方或甲方委托有资质第三方机构审核后，审核价作为合同结算价。若合同结算价超合同暂定总价，双方另行签订补充协议。</w:t>
      </w:r>
    </w:p>
    <w:p>
      <w:pPr>
        <w:spacing w:line="384"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综合单价为：</w:t>
      </w:r>
      <w:r>
        <w:rPr>
          <w:rFonts w:hint="eastAsia" w:ascii="宋体" w:hAnsi="宋体" w:eastAsia="宋体" w:cs="宋体"/>
          <w:color w:val="auto"/>
          <w:sz w:val="24"/>
          <w:szCs w:val="24"/>
          <w:highlight w:val="none"/>
          <w:u w:val="single"/>
          <w:lang w:val="en-US" w:eastAsia="zh-CN"/>
        </w:rPr>
        <w:t>详见附件工程量清单/报价</w:t>
      </w:r>
      <w:r>
        <w:rPr>
          <w:rFonts w:hint="eastAsia" w:ascii="宋体" w:hAnsi="宋体" w:eastAsia="宋体" w:cs="宋体"/>
          <w:color w:val="auto"/>
          <w:sz w:val="24"/>
          <w:szCs w:val="24"/>
          <w:highlight w:val="none"/>
        </w:rPr>
        <w:t>。</w:t>
      </w:r>
    </w:p>
    <w:p>
      <w:pPr>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384" w:lineRule="auto"/>
        <w:ind w:firstLine="480" w:firstLineChars="200"/>
        <w:rPr>
          <w:rFonts w:ascii="宋体" w:hAnsi="宋体" w:eastAsia="宋体" w:cs="宋体"/>
          <w:color w:val="auto"/>
          <w:sz w:val="24"/>
          <w:szCs w:val="24"/>
          <w:highlight w:val="none"/>
        </w:rPr>
      </w:pPr>
    </w:p>
    <w:p>
      <w:pPr>
        <w:spacing w:line="384" w:lineRule="auto"/>
        <w:ind w:firstLine="480" w:firstLineChars="200"/>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w:t>
      </w:r>
      <w:r>
        <w:rPr>
          <w:rFonts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合同以总价包干形式，合同暂定总价为：</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（大写</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kern w:val="0"/>
          <w:sz w:val="24"/>
          <w:szCs w:val="24"/>
          <w:highlight w:val="none"/>
          <w:lang w:val="zh-CN"/>
        </w:rPr>
        <w:t>4.2</w:t>
      </w:r>
      <w:r>
        <w:rPr>
          <w:rFonts w:hint="eastAsia" w:ascii="宋体" w:hAnsi="宋体" w:eastAsia="宋体" w:cs="宋体"/>
          <w:color w:val="auto"/>
          <w:kern w:val="0"/>
          <w:sz w:val="24"/>
          <w:szCs w:val="24"/>
          <w:highlight w:val="none"/>
        </w:rPr>
        <w:t>本合同约定的价格为含税价价格</w:t>
      </w:r>
      <w:r>
        <w:rPr>
          <w:rFonts w:hint="eastAsia" w:ascii="宋体" w:hAnsi="宋体" w:eastAsia="宋体" w:cs="宋体"/>
          <w:color w:val="auto"/>
          <w:sz w:val="24"/>
          <w:szCs w:val="24"/>
          <w:highlight w:val="none"/>
        </w:rPr>
        <w:t>（税率</w:t>
      </w:r>
      <w:r>
        <w:rPr>
          <w:rFonts w:hint="eastAsia" w:ascii="宋体" w:hAnsi="宋体" w:eastAsia="宋体" w:cs="宋体"/>
          <w:color w:val="auto"/>
          <w:sz w:val="24"/>
          <w:szCs w:val="24"/>
          <w:highlight w:val="none"/>
          <w:u w:val="single"/>
        </w:rPr>
        <w:t>9</w:t>
      </w:r>
      <w:r>
        <w:rPr>
          <w:rFonts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），合同履行期间国家税率调整或乙方开票的实际税率与前述税率不一致的，不含税价不变，价税合计按实际税率相应调整，以开具发票时间为准。</w:t>
      </w:r>
    </w:p>
    <w:p>
      <w:pPr>
        <w:tabs>
          <w:tab w:val="left" w:pos="0"/>
        </w:tabs>
        <w:adjustRightInd w:val="0"/>
        <w:snapToGrid w:val="0"/>
        <w:spacing w:line="360" w:lineRule="auto"/>
        <w:ind w:firstLine="480" w:firstLineChars="200"/>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4.3</w:t>
      </w:r>
      <w:r>
        <w:rPr>
          <w:rFonts w:hint="eastAsia" w:ascii="宋体" w:hAnsi="宋体" w:eastAsia="宋体" w:cs="宋体"/>
          <w:color w:val="auto"/>
          <w:kern w:val="0"/>
          <w:sz w:val="24"/>
          <w:szCs w:val="24"/>
          <w:highlight w:val="none"/>
        </w:rPr>
        <w:t>因非乙方原因引起工程量报价清单中工程量发生增减，且单个子目工程量变化幅度在25%以内（含）时，按工程量报价清单中列明的子目单价结算。否则，按新增单价执行。</w:t>
      </w:r>
    </w:p>
    <w:p>
      <w:pPr>
        <w:spacing w:line="5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4.4合同中没有适用于变更工程项目的单价的，按新增单价执行。</w:t>
      </w:r>
    </w:p>
    <w:p>
      <w:pPr>
        <w:spacing w:line="5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新增单价计价原则：</w:t>
      </w:r>
    </w:p>
    <w:p>
      <w:pPr>
        <w:spacing w:line="5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spacing w:line="5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2.项目计价材料、设备价格的控制：按以下顺序作为降序优先级依次采用工程开工报告中开工日期当月的下列价格：</w:t>
      </w:r>
    </w:p>
    <w:p>
      <w:pPr>
        <w:spacing w:line="560" w:lineRule="exact"/>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（1）《广州地区建设工程常用材料税前综合价格》（下称综合价格）。</w:t>
      </w:r>
    </w:p>
    <w:p>
      <w:pPr>
        <w:spacing w:line="560" w:lineRule="exact"/>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（2）《广州地区建设工程材料（设备）厂商价格信息》（下称厂商价格）下浮10-20%。</w:t>
      </w:r>
    </w:p>
    <w:p>
      <w:pPr>
        <w:spacing w:line="560" w:lineRule="exact"/>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（3）综合价格、厂商价格中缺项的，采用由北京瑞恒达建筑咨询有限公司提供服务的“慧讯网”中查到的相应材料、设备价格的工程价。</w:t>
      </w:r>
    </w:p>
    <w:p>
      <w:pPr>
        <w:autoSpaceDE w:val="0"/>
        <w:autoSpaceDN w:val="0"/>
        <w:adjustRightInd w:val="0"/>
        <w:jc w:val="left"/>
        <w:rPr>
          <w:rFonts w:ascii="宋体" w:hAnsi="Times New Roman"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ascii="宋体" w:hAnsi="宋体" w:eastAsia="宋体" w:cs="宋体"/>
          <w:color w:val="auto"/>
          <w:kern w:val="0"/>
          <w:sz w:val="24"/>
          <w:szCs w:val="24"/>
          <w:highlight w:val="none"/>
        </w:rPr>
        <w:t>（4）通过市场询价双方协商确定。</w:t>
      </w:r>
    </w:p>
    <w:p>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3.按1、2组价后下浮5%计取。</w:t>
      </w:r>
    </w:p>
    <w:p>
      <w:pPr>
        <w:tabs>
          <w:tab w:val="left" w:pos="851"/>
        </w:tabs>
        <w:adjustRightInd w:val="0"/>
        <w:snapToGrid w:val="0"/>
        <w:spacing w:line="384" w:lineRule="auto"/>
        <w:ind w:firstLine="480" w:firstLineChars="200"/>
        <w:rPr>
          <w:rFonts w:ascii="宋体" w:hAnsi="宋体" w:eastAsia="宋体" w:cs="宋体"/>
          <w:color w:val="auto"/>
          <w:sz w:val="24"/>
          <w:szCs w:val="24"/>
          <w:highlight w:val="none"/>
        </w:rPr>
      </w:pPr>
    </w:p>
    <w:p>
      <w:pPr>
        <w:widowControl/>
        <w:tabs>
          <w:tab w:val="left" w:pos="851"/>
        </w:tabs>
        <w:adjustRightInd w:val="0"/>
        <w:snapToGrid w:val="0"/>
        <w:spacing w:line="384" w:lineRule="auto"/>
        <w:ind w:firstLine="482" w:firstLineChars="200"/>
        <w:jc w:val="lef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第五条工期及要求</w:t>
      </w:r>
    </w:p>
    <w:p>
      <w:pPr>
        <w:widowControl/>
        <w:spacing w:line="384" w:lineRule="auto"/>
        <w:ind w:firstLine="480" w:firstLineChars="20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5.1</w:t>
      </w:r>
      <w:r>
        <w:rPr>
          <w:rFonts w:hint="eastAsia" w:ascii="宋体" w:hAnsi="宋体" w:eastAsia="宋体" w:cs="宋体"/>
          <w:color w:val="auto"/>
          <w:sz w:val="24"/>
          <w:szCs w:val="24"/>
          <w:highlight w:val="none"/>
        </w:rPr>
        <w:t>开工日期暂定为：</w:t>
      </w:r>
      <w:r>
        <w:rPr>
          <w:rFonts w:hint="eastAsia" w:ascii="宋体" w:hAnsi="宋体" w:eastAsia="宋体" w:cs="宋体"/>
          <w:color w:val="auto"/>
          <w:sz w:val="24"/>
          <w:szCs w:val="24"/>
          <w:highlight w:val="none"/>
          <w:u w:val="single"/>
        </w:rPr>
        <w:t>…年…月…日</w:t>
      </w:r>
      <w:r>
        <w:rPr>
          <w:rFonts w:hint="eastAsia" w:ascii="宋体" w:hAnsi="宋体" w:eastAsia="宋体" w:cs="宋体"/>
          <w:color w:val="auto"/>
          <w:sz w:val="24"/>
          <w:szCs w:val="24"/>
          <w:highlight w:val="none"/>
        </w:rPr>
        <w:t>，具体日期以甲方发出的开工报告</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书面</w:t>
      </w:r>
      <w:r>
        <w:rPr>
          <w:rFonts w:hint="eastAsia" w:ascii="宋体" w:hAnsi="宋体" w:eastAsia="宋体" w:cs="宋体"/>
          <w:color w:val="auto"/>
          <w:sz w:val="24"/>
          <w:szCs w:val="24"/>
          <w:highlight w:val="none"/>
        </w:rPr>
        <w:t>通知为准。乙方不能按时开工，应当于开工报告</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书面</w:t>
      </w:r>
      <w:r>
        <w:rPr>
          <w:rFonts w:hint="eastAsia" w:ascii="宋体" w:hAnsi="宋体" w:eastAsia="宋体" w:cs="宋体"/>
          <w:color w:val="auto"/>
          <w:sz w:val="24"/>
          <w:szCs w:val="24"/>
          <w:highlight w:val="none"/>
        </w:rPr>
        <w:t>通知载明的开工日期</w:t>
      </w:r>
      <w:r>
        <w:rPr>
          <w:rFonts w:ascii="宋体" w:hAnsi="宋体" w:eastAsia="宋体" w:cs="宋体"/>
          <w:color w:val="auto"/>
          <w:sz w:val="24"/>
          <w:szCs w:val="24"/>
          <w:highlight w:val="none"/>
        </w:rPr>
        <w:t>7</w:t>
      </w:r>
      <w:r>
        <w:rPr>
          <w:rFonts w:hint="eastAsia" w:ascii="宋体" w:hAnsi="宋体" w:eastAsia="宋体" w:cs="宋体"/>
          <w:color w:val="auto"/>
          <w:sz w:val="24"/>
          <w:szCs w:val="24"/>
          <w:highlight w:val="none"/>
        </w:rPr>
        <w:t>天前，以书面形式向甲方提出延期开工的理由。甲方应当在接到延期开工申请后的</w:t>
      </w:r>
      <w:r>
        <w:rPr>
          <w:rFonts w:ascii="宋体" w:hAnsi="宋体" w:eastAsia="宋体" w:cs="宋体"/>
          <w:color w:val="auto"/>
          <w:sz w:val="24"/>
          <w:szCs w:val="24"/>
          <w:highlight w:val="none"/>
        </w:rPr>
        <w:t>48</w:t>
      </w:r>
      <w:r>
        <w:rPr>
          <w:rFonts w:hint="eastAsia" w:ascii="宋体" w:hAnsi="宋体" w:eastAsia="宋体" w:cs="宋体"/>
          <w:color w:val="auto"/>
          <w:sz w:val="24"/>
          <w:szCs w:val="24"/>
          <w:highlight w:val="none"/>
        </w:rPr>
        <w:t>小时内以书面形式答复乙方。甲方在接到延期开工申请后</w:t>
      </w:r>
      <w:r>
        <w:rPr>
          <w:rFonts w:ascii="宋体" w:hAnsi="宋体" w:eastAsia="宋体" w:cs="宋体"/>
          <w:color w:val="auto"/>
          <w:sz w:val="24"/>
          <w:szCs w:val="24"/>
          <w:highlight w:val="none"/>
        </w:rPr>
        <w:t>48</w:t>
      </w:r>
      <w:r>
        <w:rPr>
          <w:rFonts w:hint="eastAsia" w:ascii="宋体" w:hAnsi="宋体" w:eastAsia="宋体" w:cs="宋体"/>
          <w:color w:val="auto"/>
          <w:sz w:val="24"/>
          <w:szCs w:val="24"/>
          <w:highlight w:val="none"/>
        </w:rPr>
        <w:t>小时内不答复，视为同意乙方要求，工期相应顺延。甲方不同意延期要求或乙方未在规定时间内提出延期开工，工期不予顺延。合同工期总日历天数</w:t>
      </w:r>
      <w:r>
        <w:rPr>
          <w:rFonts w:hint="eastAsia" w:ascii="宋体" w:hAnsi="宋体" w:eastAsia="宋体" w:cs="宋体"/>
          <w:color w:val="auto"/>
          <w:sz w:val="24"/>
          <w:szCs w:val="24"/>
          <w:highlight w:val="none"/>
          <w:u w:val="single"/>
          <w:lang w:val="en-US" w:eastAsia="zh-CN"/>
        </w:rPr>
        <w:t>60</w:t>
      </w:r>
      <w:r>
        <w:rPr>
          <w:rFonts w:hint="eastAsia" w:ascii="宋体" w:hAnsi="宋体" w:eastAsia="宋体" w:cs="宋体"/>
          <w:color w:val="auto"/>
          <w:sz w:val="24"/>
          <w:szCs w:val="24"/>
          <w:highlight w:val="none"/>
        </w:rPr>
        <w:t>天。乙方未能按合同工期竣工验收的，每逾期一天，甲方有权要求乙方按</w:t>
      </w:r>
      <w:r>
        <w:rPr>
          <w:rFonts w:hint="eastAsia" w:ascii="宋体" w:hAnsi="宋体" w:eastAsia="宋体" w:cs="宋体"/>
          <w:color w:val="auto"/>
          <w:sz w:val="24"/>
          <w:szCs w:val="24"/>
          <w:highlight w:val="none"/>
          <w:u w:val="single"/>
        </w:rPr>
        <w:t>合同暂定总价的</w:t>
      </w:r>
      <w:r>
        <w:rPr>
          <w:rFonts w:ascii="宋体" w:hAnsi="宋体" w:eastAsia="宋体" w:cs="宋体"/>
          <w:color w:val="auto"/>
          <w:sz w:val="24"/>
          <w:szCs w:val="24"/>
          <w:highlight w:val="none"/>
          <w:u w:val="single"/>
        </w:rPr>
        <w:t xml:space="preserve"> 1%</w:t>
      </w:r>
      <w:r>
        <w:rPr>
          <w:rFonts w:hint="eastAsia" w:ascii="宋体" w:hAnsi="宋体" w:eastAsia="宋体" w:cs="宋体"/>
          <w:color w:val="auto"/>
          <w:sz w:val="24"/>
          <w:szCs w:val="24"/>
          <w:highlight w:val="none"/>
        </w:rPr>
        <w:t>支付违约金，逾期达到</w:t>
      </w:r>
      <w:r>
        <w:rPr>
          <w:rFonts w:hint="eastAsia" w:ascii="宋体" w:hAnsi="宋体" w:eastAsia="宋体" w:cs="宋体"/>
          <w:color w:val="auto"/>
          <w:sz w:val="24"/>
          <w:szCs w:val="24"/>
          <w:highlight w:val="none"/>
          <w:u w:val="single"/>
        </w:rPr>
        <w:t xml:space="preserve">  3</w:t>
      </w:r>
      <w:r>
        <w:rPr>
          <w:rFonts w:ascii="宋体" w:hAnsi="宋体" w:eastAsia="宋体" w:cs="宋体"/>
          <w:color w:val="auto"/>
          <w:sz w:val="24"/>
          <w:szCs w:val="24"/>
          <w:highlight w:val="none"/>
          <w:u w:val="single"/>
        </w:rPr>
        <w:t>0</w:t>
      </w:r>
      <w:r>
        <w:rPr>
          <w:rFonts w:hint="eastAsia" w:ascii="宋体" w:hAnsi="宋体" w:eastAsia="宋体" w:cs="宋体"/>
          <w:color w:val="auto"/>
          <w:sz w:val="24"/>
          <w:szCs w:val="24"/>
          <w:highlight w:val="none"/>
        </w:rPr>
        <w:t>天及以上的，甲方有权解除合同并要求乙方支付</w:t>
      </w:r>
      <w:r>
        <w:rPr>
          <w:rFonts w:hint="eastAsia" w:ascii="宋体" w:hAnsi="宋体" w:eastAsia="宋体" w:cs="宋体"/>
          <w:color w:val="auto"/>
          <w:sz w:val="24"/>
          <w:szCs w:val="24"/>
          <w:highlight w:val="none"/>
          <w:u w:val="single"/>
        </w:rPr>
        <w:t>合同暂定总价的</w:t>
      </w:r>
      <w:r>
        <w:rPr>
          <w:rFonts w:ascii="宋体" w:hAnsi="宋体" w:eastAsia="宋体" w:cs="宋体"/>
          <w:color w:val="auto"/>
          <w:sz w:val="24"/>
          <w:szCs w:val="24"/>
          <w:highlight w:val="none"/>
          <w:u w:val="single"/>
        </w:rPr>
        <w:t>20%</w:t>
      </w:r>
      <w:r>
        <w:rPr>
          <w:rFonts w:ascii="宋体" w:hAnsi="宋体" w:eastAsia="宋体" w:cs="宋体"/>
          <w:color w:val="auto"/>
          <w:sz w:val="24"/>
          <w:szCs w:val="24"/>
          <w:highlight w:val="none"/>
        </w:rPr>
        <w:t>作为违约金。</w:t>
      </w:r>
    </w:p>
    <w:p>
      <w:pPr>
        <w:widowControl/>
        <w:spacing w:line="384" w:lineRule="auto"/>
        <w:ind w:firstLine="480" w:firstLineChars="200"/>
        <w:jc w:val="left"/>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5.2</w:t>
      </w:r>
      <w:r>
        <w:rPr>
          <w:rFonts w:hint="eastAsia" w:ascii="宋体" w:hAnsi="宋体" w:eastAsia="宋体" w:cs="宋体"/>
          <w:bCs/>
          <w:color w:val="auto"/>
          <w:sz w:val="24"/>
          <w:szCs w:val="24"/>
          <w:highlight w:val="none"/>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eastAsia="宋体" w:cs="宋体"/>
          <w:bCs/>
          <w:color w:val="auto"/>
          <w:sz w:val="24"/>
          <w:szCs w:val="24"/>
          <w:highlight w:val="none"/>
          <w:u w:val="single"/>
        </w:rPr>
        <w:t>合同暂定总价的</w:t>
      </w:r>
      <w:r>
        <w:rPr>
          <w:rFonts w:ascii="宋体" w:hAnsi="宋体" w:eastAsia="宋体" w:cs="宋体"/>
          <w:bCs/>
          <w:color w:val="auto"/>
          <w:sz w:val="24"/>
          <w:szCs w:val="24"/>
          <w:highlight w:val="none"/>
          <w:u w:val="single"/>
        </w:rPr>
        <w:t>5%/</w:t>
      </w:r>
      <w:r>
        <w:rPr>
          <w:rFonts w:hint="eastAsia" w:ascii="宋体" w:hAnsi="宋体" w:eastAsia="宋体" w:cs="宋体"/>
          <w:bCs/>
          <w:color w:val="auto"/>
          <w:sz w:val="24"/>
          <w:szCs w:val="24"/>
          <w:highlight w:val="none"/>
          <w:u w:val="single"/>
        </w:rPr>
        <w:t>次</w:t>
      </w:r>
      <w:r>
        <w:rPr>
          <w:rFonts w:hint="eastAsia" w:ascii="宋体" w:hAnsi="宋体" w:eastAsia="宋体" w:cs="宋体"/>
          <w:bCs/>
          <w:color w:val="auto"/>
          <w:sz w:val="24"/>
          <w:szCs w:val="24"/>
          <w:highlight w:val="none"/>
        </w:rPr>
        <w:t>作为违约金，超过三次（含三次）的，甲方有权解除合同，要求乙方支付</w:t>
      </w:r>
      <w:r>
        <w:rPr>
          <w:rFonts w:hint="eastAsia" w:ascii="宋体" w:hAnsi="宋体" w:eastAsia="宋体" w:cs="宋体"/>
          <w:bCs/>
          <w:color w:val="auto"/>
          <w:sz w:val="24"/>
          <w:szCs w:val="24"/>
          <w:highlight w:val="none"/>
          <w:u w:val="single"/>
        </w:rPr>
        <w:t>合同暂定总价的</w:t>
      </w:r>
      <w:r>
        <w:rPr>
          <w:rFonts w:ascii="宋体" w:hAnsi="宋体" w:eastAsia="宋体" w:cs="宋体"/>
          <w:bCs/>
          <w:color w:val="auto"/>
          <w:sz w:val="24"/>
          <w:szCs w:val="24"/>
          <w:highlight w:val="none"/>
          <w:u w:val="single"/>
        </w:rPr>
        <w:t>20%</w:t>
      </w:r>
      <w:r>
        <w:rPr>
          <w:rFonts w:hint="eastAsia" w:ascii="宋体" w:hAnsi="宋体" w:eastAsia="宋体" w:cs="宋体"/>
          <w:bCs/>
          <w:color w:val="auto"/>
          <w:sz w:val="24"/>
          <w:szCs w:val="24"/>
          <w:highlight w:val="none"/>
        </w:rPr>
        <w:t>作为违约金。由此造成的经济和法律责任，均由乙方负责。</w:t>
      </w:r>
    </w:p>
    <w:p>
      <w:pPr>
        <w:widowControl/>
        <w:spacing w:line="384" w:lineRule="auto"/>
        <w:ind w:left="1" w:firstLine="480" w:firstLineChars="200"/>
        <w:jc w:val="left"/>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5.3</w:t>
      </w:r>
      <w:r>
        <w:rPr>
          <w:rFonts w:hint="eastAsia" w:ascii="宋体" w:hAnsi="宋体" w:eastAsia="宋体" w:cs="宋体"/>
          <w:bCs/>
          <w:color w:val="auto"/>
          <w:sz w:val="24"/>
          <w:szCs w:val="24"/>
          <w:highlight w:val="none"/>
        </w:rPr>
        <w:t>乙方应按合同及甲方提供的技术文件要求进行本项目实施和安装。乙方未经甲方同意，不得将本项目图纸泄露或转给第三人。除乙方存档需要的图纸外，乙方应于项目质量保修期满后</w:t>
      </w:r>
      <w:r>
        <w:rPr>
          <w:rFonts w:hint="eastAsia" w:ascii="宋体" w:hAnsi="宋体" w:eastAsia="宋体" w:cs="宋体"/>
          <w:bCs/>
          <w:color w:val="auto"/>
          <w:sz w:val="24"/>
          <w:szCs w:val="24"/>
          <w:highlight w:val="none"/>
          <w:u w:val="single"/>
          <w:lang w:val="en-US" w:eastAsia="zh-CN"/>
        </w:rPr>
        <w:t>15</w:t>
      </w:r>
      <w:r>
        <w:rPr>
          <w:rFonts w:hint="eastAsia" w:ascii="宋体" w:hAnsi="宋体" w:eastAsia="宋体" w:cs="宋体"/>
          <w:bCs/>
          <w:color w:val="auto"/>
          <w:sz w:val="24"/>
          <w:szCs w:val="24"/>
          <w:highlight w:val="none"/>
        </w:rPr>
        <w:t>日内将全部图纸退还给甲方。</w:t>
      </w:r>
    </w:p>
    <w:p>
      <w:pPr>
        <w:widowControl/>
        <w:spacing w:line="384" w:lineRule="auto"/>
        <w:ind w:left="1" w:firstLine="480" w:firstLineChars="200"/>
        <w:jc w:val="left"/>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5.4</w:t>
      </w:r>
      <w:r>
        <w:rPr>
          <w:rFonts w:hint="eastAsia" w:ascii="宋体" w:hAnsi="宋体" w:eastAsia="宋体" w:cs="宋体"/>
          <w:bCs/>
          <w:color w:val="auto"/>
          <w:sz w:val="24"/>
          <w:szCs w:val="24"/>
          <w:highlight w:val="none"/>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5.5乙方不履行合同义务、或履行合同义务不符合合同约定、或违反国家、省、市行业标准的，甲方有权要求乙方限期整改。乙方逾期未完成整改的，每项每超过1日支付违约金人民币</w:t>
      </w:r>
      <w:r>
        <w:rPr>
          <w:rFonts w:ascii="宋体" w:hAnsi="宋体" w:eastAsia="宋体" w:cs="宋体"/>
          <w:bCs/>
          <w:color w:val="auto"/>
          <w:sz w:val="24"/>
          <w:szCs w:val="24"/>
          <w:highlight w:val="none"/>
          <w:u w:val="single"/>
        </w:rPr>
        <w:t>1万元</w:t>
      </w:r>
      <w:r>
        <w:rPr>
          <w:rFonts w:ascii="宋体" w:hAnsi="宋体" w:eastAsia="宋体" w:cs="宋体"/>
          <w:bCs/>
          <w:color w:val="auto"/>
          <w:sz w:val="24"/>
          <w:szCs w:val="24"/>
          <w:highlight w:val="none"/>
        </w:rPr>
        <w:t>，超过_</w:t>
      </w:r>
      <w:r>
        <w:rPr>
          <w:rFonts w:hint="eastAsia" w:ascii="宋体" w:hAnsi="宋体" w:eastAsia="宋体" w:cs="宋体"/>
          <w:bCs/>
          <w:color w:val="auto"/>
          <w:sz w:val="24"/>
          <w:szCs w:val="24"/>
          <w:highlight w:val="none"/>
          <w:u w:val="single"/>
        </w:rPr>
        <w:t>1</w:t>
      </w:r>
      <w:r>
        <w:rPr>
          <w:rFonts w:ascii="宋体" w:hAnsi="宋体" w:eastAsia="宋体" w:cs="宋体"/>
          <w:bCs/>
          <w:color w:val="auto"/>
          <w:sz w:val="24"/>
          <w:szCs w:val="24"/>
          <w:highlight w:val="none"/>
          <w:u w:val="single"/>
        </w:rPr>
        <w:t>5</w:t>
      </w:r>
      <w:r>
        <w:rPr>
          <w:rFonts w:ascii="宋体" w:hAnsi="宋体" w:eastAsia="宋体" w:cs="宋体"/>
          <w:bCs/>
          <w:color w:val="auto"/>
          <w:sz w:val="24"/>
          <w:szCs w:val="24"/>
          <w:highlight w:val="none"/>
        </w:rPr>
        <w:t>_日，甲方有权解除合同并要求乙方支付</w:t>
      </w:r>
      <w:r>
        <w:rPr>
          <w:rFonts w:ascii="宋体" w:hAnsi="宋体" w:eastAsia="宋体" w:cs="宋体"/>
          <w:bCs/>
          <w:color w:val="auto"/>
          <w:sz w:val="24"/>
          <w:szCs w:val="24"/>
          <w:highlight w:val="none"/>
          <w:u w:val="single"/>
        </w:rPr>
        <w:t>合同暂定总价的20%</w:t>
      </w:r>
      <w:r>
        <w:rPr>
          <w:rFonts w:ascii="宋体" w:hAnsi="宋体" w:eastAsia="宋体" w:cs="宋体"/>
          <w:bCs/>
          <w:color w:val="auto"/>
          <w:sz w:val="24"/>
          <w:szCs w:val="24"/>
          <w:highlight w:val="none"/>
        </w:rPr>
        <w:t>作为违约金</w:t>
      </w:r>
      <w:r>
        <w:rPr>
          <w:rFonts w:hint="eastAsia" w:cs="Times New Roman" w:asciiTheme="minorEastAsia" w:hAnsiTheme="minorEastAsia"/>
          <w:bCs/>
          <w:color w:val="auto"/>
          <w:sz w:val="24"/>
          <w:szCs w:val="24"/>
          <w:highlight w:val="none"/>
        </w:rPr>
        <w:t>（</w:t>
      </w:r>
      <w:r>
        <w:rPr>
          <w:rFonts w:hint="eastAsia" w:ascii="Times New Roman" w:hAnsi="Times New Roman" w:eastAsia="宋体" w:cs="宋体"/>
          <w:color w:val="auto"/>
          <w:sz w:val="24"/>
          <w:szCs w:val="24"/>
          <w:highlight w:val="none"/>
        </w:rPr>
        <w:t>如合同另行约定违约责任，从其约定</w:t>
      </w:r>
      <w:r>
        <w:rPr>
          <w:rFonts w:hint="eastAsia" w:cs="Times New Roman" w:asciiTheme="minorEastAsia" w:hAnsiTheme="minorEastAsia"/>
          <w:bCs/>
          <w:color w:val="auto"/>
          <w:sz w:val="24"/>
          <w:szCs w:val="24"/>
          <w:highlight w:val="none"/>
        </w:rPr>
        <w:t>）</w:t>
      </w:r>
      <w:r>
        <w:rPr>
          <w:rFonts w:ascii="宋体" w:hAnsi="宋体" w:eastAsia="宋体" w:cs="宋体"/>
          <w:bCs/>
          <w:color w:val="auto"/>
          <w:sz w:val="24"/>
          <w:szCs w:val="24"/>
          <w:highlight w:val="none"/>
        </w:rPr>
        <w:t>。</w:t>
      </w:r>
    </w:p>
    <w:p>
      <w:pPr>
        <w:topLinePunct/>
        <w:spacing w:line="500" w:lineRule="exact"/>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5.6乙方不得随意更换项目负责人及附件5中的相关人员</w:t>
      </w:r>
      <w:r>
        <w:rPr>
          <w:rFonts w:hint="eastAsia" w:asciiTheme="minorEastAsia" w:hAnsiTheme="minorEastAsia" w:cstheme="minorEastAsia"/>
          <w:color w:val="auto"/>
          <w:sz w:val="24"/>
          <w:szCs w:val="24"/>
          <w:highlight w:val="none"/>
          <w:lang w:val="en-US" w:eastAsia="zh-CN"/>
        </w:rPr>
        <w:t>(人员名单应与乙方在响应文件中所载明的人员一致)</w:t>
      </w:r>
      <w:r>
        <w:rPr>
          <w:rFonts w:hint="eastAsia" w:asciiTheme="minorEastAsia" w:hAnsiTheme="minorEastAsia" w:cstheme="minorEastAsia"/>
          <w:color w:val="auto"/>
          <w:sz w:val="24"/>
          <w:szCs w:val="24"/>
          <w:highlight w:val="none"/>
        </w:rPr>
        <w:t>，如确须更换，应提前征得甲方同意。如有违反，甲方有权解除合同并要求乙方支付</w:t>
      </w:r>
      <w:r>
        <w:rPr>
          <w:rFonts w:hint="eastAsia" w:asciiTheme="minorEastAsia" w:hAnsiTheme="minorEastAsia" w:cstheme="minorEastAsia"/>
          <w:color w:val="auto"/>
          <w:sz w:val="24"/>
          <w:szCs w:val="24"/>
          <w:highlight w:val="none"/>
          <w:u w:val="single"/>
        </w:rPr>
        <w:t>5000元/人次</w:t>
      </w:r>
      <w:r>
        <w:rPr>
          <w:rFonts w:hint="eastAsia" w:asciiTheme="minorEastAsia" w:hAnsiTheme="minorEastAsia" w:cstheme="minorEastAsia"/>
          <w:color w:val="auto"/>
          <w:sz w:val="24"/>
          <w:szCs w:val="24"/>
          <w:highlight w:val="none"/>
        </w:rPr>
        <w:t xml:space="preserve">作为违约金，以及赔偿由此造成的一切损失(包含质量安全事故、工期延误、增加投资等)。 </w:t>
      </w:r>
    </w:p>
    <w:p>
      <w:pPr>
        <w:topLinePunct/>
        <w:spacing w:line="500" w:lineRule="exact"/>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 xml:space="preserve"> 5.7施工过程中，项目负责人应驻场管理，否则甲方有权要求乙方支付违约</w:t>
      </w:r>
      <w:r>
        <w:rPr>
          <w:rFonts w:hint="eastAsia" w:asciiTheme="minorEastAsia" w:hAnsiTheme="minorEastAsia" w:cstheme="minorEastAsia"/>
          <w:color w:val="auto"/>
          <w:sz w:val="24"/>
          <w:szCs w:val="24"/>
          <w:highlight w:val="none"/>
          <w:u w:val="single"/>
        </w:rPr>
        <w:t xml:space="preserve"> 1000元/天</w:t>
      </w:r>
      <w:r>
        <w:rPr>
          <w:rFonts w:hint="eastAsia" w:asciiTheme="minorEastAsia" w:hAnsiTheme="minorEastAsia" w:cstheme="minorEastAsia"/>
          <w:color w:val="auto"/>
          <w:sz w:val="24"/>
          <w:szCs w:val="24"/>
          <w:highlight w:val="none"/>
        </w:rPr>
        <w:t>，因此造成损失的，按实际发生额赔偿。</w:t>
      </w:r>
    </w:p>
    <w:p>
      <w:pPr>
        <w:autoSpaceDE w:val="0"/>
        <w:autoSpaceDN w:val="0"/>
        <w:adjustRightInd w:val="0"/>
        <w:ind w:firstLine="480" w:firstLineChars="200"/>
        <w:jc w:val="left"/>
        <w:rPr>
          <w:rFonts w:asciiTheme="minorEastAsia" w:hAnsiTheme="minorEastAsia" w:cstheme="minorEastAsia"/>
          <w:color w:val="auto"/>
          <w:kern w:val="0"/>
          <w:sz w:val="24"/>
          <w:szCs w:val="24"/>
          <w:highlight w:val="none"/>
        </w:rPr>
      </w:pPr>
      <w:r>
        <w:rPr>
          <w:rFonts w:hint="eastAsia" w:asciiTheme="minorEastAsia" w:hAnsiTheme="minorEastAsia" w:cstheme="minorEastAsia"/>
          <w:color w:val="auto"/>
          <w:kern w:val="0"/>
          <w:sz w:val="24"/>
          <w:szCs w:val="24"/>
          <w:highlight w:val="none"/>
        </w:rPr>
        <w:t>5.8施工过程中，乙方应负责配备现场的应急物资。具体应急物资配备详见附件应急救援物资清单。</w:t>
      </w:r>
    </w:p>
    <w:p>
      <w:pPr>
        <w:autoSpaceDE w:val="0"/>
        <w:autoSpaceDN w:val="0"/>
        <w:adjustRightInd w:val="0"/>
        <w:jc w:val="left"/>
        <w:rPr>
          <w:rFonts w:ascii="宋体" w:hAnsi="Times New Roman" w:eastAsia="仿宋_GB2312" w:cs="宋体"/>
          <w:color w:val="auto"/>
          <w:kern w:val="0"/>
          <w:sz w:val="24"/>
          <w:szCs w:val="24"/>
          <w:highlight w:val="none"/>
        </w:rPr>
      </w:pPr>
    </w:p>
    <w:p>
      <w:pPr>
        <w:pStyle w:val="2"/>
        <w:rPr>
          <w:rFonts w:ascii="宋体" w:hAnsi="Times New Roman" w:eastAsia="仿宋_GB2312" w:cs="宋体"/>
          <w:color w:val="auto"/>
          <w:kern w:val="0"/>
          <w:sz w:val="24"/>
          <w:szCs w:val="24"/>
          <w:highlight w:val="none"/>
        </w:rPr>
      </w:pPr>
    </w:p>
    <w:p>
      <w:pPr>
        <w:pStyle w:val="2"/>
        <w:rPr>
          <w:rFonts w:ascii="宋体" w:hAnsi="Times New Roman" w:eastAsia="仿宋_GB2312" w:cs="宋体"/>
          <w:color w:val="auto"/>
          <w:kern w:val="0"/>
          <w:sz w:val="24"/>
          <w:szCs w:val="24"/>
          <w:highlight w:val="none"/>
        </w:rPr>
      </w:pPr>
    </w:p>
    <w:p>
      <w:pPr>
        <w:tabs>
          <w:tab w:val="left" w:pos="851"/>
        </w:tabs>
        <w:adjustRightInd w:val="0"/>
        <w:snapToGrid w:val="0"/>
        <w:spacing w:line="360" w:lineRule="auto"/>
        <w:ind w:firstLine="482" w:firstLineChars="200"/>
        <w:jc w:val="lef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第六条实施条件及管理要求</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6.1</w:t>
      </w:r>
      <w:r>
        <w:rPr>
          <w:rFonts w:hint="eastAsia" w:ascii="宋体" w:hAnsi="宋体" w:eastAsia="宋体" w:cs="宋体"/>
          <w:color w:val="auto"/>
          <w:sz w:val="24"/>
          <w:szCs w:val="24"/>
          <w:highlight w:val="none"/>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6.2</w:t>
      </w:r>
      <w:r>
        <w:rPr>
          <w:rFonts w:hint="eastAsia" w:ascii="宋体" w:hAnsi="宋体" w:eastAsia="宋体" w:cs="宋体"/>
          <w:color w:val="auto"/>
          <w:sz w:val="24"/>
          <w:szCs w:val="24"/>
          <w:highlight w:val="none"/>
        </w:rPr>
        <w:t>施工用水用电采用以下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方式执行。</w:t>
      </w:r>
    </w:p>
    <w:p>
      <w:pPr>
        <w:spacing w:line="384"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（1）由甲方提供施工用水用电接口，水电费按合同综合单价水电含量计算，从甲方支付的工程款中直接扣回。</w:t>
      </w:r>
    </w:p>
    <w:p>
      <w:pPr>
        <w:spacing w:line="384"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（2）由甲方提供施工用水用电接口，费用按（月/项目）结算，由乙方向甲方或甲方下辖分公司/子公司支付。水电费用按所属供电局、自来水公司收费标准按实计算。</w:t>
      </w:r>
    </w:p>
    <w:p>
      <w:pPr>
        <w:spacing w:line="384"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（3）由乙方自行负责。</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6.3</w:t>
      </w:r>
      <w:r>
        <w:rPr>
          <w:rFonts w:hint="eastAsia" w:ascii="宋体" w:hAnsi="宋体" w:eastAsia="宋体" w:cs="宋体"/>
          <w:color w:val="auto"/>
          <w:sz w:val="24"/>
          <w:szCs w:val="24"/>
          <w:highlight w:val="none"/>
        </w:rPr>
        <w:t>施工时间安排：上午</w:t>
      </w:r>
      <w:r>
        <w:rPr>
          <w:rFonts w:ascii="宋体" w:hAnsi="宋体" w:eastAsia="宋体" w:cs="宋体"/>
          <w:color w:val="auto"/>
          <w:sz w:val="24"/>
          <w:szCs w:val="24"/>
          <w:highlight w:val="none"/>
        </w:rPr>
        <w:t>7</w:t>
      </w: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00-12</w:t>
      </w: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00</w:t>
      </w:r>
      <w:r>
        <w:rPr>
          <w:rFonts w:hint="eastAsia" w:ascii="宋体" w:hAnsi="宋体" w:eastAsia="宋体" w:cs="宋体"/>
          <w:color w:val="auto"/>
          <w:sz w:val="24"/>
          <w:szCs w:val="24"/>
          <w:highlight w:val="none"/>
        </w:rPr>
        <w:t>，下午</w:t>
      </w:r>
      <w:r>
        <w:rPr>
          <w:rFonts w:ascii="宋体" w:hAnsi="宋体" w:eastAsia="宋体" w:cs="宋体"/>
          <w:color w:val="auto"/>
          <w:sz w:val="24"/>
          <w:szCs w:val="24"/>
          <w:highlight w:val="none"/>
        </w:rPr>
        <w:t>14</w:t>
      </w: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00-18</w:t>
      </w: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00</w:t>
      </w:r>
      <w:r>
        <w:rPr>
          <w:rFonts w:hint="eastAsia" w:ascii="宋体" w:hAnsi="宋体" w:eastAsia="宋体" w:cs="宋体"/>
          <w:color w:val="auto"/>
          <w:sz w:val="24"/>
          <w:szCs w:val="24"/>
          <w:highlight w:val="none"/>
        </w:rPr>
        <w:t>，施工时间如需变动，以甲方的书面或口头通知为准。</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6.4</w:t>
      </w:r>
      <w:r>
        <w:rPr>
          <w:rFonts w:hint="eastAsia" w:ascii="宋体" w:hAnsi="宋体" w:eastAsia="宋体" w:cs="宋体"/>
          <w:color w:val="auto"/>
          <w:sz w:val="24"/>
          <w:szCs w:val="24"/>
          <w:highlight w:val="none"/>
        </w:rPr>
        <w:t>进场施工人员必须严格遵守</w:t>
      </w:r>
      <w:r>
        <w:rPr>
          <w:rFonts w:hint="eastAsia" w:ascii="宋体" w:hAnsi="宋体" w:eastAsia="宋体" w:cs="宋体"/>
          <w:color w:val="auto"/>
          <w:kern w:val="10"/>
          <w:sz w:val="24"/>
          <w:szCs w:val="24"/>
          <w:highlight w:val="none"/>
        </w:rPr>
        <w:t>污水处理厂</w:t>
      </w:r>
      <w:r>
        <w:rPr>
          <w:rFonts w:hint="eastAsia" w:ascii="宋体" w:hAnsi="宋体" w:eastAsia="宋体" w:cs="宋体"/>
          <w:color w:val="auto"/>
          <w:sz w:val="24"/>
          <w:szCs w:val="24"/>
          <w:highlight w:val="none"/>
        </w:rPr>
        <w:t>一切规章制度。进入施工现场人员必须佩戴出入证，并自觉接受门岗检查。</w:t>
      </w:r>
    </w:p>
    <w:p>
      <w:pPr>
        <w:snapToGrid w:val="0"/>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6.5</w:t>
      </w:r>
      <w:r>
        <w:rPr>
          <w:rFonts w:hint="eastAsia" w:ascii="宋体" w:hAnsi="宋体" w:eastAsia="宋体" w:cs="宋体"/>
          <w:color w:val="auto"/>
          <w:sz w:val="24"/>
          <w:szCs w:val="24"/>
          <w:highlight w:val="none"/>
        </w:rPr>
        <w:t>环境保护要求：</w:t>
      </w:r>
    </w:p>
    <w:p>
      <w:pPr>
        <w:snapToGrid w:val="0"/>
        <w:spacing w:line="384"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rPr>
        <w:t>）做好施工噪声、废气、废水等控制；</w:t>
      </w:r>
    </w:p>
    <w:p>
      <w:pPr>
        <w:snapToGrid w:val="0"/>
        <w:spacing w:line="384"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）按照国家及广州市相关规定做好建筑垃圾的处理。</w:t>
      </w:r>
    </w:p>
    <w:p>
      <w:pPr>
        <w:snapToGrid w:val="0"/>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6.6</w:t>
      </w:r>
      <w:r>
        <w:rPr>
          <w:rFonts w:hint="eastAsia" w:ascii="宋体" w:hAnsi="宋体" w:eastAsia="宋体" w:cs="宋体"/>
          <w:color w:val="auto"/>
          <w:sz w:val="24"/>
          <w:szCs w:val="24"/>
          <w:highlight w:val="none"/>
        </w:rPr>
        <w:t>按相关法律法规及甲方相关作业施工管理要求执行。</w:t>
      </w:r>
    </w:p>
    <w:p>
      <w:pPr>
        <w:spacing w:line="384"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第七条 材料及设备供应</w:t>
      </w:r>
    </w:p>
    <w:p>
      <w:pPr>
        <w:spacing w:line="384"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7.1</w:t>
      </w:r>
      <w:r>
        <w:rPr>
          <w:rFonts w:hint="eastAsia" w:ascii="宋体" w:hAnsi="宋体" w:eastAsia="宋体" w:cs="宋体"/>
          <w:color w:val="auto"/>
          <w:sz w:val="24"/>
          <w:szCs w:val="24"/>
          <w:highlight w:val="none"/>
        </w:rPr>
        <w:t>采购供应的材料、其名称、品种、型号、规格、质量等，均应符合国家、地方及行业有关规范及要求。</w:t>
      </w:r>
    </w:p>
    <w:p>
      <w:pPr>
        <w:spacing w:line="384" w:lineRule="auto"/>
        <w:ind w:left="657" w:leftChars="200" w:hanging="237" w:hangingChars="99"/>
        <w:rPr>
          <w:rFonts w:ascii="宋体" w:hAnsi="宋体" w:eastAsia="宋体" w:cs="宋体"/>
          <w:color w:val="auto"/>
          <w:sz w:val="24"/>
          <w:szCs w:val="24"/>
          <w:highlight w:val="none"/>
        </w:rPr>
      </w:pPr>
      <w:r>
        <w:rPr>
          <w:rFonts w:ascii="宋体" w:hAnsi="宋体" w:eastAsia="宋体" w:cs="宋体"/>
          <w:color w:val="auto"/>
          <w:sz w:val="24"/>
          <w:szCs w:val="24"/>
          <w:highlight w:val="none"/>
        </w:rPr>
        <w:t>7.2</w:t>
      </w:r>
      <w:r>
        <w:rPr>
          <w:rFonts w:hint="eastAsia" w:ascii="宋体" w:hAnsi="宋体" w:eastAsia="宋体" w:cs="宋体"/>
          <w:color w:val="auto"/>
          <w:sz w:val="24"/>
          <w:szCs w:val="24"/>
          <w:highlight w:val="none"/>
        </w:rPr>
        <w:t>所有材料必须具备合格证明，并保证产品的有效性。</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7.3</w:t>
      </w:r>
      <w:r>
        <w:rPr>
          <w:rFonts w:hint="eastAsia" w:ascii="宋体" w:hAnsi="宋体" w:eastAsia="宋体" w:cs="宋体"/>
          <w:color w:val="auto"/>
          <w:sz w:val="24"/>
          <w:szCs w:val="24"/>
          <w:highlight w:val="none"/>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7.4</w:t>
      </w:r>
      <w:r>
        <w:rPr>
          <w:rFonts w:hint="eastAsia" w:ascii="宋体" w:hAnsi="宋体" w:eastAsia="宋体" w:cs="宋体"/>
          <w:color w:val="auto"/>
          <w:sz w:val="24"/>
          <w:szCs w:val="24"/>
          <w:highlight w:val="none"/>
        </w:rPr>
        <w:t>乙方必须根据投标文件</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7.5 </w:t>
      </w:r>
      <w:r>
        <w:rPr>
          <w:rFonts w:hint="eastAsia" w:ascii="宋体" w:hAnsi="宋体" w:eastAsia="宋体" w:cs="宋体"/>
          <w:color w:val="auto"/>
          <w:sz w:val="24"/>
          <w:szCs w:val="24"/>
          <w:highlight w:val="none"/>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7.6 </w:t>
      </w:r>
      <w:r>
        <w:rPr>
          <w:rFonts w:hint="eastAsia" w:ascii="宋体" w:hAnsi="宋体" w:eastAsia="宋体" w:cs="宋体"/>
          <w:color w:val="auto"/>
          <w:sz w:val="24"/>
          <w:szCs w:val="24"/>
          <w:highlight w:val="none"/>
        </w:rPr>
        <w:t>承包范围之内工程所用之设备，由乙方提供。</w:t>
      </w:r>
    </w:p>
    <w:p>
      <w:pPr>
        <w:spacing w:line="384" w:lineRule="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第八条付</w:t>
      </w:r>
      <w:r>
        <w:rPr>
          <w:rFonts w:hint="eastAsia" w:ascii="宋体" w:hAnsi="宋体" w:eastAsia="宋体" w:cs="宋体"/>
          <w:b/>
          <w:color w:val="auto"/>
          <w:sz w:val="24"/>
          <w:szCs w:val="24"/>
          <w:highlight w:val="none"/>
        </w:rPr>
        <w:t>款及履约担保</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8.1</w:t>
      </w:r>
      <w:r>
        <w:rPr>
          <w:rFonts w:hint="eastAsia" w:ascii="宋体" w:hAnsi="宋体" w:eastAsia="宋体" w:cs="宋体"/>
          <w:bCs/>
          <w:color w:val="auto"/>
          <w:sz w:val="24"/>
          <w:szCs w:val="24"/>
          <w:highlight w:val="none"/>
        </w:rPr>
        <w:t>预付款的支付：</w:t>
      </w:r>
      <w:r>
        <w:rPr>
          <w:rFonts w:ascii="宋体" w:hAnsi="宋体" w:eastAsia="宋体" w:cs="宋体"/>
          <w:bCs/>
          <w:color w:val="auto"/>
          <w:sz w:val="24"/>
          <w:highlight w:val="none"/>
        </w:rPr>
        <w:sym w:font="Wingdings" w:char="00FE"/>
      </w:r>
      <w:r>
        <w:rPr>
          <w:rFonts w:hint="eastAsia" w:ascii="宋体" w:hAnsi="宋体" w:eastAsia="宋体" w:cs="宋体"/>
          <w:bCs/>
          <w:color w:val="auto"/>
          <w:sz w:val="24"/>
          <w:szCs w:val="24"/>
          <w:highlight w:val="none"/>
        </w:rPr>
        <w:t>无；</w:t>
      </w:r>
      <w:r>
        <w:rPr>
          <w:rFonts w:ascii="宋体" w:hAnsi="宋体" w:eastAsia="宋体" w:cs="宋体"/>
          <w:bCs/>
          <w:color w:val="auto"/>
          <w:sz w:val="24"/>
          <w:szCs w:val="24"/>
          <w:highlight w:val="none"/>
        </w:rPr>
        <w:sym w:font="Wingdings" w:char="00A8"/>
      </w:r>
      <w:r>
        <w:rPr>
          <w:rFonts w:hint="eastAsia" w:ascii="宋体" w:hAnsi="宋体" w:eastAsia="宋体" w:cs="宋体"/>
          <w:bCs/>
          <w:color w:val="auto"/>
          <w:sz w:val="24"/>
          <w:szCs w:val="24"/>
          <w:highlight w:val="none"/>
        </w:rPr>
        <w:t>有,合同签订后，乙方开具等额的增值税专用发票及提交</w:t>
      </w:r>
      <w:r>
        <w:rPr>
          <w:rFonts w:hint="eastAsia" w:ascii="宋体" w:hAnsi="宋体" w:eastAsia="宋体" w:cs="宋体"/>
          <w:bCs/>
          <w:color w:val="auto"/>
          <w:sz w:val="24"/>
          <w:szCs w:val="24"/>
          <w:highlight w:val="none"/>
          <w:lang w:val="en-US" w:eastAsia="zh-CN"/>
        </w:rPr>
        <w:t>履约</w:t>
      </w:r>
      <w:r>
        <w:rPr>
          <w:rFonts w:hint="eastAsia" w:ascii="宋体" w:hAnsi="宋体" w:eastAsia="宋体" w:cs="宋体"/>
          <w:bCs/>
          <w:color w:val="auto"/>
          <w:sz w:val="24"/>
          <w:szCs w:val="24"/>
          <w:highlight w:val="none"/>
        </w:rPr>
        <w:t>担保后</w:t>
      </w:r>
      <w:r>
        <w:rPr>
          <w:rFonts w:ascii="宋体" w:hAnsi="宋体" w:eastAsia="宋体" w:cs="宋体"/>
          <w:bCs/>
          <w:color w:val="auto"/>
          <w:sz w:val="24"/>
          <w:szCs w:val="24"/>
          <w:highlight w:val="none"/>
          <w:u w:val="single"/>
        </w:rPr>
        <w:t xml:space="preserve"> 10 </w:t>
      </w:r>
      <w:r>
        <w:rPr>
          <w:rFonts w:hint="eastAsia" w:ascii="宋体" w:hAnsi="宋体" w:eastAsia="宋体" w:cs="宋体"/>
          <w:bCs/>
          <w:color w:val="auto"/>
          <w:sz w:val="24"/>
          <w:szCs w:val="24"/>
          <w:highlight w:val="none"/>
        </w:rPr>
        <w:t>个工作日内，甲方支付合同</w:t>
      </w:r>
      <w:r>
        <w:rPr>
          <w:rFonts w:hint="eastAsia" w:ascii="宋体" w:hAnsi="宋体" w:eastAsia="宋体" w:cs="宋体"/>
          <w:color w:val="auto"/>
          <w:sz w:val="24"/>
          <w:szCs w:val="24"/>
          <w:highlight w:val="none"/>
        </w:rPr>
        <w:t>暂定总价</w:t>
      </w:r>
      <w:r>
        <w:rPr>
          <w:rFonts w:hint="eastAsia" w:ascii="宋体" w:hAnsi="宋体" w:eastAsia="宋体" w:cs="宋体"/>
          <w:bCs/>
          <w:color w:val="auto"/>
          <w:sz w:val="24"/>
          <w:szCs w:val="24"/>
          <w:highlight w:val="none"/>
        </w:rPr>
        <w:t>的</w:t>
      </w:r>
      <w:r>
        <w:rPr>
          <w:rFonts w:ascii="宋体" w:hAnsi="宋体" w:eastAsia="宋体" w:cs="宋体"/>
          <w:bCs/>
          <w:color w:val="auto"/>
          <w:sz w:val="24"/>
          <w:szCs w:val="24"/>
          <w:highlight w:val="none"/>
          <w:u w:val="single"/>
        </w:rPr>
        <w:t>30%</w:t>
      </w:r>
      <w:r>
        <w:rPr>
          <w:rFonts w:hint="eastAsia" w:ascii="宋体" w:hAnsi="宋体" w:eastAsia="宋体" w:cs="宋体"/>
          <w:color w:val="auto"/>
          <w:sz w:val="24"/>
          <w:szCs w:val="24"/>
          <w:highlight w:val="none"/>
        </w:rPr>
        <w:t>即…</w:t>
      </w:r>
      <w:r>
        <w:rPr>
          <w:rFonts w:hint="eastAsia" w:ascii="宋体" w:hAnsi="宋体" w:eastAsia="宋体" w:cs="宋体"/>
          <w:color w:val="auto"/>
          <w:sz w:val="24"/>
          <w:szCs w:val="24"/>
          <w:highlight w:val="none"/>
          <w:u w:val="single"/>
        </w:rPr>
        <w:t>元，（大写：…）</w:t>
      </w:r>
      <w:r>
        <w:rPr>
          <w:rFonts w:hint="eastAsia" w:ascii="宋体" w:hAnsi="宋体" w:eastAsia="宋体" w:cs="宋体"/>
          <w:bCs/>
          <w:color w:val="auto"/>
          <w:sz w:val="24"/>
          <w:szCs w:val="24"/>
          <w:highlight w:val="none"/>
        </w:rPr>
        <w:t>作为预付款。</w:t>
      </w:r>
      <w:r>
        <w:rPr>
          <w:rFonts w:hint="eastAsia" w:ascii="宋体" w:hAnsi="宋体" w:eastAsia="宋体" w:cs="宋体"/>
          <w:color w:val="auto"/>
          <w:sz w:val="24"/>
          <w:szCs w:val="24"/>
          <w:highlight w:val="none"/>
        </w:rPr>
        <w:t>若合同解除或终止，乙方在</w:t>
      </w:r>
      <w:r>
        <w:rPr>
          <w:rFonts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个工作日内返还预付款（无息）。</w:t>
      </w:r>
      <w:r>
        <w:rPr>
          <w:rFonts w:hint="eastAsia" w:ascii="宋体" w:hAnsi="宋体" w:eastAsia="宋体" w:cs="宋体"/>
          <w:bCs/>
          <w:color w:val="auto"/>
          <w:kern w:val="0"/>
          <w:sz w:val="24"/>
          <w:szCs w:val="24"/>
          <w:highlight w:val="none"/>
        </w:rPr>
        <w:t>逾期未返还，每逾期一天，乙方应按合同暂定总价的</w:t>
      </w:r>
      <w:r>
        <w:rPr>
          <w:rFonts w:hint="eastAsia" w:ascii="宋体" w:hAnsi="宋体" w:eastAsia="宋体" w:cs="宋体"/>
          <w:bCs/>
          <w:color w:val="auto"/>
          <w:kern w:val="0"/>
          <w:sz w:val="24"/>
          <w:szCs w:val="24"/>
          <w:highlight w:val="none"/>
          <w:u w:val="single"/>
        </w:rPr>
        <w:t>万分之五</w:t>
      </w:r>
      <w:r>
        <w:rPr>
          <w:rFonts w:ascii="宋体" w:hAnsi="宋体" w:eastAsia="宋体" w:cs="宋体"/>
          <w:bCs/>
          <w:color w:val="auto"/>
          <w:kern w:val="0"/>
          <w:sz w:val="24"/>
          <w:szCs w:val="24"/>
          <w:highlight w:val="none"/>
          <w:u w:val="single"/>
        </w:rPr>
        <w:t>/</w:t>
      </w:r>
      <w:r>
        <w:rPr>
          <w:rFonts w:hint="eastAsia" w:ascii="宋体" w:hAnsi="宋体" w:eastAsia="宋体" w:cs="宋体"/>
          <w:bCs/>
          <w:color w:val="auto"/>
          <w:kern w:val="0"/>
          <w:sz w:val="24"/>
          <w:szCs w:val="24"/>
          <w:highlight w:val="none"/>
          <w:u w:val="single"/>
        </w:rPr>
        <w:t>天</w:t>
      </w:r>
      <w:r>
        <w:rPr>
          <w:rFonts w:hint="eastAsia" w:ascii="宋体" w:hAnsi="宋体" w:eastAsia="宋体" w:cs="宋体"/>
          <w:bCs/>
          <w:color w:val="auto"/>
          <w:kern w:val="0"/>
          <w:sz w:val="24"/>
          <w:szCs w:val="24"/>
          <w:highlight w:val="none"/>
        </w:rPr>
        <w:t>支付违约金</w:t>
      </w:r>
      <w:r>
        <w:rPr>
          <w:rFonts w:hint="eastAsia" w:ascii="宋体" w:hAnsi="宋体" w:eastAsia="宋体" w:cs="宋体"/>
          <w:color w:val="auto"/>
          <w:sz w:val="24"/>
          <w:szCs w:val="24"/>
          <w:highlight w:val="none"/>
        </w:rPr>
        <w:t>。</w:t>
      </w:r>
    </w:p>
    <w:p>
      <w:pPr>
        <w:spacing w:line="384" w:lineRule="auto"/>
        <w:ind w:firstLine="480" w:firstLineChars="200"/>
        <w:outlineLvl w:val="1"/>
        <w:rPr>
          <w:rFonts w:ascii="宋体" w:hAnsi="宋体" w:eastAsia="宋体" w:cs="宋体"/>
          <w:color w:val="auto"/>
          <w:sz w:val="24"/>
          <w:szCs w:val="24"/>
          <w:highlight w:val="none"/>
        </w:rPr>
      </w:pPr>
      <w:r>
        <w:rPr>
          <w:rFonts w:ascii="宋体" w:hAnsi="宋体" w:eastAsia="宋体" w:cs="宋体"/>
          <w:color w:val="auto"/>
          <w:sz w:val="24"/>
          <w:szCs w:val="24"/>
          <w:highlight w:val="none"/>
        </w:rPr>
        <w:t>8.</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u w:val="single"/>
        </w:rPr>
        <w:t>项目验收合格后，由乙方提交申请支付资料</w:t>
      </w:r>
      <w:r>
        <w:rPr>
          <w:rFonts w:ascii="宋体" w:hAnsi="宋体" w:eastAsia="宋体" w:cs="宋体"/>
          <w:color w:val="auto"/>
          <w:sz w:val="24"/>
          <w:szCs w:val="24"/>
          <w:highlight w:val="none"/>
          <w:u w:val="single"/>
        </w:rPr>
        <w:t xml:space="preserve"> 15 </w:t>
      </w:r>
      <w:r>
        <w:rPr>
          <w:rFonts w:hint="eastAsia" w:ascii="宋体" w:hAnsi="宋体" w:eastAsia="宋体" w:cs="宋体"/>
          <w:color w:val="auto"/>
          <w:sz w:val="24"/>
          <w:szCs w:val="24"/>
          <w:highlight w:val="none"/>
          <w:u w:val="single"/>
        </w:rPr>
        <w:t>个工作日内，甲方支付至合同暂定总价的80％即</w:t>
      </w:r>
      <w:r>
        <w:rPr>
          <w:rFonts w:ascii="宋体" w:hAnsi="宋体" w:eastAsia="宋体" w:cs="宋体"/>
          <w:color w:val="auto"/>
          <w:sz w:val="24"/>
          <w:szCs w:val="24"/>
          <w:highlight w:val="none"/>
          <w:u w:val="single"/>
        </w:rPr>
        <w:t xml:space="preserve"> </w:t>
      </w:r>
      <w:r>
        <w:rPr>
          <w:rFonts w:hint="eastAsia" w:eastAsia="宋体" w:cs="宋体"/>
          <w:color w:val="auto"/>
          <w:highlight w:val="none"/>
          <w:u w:val="single"/>
        </w:rPr>
        <w:t>…</w:t>
      </w:r>
      <w:r>
        <w:rPr>
          <w:rFonts w:hint="eastAsia" w:ascii="宋体" w:hAnsi="宋体" w:eastAsia="宋体" w:cs="宋体"/>
          <w:color w:val="auto"/>
          <w:sz w:val="24"/>
          <w:szCs w:val="24"/>
          <w:highlight w:val="none"/>
          <w:u w:val="single"/>
        </w:rPr>
        <w:t>万元给乙方。</w:t>
      </w:r>
    </w:p>
    <w:p>
      <w:pPr>
        <w:tabs>
          <w:tab w:val="left" w:pos="0"/>
        </w:tabs>
        <w:adjustRightInd w:val="0"/>
        <w:snapToGrid w:val="0"/>
        <w:spacing w:line="360" w:lineRule="auto"/>
        <w:ind w:firstLine="480" w:firstLineChars="20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8.</w:t>
      </w:r>
      <w:r>
        <w:rPr>
          <w:rFonts w:hint="eastAsia" w:ascii="宋体" w:hAnsi="宋体" w:eastAsia="宋体" w:cs="宋体"/>
          <w:color w:val="auto"/>
          <w:sz w:val="24"/>
          <w:szCs w:val="24"/>
          <w:highlight w:val="none"/>
          <w:lang w:val="en-US" w:eastAsia="zh-CN"/>
        </w:rPr>
        <w:t>2</w:t>
      </w: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项目验收合格后，</w:t>
      </w:r>
      <w:r>
        <w:rPr>
          <w:rFonts w:hint="eastAsia" w:ascii="宋体" w:hAnsi="宋体" w:eastAsia="宋体" w:cs="宋体"/>
          <w:color w:val="auto"/>
          <w:sz w:val="24"/>
          <w:szCs w:val="24"/>
          <w:highlight w:val="none"/>
        </w:rPr>
        <w:t>经甲方或甲方委托有资质第三方机构审核后，由乙方提交申请支付资料</w:t>
      </w:r>
      <w:r>
        <w:rPr>
          <w:rFonts w:ascii="宋体" w:hAnsi="宋体" w:eastAsia="宋体" w:cs="宋体"/>
          <w:color w:val="auto"/>
          <w:sz w:val="24"/>
          <w:szCs w:val="24"/>
          <w:highlight w:val="none"/>
          <w:u w:val="single"/>
        </w:rPr>
        <w:t xml:space="preserve"> 15 </w:t>
      </w:r>
      <w:r>
        <w:rPr>
          <w:rFonts w:hint="eastAsia" w:ascii="宋体" w:hAnsi="宋体" w:eastAsia="宋体" w:cs="宋体"/>
          <w:color w:val="auto"/>
          <w:sz w:val="24"/>
          <w:szCs w:val="24"/>
          <w:highlight w:val="none"/>
        </w:rPr>
        <w:t>个工作日内，甲方支付至合同结算价的</w:t>
      </w:r>
      <w:r>
        <w:rPr>
          <w:rFonts w:ascii="宋体" w:hAnsi="宋体" w:eastAsia="宋体" w:cs="宋体"/>
          <w:color w:val="auto"/>
          <w:sz w:val="24"/>
          <w:szCs w:val="24"/>
          <w:highlight w:val="none"/>
        </w:rPr>
        <w:t>95%</w:t>
      </w:r>
      <w:r>
        <w:rPr>
          <w:rFonts w:hint="eastAsia" w:ascii="宋体" w:hAnsi="宋体" w:eastAsia="宋体" w:cs="宋体"/>
          <w:color w:val="auto"/>
          <w:sz w:val="24"/>
          <w:szCs w:val="24"/>
          <w:highlight w:val="none"/>
        </w:rPr>
        <w:t>。</w:t>
      </w:r>
    </w:p>
    <w:p>
      <w:pPr>
        <w:spacing w:line="384" w:lineRule="auto"/>
        <w:ind w:firstLine="480" w:firstLineChars="200"/>
        <w:outlineLvl w:val="1"/>
        <w:rPr>
          <w:rFonts w:ascii="Times New Roman" w:hAnsi="宋体" w:eastAsia="宋体" w:cs="宋体"/>
          <w:color w:val="auto"/>
          <w:sz w:val="24"/>
          <w:szCs w:val="24"/>
          <w:highlight w:val="none"/>
        </w:rPr>
      </w:pPr>
      <w:r>
        <w:rPr>
          <w:rFonts w:ascii="宋体" w:hAnsi="宋体" w:eastAsia="宋体" w:cs="宋体"/>
          <w:color w:val="auto"/>
          <w:sz w:val="24"/>
          <w:szCs w:val="24"/>
          <w:highlight w:val="none"/>
        </w:rPr>
        <w:t>8.</w:t>
      </w:r>
      <w:r>
        <w:rPr>
          <w:rFonts w:hint="eastAsia" w:ascii="宋体" w:hAnsi="宋体" w:eastAsia="宋体" w:cs="宋体"/>
          <w:color w:val="auto"/>
          <w:sz w:val="24"/>
          <w:szCs w:val="24"/>
          <w:highlight w:val="none"/>
          <w:lang w:val="en-US" w:eastAsia="zh-CN"/>
        </w:rPr>
        <w:t>2</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2</w:t>
      </w:r>
      <w:r>
        <w:rPr>
          <w:rFonts w:hint="eastAsia" w:ascii="Times New Roman" w:hAnsi="宋体" w:eastAsia="宋体" w:cs="宋体"/>
          <w:color w:val="auto"/>
          <w:sz w:val="24"/>
          <w:szCs w:val="24"/>
          <w:highlight w:val="none"/>
        </w:rPr>
        <w:t>质保期按合同第十条规定执行，质保期满后且乙方不存在违约情形，由乙方提交申请质保金退还资料</w:t>
      </w:r>
      <w:r>
        <w:rPr>
          <w:rFonts w:ascii="Times New Roman" w:hAnsi="宋体" w:eastAsia="宋体" w:cs="宋体"/>
          <w:color w:val="auto"/>
          <w:sz w:val="24"/>
          <w:szCs w:val="24"/>
          <w:highlight w:val="none"/>
          <w:u w:val="single"/>
        </w:rPr>
        <w:t xml:space="preserve"> 15 </w:t>
      </w:r>
      <w:r>
        <w:rPr>
          <w:rFonts w:hint="eastAsia" w:ascii="Times New Roman" w:hAnsi="宋体" w:eastAsia="宋体" w:cs="宋体"/>
          <w:color w:val="auto"/>
          <w:sz w:val="24"/>
          <w:szCs w:val="24"/>
          <w:highlight w:val="none"/>
        </w:rPr>
        <w:t>个工作日内，甲方支付合同结算价的</w:t>
      </w:r>
      <w:r>
        <w:rPr>
          <w:rFonts w:ascii="Times New Roman" w:hAnsi="宋体" w:eastAsia="宋体" w:cs="宋体"/>
          <w:color w:val="auto"/>
          <w:sz w:val="24"/>
          <w:szCs w:val="24"/>
          <w:highlight w:val="none"/>
        </w:rPr>
        <w:t>5</w:t>
      </w:r>
      <w:r>
        <w:rPr>
          <w:rFonts w:hint="eastAsia" w:ascii="Times New Roman" w:hAnsi="宋体" w:eastAsia="宋体" w:cs="宋体"/>
          <w:color w:val="auto"/>
          <w:sz w:val="24"/>
          <w:szCs w:val="24"/>
          <w:highlight w:val="none"/>
        </w:rPr>
        <w:t>％（质保金）给乙方（无息）。</w:t>
      </w:r>
    </w:p>
    <w:p>
      <w:pPr>
        <w:spacing w:line="384" w:lineRule="auto"/>
        <w:ind w:firstLine="480" w:firstLineChars="200"/>
        <w:outlineLvl w:val="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.3本项目工程款的支付单位为：</w:t>
      </w:r>
      <w:r>
        <w:rPr>
          <w:rFonts w:hint="eastAsia" w:ascii="宋体" w:hAnsi="宋体" w:eastAsia="宋体" w:cs="宋体"/>
          <w:color w:val="auto"/>
          <w:sz w:val="24"/>
          <w:szCs w:val="24"/>
          <w:highlight w:val="none"/>
          <w:u w:val="single"/>
        </w:rPr>
        <w:t xml:space="preserve"> 广州市净水有限公司</w:t>
      </w:r>
      <w:r>
        <w:rPr>
          <w:rFonts w:hint="eastAsia" w:ascii="宋体" w:hAnsi="宋体" w:eastAsia="宋体" w:cs="宋体"/>
          <w:color w:val="auto"/>
          <w:sz w:val="24"/>
          <w:szCs w:val="24"/>
          <w:highlight w:val="none"/>
          <w:u w:val="single"/>
          <w:lang w:val="en-US" w:eastAsia="zh-CN"/>
        </w:rPr>
        <w:t>龙归分公司</w:t>
      </w:r>
      <w:r>
        <w:rPr>
          <w:rFonts w:hint="eastAsia" w:ascii="宋体" w:hAnsi="宋体" w:eastAsia="宋体" w:cs="宋体"/>
          <w:color w:val="auto"/>
          <w:sz w:val="24"/>
          <w:szCs w:val="24"/>
          <w:highlight w:val="none"/>
          <w:u w:val="single"/>
        </w:rPr>
        <w:t xml:space="preserve"> </w:t>
      </w:r>
    </w:p>
    <w:p>
      <w:pPr>
        <w:spacing w:line="384" w:lineRule="auto"/>
        <w:ind w:firstLine="480" w:firstLineChars="200"/>
        <w:rPr>
          <w:rFonts w:ascii="宋体" w:hAnsi="宋体" w:eastAsia="宋体" w:cs="宋体"/>
          <w:color w:val="auto"/>
          <w:sz w:val="24"/>
          <w:szCs w:val="24"/>
          <w:highlight w:val="none"/>
          <w:u w:val="single"/>
        </w:rPr>
      </w:pPr>
      <w:r>
        <w:rPr>
          <w:rFonts w:ascii="宋体" w:hAnsi="宋体" w:eastAsia="宋体" w:cs="宋体"/>
          <w:color w:val="auto"/>
          <w:sz w:val="24"/>
          <w:szCs w:val="24"/>
          <w:highlight w:val="none"/>
        </w:rPr>
        <w:t>8.</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乙方收款账户：</w:t>
      </w:r>
      <w:r>
        <w:rPr>
          <w:rFonts w:hint="eastAsia" w:ascii="宋体" w:hAnsi="宋体" w:eastAsia="宋体" w:cs="宋体"/>
          <w:color w:val="auto"/>
          <w:sz w:val="24"/>
          <w:szCs w:val="24"/>
          <w:highlight w:val="none"/>
          <w:u w:val="single"/>
        </w:rPr>
        <w:t>…；</w:t>
      </w:r>
    </w:p>
    <w:p>
      <w:pPr>
        <w:spacing w:line="384"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收款账号：</w:t>
      </w:r>
      <w:r>
        <w:rPr>
          <w:rFonts w:hint="eastAsia" w:ascii="宋体" w:hAnsi="宋体" w:eastAsia="宋体" w:cs="宋体"/>
          <w:color w:val="auto"/>
          <w:sz w:val="24"/>
          <w:szCs w:val="24"/>
          <w:highlight w:val="none"/>
          <w:u w:val="single"/>
        </w:rPr>
        <w:t>…；</w:t>
      </w:r>
    </w:p>
    <w:p>
      <w:pPr>
        <w:spacing w:line="384"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开户行：</w:t>
      </w:r>
      <w:r>
        <w:rPr>
          <w:rFonts w:hint="eastAsia" w:ascii="宋体" w:hAnsi="宋体" w:eastAsia="宋体" w:cs="宋体"/>
          <w:color w:val="auto"/>
          <w:sz w:val="24"/>
          <w:szCs w:val="24"/>
          <w:highlight w:val="none"/>
          <w:u w:val="single"/>
        </w:rPr>
        <w:t>…；</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8.</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乙方在收款前需提交等额增值税专用发票给甲方。增值税专用发票信息：</w:t>
      </w:r>
    </w:p>
    <w:p>
      <w:pPr>
        <w:spacing w:line="384" w:lineRule="auto"/>
        <w:ind w:firstLine="960" w:firstLineChars="400"/>
        <w:rPr>
          <w:rFonts w:ascii="宋体" w:hAnsi="宋体" w:cs="宋体"/>
          <w:color w:val="auto"/>
          <w:sz w:val="24"/>
          <w:highlight w:val="none"/>
          <w:u w:val="single"/>
        </w:rPr>
      </w:pPr>
      <w:r>
        <w:rPr>
          <w:rFonts w:hint="eastAsia" w:ascii="宋体" w:hAnsi="宋体" w:cs="宋体"/>
          <w:color w:val="auto"/>
          <w:sz w:val="24"/>
          <w:highlight w:val="none"/>
        </w:rPr>
        <w:t>名称：</w:t>
      </w:r>
      <w:r>
        <w:rPr>
          <w:rFonts w:hint="eastAsia" w:ascii="宋体" w:hAnsi="宋体" w:cs="宋体"/>
          <w:color w:val="auto"/>
          <w:sz w:val="24"/>
          <w:highlight w:val="none"/>
          <w:u w:val="single"/>
        </w:rPr>
        <w:t>广州市净水有限公司</w:t>
      </w:r>
    </w:p>
    <w:p>
      <w:pPr>
        <w:spacing w:line="384" w:lineRule="auto"/>
        <w:ind w:firstLine="960" w:firstLineChars="400"/>
        <w:rPr>
          <w:rFonts w:ascii="宋体" w:hAnsi="宋体" w:cs="宋体"/>
          <w:color w:val="auto"/>
          <w:sz w:val="24"/>
          <w:highlight w:val="none"/>
        </w:rPr>
      </w:pPr>
      <w:r>
        <w:rPr>
          <w:rFonts w:hint="eastAsia" w:ascii="宋体" w:hAnsi="宋体" w:cs="宋体"/>
          <w:color w:val="auto"/>
          <w:sz w:val="24"/>
          <w:highlight w:val="none"/>
        </w:rPr>
        <w:t>税号：</w:t>
      </w:r>
      <w:r>
        <w:rPr>
          <w:rFonts w:ascii="宋体" w:hAnsi="宋体" w:cs="宋体"/>
          <w:color w:val="auto"/>
          <w:sz w:val="24"/>
          <w:highlight w:val="none"/>
          <w:u w:val="single"/>
        </w:rPr>
        <w:t xml:space="preserve"> </w:t>
      </w:r>
      <w:r>
        <w:rPr>
          <w:rFonts w:ascii="宋体" w:hAnsi="宋体"/>
          <w:color w:val="auto"/>
          <w:sz w:val="24"/>
          <w:highlight w:val="none"/>
          <w:u w:val="single"/>
        </w:rPr>
        <w:t>91440101755584729Q</w:t>
      </w:r>
      <w:r>
        <w:rPr>
          <w:rFonts w:hint="eastAsia" w:ascii="宋体" w:hAnsi="宋体"/>
          <w:color w:val="auto"/>
          <w:sz w:val="24"/>
          <w:highlight w:val="none"/>
          <w:u w:val="single"/>
          <w:lang w:val="en-US" w:eastAsia="zh-CN"/>
        </w:rPr>
        <w:t xml:space="preserve"> </w:t>
      </w:r>
      <w:r>
        <w:rPr>
          <w:rFonts w:ascii="宋体" w:hAnsi="宋体" w:cs="宋体"/>
          <w:color w:val="auto"/>
          <w:sz w:val="24"/>
          <w:highlight w:val="none"/>
          <w:u w:val="single"/>
        </w:rPr>
        <w:t xml:space="preserve">      </w:t>
      </w:r>
    </w:p>
    <w:p>
      <w:pPr>
        <w:spacing w:line="384" w:lineRule="auto"/>
        <w:ind w:firstLine="960" w:firstLineChars="400"/>
        <w:rPr>
          <w:rFonts w:ascii="宋体" w:hAnsi="宋体" w:cs="宋体"/>
          <w:color w:val="auto"/>
          <w:sz w:val="24"/>
          <w:highlight w:val="none"/>
          <w:u w:val="single"/>
        </w:rPr>
      </w:pPr>
      <w:r>
        <w:rPr>
          <w:rFonts w:hint="eastAsia" w:ascii="宋体" w:hAnsi="宋体" w:cs="宋体"/>
          <w:color w:val="auto"/>
          <w:sz w:val="24"/>
          <w:highlight w:val="none"/>
        </w:rPr>
        <w:t>地址：</w:t>
      </w:r>
      <w:r>
        <w:rPr>
          <w:rFonts w:ascii="宋体" w:hAnsi="宋体" w:cs="宋体"/>
          <w:color w:val="auto"/>
          <w:sz w:val="24"/>
          <w:highlight w:val="none"/>
          <w:u w:val="single"/>
        </w:rPr>
        <w:t xml:space="preserve">  </w:t>
      </w:r>
      <w:r>
        <w:rPr>
          <w:rFonts w:hint="eastAsia" w:ascii="宋体" w:hAnsi="宋体"/>
          <w:color w:val="auto"/>
          <w:sz w:val="24"/>
          <w:highlight w:val="none"/>
          <w:u w:val="single"/>
        </w:rPr>
        <w:t>广州市天河区临江大道501号</w:t>
      </w:r>
      <w:r>
        <w:rPr>
          <w:rFonts w:ascii="宋体" w:hAnsi="宋体" w:cs="宋体"/>
          <w:color w:val="auto"/>
          <w:sz w:val="24"/>
          <w:highlight w:val="none"/>
          <w:u w:val="single"/>
        </w:rPr>
        <w:t xml:space="preserve">     </w:t>
      </w:r>
    </w:p>
    <w:p>
      <w:pPr>
        <w:spacing w:line="384" w:lineRule="auto"/>
        <w:ind w:firstLine="480" w:firstLineChars="200"/>
        <w:outlineLvl w:val="0"/>
        <w:rPr>
          <w:rFonts w:ascii="宋体" w:hAnsi="宋体" w:eastAsia="宋体" w:cs="宋体"/>
          <w:color w:val="auto"/>
          <w:sz w:val="24"/>
          <w:szCs w:val="24"/>
          <w:highlight w:val="none"/>
        </w:rPr>
      </w:pPr>
      <w:r>
        <w:rPr>
          <w:rFonts w:hint="eastAsia" w:ascii="宋体" w:hAnsi="宋体"/>
          <w:color w:val="auto"/>
          <w:sz w:val="24"/>
          <w:highlight w:val="none"/>
          <w:u w:val="none"/>
        </w:rPr>
        <w:t>开户银行及账号：</w:t>
      </w:r>
      <w:r>
        <w:rPr>
          <w:rFonts w:hint="eastAsia" w:ascii="宋体" w:hAnsi="宋体"/>
          <w:color w:val="auto"/>
          <w:sz w:val="24"/>
          <w:highlight w:val="none"/>
          <w:u w:val="single"/>
        </w:rPr>
        <w:t>民生银行广州支行；账号：0301014140006932</w:t>
      </w:r>
      <w:r>
        <w:rPr>
          <w:rFonts w:hint="eastAsia" w:ascii="宋体" w:hAnsi="宋体" w:eastAsia="宋体" w:cs="宋体"/>
          <w:color w:val="auto"/>
          <w:sz w:val="24"/>
          <w:szCs w:val="24"/>
          <w:highlight w:val="none"/>
          <w:u w:val="single"/>
        </w:rPr>
        <w:t xml:space="preserve">   。</w:t>
      </w:r>
    </w:p>
    <w:p>
      <w:pPr>
        <w:spacing w:line="384" w:lineRule="auto"/>
        <w:ind w:firstLine="480" w:firstLineChars="200"/>
        <w:outlineLvl w:val="0"/>
        <w:rPr>
          <w:rFonts w:ascii="宋体" w:hAnsi="宋体" w:eastAsia="宋体" w:cs="宋体"/>
          <w:color w:val="auto"/>
          <w:sz w:val="24"/>
          <w:szCs w:val="24"/>
          <w:highlight w:val="none"/>
        </w:rPr>
      </w:pPr>
      <w:r>
        <w:rPr>
          <w:rFonts w:ascii="宋体" w:hAnsi="宋体" w:eastAsia="宋体" w:cs="宋体"/>
          <w:color w:val="auto"/>
          <w:sz w:val="24"/>
          <w:szCs w:val="24"/>
          <w:highlight w:val="none"/>
        </w:rPr>
        <w:t>8.</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履约担保：</w:t>
      </w:r>
      <w:r>
        <w:rPr>
          <w:rFonts w:ascii="宋体" w:hAnsi="宋体" w:eastAsia="宋体" w:cs="宋体"/>
          <w:bCs/>
          <w:color w:val="auto"/>
          <w:sz w:val="24"/>
          <w:highlight w:val="none"/>
        </w:rPr>
        <w:sym w:font="Wingdings" w:char="00A8"/>
      </w:r>
      <w:r>
        <w:rPr>
          <w:rFonts w:hint="eastAsia" w:ascii="宋体" w:hAnsi="宋体" w:eastAsia="宋体" w:cs="宋体"/>
          <w:bCs/>
          <w:color w:val="auto"/>
          <w:sz w:val="24"/>
          <w:szCs w:val="24"/>
          <w:highlight w:val="none"/>
        </w:rPr>
        <w:t>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有,</w:t>
      </w:r>
      <w:r>
        <w:rPr>
          <w:rFonts w:hint="eastAsia" w:ascii="宋体" w:hAnsi="宋体" w:eastAsia="宋体" w:cs="宋体"/>
          <w:color w:val="auto"/>
          <w:sz w:val="24"/>
          <w:szCs w:val="24"/>
          <w:highlight w:val="none"/>
        </w:rPr>
        <w:t>本合同签订后</w:t>
      </w:r>
      <w:r>
        <w:rPr>
          <w:rFonts w:ascii="宋体" w:hAnsi="宋体" w:eastAsia="宋体" w:cs="宋体"/>
          <w:color w:val="auto"/>
          <w:sz w:val="24"/>
          <w:szCs w:val="24"/>
          <w:highlight w:val="none"/>
        </w:rPr>
        <w:t>10</w:t>
      </w:r>
      <w:r>
        <w:rPr>
          <w:rFonts w:hint="eastAsia" w:ascii="宋体" w:hAnsi="宋体" w:eastAsia="宋体" w:cs="宋体"/>
          <w:color w:val="auto"/>
          <w:sz w:val="24"/>
          <w:szCs w:val="24"/>
          <w:highlight w:val="none"/>
        </w:rPr>
        <w:t>日内</w:t>
      </w:r>
      <w:r>
        <w:rPr>
          <w:rFonts w:hint="eastAsia" w:ascii="宋体" w:hAnsi="宋体" w:eastAsia="宋体" w:cs="宋体"/>
          <w:color w:val="auto"/>
          <w:sz w:val="24"/>
          <w:szCs w:val="24"/>
          <w:highlight w:val="none"/>
          <w:u w:val="single"/>
        </w:rPr>
        <w:t>以合同暂定总价的</w:t>
      </w:r>
      <w:r>
        <w:rPr>
          <w:rFonts w:ascii="宋体" w:hAnsi="宋体" w:eastAsia="宋体" w:cs="宋体"/>
          <w:color w:val="auto"/>
          <w:sz w:val="24"/>
          <w:szCs w:val="24"/>
          <w:highlight w:val="none"/>
          <w:u w:val="single"/>
        </w:rPr>
        <w:t>10%</w:t>
      </w:r>
      <w:r>
        <w:rPr>
          <w:rFonts w:hint="eastAsia" w:ascii="宋体" w:hAnsi="宋体" w:eastAsia="宋体" w:cs="宋体"/>
          <w:color w:val="auto"/>
          <w:sz w:val="24"/>
          <w:szCs w:val="24"/>
          <w:highlight w:val="none"/>
          <w:u w:val="single"/>
        </w:rPr>
        <w:t>作为履约保证金，</w:t>
      </w:r>
      <w:r>
        <w:rPr>
          <w:rFonts w:hint="eastAsia" w:ascii="宋体" w:hAnsi="宋体" w:eastAsia="宋体" w:cs="宋体"/>
          <w:color w:val="auto"/>
          <w:sz w:val="24"/>
          <w:szCs w:val="24"/>
          <w:highlight w:val="none"/>
        </w:rPr>
        <w:t>金额为：…</w:t>
      </w:r>
      <w:r>
        <w:rPr>
          <w:rFonts w:hint="eastAsia" w:ascii="宋体" w:hAnsi="宋体" w:eastAsia="宋体" w:cs="宋体"/>
          <w:color w:val="auto"/>
          <w:sz w:val="24"/>
          <w:szCs w:val="24"/>
          <w:highlight w:val="none"/>
          <w:u w:val="single"/>
        </w:rPr>
        <w:t>（大写人民币：…），</w:t>
      </w:r>
      <w:r>
        <w:rPr>
          <w:rFonts w:hint="eastAsia" w:ascii="宋体" w:hAnsi="宋体" w:eastAsia="宋体" w:cs="宋体"/>
          <w:color w:val="auto"/>
          <w:sz w:val="24"/>
          <w:szCs w:val="24"/>
          <w:highlight w:val="none"/>
        </w:rPr>
        <w:t>未按时提供的，甲方有权解除合同并要求乙方支付</w:t>
      </w:r>
      <w:r>
        <w:rPr>
          <w:rFonts w:hint="eastAsia" w:ascii="宋体" w:hAnsi="宋体" w:eastAsia="宋体" w:cs="宋体"/>
          <w:color w:val="auto"/>
          <w:sz w:val="24"/>
          <w:szCs w:val="24"/>
          <w:highlight w:val="none"/>
          <w:u w:val="single"/>
        </w:rPr>
        <w:t>合同暂定总价</w:t>
      </w:r>
      <w:r>
        <w:rPr>
          <w:rFonts w:ascii="宋体" w:hAnsi="宋体" w:eastAsia="宋体" w:cs="宋体"/>
          <w:color w:val="auto"/>
          <w:sz w:val="24"/>
          <w:szCs w:val="24"/>
          <w:highlight w:val="none"/>
          <w:u w:val="single"/>
        </w:rPr>
        <w:t>20%</w:t>
      </w:r>
      <w:r>
        <w:rPr>
          <w:rFonts w:hint="eastAsia" w:ascii="宋体" w:hAnsi="宋体" w:eastAsia="宋体" w:cs="宋体"/>
          <w:color w:val="auto"/>
          <w:sz w:val="24"/>
          <w:szCs w:val="24"/>
          <w:highlight w:val="none"/>
        </w:rPr>
        <w:t>作为违约金。</w:t>
      </w:r>
    </w:p>
    <w:p>
      <w:pPr>
        <w:widowControl/>
        <w:spacing w:line="384"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宋体"/>
          <w:color w:val="auto"/>
          <w:kern w:val="0"/>
          <w:sz w:val="24"/>
          <w:szCs w:val="24"/>
          <w:highlight w:val="none"/>
        </w:rPr>
        <w:t>8.</w:t>
      </w:r>
      <w:r>
        <w:rPr>
          <w:rFonts w:hint="eastAsia" w:ascii="宋体" w:hAnsi="宋体" w:eastAsia="宋体" w:cs="宋体"/>
          <w:color w:val="auto"/>
          <w:kern w:val="0"/>
          <w:sz w:val="24"/>
          <w:szCs w:val="24"/>
          <w:highlight w:val="none"/>
          <w:lang w:val="en-US" w:eastAsia="zh-CN"/>
        </w:rPr>
        <w:t>5</w:t>
      </w:r>
      <w:r>
        <w:rPr>
          <w:rFonts w:ascii="宋体" w:hAnsi="宋体" w:eastAsia="宋体" w:cs="宋体"/>
          <w:color w:val="auto"/>
          <w:kern w:val="0"/>
          <w:sz w:val="24"/>
          <w:szCs w:val="24"/>
          <w:highlight w:val="none"/>
        </w:rPr>
        <w:t>.1</w:t>
      </w:r>
      <w:r>
        <w:rPr>
          <w:rFonts w:ascii="宋体" w:hAnsi="宋体" w:eastAsia="宋体" w:cs="Times New Roman"/>
          <w:color w:val="auto"/>
          <w:kern w:val="0"/>
          <w:sz w:val="24"/>
          <w:szCs w:val="24"/>
          <w:highlight w:val="none"/>
        </w:rPr>
        <w:t>履约担保</w:t>
      </w:r>
      <w:r>
        <w:rPr>
          <w:rFonts w:hint="eastAsia" w:ascii="宋体" w:hAnsi="宋体" w:eastAsia="宋体" w:cs="Times New Roman"/>
          <w:color w:val="auto"/>
          <w:kern w:val="0"/>
          <w:sz w:val="24"/>
          <w:szCs w:val="24"/>
          <w:highlight w:val="none"/>
        </w:rPr>
        <w:t>按以下任一种形式提供</w:t>
      </w:r>
      <w:r>
        <w:rPr>
          <w:rFonts w:ascii="宋体" w:hAnsi="宋体" w:eastAsia="宋体" w:cs="Times New Roman"/>
          <w:color w:val="auto"/>
          <w:kern w:val="0"/>
          <w:sz w:val="24"/>
          <w:szCs w:val="24"/>
          <w:highlight w:val="none"/>
        </w:rPr>
        <w:t>：</w:t>
      </w:r>
    </w:p>
    <w:p>
      <w:pPr>
        <w:widowControl/>
        <w:spacing w:line="360" w:lineRule="auto"/>
        <w:ind w:firstLine="480"/>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（1）符合甲方要求（详见附件</w:t>
      </w:r>
      <w:r>
        <w:rPr>
          <w:rFonts w:hint="eastAsia" w:ascii="宋体" w:hAnsi="宋体" w:eastAsia="宋体" w:cs="Times New Roman"/>
          <w:color w:val="auto"/>
          <w:kern w:val="0"/>
          <w:sz w:val="24"/>
          <w:szCs w:val="24"/>
          <w:highlight w:val="none"/>
          <w:lang w:val="en-US" w:eastAsia="zh-CN"/>
        </w:rPr>
        <w:t>6</w:t>
      </w:r>
      <w:r>
        <w:rPr>
          <w:rFonts w:hint="eastAsia" w:ascii="宋体" w:hAnsi="宋体" w:eastAsia="宋体" w:cs="Times New Roman"/>
          <w:color w:val="auto"/>
          <w:kern w:val="0"/>
          <w:sz w:val="24"/>
          <w:szCs w:val="24"/>
          <w:highlight w:val="none"/>
        </w:rPr>
        <w:t>保函格式）的银行独立保函，</w:t>
      </w:r>
    </w:p>
    <w:p>
      <w:pPr>
        <w:widowControl/>
        <w:spacing w:line="360" w:lineRule="auto"/>
        <w:ind w:firstLine="480"/>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（2）现金转账至甲方以下指定账户：</w:t>
      </w:r>
    </w:p>
    <w:p>
      <w:pPr>
        <w:tabs>
          <w:tab w:val="left" w:pos="1995"/>
        </w:tabs>
        <w:spacing w:line="384"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户名：广州市净水有限公司</w:t>
      </w:r>
    </w:p>
    <w:p>
      <w:pPr>
        <w:tabs>
          <w:tab w:val="left" w:pos="1995"/>
        </w:tabs>
        <w:spacing w:line="384"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账号：</w:t>
      </w:r>
      <w:r>
        <w:rPr>
          <w:rFonts w:ascii="宋体" w:hAnsi="宋体" w:eastAsia="宋体" w:cs="宋体"/>
          <w:bCs/>
          <w:color w:val="auto"/>
          <w:sz w:val="24"/>
          <w:szCs w:val="24"/>
          <w:highlight w:val="none"/>
        </w:rPr>
        <w:t>82010154900000342</w:t>
      </w:r>
    </w:p>
    <w:p>
      <w:pPr>
        <w:tabs>
          <w:tab w:val="left" w:pos="1995"/>
        </w:tabs>
        <w:spacing w:line="384"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开户行：浦发银行广州分行</w:t>
      </w:r>
    </w:p>
    <w:p>
      <w:pPr>
        <w:spacing w:line="384" w:lineRule="auto"/>
        <w:ind w:firstLine="480" w:firstLineChars="200"/>
        <w:outlineLvl w:val="0"/>
        <w:rPr>
          <w:rFonts w:ascii="宋体" w:hAnsi="宋体" w:eastAsia="宋体" w:cs="宋体"/>
          <w:color w:val="auto"/>
          <w:sz w:val="24"/>
          <w:szCs w:val="24"/>
          <w:highlight w:val="none"/>
        </w:rPr>
      </w:pPr>
      <w:r>
        <w:rPr>
          <w:rFonts w:ascii="宋体" w:hAnsi="宋体" w:eastAsia="宋体" w:cs="宋体"/>
          <w:color w:val="auto"/>
          <w:sz w:val="24"/>
          <w:szCs w:val="24"/>
          <w:highlight w:val="none"/>
        </w:rPr>
        <w:t>8.</w:t>
      </w:r>
      <w:r>
        <w:rPr>
          <w:rFonts w:hint="eastAsia" w:ascii="宋体" w:hAnsi="宋体" w:eastAsia="宋体" w:cs="宋体"/>
          <w:color w:val="auto"/>
          <w:sz w:val="24"/>
          <w:szCs w:val="24"/>
          <w:highlight w:val="none"/>
          <w:lang w:val="en-US" w:eastAsia="zh-CN"/>
        </w:rPr>
        <w:t>5</w:t>
      </w: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履约担保的担保期限和返还</w:t>
      </w:r>
    </w:p>
    <w:p>
      <w:pPr>
        <w:spacing w:line="384" w:lineRule="auto"/>
        <w:ind w:firstLine="480"/>
        <w:outlineLvl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⑴履约银行保函（或现金履约保证金）的担保期限：从提供履约担保（或转账成功）之日起至合同履行完成。</w:t>
      </w:r>
    </w:p>
    <w:p>
      <w:pPr>
        <w:spacing w:line="384" w:lineRule="auto"/>
        <w:ind w:firstLine="480"/>
        <w:outlineLvl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⑵履约银行保函在合同履行完成后，由乙方提出申请，甲方在28日内返还，不支付利息：</w:t>
      </w:r>
    </w:p>
    <w:p>
      <w:pPr>
        <w:spacing w:line="384" w:lineRule="auto"/>
        <w:ind w:firstLine="480"/>
        <w:outlineLvl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⑶延长担保期限。乙方以履约银行保函形式提交履约保证金的，在银行保函到期前，乙方应提前</w:t>
      </w:r>
      <w:r>
        <w:rPr>
          <w:rFonts w:ascii="宋体" w:hAnsi="宋体" w:eastAsia="宋体" w:cs="宋体"/>
          <w:color w:val="auto"/>
          <w:sz w:val="24"/>
          <w:szCs w:val="24"/>
          <w:highlight w:val="none"/>
        </w:rPr>
        <w:t xml:space="preserve"> 7 </w:t>
      </w:r>
      <w:r>
        <w:rPr>
          <w:rFonts w:hint="eastAsia" w:ascii="宋体" w:hAnsi="宋体" w:eastAsia="宋体" w:cs="宋体"/>
          <w:color w:val="auto"/>
          <w:sz w:val="24"/>
          <w:szCs w:val="24"/>
          <w:highlight w:val="none"/>
        </w:rPr>
        <w:t>日向甲方提交新的保函以替换即将到期的保函。如乙方未及时提交的，甲方有权直接要求担保银行支付其担保的全部金额并解除合同。</w:t>
      </w:r>
    </w:p>
    <w:p>
      <w:pPr>
        <w:spacing w:line="384" w:lineRule="auto"/>
        <w:ind w:firstLine="480"/>
        <w:outlineLvl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⑷现金履约保证金的退还：合同履行完成后，由乙方提出申请，甲方在28日内将剩余保证金（无息）返还。</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8.</w:t>
      </w:r>
      <w:r>
        <w:rPr>
          <w:rFonts w:hint="eastAsia" w:ascii="宋体" w:hAnsi="宋体" w:eastAsia="宋体" w:cs="宋体"/>
          <w:color w:val="auto"/>
          <w:sz w:val="24"/>
          <w:szCs w:val="24"/>
          <w:highlight w:val="none"/>
          <w:lang w:val="en-US" w:eastAsia="zh-CN"/>
        </w:rPr>
        <w:t>5</w:t>
      </w:r>
      <w:r>
        <w:rPr>
          <w:rFonts w:ascii="宋体" w:hAnsi="宋体" w:eastAsia="宋体" w:cs="宋体"/>
          <w:color w:val="auto"/>
          <w:sz w:val="24"/>
          <w:szCs w:val="24"/>
          <w:highlight w:val="none"/>
        </w:rPr>
        <w:t>.3</w:t>
      </w:r>
      <w:r>
        <w:rPr>
          <w:rFonts w:hint="eastAsia" w:ascii="宋体" w:hAnsi="宋体" w:eastAsia="宋体" w:cs="宋体"/>
          <w:color w:val="auto"/>
          <w:sz w:val="24"/>
          <w:szCs w:val="24"/>
          <w:highlight w:val="none"/>
        </w:rPr>
        <w:t>甲方按本合同规定提取履约担保金额后，乙方应在收到甲方通知后</w:t>
      </w:r>
      <w:r>
        <w:rPr>
          <w:rFonts w:ascii="宋体" w:hAnsi="宋体" w:eastAsia="宋体" w:cs="宋体"/>
          <w:color w:val="auto"/>
          <w:sz w:val="24"/>
          <w:szCs w:val="24"/>
          <w:highlight w:val="none"/>
          <w:u w:val="single"/>
        </w:rPr>
        <w:t xml:space="preserve"> 7 </w:t>
      </w:r>
      <w:r>
        <w:rPr>
          <w:rFonts w:hint="eastAsia" w:ascii="宋体" w:hAnsi="宋体" w:eastAsia="宋体" w:cs="宋体"/>
          <w:color w:val="auto"/>
          <w:sz w:val="24"/>
          <w:szCs w:val="24"/>
          <w:highlight w:val="none"/>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Theme="minorEastAsia" w:hAnsiTheme="minorEastAsia" w:cstheme="minorEastAsia"/>
          <w:bCs/>
          <w:color w:val="auto"/>
          <w:sz w:val="24"/>
          <w:szCs w:val="24"/>
          <w:highlight w:val="none"/>
          <w:bdr w:val="single" w:color="auto" w:sz="4" w:space="0"/>
        </w:rPr>
      </w:pPr>
      <w:r>
        <w:rPr>
          <w:rFonts w:ascii="宋体" w:hAnsi="宋体" w:eastAsia="宋体" w:cs="宋体"/>
          <w:color w:val="auto"/>
          <w:sz w:val="24"/>
          <w:szCs w:val="24"/>
          <w:highlight w:val="none"/>
        </w:rPr>
        <w:t>8.</w:t>
      </w:r>
      <w:r>
        <w:rPr>
          <w:rFonts w:hint="eastAsia" w:ascii="宋体" w:hAnsi="宋体" w:eastAsia="宋体" w:cs="宋体"/>
          <w:color w:val="auto"/>
          <w:sz w:val="24"/>
          <w:szCs w:val="24"/>
          <w:highlight w:val="none"/>
          <w:lang w:val="en-US" w:eastAsia="zh-CN"/>
        </w:rPr>
        <w:t>6</w:t>
      </w:r>
      <w:r>
        <w:rPr>
          <w:rFonts w:hint="eastAsia" w:asciiTheme="minorEastAsia" w:hAnsiTheme="minorEastAsia" w:cstheme="minorEastAsia"/>
          <w:color w:val="auto"/>
          <w:sz w:val="24"/>
          <w:szCs w:val="24"/>
          <w:highlight w:val="none"/>
        </w:rPr>
        <w:t xml:space="preserve">付款方式： </w:t>
      </w:r>
      <w:r>
        <w:rPr>
          <w:rFonts w:ascii="宋体" w:hAnsi="宋体" w:eastAsia="宋体" w:cs="宋体"/>
          <w:bCs/>
          <w:color w:val="auto"/>
          <w:sz w:val="24"/>
          <w:highlight w:val="none"/>
        </w:rPr>
        <w:sym w:font="Wingdings" w:char="00FE"/>
      </w:r>
      <w:r>
        <w:rPr>
          <w:rFonts w:hint="eastAsia" w:asciiTheme="minorEastAsia" w:hAnsiTheme="minorEastAsia" w:cstheme="minorEastAsia"/>
          <w:color w:val="auto"/>
          <w:sz w:val="24"/>
          <w:szCs w:val="24"/>
          <w:highlight w:val="none"/>
        </w:rPr>
        <w:t xml:space="preserve">网银支付；  </w:t>
      </w:r>
      <w:r>
        <w:rPr>
          <w:rFonts w:hint="eastAsia" w:asciiTheme="minorEastAsia" w:hAnsiTheme="minorEastAsia" w:cstheme="minorEastAsia"/>
          <w:color w:val="auto"/>
          <w:sz w:val="24"/>
          <w:szCs w:val="24"/>
          <w:highlight w:val="none"/>
        </w:rPr>
        <w:sym w:font="Wingdings" w:char="00A8"/>
      </w:r>
      <w:r>
        <w:rPr>
          <w:rFonts w:hint="eastAsia" w:asciiTheme="minorEastAsia" w:hAnsiTheme="minorEastAsia" w:cstheme="minorEastAsia"/>
          <w:color w:val="auto"/>
          <w:sz w:val="24"/>
          <w:szCs w:val="24"/>
          <w:highlight w:val="none"/>
        </w:rPr>
        <w:t xml:space="preserve">支票；   </w:t>
      </w:r>
      <w:r>
        <w:rPr>
          <w:rFonts w:hint="eastAsia" w:asciiTheme="minorEastAsia" w:hAnsiTheme="minorEastAsia" w:cstheme="minorEastAsia"/>
          <w:color w:val="auto"/>
          <w:sz w:val="24"/>
          <w:szCs w:val="24"/>
          <w:highlight w:val="none"/>
        </w:rPr>
        <w:sym w:font="Wingdings" w:char="00A8"/>
      </w:r>
      <w:r>
        <w:rPr>
          <w:rFonts w:hint="eastAsia" w:asciiTheme="minorEastAsia" w:hAnsiTheme="minorEastAsia" w:cstheme="minorEastAsia"/>
          <w:color w:val="auto"/>
          <w:sz w:val="24"/>
          <w:szCs w:val="24"/>
          <w:highlight w:val="none"/>
        </w:rPr>
        <w:t>其他：</w:t>
      </w:r>
    </w:p>
    <w:p>
      <w:pPr>
        <w:spacing w:line="384"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第九条竣工验收</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9.1</w:t>
      </w:r>
      <w:r>
        <w:rPr>
          <w:rFonts w:hint="eastAsia" w:ascii="宋体" w:hAnsi="宋体" w:eastAsia="宋体" w:cs="宋体"/>
          <w:color w:val="auto"/>
          <w:sz w:val="24"/>
          <w:szCs w:val="24"/>
          <w:highlight w:val="none"/>
        </w:rPr>
        <w:t>乙方应在工程完工后</w:t>
      </w:r>
      <w:r>
        <w:rPr>
          <w:rFonts w:ascii="宋体" w:hAnsi="宋体" w:eastAsia="宋体" w:cs="宋体"/>
          <w:color w:val="auto"/>
          <w:sz w:val="24"/>
          <w:szCs w:val="24"/>
          <w:highlight w:val="none"/>
        </w:rPr>
        <w:t>30</w:t>
      </w:r>
      <w:r>
        <w:rPr>
          <w:rFonts w:hint="eastAsia" w:ascii="宋体" w:hAnsi="宋体" w:eastAsia="宋体" w:cs="宋体"/>
          <w:color w:val="auto"/>
          <w:sz w:val="24"/>
          <w:szCs w:val="24"/>
          <w:highlight w:val="none"/>
        </w:rPr>
        <w:t>天内将经甲方审核的完整竣工资料（含竣工图）和竣工验收报告各</w:t>
      </w:r>
      <w:r>
        <w:rPr>
          <w:rFonts w:hint="eastAsia" w:ascii="宋体" w:hAnsi="宋体" w:eastAsia="宋体" w:cs="宋体"/>
          <w:color w:val="auto"/>
          <w:sz w:val="24"/>
          <w:szCs w:val="24"/>
          <w:highlight w:val="none"/>
          <w:u w:val="single"/>
        </w:rPr>
        <w:t>一式四份</w:t>
      </w:r>
      <w:r>
        <w:rPr>
          <w:rFonts w:hint="eastAsia" w:ascii="宋体" w:hAnsi="宋体" w:eastAsia="宋体" w:cs="宋体"/>
          <w:color w:val="auto"/>
          <w:sz w:val="24"/>
          <w:szCs w:val="24"/>
          <w:highlight w:val="none"/>
        </w:rPr>
        <w:t>交甲方，不按时报送工程竣工资料的，每逾期一天，甲方要求乙方支付</w:t>
      </w:r>
      <w:r>
        <w:rPr>
          <w:rFonts w:hint="eastAsia" w:ascii="宋体" w:hAnsi="宋体" w:eastAsia="宋体" w:cs="宋体"/>
          <w:color w:val="auto"/>
          <w:sz w:val="24"/>
          <w:szCs w:val="24"/>
          <w:highlight w:val="none"/>
          <w:u w:val="single"/>
        </w:rPr>
        <w:t>合同暂定总价</w:t>
      </w:r>
      <w:r>
        <w:rPr>
          <w:rFonts w:hint="eastAsia" w:ascii="宋体" w:hAnsi="宋体" w:eastAsia="宋体" w:cs="宋体"/>
          <w:bCs/>
          <w:color w:val="auto"/>
          <w:sz w:val="24"/>
          <w:szCs w:val="24"/>
          <w:highlight w:val="none"/>
          <w:u w:val="single"/>
        </w:rPr>
        <w:t>万分之五</w:t>
      </w:r>
      <w:r>
        <w:rPr>
          <w:rFonts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u w:val="single"/>
        </w:rPr>
        <w:t>天</w:t>
      </w:r>
      <w:r>
        <w:rPr>
          <w:rFonts w:hint="eastAsia" w:ascii="宋体" w:hAnsi="宋体" w:eastAsia="宋体" w:cs="宋体"/>
          <w:color w:val="auto"/>
          <w:sz w:val="24"/>
          <w:szCs w:val="24"/>
          <w:highlight w:val="none"/>
        </w:rPr>
        <w:t>，并在支付合同款时抵扣。</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9.2</w:t>
      </w:r>
      <w:r>
        <w:rPr>
          <w:rFonts w:hint="eastAsia" w:ascii="宋体" w:hAnsi="宋体" w:eastAsia="宋体" w:cs="宋体"/>
          <w:color w:val="auto"/>
          <w:sz w:val="24"/>
          <w:szCs w:val="24"/>
          <w:highlight w:val="none"/>
        </w:rPr>
        <w:t>甲方收到完整的竣工验收资料（完整的竣工验收资料：施工方案、开工</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竣工报告、安全备案整套资料、本合同书、询价文件</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响应文件、中标通知书</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发包通知书</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委托书、工程预算送审报告、工程结算书</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签证记录、备件开箱记录表或送货单、竣工图等，如有必须提供）和竣工验收报告后</w:t>
      </w:r>
      <w:r>
        <w:rPr>
          <w:rFonts w:ascii="宋体" w:hAnsi="宋体" w:eastAsia="宋体" w:cs="宋体"/>
          <w:color w:val="auto"/>
          <w:sz w:val="24"/>
          <w:szCs w:val="24"/>
          <w:highlight w:val="none"/>
        </w:rPr>
        <w:t>20</w:t>
      </w:r>
      <w:r>
        <w:rPr>
          <w:rFonts w:hint="eastAsia" w:ascii="宋体" w:hAnsi="宋体" w:eastAsia="宋体" w:cs="宋体"/>
          <w:color w:val="auto"/>
          <w:sz w:val="24"/>
          <w:szCs w:val="24"/>
          <w:highlight w:val="none"/>
        </w:rPr>
        <w:t>天内组织有关单位进行验收，工程竣工验收严格按国家、省、市、部门有关文件执行，并在验收后</w:t>
      </w:r>
      <w:r>
        <w:rPr>
          <w:rFonts w:ascii="宋体" w:hAnsi="宋体" w:eastAsia="宋体" w:cs="宋体"/>
          <w:color w:val="auto"/>
          <w:sz w:val="24"/>
          <w:szCs w:val="24"/>
          <w:highlight w:val="none"/>
        </w:rPr>
        <w:t>10</w:t>
      </w:r>
      <w:r>
        <w:rPr>
          <w:rFonts w:hint="eastAsia" w:ascii="宋体" w:hAnsi="宋体" w:eastAsia="宋体" w:cs="宋体"/>
          <w:color w:val="auto"/>
          <w:sz w:val="24"/>
          <w:szCs w:val="24"/>
          <w:highlight w:val="none"/>
        </w:rPr>
        <w:t>天内给予认可或提出修改意见。乙方按要求修改，并承担修改的费用。</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9.3</w:t>
      </w:r>
      <w:r>
        <w:rPr>
          <w:rFonts w:hint="eastAsia" w:ascii="宋体" w:hAnsi="宋体" w:eastAsia="宋体" w:cs="宋体"/>
          <w:color w:val="auto"/>
          <w:sz w:val="24"/>
          <w:szCs w:val="24"/>
          <w:highlight w:val="none"/>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9.4</w:t>
      </w:r>
      <w:r>
        <w:rPr>
          <w:rFonts w:hint="eastAsia" w:ascii="宋体" w:hAnsi="宋体" w:eastAsia="宋体" w:cs="宋体"/>
          <w:color w:val="auto"/>
          <w:sz w:val="24"/>
          <w:szCs w:val="24"/>
          <w:highlight w:val="none"/>
        </w:rPr>
        <w:t>竣工档案的整理和移交</w:t>
      </w:r>
    </w:p>
    <w:p>
      <w:pPr>
        <w:spacing w:line="384" w:lineRule="auto"/>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a</w:t>
      </w:r>
      <w:r>
        <w:rPr>
          <w:rFonts w:hint="eastAsia" w:ascii="宋体" w:hAnsi="宋体" w:eastAsia="宋体" w:cs="宋体"/>
          <w:color w:val="auto"/>
          <w:sz w:val="24"/>
          <w:szCs w:val="24"/>
          <w:highlight w:val="none"/>
        </w:rPr>
        <w:t>）竣工文件资料、竣工图档案（原件）各一式四份；</w:t>
      </w:r>
    </w:p>
    <w:p>
      <w:pPr>
        <w:spacing w:line="384" w:lineRule="auto"/>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b</w:t>
      </w:r>
      <w:r>
        <w:rPr>
          <w:rFonts w:hint="eastAsia" w:ascii="宋体" w:hAnsi="宋体" w:eastAsia="宋体" w:cs="宋体"/>
          <w:color w:val="auto"/>
          <w:sz w:val="24"/>
          <w:szCs w:val="24"/>
          <w:highlight w:val="none"/>
        </w:rPr>
        <w:t>）与本款（</w:t>
      </w:r>
      <w:r>
        <w:rPr>
          <w:rFonts w:ascii="宋体" w:hAnsi="宋体" w:eastAsia="宋体" w:cs="宋体"/>
          <w:color w:val="auto"/>
          <w:sz w:val="24"/>
          <w:szCs w:val="24"/>
          <w:highlight w:val="none"/>
        </w:rPr>
        <w:t>a</w:t>
      </w:r>
      <w:r>
        <w:rPr>
          <w:rFonts w:hint="eastAsia" w:ascii="宋体" w:hAnsi="宋体" w:eastAsia="宋体" w:cs="宋体"/>
          <w:color w:val="auto"/>
          <w:sz w:val="24"/>
          <w:szCs w:val="24"/>
          <w:highlight w:val="none"/>
        </w:rPr>
        <w:t>）项内容相同的电子版档案一式二份；</w:t>
      </w:r>
    </w:p>
    <w:p>
      <w:pPr>
        <w:spacing w:line="384" w:lineRule="auto"/>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）乙方移交竣工档案的时限：乙方应于工程竣工验收后</w:t>
      </w:r>
      <w:r>
        <w:rPr>
          <w:rFonts w:ascii="宋体" w:hAnsi="宋体" w:eastAsia="宋体" w:cs="宋体"/>
          <w:color w:val="auto"/>
          <w:sz w:val="24"/>
          <w:szCs w:val="24"/>
          <w:highlight w:val="none"/>
        </w:rPr>
        <w:t>30</w:t>
      </w:r>
      <w:r>
        <w:rPr>
          <w:rFonts w:hint="eastAsia" w:ascii="宋体" w:hAnsi="宋体" w:eastAsia="宋体" w:cs="宋体"/>
          <w:color w:val="auto"/>
          <w:sz w:val="24"/>
          <w:szCs w:val="24"/>
          <w:highlight w:val="none"/>
        </w:rPr>
        <w:t>天内将竣工档案提交甲方签认。乙方应于甲方签认后</w:t>
      </w:r>
      <w:r>
        <w:rPr>
          <w:rFonts w:ascii="宋体" w:hAnsi="宋体" w:eastAsia="宋体" w:cs="宋体"/>
          <w:color w:val="auto"/>
          <w:sz w:val="24"/>
          <w:szCs w:val="24"/>
          <w:highlight w:val="none"/>
        </w:rPr>
        <w:t>10</w:t>
      </w:r>
      <w:r>
        <w:rPr>
          <w:rFonts w:hint="eastAsia" w:ascii="宋体" w:hAnsi="宋体" w:eastAsia="宋体" w:cs="宋体"/>
          <w:color w:val="auto"/>
          <w:sz w:val="24"/>
          <w:szCs w:val="24"/>
          <w:highlight w:val="none"/>
        </w:rPr>
        <w:t>天内将竣工档案移交给甲方归档并同时移交有关归档的证明文件。甲方经审查合格的，应在收到竣工档案后</w:t>
      </w:r>
      <w:r>
        <w:rPr>
          <w:rFonts w:ascii="宋体" w:hAnsi="宋体" w:eastAsia="宋体" w:cs="宋体"/>
          <w:color w:val="auto"/>
          <w:sz w:val="24"/>
          <w:szCs w:val="24"/>
          <w:highlight w:val="none"/>
        </w:rPr>
        <w:t>10</w:t>
      </w:r>
      <w:r>
        <w:rPr>
          <w:rFonts w:hint="eastAsia" w:ascii="宋体" w:hAnsi="宋体" w:eastAsia="宋体" w:cs="宋体"/>
          <w:color w:val="auto"/>
          <w:sz w:val="24"/>
          <w:szCs w:val="24"/>
          <w:highlight w:val="none"/>
        </w:rPr>
        <w:t>天内签署档案验收意见；不合格的，乙方应按甲方要求限期补正，直至合格为止。乙方超过本条规定的时限，每逾期一天支付</w:t>
      </w:r>
      <w:r>
        <w:rPr>
          <w:rFonts w:hint="eastAsia" w:ascii="宋体" w:hAnsi="宋体" w:eastAsia="宋体" w:cs="宋体"/>
          <w:color w:val="auto"/>
          <w:sz w:val="24"/>
          <w:szCs w:val="24"/>
          <w:highlight w:val="none"/>
          <w:u w:val="single"/>
        </w:rPr>
        <w:t>合同暂定总价</w:t>
      </w:r>
      <w:r>
        <w:rPr>
          <w:rFonts w:hint="eastAsia" w:ascii="宋体" w:hAnsi="宋体" w:eastAsia="宋体" w:cs="宋体"/>
          <w:bCs/>
          <w:color w:val="auto"/>
          <w:sz w:val="24"/>
          <w:szCs w:val="24"/>
          <w:highlight w:val="none"/>
          <w:u w:val="single"/>
        </w:rPr>
        <w:t>万分之五</w:t>
      </w:r>
      <w:r>
        <w:rPr>
          <w:rFonts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u w:val="single"/>
        </w:rPr>
        <w:t>天</w:t>
      </w:r>
      <w:r>
        <w:rPr>
          <w:rFonts w:hint="eastAsia" w:ascii="宋体" w:hAnsi="宋体" w:eastAsia="宋体" w:cs="宋体"/>
          <w:color w:val="auto"/>
          <w:sz w:val="24"/>
          <w:szCs w:val="24"/>
          <w:highlight w:val="none"/>
        </w:rPr>
        <w:t>违约金。</w:t>
      </w:r>
    </w:p>
    <w:p>
      <w:pPr>
        <w:spacing w:line="384" w:lineRule="auto"/>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3</w:t>
      </w:r>
      <w:r>
        <w:rPr>
          <w:rFonts w:hint="eastAsia" w:ascii="宋体" w:hAnsi="宋体" w:eastAsia="宋体" w:cs="宋体"/>
          <w:color w:val="auto"/>
          <w:sz w:val="24"/>
          <w:szCs w:val="24"/>
          <w:highlight w:val="none"/>
        </w:rPr>
        <w:t>）电子版竣工图的编制，以甲方提供的电子版施工图为基础。乙方在移交竣工档案时，应一并移交甲方提供的电子版施工图。</w:t>
      </w:r>
    </w:p>
    <w:p>
      <w:pPr>
        <w:spacing w:line="384"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电子版施工图和电子版竣工图的知识产权归属甲方所有，非经甲方许可，乙方不得以任何方式复制、备份、转让和利用。否则，由此引起的任何纠纷和责任由乙方承担。</w:t>
      </w:r>
    </w:p>
    <w:p>
      <w:pPr>
        <w:autoSpaceDE w:val="0"/>
        <w:autoSpaceDN w:val="0"/>
        <w:adjustRightInd w:val="0"/>
        <w:ind w:firstLine="480" w:firstLineChars="200"/>
        <w:jc w:val="left"/>
        <w:rPr>
          <w:rFonts w:asciiTheme="minorEastAsia" w:hAnsiTheme="minorEastAsia" w:cstheme="minorEastAsia"/>
          <w:color w:val="auto"/>
          <w:kern w:val="0"/>
          <w:sz w:val="24"/>
          <w:szCs w:val="24"/>
          <w:highlight w:val="none"/>
          <w:u w:val="single"/>
        </w:rPr>
      </w:pPr>
      <w:r>
        <w:rPr>
          <w:rFonts w:hint="eastAsia" w:asciiTheme="minorEastAsia" w:hAnsiTheme="minorEastAsia" w:cstheme="minorEastAsia"/>
          <w:color w:val="auto"/>
          <w:kern w:val="0"/>
          <w:sz w:val="24"/>
          <w:szCs w:val="24"/>
          <w:highlight w:val="none"/>
        </w:rPr>
        <w:t>9.5本合同竣工验收结算单位为</w:t>
      </w:r>
      <w:r>
        <w:rPr>
          <w:rFonts w:hint="eastAsia" w:asciiTheme="minorEastAsia" w:hAnsiTheme="minorEastAsia" w:cstheme="minorEastAsia"/>
          <w:color w:val="auto"/>
          <w:kern w:val="0"/>
          <w:sz w:val="24"/>
          <w:szCs w:val="24"/>
          <w:highlight w:val="none"/>
          <w:u w:val="single"/>
        </w:rPr>
        <w:t>：</w:t>
      </w:r>
      <w:r>
        <w:rPr>
          <w:rFonts w:hint="eastAsia" w:ascii="宋体" w:hAnsi="宋体" w:eastAsia="宋体" w:cs="宋体"/>
          <w:color w:val="auto"/>
          <w:sz w:val="24"/>
          <w:szCs w:val="24"/>
          <w:highlight w:val="none"/>
          <w:u w:val="single"/>
        </w:rPr>
        <w:t>广州市净水有限公司</w:t>
      </w:r>
      <w:r>
        <w:rPr>
          <w:rFonts w:hint="eastAsia" w:ascii="宋体" w:hAnsi="宋体" w:eastAsia="宋体" w:cs="宋体"/>
          <w:color w:val="auto"/>
          <w:sz w:val="24"/>
          <w:szCs w:val="24"/>
          <w:highlight w:val="none"/>
          <w:u w:val="single"/>
          <w:lang w:val="en-US" w:eastAsia="zh-CN"/>
        </w:rPr>
        <w:t>龙归分公司</w:t>
      </w:r>
      <w:r>
        <w:rPr>
          <w:rFonts w:hint="eastAsia" w:ascii="宋体" w:hAnsi="宋体" w:eastAsia="宋体" w:cs="宋体"/>
          <w:color w:val="auto"/>
          <w:sz w:val="24"/>
          <w:szCs w:val="24"/>
          <w:highlight w:val="none"/>
          <w:u w:val="single"/>
        </w:rPr>
        <w:t xml:space="preserve"> </w:t>
      </w:r>
      <w:r>
        <w:rPr>
          <w:rFonts w:hint="eastAsia" w:asciiTheme="minorEastAsia" w:hAnsiTheme="minorEastAsia" w:cstheme="minorEastAsia"/>
          <w:color w:val="auto"/>
          <w:kern w:val="0"/>
          <w:sz w:val="24"/>
          <w:szCs w:val="24"/>
          <w:highlight w:val="none"/>
          <w:u w:val="single"/>
        </w:rPr>
        <w:t xml:space="preserve"> </w:t>
      </w:r>
    </w:p>
    <w:p>
      <w:pPr>
        <w:numPr>
          <w:ilvl w:val="0"/>
          <w:numId w:val="4"/>
        </w:numPr>
        <w:spacing w:before="120" w:after="156" w:afterLines="50" w:line="384" w:lineRule="auto"/>
        <w:ind w:firstLine="482" w:firstLineChars="200"/>
        <w:jc w:val="lef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质量保证</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10.1</w:t>
      </w:r>
      <w:r>
        <w:rPr>
          <w:rFonts w:hint="eastAsia" w:ascii="宋体" w:hAnsi="宋体" w:eastAsia="宋体" w:cs="宋体"/>
          <w:color w:val="auto"/>
          <w:sz w:val="24"/>
          <w:szCs w:val="24"/>
          <w:highlight w:val="none"/>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eastAsia="宋体" w:cs="宋体"/>
          <w:color w:val="auto"/>
          <w:kern w:val="0"/>
          <w:sz w:val="24"/>
          <w:szCs w:val="24"/>
          <w:highlight w:val="none"/>
          <w:lang w:val="zh-CN"/>
        </w:rPr>
      </w:pPr>
      <w:r>
        <w:rPr>
          <w:rFonts w:ascii="宋体" w:hAnsi="宋体" w:eastAsia="宋体" w:cs="宋体"/>
          <w:bCs/>
          <w:color w:val="auto"/>
          <w:sz w:val="24"/>
          <w:szCs w:val="24"/>
          <w:highlight w:val="none"/>
        </w:rPr>
        <w:t xml:space="preserve">10.2 </w:t>
      </w:r>
      <w:r>
        <w:rPr>
          <w:rFonts w:hint="eastAsia" w:ascii="宋体" w:hAnsi="宋体" w:eastAsia="宋体" w:cs="宋体"/>
          <w:bCs/>
          <w:color w:val="auto"/>
          <w:sz w:val="24"/>
          <w:szCs w:val="24"/>
          <w:highlight w:val="none"/>
        </w:rPr>
        <w:t>本项目质量保修期为</w:t>
      </w:r>
      <w:r>
        <w:rPr>
          <w:rFonts w:hint="eastAsia" w:ascii="宋体" w:hAnsi="宋体" w:eastAsia="宋体" w:cs="宋体"/>
          <w:color w:val="auto"/>
          <w:kern w:val="0"/>
          <w:sz w:val="24"/>
          <w:szCs w:val="24"/>
          <w:highlight w:val="none"/>
          <w:lang w:val="zh-CN"/>
        </w:rPr>
        <w:t>自验收合格之日起</w:t>
      </w:r>
      <w:r>
        <w:rPr>
          <w:rFonts w:hint="eastAsia" w:ascii="宋体" w:hAnsi="宋体" w:eastAsia="宋体" w:cs="宋体"/>
          <w:color w:val="auto"/>
          <w:kern w:val="0"/>
          <w:sz w:val="24"/>
          <w:szCs w:val="24"/>
          <w:highlight w:val="none"/>
          <w:u w:val="single"/>
          <w:lang w:val="en-US" w:eastAsia="zh-CN"/>
        </w:rPr>
        <w:t>壹</w:t>
      </w:r>
      <w:r>
        <w:rPr>
          <w:rFonts w:hint="eastAsia" w:ascii="宋体" w:hAnsi="宋体" w:eastAsia="宋体" w:cs="宋体"/>
          <w:color w:val="auto"/>
          <w:kern w:val="0"/>
          <w:sz w:val="24"/>
          <w:szCs w:val="24"/>
          <w:highlight w:val="none"/>
          <w:lang w:val="zh-CN"/>
        </w:rPr>
        <w:t>年，</w:t>
      </w:r>
      <w:r>
        <w:rPr>
          <w:rFonts w:hint="eastAsia" w:ascii="宋体" w:hAnsi="宋体" w:eastAsia="宋体" w:cs="宋体"/>
          <w:color w:val="auto"/>
          <w:kern w:val="0"/>
          <w:sz w:val="24"/>
          <w:szCs w:val="24"/>
          <w:highlight w:val="none"/>
          <w:lang w:val="en-US" w:eastAsia="zh-CN"/>
        </w:rPr>
        <w:t>且不得低于法定保修期限</w:t>
      </w:r>
      <w:r>
        <w:rPr>
          <w:rFonts w:hint="eastAsia" w:ascii="宋体" w:hAnsi="宋体" w:eastAsia="宋体" w:cs="宋体"/>
          <w:color w:val="auto"/>
          <w:kern w:val="0"/>
          <w:sz w:val="24"/>
          <w:szCs w:val="24"/>
          <w:highlight w:val="none"/>
          <w:lang w:val="zh-CN"/>
        </w:rPr>
        <w:t>。</w:t>
      </w:r>
    </w:p>
    <w:p>
      <w:pPr>
        <w:spacing w:line="384" w:lineRule="auto"/>
        <w:ind w:firstLine="420" w:firstLineChars="175"/>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10.3</w:t>
      </w:r>
      <w:r>
        <w:rPr>
          <w:rFonts w:hint="eastAsia" w:ascii="宋体" w:hAnsi="宋体" w:eastAsia="宋体" w:cs="宋体"/>
          <w:bCs/>
          <w:color w:val="auto"/>
          <w:sz w:val="24"/>
          <w:szCs w:val="24"/>
          <w:highlight w:val="none"/>
        </w:rPr>
        <w:t>质量保修期期间，本项目的质量问题由乙方免费提供保修服务，乙方应在收到甲方通知后</w:t>
      </w:r>
      <w:r>
        <w:rPr>
          <w:rFonts w:hint="eastAsia" w:ascii="宋体" w:hAnsi="宋体" w:eastAsia="宋体" w:cs="宋体"/>
          <w:bCs/>
          <w:color w:val="auto"/>
          <w:sz w:val="24"/>
          <w:szCs w:val="24"/>
          <w:highlight w:val="none"/>
          <w:u w:val="single"/>
          <w:lang w:val="en-US" w:eastAsia="zh-CN"/>
        </w:rPr>
        <w:t xml:space="preserve"> 7</w:t>
      </w:r>
      <w:r>
        <w:rPr>
          <w:rFonts w:hint="eastAsia" w:ascii="宋体" w:hAnsi="宋体" w:eastAsia="宋体" w:cs="宋体"/>
          <w:bCs/>
          <w:color w:val="auto"/>
          <w:sz w:val="24"/>
          <w:szCs w:val="24"/>
          <w:highlight w:val="none"/>
        </w:rPr>
        <w:t>日内派人员到场负责解决及维修，如果乙方不按时到场维修或到场后不能修复的，甲方有权委托他人予以维修，乙方承担由此发生的费用并支付</w:t>
      </w:r>
      <w:r>
        <w:rPr>
          <w:rFonts w:hint="eastAsia" w:ascii="宋体" w:hAnsi="宋体" w:eastAsia="宋体" w:cs="宋体"/>
          <w:bCs/>
          <w:color w:val="auto"/>
          <w:sz w:val="24"/>
          <w:szCs w:val="24"/>
          <w:highlight w:val="none"/>
          <w:u w:val="single"/>
        </w:rPr>
        <w:t>合同暂定总价的</w:t>
      </w:r>
      <w:r>
        <w:rPr>
          <w:rFonts w:ascii="宋体" w:hAnsi="宋体" w:eastAsia="宋体" w:cs="宋体"/>
          <w:bCs/>
          <w:color w:val="auto"/>
          <w:sz w:val="24"/>
          <w:szCs w:val="24"/>
          <w:highlight w:val="none"/>
          <w:u w:val="single"/>
        </w:rPr>
        <w:t>10%/</w:t>
      </w:r>
      <w:r>
        <w:rPr>
          <w:rFonts w:hint="eastAsia" w:ascii="宋体" w:hAnsi="宋体" w:eastAsia="宋体" w:cs="宋体"/>
          <w:bCs/>
          <w:color w:val="auto"/>
          <w:sz w:val="24"/>
          <w:szCs w:val="24"/>
          <w:highlight w:val="none"/>
          <w:u w:val="single"/>
        </w:rPr>
        <w:t>次</w:t>
      </w:r>
      <w:r>
        <w:rPr>
          <w:rFonts w:hint="eastAsia" w:ascii="宋体" w:hAnsi="宋体" w:eastAsia="宋体" w:cs="宋体"/>
          <w:bCs/>
          <w:color w:val="auto"/>
          <w:sz w:val="24"/>
          <w:szCs w:val="24"/>
          <w:highlight w:val="none"/>
        </w:rPr>
        <w:t>作为违约金。</w:t>
      </w:r>
    </w:p>
    <w:p>
      <w:pPr>
        <w:spacing w:before="156" w:beforeLines="50" w:after="156" w:afterLines="50" w:line="384" w:lineRule="auto"/>
        <w:ind w:firstLine="422" w:firstLineChars="175"/>
        <w:jc w:val="left"/>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第十一条不可抗力</w:t>
      </w:r>
    </w:p>
    <w:p>
      <w:pPr>
        <w:widowControl/>
        <w:autoSpaceDE w:val="0"/>
        <w:autoSpaceDN w:val="0"/>
        <w:adjustRightInd w:val="0"/>
        <w:spacing w:line="384" w:lineRule="auto"/>
        <w:ind w:firstLine="480" w:firstLineChars="200"/>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 xml:space="preserve">11.1 </w:t>
      </w:r>
      <w:r>
        <w:rPr>
          <w:rFonts w:hint="eastAsia" w:ascii="宋体" w:hAnsi="宋体" w:eastAsia="宋体" w:cs="宋体"/>
          <w:bCs/>
          <w:color w:val="auto"/>
          <w:sz w:val="24"/>
          <w:szCs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⑴地震、火山爆发、滑坡、暴雨（橙色预警及以上）、台风（黄色预警及以上）、海啸、龙卷风、大面积流行病</w:t>
      </w:r>
      <w:r>
        <w:rPr>
          <w:rFonts w:ascii="宋体" w:hAnsi="宋体" w:eastAsia="宋体" w:cs="宋体"/>
          <w:bCs/>
          <w:color w:val="auto"/>
          <w:sz w:val="24"/>
          <w:szCs w:val="24"/>
          <w:highlight w:val="none"/>
        </w:rPr>
        <w:t>(如：非典型性肺炎等)或瘟疫；</w:t>
      </w:r>
    </w:p>
    <w:p>
      <w:pPr>
        <w:widowControl/>
        <w:autoSpaceDE w:val="0"/>
        <w:autoSpaceDN w:val="0"/>
        <w:adjustRightInd w:val="0"/>
        <w:spacing w:line="384"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 xml:space="preserve">11.2 </w:t>
      </w:r>
      <w:r>
        <w:rPr>
          <w:rFonts w:hint="eastAsia" w:ascii="宋体" w:hAnsi="宋体" w:eastAsia="宋体" w:cs="宋体"/>
          <w:bCs/>
          <w:color w:val="auto"/>
          <w:sz w:val="24"/>
          <w:szCs w:val="24"/>
          <w:highlight w:val="none"/>
        </w:rPr>
        <w:t>声称受到不可抗力影响的一方，应在发生不可抗力或知道发生不可抗力之后</w:t>
      </w:r>
      <w:r>
        <w:rPr>
          <w:rFonts w:ascii="宋体" w:hAnsi="宋体" w:eastAsia="宋体" w:cs="宋体"/>
          <w:bCs/>
          <w:color w:val="auto"/>
          <w:sz w:val="24"/>
          <w:szCs w:val="24"/>
          <w:highlight w:val="none"/>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 xml:space="preserve">11.3 </w:t>
      </w:r>
      <w:r>
        <w:rPr>
          <w:rFonts w:hint="eastAsia" w:ascii="宋体" w:hAnsi="宋体" w:eastAsia="宋体" w:cs="宋体"/>
          <w:bCs/>
          <w:color w:val="auto"/>
          <w:sz w:val="24"/>
          <w:szCs w:val="24"/>
          <w:highlight w:val="none"/>
        </w:rPr>
        <w:t>因不可抗力导致合同无法履行的时间自该不可抗力发生日起连续超过玖拾</w:t>
      </w:r>
      <w:r>
        <w:rPr>
          <w:rFonts w:ascii="宋体" w:hAnsi="宋体" w:eastAsia="宋体" w:cs="宋体"/>
          <w:bCs/>
          <w:color w:val="auto"/>
          <w:sz w:val="24"/>
          <w:szCs w:val="24"/>
          <w:highlight w:val="none"/>
        </w:rPr>
        <w:t>(90)天，双方应协商决定继续履行本合同的条件或者变更本合同。如果自不可抗力发生后壹佰捌拾(180)天之内双方不能达成一致意见，任何一方有权解除本合同。</w:t>
      </w:r>
    </w:p>
    <w:p>
      <w:pPr>
        <w:spacing w:before="156" w:beforeLines="50" w:after="156" w:afterLines="50" w:line="384" w:lineRule="auto"/>
        <w:ind w:firstLine="482"/>
        <w:jc w:val="left"/>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 xml:space="preserve">11.4 </w:t>
      </w:r>
      <w:r>
        <w:rPr>
          <w:rFonts w:hint="eastAsia" w:ascii="宋体" w:hAnsi="宋体" w:eastAsia="宋体" w:cs="宋体"/>
          <w:bCs/>
          <w:color w:val="auto"/>
          <w:sz w:val="24"/>
          <w:szCs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156" w:beforeLines="50" w:after="156" w:afterLines="50" w:line="384" w:lineRule="auto"/>
        <w:ind w:firstLine="482"/>
        <w:jc w:val="lef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十二条争议解决</w:t>
      </w:r>
    </w:p>
    <w:p>
      <w:pPr>
        <w:spacing w:line="384" w:lineRule="auto"/>
        <w:ind w:firstLine="482"/>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 xml:space="preserve">12.1 </w:t>
      </w:r>
      <w:r>
        <w:rPr>
          <w:rFonts w:hint="eastAsia" w:ascii="宋体" w:hAnsi="宋体" w:eastAsia="宋体" w:cs="宋体"/>
          <w:bCs/>
          <w:color w:val="auto"/>
          <w:sz w:val="24"/>
          <w:szCs w:val="24"/>
          <w:highlight w:val="none"/>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eastAsia="宋体" w:cs="宋体"/>
          <w:color w:val="auto"/>
          <w:sz w:val="24"/>
          <w:szCs w:val="24"/>
          <w:highlight w:val="none"/>
        </w:rPr>
      </w:pPr>
      <w:r>
        <w:rPr>
          <w:rFonts w:ascii="宋体" w:hAnsi="宋体" w:eastAsia="宋体" w:cs="宋体"/>
          <w:bCs/>
          <w:color w:val="auto"/>
          <w:sz w:val="24"/>
          <w:szCs w:val="24"/>
          <w:highlight w:val="none"/>
        </w:rPr>
        <w:t xml:space="preserve">12.2 </w:t>
      </w:r>
      <w:r>
        <w:rPr>
          <w:rFonts w:hint="eastAsia" w:ascii="宋体" w:hAnsi="宋体" w:eastAsia="宋体" w:cs="宋体"/>
          <w:color w:val="auto"/>
          <w:sz w:val="24"/>
          <w:szCs w:val="24"/>
          <w:highlight w:val="none"/>
        </w:rPr>
        <w:t>在甲方同意的情况下，除有争端之外的合同其它部分在争端解决前应继续执行。</w:t>
      </w:r>
    </w:p>
    <w:p>
      <w:pPr>
        <w:spacing w:line="384" w:lineRule="auto"/>
        <w:ind w:firstLine="482"/>
        <w:jc w:val="lef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第十三条合同生效及其他</w:t>
      </w:r>
    </w:p>
    <w:p>
      <w:pPr>
        <w:spacing w:line="384" w:lineRule="auto"/>
        <w:ind w:firstLine="480"/>
        <w:rPr>
          <w:rFonts w:ascii="宋体" w:hAnsi="宋体" w:eastAsia="宋体" w:cs="宋体"/>
          <w:color w:val="auto"/>
          <w:sz w:val="24"/>
          <w:szCs w:val="24"/>
          <w:highlight w:val="none"/>
        </w:rPr>
      </w:pPr>
      <w:r>
        <w:rPr>
          <w:rFonts w:ascii="宋体" w:hAnsi="宋体" w:eastAsia="宋体" w:cs="宋体"/>
          <w:color w:val="auto"/>
          <w:sz w:val="24"/>
          <w:szCs w:val="24"/>
          <w:highlight w:val="none"/>
        </w:rPr>
        <w:t>13.1</w:t>
      </w:r>
      <w:r>
        <w:rPr>
          <w:rFonts w:hint="eastAsia" w:ascii="宋体" w:hAnsi="宋体" w:eastAsia="宋体" w:cs="宋体"/>
          <w:color w:val="auto"/>
          <w:sz w:val="24"/>
          <w:szCs w:val="24"/>
          <w:highlight w:val="none"/>
        </w:rPr>
        <w:t>本合同经双方法定代表人或授权代表签字并加盖双方公章后生效</w:t>
      </w:r>
      <w:r>
        <w:rPr>
          <w:rFonts w:ascii="宋体" w:hAnsi="宋体" w:eastAsia="宋体" w:cs="宋体"/>
          <w:color w:val="auto"/>
          <w:sz w:val="24"/>
          <w:szCs w:val="24"/>
          <w:highlight w:val="none"/>
        </w:rPr>
        <w:t>.</w:t>
      </w:r>
    </w:p>
    <w:p>
      <w:pPr>
        <w:spacing w:line="384" w:lineRule="auto"/>
        <w:ind w:firstLine="480"/>
        <w:rPr>
          <w:rFonts w:ascii="宋体" w:hAnsi="宋体" w:eastAsia="宋体" w:cs="宋体"/>
          <w:color w:val="auto"/>
          <w:sz w:val="24"/>
          <w:szCs w:val="24"/>
          <w:highlight w:val="none"/>
        </w:rPr>
      </w:pPr>
      <w:r>
        <w:rPr>
          <w:rFonts w:ascii="宋体" w:hAnsi="宋体" w:eastAsia="宋体" w:cs="宋体"/>
          <w:color w:val="auto"/>
          <w:sz w:val="24"/>
          <w:szCs w:val="24"/>
          <w:highlight w:val="none"/>
        </w:rPr>
        <w:t>13.2</w:t>
      </w:r>
      <w:r>
        <w:rPr>
          <w:rFonts w:hint="eastAsia" w:ascii="宋体" w:hAnsi="宋体" w:eastAsia="宋体" w:cs="宋体"/>
          <w:color w:val="auto"/>
          <w:sz w:val="24"/>
          <w:szCs w:val="24"/>
          <w:highlight w:val="none"/>
        </w:rPr>
        <w:t>本合同正文一式六份，其中：甲方四份，乙方二份。</w:t>
      </w:r>
    </w:p>
    <w:p>
      <w:pPr>
        <w:spacing w:line="384" w:lineRule="auto"/>
        <w:ind w:firstLine="480"/>
        <w:rPr>
          <w:rFonts w:hint="default" w:ascii="宋体" w:hAnsi="宋体" w:eastAsia="宋体" w:cs="宋体"/>
          <w:color w:val="auto"/>
          <w:sz w:val="24"/>
          <w:szCs w:val="24"/>
          <w:highlight w:val="none"/>
          <w:u w:val="single"/>
          <w:lang w:val="en-US" w:eastAsia="zh-CN"/>
        </w:rPr>
      </w:pPr>
      <w:r>
        <w:rPr>
          <w:rFonts w:ascii="宋体" w:hAnsi="宋体" w:eastAsia="宋体" w:cs="宋体"/>
          <w:color w:val="auto"/>
          <w:sz w:val="24"/>
          <w:szCs w:val="24"/>
          <w:highlight w:val="none"/>
        </w:rPr>
        <w:t>13.</w:t>
      </w:r>
      <w:r>
        <w:rPr>
          <w:rFonts w:hint="eastAsia" w:ascii="宋体" w:hAnsi="宋体" w:eastAsia="宋体" w:cs="宋体"/>
          <w:color w:val="auto"/>
          <w:sz w:val="24"/>
          <w:szCs w:val="24"/>
          <w:highlight w:val="none"/>
        </w:rPr>
        <w:t>3补充条款</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p>
    <w:p>
      <w:pPr>
        <w:spacing w:line="384" w:lineRule="auto"/>
        <w:ind w:firstLine="480"/>
        <w:rPr>
          <w:rFonts w:ascii="宋体" w:hAnsi="宋体" w:eastAsia="宋体" w:cs="宋体"/>
          <w:color w:val="auto"/>
          <w:sz w:val="24"/>
          <w:szCs w:val="24"/>
          <w:highlight w:val="none"/>
          <w:u w:val="single"/>
        </w:rPr>
      </w:pPr>
    </w:p>
    <w:p>
      <w:pPr>
        <w:spacing w:line="384" w:lineRule="auto"/>
        <w:ind w:firstLine="480"/>
        <w:rPr>
          <w:rFonts w:ascii="宋体" w:hAnsi="宋体" w:eastAsia="宋体" w:cs="宋体"/>
          <w:color w:val="auto"/>
          <w:sz w:val="24"/>
          <w:szCs w:val="24"/>
          <w:highlight w:val="none"/>
          <w:u w:val="single"/>
        </w:rPr>
      </w:pPr>
    </w:p>
    <w:p>
      <w:pPr>
        <w:spacing w:line="384" w:lineRule="auto"/>
        <w:ind w:firstLine="480"/>
        <w:rPr>
          <w:rFonts w:ascii="宋体" w:hAnsi="宋体" w:eastAsia="宋体" w:cs="宋体"/>
          <w:color w:val="auto"/>
          <w:sz w:val="24"/>
          <w:szCs w:val="24"/>
          <w:highlight w:val="none"/>
          <w:u w:val="single"/>
        </w:rPr>
      </w:pPr>
    </w:p>
    <w:p>
      <w:pPr>
        <w:spacing w:line="384" w:lineRule="auto"/>
        <w:rPr>
          <w:rFonts w:ascii="宋体" w:hAnsi="宋体" w:eastAsia="宋体" w:cs="宋体"/>
          <w:color w:val="auto"/>
          <w:sz w:val="24"/>
          <w:szCs w:val="24"/>
          <w:highlight w:val="none"/>
        </w:rPr>
      </w:pPr>
    </w:p>
    <w:p>
      <w:pPr>
        <w:pStyle w:val="2"/>
        <w:rPr>
          <w:rFonts w:ascii="宋体" w:hAnsi="宋体" w:eastAsia="宋体" w:cs="宋体"/>
          <w:color w:val="auto"/>
          <w:sz w:val="24"/>
          <w:szCs w:val="24"/>
          <w:highlight w:val="none"/>
        </w:rPr>
      </w:pPr>
    </w:p>
    <w:p>
      <w:pPr>
        <w:pStyle w:val="2"/>
        <w:rPr>
          <w:rFonts w:ascii="宋体" w:hAnsi="宋体" w:eastAsia="宋体" w:cs="宋体"/>
          <w:color w:val="auto"/>
          <w:sz w:val="24"/>
          <w:szCs w:val="24"/>
          <w:highlight w:val="none"/>
        </w:rPr>
      </w:pPr>
    </w:p>
    <w:p>
      <w:pPr>
        <w:spacing w:line="384"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rPr>
        <w:t>中标通知书</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发包通知书</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成交通知书/委托函（如有）</w:t>
      </w:r>
    </w:p>
    <w:p>
      <w:pPr>
        <w:spacing w:line="460" w:lineRule="exact"/>
        <w:ind w:firstLine="720" w:firstLineChars="3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2.廉洁协议</w:t>
      </w:r>
    </w:p>
    <w:p>
      <w:pPr>
        <w:spacing w:line="384" w:lineRule="auto"/>
        <w:ind w:firstLine="720" w:firstLineChars="3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营运场所施工安全协议书</w:t>
      </w:r>
    </w:p>
    <w:p>
      <w:pPr>
        <w:spacing w:line="384"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4</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工程量清单</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报价</w:t>
      </w:r>
    </w:p>
    <w:p>
      <w:pPr>
        <w:spacing w:line="384"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5</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项目投入人员架构表</w:t>
      </w:r>
      <w:r>
        <w:rPr>
          <w:rFonts w:ascii="宋体" w:hAnsi="宋体" w:eastAsia="宋体" w:cs="宋体"/>
          <w:color w:val="auto"/>
          <w:sz w:val="24"/>
          <w:szCs w:val="24"/>
          <w:highlight w:val="none"/>
        </w:rPr>
        <w:t xml:space="preserve"> </w:t>
      </w:r>
    </w:p>
    <w:p>
      <w:pPr>
        <w:spacing w:line="360" w:lineRule="auto"/>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 xml:space="preserve">      </w:t>
      </w: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val="en-US" w:eastAsia="zh-CN"/>
        </w:rPr>
        <w:t>履约</w:t>
      </w:r>
      <w:r>
        <w:rPr>
          <w:rFonts w:hint="eastAsia" w:ascii="宋体" w:hAnsi="宋体" w:eastAsia="宋体" w:cs="宋体"/>
          <w:color w:val="auto"/>
          <w:sz w:val="24"/>
          <w:szCs w:val="24"/>
          <w:highlight w:val="none"/>
        </w:rPr>
        <w:t>保函（模板）</w:t>
      </w:r>
    </w:p>
    <w:p>
      <w:pPr>
        <w:spacing w:line="360" w:lineRule="auto"/>
        <w:ind w:firstLine="720" w:firstLineChars="300"/>
        <w:rPr>
          <w:rFonts w:asciiTheme="minorEastAsia" w:hAnsiTheme="minorEastAsia" w:cstheme="minorEastAsia"/>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Theme="minorEastAsia" w:hAnsiTheme="minorEastAsia" w:cstheme="minorEastAsia"/>
          <w:color w:val="auto"/>
          <w:sz w:val="24"/>
          <w:szCs w:val="24"/>
          <w:highlight w:val="none"/>
        </w:rPr>
        <w:t>应急救援物资清单</w:t>
      </w:r>
    </w:p>
    <w:p>
      <w:pPr>
        <w:spacing w:line="360" w:lineRule="auto"/>
        <w:ind w:firstLine="720" w:firstLineChars="3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.授权委托证明（如需）</w:t>
      </w:r>
    </w:p>
    <w:p>
      <w:pPr>
        <w:adjustRightInd w:val="0"/>
        <w:snapToGrid w:val="0"/>
        <w:ind w:firstLine="720" w:firstLineChars="300"/>
        <w:rPr>
          <w:rFonts w:ascii="宋体" w:hAnsi="宋体" w:eastAsia="宋体" w:cs="宋体"/>
          <w:color w:val="auto"/>
          <w:sz w:val="24"/>
          <w:szCs w:val="24"/>
          <w:highlight w:val="none"/>
        </w:rPr>
      </w:pPr>
    </w:p>
    <w:p>
      <w:pPr>
        <w:spacing w:line="384" w:lineRule="auto"/>
        <w:rPr>
          <w:rFonts w:ascii="宋体" w:hAnsi="宋体" w:eastAsia="宋体" w:cs="宋体"/>
          <w:color w:val="auto"/>
          <w:sz w:val="24"/>
          <w:szCs w:val="24"/>
          <w:highlight w:val="none"/>
        </w:rPr>
      </w:pPr>
    </w:p>
    <w:p>
      <w:pPr>
        <w:spacing w:line="384"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甲方：广州市净水有限公司（盖章）     乙方：（盖章）</w:t>
      </w:r>
    </w:p>
    <w:p>
      <w:pPr>
        <w:spacing w:line="384"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 或                         法定代表人或</w:t>
      </w:r>
    </w:p>
    <w:p>
      <w:pPr>
        <w:spacing w:line="384"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授权代理人：                         授权代理人：</w:t>
      </w:r>
    </w:p>
    <w:p>
      <w:pPr>
        <w:spacing w:line="384"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地址：                               地址：</w:t>
      </w:r>
    </w:p>
    <w:p>
      <w:pPr>
        <w:spacing w:line="384"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经办人：                             经办人：</w:t>
      </w:r>
    </w:p>
    <w:p>
      <w:pPr>
        <w:spacing w:line="384"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                           联系电话：</w:t>
      </w:r>
    </w:p>
    <w:p>
      <w:pPr>
        <w:spacing w:line="384" w:lineRule="auto"/>
        <w:ind w:left="6360" w:hanging="6360" w:hangingChars="26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传真：                               传真：</w:t>
      </w:r>
    </w:p>
    <w:p>
      <w:pPr>
        <w:spacing w:line="384" w:lineRule="auto"/>
        <w:ind w:left="6360" w:hanging="6360" w:hangingChars="2650"/>
        <w:rPr>
          <w:rFonts w:ascii="宋体" w:hAnsi="宋体" w:eastAsia="宋体" w:cs="宋体"/>
          <w:b/>
          <w:bCs/>
          <w:color w:val="auto"/>
          <w:szCs w:val="21"/>
          <w:highlight w:val="none"/>
        </w:rPr>
      </w:pPr>
      <w:r>
        <w:rPr>
          <w:rFonts w:hint="eastAsia" w:ascii="宋体" w:hAnsi="宋体" w:eastAsia="宋体" w:cs="宋体"/>
          <w:color w:val="auto"/>
          <w:sz w:val="24"/>
          <w:szCs w:val="24"/>
          <w:highlight w:val="none"/>
        </w:rPr>
        <w:t>签署日期：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              签署日期：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pPr>
        <w:spacing w:line="360" w:lineRule="auto"/>
        <w:rPr>
          <w:rFonts w:hint="eastAsia" w:ascii="宋体" w:hAnsi="宋体" w:eastAsia="宋体" w:cs="宋体"/>
          <w:b/>
          <w:bCs/>
          <w:color w:val="auto"/>
          <w:szCs w:val="21"/>
          <w:highlight w:val="none"/>
        </w:rPr>
      </w:pPr>
    </w:p>
    <w:p>
      <w:pPr>
        <w:spacing w:line="360" w:lineRule="auto"/>
        <w:rPr>
          <w:rFonts w:hint="eastAsia" w:ascii="宋体" w:hAnsi="宋体" w:eastAsia="宋体" w:cs="宋体"/>
          <w:b/>
          <w:bCs/>
          <w:color w:val="auto"/>
          <w:szCs w:val="21"/>
          <w:highlight w:val="none"/>
        </w:rPr>
      </w:pPr>
    </w:p>
    <w:p>
      <w:pPr>
        <w:spacing w:line="360" w:lineRule="auto"/>
        <w:rPr>
          <w:rFonts w:hint="eastAsia" w:ascii="宋体" w:hAnsi="宋体" w:eastAsia="宋体" w:cs="宋体"/>
          <w:b/>
          <w:bCs/>
          <w:color w:val="auto"/>
          <w:szCs w:val="21"/>
          <w:highlight w:val="none"/>
        </w:rPr>
      </w:pPr>
    </w:p>
    <w:p>
      <w:pPr>
        <w:spacing w:line="360" w:lineRule="auto"/>
        <w:rPr>
          <w:rFonts w:hint="eastAsia" w:ascii="宋体" w:hAnsi="宋体" w:eastAsia="宋体" w:cs="宋体"/>
          <w:b/>
          <w:bCs/>
          <w:color w:val="auto"/>
          <w:szCs w:val="21"/>
          <w:highlight w:val="none"/>
        </w:rPr>
      </w:pPr>
    </w:p>
    <w:p>
      <w:pPr>
        <w:spacing w:line="360" w:lineRule="auto"/>
        <w:rPr>
          <w:rFonts w:hint="eastAsia" w:ascii="宋体" w:hAnsi="宋体" w:eastAsia="宋体" w:cs="宋体"/>
          <w:b/>
          <w:bCs/>
          <w:color w:val="auto"/>
          <w:szCs w:val="21"/>
          <w:highlight w:val="none"/>
        </w:rPr>
      </w:pPr>
    </w:p>
    <w:p>
      <w:pPr>
        <w:spacing w:line="360" w:lineRule="auto"/>
        <w:rPr>
          <w:rFonts w:hint="eastAsia" w:ascii="宋体" w:hAnsi="宋体" w:eastAsia="宋体" w:cs="宋体"/>
          <w:b/>
          <w:bCs/>
          <w:color w:val="auto"/>
          <w:szCs w:val="21"/>
          <w:highlight w:val="none"/>
        </w:rPr>
      </w:pPr>
    </w:p>
    <w:p>
      <w:pPr>
        <w:spacing w:line="360" w:lineRule="auto"/>
        <w:rPr>
          <w:rFonts w:hint="eastAsia" w:ascii="宋体" w:hAnsi="宋体" w:eastAsia="宋体" w:cs="宋体"/>
          <w:b/>
          <w:bCs/>
          <w:color w:val="auto"/>
          <w:szCs w:val="21"/>
          <w:highlight w:val="none"/>
        </w:rPr>
      </w:pPr>
    </w:p>
    <w:p>
      <w:pPr>
        <w:spacing w:line="360" w:lineRule="auto"/>
        <w:rPr>
          <w:rFonts w:hint="eastAsia" w:ascii="宋体" w:hAnsi="宋体" w:eastAsia="宋体" w:cs="宋体"/>
          <w:b/>
          <w:bCs/>
          <w:color w:val="auto"/>
          <w:szCs w:val="21"/>
          <w:highlight w:val="none"/>
        </w:rPr>
      </w:pPr>
    </w:p>
    <w:p>
      <w:pPr>
        <w:spacing w:line="360" w:lineRule="auto"/>
        <w:rPr>
          <w:rFonts w:hint="eastAsia" w:ascii="宋体" w:hAnsi="宋体" w:eastAsia="宋体" w:cs="宋体"/>
          <w:b/>
          <w:bCs/>
          <w:color w:val="auto"/>
          <w:szCs w:val="21"/>
          <w:highlight w:val="none"/>
        </w:rPr>
      </w:pPr>
    </w:p>
    <w:p>
      <w:pPr>
        <w:spacing w:line="360" w:lineRule="auto"/>
        <w:rPr>
          <w:rFonts w:hint="eastAsia" w:ascii="宋体" w:hAnsi="宋体" w:eastAsia="宋体" w:cs="宋体"/>
          <w:b/>
          <w:bCs/>
          <w:color w:val="auto"/>
          <w:szCs w:val="21"/>
          <w:highlight w:val="none"/>
        </w:rPr>
      </w:pPr>
    </w:p>
    <w:p>
      <w:pPr>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附件1  中标通知书/发包通知书/委托函（如有）</w:t>
      </w:r>
    </w:p>
    <w:p>
      <w:pPr>
        <w:spacing w:line="360" w:lineRule="auto"/>
        <w:rPr>
          <w:rFonts w:ascii="宋体" w:hAnsi="宋体" w:eastAsia="宋体" w:cs="宋体"/>
          <w:color w:val="auto"/>
          <w:sz w:val="24"/>
          <w:szCs w:val="24"/>
          <w:highlight w:val="none"/>
        </w:rPr>
      </w:pPr>
    </w:p>
    <w:p>
      <w:pPr>
        <w:spacing w:line="360" w:lineRule="auto"/>
        <w:rPr>
          <w:rFonts w:ascii="宋体" w:hAnsi="宋体" w:eastAsia="宋体" w:cs="宋体"/>
          <w:color w:val="auto"/>
          <w:sz w:val="24"/>
          <w:szCs w:val="24"/>
          <w:highlight w:val="none"/>
        </w:rPr>
      </w:pPr>
    </w:p>
    <w:p>
      <w:pPr>
        <w:spacing w:line="360" w:lineRule="auto"/>
        <w:rPr>
          <w:rFonts w:ascii="宋体" w:hAnsi="宋体" w:eastAsia="宋体" w:cs="宋体"/>
          <w:color w:val="auto"/>
          <w:sz w:val="24"/>
          <w:szCs w:val="24"/>
          <w:highlight w:val="none"/>
        </w:rPr>
      </w:pPr>
    </w:p>
    <w:p>
      <w:pPr>
        <w:spacing w:line="360" w:lineRule="auto"/>
        <w:rPr>
          <w:rFonts w:ascii="宋体" w:hAnsi="宋体" w:eastAsia="宋体" w:cs="宋体"/>
          <w:color w:val="auto"/>
          <w:sz w:val="24"/>
          <w:szCs w:val="24"/>
          <w:highlight w:val="none"/>
        </w:rPr>
      </w:pPr>
    </w:p>
    <w:p>
      <w:pPr>
        <w:spacing w:line="360" w:lineRule="auto"/>
        <w:rPr>
          <w:rFonts w:ascii="宋体" w:hAnsi="宋体" w:eastAsia="宋体" w:cs="宋体"/>
          <w:color w:val="auto"/>
          <w:sz w:val="24"/>
          <w:szCs w:val="24"/>
          <w:highlight w:val="none"/>
        </w:rPr>
      </w:pPr>
    </w:p>
    <w:p>
      <w:pPr>
        <w:spacing w:line="360" w:lineRule="auto"/>
        <w:rPr>
          <w:rFonts w:ascii="宋体" w:hAnsi="宋体" w:eastAsia="宋体" w:cs="宋体"/>
          <w:color w:val="auto"/>
          <w:sz w:val="24"/>
          <w:szCs w:val="24"/>
          <w:highlight w:val="none"/>
        </w:rPr>
      </w:pPr>
    </w:p>
    <w:p>
      <w:pPr>
        <w:spacing w:line="360" w:lineRule="auto"/>
        <w:rPr>
          <w:rFonts w:ascii="宋体" w:hAnsi="宋体" w:eastAsia="宋体" w:cs="宋体"/>
          <w:color w:val="auto"/>
          <w:sz w:val="24"/>
          <w:szCs w:val="24"/>
          <w:highlight w:val="none"/>
        </w:rPr>
      </w:pPr>
    </w:p>
    <w:p>
      <w:pPr>
        <w:spacing w:line="360" w:lineRule="auto"/>
        <w:rPr>
          <w:rFonts w:ascii="宋体" w:hAnsi="宋体" w:eastAsia="宋体" w:cs="宋体"/>
          <w:color w:val="auto"/>
          <w:sz w:val="24"/>
          <w:szCs w:val="24"/>
          <w:highlight w:val="none"/>
        </w:rPr>
      </w:pPr>
    </w:p>
    <w:p>
      <w:pPr>
        <w:spacing w:line="360" w:lineRule="auto"/>
        <w:rPr>
          <w:rFonts w:ascii="宋体" w:hAnsi="宋体" w:eastAsia="宋体" w:cs="宋体"/>
          <w:color w:val="auto"/>
          <w:sz w:val="24"/>
          <w:szCs w:val="24"/>
          <w:highlight w:val="none"/>
        </w:rPr>
      </w:pPr>
    </w:p>
    <w:p>
      <w:pPr>
        <w:spacing w:line="360" w:lineRule="auto"/>
        <w:rPr>
          <w:rFonts w:ascii="宋体" w:hAnsi="宋体" w:eastAsia="宋体" w:cs="宋体"/>
          <w:color w:val="auto"/>
          <w:sz w:val="24"/>
          <w:szCs w:val="24"/>
          <w:highlight w:val="none"/>
        </w:rPr>
      </w:pPr>
    </w:p>
    <w:p>
      <w:pPr>
        <w:spacing w:line="360" w:lineRule="auto"/>
        <w:rPr>
          <w:rFonts w:ascii="宋体" w:hAnsi="宋体" w:eastAsia="宋体" w:cs="宋体"/>
          <w:color w:val="auto"/>
          <w:sz w:val="24"/>
          <w:szCs w:val="24"/>
          <w:highlight w:val="none"/>
        </w:rPr>
      </w:pPr>
    </w:p>
    <w:p>
      <w:pPr>
        <w:spacing w:line="360" w:lineRule="auto"/>
        <w:rPr>
          <w:rFonts w:ascii="宋体" w:hAnsi="宋体" w:eastAsia="宋体" w:cs="宋体"/>
          <w:color w:val="auto"/>
          <w:sz w:val="24"/>
          <w:szCs w:val="24"/>
          <w:highlight w:val="none"/>
        </w:rPr>
      </w:pPr>
    </w:p>
    <w:p>
      <w:pPr>
        <w:spacing w:line="360" w:lineRule="auto"/>
        <w:rPr>
          <w:rFonts w:ascii="宋体" w:hAnsi="宋体" w:eastAsia="宋体" w:cs="宋体"/>
          <w:color w:val="auto"/>
          <w:sz w:val="24"/>
          <w:szCs w:val="24"/>
          <w:highlight w:val="none"/>
        </w:rPr>
      </w:pPr>
    </w:p>
    <w:p>
      <w:pPr>
        <w:spacing w:line="360" w:lineRule="auto"/>
        <w:rPr>
          <w:rFonts w:ascii="宋体" w:hAnsi="宋体" w:eastAsia="宋体" w:cs="宋体"/>
          <w:color w:val="auto"/>
          <w:sz w:val="24"/>
          <w:szCs w:val="24"/>
          <w:highlight w:val="none"/>
        </w:rPr>
      </w:pPr>
    </w:p>
    <w:p>
      <w:pPr>
        <w:spacing w:line="360" w:lineRule="auto"/>
        <w:rPr>
          <w:rFonts w:ascii="宋体" w:hAnsi="宋体" w:eastAsia="宋体" w:cs="宋体"/>
          <w:color w:val="auto"/>
          <w:sz w:val="24"/>
          <w:szCs w:val="24"/>
          <w:highlight w:val="none"/>
        </w:rPr>
      </w:pPr>
    </w:p>
    <w:p>
      <w:pPr>
        <w:spacing w:line="360" w:lineRule="auto"/>
        <w:rPr>
          <w:rFonts w:ascii="宋体" w:hAnsi="宋体" w:eastAsia="宋体" w:cs="宋体"/>
          <w:color w:val="auto"/>
          <w:sz w:val="24"/>
          <w:szCs w:val="24"/>
          <w:highlight w:val="none"/>
        </w:rPr>
      </w:pPr>
    </w:p>
    <w:p>
      <w:pPr>
        <w:spacing w:line="360" w:lineRule="auto"/>
        <w:rPr>
          <w:rFonts w:ascii="宋体" w:hAnsi="宋体" w:eastAsia="宋体" w:cs="宋体"/>
          <w:color w:val="auto"/>
          <w:sz w:val="24"/>
          <w:szCs w:val="24"/>
          <w:highlight w:val="none"/>
        </w:rPr>
      </w:pPr>
    </w:p>
    <w:p>
      <w:pPr>
        <w:spacing w:line="360" w:lineRule="auto"/>
        <w:rPr>
          <w:rFonts w:ascii="宋体" w:hAnsi="宋体" w:eastAsia="宋体" w:cs="宋体"/>
          <w:color w:val="auto"/>
          <w:sz w:val="24"/>
          <w:szCs w:val="24"/>
          <w:highlight w:val="none"/>
        </w:rPr>
      </w:pPr>
    </w:p>
    <w:p>
      <w:pPr>
        <w:spacing w:line="360" w:lineRule="auto"/>
        <w:rPr>
          <w:rFonts w:ascii="宋体" w:hAnsi="宋体" w:eastAsia="宋体" w:cs="宋体"/>
          <w:color w:val="auto"/>
          <w:sz w:val="24"/>
          <w:szCs w:val="24"/>
          <w:highlight w:val="none"/>
        </w:rPr>
      </w:pPr>
    </w:p>
    <w:p>
      <w:pPr>
        <w:widowControl/>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br w:type="page"/>
      </w:r>
    </w:p>
    <w:p>
      <w:pPr>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附件</w:t>
      </w:r>
      <w:r>
        <w:rPr>
          <w:rFonts w:ascii="宋体" w:hAnsi="宋体" w:eastAsia="宋体" w:cs="宋体"/>
          <w:b/>
          <w:bCs/>
          <w:color w:val="auto"/>
          <w:szCs w:val="21"/>
          <w:highlight w:val="none"/>
        </w:rPr>
        <w:t>2</w:t>
      </w:r>
      <w:r>
        <w:rPr>
          <w:rFonts w:hint="eastAsia" w:ascii="宋体" w:hAnsi="宋体" w:eastAsia="宋体" w:cs="宋体"/>
          <w:b/>
          <w:bCs/>
          <w:color w:val="auto"/>
          <w:szCs w:val="21"/>
          <w:highlight w:val="none"/>
        </w:rPr>
        <w:t>：廉洁协议</w:t>
      </w:r>
    </w:p>
    <w:p>
      <w:pPr>
        <w:spacing w:line="560" w:lineRule="exact"/>
        <w:ind w:firstLine="3640" w:firstLineChars="13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廉洁协议</w:t>
      </w:r>
    </w:p>
    <w:p>
      <w:pPr>
        <w:spacing w:line="560" w:lineRule="exact"/>
        <w:ind w:firstLine="630" w:firstLineChars="225"/>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Cs/>
          <w:color w:val="auto"/>
          <w:sz w:val="28"/>
          <w:szCs w:val="28"/>
          <w:highlight w:val="none"/>
          <w:u w:val="single"/>
        </w:rPr>
        <w:t>广州市净水有限公司</w:t>
      </w:r>
      <w:r>
        <w:rPr>
          <w:rFonts w:hint="eastAsia" w:ascii="仿宋_GB2312" w:hAnsi="仿宋_GB2312" w:eastAsia="仿宋_GB2312" w:cs="仿宋_GB2312"/>
          <w:bCs/>
          <w:color w:val="auto"/>
          <w:sz w:val="28"/>
          <w:szCs w:val="28"/>
          <w:highlight w:val="none"/>
        </w:rPr>
        <w:t>(以下称甲方)与(以下称乙方)，特此订立本协议共同遵照执行。</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第一条 甲乙双方的权利和义务</w:t>
      </w:r>
    </w:p>
    <w:p>
      <w:pPr>
        <w:spacing w:line="56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（一）甲乙双方严格遵守国家关于市场准入、项目招标投标、市场经营活动等有关法律、法规相关政策及廉政建设的各项规定。</w:t>
      </w:r>
    </w:p>
    <w:p>
      <w:pPr>
        <w:spacing w:line="56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（二）严格执行</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合同（以下简称：主合同），自觉履行合同约定的相关义务。</w:t>
      </w:r>
    </w:p>
    <w:p>
      <w:pPr>
        <w:spacing w:line="56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（三）在业务活动中坚持公开、公正、诚信、透明的原则，不得损害国家、集体利益。</w:t>
      </w:r>
    </w:p>
    <w:p>
      <w:pPr>
        <w:spacing w:line="56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（四）建立健全廉洁从业制度，开展廉洁教育，公布举报电话，监督并认真查处不廉洁及违法违纪行为。</w:t>
      </w:r>
    </w:p>
    <w:p>
      <w:pPr>
        <w:spacing w:line="56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（五）发现对方在业务活动中有不廉洁行为，应及时提醒对方纠正。情节严重的，应向其有关监督部门检举。</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第二条甲方的义务</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（一）甲方及其工作人员不得索要或接受乙方的礼金、有价证券和贵重物品，不得在乙方报销任何应由甲方或个人支付的费用等。</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（三）甲方及其工作人员不得要求或者接受乙方为其住房装修、婚丧嫁娶活动、配偶子女工作安排以及出国出境、旅游等提供方便等。</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（四）甲方工作人员不得在乙方或与乙方有股权关联的企业兼职，不得向乙方介绍家属或者亲友从事与甲方业务有关的经济活动。</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（六）甲方工作人员不得利用职务之便收受乙方以回扣、手续费、加班费、咨询费、劳务费、协调费、辛苦费等各种名义给予或赠送的钱物。</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（七）甲方工作人员不得接受乙方给予或赠送的干股或红利。</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(八）不得存在其他违反廉洁规定的行为。</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第三条乙方的义务</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（一）乙方不得以任何理由向甲方及其工作人员行贿或馈赠礼金、有价证券、贵重礼品。</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（二)乙方不得以任何名义为甲方及其工作人员报销应由甲方单位或个人支付的任何费用。</w:t>
      </w:r>
    </w:p>
    <w:p>
      <w:pPr>
        <w:spacing w:line="560" w:lineRule="exact"/>
        <w:ind w:left="25" w:leftChars="12"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（三）乙方不得以任何理由安排甲方工作人员参加可能影响相关业务公开、公正、公平性的宴请及娱乐活动。</w:t>
      </w:r>
    </w:p>
    <w:p>
      <w:pPr>
        <w:spacing w:after="120" w:line="560" w:lineRule="exact"/>
        <w:ind w:left="420" w:left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（四）乙方不得为甲方单位和个人购置或提供通讯工具和高档办公用品等物品，也不得为甲方提供与工作无关的房屋、汽车等。</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（五）乙方不得擅自与甲方工作人员就主合同中的质量、数量、价格、工程量、验收等条款进行私下商谈或者达成默契。</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（六）乙方不得以回扣、手续费、加班费、咨询费、劳务费、协调费、辛苦费等各种名义向甲方工作人员给予或赠送钱物。</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（七）乙方不得向甲方工作人员提供干股或红利。</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(八）不得存在其他违反廉洁规定的行为。</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第四条违约责任</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甲方举报投诉联系部门：广州市净水有限公司</w:t>
      </w:r>
      <w:r>
        <w:rPr>
          <w:rFonts w:hint="eastAsia" w:ascii="仿宋_GB2312" w:hAnsi="仿宋_GB2312" w:eastAsia="仿宋_GB2312" w:cs="仿宋_GB2312"/>
          <w:bCs/>
          <w:color w:val="auto"/>
          <w:sz w:val="28"/>
          <w:szCs w:val="28"/>
          <w:highlight w:val="none"/>
          <w:u w:val="single"/>
        </w:rPr>
        <w:t>纪检室</w:t>
      </w:r>
      <w:r>
        <w:rPr>
          <w:rFonts w:hint="eastAsia" w:ascii="仿宋_GB2312" w:hAnsi="仿宋_GB2312" w:eastAsia="仿宋_GB2312" w:cs="仿宋_GB2312"/>
          <w:bCs/>
          <w:color w:val="auto"/>
          <w:sz w:val="28"/>
          <w:szCs w:val="28"/>
          <w:highlight w:val="none"/>
        </w:rPr>
        <w:t>，联系电话：</w:t>
      </w:r>
      <w:r>
        <w:rPr>
          <w:rFonts w:hint="eastAsia" w:ascii="仿宋_GB2312" w:hAnsi="仿宋_GB2312" w:eastAsia="仿宋_GB2312" w:cs="仿宋_GB2312"/>
          <w:bCs/>
          <w:color w:val="auto"/>
          <w:sz w:val="28"/>
          <w:szCs w:val="28"/>
          <w:highlight w:val="none"/>
          <w:u w:val="single"/>
        </w:rPr>
        <w:t xml:space="preserve"> 020-38890265 </w:t>
      </w:r>
      <w:r>
        <w:rPr>
          <w:rFonts w:hint="eastAsia" w:ascii="仿宋_GB2312" w:hAnsi="仿宋_GB2312" w:eastAsia="仿宋_GB2312" w:cs="仿宋_GB2312"/>
          <w:bCs/>
          <w:color w:val="auto"/>
          <w:sz w:val="28"/>
          <w:szCs w:val="28"/>
          <w:highlight w:val="none"/>
        </w:rPr>
        <w:t>。</w:t>
      </w:r>
    </w:p>
    <w:p>
      <w:pPr>
        <w:widowControl/>
        <w:spacing w:before="100" w:beforeAutospacing="1" w:after="100" w:afterAutospacing="1" w:line="560" w:lineRule="exact"/>
        <w:jc w:val="left"/>
        <w:rPr>
          <w:rFonts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widowControl/>
        <w:spacing w:before="100" w:beforeAutospacing="1" w:after="100" w:afterAutospacing="1" w:line="560" w:lineRule="exact"/>
        <w:jc w:val="left"/>
        <w:rPr>
          <w:rFonts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1、扣除主合同的全部履约保证金；</w:t>
      </w:r>
    </w:p>
    <w:p>
      <w:pPr>
        <w:widowControl/>
        <w:spacing w:before="100" w:beforeAutospacing="1" w:after="100" w:afterAutospacing="1" w:line="560" w:lineRule="exact"/>
        <w:jc w:val="left"/>
        <w:rPr>
          <w:rFonts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2、解除主合同；</w:t>
      </w:r>
    </w:p>
    <w:p>
      <w:pPr>
        <w:widowControl/>
        <w:spacing w:before="100" w:beforeAutospacing="1" w:after="100" w:afterAutospacing="1" w:line="560" w:lineRule="exact"/>
        <w:jc w:val="left"/>
        <w:rPr>
          <w:rFonts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3、追究乙方其他违约责任；</w:t>
      </w:r>
    </w:p>
    <w:p>
      <w:pPr>
        <w:widowControl/>
        <w:spacing w:before="100" w:beforeAutospacing="1" w:after="100" w:afterAutospacing="1" w:line="560" w:lineRule="exact"/>
        <w:jc w:val="left"/>
        <w:rPr>
          <w:rFonts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4、根据甲方的有关规章制度，在一定时间内暂停乙方参与甲方及下属单位所有项目的交易资格；</w:t>
      </w:r>
    </w:p>
    <w:p>
      <w:pPr>
        <w:widowControl/>
        <w:spacing w:before="100" w:beforeAutospacing="1" w:after="100" w:afterAutospacing="1" w:line="560" w:lineRule="exact"/>
        <w:jc w:val="left"/>
        <w:rPr>
          <w:rFonts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5、根据甲方的有关规章制度，将乙方清退出甲方相关企业库；</w:t>
      </w:r>
    </w:p>
    <w:p>
      <w:pPr>
        <w:widowControl/>
        <w:spacing w:before="100" w:beforeAutospacing="1" w:after="100" w:afterAutospacing="1" w:line="560" w:lineRule="exact"/>
        <w:jc w:val="left"/>
        <w:rPr>
          <w:rFonts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6、根据甲方上级单位、行政主管部门的意见、决定执行；</w:t>
      </w:r>
    </w:p>
    <w:p>
      <w:pPr>
        <w:widowControl/>
        <w:spacing w:before="100" w:beforeAutospacing="1" w:after="100" w:afterAutospacing="1" w:line="560" w:lineRule="exact"/>
        <w:jc w:val="left"/>
        <w:rPr>
          <w:rFonts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7、按规定向有关行政监督部门、乙方业务管理部门进行投诉、报告。</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乙方无条件接受甲方的处理决定并承担给甲方造成的损失，全额返还通过不正当手段获取的非法所得，并承担相应的法律责任。</w:t>
      </w:r>
    </w:p>
    <w:p>
      <w:pPr>
        <w:spacing w:line="560" w:lineRule="exact"/>
        <w:ind w:firstLine="560" w:firstLineChars="200"/>
        <w:rPr>
          <w:rFonts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sz w:val="28"/>
          <w:szCs w:val="28"/>
          <w:highlight w:val="none"/>
        </w:rPr>
        <w:t xml:space="preserve">第五条 </w:t>
      </w:r>
      <w:r>
        <w:rPr>
          <w:rFonts w:hint="eastAsia" w:ascii="仿宋_GB2312" w:hAnsi="仿宋_GB2312" w:eastAsia="仿宋_GB2312" w:cs="仿宋_GB2312"/>
          <w:bCs/>
          <w:color w:val="auto"/>
          <w:kern w:val="0"/>
          <w:sz w:val="28"/>
          <w:szCs w:val="28"/>
          <w:highlight w:val="none"/>
        </w:rPr>
        <w:t xml:space="preserve">本协议执行情况，接受有管辖权的纪检、监察部门的监督，双方应予以配合检查调查。 </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第六条本协议作为</w:t>
      </w:r>
      <w:r>
        <w:rPr>
          <w:rFonts w:hint="eastAsia" w:ascii="仿宋_GB2312" w:hAnsi="仿宋_GB2312" w:eastAsia="仿宋_GB2312" w:cs="仿宋_GB2312"/>
          <w:bCs/>
          <w:color w:val="auto"/>
          <w:sz w:val="28"/>
          <w:szCs w:val="28"/>
          <w:highlight w:val="none"/>
          <w:u w:val="single"/>
        </w:rPr>
        <w:t>（合同名称）+（合同编号）</w:t>
      </w:r>
      <w:r>
        <w:rPr>
          <w:rFonts w:hint="eastAsia" w:ascii="仿宋_GB2312" w:hAnsi="仿宋_GB2312" w:eastAsia="仿宋_GB2312" w:cs="仿宋_GB2312"/>
          <w:bCs/>
          <w:color w:val="auto"/>
          <w:sz w:val="28"/>
          <w:szCs w:val="28"/>
          <w:highlight w:val="none"/>
        </w:rPr>
        <w:t>合同的附件，并具有同等的法律效力，本协议自双方签字盖章之日起生效，与主合同同时终止。</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第七条本协议一式</w:t>
      </w:r>
      <w:r>
        <w:rPr>
          <w:rFonts w:hint="eastAsia" w:ascii="仿宋_GB2312" w:hAnsi="仿宋_GB2312" w:eastAsia="仿宋_GB2312" w:cs="仿宋_GB2312"/>
          <w:bCs/>
          <w:color w:val="auto"/>
          <w:sz w:val="28"/>
          <w:szCs w:val="28"/>
          <w:highlight w:val="none"/>
          <w:u w:val="single"/>
        </w:rPr>
        <w:t>…</w:t>
      </w:r>
      <w:r>
        <w:rPr>
          <w:rFonts w:hint="eastAsia" w:ascii="仿宋_GB2312" w:hAnsi="仿宋_GB2312" w:eastAsia="仿宋_GB2312" w:cs="仿宋_GB2312"/>
          <w:bCs/>
          <w:color w:val="auto"/>
          <w:sz w:val="28"/>
          <w:szCs w:val="28"/>
          <w:highlight w:val="none"/>
        </w:rPr>
        <w:t>份，甲方</w:t>
      </w:r>
      <w:r>
        <w:rPr>
          <w:rFonts w:hint="eastAsia" w:ascii="仿宋_GB2312" w:hAnsi="仿宋_GB2312" w:eastAsia="仿宋_GB2312" w:cs="仿宋_GB2312"/>
          <w:bCs/>
          <w:color w:val="auto"/>
          <w:sz w:val="28"/>
          <w:szCs w:val="28"/>
          <w:highlight w:val="none"/>
          <w:u w:val="single"/>
        </w:rPr>
        <w:t>…</w:t>
      </w:r>
      <w:r>
        <w:rPr>
          <w:rFonts w:hint="eastAsia" w:ascii="仿宋_GB2312" w:hAnsi="仿宋_GB2312" w:eastAsia="仿宋_GB2312" w:cs="仿宋_GB2312"/>
          <w:bCs/>
          <w:color w:val="auto"/>
          <w:sz w:val="28"/>
          <w:szCs w:val="28"/>
          <w:highlight w:val="none"/>
        </w:rPr>
        <w:t>份，乙方</w:t>
      </w:r>
      <w:r>
        <w:rPr>
          <w:rFonts w:hint="eastAsia" w:ascii="仿宋_GB2312" w:hAnsi="仿宋_GB2312" w:eastAsia="仿宋_GB2312" w:cs="仿宋_GB2312"/>
          <w:bCs/>
          <w:color w:val="auto"/>
          <w:sz w:val="28"/>
          <w:szCs w:val="28"/>
          <w:highlight w:val="none"/>
          <w:u w:val="single"/>
        </w:rPr>
        <w:t>…</w:t>
      </w:r>
      <w:r>
        <w:rPr>
          <w:rFonts w:hint="eastAsia" w:ascii="仿宋_GB2312" w:hAnsi="仿宋_GB2312" w:eastAsia="仿宋_GB2312" w:cs="仿宋_GB2312"/>
          <w:bCs/>
          <w:color w:val="auto"/>
          <w:sz w:val="28"/>
          <w:szCs w:val="28"/>
          <w:highlight w:val="none"/>
        </w:rPr>
        <w:t>份。</w:t>
      </w:r>
    </w:p>
    <w:p>
      <w:pPr>
        <w:spacing w:line="560" w:lineRule="exact"/>
        <w:ind w:firstLine="560" w:firstLineChars="200"/>
        <w:rPr>
          <w:rFonts w:ascii="仿宋_GB2312" w:hAnsi="仿宋_GB2312" w:eastAsia="仿宋_GB2312" w:cs="仿宋_GB2312"/>
          <w:bCs/>
          <w:color w:val="auto"/>
          <w:sz w:val="28"/>
          <w:szCs w:val="28"/>
          <w:highlight w:val="none"/>
        </w:rPr>
      </w:pPr>
    </w:p>
    <w:p>
      <w:pPr>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甲方（盖章）：                     乙方（盖章）：</w:t>
      </w:r>
    </w:p>
    <w:p>
      <w:pPr>
        <w:tabs>
          <w:tab w:val="left" w:pos="5100"/>
        </w:tabs>
        <w:spacing w:line="560" w:lineRule="exact"/>
        <w:ind w:left="7200"/>
        <w:jc w:val="left"/>
        <w:rPr>
          <w:rFonts w:ascii="仿宋_GB2312" w:hAnsi="仿宋_GB2312" w:eastAsia="仿宋_GB2312" w:cs="仿宋_GB2312"/>
          <w:bCs/>
          <w:color w:val="auto"/>
          <w:sz w:val="28"/>
          <w:szCs w:val="28"/>
          <w:highlight w:val="none"/>
        </w:rPr>
      </w:pPr>
    </w:p>
    <w:p>
      <w:pPr>
        <w:tabs>
          <w:tab w:val="left" w:pos="5100"/>
        </w:tabs>
        <w:spacing w:line="560" w:lineRule="exact"/>
        <w:ind w:left="8400" w:hanging="8400" w:hangingChars="30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签约代表：                         签约代表：</w:t>
      </w:r>
    </w:p>
    <w:p>
      <w:pPr>
        <w:tabs>
          <w:tab w:val="left" w:pos="4170"/>
        </w:tabs>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日期:    年  月  日</w:t>
      </w:r>
      <w:r>
        <w:rPr>
          <w:rFonts w:hint="eastAsia" w:ascii="仿宋_GB2312" w:hAnsi="仿宋_GB2312" w:eastAsia="仿宋_GB2312" w:cs="仿宋_GB2312"/>
          <w:bCs/>
          <w:color w:val="auto"/>
          <w:sz w:val="28"/>
          <w:szCs w:val="28"/>
          <w:highlight w:val="none"/>
        </w:rPr>
        <w:tab/>
      </w:r>
      <w:r>
        <w:rPr>
          <w:rFonts w:hint="eastAsia" w:ascii="仿宋_GB2312" w:hAnsi="仿宋_GB2312" w:eastAsia="仿宋_GB2312" w:cs="仿宋_GB2312"/>
          <w:bCs/>
          <w:color w:val="auto"/>
          <w:sz w:val="28"/>
          <w:szCs w:val="28"/>
          <w:highlight w:val="none"/>
        </w:rPr>
        <w:t>日期：  年  月  日</w:t>
      </w:r>
    </w:p>
    <w:p>
      <w:pPr>
        <w:spacing w:line="360" w:lineRule="auto"/>
        <w:ind w:firstLine="560" w:firstLineChars="200"/>
        <w:rPr>
          <w:rFonts w:ascii="仿宋_GB2312" w:hAnsi="仿宋_GB2312" w:eastAsia="仿宋_GB2312" w:cs="仿宋_GB2312"/>
          <w:bCs/>
          <w:color w:val="auto"/>
          <w:sz w:val="28"/>
          <w:szCs w:val="28"/>
          <w:highlight w:val="none"/>
        </w:rPr>
      </w:pPr>
    </w:p>
    <w:p>
      <w:pPr>
        <w:spacing w:line="360" w:lineRule="auto"/>
        <w:ind w:firstLine="560" w:firstLineChars="200"/>
        <w:rPr>
          <w:rFonts w:ascii="仿宋_GB2312" w:hAnsi="仿宋_GB2312" w:eastAsia="仿宋_GB2312" w:cs="仿宋_GB2312"/>
          <w:bCs/>
          <w:color w:val="auto"/>
          <w:sz w:val="28"/>
          <w:szCs w:val="28"/>
          <w:highlight w:val="none"/>
        </w:rPr>
      </w:pPr>
    </w:p>
    <w:p>
      <w:pPr>
        <w:spacing w:line="360" w:lineRule="auto"/>
        <w:rPr>
          <w:rFonts w:ascii="仿宋_GB2312" w:hAnsi="仿宋_GB2312" w:eastAsia="仿宋_GB2312" w:cs="仿宋_GB2312"/>
          <w:bCs/>
          <w:color w:val="auto"/>
          <w:sz w:val="28"/>
          <w:szCs w:val="28"/>
          <w:highlight w:val="none"/>
        </w:rPr>
      </w:pPr>
    </w:p>
    <w:p>
      <w:pPr>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t>附件</w:t>
      </w: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rPr>
        <w:t>：安全管理协议书</w:t>
      </w:r>
    </w:p>
    <w:p>
      <w:pPr>
        <w:spacing w:line="360" w:lineRule="auto"/>
        <w:jc w:val="center"/>
        <w:rPr>
          <w:rFonts w:ascii="宋体" w:hAnsi="宋体" w:eastAsia="宋体" w:cs="宋体"/>
          <w:b/>
          <w:bCs/>
          <w:color w:val="auto"/>
          <w:sz w:val="24"/>
          <w:szCs w:val="24"/>
          <w:highlight w:val="none"/>
        </w:rPr>
      </w:pPr>
    </w:p>
    <w:p>
      <w:pPr>
        <w:spacing w:line="560" w:lineRule="exact"/>
        <w:jc w:val="center"/>
        <w:rPr>
          <w:rFonts w:ascii="黑体" w:hAnsi="Batang" w:eastAsia="黑体" w:cs="Batang"/>
          <w:bCs/>
          <w:color w:val="auto"/>
          <w:kern w:val="0"/>
          <w:sz w:val="44"/>
          <w:szCs w:val="44"/>
          <w:highlight w:val="none"/>
        </w:rPr>
      </w:pPr>
      <w:r>
        <w:rPr>
          <w:rFonts w:hint="eastAsia" w:ascii="黑体" w:hAnsi="Batang" w:eastAsia="黑体" w:cs="Batang"/>
          <w:bCs/>
          <w:color w:val="auto"/>
          <w:kern w:val="0"/>
          <w:sz w:val="44"/>
          <w:szCs w:val="44"/>
          <w:highlight w:val="none"/>
        </w:rPr>
        <w:t>营运场所施工安全协议书</w:t>
      </w:r>
    </w:p>
    <w:p>
      <w:pPr>
        <w:spacing w:line="560" w:lineRule="exact"/>
        <w:rPr>
          <w:rFonts w:ascii="仿宋_GB2312" w:hAnsi="宋体" w:eastAsia="仿宋_GB2312" w:cs="Times New Roman"/>
          <w:color w:val="auto"/>
          <w:sz w:val="24"/>
          <w:szCs w:val="24"/>
          <w:highlight w:val="none"/>
        </w:rPr>
      </w:pPr>
    </w:p>
    <w:p>
      <w:pPr>
        <w:spacing w:line="560" w:lineRule="exact"/>
        <w:rPr>
          <w:rFonts w:ascii="宋体" w:hAnsi="宋体" w:eastAsia="宋体" w:cs="Arial"/>
          <w:color w:val="auto"/>
          <w:kern w:val="0"/>
          <w:sz w:val="24"/>
          <w:szCs w:val="24"/>
          <w:highlight w:val="none"/>
        </w:rPr>
      </w:pPr>
      <w:r>
        <w:rPr>
          <w:rFonts w:hint="eastAsia" w:ascii="宋体" w:hAnsi="宋体" w:eastAsia="宋体" w:cs="Arial"/>
          <w:color w:val="auto"/>
          <w:kern w:val="0"/>
          <w:sz w:val="24"/>
          <w:szCs w:val="24"/>
          <w:highlight w:val="none"/>
        </w:rPr>
        <w:t>甲方：</w:t>
      </w:r>
      <w:r>
        <w:rPr>
          <w:rFonts w:hint="eastAsia" w:ascii="Times New Roman" w:hAnsi="Times New Roman" w:eastAsia="宋体" w:cs="Times New Roman"/>
          <w:color w:val="auto"/>
          <w:sz w:val="24"/>
          <w:szCs w:val="24"/>
          <w:highlight w:val="none"/>
        </w:rPr>
        <w:t>广州市净水有限公司</w:t>
      </w:r>
    </w:p>
    <w:p>
      <w:pPr>
        <w:spacing w:line="560" w:lineRule="exact"/>
        <w:rPr>
          <w:rFonts w:ascii="宋体" w:hAnsi="宋体" w:eastAsia="宋体" w:cs="Arial"/>
          <w:color w:val="auto"/>
          <w:kern w:val="0"/>
          <w:sz w:val="24"/>
          <w:szCs w:val="24"/>
          <w:highlight w:val="none"/>
        </w:rPr>
      </w:pPr>
      <w:r>
        <w:rPr>
          <w:rFonts w:hint="eastAsia" w:ascii="宋体" w:hAnsi="宋体" w:eastAsia="宋体" w:cs="Arial"/>
          <w:color w:val="auto"/>
          <w:kern w:val="0"/>
          <w:sz w:val="24"/>
          <w:szCs w:val="24"/>
          <w:highlight w:val="none"/>
        </w:rPr>
        <w:t xml:space="preserve">乙方： </w:t>
      </w:r>
    </w:p>
    <w:p>
      <w:pPr>
        <w:adjustRightInd w:val="0"/>
        <w:snapToGrid w:val="0"/>
        <w:spacing w:line="560" w:lineRule="exact"/>
        <w:jc w:val="left"/>
        <w:rPr>
          <w:rFonts w:cs="Times New Roman" w:asciiTheme="minorEastAsia" w:hAnsiTheme="minorEastAsia"/>
          <w:bCs/>
          <w:color w:val="auto"/>
          <w:sz w:val="24"/>
          <w:szCs w:val="24"/>
          <w:highlight w:val="none"/>
          <w:u w:val="single"/>
        </w:rPr>
      </w:pP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cs="Times New Roman" w:asciiTheme="minorEastAsia" w:hAnsiTheme="minorEastAsia"/>
          <w:b/>
          <w:color w:val="auto"/>
          <w:sz w:val="24"/>
          <w:szCs w:val="24"/>
          <w:highlight w:val="none"/>
        </w:rPr>
      </w:pPr>
      <w:r>
        <w:rPr>
          <w:rFonts w:hint="eastAsia" w:cs="Times New Roman" w:asciiTheme="minorEastAsia" w:hAnsiTheme="minorEastAsia"/>
          <w:b/>
          <w:color w:val="auto"/>
          <w:sz w:val="24"/>
          <w:szCs w:val="24"/>
          <w:highlight w:val="none"/>
        </w:rPr>
        <w:t>一、本协议与主合同的关系</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本协议作为</w:t>
      </w:r>
      <w:r>
        <w:rPr>
          <w:rFonts w:hint="eastAsia" w:cs="Times New Roman" w:asciiTheme="minorEastAsia" w:hAnsiTheme="minorEastAsia"/>
          <w:color w:val="auto"/>
          <w:sz w:val="24"/>
          <w:szCs w:val="24"/>
          <w:highlight w:val="none"/>
          <w:u w:val="single"/>
        </w:rPr>
        <w:t xml:space="preserve">                          </w:t>
      </w:r>
      <w:r>
        <w:rPr>
          <w:rFonts w:hint="eastAsia" w:cs="Times New Roman" w:asciiTheme="minorEastAsia" w:hAnsiTheme="minorEastAsia"/>
          <w:color w:val="auto"/>
          <w:sz w:val="24"/>
          <w:szCs w:val="24"/>
          <w:highlight w:val="none"/>
        </w:rPr>
        <w:t>的组成部分，与主合同具有同等法律效力。</w:t>
      </w:r>
    </w:p>
    <w:p>
      <w:pPr>
        <w:adjustRightInd w:val="0"/>
        <w:snapToGrid w:val="0"/>
        <w:spacing w:line="560" w:lineRule="exact"/>
        <w:ind w:firstLine="482" w:firstLineChars="200"/>
        <w:jc w:val="left"/>
        <w:rPr>
          <w:rFonts w:cs="Times New Roman" w:asciiTheme="minorEastAsia" w:hAnsiTheme="minorEastAsia"/>
          <w:b/>
          <w:color w:val="auto"/>
          <w:sz w:val="24"/>
          <w:szCs w:val="24"/>
          <w:highlight w:val="none"/>
        </w:rPr>
      </w:pPr>
      <w:r>
        <w:rPr>
          <w:rFonts w:cs="Times New Roman" w:asciiTheme="minorEastAsia" w:hAnsiTheme="minorEastAsia"/>
          <w:b/>
          <w:color w:val="auto"/>
          <w:sz w:val="24"/>
          <w:szCs w:val="24"/>
          <w:highlight w:val="none"/>
        </w:rPr>
        <w:t xml:space="preserve"> 二、</w:t>
      </w:r>
      <w:r>
        <w:rPr>
          <w:rFonts w:hint="eastAsia" w:cs="Times New Roman" w:asciiTheme="minorEastAsia" w:hAnsiTheme="minorEastAsia"/>
          <w:b/>
          <w:color w:val="auto"/>
          <w:sz w:val="24"/>
          <w:szCs w:val="24"/>
          <w:highlight w:val="none"/>
        </w:rPr>
        <w:t>甲方权责</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（二）落实生产营运等相关配合措施，提供必要的施工条件。</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（三）要求乙方遵守的甲方安全管理要求。</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cs="Times New Roman" w:asciiTheme="minorEastAsia" w:hAnsiTheme="minorEastAsia"/>
          <w:color w:val="auto"/>
          <w:sz w:val="24"/>
          <w:szCs w:val="24"/>
          <w:highlight w:val="none"/>
        </w:rPr>
        <w:t>1.</w:t>
      </w:r>
      <w:r>
        <w:rPr>
          <w:rFonts w:hint="eastAsia" w:cs="Times New Roman" w:asciiTheme="minorEastAsia" w:hAnsiTheme="minorEastAsia"/>
          <w:color w:val="auto"/>
          <w:sz w:val="24"/>
          <w:szCs w:val="24"/>
          <w:highlight w:val="none"/>
        </w:rPr>
        <w:t>按主合同相关条款进行经济扣罚；</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cs="Times New Roman" w:asciiTheme="minorEastAsia" w:hAnsiTheme="minorEastAsia"/>
          <w:color w:val="auto"/>
          <w:sz w:val="24"/>
          <w:szCs w:val="24"/>
          <w:highlight w:val="none"/>
        </w:rPr>
        <w:t>2.</w:t>
      </w:r>
      <w:r>
        <w:rPr>
          <w:rFonts w:hint="eastAsia" w:cs="Times New Roman" w:asciiTheme="minorEastAsia" w:hAnsiTheme="minorEastAsia"/>
          <w:color w:val="auto"/>
          <w:sz w:val="24"/>
          <w:szCs w:val="24"/>
          <w:highlight w:val="none"/>
        </w:rPr>
        <w:t>根据《广州市水务局关于印发广州市水务工程施工和监理企业诚信评价管理办法的通知》（穗水建设〔2</w:t>
      </w:r>
      <w:r>
        <w:rPr>
          <w:rFonts w:cs="Times New Roman" w:asciiTheme="minorEastAsia" w:hAnsiTheme="minorEastAsia"/>
          <w:color w:val="auto"/>
          <w:sz w:val="24"/>
          <w:szCs w:val="24"/>
          <w:highlight w:val="none"/>
        </w:rPr>
        <w:t>014</w:t>
      </w:r>
      <w:r>
        <w:rPr>
          <w:rFonts w:hint="eastAsia" w:cs="Times New Roman" w:asciiTheme="minorEastAsia" w:hAnsiTheme="minorEastAsia"/>
          <w:color w:val="auto"/>
          <w:sz w:val="24"/>
          <w:szCs w:val="24"/>
          <w:highlight w:val="none"/>
        </w:rPr>
        <w:t>〕1</w:t>
      </w:r>
      <w:r>
        <w:rPr>
          <w:rFonts w:cs="Times New Roman" w:asciiTheme="minorEastAsia" w:hAnsiTheme="minorEastAsia"/>
          <w:color w:val="auto"/>
          <w:sz w:val="24"/>
          <w:szCs w:val="24"/>
          <w:highlight w:val="none"/>
        </w:rPr>
        <w:t>0</w:t>
      </w:r>
      <w:r>
        <w:rPr>
          <w:rFonts w:hint="eastAsia" w:cs="Times New Roman" w:asciiTheme="minorEastAsia" w:hAnsiTheme="minorEastAsia"/>
          <w:color w:val="auto"/>
          <w:sz w:val="24"/>
          <w:szCs w:val="24"/>
          <w:highlight w:val="none"/>
        </w:rPr>
        <w:t>号）、《市净水公司关于印发施工和监理企业诚信评价工作实施办法的通知》（穗净水〔201</w:t>
      </w:r>
      <w:r>
        <w:rPr>
          <w:rFonts w:cs="Times New Roman" w:asciiTheme="minorEastAsia" w:hAnsiTheme="minorEastAsia"/>
          <w:color w:val="auto"/>
          <w:sz w:val="24"/>
          <w:szCs w:val="24"/>
          <w:highlight w:val="none"/>
        </w:rPr>
        <w:t>5</w:t>
      </w:r>
      <w:r>
        <w:rPr>
          <w:rFonts w:hint="eastAsia" w:cs="Times New Roman" w:asciiTheme="minorEastAsia" w:hAnsiTheme="minorEastAsia"/>
          <w:color w:val="auto"/>
          <w:sz w:val="24"/>
          <w:szCs w:val="24"/>
          <w:highlight w:val="none"/>
        </w:rPr>
        <w:t>〕2</w:t>
      </w:r>
      <w:r>
        <w:rPr>
          <w:rFonts w:cs="Times New Roman" w:asciiTheme="minorEastAsia" w:hAnsiTheme="minorEastAsia"/>
          <w:color w:val="auto"/>
          <w:sz w:val="24"/>
          <w:szCs w:val="24"/>
          <w:highlight w:val="none"/>
        </w:rPr>
        <w:t>40</w:t>
      </w:r>
      <w:r>
        <w:rPr>
          <w:rFonts w:hint="eastAsia" w:cs="Times New Roman" w:asciiTheme="minorEastAsia" w:hAnsiTheme="minorEastAsia"/>
          <w:color w:val="auto"/>
          <w:sz w:val="24"/>
          <w:szCs w:val="24"/>
          <w:highlight w:val="none"/>
        </w:rPr>
        <w:t>号），进行诚信扣分（合同期内有新的文件印发的，按照最新的文件执行）；</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3</w:t>
      </w:r>
      <w:r>
        <w:rPr>
          <w:rFonts w:cs="Times New Roman" w:asciiTheme="minorEastAsia" w:hAnsiTheme="minorEastAsia"/>
          <w:color w:val="auto"/>
          <w:sz w:val="24"/>
          <w:szCs w:val="24"/>
          <w:highlight w:val="none"/>
        </w:rPr>
        <w:t>.</w:t>
      </w:r>
      <w:r>
        <w:rPr>
          <w:rFonts w:hint="eastAsia" w:cs="Times New Roman" w:asciiTheme="minorEastAsia" w:hAnsiTheme="minorEastAsia"/>
          <w:color w:val="auto"/>
          <w:sz w:val="24"/>
          <w:szCs w:val="24"/>
          <w:highlight w:val="none"/>
        </w:rPr>
        <w:t>限制投保，或经其他单位承包后以分别方参与项目实施；</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cs="Times New Roman" w:asciiTheme="minorEastAsia" w:hAnsiTheme="minorEastAsia"/>
          <w:color w:val="auto"/>
          <w:sz w:val="24"/>
          <w:szCs w:val="24"/>
          <w:highlight w:val="none"/>
        </w:rPr>
        <w:t>4.</w:t>
      </w:r>
      <w:r>
        <w:rPr>
          <w:rFonts w:hint="eastAsia" w:cs="Times New Roman" w:asciiTheme="minorEastAsia" w:hAnsiTheme="minorEastAsia"/>
          <w:color w:val="auto"/>
          <w:sz w:val="24"/>
          <w:szCs w:val="24"/>
          <w:highlight w:val="none"/>
        </w:rPr>
        <w:t>向上级进行反映，包括但不限于广东省市政行业协会、广州市市政公路协会等。</w:t>
      </w:r>
    </w:p>
    <w:p>
      <w:pPr>
        <w:spacing w:line="560" w:lineRule="exact"/>
        <w:ind w:firstLine="480" w:firstLineChars="200"/>
        <w:rPr>
          <w:rFonts w:ascii="宋体" w:hAnsi="宋体" w:eastAsia="宋体" w:cs="Arial"/>
          <w:color w:val="auto"/>
          <w:kern w:val="0"/>
          <w:sz w:val="24"/>
          <w:szCs w:val="24"/>
          <w:highlight w:val="none"/>
        </w:rPr>
      </w:pPr>
      <w:r>
        <w:rPr>
          <w:rFonts w:hint="eastAsia" w:ascii="宋体" w:hAnsi="宋体" w:eastAsia="宋体" w:cs="Arial"/>
          <w:color w:val="auto"/>
          <w:kern w:val="0"/>
          <w:sz w:val="24"/>
          <w:szCs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cs="Times New Roman" w:asciiTheme="minorEastAsia" w:hAnsiTheme="minorEastAsia"/>
          <w:b/>
          <w:color w:val="auto"/>
          <w:sz w:val="24"/>
          <w:szCs w:val="24"/>
          <w:highlight w:val="none"/>
        </w:rPr>
      </w:pPr>
      <w:r>
        <w:rPr>
          <w:rFonts w:hint="eastAsia" w:cs="Times New Roman" w:asciiTheme="minorEastAsia" w:hAnsiTheme="minorEastAsia"/>
          <w:b/>
          <w:color w:val="auto"/>
          <w:sz w:val="24"/>
          <w:szCs w:val="24"/>
          <w:highlight w:val="none"/>
        </w:rPr>
        <w:t>三、乙方权责</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（三）乙方应在合同签订后</w:t>
      </w:r>
      <w:r>
        <w:rPr>
          <w:rFonts w:cs="Times New Roman" w:asciiTheme="minorEastAsia" w:hAnsiTheme="minorEastAsia"/>
          <w:color w:val="auto"/>
          <w:sz w:val="24"/>
          <w:szCs w:val="24"/>
          <w:highlight w:val="none"/>
          <w:u w:val="single"/>
        </w:rPr>
        <w:t xml:space="preserve"> </w:t>
      </w:r>
      <w:r>
        <w:rPr>
          <w:rFonts w:hint="eastAsia" w:cs="Times New Roman" w:asciiTheme="minorEastAsia" w:hAnsiTheme="minorEastAsia"/>
          <w:color w:val="auto"/>
          <w:sz w:val="24"/>
          <w:szCs w:val="24"/>
          <w:highlight w:val="none"/>
          <w:u w:val="single"/>
          <w:lang w:val="en-US" w:eastAsia="zh-CN"/>
        </w:rPr>
        <w:t>7</w:t>
      </w:r>
      <w:r>
        <w:rPr>
          <w:rFonts w:cs="Times New Roman" w:asciiTheme="minorEastAsia" w:hAnsiTheme="minorEastAsia"/>
          <w:color w:val="auto"/>
          <w:sz w:val="24"/>
          <w:szCs w:val="24"/>
          <w:highlight w:val="none"/>
          <w:u w:val="single"/>
        </w:rPr>
        <w:t xml:space="preserve"> </w:t>
      </w:r>
      <w:r>
        <w:rPr>
          <w:rFonts w:hint="eastAsia" w:cs="Times New Roman" w:asciiTheme="minorEastAsia" w:hAnsiTheme="minorEastAsia"/>
          <w:color w:val="auto"/>
          <w:sz w:val="24"/>
          <w:szCs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配合甲方的安全监督检查，并立即对提出的问题隐患进行整改。</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（八）严格履行本协议，遵守甲方各项管理规定，服从管理。</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（十）乙方委托的第三方运输单位或个人，违反本协议的，全部责任均由乙方承担。</w:t>
      </w:r>
    </w:p>
    <w:p>
      <w:pPr>
        <w:adjustRightInd w:val="0"/>
        <w:snapToGrid w:val="0"/>
        <w:spacing w:line="560" w:lineRule="exact"/>
        <w:ind w:firstLine="482" w:firstLineChars="200"/>
        <w:jc w:val="left"/>
        <w:rPr>
          <w:rFonts w:cs="Times New Roman" w:asciiTheme="minorEastAsia" w:hAnsiTheme="minorEastAsia"/>
          <w:b/>
          <w:color w:val="auto"/>
          <w:sz w:val="24"/>
          <w:szCs w:val="24"/>
          <w:highlight w:val="none"/>
        </w:rPr>
      </w:pPr>
      <w:r>
        <w:rPr>
          <w:rFonts w:hint="eastAsia" w:cs="Times New Roman" w:asciiTheme="minorEastAsia" w:hAnsiTheme="minorEastAsia"/>
          <w:b/>
          <w:color w:val="auto"/>
          <w:sz w:val="24"/>
          <w:szCs w:val="24"/>
          <w:highlight w:val="none"/>
        </w:rPr>
        <w:t>四、事故责任</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2" w:firstLineChars="200"/>
        <w:rPr>
          <w:rFonts w:cs="Times New Roman" w:asciiTheme="minorEastAsia" w:hAnsiTheme="minorEastAsia"/>
          <w:color w:val="auto"/>
          <w:sz w:val="24"/>
          <w:szCs w:val="24"/>
          <w:highlight w:val="none"/>
        </w:rPr>
      </w:pPr>
      <w:r>
        <w:rPr>
          <w:rFonts w:hint="eastAsia" w:cs="Times New Roman" w:asciiTheme="minorEastAsia" w:hAnsiTheme="minorEastAsia"/>
          <w:b/>
          <w:color w:val="auto"/>
          <w:sz w:val="24"/>
          <w:szCs w:val="24"/>
          <w:highlight w:val="none"/>
        </w:rPr>
        <w:t>五、补充条款：</w:t>
      </w:r>
      <w:r>
        <w:rPr>
          <w:rFonts w:cs="Times New Roman" w:asciiTheme="minorEastAsia" w:hAnsiTheme="minorEastAsia"/>
          <w:color w:val="auto"/>
          <w:sz w:val="24"/>
          <w:szCs w:val="24"/>
          <w:highlight w:val="none"/>
          <w:u w:val="single"/>
        </w:rPr>
        <w:t xml:space="preserve">       </w:t>
      </w:r>
      <w:r>
        <w:rPr>
          <w:rFonts w:hint="eastAsia" w:cs="Times New Roman" w:asciiTheme="minorEastAsia" w:hAnsiTheme="minorEastAsia"/>
          <w:color w:val="auto"/>
          <w:sz w:val="24"/>
          <w:szCs w:val="24"/>
          <w:highlight w:val="none"/>
          <w:u w:val="single"/>
          <w:lang w:val="en-US" w:eastAsia="zh-CN"/>
        </w:rPr>
        <w:t>/</w:t>
      </w:r>
      <w:r>
        <w:rPr>
          <w:rFonts w:cs="Times New Roman" w:asciiTheme="minorEastAsia" w:hAnsiTheme="minorEastAsia"/>
          <w:color w:val="auto"/>
          <w:sz w:val="24"/>
          <w:szCs w:val="24"/>
          <w:highlight w:val="none"/>
          <w:u w:val="single"/>
        </w:rPr>
        <w:t xml:space="preserve">          </w:t>
      </w:r>
      <w:r>
        <w:rPr>
          <w:rFonts w:hint="eastAsia" w:cs="Times New Roman" w:asciiTheme="minorEastAsia" w:hAnsiTheme="minorEastAsia"/>
          <w:color w:val="auto"/>
          <w:sz w:val="24"/>
          <w:szCs w:val="24"/>
          <w:highlight w:val="none"/>
        </w:rPr>
        <w:t>。</w:t>
      </w:r>
    </w:p>
    <w:p>
      <w:pPr>
        <w:adjustRightInd w:val="0"/>
        <w:snapToGrid w:val="0"/>
        <w:spacing w:line="560" w:lineRule="exact"/>
        <w:ind w:firstLine="482" w:firstLineChars="200"/>
        <w:jc w:val="left"/>
        <w:rPr>
          <w:rFonts w:cs="Times New Roman" w:asciiTheme="minorEastAsia" w:hAnsiTheme="minorEastAsia"/>
          <w:b/>
          <w:color w:val="auto"/>
          <w:sz w:val="24"/>
          <w:szCs w:val="24"/>
          <w:highlight w:val="none"/>
        </w:rPr>
      </w:pPr>
      <w:r>
        <w:rPr>
          <w:rFonts w:hint="eastAsia" w:cs="Times New Roman" w:asciiTheme="minorEastAsia" w:hAnsiTheme="minorEastAsia"/>
          <w:b/>
          <w:color w:val="auto"/>
          <w:sz w:val="24"/>
          <w:szCs w:val="24"/>
          <w:highlight w:val="none"/>
        </w:rPr>
        <w:t>六、附则</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cs="Times New Roman" w:hAnsiTheme="minorEastAsia"/>
          <w:color w:val="auto"/>
          <w:sz w:val="24"/>
          <w:szCs w:val="24"/>
          <w:highlight w:val="none"/>
        </w:rPr>
      </w:pPr>
    </w:p>
    <w:tbl>
      <w:tblPr>
        <w:tblStyle w:val="5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eastAsia="宋体" w:cs="Times New Roman" w:asciiTheme="minorEastAsia" w:hAnsiTheme="minorEastAsia"/>
                <w:color w:val="auto"/>
                <w:sz w:val="24"/>
                <w:szCs w:val="24"/>
                <w:highlight w:val="none"/>
              </w:rPr>
            </w:pPr>
            <w:r>
              <w:rPr>
                <w:rFonts w:hint="eastAsia" w:eastAsia="宋体" w:cs="Times New Roman" w:asciiTheme="minorEastAsia" w:hAnsiTheme="minorEastAsia"/>
                <w:color w:val="auto"/>
                <w:sz w:val="24"/>
                <w:szCs w:val="24"/>
                <w:highlight w:val="none"/>
              </w:rPr>
              <w:t>甲方：</w:t>
            </w:r>
          </w:p>
          <w:p>
            <w:pPr>
              <w:adjustRightInd w:val="0"/>
              <w:snapToGrid w:val="0"/>
              <w:spacing w:line="560" w:lineRule="exact"/>
              <w:rPr>
                <w:rFonts w:eastAsia="宋体" w:cs="Times New Roman" w:asciiTheme="minorEastAsia" w:hAnsiTheme="minorEastAsia"/>
                <w:color w:val="auto"/>
                <w:sz w:val="24"/>
                <w:szCs w:val="24"/>
                <w:highlight w:val="none"/>
              </w:rPr>
            </w:pPr>
            <w:r>
              <w:rPr>
                <w:rFonts w:hint="eastAsia" w:eastAsia="宋体" w:cs="Times New Roman" w:asciiTheme="minorEastAsia" w:hAnsiTheme="minorEastAsia"/>
                <w:color w:val="auto"/>
                <w:sz w:val="24"/>
                <w:szCs w:val="24"/>
                <w:highlight w:val="none"/>
              </w:rPr>
              <w:t>签约代表：</w:t>
            </w:r>
          </w:p>
          <w:p>
            <w:pPr>
              <w:adjustRightInd w:val="0"/>
              <w:snapToGrid w:val="0"/>
              <w:spacing w:line="560" w:lineRule="exact"/>
              <w:rPr>
                <w:rFonts w:eastAsia="宋体" w:cs="Times New Roman" w:asciiTheme="minorEastAsia" w:hAnsiTheme="minorEastAsia"/>
                <w:color w:val="auto"/>
                <w:sz w:val="24"/>
                <w:szCs w:val="24"/>
                <w:highlight w:val="none"/>
              </w:rPr>
            </w:pPr>
            <w:r>
              <w:rPr>
                <w:rFonts w:hint="eastAsia" w:eastAsia="宋体" w:cs="Times New Roman" w:asciiTheme="minorEastAsia" w:hAnsiTheme="minorEastAsia"/>
                <w:color w:val="auto"/>
                <w:sz w:val="24"/>
                <w:szCs w:val="24"/>
                <w:highlight w:val="none"/>
              </w:rPr>
              <w:t>联系电话：</w:t>
            </w:r>
          </w:p>
          <w:p>
            <w:pPr>
              <w:adjustRightInd w:val="0"/>
              <w:snapToGrid w:val="0"/>
              <w:spacing w:line="560" w:lineRule="exact"/>
              <w:ind w:firstLine="240" w:firstLineChars="100"/>
              <w:jc w:val="right"/>
              <w:rPr>
                <w:rFonts w:eastAsia="宋体" w:cs="Times New Roman" w:asciiTheme="minorEastAsia" w:hAnsiTheme="minorEastAsia"/>
                <w:color w:val="auto"/>
                <w:sz w:val="24"/>
                <w:szCs w:val="24"/>
                <w:highlight w:val="none"/>
              </w:rPr>
            </w:pPr>
            <w:r>
              <w:rPr>
                <w:rFonts w:hint="eastAsia" w:eastAsia="宋体" w:cs="Times New Roman" w:asciiTheme="minorEastAsia" w:hAnsiTheme="minorEastAsia"/>
                <w:color w:val="auto"/>
                <w:sz w:val="24"/>
                <w:szCs w:val="24"/>
                <w:highlight w:val="none"/>
              </w:rPr>
              <w:t>年</w:t>
            </w:r>
            <w:r>
              <w:rPr>
                <w:rFonts w:eastAsia="宋体" w:cs="Times New Roman" w:asciiTheme="minorEastAsia" w:hAnsiTheme="minorEastAsia"/>
                <w:color w:val="auto"/>
                <w:sz w:val="24"/>
                <w:szCs w:val="24"/>
                <w:highlight w:val="none"/>
              </w:rPr>
              <w:t xml:space="preserve">    </w:t>
            </w:r>
            <w:r>
              <w:rPr>
                <w:rFonts w:hint="eastAsia" w:eastAsia="宋体" w:cs="Times New Roman" w:asciiTheme="minorEastAsia" w:hAnsiTheme="minorEastAsia"/>
                <w:color w:val="auto"/>
                <w:sz w:val="24"/>
                <w:szCs w:val="24"/>
                <w:highlight w:val="none"/>
              </w:rPr>
              <w:t>月</w:t>
            </w:r>
            <w:r>
              <w:rPr>
                <w:rFonts w:eastAsia="宋体" w:cs="Times New Roman" w:asciiTheme="minorEastAsia" w:hAnsiTheme="minorEastAsia"/>
                <w:color w:val="auto"/>
                <w:sz w:val="24"/>
                <w:szCs w:val="24"/>
                <w:highlight w:val="none"/>
              </w:rPr>
              <w:t xml:space="preserve">    </w:t>
            </w:r>
            <w:r>
              <w:rPr>
                <w:rFonts w:hint="eastAsia" w:eastAsia="宋体" w:cs="Times New Roman" w:asciiTheme="minorEastAsia" w:hAnsiTheme="minorEastAsia"/>
                <w:color w:val="auto"/>
                <w:sz w:val="24"/>
                <w:szCs w:val="24"/>
                <w:highlight w:val="none"/>
              </w:rPr>
              <w:t>日</w:t>
            </w:r>
          </w:p>
        </w:tc>
        <w:tc>
          <w:tcPr>
            <w:tcW w:w="4474" w:type="dxa"/>
          </w:tcPr>
          <w:p>
            <w:pPr>
              <w:adjustRightInd w:val="0"/>
              <w:snapToGrid w:val="0"/>
              <w:spacing w:line="560" w:lineRule="exact"/>
              <w:rPr>
                <w:rFonts w:eastAsia="宋体" w:cs="Times New Roman" w:asciiTheme="minorEastAsia" w:hAnsiTheme="minorEastAsia"/>
                <w:color w:val="auto"/>
                <w:sz w:val="24"/>
                <w:szCs w:val="24"/>
                <w:highlight w:val="none"/>
              </w:rPr>
            </w:pPr>
            <w:r>
              <w:rPr>
                <w:rFonts w:hint="eastAsia" w:eastAsia="宋体" w:cs="Times New Roman" w:asciiTheme="minorEastAsia" w:hAnsiTheme="minorEastAsia"/>
                <w:color w:val="auto"/>
                <w:sz w:val="24"/>
                <w:szCs w:val="24"/>
                <w:highlight w:val="none"/>
              </w:rPr>
              <w:t>乙方：</w:t>
            </w:r>
          </w:p>
          <w:p>
            <w:pPr>
              <w:adjustRightInd w:val="0"/>
              <w:snapToGrid w:val="0"/>
              <w:spacing w:line="560" w:lineRule="exact"/>
              <w:rPr>
                <w:rFonts w:eastAsia="宋体" w:cs="Times New Roman" w:asciiTheme="minorEastAsia" w:hAnsiTheme="minorEastAsia"/>
                <w:color w:val="auto"/>
                <w:sz w:val="24"/>
                <w:szCs w:val="24"/>
                <w:highlight w:val="none"/>
              </w:rPr>
            </w:pPr>
            <w:r>
              <w:rPr>
                <w:rFonts w:hint="eastAsia" w:eastAsia="宋体" w:cs="Times New Roman" w:asciiTheme="minorEastAsia" w:hAnsiTheme="minorEastAsia"/>
                <w:color w:val="auto"/>
                <w:sz w:val="24"/>
                <w:szCs w:val="24"/>
                <w:highlight w:val="none"/>
              </w:rPr>
              <w:t>签约代表：</w:t>
            </w:r>
          </w:p>
          <w:p>
            <w:pPr>
              <w:adjustRightInd w:val="0"/>
              <w:snapToGrid w:val="0"/>
              <w:spacing w:line="560" w:lineRule="exact"/>
              <w:rPr>
                <w:rFonts w:eastAsia="宋体" w:cs="Times New Roman" w:asciiTheme="minorEastAsia" w:hAnsiTheme="minorEastAsia"/>
                <w:color w:val="auto"/>
                <w:sz w:val="24"/>
                <w:szCs w:val="24"/>
                <w:highlight w:val="none"/>
              </w:rPr>
            </w:pPr>
            <w:r>
              <w:rPr>
                <w:rFonts w:hint="eastAsia" w:eastAsia="宋体" w:cs="Times New Roman" w:asciiTheme="minorEastAsia" w:hAnsiTheme="minorEastAsia"/>
                <w:color w:val="auto"/>
                <w:sz w:val="24"/>
                <w:szCs w:val="24"/>
                <w:highlight w:val="none"/>
              </w:rPr>
              <w:t>联系电话：</w:t>
            </w:r>
          </w:p>
          <w:p>
            <w:pPr>
              <w:adjustRightInd w:val="0"/>
              <w:snapToGrid w:val="0"/>
              <w:spacing w:line="560" w:lineRule="exact"/>
              <w:jc w:val="right"/>
              <w:rPr>
                <w:rFonts w:eastAsia="宋体" w:cs="Times New Roman" w:asciiTheme="minorEastAsia" w:hAnsiTheme="minorEastAsia"/>
                <w:color w:val="auto"/>
                <w:sz w:val="24"/>
                <w:szCs w:val="24"/>
                <w:highlight w:val="none"/>
              </w:rPr>
            </w:pPr>
            <w:r>
              <w:rPr>
                <w:rFonts w:hint="eastAsia" w:eastAsia="宋体" w:cs="Times New Roman" w:asciiTheme="minorEastAsia" w:hAnsiTheme="minorEastAsia"/>
                <w:color w:val="auto"/>
                <w:sz w:val="24"/>
                <w:szCs w:val="24"/>
                <w:highlight w:val="none"/>
              </w:rPr>
              <w:t>年</w:t>
            </w:r>
            <w:r>
              <w:rPr>
                <w:rFonts w:eastAsia="宋体" w:cs="Times New Roman" w:asciiTheme="minorEastAsia" w:hAnsiTheme="minorEastAsia"/>
                <w:color w:val="auto"/>
                <w:sz w:val="24"/>
                <w:szCs w:val="24"/>
                <w:highlight w:val="none"/>
              </w:rPr>
              <w:t xml:space="preserve">    </w:t>
            </w:r>
            <w:r>
              <w:rPr>
                <w:rFonts w:hint="eastAsia" w:eastAsia="宋体" w:cs="Times New Roman" w:asciiTheme="minorEastAsia" w:hAnsiTheme="minorEastAsia"/>
                <w:color w:val="auto"/>
                <w:sz w:val="24"/>
                <w:szCs w:val="24"/>
                <w:highlight w:val="none"/>
              </w:rPr>
              <w:t>月</w:t>
            </w:r>
            <w:r>
              <w:rPr>
                <w:rFonts w:eastAsia="宋体" w:cs="Times New Roman" w:asciiTheme="minorEastAsia" w:hAnsiTheme="minorEastAsia"/>
                <w:color w:val="auto"/>
                <w:sz w:val="24"/>
                <w:szCs w:val="24"/>
                <w:highlight w:val="none"/>
              </w:rPr>
              <w:t xml:space="preserve">    </w:t>
            </w:r>
            <w:r>
              <w:rPr>
                <w:rFonts w:hint="eastAsia" w:eastAsia="宋体" w:cs="Times New Roman" w:asciiTheme="minorEastAsia" w:hAnsiTheme="minorEastAsia"/>
                <w:color w:val="auto"/>
                <w:sz w:val="24"/>
                <w:szCs w:val="24"/>
                <w:highlight w:val="none"/>
              </w:rPr>
              <w:t>日</w:t>
            </w:r>
          </w:p>
        </w:tc>
      </w:tr>
    </w:tbl>
    <w:p>
      <w:pPr>
        <w:widowControl/>
        <w:spacing w:line="560" w:lineRule="exact"/>
        <w:ind w:firstLine="1560" w:firstLineChars="650"/>
        <w:jc w:val="left"/>
        <w:rPr>
          <w:rFonts w:ascii="宋体" w:hAnsi="宋体" w:eastAsia="宋体" w:cs="宋体"/>
          <w:color w:val="auto"/>
          <w:kern w:val="0"/>
          <w:sz w:val="24"/>
          <w:szCs w:val="24"/>
          <w:highlight w:val="none"/>
        </w:rPr>
      </w:pPr>
    </w:p>
    <w:p>
      <w:pPr>
        <w:spacing w:line="360" w:lineRule="auto"/>
        <w:rPr>
          <w:rFonts w:ascii="宋体" w:hAnsi="宋体" w:eastAsia="宋体" w:cs="宋体"/>
          <w:b/>
          <w:bCs/>
          <w:color w:val="auto"/>
          <w:szCs w:val="21"/>
          <w:highlight w:val="none"/>
        </w:rPr>
      </w:pPr>
    </w:p>
    <w:p>
      <w:pPr>
        <w:widowControl/>
        <w:jc w:val="left"/>
        <w:rPr>
          <w:rFonts w:ascii="宋体" w:hAnsi="宋体" w:eastAsia="宋体" w:cs="宋体"/>
          <w:b/>
          <w:bCs/>
          <w:color w:val="auto"/>
          <w:szCs w:val="21"/>
          <w:highlight w:val="none"/>
        </w:rPr>
      </w:pPr>
      <w:r>
        <w:rPr>
          <w:rFonts w:ascii="宋体" w:hAnsi="宋体" w:eastAsia="宋体" w:cs="宋体"/>
          <w:b/>
          <w:bCs/>
          <w:color w:val="auto"/>
          <w:szCs w:val="21"/>
          <w:highlight w:val="none"/>
        </w:rPr>
        <w:br w:type="page"/>
      </w:r>
    </w:p>
    <w:p>
      <w:pPr>
        <w:spacing w:line="360" w:lineRule="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Cs w:val="21"/>
          <w:highlight w:val="none"/>
        </w:rPr>
        <w:t>附件</w:t>
      </w: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rPr>
        <w:t>：</w:t>
      </w:r>
      <w:r>
        <w:rPr>
          <w:rFonts w:hint="eastAsia" w:ascii="宋体" w:hAnsi="宋体" w:eastAsia="宋体" w:cs="宋体"/>
          <w:b/>
          <w:bCs/>
          <w:color w:val="auto"/>
          <w:sz w:val="21"/>
          <w:szCs w:val="21"/>
          <w:highlight w:val="none"/>
        </w:rPr>
        <w:t>工程量清单</w:t>
      </w:r>
    </w:p>
    <w:tbl>
      <w:tblPr>
        <w:tblStyle w:val="23"/>
        <w:tblpPr w:leftFromText="180" w:rightFromText="180" w:vertAnchor="text" w:horzAnchor="page" w:tblpX="1242" w:tblpY="638"/>
        <w:tblOverlap w:val="never"/>
        <w:tblW w:w="10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0"/>
        <w:gridCol w:w="1438"/>
        <w:gridCol w:w="1424"/>
        <w:gridCol w:w="2618"/>
        <w:gridCol w:w="497"/>
        <w:gridCol w:w="845"/>
        <w:gridCol w:w="1116"/>
        <w:gridCol w:w="1116"/>
        <w:gridCol w:w="7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43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项目编码</w:t>
            </w:r>
          </w:p>
        </w:tc>
        <w:tc>
          <w:tcPr>
            <w:tcW w:w="142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261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项目特征描述</w:t>
            </w:r>
          </w:p>
        </w:tc>
        <w:tc>
          <w:tcPr>
            <w:tcW w:w="49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计量单位</w:t>
            </w:r>
          </w:p>
        </w:tc>
        <w:tc>
          <w:tcPr>
            <w:tcW w:w="84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工程量</w:t>
            </w:r>
          </w:p>
        </w:tc>
        <w:tc>
          <w:tcPr>
            <w:tcW w:w="2998"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43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42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261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49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84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11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综合单价</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综合合价</w:t>
            </w:r>
          </w:p>
        </w:tc>
        <w:tc>
          <w:tcPr>
            <w:tcW w:w="7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43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42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261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49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84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4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视频监控系统</w:t>
            </w:r>
          </w:p>
        </w:tc>
        <w:tc>
          <w:tcPr>
            <w:tcW w:w="26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4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7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030507008003</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拆除原监控摄像设备</w:t>
            </w:r>
          </w:p>
        </w:tc>
        <w:tc>
          <w:tcPr>
            <w:tcW w:w="26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1.名称:原设备拆除</w:t>
            </w:r>
          </w:p>
        </w:tc>
        <w:tc>
          <w:tcPr>
            <w:tcW w:w="4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kern w:val="2"/>
                <w:sz w:val="20"/>
                <w:szCs w:val="20"/>
                <w:highlight w:val="none"/>
                <w:u w:val="none"/>
                <w:lang w:val="en-US" w:eastAsia="zh-CN" w:bidi="ar-SA"/>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0"/>
                <w:szCs w:val="20"/>
                <w:highlight w:val="none"/>
                <w:u w:val="none"/>
                <w:lang w:val="en-US" w:eastAsia="zh-CN" w:bidi="ar-SA"/>
              </w:rPr>
            </w:pPr>
          </w:p>
        </w:tc>
        <w:tc>
          <w:tcPr>
            <w:tcW w:w="7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5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030507008001</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球型网络摄像机</w:t>
            </w:r>
          </w:p>
        </w:tc>
        <w:tc>
          <w:tcPr>
            <w:tcW w:w="26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1.名称:球形网络摄像机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2.类别:视频监控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3.安装方式:壁挂</w:t>
            </w:r>
          </w:p>
        </w:tc>
        <w:tc>
          <w:tcPr>
            <w:tcW w:w="4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kern w:val="2"/>
                <w:sz w:val="20"/>
                <w:szCs w:val="20"/>
                <w:highlight w:val="none"/>
                <w:u w:val="none"/>
                <w:lang w:val="en-US" w:eastAsia="zh-CN" w:bidi="ar-SA"/>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0"/>
                <w:szCs w:val="20"/>
                <w:highlight w:val="none"/>
                <w:u w:val="none"/>
                <w:lang w:val="en-US" w:eastAsia="zh-CN" w:bidi="ar-SA"/>
              </w:rPr>
            </w:pPr>
          </w:p>
        </w:tc>
        <w:tc>
          <w:tcPr>
            <w:tcW w:w="7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5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030501017002</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公司平台接入授权</w:t>
            </w:r>
          </w:p>
        </w:tc>
        <w:tc>
          <w:tcPr>
            <w:tcW w:w="26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公司级综合管理平台视频监控授权、设备网络管理授权、视频质量诊断授权各150路；为方便接入，所有授权品牌需与公司综合管理平台平台保持一致。（公司综合管理平台为海康ISC）。</w:t>
            </w:r>
          </w:p>
        </w:tc>
        <w:tc>
          <w:tcPr>
            <w:tcW w:w="4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点</w:t>
            </w: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150</w:t>
            </w: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kern w:val="2"/>
                <w:sz w:val="20"/>
                <w:szCs w:val="20"/>
                <w:highlight w:val="none"/>
                <w:u w:val="none"/>
                <w:lang w:val="en-US" w:eastAsia="zh-CN" w:bidi="ar-SA"/>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0"/>
                <w:szCs w:val="20"/>
                <w:highlight w:val="none"/>
                <w:u w:val="none"/>
                <w:lang w:val="en-US" w:eastAsia="zh-CN" w:bidi="ar-SA"/>
              </w:rPr>
            </w:pPr>
          </w:p>
        </w:tc>
        <w:tc>
          <w:tcPr>
            <w:tcW w:w="7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5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030501017003</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分公司平台接入授权</w:t>
            </w:r>
          </w:p>
        </w:tc>
        <w:tc>
          <w:tcPr>
            <w:tcW w:w="26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分公司使用视频监控授权、设备网络管理授权、视频质量诊断授权各450路；为方便接入，所有授权品牌需与公司综合管理平台平台保持一致。（公司综合管理平台为海康ISC）。</w:t>
            </w:r>
          </w:p>
        </w:tc>
        <w:tc>
          <w:tcPr>
            <w:tcW w:w="4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点</w:t>
            </w: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450</w:t>
            </w: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kern w:val="2"/>
                <w:sz w:val="20"/>
                <w:szCs w:val="20"/>
                <w:highlight w:val="none"/>
                <w:u w:val="none"/>
                <w:lang w:val="en-US" w:eastAsia="zh-CN" w:bidi="ar-SA"/>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0"/>
                <w:szCs w:val="20"/>
                <w:highlight w:val="none"/>
                <w:u w:val="none"/>
                <w:lang w:val="en-US" w:eastAsia="zh-CN" w:bidi="ar-SA"/>
              </w:rPr>
            </w:pPr>
          </w:p>
        </w:tc>
        <w:tc>
          <w:tcPr>
            <w:tcW w:w="7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0" w:hRule="atLeast"/>
        </w:trPr>
        <w:tc>
          <w:tcPr>
            <w:tcW w:w="5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030507013003</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IoT-CVR存储</w:t>
            </w:r>
          </w:p>
        </w:tc>
        <w:tc>
          <w:tcPr>
            <w:tcW w:w="26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1.名称:IoT-CVR存储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2.存储容量、格式:50块8T监控专用硬盘</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3.服务器配置：≥1颗64位多核处理器，≥4GB内存，内存支持扩展到≥128GB，内置SSD固态硬盘（可以扩展到2个SSD作为缓存盘），配置≥6个风扇，可热插拔冗余温控调速风扇。</w:t>
            </w:r>
          </w:p>
        </w:tc>
        <w:tc>
          <w:tcPr>
            <w:tcW w:w="4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kern w:val="2"/>
                <w:sz w:val="20"/>
                <w:szCs w:val="20"/>
                <w:highlight w:val="none"/>
                <w:u w:val="none"/>
                <w:lang w:val="en-US" w:eastAsia="zh-CN" w:bidi="ar-SA"/>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0"/>
                <w:szCs w:val="20"/>
                <w:highlight w:val="none"/>
                <w:u w:val="none"/>
                <w:lang w:val="en-US" w:eastAsia="zh-CN" w:bidi="ar-SA"/>
              </w:rPr>
            </w:pPr>
          </w:p>
        </w:tc>
        <w:tc>
          <w:tcPr>
            <w:tcW w:w="7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5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030501013001</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数据服务器</w:t>
            </w:r>
          </w:p>
        </w:tc>
        <w:tc>
          <w:tcPr>
            <w:tcW w:w="26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1.2U双路标准机架式服务器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2.CPU：配置1颗intel至强4210R处理器，核数≥10核，主频≥2.4GHz</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3.内存：配置64G DDR4，16根内存插槽，最大支持扩展至2TB内存</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4.硬盘：配置2块1.2T 10K 2.5寸 SAS硬盘；   最高支持12块3.5寸(兼容2.5寸)热插拔SAS/SATA硬盘，支持可选2块后置热插拔2.5寸硬盘</w:t>
            </w:r>
          </w:p>
        </w:tc>
        <w:tc>
          <w:tcPr>
            <w:tcW w:w="4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kern w:val="2"/>
                <w:sz w:val="20"/>
                <w:szCs w:val="20"/>
                <w:highlight w:val="none"/>
                <w:u w:val="none"/>
                <w:lang w:val="en-US" w:eastAsia="zh-CN" w:bidi="ar-SA"/>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0"/>
                <w:szCs w:val="20"/>
                <w:highlight w:val="none"/>
                <w:u w:val="none"/>
                <w:lang w:val="en-US" w:eastAsia="zh-CN" w:bidi="ar-SA"/>
              </w:rPr>
            </w:pPr>
          </w:p>
        </w:tc>
        <w:tc>
          <w:tcPr>
            <w:tcW w:w="7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5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030501017001</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综合安防管理平台</w:t>
            </w:r>
          </w:p>
        </w:tc>
        <w:tc>
          <w:tcPr>
            <w:tcW w:w="26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1.要求监控点最多管理容量为1000000路</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2.要求系统支持国标协议上下级平台级联，支持流媒体集群配置</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3.要求支持接入海康SDK、海康EHOME、海康ISUP5.0、ONVIF、GB/T28181等协议的设备</w:t>
            </w:r>
          </w:p>
        </w:tc>
        <w:tc>
          <w:tcPr>
            <w:tcW w:w="4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kern w:val="2"/>
                <w:sz w:val="20"/>
                <w:szCs w:val="20"/>
                <w:highlight w:val="none"/>
                <w:u w:val="none"/>
                <w:lang w:val="en-US" w:eastAsia="zh-CN" w:bidi="ar-SA"/>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0"/>
                <w:szCs w:val="20"/>
                <w:highlight w:val="none"/>
                <w:u w:val="none"/>
                <w:lang w:val="en-US" w:eastAsia="zh-CN" w:bidi="ar-SA"/>
              </w:rPr>
            </w:pPr>
          </w:p>
        </w:tc>
        <w:tc>
          <w:tcPr>
            <w:tcW w:w="7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030506008001</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视频系统调试</w:t>
            </w:r>
          </w:p>
        </w:tc>
        <w:tc>
          <w:tcPr>
            <w:tcW w:w="26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1.名称:视频系统调试</w:t>
            </w:r>
          </w:p>
        </w:tc>
        <w:tc>
          <w:tcPr>
            <w:tcW w:w="4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系统</w:t>
            </w: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kern w:val="2"/>
                <w:sz w:val="20"/>
                <w:szCs w:val="20"/>
                <w:highlight w:val="none"/>
                <w:u w:val="none"/>
                <w:lang w:val="en-US" w:eastAsia="zh-CN" w:bidi="ar-SA"/>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0"/>
                <w:szCs w:val="20"/>
                <w:highlight w:val="none"/>
                <w:u w:val="none"/>
                <w:lang w:val="en-US" w:eastAsia="zh-CN" w:bidi="ar-SA"/>
              </w:rPr>
            </w:pPr>
          </w:p>
        </w:tc>
        <w:tc>
          <w:tcPr>
            <w:tcW w:w="7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4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网络系统</w:t>
            </w:r>
          </w:p>
        </w:tc>
        <w:tc>
          <w:tcPr>
            <w:tcW w:w="26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4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kern w:val="2"/>
                <w:sz w:val="20"/>
                <w:szCs w:val="20"/>
                <w:highlight w:val="none"/>
                <w:u w:val="none"/>
                <w:lang w:val="en-US" w:eastAsia="zh-CN" w:bidi="ar-SA"/>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0"/>
                <w:szCs w:val="20"/>
                <w:highlight w:val="none"/>
                <w:u w:val="none"/>
                <w:lang w:val="en-US" w:eastAsia="zh-CN" w:bidi="ar-SA"/>
              </w:rPr>
            </w:pPr>
          </w:p>
        </w:tc>
        <w:tc>
          <w:tcPr>
            <w:tcW w:w="7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5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030501012001</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核心交换机</w:t>
            </w:r>
          </w:p>
        </w:tc>
        <w:tc>
          <w:tcPr>
            <w:tcW w:w="26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1.名称:核心交换机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2.层数:3</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3.万兆SFP+光口≥24个，千兆电口≥24个，40GQSFP+光口≥2个；</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4.交换性能≥2.56Tbps/23.04Tbps，包转发率≥1080Mpps</w:t>
            </w:r>
          </w:p>
        </w:tc>
        <w:tc>
          <w:tcPr>
            <w:tcW w:w="4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kern w:val="2"/>
                <w:sz w:val="20"/>
                <w:szCs w:val="20"/>
                <w:highlight w:val="none"/>
                <w:u w:val="none"/>
                <w:lang w:val="en-US" w:eastAsia="zh-CN" w:bidi="ar-SA"/>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0"/>
                <w:szCs w:val="20"/>
                <w:highlight w:val="none"/>
                <w:u w:val="none"/>
                <w:lang w:val="en-US" w:eastAsia="zh-CN" w:bidi="ar-SA"/>
              </w:rPr>
            </w:pPr>
          </w:p>
        </w:tc>
        <w:tc>
          <w:tcPr>
            <w:tcW w:w="7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5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030501012002</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汇聚交换机</w:t>
            </w:r>
          </w:p>
        </w:tc>
        <w:tc>
          <w:tcPr>
            <w:tcW w:w="26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1.名称:汇聚交换机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2.100/1000Base-X千兆光口≥24个，千兆电Combo口≥4个（可与24个光口中的4个复用），10GSFP+万兆光口≥4个</w:t>
            </w:r>
          </w:p>
        </w:tc>
        <w:tc>
          <w:tcPr>
            <w:tcW w:w="4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kern w:val="2"/>
                <w:sz w:val="20"/>
                <w:szCs w:val="20"/>
                <w:highlight w:val="none"/>
                <w:u w:val="none"/>
                <w:lang w:val="en-US" w:eastAsia="zh-CN" w:bidi="ar-SA"/>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0"/>
                <w:szCs w:val="20"/>
                <w:highlight w:val="none"/>
                <w:u w:val="none"/>
                <w:lang w:val="en-US" w:eastAsia="zh-CN" w:bidi="ar-SA"/>
              </w:rPr>
            </w:pPr>
          </w:p>
        </w:tc>
        <w:tc>
          <w:tcPr>
            <w:tcW w:w="7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5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030501012004</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汇聚交换机</w:t>
            </w:r>
          </w:p>
        </w:tc>
        <w:tc>
          <w:tcPr>
            <w:tcW w:w="26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1.名称:汇聚交换机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2.千兆SFP光口≥48个，SFP+光口≥4个；</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3.交换性能≥758Gbps/7.58Tbps，包转发率≥432Mpps</w:t>
            </w:r>
          </w:p>
        </w:tc>
        <w:tc>
          <w:tcPr>
            <w:tcW w:w="4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kern w:val="2"/>
                <w:sz w:val="20"/>
                <w:szCs w:val="20"/>
                <w:highlight w:val="none"/>
                <w:u w:val="none"/>
                <w:lang w:val="en-US" w:eastAsia="zh-CN" w:bidi="ar-SA"/>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0"/>
                <w:szCs w:val="20"/>
                <w:highlight w:val="none"/>
                <w:u w:val="none"/>
                <w:lang w:val="en-US" w:eastAsia="zh-CN" w:bidi="ar-SA"/>
              </w:rPr>
            </w:pPr>
          </w:p>
        </w:tc>
        <w:tc>
          <w:tcPr>
            <w:tcW w:w="7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0" w:hRule="atLeast"/>
        </w:trPr>
        <w:tc>
          <w:tcPr>
            <w:tcW w:w="5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030501012003</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汇聚交换机</w:t>
            </w:r>
          </w:p>
        </w:tc>
        <w:tc>
          <w:tcPr>
            <w:tcW w:w="26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1.POE交换机，24个千兆POE电口，4个万兆SFP+光口；</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2.交换容量:432Gbps/4.32Tbps 包转发率:156Mpps/168Mpps，支持全端口线速转发；</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3.支持IEEE 802.3af/at供电标准，单端口最大输出PoE功率30W，整机最大输出PoE功率370W；支持NAC统一管理、统一查看状态、VLAN等配置管理；支持终端识别、终端准入、安全防护及安全画像可视；支持胖瘦一体化；</w:t>
            </w:r>
          </w:p>
        </w:tc>
        <w:tc>
          <w:tcPr>
            <w:tcW w:w="4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kern w:val="2"/>
                <w:sz w:val="20"/>
                <w:szCs w:val="20"/>
                <w:highlight w:val="none"/>
                <w:u w:val="none"/>
                <w:lang w:val="en-US" w:eastAsia="zh-CN" w:bidi="ar-SA"/>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0"/>
                <w:szCs w:val="20"/>
                <w:highlight w:val="none"/>
                <w:u w:val="none"/>
                <w:lang w:val="en-US" w:eastAsia="zh-CN" w:bidi="ar-SA"/>
              </w:rPr>
            </w:pPr>
          </w:p>
        </w:tc>
        <w:tc>
          <w:tcPr>
            <w:tcW w:w="7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5" w:hRule="atLeast"/>
        </w:trPr>
        <w:tc>
          <w:tcPr>
            <w:tcW w:w="5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030501013002</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流量管控主机</w:t>
            </w:r>
          </w:p>
        </w:tc>
        <w:tc>
          <w:tcPr>
            <w:tcW w:w="26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1.名称：流量管控主机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2.采用非X86多核架构，2U机架式设备，具备2.4寸液晶屏，具备触碰按钮；</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3.可显示版本号、CPU利用率、内存利用率、设备名称、管理IP等信息</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3.10个千兆电口（含4个POE供电口）+1个千兆光口，1个Console口，1个USB口，2个扩展槽位，自带1T硬盘。</w:t>
            </w:r>
          </w:p>
        </w:tc>
        <w:tc>
          <w:tcPr>
            <w:tcW w:w="4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kern w:val="2"/>
                <w:sz w:val="20"/>
                <w:szCs w:val="20"/>
                <w:highlight w:val="none"/>
                <w:u w:val="none"/>
                <w:lang w:val="en-US" w:eastAsia="zh-CN" w:bidi="ar-SA"/>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0"/>
                <w:szCs w:val="20"/>
                <w:highlight w:val="none"/>
                <w:u w:val="none"/>
                <w:lang w:val="en-US" w:eastAsia="zh-CN" w:bidi="ar-SA"/>
              </w:rPr>
            </w:pPr>
          </w:p>
        </w:tc>
        <w:tc>
          <w:tcPr>
            <w:tcW w:w="7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030608006001</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网络系统及设备联调</w:t>
            </w:r>
          </w:p>
        </w:tc>
        <w:tc>
          <w:tcPr>
            <w:tcW w:w="26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1.名称:网络系统及设备联调</w:t>
            </w:r>
          </w:p>
        </w:tc>
        <w:tc>
          <w:tcPr>
            <w:tcW w:w="4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kern w:val="2"/>
                <w:sz w:val="20"/>
                <w:szCs w:val="20"/>
                <w:highlight w:val="none"/>
                <w:u w:val="none"/>
                <w:lang w:val="en-US" w:eastAsia="zh-CN" w:bidi="ar-SA"/>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0"/>
                <w:szCs w:val="20"/>
                <w:highlight w:val="none"/>
                <w:u w:val="none"/>
                <w:lang w:val="en-US" w:eastAsia="zh-CN" w:bidi="ar-SA"/>
              </w:rPr>
            </w:pPr>
          </w:p>
        </w:tc>
        <w:tc>
          <w:tcPr>
            <w:tcW w:w="7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030501017004</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软件授权（交换机接入）</w:t>
            </w:r>
          </w:p>
        </w:tc>
        <w:tc>
          <w:tcPr>
            <w:tcW w:w="26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4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kern w:val="2"/>
                <w:sz w:val="20"/>
                <w:szCs w:val="20"/>
                <w:highlight w:val="none"/>
                <w:u w:val="none"/>
                <w:lang w:val="en-US" w:eastAsia="zh-CN" w:bidi="ar-SA"/>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0"/>
                <w:szCs w:val="20"/>
                <w:highlight w:val="none"/>
                <w:u w:val="none"/>
                <w:lang w:val="en-US" w:eastAsia="zh-CN" w:bidi="ar-SA"/>
              </w:rPr>
            </w:pPr>
          </w:p>
        </w:tc>
        <w:tc>
          <w:tcPr>
            <w:tcW w:w="7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4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机房综合布线</w:t>
            </w:r>
          </w:p>
        </w:tc>
        <w:tc>
          <w:tcPr>
            <w:tcW w:w="26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4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kern w:val="2"/>
                <w:sz w:val="20"/>
                <w:szCs w:val="20"/>
                <w:highlight w:val="none"/>
                <w:u w:val="none"/>
                <w:lang w:val="en-US" w:eastAsia="zh-CN" w:bidi="ar-SA"/>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0"/>
                <w:szCs w:val="20"/>
                <w:highlight w:val="none"/>
                <w:u w:val="none"/>
                <w:lang w:val="en-US" w:eastAsia="zh-CN" w:bidi="ar-SA"/>
              </w:rPr>
            </w:pPr>
          </w:p>
        </w:tc>
        <w:tc>
          <w:tcPr>
            <w:tcW w:w="7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030502009001</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跳线</w:t>
            </w:r>
          </w:p>
        </w:tc>
        <w:tc>
          <w:tcPr>
            <w:tcW w:w="26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1.名称:跳线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2.规格:CAT6 3m</w:t>
            </w:r>
          </w:p>
        </w:tc>
        <w:tc>
          <w:tcPr>
            <w:tcW w:w="4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条</w:t>
            </w: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230</w:t>
            </w: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kern w:val="2"/>
                <w:sz w:val="20"/>
                <w:szCs w:val="20"/>
                <w:highlight w:val="none"/>
                <w:u w:val="none"/>
                <w:lang w:val="en-US" w:eastAsia="zh-CN" w:bidi="ar-SA"/>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0"/>
                <w:szCs w:val="20"/>
                <w:highlight w:val="none"/>
                <w:u w:val="none"/>
                <w:lang w:val="en-US" w:eastAsia="zh-CN" w:bidi="ar-SA"/>
              </w:rPr>
            </w:pPr>
          </w:p>
        </w:tc>
        <w:tc>
          <w:tcPr>
            <w:tcW w:w="7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030502010001</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配线架</w:t>
            </w:r>
          </w:p>
        </w:tc>
        <w:tc>
          <w:tcPr>
            <w:tcW w:w="26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1.名称:配线架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2.容量:24口</w:t>
            </w:r>
          </w:p>
        </w:tc>
        <w:tc>
          <w:tcPr>
            <w:tcW w:w="4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kern w:val="2"/>
                <w:sz w:val="20"/>
                <w:szCs w:val="20"/>
                <w:highlight w:val="none"/>
                <w:u w:val="none"/>
                <w:lang w:val="en-US" w:eastAsia="zh-CN" w:bidi="ar-SA"/>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0"/>
                <w:szCs w:val="20"/>
                <w:highlight w:val="none"/>
                <w:u w:val="none"/>
                <w:lang w:val="en-US" w:eastAsia="zh-CN" w:bidi="ar-SA"/>
              </w:rPr>
            </w:pPr>
          </w:p>
        </w:tc>
        <w:tc>
          <w:tcPr>
            <w:tcW w:w="7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030502011001</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跳线架</w:t>
            </w:r>
          </w:p>
        </w:tc>
        <w:tc>
          <w:tcPr>
            <w:tcW w:w="26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1.名称:跳线架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2.容量:100对</w:t>
            </w:r>
          </w:p>
        </w:tc>
        <w:tc>
          <w:tcPr>
            <w:tcW w:w="4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kern w:val="2"/>
                <w:sz w:val="20"/>
                <w:szCs w:val="20"/>
                <w:highlight w:val="none"/>
                <w:u w:val="none"/>
                <w:lang w:val="en-US" w:eastAsia="zh-CN" w:bidi="ar-SA"/>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0"/>
                <w:szCs w:val="20"/>
                <w:highlight w:val="none"/>
                <w:u w:val="none"/>
                <w:lang w:val="en-US" w:eastAsia="zh-CN" w:bidi="ar-SA"/>
              </w:rPr>
            </w:pPr>
          </w:p>
        </w:tc>
        <w:tc>
          <w:tcPr>
            <w:tcW w:w="7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030502016001</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布放尾纤</w:t>
            </w:r>
          </w:p>
        </w:tc>
        <w:tc>
          <w:tcPr>
            <w:tcW w:w="26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1.名称:布放尾纤</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2.安装方式:熔接</w:t>
            </w:r>
          </w:p>
        </w:tc>
        <w:tc>
          <w:tcPr>
            <w:tcW w:w="4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根</w:t>
            </w: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75</w:t>
            </w: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kern w:val="2"/>
                <w:sz w:val="20"/>
                <w:szCs w:val="20"/>
                <w:highlight w:val="none"/>
                <w:u w:val="none"/>
                <w:lang w:val="en-US" w:eastAsia="zh-CN" w:bidi="ar-SA"/>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0"/>
                <w:szCs w:val="20"/>
                <w:highlight w:val="none"/>
                <w:u w:val="none"/>
                <w:lang w:val="en-US" w:eastAsia="zh-CN" w:bidi="ar-SA"/>
              </w:rPr>
            </w:pPr>
          </w:p>
        </w:tc>
        <w:tc>
          <w:tcPr>
            <w:tcW w:w="7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030502020001</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光纤测试</w:t>
            </w:r>
          </w:p>
        </w:tc>
        <w:tc>
          <w:tcPr>
            <w:tcW w:w="26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1.测试类别:光纤测试</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2.测试内容:通断、功率</w:t>
            </w:r>
          </w:p>
        </w:tc>
        <w:tc>
          <w:tcPr>
            <w:tcW w:w="4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芯</w:t>
            </w: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75</w:t>
            </w: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kern w:val="2"/>
                <w:sz w:val="20"/>
                <w:szCs w:val="20"/>
                <w:highlight w:val="none"/>
                <w:u w:val="none"/>
                <w:lang w:val="en-US" w:eastAsia="zh-CN" w:bidi="ar-SA"/>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0"/>
                <w:szCs w:val="20"/>
                <w:highlight w:val="none"/>
                <w:u w:val="none"/>
                <w:lang w:val="en-US" w:eastAsia="zh-CN" w:bidi="ar-SA"/>
              </w:rPr>
            </w:pPr>
          </w:p>
        </w:tc>
        <w:tc>
          <w:tcPr>
            <w:tcW w:w="7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030502019001</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双绞线测试</w:t>
            </w:r>
          </w:p>
        </w:tc>
        <w:tc>
          <w:tcPr>
            <w:tcW w:w="26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1.测试类别:双绞线测试</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2.测试内容:通断、信号强度</w:t>
            </w:r>
          </w:p>
        </w:tc>
        <w:tc>
          <w:tcPr>
            <w:tcW w:w="4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点</w:t>
            </w: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230</w:t>
            </w: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kern w:val="2"/>
                <w:sz w:val="20"/>
                <w:szCs w:val="20"/>
                <w:highlight w:val="none"/>
                <w:u w:val="none"/>
                <w:lang w:val="en-US" w:eastAsia="zh-CN" w:bidi="ar-SA"/>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0"/>
                <w:szCs w:val="20"/>
                <w:highlight w:val="none"/>
                <w:u w:val="none"/>
                <w:lang w:val="en-US" w:eastAsia="zh-CN" w:bidi="ar-SA"/>
              </w:rPr>
            </w:pPr>
          </w:p>
        </w:tc>
        <w:tc>
          <w:tcPr>
            <w:tcW w:w="7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030502001001</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机柜安装</w:t>
            </w:r>
          </w:p>
        </w:tc>
        <w:tc>
          <w:tcPr>
            <w:tcW w:w="26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1.名称:机柜安装</w:t>
            </w:r>
          </w:p>
        </w:tc>
        <w:tc>
          <w:tcPr>
            <w:tcW w:w="4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kern w:val="2"/>
                <w:sz w:val="20"/>
                <w:szCs w:val="20"/>
                <w:highlight w:val="none"/>
                <w:u w:val="none"/>
                <w:lang w:val="en-US" w:eastAsia="zh-CN" w:bidi="ar-SA"/>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0"/>
                <w:szCs w:val="20"/>
                <w:highlight w:val="none"/>
                <w:u w:val="none"/>
                <w:lang w:val="en-US" w:eastAsia="zh-CN" w:bidi="ar-SA"/>
              </w:rPr>
            </w:pPr>
          </w:p>
        </w:tc>
        <w:tc>
          <w:tcPr>
            <w:tcW w:w="7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5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030502013001</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光纤盒</w:t>
            </w:r>
          </w:p>
        </w:tc>
        <w:tc>
          <w:tcPr>
            <w:tcW w:w="26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1.名称:光纤盒</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2.规格:24芯</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3.安装方式:机架式</w:t>
            </w:r>
          </w:p>
        </w:tc>
        <w:tc>
          <w:tcPr>
            <w:tcW w:w="4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kern w:val="2"/>
                <w:sz w:val="20"/>
                <w:szCs w:val="20"/>
                <w:highlight w:val="none"/>
                <w:u w:val="none"/>
                <w:lang w:val="en-US" w:eastAsia="zh-CN" w:bidi="ar-SA"/>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0"/>
                <w:szCs w:val="20"/>
                <w:highlight w:val="none"/>
                <w:u w:val="none"/>
                <w:lang w:val="en-US" w:eastAsia="zh-CN" w:bidi="ar-SA"/>
              </w:rPr>
            </w:pPr>
          </w:p>
        </w:tc>
        <w:tc>
          <w:tcPr>
            <w:tcW w:w="7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030502014001</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光纤连接</w:t>
            </w:r>
          </w:p>
        </w:tc>
        <w:tc>
          <w:tcPr>
            <w:tcW w:w="26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1.方法:熔接</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2.模式:单模</w:t>
            </w:r>
          </w:p>
        </w:tc>
        <w:tc>
          <w:tcPr>
            <w:tcW w:w="4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芯</w:t>
            </w: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75</w:t>
            </w: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kern w:val="2"/>
                <w:sz w:val="20"/>
                <w:szCs w:val="20"/>
                <w:highlight w:val="none"/>
                <w:u w:val="none"/>
                <w:lang w:val="en-US" w:eastAsia="zh-CN" w:bidi="ar-SA"/>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0"/>
                <w:szCs w:val="20"/>
                <w:highlight w:val="none"/>
                <w:u w:val="none"/>
                <w:lang w:val="en-US" w:eastAsia="zh-CN" w:bidi="ar-SA"/>
              </w:rPr>
            </w:pPr>
          </w:p>
        </w:tc>
        <w:tc>
          <w:tcPr>
            <w:tcW w:w="7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030502009002</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跳线</w:t>
            </w:r>
          </w:p>
        </w:tc>
        <w:tc>
          <w:tcPr>
            <w:tcW w:w="26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1.名称:光纤跳线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2.规格:3m</w:t>
            </w:r>
          </w:p>
        </w:tc>
        <w:tc>
          <w:tcPr>
            <w:tcW w:w="4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条</w:t>
            </w: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75</w:t>
            </w: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kern w:val="2"/>
                <w:sz w:val="20"/>
                <w:szCs w:val="20"/>
                <w:highlight w:val="none"/>
                <w:u w:val="none"/>
                <w:lang w:val="en-US" w:eastAsia="zh-CN" w:bidi="ar-SA"/>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0"/>
                <w:szCs w:val="20"/>
                <w:highlight w:val="none"/>
                <w:u w:val="none"/>
                <w:lang w:val="en-US" w:eastAsia="zh-CN" w:bidi="ar-SA"/>
              </w:rPr>
            </w:pPr>
          </w:p>
        </w:tc>
        <w:tc>
          <w:tcPr>
            <w:tcW w:w="7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030501010001</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光模块</w:t>
            </w:r>
          </w:p>
        </w:tc>
        <w:tc>
          <w:tcPr>
            <w:tcW w:w="26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1.名称:光模块</w:t>
            </w:r>
          </w:p>
        </w:tc>
        <w:tc>
          <w:tcPr>
            <w:tcW w:w="4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kern w:val="2"/>
                <w:sz w:val="20"/>
                <w:szCs w:val="20"/>
                <w:highlight w:val="none"/>
                <w:u w:val="none"/>
                <w:lang w:val="en-US" w:eastAsia="zh-CN" w:bidi="ar-SA"/>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0"/>
                <w:szCs w:val="20"/>
                <w:highlight w:val="none"/>
                <w:u w:val="none"/>
                <w:lang w:val="en-US" w:eastAsia="zh-CN" w:bidi="ar-SA"/>
              </w:rPr>
            </w:pPr>
          </w:p>
        </w:tc>
        <w:tc>
          <w:tcPr>
            <w:tcW w:w="7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5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030414007001</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UPS不间断电源</w:t>
            </w:r>
          </w:p>
        </w:tc>
        <w:tc>
          <w:tcPr>
            <w:tcW w:w="26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20KV·A  60分钟20KVA 满足维持中控室机柜设备断电延时不小于60分钟</w:t>
            </w:r>
          </w:p>
        </w:tc>
        <w:tc>
          <w:tcPr>
            <w:tcW w:w="4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系统</w:t>
            </w: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kern w:val="2"/>
                <w:sz w:val="20"/>
                <w:szCs w:val="20"/>
                <w:highlight w:val="none"/>
                <w:u w:val="none"/>
                <w:lang w:val="en-US" w:eastAsia="zh-CN" w:bidi="ar-SA"/>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0"/>
                <w:szCs w:val="20"/>
                <w:highlight w:val="none"/>
                <w:u w:val="none"/>
                <w:lang w:val="en-US" w:eastAsia="zh-CN" w:bidi="ar-SA"/>
              </w:rPr>
            </w:pPr>
          </w:p>
        </w:tc>
        <w:tc>
          <w:tcPr>
            <w:tcW w:w="7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030414007002</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UPS不间断电源</w:t>
            </w:r>
          </w:p>
        </w:tc>
        <w:tc>
          <w:tcPr>
            <w:tcW w:w="26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3KVA满足维持PLC机柜设备断电延长不少于30分钟。</w:t>
            </w:r>
          </w:p>
        </w:tc>
        <w:tc>
          <w:tcPr>
            <w:tcW w:w="4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系统</w:t>
            </w: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kern w:val="2"/>
                <w:sz w:val="20"/>
                <w:szCs w:val="20"/>
                <w:highlight w:val="none"/>
                <w:u w:val="none"/>
                <w:lang w:val="en-US" w:eastAsia="zh-CN" w:bidi="ar-SA"/>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0"/>
                <w:szCs w:val="20"/>
                <w:highlight w:val="none"/>
                <w:u w:val="none"/>
                <w:lang w:val="en-US" w:eastAsia="zh-CN" w:bidi="ar-SA"/>
              </w:rPr>
            </w:pPr>
          </w:p>
        </w:tc>
        <w:tc>
          <w:tcPr>
            <w:tcW w:w="7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4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暂列金额</w:t>
            </w:r>
          </w:p>
        </w:tc>
        <w:tc>
          <w:tcPr>
            <w:tcW w:w="26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4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kern w:val="2"/>
                <w:sz w:val="20"/>
                <w:szCs w:val="20"/>
                <w:highlight w:val="none"/>
                <w:u w:val="none"/>
                <w:lang w:val="en-US" w:eastAsia="zh-CN" w:bidi="ar-SA"/>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0"/>
                <w:szCs w:val="20"/>
                <w:highlight w:val="none"/>
                <w:u w:val="none"/>
                <w:lang w:val="en-US" w:eastAsia="zh-CN" w:bidi="ar-SA"/>
              </w:rPr>
            </w:pPr>
          </w:p>
        </w:tc>
        <w:tc>
          <w:tcPr>
            <w:tcW w:w="7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29</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4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暂列金额</w:t>
            </w:r>
          </w:p>
        </w:tc>
        <w:tc>
          <w:tcPr>
            <w:tcW w:w="26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4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项</w:t>
            </w: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1</w:t>
            </w: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kern w:val="2"/>
                <w:sz w:val="20"/>
                <w:szCs w:val="20"/>
                <w:highlight w:val="none"/>
                <w:u w:val="none"/>
                <w:lang w:val="en-US" w:eastAsia="zh-CN" w:bidi="ar-SA"/>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2"/>
                <w:sz w:val="20"/>
                <w:szCs w:val="20"/>
                <w:highlight w:val="none"/>
                <w:u w:val="none"/>
                <w:lang w:val="en-US" w:eastAsia="zh-CN" w:bidi="ar-SA"/>
              </w:rPr>
              <w:t>74870.78</w:t>
            </w:r>
          </w:p>
        </w:tc>
        <w:tc>
          <w:tcPr>
            <w:tcW w:w="7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4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措施项目</w:t>
            </w:r>
          </w:p>
        </w:tc>
        <w:tc>
          <w:tcPr>
            <w:tcW w:w="26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4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kern w:val="2"/>
                <w:sz w:val="20"/>
                <w:szCs w:val="20"/>
                <w:highlight w:val="none"/>
                <w:u w:val="none"/>
                <w:lang w:val="en-US" w:eastAsia="zh-CN" w:bidi="ar-SA"/>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0"/>
                <w:szCs w:val="20"/>
                <w:highlight w:val="none"/>
                <w:u w:val="none"/>
                <w:lang w:val="en-US" w:eastAsia="zh-CN" w:bidi="ar-SA"/>
              </w:rPr>
            </w:pPr>
          </w:p>
        </w:tc>
        <w:tc>
          <w:tcPr>
            <w:tcW w:w="7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30</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p>
        </w:tc>
        <w:tc>
          <w:tcPr>
            <w:tcW w:w="14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绿色施工安全防护措施费</w:t>
            </w:r>
          </w:p>
        </w:tc>
        <w:tc>
          <w:tcPr>
            <w:tcW w:w="26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4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28541.39</w:t>
            </w:r>
          </w:p>
        </w:tc>
        <w:tc>
          <w:tcPr>
            <w:tcW w:w="7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bl>
    <w:p>
      <w:pPr>
        <w:adjustRightInd w:val="0"/>
        <w:snapToGrid w:val="0"/>
        <w:spacing w:beforeLines="50" w:afterLines="50" w:line="600" w:lineRule="exact"/>
        <w:jc w:val="both"/>
        <w:rPr>
          <w:rFonts w:ascii="方正小标宋简体" w:eastAsia="方正小标宋简体"/>
          <w:color w:val="auto"/>
          <w:sz w:val="44"/>
          <w:szCs w:val="44"/>
          <w:highlight w:val="none"/>
        </w:rPr>
      </w:pPr>
    </w:p>
    <w:p>
      <w:pPr>
        <w:spacing w:line="360" w:lineRule="auto"/>
        <w:jc w:val="center"/>
        <w:rPr>
          <w:rFonts w:ascii="宋体" w:hAnsi="宋体" w:eastAsia="宋体" w:cs="宋体"/>
          <w:b/>
          <w:color w:val="auto"/>
          <w:sz w:val="28"/>
          <w:szCs w:val="28"/>
          <w:highlight w:val="none"/>
        </w:rPr>
      </w:pPr>
    </w:p>
    <w:p>
      <w:pPr>
        <w:pStyle w:val="22"/>
        <w:ind w:left="0" w:leftChars="0" w:firstLine="0" w:firstLineChars="0"/>
        <w:rPr>
          <w:color w:val="auto"/>
          <w:highlight w:val="none"/>
        </w:rPr>
      </w:pPr>
    </w:p>
    <w:p>
      <w:pPr>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附件</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：项目投入人员架构表</w:t>
      </w:r>
    </w:p>
    <w:p>
      <w:pPr>
        <w:spacing w:line="360" w:lineRule="auto"/>
        <w:rPr>
          <w:rFonts w:hint="eastAsia" w:ascii="宋体" w:hAnsi="宋体" w:eastAsia="宋体" w:cs="宋体"/>
          <w:b/>
          <w:bCs/>
          <w:color w:val="auto"/>
          <w:szCs w:val="21"/>
          <w:highlight w:val="none"/>
        </w:rPr>
      </w:pPr>
    </w:p>
    <w:tbl>
      <w:tblPr>
        <w:tblStyle w:val="23"/>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bl>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附件7：履约保函（模板）</w:t>
      </w:r>
    </w:p>
    <w:p>
      <w:pPr>
        <w:jc w:val="center"/>
        <w:rPr>
          <w:rFonts w:cs="Times New Roman" w:asciiTheme="minorEastAsia" w:hAnsiTheme="minorEastAsia"/>
          <w:b/>
          <w:color w:val="auto"/>
          <w:sz w:val="24"/>
          <w:szCs w:val="24"/>
          <w:highlight w:val="none"/>
        </w:rPr>
      </w:pPr>
      <w:r>
        <w:rPr>
          <w:rFonts w:hint="eastAsia" w:cs="Times New Roman" w:asciiTheme="minorEastAsia" w:hAnsiTheme="minorEastAsia"/>
          <w:b/>
          <w:color w:val="auto"/>
          <w:sz w:val="24"/>
          <w:szCs w:val="24"/>
          <w:highlight w:val="none"/>
        </w:rPr>
        <w:t>履约保函模板</w:t>
      </w:r>
    </w:p>
    <w:p>
      <w:pPr>
        <w:rPr>
          <w:rFonts w:cs="Times New Roman" w:asciiTheme="minorEastAsia" w:hAnsiTheme="minorEastAsia"/>
          <w:color w:val="auto"/>
          <w:sz w:val="24"/>
          <w:szCs w:val="24"/>
          <w:highlight w:val="none"/>
        </w:rPr>
      </w:pPr>
    </w:p>
    <w:p>
      <w:pPr>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致：</w:t>
      </w:r>
      <w:r>
        <w:rPr>
          <w:rFonts w:hint="eastAsia" w:cs="Times New Roman" w:asciiTheme="minorEastAsia" w:hAnsiTheme="minorEastAsia"/>
          <w:color w:val="auto"/>
          <w:sz w:val="24"/>
          <w:szCs w:val="24"/>
          <w:highlight w:val="none"/>
          <w:u w:val="single"/>
        </w:rPr>
        <w:t xml:space="preserve">               （受益人）</w:t>
      </w:r>
      <w:r>
        <w:rPr>
          <w:rFonts w:cs="Times New Roman" w:asciiTheme="minorEastAsia" w:hAnsiTheme="minorEastAsia"/>
          <w:color w:val="auto"/>
          <w:sz w:val="24"/>
          <w:szCs w:val="24"/>
          <w:highlight w:val="none"/>
        </w:rPr>
        <w:br w:type="textWrapping"/>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鉴于（以下简称“委托人”）与贵方于</w:t>
      </w:r>
      <w:r>
        <w:rPr>
          <w:rFonts w:hint="eastAsia" w:cs="Times New Roman" w:asciiTheme="minorEastAsia" w:hAnsiTheme="minorEastAsia"/>
          <w:color w:val="auto"/>
          <w:sz w:val="24"/>
          <w:szCs w:val="24"/>
          <w:highlight w:val="none"/>
          <w:u w:val="single"/>
        </w:rPr>
        <w:t xml:space="preserve">   年  月  日</w:t>
      </w:r>
      <w:r>
        <w:rPr>
          <w:rFonts w:hint="eastAsia" w:cs="Times New Roman" w:asciiTheme="minorEastAsia" w:hAnsiTheme="minorEastAsia"/>
          <w:color w:val="auto"/>
          <w:sz w:val="24"/>
          <w:szCs w:val="24"/>
          <w:highlight w:val="none"/>
        </w:rPr>
        <w:t>签订了（以下简称“合同”），我行同意为委托人出具履约保函，作为委托人履行合同义务的担保，以使你方得到履约保函的保障。本保函为不可撤销，见索即付的独立保函。</w:t>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一、我行保证在收到贵单位于保函有效期内送达的依本保函约定的索赔申请后，在个工作日内无条件和不可改变地向贵单位支付最高金额不超过人民币元（大写： ）的履约保证金，并放弃向你方提出任何异议和追索的权利。</w:t>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二、贵单位的索赔申请应符合下述条件：</w:t>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（一）贵单位法定代表人或其授权代表签字并加盖单位公章；</w:t>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（二）在保函有效期内送达我行；</w:t>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（三）明确的索赔金额（不得超过本保函第一条所列之限额）。</w:t>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三、本保函自签发之日起生效，有效期至</w:t>
      </w:r>
      <w:r>
        <w:rPr>
          <w:rFonts w:hint="eastAsia" w:cs="Times New Roman" w:asciiTheme="minorEastAsia" w:hAnsiTheme="minorEastAsia"/>
          <w:color w:val="auto"/>
          <w:sz w:val="24"/>
          <w:szCs w:val="24"/>
          <w:highlight w:val="none"/>
          <w:u w:val="single"/>
        </w:rPr>
        <w:t xml:space="preserve">  年  月  日</w:t>
      </w:r>
      <w:r>
        <w:rPr>
          <w:rFonts w:hint="eastAsia" w:cs="Times New Roman" w:asciiTheme="minorEastAsia" w:hAnsiTheme="minorEastAsia"/>
          <w:color w:val="auto"/>
          <w:sz w:val="24"/>
          <w:szCs w:val="24"/>
          <w:highlight w:val="none"/>
        </w:rPr>
        <w:t>。本保函于下述任一事项发生之时立即失效，我行在本保函项下的保证义务即刻解除：</w:t>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（一）本保函有效期限届满；</w:t>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（二）我行保证的义务履行完毕。</w:t>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五、我行向你方支付索赔金额后，本保函担保金额即按贵方通知的索赔金额予以递减。</w:t>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六、保函失效后请将保函退回我行注销，无论正本最终退回与否，不影响本保函依上述约定自动失效。</w:t>
      </w:r>
    </w:p>
    <w:p>
      <w:pPr>
        <w:ind w:firstLine="420"/>
        <w:rPr>
          <w:rFonts w:cs="Times New Roman" w:asciiTheme="minorEastAsia" w:hAnsiTheme="minorEastAsia"/>
          <w:color w:val="auto"/>
          <w:sz w:val="24"/>
          <w:szCs w:val="24"/>
          <w:highlight w:val="none"/>
        </w:rPr>
      </w:pP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 xml:space="preserve">                                                   落款</w:t>
      </w:r>
    </w:p>
    <w:p>
      <w:pPr>
        <w:ind w:firstLine="420"/>
        <w:rPr>
          <w:rFonts w:cs="Times New Roman" w:asciiTheme="minorEastAsia" w:hAnsiTheme="minorEastAsia"/>
          <w:color w:val="auto"/>
          <w:sz w:val="24"/>
          <w:szCs w:val="24"/>
          <w:highlight w:val="none"/>
        </w:rPr>
      </w:pPr>
    </w:p>
    <w:p>
      <w:pPr>
        <w:ind w:firstLine="645"/>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保函说明：</w:t>
      </w:r>
    </w:p>
    <w:p>
      <w:pPr>
        <w:ind w:firstLine="645"/>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保函不得有下列或类似含义的表述：</w:t>
      </w:r>
    </w:p>
    <w:p>
      <w:pPr>
        <w:ind w:firstLine="645"/>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1.银行承担的为连带责任保证、一般保证。</w:t>
      </w:r>
    </w:p>
    <w:p>
      <w:pPr>
        <w:ind w:firstLine="645"/>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2.未经银行书面同意，受益人与申请人修改合同或其项下附件时，银行的保证义务解除。</w:t>
      </w:r>
    </w:p>
    <w:p>
      <w:pPr>
        <w:ind w:firstLine="645"/>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3.合同撤销或无效的，保函失效。</w:t>
      </w:r>
    </w:p>
    <w:p>
      <w:pPr>
        <w:ind w:firstLine="645"/>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4.申请人对受益人的抗辩，银行有权向受益人主张。</w:t>
      </w:r>
    </w:p>
    <w:p>
      <w:pPr>
        <w:ind w:firstLine="645"/>
        <w:rPr>
          <w:rFonts w:cs="Times New Roman"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5.受益人请求付款的请款单据包含法院裁判文书、仲裁裁决、第三方单位出具的鉴定书等申请人违约的证明材料。</w:t>
      </w:r>
    </w:p>
    <w:p>
      <w:pPr>
        <w:rPr>
          <w:color w:val="auto"/>
          <w:highlight w:val="none"/>
        </w:rPr>
      </w:pPr>
    </w:p>
    <w:p>
      <w:pPr>
        <w:pStyle w:val="2"/>
        <w:rPr>
          <w:rFonts w:ascii="宋体" w:hAnsi="宋体" w:eastAsia="宋体" w:cs="宋体"/>
          <w:b/>
          <w:color w:val="auto"/>
          <w:sz w:val="24"/>
          <w:szCs w:val="24"/>
          <w:highlight w:val="none"/>
        </w:rPr>
      </w:pPr>
    </w:p>
    <w:p>
      <w:pPr>
        <w:pStyle w:val="2"/>
        <w:rPr>
          <w:rFonts w:ascii="宋体" w:hAnsi="宋体" w:eastAsia="宋体" w:cs="宋体"/>
          <w:b/>
          <w:color w:val="auto"/>
          <w:sz w:val="24"/>
          <w:szCs w:val="24"/>
          <w:highlight w:val="none"/>
        </w:rPr>
      </w:pPr>
    </w:p>
    <w:p>
      <w:pPr>
        <w:pStyle w:val="2"/>
        <w:rPr>
          <w:rFonts w:ascii="宋体" w:hAnsi="宋体" w:eastAsia="宋体" w:cs="宋体"/>
          <w:b/>
          <w:color w:val="auto"/>
          <w:sz w:val="24"/>
          <w:szCs w:val="24"/>
          <w:highlight w:val="none"/>
        </w:rPr>
      </w:pPr>
    </w:p>
    <w:p>
      <w:pPr>
        <w:pStyle w:val="2"/>
        <w:rPr>
          <w:rFonts w:ascii="宋体" w:hAnsi="宋体" w:eastAsia="宋体" w:cs="宋体"/>
          <w:b/>
          <w:color w:val="auto"/>
          <w:sz w:val="24"/>
          <w:szCs w:val="24"/>
          <w:highlight w:val="none"/>
        </w:rPr>
      </w:pPr>
    </w:p>
    <w:p>
      <w:pPr>
        <w:spacing w:line="360" w:lineRule="auto"/>
        <w:rPr>
          <w:rFonts w:ascii="宋体" w:hAnsi="宋体" w:eastAsia="宋体" w:cs="宋体"/>
          <w:b/>
          <w:color w:val="auto"/>
          <w:sz w:val="24"/>
          <w:szCs w:val="2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rPr>
          <w:rFonts w:hint="eastAsia"/>
          <w:color w:val="auto"/>
          <w:highlight w:val="none"/>
        </w:rPr>
      </w:pPr>
      <w:bookmarkStart w:id="61" w:name="_Toc12169"/>
      <w:bookmarkStart w:id="62" w:name="_Toc6230"/>
      <w:bookmarkStart w:id="63" w:name="_Toc30824"/>
      <w:bookmarkStart w:id="64" w:name="_Toc21847"/>
      <w:bookmarkStart w:id="65" w:name="_Toc1563"/>
      <w:bookmarkStart w:id="66" w:name="_Toc28358"/>
      <w:bookmarkStart w:id="67" w:name="_Toc5129"/>
      <w:bookmarkStart w:id="68" w:name="_Toc23515"/>
      <w:bookmarkStart w:id="69" w:name="_Toc16552"/>
      <w:bookmarkStart w:id="70" w:name="_Toc3723"/>
      <w:bookmarkStart w:id="71" w:name="_Toc8147"/>
    </w:p>
    <w:p>
      <w:pPr>
        <w:pStyle w:val="3"/>
        <w:rPr>
          <w:color w:val="auto"/>
          <w:highlight w:val="none"/>
        </w:rPr>
      </w:pP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438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336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61"/>
      <w:bookmarkEnd w:id="62"/>
      <w:bookmarkEnd w:id="63"/>
      <w:bookmarkEnd w:id="64"/>
      <w:bookmarkEnd w:id="65"/>
      <w:bookmarkEnd w:id="66"/>
      <w:bookmarkEnd w:id="67"/>
      <w:bookmarkEnd w:id="68"/>
      <w:bookmarkEnd w:id="69"/>
      <w:bookmarkEnd w:id="70"/>
      <w:bookmarkEnd w:id="71"/>
    </w:p>
    <w:p>
      <w:pPr>
        <w:pStyle w:val="38"/>
        <w:rPr>
          <w:color w:val="auto"/>
          <w:highlight w:val="none"/>
        </w:rPr>
      </w:pPr>
    </w:p>
    <w:p>
      <w:pPr>
        <w:pStyle w:val="3"/>
        <w:rPr>
          <w:color w:val="auto"/>
          <w:highlight w:val="none"/>
        </w:rPr>
      </w:pPr>
      <w:bookmarkStart w:id="72" w:name="_Toc30157"/>
      <w:bookmarkStart w:id="73" w:name="_Toc21675"/>
      <w:bookmarkStart w:id="74" w:name="_Toc12610"/>
      <w:bookmarkStart w:id="75" w:name="_Toc22764"/>
      <w:bookmarkStart w:id="76" w:name="_Toc24490"/>
      <w:bookmarkStart w:id="77" w:name="_Toc5342"/>
      <w:bookmarkStart w:id="78" w:name="_Toc88209951"/>
      <w:bookmarkStart w:id="79" w:name="_Toc87616388"/>
      <w:bookmarkStart w:id="80" w:name="_Toc10840"/>
      <w:bookmarkStart w:id="81" w:name="_Toc24815"/>
      <w:bookmarkStart w:id="82" w:name="_Toc17119"/>
      <w:bookmarkStart w:id="83" w:name="_Toc31564"/>
      <w:bookmarkStart w:id="84" w:name="_Toc12769"/>
      <w:r>
        <w:rPr>
          <w:rFonts w:hint="eastAsia"/>
          <w:color w:val="auto"/>
          <w:highlight w:val="none"/>
        </w:rPr>
        <w:t>响应文件</w:t>
      </w:r>
      <w:r>
        <w:rPr>
          <w:rFonts w:hint="eastAsia"/>
          <w:color w:val="auto"/>
          <w:highlight w:val="none"/>
          <w:lang w:val="en-US" w:eastAsia="zh-CN"/>
        </w:rPr>
        <w:t>格式要求</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hint="eastAsia" w:ascii="方正小标宋简体" w:eastAsia="方正小标宋简体"/>
          <w:color w:val="auto"/>
          <w:sz w:val="44"/>
          <w:szCs w:val="44"/>
          <w:highlight w:val="none"/>
          <w:u w:val="singl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pPr>
    </w:p>
    <w:p>
      <w:pPr>
        <w:jc w:val="center"/>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pStyle w:val="2"/>
        <w:rPr>
          <w:color w:val="auto"/>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85" w:name="_Toc88209952"/>
      <w:bookmarkStart w:id="86" w:name="_Toc87616389"/>
      <w:r>
        <w:rPr>
          <w:rFonts w:hint="eastAsia" w:ascii="仿宋_GB2312" w:eastAsia="仿宋_GB2312"/>
          <w:color w:val="auto"/>
          <w:sz w:val="28"/>
          <w:szCs w:val="28"/>
          <w:highlight w:val="none"/>
        </w:rPr>
        <w:t>1.响应函</w:t>
      </w:r>
      <w:bookmarkEnd w:id="85"/>
      <w:bookmarkEnd w:id="86"/>
    </w:p>
    <w:p>
      <w:pPr>
        <w:spacing w:line="600" w:lineRule="exact"/>
        <w:rPr>
          <w:rFonts w:hint="eastAsia" w:ascii="仿宋_GB2312" w:eastAsia="仿宋_GB2312"/>
          <w:color w:val="auto"/>
          <w:sz w:val="28"/>
          <w:szCs w:val="28"/>
          <w:highlight w:val="none"/>
        </w:rPr>
      </w:pPr>
      <w:bookmarkStart w:id="87" w:name="_Toc88209953"/>
      <w:bookmarkStart w:id="88" w:name="_Toc87616390"/>
      <w:r>
        <w:rPr>
          <w:rFonts w:hint="eastAsia" w:ascii="仿宋_GB2312" w:eastAsia="仿宋_GB2312"/>
          <w:color w:val="auto"/>
          <w:sz w:val="28"/>
          <w:szCs w:val="28"/>
          <w:highlight w:val="none"/>
        </w:rPr>
        <w:t>2.法定代表人证明或授权委托书</w:t>
      </w:r>
      <w:bookmarkEnd w:id="87"/>
      <w:bookmarkEnd w:id="88"/>
      <w:bookmarkStart w:id="89" w:name="_Toc88209956"/>
      <w:bookmarkStart w:id="90"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89"/>
      <w:bookmarkEnd w:id="90"/>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5"/>
        <w:rPr>
          <w:rFonts w:asciiTheme="minorEastAsia" w:hAnsiTheme="minorEastAsia" w:eastAsiaTheme="minorEastAsia"/>
          <w:color w:val="auto"/>
          <w:sz w:val="28"/>
          <w:szCs w:val="28"/>
          <w:highlight w:val="none"/>
        </w:rPr>
      </w:pPr>
      <w:bookmarkStart w:id="91" w:name="_Toc88209957"/>
      <w:bookmarkStart w:id="92" w:name="_Toc6313"/>
      <w:bookmarkStart w:id="93" w:name="_Toc12665"/>
      <w:bookmarkStart w:id="94" w:name="_Toc87616394"/>
      <w:bookmarkStart w:id="95" w:name="_Toc28619645"/>
      <w:r>
        <w:rPr>
          <w:rFonts w:hint="eastAsia" w:asciiTheme="minorEastAsia" w:hAnsiTheme="minorEastAsia" w:eastAsiaTheme="minorEastAsia"/>
          <w:color w:val="auto"/>
          <w:sz w:val="28"/>
          <w:szCs w:val="28"/>
          <w:highlight w:val="none"/>
        </w:rPr>
        <w:t>1.响应函</w:t>
      </w:r>
      <w:bookmarkEnd w:id="91"/>
      <w:bookmarkEnd w:id="92"/>
      <w:bookmarkEnd w:id="93"/>
      <w:bookmarkEnd w:id="94"/>
      <w:bookmarkEnd w:id="95"/>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lang w:eastAsia="zh-CN"/>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w:t>
      </w:r>
      <w:r>
        <w:rPr>
          <w:rFonts w:hint="eastAsia" w:ascii="仿宋_GB2312" w:hAnsi="黑体" w:eastAsia="仿宋_GB2312"/>
          <w:color w:val="auto"/>
          <w:sz w:val="28"/>
          <w:szCs w:val="28"/>
          <w:highlight w:val="none"/>
          <w:lang w:val="en-US" w:eastAsia="zh-CN"/>
        </w:rPr>
        <w:t>▲</w:t>
      </w:r>
      <w:r>
        <w:rPr>
          <w:rFonts w:hint="eastAsia" w:ascii="仿宋_GB2312" w:hAnsi="黑体" w:eastAsia="仿宋_GB2312"/>
          <w:color w:val="auto"/>
          <w:sz w:val="28"/>
          <w:szCs w:val="28"/>
          <w:highlight w:val="none"/>
        </w:rPr>
        <w:t>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96" w:name="_Toc88209958"/>
      <w:bookmarkStart w:id="97" w:name="_Toc87616395"/>
      <w:bookmarkStart w:id="98" w:name="_Toc22527"/>
      <w:bookmarkStart w:id="99" w:name="_Toc29833"/>
    </w:p>
    <w:p>
      <w:pPr>
        <w:pStyle w:val="2"/>
        <w:rPr>
          <w:rFonts w:hint="eastAsia"/>
        </w:rPr>
      </w:pPr>
    </w:p>
    <w:p>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96"/>
      <w:bookmarkEnd w:id="97"/>
      <w:bookmarkEnd w:id="98"/>
      <w:bookmarkEnd w:id="99"/>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40"/>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单位性质：</w:t>
      </w:r>
      <w:r>
        <w:rPr>
          <w:rFonts w:hint="eastAsia" w:ascii="仿宋_GB2312" w:hAnsi="宋体" w:eastAsia="仿宋_GB2312" w:cs="Times New Roman"/>
          <w:color w:val="auto"/>
          <w:sz w:val="30"/>
          <w:szCs w:val="30"/>
          <w:highlight w:val="none"/>
          <w:u w:val="single"/>
        </w:rPr>
        <w:t xml:space="preserve">                            </w:t>
      </w:r>
    </w:p>
    <w:p>
      <w:pPr>
        <w:pStyle w:val="39"/>
        <w:snapToGrid w:val="0"/>
        <w:spacing w:after="0"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540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540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8"/>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6"/>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643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643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6"/>
        <w:spacing w:after="0" w:line="600" w:lineRule="exact"/>
        <w:rPr>
          <w:rFonts w:ascii="仿宋_GB2312" w:eastAsia="仿宋_GB2312"/>
          <w:color w:val="auto"/>
          <w:highlight w:val="none"/>
        </w:rPr>
      </w:pPr>
    </w:p>
    <w:p>
      <w:pPr>
        <w:pStyle w:val="6"/>
        <w:spacing w:after="0" w:line="600" w:lineRule="exact"/>
        <w:rPr>
          <w:rFonts w:ascii="仿宋_GB2312" w:eastAsia="仿宋_GB2312"/>
          <w:color w:val="auto"/>
          <w:highlight w:val="none"/>
        </w:rPr>
      </w:pPr>
    </w:p>
    <w:p>
      <w:pPr>
        <w:pStyle w:val="6"/>
        <w:spacing w:after="0" w:line="600" w:lineRule="exact"/>
        <w:ind w:firstLine="0"/>
        <w:rPr>
          <w:rFonts w:ascii="仿宋_GB2312" w:eastAsia="仿宋_GB2312"/>
          <w:color w:val="auto"/>
          <w:highlight w:val="none"/>
        </w:rPr>
      </w:pPr>
    </w:p>
    <w:p>
      <w:pPr>
        <w:pStyle w:val="6"/>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5"/>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00" w:name="_Toc88209963"/>
      <w:bookmarkStart w:id="101" w:name="_Toc19830"/>
      <w:bookmarkStart w:id="102" w:name="_Toc87616400"/>
      <w:bookmarkStart w:id="103" w:name="_Toc8086"/>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00"/>
      <w:bookmarkEnd w:id="101"/>
      <w:bookmarkEnd w:id="102"/>
      <w:bookmarkEnd w:id="103"/>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04"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04"/>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我方郑重承诺，在参与广州市净水有限公司</w:t>
      </w:r>
      <w:r>
        <w:rPr>
          <w:rFonts w:hint="eastAsia" w:ascii="宋体" w:hAnsi="宋体" w:eastAsia="宋体" w:cs="宋体"/>
          <w:color w:val="auto"/>
          <w:kern w:val="2"/>
          <w:sz w:val="24"/>
          <w:szCs w:val="24"/>
          <w:highlight w:val="none"/>
          <w:lang w:val="en-GB" w:eastAsia="zh-CN"/>
        </w:rPr>
        <w:t>龙归分公司2024年厂区网络系统及视频监控系统改造项目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13"/>
        <w:snapToGrid w:val="0"/>
        <w:spacing w:line="600" w:lineRule="exact"/>
        <w:ind w:firstLine="0" w:firstLineChars="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pStyle w:val="22"/>
        <w:ind w:firstLine="0"/>
        <w:rPr>
          <w:rFonts w:hint="default" w:ascii="仿宋_GB2312" w:eastAsia="仿宋_GB2312" w:hAnsiTheme="minorEastAsia"/>
          <w:color w:val="auto"/>
          <w:sz w:val="28"/>
          <w:szCs w:val="28"/>
          <w:highlight w:val="none"/>
          <w:lang w:val="en-US" w:eastAsia="zh-CN"/>
        </w:rPr>
      </w:pPr>
      <w:r>
        <w:rPr>
          <w:rFonts w:hint="eastAsia" w:ascii="仿宋_GB2312" w:hAnsi="宋体" w:eastAsia="仿宋_GB2312"/>
          <w:color w:val="auto"/>
          <w:sz w:val="30"/>
          <w:szCs w:val="30"/>
          <w:highlight w:val="none"/>
        </w:rPr>
        <w:t>日  期：</w:t>
      </w:r>
      <w:r>
        <w:rPr>
          <w:rFonts w:hint="eastAsia" w:ascii="仿宋_GB2312" w:eastAsia="仿宋_GB2312"/>
          <w:color w:val="auto"/>
          <w:sz w:val="30"/>
          <w:szCs w:val="30"/>
          <w:highlight w:val="none"/>
          <w:u w:val="single"/>
          <w:lang w:val="en-US" w:eastAsia="zh-CN"/>
        </w:rPr>
        <w:t xml:space="preserve">    </w:t>
      </w:r>
      <w:bookmarkStart w:id="111" w:name="_GoBack"/>
      <w:bookmarkEnd w:id="111"/>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rPr>
          <w:rFonts w:hint="eastAsia" w:asciiTheme="minorEastAsia" w:hAnsiTheme="minorEastAsia" w:eastAsiaTheme="minorEastAsia"/>
          <w:color w:val="auto"/>
          <w:sz w:val="28"/>
          <w:szCs w:val="28"/>
          <w:highlight w:val="none"/>
        </w:rPr>
      </w:pPr>
      <w:bookmarkStart w:id="105" w:name="_Toc19423"/>
      <w:bookmarkStart w:id="106" w:name="_Toc32430"/>
      <w:r>
        <w:rPr>
          <w:rFonts w:hint="eastAsia" w:ascii="仿宋_GB2312" w:eastAsia="仿宋_GB2312" w:hAnsiTheme="minorEastAsia"/>
          <w:color w:val="auto"/>
          <w:sz w:val="28"/>
          <w:szCs w:val="28"/>
          <w:highlight w:val="none"/>
          <w:lang w:val="en-US" w:eastAsia="zh-CN"/>
        </w:rPr>
        <w:br w:type="page"/>
      </w:r>
    </w:p>
    <w:p>
      <w:pPr>
        <w:pStyle w:val="5"/>
        <w:numPr>
          <w:ilvl w:val="0"/>
          <w:numId w:val="5"/>
        </w:numPr>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报价表</w:t>
      </w:r>
      <w:bookmarkEnd w:id="105"/>
      <w:bookmarkEnd w:id="106"/>
    </w:p>
    <w:tbl>
      <w:tblPr>
        <w:tblStyle w:val="23"/>
        <w:tblpPr w:leftFromText="180" w:rightFromText="180" w:vertAnchor="text" w:horzAnchor="page" w:tblpX="1034" w:tblpY="1041"/>
        <w:tblOverlap w:val="never"/>
        <w:tblW w:w="10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9"/>
        <w:gridCol w:w="1262"/>
        <w:gridCol w:w="1459"/>
        <w:gridCol w:w="2554"/>
        <w:gridCol w:w="236"/>
        <w:gridCol w:w="497"/>
        <w:gridCol w:w="845"/>
        <w:gridCol w:w="178"/>
        <w:gridCol w:w="987"/>
        <w:gridCol w:w="1067"/>
        <w:gridCol w:w="7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1041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834"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工程名称：龙归分公司2024年厂区网络系统及视频监控系统改造项目</w:t>
            </w:r>
          </w:p>
        </w:tc>
        <w:tc>
          <w:tcPr>
            <w:tcW w:w="1756"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2820"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9"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26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项目编码</w:t>
            </w:r>
          </w:p>
        </w:tc>
        <w:tc>
          <w:tcPr>
            <w:tcW w:w="145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279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项目特征描述</w:t>
            </w:r>
          </w:p>
        </w:tc>
        <w:tc>
          <w:tcPr>
            <w:tcW w:w="49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计量单位</w:t>
            </w:r>
          </w:p>
        </w:tc>
        <w:tc>
          <w:tcPr>
            <w:tcW w:w="84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工程量</w:t>
            </w:r>
          </w:p>
        </w:tc>
        <w:tc>
          <w:tcPr>
            <w:tcW w:w="2998"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9"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26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45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279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49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84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16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综合单价</w:t>
            </w:r>
          </w:p>
        </w:tc>
        <w:tc>
          <w:tcPr>
            <w:tcW w:w="1067"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综合合价</w:t>
            </w:r>
          </w:p>
        </w:tc>
        <w:tc>
          <w:tcPr>
            <w:tcW w:w="7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9"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26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45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279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49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84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16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2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视频监控系统</w:t>
            </w:r>
          </w:p>
        </w:tc>
        <w:tc>
          <w:tcPr>
            <w:tcW w:w="27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4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1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wordWrap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w:t>
            </w:r>
          </w:p>
        </w:tc>
        <w:tc>
          <w:tcPr>
            <w:tcW w:w="7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030507008003</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拆除原监控摄像设备</w:t>
            </w:r>
          </w:p>
        </w:tc>
        <w:tc>
          <w:tcPr>
            <w:tcW w:w="27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1.名称:原设备拆除</w:t>
            </w:r>
          </w:p>
        </w:tc>
        <w:tc>
          <w:tcPr>
            <w:tcW w:w="4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11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kern w:val="2"/>
                <w:sz w:val="20"/>
                <w:szCs w:val="20"/>
                <w:highlight w:val="none"/>
                <w:u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wordWrap w:val="0"/>
              <w:jc w:val="righ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 xml:space="preserve"> </w:t>
            </w:r>
          </w:p>
        </w:tc>
        <w:tc>
          <w:tcPr>
            <w:tcW w:w="7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2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030507008001</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球型网络摄像机</w:t>
            </w:r>
          </w:p>
        </w:tc>
        <w:tc>
          <w:tcPr>
            <w:tcW w:w="27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1.名称:球形网络摄像机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2.类别:视频监控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3.安装方式:壁挂</w:t>
            </w:r>
          </w:p>
        </w:tc>
        <w:tc>
          <w:tcPr>
            <w:tcW w:w="4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11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kern w:val="2"/>
                <w:sz w:val="20"/>
                <w:szCs w:val="20"/>
                <w:highlight w:val="none"/>
                <w:u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wordWrap w:val="0"/>
              <w:jc w:val="righ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 xml:space="preserve"> </w:t>
            </w:r>
          </w:p>
        </w:tc>
        <w:tc>
          <w:tcPr>
            <w:tcW w:w="7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2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030501017002</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公司平台接入授权</w:t>
            </w:r>
          </w:p>
        </w:tc>
        <w:tc>
          <w:tcPr>
            <w:tcW w:w="27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其中本地使用视频监控授权、设备网络管理授权、视频质量诊断授权各400路；公司级综合管理平台视频监控授权、设备网络管理授权、视频质量诊断授权各200路；</w:t>
            </w:r>
          </w:p>
        </w:tc>
        <w:tc>
          <w:tcPr>
            <w:tcW w:w="4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点</w:t>
            </w: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150</w:t>
            </w:r>
          </w:p>
        </w:tc>
        <w:tc>
          <w:tcPr>
            <w:tcW w:w="11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kern w:val="2"/>
                <w:sz w:val="20"/>
                <w:szCs w:val="20"/>
                <w:highlight w:val="none"/>
                <w:u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wordWrap w:val="0"/>
              <w:jc w:val="righ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 xml:space="preserve"> </w:t>
            </w:r>
          </w:p>
        </w:tc>
        <w:tc>
          <w:tcPr>
            <w:tcW w:w="7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2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030501017003</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分公司平台接入授权</w:t>
            </w:r>
          </w:p>
        </w:tc>
        <w:tc>
          <w:tcPr>
            <w:tcW w:w="27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其中本地使用视频监控授权、设备网络管理授权、视频质量诊断授权各400路；公司级综合管理平台视频监控授权、设备网络管理授权、视频质量诊断授权各200路；</w:t>
            </w:r>
          </w:p>
        </w:tc>
        <w:tc>
          <w:tcPr>
            <w:tcW w:w="4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点</w:t>
            </w: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450</w:t>
            </w:r>
          </w:p>
        </w:tc>
        <w:tc>
          <w:tcPr>
            <w:tcW w:w="11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kern w:val="2"/>
                <w:sz w:val="20"/>
                <w:szCs w:val="20"/>
                <w:highlight w:val="none"/>
                <w:u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wordWrap w:val="0"/>
              <w:jc w:val="righ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 xml:space="preserve"> </w:t>
            </w:r>
          </w:p>
        </w:tc>
        <w:tc>
          <w:tcPr>
            <w:tcW w:w="7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0"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2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030507013003</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IoT-CVR存储</w:t>
            </w:r>
          </w:p>
        </w:tc>
        <w:tc>
          <w:tcPr>
            <w:tcW w:w="27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1.名称:IoT-CVR存储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2.存储容量、格式:50块8T监控专用硬盘</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3.服务器配置：≥1颗64位多核处理器，≥4GB内存，内存支持扩展到≥128GB，内置SSD固态硬盘（可以扩展到2个SSD作为缓存盘），配置≥6个风扇，可热插拔冗余温控调速风扇。</w:t>
            </w:r>
          </w:p>
        </w:tc>
        <w:tc>
          <w:tcPr>
            <w:tcW w:w="4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1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kern w:val="2"/>
                <w:sz w:val="20"/>
                <w:szCs w:val="20"/>
                <w:highlight w:val="none"/>
                <w:u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wordWrap w:val="0"/>
              <w:jc w:val="righ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 xml:space="preserve"> </w:t>
            </w:r>
          </w:p>
        </w:tc>
        <w:tc>
          <w:tcPr>
            <w:tcW w:w="7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2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030501013001</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数据服务器</w:t>
            </w:r>
          </w:p>
        </w:tc>
        <w:tc>
          <w:tcPr>
            <w:tcW w:w="27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1.2U双路标准机架式服务器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2.CPU：配置1颗intel至强4210R处理器，核数≥10核，主频≥2.4GHz</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3.内存：配置64G DDR4，16根内存插槽，最大支持扩展至2TB内存</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4.硬盘：配置2块1.2T 10K 2.5寸 SAS硬盘；   最高支持12块3.5寸(兼容2.5寸)热插拔SAS/SATA硬盘，支持可选2块后置热插拔2.5寸硬盘</w:t>
            </w:r>
          </w:p>
        </w:tc>
        <w:tc>
          <w:tcPr>
            <w:tcW w:w="4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kern w:val="2"/>
                <w:sz w:val="20"/>
                <w:szCs w:val="20"/>
                <w:highlight w:val="none"/>
                <w:u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wordWrap w:val="0"/>
              <w:jc w:val="righ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 xml:space="preserve"> </w:t>
            </w:r>
          </w:p>
        </w:tc>
        <w:tc>
          <w:tcPr>
            <w:tcW w:w="7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2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030501017001</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综合安防管理平台</w:t>
            </w:r>
          </w:p>
        </w:tc>
        <w:tc>
          <w:tcPr>
            <w:tcW w:w="27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1.要求监控点最多管理容量为1000000路</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2.要求系统支持国标协议上下级平台级联，支持流媒体集群配置</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3.要求支持接入海康SDK、海康EHOME、海康ISUP5.0、ONVIF、GB/T28181等协议的设备</w:t>
            </w:r>
          </w:p>
        </w:tc>
        <w:tc>
          <w:tcPr>
            <w:tcW w:w="4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kern w:val="2"/>
                <w:sz w:val="20"/>
                <w:szCs w:val="20"/>
                <w:highlight w:val="none"/>
                <w:u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wordWrap w:val="0"/>
              <w:jc w:val="righ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 xml:space="preserve"> </w:t>
            </w:r>
          </w:p>
        </w:tc>
        <w:tc>
          <w:tcPr>
            <w:tcW w:w="7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2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030506008001</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视频系统调试</w:t>
            </w:r>
          </w:p>
        </w:tc>
        <w:tc>
          <w:tcPr>
            <w:tcW w:w="27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1.名称:视频系统调试</w:t>
            </w:r>
          </w:p>
        </w:tc>
        <w:tc>
          <w:tcPr>
            <w:tcW w:w="4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系统</w:t>
            </w: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kern w:val="2"/>
                <w:sz w:val="20"/>
                <w:szCs w:val="20"/>
                <w:highlight w:val="none"/>
                <w:u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wordWrap w:val="0"/>
              <w:jc w:val="righ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 xml:space="preserve"> </w:t>
            </w:r>
          </w:p>
        </w:tc>
        <w:tc>
          <w:tcPr>
            <w:tcW w:w="7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2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网络系统</w:t>
            </w:r>
          </w:p>
        </w:tc>
        <w:tc>
          <w:tcPr>
            <w:tcW w:w="27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4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1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kern w:val="2"/>
                <w:sz w:val="20"/>
                <w:szCs w:val="20"/>
                <w:highlight w:val="none"/>
                <w:u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wordWrap w:val="0"/>
              <w:jc w:val="righ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 xml:space="preserve"> </w:t>
            </w:r>
          </w:p>
        </w:tc>
        <w:tc>
          <w:tcPr>
            <w:tcW w:w="7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2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030501012001</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核心交换机</w:t>
            </w:r>
          </w:p>
        </w:tc>
        <w:tc>
          <w:tcPr>
            <w:tcW w:w="27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1.名称:核心交换机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2.层数:3</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3.万兆SFP+光口≥24个，千兆电口≥24个，40GQSFP+光口≥2个；</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4.交换性能≥2.56Tbps/23.04Tbps，包转发率≥1080Mpps</w:t>
            </w:r>
          </w:p>
        </w:tc>
        <w:tc>
          <w:tcPr>
            <w:tcW w:w="4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1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kern w:val="2"/>
                <w:sz w:val="20"/>
                <w:szCs w:val="20"/>
                <w:highlight w:val="none"/>
                <w:u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wordWrap w:val="0"/>
              <w:jc w:val="righ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 xml:space="preserve"> </w:t>
            </w:r>
          </w:p>
        </w:tc>
        <w:tc>
          <w:tcPr>
            <w:tcW w:w="7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2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030501012002</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汇聚交换机</w:t>
            </w:r>
          </w:p>
        </w:tc>
        <w:tc>
          <w:tcPr>
            <w:tcW w:w="27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1.名称:汇聚交换机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2.100/1000Base-X千兆光口≥24个，千兆电Combo口≥4个（可与24个光口中的4个复用），10GSFP+万兆光口≥4个</w:t>
            </w:r>
          </w:p>
        </w:tc>
        <w:tc>
          <w:tcPr>
            <w:tcW w:w="4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1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kern w:val="2"/>
                <w:sz w:val="20"/>
                <w:szCs w:val="20"/>
                <w:highlight w:val="none"/>
                <w:u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wordWrap w:val="0"/>
              <w:jc w:val="righ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 xml:space="preserve"> </w:t>
            </w:r>
          </w:p>
        </w:tc>
        <w:tc>
          <w:tcPr>
            <w:tcW w:w="7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12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030501012004</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汇聚交换机</w:t>
            </w:r>
          </w:p>
        </w:tc>
        <w:tc>
          <w:tcPr>
            <w:tcW w:w="27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1.名称:汇聚交换机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2.千兆SFP光口≥48个，SFP+光口≥4个；</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3.交换性能≥758Gbps/7.58Tbps，包转发率≥432Mpps</w:t>
            </w:r>
          </w:p>
        </w:tc>
        <w:tc>
          <w:tcPr>
            <w:tcW w:w="4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1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kern w:val="2"/>
                <w:sz w:val="20"/>
                <w:szCs w:val="20"/>
                <w:highlight w:val="none"/>
                <w:u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wordWrap w:val="0"/>
              <w:jc w:val="righ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 xml:space="preserve"> </w:t>
            </w:r>
          </w:p>
        </w:tc>
        <w:tc>
          <w:tcPr>
            <w:tcW w:w="7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0"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12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030501012003</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汇聚交换机</w:t>
            </w:r>
          </w:p>
        </w:tc>
        <w:tc>
          <w:tcPr>
            <w:tcW w:w="27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1.POE交换机，24个千兆POE电口，4个万兆SFP+光口；</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2.交换容量:432Gbps/4.32Tbps 包转发率:156Mpps/168Mpps，支持全端口线速转发；</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3.支持IEEE 802.3af/at供电标准，单端口最大输出PoE功率30W，整机最大输出PoE功率370W；支持NAC统一管理、统一查看状态、VLAN等配置管理；支持终端识别、终端准入、安全防护及安全画像可视；支持胖瘦一体化；</w:t>
            </w:r>
          </w:p>
        </w:tc>
        <w:tc>
          <w:tcPr>
            <w:tcW w:w="4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kern w:val="2"/>
                <w:sz w:val="20"/>
                <w:szCs w:val="20"/>
                <w:highlight w:val="none"/>
                <w:u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wordWrap w:val="0"/>
              <w:jc w:val="righ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 xml:space="preserve"> </w:t>
            </w:r>
          </w:p>
        </w:tc>
        <w:tc>
          <w:tcPr>
            <w:tcW w:w="7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5"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12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030501013002</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流量管控主机</w:t>
            </w:r>
          </w:p>
        </w:tc>
        <w:tc>
          <w:tcPr>
            <w:tcW w:w="27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1.名称：流量管控主机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2.采用非X86多核架构，2U机架式设备，具备2.4寸液晶屏，具备触碰按钮；</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3.可显示版本号、CPU利用率、内存利用率、设备名称、管理IP等信息</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3.10个千兆电口（含4个POE供电口）+1个千兆光口，1个Console口，1个USB口，2个扩展槽位，自带1T硬盘。</w:t>
            </w:r>
          </w:p>
        </w:tc>
        <w:tc>
          <w:tcPr>
            <w:tcW w:w="4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kern w:val="2"/>
                <w:sz w:val="20"/>
                <w:szCs w:val="20"/>
                <w:highlight w:val="none"/>
                <w:u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wordWrap w:val="0"/>
              <w:jc w:val="righ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 xml:space="preserve"> </w:t>
            </w:r>
          </w:p>
        </w:tc>
        <w:tc>
          <w:tcPr>
            <w:tcW w:w="7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12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030608006001</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网络系统及设备联调</w:t>
            </w:r>
          </w:p>
        </w:tc>
        <w:tc>
          <w:tcPr>
            <w:tcW w:w="27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1.名称:网络系统及设备联调</w:t>
            </w:r>
          </w:p>
        </w:tc>
        <w:tc>
          <w:tcPr>
            <w:tcW w:w="4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kern w:val="2"/>
                <w:sz w:val="20"/>
                <w:szCs w:val="20"/>
                <w:highlight w:val="none"/>
                <w:u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wordWrap w:val="0"/>
              <w:jc w:val="righ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 xml:space="preserve"> </w:t>
            </w:r>
          </w:p>
        </w:tc>
        <w:tc>
          <w:tcPr>
            <w:tcW w:w="7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12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030501017004</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软件授权（交换机接入）</w:t>
            </w:r>
          </w:p>
        </w:tc>
        <w:tc>
          <w:tcPr>
            <w:tcW w:w="27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4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1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kern w:val="2"/>
                <w:sz w:val="20"/>
                <w:szCs w:val="20"/>
                <w:highlight w:val="none"/>
                <w:u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wordWrap w:val="0"/>
              <w:jc w:val="righ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 xml:space="preserve"> </w:t>
            </w:r>
          </w:p>
        </w:tc>
        <w:tc>
          <w:tcPr>
            <w:tcW w:w="7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2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机房综合布线</w:t>
            </w:r>
          </w:p>
        </w:tc>
        <w:tc>
          <w:tcPr>
            <w:tcW w:w="27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4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1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kern w:val="2"/>
                <w:sz w:val="20"/>
                <w:szCs w:val="20"/>
                <w:highlight w:val="none"/>
                <w:u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wordWrap w:val="0"/>
              <w:jc w:val="righ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 xml:space="preserve"> </w:t>
            </w:r>
          </w:p>
        </w:tc>
        <w:tc>
          <w:tcPr>
            <w:tcW w:w="7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12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030502009001</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跳线</w:t>
            </w:r>
          </w:p>
        </w:tc>
        <w:tc>
          <w:tcPr>
            <w:tcW w:w="27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1.名称:跳线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2.规格:CAT6 3m</w:t>
            </w:r>
          </w:p>
        </w:tc>
        <w:tc>
          <w:tcPr>
            <w:tcW w:w="4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条</w:t>
            </w: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230</w:t>
            </w:r>
          </w:p>
        </w:tc>
        <w:tc>
          <w:tcPr>
            <w:tcW w:w="11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kern w:val="2"/>
                <w:sz w:val="20"/>
                <w:szCs w:val="20"/>
                <w:highlight w:val="none"/>
                <w:u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wordWrap w:val="0"/>
              <w:jc w:val="righ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 xml:space="preserve"> </w:t>
            </w:r>
          </w:p>
        </w:tc>
        <w:tc>
          <w:tcPr>
            <w:tcW w:w="7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12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030502010001</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配线架</w:t>
            </w:r>
          </w:p>
        </w:tc>
        <w:tc>
          <w:tcPr>
            <w:tcW w:w="27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1.名称:配线架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2.容量:24口</w:t>
            </w:r>
          </w:p>
        </w:tc>
        <w:tc>
          <w:tcPr>
            <w:tcW w:w="4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1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kern w:val="2"/>
                <w:sz w:val="20"/>
                <w:szCs w:val="20"/>
                <w:highlight w:val="none"/>
                <w:u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wordWrap w:val="0"/>
              <w:jc w:val="righ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 xml:space="preserve"> </w:t>
            </w:r>
          </w:p>
        </w:tc>
        <w:tc>
          <w:tcPr>
            <w:tcW w:w="7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12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030502011001</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跳线架</w:t>
            </w:r>
          </w:p>
        </w:tc>
        <w:tc>
          <w:tcPr>
            <w:tcW w:w="27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1.名称:跳线架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2.容量:100对</w:t>
            </w:r>
          </w:p>
        </w:tc>
        <w:tc>
          <w:tcPr>
            <w:tcW w:w="4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1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kern w:val="2"/>
                <w:sz w:val="20"/>
                <w:szCs w:val="20"/>
                <w:highlight w:val="none"/>
                <w:u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wordWrap w:val="0"/>
              <w:jc w:val="righ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 xml:space="preserve"> </w:t>
            </w:r>
          </w:p>
        </w:tc>
        <w:tc>
          <w:tcPr>
            <w:tcW w:w="7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w:t>
            </w:r>
          </w:p>
        </w:tc>
        <w:tc>
          <w:tcPr>
            <w:tcW w:w="12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030502016001</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布放尾纤</w:t>
            </w:r>
          </w:p>
        </w:tc>
        <w:tc>
          <w:tcPr>
            <w:tcW w:w="27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1.名称:布放尾纤</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2.安装方式:熔接</w:t>
            </w:r>
          </w:p>
        </w:tc>
        <w:tc>
          <w:tcPr>
            <w:tcW w:w="4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根</w:t>
            </w: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75</w:t>
            </w:r>
          </w:p>
        </w:tc>
        <w:tc>
          <w:tcPr>
            <w:tcW w:w="11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kern w:val="2"/>
                <w:sz w:val="20"/>
                <w:szCs w:val="20"/>
                <w:highlight w:val="none"/>
                <w:u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wordWrap w:val="0"/>
              <w:jc w:val="righ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 xml:space="preserve"> </w:t>
            </w:r>
          </w:p>
        </w:tc>
        <w:tc>
          <w:tcPr>
            <w:tcW w:w="7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2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030502020001</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光纤测试</w:t>
            </w:r>
          </w:p>
        </w:tc>
        <w:tc>
          <w:tcPr>
            <w:tcW w:w="27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1.测试类别:光纤测试</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2.测试内容:通断、功率</w:t>
            </w:r>
          </w:p>
        </w:tc>
        <w:tc>
          <w:tcPr>
            <w:tcW w:w="4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芯</w:t>
            </w: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75</w:t>
            </w:r>
          </w:p>
        </w:tc>
        <w:tc>
          <w:tcPr>
            <w:tcW w:w="11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kern w:val="2"/>
                <w:sz w:val="20"/>
                <w:szCs w:val="20"/>
                <w:highlight w:val="none"/>
                <w:u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wordWrap w:val="0"/>
              <w:jc w:val="righ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 xml:space="preserve"> </w:t>
            </w:r>
          </w:p>
        </w:tc>
        <w:tc>
          <w:tcPr>
            <w:tcW w:w="7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12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030502019001</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双绞线测试</w:t>
            </w:r>
          </w:p>
        </w:tc>
        <w:tc>
          <w:tcPr>
            <w:tcW w:w="27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1.测试类别:双绞线测试</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2.测试内容:通断、信号强度</w:t>
            </w:r>
          </w:p>
        </w:tc>
        <w:tc>
          <w:tcPr>
            <w:tcW w:w="4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点</w:t>
            </w: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230</w:t>
            </w:r>
          </w:p>
        </w:tc>
        <w:tc>
          <w:tcPr>
            <w:tcW w:w="11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kern w:val="2"/>
                <w:sz w:val="20"/>
                <w:szCs w:val="20"/>
                <w:highlight w:val="none"/>
                <w:u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wordWrap w:val="0"/>
              <w:jc w:val="righ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 xml:space="preserve"> </w:t>
            </w:r>
          </w:p>
        </w:tc>
        <w:tc>
          <w:tcPr>
            <w:tcW w:w="7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12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030502001001</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机柜安装</w:t>
            </w:r>
          </w:p>
        </w:tc>
        <w:tc>
          <w:tcPr>
            <w:tcW w:w="27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1.名称:机柜安装</w:t>
            </w:r>
          </w:p>
        </w:tc>
        <w:tc>
          <w:tcPr>
            <w:tcW w:w="4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kern w:val="2"/>
                <w:sz w:val="20"/>
                <w:szCs w:val="20"/>
                <w:highlight w:val="none"/>
                <w:u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wordWrap w:val="0"/>
              <w:jc w:val="righ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 xml:space="preserve"> </w:t>
            </w:r>
          </w:p>
        </w:tc>
        <w:tc>
          <w:tcPr>
            <w:tcW w:w="7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c>
          <w:tcPr>
            <w:tcW w:w="12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030502013001</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光纤盒</w:t>
            </w:r>
          </w:p>
        </w:tc>
        <w:tc>
          <w:tcPr>
            <w:tcW w:w="27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1.名称:光纤盒</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2.规格:24芯</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3.安装方式:机架式</w:t>
            </w:r>
          </w:p>
        </w:tc>
        <w:tc>
          <w:tcPr>
            <w:tcW w:w="4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1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kern w:val="2"/>
                <w:sz w:val="20"/>
                <w:szCs w:val="20"/>
                <w:highlight w:val="none"/>
                <w:u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wordWrap w:val="0"/>
              <w:jc w:val="righ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 xml:space="preserve"> </w:t>
            </w:r>
          </w:p>
        </w:tc>
        <w:tc>
          <w:tcPr>
            <w:tcW w:w="7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12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030502014001</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光纤连接</w:t>
            </w:r>
          </w:p>
        </w:tc>
        <w:tc>
          <w:tcPr>
            <w:tcW w:w="27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1.方法:熔接</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2.模式:单模</w:t>
            </w:r>
          </w:p>
        </w:tc>
        <w:tc>
          <w:tcPr>
            <w:tcW w:w="4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芯</w:t>
            </w: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75</w:t>
            </w:r>
          </w:p>
        </w:tc>
        <w:tc>
          <w:tcPr>
            <w:tcW w:w="11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kern w:val="2"/>
                <w:sz w:val="20"/>
                <w:szCs w:val="20"/>
                <w:highlight w:val="none"/>
                <w:u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wordWrap w:val="0"/>
              <w:jc w:val="righ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 xml:space="preserve"> </w:t>
            </w:r>
          </w:p>
        </w:tc>
        <w:tc>
          <w:tcPr>
            <w:tcW w:w="7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12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030502009002</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跳线</w:t>
            </w:r>
          </w:p>
        </w:tc>
        <w:tc>
          <w:tcPr>
            <w:tcW w:w="27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1.名称:光纤跳线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2.规格:3m</w:t>
            </w:r>
          </w:p>
        </w:tc>
        <w:tc>
          <w:tcPr>
            <w:tcW w:w="4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条</w:t>
            </w: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75</w:t>
            </w:r>
          </w:p>
        </w:tc>
        <w:tc>
          <w:tcPr>
            <w:tcW w:w="11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kern w:val="2"/>
                <w:sz w:val="20"/>
                <w:szCs w:val="20"/>
                <w:highlight w:val="none"/>
                <w:u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wordWrap w:val="0"/>
              <w:jc w:val="righ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 xml:space="preserve"> </w:t>
            </w:r>
          </w:p>
        </w:tc>
        <w:tc>
          <w:tcPr>
            <w:tcW w:w="7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w:t>
            </w:r>
          </w:p>
        </w:tc>
        <w:tc>
          <w:tcPr>
            <w:tcW w:w="12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030501010001</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光模块</w:t>
            </w:r>
          </w:p>
        </w:tc>
        <w:tc>
          <w:tcPr>
            <w:tcW w:w="27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1.名称:光模块</w:t>
            </w:r>
          </w:p>
        </w:tc>
        <w:tc>
          <w:tcPr>
            <w:tcW w:w="4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11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kern w:val="2"/>
                <w:sz w:val="20"/>
                <w:szCs w:val="20"/>
                <w:highlight w:val="none"/>
                <w:u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wordWrap w:val="0"/>
              <w:jc w:val="righ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 xml:space="preserve"> </w:t>
            </w:r>
          </w:p>
        </w:tc>
        <w:tc>
          <w:tcPr>
            <w:tcW w:w="7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w:t>
            </w:r>
          </w:p>
        </w:tc>
        <w:tc>
          <w:tcPr>
            <w:tcW w:w="12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030414007001</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UPS不间断电源</w:t>
            </w:r>
          </w:p>
        </w:tc>
        <w:tc>
          <w:tcPr>
            <w:tcW w:w="27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20KV·A  60分钟20KVA 满足维持中控室机柜设备断电延时不小于60分钟</w:t>
            </w:r>
          </w:p>
        </w:tc>
        <w:tc>
          <w:tcPr>
            <w:tcW w:w="4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系统</w:t>
            </w: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kern w:val="2"/>
                <w:sz w:val="20"/>
                <w:szCs w:val="20"/>
                <w:highlight w:val="none"/>
                <w:u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wordWrap w:val="0"/>
              <w:jc w:val="righ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 xml:space="preserve"> </w:t>
            </w:r>
          </w:p>
        </w:tc>
        <w:tc>
          <w:tcPr>
            <w:tcW w:w="7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w:t>
            </w:r>
          </w:p>
        </w:tc>
        <w:tc>
          <w:tcPr>
            <w:tcW w:w="12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030414007002</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UPS不间断电源</w:t>
            </w:r>
          </w:p>
        </w:tc>
        <w:tc>
          <w:tcPr>
            <w:tcW w:w="27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3KVA满足维持PLC机柜设备断电延长不少于30分钟。</w:t>
            </w:r>
          </w:p>
        </w:tc>
        <w:tc>
          <w:tcPr>
            <w:tcW w:w="4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系统</w:t>
            </w: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1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kern w:val="2"/>
                <w:sz w:val="20"/>
                <w:szCs w:val="20"/>
                <w:highlight w:val="none"/>
                <w:u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wordWrap w:val="0"/>
              <w:jc w:val="righ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 xml:space="preserve"> </w:t>
            </w:r>
          </w:p>
        </w:tc>
        <w:tc>
          <w:tcPr>
            <w:tcW w:w="7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2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措施项目</w:t>
            </w:r>
          </w:p>
        </w:tc>
        <w:tc>
          <w:tcPr>
            <w:tcW w:w="27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4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1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w:t>
            </w:r>
          </w:p>
        </w:tc>
        <w:tc>
          <w:tcPr>
            <w:tcW w:w="12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031302007001</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高层施工增加</w:t>
            </w:r>
          </w:p>
        </w:tc>
        <w:tc>
          <w:tcPr>
            <w:tcW w:w="27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4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12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031301017001</w:t>
            </w:r>
          </w:p>
        </w:tc>
        <w:tc>
          <w:tcPr>
            <w:tcW w:w="14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脚手架搭拆费</w:t>
            </w:r>
          </w:p>
        </w:tc>
        <w:tc>
          <w:tcPr>
            <w:tcW w:w="27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49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577" w:type="dxa"/>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本页小计</w:t>
            </w:r>
          </w:p>
        </w:tc>
        <w:tc>
          <w:tcPr>
            <w:tcW w:w="10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wordWrap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w:t>
            </w:r>
          </w:p>
        </w:tc>
        <w:tc>
          <w:tcPr>
            <w:tcW w:w="76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577"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   计</w:t>
            </w:r>
          </w:p>
        </w:tc>
        <w:tc>
          <w:tcPr>
            <w:tcW w:w="1067"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wordWrap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w:t>
            </w:r>
          </w:p>
        </w:tc>
        <w:tc>
          <w:tcPr>
            <w:tcW w:w="766"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bl>
    <w:p>
      <w:pPr>
        <w:numPr>
          <w:ilvl w:val="-1"/>
          <w:numId w:val="0"/>
        </w:numPr>
        <w:rPr>
          <w:color w:val="auto"/>
          <w:highlight w:val="none"/>
        </w:rPr>
      </w:pPr>
    </w:p>
    <w:p>
      <w:pPr>
        <w:pStyle w:val="2"/>
        <w:rPr>
          <w:color w:val="auto"/>
          <w:highlight w:val="none"/>
        </w:rPr>
      </w:pPr>
    </w:p>
    <w:tbl>
      <w:tblPr>
        <w:tblStyle w:val="23"/>
        <w:tblpPr w:leftFromText="180" w:rightFromText="180" w:vertAnchor="text" w:horzAnchor="page" w:tblpX="1054" w:tblpY="305"/>
        <w:tblOverlap w:val="never"/>
        <w:tblW w:w="10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5"/>
        <w:gridCol w:w="1416"/>
        <w:gridCol w:w="1708"/>
        <w:gridCol w:w="1362"/>
        <w:gridCol w:w="779"/>
        <w:gridCol w:w="75"/>
        <w:gridCol w:w="1107"/>
        <w:gridCol w:w="922"/>
        <w:gridCol w:w="1021"/>
        <w:gridCol w:w="13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10410" w:type="dxa"/>
            <w:gridSpan w:val="1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6025" w:type="dxa"/>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工程名称：龙归分公司2024年厂区网络系统及视频监控系统改造项目</w:t>
            </w:r>
          </w:p>
        </w:tc>
        <w:tc>
          <w:tcPr>
            <w:tcW w:w="2029"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2356"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1 页  共 1页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8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41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项目编码</w:t>
            </w:r>
          </w:p>
        </w:tc>
        <w:tc>
          <w:tcPr>
            <w:tcW w:w="170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1362"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计算基础</w:t>
            </w:r>
          </w:p>
        </w:tc>
        <w:tc>
          <w:tcPr>
            <w:tcW w:w="779"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费率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w:t>
            </w:r>
          </w:p>
        </w:tc>
        <w:tc>
          <w:tcPr>
            <w:tcW w:w="1182"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(元)</w:t>
            </w:r>
          </w:p>
        </w:tc>
        <w:tc>
          <w:tcPr>
            <w:tcW w:w="922"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调整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费率(%)</w:t>
            </w:r>
          </w:p>
        </w:tc>
        <w:tc>
          <w:tcPr>
            <w:tcW w:w="1021"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调整后</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金额(元)</w:t>
            </w:r>
          </w:p>
        </w:tc>
        <w:tc>
          <w:tcPr>
            <w:tcW w:w="1335"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LSSGCSF00001</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绿色施工安全防护措施费</w:t>
            </w:r>
          </w:p>
        </w:tc>
        <w:tc>
          <w:tcPr>
            <w:tcW w:w="13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分部分项人工费+分部分项机械费</w:t>
            </w:r>
          </w:p>
        </w:tc>
        <w:tc>
          <w:tcPr>
            <w:tcW w:w="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35.77</w:t>
            </w:r>
          </w:p>
        </w:tc>
        <w:tc>
          <w:tcPr>
            <w:tcW w:w="118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9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0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3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031301010001</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安装与生产同时进行增加费用</w:t>
            </w:r>
          </w:p>
        </w:tc>
        <w:tc>
          <w:tcPr>
            <w:tcW w:w="13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分部分项人工费</w:t>
            </w:r>
          </w:p>
        </w:tc>
        <w:tc>
          <w:tcPr>
            <w:tcW w:w="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w:t>
            </w:r>
          </w:p>
        </w:tc>
        <w:tc>
          <w:tcPr>
            <w:tcW w:w="118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0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3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031301011001</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在有害身体健康环境中施工增加费</w:t>
            </w:r>
          </w:p>
        </w:tc>
        <w:tc>
          <w:tcPr>
            <w:tcW w:w="13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分部分项人工费</w:t>
            </w:r>
          </w:p>
        </w:tc>
        <w:tc>
          <w:tcPr>
            <w:tcW w:w="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w:t>
            </w:r>
          </w:p>
        </w:tc>
        <w:tc>
          <w:tcPr>
            <w:tcW w:w="118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0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3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TSSGBWZJF001</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在地下（暗）室、设备及大口径管道内等特殊施工部位进行施工增加费</w:t>
            </w:r>
          </w:p>
        </w:tc>
        <w:tc>
          <w:tcPr>
            <w:tcW w:w="13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118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0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3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5"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粤031302008001</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赶工措施费</w:t>
            </w:r>
          </w:p>
        </w:tc>
        <w:tc>
          <w:tcPr>
            <w:tcW w:w="13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分部分项人工费+分部分项机械费</w:t>
            </w:r>
          </w:p>
        </w:tc>
        <w:tc>
          <w:tcPr>
            <w:tcW w:w="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w:t>
            </w:r>
          </w:p>
        </w:tc>
        <w:tc>
          <w:tcPr>
            <w:tcW w:w="118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0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3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031302002001</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夜间施工增加费</w:t>
            </w:r>
          </w:p>
        </w:tc>
        <w:tc>
          <w:tcPr>
            <w:tcW w:w="13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18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0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3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JTGRSGZJF001</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交通干扰工程施工增加费</w:t>
            </w:r>
          </w:p>
        </w:tc>
        <w:tc>
          <w:tcPr>
            <w:tcW w:w="13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18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0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3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5"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粤031302009001</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文明工地增加费</w:t>
            </w:r>
          </w:p>
        </w:tc>
        <w:tc>
          <w:tcPr>
            <w:tcW w:w="13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分部分项人工费+分部分项机械费</w:t>
            </w:r>
          </w:p>
        </w:tc>
        <w:tc>
          <w:tcPr>
            <w:tcW w:w="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w:t>
            </w:r>
          </w:p>
        </w:tc>
        <w:tc>
          <w:tcPr>
            <w:tcW w:w="118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0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3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685"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41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DXGXJCJXF001</w:t>
            </w:r>
          </w:p>
        </w:tc>
        <w:tc>
          <w:tcPr>
            <w:tcW w:w="1708"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地下管线交叉降效费</w:t>
            </w:r>
          </w:p>
        </w:tc>
        <w:tc>
          <w:tcPr>
            <w:tcW w:w="1362"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79"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182"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22"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021"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33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按实际发生或经批准的施工方案计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QTFY00000001</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其他费用</w:t>
            </w:r>
          </w:p>
        </w:tc>
        <w:tc>
          <w:tcPr>
            <w:tcW w:w="13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18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0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3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50" w:type="dxa"/>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    计</w:t>
            </w:r>
          </w:p>
        </w:tc>
        <w:tc>
          <w:tcPr>
            <w:tcW w:w="1182"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922"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021"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33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r>
    </w:tbl>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ind w:left="0" w:leftChars="0" w:firstLine="0" w:firstLineChars="0"/>
        <w:rPr>
          <w:color w:val="auto"/>
          <w:highlight w:val="none"/>
        </w:rPr>
      </w:pPr>
    </w:p>
    <w:tbl>
      <w:tblPr>
        <w:tblStyle w:val="23"/>
        <w:tblpPr w:leftFromText="180" w:rightFromText="180" w:vertAnchor="text" w:horzAnchor="page" w:tblpX="1136" w:tblpY="329"/>
        <w:tblOverlap w:val="never"/>
        <w:tblW w:w="96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55"/>
        <w:gridCol w:w="4143"/>
        <w:gridCol w:w="702"/>
        <w:gridCol w:w="1534"/>
        <w:gridCol w:w="281"/>
        <w:gridCol w:w="18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9682" w:type="dxa"/>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000"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工程名称：龙归分公司2024年厂区网络系统及视频监控系统改造项目</w:t>
            </w:r>
          </w:p>
        </w:tc>
        <w:tc>
          <w:tcPr>
            <w:tcW w:w="1815"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1867"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5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414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汇总内容</w:t>
            </w:r>
          </w:p>
        </w:tc>
        <w:tc>
          <w:tcPr>
            <w:tcW w:w="2236"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金额:(元)</w:t>
            </w:r>
          </w:p>
        </w:tc>
        <w:tc>
          <w:tcPr>
            <w:tcW w:w="2148" w:type="dxa"/>
            <w:gridSpan w:val="2"/>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41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分部分项合计</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kern w:val="2"/>
                <w:sz w:val="20"/>
                <w:szCs w:val="20"/>
                <w:highlight w:val="none"/>
                <w:u w:val="none"/>
                <w:lang w:val="en-US" w:eastAsia="zh-CN" w:bidi="ar-SA"/>
              </w:rPr>
            </w:pPr>
          </w:p>
        </w:tc>
        <w:tc>
          <w:tcPr>
            <w:tcW w:w="214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41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视频监控系统</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kern w:val="2"/>
                <w:sz w:val="20"/>
                <w:szCs w:val="20"/>
                <w:highlight w:val="none"/>
                <w:u w:val="none"/>
                <w:lang w:val="en-US" w:eastAsia="zh-CN" w:bidi="ar-SA"/>
              </w:rPr>
            </w:pPr>
          </w:p>
        </w:tc>
        <w:tc>
          <w:tcPr>
            <w:tcW w:w="214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41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网络系统</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kern w:val="2"/>
                <w:sz w:val="20"/>
                <w:szCs w:val="20"/>
                <w:highlight w:val="none"/>
                <w:u w:val="none"/>
                <w:lang w:val="en-US" w:eastAsia="zh-CN" w:bidi="ar-SA"/>
              </w:rPr>
            </w:pPr>
          </w:p>
        </w:tc>
        <w:tc>
          <w:tcPr>
            <w:tcW w:w="214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41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机房综合布线</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kern w:val="2"/>
                <w:sz w:val="20"/>
                <w:szCs w:val="20"/>
                <w:highlight w:val="none"/>
                <w:u w:val="none"/>
                <w:lang w:val="en-US" w:eastAsia="zh-CN" w:bidi="ar-SA"/>
              </w:rPr>
            </w:pPr>
          </w:p>
        </w:tc>
        <w:tc>
          <w:tcPr>
            <w:tcW w:w="214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41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措施合计</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kern w:val="2"/>
                <w:sz w:val="20"/>
                <w:szCs w:val="20"/>
                <w:highlight w:val="none"/>
                <w:u w:val="none"/>
                <w:lang w:val="en-US" w:eastAsia="zh-CN" w:bidi="ar-SA"/>
              </w:rPr>
            </w:pPr>
          </w:p>
        </w:tc>
        <w:tc>
          <w:tcPr>
            <w:tcW w:w="214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41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绿色施工安全防护措施费</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kern w:val="2"/>
                <w:sz w:val="20"/>
                <w:szCs w:val="20"/>
                <w:highlight w:val="none"/>
                <w:u w:val="none"/>
                <w:lang w:val="en-US" w:eastAsia="zh-CN" w:bidi="ar-SA"/>
              </w:rPr>
            </w:pPr>
          </w:p>
        </w:tc>
        <w:tc>
          <w:tcPr>
            <w:tcW w:w="214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41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其他措施费</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14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41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其他项目</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 xml:space="preserve"> </w:t>
            </w:r>
          </w:p>
        </w:tc>
        <w:tc>
          <w:tcPr>
            <w:tcW w:w="214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auto"/>
                <w:sz w:val="20"/>
                <w:szCs w:val="20"/>
                <w:highlight w:val="none"/>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w:t>
            </w:r>
          </w:p>
        </w:tc>
        <w:tc>
          <w:tcPr>
            <w:tcW w:w="41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暂列金额</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71127.241</w:t>
            </w:r>
          </w:p>
        </w:tc>
        <w:tc>
          <w:tcPr>
            <w:tcW w:w="214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w:t>
            </w:r>
          </w:p>
        </w:tc>
        <w:tc>
          <w:tcPr>
            <w:tcW w:w="41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暂估价</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14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w:t>
            </w:r>
          </w:p>
        </w:tc>
        <w:tc>
          <w:tcPr>
            <w:tcW w:w="41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计日工</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 xml:space="preserve"> </w:t>
            </w:r>
          </w:p>
        </w:tc>
        <w:tc>
          <w:tcPr>
            <w:tcW w:w="214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default" w:ascii="宋体" w:hAnsi="宋体" w:eastAsia="宋体" w:cs="宋体"/>
                <w:i w:val="0"/>
                <w:iCs w:val="0"/>
                <w:color w:val="auto"/>
                <w:sz w:val="20"/>
                <w:szCs w:val="20"/>
                <w:highlight w:val="none"/>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w:t>
            </w:r>
          </w:p>
        </w:tc>
        <w:tc>
          <w:tcPr>
            <w:tcW w:w="41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总承包服务费</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14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w:t>
            </w:r>
          </w:p>
        </w:tc>
        <w:tc>
          <w:tcPr>
            <w:tcW w:w="41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预算包干费</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14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w:t>
            </w:r>
          </w:p>
        </w:tc>
        <w:tc>
          <w:tcPr>
            <w:tcW w:w="41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工程优质费</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14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w:t>
            </w:r>
          </w:p>
        </w:tc>
        <w:tc>
          <w:tcPr>
            <w:tcW w:w="41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概算幅度差</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14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w:t>
            </w:r>
          </w:p>
        </w:tc>
        <w:tc>
          <w:tcPr>
            <w:tcW w:w="41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索赔费用</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14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w:t>
            </w:r>
          </w:p>
        </w:tc>
        <w:tc>
          <w:tcPr>
            <w:tcW w:w="41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现场签证费用</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14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w:t>
            </w:r>
          </w:p>
        </w:tc>
        <w:tc>
          <w:tcPr>
            <w:tcW w:w="41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其他费用</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14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41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税前工程造价</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w:t>
            </w:r>
          </w:p>
        </w:tc>
        <w:tc>
          <w:tcPr>
            <w:tcW w:w="214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41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增值税销项税额</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kern w:val="2"/>
                <w:sz w:val="20"/>
                <w:szCs w:val="20"/>
                <w:highlight w:val="none"/>
                <w:u w:val="none"/>
                <w:lang w:val="en-US" w:eastAsia="zh-CN" w:bidi="ar-SA"/>
              </w:rPr>
            </w:pPr>
          </w:p>
        </w:tc>
        <w:tc>
          <w:tcPr>
            <w:tcW w:w="214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kern w:val="2"/>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41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总造价</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kern w:val="2"/>
                <w:sz w:val="20"/>
                <w:szCs w:val="20"/>
                <w:highlight w:val="none"/>
                <w:u w:val="none"/>
                <w:lang w:val="en-US" w:eastAsia="zh-CN" w:bidi="ar-SA"/>
              </w:rPr>
            </w:pPr>
          </w:p>
        </w:tc>
        <w:tc>
          <w:tcPr>
            <w:tcW w:w="214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kern w:val="2"/>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41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人工费</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kern w:val="2"/>
                <w:sz w:val="20"/>
                <w:szCs w:val="20"/>
                <w:highlight w:val="none"/>
                <w:u w:val="none"/>
                <w:lang w:val="en-US" w:eastAsia="zh-CN" w:bidi="ar-SA"/>
              </w:rPr>
            </w:pPr>
          </w:p>
        </w:tc>
        <w:tc>
          <w:tcPr>
            <w:tcW w:w="214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kern w:val="2"/>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29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招标控制价合计=1+2+3+5</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kern w:val="2"/>
                <w:sz w:val="20"/>
                <w:szCs w:val="20"/>
                <w:highlight w:val="none"/>
                <w:u w:val="none"/>
                <w:lang w:val="en-US" w:eastAsia="zh-CN" w:bidi="ar-SA"/>
              </w:rPr>
            </w:pPr>
          </w:p>
        </w:tc>
        <w:tc>
          <w:tcPr>
            <w:tcW w:w="2148"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kern w:val="2"/>
                <w:sz w:val="20"/>
                <w:szCs w:val="20"/>
                <w:highlight w:val="none"/>
                <w:u w:val="none"/>
                <w:lang w:val="en-US" w:eastAsia="zh-CN" w:bidi="ar-SA"/>
              </w:rPr>
            </w:pPr>
          </w:p>
        </w:tc>
      </w:tr>
    </w:tbl>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pStyle w:val="2"/>
        <w:rPr>
          <w:color w:val="auto"/>
          <w:highlight w:val="none"/>
        </w:rPr>
      </w:pPr>
    </w:p>
    <w:tbl>
      <w:tblPr>
        <w:tblStyle w:val="23"/>
        <w:tblpPr w:leftFromText="180" w:rightFromText="180" w:vertAnchor="text" w:horzAnchor="page" w:tblpX="1327" w:tblpY="439"/>
        <w:tblOverlap w:val="never"/>
        <w:tblW w:w="97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0"/>
        <w:gridCol w:w="2003"/>
        <w:gridCol w:w="2669"/>
        <w:gridCol w:w="195"/>
        <w:gridCol w:w="1605"/>
        <w:gridCol w:w="15"/>
        <w:gridCol w:w="1005"/>
        <w:gridCol w:w="14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9775" w:type="dxa"/>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4"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工程名称：龙归分公司2024年厂区网络系统及视频监控系统改造项目</w:t>
            </w:r>
          </w:p>
        </w:tc>
        <w:tc>
          <w:tcPr>
            <w:tcW w:w="1815" w:type="dxa"/>
            <w:gridSpan w:val="3"/>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2446"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41"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200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286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计算基础</w:t>
            </w:r>
          </w:p>
        </w:tc>
        <w:tc>
          <w:tcPr>
            <w:tcW w:w="160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计算基数</w:t>
            </w:r>
          </w:p>
        </w:tc>
        <w:tc>
          <w:tcPr>
            <w:tcW w:w="102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计算费率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w:t>
            </w:r>
          </w:p>
        </w:tc>
        <w:tc>
          <w:tcPr>
            <w:tcW w:w="1441"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4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0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增值税销项税额</w:t>
            </w: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分部分项合计+措施合计+其他项目</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44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r>
    </w:tbl>
    <w:p>
      <w:pPr>
        <w:pStyle w:val="2"/>
        <w:rPr>
          <w:color w:val="auto"/>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pStyle w:val="22"/>
        <w:rPr>
          <w:rFonts w:hint="default"/>
          <w:color w:val="auto"/>
          <w:highlight w:val="none"/>
          <w:lang w:val="en-US"/>
        </w:rPr>
      </w:pPr>
    </w:p>
    <w:p>
      <w:pPr>
        <w:pStyle w:val="5"/>
        <w:numPr>
          <w:ilvl w:val="0"/>
          <w:numId w:val="5"/>
        </w:numPr>
        <w:rPr>
          <w:rFonts w:hint="eastAsia" w:asciiTheme="majorEastAsia" w:hAnsiTheme="majorEastAsia" w:eastAsiaTheme="majorEastAsia"/>
          <w:color w:val="auto"/>
          <w:sz w:val="28"/>
          <w:szCs w:val="28"/>
          <w:highlight w:val="none"/>
        </w:rPr>
      </w:pPr>
      <w:bookmarkStart w:id="107" w:name="_Toc87616402"/>
      <w:bookmarkStart w:id="108" w:name="_Toc88209965"/>
      <w:bookmarkStart w:id="109" w:name="_Toc16386"/>
      <w:bookmarkStart w:id="110" w:name="_Toc6058"/>
      <w:r>
        <w:rPr>
          <w:rFonts w:hint="eastAsia" w:asciiTheme="majorEastAsia" w:hAnsiTheme="majorEastAsia" w:eastAsiaTheme="majorEastAsia"/>
          <w:color w:val="auto"/>
          <w:sz w:val="28"/>
          <w:szCs w:val="28"/>
          <w:highlight w:val="none"/>
        </w:rPr>
        <w:t>其他资料</w:t>
      </w:r>
      <w:bookmarkEnd w:id="107"/>
      <w:bookmarkEnd w:id="108"/>
      <w:bookmarkEnd w:id="109"/>
      <w:bookmarkEnd w:id="110"/>
    </w:p>
    <w:p>
      <w:pPr>
        <w:pStyle w:val="5"/>
        <w:numPr>
          <w:ilvl w:val="-1"/>
          <w:numId w:val="0"/>
        </w:numPr>
        <w:rPr>
          <w:rFonts w:hint="eastAsia" w:ascii="仿宋" w:hAnsi="仿宋" w:eastAsia="仿宋" w:cs="宋体"/>
          <w:b w:val="0"/>
          <w:bCs w:val="0"/>
          <w:color w:val="auto"/>
          <w:kern w:val="0"/>
          <w:sz w:val="20"/>
          <w:szCs w:val="20"/>
          <w:highlight w:val="none"/>
          <w:u w:val="single"/>
          <w:lang w:eastAsia="zh-CN"/>
        </w:rPr>
      </w:pPr>
      <w:r>
        <w:rPr>
          <w:rFonts w:hint="eastAsia" w:ascii="仿宋" w:hAnsi="仿宋" w:eastAsia="仿宋" w:cs="宋体"/>
          <w:b w:val="0"/>
          <w:bCs w:val="0"/>
          <w:color w:val="auto"/>
          <w:kern w:val="0"/>
          <w:sz w:val="20"/>
          <w:szCs w:val="20"/>
          <w:highlight w:val="none"/>
          <w:u w:val="single"/>
          <w:lang w:eastAsia="zh-CN"/>
        </w:rPr>
        <w:t>▲</w:t>
      </w:r>
      <w:r>
        <w:rPr>
          <w:rFonts w:hint="eastAsia" w:ascii="仿宋" w:hAnsi="仿宋" w:eastAsia="仿宋" w:cs="宋体"/>
          <w:b w:val="0"/>
          <w:bCs w:val="0"/>
          <w:color w:val="auto"/>
          <w:kern w:val="0"/>
          <w:sz w:val="20"/>
          <w:szCs w:val="20"/>
          <w:highlight w:val="none"/>
          <w:u w:val="single"/>
        </w:rPr>
        <w:t>服务器配置：≥1颗64位多核处理器，≥4GB内存，内存支持扩展到≥128GB，内置SSD固态硬盘（可以扩展到2个SSD作为缓存盘），配置≥6个风扇，可热插拔冗余温控调速风扇。</w:t>
      </w:r>
      <w:r>
        <w:rPr>
          <w:rFonts w:hint="eastAsia" w:ascii="仿宋" w:hAnsi="仿宋" w:eastAsia="仿宋" w:cs="宋体"/>
          <w:b w:val="0"/>
          <w:bCs w:val="0"/>
          <w:color w:val="auto"/>
          <w:kern w:val="0"/>
          <w:sz w:val="20"/>
          <w:szCs w:val="20"/>
          <w:highlight w:val="none"/>
          <w:u w:val="single"/>
          <w:lang w:eastAsia="zh-CN"/>
        </w:rPr>
        <w:t>（</w:t>
      </w:r>
      <w:r>
        <w:rPr>
          <w:rFonts w:hint="eastAsia" w:ascii="仿宋" w:hAnsi="仿宋" w:eastAsia="仿宋" w:cs="宋体"/>
          <w:b w:val="0"/>
          <w:bCs w:val="0"/>
          <w:color w:val="auto"/>
          <w:kern w:val="0"/>
          <w:sz w:val="20"/>
          <w:szCs w:val="20"/>
          <w:highlight w:val="none"/>
          <w:u w:val="single"/>
          <w:lang w:val="en-US" w:eastAsia="zh-CN"/>
        </w:rPr>
        <w:t>提供公安部检测报告证明</w:t>
      </w:r>
      <w:r>
        <w:rPr>
          <w:rFonts w:hint="eastAsia" w:ascii="仿宋" w:hAnsi="仿宋" w:eastAsia="仿宋" w:cs="宋体"/>
          <w:b w:val="0"/>
          <w:bCs w:val="0"/>
          <w:color w:val="auto"/>
          <w:kern w:val="0"/>
          <w:sz w:val="20"/>
          <w:szCs w:val="20"/>
          <w:highlight w:val="none"/>
          <w:u w:val="single"/>
          <w:lang w:eastAsia="zh-CN"/>
        </w:rPr>
        <w:t>）</w:t>
      </w:r>
    </w:p>
    <w:p>
      <w:pPr>
        <w:pStyle w:val="5"/>
        <w:numPr>
          <w:ilvl w:val="-1"/>
          <w:numId w:val="0"/>
        </w:numPr>
        <w:rPr>
          <w:rFonts w:hint="eastAsia" w:ascii="仿宋" w:hAnsi="仿宋" w:eastAsia="仿宋" w:cs="宋体"/>
          <w:b w:val="0"/>
          <w:bCs w:val="0"/>
          <w:color w:val="auto"/>
          <w:kern w:val="0"/>
          <w:sz w:val="20"/>
          <w:szCs w:val="20"/>
          <w:highlight w:val="none"/>
          <w:u w:val="single"/>
          <w:lang w:eastAsia="zh-CN"/>
        </w:rPr>
      </w:pPr>
      <w:r>
        <w:rPr>
          <w:rFonts w:hint="eastAsia" w:ascii="仿宋" w:hAnsi="仿宋" w:eastAsia="仿宋" w:cs="宋体"/>
          <w:b w:val="0"/>
          <w:bCs w:val="0"/>
          <w:color w:val="auto"/>
          <w:kern w:val="0"/>
          <w:sz w:val="20"/>
          <w:szCs w:val="20"/>
          <w:highlight w:val="none"/>
          <w:u w:val="single"/>
        </w:rPr>
        <w:t>▲支持M-LAG技术，跨设备链路聚合，要求配对的设备有独立的控制平面；</w:t>
      </w:r>
      <w:r>
        <w:rPr>
          <w:rFonts w:hint="eastAsia" w:ascii="仿宋" w:hAnsi="仿宋" w:eastAsia="仿宋" w:cs="宋体"/>
          <w:b w:val="0"/>
          <w:bCs w:val="0"/>
          <w:color w:val="auto"/>
          <w:kern w:val="0"/>
          <w:sz w:val="20"/>
          <w:szCs w:val="20"/>
          <w:highlight w:val="none"/>
          <w:u w:val="single"/>
          <w:lang w:eastAsia="zh-CN"/>
        </w:rPr>
        <w:t>(</w:t>
      </w:r>
      <w:r>
        <w:rPr>
          <w:rFonts w:hint="eastAsia" w:ascii="仿宋" w:hAnsi="仿宋" w:eastAsia="仿宋" w:cs="宋体"/>
          <w:b w:val="0"/>
          <w:bCs w:val="0"/>
          <w:color w:val="auto"/>
          <w:kern w:val="0"/>
          <w:sz w:val="20"/>
          <w:szCs w:val="20"/>
          <w:highlight w:val="none"/>
          <w:u w:val="single"/>
          <w:lang w:val="en-US" w:eastAsia="zh-CN"/>
        </w:rPr>
        <w:t>提供具有</w:t>
      </w:r>
      <w:r>
        <w:rPr>
          <w:rFonts w:hint="eastAsia" w:ascii="仿宋" w:hAnsi="仿宋" w:eastAsia="仿宋" w:cs="宋体"/>
          <w:b w:val="0"/>
          <w:bCs w:val="0"/>
          <w:color w:val="auto"/>
          <w:kern w:val="0"/>
          <w:sz w:val="20"/>
          <w:szCs w:val="20"/>
          <w:highlight w:val="none"/>
          <w:u w:val="single"/>
          <w:lang w:eastAsia="zh-CN"/>
        </w:rPr>
        <w:t>CMA和CNAS认证章的第三方机构测试报</w:t>
      </w:r>
      <w:r>
        <w:rPr>
          <w:rFonts w:hint="eastAsia" w:ascii="仿宋" w:hAnsi="仿宋" w:eastAsia="仿宋" w:cs="宋体"/>
          <w:b w:val="0"/>
          <w:bCs w:val="0"/>
          <w:color w:val="auto"/>
          <w:kern w:val="0"/>
          <w:sz w:val="20"/>
          <w:szCs w:val="20"/>
          <w:highlight w:val="none"/>
          <w:u w:val="single"/>
          <w:lang w:val="en-US" w:eastAsia="zh-CN"/>
        </w:rPr>
        <w:t>证明</w:t>
      </w:r>
      <w:r>
        <w:rPr>
          <w:rFonts w:hint="eastAsia" w:ascii="仿宋" w:hAnsi="仿宋" w:eastAsia="仿宋" w:cs="宋体"/>
          <w:b w:val="0"/>
          <w:bCs w:val="0"/>
          <w:color w:val="auto"/>
          <w:kern w:val="0"/>
          <w:sz w:val="20"/>
          <w:szCs w:val="20"/>
          <w:highlight w:val="none"/>
          <w:u w:val="single"/>
          <w:lang w:eastAsia="zh-CN"/>
        </w:rPr>
        <w:t>）</w:t>
      </w:r>
    </w:p>
    <w:p>
      <w:pPr>
        <w:widowControl/>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w:t>
      </w:r>
      <w:r>
        <w:rPr>
          <w:rFonts w:hint="eastAsia" w:ascii="仿宋" w:hAnsi="仿宋" w:eastAsia="仿宋" w:cs="宋体"/>
          <w:color w:val="auto"/>
          <w:kern w:val="0"/>
          <w:sz w:val="20"/>
          <w:szCs w:val="20"/>
          <w:highlight w:val="none"/>
          <w:lang w:val="en-US" w:eastAsia="zh-CN"/>
        </w:rPr>
        <w:t xml:space="preserve"> </w:t>
      </w:r>
      <w:r>
        <w:rPr>
          <w:rFonts w:hint="eastAsia" w:ascii="仿宋" w:hAnsi="仿宋" w:eastAsia="仿宋" w:cs="宋体"/>
          <w:color w:val="auto"/>
          <w:kern w:val="0"/>
          <w:sz w:val="20"/>
          <w:szCs w:val="20"/>
          <w:highlight w:val="none"/>
          <w:u w:val="single"/>
        </w:rPr>
        <w:t>100/1000Base-X千兆光口≥24个，千兆电Combo口≥4个（可与24个光口中的4个复用），10GSFP+万兆光口≥4个（官网截图以及官网链接</w:t>
      </w:r>
      <w:r>
        <w:rPr>
          <w:rFonts w:hint="eastAsia" w:ascii="仿宋" w:hAnsi="仿宋" w:eastAsia="仿宋" w:cs="宋体"/>
          <w:color w:val="auto"/>
          <w:kern w:val="0"/>
          <w:sz w:val="20"/>
          <w:szCs w:val="20"/>
          <w:highlight w:val="none"/>
          <w:u w:val="single"/>
          <w:lang w:val="en-US" w:eastAsia="zh-CN"/>
        </w:rPr>
        <w:t>证明</w:t>
      </w:r>
      <w:r>
        <w:rPr>
          <w:rFonts w:hint="eastAsia" w:ascii="仿宋" w:hAnsi="仿宋" w:eastAsia="仿宋" w:cs="宋体"/>
          <w:color w:val="auto"/>
          <w:kern w:val="0"/>
          <w:sz w:val="20"/>
          <w:szCs w:val="20"/>
          <w:highlight w:val="none"/>
          <w:u w:val="single"/>
        </w:rPr>
        <w:t>）；</w:t>
      </w:r>
    </w:p>
    <w:p>
      <w:pPr>
        <w:numPr>
          <w:ilvl w:val="-1"/>
          <w:numId w:val="0"/>
        </w:numPr>
        <w:rPr>
          <w:color w:val="auto"/>
          <w:highlight w:val="none"/>
        </w:rPr>
      </w:pPr>
    </w:p>
    <w:p>
      <w:pPr>
        <w:rPr>
          <w:color w:val="auto"/>
          <w:highlight w:val="none"/>
        </w:rPr>
      </w:pPr>
    </w:p>
    <w:p>
      <w:pPr>
        <w:adjustRightInd w:val="0"/>
        <w:snapToGrid w:val="0"/>
        <w:spacing w:line="600" w:lineRule="exact"/>
        <w:ind w:firstLine="570"/>
        <w:rPr>
          <w:rFonts w:hint="eastAsia"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pStyle w:val="2"/>
        <w:rPr>
          <w:rFonts w:hint="eastAsia" w:ascii="仿宋_GB2312" w:eastAsia="仿宋_GB2312" w:hAnsiTheme="minorEastAsia"/>
          <w:color w:val="auto"/>
          <w:sz w:val="28"/>
          <w:szCs w:val="28"/>
          <w:highlight w:val="none"/>
        </w:rPr>
      </w:pPr>
    </w:p>
    <w:p>
      <w:pPr>
        <w:pStyle w:val="2"/>
        <w:rPr>
          <w:color w:val="auto"/>
          <w:highlight w:val="none"/>
        </w:rPr>
      </w:pPr>
    </w:p>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IWtvs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pJieMWJ375/u3y49fl51fy&#10;O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sha2+yQEAAJo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Do5i8gBAACaAwAADgAAAGRycy9lMm9Eb2MueG1srVPNjtMwEL4j8Q6W&#10;79TZCKEqaroCVYuQECAtPIDr2I0l/8njNukLwBtw4sKd5+pzMHaSLiyXPXBxxjPjb+b7ZrK5Ha0h&#10;JxlBe9fSm1VFiXTCd9odWvrl892LNSWQuOu48U629CyB3m6fP9sMoZG1773pZCQI4qAZQkv7lELD&#10;GIheWg4rH6TDoPLR8oTXeGBd5AOiW8PqqnrFBh+7EL2QAOjdTUE6I8anAHqltJA7L45WujShRml4&#10;QkrQ6wB0W7pVSor0USmQiZiWItNUTiyC9j6fbLvhzSHy0Gsxt8Cf0sIjTpZrh0WvUDueODlG/Q+U&#10;1SJ68CqthLdsIlIUQRY31SNt7nseZOGCUkO4ig7/D1Z8OH2KRHctrWtKHLc48cv3b5cfvy4/v5KX&#10;WZ8hQINp9wET0/jGj7g1ix/QmWmPKtr8RUIE46ju+aquHBMR+dG6Xq8rDAmMLRfEZw/PQ4T0VnpL&#10;stHSiOMrqvLTe0hT6pKSqzl/p40pIzTuLwdiZg/LvU89ZiuN+3EmtPfdGfkMOPmWOlx0Ssw7h8Lm&#10;JVmMuBj7xTiGqA992aJcD8LrY8ImSm+5wgQ7F8aRFXbzeuWd+PNesh5+qe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g6OYvIAQAAmgMAAA4AAAAAAAAAAQAgAAAAHgEAAGRycy9lMm9Eb2Mu&#10;eG1sUEsFBgAAAAAGAAYAWQEAAFgFA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yzvpM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AolcdzixC8/f1x+/bn8/k6W&#10;WZ8+QI1p9wET0/DOD7g1sx/QmWkPKtr8RUIE4wh1vqorh0REfrRerdcVhgTG5gvis4fnIUJ6L70l&#10;2WhoxPEVVfnpI6QxdU7J1Zy/08aUERr3jwMxs4fl3sces5WG/TAR2vv2jHx6nHxDHS46JeaDQ2Gx&#10;vzQbcTb2s3EMUR+6skW5HoTbY8ImSm+5wgg7FcaRFXbTeuWd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8s76TIAQAAmgMAAA4AAAAAAAAAAQAgAAAAHgEAAGRycy9lMm9Eb2Mu&#10;eG1sUEsFBgAAAAAGAAYAWQEAAFgFA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F474C9A6"/>
    <w:multiLevelType w:val="singleLevel"/>
    <w:tmpl w:val="F474C9A6"/>
    <w:lvl w:ilvl="0" w:tentative="0">
      <w:start w:val="10"/>
      <w:numFmt w:val="chineseCounting"/>
      <w:suff w:val="space"/>
      <w:lvlText w:val="第%1条"/>
      <w:lvlJc w:val="left"/>
      <w:rPr>
        <w:rFonts w:hint="eastAsia"/>
      </w:r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5EF2DBFF"/>
    <w:multiLevelType w:val="singleLevel"/>
    <w:tmpl w:val="5EF2DBFF"/>
    <w:lvl w:ilvl="0" w:tentative="0">
      <w:start w:val="5"/>
      <w:numFmt w:val="decimal"/>
      <w:lvlText w:val="%1."/>
      <w:lvlJc w:val="left"/>
      <w:pPr>
        <w:tabs>
          <w:tab w:val="left" w:pos="312"/>
        </w:tabs>
      </w:pPr>
    </w:lvl>
  </w:abstractNum>
  <w:abstractNum w:abstractNumId="4">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jOTRjOWMzMTM2YTA0OWJlZDMxYmQ1YzExZDY3ZmYifQ=="/>
  </w:docVars>
  <w:rsids>
    <w:rsidRoot w:val="005D618A"/>
    <w:rsid w:val="003D60BA"/>
    <w:rsid w:val="00411689"/>
    <w:rsid w:val="005D618A"/>
    <w:rsid w:val="00855987"/>
    <w:rsid w:val="00911ECD"/>
    <w:rsid w:val="00A042E0"/>
    <w:rsid w:val="00B26BB1"/>
    <w:rsid w:val="00B26E21"/>
    <w:rsid w:val="00F83B64"/>
    <w:rsid w:val="013E3461"/>
    <w:rsid w:val="02090C75"/>
    <w:rsid w:val="0253516A"/>
    <w:rsid w:val="02A23A3C"/>
    <w:rsid w:val="035D130A"/>
    <w:rsid w:val="039110A9"/>
    <w:rsid w:val="03AC246A"/>
    <w:rsid w:val="03B23056"/>
    <w:rsid w:val="03DC3EBA"/>
    <w:rsid w:val="03F9794D"/>
    <w:rsid w:val="046A2461"/>
    <w:rsid w:val="051C2970"/>
    <w:rsid w:val="060C3611"/>
    <w:rsid w:val="068C0D83"/>
    <w:rsid w:val="069D2066"/>
    <w:rsid w:val="06C64829"/>
    <w:rsid w:val="077D16D2"/>
    <w:rsid w:val="082A69F3"/>
    <w:rsid w:val="08675FC8"/>
    <w:rsid w:val="09B713FD"/>
    <w:rsid w:val="09EF6ACC"/>
    <w:rsid w:val="0A0007F1"/>
    <w:rsid w:val="0A315056"/>
    <w:rsid w:val="0AA213B4"/>
    <w:rsid w:val="0AF61C7E"/>
    <w:rsid w:val="0AFB45AD"/>
    <w:rsid w:val="0B351E9B"/>
    <w:rsid w:val="0B4C50D3"/>
    <w:rsid w:val="0B806B92"/>
    <w:rsid w:val="0B827E94"/>
    <w:rsid w:val="0B842F76"/>
    <w:rsid w:val="0BD070E1"/>
    <w:rsid w:val="0BD2434C"/>
    <w:rsid w:val="0C247926"/>
    <w:rsid w:val="0D794204"/>
    <w:rsid w:val="0E2125D1"/>
    <w:rsid w:val="0E214211"/>
    <w:rsid w:val="0E5F2769"/>
    <w:rsid w:val="0F4D75A3"/>
    <w:rsid w:val="0F5B2DCA"/>
    <w:rsid w:val="0FED051E"/>
    <w:rsid w:val="0FEE4C29"/>
    <w:rsid w:val="10031608"/>
    <w:rsid w:val="10046082"/>
    <w:rsid w:val="103C0662"/>
    <w:rsid w:val="111703D2"/>
    <w:rsid w:val="112B101A"/>
    <w:rsid w:val="119B53FC"/>
    <w:rsid w:val="12424CDC"/>
    <w:rsid w:val="129A2738"/>
    <w:rsid w:val="12B56BF1"/>
    <w:rsid w:val="12CB1A89"/>
    <w:rsid w:val="131840FB"/>
    <w:rsid w:val="13467417"/>
    <w:rsid w:val="136E76CF"/>
    <w:rsid w:val="145F08C6"/>
    <w:rsid w:val="15776308"/>
    <w:rsid w:val="15BC6B3C"/>
    <w:rsid w:val="164D40B0"/>
    <w:rsid w:val="1694429A"/>
    <w:rsid w:val="17635326"/>
    <w:rsid w:val="18236EFD"/>
    <w:rsid w:val="18430166"/>
    <w:rsid w:val="189D5B1F"/>
    <w:rsid w:val="18A34CD0"/>
    <w:rsid w:val="19A53EA8"/>
    <w:rsid w:val="19B64DBC"/>
    <w:rsid w:val="1A373ACF"/>
    <w:rsid w:val="1A895341"/>
    <w:rsid w:val="1B0D071F"/>
    <w:rsid w:val="1B4568CE"/>
    <w:rsid w:val="1B9015B7"/>
    <w:rsid w:val="1BE7297C"/>
    <w:rsid w:val="1BF54245"/>
    <w:rsid w:val="1C673A86"/>
    <w:rsid w:val="1D0E6976"/>
    <w:rsid w:val="1D5A79EE"/>
    <w:rsid w:val="1E0E2CD0"/>
    <w:rsid w:val="1E831280"/>
    <w:rsid w:val="1EBC4704"/>
    <w:rsid w:val="1F172EB5"/>
    <w:rsid w:val="1F6856FC"/>
    <w:rsid w:val="1F94592D"/>
    <w:rsid w:val="1FB860DE"/>
    <w:rsid w:val="203C5A02"/>
    <w:rsid w:val="209D4C94"/>
    <w:rsid w:val="20E84705"/>
    <w:rsid w:val="218400BA"/>
    <w:rsid w:val="21AB1E2F"/>
    <w:rsid w:val="21D40498"/>
    <w:rsid w:val="22767047"/>
    <w:rsid w:val="22BB419C"/>
    <w:rsid w:val="22ED3619"/>
    <w:rsid w:val="23A05588"/>
    <w:rsid w:val="23DE3F1D"/>
    <w:rsid w:val="240476A1"/>
    <w:rsid w:val="25431AEB"/>
    <w:rsid w:val="25BF43FD"/>
    <w:rsid w:val="25F86BCD"/>
    <w:rsid w:val="2605748B"/>
    <w:rsid w:val="269E416A"/>
    <w:rsid w:val="26BF68B7"/>
    <w:rsid w:val="272100D3"/>
    <w:rsid w:val="272C72FC"/>
    <w:rsid w:val="275131CB"/>
    <w:rsid w:val="27EB149D"/>
    <w:rsid w:val="27FD3E52"/>
    <w:rsid w:val="28E11370"/>
    <w:rsid w:val="294A756A"/>
    <w:rsid w:val="29781BF8"/>
    <w:rsid w:val="29C33ED0"/>
    <w:rsid w:val="29D5322D"/>
    <w:rsid w:val="2A025DD9"/>
    <w:rsid w:val="2A2619CB"/>
    <w:rsid w:val="2A7C2231"/>
    <w:rsid w:val="2ABB753D"/>
    <w:rsid w:val="2B7A49FA"/>
    <w:rsid w:val="2BA07DFA"/>
    <w:rsid w:val="2C615D26"/>
    <w:rsid w:val="2CB679ED"/>
    <w:rsid w:val="2D173C07"/>
    <w:rsid w:val="2D424A86"/>
    <w:rsid w:val="2DA845B3"/>
    <w:rsid w:val="2E7B52DB"/>
    <w:rsid w:val="2F324CFE"/>
    <w:rsid w:val="2FBA09F1"/>
    <w:rsid w:val="2FEF2ACF"/>
    <w:rsid w:val="30540211"/>
    <w:rsid w:val="31112A0D"/>
    <w:rsid w:val="311F4B20"/>
    <w:rsid w:val="312D7741"/>
    <w:rsid w:val="316F137F"/>
    <w:rsid w:val="31DF525F"/>
    <w:rsid w:val="31EC162B"/>
    <w:rsid w:val="32324C2E"/>
    <w:rsid w:val="327171DF"/>
    <w:rsid w:val="341E3434"/>
    <w:rsid w:val="34BB4442"/>
    <w:rsid w:val="360B7EBA"/>
    <w:rsid w:val="36116865"/>
    <w:rsid w:val="369C32FD"/>
    <w:rsid w:val="37666E72"/>
    <w:rsid w:val="38081EA3"/>
    <w:rsid w:val="38167A04"/>
    <w:rsid w:val="38353194"/>
    <w:rsid w:val="394B167A"/>
    <w:rsid w:val="39DA2868"/>
    <w:rsid w:val="3A4E4336"/>
    <w:rsid w:val="3A6007FE"/>
    <w:rsid w:val="3AF93D6C"/>
    <w:rsid w:val="3B7C2CE4"/>
    <w:rsid w:val="3BAF716B"/>
    <w:rsid w:val="3C0B5355"/>
    <w:rsid w:val="3C8F1BAA"/>
    <w:rsid w:val="3CD4176B"/>
    <w:rsid w:val="3D1F44D9"/>
    <w:rsid w:val="3D5C38CD"/>
    <w:rsid w:val="3E5070F1"/>
    <w:rsid w:val="3F6C3589"/>
    <w:rsid w:val="3F850180"/>
    <w:rsid w:val="3F9004D6"/>
    <w:rsid w:val="3FD371E4"/>
    <w:rsid w:val="400E4D5E"/>
    <w:rsid w:val="40E1138C"/>
    <w:rsid w:val="413814BA"/>
    <w:rsid w:val="41872511"/>
    <w:rsid w:val="424236D9"/>
    <w:rsid w:val="42466655"/>
    <w:rsid w:val="42570158"/>
    <w:rsid w:val="42C82F57"/>
    <w:rsid w:val="435707E5"/>
    <w:rsid w:val="43C76AF7"/>
    <w:rsid w:val="443661F9"/>
    <w:rsid w:val="444F55DD"/>
    <w:rsid w:val="446828F0"/>
    <w:rsid w:val="45093E85"/>
    <w:rsid w:val="45994AF9"/>
    <w:rsid w:val="45C13B4D"/>
    <w:rsid w:val="46054BCA"/>
    <w:rsid w:val="464C6AFC"/>
    <w:rsid w:val="468B0091"/>
    <w:rsid w:val="46A107C3"/>
    <w:rsid w:val="46B15CE2"/>
    <w:rsid w:val="46BE113D"/>
    <w:rsid w:val="46E44B13"/>
    <w:rsid w:val="4703508A"/>
    <w:rsid w:val="475023F8"/>
    <w:rsid w:val="479D361E"/>
    <w:rsid w:val="47B74789"/>
    <w:rsid w:val="480F2B9D"/>
    <w:rsid w:val="48282920"/>
    <w:rsid w:val="485321E0"/>
    <w:rsid w:val="48546AD3"/>
    <w:rsid w:val="48965ED0"/>
    <w:rsid w:val="48CA4868"/>
    <w:rsid w:val="48F005D3"/>
    <w:rsid w:val="49547ADD"/>
    <w:rsid w:val="49732351"/>
    <w:rsid w:val="498F4AF1"/>
    <w:rsid w:val="49C05787"/>
    <w:rsid w:val="49CF518D"/>
    <w:rsid w:val="4ADA1F63"/>
    <w:rsid w:val="4AE23D89"/>
    <w:rsid w:val="4B2038D0"/>
    <w:rsid w:val="4B296E7D"/>
    <w:rsid w:val="4B79394E"/>
    <w:rsid w:val="4B877F28"/>
    <w:rsid w:val="4C9C17E3"/>
    <w:rsid w:val="4D916BA6"/>
    <w:rsid w:val="4DBC3CE3"/>
    <w:rsid w:val="4DC44169"/>
    <w:rsid w:val="4DE24E21"/>
    <w:rsid w:val="4E1B19A3"/>
    <w:rsid w:val="4EF0709E"/>
    <w:rsid w:val="4F0469A4"/>
    <w:rsid w:val="4F4F5DCF"/>
    <w:rsid w:val="513C6A7B"/>
    <w:rsid w:val="529B324A"/>
    <w:rsid w:val="532D486F"/>
    <w:rsid w:val="5333545B"/>
    <w:rsid w:val="538D0E89"/>
    <w:rsid w:val="54501629"/>
    <w:rsid w:val="5450213C"/>
    <w:rsid w:val="54D24048"/>
    <w:rsid w:val="54D64CD5"/>
    <w:rsid w:val="54F00AC2"/>
    <w:rsid w:val="55887D69"/>
    <w:rsid w:val="558934C4"/>
    <w:rsid w:val="561A0928"/>
    <w:rsid w:val="56423872"/>
    <w:rsid w:val="56B279F0"/>
    <w:rsid w:val="579D710E"/>
    <w:rsid w:val="57AA2DFF"/>
    <w:rsid w:val="581F22F6"/>
    <w:rsid w:val="586E1E17"/>
    <w:rsid w:val="58862C35"/>
    <w:rsid w:val="58C14957"/>
    <w:rsid w:val="58CC23D2"/>
    <w:rsid w:val="5A49692D"/>
    <w:rsid w:val="5AE006E6"/>
    <w:rsid w:val="5AE83A50"/>
    <w:rsid w:val="5B353193"/>
    <w:rsid w:val="5BAB2917"/>
    <w:rsid w:val="5BFC33FA"/>
    <w:rsid w:val="5C3107A4"/>
    <w:rsid w:val="5C3B1B93"/>
    <w:rsid w:val="5C9220DF"/>
    <w:rsid w:val="5D4A15F3"/>
    <w:rsid w:val="5D69542A"/>
    <w:rsid w:val="5D783B72"/>
    <w:rsid w:val="5E0930EF"/>
    <w:rsid w:val="5E3D4D53"/>
    <w:rsid w:val="5E4717E6"/>
    <w:rsid w:val="5E55774C"/>
    <w:rsid w:val="5E841A73"/>
    <w:rsid w:val="60045F96"/>
    <w:rsid w:val="60104DDC"/>
    <w:rsid w:val="605C0804"/>
    <w:rsid w:val="6189617B"/>
    <w:rsid w:val="61B52BB6"/>
    <w:rsid w:val="61B749C2"/>
    <w:rsid w:val="61FA4799"/>
    <w:rsid w:val="62272D3E"/>
    <w:rsid w:val="62280D20"/>
    <w:rsid w:val="62A065CE"/>
    <w:rsid w:val="62CA2457"/>
    <w:rsid w:val="638240A1"/>
    <w:rsid w:val="63833423"/>
    <w:rsid w:val="63A5257B"/>
    <w:rsid w:val="63BD3DCC"/>
    <w:rsid w:val="63C61741"/>
    <w:rsid w:val="64560967"/>
    <w:rsid w:val="64E15548"/>
    <w:rsid w:val="656B1D10"/>
    <w:rsid w:val="65B841F9"/>
    <w:rsid w:val="66022B28"/>
    <w:rsid w:val="66120F31"/>
    <w:rsid w:val="664A38E2"/>
    <w:rsid w:val="66581E87"/>
    <w:rsid w:val="66FA11D5"/>
    <w:rsid w:val="674302C7"/>
    <w:rsid w:val="680A5986"/>
    <w:rsid w:val="680D5F4B"/>
    <w:rsid w:val="68113F51"/>
    <w:rsid w:val="68246BFD"/>
    <w:rsid w:val="6833431C"/>
    <w:rsid w:val="685E286A"/>
    <w:rsid w:val="68E94770"/>
    <w:rsid w:val="68F949C9"/>
    <w:rsid w:val="695A4290"/>
    <w:rsid w:val="6A334932"/>
    <w:rsid w:val="6A3353FF"/>
    <w:rsid w:val="6A5D63E6"/>
    <w:rsid w:val="6A5F24D1"/>
    <w:rsid w:val="6AE347EB"/>
    <w:rsid w:val="6B434AF0"/>
    <w:rsid w:val="6B57675A"/>
    <w:rsid w:val="6BA50055"/>
    <w:rsid w:val="6BDD7B4D"/>
    <w:rsid w:val="6EBC0B3A"/>
    <w:rsid w:val="6EF51C7D"/>
    <w:rsid w:val="6F8363E5"/>
    <w:rsid w:val="6FAC3CC5"/>
    <w:rsid w:val="6FC746F5"/>
    <w:rsid w:val="70317AC6"/>
    <w:rsid w:val="704B26F7"/>
    <w:rsid w:val="70863262"/>
    <w:rsid w:val="70A76ED3"/>
    <w:rsid w:val="70E77EB4"/>
    <w:rsid w:val="71860B17"/>
    <w:rsid w:val="719941B8"/>
    <w:rsid w:val="723B27CC"/>
    <w:rsid w:val="72687227"/>
    <w:rsid w:val="72A03FD9"/>
    <w:rsid w:val="73406CFF"/>
    <w:rsid w:val="7383028C"/>
    <w:rsid w:val="73A25E44"/>
    <w:rsid w:val="741F68CF"/>
    <w:rsid w:val="75252DF3"/>
    <w:rsid w:val="75621536"/>
    <w:rsid w:val="75BF3154"/>
    <w:rsid w:val="75D70EE2"/>
    <w:rsid w:val="764A07CF"/>
    <w:rsid w:val="764F6B3D"/>
    <w:rsid w:val="76A34141"/>
    <w:rsid w:val="76CD2B7B"/>
    <w:rsid w:val="76D80645"/>
    <w:rsid w:val="76E03371"/>
    <w:rsid w:val="77FC3C10"/>
    <w:rsid w:val="780E5898"/>
    <w:rsid w:val="782642CC"/>
    <w:rsid w:val="7894095E"/>
    <w:rsid w:val="78964555"/>
    <w:rsid w:val="78CF4963"/>
    <w:rsid w:val="79000679"/>
    <w:rsid w:val="79A416F0"/>
    <w:rsid w:val="79B03EB6"/>
    <w:rsid w:val="79CD227F"/>
    <w:rsid w:val="79F46A18"/>
    <w:rsid w:val="7AE15A5C"/>
    <w:rsid w:val="7AF37579"/>
    <w:rsid w:val="7AF87F64"/>
    <w:rsid w:val="7B1C0C84"/>
    <w:rsid w:val="7B5A62DF"/>
    <w:rsid w:val="7B7A04A8"/>
    <w:rsid w:val="7C0C3F6D"/>
    <w:rsid w:val="7C22163C"/>
    <w:rsid w:val="7C457B4B"/>
    <w:rsid w:val="7C595075"/>
    <w:rsid w:val="7C6B07B2"/>
    <w:rsid w:val="7D133243"/>
    <w:rsid w:val="7D945420"/>
    <w:rsid w:val="7DE7560A"/>
    <w:rsid w:val="7E394207"/>
    <w:rsid w:val="7E4007A2"/>
    <w:rsid w:val="7E791CAD"/>
    <w:rsid w:val="7EA50DFB"/>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2"/>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3"/>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4"/>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1"/>
    <w:qFormat/>
    <w:uiPriority w:val="0"/>
    <w:pPr>
      <w:ind w:firstLine="420" w:firstLineChars="100"/>
    </w:pPr>
  </w:style>
  <w:style w:type="paragraph" w:styleId="6">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7">
    <w:name w:val="Body Text 3"/>
    <w:basedOn w:val="1"/>
    <w:link w:val="42"/>
    <w:unhideWhenUsed/>
    <w:qFormat/>
    <w:uiPriority w:val="99"/>
    <w:pPr>
      <w:spacing w:after="120"/>
    </w:pPr>
    <w:rPr>
      <w:sz w:val="16"/>
      <w:szCs w:val="16"/>
    </w:rPr>
  </w:style>
  <w:style w:type="paragraph" w:styleId="8">
    <w:name w:val="Body Text"/>
    <w:basedOn w:val="1"/>
    <w:next w:val="9"/>
    <w:qFormat/>
    <w:uiPriority w:val="99"/>
    <w:pPr>
      <w:spacing w:after="120"/>
    </w:pPr>
  </w:style>
  <w:style w:type="paragraph" w:styleId="9">
    <w:name w:val="Body Text 2"/>
    <w:basedOn w:val="1"/>
    <w:qFormat/>
    <w:uiPriority w:val="0"/>
    <w:pPr>
      <w:spacing w:after="120" w:line="480" w:lineRule="auto"/>
    </w:pPr>
  </w:style>
  <w:style w:type="paragraph" w:styleId="10">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6">
    <w:name w:val="Balloon Text"/>
    <w:basedOn w:val="1"/>
    <w:link w:val="37"/>
    <w:semiHidden/>
    <w:unhideWhenUsed/>
    <w:qFormat/>
    <w:uiPriority w:val="99"/>
    <w:rPr>
      <w:sz w:val="18"/>
      <w:szCs w:val="18"/>
    </w:rPr>
  </w:style>
  <w:style w:type="paragraph" w:styleId="17">
    <w:name w:val="footer"/>
    <w:basedOn w:val="1"/>
    <w:link w:val="31"/>
    <w:unhideWhenUsed/>
    <w:qFormat/>
    <w:uiPriority w:val="99"/>
    <w:pPr>
      <w:tabs>
        <w:tab w:val="center" w:pos="4153"/>
        <w:tab w:val="right" w:pos="8306"/>
      </w:tabs>
      <w:snapToGrid w:val="0"/>
      <w:jc w:val="left"/>
    </w:pPr>
    <w:rPr>
      <w:sz w:val="18"/>
      <w:szCs w:val="18"/>
    </w:rPr>
  </w:style>
  <w:style w:type="paragraph" w:styleId="18">
    <w:name w:val="header"/>
    <w:basedOn w:val="1"/>
    <w:link w:val="3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22">
    <w:name w:val="Body Text First Indent 2"/>
    <w:basedOn w:val="10"/>
    <w:qFormat/>
    <w:uiPriority w:val="0"/>
    <w:pPr>
      <w:adjustRightInd w:val="0"/>
      <w:spacing w:line="360" w:lineRule="auto"/>
      <w:ind w:left="0" w:leftChars="0" w:firstLine="420"/>
      <w:textAlignment w:val="baseline"/>
    </w:pPr>
    <w:rPr>
      <w:rFonts w:eastAsia="等线" w:cs="Times New Roman"/>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basedOn w:val="25"/>
    <w:qFormat/>
    <w:uiPriority w:val="22"/>
    <w:rPr>
      <w:rFonts w:eastAsia="宋体"/>
      <w:b/>
      <w:bCs/>
      <w:kern w:val="2"/>
      <w:sz w:val="24"/>
      <w:szCs w:val="24"/>
      <w:lang w:val="en-US" w:eastAsia="zh-CN" w:bidi="ar-SA"/>
    </w:rPr>
  </w:style>
  <w:style w:type="character" w:styleId="27">
    <w:name w:val="Hyperlink"/>
    <w:basedOn w:val="25"/>
    <w:unhideWhenUsed/>
    <w:qFormat/>
    <w:uiPriority w:val="99"/>
    <w:rPr>
      <w:color w:val="0000FF" w:themeColor="hyperlink"/>
      <w:u w:val="single"/>
      <w14:textFill>
        <w14:solidFill>
          <w14:schemeClr w14:val="hlink"/>
        </w14:solidFill>
      </w14:textFill>
    </w:rPr>
  </w:style>
  <w:style w:type="character" w:styleId="28">
    <w:name w:val="annotation reference"/>
    <w:qFormat/>
    <w:uiPriority w:val="0"/>
    <w:rPr>
      <w:rFonts w:ascii="Times New Roman" w:hAnsi="Times New Roman" w:eastAsia="宋体" w:cs="Times New Roman"/>
      <w:sz w:val="21"/>
      <w:szCs w:val="21"/>
    </w:rPr>
  </w:style>
  <w:style w:type="paragraph" w:customStyle="1" w:styleId="29">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30">
    <w:name w:val="页眉 Char"/>
    <w:basedOn w:val="25"/>
    <w:link w:val="18"/>
    <w:semiHidden/>
    <w:qFormat/>
    <w:uiPriority w:val="99"/>
    <w:rPr>
      <w:sz w:val="18"/>
      <w:szCs w:val="18"/>
    </w:rPr>
  </w:style>
  <w:style w:type="character" w:customStyle="1" w:styleId="31">
    <w:name w:val="页脚 Char"/>
    <w:basedOn w:val="25"/>
    <w:link w:val="17"/>
    <w:qFormat/>
    <w:uiPriority w:val="99"/>
    <w:rPr>
      <w:sz w:val="18"/>
      <w:szCs w:val="18"/>
    </w:rPr>
  </w:style>
  <w:style w:type="character" w:customStyle="1" w:styleId="32">
    <w:name w:val="标题 1 Char"/>
    <w:basedOn w:val="25"/>
    <w:link w:val="3"/>
    <w:qFormat/>
    <w:uiPriority w:val="9"/>
    <w:rPr>
      <w:rFonts w:eastAsia="方正小标宋简体"/>
      <w:bCs/>
      <w:kern w:val="44"/>
      <w:sz w:val="44"/>
      <w:szCs w:val="44"/>
    </w:rPr>
  </w:style>
  <w:style w:type="character" w:customStyle="1" w:styleId="33">
    <w:name w:val="标题 2 Char"/>
    <w:basedOn w:val="25"/>
    <w:link w:val="4"/>
    <w:qFormat/>
    <w:uiPriority w:val="9"/>
    <w:rPr>
      <w:rFonts w:eastAsia="方正小标宋简体" w:asciiTheme="majorHAnsi" w:hAnsiTheme="majorHAnsi" w:cstheme="majorBidi"/>
      <w:bCs/>
      <w:sz w:val="36"/>
      <w:szCs w:val="32"/>
    </w:rPr>
  </w:style>
  <w:style w:type="character" w:customStyle="1" w:styleId="34">
    <w:name w:val="标题 3 Char"/>
    <w:basedOn w:val="25"/>
    <w:link w:val="5"/>
    <w:qFormat/>
    <w:uiPriority w:val="9"/>
    <w:rPr>
      <w:rFonts w:ascii="Calibri" w:hAnsi="Calibri" w:eastAsia="宋体" w:cs="Times New Roman"/>
      <w:b/>
      <w:bCs/>
      <w:sz w:val="32"/>
      <w:szCs w:val="32"/>
    </w:rPr>
  </w:style>
  <w:style w:type="paragraph" w:styleId="35">
    <w:name w:val="List Paragraph"/>
    <w:basedOn w:val="1"/>
    <w:link w:val="43"/>
    <w:qFormat/>
    <w:uiPriority w:val="34"/>
    <w:pPr>
      <w:ind w:firstLine="420" w:firstLineChars="200"/>
    </w:pPr>
  </w:style>
  <w:style w:type="paragraph" w:customStyle="1" w:styleId="36">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7">
    <w:name w:val="批注框文本 Char"/>
    <w:basedOn w:val="25"/>
    <w:link w:val="16"/>
    <w:semiHidden/>
    <w:qFormat/>
    <w:uiPriority w:val="99"/>
    <w:rPr>
      <w:sz w:val="18"/>
      <w:szCs w:val="18"/>
    </w:rPr>
  </w:style>
  <w:style w:type="paragraph" w:styleId="3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CM97"/>
    <w:basedOn w:val="13"/>
    <w:next w:val="13"/>
    <w:qFormat/>
    <w:uiPriority w:val="0"/>
    <w:pPr>
      <w:spacing w:after="373"/>
    </w:pPr>
    <w:rPr>
      <w:color w:val="auto"/>
    </w:rPr>
  </w:style>
  <w:style w:type="paragraph" w:customStyle="1" w:styleId="40">
    <w:name w:val="CM91"/>
    <w:basedOn w:val="13"/>
    <w:next w:val="13"/>
    <w:qFormat/>
    <w:uiPriority w:val="0"/>
    <w:pPr>
      <w:spacing w:after="160"/>
    </w:pPr>
    <w:rPr>
      <w:color w:val="auto"/>
    </w:rPr>
  </w:style>
  <w:style w:type="character" w:customStyle="1" w:styleId="41">
    <w:name w:val="正文文本 3 Char"/>
    <w:link w:val="7"/>
    <w:qFormat/>
    <w:uiPriority w:val="99"/>
    <w:rPr>
      <w:sz w:val="16"/>
      <w:szCs w:val="16"/>
    </w:rPr>
  </w:style>
  <w:style w:type="character" w:customStyle="1" w:styleId="42">
    <w:name w:val="正文文本 3 Char1"/>
    <w:basedOn w:val="25"/>
    <w:link w:val="7"/>
    <w:semiHidden/>
    <w:qFormat/>
    <w:uiPriority w:val="99"/>
    <w:rPr>
      <w:sz w:val="16"/>
      <w:szCs w:val="16"/>
    </w:rPr>
  </w:style>
  <w:style w:type="character" w:customStyle="1" w:styleId="43">
    <w:name w:val="列出段落 Char"/>
    <w:link w:val="35"/>
    <w:qFormat/>
    <w:uiPriority w:val="34"/>
  </w:style>
  <w:style w:type="paragraph" w:customStyle="1" w:styleId="44">
    <w:name w:val="1"/>
    <w:basedOn w:val="1"/>
    <w:next w:val="12"/>
    <w:qFormat/>
    <w:uiPriority w:val="99"/>
    <w:pPr>
      <w:widowControl w:val="0"/>
      <w:jc w:val="both"/>
    </w:pPr>
    <w:rPr>
      <w:rFonts w:ascii="宋体" w:hAnsi="Courier New"/>
      <w:kern w:val="2"/>
    </w:rPr>
  </w:style>
  <w:style w:type="paragraph" w:customStyle="1" w:styleId="45">
    <w:name w:val="WPSOffice手动目录 1"/>
    <w:qFormat/>
    <w:uiPriority w:val="0"/>
    <w:pPr>
      <w:ind w:leftChars="0"/>
    </w:pPr>
    <w:rPr>
      <w:rFonts w:asciiTheme="minorHAnsi" w:hAnsiTheme="minorHAnsi" w:eastAsiaTheme="minorEastAsia" w:cstheme="minorBidi"/>
      <w:sz w:val="20"/>
      <w:szCs w:val="20"/>
    </w:rPr>
  </w:style>
  <w:style w:type="paragraph" w:customStyle="1" w:styleId="46">
    <w:name w:val="WPSOffice手动目录 2"/>
    <w:qFormat/>
    <w:uiPriority w:val="0"/>
    <w:pPr>
      <w:ind w:leftChars="200"/>
    </w:pPr>
    <w:rPr>
      <w:rFonts w:asciiTheme="minorHAnsi" w:hAnsiTheme="minorHAnsi" w:eastAsiaTheme="minorEastAsia" w:cstheme="minorBidi"/>
      <w:sz w:val="20"/>
      <w:szCs w:val="20"/>
    </w:rPr>
  </w:style>
  <w:style w:type="paragraph" w:customStyle="1" w:styleId="47">
    <w:name w:val="WPSOffice手动目录 3"/>
    <w:qFormat/>
    <w:uiPriority w:val="0"/>
    <w:pPr>
      <w:ind w:leftChars="400"/>
    </w:pPr>
    <w:rPr>
      <w:rFonts w:asciiTheme="minorHAnsi" w:hAnsiTheme="minorHAnsi" w:eastAsiaTheme="minorEastAsia" w:cstheme="minorBidi"/>
      <w:sz w:val="20"/>
      <w:szCs w:val="20"/>
    </w:rPr>
  </w:style>
  <w:style w:type="paragraph" w:customStyle="1" w:styleId="48">
    <w:name w:val="_Style 4"/>
    <w:basedOn w:val="3"/>
    <w:next w:val="1"/>
    <w:qFormat/>
    <w:uiPriority w:val="0"/>
    <w:pPr>
      <w:keepNext w:val="0"/>
      <w:keepLines w:val="0"/>
      <w:spacing w:before="0" w:after="0" w:line="576" w:lineRule="auto"/>
      <w:jc w:val="left"/>
      <w:outlineLvl w:val="9"/>
    </w:pPr>
    <w:rPr>
      <w:rFonts w:ascii="Calibri" w:hAnsi="Calibri" w:eastAsia="黑体"/>
      <w:bCs w:val="0"/>
      <w:kern w:val="0"/>
      <w:lang w:eastAsia="en-US"/>
    </w:rPr>
  </w:style>
  <w:style w:type="paragraph" w:customStyle="1" w:styleId="49">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table" w:customStyle="1" w:styleId="50">
    <w:name w:val="网格型1"/>
    <w:basedOn w:val="23"/>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57</Pages>
  <Words>30160</Words>
  <Characters>34010</Characters>
  <Lines>300</Lines>
  <Paragraphs>84</Paragraphs>
  <TotalTime>1</TotalTime>
  <ScaleCrop>false</ScaleCrop>
  <LinksUpToDate>false</LinksUpToDate>
  <CharactersWithSpaces>36286</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cp:lastPrinted>2023-10-18T02:39:00Z</cp:lastPrinted>
  <dcterms:modified xsi:type="dcterms:W3CDTF">2023-12-08T08:23:13Z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26EC20B1EECE4BB692379A0E78888DDC_13</vt:lpwstr>
  </property>
</Properties>
</file>