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lang w:val="en-US" w:eastAsia="zh-CN"/>
        </w:rPr>
      </w:pP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广州市净水有限公司猎德分公司</w:t>
      </w: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一期排泥泵井、一期生化池回流泵房、二期集泥井、四期储泥池吊架改造项目</w:t>
      </w:r>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（第二次）</w:t>
      </w:r>
    </w:p>
    <w:p>
      <w:pPr>
        <w:pStyle w:val="2"/>
        <w:rPr>
          <w:rFonts w:hint="default"/>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十二</w:t>
      </w:r>
      <w:r>
        <w:rPr>
          <w:rFonts w:hint="eastAsia" w:ascii="黑体" w:hAnsi="黑体" w:eastAsia="黑体" w:cs="仿宋_GB2312"/>
          <w:sz w:val="32"/>
          <w:szCs w:val="32"/>
        </w:rPr>
        <w:t>月</w:t>
      </w:r>
    </w:p>
    <w:p>
      <w:p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pPr>
    </w:p>
    <w:p>
      <w:pPr>
        <w:pStyle w:val="45"/>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31938"/>
      <w:bookmarkStart w:id="5" w:name="_Toc4275"/>
      <w:bookmarkStart w:id="6" w:name="_Toc7519"/>
      <w:bookmarkStart w:id="7" w:name="_Toc11322"/>
      <w:bookmarkStart w:id="8" w:name="_Toc1669"/>
      <w:bookmarkStart w:id="9" w:name="_Toc19609"/>
      <w:bookmarkStart w:id="10" w:name="_Toc17801"/>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2352040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2pt;margin-top:39.7pt;height:0pt;width:75.5pt;z-index:251673600;mso-width-relative:page;mso-height-relative:page;" filled="f" stroked="t" coordsize="21600,21600" o:gfxdata="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Od9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7"/>
      </w:pPr>
    </w:p>
    <w:p>
      <w:pPr>
        <w:pStyle w:val="4"/>
      </w:pPr>
      <w:bookmarkStart w:id="11" w:name="_Toc15709"/>
      <w:bookmarkStart w:id="12" w:name="_Toc30989"/>
      <w:bookmarkStart w:id="13" w:name="_Toc2659"/>
      <w:bookmarkStart w:id="14" w:name="_Toc88209924"/>
      <w:bookmarkStart w:id="15" w:name="_Toc5230"/>
      <w:bookmarkStart w:id="16" w:name="_Toc10122"/>
      <w:bookmarkStart w:id="17" w:name="_Toc14238"/>
      <w:bookmarkStart w:id="18" w:name="_Toc26363"/>
      <w:bookmarkStart w:id="19" w:name="_Toc30131"/>
      <w:bookmarkStart w:id="20" w:name="_Toc28995"/>
      <w:bookmarkStart w:id="21" w:name="_Toc999"/>
      <w:bookmarkStart w:id="22" w:name="_Toc8201"/>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spacing w:line="600" w:lineRule="exact"/>
        <w:jc w:val="center"/>
        <w:rPr>
          <w:rFonts w:hint="eastAsia" w:eastAsia="方正小标宋简体" w:asciiTheme="majorHAnsi" w:hAnsiTheme="majorHAnsi" w:cstheme="majorBidi"/>
          <w:bCs/>
          <w:sz w:val="36"/>
          <w:szCs w:val="32"/>
          <w:lang w:val="en-US" w:eastAsia="zh-CN"/>
        </w:rPr>
      </w:pPr>
      <w:bookmarkStart w:id="23" w:name="_Toc9680"/>
      <w:bookmarkStart w:id="24" w:name="_Toc21373"/>
      <w:r>
        <w:rPr>
          <w:rFonts w:hint="eastAsia" w:eastAsia="方正小标宋简体" w:asciiTheme="majorHAnsi" w:hAnsiTheme="majorHAnsi" w:cstheme="majorBidi"/>
          <w:bCs/>
          <w:sz w:val="36"/>
          <w:szCs w:val="32"/>
          <w:lang w:val="en-US" w:eastAsia="zh-CN"/>
        </w:rPr>
        <w:t>广州市净水有限公司猎德分公司一期排泥泵井、</w:t>
      </w:r>
    </w:p>
    <w:p>
      <w:pPr>
        <w:spacing w:line="600" w:lineRule="exact"/>
        <w:jc w:val="center"/>
        <w:rPr>
          <w:rFonts w:hint="eastAsia" w:eastAsia="方正小标宋简体" w:asciiTheme="majorHAnsi" w:hAnsiTheme="majorHAnsi" w:cstheme="majorBidi"/>
          <w:bCs/>
          <w:sz w:val="36"/>
          <w:szCs w:val="32"/>
          <w:lang w:val="en-US" w:eastAsia="zh-CN"/>
        </w:rPr>
      </w:pPr>
      <w:r>
        <w:rPr>
          <w:rFonts w:hint="eastAsia" w:eastAsia="方正小标宋简体" w:asciiTheme="majorHAnsi" w:hAnsiTheme="majorHAnsi" w:cstheme="majorBidi"/>
          <w:bCs/>
          <w:sz w:val="36"/>
          <w:szCs w:val="32"/>
          <w:lang w:val="en-US" w:eastAsia="zh-CN"/>
        </w:rPr>
        <w:t>一期生化池回流泵房、二期集泥井、四期</w:t>
      </w:r>
    </w:p>
    <w:p>
      <w:pPr>
        <w:spacing w:line="600" w:lineRule="exact"/>
        <w:jc w:val="center"/>
        <w:rPr>
          <w:rFonts w:hint="eastAsia" w:eastAsia="方正小标宋简体" w:asciiTheme="majorHAnsi" w:hAnsiTheme="majorHAnsi" w:cstheme="majorBidi"/>
          <w:bCs/>
          <w:sz w:val="36"/>
          <w:szCs w:val="32"/>
          <w:lang w:val="en-US" w:eastAsia="zh-CN"/>
        </w:rPr>
      </w:pPr>
      <w:r>
        <w:rPr>
          <w:rFonts w:hint="eastAsia" w:eastAsia="方正小标宋简体" w:asciiTheme="majorHAnsi" w:hAnsiTheme="majorHAnsi" w:cstheme="majorBidi"/>
          <w:bCs/>
          <w:sz w:val="36"/>
          <w:szCs w:val="32"/>
          <w:lang w:val="en-US" w:eastAsia="zh-CN"/>
        </w:rPr>
        <w:t>储泥池吊架改造项目（第二次）</w:t>
      </w:r>
    </w:p>
    <w:p>
      <w:pPr>
        <w:spacing w:line="600" w:lineRule="exact"/>
        <w:jc w:val="center"/>
      </w:pPr>
      <w:r>
        <w:rPr>
          <w:rFonts w:hint="eastAsia" w:eastAsia="方正小标宋简体" w:asciiTheme="majorHAnsi" w:hAnsiTheme="majorHAnsi" w:cstheme="majorBidi"/>
          <w:bCs/>
          <w:sz w:val="36"/>
          <w:szCs w:val="32"/>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bookmarkStart w:id="147" w:name="_GoBack"/>
      <w:r>
        <w:rPr>
          <w:rFonts w:hint="eastAsia" w:ascii="仿宋_GB2312" w:eastAsia="仿宋_GB2312"/>
          <w:sz w:val="28"/>
          <w:szCs w:val="28"/>
          <w:u w:val="single"/>
          <w:lang w:val="en-US" w:eastAsia="zh-CN"/>
        </w:rPr>
        <w:t>广州市净水有限公司猎德分公司一期排泥泵井、一期生化池回流泵房、二期集泥井、四期储泥池吊架改造项目（第二次）</w:t>
      </w:r>
      <w:bookmarkEnd w:id="147"/>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lang w:eastAsia="zh-CN"/>
        </w:rPr>
        <w:t>□</w:t>
      </w:r>
      <w:r>
        <w:rPr>
          <w:rFonts w:hint="eastAsia" w:ascii="仿宋_GB2312" w:eastAsia="仿宋_GB2312"/>
          <w:sz w:val="28"/>
          <w:szCs w:val="28"/>
        </w:rPr>
        <w:t>服务项目实施公开采购活动，采用</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u w:val="none"/>
          <w:lang w:val="en-US" w:eastAsia="zh-CN"/>
        </w:rPr>
        <w:t>的</w:t>
      </w:r>
      <w:r>
        <w:rPr>
          <w:rFonts w:hint="eastAsia" w:ascii="仿宋_GB2312" w:eastAsia="仿宋_GB2312"/>
          <w:sz w:val="28"/>
          <w:szCs w:val="28"/>
        </w:rPr>
        <w:t>方式公开邀请合格供应商参加本项目采购</w:t>
      </w:r>
      <w:r>
        <w:rPr>
          <w:rFonts w:hint="eastAsia" w:ascii="仿宋_GB2312" w:eastAsia="仿宋_GB2312"/>
          <w:sz w:val="28"/>
          <w:szCs w:val="28"/>
          <w:lang w:val="en-US" w:eastAsia="zh-CN"/>
        </w:rPr>
        <w:t>活动</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广州市净水有限公司猎德分公司一期排泥泵井、一期生化池回流泵房、二期集泥井、四期储泥池吊架改造项目（第二次）</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XJ-20231208-2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utoSpaceDE w:val="0"/>
        <w:autoSpaceDN w:val="0"/>
        <w:adjustRightInd/>
        <w:snapToGrid/>
        <w:spacing w:line="240" w:lineRule="auto"/>
        <w:jc w:val="both"/>
        <w:rPr>
          <w:rFonts w:hint="eastAsia" w:ascii="仿宋_GB2312" w:eastAsia="仿宋_GB2312"/>
          <w:sz w:val="28"/>
          <w:szCs w:val="28"/>
          <w:highlight w:val="none"/>
          <w:u w:val="single"/>
          <w:lang w:eastAsia="zh-CN"/>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 xml:space="preserve"> 214507.82元，</w:t>
      </w:r>
      <w:r>
        <w:rPr>
          <w:rFonts w:hint="eastAsia" w:ascii="仿宋_GB2312" w:eastAsia="仿宋_GB2312"/>
          <w:color w:val="auto"/>
          <w:sz w:val="28"/>
          <w:szCs w:val="28"/>
          <w:highlight w:val="none"/>
          <w:u w:val="single"/>
          <w:lang w:eastAsia="zh-CN"/>
        </w:rPr>
        <w:t>其中不含税造价为</w:t>
      </w:r>
      <w:r>
        <w:rPr>
          <w:rFonts w:hint="eastAsia" w:ascii="仿宋_GB2312" w:eastAsia="仿宋_GB2312"/>
          <w:color w:val="auto"/>
          <w:sz w:val="28"/>
          <w:szCs w:val="28"/>
          <w:highlight w:val="none"/>
          <w:u w:val="single"/>
          <w:lang w:val="en-US" w:eastAsia="zh-CN"/>
        </w:rPr>
        <w:t>196796.17</w:t>
      </w:r>
      <w:r>
        <w:rPr>
          <w:rFonts w:hint="eastAsia" w:ascii="仿宋_GB2312" w:eastAsia="仿宋_GB2312"/>
          <w:color w:val="auto"/>
          <w:sz w:val="28"/>
          <w:szCs w:val="28"/>
          <w:highlight w:val="none"/>
          <w:u w:val="single"/>
          <w:lang w:eastAsia="zh-CN"/>
        </w:rPr>
        <w:t>元，税率为9%，按费率计算绿色施工安全防护措施费为</w:t>
      </w:r>
      <w:r>
        <w:rPr>
          <w:rFonts w:hint="eastAsia" w:ascii="仿宋_GB2312" w:eastAsia="仿宋_GB2312"/>
          <w:color w:val="auto"/>
          <w:sz w:val="28"/>
          <w:szCs w:val="28"/>
          <w:highlight w:val="none"/>
          <w:u w:val="single"/>
          <w:lang w:val="en-US" w:eastAsia="zh-CN"/>
        </w:rPr>
        <w:t>22473.53</w:t>
      </w:r>
      <w:r>
        <w:rPr>
          <w:rFonts w:hint="eastAsia" w:ascii="仿宋_GB2312" w:eastAsia="仿宋_GB2312"/>
          <w:color w:val="auto"/>
          <w:sz w:val="28"/>
          <w:szCs w:val="28"/>
          <w:highlight w:val="none"/>
          <w:u w:val="single"/>
          <w:lang w:eastAsia="zh-CN"/>
        </w:rPr>
        <w:t>元，暂列金为</w:t>
      </w:r>
      <w:r>
        <w:rPr>
          <w:rFonts w:hint="eastAsia" w:ascii="仿宋_GB2312" w:eastAsia="仿宋_GB2312"/>
          <w:color w:val="auto"/>
          <w:sz w:val="28"/>
          <w:szCs w:val="28"/>
          <w:highlight w:val="none"/>
          <w:u w:val="single"/>
          <w:lang w:val="en-US" w:eastAsia="zh-CN"/>
        </w:rPr>
        <w:t>15344.17</w:t>
      </w:r>
      <w:r>
        <w:rPr>
          <w:rFonts w:hint="eastAsia" w:ascii="仿宋_GB2312" w:eastAsia="仿宋_GB2312"/>
          <w:color w:val="auto"/>
          <w:sz w:val="28"/>
          <w:szCs w:val="28"/>
          <w:highlight w:val="none"/>
          <w:u w:val="single"/>
          <w:lang w:eastAsia="zh-CN"/>
        </w:rPr>
        <w:t>元。</w:t>
      </w: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及暂列金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hAnsi="宋体" w:eastAsia="仿宋_GB2312" w:cs="Times New Roman"/>
          <w:bCs w:val="0"/>
          <w:color w:val="auto"/>
          <w:kern w:val="0"/>
          <w:sz w:val="28"/>
          <w:szCs w:val="28"/>
          <w:highlight w:val="none"/>
          <w:u w:val="none"/>
          <w:lang w:val="en-US" w:eastAsia="zh-CN" w:bidi="ar-SA"/>
        </w:rPr>
      </w:pPr>
      <w:r>
        <w:rPr>
          <w:rFonts w:hint="eastAsia" w:ascii="仿宋_GB2312" w:hAnsi="宋体" w:eastAsia="仿宋_GB2312" w:cs="Times New Roman"/>
          <w:bCs w:val="0"/>
          <w:color w:val="auto"/>
          <w:kern w:val="0"/>
          <w:sz w:val="28"/>
          <w:szCs w:val="28"/>
          <w:highlight w:val="none"/>
          <w:u w:val="none"/>
          <w:lang w:val="en-US" w:eastAsia="zh-CN" w:bidi="ar-SA"/>
        </w:rPr>
        <w:t>2.1采购内容和范围：</w:t>
      </w:r>
    </w:p>
    <w:p>
      <w:pPr>
        <w:pStyle w:val="2"/>
        <w:ind w:left="0" w:leftChars="0" w:firstLine="560" w:firstLineChars="200"/>
        <w:rPr>
          <w:rFonts w:hint="eastAsia"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对猎德分公司一期排泥泵井、一期生化池回流泵房（包含1B反应池、2B反应池）、二期集泥井、四期储泥池共5个位置新增龙门吊架。</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eastAsia="仿宋_GB2312" w:cs="Times New Roman"/>
          <w:bCs w:val="0"/>
          <w:color w:val="auto"/>
          <w:kern w:val="0"/>
          <w:sz w:val="28"/>
          <w:szCs w:val="28"/>
          <w:highlight w:val="none"/>
          <w:u w:val="single"/>
          <w:lang w:val="en-US" w:eastAsia="zh-CN" w:bidi="ar-SA"/>
        </w:rPr>
        <w:t>（1）本项目需要报价单位中标后，到现场进行勘查，对上述5个位置新增龙门吊架出具施工大样图，需组织专家评审或聘请第三方进行施工图审查（投标时包含此费用），通过后，再实施。设计的施工图须符合GB3811-83《起重机设计规定》、JB1036-82《通用桥式起重机技术条件》、GB5905-86《起重机械试验规范和程序》、JB/ZQ8001-89《通用桥式起重机产品质量分等》标准。</w:t>
      </w:r>
    </w:p>
    <w:p>
      <w:pPr>
        <w:pStyle w:val="2"/>
        <w:ind w:left="0" w:leftChars="0" w:firstLine="560" w:firstLineChars="200"/>
        <w:rPr>
          <w:rFonts w:hint="eastAsia"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2）①在猎德分公司一期排泥泵井上方，新增1套大于等于1吨的定柱式悬臂起重吊架。②在猎德分公司一期生化池1B、2B回流泵房各新增一套起重量大于或等于2吨的桁车式手动起重葫芦吊架，与原起重架搭接一起。③在猎德分公司二期集泥井东侧排泥泵上方，新增一套起重量大于或等于1吨的桁车式手动葫芦吊架。④在猎德分公司储泥池西侧排泥泵上方，新增一套起重量大于等于1吨的桁车式手动葫芦吊架。</w:t>
      </w:r>
    </w:p>
    <w:p>
      <w:pPr>
        <w:pStyle w:val="2"/>
        <w:ind w:left="0" w:leftChars="0" w:firstLine="560" w:firstLineChars="200"/>
        <w:rPr>
          <w:rFonts w:hint="default"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（3）需对上述5个位置的龙门架支撑脚浇筑混凝土支墩，在支墩上预埋10mm厚的钢板。详细如下：</w:t>
      </w:r>
    </w:p>
    <w:p>
      <w:pPr>
        <w:pStyle w:val="2"/>
        <w:ind w:left="0" w:leftChars="0" w:firstLine="560" w:firstLineChars="200"/>
        <w:rPr>
          <w:rFonts w:hint="eastAsia"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确定预埋井布置位置，开挖预埋井，预埋加强</w:t>
      </w:r>
      <w:r>
        <w:rPr>
          <w:rFonts w:hint="eastAsia" w:ascii="仿宋_GB2312" w:eastAsia="仿宋_GB2312" w:cs="Times New Roman"/>
          <w:bCs w:val="0"/>
          <w:color w:val="auto"/>
          <w:kern w:val="0"/>
          <w:sz w:val="28"/>
          <w:szCs w:val="28"/>
          <w:highlight w:val="none"/>
          <w:u w:val="single"/>
          <w:lang w:val="en-US" w:eastAsia="zh-CN" w:bidi="ar-SA"/>
        </w:rPr>
        <w:t>钢板</w:t>
      </w:r>
      <w:r>
        <w:rPr>
          <w:rFonts w:hint="eastAsia" w:ascii="仿宋_GB2312" w:hAnsi="宋体" w:eastAsia="仿宋_GB2312" w:cs="Times New Roman"/>
          <w:bCs w:val="0"/>
          <w:color w:val="auto"/>
          <w:kern w:val="0"/>
          <w:sz w:val="28"/>
          <w:szCs w:val="28"/>
          <w:highlight w:val="none"/>
          <w:u w:val="single"/>
          <w:lang w:val="en-US" w:eastAsia="zh-CN" w:bidi="ar-SA"/>
        </w:rPr>
        <w:t>，再对各部位的吊架进行改造安装，安装后浇筑混凝土至预埋井，用斜撑固定竖直钢架，所采用的工字钢</w:t>
      </w:r>
      <w:r>
        <w:rPr>
          <w:rFonts w:hint="eastAsia" w:ascii="仿宋_GB2312" w:eastAsia="仿宋_GB2312" w:cs="Times New Roman"/>
          <w:bCs w:val="0"/>
          <w:color w:val="auto"/>
          <w:kern w:val="0"/>
          <w:sz w:val="28"/>
          <w:szCs w:val="28"/>
          <w:highlight w:val="none"/>
          <w:u w:val="single"/>
          <w:lang w:val="en-US" w:eastAsia="zh-CN" w:bidi="ar-SA"/>
        </w:rPr>
        <w:t>或方钢</w:t>
      </w:r>
      <w:r>
        <w:rPr>
          <w:rFonts w:hint="eastAsia" w:ascii="仿宋_GB2312" w:hAnsi="宋体" w:eastAsia="仿宋_GB2312" w:cs="Times New Roman"/>
          <w:bCs w:val="0"/>
          <w:color w:val="auto"/>
          <w:kern w:val="0"/>
          <w:sz w:val="28"/>
          <w:szCs w:val="28"/>
          <w:highlight w:val="none"/>
          <w:u w:val="single"/>
          <w:lang w:val="en-US" w:eastAsia="zh-CN" w:bidi="ar-SA"/>
        </w:rPr>
        <w:t>（按实际工程量结算）,安装手动葫芦运行机构，对金属结构进行</w:t>
      </w:r>
      <w:r>
        <w:rPr>
          <w:rFonts w:hint="eastAsia" w:ascii="仿宋_GB2312" w:eastAsia="仿宋_GB2312" w:cs="Times New Roman"/>
          <w:bCs w:val="0"/>
          <w:color w:val="auto"/>
          <w:kern w:val="0"/>
          <w:sz w:val="28"/>
          <w:szCs w:val="28"/>
          <w:highlight w:val="none"/>
          <w:u w:val="single"/>
          <w:lang w:val="en-US" w:eastAsia="zh-CN" w:bidi="ar-SA"/>
        </w:rPr>
        <w:t>防腐</w:t>
      </w:r>
      <w:r>
        <w:rPr>
          <w:rFonts w:hint="eastAsia" w:ascii="仿宋_GB2312" w:hAnsi="宋体" w:eastAsia="仿宋_GB2312" w:cs="Times New Roman"/>
          <w:bCs w:val="0"/>
          <w:color w:val="auto"/>
          <w:kern w:val="0"/>
          <w:sz w:val="28"/>
          <w:szCs w:val="28"/>
          <w:highlight w:val="none"/>
          <w:u w:val="single"/>
          <w:lang w:val="en-US" w:eastAsia="zh-CN" w:bidi="ar-SA"/>
        </w:rPr>
        <w:t>刷漆</w:t>
      </w:r>
      <w:r>
        <w:rPr>
          <w:rFonts w:hint="eastAsia" w:ascii="仿宋_GB2312" w:eastAsia="仿宋_GB2312" w:cs="Times New Roman"/>
          <w:bCs w:val="0"/>
          <w:color w:val="auto"/>
          <w:kern w:val="0"/>
          <w:sz w:val="28"/>
          <w:szCs w:val="28"/>
          <w:highlight w:val="none"/>
          <w:u w:val="single"/>
          <w:lang w:val="en-US" w:eastAsia="zh-CN" w:bidi="ar-SA"/>
        </w:rPr>
        <w:t>处理</w:t>
      </w:r>
      <w:r>
        <w:rPr>
          <w:rFonts w:hint="eastAsia" w:ascii="仿宋_GB2312" w:hAnsi="宋体" w:eastAsia="仿宋_GB2312" w:cs="Times New Roman"/>
          <w:bCs w:val="0"/>
          <w:color w:val="auto"/>
          <w:kern w:val="0"/>
          <w:sz w:val="28"/>
          <w:szCs w:val="28"/>
          <w:highlight w:val="none"/>
          <w:u w:val="single"/>
          <w:lang w:val="en-US" w:eastAsia="zh-CN" w:bidi="ar-SA"/>
        </w:rPr>
        <w:t>，对伸出部分为软土质的地层做硬化处理。</w:t>
      </w:r>
    </w:p>
    <w:p>
      <w:pPr>
        <w:pStyle w:val="2"/>
        <w:ind w:left="0" w:leftChars="0" w:firstLine="560" w:firstLineChars="200"/>
        <w:rPr>
          <w:rFonts w:hint="eastAsia" w:ascii="仿宋_GB2312" w:eastAsia="仿宋_GB2312" w:cs="Times New Roman"/>
          <w:bCs w:val="0"/>
          <w:color w:val="auto"/>
          <w:kern w:val="0"/>
          <w:sz w:val="28"/>
          <w:szCs w:val="28"/>
          <w:highlight w:val="none"/>
          <w:u w:val="single"/>
          <w:lang w:val="en-US" w:eastAsia="zh-CN" w:bidi="ar-SA"/>
        </w:rPr>
      </w:pPr>
      <w:r>
        <w:rPr>
          <w:rFonts w:hint="eastAsia" w:ascii="仿宋_GB2312" w:eastAsia="仿宋_GB2312" w:cs="Times New Roman"/>
          <w:bCs w:val="0"/>
          <w:color w:val="auto"/>
          <w:kern w:val="0"/>
          <w:sz w:val="28"/>
          <w:szCs w:val="28"/>
          <w:highlight w:val="none"/>
          <w:u w:val="single"/>
          <w:lang w:val="en-US" w:eastAsia="zh-CN" w:bidi="ar-SA"/>
        </w:rPr>
        <w:t>制作支墩，用于</w:t>
      </w:r>
      <w:r>
        <w:rPr>
          <w:rFonts w:hint="eastAsia" w:ascii="仿宋_GB2312" w:hAnsi="宋体" w:eastAsia="仿宋_GB2312" w:cs="Times New Roman"/>
          <w:bCs w:val="0"/>
          <w:color w:val="auto"/>
          <w:kern w:val="0"/>
          <w:sz w:val="28"/>
          <w:szCs w:val="28"/>
          <w:highlight w:val="none"/>
          <w:u w:val="single"/>
          <w:lang w:val="en-US" w:eastAsia="zh-CN" w:bidi="ar-SA"/>
        </w:rPr>
        <w:t>支撑龙门</w:t>
      </w:r>
      <w:r>
        <w:rPr>
          <w:rFonts w:hint="eastAsia" w:ascii="仿宋_GB2312" w:eastAsia="仿宋_GB2312" w:cs="Times New Roman"/>
          <w:bCs w:val="0"/>
          <w:color w:val="auto"/>
          <w:kern w:val="0"/>
          <w:sz w:val="28"/>
          <w:szCs w:val="28"/>
          <w:highlight w:val="none"/>
          <w:u w:val="single"/>
          <w:lang w:val="en-US" w:eastAsia="zh-CN" w:bidi="ar-SA"/>
        </w:rPr>
        <w:t>吊</w:t>
      </w:r>
      <w:r>
        <w:rPr>
          <w:rFonts w:hint="eastAsia" w:ascii="仿宋_GB2312" w:hAnsi="宋体" w:eastAsia="仿宋_GB2312" w:cs="Times New Roman"/>
          <w:bCs w:val="0"/>
          <w:color w:val="auto"/>
          <w:kern w:val="0"/>
          <w:sz w:val="28"/>
          <w:szCs w:val="28"/>
          <w:highlight w:val="none"/>
          <w:u w:val="single"/>
          <w:lang w:val="en-US" w:eastAsia="zh-CN" w:bidi="ar-SA"/>
        </w:rPr>
        <w:t>架的自重及吊运重物时所发生的一切荷载，每个支墩的尺寸</w:t>
      </w:r>
      <w:r>
        <w:rPr>
          <w:rFonts w:hint="eastAsia" w:ascii="仿宋_GB2312" w:eastAsia="仿宋_GB2312" w:cs="Times New Roman"/>
          <w:bCs w:val="0"/>
          <w:color w:val="auto"/>
          <w:kern w:val="0"/>
          <w:sz w:val="28"/>
          <w:szCs w:val="28"/>
          <w:highlight w:val="none"/>
          <w:u w:val="single"/>
          <w:lang w:val="en-US" w:eastAsia="zh-CN" w:bidi="ar-SA"/>
        </w:rPr>
        <w:t>不小于0.6</w:t>
      </w:r>
      <w:r>
        <w:rPr>
          <w:rFonts w:hint="eastAsia" w:ascii="仿宋_GB2312" w:hAnsi="宋体" w:eastAsia="仿宋_GB2312" w:cs="Times New Roman"/>
          <w:bCs w:val="0"/>
          <w:color w:val="auto"/>
          <w:kern w:val="0"/>
          <w:sz w:val="28"/>
          <w:szCs w:val="28"/>
          <w:highlight w:val="none"/>
          <w:u w:val="single"/>
          <w:lang w:val="en-US" w:eastAsia="zh-CN" w:bidi="ar-SA"/>
        </w:rPr>
        <w:t>x</w:t>
      </w:r>
      <w:r>
        <w:rPr>
          <w:rFonts w:hint="eastAsia" w:ascii="仿宋_GB2312" w:eastAsia="仿宋_GB2312" w:cs="Times New Roman"/>
          <w:bCs w:val="0"/>
          <w:color w:val="auto"/>
          <w:kern w:val="0"/>
          <w:sz w:val="28"/>
          <w:szCs w:val="28"/>
          <w:highlight w:val="none"/>
          <w:u w:val="single"/>
          <w:lang w:val="en-US" w:eastAsia="zh-CN" w:bidi="ar-SA"/>
        </w:rPr>
        <w:t>0.6</w:t>
      </w:r>
      <w:r>
        <w:rPr>
          <w:rFonts w:hint="eastAsia" w:ascii="仿宋_GB2312" w:hAnsi="宋体" w:eastAsia="仿宋_GB2312" w:cs="Times New Roman"/>
          <w:bCs w:val="0"/>
          <w:color w:val="auto"/>
          <w:kern w:val="0"/>
          <w:sz w:val="28"/>
          <w:szCs w:val="28"/>
          <w:highlight w:val="none"/>
          <w:u w:val="single"/>
          <w:lang w:val="en-US" w:eastAsia="zh-CN" w:bidi="ar-SA"/>
        </w:rPr>
        <w:t>x</w:t>
      </w:r>
      <w:r>
        <w:rPr>
          <w:rFonts w:hint="eastAsia" w:ascii="仿宋_GB2312" w:eastAsia="仿宋_GB2312" w:cs="Times New Roman"/>
          <w:bCs w:val="0"/>
          <w:color w:val="auto"/>
          <w:kern w:val="0"/>
          <w:sz w:val="28"/>
          <w:szCs w:val="28"/>
          <w:highlight w:val="none"/>
          <w:u w:val="single"/>
          <w:lang w:val="en-US" w:eastAsia="zh-CN" w:bidi="ar-SA"/>
        </w:rPr>
        <w:t>0.6</w:t>
      </w:r>
      <w:r>
        <w:rPr>
          <w:rFonts w:hint="eastAsia" w:ascii="仿宋_GB2312" w:hAnsi="宋体" w:eastAsia="仿宋_GB2312" w:cs="Times New Roman"/>
          <w:bCs w:val="0"/>
          <w:color w:val="auto"/>
          <w:kern w:val="0"/>
          <w:sz w:val="28"/>
          <w:szCs w:val="28"/>
          <w:highlight w:val="none"/>
          <w:u w:val="single"/>
          <w:lang w:val="en-US" w:eastAsia="zh-CN" w:bidi="ar-SA"/>
        </w:rPr>
        <w:t>m，为现浇C</w:t>
      </w:r>
      <w:r>
        <w:rPr>
          <w:rFonts w:hint="eastAsia" w:ascii="仿宋_GB2312" w:eastAsia="仿宋_GB2312" w:cs="Times New Roman"/>
          <w:bCs w:val="0"/>
          <w:color w:val="auto"/>
          <w:kern w:val="0"/>
          <w:sz w:val="28"/>
          <w:szCs w:val="28"/>
          <w:highlight w:val="none"/>
          <w:u w:val="single"/>
          <w:lang w:val="en-US" w:eastAsia="zh-CN" w:bidi="ar-SA"/>
        </w:rPr>
        <w:t>35</w:t>
      </w:r>
      <w:r>
        <w:rPr>
          <w:rFonts w:hint="eastAsia" w:ascii="仿宋_GB2312" w:hAnsi="宋体" w:eastAsia="仿宋_GB2312" w:cs="Times New Roman"/>
          <w:bCs w:val="0"/>
          <w:color w:val="auto"/>
          <w:kern w:val="0"/>
          <w:sz w:val="28"/>
          <w:szCs w:val="28"/>
          <w:highlight w:val="none"/>
          <w:u w:val="single"/>
          <w:lang w:val="en-US" w:eastAsia="zh-CN" w:bidi="ar-SA"/>
        </w:rPr>
        <w:t>砼，在基础支墩上预埋10mm厚钢板以便龙门架工字钢立柱与基础支墩牢固连接，钢板平面尺寸</w:t>
      </w:r>
      <w:r>
        <w:rPr>
          <w:rFonts w:hint="eastAsia" w:ascii="仿宋_GB2312" w:eastAsia="仿宋_GB2312" w:cs="Times New Roman"/>
          <w:bCs w:val="0"/>
          <w:color w:val="auto"/>
          <w:kern w:val="0"/>
          <w:sz w:val="28"/>
          <w:szCs w:val="28"/>
          <w:highlight w:val="none"/>
          <w:u w:val="single"/>
          <w:lang w:val="en-US" w:eastAsia="zh-CN" w:bidi="ar-SA"/>
        </w:rPr>
        <w:t>不小于0.6</w:t>
      </w:r>
      <w:r>
        <w:rPr>
          <w:rFonts w:hint="eastAsia" w:ascii="仿宋_GB2312" w:hAnsi="宋体" w:eastAsia="仿宋_GB2312" w:cs="Times New Roman"/>
          <w:bCs w:val="0"/>
          <w:color w:val="auto"/>
          <w:kern w:val="0"/>
          <w:sz w:val="28"/>
          <w:szCs w:val="28"/>
          <w:highlight w:val="none"/>
          <w:u w:val="single"/>
          <w:lang w:val="en-US" w:eastAsia="zh-CN" w:bidi="ar-SA"/>
        </w:rPr>
        <w:t>x</w:t>
      </w:r>
      <w:r>
        <w:rPr>
          <w:rFonts w:hint="eastAsia" w:ascii="仿宋_GB2312" w:eastAsia="仿宋_GB2312" w:cs="Times New Roman"/>
          <w:bCs w:val="0"/>
          <w:color w:val="auto"/>
          <w:kern w:val="0"/>
          <w:sz w:val="28"/>
          <w:szCs w:val="28"/>
          <w:highlight w:val="none"/>
          <w:u w:val="single"/>
          <w:lang w:val="en-US" w:eastAsia="zh-CN" w:bidi="ar-SA"/>
        </w:rPr>
        <w:t>0.6</w:t>
      </w:r>
      <w:r>
        <w:rPr>
          <w:rFonts w:hint="eastAsia" w:ascii="仿宋_GB2312" w:hAnsi="宋体" w:eastAsia="仿宋_GB2312" w:cs="Times New Roman"/>
          <w:bCs w:val="0"/>
          <w:color w:val="auto"/>
          <w:kern w:val="0"/>
          <w:sz w:val="28"/>
          <w:szCs w:val="28"/>
          <w:highlight w:val="none"/>
          <w:u w:val="single"/>
          <w:lang w:val="en-US" w:eastAsia="zh-CN" w:bidi="ar-SA"/>
        </w:rPr>
        <w:t>m</w:t>
      </w:r>
      <w:r>
        <w:rPr>
          <w:rFonts w:hint="eastAsia" w:ascii="仿宋_GB2312" w:eastAsia="仿宋_GB2312" w:cs="Times New Roman"/>
          <w:bCs w:val="0"/>
          <w:color w:val="auto"/>
          <w:kern w:val="0"/>
          <w:sz w:val="28"/>
          <w:szCs w:val="28"/>
          <w:highlight w:val="none"/>
          <w:u w:val="single"/>
          <w:lang w:val="en-US" w:eastAsia="zh-CN" w:bidi="ar-SA"/>
        </w:rPr>
        <w:t>。</w:t>
      </w:r>
    </w:p>
    <w:p>
      <w:pPr>
        <w:pStyle w:val="2"/>
        <w:ind w:left="0" w:leftChars="0" w:firstLine="560" w:firstLineChars="200"/>
        <w:rPr>
          <w:rFonts w:hint="eastAsia"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（4）龙门框架必须采用的钢材必须符合GB/T706-2008标准大于或等于20b型一体成型的工字钢或符合GB/76728-2007标准大于或等于20×20mm，2.5mm厚的冷拔无缝方形钢管。</w:t>
      </w:r>
    </w:p>
    <w:p>
      <w:pPr>
        <w:pStyle w:val="2"/>
        <w:ind w:left="0" w:leftChars="0" w:firstLine="560" w:firstLineChars="200"/>
        <w:rPr>
          <w:rFonts w:hint="eastAsia"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工字钢或方钢与预埋钢板焊接牢固，并锚入支墩混凝土中。手动葫芦行走大梁共1根，采用型号不小于I20b工字钢（或2</w:t>
      </w:r>
      <w:r>
        <w:rPr>
          <w:rFonts w:hint="eastAsia" w:ascii="仿宋_GB2312" w:eastAsia="仿宋_GB2312" w:cs="Times New Roman"/>
          <w:bCs w:val="0"/>
          <w:color w:val="auto"/>
          <w:kern w:val="0"/>
          <w:sz w:val="28"/>
          <w:szCs w:val="28"/>
          <w:highlight w:val="none"/>
          <w:u w:val="single"/>
          <w:lang w:val="en-US" w:eastAsia="zh-CN" w:bidi="ar-SA"/>
        </w:rPr>
        <w:t>6</w:t>
      </w:r>
      <w:r>
        <w:rPr>
          <w:rFonts w:hint="eastAsia" w:ascii="仿宋_GB2312" w:hAnsi="宋体" w:eastAsia="仿宋_GB2312" w:cs="Times New Roman"/>
          <w:bCs w:val="0"/>
          <w:color w:val="auto"/>
          <w:kern w:val="0"/>
          <w:sz w:val="28"/>
          <w:szCs w:val="28"/>
          <w:highlight w:val="none"/>
          <w:u w:val="single"/>
          <w:lang w:val="en-US" w:eastAsia="zh-CN" w:bidi="ar-SA"/>
        </w:rPr>
        <w:t>×2</w:t>
      </w:r>
      <w:r>
        <w:rPr>
          <w:rFonts w:hint="eastAsia" w:ascii="仿宋_GB2312" w:eastAsia="仿宋_GB2312" w:cs="Times New Roman"/>
          <w:bCs w:val="0"/>
          <w:color w:val="auto"/>
          <w:kern w:val="0"/>
          <w:sz w:val="28"/>
          <w:szCs w:val="28"/>
          <w:highlight w:val="none"/>
          <w:u w:val="single"/>
          <w:lang w:val="en-US" w:eastAsia="zh-CN" w:bidi="ar-SA"/>
        </w:rPr>
        <w:t>6</w:t>
      </w:r>
      <w:r>
        <w:rPr>
          <w:rFonts w:hint="eastAsia" w:ascii="仿宋_GB2312" w:hAnsi="宋体" w:eastAsia="仿宋_GB2312" w:cs="Times New Roman"/>
          <w:bCs w:val="0"/>
          <w:color w:val="auto"/>
          <w:kern w:val="0"/>
          <w:sz w:val="28"/>
          <w:szCs w:val="28"/>
          <w:highlight w:val="none"/>
          <w:u w:val="single"/>
          <w:lang w:val="en-US" w:eastAsia="zh-CN" w:bidi="ar-SA"/>
        </w:rPr>
        <w:t>，2.5mm厚冷拔无缝方形钢管），行走大梁与立柱上横梁牢固焊接，立柱之间采用不小于φ160x6mm钢管做剪刀撑或斜撑，用以保证顶部框架的整体稳定性。</w:t>
      </w:r>
    </w:p>
    <w:p>
      <w:pPr>
        <w:pStyle w:val="2"/>
        <w:ind w:left="0" w:leftChars="0" w:firstLine="560" w:firstLineChars="200"/>
        <w:rPr>
          <w:rFonts w:hint="default" w:ascii="仿宋_GB2312" w:hAnsi="宋体" w:eastAsia="仿宋_GB2312" w:cs="Times New Roman"/>
          <w:bCs w:val="0"/>
          <w:color w:val="auto"/>
          <w:kern w:val="0"/>
          <w:sz w:val="28"/>
          <w:szCs w:val="28"/>
          <w:highlight w:val="none"/>
          <w:u w:val="single"/>
          <w:lang w:val="en-US" w:eastAsia="zh-CN" w:bidi="ar-SA"/>
        </w:rPr>
      </w:pPr>
      <w:r>
        <w:rPr>
          <w:rFonts w:hint="eastAsia" w:ascii="仿宋_GB2312" w:hAnsi="宋体" w:eastAsia="仿宋_GB2312" w:cs="Times New Roman"/>
          <w:bCs w:val="0"/>
          <w:color w:val="auto"/>
          <w:kern w:val="0"/>
          <w:sz w:val="28"/>
          <w:szCs w:val="28"/>
          <w:highlight w:val="none"/>
          <w:u w:val="single"/>
          <w:lang w:val="en-US" w:eastAsia="zh-CN" w:bidi="ar-SA"/>
        </w:rPr>
        <w:t>（5）对金属结构涂</w:t>
      </w:r>
      <w:r>
        <w:rPr>
          <w:rFonts w:hint="eastAsia" w:ascii="仿宋_GB2312" w:eastAsia="仿宋_GB2312" w:cs="Times New Roman"/>
          <w:bCs w:val="0"/>
          <w:color w:val="auto"/>
          <w:kern w:val="0"/>
          <w:sz w:val="28"/>
          <w:szCs w:val="28"/>
          <w:highlight w:val="none"/>
          <w:u w:val="single"/>
          <w:lang w:val="en-US" w:eastAsia="zh-CN" w:bidi="ar-SA"/>
        </w:rPr>
        <w:t>刷调和漆，至少涂刷两层底漆和两层面漆。</w:t>
      </w:r>
      <w:r>
        <w:rPr>
          <w:rFonts w:hint="eastAsia" w:ascii="仿宋_GB2312" w:hAnsi="宋体" w:eastAsia="仿宋_GB2312" w:cs="Times New Roman"/>
          <w:bCs w:val="0"/>
          <w:color w:val="auto"/>
          <w:kern w:val="0"/>
          <w:sz w:val="28"/>
          <w:szCs w:val="28"/>
          <w:highlight w:val="none"/>
          <w:u w:val="single"/>
          <w:lang w:val="en-US" w:eastAsia="zh-CN" w:bidi="ar-SA"/>
        </w:rPr>
        <w:t>并对伸出部分为软土质的地层做硬化处理。</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□交货期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自合同签订之日起30天</w:t>
      </w:r>
      <w:r>
        <w:rPr>
          <w:rFonts w:hint="eastAsia" w:ascii="仿宋_GB2312" w:eastAsia="仿宋_GB2312"/>
          <w:sz w:val="28"/>
          <w:szCs w:val="28"/>
          <w:highlight w:val="none"/>
          <w:u w:val="single"/>
          <w:lang w:eastAsia="zh-CN"/>
        </w:rPr>
        <w:t>。</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rPr>
        <w:t>2.3地点：</w:t>
      </w:r>
      <w:r>
        <w:rPr>
          <w:rFonts w:hint="eastAsia" w:ascii="仿宋_GB2312" w:eastAsia="仿宋_GB2312"/>
          <w:sz w:val="28"/>
          <w:szCs w:val="28"/>
          <w:lang w:eastAsia="zh-CN"/>
        </w:rPr>
        <w:t>☑</w:t>
      </w:r>
      <w:r>
        <w:rPr>
          <w:rFonts w:hint="eastAsia" w:ascii="仿宋_GB2312" w:eastAsia="仿宋_GB2312"/>
          <w:sz w:val="28"/>
          <w:szCs w:val="28"/>
        </w:rPr>
        <w:t xml:space="preserve">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猎德分公司（广州市天河区临江大道501号）</w:t>
      </w:r>
      <w:r>
        <w:rPr>
          <w:rFonts w:hint="eastAsia" w:ascii="仿宋_GB2312" w:eastAsia="仿宋_GB2312"/>
          <w:sz w:val="28"/>
          <w:szCs w:val="28"/>
          <w:u w:val="single"/>
          <w:lang w:eastAsia="zh-CN"/>
        </w:rPr>
        <w:t>。</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施工质量要求   □货物质量标准或主要技术性能指标  □服务质量要求或服务标准如下：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w:t>
      </w:r>
      <w:r>
        <w:rPr>
          <w:rFonts w:hint="eastAsia" w:ascii="仿宋_GB2312" w:eastAsia="仿宋_GB2312"/>
          <w:sz w:val="28"/>
          <w:szCs w:val="28"/>
          <w:highlight w:val="none"/>
          <w:u w:val="none"/>
        </w:rPr>
        <w:t>具有建筑机电安装工程专业承包</w:t>
      </w:r>
      <w:r>
        <w:rPr>
          <w:rFonts w:hint="eastAsia" w:ascii="仿宋_GB2312" w:eastAsia="仿宋_GB2312"/>
          <w:sz w:val="28"/>
          <w:szCs w:val="28"/>
          <w:highlight w:val="none"/>
          <w:u w:val="none"/>
          <w:lang w:val="en-US" w:eastAsia="zh-CN"/>
        </w:rPr>
        <w:t>三</w:t>
      </w:r>
      <w:r>
        <w:rPr>
          <w:rFonts w:hint="eastAsia" w:ascii="仿宋_GB2312" w:eastAsia="仿宋_GB2312"/>
          <w:sz w:val="28"/>
          <w:szCs w:val="28"/>
          <w:highlight w:val="none"/>
          <w:u w:val="none"/>
        </w:rPr>
        <w:t>级</w:t>
      </w:r>
      <w:r>
        <w:rPr>
          <w:rFonts w:hint="eastAsia" w:ascii="仿宋_GB2312" w:eastAsia="仿宋_GB2312"/>
          <w:sz w:val="28"/>
          <w:szCs w:val="28"/>
          <w:highlight w:val="none"/>
          <w:u w:val="none"/>
          <w:lang w:eastAsia="zh-CN"/>
        </w:rPr>
        <w:t>（或</w:t>
      </w:r>
      <w:r>
        <w:rPr>
          <w:rFonts w:hint="eastAsia" w:ascii="仿宋_GB2312" w:eastAsia="仿宋_GB2312"/>
          <w:sz w:val="28"/>
          <w:szCs w:val="28"/>
          <w:highlight w:val="none"/>
          <w:u w:val="none"/>
          <w:lang w:val="en-US" w:eastAsia="zh-CN"/>
        </w:rPr>
        <w:t>以上级别</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或</w:t>
      </w:r>
      <w:r>
        <w:rPr>
          <w:rFonts w:hint="eastAsia" w:ascii="仿宋_GB2312" w:eastAsia="仿宋_GB2312"/>
          <w:sz w:val="28"/>
          <w:szCs w:val="28"/>
          <w:highlight w:val="none"/>
          <w:u w:val="none"/>
          <w:lang w:eastAsia="zh-CN"/>
        </w:rPr>
        <w:t>机电工程施工总承包</w:t>
      </w:r>
      <w:r>
        <w:rPr>
          <w:rFonts w:hint="eastAsia" w:ascii="仿宋_GB2312" w:eastAsia="仿宋_GB2312"/>
          <w:sz w:val="28"/>
          <w:szCs w:val="28"/>
          <w:highlight w:val="none"/>
          <w:u w:val="none"/>
          <w:lang w:val="en-US" w:eastAsia="zh-CN"/>
        </w:rPr>
        <w:t>三</w:t>
      </w:r>
      <w:r>
        <w:rPr>
          <w:rFonts w:hint="eastAsia" w:ascii="仿宋_GB2312" w:eastAsia="仿宋_GB2312"/>
          <w:sz w:val="28"/>
          <w:szCs w:val="28"/>
          <w:highlight w:val="none"/>
          <w:u w:val="none"/>
          <w:lang w:eastAsia="zh-CN"/>
        </w:rPr>
        <w:t>级（或</w:t>
      </w:r>
      <w:r>
        <w:rPr>
          <w:rFonts w:hint="eastAsia" w:ascii="仿宋_GB2312" w:eastAsia="仿宋_GB2312"/>
          <w:sz w:val="28"/>
          <w:szCs w:val="28"/>
          <w:highlight w:val="none"/>
          <w:u w:val="none"/>
          <w:lang w:val="en-US" w:eastAsia="zh-CN"/>
        </w:rPr>
        <w:t>以上级别</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资质，</w:t>
      </w:r>
      <w:r>
        <w:rPr>
          <w:rFonts w:hint="eastAsia" w:ascii="仿宋_GB2312" w:eastAsia="仿宋_GB2312"/>
          <w:sz w:val="28"/>
          <w:szCs w:val="28"/>
          <w:highlight w:val="none"/>
          <w:u w:val="none"/>
          <w:lang w:val="en-US" w:eastAsia="zh-CN"/>
        </w:rPr>
        <w:t>同时</w:t>
      </w:r>
      <w:r>
        <w:rPr>
          <w:rFonts w:hint="eastAsia" w:ascii="仿宋_GB2312" w:eastAsia="仿宋_GB2312"/>
          <w:sz w:val="28"/>
          <w:szCs w:val="28"/>
          <w:highlight w:val="none"/>
          <w:u w:val="none"/>
        </w:rPr>
        <w:t>具有建设主管部门颁发且在有效期内的《安全生产许可证》</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highlight w:val="none"/>
          <w:u w:val="none"/>
          <w:lang w:val="en-US" w:eastAsia="zh-CN"/>
        </w:rPr>
        <w:t>机电</w:t>
      </w:r>
      <w:r>
        <w:rPr>
          <w:rFonts w:hint="eastAsia" w:ascii="仿宋_GB2312" w:eastAsia="仿宋_GB2312"/>
          <w:sz w:val="28"/>
          <w:szCs w:val="28"/>
          <w:highlight w:val="none"/>
          <w:u w:val="none"/>
        </w:rPr>
        <w:t>工程专业二级（或以上级别）的注册建造师，同时持有项目负责人安全生产考核合格证（B类）（或能够提供广东省建筑施工企业管理人员安全生产考核信息系统安全生产管理人员证书信息的网页截图）；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sz w:val="28"/>
          <w:szCs w:val="28"/>
          <w:highlight w:val="none"/>
          <w:u w:val="none"/>
          <w:lang w:eastAsia="zh-CN"/>
        </w:rPr>
        <w:t>。</w:t>
      </w:r>
    </w:p>
    <w:p>
      <w:pPr>
        <w:autoSpaceDE/>
        <w:autoSpaceDN/>
        <w:spacing w:line="360" w:lineRule="auto"/>
        <w:ind w:firstLine="560" w:firstLineChars="200"/>
        <w:rPr>
          <w:rFonts w:hint="eastAsia" w:ascii="仿宋_GB2312" w:eastAsia="仿宋_GB2312"/>
          <w:sz w:val="28"/>
          <w:szCs w:val="28"/>
          <w:highlight w:val="none"/>
          <w:u w:val="none"/>
          <w:lang w:val="en-US" w:eastAsia="zh-CN"/>
        </w:rPr>
      </w:pP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 xml:space="preserve"> 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840" w:firstLineChars="3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8 </w:t>
            </w:r>
            <w:r>
              <w:rPr>
                <w:rFonts w:hint="eastAsia" w:ascii="仿宋_GB2312" w:eastAsia="仿宋_GB2312"/>
                <w:sz w:val="28"/>
                <w:szCs w:val="28"/>
              </w:rPr>
              <w:t>日</w:t>
            </w:r>
          </w:p>
        </w:tc>
      </w:tr>
    </w:tbl>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rPr>
          <w:rFonts w:hint="eastAsia"/>
        </w:rPr>
      </w:pPr>
      <w:bookmarkStart w:id="25" w:name="_Toc10891"/>
    </w:p>
    <w:p>
      <w:pPr>
        <w:pStyle w:val="2"/>
        <w:rPr>
          <w:rFonts w:hint="eastAsia"/>
        </w:rPr>
      </w:pPr>
    </w:p>
    <w:p>
      <w:pPr>
        <w:rPr>
          <w:rFonts w:hint="eastAsia"/>
          <w:lang w:val="en-US" w:eastAsia="zh-CN"/>
        </w:rPr>
      </w:pPr>
      <w:bookmarkStart w:id="26" w:name="_Toc7340"/>
      <w:bookmarkStart w:id="27" w:name="_Toc16557"/>
      <w:bookmarkStart w:id="28" w:name="_Toc23749"/>
      <w:bookmarkStart w:id="29" w:name="_Toc16705"/>
      <w:bookmarkStart w:id="30" w:name="_Toc9448"/>
      <w:bookmarkStart w:id="31" w:name="_Toc2331"/>
      <w:bookmarkStart w:id="32" w:name="_Toc19295"/>
      <w:bookmarkStart w:id="33" w:name="_Toc32588"/>
      <w:bookmarkStart w:id="34" w:name="_Toc2324"/>
      <w:bookmarkStart w:id="35" w:name="_Toc25603"/>
    </w:p>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4"/>
      </w:pPr>
      <w:r>
        <mc:AlternateContent>
          <mc:Choice Requires="wps">
            <w:drawing>
              <wp:anchor distT="0" distB="0" distL="114300" distR="114300" simplePos="0" relativeHeight="251675648" behindDoc="0" locked="0" layoutInCell="1" allowOverlap="1">
                <wp:simplePos x="0" y="0"/>
                <wp:positionH relativeFrom="column">
                  <wp:posOffset>2399665</wp:posOffset>
                </wp:positionH>
                <wp:positionV relativeFrom="paragraph">
                  <wp:posOffset>734060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8.95pt;margin-top:57.8pt;height:0pt;width:75.5pt;z-index:251675648;mso-width-relative:page;mso-height-relative:page;" filled="f" stroked="t" coordsize="21600,21600" o:gfxdata="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IDpnLYAAAACwEAAA8AAAAAAAAAAQAgAAAAIgAAAGRycy9kb3ducmV2LnhtbFBLAQIU&#10;ABQAAAAIAIdO4kCXp1Xa8wEAAOQDAAAOAAAAAAAAAAEAIAAAACc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2425065</wp:posOffset>
                </wp:positionH>
                <wp:positionV relativeFrom="paragraph">
                  <wp:posOffset>226060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0.95pt;margin-top:17.8pt;height:0pt;width:75.5pt;z-index:251674624;mso-width-relative:page;mso-height-relative:page;" filled="f" stroked="t" coordsize="21600,21600" o:gfxdata="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y0osd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7"/>
        <w:rPr>
          <w:color w:val="auto"/>
          <w:highlight w:val="none"/>
        </w:rPr>
      </w:pPr>
    </w:p>
    <w:p>
      <w:pPr>
        <w:pStyle w:val="4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2369185</wp:posOffset>
                </wp:positionH>
                <wp:positionV relativeFrom="paragraph">
                  <wp:posOffset>579120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6.55pt;margin-top:45.6pt;height:0pt;width:75.5pt;z-index:251663360;mso-width-relative:page;mso-height-relative:page;" filled="f" stroked="t" coordsize="21600,21600" o:gfxdata="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kxuq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2365375</wp:posOffset>
                </wp:positionH>
                <wp:positionV relativeFrom="paragraph">
                  <wp:posOffset>26670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6.25pt;margin-top:2.1pt;height:0pt;width:75.5pt;z-index:251662336;mso-width-relative:page;mso-height-relative:page;" filled="f" stroked="t" coordsize="21600,21600" o:gfxdata="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rOEW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7"/>
      </w:pPr>
    </w:p>
    <w:p>
      <w:pPr>
        <w:pStyle w:val="5"/>
      </w:pPr>
      <w:bookmarkStart w:id="40" w:name="_Toc88209934"/>
      <w:bookmarkStart w:id="41" w:name="_Toc87616371"/>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4952"/>
      <w:bookmarkStart w:id="47" w:name="_Toc19759"/>
      <w:bookmarkStart w:id="48" w:name="_Toc19050"/>
      <w:bookmarkStart w:id="49" w:name="_Toc10930"/>
      <w:bookmarkStart w:id="50" w:name="_Toc23581"/>
      <w:bookmarkStart w:id="51" w:name="_Toc14870"/>
      <w:bookmarkStart w:id="52" w:name="_Toc20594"/>
      <w:bookmarkStart w:id="53" w:name="_Toc3156"/>
      <w:bookmarkStart w:id="54" w:name="_Toc7118"/>
      <w:bookmarkStart w:id="55" w:name="_Toc14552"/>
      <w:bookmarkStart w:id="56" w:name="_Toc7437"/>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47"/>
      </w:pPr>
    </w:p>
    <w:p>
      <w:pPr>
        <w:pStyle w:val="4"/>
      </w:pPr>
      <w:bookmarkStart w:id="57" w:name="_Toc32607"/>
      <w:bookmarkStart w:id="58" w:name="_Toc7831"/>
      <w:bookmarkStart w:id="59" w:name="_Toc21079"/>
      <w:bookmarkStart w:id="60" w:name="_Toc6308"/>
      <w:bookmarkStart w:id="61" w:name="_Toc87616378"/>
      <w:bookmarkStart w:id="62" w:name="_Toc29484"/>
      <w:bookmarkStart w:id="63" w:name="_Toc13898"/>
      <w:bookmarkStart w:id="64" w:name="_Toc88209941"/>
      <w:bookmarkStart w:id="65" w:name="_Toc30530"/>
      <w:bookmarkStart w:id="66" w:name="_Toc22212"/>
      <w:bookmarkStart w:id="67" w:name="_Toc21840"/>
      <w:bookmarkStart w:id="68" w:name="_Toc12177"/>
      <w:bookmarkStart w:id="69" w:name="_Toc29345"/>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w:t>
      </w:r>
      <w:r>
        <w:rPr>
          <w:rFonts w:hint="eastAsia" w:ascii="仿宋_GB2312" w:eastAsia="仿宋_GB2312" w:hAnsiTheme="minorEastAsia"/>
          <w:sz w:val="28"/>
          <w:szCs w:val="28"/>
          <w:highlight w:val="none"/>
        </w:rPr>
        <w:t>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w:t>
      </w:r>
      <w:r>
        <w:rPr>
          <w:rFonts w:hint="eastAsia" w:ascii="仿宋_GB2312" w:eastAsia="仿宋_GB2312" w:hAnsiTheme="minorEastAsia"/>
          <w:sz w:val="28"/>
          <w:szCs w:val="28"/>
          <w:highlight w:val="none"/>
        </w:rPr>
        <w:t>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jc w:val="both"/>
        <w:rPr>
          <w:rFonts w:hint="eastAsia"/>
        </w:rPr>
      </w:pPr>
      <w:bookmarkStart w:id="72" w:name="_Toc88209947"/>
    </w:p>
    <w:p>
      <w:pPr>
        <w:pStyle w:val="4"/>
        <w:rPr>
          <w:rFonts w:hint="eastAsia"/>
        </w:rPr>
      </w:pPr>
    </w:p>
    <w:p>
      <w:pPr>
        <w:pStyle w:val="4"/>
      </w:pPr>
      <w:r>
        <mc:AlternateContent>
          <mc:Choice Requires="wps">
            <w:drawing>
              <wp:anchor distT="0" distB="0" distL="114300" distR="114300" simplePos="0" relativeHeight="251677696" behindDoc="0" locked="0" layoutInCell="1" allowOverlap="1">
                <wp:simplePos x="0" y="0"/>
                <wp:positionH relativeFrom="column">
                  <wp:posOffset>2351405</wp:posOffset>
                </wp:positionH>
                <wp:positionV relativeFrom="paragraph">
                  <wp:posOffset>487680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15pt;margin-top:38.4pt;height:0pt;width:75.5pt;z-index:251677696;mso-width-relative:page;mso-height-relative:page;" filled="f" stroked="t" coordsize="21600,21600" o:gfxdata="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QaLP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highlight w:val="none"/>
        </w:rPr>
      </w:pPr>
      <w:r>
        <w:rPr>
          <w:rFonts w:hint="eastAsia"/>
          <w:szCs w:val="44"/>
          <w:highlight w:val="none"/>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bookmarkEnd w:id="72"/>
    <w:p>
      <w:pPr>
        <w:pStyle w:val="13"/>
        <w:adjustRightInd w:val="0"/>
        <w:snapToGrid w:val="0"/>
        <w:spacing w:line="30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一、项目情况介绍</w:t>
      </w:r>
    </w:p>
    <w:p>
      <w:pPr>
        <w:spacing w:line="360" w:lineRule="auto"/>
        <w:ind w:firstLine="560" w:firstLineChars="200"/>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猎德分公司一期排泥泵井内装有一台排泥泵，该排泥泵重量为570kg，安装平面低于厂区路面，现场缺少龙门吊架不便于该排泥泵维修保养</w:t>
      </w:r>
      <w:r>
        <w:rPr>
          <w:rFonts w:hint="eastAsia" w:ascii="仿宋_GB2312" w:hAnsi="仿宋_GB2312" w:eastAsia="仿宋_GB2312" w:cs="仿宋_GB2312"/>
          <w:sz w:val="28"/>
          <w:szCs w:val="28"/>
          <w:highlight w:val="none"/>
          <w:u w:val="none"/>
          <w:lang w:val="en-US" w:eastAsia="zh-CN"/>
        </w:rPr>
        <w:t>。</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一期B级反应池分为1B和2B反应池，池面东测的回流泵房内均设有3台回流泵，单台泵体总重约为911kg。回流泵房上设有一套横向电动起吊设备，原有龙门架的行走大梁采用型号为I32b工字钢，立柱采用26×26，2.5mm厚冷拔无缝方形钢管做支撑，仅用于泵井至池面的吊装，受一期空气管阻挡影响，无法通过该起吊设备将泵纵向横移至地面。</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猎德分公司二期集泥井东侧设有3台干式输泥泵，该输泥泵单台重量约为296kg，泵体周围被绿化花基环绕，当泵体出现故障时，由于设备周边均为草坪绿化的软土层，不便于泵体装卸维修。</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猎德分公司四期储泥池外墙西侧设有一期A池排泥泵（重量约为350kg）、四期排泥泵(重量约为600kg)及排列着连接各期二沉池的输泥管道，若两个排泥泵任一出现故障，拆装难度较大。</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为确保厂区设备正常运行，提高设备维护保养效率，现计划对一期排泥泵井、一期生化池回流泵房、二期集泥井及四期储泥池附近加装吊泵设施，并对原有的吊泵设施进行升级改造。</w:t>
      </w:r>
    </w:p>
    <w:p>
      <w:pPr>
        <w:pStyle w:val="37"/>
      </w:pPr>
    </w:p>
    <w:p>
      <w:pPr>
        <w:pStyle w:val="13"/>
        <w:adjustRightInd w:val="0"/>
        <w:snapToGrid w:val="0"/>
        <w:spacing w:line="300" w:lineRule="auto"/>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项目</w:t>
      </w:r>
      <w:r>
        <w:rPr>
          <w:rFonts w:hint="eastAsia" w:ascii="仿宋_GB2312" w:hAnsi="仿宋_GB2312" w:eastAsia="仿宋_GB2312" w:cs="仿宋_GB2312"/>
          <w:b/>
          <w:sz w:val="28"/>
          <w:szCs w:val="28"/>
          <w:highlight w:val="none"/>
          <w:lang w:val="en-US" w:eastAsia="zh-CN"/>
        </w:rPr>
        <w:t>基本</w:t>
      </w:r>
      <w:r>
        <w:rPr>
          <w:rFonts w:hint="eastAsia" w:ascii="仿宋_GB2312" w:hAnsi="仿宋_GB2312" w:eastAsia="仿宋_GB2312" w:cs="仿宋_GB2312"/>
          <w:b/>
          <w:sz w:val="28"/>
          <w:szCs w:val="28"/>
          <w:highlight w:val="none"/>
          <w:lang w:val="zh-CN"/>
        </w:rPr>
        <w:t>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施工前需对厂区各改造区域进行勘探，对地下预埋管道进行位置确认，避开位置设计支墩。编制完整、可行的施工方案、应急预案及施工大样图，在施工方案中需体现详细的龙门吊架设计计算及安全评估，施工大样图需满足使用规范，竣工后其使用效果应达到设计和生产使用功能并与厂区整体工艺系统相匹配。</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（一）技术要求</w:t>
      </w:r>
    </w:p>
    <w:p>
      <w:pPr>
        <w:spacing w:line="360" w:lineRule="auto"/>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1、设计、制造、试验、检验和验收应符合以下标准:</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GB7592-87《起重机械安全监察规程》</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GB5083-85《生产设备安全卫生设计总则》</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GB6067-90《起重机安全规范》</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GB3811-83《起重机设计规定》</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JB1036-82《通用桥式起重机技术条件》</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GB5905-86《起重机械试验规范和程序》</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JB/ZQ8001-89《通用桥式起重机产品质量分等》</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以上所列标准如与企业标准及其它最新标准不一致时，应执行较严标准。</w:t>
      </w:r>
    </w:p>
    <w:p>
      <w:pPr>
        <w:spacing w:line="360" w:lineRule="auto"/>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2、手动单梁起重机要求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（1）手动单梁起重机的型式、基本参数、技术要求、试验方法、检验规则及标志、包装、运输等内容须满足JB/T 1306—2008规范中的要求。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u w:val="single"/>
          <w:lang w:val="en-US" w:eastAsia="zh-CN"/>
        </w:rPr>
        <w:t>△投标设备的制造商具有完善的质量保证体系，必须通过ISO9000系列质量标准体系认证，且在有效期内。投标设备的制造商必须具备《中华人民共和国特种设备制造许可证(起重机械)》，获准从事招标要求规格型号的起重机械的制造、安装、改造、维修资格。</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（3）所有设备均应由通过ISO9000系列标准认证的制造厂商来提供。它们应适用于设计的最大工作条件要求，所有零部件的设计应按照现行国家标准或不低于此的标准执行，其在材料极限强度的基础上考虑不小于 5 的安全系数，并保证在最恶劣的环境中使用寿命最长。设备主体和采用的驱动机构必须是由同一制造商提供的最终产品，且在三年内没有运行不良记录，整机设计使用寿命应不小于 20 年。大修周期不少于 5 年。</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所有同型号的设备及其部件均能互换。更新部分的机械配件应是精确的并符合规定公差，根据制造商图纸制作的替换件可容易地安装。承包商须充分考虑设备安装现场的实际环境、土建施工条件和运行轨道的实际尺寸，以便保证轨道铺设正确。</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（5）起重设备及其所带手动葫芦和运行小车等装置应易于移位，并能进行提升或下降被起吊物。</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（6）供应商对上述所列起重机的设计、制作、检验和验收应满足有关规范、标准的要求，起重机各部件选用优质钢材制造，保证安全、可靠运行。</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（7）主钩的提升速度应有微调特性，在任何载荷下升降平稳、就位准确。供应商在投标文件中要对起重机的大车、小车、主钩和副钩的调节速度范围作详细说明。</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（8）起重机运行噪音低于80dB(A)。</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（9）架体安装的垂直偏差，最大不应超过架体高度的15‰。</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（10）龙门架架截面内两对角线长度公差不得超过最大边长的3‰。</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（11）行走大梁接点截面错位不大于1.5mm。</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（12）提升机应有产品标牌，标明额定起重量，最大提升速度、最大架设高度、制造单位、产品编号及出厂日期。</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（13）手动葫芦行走小轮与导轨的安装间隙，应控制在 5-10mm 以内。</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（二）施工</w:t>
      </w:r>
      <w:r>
        <w:rPr>
          <w:rFonts w:hint="eastAsia" w:ascii="仿宋_GB2312" w:hAnsi="仿宋_GB2312" w:eastAsia="仿宋_GB2312" w:cs="仿宋_GB2312"/>
          <w:sz w:val="28"/>
          <w:szCs w:val="28"/>
          <w:highlight w:val="none"/>
          <w:lang w:val="zh-CN" w:eastAsia="zh-CN"/>
        </w:rPr>
        <w:t>要求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（1）施工人员进入厂区需进行在净水公司公众号进行来访预约，施工期间穿反光衣，佩戴黄色安全帽，施工前必须进行安全教育和技术交底。</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（2）施工后，清理现场垃圾，恢复施工期间破坏的绿化带，施工垃圾外运，冲洗施工区域，保护现场环境。</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（3）本项目项目负责人和专职安全员必须常驻施工现场，能随时与业主共同处理施工现场事宜。</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（4）涉及特种作业时，施工单位务必委派持有特种作业操作证的人员进厂作业，并配合业主完成施工中所需的安全备案、应急演练等内容。</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（5）本工作范围应包括提供所有需要的材料、机械、劳力、以及其他设施、完成规定的工作和服务，并达到预期的目标。报价人按照约定进行施工、竣工并在质量保修期内承担工程质量保修责任。</w:t>
      </w:r>
    </w:p>
    <w:p>
      <w:pPr>
        <w:pStyle w:val="37"/>
        <w:rPr>
          <w:rFonts w:hint="eastAsia"/>
          <w:lang w:val="en-US" w:eastAsia="zh-CN"/>
        </w:rPr>
      </w:pPr>
    </w:p>
    <w:p>
      <w:pPr>
        <w:pStyle w:val="37"/>
        <w:rPr>
          <w:rFonts w:hint="eastAsia"/>
          <w:lang w:eastAsia="zh-CN"/>
        </w:rPr>
      </w:pPr>
    </w:p>
    <w:p>
      <w:pPr>
        <w:pStyle w:val="13"/>
        <w:adjustRightInd w:val="0"/>
        <w:snapToGrid w:val="0"/>
        <w:spacing w:line="360" w:lineRule="auto"/>
        <w:rPr>
          <w:rFonts w:hint="eastAsia" w:ascii="仿宋_GB2312" w:hAnsi="仿宋_GB2312" w:eastAsia="仿宋_GB2312" w:cs="仿宋_GB2312"/>
          <w:b/>
          <w:sz w:val="28"/>
          <w:szCs w:val="28"/>
          <w:highlight w:val="none"/>
          <w:lang w:val="zh-CN" w:eastAsia="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w:t>
      </w:r>
      <w:r>
        <w:rPr>
          <w:rFonts w:hint="eastAsia" w:ascii="仿宋_GB2312" w:hAnsi="仿宋_GB2312" w:eastAsia="仿宋_GB2312" w:cs="仿宋_GB2312"/>
          <w:b/>
          <w:sz w:val="28"/>
          <w:szCs w:val="28"/>
          <w:highlight w:val="none"/>
          <w:lang w:val="en-US" w:eastAsia="zh-CN"/>
        </w:rPr>
        <w:t>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（一）一期排泥泵井增设吊架的改造需求：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施工前需对现场进行勘探，设计安装位置及高度，需在一期电房东北角加装一套起重量不低于1吨的定柱式旋臂起重机。回转角度不小于270°。</w:t>
      </w:r>
    </w:p>
    <w:p>
      <w:pPr>
        <w:pStyle w:val="37"/>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rPr>
        <w:drawing>
          <wp:inline distT="0" distB="0" distL="114300" distR="114300">
            <wp:extent cx="3188970" cy="2180590"/>
            <wp:effectExtent l="0" t="0" r="11430" b="1016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1"/>
                    <a:stretch>
                      <a:fillRect/>
                    </a:stretch>
                  </pic:blipFill>
                  <pic:spPr>
                    <a:xfrm>
                      <a:off x="0" y="0"/>
                      <a:ext cx="3188970" cy="2180590"/>
                    </a:xfrm>
                    <a:prstGeom prst="rect">
                      <a:avLst/>
                    </a:prstGeom>
                    <a:noFill/>
                    <a:ln>
                      <a:noFill/>
                    </a:ln>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定柱式旋臂起重机示意图</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（二）一期生化池回流泵吊架的改造需求：</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实地勘察，分别对一期1B和2B曝气池加装的龙门吊架进行设计并计算，需在一期1B及2B曝气池池面上分别加装一套起重量不小于2吨的手动葫芦运行机构，且行走大梁与手动葫芦为一体化运行机构。</w:t>
      </w:r>
    </w:p>
    <w:p>
      <w:pPr>
        <w:pStyle w:val="37"/>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drawing>
          <wp:inline distT="0" distB="0" distL="114300" distR="114300">
            <wp:extent cx="4343400" cy="2225040"/>
            <wp:effectExtent l="0" t="0" r="0" b="3810"/>
            <wp:docPr id="21" name="图片 21" descr="168483589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84835892226"/>
                    <pic:cNvPicPr>
                      <a:picLocks noChangeAspect="1"/>
                    </pic:cNvPicPr>
                  </pic:nvPicPr>
                  <pic:blipFill>
                    <a:blip r:embed="rId12"/>
                    <a:stretch>
                      <a:fillRect/>
                    </a:stretch>
                  </pic:blipFill>
                  <pic:spPr>
                    <a:xfrm>
                      <a:off x="0" y="0"/>
                      <a:ext cx="4343400" cy="2225040"/>
                    </a:xfrm>
                    <a:prstGeom prst="rect">
                      <a:avLst/>
                    </a:prstGeom>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 xml:space="preserve"> 一期1B曝气池手动葫芦运行机构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图（轨道延长6m）</w:t>
      </w:r>
    </w:p>
    <w:p>
      <w:pPr>
        <w:pStyle w:val="37"/>
        <w:tabs>
          <w:tab w:val="center" w:pos="4482"/>
          <w:tab w:val="left" w:pos="5017"/>
        </w:tabs>
        <w:jc w:val="left"/>
        <w:rPr>
          <w:rFonts w:hint="eastAsia" w:ascii="仿宋_GB2312" w:hAnsi="仿宋_GB2312" w:eastAsia="仿宋_GB2312" w:cs="仿宋_GB2312"/>
          <w:b/>
          <w:bCs w:val="0"/>
          <w:sz w:val="28"/>
          <w:szCs w:val="28"/>
          <w:lang w:val="en-US" w:eastAsia="zh-CN"/>
        </w:rPr>
      </w:pPr>
      <w:r>
        <w:rPr>
          <w:rFonts w:hint="eastAsia" w:ascii="仿宋_GB2312" w:hAnsi="仿宋_GB2312" w:cs="仿宋_GB2312"/>
          <w:lang w:eastAsia="zh-CN"/>
        </w:rPr>
        <w:tab/>
      </w:r>
      <w:r>
        <w:rPr>
          <w:rFonts w:hint="eastAsia" w:ascii="仿宋_GB2312" w:hAnsi="仿宋_GB2312" w:eastAsia="仿宋_GB2312" w:cs="仿宋_GB2312"/>
        </w:rPr>
        <w:drawing>
          <wp:inline distT="0" distB="0" distL="114300" distR="114300">
            <wp:extent cx="4392295" cy="2249170"/>
            <wp:effectExtent l="0" t="0" r="8255" b="1778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3"/>
                    <a:stretch>
                      <a:fillRect/>
                    </a:stretch>
                  </pic:blipFill>
                  <pic:spPr>
                    <a:xfrm>
                      <a:off x="0" y="0"/>
                      <a:ext cx="4392295" cy="2249170"/>
                    </a:xfrm>
                    <a:prstGeom prst="rect">
                      <a:avLst/>
                    </a:prstGeom>
                    <a:noFill/>
                    <a:ln>
                      <a:noFill/>
                    </a:ln>
                  </pic:spPr>
                </pic:pic>
              </a:graphicData>
            </a:graphic>
          </wp:inline>
        </w:drawing>
      </w:r>
      <w:r>
        <w:rPr>
          <w:rFonts w:hint="eastAsia" w:ascii="仿宋_GB2312" w:hAnsi="仿宋_GB2312" w:cs="仿宋_GB2312"/>
          <w:lang w:eastAsia="zh-CN"/>
        </w:rPr>
        <w:tab/>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 xml:space="preserve"> 一期2B曝气池手动葫芦运行机构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图（轨道延长9m）</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（三）二期集泥井增设吊架的改造需求：</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实地勘察，计划在二期5号生化池东南角加装一套起重量不小于1吨的手动葫芦运行机构，且行走大梁与手动葫芦为一体化运行机构。安装完毕后需对四周绿化地面做硬化处理，便于日后拆装泵体的运输。</w:t>
      </w:r>
    </w:p>
    <w:p>
      <w:pPr>
        <w:pStyle w:val="37"/>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rPr>
        <w:drawing>
          <wp:inline distT="0" distB="0" distL="114300" distR="114300">
            <wp:extent cx="4072255" cy="2235200"/>
            <wp:effectExtent l="0" t="0" r="4445" b="1270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14"/>
                    <a:stretch>
                      <a:fillRect/>
                    </a:stretch>
                  </pic:blipFill>
                  <pic:spPr>
                    <a:xfrm>
                      <a:off x="0" y="0"/>
                      <a:ext cx="4072255" cy="2235200"/>
                    </a:xfrm>
                    <a:prstGeom prst="rect">
                      <a:avLst/>
                    </a:prstGeom>
                    <a:noFill/>
                    <a:ln>
                      <a:noFill/>
                    </a:ln>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二期集泥井手动葫芦运行机构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（四）四期储泥池增设吊架的改造需求：</w:t>
      </w:r>
    </w:p>
    <w:p>
      <w:pPr>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施工前需对现场进行实地勘察，由于现场管道错综复杂，高低排布不均衡，且两台排泥泵相距硬路面较远，需在储泥池西侧交叉加装两套相同的起重量不小于1吨的手动葫芦运行机构，一直延伸至储泥池南侧道路，且行走大梁与手动葫芦为一体化运行机构。安装完毕后需对四周绿化地面做硬化处理，便于日后拆装泵体的运输。</w:t>
      </w:r>
    </w:p>
    <w:p>
      <w:pPr>
        <w:pStyle w:val="37"/>
        <w:jc w:val="center"/>
        <w:rPr>
          <w:rFonts w:hint="eastAsia" w:ascii="仿宋_GB2312" w:hAnsi="仿宋_GB2312" w:cs="仿宋_GB2312"/>
          <w:b w:val="0"/>
          <w:bCs/>
          <w:sz w:val="32"/>
          <w:szCs w:val="32"/>
          <w:vertAlign w:val="baseline"/>
          <w:lang w:val="en-US" w:eastAsia="zh-CN"/>
        </w:rPr>
      </w:pPr>
      <w:r>
        <w:drawing>
          <wp:inline distT="0" distB="0" distL="114300" distR="114300">
            <wp:extent cx="4689475" cy="2106930"/>
            <wp:effectExtent l="0" t="0" r="15875" b="762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5"/>
                    <a:stretch>
                      <a:fillRect/>
                    </a:stretch>
                  </pic:blipFill>
                  <pic:spPr>
                    <a:xfrm>
                      <a:off x="0" y="0"/>
                      <a:ext cx="4689475" cy="2106930"/>
                    </a:xfrm>
                    <a:prstGeom prst="rect">
                      <a:avLst/>
                    </a:prstGeom>
                    <a:noFill/>
                    <a:ln>
                      <a:noFill/>
                    </a:ln>
                  </pic:spPr>
                </pic:pic>
              </a:graphicData>
            </a:graphic>
          </wp:inline>
        </w:drawing>
      </w:r>
    </w:p>
    <w:p>
      <w:pPr>
        <w:pStyle w:val="37"/>
        <w:jc w:val="center"/>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四期储泥池手动葫芦运行机构</w:t>
      </w:r>
      <w:r>
        <w:rPr>
          <w:rFonts w:hint="eastAsia" w:ascii="仿宋_GB2312" w:hAnsi="仿宋_GB2312" w:cs="仿宋_GB2312"/>
          <w:b/>
          <w:bCs w:val="0"/>
          <w:sz w:val="21"/>
          <w:szCs w:val="21"/>
          <w:lang w:val="en-US" w:eastAsia="zh-CN"/>
        </w:rPr>
        <w:t>示意</w:t>
      </w:r>
      <w:r>
        <w:rPr>
          <w:rFonts w:hint="eastAsia" w:ascii="仿宋_GB2312" w:hAnsi="仿宋_GB2312" w:eastAsia="仿宋_GB2312" w:cs="仿宋_GB2312"/>
          <w:b/>
          <w:bCs w:val="0"/>
          <w:sz w:val="21"/>
          <w:szCs w:val="21"/>
          <w:lang w:val="en-US" w:eastAsia="zh-CN"/>
        </w:rPr>
        <w:t>图</w:t>
      </w:r>
    </w:p>
    <w:p>
      <w:pPr>
        <w:spacing w:line="360" w:lineRule="auto"/>
        <w:ind w:firstLine="560" w:firstLineChars="200"/>
        <w:rPr>
          <w:rFonts w:hint="eastAsia" w:ascii="仿宋_GB2312" w:hAnsi="仿宋_GB2312" w:eastAsia="仿宋_GB2312" w:cs="仿宋_GB2312"/>
          <w:sz w:val="28"/>
          <w:szCs w:val="28"/>
          <w:highlight w:val="none"/>
          <w:lang w:val="en-US" w:eastAsia="zh-CN"/>
        </w:rPr>
      </w:pPr>
    </w:p>
    <w:p>
      <w:pPr>
        <w:pStyle w:val="37"/>
        <w:rPr>
          <w:rFonts w:hint="eastAsia"/>
          <w:lang w:val="en-US" w:eastAsia="zh-CN"/>
        </w:rPr>
      </w:pPr>
    </w:p>
    <w:p>
      <w:pPr>
        <w:pStyle w:val="13"/>
        <w:adjustRightInd w:val="0"/>
        <w:snapToGrid w:val="0"/>
        <w:spacing w:line="360" w:lineRule="auto"/>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lang w:val="zh-CN"/>
        </w:rPr>
        <w:t>、项目商务要求</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自合同签订之日起30天</w:t>
      </w:r>
      <w:r>
        <w:rPr>
          <w:rFonts w:hint="eastAsia" w:ascii="仿宋_GB2312" w:hAnsi="仿宋_GB2312" w:eastAsia="仿宋_GB2312" w:cs="仿宋_GB2312"/>
          <w:color w:val="auto"/>
          <w:sz w:val="28"/>
          <w:szCs w:val="28"/>
          <w:highlight w:val="none"/>
        </w:rPr>
        <w:t>。</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p>
    <w:p>
      <w:pPr>
        <w:autoSpaceDE w:val="0"/>
        <w:autoSpaceDN w:val="0"/>
        <w:spacing w:line="52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w:t>
      </w:r>
      <w:r>
        <w:rPr>
          <w:rFonts w:hint="eastAsia" w:ascii="仿宋_GB2312" w:hAnsi="仿宋_GB2312" w:eastAsia="仿宋_GB2312" w:cs="仿宋_GB2312"/>
          <w:i w:val="0"/>
          <w:iCs w:val="0"/>
          <w:sz w:val="28"/>
          <w:szCs w:val="28"/>
          <w:highlight w:val="none"/>
        </w:rPr>
        <w:t>符</w:t>
      </w:r>
      <w:r>
        <w:rPr>
          <w:rFonts w:hint="eastAsia" w:ascii="仿宋_GB2312" w:hAnsi="仿宋_GB2312" w:eastAsia="仿宋_GB2312" w:cs="仿宋_GB2312"/>
          <w:sz w:val="28"/>
          <w:szCs w:val="28"/>
          <w:highlight w:val="none"/>
        </w:rPr>
        <w:t>合设计和规范要求。</w:t>
      </w:r>
    </w:p>
    <w:p>
      <w:pPr>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（2）各种构件在运输过程中必须有可靠的保护措施。构件外观表面无明显的凹面和损伤。</w:t>
      </w:r>
    </w:p>
    <w:p>
      <w:pPr>
        <w:pStyle w:val="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（3）项目施工所有位置地砖墙砖</w:t>
      </w:r>
      <w:r>
        <w:rPr>
          <w:rFonts w:hint="eastAsia" w:ascii="仿宋_GB2312" w:hAnsi="仿宋_GB2312" w:eastAsia="仿宋_GB2312" w:cs="仿宋_GB2312"/>
          <w:sz w:val="28"/>
          <w:szCs w:val="28"/>
          <w:highlight w:val="none"/>
          <w:lang w:eastAsia="zh-CN"/>
        </w:rPr>
        <w:t>必须按</w:t>
      </w:r>
      <w:r>
        <w:rPr>
          <w:rFonts w:hint="eastAsia" w:ascii="仿宋_GB2312" w:hAnsi="仿宋_GB2312" w:eastAsia="仿宋_GB2312" w:cs="仿宋_GB2312"/>
          <w:sz w:val="28"/>
          <w:szCs w:val="28"/>
          <w:highlight w:val="none"/>
        </w:rPr>
        <w:t>设计和规范</w:t>
      </w:r>
      <w:r>
        <w:rPr>
          <w:rFonts w:hint="eastAsia" w:ascii="仿宋_GB2312" w:hAnsi="仿宋_GB2312" w:eastAsia="仿宋_GB2312" w:cs="仿宋_GB2312"/>
          <w:sz w:val="28"/>
          <w:szCs w:val="28"/>
          <w:highlight w:val="none"/>
          <w:lang w:eastAsia="zh-CN"/>
        </w:rPr>
        <w:t>要求做到平整、完整</w:t>
      </w:r>
      <w:r>
        <w:rPr>
          <w:rFonts w:hint="eastAsia" w:ascii="仿宋_GB2312" w:hAnsi="仿宋_GB2312" w:eastAsia="仿宋_GB2312" w:cs="仿宋_GB2312"/>
          <w:sz w:val="28"/>
          <w:szCs w:val="28"/>
          <w:highlight w:val="none"/>
        </w:rPr>
        <w:t>。</w:t>
      </w:r>
    </w:p>
    <w:p>
      <w:pPr>
        <w:pStyle w:val="2"/>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）施工产生所以杂物、垃圾等清理干净。</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5.保养期（保养期）：质保期为验收合格之日起一年（可协商延长为三年）。</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6.询价人将自承包人履行完合同义务之日起10天内组织验收，验收要求、验收标准及方法如下：</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（1）验收依据：询价文件、询价响应文件、相关绿化园林有关的质量标准规定，均为验收依据。</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）验收时承包单位必须派代表参加。</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）验收过程所发生的一切费用由承包单位承担。</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7.付款方式：银行转账形式。</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8.承包方式：</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单价</w:t>
      </w:r>
      <w:r>
        <w:rPr>
          <w:rFonts w:hint="eastAsia" w:ascii="仿宋_GB2312" w:hAnsi="仿宋_GB2312" w:eastAsia="仿宋_GB2312" w:cs="仿宋_GB2312"/>
          <w:sz w:val="28"/>
          <w:szCs w:val="28"/>
          <w:highlight w:val="none"/>
        </w:rPr>
        <w:t>包干</w:t>
      </w:r>
      <w:r>
        <w:rPr>
          <w:rFonts w:hint="eastAsia" w:ascii="仿宋_GB2312" w:hAnsi="仿宋_GB2312" w:eastAsia="仿宋_GB2312" w:cs="仿宋_GB2312"/>
          <w:sz w:val="28"/>
          <w:szCs w:val="28"/>
          <w:highlight w:val="none"/>
          <w:lang w:val="zh-CN"/>
        </w:rPr>
        <w:t>：询价响应文件包含总价及综合单价时，综合单价为合同单价。合同单价在询价文件及施工合同约定的风险范围之内不可调整。</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pStyle w:val="2"/>
      </w:pPr>
    </w:p>
    <w:p>
      <w:pPr>
        <w:pStyle w:val="4"/>
        <w:jc w:val="both"/>
        <w:rPr>
          <w:rFonts w:hint="eastAsia"/>
        </w:rPr>
      </w:pPr>
      <w:bookmarkStart w:id="73" w:name="_Toc15570"/>
      <w:bookmarkStart w:id="74" w:name="_Toc23330"/>
      <w:bookmarkStart w:id="75" w:name="_Toc25925"/>
      <w:bookmarkStart w:id="76" w:name="_Toc537"/>
      <w:bookmarkStart w:id="77" w:name="_Toc4680"/>
      <w:bookmarkStart w:id="78" w:name="_Toc12135"/>
      <w:bookmarkStart w:id="79" w:name="_Toc18538"/>
      <w:bookmarkStart w:id="80" w:name="_Toc1496"/>
      <w:bookmarkStart w:id="81" w:name="_Toc29835"/>
      <w:bookmarkStart w:id="82" w:name="_Toc1284"/>
      <w:bookmarkStart w:id="83" w:name="_Toc23353"/>
    </w:p>
    <w:p>
      <w:pPr>
        <w:rPr>
          <w:rFonts w:hint="eastAsia"/>
        </w:rPr>
      </w:pPr>
    </w:p>
    <w:p>
      <w:pPr>
        <w:pStyle w:val="2"/>
        <w:rPr>
          <w:rFonts w:hint="eastAsia"/>
        </w:rPr>
      </w:pPr>
    </w:p>
    <w:p>
      <w:pPr>
        <w:pStyle w:val="4"/>
        <w:rPr>
          <w:rFonts w:hint="eastAsia"/>
        </w:rPr>
      </w:pPr>
    </w:p>
    <w:p>
      <w:pPr>
        <w:pStyle w:val="4"/>
      </w:pPr>
      <w:r>
        <mc:AlternateContent>
          <mc:Choice Requires="wps">
            <w:drawing>
              <wp:anchor distT="0" distB="0" distL="114300" distR="114300" simplePos="0" relativeHeight="251667456" behindDoc="0" locked="0" layoutInCell="1" allowOverlap="1">
                <wp:simplePos x="0" y="0"/>
                <wp:positionH relativeFrom="column">
                  <wp:posOffset>2326640</wp:posOffset>
                </wp:positionH>
                <wp:positionV relativeFrom="paragraph">
                  <wp:posOffset>553085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2pt;margin-top:43.55pt;height:0pt;width:75.5pt;z-index:251667456;mso-width-relative:page;mso-height-relative:page;" filled="f" stroked="t" coordsize="21600,21600" o:gfxdata="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8WxY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2329180</wp:posOffset>
                </wp:positionH>
                <wp:positionV relativeFrom="paragraph">
                  <wp:posOffset>48260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4pt;margin-top:3.8pt;height:0pt;width:75.5pt;z-index:251666432;mso-width-relative:page;mso-height-relative:page;" filled="f" stroked="t" coordsize="21600,21600" o:gfxdata="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bVJ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7"/>
      </w:pPr>
    </w:p>
    <w:p>
      <w:pPr>
        <w:pStyle w:val="47"/>
      </w:pPr>
    </w:p>
    <w:p>
      <w:pPr>
        <w:pStyle w:val="47"/>
      </w:pPr>
    </w:p>
    <w:p>
      <w:pPr>
        <w:pStyle w:val="4"/>
        <w:rPr>
          <w:color w:val="auto"/>
          <w:highlight w:val="none"/>
        </w:rPr>
      </w:pPr>
      <w:bookmarkStart w:id="84" w:name="_Toc22501"/>
      <w:bookmarkStart w:id="85" w:name="_Toc8183"/>
      <w:bookmarkStart w:id="86" w:name="_Toc12968"/>
      <w:bookmarkStart w:id="87" w:name="_Toc19088"/>
      <w:bookmarkStart w:id="88" w:name="_Toc19686"/>
      <w:bookmarkStart w:id="89" w:name="_Toc87616386"/>
      <w:bookmarkStart w:id="90" w:name="_Toc13309"/>
      <w:bookmarkStart w:id="91" w:name="_Toc323"/>
      <w:bookmarkStart w:id="92" w:name="_Toc12721"/>
      <w:bookmarkStart w:id="93" w:name="_Toc12980"/>
      <w:bookmarkStart w:id="94" w:name="_Toc22797"/>
      <w:bookmarkStart w:id="95" w:name="_Toc88209949"/>
      <w:bookmarkStart w:id="96" w:name="_Toc1375"/>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pStyle w:val="47"/>
      </w:pPr>
    </w:p>
    <w:p>
      <w:pPr>
        <w:rPr>
          <w:rFonts w:hint="eastAsia"/>
        </w:rPr>
      </w:pPr>
      <w:bookmarkStart w:id="97" w:name="_Toc3723"/>
      <w:bookmarkStart w:id="98" w:name="_Toc30824"/>
      <w:bookmarkStart w:id="99" w:name="_Toc28358"/>
      <w:bookmarkStart w:id="100" w:name="_Toc16552"/>
      <w:bookmarkStart w:id="101" w:name="_Toc8147"/>
      <w:bookmarkStart w:id="102" w:name="_Toc12169"/>
      <w:bookmarkStart w:id="103" w:name="_Toc5129"/>
      <w:bookmarkStart w:id="104" w:name="_Toc21847"/>
      <w:bookmarkStart w:id="105" w:name="_Toc1563"/>
      <w:bookmarkStart w:id="106" w:name="_Toc6230"/>
      <w:bookmarkStart w:id="107" w:name="_Toc23515"/>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pStyle w:val="2"/>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广州市净水有限公司猎德分公司一期排泥泵井、一期生化池回流泵房、二期集泥井、四期储泥池吊架改造项目（第二次）</w:t>
      </w:r>
    </w:p>
    <w:p>
      <w:pPr>
        <w:pStyle w:val="37"/>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 xml:space="preserve">     </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val="en-US" w:eastAsia="zh-CN"/>
        </w:rPr>
        <w:t>广州市净水有限公司猎德分公司一期排泥泵井、一期生化池回流泵房、二期集泥井、四期储泥池吊架改造项目（第二次）</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hint="eastAsia" w:ascii="宋体" w:hAnsi="宋体" w:cs="宋体"/>
          <w:sz w:val="24"/>
          <w:lang w:val="en-US"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广州市净水有限公司猎德分公司一期排泥泵井、一期生化池回流泵房、二期集泥井、四期储泥池吊架改造项目（第二次）</w:t>
      </w:r>
    </w:p>
    <w:p>
      <w:pPr>
        <w:spacing w:line="384" w:lineRule="auto"/>
        <w:ind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2.2项目地点：</w:t>
      </w:r>
      <w:r>
        <w:rPr>
          <w:rFonts w:hint="eastAsia" w:ascii="宋体" w:hAnsi="宋体" w:eastAsia="宋体" w:cs="宋体"/>
          <w:color w:val="000000"/>
          <w:kern w:val="2"/>
          <w:sz w:val="24"/>
          <w:szCs w:val="24"/>
          <w:highlight w:val="none"/>
          <w:u w:val="single"/>
          <w:lang w:val="en-US" w:eastAsia="zh-CN" w:bidi="ar-SA"/>
        </w:rPr>
        <w:t>广州市净水有限公司猎德分公司</w:t>
      </w:r>
    </w:p>
    <w:p>
      <w:pPr>
        <w:spacing w:line="384" w:lineRule="auto"/>
        <w:ind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none"/>
          <w:lang w:val="en-US" w:eastAsia="zh-CN" w:bidi="ar-SA"/>
        </w:rPr>
        <w:t>2.3项目内容：</w:t>
      </w:r>
      <w:r>
        <w:rPr>
          <w:rFonts w:hint="eastAsia" w:ascii="宋体" w:hAnsi="宋体" w:eastAsia="宋体" w:cs="宋体"/>
          <w:color w:val="000000"/>
          <w:kern w:val="2"/>
          <w:sz w:val="24"/>
          <w:szCs w:val="24"/>
          <w:highlight w:val="none"/>
          <w:u w:val="single"/>
          <w:lang w:val="en-US" w:eastAsia="zh-CN" w:bidi="ar-SA"/>
        </w:rPr>
        <w:t>对猎德分公司一期排泥泵井、一期生化池回流泵房（包含1B反应池、2B反应池）、二期集泥井、四期储泥池共5个位置新增龙门吊架。</w:t>
      </w:r>
    </w:p>
    <w:p>
      <w:pPr>
        <w:spacing w:line="360" w:lineRule="auto"/>
        <w:ind w:firstLine="480" w:firstLineChars="200"/>
        <w:rPr>
          <w:rFonts w:hint="default"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1）先对改造现场进行勘察、设计，并对所有改造区域绘制施工大样图，编制详细施工方案，其中包括设计计算、施工工艺等必要内容，设计的施工图须符合GB3811-83《起重机设计规定》、JB1036-82《通用桥式起重机技术条件》、GB5905-86《起重机械试验规范和程序》、JB/ZQ8001-89《通用桥式起重机产品质量分等》标准。</w:t>
      </w:r>
    </w:p>
    <w:p>
      <w:pPr>
        <w:pStyle w:val="2"/>
        <w:ind w:left="0" w:leftChars="0"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2）确定预埋井布置位置，开挖预埋井，预埋加强钢板，再对各部位的吊架进行改造安装，安装后浇筑混凝土至预埋井，用斜撑固定竖直钢架，所采用的工字钢或方钢（按实际工程量结算）,安装手动葫芦运行机构，对金属结构进行防腐刷漆处理，对伸出部分为软土质的地层做硬化处理。</w:t>
      </w:r>
    </w:p>
    <w:p>
      <w:pPr>
        <w:pStyle w:val="2"/>
        <w:ind w:left="0" w:leftChars="0" w:firstLine="480" w:firstLineChars="2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3）制作支墩，用于支撑龙门吊架的自重及吊运重物时所发生的一切荷载，每个支墩的尺寸不小于0.6x0.6x0.6m，为现浇C35砼，在基础支墩上预埋10mm厚钢板以便龙门架工字钢立柱与基础支墩牢固连接，钢板平面尺寸不小于0.6x0.6m。</w:t>
      </w:r>
    </w:p>
    <w:p>
      <w:pPr>
        <w:pStyle w:val="2"/>
        <w:ind w:left="0" w:leftChars="0" w:firstLine="480" w:firstLineChars="200"/>
        <w:rPr>
          <w:rFonts w:hint="default"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（4）对金属结构涂刷调和漆，至少涂刷两层底漆和两层面漆。并对伸出部分为软土质的地层做硬化处理。</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包工、包料、包工期、包质量、包安全、包文明施工。综合单价包干、项目措施费包</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hint="eastAsia"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详见附件工程量清单/报价</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37"/>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hint="eastAsia" w:ascii="宋体" w:hAnsi="宋体" w:cs="宋体"/>
          <w:b/>
          <w:bCs/>
          <w:sz w:val="24"/>
        </w:rPr>
      </w:pPr>
    </w:p>
    <w:p>
      <w:pPr>
        <w:widowControl/>
        <w:tabs>
          <w:tab w:val="left" w:pos="851"/>
        </w:tabs>
        <w:adjustRightInd w:val="0"/>
        <w:snapToGrid w:val="0"/>
        <w:spacing w:line="384" w:lineRule="auto"/>
        <w:ind w:firstLine="482" w:firstLineChars="200"/>
        <w:jc w:val="left"/>
        <w:rPr>
          <w:rFonts w:hint="eastAsia" w:ascii="宋体" w:hAnsi="宋体" w:cs="宋体"/>
          <w:b/>
          <w:bCs/>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7</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 xml:space="preserve"> 7 </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人员名单应与乙方在响应文件中所载明的人员一致</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w:t>
      </w:r>
    </w:p>
    <w:p>
      <w:pPr>
        <w:topLinePunct/>
        <w:spacing w:line="5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5.9</w:t>
      </w:r>
      <w:r>
        <w:rPr>
          <w:rFonts w:hint="eastAsia" w:asciiTheme="minorEastAsia" w:hAnsiTheme="minorEastAsia" w:eastAsiaTheme="minorEastAsia" w:cstheme="minorEastAsia"/>
          <w:sz w:val="24"/>
          <w:szCs w:val="24"/>
          <w:highlight w:val="none"/>
        </w:rPr>
        <w:t>在合同有效期内，乙方自愿接受甲方按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营运项目承包单位日常履约考评参照表（安全）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营运项目承包单位综合履约考评表（安全）</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处理</w:t>
      </w:r>
      <w:r>
        <w:rPr>
          <w:rFonts w:hint="eastAsia" w:asciiTheme="minorEastAsia" w:hAnsiTheme="minorEastAsia" w:eastAsiaTheme="minorEastAsia" w:cstheme="minorEastAsia"/>
          <w:sz w:val="24"/>
          <w:szCs w:val="24"/>
          <w:highlight w:val="none"/>
          <w:lang w:eastAsia="zh-CN"/>
        </w:rPr>
        <w:t>，具体处理标准详见附件</w:t>
      </w:r>
      <w:r>
        <w:rPr>
          <w:rFonts w:hint="eastAsia" w:asciiTheme="minorEastAsia" w:hAnsiTheme="minorEastAsia" w:eastAsiaTheme="minorEastAsia" w:cstheme="minorEastAsia"/>
          <w:sz w:val="24"/>
          <w:szCs w:val="24"/>
          <w:highlight w:val="none"/>
          <w:lang w:val="en-US" w:eastAsia="zh-CN"/>
        </w:rPr>
        <w:t>3。</w:t>
      </w:r>
    </w:p>
    <w:p>
      <w:pPr>
        <w:tabs>
          <w:tab w:val="left" w:pos="851"/>
        </w:tabs>
        <w:adjustRightInd w:val="0"/>
        <w:snapToGrid w:val="0"/>
        <w:spacing w:line="360" w:lineRule="auto"/>
        <w:ind w:firstLine="482" w:firstLineChars="200"/>
        <w:jc w:val="left"/>
        <w:rPr>
          <w:rFonts w:hint="eastAsia" w:ascii="宋体" w:hAnsi="宋体" w:cs="宋体"/>
          <w:b/>
          <w:sz w:val="24"/>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w:t>
      </w:r>
      <w:r>
        <w:rPr>
          <w:rFonts w:hint="eastAsia" w:ascii="宋体" w:hAnsi="宋体" w:cs="宋体"/>
          <w:sz w:val="24"/>
          <w:highlight w:val="none"/>
          <w:lang w:val="en-US" w:eastAsia="zh-CN"/>
        </w:rPr>
        <w:t>接口，水电费按合同综合单价水电含量计算，从甲方支付的工程款中直接扣回</w:t>
      </w:r>
      <w:r>
        <w:rPr>
          <w:rFonts w:hint="eastAsia" w:ascii="宋体" w:hAnsi="宋体" w:cs="宋体"/>
          <w:sz w:val="24"/>
          <w:highlight w:val="none"/>
        </w:rPr>
        <w:t>。</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广州市净水有限公司猎德分公司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名称：广州市净水有限公司</w:t>
      </w:r>
    </w:p>
    <w:p>
      <w:pPr>
        <w:spacing w:line="384"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税号：91440101755584729Q</w:t>
      </w:r>
    </w:p>
    <w:p>
      <w:pPr>
        <w:spacing w:line="384"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地址及电话：广州市天河区临江大道501号 020-38890283；</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开户行/账号：民生银行广州分行0301014140006932</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37"/>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广州市净水有限公司猎德分公司  </w:t>
      </w:r>
    </w:p>
    <w:p>
      <w:pPr>
        <w:numPr>
          <w:ilvl w:val="0"/>
          <w:numId w:val="4"/>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r>
        <w:rPr>
          <w:rFonts w:hint="eastAsia" w:ascii="宋体" w:hAnsi="宋体" w:cs="宋体"/>
          <w:kern w:val="0"/>
          <w:sz w:val="24"/>
          <w:lang w:val="en-US" w:eastAsia="zh-CN"/>
        </w:rPr>
        <w:t>且不得低于法定保修期限</w:t>
      </w:r>
      <w:r>
        <w:rPr>
          <w:rFonts w:hint="eastAsia" w:ascii="宋体" w:hAnsi="宋体" w:cs="宋体"/>
          <w:kern w:val="0"/>
          <w:sz w:val="24"/>
          <w:lang w:val="zh-CN"/>
        </w:rPr>
        <w:t>。</w:t>
      </w:r>
    </w:p>
    <w:p>
      <w:pPr>
        <w:spacing w:line="384" w:lineRule="auto"/>
        <w:ind w:firstLine="420" w:firstLineChars="175"/>
        <w:rPr>
          <w:rFonts w:hint="eastAsia"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2</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pStyle w:val="2"/>
      </w:pPr>
    </w:p>
    <w:p>
      <w:pPr>
        <w:spacing w:beforeLines="50" w:afterLines="50" w:line="384" w:lineRule="auto"/>
        <w:ind w:firstLine="422" w:firstLineChars="175"/>
        <w:jc w:val="left"/>
        <w:rPr>
          <w:rFonts w:hint="eastAsia" w:ascii="宋体" w:hAnsi="宋体" w:cs="宋体"/>
          <w:b/>
          <w:bCs/>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pStyle w:val="2"/>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营运项目承包单位日常履约考评参照表（安全）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营运项目承包单位综合履约考评表（安全）</w:t>
      </w:r>
      <w:r>
        <w:rPr>
          <w:rFonts w:hint="eastAsia" w:ascii="宋体" w:hAnsi="宋体" w:cs="宋体"/>
          <w:color w:val="auto"/>
          <w:sz w:val="24"/>
          <w:szCs w:val="24"/>
          <w:lang w:eastAsia="zh-CN"/>
        </w:rPr>
        <w:t>》</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rPr>
        <w:t xml:space="preserve">      </w:t>
      </w: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pStyle w:val="2"/>
      </w:pPr>
    </w:p>
    <w:p>
      <w:pPr>
        <w:pStyle w:val="2"/>
      </w:pPr>
    </w:p>
    <w:p>
      <w:pPr>
        <w:pStyle w:val="2"/>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lang w:val="en-US" w:eastAsia="zh-CN"/>
        </w:rPr>
        <w:t>附件3.</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营运项目承包单位日常履约考评参照表（安全）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营运项目承包单位综合履约考评表（安全）</w:t>
      </w:r>
      <w:r>
        <w:rPr>
          <w:rFonts w:hint="eastAsia" w:ascii="宋体" w:hAnsi="宋体" w:cs="宋体"/>
          <w:b/>
          <w:bCs/>
          <w:color w:val="auto"/>
          <w:szCs w:val="21"/>
          <w:lang w:eastAsia="zh-CN"/>
        </w:rPr>
        <w:t>》</w:t>
      </w:r>
    </w:p>
    <w:p>
      <w:pPr>
        <w:pStyle w:val="2"/>
        <w:rPr>
          <w:rFonts w:hint="eastAsia" w:ascii="仿宋_GB2312" w:hAnsi="仿宋_GB2312" w:eastAsia="仿宋_GB2312" w:cs="仿宋_GB2312"/>
          <w:b w:val="0"/>
          <w:bCs/>
          <w:color w:val="auto"/>
          <w:sz w:val="28"/>
          <w:szCs w:val="28"/>
          <w:highlight w:val="none"/>
        </w:rPr>
      </w:pPr>
    </w:p>
    <w:tbl>
      <w:tblPr>
        <w:tblStyle w:val="22"/>
        <w:tblW w:w="10776"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675"/>
        <w:gridCol w:w="675"/>
        <w:gridCol w:w="2775"/>
        <w:gridCol w:w="1481"/>
        <w:gridCol w:w="1669"/>
        <w:gridCol w:w="1462"/>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294"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附件3-1</w:t>
            </w:r>
          </w:p>
        </w:tc>
        <w:tc>
          <w:tcPr>
            <w:tcW w:w="675" w:type="dxa"/>
            <w:tcBorders>
              <w:top w:val="nil"/>
              <w:left w:val="nil"/>
              <w:bottom w:val="nil"/>
              <w:right w:val="nil"/>
            </w:tcBorders>
            <w:shd w:val="clear" w:color="auto" w:fill="auto"/>
            <w:noWrap/>
            <w:vAlign w:val="center"/>
          </w:tcPr>
          <w:p>
            <w:pPr>
              <w:jc w:val="left"/>
              <w:rPr>
                <w:rFonts w:hint="eastAsia" w:ascii="等线" w:hAnsi="等线" w:eastAsia="等线" w:cs="等线"/>
                <w:i w:val="0"/>
                <w:iCs w:val="0"/>
                <w:color w:val="000000"/>
                <w:sz w:val="22"/>
                <w:szCs w:val="22"/>
                <w:u w:val="none"/>
              </w:rPr>
            </w:pPr>
          </w:p>
        </w:tc>
        <w:tc>
          <w:tcPr>
            <w:tcW w:w="2775"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481"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669"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462"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420" w:type="dxa"/>
            <w:tcBorders>
              <w:top w:val="nil"/>
              <w:left w:val="nil"/>
              <w:bottom w:val="nil"/>
              <w:right w:val="nil"/>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3" w:hRule="atLeast"/>
        </w:trPr>
        <w:tc>
          <w:tcPr>
            <w:tcW w:w="1077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考评项目</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考评分项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考评内容</w:t>
            </w:r>
          </w:p>
        </w:tc>
        <w:tc>
          <w:tcPr>
            <w:tcW w:w="6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合同金额＜5万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5万≤合同金额＜30万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30万≤合同金额＜100万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安全事故</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事故类型</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发生发生3人及以上重伤或发生1人及以上死亡或直接经济损失达200万元以上的安全生产事故</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发生重伤2人安全事故的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扣合同金额的30%～50%；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扣合同金额的20%～30%；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或4万～8万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发生重伤1人安全事故的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扣合同金额的20%～30%;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或5000～1万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扣合同金额的3%～5%；</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发生停产、影响环境、破坏公共设施、造成不良影响等事故的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或2000～3000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或5000～1万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扣合同金额的3%～5%；</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扣合同金额的1%～2%；</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事故处理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1.发生事故或事件隐瞒不报的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2.未在1小时内向业主单位上报事故的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3.拒绝、不配合事故事件调查的或事故事件调查提供虚假信息</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4.未按规定和程序组织事故调查和事故处理的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5.未及时处理导致事故扩大的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6.未落实“四不放过”的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扣合同金额的30%～50%；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或1万～2万</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扣合同金额的20%～30%；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或2万～4万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扣合同金额的10%～20%；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或4万～8万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扣合同金额的5%～10%;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首次备案施工单位须提供的资料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一般资料</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2.施工单位对施工人员的三级安全教育材料</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3.特殊时期需要增加的资料（如新冠疫情期间，需要增加的人员健康码和行程码资料）</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缺资料扣合同金额的5%或500；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缺资料扣合同金额的2%或2000；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缺资料扣合同金额的1%或4500；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资料有问题扣合同金额的0.4%或2000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缺资料扣合同金额的0.4%或8000；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施工方案</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4.施工方案，应满足合同要求，内容至少包括：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施工点介绍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施工内容（含作业流程、风险分析、施工工艺等）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施工设备和材料（必要时含构件测试手段等）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正常施工安全物资（主要是安全防护设备、劳保用品）</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缺施工方案扣合同金额的6%或700；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缺施工方案扣合同金额的3%或3500；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缺施工方案扣合同金额的1.5%或5000；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缺施工方案扣合同金额的0.5%或1万；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应急预案</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5.应急预案，内容至少包括：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现场情况介绍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风险评估</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应急流程</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各种风险情况下的应急措施（根据现场情况、分公司的风险评估制定）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应急物资清单</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外单位救援力量及联系方式等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缺应急预案扣合同金额的6%或700；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缺应急预案扣合同金额的3%或3500；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缺应急预案扣合同金额的1.5%或5000；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缺应急预案扣合同金额的0.5%或1万；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安全架构</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安全责任人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施工负责人（可与安全责任人为同一个人）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设备、物资管理人员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关键岗位人员、特种作业人员</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缺安全架构扣合同金额的10%或2000；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缺少任何一类人员及其职责的扣合同金额的6%或700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缺安全架构扣合同金额的5%或5000；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缺少任何一类人员及其职责的扣合同金额的2%或2000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缺安全架构扣合同金额的2%或1万；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缺少任何一类人员及其职责的扣合同金额的1%或5000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缺安全架构扣合同金额的1%或2万；</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人员资质</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7.施工人员花名册，人员应包含：</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施工负责人（需要施工管理人员资格证书）</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一般施工人员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可能需要进入厂区的其他人员（如监理人员、资料员等）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注：如作业涉及危险作业，作业人员须有作业人员岗前职业病体检和筛选</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缺花名册扣合同金额的5%或500；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缺特种作业人员或特种作业人员不满足合同要求，扣合同金额的5%或500；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缺花名册扣合同金额的2%或2000；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缺特种作业人员或特种作业人员不满足合同要求，扣合同金额的2%或2000；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缺花名册扣合同金额的1%或4500；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缺特种作业人员或特种作业人员不满足合同要求，扣合同金额的1%或4500；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其他人员或资料有缺漏扣合同金额的0.4%或2000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缺花名册扣合同金额的0.4%或8000；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缺特种作业人员或特种作业人员不满足合同要求，扣合同金额的0.4%或8000；</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施工现场管理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现场面貌</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1.施工现场未开展有效围蔽</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3.现场无危险源公示、告知及相应警示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4.材料堆放存在重大隐患</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扣合同金额的6%或700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扣合同金额的3%或3500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扣合同金额的1.5%或5000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9"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1.现场未按施工方案落实安全防范措施的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2.危险作业未经业主人员审批先行施工的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3.未按施工方案施工的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扣合同金额的10%或2000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扣合同金额的5%或5000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扣合同金额的2%或1万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每日安全交底</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1.缺少书面交底、未留存书面资料或交底资料缺少交底人、被交底人及安全员签字的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2.内容未结合当天的现场状况、特点、工序，对危险因素、施工内容、安全作业和应急措施进行交底的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作业行为管理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1.违反9大危险作业相关作业规范的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2.现场存在违章作业、违章指挥等违反相关安全管理规定或制度的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3.人员错误使用劳保用品3次以上的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扣合同金额的6%或700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扣合同金额的3%或3500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扣合同金额的1.5%或5000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安全记录</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未按施工要求开展现场记录或记录内容有缺失</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1.未设置应急物资点，未统一存放应急物资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2.应急物资点无应急物资清单或无应急物资每日检查表</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3.无开展日常应急培训、训练、演练或无资料留档的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人员变更无完善的手续及资料的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扣合同金额的3%或300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扣合同金额的1%或1000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扣合同金额的0.5%或2500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隐患管理</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未及时对发现的隐患开展整改的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扣合同金额的5%或500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扣合同金额的2%或2000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扣合同金额的1%或4500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其他</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违反业主或上级主管部门提出的其他管理要求、文件、规定或拒不执行的</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扣合同金额的3%～5%；</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或300～500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扣合同金额的1%～2%；</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或1000～2000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扣合同金额的0.5%～1%；</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或2500～4500</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扣合同金额的0.3%～0.4%；</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077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注：1、与安全管理相关的考评内容具体考评标准内容参照广州市净水有限公司标准《工程项目安全管理规范》（Q/GZJSA 1-2021）执行。</w:t>
            </w:r>
          </w:p>
        </w:tc>
      </w:tr>
    </w:tbl>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tbl>
      <w:tblPr>
        <w:tblStyle w:val="22"/>
        <w:tblW w:w="10596" w:type="dxa"/>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640"/>
        <w:gridCol w:w="668"/>
        <w:gridCol w:w="2234"/>
        <w:gridCol w:w="1226"/>
        <w:gridCol w:w="982"/>
        <w:gridCol w:w="960"/>
        <w:gridCol w:w="1200"/>
        <w:gridCol w:w="114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125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附件3-2</w:t>
            </w:r>
          </w:p>
        </w:tc>
        <w:tc>
          <w:tcPr>
            <w:tcW w:w="668" w:type="dxa"/>
            <w:tcBorders>
              <w:top w:val="nil"/>
              <w:left w:val="nil"/>
              <w:bottom w:val="nil"/>
              <w:right w:val="nil"/>
            </w:tcBorders>
            <w:shd w:val="clear" w:color="auto" w:fill="auto"/>
            <w:noWrap/>
            <w:vAlign w:val="center"/>
          </w:tcPr>
          <w:p>
            <w:pPr>
              <w:jc w:val="left"/>
              <w:rPr>
                <w:rFonts w:hint="eastAsia" w:ascii="等线" w:hAnsi="等线" w:eastAsia="等线" w:cs="等线"/>
                <w:i w:val="0"/>
                <w:iCs w:val="0"/>
                <w:color w:val="000000"/>
                <w:sz w:val="22"/>
                <w:szCs w:val="22"/>
                <w:u w:val="none"/>
              </w:rPr>
            </w:pPr>
          </w:p>
        </w:tc>
        <w:tc>
          <w:tcPr>
            <w:tcW w:w="2234"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226"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982"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960"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1140"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c>
          <w:tcPr>
            <w:tcW w:w="936" w:type="dxa"/>
            <w:tcBorders>
              <w:top w:val="nil"/>
              <w:left w:val="nil"/>
              <w:bottom w:val="nil"/>
              <w:right w:val="nil"/>
            </w:tcBorders>
            <w:shd w:val="clear" w:color="auto" w:fill="auto"/>
            <w:noWrap/>
            <w:vAlign w:val="center"/>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0596"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415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项目名称：</w:t>
            </w:r>
          </w:p>
        </w:tc>
        <w:tc>
          <w:tcPr>
            <w:tcW w:w="1226" w:type="dxa"/>
            <w:tcBorders>
              <w:top w:val="nil"/>
              <w:left w:val="nil"/>
              <w:bottom w:val="nil"/>
              <w:right w:val="nil"/>
            </w:tcBorders>
            <w:shd w:val="clear" w:color="auto" w:fill="auto"/>
            <w:noWrap/>
            <w:vAlign w:val="center"/>
          </w:tcPr>
          <w:p>
            <w:pPr>
              <w:jc w:val="center"/>
              <w:rPr>
                <w:rFonts w:hint="eastAsia" w:ascii="等线" w:hAnsi="等线" w:eastAsia="等线" w:cs="等线"/>
                <w:b/>
                <w:bCs/>
                <w:i w:val="0"/>
                <w:iCs w:val="0"/>
                <w:color w:val="000000"/>
                <w:sz w:val="24"/>
                <w:szCs w:val="24"/>
                <w:u w:val="none"/>
              </w:rPr>
            </w:pPr>
          </w:p>
        </w:tc>
        <w:tc>
          <w:tcPr>
            <w:tcW w:w="5218"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序号</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考评项目</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考评分项</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考评内容</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考评标准</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监理单位考评</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分公司考评</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公司考评</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业务主管部门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安全管理部门</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1059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综合管理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受到业主单位或上级管理部门通报表扬的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加5～10分/项，可叠加</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现场管理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积极配合业主单位做好安全工作及相关宣传教育，积极主动排查隐患的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加5分/项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059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安全事故</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事故类型</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发生重伤1人及以上安全事故，或直接经济损失达200万元以上的安全生产事故</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扣100分/项，同时3年内禁止来我公司投标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发生停产、影响环境、破坏公共设施、造成不良影响等事故的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扣40分/项，可叠加，到达100分，3年内禁止来我公司投标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事故处理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1.发生事故或事件隐瞒不报的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2.未在1小时内向业主单位上报事故的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3.拒绝、不配合事故事件调查的或事故事件调查提供虚假信息</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4.未按规定和程序组织事故调查和事故处理的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5.未及时处理导致事故扩大的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6.未落实“四不放过”的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扣100分/项，同时3年内禁止来我公司投标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首次备案施工单位须提供的资料</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一般资料</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2.施工单位对施工人员的三级安全教育材料</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3.特殊时期需要增加的资料（如新冠疫情期间，需要增加的人员健康码和行程码资料）</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缺资料扣3～5分/项；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3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施工方案</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4.施工方案，应满足合同要求，内容至少包括：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施工点介绍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施工内容（含作业流程、风险分析、施工工艺等）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施工设备和材料（必要时含构件测试手段等）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正常施工安全物资（主要是安全防护设备、劳保用品）</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缺施工方案扣4～8分/项；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应急预案</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5.应急预案，内容至少包括：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现场情况介绍</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风险评估</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应急流程</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各种风险情况下的应急措施（根据现场情况、分公司的风险评估制定）</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应急物资清单</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外单位救援力量及联系方式等</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缺应急预案扣4～8分/项；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资料有问题扣1～3分/项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安全架构</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安全责任人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施工负责人（可与安全责任人为同一个人）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设备、物资管理人员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关键岗位人员、特种作业人员</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缺安全架构扣5～10分/项；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缺任何一类人员及其职责有问题扣2～4分/项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人员资质</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7.施工人员花名册，人员应包含：</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施工负责人（需要施工管理人员资格证书）</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一般施工人员</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 xml:space="preserve">  可能需要进入厂区的其他人员（如监理人员、资料员等）</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注：如作业涉及危险作业，作业人员须有作业人员岗前职业病体检和筛选</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缺花名册扣3～5分/项；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缺特种作业人员或特种作业人员不满足合同要求扣3～5分/项；</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其他人员或资料有缺漏扣1～3分/项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施工现场管理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现场面貌</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1.施工现场未开展有效围蔽</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3.现场无危险源公示、告知及相应警示</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4.材料堆放存在重大隐患</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施工管理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1.现场未按施工方案落实安全防范措施的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2.危险作业未经业主人员审批先行施工的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3.未按施工方案施工的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扣3～5分/项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每日安全交底</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1.缺少书面交底、未留存书面资料或交底资料缺少交底人、被交底人及安全员签字的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2.内容未结合当天的现场状况、特点、工序，对危险因素、施工内容、安全作业和应急措施进行交底的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作业行为管理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1.违反9大危险作业相关作业规范的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2.现场存在违章作业、违章指挥等违反相关安全管理规定或制度的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3.人员错误使用劳保用品3次以上的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扣3～5分/项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安全记录</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未按施工要求开展现场记录或记录内容有缺失</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应急管理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1.未设置应急物资点，未统一存放应急物资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2.应急物资点无应急物资清单或无应急物资每日检查表</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3.无开展日常应急培训、训练、演练或无资料留档的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扣2～4分/项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人员变更无完善的手续及资料的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扣3～5分/项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隐患管理</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未及时对发现的隐患开展整改的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扣4～8分/项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其他</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违反业主或上级主管部门提出的其他管理要求、文件、规定或拒不执行的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color w:val="000000"/>
                <w:kern w:val="0"/>
                <w:sz w:val="22"/>
                <w:szCs w:val="22"/>
                <w:u w:val="none"/>
                <w:lang w:val="en-US" w:eastAsia="zh-CN" w:bidi="ar"/>
              </w:rPr>
              <w:t>扣2～5分/项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等线" w:eastAsia="仿宋_GB2312" w:cs="仿宋_GB2312"/>
                <w:i w:val="0"/>
                <w:iCs w:val="0"/>
                <w:color w:val="000000"/>
                <w:sz w:val="22"/>
                <w:szCs w:val="22"/>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等线"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29" w:hRule="atLeast"/>
        </w:trPr>
        <w:tc>
          <w:tcPr>
            <w:tcW w:w="10596"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注：1、综合考评满分100分，各考评项目扣分不设上限；</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2、监理单位考评只作为参考及履职依据，不计入考评，无监理单位不需填写；</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3、“公司考评”业务主管部门和安全办针对本部门检查发现的内容进行扣（奖）分，项目部已经进行扣（奖）分的不重复执行；</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4、各分公司考评填写相应的得（扣）分数值，如奖2分则填写“2”，扣2分则填写“-2”；</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5、单项“综合考评”=项目部考评+公司考评；综合考评总分=各单项“综合考评”+100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6、最后得分=综合考评总分X类别系数；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7、各考评项目具体考评标准内容参照广州市净水有限公司标准《工程项目安全管理规范》（Q/GZJSA 1-2021）执行。 </w:t>
            </w:r>
          </w:p>
        </w:tc>
      </w:tr>
    </w:tbl>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2"/>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2673"/>
        <w:gridCol w:w="2350"/>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291"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yellow"/>
                <w:u w:val="none"/>
              </w:rPr>
            </w:pPr>
            <w:r>
              <w:rPr>
                <w:rFonts w:hint="eastAsia" w:ascii="宋体" w:hAnsi="宋体" w:eastAsia="宋体" w:cs="宋体"/>
                <w:b/>
                <w:i w:val="0"/>
                <w:color w:val="000000"/>
                <w:kern w:val="0"/>
                <w:sz w:val="40"/>
                <w:szCs w:val="40"/>
                <w:highlight w:val="none"/>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22473.53</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15344.17</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2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2"/>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1332"/>
        <w:gridCol w:w="1311"/>
        <w:gridCol w:w="2368"/>
        <w:gridCol w:w="428"/>
        <w:gridCol w:w="830"/>
        <w:gridCol w:w="476"/>
        <w:gridCol w:w="428"/>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524"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yellow"/>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6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0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一期B池排泥泵龙门架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6米、钢板 300*300*10mm 4块、加强板 150*150*10mm 1块、钢管 Φ160*6mm 12米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定柱式旋臂起重机</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1.名称:定柱式旋臂起重机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1B、2B曝气池回流泵龙门架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2.规格:工字钢不小于I20b 70米，（具体型号规格参照原有龙门架尺寸）、槽钢 [12# 12米、预埋板 600*600*10mm 4块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2435.24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1937.64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030104007005</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二期集泥井输泥泵龙门架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p>
            <w:pPr>
              <w:pStyle w:val="37"/>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18米、预埋板 600*600*10mm 4块、钢管 Φ160*6mm 18米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地层硬化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1.名称:地层硬化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2.规格:2000*1000*200mm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030104007006</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四期储泥池排泥泵龙门架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040504001001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2.规格:工字钢I20b 36米、预埋板600*600*10mm 8块、钢管Φ160*6mm 36米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2.规格:3000*2000*300mm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030104007007</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1.搭设高度:10米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1.搭设高度:5米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措施其他项目</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7392"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分部分项合计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p>
        </w:tc>
      </w:tr>
    </w:tbl>
    <w:p>
      <w:pPr>
        <w:spacing w:line="360" w:lineRule="auto"/>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 xml:space="preserve"> </w:t>
      </w:r>
    </w:p>
    <w:p>
      <w:pPr>
        <w:pStyle w:val="2"/>
        <w:rPr>
          <w:rFonts w:hint="eastAsia" w:ascii="仿宋_GB2312" w:eastAsia="仿宋_GB2312" w:hAnsiTheme="minorEastAsia"/>
          <w:sz w:val="28"/>
          <w:szCs w:val="28"/>
          <w:lang w:val="en-US" w:eastAsia="zh-CN"/>
        </w:rPr>
      </w:pPr>
    </w:p>
    <w:p>
      <w:pPr>
        <w:pStyle w:val="2"/>
        <w:rPr>
          <w:rFonts w:hint="eastAsia" w:ascii="仿宋_GB2312" w:eastAsia="仿宋_GB2312" w:hAnsiTheme="minorEastAsia"/>
          <w:sz w:val="28"/>
          <w:szCs w:val="28"/>
          <w:lang w:val="en-US" w:eastAsia="zh-CN"/>
        </w:rPr>
      </w:pPr>
    </w:p>
    <w:p>
      <w:pPr>
        <w:pStyle w:val="2"/>
        <w:rPr>
          <w:rFonts w:hint="eastAsia" w:ascii="仿宋_GB2312" w:eastAsia="仿宋_GB2312" w:hAnsiTheme="minorEastAsia"/>
          <w:sz w:val="28"/>
          <w:szCs w:val="28"/>
          <w:lang w:val="en-US" w:eastAsia="zh-CN"/>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sz w:val="24"/>
          <w:szCs w:val="24"/>
          <w:highlight w:val="none"/>
        </w:rPr>
      </w:pPr>
    </w:p>
    <w:p>
      <w:pPr>
        <w:spacing w:line="360" w:lineRule="auto"/>
        <w:jc w:val="center"/>
        <w:outlineLvl w:val="3"/>
        <w:rPr>
          <w:rFonts w:hint="eastAsia" w:ascii="宋体" w:hAnsi="宋体" w:eastAsia="宋体" w:cs="宋体"/>
          <w:b/>
          <w:bCs/>
          <w:sz w:val="24"/>
          <w:szCs w:val="24"/>
          <w:highlight w:val="none"/>
          <w:lang w:eastAsia="zh-CN"/>
        </w:rPr>
      </w:pPr>
      <w:r>
        <w:rPr>
          <w:rFonts w:hint="eastAsia" w:ascii="宋体" w:hAnsi="宋体" w:cs="宋体"/>
          <w:b/>
          <w:sz w:val="24"/>
          <w:szCs w:val="24"/>
          <w:highlight w:val="none"/>
        </w:rPr>
        <w:t>投入工程人员</w:t>
      </w:r>
      <w:r>
        <w:rPr>
          <w:rFonts w:hint="eastAsia" w:ascii="宋体" w:hAnsi="宋体" w:cs="宋体"/>
          <w:b/>
          <w:sz w:val="24"/>
          <w:szCs w:val="24"/>
          <w:highlight w:val="none"/>
          <w:lang w:val="en-US" w:eastAsia="zh-CN"/>
        </w:rPr>
        <w:t>架构表</w:t>
      </w:r>
    </w:p>
    <w:tbl>
      <w:tblPr>
        <w:tblStyle w:val="22"/>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2"/>
        <w:rPr>
          <w:rFonts w:hint="eastAsia"/>
        </w:rPr>
      </w:pPr>
    </w:p>
    <w:p>
      <w:pPr>
        <w:pStyle w:val="2"/>
        <w:rPr>
          <w:rFonts w:hint="eastAsia"/>
        </w:rPr>
      </w:pPr>
    </w:p>
    <w:p>
      <w:pPr>
        <w:pStyle w:val="2"/>
        <w:rPr>
          <w:rFonts w:hint="default" w:eastAsia="等线"/>
          <w:lang w:val="en-US" w:eastAsia="zh-CN"/>
        </w:rPr>
      </w:pPr>
      <w:r>
        <w:rPr>
          <w:rFonts w:hint="eastAsia"/>
          <w:lang w:val="en-US" w:eastAsia="zh-CN"/>
        </w:rPr>
        <w:t>附件7</w:t>
      </w:r>
      <w:r>
        <w:rPr>
          <w:rFonts w:hint="eastAsia" w:ascii="宋体" w:hAnsi="宋体" w:cs="宋体"/>
          <w:sz w:val="24"/>
          <w:lang w:val="en-US" w:eastAsia="zh-CN"/>
        </w:rPr>
        <w:t>.</w:t>
      </w:r>
      <w:r>
        <w:rPr>
          <w:rFonts w:hint="eastAsia" w:asciiTheme="minorEastAsia" w:hAnsiTheme="minorEastAsia" w:eastAsiaTheme="minorEastAsia" w:cstheme="minorEastAsia"/>
          <w:b w:val="0"/>
          <w:bCs w:val="0"/>
          <w:sz w:val="24"/>
          <w:szCs w:val="24"/>
        </w:rPr>
        <w:t>应急救援物资清单</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
      <w:pPr>
        <w:pStyle w:val="2"/>
        <w:rPr>
          <w:rFonts w:hint="eastAsia"/>
        </w:rPr>
      </w:pPr>
    </w:p>
    <w:p>
      <w:pPr>
        <w:pStyle w:val="2"/>
        <w:rPr>
          <w:rFonts w:hint="eastAsia"/>
        </w:rPr>
      </w:pPr>
    </w:p>
    <w:p>
      <w:pPr>
        <w:pStyle w:val="2"/>
        <w:rPr>
          <w:rFonts w:hint="eastAsia"/>
        </w:rPr>
      </w:pPr>
    </w:p>
    <w:p>
      <w:pPr>
        <w:pStyle w:val="4"/>
      </w:pPr>
      <w:r>
        <mc:AlternateContent>
          <mc:Choice Requires="wps">
            <w:drawing>
              <wp:anchor distT="0" distB="0" distL="114300" distR="114300" simplePos="0" relativeHeight="251669504" behindDoc="0" locked="0" layoutInCell="1" allowOverlap="1">
                <wp:simplePos x="0" y="0"/>
                <wp:positionH relativeFrom="column">
                  <wp:posOffset>2368550</wp:posOffset>
                </wp:positionH>
                <wp:positionV relativeFrom="paragraph">
                  <wp:posOffset>698500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6.5pt;margin-top:55pt;height:0pt;width:75.5pt;z-index:251669504;mso-width-relative:page;mso-height-relative:page;" filled="f" stroked="t" coordsize="21600,21600" o:gfxdata="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10UBrWAAAACw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2357120</wp:posOffset>
                </wp:positionH>
                <wp:positionV relativeFrom="paragraph">
                  <wp:posOffset>266700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6pt;margin-top:21pt;height:0pt;width:75.5pt;z-index:251668480;mso-width-relative:page;mso-height-relative:page;" filled="f" stroked="t" coordsize="21600,21600" o:gfxdata="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N4HR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rPr>
        <w:t>第七章</w:t>
      </w:r>
      <w:bookmarkEnd w:id="97"/>
      <w:bookmarkEnd w:id="98"/>
      <w:bookmarkEnd w:id="99"/>
      <w:bookmarkEnd w:id="100"/>
      <w:bookmarkEnd w:id="101"/>
      <w:bookmarkEnd w:id="102"/>
      <w:bookmarkEnd w:id="103"/>
      <w:bookmarkEnd w:id="104"/>
      <w:bookmarkEnd w:id="105"/>
      <w:bookmarkEnd w:id="106"/>
      <w:bookmarkEnd w:id="107"/>
    </w:p>
    <w:p>
      <w:pPr>
        <w:pStyle w:val="47"/>
      </w:pPr>
    </w:p>
    <w:p>
      <w:pPr>
        <w:pStyle w:val="4"/>
      </w:pPr>
      <w:bookmarkStart w:id="108" w:name="_Toc30157"/>
      <w:bookmarkStart w:id="109" w:name="_Toc10840"/>
      <w:bookmarkStart w:id="110" w:name="_Toc24490"/>
      <w:bookmarkStart w:id="111" w:name="_Toc88209951"/>
      <w:bookmarkStart w:id="112" w:name="_Toc22764"/>
      <w:bookmarkStart w:id="113" w:name="_Toc12769"/>
      <w:bookmarkStart w:id="114" w:name="_Toc87616388"/>
      <w:bookmarkStart w:id="115" w:name="_Toc31564"/>
      <w:bookmarkStart w:id="116" w:name="_Toc17119"/>
      <w:bookmarkStart w:id="117" w:name="_Toc5342"/>
      <w:bookmarkStart w:id="118" w:name="_Toc24815"/>
      <w:bookmarkStart w:id="119" w:name="_Toc12610"/>
      <w:bookmarkStart w:id="120" w:name="_Toc21675"/>
      <w:r>
        <w:rPr>
          <w:rFonts w:hint="eastAsia"/>
        </w:rPr>
        <w:t>响应文件</w:t>
      </w:r>
      <w:r>
        <w:rPr>
          <w:rFonts w:hint="eastAsia"/>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1" w:name="_Toc87616389"/>
      <w:bookmarkStart w:id="122" w:name="_Toc88209952"/>
      <w:r>
        <w:rPr>
          <w:rFonts w:hint="eastAsia" w:ascii="仿宋_GB2312" w:eastAsia="仿宋_GB2312"/>
          <w:sz w:val="28"/>
          <w:szCs w:val="28"/>
        </w:rPr>
        <w:t>1.响应函</w:t>
      </w:r>
      <w:bookmarkEnd w:id="121"/>
      <w:bookmarkEnd w:id="122"/>
    </w:p>
    <w:p>
      <w:pPr>
        <w:spacing w:line="600" w:lineRule="exact"/>
        <w:rPr>
          <w:rFonts w:hint="eastAsia" w:ascii="仿宋_GB2312" w:eastAsia="仿宋_GB2312"/>
          <w:sz w:val="28"/>
          <w:szCs w:val="28"/>
        </w:rPr>
      </w:pPr>
      <w:bookmarkStart w:id="123" w:name="_Toc88209953"/>
      <w:bookmarkStart w:id="124" w:name="_Toc87616390"/>
      <w:r>
        <w:rPr>
          <w:rFonts w:hint="eastAsia" w:ascii="仿宋_GB2312" w:eastAsia="仿宋_GB2312"/>
          <w:sz w:val="28"/>
          <w:szCs w:val="28"/>
        </w:rPr>
        <w:t>2.法定代表人证明或授权委托书</w:t>
      </w:r>
      <w:bookmarkEnd w:id="123"/>
      <w:bookmarkEnd w:id="124"/>
      <w:bookmarkStart w:id="125" w:name="_Toc88209956"/>
      <w:bookmarkStart w:id="126"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5"/>
      <w:bookmarkEnd w:id="126"/>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27" w:name="_Toc88209957"/>
      <w:bookmarkStart w:id="128" w:name="_Toc28619645"/>
      <w:bookmarkStart w:id="129" w:name="_Toc6313"/>
      <w:bookmarkStart w:id="130" w:name="_Toc87616394"/>
      <w:bookmarkStart w:id="131" w:name="_Toc12665"/>
      <w:r>
        <w:rPr>
          <w:rFonts w:hint="eastAsia" w:asciiTheme="minorEastAsia" w:hAnsiTheme="minorEastAsia" w:eastAsiaTheme="minorEastAsia"/>
          <w:sz w:val="28"/>
          <w:szCs w:val="28"/>
        </w:rPr>
        <w:t>1.响应函</w:t>
      </w:r>
      <w:bookmarkEnd w:id="127"/>
      <w:bookmarkEnd w:id="128"/>
      <w:bookmarkEnd w:id="129"/>
      <w:bookmarkEnd w:id="130"/>
      <w:bookmarkEnd w:id="131"/>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2" w:name="_Toc29833"/>
      <w:bookmarkStart w:id="133" w:name="_Toc22527"/>
      <w:bookmarkStart w:id="134" w:name="_Toc88209958"/>
      <w:bookmarkStart w:id="135" w:name="_Toc87616395"/>
    </w:p>
    <w:p>
      <w:pPr>
        <w:pStyle w:val="2"/>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2"/>
      <w:bookmarkEnd w:id="133"/>
      <w:bookmarkEnd w:id="134"/>
      <w:bookmarkEnd w:id="13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38"/>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38"/>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38"/>
        <w:snapToGrid w:val="0"/>
        <w:spacing w:line="600" w:lineRule="exact"/>
        <w:ind w:firstLine="3907" w:firstLineChars="1221"/>
        <w:rPr>
          <w:rFonts w:ascii="仿宋_GB2312" w:hAnsi="宋体" w:eastAsia="仿宋_GB2312" w:cs="Times New Roman"/>
          <w:sz w:val="32"/>
          <w:szCs w:val="32"/>
        </w:rPr>
      </w:pPr>
    </w:p>
    <w:p>
      <w:pPr>
        <w:pStyle w:val="38"/>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7"/>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8"/>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38"/>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38"/>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6" w:name="_Toc87616400"/>
      <w:bookmarkStart w:id="137" w:name="_Toc8086"/>
      <w:bookmarkStart w:id="138" w:name="_Toc19830"/>
      <w:bookmarkStart w:id="139"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6"/>
      <w:bookmarkEnd w:id="137"/>
      <w:bookmarkEnd w:id="138"/>
      <w:bookmarkEnd w:id="139"/>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广州市净水有限公司猎德分公司一期排泥泵井、一期生化池回流泵房、二期集泥井、四期储泥池吊架改造项目（第二次）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pStyle w:val="2"/>
        <w:ind w:firstLine="0"/>
        <w:rPr>
          <w:rFonts w:hint="eastAsia"/>
          <w:lang w:eastAsia="zh-CN"/>
        </w:rPr>
      </w:pP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center"/>
          </w:tcPr>
          <w:p>
            <w:pPr>
              <w:jc w:val="center"/>
              <w:rPr>
                <w:rFonts w:ascii="仿宋" w:hAnsi="仿宋" w:eastAsia="仿宋" w:cs="仿宋_GB2312"/>
                <w:b/>
                <w:sz w:val="28"/>
                <w:szCs w:val="28"/>
              </w:rPr>
            </w:pPr>
          </w:p>
        </w:tc>
        <w:tc>
          <w:tcPr>
            <w:tcW w:w="161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center"/>
          </w:tcPr>
          <w:p>
            <w:pPr>
              <w:spacing w:line="360" w:lineRule="exact"/>
              <w:jc w:val="center"/>
              <w:rPr>
                <w:rFonts w:ascii="仿宋" w:hAnsi="仿宋" w:eastAsia="仿宋" w:cs="仿宋_GB2312"/>
                <w:b/>
                <w:sz w:val="28"/>
                <w:szCs w:val="28"/>
              </w:rPr>
            </w:pPr>
          </w:p>
        </w:tc>
        <w:tc>
          <w:tcPr>
            <w:tcW w:w="1613"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center"/>
          </w:tcPr>
          <w:p>
            <w:pPr>
              <w:spacing w:line="360" w:lineRule="exact"/>
              <w:jc w:val="center"/>
              <w:rPr>
                <w:rFonts w:ascii="仿宋" w:hAnsi="仿宋" w:eastAsia="仿宋" w:cs="仿宋_GB2312"/>
                <w:b/>
                <w:sz w:val="28"/>
                <w:szCs w:val="28"/>
              </w:rPr>
            </w:pPr>
          </w:p>
        </w:tc>
        <w:tc>
          <w:tcPr>
            <w:tcW w:w="2198" w:type="dxa"/>
            <w:gridSpan w:val="2"/>
            <w:noWrap w:val="0"/>
            <w:vAlign w:val="center"/>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center"/>
          </w:tcPr>
          <w:p>
            <w:pPr>
              <w:jc w:val="center"/>
              <w:rPr>
                <w:rFonts w:ascii="仿宋" w:hAnsi="仿宋" w:eastAsia="仿宋" w:cs="仿宋_GB2312"/>
                <w:b/>
                <w:sz w:val="28"/>
                <w:szCs w:val="28"/>
              </w:rPr>
            </w:pPr>
          </w:p>
        </w:tc>
        <w:tc>
          <w:tcPr>
            <w:tcW w:w="2198"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center"/>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993" w:type="dxa"/>
            <w:gridSpan w:val="2"/>
            <w:noWrap w:val="0"/>
            <w:vAlign w:val="center"/>
          </w:tcPr>
          <w:p>
            <w:pPr>
              <w:jc w:val="center"/>
              <w:rPr>
                <w:rFonts w:ascii="仿宋" w:hAnsi="仿宋" w:eastAsia="仿宋" w:cs="仿宋_GB2312"/>
                <w:b/>
                <w:sz w:val="28"/>
                <w:szCs w:val="28"/>
              </w:rPr>
            </w:pPr>
          </w:p>
        </w:tc>
        <w:tc>
          <w:tcPr>
            <w:tcW w:w="1453" w:type="dxa"/>
            <w:gridSpan w:val="2"/>
            <w:noWrap w:val="0"/>
            <w:vAlign w:val="center"/>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numPr>
          <w:ilvl w:val="0"/>
          <w:numId w:val="5"/>
        </w:numPr>
        <w:rPr>
          <w:rFonts w:hint="eastAsia" w:asciiTheme="minorEastAsia" w:hAnsiTheme="minorEastAsia" w:eastAsiaTheme="minorEastAsia"/>
          <w:sz w:val="28"/>
          <w:szCs w:val="28"/>
        </w:rPr>
      </w:pPr>
      <w:bookmarkStart w:id="141" w:name="_Toc32430"/>
      <w:bookmarkStart w:id="142" w:name="_Toc19423"/>
      <w:r>
        <w:rPr>
          <w:rFonts w:hint="eastAsia" w:asciiTheme="minorEastAsia" w:hAnsiTheme="minorEastAsia" w:eastAsiaTheme="minorEastAsia"/>
          <w:sz w:val="28"/>
          <w:szCs w:val="28"/>
        </w:rPr>
        <w:t>报价表</w:t>
      </w:r>
      <w:bookmarkEnd w:id="141"/>
      <w:bookmarkEnd w:id="142"/>
    </w:p>
    <w:tbl>
      <w:tblPr>
        <w:tblStyle w:val="22"/>
        <w:tblW w:w="8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2673"/>
        <w:gridCol w:w="2350"/>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291"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67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1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22473.53</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15344.17</w:t>
            </w: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7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82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1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2"/>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7"/>
        <w:gridCol w:w="1332"/>
        <w:gridCol w:w="1311"/>
        <w:gridCol w:w="2368"/>
        <w:gridCol w:w="428"/>
        <w:gridCol w:w="830"/>
        <w:gridCol w:w="476"/>
        <w:gridCol w:w="428"/>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524"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yellow"/>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6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60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8"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6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一期B池排泥泵龙门架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6米、钢板 300*300*10mm 4块、加强板 150*150*10mm 1块、钢管 Φ160*6mm 12米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490.1063</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定柱式旋臂起重机</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1.名称:定柱式旋臂起重机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1B、2B曝气池回流泵龙门架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031002002003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2.规格:工字钢不小于I20b 70米，（具体型号规格参照原有龙门架尺寸）、槽钢 [12# 12米、预埋板 600*600*10mm 4块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2435.24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031201003004</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1937.64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030104007005</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二期集泥井输泥泵龙门架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040504001002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p>
            <w:pPr>
              <w:pStyle w:val="37"/>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 I20b 18米、预埋板 600*600*10mm 4块、钢管 Φ160*6mm 18米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031201003003</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1083.06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地层硬化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1.名称:地层硬化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2.规格:2000*1000*200mm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030104007006</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四期储泥池排泥泵龙门架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040504001001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预埋井</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1.名称:预埋井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2.规格:600*600*600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031002002001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龙门架制作安装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1.名称:龙门架制作安装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2.规格:工字钢I20b 36米、预埋板600*600*10mm 8块、钢管Φ160*6mm 36米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031201003002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金属结构刷油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2.结构类型:龙门架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3.涂刷遍数:两底两面</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011101003001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地面硬化</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1.名称:地面硬化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2.规格:3000*2000*300mm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手动葫芦（安装）</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030104007007</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手动葫芦（材料费）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1.名称:手动葫芦（材料费）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2.型号:1吨</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1.搭设高度:10米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粤011701008002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1.搭设高度:5米</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24.48</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措施其他项目</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31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36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392" w:type="dxa"/>
            <w:gridSpan w:val="7"/>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分部分项合计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0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p>
        </w:tc>
      </w:tr>
    </w:tbl>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备注：</w:t>
      </w:r>
      <w:r>
        <w:rPr>
          <w:rFonts w:hint="eastAsia" w:ascii="仿宋_GB2312" w:eastAsia="仿宋_GB2312" w:hAnsiTheme="minorEastAsia"/>
          <w:sz w:val="28"/>
          <w:szCs w:val="28"/>
        </w:rPr>
        <w:t>请投标单位按照以上清单进行报价，上述清单未列出的分部分项内容，应已包括需方提供的询价文件技术要求的所有费用，</w:t>
      </w:r>
      <w:r>
        <w:rPr>
          <w:rFonts w:hint="eastAsia" w:ascii="仿宋_GB2312" w:eastAsia="仿宋_GB2312" w:hAnsiTheme="minorEastAsia"/>
          <w:sz w:val="28"/>
          <w:szCs w:val="28"/>
          <w:lang w:val="en-US" w:eastAsia="zh-CN"/>
        </w:rPr>
        <w:t>采用</w:t>
      </w:r>
      <w:r>
        <w:rPr>
          <w:rFonts w:hint="eastAsia" w:ascii="仿宋_GB2312" w:eastAsia="仿宋_GB2312" w:hAnsiTheme="minorEastAsia"/>
          <w:sz w:val="28"/>
          <w:szCs w:val="28"/>
        </w:rPr>
        <w:t>单价包干形式。本标的需按清单报价，本项目最高限价</w:t>
      </w:r>
      <w:r>
        <w:rPr>
          <w:rFonts w:hint="eastAsia" w:ascii="仿宋_GB2312" w:eastAsia="仿宋_GB2312" w:hAnsiTheme="minorEastAsia"/>
          <w:sz w:val="28"/>
          <w:szCs w:val="28"/>
          <w:lang w:val="en-US" w:eastAsia="zh-CN"/>
        </w:rPr>
        <w:t>21.450782</w:t>
      </w:r>
      <w:r>
        <w:rPr>
          <w:rFonts w:hint="eastAsia" w:ascii="仿宋_GB2312" w:eastAsia="仿宋_GB2312" w:hAnsiTheme="minorEastAsia"/>
          <w:sz w:val="28"/>
          <w:szCs w:val="28"/>
        </w:rPr>
        <w:t>万元。</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pPr>
      <w:r>
        <w:rPr>
          <w:rFonts w:hint="eastAsia" w:ascii="宋体" w:hAnsi="宋体" w:eastAsia="宋体" w:cs="宋体"/>
          <w:color w:val="auto"/>
          <w:kern w:val="2"/>
          <w:sz w:val="24"/>
          <w:szCs w:val="24"/>
          <w:highlight w:val="none"/>
          <w:lang w:val="en-GB"/>
        </w:rPr>
        <w:t>年  月  日</w:t>
      </w:r>
    </w:p>
    <w:p>
      <w:pPr>
        <w:pStyle w:val="6"/>
        <w:numPr>
          <w:ilvl w:val="0"/>
          <w:numId w:val="5"/>
        </w:numPr>
        <w:spacing w:line="400" w:lineRule="exact"/>
        <w:rPr>
          <w:rFonts w:hint="eastAsia" w:ascii="仿宋_GB2312" w:eastAsia="仿宋_GB2312" w:hAnsiTheme="minorEastAsia"/>
          <w:sz w:val="28"/>
          <w:szCs w:val="28"/>
          <w:lang w:val="en-US" w:eastAsia="zh-CN"/>
        </w:rPr>
      </w:pPr>
      <w:bookmarkStart w:id="143" w:name="_Toc87616402"/>
      <w:bookmarkStart w:id="144" w:name="_Toc88209965"/>
      <w:bookmarkStart w:id="145" w:name="_Toc16386"/>
      <w:bookmarkStart w:id="146" w:name="_Toc6058"/>
      <w:r>
        <w:rPr>
          <w:rFonts w:hint="eastAsia" w:ascii="仿宋_GB2312" w:eastAsia="仿宋_GB2312" w:hAnsiTheme="minorEastAsia"/>
          <w:sz w:val="28"/>
          <w:szCs w:val="28"/>
          <w:lang w:val="en-US" w:eastAsia="zh-CN"/>
        </w:rPr>
        <w:t>其他资料</w:t>
      </w:r>
      <w:bookmarkEnd w:id="143"/>
      <w:bookmarkEnd w:id="144"/>
      <w:bookmarkEnd w:id="145"/>
      <w:bookmarkEnd w:id="146"/>
    </w:p>
    <w:p>
      <w:pPr>
        <w:numPr>
          <w:ilvl w:val="-1"/>
          <w:numId w:val="0"/>
        </w:numPr>
        <w:spacing w:line="400" w:lineRule="exact"/>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报价设备的制造商具有完善的质量保证体系，必须通过ISO9000系列质量标准体系认证，且在有效期内。投标设备的制造商必须具备《中华人民共和国特种设备制造许可证(起重机械)》，获准从事招标要求规格型号的起重机械的制造、安装、改造、维修资格。</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仿宋_GB2312" w:eastAsia="仿宋_GB2312" w:hAnsiTheme="minorEastAsia"/>
          <w:sz w:val="28"/>
          <w:szCs w:val="28"/>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0"/>
        <w:rPr>
          <w:rFonts w:hint="eastAsia"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6" w:type="first"/>
      <w:footerReference r:id="rId9" w:type="first"/>
      <w:footerReference r:id="rId7" w:type="default"/>
      <w:footerReference r:id="rId8" w:type="even"/>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fldChar w:fldCharType="begin"/>
    </w:r>
    <w:r>
      <w:rPr>
        <w:rStyle w:val="26"/>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4F5CC218"/>
    <w:multiLevelType w:val="singleLevel"/>
    <w:tmpl w:val="4F5CC218"/>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6007AB"/>
    <w:rsid w:val="00623BC7"/>
    <w:rsid w:val="00911ECD"/>
    <w:rsid w:val="00A042E0"/>
    <w:rsid w:val="00B26BB1"/>
    <w:rsid w:val="00B26E21"/>
    <w:rsid w:val="00BB57E5"/>
    <w:rsid w:val="00CD33D3"/>
    <w:rsid w:val="00F83B64"/>
    <w:rsid w:val="01600158"/>
    <w:rsid w:val="017008F1"/>
    <w:rsid w:val="02090C75"/>
    <w:rsid w:val="020B18B5"/>
    <w:rsid w:val="021A4ADB"/>
    <w:rsid w:val="02A23A3C"/>
    <w:rsid w:val="02B84860"/>
    <w:rsid w:val="02ED10BB"/>
    <w:rsid w:val="031A5AA4"/>
    <w:rsid w:val="03AC246A"/>
    <w:rsid w:val="03B23056"/>
    <w:rsid w:val="03DC3EBA"/>
    <w:rsid w:val="03F9794D"/>
    <w:rsid w:val="046A2461"/>
    <w:rsid w:val="047006A8"/>
    <w:rsid w:val="051D4C28"/>
    <w:rsid w:val="05995B49"/>
    <w:rsid w:val="06085010"/>
    <w:rsid w:val="06C64829"/>
    <w:rsid w:val="06FA3C2C"/>
    <w:rsid w:val="071926F7"/>
    <w:rsid w:val="071B65CC"/>
    <w:rsid w:val="077D16D2"/>
    <w:rsid w:val="08675FC8"/>
    <w:rsid w:val="08804834"/>
    <w:rsid w:val="08B95724"/>
    <w:rsid w:val="099928DC"/>
    <w:rsid w:val="09B713FD"/>
    <w:rsid w:val="09D13733"/>
    <w:rsid w:val="09EF6ACC"/>
    <w:rsid w:val="09F14264"/>
    <w:rsid w:val="0A315056"/>
    <w:rsid w:val="0A3C5424"/>
    <w:rsid w:val="0A5A62EA"/>
    <w:rsid w:val="0A6A0048"/>
    <w:rsid w:val="0A773CB4"/>
    <w:rsid w:val="0A7C3E9F"/>
    <w:rsid w:val="0AFB45AD"/>
    <w:rsid w:val="0B351E9B"/>
    <w:rsid w:val="0B4C50D3"/>
    <w:rsid w:val="0B7B3209"/>
    <w:rsid w:val="0B806B92"/>
    <w:rsid w:val="0B827E94"/>
    <w:rsid w:val="0BA836A6"/>
    <w:rsid w:val="0BB91287"/>
    <w:rsid w:val="0BCB4B16"/>
    <w:rsid w:val="0BD070E1"/>
    <w:rsid w:val="0BEA08E7"/>
    <w:rsid w:val="0C247926"/>
    <w:rsid w:val="0C3278E9"/>
    <w:rsid w:val="0C7D3B4D"/>
    <w:rsid w:val="0CC34B8B"/>
    <w:rsid w:val="0CDF320C"/>
    <w:rsid w:val="0D5471C2"/>
    <w:rsid w:val="0D5B011C"/>
    <w:rsid w:val="0D662944"/>
    <w:rsid w:val="0D794204"/>
    <w:rsid w:val="0D7F6266"/>
    <w:rsid w:val="0DB50078"/>
    <w:rsid w:val="0E2125D1"/>
    <w:rsid w:val="0E214211"/>
    <w:rsid w:val="0E3957C7"/>
    <w:rsid w:val="0E5F2769"/>
    <w:rsid w:val="0EC91B3C"/>
    <w:rsid w:val="0F0A3BA7"/>
    <w:rsid w:val="0F383D81"/>
    <w:rsid w:val="0F4D75A3"/>
    <w:rsid w:val="0F5B2DCA"/>
    <w:rsid w:val="0F713C26"/>
    <w:rsid w:val="0FED051E"/>
    <w:rsid w:val="0FEE4C29"/>
    <w:rsid w:val="10046082"/>
    <w:rsid w:val="1092654A"/>
    <w:rsid w:val="10A44694"/>
    <w:rsid w:val="112B101A"/>
    <w:rsid w:val="11315192"/>
    <w:rsid w:val="11601662"/>
    <w:rsid w:val="117C372E"/>
    <w:rsid w:val="118F19D2"/>
    <w:rsid w:val="119B53FC"/>
    <w:rsid w:val="11D16BFE"/>
    <w:rsid w:val="11E32D6C"/>
    <w:rsid w:val="12071598"/>
    <w:rsid w:val="124132D4"/>
    <w:rsid w:val="12424CDC"/>
    <w:rsid w:val="129A2738"/>
    <w:rsid w:val="12B56BF1"/>
    <w:rsid w:val="12CB1A89"/>
    <w:rsid w:val="12E84D9E"/>
    <w:rsid w:val="131840FB"/>
    <w:rsid w:val="13375E48"/>
    <w:rsid w:val="13467417"/>
    <w:rsid w:val="13676FEA"/>
    <w:rsid w:val="136E76CF"/>
    <w:rsid w:val="142078A9"/>
    <w:rsid w:val="142273BC"/>
    <w:rsid w:val="14E61045"/>
    <w:rsid w:val="15103CD0"/>
    <w:rsid w:val="15337151"/>
    <w:rsid w:val="15944EEB"/>
    <w:rsid w:val="15985994"/>
    <w:rsid w:val="15A267B6"/>
    <w:rsid w:val="15BC6B3C"/>
    <w:rsid w:val="16003810"/>
    <w:rsid w:val="163F682C"/>
    <w:rsid w:val="1694429A"/>
    <w:rsid w:val="17635326"/>
    <w:rsid w:val="179C5E42"/>
    <w:rsid w:val="17F61926"/>
    <w:rsid w:val="18236EFD"/>
    <w:rsid w:val="182E0CB8"/>
    <w:rsid w:val="188D1DE4"/>
    <w:rsid w:val="189D5B1F"/>
    <w:rsid w:val="18A34CD0"/>
    <w:rsid w:val="18BF6327"/>
    <w:rsid w:val="19291BFF"/>
    <w:rsid w:val="19B64DBC"/>
    <w:rsid w:val="19C324CD"/>
    <w:rsid w:val="1A373ACF"/>
    <w:rsid w:val="1A581A19"/>
    <w:rsid w:val="1A895341"/>
    <w:rsid w:val="1B0D071F"/>
    <w:rsid w:val="1B4568CE"/>
    <w:rsid w:val="1B6C382B"/>
    <w:rsid w:val="1B9015B7"/>
    <w:rsid w:val="1BC04E70"/>
    <w:rsid w:val="1C326A23"/>
    <w:rsid w:val="1CBD494F"/>
    <w:rsid w:val="1CF103F8"/>
    <w:rsid w:val="1D1C7339"/>
    <w:rsid w:val="1D3E0B5C"/>
    <w:rsid w:val="1D5A79EE"/>
    <w:rsid w:val="1DB508BE"/>
    <w:rsid w:val="1DB86249"/>
    <w:rsid w:val="1DC33F67"/>
    <w:rsid w:val="1DFE5022"/>
    <w:rsid w:val="1E0E2CD0"/>
    <w:rsid w:val="1E5D0E5D"/>
    <w:rsid w:val="1E831280"/>
    <w:rsid w:val="1EBC4704"/>
    <w:rsid w:val="1F1223AE"/>
    <w:rsid w:val="1F172EB5"/>
    <w:rsid w:val="1F184FA7"/>
    <w:rsid w:val="1F284737"/>
    <w:rsid w:val="1F474421"/>
    <w:rsid w:val="1F94592D"/>
    <w:rsid w:val="1FB860DE"/>
    <w:rsid w:val="203C5A02"/>
    <w:rsid w:val="20955599"/>
    <w:rsid w:val="209D4C94"/>
    <w:rsid w:val="20E84705"/>
    <w:rsid w:val="217E5BEC"/>
    <w:rsid w:val="218400BA"/>
    <w:rsid w:val="21AB1E2F"/>
    <w:rsid w:val="21D40498"/>
    <w:rsid w:val="22457ACF"/>
    <w:rsid w:val="225471F2"/>
    <w:rsid w:val="22767047"/>
    <w:rsid w:val="22783AE1"/>
    <w:rsid w:val="229A56A6"/>
    <w:rsid w:val="22F425EF"/>
    <w:rsid w:val="22FC4BE1"/>
    <w:rsid w:val="231A741E"/>
    <w:rsid w:val="238C3CBF"/>
    <w:rsid w:val="23A05588"/>
    <w:rsid w:val="23B85EA9"/>
    <w:rsid w:val="23FB6910"/>
    <w:rsid w:val="242F7523"/>
    <w:rsid w:val="24DA6FD0"/>
    <w:rsid w:val="25431AEB"/>
    <w:rsid w:val="2579372D"/>
    <w:rsid w:val="25BF43FD"/>
    <w:rsid w:val="25F86BCD"/>
    <w:rsid w:val="25FF5E4C"/>
    <w:rsid w:val="26673907"/>
    <w:rsid w:val="269E416A"/>
    <w:rsid w:val="2716101F"/>
    <w:rsid w:val="272100D3"/>
    <w:rsid w:val="272C72FC"/>
    <w:rsid w:val="2749593C"/>
    <w:rsid w:val="27CD0040"/>
    <w:rsid w:val="27E01AE8"/>
    <w:rsid w:val="27EB149D"/>
    <w:rsid w:val="27FD3E52"/>
    <w:rsid w:val="28975BB3"/>
    <w:rsid w:val="28CD69F7"/>
    <w:rsid w:val="28E11370"/>
    <w:rsid w:val="294A756A"/>
    <w:rsid w:val="29D5322D"/>
    <w:rsid w:val="2A025DD9"/>
    <w:rsid w:val="2A6D20E7"/>
    <w:rsid w:val="2A7C2231"/>
    <w:rsid w:val="2A856479"/>
    <w:rsid w:val="2ABB753D"/>
    <w:rsid w:val="2ADA211C"/>
    <w:rsid w:val="2B196B97"/>
    <w:rsid w:val="2B7A49FA"/>
    <w:rsid w:val="2BF82AD4"/>
    <w:rsid w:val="2C03107C"/>
    <w:rsid w:val="2C141C42"/>
    <w:rsid w:val="2C4F039F"/>
    <w:rsid w:val="2C615D26"/>
    <w:rsid w:val="2CB679ED"/>
    <w:rsid w:val="2CD579DF"/>
    <w:rsid w:val="2CE41A4F"/>
    <w:rsid w:val="2CEC22A5"/>
    <w:rsid w:val="2CFC6DCE"/>
    <w:rsid w:val="2D173C07"/>
    <w:rsid w:val="2D2612BA"/>
    <w:rsid w:val="2D424A86"/>
    <w:rsid w:val="2D5F55CD"/>
    <w:rsid w:val="2DED793F"/>
    <w:rsid w:val="2E7B52DB"/>
    <w:rsid w:val="2EEA4821"/>
    <w:rsid w:val="2F324CFE"/>
    <w:rsid w:val="2FBA09F1"/>
    <w:rsid w:val="2FD15B4A"/>
    <w:rsid w:val="2FEF2ACF"/>
    <w:rsid w:val="3001414C"/>
    <w:rsid w:val="30134A3E"/>
    <w:rsid w:val="30540211"/>
    <w:rsid w:val="3098425E"/>
    <w:rsid w:val="30CC4D09"/>
    <w:rsid w:val="312D7741"/>
    <w:rsid w:val="3165624E"/>
    <w:rsid w:val="316F137F"/>
    <w:rsid w:val="317E02CB"/>
    <w:rsid w:val="31972F9E"/>
    <w:rsid w:val="31DF525F"/>
    <w:rsid w:val="32324C2E"/>
    <w:rsid w:val="327171DF"/>
    <w:rsid w:val="32755658"/>
    <w:rsid w:val="32921BF5"/>
    <w:rsid w:val="32AD26FC"/>
    <w:rsid w:val="32DF2F2E"/>
    <w:rsid w:val="33071668"/>
    <w:rsid w:val="334A2CD5"/>
    <w:rsid w:val="336D4B54"/>
    <w:rsid w:val="338E5AD7"/>
    <w:rsid w:val="33F16577"/>
    <w:rsid w:val="341E3434"/>
    <w:rsid w:val="34B4561D"/>
    <w:rsid w:val="354859AF"/>
    <w:rsid w:val="356F2313"/>
    <w:rsid w:val="35982C86"/>
    <w:rsid w:val="35AC4DA2"/>
    <w:rsid w:val="35E460D6"/>
    <w:rsid w:val="360B7EBA"/>
    <w:rsid w:val="366C0B20"/>
    <w:rsid w:val="3681688F"/>
    <w:rsid w:val="369C32FD"/>
    <w:rsid w:val="37193AA6"/>
    <w:rsid w:val="37526A55"/>
    <w:rsid w:val="37666E72"/>
    <w:rsid w:val="376950A4"/>
    <w:rsid w:val="37A9391E"/>
    <w:rsid w:val="37C5228F"/>
    <w:rsid w:val="38167A04"/>
    <w:rsid w:val="383907DC"/>
    <w:rsid w:val="38A84FCA"/>
    <w:rsid w:val="38F063D4"/>
    <w:rsid w:val="390D05FD"/>
    <w:rsid w:val="394B167A"/>
    <w:rsid w:val="3A4E4336"/>
    <w:rsid w:val="3A6007FE"/>
    <w:rsid w:val="3AA64F66"/>
    <w:rsid w:val="3AF12819"/>
    <w:rsid w:val="3B454DA1"/>
    <w:rsid w:val="3B4A61AD"/>
    <w:rsid w:val="3B7C2CE4"/>
    <w:rsid w:val="3C0B5355"/>
    <w:rsid w:val="3C270AB7"/>
    <w:rsid w:val="3C5718B8"/>
    <w:rsid w:val="3CB91ED7"/>
    <w:rsid w:val="3CD4176B"/>
    <w:rsid w:val="3CE82429"/>
    <w:rsid w:val="3D1F44D9"/>
    <w:rsid w:val="3D5C38CD"/>
    <w:rsid w:val="3D6114FE"/>
    <w:rsid w:val="3E5070F1"/>
    <w:rsid w:val="3F0A4E49"/>
    <w:rsid w:val="3F6C3589"/>
    <w:rsid w:val="3F737382"/>
    <w:rsid w:val="3F850180"/>
    <w:rsid w:val="3F87476A"/>
    <w:rsid w:val="3F9004D6"/>
    <w:rsid w:val="3F9127A6"/>
    <w:rsid w:val="3FF61A95"/>
    <w:rsid w:val="400A451E"/>
    <w:rsid w:val="400E4D5E"/>
    <w:rsid w:val="402F7EFE"/>
    <w:rsid w:val="40B22029"/>
    <w:rsid w:val="40DB493C"/>
    <w:rsid w:val="40E1138C"/>
    <w:rsid w:val="410D74BE"/>
    <w:rsid w:val="41105204"/>
    <w:rsid w:val="413814BA"/>
    <w:rsid w:val="41872511"/>
    <w:rsid w:val="42140FBE"/>
    <w:rsid w:val="422A3109"/>
    <w:rsid w:val="42466655"/>
    <w:rsid w:val="42A51A4F"/>
    <w:rsid w:val="42C82F57"/>
    <w:rsid w:val="42D0544D"/>
    <w:rsid w:val="43734D42"/>
    <w:rsid w:val="43C76AF7"/>
    <w:rsid w:val="43FA3CF9"/>
    <w:rsid w:val="446828F0"/>
    <w:rsid w:val="44A26A94"/>
    <w:rsid w:val="44A62595"/>
    <w:rsid w:val="455F5432"/>
    <w:rsid w:val="45673673"/>
    <w:rsid w:val="45795E90"/>
    <w:rsid w:val="458C7ADE"/>
    <w:rsid w:val="45AE0D8C"/>
    <w:rsid w:val="45C13B4D"/>
    <w:rsid w:val="46054BCA"/>
    <w:rsid w:val="464C6AFC"/>
    <w:rsid w:val="46571993"/>
    <w:rsid w:val="468B0091"/>
    <w:rsid w:val="46A107C3"/>
    <w:rsid w:val="46B15CE2"/>
    <w:rsid w:val="46BE113D"/>
    <w:rsid w:val="46E44B13"/>
    <w:rsid w:val="47014FCC"/>
    <w:rsid w:val="4703508A"/>
    <w:rsid w:val="475023F8"/>
    <w:rsid w:val="47670051"/>
    <w:rsid w:val="479D361E"/>
    <w:rsid w:val="47B74789"/>
    <w:rsid w:val="480F2B9D"/>
    <w:rsid w:val="4821154F"/>
    <w:rsid w:val="48282920"/>
    <w:rsid w:val="485321E0"/>
    <w:rsid w:val="48546AD3"/>
    <w:rsid w:val="48CA4868"/>
    <w:rsid w:val="48E24C72"/>
    <w:rsid w:val="48F005D3"/>
    <w:rsid w:val="48F07C85"/>
    <w:rsid w:val="498F4AF1"/>
    <w:rsid w:val="49C05787"/>
    <w:rsid w:val="49CD217F"/>
    <w:rsid w:val="49CF518D"/>
    <w:rsid w:val="49FF643D"/>
    <w:rsid w:val="4ADA1F63"/>
    <w:rsid w:val="4AE23D89"/>
    <w:rsid w:val="4B1D01E3"/>
    <w:rsid w:val="4B2038D0"/>
    <w:rsid w:val="4B296E7D"/>
    <w:rsid w:val="4B7D1A7A"/>
    <w:rsid w:val="4B877F28"/>
    <w:rsid w:val="4BD60CA6"/>
    <w:rsid w:val="4C3E62B8"/>
    <w:rsid w:val="4C6C2B55"/>
    <w:rsid w:val="4C9267C2"/>
    <w:rsid w:val="4CBD3C34"/>
    <w:rsid w:val="4CE0596C"/>
    <w:rsid w:val="4D6C7200"/>
    <w:rsid w:val="4D916BA6"/>
    <w:rsid w:val="4DC44169"/>
    <w:rsid w:val="4DE76A53"/>
    <w:rsid w:val="4E3704A8"/>
    <w:rsid w:val="4EAC3B65"/>
    <w:rsid w:val="4EC95EA5"/>
    <w:rsid w:val="4EF0709E"/>
    <w:rsid w:val="4EF27D04"/>
    <w:rsid w:val="4F18388F"/>
    <w:rsid w:val="4F2D1B25"/>
    <w:rsid w:val="4F3246BD"/>
    <w:rsid w:val="4F345301"/>
    <w:rsid w:val="4F43480D"/>
    <w:rsid w:val="4FEF02CD"/>
    <w:rsid w:val="50456F8B"/>
    <w:rsid w:val="512D3A1F"/>
    <w:rsid w:val="513C6A7B"/>
    <w:rsid w:val="51AA51AE"/>
    <w:rsid w:val="51FB1DBF"/>
    <w:rsid w:val="51FE3F57"/>
    <w:rsid w:val="521269DB"/>
    <w:rsid w:val="529C0B07"/>
    <w:rsid w:val="5333545B"/>
    <w:rsid w:val="5450213C"/>
    <w:rsid w:val="547808CF"/>
    <w:rsid w:val="54A60E7E"/>
    <w:rsid w:val="54D24048"/>
    <w:rsid w:val="54D64CD5"/>
    <w:rsid w:val="554F6252"/>
    <w:rsid w:val="55887D69"/>
    <w:rsid w:val="558A39D8"/>
    <w:rsid w:val="558F7FB5"/>
    <w:rsid w:val="55D571FD"/>
    <w:rsid w:val="561A0928"/>
    <w:rsid w:val="56423872"/>
    <w:rsid w:val="566B4D4A"/>
    <w:rsid w:val="56B279F0"/>
    <w:rsid w:val="57362972"/>
    <w:rsid w:val="579D710E"/>
    <w:rsid w:val="57AE3DF4"/>
    <w:rsid w:val="57DB745C"/>
    <w:rsid w:val="57F60092"/>
    <w:rsid w:val="580603F2"/>
    <w:rsid w:val="581F22F6"/>
    <w:rsid w:val="58221C4A"/>
    <w:rsid w:val="58221EB3"/>
    <w:rsid w:val="58502D74"/>
    <w:rsid w:val="586E1E17"/>
    <w:rsid w:val="58862C35"/>
    <w:rsid w:val="58B73FB5"/>
    <w:rsid w:val="58C14957"/>
    <w:rsid w:val="595079D6"/>
    <w:rsid w:val="599420F2"/>
    <w:rsid w:val="59B4067F"/>
    <w:rsid w:val="59D46318"/>
    <w:rsid w:val="5A202317"/>
    <w:rsid w:val="5AE83A50"/>
    <w:rsid w:val="5AFA4FF6"/>
    <w:rsid w:val="5B63525A"/>
    <w:rsid w:val="5B743803"/>
    <w:rsid w:val="5BAB2917"/>
    <w:rsid w:val="5BAF26CF"/>
    <w:rsid w:val="5BFC33FA"/>
    <w:rsid w:val="5C092028"/>
    <w:rsid w:val="5C3107A4"/>
    <w:rsid w:val="5C3B1B93"/>
    <w:rsid w:val="5C7600B9"/>
    <w:rsid w:val="5C897F15"/>
    <w:rsid w:val="5C9220DF"/>
    <w:rsid w:val="5D4A15F3"/>
    <w:rsid w:val="5D69542A"/>
    <w:rsid w:val="5DCD56A6"/>
    <w:rsid w:val="5DD132B1"/>
    <w:rsid w:val="5DDE3802"/>
    <w:rsid w:val="5E0930EF"/>
    <w:rsid w:val="5E26549C"/>
    <w:rsid w:val="5E3D4D53"/>
    <w:rsid w:val="5E4717E6"/>
    <w:rsid w:val="5E55774C"/>
    <w:rsid w:val="5E7158AA"/>
    <w:rsid w:val="5F3705FF"/>
    <w:rsid w:val="5F477312"/>
    <w:rsid w:val="5F4D1192"/>
    <w:rsid w:val="5F5807B7"/>
    <w:rsid w:val="5FA70F6C"/>
    <w:rsid w:val="5FA95EAA"/>
    <w:rsid w:val="5FD517A5"/>
    <w:rsid w:val="600C13D0"/>
    <w:rsid w:val="60104DDC"/>
    <w:rsid w:val="605C0804"/>
    <w:rsid w:val="60A563A7"/>
    <w:rsid w:val="61543285"/>
    <w:rsid w:val="6189617B"/>
    <w:rsid w:val="61B52BB6"/>
    <w:rsid w:val="61B749C2"/>
    <w:rsid w:val="61DB0DFF"/>
    <w:rsid w:val="62280D20"/>
    <w:rsid w:val="622C5B5B"/>
    <w:rsid w:val="62A67249"/>
    <w:rsid w:val="62CA2457"/>
    <w:rsid w:val="6340659E"/>
    <w:rsid w:val="636013AE"/>
    <w:rsid w:val="63635B65"/>
    <w:rsid w:val="63740FE2"/>
    <w:rsid w:val="638240A1"/>
    <w:rsid w:val="63A5257B"/>
    <w:rsid w:val="63BD3DCC"/>
    <w:rsid w:val="63C61741"/>
    <w:rsid w:val="63FE2C2C"/>
    <w:rsid w:val="64560967"/>
    <w:rsid w:val="65005C64"/>
    <w:rsid w:val="656B1D10"/>
    <w:rsid w:val="65764386"/>
    <w:rsid w:val="659B2EBF"/>
    <w:rsid w:val="65E2458B"/>
    <w:rsid w:val="65E60A3C"/>
    <w:rsid w:val="66022B28"/>
    <w:rsid w:val="66200FCB"/>
    <w:rsid w:val="66292A20"/>
    <w:rsid w:val="66581E87"/>
    <w:rsid w:val="66FA11D5"/>
    <w:rsid w:val="672D4BFB"/>
    <w:rsid w:val="674302C7"/>
    <w:rsid w:val="678976DC"/>
    <w:rsid w:val="680A5986"/>
    <w:rsid w:val="680D5F4B"/>
    <w:rsid w:val="68113F51"/>
    <w:rsid w:val="6812290E"/>
    <w:rsid w:val="68553A05"/>
    <w:rsid w:val="68817BAC"/>
    <w:rsid w:val="68E94770"/>
    <w:rsid w:val="68EC4E38"/>
    <w:rsid w:val="68F708D2"/>
    <w:rsid w:val="68F949C9"/>
    <w:rsid w:val="68F9743F"/>
    <w:rsid w:val="6916122F"/>
    <w:rsid w:val="695A4290"/>
    <w:rsid w:val="695B411C"/>
    <w:rsid w:val="69884262"/>
    <w:rsid w:val="69A1231A"/>
    <w:rsid w:val="69BE0EE0"/>
    <w:rsid w:val="6A334932"/>
    <w:rsid w:val="6A3353FF"/>
    <w:rsid w:val="6A5D63E6"/>
    <w:rsid w:val="6A5F24D1"/>
    <w:rsid w:val="6A786D8C"/>
    <w:rsid w:val="6AC24496"/>
    <w:rsid w:val="6AE347EB"/>
    <w:rsid w:val="6B434AF0"/>
    <w:rsid w:val="6B496903"/>
    <w:rsid w:val="6B57675A"/>
    <w:rsid w:val="6B971BD3"/>
    <w:rsid w:val="6B99046E"/>
    <w:rsid w:val="6BB35F77"/>
    <w:rsid w:val="6BDD7B4D"/>
    <w:rsid w:val="6C240F7A"/>
    <w:rsid w:val="6C2A7E16"/>
    <w:rsid w:val="6C682BCA"/>
    <w:rsid w:val="6C917ADD"/>
    <w:rsid w:val="6C935B86"/>
    <w:rsid w:val="6CE64481"/>
    <w:rsid w:val="6D1728C6"/>
    <w:rsid w:val="6D284B02"/>
    <w:rsid w:val="6D342FFC"/>
    <w:rsid w:val="6D4160BF"/>
    <w:rsid w:val="6DEB1B30"/>
    <w:rsid w:val="6DF67774"/>
    <w:rsid w:val="6E301597"/>
    <w:rsid w:val="6E3E378E"/>
    <w:rsid w:val="6E9F36E2"/>
    <w:rsid w:val="6EBA58AF"/>
    <w:rsid w:val="6EBC0B3A"/>
    <w:rsid w:val="6EC7159E"/>
    <w:rsid w:val="6EF51C7D"/>
    <w:rsid w:val="6F614293"/>
    <w:rsid w:val="6F8363E5"/>
    <w:rsid w:val="6FC746F5"/>
    <w:rsid w:val="6FDC38E7"/>
    <w:rsid w:val="70317AC6"/>
    <w:rsid w:val="70863262"/>
    <w:rsid w:val="70A1528F"/>
    <w:rsid w:val="70A76ED3"/>
    <w:rsid w:val="70B964AC"/>
    <w:rsid w:val="70D15B9A"/>
    <w:rsid w:val="70ED3587"/>
    <w:rsid w:val="71860B17"/>
    <w:rsid w:val="71987335"/>
    <w:rsid w:val="71A91186"/>
    <w:rsid w:val="71D136B5"/>
    <w:rsid w:val="71ED6D3E"/>
    <w:rsid w:val="72033859"/>
    <w:rsid w:val="723B27CC"/>
    <w:rsid w:val="723F6421"/>
    <w:rsid w:val="72687227"/>
    <w:rsid w:val="72A03FD9"/>
    <w:rsid w:val="72F61D99"/>
    <w:rsid w:val="72FD24DD"/>
    <w:rsid w:val="73211723"/>
    <w:rsid w:val="73406CFF"/>
    <w:rsid w:val="7383028C"/>
    <w:rsid w:val="73A25E44"/>
    <w:rsid w:val="73CA39CA"/>
    <w:rsid w:val="73ED4347"/>
    <w:rsid w:val="74177BE1"/>
    <w:rsid w:val="741F68CF"/>
    <w:rsid w:val="746A705E"/>
    <w:rsid w:val="74850083"/>
    <w:rsid w:val="75252DF3"/>
    <w:rsid w:val="753772D9"/>
    <w:rsid w:val="75621536"/>
    <w:rsid w:val="75BF3154"/>
    <w:rsid w:val="760F7D0F"/>
    <w:rsid w:val="764A07CF"/>
    <w:rsid w:val="764F6B3D"/>
    <w:rsid w:val="76CD2B7B"/>
    <w:rsid w:val="76D80645"/>
    <w:rsid w:val="76DE441B"/>
    <w:rsid w:val="76E03371"/>
    <w:rsid w:val="771F413A"/>
    <w:rsid w:val="777D1617"/>
    <w:rsid w:val="77AF096C"/>
    <w:rsid w:val="780E5898"/>
    <w:rsid w:val="782642CC"/>
    <w:rsid w:val="7894095E"/>
    <w:rsid w:val="78BF57A5"/>
    <w:rsid w:val="78E27FB5"/>
    <w:rsid w:val="79000679"/>
    <w:rsid w:val="79A416F0"/>
    <w:rsid w:val="79B03EB6"/>
    <w:rsid w:val="79FE4125"/>
    <w:rsid w:val="7A244940"/>
    <w:rsid w:val="7A8E2D56"/>
    <w:rsid w:val="7AF26EC4"/>
    <w:rsid w:val="7AF37579"/>
    <w:rsid w:val="7AF87F64"/>
    <w:rsid w:val="7B1C0C84"/>
    <w:rsid w:val="7B385C1C"/>
    <w:rsid w:val="7B417A08"/>
    <w:rsid w:val="7B5A62DF"/>
    <w:rsid w:val="7B7A04A8"/>
    <w:rsid w:val="7B9867A6"/>
    <w:rsid w:val="7BDB7F1C"/>
    <w:rsid w:val="7BFF3B20"/>
    <w:rsid w:val="7C05779D"/>
    <w:rsid w:val="7C0C3F6D"/>
    <w:rsid w:val="7C22163C"/>
    <w:rsid w:val="7C283958"/>
    <w:rsid w:val="7C595075"/>
    <w:rsid w:val="7C6B07B2"/>
    <w:rsid w:val="7C791C50"/>
    <w:rsid w:val="7CBF4FEB"/>
    <w:rsid w:val="7D133243"/>
    <w:rsid w:val="7D404D90"/>
    <w:rsid w:val="7D852995"/>
    <w:rsid w:val="7D972E6C"/>
    <w:rsid w:val="7DF67FF0"/>
    <w:rsid w:val="7E394207"/>
    <w:rsid w:val="7E4007A2"/>
    <w:rsid w:val="7E654BB7"/>
    <w:rsid w:val="7E791CAD"/>
    <w:rsid w:val="7E9836E2"/>
    <w:rsid w:val="7EA50DFB"/>
    <w:rsid w:val="7EC07E21"/>
    <w:rsid w:val="7EC86878"/>
    <w:rsid w:val="7EED169F"/>
    <w:rsid w:val="7F16390D"/>
    <w:rsid w:val="7F5A71FC"/>
    <w:rsid w:val="7F691D27"/>
    <w:rsid w:val="7F752917"/>
    <w:rsid w:val="7F947ACE"/>
    <w:rsid w:val="7FBD2969"/>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5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46"/>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2D64B3"/>
      <w:u w:val="none"/>
      <w:shd w:val="clear" w:fill="3399FF"/>
    </w:rPr>
  </w:style>
  <w:style w:type="character" w:styleId="28">
    <w:name w:val="Emphasis"/>
    <w:basedOn w:val="24"/>
    <w:qFormat/>
    <w:uiPriority w:val="20"/>
  </w:style>
  <w:style w:type="character" w:styleId="29">
    <w:name w:val="HTML Definition"/>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themeColor="hyperlink"/>
      <w:u w:val="single"/>
      <w14:textFill>
        <w14:solidFill>
          <w14:schemeClr w14:val="hlink"/>
        </w14:solidFill>
      </w14:textFill>
    </w:rPr>
  </w:style>
  <w:style w:type="character" w:styleId="32">
    <w:name w:val="HTML Code"/>
    <w:basedOn w:val="24"/>
    <w:semiHidden/>
    <w:unhideWhenUsed/>
    <w:qFormat/>
    <w:uiPriority w:val="99"/>
    <w:rPr>
      <w:rFonts w:hint="eastAsia" w:ascii="Arial" w:hAnsi="Arial" w:cs="Arial"/>
      <w:sz w:val="20"/>
    </w:rPr>
  </w:style>
  <w:style w:type="character" w:styleId="33">
    <w:name w:val="annotation reference"/>
    <w:qFormat/>
    <w:uiPriority w:val="0"/>
    <w:rPr>
      <w:rFonts w:ascii="Times New Roman" w:hAnsi="Times New Roman" w:eastAsia="宋体" w:cs="Times New Roman"/>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Arial" w:hAnsi="Arial" w:cs="Arial"/>
      <w:sz w:val="20"/>
    </w:rPr>
  </w:style>
  <w:style w:type="character" w:styleId="36">
    <w:name w:val="HTML Sample"/>
    <w:basedOn w:val="24"/>
    <w:semiHidden/>
    <w:unhideWhenUsed/>
    <w:qFormat/>
    <w:uiPriority w:val="99"/>
    <w:rPr>
      <w:rFonts w:hint="default" w:ascii="Arial" w:hAnsi="Arial" w:cs="Arial"/>
    </w:rPr>
  </w:style>
  <w:style w:type="paragraph" w:customStyle="1" w:styleId="3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8">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9">
    <w:name w:val="页眉 Char"/>
    <w:basedOn w:val="24"/>
    <w:link w:val="17"/>
    <w:semiHidden/>
    <w:qFormat/>
    <w:uiPriority w:val="99"/>
    <w:rPr>
      <w:sz w:val="18"/>
      <w:szCs w:val="18"/>
    </w:rPr>
  </w:style>
  <w:style w:type="character" w:customStyle="1" w:styleId="40">
    <w:name w:val="页脚 Char"/>
    <w:basedOn w:val="24"/>
    <w:link w:val="16"/>
    <w:qFormat/>
    <w:uiPriority w:val="99"/>
    <w:rPr>
      <w:sz w:val="18"/>
      <w:szCs w:val="18"/>
    </w:rPr>
  </w:style>
  <w:style w:type="character" w:customStyle="1" w:styleId="41">
    <w:name w:val="标题 1 Char"/>
    <w:basedOn w:val="24"/>
    <w:link w:val="4"/>
    <w:qFormat/>
    <w:uiPriority w:val="9"/>
    <w:rPr>
      <w:rFonts w:eastAsia="方正小标宋简体"/>
      <w:bCs/>
      <w:kern w:val="44"/>
      <w:sz w:val="44"/>
      <w:szCs w:val="44"/>
    </w:rPr>
  </w:style>
  <w:style w:type="character" w:customStyle="1" w:styleId="42">
    <w:name w:val="标题 2 Char"/>
    <w:basedOn w:val="24"/>
    <w:link w:val="5"/>
    <w:qFormat/>
    <w:uiPriority w:val="9"/>
    <w:rPr>
      <w:rFonts w:eastAsia="方正小标宋简体" w:asciiTheme="majorHAnsi" w:hAnsiTheme="majorHAnsi" w:cstheme="majorBidi"/>
      <w:bCs/>
      <w:sz w:val="36"/>
      <w:szCs w:val="32"/>
    </w:rPr>
  </w:style>
  <w:style w:type="character" w:customStyle="1" w:styleId="43">
    <w:name w:val="标题 3 Char"/>
    <w:basedOn w:val="24"/>
    <w:link w:val="6"/>
    <w:qFormat/>
    <w:uiPriority w:val="9"/>
    <w:rPr>
      <w:rFonts w:ascii="Calibri" w:hAnsi="Calibri" w:eastAsia="宋体" w:cs="Times New Roman"/>
      <w:b/>
      <w:bCs/>
      <w:sz w:val="32"/>
      <w:szCs w:val="32"/>
    </w:rPr>
  </w:style>
  <w:style w:type="paragraph" w:styleId="44">
    <w:name w:val="List Paragraph"/>
    <w:basedOn w:val="1"/>
    <w:link w:val="52"/>
    <w:qFormat/>
    <w:uiPriority w:val="34"/>
    <w:pPr>
      <w:ind w:firstLine="420" w:firstLineChars="200"/>
    </w:pPr>
  </w:style>
  <w:style w:type="paragraph" w:customStyle="1" w:styleId="4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批注框文本 Char"/>
    <w:basedOn w:val="24"/>
    <w:link w:val="15"/>
    <w:semiHidden/>
    <w:qFormat/>
    <w:uiPriority w:val="99"/>
    <w:rPr>
      <w:sz w:val="18"/>
      <w:szCs w:val="18"/>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CM97"/>
    <w:basedOn w:val="38"/>
    <w:next w:val="38"/>
    <w:qFormat/>
    <w:uiPriority w:val="0"/>
    <w:pPr>
      <w:spacing w:after="373"/>
    </w:pPr>
    <w:rPr>
      <w:color w:val="auto"/>
    </w:rPr>
  </w:style>
  <w:style w:type="paragraph" w:customStyle="1" w:styleId="49">
    <w:name w:val="CM91"/>
    <w:basedOn w:val="38"/>
    <w:next w:val="38"/>
    <w:qFormat/>
    <w:uiPriority w:val="0"/>
    <w:pPr>
      <w:spacing w:after="160"/>
    </w:pPr>
    <w:rPr>
      <w:color w:val="auto"/>
    </w:rPr>
  </w:style>
  <w:style w:type="character" w:customStyle="1" w:styleId="50">
    <w:name w:val="正文文本 3 Char"/>
    <w:link w:val="9"/>
    <w:qFormat/>
    <w:uiPriority w:val="99"/>
    <w:rPr>
      <w:sz w:val="16"/>
      <w:szCs w:val="16"/>
    </w:rPr>
  </w:style>
  <w:style w:type="character" w:customStyle="1" w:styleId="51">
    <w:name w:val="正文文本 3 Char1"/>
    <w:basedOn w:val="24"/>
    <w:link w:val="9"/>
    <w:semiHidden/>
    <w:qFormat/>
    <w:uiPriority w:val="99"/>
    <w:rPr>
      <w:sz w:val="16"/>
      <w:szCs w:val="16"/>
    </w:rPr>
  </w:style>
  <w:style w:type="character" w:customStyle="1" w:styleId="52">
    <w:name w:val="列出段落 Char"/>
    <w:link w:val="44"/>
    <w:qFormat/>
    <w:uiPriority w:val="34"/>
  </w:style>
  <w:style w:type="paragraph" w:customStyle="1" w:styleId="53">
    <w:name w:val="1"/>
    <w:basedOn w:val="1"/>
    <w:next w:val="13"/>
    <w:qFormat/>
    <w:uiPriority w:val="99"/>
    <w:pPr>
      <w:widowControl w:val="0"/>
      <w:jc w:val="both"/>
    </w:pPr>
    <w:rPr>
      <w:rFonts w:ascii="宋体" w:hAnsi="Courier New"/>
      <w:kern w:val="2"/>
    </w:rPr>
  </w:style>
  <w:style w:type="paragraph" w:customStyle="1" w:styleId="54">
    <w:name w:val="WPSOffice手动目录 1"/>
    <w:qFormat/>
    <w:uiPriority w:val="0"/>
    <w:pPr>
      <w:ind w:leftChars="0"/>
    </w:pPr>
    <w:rPr>
      <w:rFonts w:asciiTheme="minorHAnsi" w:hAnsiTheme="minorHAnsi" w:eastAsiaTheme="minorEastAsia" w:cstheme="minorBidi"/>
      <w:sz w:val="20"/>
      <w:szCs w:val="20"/>
    </w:rPr>
  </w:style>
  <w:style w:type="paragraph" w:customStyle="1" w:styleId="55">
    <w:name w:val="WPSOffice手动目录 2"/>
    <w:qFormat/>
    <w:uiPriority w:val="0"/>
    <w:pPr>
      <w:ind w:leftChars="200"/>
    </w:pPr>
    <w:rPr>
      <w:rFonts w:asciiTheme="minorHAnsi" w:hAnsiTheme="minorHAnsi" w:eastAsiaTheme="minorEastAsia" w:cstheme="minorBidi"/>
      <w:sz w:val="20"/>
      <w:szCs w:val="20"/>
    </w:rPr>
  </w:style>
  <w:style w:type="paragraph" w:customStyle="1" w:styleId="56">
    <w:name w:val="WPSOffice手动目录 3"/>
    <w:qFormat/>
    <w:uiPriority w:val="0"/>
    <w:pPr>
      <w:ind w:leftChars="400"/>
    </w:pPr>
    <w:rPr>
      <w:rFonts w:asciiTheme="minorHAnsi" w:hAnsiTheme="minorHAnsi" w:eastAsiaTheme="minorEastAsia" w:cstheme="minorBidi"/>
      <w:sz w:val="20"/>
      <w:szCs w:val="20"/>
    </w:rPr>
  </w:style>
  <w:style w:type="paragraph" w:customStyle="1" w:styleId="57">
    <w:name w:val="_Style 4"/>
    <w:basedOn w:val="4"/>
    <w:next w:val="1"/>
    <w:qFormat/>
    <w:uiPriority w:val="0"/>
    <w:pPr>
      <w:spacing w:line="576" w:lineRule="auto"/>
      <w:outlineLvl w:val="9"/>
    </w:pPr>
    <w:rPr>
      <w:rFonts w:ascii="Calibri" w:hAnsi="Calibri"/>
    </w:rPr>
  </w:style>
  <w:style w:type="paragraph" w:customStyle="1" w:styleId="5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27918</Words>
  <Characters>30169</Characters>
  <Lines>300</Lines>
  <Paragraphs>84</Paragraphs>
  <TotalTime>6</TotalTime>
  <ScaleCrop>false</ScaleCrop>
  <LinksUpToDate>false</LinksUpToDate>
  <CharactersWithSpaces>32058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2022-12-04T07:36:00Z</cp:lastPrinted>
  <dcterms:modified xsi:type="dcterms:W3CDTF">2023-12-08T08:41:16Z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66F78AD996804A9E9D5E79A00C0BCFB9_13</vt:lpwstr>
  </property>
</Properties>
</file>