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sz w:val="52"/>
          <w:szCs w:val="52"/>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val="en-US" w:eastAsia="zh-CN"/>
        </w:rPr>
        <w:t>大坦沙分公司一二三期厂区UPS维保项目</w:t>
      </w:r>
      <w:r>
        <w:rPr>
          <w:rFonts w:hint="eastAsia" w:ascii="方正小标宋简体" w:eastAsia="方正小标宋简体"/>
          <w:sz w:val="52"/>
          <w:szCs w:val="52"/>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color w:val="auto"/>
          <w:highlight w:val="none"/>
        </w:rPr>
      </w:pPr>
      <w:bookmarkStart w:id="0" w:name="_Toc18145"/>
      <w:bookmarkStart w:id="1" w:name="_Toc26148"/>
    </w:p>
    <w:p>
      <w:pPr>
        <w:rPr>
          <w:rFonts w:hint="eastAsia"/>
          <w:color w:val="auto"/>
          <w:highlight w:val="none"/>
        </w:rPr>
      </w:pPr>
    </w:p>
    <w:p>
      <w:pPr>
        <w:pStyle w:val="2"/>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rPr>
          <w:rFonts w:hint="eastAsia"/>
          <w:color w:val="auto"/>
          <w:highlight w:val="none"/>
        </w:rPr>
      </w:pPr>
      <w:bookmarkStart w:id="4" w:name="_Toc19609"/>
      <w:bookmarkStart w:id="5" w:name="_Toc31938"/>
      <w:bookmarkStart w:id="6" w:name="_Toc17801"/>
      <w:bookmarkStart w:id="7" w:name="_Toc7519"/>
      <w:bookmarkStart w:id="8" w:name="_Toc1669"/>
      <w:bookmarkStart w:id="9" w:name="_Toc11322"/>
      <w:bookmarkStart w:id="10" w:name="_Toc4275"/>
    </w:p>
    <w:p>
      <w:pPr>
        <w:rPr>
          <w:rFonts w:hint="eastAsia"/>
        </w:rPr>
      </w:pPr>
    </w:p>
    <w:p>
      <w:pPr>
        <w:pStyle w:val="2"/>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2"/>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大坦沙分公司一二三期厂区UPS维保项目</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□货物 </w:t>
      </w:r>
      <w:r>
        <w:rPr>
          <w:rFonts w:hint="eastAsia" w:ascii="仿宋_GB2312" w:eastAsia="仿宋_GB2312"/>
          <w:sz w:val="28"/>
          <w:szCs w:val="28"/>
        </w:rPr>
        <w:sym w:font="Wingdings 2" w:char="00A3"/>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 xml:space="preserve"> 大坦沙分公司一二三期厂区UPS维保项目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大坦沙分公司一二三期厂区UPS维保项目：最高限价 48090元。</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sz w:val="28"/>
          <w:szCs w:val="28"/>
          <w:u w:val="single"/>
        </w:rPr>
        <w:t>本采购项目是针对我公司</w:t>
      </w:r>
      <w:r>
        <w:rPr>
          <w:rFonts w:hint="eastAsia" w:ascii="仿宋_GB2312" w:eastAsia="仿宋_GB2312"/>
          <w:sz w:val="28"/>
          <w:szCs w:val="28"/>
          <w:u w:val="single"/>
          <w:lang w:val="en-US" w:eastAsia="zh-CN"/>
        </w:rPr>
        <w:t>UPS维保工作</w:t>
      </w:r>
      <w:r>
        <w:rPr>
          <w:rFonts w:hint="eastAsia" w:ascii="仿宋_GB2312" w:eastAsia="仿宋_GB2312"/>
          <w:sz w:val="28"/>
          <w:szCs w:val="28"/>
          <w:u w:val="single"/>
        </w:rPr>
        <w:t>进行询价，报价人应对询价方案进行报价，不允许只对部分询价内容进行报价。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大坦沙分公司厂区</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满足询价文件中所有要求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具有建设主管部门颁发且在有效期内的《安全生产许可证》资质。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（3）拟派的维修人员须具备提供</w:t>
      </w:r>
      <w:r>
        <w:rPr>
          <w:rFonts w:hint="eastAsia" w:ascii="仿宋_GB2312" w:eastAsia="仿宋_GB2312"/>
          <w:sz w:val="28"/>
          <w:szCs w:val="28"/>
          <w:highlight w:val="none"/>
          <w:lang w:val="en-US" w:eastAsia="zh-CN"/>
        </w:rPr>
        <w:t>在</w:t>
      </w:r>
      <w:r>
        <w:rPr>
          <w:rFonts w:hint="eastAsia" w:ascii="仿宋_GB2312" w:eastAsia="仿宋_GB2312"/>
          <w:sz w:val="28"/>
          <w:szCs w:val="28"/>
          <w:highlight w:val="none"/>
        </w:rPr>
        <w:t>本单位近三个月社保记录并加盖单位公章。</w:t>
      </w:r>
    </w:p>
    <w:p>
      <w:pPr>
        <w:pStyle w:val="23"/>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 w:hAnsi="仿宋" w:eastAsia="仿宋" w:cs="仿宋"/>
          <w:color w:val="auto"/>
          <w:sz w:val="28"/>
          <w:szCs w:val="28"/>
          <w:highlight w:val="none"/>
          <w:u w:val="none"/>
          <w:lang w:val="en-US" w:eastAsia="zh-CN"/>
        </w:rPr>
        <w:t>2020</w:t>
      </w:r>
      <w:r>
        <w:rPr>
          <w:rFonts w:hint="eastAsia" w:ascii="仿宋" w:hAnsi="仿宋" w:eastAsia="仿宋" w:cs="仿宋"/>
          <w:color w:val="auto"/>
          <w:sz w:val="28"/>
          <w:szCs w:val="28"/>
          <w:highlight w:val="none"/>
          <w:lang w:val="en-US" w:eastAsia="zh-CN"/>
        </w:rPr>
        <w:t>年1月1日至今，至</w:t>
      </w:r>
      <w:r>
        <w:rPr>
          <w:rFonts w:hint="eastAsia" w:ascii="仿宋" w:hAnsi="仿宋" w:eastAsia="仿宋" w:cs="仿宋"/>
          <w:color w:val="auto"/>
          <w:sz w:val="28"/>
          <w:szCs w:val="28"/>
          <w:highlight w:val="none"/>
        </w:rPr>
        <w:t>少具有一项</w:t>
      </w:r>
      <w:r>
        <w:rPr>
          <w:rFonts w:hint="eastAsia" w:ascii="仿宋" w:hAnsi="仿宋" w:eastAsia="仿宋" w:cs="仿宋"/>
          <w:color w:val="auto"/>
          <w:sz w:val="28"/>
          <w:szCs w:val="28"/>
          <w:highlight w:val="none"/>
          <w:lang w:val="en-US" w:eastAsia="zh-CN"/>
        </w:rPr>
        <w:t>年度UPS</w:t>
      </w:r>
      <w:r>
        <w:rPr>
          <w:rFonts w:hint="eastAsia" w:ascii="仿宋" w:hAnsi="仿宋" w:eastAsia="仿宋" w:cs="仿宋"/>
          <w:color w:val="auto"/>
          <w:sz w:val="28"/>
          <w:szCs w:val="28"/>
          <w:highlight w:val="none"/>
        </w:rPr>
        <w:t>设备维保业绩。（提供合同复印件证明，包括但不限于项目名称、金额及实施内容、合同签字盖章、签订日期，加盖单位公章）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p>
    <w:p>
      <w:pPr>
        <w:pStyle w:val="23"/>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lang w:eastAsia="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供应商可自行选择是否前往现场踏勘，若前往现场踏勘须在规定时间内到达集中地点，逾期不再接待。</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eastAsia="zh-CN"/>
        </w:rPr>
        <w:t>广州市荔湾区桥中南路</w:t>
      </w:r>
      <w:r>
        <w:rPr>
          <w:rFonts w:hint="eastAsia" w:ascii="仿宋_GB2312" w:eastAsia="仿宋_GB2312"/>
          <w:color w:val="auto"/>
          <w:sz w:val="28"/>
          <w:szCs w:val="28"/>
          <w:highlight w:val="none"/>
          <w:lang w:val="en-US" w:eastAsia="zh-CN"/>
        </w:rPr>
        <w:t>7号</w:t>
      </w:r>
      <w:r>
        <w:rPr>
          <w:rFonts w:hint="eastAsia" w:ascii="仿宋_GB2312" w:eastAsia="仿宋_GB2312"/>
          <w:color w:val="auto"/>
          <w:sz w:val="28"/>
          <w:szCs w:val="28"/>
          <w:highlight w:val="none"/>
          <w:u w:val="single"/>
          <w:lang w:val="en-US" w:eastAsia="zh-CN"/>
        </w:rPr>
        <w:t>广州市净水有限公司大坦沙分公司2楼201室。</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广州市荔湾区桥中南路7 号广州市净水有限公司大坦沙分公司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朱工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15915943597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jc w:val="both"/>
        <w:rPr>
          <w:rFonts w:hint="eastAsia"/>
          <w:color w:val="auto"/>
          <w:highlight w:val="none"/>
        </w:rPr>
      </w:pPr>
      <w:bookmarkStart w:id="13" w:name="_Toc2324"/>
      <w:bookmarkStart w:id="14" w:name="_Toc9448"/>
      <w:bookmarkStart w:id="15" w:name="_Toc32588"/>
      <w:bookmarkStart w:id="16" w:name="_Toc16705"/>
      <w:bookmarkStart w:id="17" w:name="_Toc7340"/>
      <w:bookmarkStart w:id="18" w:name="_Toc25603"/>
      <w:bookmarkStart w:id="19" w:name="_Toc16557"/>
      <w:bookmarkStart w:id="20" w:name="_Toc10891"/>
      <w:bookmarkStart w:id="21" w:name="_Toc23749"/>
      <w:bookmarkStart w:id="22" w:name="_Toc2331"/>
      <w:bookmarkStart w:id="23" w:name="_Toc19295"/>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3"/>
        <w:rPr>
          <w:rFonts w:hint="eastAsia"/>
        </w:rPr>
      </w:pPr>
    </w:p>
    <w:p>
      <w:pPr>
        <w:pStyle w:val="2"/>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3"/>
        <w:rPr>
          <w:rFonts w:hint="eastAsia"/>
        </w:rPr>
      </w:pPr>
      <w:bookmarkStart w:id="24" w:name="_Toc3416"/>
      <w:bookmarkStart w:id="25" w:name="_Toc2339"/>
      <w:r>
        <w:rPr>
          <w:rFonts w:hint="eastAsia"/>
          <w:color w:val="auto"/>
          <w:highlight w:val="none"/>
        </w:rPr>
        <w:t>供应商须知</w:t>
      </w:r>
      <w:bookmarkEnd w:id="24"/>
      <w:bookmarkEnd w:id="25"/>
    </w:p>
    <w:p>
      <w:pPr>
        <w:pStyle w:val="3"/>
        <w:rPr>
          <w:rFonts w:hint="default" w:eastAsia="方正小标宋简体"/>
          <w:color w:val="auto"/>
          <w:highlight w:val="none"/>
          <w:lang w:val="en-US" w:eastAsia="zh-CN"/>
        </w:rPr>
      </w:pPr>
      <w:r>
        <w:rPr>
          <w:rFonts w:hint="eastAsia"/>
          <w:color w:val="auto"/>
          <w:highlight w:val="none"/>
          <w:lang w:val="en-US" w:eastAsia="zh-CN"/>
        </w:rPr>
        <w:t xml:space="preserve">      </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sz w:val="28"/>
          <w:szCs w:val="28"/>
          <w:highlight w:val="none"/>
          <w:lang w:val="en-US" w:eastAsia="zh-CN"/>
        </w:rPr>
      </w:pPr>
      <w:r>
        <w:rPr>
          <w:rFonts w:hint="eastAsia"/>
          <w:color w:val="auto"/>
          <w:sz w:val="28"/>
          <w:szCs w:val="28"/>
          <w:highlight w:val="none"/>
          <w:lang w:val="en-US" w:eastAsia="zh-CN"/>
        </w:rPr>
        <w:t>详见第一章采购公告（采购邀请书）3.供应商资格要求</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3"/>
        <w:rPr>
          <w:color w:val="auto"/>
          <w:highlight w:val="none"/>
        </w:rPr>
      </w:pPr>
      <w:bookmarkStart w:id="28" w:name="_Toc88209934"/>
      <w:bookmarkStart w:id="29" w:name="_Toc7303"/>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pPr>
    </w:p>
    <w:p>
      <w:pPr>
        <w:pStyle w:val="23"/>
        <w:ind w:firstLine="0"/>
        <w:rPr>
          <w:rFonts w:ascii="方正小标宋简体" w:eastAsia="方正小标宋简体"/>
          <w:color w:val="auto"/>
          <w:sz w:val="44"/>
          <w:szCs w:val="44"/>
          <w:highlight w:val="none"/>
        </w:rPr>
      </w:pPr>
    </w:p>
    <w:p>
      <w:pPr>
        <w:pStyle w:val="3"/>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480" w:hanging="480" w:hanging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sym w:font="Wingdings 2" w:char="0052"/>
            </w:r>
            <w:r>
              <w:rPr>
                <w:rFonts w:hint="eastAsia" w:ascii="仿宋_GB2312" w:eastAsia="仿宋_GB2312"/>
                <w:color w:val="auto"/>
                <w:sz w:val="24"/>
                <w:szCs w:val="24"/>
                <w:highlight w:val="none"/>
              </w:rPr>
              <w:t>采购人确定满足采购文件</w:t>
            </w:r>
            <w:r>
              <w:rPr>
                <w:rFonts w:hint="eastAsia" w:ascii="仿宋_GB2312" w:eastAsia="仿宋_GB2312"/>
                <w:color w:val="auto"/>
                <w:sz w:val="24"/>
                <w:szCs w:val="24"/>
                <w:highlight w:val="none"/>
                <w:lang w:val="en-US" w:eastAsia="zh-CN"/>
              </w:rPr>
              <w:t>资格性、响应性</w:t>
            </w:r>
            <w:r>
              <w:rPr>
                <w:rFonts w:hint="eastAsia" w:ascii="仿宋_GB2312" w:eastAsia="仿宋_GB2312"/>
                <w:color w:val="auto"/>
                <w:sz w:val="24"/>
                <w:szCs w:val="24"/>
                <w:highlight w:val="none"/>
              </w:rPr>
              <w:t>要求，并且经评审的报价最低的为成交供应商</w:t>
            </w:r>
          </w:p>
          <w:p>
            <w:pPr>
              <w:adjustRightInd w:val="0"/>
              <w:snapToGrid w:val="0"/>
              <w:ind w:left="480" w:hanging="480" w:hangingChars="20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sym w:font="Wingdings 2" w:char="00A3"/>
            </w:r>
            <w:r>
              <w:rPr>
                <w:rFonts w:hint="eastAsia" w:ascii="仿宋_GB2312" w:eastAsia="仿宋_GB2312"/>
                <w:color w:val="auto"/>
                <w:sz w:val="24"/>
                <w:szCs w:val="24"/>
                <w:highlight w:val="none"/>
              </w:rPr>
              <w:t>评审小组按照采购文件确定的标准排序，采购人确定排名第一的供应商为成交供应商</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bookmarkStart w:id="34" w:name="_Toc7437"/>
      <w:bookmarkStart w:id="35" w:name="_Toc23581"/>
      <w:bookmarkStart w:id="36" w:name="_Toc10930"/>
      <w:bookmarkStart w:id="37" w:name="_Toc14870"/>
      <w:bookmarkStart w:id="38" w:name="_Toc7118"/>
      <w:bookmarkStart w:id="39" w:name="_Toc19050"/>
      <w:bookmarkStart w:id="40" w:name="_Toc14552"/>
      <w:bookmarkStart w:id="41" w:name="_Toc3156"/>
      <w:bookmarkStart w:id="42" w:name="_Toc20594"/>
      <w:bookmarkStart w:id="43" w:name="_Toc19759"/>
      <w:bookmarkStart w:id="44" w:name="_Toc49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2"/>
        <w:rPr>
          <w:color w:val="auto"/>
          <w:highlight w:val="none"/>
        </w:rPr>
      </w:pPr>
      <w:bookmarkStart w:id="45" w:name="_Toc29345"/>
      <w:bookmarkStart w:id="46" w:name="_Toc21079"/>
      <w:bookmarkStart w:id="47" w:name="_Toc21840"/>
      <w:bookmarkStart w:id="48" w:name="_Toc7831"/>
      <w:bookmarkStart w:id="49" w:name="_Toc6308"/>
      <w:bookmarkStart w:id="50" w:name="_Toc30530"/>
      <w:bookmarkStart w:id="51" w:name="_Toc13898"/>
      <w:bookmarkStart w:id="52" w:name="_Toc22212"/>
      <w:bookmarkStart w:id="53" w:name="_Toc32607"/>
      <w:bookmarkStart w:id="54" w:name="_Toc88209941"/>
      <w:bookmarkStart w:id="55" w:name="_Toc87616378"/>
      <w:bookmarkStart w:id="56" w:name="_Toc29484"/>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3"/>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549275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3.25pt;height:0pt;width:75.5pt;z-index:251675648;mso-width-relative:page;mso-height-relative:page;" filled="f" stroked="t" coordsize="21600,21600" o:gfxdata="UEsDBAoAAAAAAIdO4kAAAAAAAAAAAAAAAAAEAAAAZHJzL1BLAwQUAAAACACHTuJA2ITojtYAAAAJ&#10;AQAADwAAAGRycy9kb3ducmV2LnhtbE2PwU7DMAyG70i8Q2QkLoglHWrVlaYTQuLAkW0S16wxbbfG&#10;qZp0HXt6jDiwo39/+v25XJ9dL044hs6ThmShQCDV3nbUaNht3x5zECEasqb3hBq+McC6ur0pTWH9&#10;TB942sRGcAmFwmhoYxwKKUPdojNh4Qck3n350ZnI49hIO5qZy10vl0pl0pmO+EJrBnxtsT5uJqcB&#10;w5Qm6mXlmt37ZX74XF4O87DV+v4uUc8gIp7jPwy/+qwOFTvt/UQ2iF7DU5ZnjGrIsxQEA2my4mD/&#10;F8iqlNcfVD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hOiO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3"/>
        <w:rPr>
          <w:rFonts w:hint="eastAsia"/>
          <w:color w:val="auto"/>
          <w:highlight w:val="none"/>
        </w:rPr>
      </w:pPr>
    </w:p>
    <w:p>
      <w:pPr>
        <w:pStyle w:val="3"/>
        <w:rPr>
          <w:rFonts w:hint="eastAsia"/>
          <w:color w:val="auto"/>
          <w:szCs w:val="44"/>
          <w:highlight w:val="none"/>
        </w:rPr>
      </w:pPr>
      <w:r>
        <w:rPr>
          <w:rFonts w:hint="eastAsia"/>
          <w:color w:val="auto"/>
          <w:szCs w:val="44"/>
          <w:highlight w:val="none"/>
        </w:rPr>
        <w:t>采购需求</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ascii="仿宋_GB2312" w:eastAsia="仿宋_GB2312" w:hAnsiTheme="minorEastAsia" w:cstheme="minorBidi"/>
          <w:color w:val="auto"/>
          <w:sz w:val="28"/>
          <w:szCs w:val="28"/>
          <w:highlight w:val="none"/>
        </w:rPr>
      </w:pPr>
      <w:r>
        <w:rPr>
          <w:rFonts w:hint="eastAsia"/>
        </w:rPr>
        <w:t>项目内容</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sz w:val="28"/>
          <w:szCs w:val="28"/>
          <w:highlight w:val="none"/>
        </w:rPr>
        <w:t xml:space="preserve">报价单位须对本项目为单位的服务进行整体响应，任何只对其中一部分内容进行的响应都被视为无效响应。 </w:t>
      </w:r>
    </w:p>
    <w:p>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lang w:val="zh-CN"/>
        </w:rPr>
      </w:pPr>
      <w:r>
        <w:rPr>
          <w:rFonts w:hint="eastAsia" w:ascii="仿宋_GB2312" w:eastAsia="仿宋_GB2312" w:hAnsiTheme="minorEastAsia" w:cstheme="minorBidi"/>
          <w:color w:val="auto"/>
          <w:sz w:val="28"/>
          <w:szCs w:val="28"/>
          <w:highlight w:val="none"/>
        </w:rPr>
        <w:t>询价文件中所有要求均为实质性响应条款，报价单位如有任何一条负偏离则导致响应文件无效。</w:t>
      </w:r>
    </w:p>
    <w:p>
      <w:pPr>
        <w:spacing w:line="600" w:lineRule="exact"/>
        <w:ind w:firstLine="555"/>
        <w:jc w:val="left"/>
        <w:rPr>
          <w:rFonts w:hint="eastAsia" w:ascii="仿宋_GB2312" w:eastAsia="仿宋_GB2312" w:hAnsiTheme="minorEastAsia" w:cstheme="minorBidi"/>
          <w:b w:val="0"/>
          <w:color w:val="auto"/>
          <w:sz w:val="28"/>
          <w:szCs w:val="28"/>
          <w:highlight w:val="none"/>
          <w:lang w:val="zh-CN" w:eastAsia="zh-CN"/>
        </w:rPr>
      </w:pPr>
      <w:r>
        <w:rPr>
          <w:rFonts w:hint="eastAsia" w:ascii="仿宋_GB2312" w:eastAsia="仿宋_GB2312" w:hAnsiTheme="minorEastAsia" w:cstheme="minorBidi"/>
          <w:b w:val="0"/>
          <w:color w:val="auto"/>
          <w:sz w:val="28"/>
          <w:szCs w:val="28"/>
          <w:highlight w:val="none"/>
          <w:lang w:val="zh-CN"/>
        </w:rPr>
        <w:t>项目情况介绍</w:t>
      </w:r>
    </w:p>
    <w:p>
      <w:pPr>
        <w:keepNext w:val="0"/>
        <w:keepLines w:val="0"/>
        <w:pageBreakBefore w:val="0"/>
        <w:kinsoku/>
        <w:wordWrap/>
        <w:overflowPunct/>
        <w:topLinePunct w:val="0"/>
        <w:bidi w:val="0"/>
        <w:adjustRightInd w:val="0"/>
        <w:snapToGrid w:val="0"/>
        <w:spacing w:line="600" w:lineRule="exact"/>
        <w:ind w:firstLine="555"/>
        <w:jc w:val="left"/>
        <w:rPr>
          <w:rFonts w:hint="eastAsia" w:ascii="仿宋_GB2312" w:eastAsia="仿宋_GB2312" w:hAnsiTheme="minorEastAsia"/>
          <w:color w:val="auto"/>
          <w:sz w:val="28"/>
          <w:szCs w:val="28"/>
          <w:highlight w:val="none"/>
          <w:u w:val="none"/>
          <w:lang w:val="zh-CN" w:eastAsia="zh-CN"/>
        </w:rPr>
      </w:pPr>
      <w:r>
        <w:rPr>
          <w:rFonts w:hint="eastAsia" w:ascii="仿宋_GB2312" w:eastAsia="仿宋_GB2312" w:hAnsiTheme="minorEastAsia"/>
          <w:color w:val="auto"/>
          <w:sz w:val="28"/>
          <w:szCs w:val="28"/>
          <w:highlight w:val="none"/>
          <w:u w:val="none"/>
          <w:lang w:val="en-US" w:eastAsia="zh-CN"/>
        </w:rPr>
        <w:t>（一）项目名称：</w:t>
      </w:r>
      <w:r>
        <w:rPr>
          <w:rFonts w:hint="eastAsia" w:ascii="仿宋_GB2312" w:eastAsia="仿宋_GB2312" w:hAnsiTheme="minorEastAsia" w:cstheme="minorBidi"/>
          <w:color w:val="auto"/>
          <w:sz w:val="28"/>
          <w:szCs w:val="28"/>
          <w:highlight w:val="none"/>
          <w:lang w:val="en-US" w:eastAsia="zh-CN"/>
        </w:rPr>
        <w:t>大坦沙分公司一二三期厂区UPS维保项目</w:t>
      </w:r>
    </w:p>
    <w:bookmarkEnd w:id="60"/>
    <w:p>
      <w:pPr>
        <w:adjustRightInd w:val="0"/>
        <w:snapToGrid w:val="0"/>
        <w:spacing w:line="600" w:lineRule="exact"/>
        <w:ind w:firstLine="555" w:firstLineChars="0"/>
        <w:jc w:val="left"/>
        <w:rPr>
          <w:rFonts w:hint="eastAsia" w:ascii="仿宋_GB2312" w:eastAsia="仿宋_GB2312" w:hAnsiTheme="minorEastAsia"/>
          <w:b w:val="0"/>
          <w:bCs w:val="0"/>
          <w:color w:val="auto"/>
          <w:sz w:val="28"/>
          <w:szCs w:val="28"/>
          <w:highlight w:val="none"/>
          <w:lang w:val="en-US" w:eastAsia="zh-CN"/>
        </w:rPr>
      </w:pPr>
      <w:r>
        <w:rPr>
          <w:rFonts w:hint="eastAsia" w:ascii="仿宋_GB2312" w:eastAsia="仿宋_GB2312" w:hAnsiTheme="minorEastAsia"/>
          <w:b w:val="0"/>
          <w:bCs w:val="0"/>
          <w:color w:val="auto"/>
          <w:sz w:val="28"/>
          <w:szCs w:val="28"/>
          <w:highlight w:val="none"/>
          <w:lang w:val="en-US" w:eastAsia="zh-CN"/>
        </w:rPr>
        <w:t>（二）项目内容：</w:t>
      </w:r>
    </w:p>
    <w:p>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eastAsia="zh-CN"/>
        </w:rPr>
        <w:t>产</w:t>
      </w:r>
      <w:r>
        <w:rPr>
          <w:rFonts w:hint="eastAsia" w:ascii="仿宋_GB2312" w:eastAsia="仿宋_GB2312" w:hAnsiTheme="minorEastAsia" w:cstheme="minorBidi"/>
          <w:color w:val="auto"/>
          <w:sz w:val="28"/>
          <w:szCs w:val="28"/>
          <w:highlight w:val="none"/>
        </w:rPr>
        <w:t>生1个服务单位作为我公司</w:t>
      </w:r>
      <w:r>
        <w:rPr>
          <w:rFonts w:hint="eastAsia" w:ascii="仿宋_GB2312" w:eastAsia="仿宋_GB2312" w:hAnsiTheme="minorEastAsia" w:cstheme="minorBidi"/>
          <w:color w:val="auto"/>
          <w:sz w:val="28"/>
          <w:szCs w:val="28"/>
          <w:highlight w:val="none"/>
          <w:lang w:val="en-US" w:eastAsia="zh-CN"/>
        </w:rPr>
        <w:t>一二三期厂区UPS维保</w:t>
      </w:r>
      <w:r>
        <w:rPr>
          <w:rFonts w:hint="eastAsia" w:ascii="仿宋_GB2312" w:eastAsia="仿宋_GB2312" w:hAnsiTheme="minorEastAsia" w:cstheme="minorBidi"/>
          <w:color w:val="auto"/>
          <w:sz w:val="28"/>
          <w:szCs w:val="28"/>
          <w:highlight w:val="none"/>
          <w:lang w:eastAsia="zh-CN"/>
        </w:rPr>
        <w:t>项目</w:t>
      </w:r>
      <w:r>
        <w:rPr>
          <w:rFonts w:hint="eastAsia" w:ascii="仿宋_GB2312" w:eastAsia="仿宋_GB2312" w:hAnsiTheme="minorEastAsia" w:cstheme="minorBidi"/>
          <w:color w:val="auto"/>
          <w:sz w:val="28"/>
          <w:szCs w:val="28"/>
          <w:highlight w:val="none"/>
        </w:rPr>
        <w:t>服务单位，服务期限为签订合同后1年</w:t>
      </w:r>
      <w:r>
        <w:rPr>
          <w:rFonts w:hint="eastAsia" w:ascii="仿宋_GB2312" w:eastAsia="仿宋_GB2312" w:hAnsiTheme="minorEastAsia" w:cstheme="minorBidi"/>
          <w:color w:val="auto"/>
          <w:sz w:val="28"/>
          <w:szCs w:val="28"/>
          <w:highlight w:val="none"/>
          <w:lang w:eastAsia="zh-CN"/>
        </w:rPr>
        <w:t>，</w:t>
      </w:r>
      <w:r>
        <w:rPr>
          <w:rFonts w:hint="eastAsia" w:ascii="仿宋_GB2312" w:eastAsia="仿宋_GB2312" w:hAnsiTheme="minorEastAsia" w:cstheme="minorBidi"/>
          <w:color w:val="auto"/>
          <w:sz w:val="28"/>
          <w:szCs w:val="28"/>
          <w:highlight w:val="none"/>
          <w:lang w:val="en-US" w:eastAsia="zh-CN"/>
        </w:rPr>
        <w:t>本项目按单价包干方式实施，项目分日常保养和维修项目实施，费用按实际发生次数计算。</w:t>
      </w:r>
    </w:p>
    <w:p>
      <w:pPr>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UPS</w:t>
      </w:r>
      <w:r>
        <w:rPr>
          <w:rFonts w:hint="eastAsia" w:ascii="仿宋_GB2312" w:eastAsia="仿宋_GB2312" w:hAnsiTheme="minorEastAsia" w:cstheme="minorBidi"/>
          <w:color w:val="auto"/>
          <w:sz w:val="28"/>
          <w:szCs w:val="28"/>
          <w:highlight w:val="none"/>
        </w:rPr>
        <w:t>分布情况及维修种类</w:t>
      </w:r>
    </w:p>
    <w:p>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b w:val="0"/>
          <w:color w:val="auto"/>
          <w:sz w:val="28"/>
          <w:szCs w:val="28"/>
          <w:highlight w:val="none"/>
          <w:lang w:val="en-US" w:eastAsia="zh-CN"/>
        </w:rPr>
        <w:t>UPS</w:t>
      </w:r>
      <w:r>
        <w:rPr>
          <w:rFonts w:hint="eastAsia" w:ascii="仿宋_GB2312" w:eastAsia="仿宋_GB2312" w:hAnsiTheme="minorEastAsia"/>
          <w:b w:val="0"/>
          <w:color w:val="auto"/>
          <w:sz w:val="28"/>
          <w:szCs w:val="28"/>
          <w:highlight w:val="none"/>
        </w:rPr>
        <w:t>详细清单</w:t>
      </w:r>
      <w:r>
        <w:rPr>
          <w:rFonts w:hint="eastAsia" w:ascii="仿宋_GB2312" w:eastAsia="仿宋_GB2312" w:hAnsiTheme="minorEastAsia"/>
          <w:b w:val="0"/>
          <w:color w:val="auto"/>
          <w:sz w:val="28"/>
          <w:szCs w:val="28"/>
          <w:highlight w:val="none"/>
          <w:lang w:val="en-US" w:eastAsia="zh-CN"/>
        </w:rPr>
        <w:t>如下：</w:t>
      </w:r>
    </w:p>
    <w:tbl>
      <w:tblPr>
        <w:tblStyle w:val="24"/>
        <w:tblW w:w="7870" w:type="dxa"/>
        <w:tblInd w:w="-5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5"/>
        <w:gridCol w:w="3018"/>
        <w:gridCol w:w="1864"/>
        <w:gridCol w:w="1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bookmarkStart w:id="61" w:name="_Toc1284"/>
            <w:bookmarkStart w:id="62" w:name="_Toc29835"/>
            <w:bookmarkStart w:id="63" w:name="_Toc18538"/>
            <w:bookmarkStart w:id="64" w:name="_Toc4680"/>
            <w:bookmarkStart w:id="65" w:name="_Toc15570"/>
            <w:bookmarkStart w:id="66" w:name="_Toc537"/>
            <w:bookmarkStart w:id="67" w:name="_Toc25925"/>
            <w:bookmarkStart w:id="68" w:name="_Toc12135"/>
            <w:bookmarkStart w:id="69" w:name="_Toc1496"/>
            <w:bookmarkStart w:id="70" w:name="_Toc23330"/>
            <w:bookmarkStart w:id="71" w:name="_Toc23353"/>
            <w:r>
              <w:rPr>
                <w:rFonts w:hint="eastAsia" w:ascii="仿宋_GB2312" w:eastAsia="仿宋_GB2312" w:hAnsiTheme="minorEastAsia" w:cstheme="minorBidi"/>
                <w:color w:val="auto"/>
                <w:sz w:val="26"/>
                <w:szCs w:val="26"/>
                <w:highlight w:val="none"/>
                <w:lang w:val="en-US" w:eastAsia="zh-CN"/>
              </w:rPr>
              <w:t>序号</w:t>
            </w:r>
          </w:p>
        </w:tc>
        <w:tc>
          <w:tcPr>
            <w:tcW w:w="30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6"/>
                <w:szCs w:val="26"/>
                <w:highlight w:val="none"/>
                <w:lang w:val="en-US" w:eastAsia="zh-CN"/>
              </w:rPr>
            </w:pPr>
            <w:r>
              <w:rPr>
                <w:rFonts w:hint="eastAsia" w:ascii="仿宋_GB2312" w:eastAsia="仿宋_GB2312" w:hAnsiTheme="minorEastAsia" w:cstheme="minorBidi"/>
                <w:color w:val="auto"/>
                <w:sz w:val="26"/>
                <w:szCs w:val="26"/>
                <w:highlight w:val="none"/>
                <w:lang w:val="en-US" w:eastAsia="zh-CN"/>
              </w:rPr>
              <w:t>位置</w:t>
            </w:r>
          </w:p>
        </w:tc>
        <w:tc>
          <w:tcPr>
            <w:tcW w:w="18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6"/>
                <w:szCs w:val="26"/>
                <w:highlight w:val="none"/>
                <w:lang w:val="en-US" w:eastAsia="zh-CN"/>
              </w:rPr>
            </w:pPr>
            <w:r>
              <w:rPr>
                <w:rFonts w:hint="eastAsia" w:ascii="仿宋_GB2312" w:eastAsia="仿宋_GB2312" w:hAnsiTheme="minorEastAsia" w:cstheme="minorBidi"/>
                <w:color w:val="auto"/>
                <w:sz w:val="26"/>
                <w:szCs w:val="26"/>
                <w:highlight w:val="none"/>
                <w:lang w:val="en-US" w:eastAsia="zh-CN"/>
              </w:rPr>
              <w:t>主机型号</w:t>
            </w:r>
          </w:p>
        </w:tc>
        <w:tc>
          <w:tcPr>
            <w:tcW w:w="18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6"/>
                <w:szCs w:val="26"/>
                <w:highlight w:val="none"/>
                <w:lang w:val="en-US" w:eastAsia="zh-CN"/>
              </w:rPr>
            </w:pPr>
            <w:r>
              <w:rPr>
                <w:rFonts w:hint="eastAsia" w:ascii="仿宋_GB2312" w:eastAsia="仿宋_GB2312" w:hAnsiTheme="minorEastAsia" w:cstheme="minorBidi"/>
                <w:color w:val="auto"/>
                <w:sz w:val="26"/>
                <w:szCs w:val="26"/>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1</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旧厂污水泵房PLC柜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1000UX</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2</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三万吨PLC柜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1000UX</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3</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一期1#PLC柜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山特  C1KS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4</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一期2#PLC柜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山特  C1KS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5</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三期脱水机房PLC柜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2200UX</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6</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一期进水流量计</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1000UX</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7</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二期进水流量计</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1000UX</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8</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旧厂出水流量计</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1000</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9</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二期3#PLC柜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1000UX</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10</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一二期进水在线站房</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山特  castle 3ks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11</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一二期出水在线站房设备</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山特  castle 3ks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12</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一二期出水在线站房电脑</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山特  castle 1ks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13</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一期滤池PLC柜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EAST EA620S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14</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二期滤池PLC柜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EAST EA620S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15</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三期1# 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EAST EA620S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16</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三期2# 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EAST EA620S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17</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三期鼓风机房PLC柜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SUA1000UXICH</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主机故障（更换了APC 1000内置电池）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18</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三期旋流式</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SUA1000UXICH</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19</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三期加氯间PLC柜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2200UX</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20</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三期进水在线站房</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山特 castle 3ks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21</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三期出水流量计</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山特 SUA1000UXICH</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22</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三期出水在线站房设备</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山特 castle 3ks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23</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三期出水在线站房电脑</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山特 castle 3ks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24</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三期滤池PLC柜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EAST EA620S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25</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干化车间</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Smart-UPS 1000</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26</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干化车间</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castle 10ks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27</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干化车间</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APC Smart-UPS 1000</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28</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旧厂二氧化氯间PLC柜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增设UPS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29</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一二期超越阀EPS</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_GB2312" w:eastAsia="仿宋_GB2312" w:hAnsiTheme="minorEastAsia" w:cstheme="minorBidi"/>
                <w:color w:val="auto"/>
                <w:sz w:val="22"/>
                <w:szCs w:val="22"/>
                <w:highlight w:val="none"/>
                <w:lang w:val="en-US" w:eastAsia="zh-CN"/>
              </w:rPr>
            </w:pPr>
            <w:r>
              <w:rPr>
                <w:rFonts w:hint="eastAsia" w:ascii="仿宋_GB2312" w:eastAsia="仿宋_GB2312" w:hAnsiTheme="minorEastAsia" w:cstheme="minorBidi"/>
                <w:color w:val="auto"/>
                <w:sz w:val="22"/>
                <w:szCs w:val="22"/>
                <w:highlight w:val="none"/>
                <w:lang w:val="en-US" w:eastAsia="zh-CN"/>
              </w:rPr>
              <w:t>WYJ-40KW</w:t>
            </w:r>
          </w:p>
        </w:tc>
        <w:tc>
          <w:tcPr>
            <w:tcW w:w="1893"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eastAsia="仿宋_GB2312" w:hAnsiTheme="minorEastAsia" w:cstheme="minorBidi"/>
                <w:color w:val="auto"/>
                <w:sz w:val="22"/>
                <w:szCs w:val="22"/>
                <w:highlight w:val="none"/>
                <w:lang w:val="en-US" w:eastAsia="zh-CN"/>
              </w:rPr>
            </w:pPr>
          </w:p>
        </w:tc>
      </w:tr>
    </w:tbl>
    <w:p>
      <w:pPr>
        <w:spacing w:line="600" w:lineRule="exact"/>
        <w:ind w:firstLine="555"/>
        <w:jc w:val="left"/>
        <w:rPr>
          <w:rFonts w:hint="eastAsia" w:ascii="仿宋_GB2312" w:eastAsia="仿宋_GB2312" w:hAnsiTheme="minorEastAsia" w:cstheme="minorBidi"/>
          <w:b w:val="0"/>
          <w:color w:val="auto"/>
          <w:sz w:val="28"/>
          <w:szCs w:val="28"/>
          <w:highlight w:val="none"/>
          <w:lang w:val="zh-CN" w:eastAsia="zh-CN"/>
        </w:rPr>
      </w:pPr>
      <w:r>
        <w:rPr>
          <w:rFonts w:hint="eastAsia" w:ascii="仿宋_GB2312" w:eastAsia="仿宋_GB2312" w:hAnsiTheme="minorEastAsia" w:cstheme="minorBidi"/>
          <w:b w:val="0"/>
          <w:color w:val="auto"/>
          <w:sz w:val="28"/>
          <w:szCs w:val="28"/>
          <w:highlight w:val="none"/>
          <w:lang w:val="zh-CN"/>
        </w:rPr>
        <w:t>项目要求</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严格按照国家有关安全生产的法律、法规和相关规程组织维保工作，服从管理，遵守规章制度，对现场操作、施工方法、技术描施的可靠性、安全性负完全责任。因维保工作而导致的一切人身和财产安全责任全部由维保单位承担。</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 xml:space="preserve">维保单位要严格执行国家行业标准、规范开展维保工作，质量标准的评定以国家、行业的专业工程质量验收评定标准为依据。 </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 xml:space="preserve">维保单位所提供的零配件需符合国家技术规范和质量标准，经国家有关部门检验的合格产品。 </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建立维保台账制度，在</w:t>
      </w:r>
      <w:r>
        <w:rPr>
          <w:rFonts w:hint="eastAsia" w:ascii="仿宋_GB2312" w:eastAsia="仿宋_GB2312" w:hAnsiTheme="minorEastAsia" w:cstheme="minorBidi"/>
          <w:color w:val="auto"/>
          <w:sz w:val="28"/>
          <w:szCs w:val="28"/>
          <w:highlight w:val="none"/>
          <w:lang w:val="en-US" w:eastAsia="zh-CN"/>
        </w:rPr>
        <w:t>UPS</w:t>
      </w:r>
      <w:r>
        <w:rPr>
          <w:rFonts w:hint="eastAsia" w:ascii="仿宋_GB2312" w:eastAsia="仿宋_GB2312" w:hAnsiTheme="minorEastAsia" w:cstheme="minorBidi"/>
          <w:color w:val="auto"/>
          <w:sz w:val="28"/>
          <w:szCs w:val="28"/>
          <w:highlight w:val="none"/>
          <w:lang w:eastAsia="zh-CN"/>
        </w:rPr>
        <w:t>维保时，必须对</w:t>
      </w:r>
      <w:r>
        <w:rPr>
          <w:rFonts w:hint="eastAsia" w:ascii="仿宋_GB2312" w:eastAsia="仿宋_GB2312" w:hAnsiTheme="minorEastAsia" w:cstheme="minorBidi"/>
          <w:color w:val="auto"/>
          <w:sz w:val="28"/>
          <w:szCs w:val="28"/>
          <w:highlight w:val="none"/>
          <w:lang w:val="en-US" w:eastAsia="zh-CN"/>
        </w:rPr>
        <w:t>UPS</w:t>
      </w:r>
      <w:r>
        <w:rPr>
          <w:rFonts w:hint="eastAsia" w:ascii="仿宋_GB2312" w:eastAsia="仿宋_GB2312" w:hAnsiTheme="minorEastAsia" w:cstheme="minorBidi"/>
          <w:color w:val="auto"/>
          <w:sz w:val="28"/>
          <w:szCs w:val="28"/>
          <w:highlight w:val="none"/>
          <w:lang w:eastAsia="zh-CN"/>
        </w:rPr>
        <w:t xml:space="preserve">设备建立档案，编排序号，逐台排査，并评估其运行状态，作好记录。要做到一机一档。 </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val="en-US" w:eastAsia="zh-CN"/>
        </w:rPr>
        <w:t>服务单位</w:t>
      </w:r>
      <w:r>
        <w:rPr>
          <w:rFonts w:hint="eastAsia" w:ascii="仿宋_GB2312" w:eastAsia="仿宋_GB2312" w:hAnsiTheme="minorEastAsia" w:cstheme="minorBidi"/>
          <w:color w:val="auto"/>
          <w:sz w:val="28"/>
          <w:szCs w:val="28"/>
          <w:highlight w:val="none"/>
          <w:lang w:eastAsia="zh-CN"/>
        </w:rPr>
        <w:t>每次保养对</w:t>
      </w:r>
      <w:r>
        <w:rPr>
          <w:rFonts w:hint="eastAsia" w:ascii="仿宋_GB2312" w:eastAsia="仿宋_GB2312" w:hAnsiTheme="minorEastAsia" w:cstheme="minorBidi"/>
          <w:color w:val="auto"/>
          <w:sz w:val="28"/>
          <w:szCs w:val="28"/>
          <w:highlight w:val="none"/>
          <w:lang w:val="en-US" w:eastAsia="zh-CN"/>
        </w:rPr>
        <w:t>UPS设备</w:t>
      </w:r>
      <w:r>
        <w:rPr>
          <w:rFonts w:hint="eastAsia" w:ascii="仿宋_GB2312" w:eastAsia="仿宋_GB2312" w:hAnsiTheme="minorEastAsia" w:cstheme="minorBidi"/>
          <w:color w:val="auto"/>
          <w:sz w:val="28"/>
          <w:szCs w:val="28"/>
          <w:highlight w:val="none"/>
          <w:lang w:eastAsia="zh-CN"/>
        </w:rPr>
        <w:t>进行一次全面安全、并做记录由使用部门签名确</w:t>
      </w:r>
      <w:r>
        <w:rPr>
          <w:rFonts w:hint="eastAsia" w:ascii="仿宋_GB2312" w:eastAsia="仿宋_GB2312" w:hAnsiTheme="minorEastAsia" w:cstheme="minorBidi"/>
          <w:color w:val="auto"/>
          <w:sz w:val="28"/>
          <w:szCs w:val="28"/>
          <w:highlight w:val="none"/>
          <w:lang w:val="en-US" w:eastAsia="zh-CN"/>
        </w:rPr>
        <w:t>认</w:t>
      </w:r>
      <w:r>
        <w:rPr>
          <w:rFonts w:hint="eastAsia" w:ascii="仿宋_GB2312" w:eastAsia="仿宋_GB2312" w:hAnsiTheme="minorEastAsia" w:cstheme="minorBidi"/>
          <w:color w:val="auto"/>
          <w:sz w:val="28"/>
          <w:szCs w:val="28"/>
          <w:highlight w:val="none"/>
          <w:lang w:eastAsia="zh-CN"/>
        </w:rPr>
        <w:t>。</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val="en-US" w:eastAsia="zh-CN"/>
        </w:rPr>
        <w:t>UPS</w:t>
      </w:r>
      <w:r>
        <w:rPr>
          <w:rFonts w:hint="eastAsia" w:ascii="仿宋_GB2312" w:eastAsia="仿宋_GB2312" w:hAnsiTheme="minorEastAsia" w:cstheme="minorBidi"/>
          <w:color w:val="auto"/>
          <w:sz w:val="28"/>
          <w:szCs w:val="28"/>
          <w:highlight w:val="none"/>
          <w:lang w:eastAsia="zh-CN"/>
        </w:rPr>
        <w:t>设备维保时必须做好周边安全围蔽措施，维修人员做好本人安全保护措施，做到安全文明施工。严格遵守国家有关安全生产的法律法规。若出现安全事故，一切相关责任及经济赔偿由维保公司承担。</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加强应急维修保障，</w:t>
      </w:r>
      <w:r>
        <w:rPr>
          <w:rFonts w:hint="eastAsia" w:ascii="仿宋_GB2312" w:eastAsia="仿宋_GB2312" w:hAnsiTheme="minorEastAsia" w:cstheme="minorBidi"/>
          <w:color w:val="auto"/>
          <w:sz w:val="28"/>
          <w:szCs w:val="28"/>
          <w:highlight w:val="none"/>
          <w:lang w:val="en-US" w:eastAsia="zh-CN"/>
        </w:rPr>
        <w:t>当UPS电源设备发生故障时，维保单位技术人员需在1小时内响应我方故障反馈，并于24小时内到达现场对故障设备进行故障排查及维修，若设备故障部件无法维修，并依照技术服务方案提供故障部件更换，使设备尽快恢复使用。</w:t>
      </w:r>
    </w:p>
    <w:p>
      <w:pPr>
        <w:spacing w:line="600" w:lineRule="exact"/>
        <w:ind w:firstLine="555"/>
        <w:jc w:val="left"/>
        <w:rPr>
          <w:rFonts w:hint="eastAsia" w:ascii="仿宋_GB2312" w:eastAsia="仿宋_GB2312" w:hAnsiTheme="minorEastAsia" w:cstheme="minorBidi"/>
          <w:b w:val="0"/>
          <w:color w:val="auto"/>
          <w:sz w:val="28"/>
          <w:szCs w:val="28"/>
          <w:highlight w:val="none"/>
          <w:lang w:val="zh-CN"/>
        </w:rPr>
      </w:pPr>
      <w:r>
        <w:rPr>
          <w:rFonts w:hint="eastAsia" w:ascii="仿宋_GB2312" w:eastAsia="仿宋_GB2312" w:hAnsiTheme="minorEastAsia" w:cstheme="minorBidi"/>
          <w:b w:val="0"/>
          <w:color w:val="auto"/>
          <w:sz w:val="28"/>
          <w:szCs w:val="28"/>
          <w:highlight w:val="none"/>
          <w:lang w:val="zh-CN"/>
        </w:rPr>
        <w:t>技术要求</w:t>
      </w:r>
    </w:p>
    <w:p>
      <w:pPr>
        <w:spacing w:line="600" w:lineRule="exact"/>
        <w:ind w:firstLine="555"/>
        <w:jc w:val="left"/>
        <w:rPr>
          <w:rFonts w:hint="default" w:ascii="仿宋_GB2312" w:eastAsia="仿宋_GB2312" w:hAnsiTheme="minorEastAsia" w:cstheme="minorBidi"/>
          <w:color w:val="auto"/>
          <w:sz w:val="28"/>
          <w:szCs w:val="28"/>
          <w:highlight w:val="none"/>
          <w:lang w:val="en-US" w:eastAsia="zh-CN"/>
        </w:rPr>
      </w:pPr>
      <w:r>
        <w:rPr>
          <w:rFonts w:hint="default" w:ascii="仿宋_GB2312" w:eastAsia="仿宋_GB2312" w:hAnsiTheme="minorEastAsia" w:cstheme="minorBidi"/>
          <w:color w:val="auto"/>
          <w:sz w:val="28"/>
          <w:szCs w:val="28"/>
          <w:highlight w:val="none"/>
          <w:lang w:val="en-US" w:eastAsia="zh-CN"/>
        </w:rPr>
        <w:t>1、维护服务要求：由运维服务单位提供远程技术支持、现场技术支持和备品备件的支持，并编制维保服务方案，方案要求包含但不限于技术预防性维护服务、故障恢复类服务事项，明确日常维护和故障恢复维修的工作等。</w:t>
      </w:r>
    </w:p>
    <w:p>
      <w:pPr>
        <w:spacing w:line="600" w:lineRule="exact"/>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 xml:space="preserve">  2、预防性维护服务要求：</w:t>
      </w:r>
    </w:p>
    <w:p>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2.1可用性检查：</w:t>
      </w:r>
      <w:r>
        <w:rPr>
          <w:rFonts w:hint="eastAsia" w:ascii="仿宋" w:eastAsia="仿宋"/>
          <w:sz w:val="28"/>
          <w:szCs w:val="28"/>
          <w:lang w:val="en-US" w:eastAsia="zh-CN"/>
        </w:rPr>
        <w:t>运</w:t>
      </w:r>
      <w:r>
        <w:rPr>
          <w:rFonts w:hint="eastAsia" w:ascii="仿宋_GB2312" w:eastAsia="仿宋_GB2312" w:hAnsiTheme="minorEastAsia" w:cstheme="minorBidi"/>
          <w:color w:val="auto"/>
          <w:sz w:val="28"/>
          <w:szCs w:val="28"/>
          <w:highlight w:val="none"/>
          <w:lang w:val="en-US" w:eastAsia="zh-CN"/>
        </w:rPr>
        <w:t>维单位编制日常维保技术方案，并制定月度、季度预防性维护服务方案，并按方案执行。每月预防性维护服务对UPS电源设备进行可用性检查，解决检查中发现的问题，及时处理，并出具月度巡检报告；每季度预防性维护服务对UPS电源设备进行检查测试，包含但不限于放电测试、检测电池运行转换、检查UPS电源设备所有控制线路及带电线路绝缘是否良好、检查设备内各接线端子是否完好紧固、检查设备旁路工作是否正常、检测UPS电源设备电池是否正常，每季度维护检查完后，出具季度巡检报告。</w:t>
      </w:r>
    </w:p>
    <w:p>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2.2故障恢复类服务：维保单位针对UPS电源设备可能发生的故障，提供包括但不限于技术支持服务、故障解决服务、维修备件保障服务和应急保障服务等，确保在最短时间内解决设备故障，确保设备稳定运行，具体要求如下：</w:t>
      </w:r>
    </w:p>
    <w:p>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2.2.1技术支持服务：维保单位通过电话等远程支持方式向我方提供24小时技术支持服务，包含但不限于技术问题质询、技术问题远程指导、分析和排除、UPS电源设备操作、UPS电源设备功能介绍等；</w:t>
      </w:r>
    </w:p>
    <w:p>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2.2.2故障解决服务：当UPS电源设备发生故障时，维保单位技术人员需在1小时内响应我方故障反馈，并于24小时内到达现场对故障设备进行故障排查及维修，若设备故障部件无法维修，并依照技术服务方案提供故障部件更换，使设备尽快恢复使用。</w:t>
      </w:r>
    </w:p>
    <w:p>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2.2.3维修备件保障服务：维保单位需根据我司UPS电源设备情况，配备完善的备件维修保障库，保障维修备件的品质和可用性。</w:t>
      </w:r>
    </w:p>
    <w:p>
      <w:pPr>
        <w:spacing w:line="600" w:lineRule="exact"/>
        <w:ind w:firstLine="555"/>
        <w:jc w:val="left"/>
        <w:rPr>
          <w:rFonts w:hint="eastAsia"/>
          <w:lang w:val="zh-CN" w:eastAsia="zh-CN"/>
        </w:rPr>
      </w:pPr>
      <w:r>
        <w:rPr>
          <w:rFonts w:hint="eastAsia" w:ascii="仿宋_GB2312" w:eastAsia="仿宋_GB2312" w:hAnsiTheme="minorEastAsia" w:cstheme="minorBidi"/>
          <w:color w:val="auto"/>
          <w:sz w:val="28"/>
          <w:szCs w:val="28"/>
          <w:highlight w:val="none"/>
          <w:lang w:val="en-US" w:eastAsia="zh-CN"/>
        </w:rPr>
        <w:t>2.2.4应急保障服务：维保单位需依据我司UPS电源设备情况提供应急管理流程技术支持，包括应我司需求协助制定和定期更新应急措施和切换流程，配合我司应急演练，在发生紧急故障时对设备应急切换操作提供技术支持等。</w:t>
      </w:r>
    </w:p>
    <w:p>
      <w:pPr>
        <w:spacing w:line="600" w:lineRule="exact"/>
        <w:ind w:firstLine="555"/>
        <w:jc w:val="left"/>
        <w:rPr>
          <w:rFonts w:hint="eastAsia" w:ascii="仿宋_GB2312" w:eastAsia="仿宋_GB2312" w:hAnsiTheme="minorEastAsia" w:cstheme="minorBidi"/>
          <w:b w:val="0"/>
          <w:color w:val="auto"/>
          <w:sz w:val="28"/>
          <w:szCs w:val="28"/>
          <w:highlight w:val="none"/>
          <w:lang w:val="zh-CN" w:eastAsia="zh-CN"/>
        </w:rPr>
      </w:pPr>
      <w:r>
        <w:rPr>
          <w:rFonts w:hint="eastAsia" w:ascii="仿宋_GB2312" w:eastAsia="仿宋_GB2312" w:hAnsiTheme="minorEastAsia" w:cstheme="minorBidi"/>
          <w:b w:val="0"/>
          <w:color w:val="auto"/>
          <w:sz w:val="28"/>
          <w:szCs w:val="28"/>
          <w:highlight w:val="none"/>
          <w:lang w:val="zh-CN"/>
        </w:rPr>
        <w:t>项目商务要求</w:t>
      </w:r>
    </w:p>
    <w:p>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（1）本项目按单价包干方式实施，项目分日常保养和维修项目实施，费用按实际发生次数计算。</w:t>
      </w:r>
    </w:p>
    <w:p>
      <w:pPr>
        <w:spacing w:line="600" w:lineRule="exact"/>
        <w:ind w:firstLine="555"/>
        <w:jc w:val="left"/>
        <w:rPr>
          <w:rFonts w:hint="eastAsia"/>
          <w:color w:val="auto"/>
          <w:highlight w:val="none"/>
        </w:rPr>
      </w:pPr>
      <w:r>
        <w:rPr>
          <w:rFonts w:hint="eastAsia" w:ascii="仿宋_GB2312" w:eastAsia="仿宋_GB2312" w:hAnsiTheme="minorEastAsia" w:cstheme="minorBidi"/>
          <w:b w:val="0"/>
          <w:bCs w:val="0"/>
          <w:color w:val="auto"/>
          <w:sz w:val="28"/>
          <w:szCs w:val="28"/>
          <w:highlight w:val="none"/>
          <w:lang w:val="en-US" w:eastAsia="zh-CN"/>
        </w:rPr>
        <w:t>本项目服务期为自合同签订之日起至1年，如项目服务期内配件维修服务费结算金额达到合同签订配件维修金额时，配件维修提前结束</w:t>
      </w:r>
      <w:bookmarkEnd w:id="61"/>
      <w:bookmarkEnd w:id="62"/>
      <w:bookmarkEnd w:id="63"/>
      <w:bookmarkEnd w:id="64"/>
      <w:bookmarkEnd w:id="65"/>
      <w:bookmarkEnd w:id="66"/>
      <w:bookmarkEnd w:id="67"/>
      <w:bookmarkEnd w:id="68"/>
      <w:bookmarkEnd w:id="69"/>
      <w:bookmarkEnd w:id="70"/>
      <w:bookmarkEnd w:id="71"/>
      <w:r>
        <w:rPr>
          <w:rFonts w:hint="eastAsia" w:ascii="仿宋_GB2312" w:eastAsia="仿宋_GB2312" w:hAnsiTheme="minorEastAsia" w:cstheme="minorBidi"/>
          <w:b w:val="0"/>
          <w:bCs w:val="0"/>
          <w:color w:val="auto"/>
          <w:sz w:val="28"/>
          <w:szCs w:val="28"/>
          <w:highlight w:val="none"/>
          <w:lang w:val="en-US" w:eastAsia="zh-CN"/>
        </w:rPr>
        <w:t>，保养项目继续实施。</w:t>
      </w:r>
    </w:p>
    <w:p>
      <w:pPr>
        <w:rPr>
          <w:rFonts w:hint="eastAsia" w:eastAsiaTheme="minorEastAsia"/>
          <w:color w:val="auto"/>
          <w:highlight w:val="none"/>
          <w:lang w:eastAsia="zh-CN"/>
        </w:rPr>
      </w:pPr>
    </w:p>
    <w:p>
      <w:pPr>
        <w:rPr>
          <w:rFonts w:hint="eastAsia"/>
          <w:color w:val="auto"/>
          <w:highlight w:val="none"/>
        </w:rPr>
      </w:pPr>
    </w:p>
    <w:p>
      <w:pPr>
        <w:pStyle w:val="2"/>
        <w:jc w:val="center"/>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2351405</wp:posOffset>
                </wp:positionH>
                <wp:positionV relativeFrom="paragraph">
                  <wp:posOffset>731520</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5.15pt;margin-top:57.6pt;height:0pt;width:75.5pt;z-index:251677696;mso-width-relative:page;mso-height-relative:page;" filled="f" stroked="t" coordsize="21600,21600" o:gfxdata="UEsDBAoAAAAAAIdO4kAAAAAAAAAAAAAAAAAEAAAAZHJzL1BLAwQUAAAACACHTuJA7YehRNYAAAAL&#10;AQAADwAAAGRycy9kb3ducmV2LnhtbE2PwU7DMBBE70j8g7VIXFBrO1WghDgVQuLAkbYSVzdekkC8&#10;jmKnKf16FgkJjjvzNDtTbk6+F0ccYxfIgF4qEEh1cB01Bva758UaREyWnO0DoYEvjLCpLi9KW7gw&#10;0yset6kRHEKxsAbalIZCyli36G1chgGJvfcwepv4HBvpRjtzuO9lptSt9LYj/tDaAZ9arD+3kzeA&#10;ccq1erz3zf7lPN+8ZeePedgZc32l1QOIhKf0B8NPfa4OFXc6hIlcFL2B1Z1aMcqGzjMQTOSZZuXw&#10;q8iqlP83VN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2HoUTWAAAACw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2344420</wp:posOffset>
                </wp:positionH>
                <wp:positionV relativeFrom="paragraph">
                  <wp:posOffset>227965</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6pt;margin-top:17.95pt;height:0pt;width:75.5pt;z-index:251676672;mso-width-relative:page;mso-height-relative:page;" filled="f" stroked="t" coordsize="21600,21600" o:gfxdata="UEsDBAoAAAAAAIdO4kAAAAAAAAAAAAAAAAAEAAAAZHJzL1BLAwQUAAAACACHTuJA0KIZtNYAAAAJ&#10;AQAADwAAAGRycy9kb3ducmV2LnhtbE2PQU/DMAyF70j8h8hIXBBL2qkTLU2naRIHjmyTuGaNaQuN&#10;UzXpOvbr8cQBbvZ7T8+fy/XZ9eKEY+g8aUgWCgRS7W1HjYbD/uXxCUSIhqzpPaGGbwywrm5vSlNY&#10;P9MbnnaxEVxCoTAa2hiHQspQt+hMWPgBib0PPzoTeR0baUczc7nrZarUSjrTEV9ozYDbFuuv3eQ0&#10;YJiyRG1y1xxeL/PDe3r5nIe91vd3iXoGEfEc/8JwxWd0qJjp6CeyQfQalqs85SgPWQ6CA1mqWDj+&#10;CrIq5f8Pqh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KIZtN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p>
    <w:p>
      <w:pPr>
        <w:pStyle w:val="37"/>
        <w:rPr>
          <w:color w:val="auto"/>
          <w:highlight w:val="none"/>
        </w:rPr>
      </w:pPr>
    </w:p>
    <w:p>
      <w:pPr>
        <w:pStyle w:val="2"/>
        <w:rPr>
          <w:color w:val="auto"/>
          <w:highlight w:val="none"/>
        </w:rPr>
      </w:pPr>
      <w:bookmarkStart w:id="72" w:name="_Toc8183"/>
      <w:bookmarkStart w:id="73" w:name="_Toc12968"/>
      <w:bookmarkStart w:id="74" w:name="_Toc12980"/>
      <w:bookmarkStart w:id="75" w:name="_Toc12721"/>
      <w:bookmarkStart w:id="76" w:name="_Toc22797"/>
      <w:bookmarkStart w:id="77" w:name="_Toc19088"/>
      <w:bookmarkStart w:id="78" w:name="_Toc323"/>
      <w:bookmarkStart w:id="79" w:name="_Toc22501"/>
      <w:bookmarkStart w:id="80" w:name="_Toc19686"/>
      <w:bookmarkStart w:id="81" w:name="_Toc1375"/>
      <w:bookmarkStart w:id="82" w:name="_Toc87616386"/>
      <w:bookmarkStart w:id="83" w:name="_Toc88209949"/>
      <w:bookmarkStart w:id="84" w:name="_Toc1330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lang w:eastAsia="zh-CN"/>
        </w:rPr>
      </w:pPr>
    </w:p>
    <w:p>
      <w:pPr>
        <w:pStyle w:val="23"/>
        <w:rPr>
          <w:rFonts w:hint="eastAsia" w:ascii="方正小标宋简体" w:eastAsia="方正小标宋简体"/>
          <w:color w:val="auto"/>
          <w:sz w:val="44"/>
          <w:szCs w:val="44"/>
          <w:highlight w:val="none"/>
          <w:lang w:eastAsia="zh-CN"/>
        </w:rPr>
      </w:pPr>
    </w:p>
    <w:p>
      <w:pPr>
        <w:pStyle w:val="23"/>
        <w:rPr>
          <w:rFonts w:hint="eastAsia" w:ascii="方正小标宋简体" w:eastAsia="方正小标宋简体"/>
          <w:color w:val="auto"/>
          <w:sz w:val="44"/>
          <w:szCs w:val="44"/>
          <w:highlight w:val="none"/>
          <w:lang w:eastAsia="zh-CN"/>
        </w:rPr>
      </w:pPr>
    </w:p>
    <w:p>
      <w:pPr>
        <w:pStyle w:val="13"/>
        <w:rPr>
          <w:rFonts w:ascii="方正小标宋简体" w:eastAsia="方正小标宋简体"/>
          <w:color w:val="auto"/>
          <w:sz w:val="44"/>
          <w:szCs w:val="44"/>
          <w:highlight w:val="none"/>
        </w:rPr>
      </w:pPr>
    </w:p>
    <w:p>
      <w:pPr>
        <w:pStyle w:val="14"/>
        <w:rPr>
          <w:rFonts w:hint="eastAsia" w:ascii="方正小标宋简体" w:eastAsia="方正小标宋简体"/>
          <w:color w:val="auto"/>
          <w:sz w:val="44"/>
          <w:szCs w:val="44"/>
          <w:highlight w:val="none"/>
          <w:lang w:eastAsia="zh-CN"/>
        </w:rPr>
      </w:pPr>
    </w:p>
    <w:p>
      <w:pPr>
        <w:rPr>
          <w:rFonts w:hint="eastAsia"/>
          <w:lang w:eastAsia="zh-CN"/>
        </w:rPr>
      </w:pPr>
    </w:p>
    <w:p>
      <w:pPr>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jc w:val="left"/>
        <w:rPr>
          <w:rFonts w:hint="eastAsia" w:ascii="方正小标宋简体" w:eastAsia="方正小标宋简体"/>
          <w:color w:val="auto"/>
          <w:sz w:val="52"/>
          <w:szCs w:val="52"/>
          <w:highlight w:val="none"/>
          <w:lang w:val="en-US" w:eastAsia="zh-CN"/>
        </w:rPr>
      </w:pPr>
      <w:r>
        <w:rPr>
          <w:rFonts w:hint="eastAsia" w:ascii="宋体" w:hAnsi="宋体" w:cs="宋体"/>
          <w:b/>
          <w:sz w:val="30"/>
          <w:szCs w:val="30"/>
        </w:rPr>
        <w:t xml:space="preserve">项目名称: </w:t>
      </w:r>
    </w:p>
    <w:p>
      <w:pPr>
        <w:pStyle w:val="49"/>
        <w:spacing w:line="360" w:lineRule="auto"/>
        <w:rPr>
          <w:color w:val="auto"/>
        </w:rPr>
      </w:pPr>
    </w:p>
    <w:p>
      <w:pPr>
        <w:spacing w:line="400" w:lineRule="atLeast"/>
        <w:rPr>
          <w:rFonts w:hint="default" w:ascii="宋体" w:hAnsi="宋体" w:eastAsiaTheme="minorEastAsia"/>
          <w:b/>
          <w:sz w:val="30"/>
          <w:szCs w:val="30"/>
          <w:lang w:val="en-US" w:eastAsia="zh-CN"/>
        </w:rPr>
      </w:pPr>
      <w:r>
        <w:rPr>
          <w:rFonts w:hint="eastAsia" w:ascii="宋体" w:hAnsi="宋体"/>
          <w:b/>
          <w:sz w:val="30"/>
          <w:szCs w:val="30"/>
        </w:rPr>
        <w:t>项目编号：</w:t>
      </w:r>
      <w:bookmarkStart w:id="85" w:name="合同"/>
      <w:bookmarkEnd w:id="85"/>
    </w:p>
    <w:p>
      <w:pPr>
        <w:pStyle w:val="23"/>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before="-2147483648" w:beforeLines="-2147483648" w:line="400" w:lineRule="atLeast"/>
        <w:ind w:left="0" w:leftChars="0" w:firstLine="0" w:firstLineChars="0"/>
        <w:rPr>
          <w:rFonts w:hint="eastAsia" w:ascii="宋体" w:hAnsi="宋体" w:cs="宋体"/>
          <w:sz w:val="24"/>
        </w:rPr>
      </w:pPr>
      <w:r>
        <w:rPr>
          <w:rFonts w:hint="eastAsia" w:ascii="宋体" w:hAnsi="宋体" w:cs="宋体"/>
          <w:b/>
          <w:sz w:val="30"/>
        </w:rPr>
        <w:t>签约地点：广州市</w:t>
      </w:r>
    </w:p>
    <w:p>
      <w:pPr>
        <w:keepNext w:val="0"/>
        <w:keepLines w:val="0"/>
        <w:pageBreakBefore w:val="0"/>
        <w:widowControl w:val="0"/>
        <w:kinsoku/>
        <w:wordWrap/>
        <w:overflowPunct/>
        <w:autoSpaceDE/>
        <w:autoSpaceDN/>
        <w:bidi w:val="0"/>
        <w:snapToGrid w:val="0"/>
        <w:spacing w:line="360" w:lineRule="auto"/>
        <w:jc w:val="both"/>
        <w:rPr>
          <w:rFonts w:hint="eastAsia" w:ascii="宋体" w:hAnsi="宋体" w:eastAsia="宋体" w:cs="宋体"/>
          <w:color w:val="000000" w:themeColor="text1"/>
          <w:sz w:val="48"/>
          <w:szCs w:val="48"/>
          <w:highlight w:val="none"/>
          <w:lang w:val="en-US" w:eastAsia="zh-CN"/>
          <w14:textFill>
            <w14:solidFill>
              <w14:schemeClr w14:val="tx1"/>
            </w14:solidFill>
          </w14:textFill>
        </w:rPr>
      </w:pPr>
    </w:p>
    <w:p>
      <w:pPr>
        <w:keepNext w:val="0"/>
        <w:keepLines w:val="0"/>
        <w:pageBreakBefore w:val="0"/>
        <w:widowControl w:val="0"/>
        <w:kinsoku/>
        <w:wordWrap/>
        <w:overflowPunct/>
        <w:autoSpaceDE/>
        <w:autoSpaceDN/>
        <w:bidi w:val="0"/>
        <w:snapToGrid w:val="0"/>
        <w:spacing w:line="360" w:lineRule="auto"/>
        <w:jc w:val="both"/>
        <w:rPr>
          <w:rFonts w:hint="eastAsia" w:ascii="宋体" w:hAnsi="宋体" w:eastAsia="宋体" w:cs="宋体"/>
          <w:color w:val="000000" w:themeColor="text1"/>
          <w:sz w:val="48"/>
          <w:szCs w:val="48"/>
          <w:highlight w:val="none"/>
          <w:lang w:val="en-US" w:eastAsia="zh-CN"/>
          <w14:textFill>
            <w14:solidFill>
              <w14:schemeClr w14:val="tx1"/>
            </w14:solidFill>
          </w14:textFill>
        </w:rPr>
      </w:pPr>
    </w:p>
    <w:p>
      <w:pPr>
        <w:keepNext w:val="0"/>
        <w:keepLines w:val="0"/>
        <w:pageBreakBefore w:val="0"/>
        <w:widowControl w:val="0"/>
        <w:kinsoku/>
        <w:wordWrap/>
        <w:overflowPunct/>
        <w:autoSpaceDE/>
        <w:autoSpaceDN/>
        <w:bidi w:val="0"/>
        <w:snapToGrid w:val="0"/>
        <w:spacing w:line="360" w:lineRule="auto"/>
        <w:jc w:val="both"/>
        <w:rPr>
          <w:rFonts w:hint="eastAsia" w:ascii="宋体" w:hAnsi="宋体" w:eastAsia="宋体" w:cs="宋体"/>
          <w:color w:val="000000" w:themeColor="text1"/>
          <w:sz w:val="48"/>
          <w:szCs w:val="48"/>
          <w:highlight w:val="none"/>
          <w:lang w:val="en-US" w:eastAsia="zh-CN"/>
          <w14:textFill>
            <w14:solidFill>
              <w14:schemeClr w14:val="tx1"/>
            </w14:solidFill>
          </w14:textFill>
        </w:rPr>
      </w:pPr>
    </w:p>
    <w:p>
      <w:pPr>
        <w:keepNext w:val="0"/>
        <w:keepLines w:val="0"/>
        <w:pageBreakBefore w:val="0"/>
        <w:widowControl w:val="0"/>
        <w:kinsoku/>
        <w:wordWrap/>
        <w:overflowPunct/>
        <w:autoSpaceDE/>
        <w:autoSpaceDN/>
        <w:bidi w:val="0"/>
        <w:adjustRightInd w:val="0"/>
        <w:snapToGrid w:val="0"/>
        <w:spacing w:line="360" w:lineRule="auto"/>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sz w:val="48"/>
          <w:szCs w:val="48"/>
          <w:highlight w:val="none"/>
          <w:u w:val="none"/>
          <w:lang w:val="en-US" w:eastAsia="zh-CN"/>
        </w:rPr>
        <w:t>大坦沙分公司一二三期厂区UPS维保项目</w:t>
      </w: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甲方（发包人） ：</w:t>
      </w:r>
      <w:r>
        <w:rPr>
          <w:rFonts w:hint="eastAsia" w:ascii="仿宋_GB2312" w:hAnsi="仿宋_GB2312" w:eastAsia="仿宋_GB2312" w:cs="仿宋_GB2312"/>
          <w:color w:val="000000"/>
          <w:sz w:val="28"/>
          <w:szCs w:val="28"/>
          <w:highlight w:val="none"/>
          <w:u w:val="single"/>
        </w:rPr>
        <w:t>广州市</w:t>
      </w:r>
      <w:r>
        <w:rPr>
          <w:rFonts w:hint="eastAsia" w:ascii="仿宋_GB2312" w:hAnsi="仿宋_GB2312" w:eastAsia="仿宋_GB2312" w:cs="仿宋_GB2312"/>
          <w:bCs/>
          <w:color w:val="000000"/>
          <w:sz w:val="28"/>
          <w:szCs w:val="28"/>
          <w:highlight w:val="none"/>
          <w:u w:val="single"/>
        </w:rPr>
        <w:t>净水有限公司</w:t>
      </w: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乙方（承包人） ：</w:t>
      </w:r>
      <w:r>
        <w:rPr>
          <w:rFonts w:hint="eastAsia" w:ascii="仿宋_GB2312" w:hAnsi="仿宋_GB2312" w:eastAsia="仿宋_GB2312" w:cs="仿宋_GB2312"/>
          <w:color w:val="000000"/>
          <w:sz w:val="28"/>
          <w:szCs w:val="28"/>
          <w:highlight w:val="none"/>
          <w:u w:val="single"/>
        </w:rPr>
        <w:t xml:space="preserve">                  </w:t>
      </w:r>
    </w:p>
    <w:p>
      <w:pPr>
        <w:pStyle w:val="50"/>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根据相关法律法规，</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sz w:val="28"/>
          <w:szCs w:val="28"/>
          <w:highlight w:val="none"/>
        </w:rPr>
        <w:t xml:space="preserve"> （以下简称“甲方”）与</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（以下简称“乙方”）就</w:t>
      </w:r>
      <w:r>
        <w:rPr>
          <w:rFonts w:hint="eastAsia" w:ascii="仿宋_GB2312" w:eastAsia="仿宋_GB2312"/>
          <w:color w:val="auto"/>
          <w:sz w:val="28"/>
          <w:szCs w:val="28"/>
          <w:highlight w:val="none"/>
          <w:u w:val="single"/>
          <w:lang w:val="en-US" w:eastAsia="zh-CN"/>
        </w:rPr>
        <w:t>大坦沙分公司一二三期厂区UPS维保项目</w:t>
      </w:r>
      <w:r>
        <w:rPr>
          <w:rFonts w:hint="eastAsia" w:ascii="仿宋_GB2312" w:hAnsi="仿宋_GB2312" w:eastAsia="仿宋_GB2312" w:cs="仿宋_GB2312"/>
          <w:sz w:val="28"/>
          <w:szCs w:val="28"/>
          <w:highlight w:val="none"/>
        </w:rPr>
        <w:t>事宜，遵循平等、自愿、公平和诚实信用的原则，双方协商一致，订立本协议。</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下列文件（如有）均为本协议的组成部分，可视为能相互说明和补充的，如果协议文件存在歧义或相矛盾的地方，则根据以下次序判断：</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sz w:val="28"/>
          <w:szCs w:val="28"/>
          <w:highlight w:val="none"/>
        </w:rPr>
        <w:t>在本协议实施过程双方签署的补充与修正文件</w:t>
      </w:r>
      <w:r>
        <w:rPr>
          <w:rFonts w:hint="eastAsia" w:ascii="仿宋_GB2312" w:hAnsi="仿宋_GB2312" w:eastAsia="仿宋_GB2312" w:cs="仿宋_GB2312"/>
          <w:bCs/>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（2）本协议书；</w:t>
      </w:r>
    </w:p>
    <w:p>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lang w:val="en-US" w:eastAsia="zh-CN"/>
        </w:rPr>
        <w:t>维保</w:t>
      </w:r>
      <w:r>
        <w:rPr>
          <w:rFonts w:hint="eastAsia" w:ascii="仿宋_GB2312" w:hAnsi="仿宋_GB2312" w:eastAsia="仿宋_GB2312" w:cs="仿宋_GB2312"/>
          <w:b w:val="0"/>
          <w:bCs w:val="0"/>
          <w:color w:val="000000"/>
          <w:sz w:val="28"/>
          <w:szCs w:val="28"/>
          <w:highlight w:val="none"/>
        </w:rPr>
        <w:t>期限：</w:t>
      </w:r>
      <w:r>
        <w:rPr>
          <w:rFonts w:hint="eastAsia" w:ascii="仿宋_GB2312" w:hAnsi="仿宋_GB2312" w:eastAsia="仿宋_GB2312" w:cs="仿宋_GB2312"/>
          <w:b w:val="0"/>
          <w:bCs w:val="0"/>
          <w:color w:val="000000"/>
          <w:sz w:val="28"/>
          <w:szCs w:val="28"/>
          <w:highlight w:val="none"/>
          <w:lang w:val="en-US" w:eastAsia="zh-CN"/>
        </w:rPr>
        <w:t>自合同</w:t>
      </w:r>
      <w:r>
        <w:rPr>
          <w:rFonts w:hint="eastAsia" w:ascii="仿宋_GB2312" w:hAnsi="仿宋_GB2312" w:eastAsia="仿宋_GB2312" w:cs="仿宋_GB2312"/>
          <w:b w:val="0"/>
          <w:bCs w:val="0"/>
          <w:color w:val="000000"/>
          <w:sz w:val="28"/>
          <w:szCs w:val="28"/>
          <w:highlight w:val="none"/>
        </w:rPr>
        <w:t>签订</w:t>
      </w:r>
      <w:r>
        <w:rPr>
          <w:rFonts w:hint="eastAsia" w:ascii="仿宋_GB2312" w:hAnsi="仿宋_GB2312" w:eastAsia="仿宋_GB2312" w:cs="仿宋_GB2312"/>
          <w:b w:val="0"/>
          <w:bCs w:val="0"/>
          <w:color w:val="000000"/>
          <w:sz w:val="28"/>
          <w:szCs w:val="28"/>
          <w:highlight w:val="none"/>
          <w:lang w:val="en-US" w:eastAsia="zh-CN"/>
        </w:rPr>
        <w:t>之日起</w:t>
      </w:r>
      <w:r>
        <w:rPr>
          <w:rFonts w:hint="eastAsia" w:ascii="仿宋_GB2312" w:hAnsi="仿宋_GB2312" w:eastAsia="仿宋_GB2312" w:cs="仿宋_GB2312"/>
          <w:b w:val="0"/>
          <w:bCs w:val="0"/>
          <w:color w:val="000000"/>
          <w:sz w:val="28"/>
          <w:szCs w:val="28"/>
          <w:highlight w:val="none"/>
        </w:rPr>
        <w:t>1年。</w:t>
      </w:r>
    </w:p>
    <w:p>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b w:val="0"/>
          <w:bCs w:val="0"/>
          <w:color w:val="000000"/>
          <w:sz w:val="28"/>
          <w:szCs w:val="28"/>
          <w:highlight w:val="none"/>
        </w:rPr>
      </w:pPr>
    </w:p>
    <w:p>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b w:val="0"/>
          <w:bCs w:val="0"/>
          <w:color w:val="000000"/>
          <w:sz w:val="28"/>
          <w:szCs w:val="28"/>
          <w:highlight w:val="none"/>
        </w:rPr>
      </w:pPr>
    </w:p>
    <w:p>
      <w:pPr>
        <w:pStyle w:val="50"/>
        <w:keepNext w:val="0"/>
        <w:keepLines w:val="0"/>
        <w:pageBreakBefore w:val="0"/>
        <w:widowControl w:val="0"/>
        <w:numPr>
          <w:ilvl w:val="-1"/>
          <w:numId w:val="0"/>
        </w:numPr>
        <w:kinsoku/>
        <w:wordWrap/>
        <w:overflowPunct/>
        <w:autoSpaceDE/>
        <w:autoSpaceDN/>
        <w:bidi w:val="0"/>
        <w:adjustRightInd w:val="0"/>
        <w:snapToGrid w:val="0"/>
        <w:spacing w:line="360" w:lineRule="auto"/>
        <w:ind w:left="0" w:leftChars="0" w:firstLine="562" w:firstLineChars="200"/>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服务内容</w:t>
      </w:r>
      <w:r>
        <w:rPr>
          <w:rFonts w:hint="eastAsia" w:ascii="仿宋_GB2312" w:hAnsi="仿宋_GB2312" w:eastAsia="仿宋_GB2312" w:cs="仿宋_GB2312"/>
          <w:b/>
          <w:bCs/>
          <w:sz w:val="28"/>
          <w:szCs w:val="28"/>
          <w:highlight w:val="none"/>
          <w:lang w:val="en-US" w:eastAsia="zh-CN"/>
        </w:rPr>
        <w:t>及要求</w:t>
      </w:r>
    </w:p>
    <w:p>
      <w:pPr>
        <w:spacing w:line="360" w:lineRule="auto"/>
        <w:ind w:firstLine="560" w:firstLineChars="200"/>
        <w:rPr>
          <w:rFonts w:hint="default" w:ascii="仿宋_GB2312" w:eastAsia="仿宋_GB2312" w:hAnsiTheme="minorEastAsia" w:cstheme="minorBidi"/>
          <w:b w:val="0"/>
          <w:bCs w:val="0"/>
          <w:color w:val="auto"/>
          <w:sz w:val="28"/>
          <w:szCs w:val="28"/>
          <w:highlight w:val="none"/>
          <w:lang w:val="en-US" w:eastAsia="zh-CN"/>
        </w:rPr>
      </w:pPr>
      <w:r>
        <w:rPr>
          <w:rFonts w:hint="default" w:ascii="仿宋_GB2312" w:eastAsia="仿宋_GB2312" w:hAnsiTheme="minorEastAsia" w:cstheme="minorBidi"/>
          <w:b w:val="0"/>
          <w:bCs w:val="0"/>
          <w:color w:val="auto"/>
          <w:sz w:val="28"/>
          <w:szCs w:val="28"/>
          <w:highlight w:val="none"/>
          <w:lang w:val="en-US" w:eastAsia="zh-CN"/>
        </w:rPr>
        <w:t>1</w:t>
      </w:r>
      <w:r>
        <w:rPr>
          <w:rFonts w:hint="eastAsia" w:ascii="仿宋_GB2312" w:eastAsia="仿宋_GB2312" w:hAnsiTheme="minorEastAsia" w:cstheme="minorBidi"/>
          <w:b w:val="0"/>
          <w:bCs w:val="0"/>
          <w:color w:val="auto"/>
          <w:sz w:val="28"/>
          <w:szCs w:val="28"/>
          <w:highlight w:val="none"/>
          <w:lang w:val="en-US" w:eastAsia="zh-CN"/>
        </w:rPr>
        <w:t>.1</w:t>
      </w:r>
      <w:r>
        <w:rPr>
          <w:rFonts w:hint="default" w:ascii="仿宋_GB2312" w:eastAsia="仿宋_GB2312" w:hAnsiTheme="minorEastAsia" w:cstheme="minorBidi"/>
          <w:b w:val="0"/>
          <w:bCs w:val="0"/>
          <w:color w:val="auto"/>
          <w:sz w:val="28"/>
          <w:szCs w:val="28"/>
          <w:highlight w:val="none"/>
          <w:lang w:val="en-US" w:eastAsia="zh-CN"/>
        </w:rPr>
        <w:t>、由</w:t>
      </w:r>
      <w:r>
        <w:rPr>
          <w:rFonts w:hint="eastAsia" w:ascii="仿宋_GB2312" w:eastAsia="仿宋_GB2312" w:hAnsiTheme="minorEastAsia" w:cstheme="minorBidi"/>
          <w:b w:val="0"/>
          <w:bCs w:val="0"/>
          <w:color w:val="auto"/>
          <w:sz w:val="28"/>
          <w:szCs w:val="28"/>
          <w:highlight w:val="none"/>
          <w:lang w:val="en-US" w:eastAsia="zh-CN"/>
        </w:rPr>
        <w:t>乙方</w:t>
      </w:r>
      <w:r>
        <w:rPr>
          <w:rFonts w:hint="default" w:ascii="仿宋_GB2312" w:eastAsia="仿宋_GB2312" w:hAnsiTheme="minorEastAsia" w:cstheme="minorBidi"/>
          <w:b w:val="0"/>
          <w:bCs w:val="0"/>
          <w:color w:val="auto"/>
          <w:sz w:val="28"/>
          <w:szCs w:val="28"/>
          <w:highlight w:val="none"/>
          <w:lang w:val="en-US" w:eastAsia="zh-CN"/>
        </w:rPr>
        <w:t>提供现场技术支持和备品备件的支持，并编制维保服务方案，方案要求包含但不限于维护服务、</w:t>
      </w:r>
      <w:r>
        <w:rPr>
          <w:rFonts w:hint="eastAsia" w:ascii="仿宋_GB2312" w:eastAsia="仿宋_GB2312" w:hAnsiTheme="minorEastAsia" w:cstheme="minorBidi"/>
          <w:b w:val="0"/>
          <w:bCs w:val="0"/>
          <w:color w:val="auto"/>
          <w:sz w:val="28"/>
          <w:szCs w:val="28"/>
          <w:highlight w:val="none"/>
          <w:lang w:val="en-US" w:eastAsia="zh-CN"/>
        </w:rPr>
        <w:t>维修</w:t>
      </w:r>
      <w:r>
        <w:rPr>
          <w:rFonts w:hint="default" w:ascii="仿宋_GB2312" w:eastAsia="仿宋_GB2312" w:hAnsiTheme="minorEastAsia" w:cstheme="minorBidi"/>
          <w:b w:val="0"/>
          <w:bCs w:val="0"/>
          <w:color w:val="auto"/>
          <w:sz w:val="28"/>
          <w:szCs w:val="28"/>
          <w:highlight w:val="none"/>
          <w:lang w:val="en-US" w:eastAsia="zh-CN"/>
        </w:rPr>
        <w:t>服务</w:t>
      </w:r>
      <w:r>
        <w:rPr>
          <w:rFonts w:hint="eastAsia" w:ascii="仿宋_GB2312" w:eastAsia="仿宋_GB2312" w:hAnsiTheme="minorEastAsia" w:cstheme="minorBidi"/>
          <w:b w:val="0"/>
          <w:bCs w:val="0"/>
          <w:color w:val="auto"/>
          <w:sz w:val="28"/>
          <w:szCs w:val="28"/>
          <w:highlight w:val="none"/>
          <w:lang w:val="en-US" w:eastAsia="zh-CN"/>
        </w:rPr>
        <w:t>、技术支持、应急保障等</w:t>
      </w:r>
      <w:r>
        <w:rPr>
          <w:rFonts w:hint="default" w:ascii="仿宋_GB2312" w:eastAsia="仿宋_GB2312" w:hAnsiTheme="minorEastAsia" w:cstheme="minorBidi"/>
          <w:b w:val="0"/>
          <w:bCs w:val="0"/>
          <w:color w:val="auto"/>
          <w:sz w:val="28"/>
          <w:szCs w:val="28"/>
          <w:highlight w:val="none"/>
          <w:lang w:val="en-US" w:eastAsia="zh-CN"/>
        </w:rPr>
        <w:t>事项，明确日常维护和故障恢复维修工作。</w:t>
      </w:r>
    </w:p>
    <w:p>
      <w:pPr>
        <w:spacing w:line="360" w:lineRule="auto"/>
        <w:ind w:firstLine="560" w:firstLineChars="200"/>
        <w:rPr>
          <w:rFonts w:hint="eastAsia" w:ascii="仿宋_GB2312" w:eastAsia="仿宋_GB2312" w:hAnsiTheme="minorEastAsia" w:cstheme="minorBidi"/>
          <w:b w:val="0"/>
          <w:bCs w:val="0"/>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1.2、乙方制定月度、季度维护服务方案，并按方案执行。每次维护服务对UPS设备进行全面安全、运行检查，对检查中发现的问题及时处理，并出具月度巡检报告并交甲方签名确认；每季度维护服务对UPS设备进行检查及测试，包含但不限于放电测试、检测电池运行转换、检查UPS电源设备所有控制线路及带电线路绝缘是否良好、检查设备内各接线端子是否完好紧固、检查设备旁路工作是否正常、检测UPS电源设备电池是否正常，每季度维护检查完后，出具季度巡检报告并交甲方签名确认。</w:t>
      </w:r>
    </w:p>
    <w:p>
      <w:pPr>
        <w:spacing w:line="360" w:lineRule="auto"/>
        <w:ind w:firstLine="560" w:firstLineChars="200"/>
        <w:rPr>
          <w:rFonts w:hint="eastAsia" w:ascii="仿宋_GB2312" w:eastAsia="仿宋_GB2312" w:hAnsiTheme="minorEastAsia" w:cstheme="minorBidi"/>
          <w:b w:val="0"/>
          <w:bCs w:val="0"/>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1.3、乙方发现设备存在安全、运行隐患或运行异常，应及时告知甲方，做好临时处理及防护措施，并以书面形式向甲方提出整改方案，待甲方确认后才能进行维修。当UPS电源设备发生故障时，乙方</w:t>
      </w:r>
      <w:r>
        <w:rPr>
          <w:rFonts w:hint="default" w:ascii="仿宋_GB2312" w:eastAsia="仿宋_GB2312" w:hAnsiTheme="minorEastAsia" w:cstheme="minorBidi"/>
          <w:b w:val="0"/>
          <w:bCs w:val="0"/>
          <w:color w:val="auto"/>
          <w:sz w:val="28"/>
          <w:szCs w:val="28"/>
          <w:highlight w:val="none"/>
          <w:lang w:val="en-US" w:eastAsia="zh-CN"/>
        </w:rPr>
        <w:t>需</w:t>
      </w:r>
      <w:r>
        <w:rPr>
          <w:rFonts w:hint="eastAsia" w:ascii="仿宋_GB2312" w:eastAsia="仿宋_GB2312" w:hAnsiTheme="minorEastAsia" w:cstheme="minorBidi"/>
          <w:b w:val="0"/>
          <w:bCs w:val="0"/>
          <w:color w:val="auto"/>
          <w:sz w:val="28"/>
          <w:szCs w:val="28"/>
          <w:highlight w:val="none"/>
          <w:lang w:val="en-US" w:eastAsia="zh-CN"/>
        </w:rPr>
        <w:t>在1小时内响应甲方维修通知，并于24小时内派有经验的工程师到达现场对故障设备进行故障排查及维修，若设备故障部件无法维修，应提出设备更换方案，经甲方同意后进行故障部件更换，使设备尽快恢复使用。</w:t>
      </w:r>
    </w:p>
    <w:p>
      <w:pPr>
        <w:spacing w:line="360" w:lineRule="auto"/>
        <w:ind w:firstLine="560" w:firstLineChars="200"/>
        <w:rPr>
          <w:rFonts w:hint="default" w:ascii="仿宋_GB2312" w:eastAsia="仿宋_GB2312" w:hAnsiTheme="minorEastAsia" w:cstheme="minorBidi"/>
          <w:b w:val="0"/>
          <w:bCs w:val="0"/>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1.4、如有必要更换配件，乙方应将维修清单报甲方并提供UPS配件，如配件费用是附件5清单内容，甲方审核后有权决定部分实施或全部实施；如配件费用不是附件5清单内容，经甲方审核后决定是否实施，材料费部分由甲方承担。</w:t>
      </w:r>
    </w:p>
    <w:p>
      <w:pPr>
        <w:spacing w:line="360" w:lineRule="auto"/>
        <w:ind w:firstLine="560" w:firstLineChars="200"/>
        <w:rPr>
          <w:rFonts w:hint="eastAsia" w:ascii="仿宋_GB2312" w:eastAsia="仿宋_GB2312" w:hAnsiTheme="minorEastAsia" w:cstheme="minorBidi"/>
          <w:b w:val="0"/>
          <w:bCs w:val="0"/>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1.5、乙方完成维保后，必须将设备表面清洁干净及处理好现场环境卫生，并向甲方呈交维护和维修单据。若因未处理好现场卫生导致第三人发生意外事故，乙方承担一切相关责任及经济赔偿。</w:t>
      </w:r>
    </w:p>
    <w:p>
      <w:pPr>
        <w:spacing w:line="360" w:lineRule="auto"/>
        <w:ind w:firstLine="560" w:firstLineChars="200"/>
        <w:rPr>
          <w:rFonts w:hint="eastAsia" w:ascii="仿宋_GB2312" w:eastAsia="仿宋_GB2312" w:hAnsiTheme="minorEastAsia" w:cstheme="minorBidi"/>
          <w:b w:val="0"/>
          <w:bCs w:val="0"/>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1.6、乙方根据甲方UPS设备情况，配备完善的备件维修保障库，保障维修备件的品质和可用性，并提供应急管理流程技术支持，包括应甲方需求协助制定和定期更新应急措施和切换流程，配合甲方应急演练，在发生紧急故障时对设备应急切换操作提供技术支持等。</w:t>
      </w: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b/>
          <w:bCs/>
          <w:sz w:val="28"/>
          <w:szCs w:val="28"/>
          <w:highlight w:val="none"/>
          <w:lang w:eastAsia="zh-CN"/>
        </w:rPr>
      </w:pPr>
      <w:r>
        <w:rPr>
          <w:rFonts w:hint="eastAsia" w:ascii="仿宋_GB2312" w:eastAsia="仿宋_GB2312" w:hAnsiTheme="minorEastAsia" w:cstheme="minorBidi"/>
          <w:b w:val="0"/>
          <w:bCs w:val="0"/>
          <w:color w:val="auto"/>
          <w:sz w:val="28"/>
          <w:szCs w:val="28"/>
          <w:highlight w:val="none"/>
          <w:lang w:val="en-US" w:eastAsia="zh-CN"/>
        </w:rPr>
        <w:t>1.7、本项目的维保费包含维保期内UPS设备维修时产生的人工劳务费、维保工器具使用费、交通差旅费及税费；因自然灾害、火灾等不可抗力因素不属于本维修维护范围，其修理费用另计。</w:t>
      </w:r>
    </w:p>
    <w:p>
      <w:pPr>
        <w:pStyle w:val="12"/>
        <w:keepNext w:val="0"/>
        <w:keepLines w:val="0"/>
        <w:pageBreakBefore w:val="0"/>
        <w:widowControl w:val="0"/>
        <w:numPr>
          <w:ilvl w:val="-1"/>
          <w:numId w:val="0"/>
        </w:numPr>
        <w:kinsoku/>
        <w:wordWrap/>
        <w:overflowPunct/>
        <w:autoSpaceDE/>
        <w:autoSpaceDN/>
        <w:bidi w:val="0"/>
        <w:snapToGrid w:val="0"/>
        <w:spacing w:line="360" w:lineRule="auto"/>
        <w:ind w:firstLine="0" w:firstLineChars="0"/>
        <w:rPr>
          <w:rFonts w:hint="eastAsia" w:ascii="仿宋_GB2312" w:hAnsi="仿宋_GB2312" w:eastAsia="仿宋_GB2312" w:cs="仿宋_GB2312"/>
          <w:b/>
          <w:bCs/>
          <w:sz w:val="28"/>
          <w:szCs w:val="28"/>
          <w:highlight w:val="none"/>
          <w:lang w:val="en-US" w:eastAsia="zh-CN"/>
        </w:rPr>
      </w:pPr>
    </w:p>
    <w:p>
      <w:pPr>
        <w:pStyle w:val="12"/>
        <w:keepNext w:val="0"/>
        <w:keepLines w:val="0"/>
        <w:pageBreakBefore w:val="0"/>
        <w:widowControl w:val="0"/>
        <w:numPr>
          <w:ilvl w:val="-1"/>
          <w:numId w:val="0"/>
        </w:numPr>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val="en-US" w:eastAsia="zh-CN"/>
        </w:rPr>
        <w:t>二、双方责任</w:t>
      </w:r>
    </w:p>
    <w:p>
      <w:pPr>
        <w:pStyle w:val="12"/>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 xml:space="preserve">1、甲方责任 </w:t>
      </w:r>
    </w:p>
    <w:p>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 xml:space="preserve">2.1.1甲方须按照乙方的指导，正确合理的操作设备。 </w:t>
      </w:r>
    </w:p>
    <w:p>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2.1.2甲方应提供现有的辅助用具及吊装配合。</w:t>
      </w:r>
    </w:p>
    <w:p>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2.1.3当设备发生故障时，甲方应及时向乙方报告故障现象、信息，以便使乙方及时分析故障，有准备地到现场修复设备。</w:t>
      </w:r>
    </w:p>
    <w:p>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2.1.4为乙方工作人员的技术水平、维护质量进行评述，以提高乙方工作人员的服务水平。</w:t>
      </w:r>
    </w:p>
    <w:p>
      <w:pPr>
        <w:pStyle w:val="13"/>
        <w:rPr>
          <w:rFonts w:hint="eastAsia"/>
          <w:lang w:val="en-US" w:eastAsia="zh-CN"/>
        </w:rPr>
      </w:pPr>
    </w:p>
    <w:p>
      <w:pPr>
        <w:pStyle w:val="12"/>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 xml:space="preserve">2、乙方责任 </w:t>
      </w:r>
    </w:p>
    <w:p>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 xml:space="preserve">2.2.1 应严格（并在甲方监督下）履行本合同中乙方承担的义务和责任。若有违约，应承担违约责任。 </w:t>
      </w:r>
    </w:p>
    <w:p>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 xml:space="preserve">2.2.2 应保证及时对甲方设备进行维护及维修服务。 </w:t>
      </w:r>
    </w:p>
    <w:p>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2.2.3 若因乙方工程技术人员在甲方现场的维修或维护过程中由于维修维护不到位使得甲方的设备造成损失，乙方应赔偿甲方损坏设备的所有维修费用，直至修复为止。</w:t>
      </w:r>
    </w:p>
    <w:p>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2.2.4 乙方应及时解答甲方的有关设备问题咨询、处理甲方的维修申告。</w:t>
      </w:r>
    </w:p>
    <w:p>
      <w:pPr>
        <w:pStyle w:val="13"/>
        <w:rPr>
          <w:rFonts w:hint="default"/>
          <w:lang w:val="en-US" w:eastAsia="zh-CN"/>
        </w:rPr>
      </w:pPr>
      <w:r>
        <w:rPr>
          <w:rFonts w:hint="eastAsia" w:ascii="仿宋_GB2312" w:eastAsia="仿宋_GB2312" w:hAnsiTheme="minorEastAsia" w:cstheme="minorBidi"/>
          <w:b w:val="0"/>
          <w:bCs w:val="0"/>
          <w:color w:val="auto"/>
          <w:kern w:val="2"/>
          <w:sz w:val="28"/>
          <w:szCs w:val="28"/>
          <w:highlight w:val="none"/>
          <w:lang w:val="en-US" w:eastAsia="zh-CN" w:bidi="ar-SA"/>
        </w:rPr>
        <w:t xml:space="preserve">    2.2.5因乙方原因造成人员伤亡事故，由乙方承担所有责任和赔偿。</w:t>
      </w:r>
    </w:p>
    <w:p>
      <w:pPr>
        <w:pStyle w:val="50"/>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lang w:val="en-US" w:eastAsia="zh-CN"/>
        </w:rPr>
      </w:pPr>
    </w:p>
    <w:p>
      <w:pPr>
        <w:pStyle w:val="50"/>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三 合同总价</w:t>
      </w:r>
    </w:p>
    <w:p>
      <w:pPr>
        <w:pStyle w:val="50"/>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合同暂定金额为人民币(大写):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其中维护费为</w:t>
      </w:r>
      <w:r>
        <w:rPr>
          <w:rFonts w:hint="eastAsia" w:ascii="仿宋_GB2312" w:hAnsi="仿宋_GB2312" w:eastAsia="仿宋_GB2312" w:cs="仿宋_GB2312"/>
          <w:sz w:val="28"/>
          <w:szCs w:val="28"/>
          <w:highlight w:val="none"/>
        </w:rPr>
        <w:t>人民币(大写):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配件维修费为</w:t>
      </w:r>
      <w:r>
        <w:rPr>
          <w:rFonts w:hint="eastAsia" w:ascii="仿宋_GB2312" w:hAnsi="仿宋_GB2312" w:eastAsia="仿宋_GB2312" w:cs="仿宋_GB2312"/>
          <w:sz w:val="28"/>
          <w:szCs w:val="28"/>
          <w:highlight w:val="none"/>
        </w:rPr>
        <w:t>人民币(大写):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p>
      <w:pPr>
        <w:pStyle w:val="50"/>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2 </w:t>
      </w:r>
      <w:r>
        <w:rPr>
          <w:rFonts w:hint="eastAsia" w:ascii="仿宋_GB2312" w:hAnsi="仿宋_GB2312" w:eastAsia="仿宋_GB2312" w:cs="仿宋_GB2312"/>
          <w:sz w:val="28"/>
          <w:szCs w:val="28"/>
          <w:highlight w:val="none"/>
          <w:lang w:eastAsia="zh-CN"/>
        </w:rPr>
        <w:t>本合同约定的价格为含税价价格（税率</w:t>
      </w:r>
      <w:r>
        <w:rPr>
          <w:rFonts w:hint="eastAsia" w:ascii="仿宋_GB2312" w:hAnsi="仿宋_GB2312" w:eastAsia="仿宋_GB2312" w:cs="仿宋_GB2312"/>
          <w:sz w:val="28"/>
          <w:szCs w:val="28"/>
          <w:highlight w:val="none"/>
          <w:lang w:val="en-US" w:eastAsia="zh-CN"/>
        </w:rPr>
        <w:t xml:space="preserve">13 </w:t>
      </w:r>
      <w:r>
        <w:rPr>
          <w:rFonts w:hint="eastAsia" w:ascii="仿宋_GB2312" w:hAnsi="仿宋_GB2312" w:eastAsia="仿宋_GB2312" w:cs="仿宋_GB2312"/>
          <w:sz w:val="28"/>
          <w:szCs w:val="28"/>
          <w:highlight w:val="none"/>
          <w:lang w:eastAsia="zh-CN"/>
        </w:rPr>
        <w:t>%），合同履行期间国家税率调整或乙方开票的实际税率与前述税率不一致的，不含税价不变，价税合计按实际税率相应调整，以开具发票时间为准。</w:t>
      </w:r>
    </w:p>
    <w:p>
      <w:pPr>
        <w:pStyle w:val="50"/>
        <w:keepNext w:val="0"/>
        <w:keepLines w:val="0"/>
        <w:pageBreakBefore w:val="0"/>
        <w:widowControl w:val="0"/>
        <w:kinsoku/>
        <w:wordWrap/>
        <w:overflowPunct/>
        <w:autoSpaceDE/>
        <w:autoSpaceDN/>
        <w:bidi w:val="0"/>
        <w:adjustRightInd w:val="0"/>
        <w:snapToGrid w:val="0"/>
        <w:spacing w:line="360" w:lineRule="auto"/>
        <w:ind w:left="458" w:leftChars="218" w:firstLine="0" w:firstLineChars="0"/>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四 支付方式</w:t>
      </w:r>
    </w:p>
    <w:p>
      <w:pPr>
        <w:pStyle w:val="50"/>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4.1 </w:t>
      </w:r>
      <w:r>
        <w:rPr>
          <w:rFonts w:hint="eastAsia" w:ascii="仿宋_GB2312" w:hAnsi="仿宋_GB2312" w:eastAsia="仿宋_GB2312" w:cs="仿宋_GB2312"/>
          <w:sz w:val="28"/>
          <w:szCs w:val="28"/>
          <w:highlight w:val="none"/>
        </w:rPr>
        <w:t>预付款支付：</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无；□有，合同签订后，乙方开具等额增值税专用发票及提交履约担保（如有）后10个工作日内，甲方支付</w:t>
      </w:r>
      <w:r>
        <w:rPr>
          <w:rFonts w:hint="eastAsia" w:ascii="仿宋_GB2312" w:hAnsi="仿宋_GB2312" w:eastAsia="仿宋_GB2312" w:cs="仿宋_GB2312"/>
          <w:sz w:val="28"/>
          <w:szCs w:val="28"/>
          <w:highlight w:val="none"/>
          <w:u w:val="single"/>
        </w:rPr>
        <w:t xml:space="preserve">合同暂定总价的 30% </w:t>
      </w:r>
      <w:r>
        <w:rPr>
          <w:rFonts w:hint="eastAsia" w:ascii="仿宋_GB2312" w:hAnsi="仿宋_GB2312" w:eastAsia="仿宋_GB2312" w:cs="仿宋_GB2312"/>
          <w:sz w:val="28"/>
          <w:szCs w:val="28"/>
          <w:highlight w:val="none"/>
        </w:rPr>
        <w:t xml:space="preserve"> 即</w:t>
      </w:r>
      <w:r>
        <w:rPr>
          <w:rFonts w:hint="eastAsia" w:ascii="仿宋_GB2312" w:hAnsi="仿宋_GB2312" w:eastAsia="仿宋_GB2312" w:cs="仿宋_GB2312"/>
          <w:sz w:val="28"/>
          <w:szCs w:val="28"/>
          <w:highlight w:val="none"/>
          <w:u w:val="single"/>
        </w:rPr>
        <w:t xml:space="preserve">￥    元，（大写：      ） </w:t>
      </w:r>
      <w:r>
        <w:rPr>
          <w:rFonts w:hint="eastAsia" w:ascii="仿宋_GB2312" w:hAnsi="仿宋_GB2312" w:eastAsia="仿宋_GB2312" w:cs="仿宋_GB2312"/>
          <w:sz w:val="28"/>
          <w:szCs w:val="28"/>
          <w:highlight w:val="none"/>
        </w:rPr>
        <w:t xml:space="preserve"> 作为预付款。若合同解除或终止，乙方在 5 个工作日内返还预付款（无息）。逾期未返还，每逾期一天，乙方应按合同暂定总价的万分之五/天支付违约金。</w:t>
      </w:r>
    </w:p>
    <w:p>
      <w:pPr>
        <w:keepNext w:val="0"/>
        <w:keepLines w:val="0"/>
        <w:pageBreakBefore w:val="0"/>
        <w:widowControl w:val="0"/>
        <w:tabs>
          <w:tab w:val="left" w:pos="0"/>
          <w:tab w:val="left" w:pos="540"/>
          <w:tab w:val="left" w:pos="720"/>
        </w:tabs>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 结算方式</w:t>
      </w:r>
    </w:p>
    <w:p>
      <w:pPr>
        <w:pStyle w:val="21"/>
        <w:keepNext w:val="0"/>
        <w:keepLines w:val="0"/>
        <w:pageBreakBefore w:val="0"/>
        <w:widowControl w:val="0"/>
        <w:numPr>
          <w:ilvl w:val="0"/>
          <w:numId w:val="4"/>
        </w:numPr>
        <w:kinsoku/>
        <w:wordWrap/>
        <w:overflowPunct/>
        <w:autoSpaceDE/>
        <w:autoSpaceDN/>
        <w:bidi w:val="0"/>
        <w:snapToGrid w:val="0"/>
        <w:spacing w:after="0" w:line="360" w:lineRule="auto"/>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合同期签订之日起，乙方按照合同要求完成</w:t>
      </w:r>
      <w:r>
        <w:rPr>
          <w:rFonts w:hint="eastAsia" w:ascii="仿宋_GB2312" w:eastAsia="仿宋_GB2312" w:hAnsiTheme="minorEastAsia" w:cstheme="minorBidi"/>
          <w:b w:val="0"/>
          <w:bCs w:val="0"/>
          <w:color w:val="auto"/>
          <w:sz w:val="28"/>
          <w:szCs w:val="28"/>
          <w:highlight w:val="none"/>
          <w:lang w:val="en-US" w:eastAsia="zh-CN"/>
        </w:rPr>
        <w:t>UPS设备月度、季度维护服务</w:t>
      </w:r>
      <w:r>
        <w:rPr>
          <w:rFonts w:hint="eastAsia" w:ascii="仿宋_GB2312" w:hAnsi="仿宋_GB2312" w:eastAsia="仿宋_GB2312" w:cs="仿宋_GB2312"/>
          <w:color w:val="auto"/>
          <w:kern w:val="2"/>
          <w:sz w:val="28"/>
          <w:szCs w:val="28"/>
          <w:highlight w:val="none"/>
          <w:lang w:val="en-US" w:eastAsia="zh-CN" w:bidi="ar-SA"/>
        </w:rPr>
        <w:t>，维护费用以季度为支付周期，甲方每月根据《质量评分表》对乙方的工作质量、工作态度、安全作业进行检查评分，评分低于90分的，每低1分，则扣除乙方合同暂定总金额的2%。工作质量、工作态度、安全作业评分累计3次在85分以下（含85分）甲方有权解除合同。</w:t>
      </w:r>
    </w:p>
    <w:p>
      <w:pPr>
        <w:pStyle w:val="21"/>
        <w:keepNext w:val="0"/>
        <w:keepLines w:val="0"/>
        <w:pageBreakBefore w:val="0"/>
        <w:widowControl w:val="0"/>
        <w:numPr>
          <w:ilvl w:val="0"/>
          <w:numId w:val="0"/>
        </w:numPr>
        <w:kinsoku/>
        <w:wordWrap/>
        <w:overflowPunct/>
        <w:autoSpaceDE/>
        <w:autoSpaceDN/>
        <w:bidi w:val="0"/>
        <w:snapToGrid w:val="0"/>
        <w:spacing w:after="0" w:line="360" w:lineRule="auto"/>
        <w:ind w:firstLine="840" w:firstLineChars="3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配件维修费以每月为支付周期，乙方按照配件费用，根据实际工程量计算每月配件维修费，并发与甲方确认。配件维修费结算金额达到合同签订的配件费用即        元时，配件维修服务提前结束，维护项目继续实施，若合同结算价超合同暂定总价，双方另行签订补充协议。</w:t>
      </w:r>
    </w:p>
    <w:p>
      <w:pPr>
        <w:pStyle w:val="21"/>
        <w:keepNext w:val="0"/>
        <w:keepLines w:val="0"/>
        <w:pageBreakBefore w:val="0"/>
        <w:widowControl w:val="0"/>
        <w:numPr>
          <w:ilvl w:val="0"/>
          <w:numId w:val="4"/>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经甲方确认结算工程量和结算价后，乙方按甲方确认后的结算金额开具增值税专用发票（本合同签订而需缴纳的印花税及提供服务过程中所需的所有税费全部由乙方承担），甲方收到乙方开具的增值税专用发票、请款报告及工程量清单后30日内付清最终服务结算金额。</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3 </w:t>
      </w:r>
      <w:r>
        <w:rPr>
          <w:rFonts w:hint="eastAsia" w:ascii="仿宋_GB2312" w:hAnsi="仿宋_GB2312" w:eastAsia="仿宋_GB2312" w:cs="仿宋_GB2312"/>
          <w:sz w:val="28"/>
          <w:szCs w:val="28"/>
          <w:highlight w:val="none"/>
        </w:rPr>
        <w:t>乙方收款账户：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 xml:space="preserve"> ；</w:t>
      </w:r>
    </w:p>
    <w:p>
      <w:pPr>
        <w:keepNext w:val="0"/>
        <w:keepLines w:val="0"/>
        <w:pageBreakBefore w:val="0"/>
        <w:widowControl w:val="0"/>
        <w:numPr>
          <w:ilvl w:val="0"/>
          <w:numId w:val="5"/>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收款账号：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5"/>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5"/>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乙方在收款前需向甲方提交等额增值税专用发票，增值税专用发票信息：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t>单位名称： 广州市净水有限公司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t>纳税人识别码： 91440101755584729Q</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t>地址及电话： 广州市天河区临江大道501号 020-38890283</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snapToGrid w:val="0"/>
        <w:spacing w:line="360" w:lineRule="auto"/>
        <w:ind w:firstLine="560" w:firstLineChars="200"/>
        <w:jc w:val="left"/>
        <w:rPr>
          <w:rFonts w:hint="default"/>
          <w:highlight w:val="none"/>
          <w:lang w:val="en-US"/>
        </w:rPr>
      </w:pPr>
      <w:r>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t>开户银行： 民生银行广州分行</w:t>
      </w:r>
    </w:p>
    <w:p>
      <w:pPr>
        <w:keepNext w:val="0"/>
        <w:keepLines w:val="0"/>
        <w:pageBreakBefore w:val="0"/>
        <w:widowControl w:val="0"/>
        <w:kinsoku/>
        <w:wordWrap/>
        <w:overflowPunct/>
        <w:autoSpaceDE/>
        <w:autoSpaceDN/>
        <w:bidi w:val="0"/>
        <w:snapToGrid w:val="0"/>
        <w:spacing w:line="360" w:lineRule="auto"/>
        <w:ind w:firstLine="560" w:firstLineChars="200"/>
        <w:jc w:val="left"/>
        <w:rPr>
          <w:rFonts w:hint="eastAsia"/>
          <w:highlight w:val="none"/>
        </w:rPr>
      </w:pPr>
      <w:r>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t>银行账户： 0301014140006932</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4 </w:t>
      </w:r>
      <w:r>
        <w:rPr>
          <w:rFonts w:hint="eastAsia" w:ascii="仿宋_GB2312" w:hAnsi="仿宋_GB2312" w:eastAsia="仿宋_GB2312" w:cs="仿宋_GB2312"/>
          <w:sz w:val="28"/>
          <w:szCs w:val="28"/>
          <w:highlight w:val="none"/>
        </w:rPr>
        <w:t xml:space="preserve">付款方式： </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 xml:space="preserve">网银支付；  </w:t>
      </w:r>
      <w:r>
        <w:rPr>
          <w:rFonts w:ascii="Wingdings 2" w:hAnsi="Wingdings 2" w:eastAsia="仿宋_GB2312" w:cs="仿宋_GB2312"/>
          <w:sz w:val="28"/>
          <w:szCs w:val="28"/>
          <w:highlight w:val="none"/>
        </w:rPr>
        <w:t>£</w:t>
      </w:r>
      <w:r>
        <w:rPr>
          <w:rFonts w:hint="eastAsia" w:ascii="仿宋_GB2312" w:hAnsi="仿宋_GB2312" w:eastAsia="仿宋_GB2312" w:cs="仿宋_GB2312"/>
          <w:sz w:val="28"/>
          <w:szCs w:val="28"/>
          <w:highlight w:val="none"/>
        </w:rPr>
        <w:t xml:space="preserve">支票；   □其他：    </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color w:val="auto"/>
          <w:sz w:val="28"/>
          <w:szCs w:val="28"/>
          <w:highlight w:val="none"/>
        </w:rPr>
      </w:pPr>
      <w:bookmarkStart w:id="86" w:name="_Toc107446861"/>
      <w:bookmarkStart w:id="87" w:name="_Toc107446860"/>
      <w:bookmarkStart w:id="88" w:name="_Toc518992998"/>
      <w:bookmarkStart w:id="89" w:name="_Toc107447253"/>
      <w:bookmarkStart w:id="90" w:name="_Toc183666534"/>
      <w:bookmarkStart w:id="91" w:name="_Toc520190038"/>
      <w:bookmarkStart w:id="92" w:name="_Toc183666529"/>
      <w:bookmarkStart w:id="93" w:name="_Toc5166"/>
      <w:bookmarkStart w:id="94" w:name="_Toc257"/>
      <w:bookmarkStart w:id="95" w:name="_Toc118086592"/>
      <w:bookmarkStart w:id="96" w:name="_Toc107447254"/>
      <w:bookmarkStart w:id="97" w:name="_Toc474245224"/>
      <w:bookmarkStart w:id="98" w:name="_Toc306350465"/>
      <w:r>
        <w:rPr>
          <w:rFonts w:hint="eastAsia" w:ascii="仿宋_GB2312" w:hAnsi="仿宋_GB2312" w:eastAsia="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rPr>
        <w:t xml:space="preserve"> 违约责任</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合同：任意一方未经对方同意单方面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合同，应按</w:t>
      </w:r>
      <w:r>
        <w:rPr>
          <w:rFonts w:hint="eastAsia" w:ascii="仿宋_GB2312" w:hAnsi="仿宋_GB2312" w:eastAsia="仿宋_GB2312" w:cs="仿宋_GB2312"/>
          <w:color w:val="auto"/>
          <w:sz w:val="28"/>
          <w:szCs w:val="28"/>
          <w:highlight w:val="none"/>
          <w:u w:val="single"/>
        </w:rPr>
        <w:t>合同暂定总价的30%</w:t>
      </w:r>
      <w:r>
        <w:rPr>
          <w:rFonts w:hint="eastAsia" w:ascii="仿宋_GB2312" w:hAnsi="仿宋_GB2312" w:eastAsia="仿宋_GB2312" w:cs="仿宋_GB2312"/>
          <w:color w:val="auto"/>
          <w:sz w:val="28"/>
          <w:szCs w:val="28"/>
          <w:highlight w:val="none"/>
        </w:rPr>
        <w:t>向对方赔偿。</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.2乙方不能按时</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rPr>
        <w:t>的，每逾期1日，按</w:t>
      </w:r>
      <w:r>
        <w:rPr>
          <w:rFonts w:hint="eastAsia" w:ascii="仿宋_GB2312" w:hAnsi="仿宋_GB2312" w:eastAsia="仿宋_GB2312" w:cs="仿宋_GB2312"/>
          <w:color w:val="auto"/>
          <w:sz w:val="28"/>
          <w:szCs w:val="28"/>
          <w:highlight w:val="none"/>
          <w:u w:val="single"/>
          <w:lang w:val="en-US" w:eastAsia="zh-CN"/>
        </w:rPr>
        <w:t>1000</w:t>
      </w:r>
      <w:r>
        <w:rPr>
          <w:rFonts w:hint="eastAsia" w:ascii="仿宋_GB2312" w:hAnsi="仿宋_GB2312" w:eastAsia="仿宋_GB2312" w:cs="仿宋_GB2312"/>
          <w:color w:val="auto"/>
          <w:sz w:val="28"/>
          <w:szCs w:val="28"/>
          <w:highlight w:val="none"/>
          <w:lang w:val="en-US" w:eastAsia="zh-CN"/>
        </w:rPr>
        <w:t>元/日</w:t>
      </w:r>
      <w:r>
        <w:rPr>
          <w:rFonts w:hint="eastAsia" w:ascii="仿宋_GB2312" w:hAnsi="仿宋_GB2312" w:eastAsia="仿宋_GB2312" w:cs="仿宋_GB2312"/>
          <w:color w:val="auto"/>
          <w:sz w:val="28"/>
          <w:szCs w:val="28"/>
          <w:highlight w:val="none"/>
          <w:u w:val="single"/>
        </w:rPr>
        <w:t>支付违约金</w:t>
      </w:r>
      <w:r>
        <w:rPr>
          <w:rFonts w:hint="eastAsia" w:ascii="仿宋_GB2312" w:hAnsi="仿宋_GB2312" w:eastAsia="仿宋_GB2312" w:cs="仿宋_GB2312"/>
          <w:color w:val="auto"/>
          <w:sz w:val="28"/>
          <w:szCs w:val="28"/>
          <w:highlight w:val="none"/>
        </w:rPr>
        <w:t>，逾期达到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天及以上的，甲方有权解除合同。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乙方当月</w:t>
      </w:r>
      <w:r>
        <w:rPr>
          <w:rFonts w:hint="eastAsia" w:ascii="仿宋_GB2312" w:hAnsi="仿宋_GB2312" w:eastAsia="仿宋_GB2312" w:cs="仿宋_GB2312"/>
          <w:color w:val="auto"/>
          <w:sz w:val="28"/>
          <w:szCs w:val="28"/>
          <w:highlight w:val="none"/>
        </w:rPr>
        <w:t>不能按时</w:t>
      </w:r>
      <w:r>
        <w:rPr>
          <w:rFonts w:hint="eastAsia" w:ascii="仿宋_GB2312" w:hAnsi="仿宋_GB2312" w:eastAsia="仿宋_GB2312" w:cs="仿宋_GB2312"/>
          <w:color w:val="auto"/>
          <w:sz w:val="28"/>
          <w:szCs w:val="28"/>
          <w:highlight w:val="none"/>
          <w:lang w:eastAsia="zh-CN"/>
        </w:rPr>
        <w:t>维护，按合同</w:t>
      </w:r>
      <w:r>
        <w:rPr>
          <w:rFonts w:hint="eastAsia" w:ascii="仿宋_GB2312" w:hAnsi="仿宋_GB2312" w:eastAsia="仿宋_GB2312" w:cs="仿宋_GB2312"/>
          <w:color w:val="auto"/>
          <w:sz w:val="28"/>
          <w:szCs w:val="28"/>
          <w:highlight w:val="none"/>
          <w:lang w:val="en-US" w:eastAsia="zh-CN"/>
        </w:rPr>
        <w:t>暂定总价5%支付违约金，超2次没按时维护，甲方有权解除合同。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乙方更换UPS配件后，UPS依旧出现故障的，</w:t>
      </w:r>
      <w:r>
        <w:rPr>
          <w:rFonts w:hint="eastAsia" w:ascii="仿宋_GB2312" w:hAnsi="仿宋_GB2312" w:eastAsia="仿宋_GB2312" w:cs="仿宋_GB2312"/>
          <w:color w:val="auto"/>
          <w:sz w:val="28"/>
          <w:szCs w:val="28"/>
          <w:highlight w:val="none"/>
        </w:rPr>
        <w:t>甲方有权要求</w:t>
      </w:r>
      <w:r>
        <w:rPr>
          <w:rFonts w:hint="eastAsia" w:ascii="仿宋_GB2312" w:hAnsi="仿宋_GB2312" w:eastAsia="仿宋_GB2312" w:cs="仿宋_GB2312"/>
          <w:color w:val="auto"/>
          <w:sz w:val="28"/>
          <w:szCs w:val="28"/>
          <w:highlight w:val="none"/>
          <w:lang w:val="en-US" w:eastAsia="zh-CN"/>
        </w:rPr>
        <w:t>乙方出故障报告并再次</w:t>
      </w:r>
      <w:r>
        <w:rPr>
          <w:rFonts w:hint="eastAsia" w:ascii="仿宋_GB2312" w:hAnsi="仿宋_GB2312" w:eastAsia="仿宋_GB2312" w:cs="仿宋_GB2312"/>
          <w:color w:val="auto"/>
          <w:sz w:val="28"/>
          <w:szCs w:val="28"/>
          <w:highlight w:val="none"/>
        </w:rPr>
        <w:t>更换</w:t>
      </w:r>
      <w:r>
        <w:rPr>
          <w:rFonts w:hint="eastAsia" w:ascii="仿宋_GB2312" w:hAnsi="仿宋_GB2312" w:eastAsia="仿宋_GB2312" w:cs="仿宋_GB2312"/>
          <w:color w:val="auto"/>
          <w:sz w:val="28"/>
          <w:szCs w:val="28"/>
          <w:highlight w:val="none"/>
          <w:lang w:val="en-US" w:eastAsia="zh-CN"/>
        </w:rPr>
        <w:t>备件</w:t>
      </w:r>
      <w:r>
        <w:rPr>
          <w:rFonts w:hint="eastAsia" w:ascii="仿宋_GB2312" w:hAnsi="仿宋_GB2312" w:eastAsia="仿宋_GB2312" w:cs="仿宋_GB2312"/>
          <w:color w:val="auto"/>
          <w:sz w:val="28"/>
          <w:szCs w:val="28"/>
          <w:highlight w:val="none"/>
        </w:rPr>
        <w:t>，乙方应在</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日内重新</w:t>
      </w:r>
      <w:r>
        <w:rPr>
          <w:rFonts w:hint="eastAsia" w:ascii="仿宋_GB2312" w:hAnsi="仿宋_GB2312" w:eastAsia="仿宋_GB2312" w:cs="仿宋_GB2312"/>
          <w:color w:val="auto"/>
          <w:sz w:val="28"/>
          <w:szCs w:val="28"/>
          <w:highlight w:val="none"/>
          <w:lang w:val="en-US" w:eastAsia="zh-CN"/>
        </w:rPr>
        <w:t>更换配件</w:t>
      </w:r>
      <w:r>
        <w:rPr>
          <w:rFonts w:hint="eastAsia" w:ascii="仿宋_GB2312" w:hAnsi="仿宋_GB2312" w:eastAsia="仿宋_GB2312" w:cs="仿宋_GB2312"/>
          <w:color w:val="auto"/>
          <w:sz w:val="28"/>
          <w:szCs w:val="28"/>
          <w:highlight w:val="none"/>
        </w:rPr>
        <w:t>，乙方承担由此产生的一切损失和费用。</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 xml:space="preserve"> 乙方不履行合同义务、或履行合同义务不符合合同约定、或违反国家、省、市行业标准的，甲方有权要求乙方限期整改。乙方逾期未完成整改的，超过</w:t>
      </w:r>
      <w:r>
        <w:rPr>
          <w:rFonts w:hint="eastAsia" w:ascii="仿宋_GB2312" w:hAnsi="仿宋_GB2312" w:eastAsia="仿宋_GB2312" w:cs="仿宋_GB2312"/>
          <w:color w:val="auto"/>
          <w:sz w:val="28"/>
          <w:szCs w:val="28"/>
          <w:highlight w:val="none"/>
          <w:u w:val="single"/>
          <w:lang w:val="en-US" w:eastAsia="zh-CN"/>
        </w:rPr>
        <w:t xml:space="preserve"> 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日，甲方有权解除合同并要求乙方支付</w:t>
      </w:r>
      <w:r>
        <w:rPr>
          <w:rFonts w:hint="eastAsia" w:ascii="仿宋_GB2312" w:hAnsi="仿宋_GB2312" w:eastAsia="仿宋_GB2312" w:cs="仿宋_GB2312"/>
          <w:color w:val="auto"/>
          <w:sz w:val="28"/>
          <w:szCs w:val="28"/>
          <w:highlight w:val="none"/>
          <w:u w:val="single"/>
        </w:rPr>
        <w:t>合同暂定总价的20%</w:t>
      </w:r>
      <w:r>
        <w:rPr>
          <w:rFonts w:hint="eastAsia" w:ascii="仿宋_GB2312" w:hAnsi="仿宋_GB2312" w:eastAsia="仿宋_GB2312" w:cs="仿宋_GB2312"/>
          <w:color w:val="auto"/>
          <w:sz w:val="28"/>
          <w:szCs w:val="28"/>
          <w:highlight w:val="none"/>
        </w:rPr>
        <w:t>作为违约金（如合同另行约定违约责任，从其约定）。</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六</w:t>
      </w:r>
      <w:r>
        <w:rPr>
          <w:rFonts w:hint="eastAsia" w:ascii="仿宋_GB2312" w:hAnsi="仿宋_GB2312" w:eastAsia="仿宋_GB2312" w:cs="仿宋_GB2312"/>
          <w:b/>
          <w:bCs/>
          <w:color w:val="auto"/>
          <w:sz w:val="28"/>
          <w:szCs w:val="28"/>
          <w:highlight w:val="none"/>
        </w:rPr>
        <w:t xml:space="preserve"> 不可抗力</w:t>
      </w:r>
      <w:r>
        <w:rPr>
          <w:rFonts w:hint="eastAsia" w:ascii="仿宋_GB2312" w:hAnsi="仿宋_GB2312" w:eastAsia="仿宋_GB2312" w:cs="仿宋_GB2312"/>
          <w:b/>
          <w:bCs/>
          <w:color w:val="auto"/>
          <w:sz w:val="28"/>
          <w:szCs w:val="28"/>
          <w:highlight w:val="none"/>
          <w:lang w:val="en-US" w:eastAsia="zh-CN"/>
        </w:rPr>
        <w:t>因素</w:t>
      </w:r>
    </w:p>
    <w:p>
      <w:pPr>
        <w:keepNext w:val="0"/>
        <w:keepLines w:val="0"/>
        <w:pageBreakBefore w:val="0"/>
        <w:widowControl w:val="0"/>
        <w:numPr>
          <w:ilvl w:val="12"/>
          <w:numId w:val="0"/>
        </w:numPr>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rPr>
        <w:t xml:space="preserve"> 争议解决</w:t>
      </w:r>
    </w:p>
    <w:p>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rPr>
        <w:t>.1因本合同引起的或与本合同有关的任何争议，甲乙双方应友好协商解决，如协商不成，任何一方可依法向甲方所在地</w:t>
      </w:r>
      <w:r>
        <w:rPr>
          <w:rFonts w:hint="eastAsia" w:ascii="仿宋_GB2312" w:hAnsi="仿宋_GB2312" w:eastAsia="仿宋_GB2312" w:cs="仿宋_GB2312"/>
          <w:bCs/>
          <w:color w:val="auto"/>
          <w:sz w:val="28"/>
          <w:szCs w:val="28"/>
          <w:highlight w:val="none"/>
          <w:u w:val="single"/>
        </w:rPr>
        <w:t>人民法院</w:t>
      </w:r>
      <w:r>
        <w:rPr>
          <w:rFonts w:hint="eastAsia" w:ascii="仿宋_GB2312" w:hAnsi="仿宋_GB2312" w:eastAsia="仿宋_GB2312" w:cs="仿宋_GB2312"/>
          <w:bCs/>
          <w:color w:val="auto"/>
          <w:sz w:val="28"/>
          <w:szCs w:val="28"/>
          <w:highlight w:val="none"/>
        </w:rPr>
        <w:t>提起诉讼</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.2在甲方同意的情况下，除有争端之外的合同其它部分在争端解决前应继续执行。</w:t>
      </w:r>
    </w:p>
    <w:p>
      <w:pPr>
        <w:keepNext w:val="0"/>
        <w:keepLines w:val="0"/>
        <w:pageBreakBefore w:val="0"/>
        <w:widowControl w:val="0"/>
        <w:numPr>
          <w:ilvl w:val="12"/>
          <w:numId w:val="0"/>
        </w:numPr>
        <w:kinsoku/>
        <w:wordWrap/>
        <w:overflowPunct/>
        <w:autoSpaceDE/>
        <w:autoSpaceDN/>
        <w:bidi w:val="0"/>
        <w:snapToGrid w:val="0"/>
        <w:spacing w:line="360" w:lineRule="auto"/>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bCs/>
          <w:color w:val="auto"/>
          <w:sz w:val="28"/>
          <w:szCs w:val="28"/>
          <w:highlight w:val="none"/>
        </w:rPr>
        <w:t xml:space="preserve"> 其他</w:t>
      </w:r>
    </w:p>
    <w:p>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.1本协议未尽事宜，可由甲乙双方另行签订补充协议。补充协议与本合同具有同等法律效力。</w:t>
      </w:r>
    </w:p>
    <w:p>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.2本合同自甲乙双方法定代表人或授权代理人签字并加盖公章（或合同专用章）之日起生效。</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4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份。均具有同等法律效力。</w:t>
      </w:r>
    </w:p>
    <w:p>
      <w:pPr>
        <w:keepNext w:val="0"/>
        <w:keepLines w:val="0"/>
        <w:pageBreakBefore w:val="0"/>
        <w:widowControl w:val="0"/>
        <w:kinsoku/>
        <w:wordWrap/>
        <w:overflowPunct/>
        <w:autoSpaceDE/>
        <w:autoSpaceDN/>
        <w:bidi w:val="0"/>
        <w:adjustRightInd w:val="0"/>
        <w:snapToGrid w:val="0"/>
        <w:spacing w:line="360" w:lineRule="auto"/>
        <w:ind w:right="521" w:rightChars="248"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.4补充条款：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bookmarkEnd w:id="86"/>
    <w:bookmarkEnd w:id="87"/>
    <w:bookmarkEnd w:id="88"/>
    <w:bookmarkEnd w:id="89"/>
    <w:bookmarkEnd w:id="90"/>
    <w:bookmarkEnd w:id="91"/>
    <w:bookmarkEnd w:id="92"/>
    <w:bookmarkEnd w:id="93"/>
    <w:bookmarkEnd w:id="94"/>
    <w:bookmarkEnd w:id="95"/>
    <w:bookmarkEnd w:id="96"/>
    <w:bookmarkEnd w:id="97"/>
    <w:bookmarkEnd w:id="98"/>
    <w:p>
      <w:pPr>
        <w:keepNext w:val="0"/>
        <w:keepLines w:val="0"/>
        <w:pageBreakBefore w:val="0"/>
        <w:widowControl w:val="0"/>
        <w:kinsoku/>
        <w:wordWrap/>
        <w:overflowPunct/>
        <w:autoSpaceDE/>
        <w:autoSpaceDN/>
        <w:bidi w:val="0"/>
        <w:snapToGrid w:val="0"/>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w:t>
      </w:r>
    </w:p>
    <w:p>
      <w:pPr>
        <w:keepNext w:val="0"/>
        <w:keepLines w:val="0"/>
        <w:pageBreakBefore w:val="0"/>
        <w:widowControl w:val="0"/>
        <w:kinsoku/>
        <w:wordWrap/>
        <w:overflowPunct/>
        <w:autoSpaceDE/>
        <w:autoSpaceDN/>
        <w:bidi w:val="0"/>
        <w:snapToGrid w:val="0"/>
        <w:spacing w:line="360" w:lineRule="auto"/>
        <w:ind w:firstLine="1195" w:firstLineChars="427"/>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中标通知书/发包通知书/成交通知书（如有）</w:t>
      </w:r>
    </w:p>
    <w:p>
      <w:pPr>
        <w:keepNext w:val="0"/>
        <w:keepLines w:val="0"/>
        <w:pageBreakBefore w:val="0"/>
        <w:widowControl w:val="0"/>
        <w:numPr>
          <w:ilvl w:val="0"/>
          <w:numId w:val="6"/>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廉洁协议</w:t>
      </w:r>
    </w:p>
    <w:p>
      <w:pPr>
        <w:keepNext w:val="0"/>
        <w:keepLines w:val="0"/>
        <w:pageBreakBefore w:val="0"/>
        <w:widowControl w:val="0"/>
        <w:numPr>
          <w:ilvl w:val="0"/>
          <w:numId w:val="6"/>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安全协议</w:t>
      </w:r>
    </w:p>
    <w:p>
      <w:pPr>
        <w:keepNext w:val="0"/>
        <w:keepLines w:val="0"/>
        <w:pageBreakBefore w:val="0"/>
        <w:widowControl w:val="0"/>
        <w:numPr>
          <w:ilvl w:val="0"/>
          <w:numId w:val="6"/>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UPS</w:t>
      </w:r>
      <w:r>
        <w:rPr>
          <w:rFonts w:hint="eastAsia" w:ascii="仿宋_GB2312" w:hAnsi="仿宋_GB2312" w:eastAsia="仿宋_GB2312" w:cs="仿宋_GB2312"/>
          <w:b w:val="0"/>
          <w:color w:val="auto"/>
          <w:sz w:val="28"/>
          <w:szCs w:val="28"/>
          <w:highlight w:val="none"/>
        </w:rPr>
        <w:t>设备详细清单</w:t>
      </w:r>
    </w:p>
    <w:p>
      <w:pPr>
        <w:keepNext w:val="0"/>
        <w:keepLines w:val="0"/>
        <w:pageBreakBefore w:val="0"/>
        <w:widowControl w:val="0"/>
        <w:numPr>
          <w:ilvl w:val="0"/>
          <w:numId w:val="6"/>
        </w:numPr>
        <w:kinsoku/>
        <w:wordWrap/>
        <w:overflowPunct/>
        <w:autoSpaceDE/>
        <w:autoSpaceDN/>
        <w:bidi w:val="0"/>
        <w:snapToGrid w:val="0"/>
        <w:spacing w:line="360" w:lineRule="auto"/>
        <w:ind w:left="1200"/>
        <w:rPr>
          <w:rFonts w:ascii="宋体" w:hAnsi="宋体"/>
          <w:sz w:val="28"/>
          <w:szCs w:val="28"/>
          <w:highlight w:val="none"/>
        </w:rPr>
      </w:pPr>
      <w:r>
        <w:rPr>
          <w:rFonts w:hint="eastAsia" w:ascii="仿宋_GB2312" w:hAnsi="仿宋_GB2312" w:eastAsia="仿宋_GB2312" w:cs="仿宋_GB2312"/>
          <w:color w:val="auto"/>
          <w:sz w:val="28"/>
          <w:szCs w:val="28"/>
          <w:highlight w:val="none"/>
          <w:lang w:val="en-US" w:eastAsia="zh-CN"/>
        </w:rPr>
        <w:t>报价单</w:t>
      </w:r>
    </w:p>
    <w:p>
      <w:pPr>
        <w:keepNext w:val="0"/>
        <w:keepLines w:val="0"/>
        <w:pageBreakBefore w:val="0"/>
        <w:widowControl w:val="0"/>
        <w:numPr>
          <w:ilvl w:val="0"/>
          <w:numId w:val="6"/>
        </w:numPr>
        <w:kinsoku/>
        <w:wordWrap/>
        <w:overflowPunct/>
        <w:autoSpaceDE/>
        <w:autoSpaceDN/>
        <w:bidi w:val="0"/>
        <w:snapToGrid w:val="0"/>
        <w:spacing w:line="360" w:lineRule="auto"/>
        <w:ind w:left="1200"/>
        <w:rPr>
          <w:rFonts w:ascii="宋体" w:hAnsi="宋体"/>
          <w:sz w:val="28"/>
          <w:szCs w:val="28"/>
          <w:highlight w:val="none"/>
        </w:rPr>
      </w:pPr>
      <w:r>
        <w:rPr>
          <w:rFonts w:hint="eastAsia" w:ascii="仿宋_GB2312" w:hAnsi="仿宋_GB2312" w:eastAsia="仿宋_GB2312" w:cs="仿宋_GB2312"/>
          <w:color w:val="auto"/>
          <w:sz w:val="28"/>
          <w:szCs w:val="28"/>
          <w:highlight w:val="none"/>
          <w:lang w:val="en-US" w:eastAsia="zh-CN"/>
        </w:rPr>
        <w:t>消防安全协议书</w:t>
      </w:r>
    </w:p>
    <w:p>
      <w:pPr>
        <w:keepNext w:val="0"/>
        <w:keepLines w:val="0"/>
        <w:pageBreakBefore w:val="0"/>
        <w:widowControl w:val="0"/>
        <w:numPr>
          <w:ilvl w:val="0"/>
          <w:numId w:val="6"/>
        </w:numPr>
        <w:kinsoku/>
        <w:wordWrap/>
        <w:overflowPunct/>
        <w:autoSpaceDE/>
        <w:autoSpaceDN/>
        <w:bidi w:val="0"/>
        <w:snapToGrid w:val="0"/>
        <w:spacing w:line="360" w:lineRule="auto"/>
        <w:ind w:left="1200"/>
        <w:rPr>
          <w:rFonts w:ascii="宋体" w:hAnsi="宋体"/>
          <w:sz w:val="28"/>
          <w:szCs w:val="28"/>
          <w:highlight w:val="none"/>
        </w:rPr>
      </w:pPr>
      <w:r>
        <w:rPr>
          <w:rFonts w:hint="eastAsia" w:ascii="宋体" w:hAnsi="宋体"/>
          <w:sz w:val="28"/>
          <w:szCs w:val="28"/>
          <w:highlight w:val="none"/>
          <w:lang w:eastAsia="zh-CN"/>
        </w:rPr>
        <w:t>消防安全承诺书</w:t>
      </w:r>
    </w:p>
    <w:p>
      <w:pPr>
        <w:keepNext w:val="0"/>
        <w:keepLines w:val="0"/>
        <w:pageBreakBefore w:val="0"/>
        <w:widowControl w:val="0"/>
        <w:numPr>
          <w:ilvl w:val="0"/>
          <w:numId w:val="6"/>
        </w:numPr>
        <w:kinsoku/>
        <w:wordWrap/>
        <w:overflowPunct/>
        <w:autoSpaceDE/>
        <w:autoSpaceDN/>
        <w:bidi w:val="0"/>
        <w:snapToGrid w:val="0"/>
        <w:spacing w:line="360" w:lineRule="auto"/>
        <w:ind w:left="1200"/>
        <w:rPr>
          <w:rFonts w:hint="eastAsia" w:ascii="宋体" w:hAnsi="宋体"/>
          <w:sz w:val="28"/>
          <w:szCs w:val="28"/>
          <w:highlight w:val="none"/>
          <w:lang w:eastAsia="zh-CN"/>
        </w:rPr>
      </w:pPr>
      <w:r>
        <w:rPr>
          <w:rFonts w:hint="eastAsia" w:ascii="宋体" w:hAnsi="宋体"/>
          <w:sz w:val="28"/>
          <w:szCs w:val="28"/>
          <w:highlight w:val="none"/>
          <w:lang w:val="en-US" w:eastAsia="zh-CN"/>
        </w:rPr>
        <w:t>服务评价表</w:t>
      </w:r>
    </w:p>
    <w:p>
      <w:pPr>
        <w:pStyle w:val="50"/>
        <w:tabs>
          <w:tab w:val="left" w:pos="900"/>
          <w:tab w:val="left" w:pos="1080"/>
        </w:tabs>
        <w:adjustRightInd w:val="0"/>
        <w:snapToGrid w:val="0"/>
        <w:spacing w:line="460" w:lineRule="exact"/>
        <w:ind w:left="-540"/>
        <w:rPr>
          <w:rFonts w:ascii="宋体" w:hAnsi="宋体" w:cs="Arial"/>
          <w:sz w:val="24"/>
          <w:highlight w:val="none"/>
        </w:rPr>
      </w:pPr>
    </w:p>
    <w:tbl>
      <w:tblPr>
        <w:tblStyle w:val="24"/>
        <w:tblW w:w="9078" w:type="dxa"/>
        <w:jc w:val="center"/>
        <w:tblLayout w:type="fixed"/>
        <w:tblCellMar>
          <w:top w:w="0" w:type="dxa"/>
          <w:left w:w="108" w:type="dxa"/>
          <w:bottom w:w="0" w:type="dxa"/>
          <w:right w:w="108" w:type="dxa"/>
        </w:tblCellMar>
      </w:tblPr>
      <w:tblGrid>
        <w:gridCol w:w="1391"/>
        <w:gridCol w:w="3148"/>
        <w:gridCol w:w="1391"/>
        <w:gridCol w:w="3148"/>
      </w:tblGrid>
      <w:tr>
        <w:tblPrEx>
          <w:tblCellMar>
            <w:top w:w="0" w:type="dxa"/>
            <w:left w:w="108" w:type="dxa"/>
            <w:bottom w:w="0" w:type="dxa"/>
            <w:right w:w="108" w:type="dxa"/>
          </w:tblCellMar>
        </w:tblPrEx>
        <w:trPr>
          <w:trHeight w:val="611" w:hRule="atLeast"/>
          <w:jc w:val="center"/>
        </w:trPr>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w:t>
            </w:r>
          </w:p>
        </w:tc>
        <w:tc>
          <w:tcPr>
            <w:tcW w:w="3148" w:type="dxa"/>
          </w:tcPr>
          <w:p>
            <w:pPr>
              <w:pStyle w:val="50"/>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p>
        </w:tc>
        <w:tc>
          <w:tcPr>
            <w:tcW w:w="3148" w:type="dxa"/>
          </w:tcPr>
          <w:p>
            <w:pPr>
              <w:pStyle w:val="50"/>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r>
      <w:tr>
        <w:tblPrEx>
          <w:tblCellMar>
            <w:top w:w="0" w:type="dxa"/>
            <w:left w:w="108" w:type="dxa"/>
            <w:bottom w:w="0" w:type="dxa"/>
            <w:right w:w="108" w:type="dxa"/>
          </w:tblCellMar>
        </w:tblPrEx>
        <w:trPr>
          <w:trHeight w:val="502" w:hRule="atLeast"/>
          <w:jc w:val="center"/>
        </w:trPr>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611" w:hRule="atLeast"/>
          <w:jc w:val="center"/>
        </w:trPr>
        <w:tc>
          <w:tcPr>
            <w:tcW w:w="1391" w:type="dxa"/>
          </w:tcPr>
          <w:p>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c>
          <w:tcPr>
            <w:tcW w:w="1391" w:type="dxa"/>
          </w:tcPr>
          <w:p>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r>
    </w:tbl>
    <w:p>
      <w:pPr>
        <w:rPr>
          <w:rFonts w:hint="eastAsia" w:ascii="仿宋_GB2312" w:hAnsi="仿宋_GB2312" w:eastAsia="仿宋_GB2312" w:cs="仿宋_GB2312"/>
          <w:b/>
          <w:bCs/>
          <w:sz w:val="24"/>
          <w:szCs w:val="24"/>
          <w:highlight w:val="none"/>
          <w:lang w:val="en-US" w:eastAsia="zh-CN"/>
        </w:rPr>
      </w:pPr>
    </w:p>
    <w:p>
      <w:pPr>
        <w:rPr>
          <w:rFonts w:hint="eastAsia" w:ascii="仿宋_GB2312" w:hAnsi="仿宋_GB2312" w:eastAsia="仿宋_GB2312" w:cs="仿宋_GB2312"/>
          <w:b/>
          <w:bCs/>
          <w:sz w:val="24"/>
          <w:szCs w:val="24"/>
          <w:highlight w:val="none"/>
          <w:lang w:val="en-US" w:eastAsia="zh-CN"/>
        </w:rPr>
      </w:pPr>
    </w:p>
    <w:p>
      <w:pPr>
        <w:rPr>
          <w:rFonts w:hint="eastAsia" w:ascii="仿宋_GB2312" w:hAnsi="仿宋_GB2312" w:eastAsia="仿宋_GB2312" w:cs="仿宋_GB2312"/>
          <w:b/>
          <w:bCs/>
          <w:sz w:val="24"/>
          <w:szCs w:val="24"/>
          <w:highlight w:val="none"/>
          <w:lang w:val="en-US" w:eastAsia="zh-CN"/>
        </w:rPr>
      </w:pPr>
    </w:p>
    <w:p>
      <w:pPr>
        <w:rPr>
          <w:rFonts w:hint="eastAsia" w:ascii="仿宋_GB2312" w:hAnsi="仿宋_GB2312" w:eastAsia="仿宋_GB2312" w:cs="仿宋_GB2312"/>
          <w:b/>
          <w:bCs/>
          <w:sz w:val="24"/>
          <w:szCs w:val="24"/>
          <w:highlight w:val="none"/>
          <w:lang w:val="en-US" w:eastAsia="zh-CN"/>
        </w:rPr>
      </w:pPr>
    </w:p>
    <w:p>
      <w:pPr>
        <w:rPr>
          <w:rFonts w:hint="eastAsia" w:ascii="仿宋_GB2312" w:hAnsi="仿宋_GB2312" w:eastAsia="仿宋_GB2312" w:cs="仿宋_GB2312"/>
          <w:b/>
          <w:bCs/>
          <w:sz w:val="24"/>
          <w:szCs w:val="24"/>
          <w:highlight w:val="none"/>
          <w:lang w:val="en-US" w:eastAsia="zh-CN"/>
        </w:rPr>
      </w:pPr>
    </w:p>
    <w:p>
      <w:pPr>
        <w:rPr>
          <w:rFonts w:hint="eastAsia" w:ascii="仿宋_GB2312" w:hAnsi="仿宋_GB2312" w:eastAsia="仿宋_GB2312" w:cs="仿宋_GB2312"/>
          <w:b/>
          <w:bCs/>
          <w:sz w:val="24"/>
          <w:szCs w:val="24"/>
          <w:highlight w:val="none"/>
          <w:lang w:val="en-US" w:eastAsia="zh-CN"/>
        </w:rPr>
      </w:pPr>
    </w:p>
    <w:p>
      <w:pPr>
        <w:rPr>
          <w:rFonts w:hint="eastAsia" w:ascii="仿宋_GB2312" w:hAnsi="仿宋_GB2312" w:eastAsia="仿宋_GB2312" w:cs="仿宋_GB2312"/>
          <w:b/>
          <w:bCs/>
          <w:sz w:val="24"/>
          <w:szCs w:val="24"/>
          <w:highlight w:val="none"/>
          <w:lang w:val="en-US" w:eastAsia="zh-CN"/>
        </w:rPr>
      </w:pPr>
    </w:p>
    <w:p>
      <w:pPr>
        <w:rPr>
          <w:rFonts w:hint="eastAsia" w:ascii="仿宋_GB2312" w:hAnsi="仿宋_GB2312" w:eastAsia="仿宋_GB2312" w:cs="仿宋_GB2312"/>
          <w:b/>
          <w:bCs/>
          <w:sz w:val="24"/>
          <w:szCs w:val="24"/>
          <w:highlight w:val="none"/>
          <w:lang w:val="en-US" w:eastAsia="zh-CN"/>
        </w:rPr>
      </w:pPr>
    </w:p>
    <w:p>
      <w:pP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附件1 中标通知书/发包通知书/成交通知书（如有）</w:t>
      </w:r>
    </w:p>
    <w:p>
      <w:pP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附件2</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为</w:t>
      </w:r>
      <w:r>
        <w:rPr>
          <w:rFonts w:hint="eastAsia" w:ascii="仿宋_GB2312" w:hAnsi="仿宋_GB2312" w:eastAsia="仿宋_GB2312" w:cs="仿宋_GB2312"/>
          <w:color w:val="auto"/>
          <w:sz w:val="28"/>
          <w:szCs w:val="28"/>
          <w:highlight w:val="none"/>
        </w:rPr>
        <w:t>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rPr>
        <w:t>，</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称乙方)，特此订立本协议共同遵照执行。</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（一）</w:t>
      </w:r>
      <w:r>
        <w:rPr>
          <w:rFonts w:hint="eastAsia" w:ascii="仿宋_GB2312" w:hAnsi="仿宋_GB2312" w:eastAsia="仿宋_GB2312" w:cs="仿宋_GB2312"/>
          <w:b w:val="0"/>
          <w:bCs/>
          <w:color w:val="auto"/>
          <w:sz w:val="28"/>
          <w:szCs w:val="28"/>
          <w:highlight w:val="none"/>
        </w:rPr>
        <w:t>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（二）</w:t>
      </w:r>
      <w:r>
        <w:rPr>
          <w:rFonts w:hint="eastAsia" w:ascii="仿宋_GB2312" w:hAnsi="仿宋_GB2312" w:eastAsia="仿宋_GB2312" w:cs="仿宋_GB2312"/>
          <w:b w:val="0"/>
          <w:bCs/>
          <w:color w:val="auto"/>
          <w:sz w:val="28"/>
          <w:szCs w:val="28"/>
          <w:highlight w:val="none"/>
        </w:rPr>
        <w:t>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（三）</w:t>
      </w:r>
      <w:r>
        <w:rPr>
          <w:rFonts w:hint="eastAsia" w:ascii="仿宋_GB2312" w:hAnsi="仿宋_GB2312" w:eastAsia="仿宋_GB2312" w:cs="仿宋_GB2312"/>
          <w:b w:val="0"/>
          <w:bCs/>
          <w:color w:val="auto"/>
          <w:sz w:val="28"/>
          <w:szCs w:val="28"/>
          <w:highlight w:val="none"/>
        </w:rPr>
        <w:t>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（四）</w:t>
      </w:r>
      <w:r>
        <w:rPr>
          <w:rFonts w:hint="eastAsia" w:ascii="仿宋_GB2312" w:hAnsi="仿宋_GB2312" w:eastAsia="仿宋_GB2312" w:cs="仿宋_GB2312"/>
          <w:b w:val="0"/>
          <w:bCs/>
          <w:color w:val="auto"/>
          <w:sz w:val="28"/>
          <w:szCs w:val="28"/>
          <w:highlight w:val="none"/>
        </w:rPr>
        <w:t>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（一）</w:t>
      </w:r>
      <w:r>
        <w:rPr>
          <w:rFonts w:hint="eastAsia" w:ascii="仿宋_GB2312" w:hAnsi="仿宋_GB2312" w:eastAsia="仿宋_GB2312" w:cs="仿宋_GB2312"/>
          <w:b w:val="0"/>
          <w:bCs/>
          <w:color w:val="auto"/>
          <w:sz w:val="28"/>
          <w:szCs w:val="28"/>
          <w:highlight w:val="none"/>
        </w:rPr>
        <w:t>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（二）</w:t>
      </w:r>
      <w:r>
        <w:rPr>
          <w:rFonts w:hint="eastAsia" w:ascii="仿宋_GB2312" w:hAnsi="仿宋_GB2312" w:eastAsia="仿宋_GB2312" w:cs="仿宋_GB2312"/>
          <w:b w:val="0"/>
          <w:bCs/>
          <w:color w:val="auto"/>
          <w:sz w:val="28"/>
          <w:szCs w:val="28"/>
          <w:highlight w:val="none"/>
        </w:rPr>
        <w:t>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（三）</w:t>
      </w:r>
      <w:r>
        <w:rPr>
          <w:rFonts w:hint="eastAsia" w:ascii="仿宋_GB2312" w:hAnsi="仿宋_GB2312" w:eastAsia="仿宋_GB2312" w:cs="仿宋_GB2312"/>
          <w:b w:val="0"/>
          <w:bCs/>
          <w:color w:val="auto"/>
          <w:sz w:val="28"/>
          <w:szCs w:val="28"/>
          <w:highlight w:val="none"/>
        </w:rPr>
        <w:t>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四</w:t>
      </w:r>
      <w:r>
        <w:rPr>
          <w:rFonts w:hint="eastAsia" w:ascii="仿宋_GB2312" w:hAnsi="仿宋_GB2312" w:eastAsia="仿宋_GB2312" w:cs="仿宋_GB2312"/>
          <w:b w:val="0"/>
          <w:bCs/>
          <w:color w:val="auto"/>
          <w:sz w:val="28"/>
          <w:szCs w:val="28"/>
          <w:highlight w:val="none"/>
        </w:rPr>
        <w:t>）甲方工作人员不得在乙方或与乙方有股权关联的企业兼职，不得向乙方介绍家属或者亲友从事与甲方业务有关的经济活动。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lang w:val="en-US" w:eastAsia="zh-CN"/>
        </w:rPr>
        <w:t>（五）</w:t>
      </w:r>
      <w:r>
        <w:rPr>
          <w:rFonts w:hint="eastAsia" w:ascii="仿宋_GB2312" w:hAnsi="仿宋_GB2312" w:eastAsia="仿宋_GB2312" w:cs="仿宋_GB2312"/>
          <w:b w:val="0"/>
          <w:bCs/>
          <w:color w:val="auto"/>
          <w:sz w:val="28"/>
          <w:szCs w:val="28"/>
          <w:highlight w:val="none"/>
        </w:rPr>
        <w:t>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lang w:val="en-US" w:eastAsia="zh-CN"/>
        </w:rPr>
        <w:t>（六）</w:t>
      </w:r>
      <w:r>
        <w:rPr>
          <w:rFonts w:hint="eastAsia" w:ascii="仿宋_GB2312" w:hAnsi="仿宋_GB2312" w:eastAsia="仿宋_GB2312" w:cs="仿宋_GB2312"/>
          <w:b w:val="0"/>
          <w:bCs/>
          <w:color w:val="auto"/>
          <w:sz w:val="28"/>
          <w:szCs w:val="28"/>
          <w:highlight w:val="none"/>
        </w:rPr>
        <w:t>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lang w:val="en-US" w:eastAsia="zh-CN"/>
        </w:rPr>
        <w:t>（七）</w:t>
      </w:r>
      <w:r>
        <w:rPr>
          <w:rFonts w:hint="eastAsia" w:ascii="仿宋_GB2312" w:hAnsi="仿宋_GB2312" w:eastAsia="仿宋_GB2312" w:cs="仿宋_GB2312"/>
          <w:b w:val="0"/>
          <w:bCs/>
          <w:color w:val="auto"/>
          <w:sz w:val="28"/>
          <w:szCs w:val="28"/>
          <w:highlight w:val="none"/>
        </w:rPr>
        <w:t>甲方工作人员不得接受乙方给予或赠送的干股或红利。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（一）</w:t>
      </w:r>
      <w:r>
        <w:rPr>
          <w:rFonts w:hint="eastAsia" w:ascii="仿宋_GB2312" w:hAnsi="仿宋_GB2312" w:eastAsia="仿宋_GB2312" w:cs="仿宋_GB2312"/>
          <w:b w:val="0"/>
          <w:bCs/>
          <w:color w:val="auto"/>
          <w:sz w:val="28"/>
          <w:szCs w:val="28"/>
          <w:highlight w:val="none"/>
        </w:rPr>
        <w:t>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（二)</w:t>
      </w:r>
      <w:r>
        <w:rPr>
          <w:rFonts w:hint="eastAsia" w:ascii="仿宋_GB2312" w:hAnsi="仿宋_GB2312" w:eastAsia="仿宋_GB2312" w:cs="仿宋_GB2312"/>
          <w:b w:val="0"/>
          <w:bCs/>
          <w:color w:val="auto"/>
          <w:sz w:val="28"/>
          <w:szCs w:val="28"/>
          <w:highlight w:val="none"/>
        </w:rPr>
        <w:t>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（三）</w:t>
      </w:r>
      <w:r>
        <w:rPr>
          <w:rFonts w:hint="eastAsia" w:ascii="仿宋_GB2312" w:hAnsi="仿宋_GB2312" w:eastAsia="仿宋_GB2312" w:cs="仿宋_GB2312"/>
          <w:b w:val="0"/>
          <w:bCs/>
          <w:color w:val="auto"/>
          <w:sz w:val="28"/>
          <w:szCs w:val="28"/>
          <w:highlight w:val="none"/>
        </w:rPr>
        <w:t>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val="0"/>
        <w:spacing w:beforeAutospacing="0" w:after="0" w:afterAutospacing="0" w:line="360" w:lineRule="auto"/>
        <w:ind w:left="0" w:lef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（四）</w:t>
      </w:r>
      <w:r>
        <w:rPr>
          <w:rFonts w:hint="eastAsia" w:ascii="仿宋_GB2312" w:hAnsi="仿宋_GB2312" w:eastAsia="仿宋_GB2312" w:cs="仿宋_GB2312"/>
          <w:b w:val="0"/>
          <w:bCs/>
          <w:color w:val="auto"/>
          <w:sz w:val="28"/>
          <w:szCs w:val="28"/>
          <w:highlight w:val="none"/>
        </w:rPr>
        <w:t>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（五）</w:t>
      </w:r>
      <w:r>
        <w:rPr>
          <w:rFonts w:hint="eastAsia" w:ascii="仿宋_GB2312" w:hAnsi="仿宋_GB2312" w:eastAsia="仿宋_GB2312" w:cs="仿宋_GB2312"/>
          <w:b w:val="0"/>
          <w:bCs/>
          <w:color w:val="auto"/>
          <w:sz w:val="28"/>
          <w:szCs w:val="28"/>
          <w:highlight w:val="none"/>
        </w:rPr>
        <w:t>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（六）</w:t>
      </w:r>
      <w:r>
        <w:rPr>
          <w:rFonts w:hint="eastAsia" w:ascii="仿宋_GB2312" w:hAnsi="仿宋_GB2312" w:eastAsia="仿宋_GB2312" w:cs="仿宋_GB2312"/>
          <w:b w:val="0"/>
          <w:bCs/>
          <w:color w:val="auto"/>
          <w:sz w:val="28"/>
          <w:szCs w:val="28"/>
          <w:highlight w:val="none"/>
        </w:rPr>
        <w:t>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（七）</w:t>
      </w:r>
      <w:r>
        <w:rPr>
          <w:rFonts w:hint="eastAsia" w:ascii="仿宋_GB2312" w:hAnsi="仿宋_GB2312" w:eastAsia="仿宋_GB2312" w:cs="仿宋_GB2312"/>
          <w:b w:val="0"/>
          <w:bCs/>
          <w:color w:val="auto"/>
          <w:sz w:val="28"/>
          <w:szCs w:val="28"/>
          <w:highlight w:val="none"/>
        </w:rPr>
        <w:t>乙方不得向甲方工作人员提供干股或红利。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宋体" w:hAnsi="宋体" w:eastAsia="宋体" w:cs="宋体"/>
          <w:b w:val="0"/>
          <w:bCs/>
          <w:color w:val="auto"/>
          <w:sz w:val="28"/>
          <w:szCs w:val="28"/>
          <w:highlight w:val="none"/>
        </w:rPr>
        <w:t>（一）</w:t>
      </w:r>
      <w:r>
        <w:rPr>
          <w:rFonts w:hint="eastAsia" w:ascii="仿宋_GB2312" w:hAnsi="仿宋_GB2312" w:eastAsia="仿宋_GB2312" w:cs="仿宋_GB2312"/>
          <w:b w:val="0"/>
          <w:bCs/>
          <w:color w:val="auto"/>
          <w:sz w:val="28"/>
          <w:szCs w:val="28"/>
          <w:highlight w:val="none"/>
        </w:rPr>
        <w:t>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（二）</w:t>
      </w:r>
      <w:r>
        <w:rPr>
          <w:rFonts w:hint="eastAsia" w:ascii="仿宋_GB2312" w:hAnsi="仿宋_GB2312" w:eastAsia="仿宋_GB2312" w:cs="仿宋_GB2312"/>
          <w:b w:val="0"/>
          <w:bCs/>
          <w:i w:val="0"/>
          <w:iCs w:val="0"/>
          <w:caps w:val="0"/>
          <w:color w:val="auto"/>
          <w:spacing w:val="0"/>
          <w:sz w:val="28"/>
          <w:szCs w:val="28"/>
          <w:highlight w:val="none"/>
        </w:rPr>
        <w:t>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Cs/>
          <w:color w:val="auto"/>
          <w:sz w:val="28"/>
          <w:szCs w:val="28"/>
          <w:highlight w:val="none"/>
        </w:rPr>
        <w:t>第七条本协议甲方、乙方双方执持数量与主合同一致。</w:t>
      </w:r>
    </w:p>
    <w:p>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84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snapToGrid w:val="0"/>
        <w:spacing w:afterAutospacing="0" w:line="360" w:lineRule="auto"/>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br w:type="page"/>
      </w:r>
    </w:p>
    <w:p>
      <w:pPr>
        <w:ind w:left="0" w:leftChars="0" w:firstLine="0" w:firstLineChars="0"/>
        <w:jc w:val="both"/>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附件3</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keepNext w:val="0"/>
        <w:keepLines w:val="0"/>
        <w:pageBreakBefore w:val="0"/>
        <w:widowControl w:val="0"/>
        <w:kinsoku/>
        <w:wordWrap/>
        <w:overflowPunct/>
        <w:topLinePunct w:val="0"/>
        <w:autoSpaceDE/>
        <w:autoSpaceDN/>
        <w:bidi w:val="0"/>
        <w:snapToGrid w:val="0"/>
        <w:spacing w:line="360" w:lineRule="auto"/>
        <w:textAlignment w:val="auto"/>
        <w:rPr>
          <w:rFonts w:ascii="仿宋_GB2312" w:hAnsi="宋体" w:eastAsia="仿宋_GB2312"/>
          <w:sz w:val="24"/>
          <w:highlight w:val="none"/>
        </w:rPr>
      </w:pP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bookmarkStart w:id="99" w:name="_Toc21391"/>
      <w:r>
        <w:rPr>
          <w:rFonts w:hint="eastAsia" w:ascii="仿宋_GB2312" w:hAnsi="仿宋_GB2312" w:eastAsia="仿宋_GB2312" w:cs="仿宋_GB2312"/>
          <w:kern w:val="0"/>
          <w:sz w:val="28"/>
          <w:szCs w:val="28"/>
          <w:highlight w:val="none"/>
        </w:rPr>
        <w:t>甲方：</w:t>
      </w:r>
      <w:r>
        <w:rPr>
          <w:rFonts w:hint="eastAsia" w:ascii="仿宋_GB2312" w:hAnsi="仿宋_GB2312" w:eastAsia="仿宋_GB2312" w:cs="仿宋_GB2312"/>
          <w:sz w:val="28"/>
          <w:szCs w:val="28"/>
          <w:highlight w:val="none"/>
        </w:rPr>
        <w:t>广州市净水有限公司</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乙方：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Style w:val="27"/>
          <w:rFonts w:hint="eastAsia" w:ascii="仿宋_GB2312" w:hAnsi="仿宋_GB2312" w:eastAsia="仿宋_GB2312" w:cs="仿宋_GB2312"/>
          <w:b w:val="0"/>
          <w:sz w:val="28"/>
          <w:szCs w:val="28"/>
          <w:highlight w:val="none"/>
          <w:u w:val="single"/>
        </w:rPr>
      </w:pPr>
    </w:p>
    <w:bookmarkEnd w:id="99"/>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本协议作为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二、甲方权责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（一）</w:t>
      </w:r>
      <w:r>
        <w:rPr>
          <w:rFonts w:hint="eastAsia" w:ascii="仿宋_GB2312" w:hAnsi="仿宋_GB2312" w:eastAsia="仿宋_GB2312" w:cs="仿宋_GB2312"/>
          <w:sz w:val="28"/>
          <w:szCs w:val="28"/>
          <w:highlight w:val="none"/>
        </w:rPr>
        <w:t>告知乙方该场所可能存在的安全风险，要求乙方在作业前应重新识别现场的安全风险并采取措施进行管控。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（二）</w:t>
      </w:r>
      <w:r>
        <w:rPr>
          <w:rFonts w:hint="eastAsia" w:ascii="仿宋_GB2312" w:hAnsi="仿宋_GB2312" w:eastAsia="仿宋_GB2312" w:cs="仿宋_GB2312"/>
          <w:sz w:val="28"/>
          <w:szCs w:val="28"/>
          <w:highlight w:val="none"/>
        </w:rPr>
        <w:t>乙方对存在问题拒不整改，或违法甲方安全管理要求的，视为违约，甲方有权按主合同相关条款对乙方进行违约金扣罚。如乙方拒不缴纳违约金的，甲方有权在履约保证金中扣除。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三、乙方权责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（一）</w:t>
      </w:r>
      <w:r>
        <w:rPr>
          <w:rFonts w:hint="eastAsia" w:ascii="仿宋_GB2312" w:hAnsi="仿宋_GB2312" w:eastAsia="仿宋_GB2312" w:cs="仿宋_GB2312"/>
          <w:sz w:val="28"/>
          <w:szCs w:val="28"/>
          <w:highlight w:val="none"/>
        </w:rPr>
        <w:t>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（二）</w:t>
      </w:r>
      <w:r>
        <w:rPr>
          <w:rFonts w:hint="eastAsia" w:ascii="仿宋_GB2312" w:hAnsi="仿宋_GB2312" w:eastAsia="仿宋_GB2312" w:cs="仿宋_GB2312"/>
          <w:sz w:val="28"/>
          <w:szCs w:val="28"/>
          <w:highlight w:val="none"/>
        </w:rPr>
        <w:t>根据乙方单位管理制度及合同约定的本次工作，制定相应的应急预案。明确发生突发事件时，相关人员按预案开展应急处置工作。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（三）</w:t>
      </w:r>
      <w:r>
        <w:rPr>
          <w:rFonts w:hint="eastAsia" w:ascii="仿宋_GB2312" w:hAnsi="仿宋_GB2312" w:eastAsia="仿宋_GB2312" w:cs="仿宋_GB2312"/>
          <w:sz w:val="28"/>
          <w:szCs w:val="28"/>
          <w:highlight w:val="none"/>
        </w:rPr>
        <w:t>严格执行国家、地方和行业主管部门的强制性标准、地方行政法规、管理要求。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（四）</w:t>
      </w:r>
      <w:r>
        <w:rPr>
          <w:rFonts w:hint="eastAsia" w:ascii="仿宋_GB2312" w:hAnsi="仿宋_GB2312" w:eastAsia="仿宋_GB2312" w:cs="仿宋_GB2312"/>
          <w:sz w:val="28"/>
          <w:szCs w:val="28"/>
          <w:highlight w:val="none"/>
        </w:rPr>
        <w:t>遵守甲方制定的安全管理要求。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（五）</w:t>
      </w:r>
      <w:r>
        <w:rPr>
          <w:rFonts w:hint="eastAsia" w:ascii="仿宋_GB2312" w:hAnsi="仿宋_GB2312" w:eastAsia="仿宋_GB2312" w:cs="仿宋_GB2312"/>
          <w:sz w:val="28"/>
          <w:szCs w:val="28"/>
          <w:highlight w:val="none"/>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（六）</w:t>
      </w:r>
      <w:r>
        <w:rPr>
          <w:rFonts w:hint="eastAsia" w:ascii="仿宋_GB2312" w:hAnsi="仿宋_GB2312" w:eastAsia="仿宋_GB2312" w:cs="仿宋_GB2312"/>
          <w:sz w:val="28"/>
          <w:szCs w:val="28"/>
          <w:highlight w:val="none"/>
        </w:rPr>
        <w:t>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（七）</w:t>
      </w:r>
      <w:r>
        <w:rPr>
          <w:rFonts w:hint="eastAsia" w:ascii="仿宋_GB2312" w:hAnsi="仿宋_GB2312" w:eastAsia="仿宋_GB2312" w:cs="仿宋_GB2312"/>
          <w:sz w:val="28"/>
          <w:szCs w:val="28"/>
          <w:highlight w:val="none"/>
        </w:rPr>
        <w:t>乙方聘请、委托的个人或单位，违反本协议的，全部责任均由乙方承担。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四、事故责任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（一）</w:t>
      </w:r>
      <w:r>
        <w:rPr>
          <w:rFonts w:hint="eastAsia" w:ascii="仿宋_GB2312" w:hAnsi="仿宋_GB2312" w:eastAsia="仿宋_GB2312" w:cs="仿宋_GB2312"/>
          <w:sz w:val="28"/>
          <w:szCs w:val="28"/>
          <w:highlight w:val="none"/>
        </w:rPr>
        <w:t>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（二）</w:t>
      </w:r>
      <w:r>
        <w:rPr>
          <w:rFonts w:hint="eastAsia" w:ascii="仿宋_GB2312" w:hAnsi="仿宋_GB2312" w:eastAsia="仿宋_GB2312" w:cs="仿宋_GB2312"/>
          <w:sz w:val="28"/>
          <w:szCs w:val="28"/>
          <w:highlight w:val="none"/>
        </w:rPr>
        <w:t>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（三）</w:t>
      </w:r>
      <w:r>
        <w:rPr>
          <w:rFonts w:hint="eastAsia" w:ascii="仿宋_GB2312" w:hAnsi="仿宋_GB2312" w:eastAsia="仿宋_GB2312" w:cs="仿宋_GB2312"/>
          <w:sz w:val="28"/>
          <w:szCs w:val="28"/>
          <w:highlight w:val="none"/>
        </w:rPr>
        <w:t>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（四）</w:t>
      </w:r>
      <w:r>
        <w:rPr>
          <w:rFonts w:hint="eastAsia" w:ascii="仿宋_GB2312" w:hAnsi="仿宋_GB2312" w:eastAsia="仿宋_GB2312" w:cs="仿宋_GB2312"/>
          <w:sz w:val="28"/>
          <w:szCs w:val="28"/>
          <w:highlight w:val="none"/>
        </w:rPr>
        <w:t>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（五）</w:t>
      </w:r>
      <w:r>
        <w:rPr>
          <w:rFonts w:hint="eastAsia" w:ascii="仿宋_GB2312" w:hAnsi="仿宋_GB2312" w:eastAsia="仿宋_GB2312" w:cs="仿宋_GB2312"/>
          <w:sz w:val="28"/>
          <w:szCs w:val="28"/>
          <w:highlight w:val="none"/>
        </w:rPr>
        <w:t>乙方各类人员在甲方生产区域内发生人身伤害事故和其他事故，由乙方负责调查、处理和统计上报，并报甲方安全监督部门备案。</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（六）</w:t>
      </w:r>
      <w:r>
        <w:rPr>
          <w:rFonts w:hint="eastAsia" w:ascii="仿宋_GB2312" w:hAnsi="仿宋_GB2312" w:eastAsia="仿宋_GB2312" w:cs="仿宋_GB2312"/>
          <w:sz w:val="28"/>
          <w:szCs w:val="28"/>
          <w:highlight w:val="none"/>
        </w:rPr>
        <w:t>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（七）</w:t>
      </w:r>
      <w:r>
        <w:rPr>
          <w:rFonts w:hint="eastAsia" w:ascii="仿宋_GB2312" w:hAnsi="仿宋_GB2312" w:eastAsia="仿宋_GB2312" w:cs="仿宋_GB2312"/>
          <w:sz w:val="28"/>
          <w:szCs w:val="28"/>
          <w:highlight w:val="none"/>
        </w:rPr>
        <w:t>委托的第三方运输单位或个人，违反本协议的，全部责任均由乙方承担。</w:t>
      </w:r>
    </w:p>
    <w:p>
      <w:pPr>
        <w:pStyle w:val="37"/>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五、补充条款：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六、附则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（一）</w:t>
      </w:r>
      <w:r>
        <w:rPr>
          <w:rFonts w:hint="eastAsia" w:ascii="仿宋_GB2312" w:hAnsi="仿宋_GB2312" w:eastAsia="仿宋_GB2312" w:cs="仿宋_GB2312"/>
          <w:sz w:val="28"/>
          <w:szCs w:val="28"/>
          <w:highlight w:val="none"/>
        </w:rPr>
        <w:t>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宋体" w:hAnsi="宋体" w:eastAsia="宋体" w:cs="宋体"/>
          <w:sz w:val="28"/>
          <w:szCs w:val="28"/>
          <w:highlight w:val="none"/>
        </w:rPr>
        <w:t>（二）</w:t>
      </w:r>
      <w:r>
        <w:rPr>
          <w:rFonts w:hint="eastAsia" w:ascii="仿宋_GB2312" w:hAnsi="仿宋_GB2312" w:eastAsia="仿宋_GB2312" w:cs="仿宋_GB2312"/>
          <w:sz w:val="28"/>
          <w:szCs w:val="28"/>
          <w:highlight w:val="none"/>
        </w:rPr>
        <w:t>本协议与主合同同时签订、同时终止、同时生效，具有相同的法律效力，自甲方、乙方双方签字、盖章生效，甲方、乙方双方执持数量与主合同一致。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numPr>
          <w:ilvl w:val="12"/>
          <w:numId w:val="0"/>
        </w:numPr>
        <w:spacing w:line="460" w:lineRule="exact"/>
        <w:ind w:left="0" w:leftChars="0" w:firstLine="0" w:firstLineChars="0"/>
        <w:rPr>
          <w:rFonts w:hint="default" w:ascii="宋体" w:hAnsi="宋体" w:cs="宋体"/>
          <w:color w:val="auto"/>
          <w:sz w:val="32"/>
          <w:szCs w:val="32"/>
          <w:highlight w:val="none"/>
          <w:lang w:val="en-US" w:eastAsia="zh-CN"/>
        </w:rPr>
      </w:pPr>
      <w:r>
        <w:rPr>
          <w:rFonts w:hint="eastAsia" w:ascii="仿宋_GB2312" w:hAnsi="仿宋_GB2312" w:eastAsia="仿宋_GB2312" w:cs="仿宋_GB2312"/>
          <w:b/>
          <w:bCs/>
          <w:sz w:val="24"/>
          <w:szCs w:val="24"/>
          <w:highlight w:val="none"/>
          <w:lang w:val="en-US" w:eastAsia="zh-CN"/>
        </w:rPr>
        <w:t>附件 4 UPS</w:t>
      </w:r>
      <w:r>
        <w:rPr>
          <w:rFonts w:hint="eastAsia" w:ascii="仿宋_GB2312" w:hAnsi="仿宋_GB2312" w:eastAsia="仿宋_GB2312" w:cs="仿宋_GB2312"/>
          <w:b w:val="0"/>
          <w:color w:val="auto"/>
          <w:sz w:val="24"/>
          <w:szCs w:val="24"/>
          <w:highlight w:val="none"/>
        </w:rPr>
        <w:t>设备详细清单</w:t>
      </w:r>
    </w:p>
    <w:p>
      <w:pPr>
        <w:pStyle w:val="23"/>
        <w:ind w:left="0" w:leftChars="0" w:firstLine="0" w:firstLineChars="0"/>
        <w:rPr>
          <w:rFonts w:hint="default" w:asciiTheme="minorEastAsia" w:hAnsiTheme="minorEastAsia" w:eastAsiaTheme="minorEastAsia" w:cstheme="minorEastAsia"/>
          <w:b/>
          <w:bCs/>
          <w:sz w:val="21"/>
          <w:szCs w:val="21"/>
          <w:highlight w:val="none"/>
          <w:lang w:val="en-US" w:eastAsia="zh-CN"/>
        </w:rPr>
      </w:pPr>
    </w:p>
    <w:tbl>
      <w:tblPr>
        <w:tblStyle w:val="24"/>
        <w:tblW w:w="7870" w:type="dxa"/>
        <w:tblInd w:w="-5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5"/>
        <w:gridCol w:w="3018"/>
        <w:gridCol w:w="1864"/>
        <w:gridCol w:w="1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6"/>
                <w:szCs w:val="26"/>
                <w:u w:val="none"/>
              </w:rPr>
            </w:pPr>
            <w:r>
              <w:rPr>
                <w:rStyle w:val="52"/>
                <w:rFonts w:hint="eastAsia" w:ascii="仿宋_GB2312" w:hAnsi="仿宋_GB2312" w:eastAsia="仿宋_GB2312" w:cs="仿宋_GB2312"/>
                <w:lang w:val="en-US" w:eastAsia="zh-CN" w:bidi="ar"/>
              </w:rPr>
              <w:t>序号</w:t>
            </w:r>
          </w:p>
        </w:tc>
        <w:tc>
          <w:tcPr>
            <w:tcW w:w="30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6"/>
                <w:szCs w:val="26"/>
                <w:u w:val="none"/>
              </w:rPr>
            </w:pPr>
            <w:r>
              <w:rPr>
                <w:rStyle w:val="52"/>
                <w:rFonts w:hint="eastAsia" w:ascii="仿宋_GB2312" w:hAnsi="仿宋_GB2312" w:eastAsia="仿宋_GB2312" w:cs="仿宋_GB2312"/>
                <w:lang w:val="en-US" w:eastAsia="zh-CN" w:bidi="ar"/>
              </w:rPr>
              <w:t>位置</w:t>
            </w:r>
          </w:p>
        </w:tc>
        <w:tc>
          <w:tcPr>
            <w:tcW w:w="18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6"/>
                <w:szCs w:val="26"/>
                <w:u w:val="none"/>
              </w:rPr>
            </w:pPr>
            <w:r>
              <w:rPr>
                <w:rStyle w:val="52"/>
                <w:rFonts w:hint="eastAsia" w:ascii="仿宋_GB2312" w:hAnsi="仿宋_GB2312" w:eastAsia="仿宋_GB2312" w:cs="仿宋_GB2312"/>
                <w:lang w:val="en-US" w:eastAsia="zh-CN" w:bidi="ar"/>
              </w:rPr>
              <w:t>主机型号</w:t>
            </w:r>
          </w:p>
        </w:tc>
        <w:tc>
          <w:tcPr>
            <w:tcW w:w="18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6"/>
                <w:szCs w:val="26"/>
                <w:u w:val="none"/>
              </w:rPr>
            </w:pPr>
            <w:r>
              <w:rPr>
                <w:rStyle w:val="52"/>
                <w:rFonts w:hint="eastAsia" w:ascii="仿宋_GB2312" w:hAnsi="仿宋_GB2312" w:eastAsia="仿宋_GB2312" w:cs="仿宋_GB231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旧厂污水泵房PLC柜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APC 1000UX</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三万吨PLC柜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APC 1000UX</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一期1#PLC柜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color w:val="000000"/>
                <w:sz w:val="21"/>
                <w:szCs w:val="21"/>
                <w:u w:val="none"/>
                <w:lang w:val="en-US" w:eastAsia="zh-CN"/>
              </w:rPr>
              <w:t>山特  C1KS</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一期2#PLC柜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color w:val="000000"/>
                <w:sz w:val="21"/>
                <w:szCs w:val="21"/>
                <w:u w:val="none"/>
                <w:lang w:val="en-US" w:eastAsia="zh-CN"/>
              </w:rPr>
              <w:t>山特  C1KS</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三期脱水机房PLC柜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APC 2200UX</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一期进水流量计</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APC 1000UX</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二期进水流量计</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APC 1000UX</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旧厂出水流量计</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APC 1000</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二期3#PLC柜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APC 1000UX</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一二期进水在线站房</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color w:val="000000"/>
                <w:kern w:val="0"/>
                <w:sz w:val="21"/>
                <w:szCs w:val="21"/>
                <w:u w:val="none"/>
                <w:lang w:val="en-US" w:eastAsia="zh-CN" w:bidi="ar"/>
              </w:rPr>
              <w:t>山特  castle 3ks</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一二期出水在线站房设备</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color w:val="000000"/>
                <w:kern w:val="0"/>
                <w:sz w:val="21"/>
                <w:szCs w:val="21"/>
                <w:u w:val="none"/>
                <w:lang w:val="en-US" w:eastAsia="zh-CN" w:bidi="ar"/>
              </w:rPr>
              <w:t>山特  castle 3ks</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一二期出水在线站房电脑</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color w:val="000000"/>
                <w:kern w:val="0"/>
                <w:sz w:val="21"/>
                <w:szCs w:val="21"/>
                <w:u w:val="none"/>
                <w:lang w:val="en-US" w:eastAsia="zh-CN" w:bidi="ar"/>
              </w:rPr>
              <w:t>山特  castle 1ks</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一期滤池PLC柜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EAST EA620S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二期滤池PLC柜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EAST EA620S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三期1# PLC柜</w:t>
            </w:r>
          </w:p>
        </w:tc>
        <w:tc>
          <w:tcPr>
            <w:tcW w:w="1864"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EAST EA620S</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三期2# PLC柜</w:t>
            </w:r>
          </w:p>
        </w:tc>
        <w:tc>
          <w:tcPr>
            <w:tcW w:w="1864"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EAST EA620S</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三期鼓风机房PLC柜</w:t>
            </w:r>
          </w:p>
        </w:tc>
        <w:tc>
          <w:tcPr>
            <w:tcW w:w="1864"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APC SUA1000UXICH</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主机故障（更换了APC 1000内置电池）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三期旋流式</w:t>
            </w:r>
          </w:p>
        </w:tc>
        <w:tc>
          <w:tcPr>
            <w:tcW w:w="1864"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APC SUA1000UXICH</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三期加氯间PLC柜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APC 2200UX</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三期进水在线站房</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color w:val="000000"/>
                <w:kern w:val="0"/>
                <w:sz w:val="21"/>
                <w:szCs w:val="21"/>
                <w:u w:val="none"/>
                <w:lang w:val="en-US" w:eastAsia="zh-CN" w:bidi="ar"/>
              </w:rPr>
              <w:t>山特 castle 3ks</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三期出水流量计</w:t>
            </w:r>
          </w:p>
        </w:tc>
        <w:tc>
          <w:tcPr>
            <w:tcW w:w="1864"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山特 SUA1000UXICH</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22</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三期出水在线站房设备</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color w:val="000000"/>
                <w:kern w:val="0"/>
                <w:sz w:val="21"/>
                <w:szCs w:val="21"/>
                <w:u w:val="none"/>
                <w:lang w:val="en-US" w:eastAsia="zh-CN" w:bidi="ar"/>
              </w:rPr>
              <w:t>山特 castle 3ks</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23</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三期出水在线站房电脑</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color w:val="000000"/>
                <w:kern w:val="0"/>
                <w:sz w:val="21"/>
                <w:szCs w:val="21"/>
                <w:u w:val="none"/>
                <w:lang w:val="en-US" w:eastAsia="zh-CN" w:bidi="ar"/>
              </w:rPr>
              <w:t>山特 castle 3ks</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三期滤池PLC柜</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EAST EA620S</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25</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干化车间</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APC Smart-UPS 1000</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26</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干化车间</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APC castle 10ks</w:t>
            </w:r>
          </w:p>
        </w:tc>
        <w:tc>
          <w:tcPr>
            <w:tcW w:w="1893"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27</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干化车间</w:t>
            </w:r>
          </w:p>
        </w:tc>
        <w:tc>
          <w:tcPr>
            <w:tcW w:w="186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APC Smart-UPS 1000</w:t>
            </w: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28</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旧厂二氧化氯间PLC柜</w:t>
            </w:r>
          </w:p>
        </w:tc>
        <w:tc>
          <w:tcPr>
            <w:tcW w:w="1864"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rPr>
            </w:pPr>
          </w:p>
        </w:tc>
        <w:tc>
          <w:tcPr>
            <w:tcW w:w="189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53"/>
                <w:rFonts w:hint="eastAsia" w:ascii="仿宋_GB2312" w:hAnsi="仿宋_GB2312" w:eastAsia="仿宋_GB2312" w:cs="仿宋_GB2312"/>
                <w:lang w:val="en-US" w:eastAsia="zh-CN" w:bidi="ar"/>
              </w:rPr>
              <w:t>增设UPS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29</w:t>
            </w:r>
          </w:p>
        </w:tc>
        <w:tc>
          <w:tcPr>
            <w:tcW w:w="30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Style w:val="53"/>
                <w:rFonts w:hint="eastAsia" w:ascii="仿宋_GB2312" w:hAnsi="仿宋_GB2312" w:eastAsia="仿宋_GB2312" w:cs="仿宋_GB2312"/>
                <w:lang w:val="en-US" w:eastAsia="zh-CN" w:bidi="ar"/>
              </w:rPr>
              <w:t>一二期超越阀EPS</w:t>
            </w:r>
          </w:p>
        </w:tc>
        <w:tc>
          <w:tcPr>
            <w:tcW w:w="1864" w:type="dxa"/>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WYJ-40KW</w:t>
            </w:r>
          </w:p>
        </w:tc>
        <w:tc>
          <w:tcPr>
            <w:tcW w:w="1893" w:type="dxa"/>
            <w:tcBorders>
              <w:top w:val="nil"/>
              <w:left w:val="single" w:color="000000" w:sz="8" w:space="0"/>
              <w:bottom w:val="single" w:color="000000" w:sz="8" w:space="0"/>
              <w:right w:val="single" w:color="000000" w:sz="8" w:space="0"/>
            </w:tcBorders>
            <w:noWrap/>
            <w:vAlign w:val="center"/>
          </w:tcPr>
          <w:p>
            <w:pPr>
              <w:jc w:val="center"/>
              <w:rPr>
                <w:rFonts w:hint="eastAsia" w:ascii="仿宋_GB2312" w:hAnsi="仿宋_GB2312" w:eastAsia="仿宋_GB2312" w:cs="仿宋_GB2312"/>
                <w:i w:val="0"/>
                <w:iCs w:val="0"/>
                <w:color w:val="000000"/>
                <w:sz w:val="22"/>
                <w:szCs w:val="22"/>
                <w:u w:val="none"/>
              </w:rPr>
            </w:pPr>
          </w:p>
        </w:tc>
      </w:tr>
    </w:tbl>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附件 5 报价单</w:t>
      </w:r>
    </w:p>
    <w:p>
      <w:pPr>
        <w:ind w:left="0" w:leftChars="0" w:firstLine="0" w:firstLineChars="0"/>
        <w:rPr>
          <w:rFonts w:hint="default"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 xml:space="preserve">                              </w:t>
      </w:r>
    </w:p>
    <w:tbl>
      <w:tblPr>
        <w:tblStyle w:val="2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05"/>
        <w:gridCol w:w="1645"/>
        <w:gridCol w:w="404"/>
        <w:gridCol w:w="777"/>
        <w:gridCol w:w="709"/>
        <w:gridCol w:w="1222"/>
        <w:gridCol w:w="1366"/>
        <w:gridCol w:w="54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733" w:type="dxa"/>
            <w:gridSpan w:val="10"/>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维护费用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1750" w:type="dxa"/>
            <w:gridSpan w:val="2"/>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5025" w:type="dxa"/>
            <w:gridSpan w:val="6"/>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项目内容</w:t>
            </w:r>
          </w:p>
        </w:tc>
        <w:tc>
          <w:tcPr>
            <w:tcW w:w="1138"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750" w:type="dxa"/>
            <w:gridSpan w:val="2"/>
            <w:noWrap w:val="0"/>
            <w:vAlign w:val="center"/>
          </w:tcPr>
          <w:p>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APC 1000UX </w:t>
            </w:r>
          </w:p>
        </w:tc>
        <w:tc>
          <w:tcPr>
            <w:tcW w:w="5025" w:type="dxa"/>
            <w:gridSpan w:val="6"/>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eastAsia="仿宋_GB2312" w:hAnsiTheme="minorEastAsia" w:cstheme="minorBidi"/>
                <w:b w:val="0"/>
                <w:bCs w:val="0"/>
                <w:color w:val="auto"/>
                <w:sz w:val="28"/>
                <w:szCs w:val="28"/>
                <w:highlight w:val="none"/>
                <w:lang w:val="en-US" w:eastAsia="zh-CN"/>
              </w:rPr>
              <w:t>每月预防性维护服务对UPS电源设备进行可用性检查，解决检查中发现的问题，及时处理，并出具月度巡检报告；每季度预防性维护服务对UPS电源设备进行检查测试，包含但不限于放电测试、检测电池运行转换、检查UPS电源设备所有控制线路及带电线路绝缘是否良好、检查设备内各接线端子是否完好紧固、检查设备旁路工作是否正常、检测UPS电源设备电池是否正常，每季度维护检查完后，出具季度巡检报告。</w:t>
            </w:r>
          </w:p>
        </w:tc>
        <w:tc>
          <w:tcPr>
            <w:tcW w:w="1138" w:type="dxa"/>
            <w:noWrap w:val="0"/>
            <w:vAlign w:val="center"/>
          </w:tcPr>
          <w:p>
            <w:pPr>
              <w:pStyle w:val="21"/>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750" w:type="dxa"/>
            <w:gridSpan w:val="2"/>
            <w:noWrap w:val="0"/>
            <w:vAlign w:val="center"/>
          </w:tcPr>
          <w:p>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APC 2200UX</w:t>
            </w:r>
          </w:p>
        </w:tc>
        <w:tc>
          <w:tcPr>
            <w:tcW w:w="5025" w:type="dxa"/>
            <w:gridSpan w:val="6"/>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1750" w:type="dxa"/>
            <w:gridSpan w:val="2"/>
            <w:noWrap w:val="0"/>
            <w:vAlign w:val="center"/>
          </w:tcPr>
          <w:p>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山特主机 </w:t>
            </w:r>
          </w:p>
        </w:tc>
        <w:tc>
          <w:tcPr>
            <w:tcW w:w="5025" w:type="dxa"/>
            <w:gridSpan w:val="6"/>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1750" w:type="dxa"/>
            <w:gridSpan w:val="2"/>
            <w:noWrap w:val="0"/>
            <w:vAlign w:val="center"/>
          </w:tcPr>
          <w:p>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EA620S 内置 </w:t>
            </w:r>
          </w:p>
        </w:tc>
        <w:tc>
          <w:tcPr>
            <w:tcW w:w="5025" w:type="dxa"/>
            <w:gridSpan w:val="6"/>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1750" w:type="dxa"/>
            <w:gridSpan w:val="2"/>
            <w:noWrap w:val="0"/>
            <w:vAlign w:val="center"/>
          </w:tcPr>
          <w:p>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eastAsia="仿宋_GB2312" w:hAnsiTheme="minorEastAsia" w:cstheme="minorBidi"/>
                <w:color w:val="auto"/>
                <w:sz w:val="22"/>
                <w:szCs w:val="22"/>
                <w:highlight w:val="none"/>
                <w:lang w:val="en-US" w:eastAsia="zh-CN"/>
              </w:rPr>
              <w:t xml:space="preserve">APC </w:t>
            </w:r>
            <w:r>
              <w:rPr>
                <w:rFonts w:hint="eastAsia" w:ascii="仿宋_GB2312" w:hAnsi="仿宋_GB2312" w:eastAsia="仿宋_GB2312" w:cs="仿宋_GB2312"/>
                <w:color w:val="auto"/>
                <w:kern w:val="2"/>
                <w:sz w:val="24"/>
                <w:szCs w:val="24"/>
                <w:highlight w:val="none"/>
                <w:lang w:val="en-US" w:eastAsia="zh-CN" w:bidi="ar-SA"/>
              </w:rPr>
              <w:t xml:space="preserve">UPS </w:t>
            </w:r>
          </w:p>
        </w:tc>
        <w:tc>
          <w:tcPr>
            <w:tcW w:w="5025" w:type="dxa"/>
            <w:gridSpan w:val="6"/>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noWrap w:val="0"/>
            <w:vAlign w:val="center"/>
          </w:tcPr>
          <w:p>
            <w:pPr>
              <w:pStyle w:val="21"/>
              <w:jc w:val="center"/>
              <w:rPr>
                <w:rFonts w:hint="eastAsia" w:ascii="仿宋_GB2312" w:hAnsi="仿宋_GB2312" w:eastAsia="仿宋_GB2312" w:cs="仿宋_GB2312"/>
                <w:spacing w:val="-5"/>
                <w:sz w:val="26"/>
                <w:szCs w:val="26"/>
                <w:lang w:val="en-US" w:eastAsia="zh-CN"/>
              </w:rPr>
            </w:pPr>
            <w:r>
              <w:rPr>
                <w:rFonts w:hint="eastAsia" w:ascii="仿宋_GB2312" w:hAnsi="仿宋_GB2312" w:eastAsia="仿宋_GB2312" w:cs="仿宋_GB2312"/>
                <w:spacing w:val="-5"/>
                <w:sz w:val="26"/>
                <w:szCs w:val="26"/>
                <w:lang w:val="en-US" w:eastAsia="zh-CN"/>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1750" w:type="dxa"/>
            <w:gridSpan w:val="2"/>
            <w:noWrap w:val="0"/>
            <w:vAlign w:val="center"/>
          </w:tcPr>
          <w:p>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WYJ-40KW</w:t>
            </w:r>
          </w:p>
        </w:tc>
        <w:tc>
          <w:tcPr>
            <w:tcW w:w="5025" w:type="dxa"/>
            <w:gridSpan w:val="6"/>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noWrap w:val="0"/>
            <w:vAlign w:val="center"/>
          </w:tcPr>
          <w:p>
            <w:pPr>
              <w:pStyle w:val="21"/>
              <w:jc w:val="center"/>
              <w:rPr>
                <w:rFonts w:hint="default" w:ascii="仿宋_GB2312" w:hAnsi="仿宋_GB2312" w:eastAsia="仿宋_GB2312" w:cs="仿宋_GB2312"/>
                <w:spacing w:val="-5"/>
                <w:sz w:val="26"/>
                <w:szCs w:val="26"/>
                <w:lang w:val="en-US" w:eastAsia="zh-CN"/>
              </w:rPr>
            </w:pPr>
            <w:r>
              <w:rPr>
                <w:rFonts w:hint="eastAsia" w:ascii="仿宋_GB2312" w:hAnsi="仿宋_GB2312" w:eastAsia="仿宋_GB2312" w:cs="仿宋_GB2312"/>
                <w:spacing w:val="-5"/>
                <w:sz w:val="26"/>
                <w:szCs w:val="26"/>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733" w:type="dxa"/>
            <w:gridSpan w:val="10"/>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lang w:val="en-US" w:eastAsia="zh-CN" w:bidi="ar-SA"/>
              </w:rPr>
              <w:t>每年维护费用限价17200元，按季度支付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733" w:type="dxa"/>
            <w:gridSpan w:val="10"/>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配件费用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2049" w:type="dxa"/>
            <w:gridSpan w:val="2"/>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777"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09"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22"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366"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685" w:type="dxa"/>
            <w:gridSpan w:val="2"/>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1</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40K主电源板</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块</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40K驱动板</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块</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3</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40K整流驱动板IGBT</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块</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40K MJ 电容</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5</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断路器开关</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熔断器开关</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7</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40K屏幕更换</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APC1000（主板）</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APC2000（主板）</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山特主机（主板）</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EA620S内置主板</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APC1000（风扇）</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13</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APC2000（风扇）</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14</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山特主机（风扇）</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EA620S（风扇）</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bookmarkStart w:id="150" w:name="_GoBack"/>
            <w:bookmarkEnd w:id="150"/>
            <w:r>
              <w:rPr>
                <w:rFonts w:hint="eastAsia" w:ascii="仿宋_GB2312" w:hAnsi="仿宋_GB2312" w:eastAsia="仿宋_GB2312" w:cs="仿宋_GB2312"/>
                <w:sz w:val="24"/>
                <w:szCs w:val="24"/>
                <w:highlight w:val="none"/>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16</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C-8电池柜</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17</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38AH蓄电池</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18</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65AH蓄电池</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19</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9AH电池</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25"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20</w:t>
            </w:r>
          </w:p>
        </w:tc>
        <w:tc>
          <w:tcPr>
            <w:tcW w:w="2049" w:type="dxa"/>
            <w:gridSpan w:val="2"/>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100AH电池</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682" w:type="dxa"/>
            <w:gridSpan w:val="7"/>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合计（元）</w:t>
            </w:r>
          </w:p>
        </w:tc>
        <w:tc>
          <w:tcPr>
            <w:tcW w:w="136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685" w:type="dxa"/>
            <w:gridSpan w:val="2"/>
            <w:noWrap w:val="0"/>
            <w:vAlign w:val="center"/>
          </w:tcPr>
          <w:p>
            <w:pPr>
              <w:pStyle w:val="21"/>
              <w:jc w:val="center"/>
              <w:rPr>
                <w:rFonts w:hint="eastAsia" w:ascii="仿宋_GB2312" w:hAnsi="仿宋_GB2312" w:eastAsia="仿宋_GB2312" w:cs="仿宋_GB2312"/>
                <w:kern w:val="2"/>
                <w:sz w:val="24"/>
                <w:szCs w:val="24"/>
                <w:highlight w:val="none"/>
                <w:vertAlign w:val="baseline"/>
                <w:lang w:val="en-US" w:eastAsia="zh-CN" w:bidi="ar-SA"/>
              </w:rPr>
            </w:pPr>
          </w:p>
        </w:tc>
      </w:tr>
    </w:tbl>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附件6：消防安全管理协议书</w:t>
      </w:r>
    </w:p>
    <w:p>
      <w:pPr>
        <w:keepNext w:val="0"/>
        <w:keepLines w:val="0"/>
        <w:widowControl/>
        <w:suppressLineNumbers w:val="0"/>
        <w:spacing w:before="0" w:beforeAutospacing="0" w:after="0" w:afterAutospacing="0"/>
        <w:ind w:left="0" w:right="0"/>
        <w:jc w:val="center"/>
        <w:rPr>
          <w:rFonts w:ascii="仿宋_GB2312" w:eastAsia="仿宋_GB2312" w:cs="仿宋_GB2312"/>
          <w:sz w:val="32"/>
          <w:szCs w:val="32"/>
        </w:rPr>
      </w:pPr>
      <w:r>
        <w:rPr>
          <w:rFonts w:ascii="方正小标宋简体" w:hAnsi="方正小标宋简体" w:eastAsia="方正小标宋简体" w:cs="方正小标宋简体"/>
          <w:i w:val="0"/>
          <w:iCs w:val="0"/>
          <w:caps w:val="0"/>
          <w:color w:val="000000"/>
          <w:spacing w:val="0"/>
          <w:kern w:val="0"/>
          <w:sz w:val="44"/>
          <w:szCs w:val="44"/>
          <w:lang w:val="en-US" w:eastAsia="zh-CN" w:bidi="ar"/>
        </w:rPr>
        <w:t>消防安全管理协议书</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甲方：</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乙方：</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为加强和规范消防安全管理，预防火灾事故，明确甲乙双方消防安全责任和义务，保障人员生命、财产安全，根据《中华人民共和国消防法》、《消防安全责任制实施办法》（国办发〔2017〕87号）、《机关、团体、企业、事业企业消防安全管理规定》（公安部第61号令）、《广东省实施〈中华人民共和国消防法〉办法》等法律、法规的规定，经过甲乙双方共同协商，特制定消防安全管理协议书，甲乙双方共同遵守执行。</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一、总则</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1.甲乙双方应遵守国家、省、市有关消防安全的法律、法规、规章，贯彻“预防为主、防消结合”的方针，履行消防安全职责，保障人员生命、财产安全。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2.甲方、乙方明确专人为本协议的消防安全责任（管理）人，对本协议涉及的场所、场地、区域、施工作业项目的消防安全工作进行管理。</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3.甲乙双方应当逐级落实消防安全责任制，明确逐级岗位人员的消防安全职责。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二、甲乙双方消防安全责任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1.贯彻执行国家、省、市消防安全法律、法规和规章，确保消防安全工作符合法规规定。</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2.为消防安全工作提供必要的经费投入、组织和物资保障。</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3.建立并落实消防安全制度、操作规程、灭火和应急疏散预案。</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4.组织消防安全检查，督促落实隐患整改，及时处理消防安全重大问题。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5.组织所属人员开展消防安全知识宣传、教育培训，并定期组织灭火和应急疏散演练。</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6.协助、配合有关部门对所涉及的消防安全事故的调查、取证工作。</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三、甲方消防安全责任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1.制定并落实消防安全制度，落实层级消防安全责任，开展消防安全知识宣传、教育培训。</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2.对乙方开展定期或不定期消防安全检查，发现隐患的，要求乙方立即整改；乙方不能立即整改的，甲方发出隐患整改通知书要求乙方限期整改、消除隐患。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3.督促乙方落实消防安全措施、整改消防隐患以及及时处理消防安全重大问题。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四、乙方消防安全责任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1.掌握本协议书涉及的场所、场地、区域、施工作业项目的消防安全情况，服从甲方的消防安全管理，并承担相应消防安全责任。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2.建立健全消防安全组织架构，明确并落实相关人员的消防安全责任。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3.建立并落实消防安全制度、操作规程和灭火和应急疏散预案，落实防火措施。</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4.依法办理有关消防安全设施、所需的消防审核、报批手续，并经主管部门验收合格后方可投入使用。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5.负责监护甲方配置给乙方的消防设施、设备、灭火器材和消防安全警示标识，未经甲方许可乙方不得损坏、遮挡、占用或随意移动位置或挪做他用，不得占用、堵塞安全出口、疏散通道、消防车通道、防火卷帘门等部位，影响其功能及使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6.配备、保障所属消防设施、设备、灭火器材和消防安全警示标识完好、有效，并进行定期检查、维修</w:t>
      </w:r>
      <w:r>
        <w:rPr>
          <w:rFonts w:hint="eastAsia" w:ascii="仿宋_GB2312" w:eastAsia="仿宋_GB2312" w:cs="仿宋_GB2312"/>
          <w:i w:val="0"/>
          <w:iCs w:val="0"/>
          <w:caps w:val="0"/>
          <w:color w:val="000000"/>
          <w:spacing w:val="0"/>
          <w:kern w:val="0"/>
          <w:sz w:val="32"/>
          <w:szCs w:val="32"/>
          <w:lang w:val="en-US" w:eastAsia="zh-CN" w:bidi="ar"/>
        </w:rPr>
        <w:t>维护</w:t>
      </w:r>
      <w:r>
        <w:rPr>
          <w:rFonts w:hint="default" w:ascii="仿宋_GB2312" w:eastAsia="仿宋_GB2312" w:cs="仿宋_GB2312" w:hAnsiTheme="minorHAnsi"/>
          <w:i w:val="0"/>
          <w:iCs w:val="0"/>
          <w:caps w:val="0"/>
          <w:color w:val="000000"/>
          <w:spacing w:val="0"/>
          <w:kern w:val="0"/>
          <w:sz w:val="32"/>
          <w:szCs w:val="32"/>
          <w:lang w:val="en-US" w:eastAsia="zh-CN" w:bidi="ar"/>
        </w:rPr>
        <w:t>、检测，保证正常运转；维护、</w:t>
      </w:r>
      <w:r>
        <w:rPr>
          <w:rFonts w:hint="eastAsia" w:ascii="仿宋_GB2312" w:eastAsia="仿宋_GB2312" w:cs="仿宋_GB2312"/>
          <w:i w:val="0"/>
          <w:iCs w:val="0"/>
          <w:caps w:val="0"/>
          <w:color w:val="000000"/>
          <w:spacing w:val="0"/>
          <w:kern w:val="0"/>
          <w:sz w:val="32"/>
          <w:szCs w:val="32"/>
          <w:lang w:val="en-US" w:eastAsia="zh-CN" w:bidi="ar"/>
        </w:rPr>
        <w:t>维护</w:t>
      </w:r>
      <w:r>
        <w:rPr>
          <w:rFonts w:hint="default" w:ascii="仿宋_GB2312" w:eastAsia="仿宋_GB2312" w:cs="仿宋_GB2312" w:hAnsiTheme="minorHAnsi"/>
          <w:i w:val="0"/>
          <w:iCs w:val="0"/>
          <w:caps w:val="0"/>
          <w:color w:val="000000"/>
          <w:spacing w:val="0"/>
          <w:kern w:val="0"/>
          <w:sz w:val="32"/>
          <w:szCs w:val="32"/>
          <w:lang w:val="en-US" w:eastAsia="zh-CN" w:bidi="ar"/>
        </w:rPr>
        <w:t>、检测应当作好记录，并由有关人员签字；在有效期结束前或使用后及时更换或填充材料。</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7.将容易发生火灾或一旦发生火灾可能严重危及人身和财产安全的部位确定为消防安全重点部位，设置明显的防火标志，实行严格管理，落实防火措施。</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8.对所属人员进行消防知识培训、火警发生后逃生、自救技能的学习，提高其消防安全意识、对初发火灾的自扑自救能力，使其能正确使用消防设施、设备、灭火器材，落实“会报警、会使用灭火器、懂灭火、懂疏散”的要求。</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9.落实专/兼职消防安全管理人员，对消防控制室（监控中心）人员、自动消防设施操作人员、电（气）焊工、电工等特殊岗位、工种人员做到持证上岗，要依时培训、年审。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10.组建义务消防队，制定火警火灾处置程序，定期组织开展火警火灾处置程序的演练，一旦发生火灾应按处置程序积极组织扑救，迅速疏散人员。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11.严禁超负荷使用电器，严禁私拉乱用电源、不安全灯具；严禁存放、使用煤气、汽油、酒精、雷管、炸药等易燃、易爆、危险化学品；严格禁止“生产、仓储、住宿”为一体的“三合一”现象。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12.若需动用明火作业的，严格实行动火作业票审批制度，并报请甲方审批。严禁私自动火作业。</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13.配合甲方的消防安全检查并及时落实整改；同时对自查发现存在的火灾隐患，应及时消除。</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14.参加甲方或有关企业、部门组织的消防安全教育培训和消防演练，并履行相应义务。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15.当发生火灾时，应第一时间向甲方和公安消防部门报告。</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16.如发生由乙方原因造成的火灾责任事故，乙方应自行承担全部责任。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五、消防安全隐患整改</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1.对下列违反消防安全的行为，甲方应责成乙方立即整改并督促落实，对违反规定情况和整改情况应记录在案、存档备查：</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（1）使用、储存易燃易爆危险化学品的。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（2）私自使用明火、动火作业，或者在具有火灾、爆炸危险的场所吸烟、使用明火、动火作业，或者在具有火灾、爆炸危险的场所吸烟、使用明火、动火作业的。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（3）将安全出口上锁、遮挡或者占用、堆放物品影响防火卷帘门、疏散通道、消防车通道畅通的。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（4）消火栓、灭火器材被遮挡、影响使用或者被挪作他用的。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（5）消防设施管理、值班人员和防火巡查人员脱岗的。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（6）违章关闭消防设施、切断消防电源的。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（7）乱接乱拉电线、使用不安全灯具、超负荷使用电气设备的。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（8）存在“三合一”场所的。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（9）其他违反消防安全的行为。</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2.对不能立即整改的消防隐患，甲方有权向乙方发出消防安全整改通知书，提出整改方案，责令乙方在规定期限内整改完成。</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3.在隐患未消除之前，甲方应督促乙方落实防范措施，保障安全。不能确保安全的、随时有可能引发火灾或者一旦发生火灾将严重危及人身安全的，甲方有权勒令乙方无条件整改或撤离人员。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4.消防安全隐患整改完毕，乙方应将整改情况记录报送甲方签字确认后存档备查。</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5.对于乙方确无能力解决的重大消防安全隐患，乙方应及时向甲方报告。</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6.若乙方未在规定期限内完成整改或乙方拒绝配合整改的，且无正当理由的，甲方有权自行予以整改，产生的整改费由乙方负责支付，拒不支付的，甲方有权从乙方租金、工程进度款、运营服务费等款项中予以扣除，不足以扣除部分，甲方将通过其他途径（如合同违约条款）扣除或采取法律途径予以追缴；必要时，甲方有权或申请有关行政部门扣减乙方的诚信评价分数。若发生安全事故的，甲方可将乙方纳入到甲方的招投标黑名单中，有权申请有关行政部门暂停乙方在一段时期内不得参加甲方招标项目的投标资格。</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本协议书</w:t>
      </w:r>
      <w:r>
        <w:rPr>
          <w:rFonts w:hint="eastAsia" w:ascii="仿宋_GB2312" w:eastAsia="仿宋_GB2312" w:cs="仿宋_GB2312"/>
          <w:i w:val="0"/>
          <w:iCs w:val="0"/>
          <w:caps w:val="0"/>
          <w:color w:val="000000"/>
          <w:spacing w:val="0"/>
          <w:kern w:val="0"/>
          <w:sz w:val="32"/>
          <w:szCs w:val="32"/>
          <w:lang w:val="en-US" w:eastAsia="zh-CN" w:bidi="ar"/>
        </w:rPr>
        <w:t>甲乙双方执持数量与主合同一致</w:t>
      </w:r>
      <w:r>
        <w:rPr>
          <w:rFonts w:hint="default" w:ascii="仿宋_GB2312" w:eastAsia="仿宋_GB2312" w:cs="仿宋_GB2312" w:hAnsiTheme="minorHAnsi"/>
          <w:i w:val="0"/>
          <w:iCs w:val="0"/>
          <w:caps w:val="0"/>
          <w:color w:val="000000"/>
          <w:spacing w:val="0"/>
          <w:kern w:val="0"/>
          <w:sz w:val="32"/>
          <w:szCs w:val="32"/>
          <w:lang w:val="en-US" w:eastAsia="zh-CN" w:bidi="ar"/>
        </w:rPr>
        <w:t>，双方明确有效期限。</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甲方（盖章）：</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乙方（盖章）：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甲方签字：</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乙方签字:</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联系电话：</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联系电话：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联系地址：</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联系地址：</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签定时间：</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年</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月  日</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签定时间：  年  月  日</w:t>
      </w:r>
    </w:p>
    <w:p>
      <w:pPr>
        <w:pStyle w:val="5"/>
        <w:ind w:firstLine="0"/>
        <w:rPr>
          <w:rFonts w:hint="eastAsia"/>
          <w:color w:val="auto"/>
          <w:highlight w:val="none"/>
        </w:rPr>
      </w:pPr>
    </w:p>
    <w:p>
      <w:pPr>
        <w:pStyle w:val="5"/>
        <w:ind w:firstLine="0"/>
        <w:rPr>
          <w:rFonts w:hint="eastAsia"/>
          <w:color w:val="auto"/>
          <w:highlight w:val="none"/>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附件7：消防安全承诺书</w:t>
      </w:r>
    </w:p>
    <w:p>
      <w:pPr>
        <w:keepNext w:val="0"/>
        <w:keepLines w:val="0"/>
        <w:widowControl/>
        <w:suppressLineNumbers w:val="0"/>
        <w:spacing w:before="0" w:beforeAutospacing="0" w:after="0" w:afterAutospacing="0"/>
        <w:ind w:left="0" w:right="0" w:firstLine="640"/>
        <w:jc w:val="left"/>
        <w:rPr>
          <w:rFonts w:hint="eastAsia" w:ascii="仿宋_GB2312" w:eastAsia="仿宋_GB2312" w:cs="仿宋_GB2312" w:hAnsiTheme="minorHAnsi"/>
          <w:i w:val="0"/>
          <w:iCs w:val="0"/>
          <w:caps w:val="0"/>
          <w:color w:val="000000"/>
          <w:spacing w:val="0"/>
          <w:kern w:val="0"/>
          <w:sz w:val="32"/>
          <w:szCs w:val="32"/>
          <w:lang w:val="en-US" w:eastAsia="zh-CN" w:bidi="ar"/>
        </w:rPr>
      </w:pPr>
      <w:r>
        <w:rPr>
          <w:rFonts w:hint="eastAsia" w:asciiTheme="minorEastAsia" w:hAnsiTheme="minorEastAsia" w:cstheme="minorEastAsia"/>
          <w:b/>
          <w:bCs/>
          <w:sz w:val="21"/>
          <w:szCs w:val="21"/>
          <w:highlight w:val="none"/>
          <w:lang w:val="en-US" w:eastAsia="zh-CN"/>
        </w:rPr>
        <w:t xml:space="preserve">                     </w:t>
      </w:r>
      <w:r>
        <w:rPr>
          <w:rFonts w:hint="eastAsia" w:ascii="仿宋_GB2312" w:eastAsia="仿宋_GB2312" w:cs="仿宋_GB2312" w:hAnsiTheme="minorHAnsi"/>
          <w:i w:val="0"/>
          <w:iCs w:val="0"/>
          <w:caps w:val="0"/>
          <w:color w:val="000000"/>
          <w:spacing w:val="0"/>
          <w:kern w:val="0"/>
          <w:sz w:val="32"/>
          <w:szCs w:val="32"/>
          <w:lang w:val="en-US" w:eastAsia="zh-CN" w:bidi="ar"/>
        </w:rPr>
        <w:t xml:space="preserve">  消防安全承诺书</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hAnsiTheme="minorHAnsi"/>
          <w:i w:val="0"/>
          <w:iCs w:val="0"/>
          <w:caps w:val="0"/>
          <w:color w:val="000000"/>
          <w:spacing w:val="0"/>
          <w:kern w:val="0"/>
          <w:sz w:val="32"/>
          <w:szCs w:val="32"/>
          <w:lang w:val="en-US" w:eastAsia="zh-CN" w:bidi="ar"/>
        </w:rPr>
      </w:pPr>
      <w:r>
        <w:rPr>
          <w:rFonts w:hint="eastAsia" w:ascii="仿宋_GB2312" w:eastAsia="仿宋_GB2312" w:cs="仿宋_GB2312" w:hAnsiTheme="minorHAnsi"/>
          <w:i w:val="0"/>
          <w:iCs w:val="0"/>
          <w:caps w:val="0"/>
          <w:color w:val="000000"/>
          <w:spacing w:val="0"/>
          <w:kern w:val="0"/>
          <w:sz w:val="32"/>
          <w:szCs w:val="32"/>
          <w:lang w:val="en-US" w:eastAsia="zh-CN" w:bidi="ar"/>
        </w:rPr>
        <w:t xml:space="preserve">  </w:t>
      </w:r>
      <w:r>
        <w:rPr>
          <w:rFonts w:hint="default" w:ascii="仿宋_GB2312" w:eastAsia="仿宋_GB2312" w:cs="仿宋_GB2312" w:hAnsiTheme="minorHAnsi"/>
          <w:i w:val="0"/>
          <w:iCs w:val="0"/>
          <w:caps w:val="0"/>
          <w:color w:val="000000"/>
          <w:spacing w:val="0"/>
          <w:kern w:val="0"/>
          <w:sz w:val="32"/>
          <w:szCs w:val="32"/>
          <w:lang w:val="en-US" w:eastAsia="zh-CN" w:bidi="ar"/>
        </w:rPr>
        <w:t>为贯彻执行《中华人民共和国消防法》《消防安全责任制  实施办法》 (国办法〔2017〕87号) 《机关、团体、企业、事业单位消防安全管理规定》 (公安部令第61号)和《广东省实施〈中华人民共和国消防法》办法》(广东省人大常委会公告第48号)等法律法规，落实消防安全主体责任，配备专职消防安全管理人、兼职消防安全管理人，确保消防安全，我单位郑重承诺认真开展自查自纠，对发现的隐患问题，承诺在规定时间内完成整改。</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hAnsiTheme="minorHAnsi"/>
          <w:i w:val="0"/>
          <w:iCs w:val="0"/>
          <w:caps w:val="0"/>
          <w:color w:val="000000"/>
          <w:spacing w:val="0"/>
          <w:kern w:val="0"/>
          <w:sz w:val="32"/>
          <w:szCs w:val="32"/>
          <w:lang w:val="en-US" w:eastAsia="zh-CN" w:bidi="ar"/>
        </w:rPr>
      </w:pPr>
      <w:r>
        <w:rPr>
          <w:rFonts w:hint="default" w:ascii="仿宋_GB2312" w:eastAsia="仿宋_GB2312" w:cs="仿宋_GB2312" w:hAnsiTheme="minorHAnsi"/>
          <w:i w:val="0"/>
          <w:iCs w:val="0"/>
          <w:caps w:val="0"/>
          <w:color w:val="000000"/>
          <w:spacing w:val="0"/>
          <w:kern w:val="0"/>
          <w:sz w:val="32"/>
          <w:szCs w:val="32"/>
          <w:lang w:val="en-US" w:eastAsia="zh-CN" w:bidi="ar"/>
        </w:rPr>
        <w:t>我单位将自愿接受社会公众的监督，依照承诺书内容履行好 承诺，严格按照相关消防法律法规做好消防工作，若有违反，依 据《中华人民共和国消防法》和《广东省实施&lt;中华人民共和国</w:t>
      </w:r>
    </w:p>
    <w:p>
      <w:pPr>
        <w:keepNext w:val="0"/>
        <w:keepLines w:val="0"/>
        <w:widowControl/>
        <w:suppressLineNumbers w:val="0"/>
        <w:spacing w:before="0" w:beforeAutospacing="0" w:after="0" w:afterAutospacing="0"/>
        <w:ind w:right="0"/>
        <w:jc w:val="left"/>
        <w:rPr>
          <w:rFonts w:hint="default" w:ascii="仿宋_GB2312" w:eastAsia="仿宋_GB2312" w:cs="仿宋_GB2312" w:hAnsiTheme="minorHAnsi"/>
          <w:i w:val="0"/>
          <w:iCs w:val="0"/>
          <w:caps w:val="0"/>
          <w:color w:val="000000"/>
          <w:spacing w:val="0"/>
          <w:kern w:val="0"/>
          <w:sz w:val="32"/>
          <w:szCs w:val="32"/>
          <w:lang w:val="en-US" w:eastAsia="zh-CN" w:bidi="ar"/>
        </w:rPr>
      </w:pPr>
      <w:r>
        <w:rPr>
          <w:rFonts w:hint="default" w:ascii="仿宋_GB2312" w:eastAsia="仿宋_GB2312" w:cs="仿宋_GB2312" w:hAnsiTheme="minorHAnsi"/>
          <w:i w:val="0"/>
          <w:iCs w:val="0"/>
          <w:caps w:val="0"/>
          <w:color w:val="000000"/>
          <w:spacing w:val="0"/>
          <w:kern w:val="0"/>
          <w:sz w:val="32"/>
          <w:szCs w:val="32"/>
          <w:lang w:val="en-US" w:eastAsia="zh-CN" w:bidi="ar"/>
        </w:rPr>
        <w:t>消防法〉办法》的有关规定，我单位将承担相关法律责任，切实</w:t>
      </w:r>
    </w:p>
    <w:p>
      <w:pPr>
        <w:keepNext w:val="0"/>
        <w:keepLines w:val="0"/>
        <w:widowControl/>
        <w:suppressLineNumbers w:val="0"/>
        <w:spacing w:before="0" w:beforeAutospacing="0" w:after="0" w:afterAutospacing="0"/>
        <w:ind w:right="0"/>
        <w:jc w:val="left"/>
        <w:rPr>
          <w:rFonts w:hint="default" w:ascii="仿宋_GB2312" w:eastAsia="仿宋_GB2312" w:cs="仿宋_GB2312" w:hAnsiTheme="minorHAnsi"/>
          <w:i w:val="0"/>
          <w:iCs w:val="0"/>
          <w:caps w:val="0"/>
          <w:color w:val="000000"/>
          <w:spacing w:val="0"/>
          <w:kern w:val="0"/>
          <w:sz w:val="32"/>
          <w:szCs w:val="32"/>
          <w:lang w:val="en-US" w:eastAsia="zh-CN" w:bidi="ar"/>
        </w:rPr>
      </w:pPr>
      <w:r>
        <w:rPr>
          <w:rFonts w:hint="default" w:ascii="仿宋_GB2312" w:eastAsia="仿宋_GB2312" w:cs="仿宋_GB2312" w:hAnsiTheme="minorHAnsi"/>
          <w:i w:val="0"/>
          <w:iCs w:val="0"/>
          <w:caps w:val="0"/>
          <w:color w:val="000000"/>
          <w:spacing w:val="0"/>
          <w:kern w:val="0"/>
          <w:sz w:val="32"/>
          <w:szCs w:val="32"/>
          <w:lang w:val="en-US" w:eastAsia="zh-CN" w:bidi="ar"/>
        </w:rPr>
        <w:t>做到安全自查、隐患自除、责任自负、接受监督</w:t>
      </w:r>
      <w:r>
        <w:rPr>
          <w:rFonts w:hint="eastAsia" w:ascii="仿宋_GB2312" w:eastAsia="仿宋_GB2312" w:cs="仿宋_GB2312"/>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hAnsiTheme="minorHAnsi"/>
          <w:i w:val="0"/>
          <w:iCs w:val="0"/>
          <w:caps w:val="0"/>
          <w:color w:val="000000"/>
          <w:spacing w:val="0"/>
          <w:kern w:val="0"/>
          <w:sz w:val="32"/>
          <w:szCs w:val="32"/>
          <w:lang w:val="en-US" w:eastAsia="zh-CN" w:bidi="ar"/>
        </w:rPr>
      </w:pPr>
      <w:r>
        <w:rPr>
          <w:rFonts w:hint="default" w:ascii="仿宋_GB2312" w:eastAsia="仿宋_GB2312" w:cs="仿宋_GB2312" w:hAnsiTheme="minorHAnsi"/>
          <w:i w:val="0"/>
          <w:iCs w:val="0"/>
          <w:caps w:val="0"/>
          <w:color w:val="000000"/>
          <w:spacing w:val="0"/>
          <w:kern w:val="0"/>
          <w:sz w:val="32"/>
          <w:szCs w:val="32"/>
          <w:lang w:val="en-US" w:eastAsia="zh-CN" w:bidi="ar"/>
        </w:rPr>
        <w:t>本承诺书甲方、乙方双方执持数量与主合同一致。</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hAnsiTheme="minorHAnsi"/>
          <w:i w:val="0"/>
          <w:iCs w:val="0"/>
          <w:caps w:val="0"/>
          <w:color w:val="000000"/>
          <w:spacing w:val="0"/>
          <w:kern w:val="0"/>
          <w:sz w:val="32"/>
          <w:szCs w:val="32"/>
          <w:lang w:val="en-US" w:eastAsia="zh-CN" w:bidi="ar"/>
        </w:rPr>
      </w:pPr>
      <w:r>
        <w:rPr>
          <w:rFonts w:hint="default" w:ascii="仿宋_GB2312" w:eastAsia="仿宋_GB2312" w:cs="仿宋_GB2312" w:hAnsiTheme="minorHAnsi"/>
          <w:i w:val="0"/>
          <w:iCs w:val="0"/>
          <w:caps w:val="0"/>
          <w:color w:val="000000"/>
          <w:spacing w:val="0"/>
          <w:kern w:val="0"/>
          <w:sz w:val="32"/>
          <w:szCs w:val="32"/>
          <w:lang w:val="en-US" w:eastAsia="zh-CN" w:bidi="ar"/>
        </w:rPr>
        <w:t>承诺单位(公章):</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hAnsiTheme="minorHAnsi"/>
          <w:i w:val="0"/>
          <w:iCs w:val="0"/>
          <w:caps w:val="0"/>
          <w:color w:val="000000"/>
          <w:spacing w:val="0"/>
          <w:kern w:val="0"/>
          <w:sz w:val="32"/>
          <w:szCs w:val="32"/>
          <w:lang w:val="en-US" w:eastAsia="zh-CN" w:bidi="ar"/>
        </w:rPr>
      </w:pPr>
      <w:r>
        <w:rPr>
          <w:rFonts w:hint="default" w:ascii="仿宋_GB2312" w:eastAsia="仿宋_GB2312" w:cs="仿宋_GB2312" w:hAnsiTheme="minorHAnsi"/>
          <w:i w:val="0"/>
          <w:iCs w:val="0"/>
          <w:caps w:val="0"/>
          <w:color w:val="000000"/>
          <w:spacing w:val="0"/>
          <w:kern w:val="0"/>
          <w:sz w:val="32"/>
          <w:szCs w:val="32"/>
          <w:lang w:val="en-US" w:eastAsia="zh-CN" w:bidi="ar"/>
        </w:rPr>
        <w:t>承诺人(签名):</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hAnsiTheme="minorHAnsi"/>
          <w:i w:val="0"/>
          <w:iCs w:val="0"/>
          <w:caps w:val="0"/>
          <w:color w:val="000000"/>
          <w:spacing w:val="0"/>
          <w:kern w:val="0"/>
          <w:sz w:val="32"/>
          <w:szCs w:val="32"/>
          <w:lang w:val="en-US" w:eastAsia="zh-CN" w:bidi="ar"/>
        </w:rPr>
      </w:pPr>
      <w:r>
        <w:rPr>
          <w:rFonts w:hint="default" w:ascii="仿宋_GB2312" w:eastAsia="仿宋_GB2312" w:cs="仿宋_GB2312" w:hAnsiTheme="minorHAnsi"/>
          <w:i w:val="0"/>
          <w:iCs w:val="0"/>
          <w:caps w:val="0"/>
          <w:color w:val="000000"/>
          <w:spacing w:val="0"/>
          <w:kern w:val="0"/>
          <w:sz w:val="32"/>
          <w:szCs w:val="32"/>
          <w:lang w:val="en-US" w:eastAsia="zh-CN" w:bidi="ar"/>
        </w:rPr>
        <w:t>消防安全责任人(签名):</w:t>
      </w:r>
    </w:p>
    <w:p>
      <w:pPr>
        <w:keepNext w:val="0"/>
        <w:keepLines w:val="0"/>
        <w:widowControl/>
        <w:suppressLineNumbers w:val="0"/>
        <w:spacing w:before="0" w:beforeAutospacing="0" w:after="0" w:afterAutospacing="0"/>
        <w:ind w:left="0" w:right="0" w:firstLine="5126" w:firstLineChars="1602"/>
        <w:jc w:val="left"/>
        <w:rPr>
          <w:rFonts w:hint="default" w:ascii="仿宋_GB2312" w:eastAsia="仿宋_GB2312" w:cs="仿宋_GB2312" w:hAnsiTheme="minorHAnsi"/>
          <w:i w:val="0"/>
          <w:iCs w:val="0"/>
          <w:caps w:val="0"/>
          <w:color w:val="000000"/>
          <w:spacing w:val="0"/>
          <w:kern w:val="0"/>
          <w:sz w:val="32"/>
          <w:szCs w:val="32"/>
          <w:lang w:val="en-US" w:eastAsia="zh-CN" w:bidi="ar"/>
        </w:rPr>
      </w:pPr>
      <w:r>
        <w:rPr>
          <w:rFonts w:hint="default" w:ascii="仿宋_GB2312" w:eastAsia="仿宋_GB2312" w:cs="仿宋_GB2312" w:hAnsiTheme="minorHAnsi"/>
          <w:i w:val="0"/>
          <w:iCs w:val="0"/>
          <w:caps w:val="0"/>
          <w:color w:val="000000"/>
          <w:spacing w:val="0"/>
          <w:kern w:val="0"/>
          <w:sz w:val="32"/>
          <w:szCs w:val="32"/>
          <w:lang w:val="en-US" w:eastAsia="zh-CN" w:bidi="ar"/>
        </w:rPr>
        <w:t>年</w:t>
      </w:r>
      <w:r>
        <w:rPr>
          <w:rFonts w:hint="eastAsia" w:ascii="仿宋_GB2312" w:eastAsia="仿宋_GB2312" w:cs="仿宋_GB2312"/>
          <w:i w:val="0"/>
          <w:iCs w:val="0"/>
          <w:caps w:val="0"/>
          <w:color w:val="000000"/>
          <w:spacing w:val="0"/>
          <w:kern w:val="0"/>
          <w:sz w:val="32"/>
          <w:szCs w:val="32"/>
          <w:lang w:val="en-US" w:eastAsia="zh-CN" w:bidi="ar"/>
        </w:rPr>
        <w:t xml:space="preserve">   </w:t>
      </w:r>
      <w:r>
        <w:rPr>
          <w:rFonts w:hint="default" w:ascii="仿宋_GB2312" w:eastAsia="仿宋_GB2312" w:cs="仿宋_GB2312" w:hAnsiTheme="minorHAnsi"/>
          <w:i w:val="0"/>
          <w:iCs w:val="0"/>
          <w:caps w:val="0"/>
          <w:color w:val="000000"/>
          <w:spacing w:val="0"/>
          <w:kern w:val="0"/>
          <w:sz w:val="32"/>
          <w:szCs w:val="32"/>
          <w:lang w:val="en-US" w:eastAsia="zh-CN" w:bidi="ar"/>
        </w:rPr>
        <w:t>月  日</w:t>
      </w:r>
    </w:p>
    <w:p>
      <w:pPr>
        <w:keepNext w:val="0"/>
        <w:keepLines w:val="0"/>
        <w:widowControl/>
        <w:suppressLineNumbers w:val="0"/>
        <w:spacing w:before="0" w:beforeAutospacing="0" w:after="0" w:afterAutospacing="0"/>
        <w:ind w:left="0" w:right="0" w:firstLine="640"/>
        <w:jc w:val="left"/>
        <w:rPr>
          <w:rFonts w:hint="eastAsia" w:ascii="仿宋_GB2312" w:eastAsia="仿宋_GB2312" w:cs="仿宋_GB2312" w:hAnsiTheme="minorHAnsi"/>
          <w:i w:val="0"/>
          <w:iCs w:val="0"/>
          <w:caps w:val="0"/>
          <w:color w:val="000000"/>
          <w:spacing w:val="0"/>
          <w:kern w:val="0"/>
          <w:sz w:val="32"/>
          <w:szCs w:val="32"/>
          <w:lang w:val="en-US" w:eastAsia="zh-CN" w:bidi="ar"/>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仿宋_GB2312" w:hAnsi="仿宋_GB2312" w:eastAsia="仿宋_GB2312" w:cs="仿宋_GB2312"/>
          <w:b/>
          <w:bCs/>
          <w:sz w:val="24"/>
          <w:szCs w:val="24"/>
          <w:highlight w:val="none"/>
          <w:lang w:val="en-US" w:eastAsia="zh-CN"/>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ind w:left="0" w:leftChars="0" w:firstLine="0" w:firstLineChars="0"/>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附件8服务评价表</w:t>
      </w:r>
    </w:p>
    <w:tbl>
      <w:tblPr>
        <w:tblStyle w:val="24"/>
        <w:tblpPr w:leftFromText="180" w:rightFromText="180" w:vertAnchor="text" w:horzAnchor="page" w:tblpX="834" w:tblpY="1353"/>
        <w:tblOverlap w:val="never"/>
        <w:tblW w:w="138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8"/>
        <w:gridCol w:w="2397"/>
        <w:gridCol w:w="1562"/>
        <w:gridCol w:w="6813"/>
        <w:gridCol w:w="1275"/>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评价内容</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赋分</w:t>
            </w:r>
          </w:p>
        </w:tc>
        <w:tc>
          <w:tcPr>
            <w:tcW w:w="6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评价标准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扣分详情</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工作质量</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50</w:t>
            </w:r>
          </w:p>
        </w:tc>
        <w:tc>
          <w:tcPr>
            <w:tcW w:w="6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按照合同要求完成</w:t>
            </w:r>
            <w:r>
              <w:rPr>
                <w:rFonts w:hint="eastAsia" w:ascii="仿宋_GB2312" w:eastAsia="仿宋_GB2312" w:cs="仿宋_GB2312"/>
                <w:i w:val="0"/>
                <w:iCs w:val="0"/>
                <w:caps w:val="0"/>
                <w:color w:val="000000"/>
                <w:spacing w:val="0"/>
                <w:kern w:val="0"/>
                <w:sz w:val="24"/>
                <w:szCs w:val="24"/>
                <w:lang w:val="en-US" w:eastAsia="zh-CN" w:bidi="ar"/>
              </w:rPr>
              <w:t>维护</w:t>
            </w:r>
            <w:r>
              <w:rPr>
                <w:rFonts w:hint="eastAsia" w:ascii="仿宋_GB2312" w:eastAsia="仿宋_GB2312" w:cs="仿宋_GB2312" w:hAnsiTheme="minorHAnsi"/>
                <w:i w:val="0"/>
                <w:iCs w:val="0"/>
                <w:caps w:val="0"/>
                <w:color w:val="000000"/>
                <w:spacing w:val="0"/>
                <w:kern w:val="0"/>
                <w:sz w:val="24"/>
                <w:szCs w:val="24"/>
                <w:lang w:val="en-US" w:eastAsia="zh-CN" w:bidi="ar"/>
              </w:rPr>
              <w:t>或维修，提供售后服务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2</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工作态度</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20</w:t>
            </w:r>
          </w:p>
        </w:tc>
        <w:tc>
          <w:tcPr>
            <w:tcW w:w="6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及时响应，态度良好</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3</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安全作业</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30</w:t>
            </w:r>
          </w:p>
        </w:tc>
        <w:tc>
          <w:tcPr>
            <w:tcW w:w="6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按照分公司要求做好安全措施，严禁发生安全事故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r>
    </w:tbl>
    <w:p>
      <w:pPr>
        <w:jc w:val="center"/>
        <w:rPr>
          <w:rFonts w:hint="default"/>
          <w:lang w:val="en-US" w:eastAsia="zh-CN"/>
        </w:rPr>
      </w:pPr>
      <w:r>
        <w:rPr>
          <w:rFonts w:hint="eastAsia" w:ascii="仿宋_GB2312" w:eastAsia="仿宋_GB2312" w:cs="仿宋_GB2312" w:hAnsiTheme="minorHAnsi"/>
          <w:b/>
          <w:bCs/>
          <w:i w:val="0"/>
          <w:iCs w:val="0"/>
          <w:caps w:val="0"/>
          <w:color w:val="000000"/>
          <w:spacing w:val="0"/>
          <w:kern w:val="0"/>
          <w:sz w:val="36"/>
          <w:szCs w:val="36"/>
          <w:lang w:val="en-US" w:eastAsia="zh-CN" w:bidi="ar"/>
        </w:rPr>
        <w:t>服务评价表</w:t>
      </w: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pStyle w:val="23"/>
        <w:ind w:left="0" w:leftChars="0" w:firstLine="0" w:firstLineChars="0"/>
        <w:rPr>
          <w:rFonts w:ascii="仿宋_GB2312" w:eastAsia="仿宋_GB2312"/>
          <w:color w:val="auto"/>
          <w:sz w:val="28"/>
          <w:szCs w:val="28"/>
          <w:highlight w:val="none"/>
        </w:rPr>
      </w:pPr>
    </w:p>
    <w:p>
      <w:pPr>
        <w:pStyle w:val="23"/>
        <w:ind w:left="0" w:leftChars="0" w:firstLine="0" w:firstLineChars="0"/>
        <w:rPr>
          <w:rFonts w:ascii="仿宋_GB2312" w:eastAsia="仿宋_GB2312"/>
          <w:color w:val="auto"/>
          <w:sz w:val="28"/>
          <w:szCs w:val="28"/>
          <w:highlight w:val="none"/>
        </w:rPr>
      </w:pPr>
    </w:p>
    <w:p>
      <w:pPr>
        <w:pStyle w:val="23"/>
        <w:ind w:left="0" w:leftChars="0" w:firstLine="0" w:firstLineChars="0"/>
        <w:rPr>
          <w:rFonts w:ascii="仿宋_GB2312" w:eastAsia="仿宋_GB2312"/>
          <w:color w:val="auto"/>
          <w:sz w:val="28"/>
          <w:szCs w:val="28"/>
          <w:highlight w:val="none"/>
        </w:rPr>
      </w:pPr>
    </w:p>
    <w:p>
      <w:pPr>
        <w:pStyle w:val="23"/>
        <w:ind w:left="0" w:leftChars="0" w:firstLine="0" w:firstLineChars="0"/>
        <w:rPr>
          <w:rFonts w:ascii="仿宋_GB2312" w:eastAsia="仿宋_GB2312"/>
          <w:color w:val="auto"/>
          <w:sz w:val="28"/>
          <w:szCs w:val="28"/>
          <w:highlight w:val="none"/>
        </w:rPr>
      </w:pPr>
    </w:p>
    <w:p>
      <w:pPr>
        <w:pStyle w:val="23"/>
        <w:ind w:left="0" w:leftChars="0" w:firstLine="0" w:firstLineChars="0"/>
        <w:rPr>
          <w:rFonts w:ascii="仿宋_GB2312" w:eastAsia="仿宋_GB2312"/>
          <w:color w:val="auto"/>
          <w:sz w:val="28"/>
          <w:szCs w:val="28"/>
          <w:highlight w:val="none"/>
        </w:rPr>
        <w:sectPr>
          <w:pgSz w:w="16838" w:h="11906" w:orient="landscape"/>
          <w:pgMar w:top="1588" w:right="2098" w:bottom="1474" w:left="1985" w:header="851" w:footer="992" w:gutter="0"/>
          <w:pgNumType w:start="0"/>
          <w:cols w:space="425" w:num="1"/>
          <w:titlePg/>
          <w:docGrid w:type="lines" w:linePitch="312" w:charSpace="0"/>
        </w:sectPr>
      </w:pPr>
    </w:p>
    <w:p>
      <w:pPr>
        <w:pStyle w:val="23"/>
        <w:ind w:left="0" w:leftChars="0" w:firstLine="0" w:firstLineChars="0"/>
        <w:rPr>
          <w:rFonts w:ascii="仿宋_GB2312" w:eastAsia="仿宋_GB2312"/>
          <w:color w:val="auto"/>
          <w:sz w:val="28"/>
          <w:szCs w:val="28"/>
          <w:highlight w:val="none"/>
        </w:rPr>
      </w:pPr>
    </w:p>
    <w:p>
      <w:pPr>
        <w:pStyle w:val="23"/>
        <w:ind w:left="0" w:leftChars="0" w:firstLine="0" w:firstLineChars="0"/>
        <w:rPr>
          <w:rFonts w:ascii="仿宋_GB2312" w:eastAsia="仿宋_GB2312"/>
          <w:color w:val="auto"/>
          <w:sz w:val="28"/>
          <w:szCs w:val="28"/>
          <w:highlight w:val="none"/>
        </w:rPr>
      </w:pPr>
    </w:p>
    <w:p>
      <w:pPr>
        <w:pStyle w:val="23"/>
        <w:ind w:left="0" w:leftChars="0" w:firstLine="0" w:firstLineChars="0"/>
        <w:rPr>
          <w:rFonts w:ascii="仿宋_GB2312" w:eastAsia="仿宋_GB2312"/>
          <w:color w:val="auto"/>
          <w:sz w:val="28"/>
          <w:szCs w:val="28"/>
          <w:highlight w:val="none"/>
        </w:rPr>
      </w:pPr>
    </w:p>
    <w:p>
      <w:pPr>
        <w:pStyle w:val="2"/>
        <w:rPr>
          <w:color w:val="auto"/>
          <w:highlight w:val="none"/>
        </w:rPr>
      </w:pPr>
      <w:bookmarkStart w:id="100" w:name="_Toc21847"/>
      <w:bookmarkStart w:id="101" w:name="_Toc1563"/>
      <w:bookmarkStart w:id="102" w:name="_Toc16552"/>
      <w:bookmarkStart w:id="103" w:name="_Toc12169"/>
      <w:bookmarkStart w:id="104" w:name="_Toc8147"/>
      <w:bookmarkStart w:id="105" w:name="_Toc30824"/>
      <w:bookmarkStart w:id="106" w:name="_Toc23515"/>
      <w:bookmarkStart w:id="107" w:name="_Toc6230"/>
      <w:bookmarkStart w:id="108" w:name="_Toc5129"/>
      <w:bookmarkStart w:id="109" w:name="_Toc3723"/>
      <w:bookmarkStart w:id="110" w:name="_Toc28358"/>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0"/>
      <w:bookmarkEnd w:id="101"/>
      <w:bookmarkEnd w:id="102"/>
      <w:bookmarkEnd w:id="103"/>
      <w:bookmarkEnd w:id="104"/>
      <w:bookmarkEnd w:id="105"/>
      <w:bookmarkEnd w:id="106"/>
      <w:bookmarkEnd w:id="107"/>
      <w:bookmarkEnd w:id="108"/>
      <w:bookmarkEnd w:id="109"/>
      <w:bookmarkEnd w:id="110"/>
    </w:p>
    <w:p>
      <w:pPr>
        <w:pStyle w:val="37"/>
        <w:rPr>
          <w:color w:val="auto"/>
          <w:highlight w:val="none"/>
        </w:rPr>
      </w:pPr>
    </w:p>
    <w:p>
      <w:pPr>
        <w:pStyle w:val="2"/>
        <w:rPr>
          <w:color w:val="auto"/>
          <w:highlight w:val="none"/>
        </w:rPr>
      </w:pPr>
      <w:bookmarkStart w:id="111" w:name="_Toc87616388"/>
      <w:bookmarkStart w:id="112" w:name="_Toc21675"/>
      <w:bookmarkStart w:id="113" w:name="_Toc12769"/>
      <w:bookmarkStart w:id="114" w:name="_Toc10840"/>
      <w:bookmarkStart w:id="115" w:name="_Toc12610"/>
      <w:bookmarkStart w:id="116" w:name="_Toc5342"/>
      <w:bookmarkStart w:id="117" w:name="_Toc17119"/>
      <w:bookmarkStart w:id="118" w:name="_Toc31564"/>
      <w:bookmarkStart w:id="119" w:name="_Toc22764"/>
      <w:bookmarkStart w:id="120" w:name="_Toc24815"/>
      <w:bookmarkStart w:id="121" w:name="_Toc30157"/>
      <w:bookmarkStart w:id="122" w:name="_Toc24490"/>
      <w:bookmarkStart w:id="123" w:name="_Toc88209951"/>
      <w:r>
        <w:rPr>
          <w:rFonts w:hint="eastAsia"/>
          <w:color w:val="auto"/>
          <w:highlight w:val="none"/>
        </w:rPr>
        <w:t>响应文件</w:t>
      </w:r>
      <w:r>
        <w:rPr>
          <w:rFonts w:hint="eastAsia"/>
          <w:color w:val="auto"/>
          <w:highlight w:val="none"/>
          <w:lang w:val="en-US" w:eastAsia="zh-CN"/>
        </w:rPr>
        <w:t>格式要求</w:t>
      </w:r>
      <w:bookmarkEnd w:id="111"/>
      <w:bookmarkEnd w:id="112"/>
      <w:bookmarkEnd w:id="113"/>
      <w:bookmarkEnd w:id="114"/>
      <w:bookmarkEnd w:id="115"/>
      <w:bookmarkEnd w:id="116"/>
      <w:bookmarkEnd w:id="117"/>
      <w:bookmarkEnd w:id="118"/>
      <w:bookmarkEnd w:id="119"/>
      <w:bookmarkEnd w:id="120"/>
      <w:bookmarkEnd w:id="121"/>
      <w:bookmarkEnd w:id="122"/>
      <w:bookmarkEnd w:id="12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color w:val="auto"/>
          <w:sz w:val="30"/>
          <w:szCs w:val="30"/>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4" w:name="_Toc88209952"/>
      <w:bookmarkStart w:id="125" w:name="_Toc87616389"/>
      <w:r>
        <w:rPr>
          <w:rFonts w:hint="eastAsia" w:ascii="仿宋_GB2312" w:eastAsia="仿宋_GB2312"/>
          <w:color w:val="auto"/>
          <w:sz w:val="28"/>
          <w:szCs w:val="28"/>
          <w:highlight w:val="none"/>
        </w:rPr>
        <w:t>1.响应函</w:t>
      </w:r>
      <w:bookmarkEnd w:id="124"/>
      <w:bookmarkEnd w:id="125"/>
    </w:p>
    <w:p>
      <w:pPr>
        <w:spacing w:line="600" w:lineRule="exact"/>
        <w:rPr>
          <w:rFonts w:hint="eastAsia" w:ascii="仿宋_GB2312" w:eastAsia="仿宋_GB2312"/>
          <w:color w:val="auto"/>
          <w:sz w:val="28"/>
          <w:szCs w:val="28"/>
          <w:highlight w:val="none"/>
        </w:rPr>
      </w:pPr>
      <w:bookmarkStart w:id="126" w:name="_Toc88209953"/>
      <w:bookmarkStart w:id="127" w:name="_Toc87616390"/>
      <w:r>
        <w:rPr>
          <w:rFonts w:hint="eastAsia" w:ascii="仿宋_GB2312" w:eastAsia="仿宋_GB2312"/>
          <w:color w:val="auto"/>
          <w:sz w:val="28"/>
          <w:szCs w:val="28"/>
          <w:highlight w:val="none"/>
        </w:rPr>
        <w:t>2.法定代表人证明或授权委托书</w:t>
      </w:r>
      <w:bookmarkEnd w:id="126"/>
      <w:bookmarkEnd w:id="127"/>
      <w:bookmarkStart w:id="128" w:name="_Toc87616393"/>
      <w:bookmarkStart w:id="129"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8"/>
      <w:bookmarkEnd w:id="12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4"/>
        <w:rPr>
          <w:rFonts w:asciiTheme="minorEastAsia" w:hAnsiTheme="minorEastAsia" w:eastAsiaTheme="minorEastAsia"/>
          <w:color w:val="auto"/>
          <w:sz w:val="28"/>
          <w:szCs w:val="28"/>
          <w:highlight w:val="none"/>
        </w:rPr>
      </w:pPr>
      <w:bookmarkStart w:id="130" w:name="_Toc6313"/>
      <w:bookmarkStart w:id="131" w:name="_Toc12665"/>
      <w:bookmarkStart w:id="132" w:name="_Toc88209957"/>
      <w:bookmarkStart w:id="133" w:name="_Toc28619645"/>
      <w:bookmarkStart w:id="134" w:name="_Toc87616394"/>
      <w:r>
        <w:rPr>
          <w:rFonts w:hint="eastAsia" w:asciiTheme="minorEastAsia" w:hAnsiTheme="minorEastAsia" w:eastAsiaTheme="minorEastAsia"/>
          <w:color w:val="auto"/>
          <w:sz w:val="28"/>
          <w:szCs w:val="28"/>
          <w:highlight w:val="none"/>
        </w:rPr>
        <w:t>1.响应函</w:t>
      </w:r>
      <w:bookmarkEnd w:id="130"/>
      <w:bookmarkEnd w:id="131"/>
      <w:bookmarkEnd w:id="132"/>
      <w:bookmarkEnd w:id="133"/>
      <w:bookmarkEnd w:id="13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4"/>
        <w:rPr>
          <w:rFonts w:hint="eastAsia" w:asciiTheme="minorEastAsia" w:hAnsiTheme="minorEastAsia" w:eastAsiaTheme="minorEastAsia"/>
          <w:color w:val="auto"/>
          <w:sz w:val="28"/>
          <w:szCs w:val="28"/>
          <w:highlight w:val="none"/>
        </w:rPr>
      </w:pPr>
      <w:bookmarkStart w:id="135" w:name="_Toc22527"/>
      <w:bookmarkStart w:id="136" w:name="_Toc29833"/>
      <w:bookmarkStart w:id="137" w:name="_Toc88209958"/>
      <w:bookmarkStart w:id="138" w:name="_Toc87616395"/>
    </w:p>
    <w:p>
      <w:pPr>
        <w:rPr>
          <w:rFonts w:hint="eastAsia"/>
        </w:rPr>
      </w:pPr>
    </w:p>
    <w:p>
      <w:pPr>
        <w:pStyle w:val="4"/>
      </w:pPr>
      <w:r>
        <w:rPr>
          <w:rFonts w:hint="eastAsia" w:asciiTheme="minorEastAsia" w:hAnsiTheme="minorEastAsia" w:eastAsiaTheme="minorEastAsia"/>
          <w:color w:val="auto"/>
          <w:sz w:val="28"/>
          <w:szCs w:val="28"/>
          <w:highlight w:val="none"/>
        </w:rPr>
        <w:t>2.法定代表人证明或授权委托书</w:t>
      </w:r>
      <w:bookmarkEnd w:id="135"/>
      <w:bookmarkEnd w:id="136"/>
      <w:bookmarkEnd w:id="137"/>
      <w:bookmarkEnd w:id="13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pStyle w:val="5"/>
        <w:spacing w:after="0" w:line="600" w:lineRule="exact"/>
        <w:ind w:firstLine="0"/>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9" w:name="_Toc8086"/>
      <w:bookmarkStart w:id="140" w:name="_Toc19830"/>
      <w:bookmarkStart w:id="141" w:name="_Toc88209963"/>
      <w:bookmarkStart w:id="142"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3"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GB"/>
        </w:rPr>
        <w:t>我方郑重承诺，在参与</w:t>
      </w:r>
      <w:r>
        <w:rPr>
          <w:rFonts w:hint="eastAsia" w:ascii="仿宋_GB2312" w:hAnsi="仿宋_GB2312" w:eastAsia="仿宋_GB2312" w:cs="仿宋_GB2312"/>
          <w:color w:val="auto"/>
          <w:kern w:val="2"/>
          <w:sz w:val="24"/>
          <w:szCs w:val="24"/>
          <w:highlight w:val="none"/>
          <w:lang w:val="en-US" w:eastAsia="zh-CN"/>
        </w:rPr>
        <w:t>大坦沙分公司一二三期厂区UPS维保项目</w:t>
      </w:r>
    </w:p>
    <w:p>
      <w:pPr>
        <w:adjustRightInd w:val="0"/>
        <w:snapToGrid w:val="0"/>
        <w:spacing w:line="360" w:lineRule="auto"/>
        <w:ind w:firstLine="480"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2"/>
          <w:sz w:val="24"/>
          <w:szCs w:val="24"/>
          <w:highlight w:val="none"/>
          <w:lang w:val="en-GB" w:eastAsia="zh-CN"/>
        </w:rPr>
        <w:t>项目</w:t>
      </w:r>
      <w:r>
        <w:rPr>
          <w:rFonts w:hint="eastAsia" w:ascii="仿宋_GB2312" w:hAnsi="仿宋_GB2312" w:eastAsia="仿宋_GB2312" w:cs="仿宋_GB2312"/>
          <w:color w:val="auto"/>
          <w:kern w:val="2"/>
          <w:sz w:val="24"/>
          <w:szCs w:val="24"/>
          <w:highlight w:val="none"/>
          <w:u w:val="single"/>
          <w:lang w:val="en-GB"/>
        </w:rPr>
        <w:t xml:space="preserve">（项目编号： </w:t>
      </w:r>
      <w:r>
        <w:rPr>
          <w:rFonts w:hint="eastAsia" w:ascii="仿宋_GB2312" w:hAnsi="仿宋_GB2312" w:eastAsia="仿宋_GB2312" w:cs="仿宋_GB2312"/>
          <w:color w:val="auto"/>
          <w:kern w:val="2"/>
          <w:sz w:val="24"/>
          <w:szCs w:val="24"/>
          <w:highlight w:val="none"/>
          <w:u w:val="single"/>
          <w:lang w:val="en-GB" w:eastAsia="zh-CN"/>
        </w:rPr>
        <w:t>******</w:t>
      </w:r>
      <w:r>
        <w:rPr>
          <w:rFonts w:hint="eastAsia" w:ascii="仿宋_GB2312" w:hAnsi="仿宋_GB2312" w:eastAsia="仿宋_GB2312" w:cs="仿宋_GB2312"/>
          <w:color w:val="auto"/>
          <w:kern w:val="2"/>
          <w:sz w:val="24"/>
          <w:szCs w:val="24"/>
          <w:highlight w:val="none"/>
          <w:u w:val="single"/>
          <w:lang w:val="en-GB"/>
        </w:rPr>
        <w:t>）</w:t>
      </w:r>
      <w:r>
        <w:rPr>
          <w:rFonts w:hint="eastAsia" w:ascii="仿宋_GB2312" w:hAnsi="仿宋_GB2312" w:eastAsia="仿宋_GB2312" w:cs="仿宋_GB2312"/>
          <w:color w:val="auto"/>
          <w:kern w:val="2"/>
          <w:sz w:val="24"/>
          <w:szCs w:val="24"/>
          <w:highlight w:val="none"/>
          <w:lang w:val="en-GB"/>
        </w:rPr>
        <w:t>采购期间，未被</w:t>
      </w:r>
      <w:r>
        <w:rPr>
          <w:rFonts w:hint="eastAsia" w:ascii="仿宋_GB2312" w:hAnsi="仿宋_GB2312" w:eastAsia="仿宋_GB2312" w:cs="仿宋_GB2312"/>
          <w:color w:val="auto"/>
          <w:sz w:val="28"/>
          <w:szCs w:val="28"/>
          <w:highlight w:val="none"/>
          <w:lang w:val="en-US" w:eastAsia="zh-CN"/>
        </w:rPr>
        <w:t>列入</w:t>
      </w:r>
      <w:r>
        <w:rPr>
          <w:rFonts w:hint="eastAsia" w:ascii="仿宋_GB2312" w:hAnsi="仿宋_GB2312" w:eastAsia="仿宋_GB2312" w:cs="仿宋_GB2312"/>
          <w:color w:val="auto"/>
          <w:sz w:val="28"/>
          <w:szCs w:val="28"/>
          <w:highlight w:val="none"/>
        </w:rPr>
        <w:t>下列情形之一</w:t>
      </w:r>
      <w:r>
        <w:rPr>
          <w:rFonts w:hint="eastAsia" w:ascii="仿宋_GB2312" w:hAnsi="仿宋_GB2312" w:eastAsia="仿宋_GB2312" w:cs="仿宋_GB2312"/>
          <w:color w:val="auto"/>
          <w:sz w:val="28"/>
          <w:szCs w:val="28"/>
          <w:highlight w:val="none"/>
          <w:lang w:eastAsia="zh-CN"/>
        </w:rPr>
        <w:t>：</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GB"/>
        </w:rPr>
        <w:t>（5）处于被责令停产停业、暂扣或者吊销执照、暂扣或者吊销许可证、吊销资质证书状态。</w:t>
      </w:r>
      <w:r>
        <w:rPr>
          <w:rFonts w:hint="eastAsia" w:ascii="仿宋_GB2312" w:hAnsi="仿宋_GB2312" w:eastAsia="仿宋_GB2312" w:cs="仿宋_GB2312"/>
          <w:color w:val="auto"/>
          <w:sz w:val="24"/>
          <w:szCs w:val="24"/>
          <w:highlight w:val="none"/>
          <w:lang w:val="en-US" w:eastAsia="zh-CN"/>
        </w:rPr>
        <w:t xml:space="preserve"> </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仿宋_GB2312" w:hAnsi="仿宋_GB2312" w:eastAsia="仿宋_GB2312" w:cs="仿宋_GB2312"/>
          <w:b/>
          <w:color w:val="auto"/>
          <w:sz w:val="24"/>
          <w:szCs w:val="24"/>
          <w:highlight w:val="none"/>
        </w:rPr>
      </w:pPr>
    </w:p>
    <w:p>
      <w:pPr>
        <w:adjustRightInd w:val="0"/>
        <w:snapToGrid w:val="0"/>
        <w:spacing w:line="360" w:lineRule="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 </w:t>
      </w:r>
    </w:p>
    <w:p>
      <w:pPr>
        <w:adjustRightInd w:val="0"/>
        <w:snapToGrid w:val="0"/>
        <w:spacing w:line="360" w:lineRule="auto"/>
        <w:jc w:val="right"/>
        <w:rPr>
          <w:rFonts w:hint="eastAsia" w:ascii="仿宋_GB2312" w:hAnsi="仿宋_GB2312" w:eastAsia="仿宋_GB2312" w:cs="仿宋_GB2312"/>
          <w:color w:val="auto"/>
          <w:kern w:val="2"/>
          <w:sz w:val="24"/>
          <w:szCs w:val="24"/>
          <w:highlight w:val="none"/>
          <w:lang w:val="en-GB"/>
        </w:rPr>
      </w:pPr>
    </w:p>
    <w:p>
      <w:pPr>
        <w:adjustRightInd w:val="0"/>
        <w:snapToGrid w:val="0"/>
        <w:spacing w:line="360" w:lineRule="auto"/>
        <w:jc w:val="right"/>
        <w:rPr>
          <w:rFonts w:hint="eastAsia" w:ascii="仿宋_GB2312" w:hAnsi="仿宋_GB2312" w:eastAsia="仿宋_GB2312" w:cs="仿宋_GB2312"/>
          <w:color w:val="auto"/>
          <w:kern w:val="2"/>
          <w:sz w:val="24"/>
          <w:szCs w:val="24"/>
          <w:highlight w:val="none"/>
          <w:lang w:val="en-GB"/>
        </w:rPr>
      </w:pPr>
      <w:r>
        <w:rPr>
          <w:rFonts w:hint="eastAsia" w:ascii="仿宋_GB2312" w:hAnsi="仿宋_GB2312" w:eastAsia="仿宋_GB2312" w:cs="仿宋_GB2312"/>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仿宋_GB2312" w:hAnsi="仿宋_GB2312" w:eastAsia="仿宋_GB2312" w:cs="仿宋_GB2312"/>
          <w:color w:val="auto"/>
          <w:kern w:val="2"/>
          <w:sz w:val="24"/>
          <w:szCs w:val="24"/>
          <w:highlight w:val="none"/>
          <w:lang w:val="en-GB"/>
        </w:rPr>
        <w:t>年  月  日</w:t>
      </w:r>
    </w:p>
    <w:p>
      <w:pPr>
        <w:pStyle w:val="23"/>
        <w:ind w:firstLine="0"/>
        <w:rPr>
          <w:rFonts w:hint="eastAsia"/>
          <w:color w:val="auto"/>
          <w:highlight w:val="none"/>
          <w:lang w:eastAsia="zh-CN"/>
        </w:rPr>
      </w:pPr>
    </w:p>
    <w:p>
      <w:pPr>
        <w:pStyle w:val="23"/>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3"/>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4"/>
        <w:numPr>
          <w:ilvl w:val="0"/>
          <w:numId w:val="7"/>
        </w:numPr>
        <w:rPr>
          <w:rFonts w:asciiTheme="majorEastAsia" w:hAnsiTheme="majorEastAsia" w:eastAsiaTheme="majorEastAsia"/>
          <w:color w:val="auto"/>
          <w:sz w:val="28"/>
          <w:szCs w:val="28"/>
          <w:highlight w:val="none"/>
        </w:rPr>
      </w:pPr>
      <w:bookmarkStart w:id="144" w:name="_Toc19423"/>
      <w:bookmarkStart w:id="145" w:name="_Toc32430"/>
      <w:r>
        <w:rPr>
          <w:rFonts w:hint="eastAsia" w:asciiTheme="minorEastAsia" w:hAnsiTheme="minorEastAsia" w:eastAsiaTheme="minorEastAsia"/>
          <w:color w:val="auto"/>
          <w:sz w:val="28"/>
          <w:szCs w:val="28"/>
          <w:highlight w:val="none"/>
        </w:rPr>
        <w:t>报价</w:t>
      </w:r>
      <w:bookmarkEnd w:id="144"/>
      <w:bookmarkEnd w:id="145"/>
      <w:bookmarkStart w:id="146" w:name="_Toc16386"/>
      <w:bookmarkStart w:id="147" w:name="_Toc6058"/>
      <w:bookmarkStart w:id="148" w:name="_Toc88209965"/>
      <w:bookmarkStart w:id="149" w:name="_Toc87616402"/>
    </w:p>
    <w:p>
      <w:pPr>
        <w:pStyle w:val="13"/>
        <w:rPr>
          <w:rFonts w:hint="eastAsia"/>
          <w:lang w:val="zh-CN" w:eastAsia="zh-CN"/>
        </w:rPr>
      </w:pPr>
    </w:p>
    <w:p>
      <w:pPr>
        <w:pStyle w:val="13"/>
        <w:rPr>
          <w:rFonts w:hint="eastAsia"/>
          <w:lang w:val="zh-CN" w:eastAsia="zh-CN"/>
        </w:rPr>
      </w:pPr>
    </w:p>
    <w:p>
      <w:pPr>
        <w:ind w:left="0" w:leftChars="0" w:firstLine="0" w:firstLineChars="0"/>
        <w:rPr>
          <w:rFonts w:hint="default"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 xml:space="preserve">                              </w:t>
      </w:r>
      <w:r>
        <w:rPr>
          <w:rFonts w:hint="eastAsia" w:ascii="宋体" w:hAnsi="宋体" w:cs="宋体"/>
          <w:b w:val="0"/>
          <w:color w:val="auto"/>
          <w:sz w:val="32"/>
          <w:szCs w:val="32"/>
          <w:highlight w:val="none"/>
          <w:lang w:val="en-US" w:eastAsia="zh-CN"/>
        </w:rPr>
        <w:t>UPS设备报价表</w:t>
      </w:r>
    </w:p>
    <w:tbl>
      <w:tblPr>
        <w:tblStyle w:val="2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049"/>
        <w:gridCol w:w="777"/>
        <w:gridCol w:w="709"/>
        <w:gridCol w:w="1222"/>
        <w:gridCol w:w="1366"/>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733" w:type="dxa"/>
            <w:gridSpan w:val="7"/>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保养费用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2049"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777"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09"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22"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366"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790"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单台最高限价    （1年12次）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2049" w:type="dxa"/>
            <w:noWrap w:val="0"/>
            <w:vAlign w:val="center"/>
          </w:tcPr>
          <w:p>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APC 1000UX </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宋体" w:hAnsi="宋体" w:eastAsia="宋体" w:cs="宋体"/>
                <w:spacing w:val="-2"/>
                <w:sz w:val="26"/>
                <w:szCs w:val="26"/>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2049" w:type="dxa"/>
            <w:noWrap w:val="0"/>
            <w:vAlign w:val="center"/>
          </w:tcPr>
          <w:p>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APC 2200UX</w:t>
            </w:r>
          </w:p>
        </w:tc>
        <w:tc>
          <w:tcPr>
            <w:tcW w:w="777"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宋体" w:hAnsi="宋体" w:eastAsia="宋体" w:cs="宋体"/>
                <w:spacing w:val="-2"/>
                <w:sz w:val="26"/>
                <w:szCs w:val="26"/>
                <w:lang w:val="en-US" w:eastAsia="zh-CN"/>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2049" w:type="dxa"/>
            <w:noWrap w:val="0"/>
            <w:vAlign w:val="center"/>
          </w:tcPr>
          <w:p>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山特主机 </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宋体" w:hAnsi="宋体" w:eastAsia="宋体" w:cs="宋体"/>
                <w:spacing w:val="-2"/>
                <w:sz w:val="26"/>
                <w:szCs w:val="26"/>
                <w:lang w:val="en-US" w:eastAsia="zh-CN"/>
              </w:rPr>
              <w:t>500.</w:t>
            </w:r>
            <w:r>
              <w:rPr>
                <w:rFonts w:ascii="宋体" w:hAnsi="宋体" w:eastAsia="宋体" w:cs="宋体"/>
                <w:spacing w:val="-2"/>
                <w:sz w:val="26"/>
                <w:szCs w:val="26"/>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2049" w:type="dxa"/>
            <w:noWrap w:val="0"/>
            <w:vAlign w:val="center"/>
          </w:tcPr>
          <w:p>
            <w:pPr>
              <w:keepNext w:val="0"/>
              <w:keepLines w:val="0"/>
              <w:widowControl/>
              <w:suppressLineNumbers w:val="0"/>
              <w:jc w:val="left"/>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EA620S 内置 </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eastAsia" w:ascii="仿宋_GB2312" w:hAnsi="仿宋_GB2312" w:eastAsia="仿宋_GB2312" w:cs="仿宋_GB2312"/>
                <w:sz w:val="24"/>
                <w:szCs w:val="24"/>
                <w:highlight w:val="none"/>
                <w:vertAlign w:val="baseline"/>
                <w:lang w:val="en-US" w:eastAsia="zh-CN"/>
              </w:rPr>
            </w:pPr>
            <w:r>
              <w:rPr>
                <w:rFonts w:hint="eastAsia" w:ascii="宋体" w:hAnsi="宋体" w:eastAsia="宋体" w:cs="宋体"/>
                <w:spacing w:val="-2"/>
                <w:sz w:val="26"/>
                <w:szCs w:val="26"/>
                <w:lang w:val="en-US" w:eastAsia="zh-CN"/>
              </w:rPr>
              <w:t>500</w:t>
            </w:r>
            <w:r>
              <w:rPr>
                <w:rFonts w:ascii="宋体" w:hAnsi="宋体" w:eastAsia="宋体" w:cs="宋体"/>
                <w:spacing w:val="-5"/>
                <w:sz w:val="26"/>
                <w:szCs w:val="26"/>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2049" w:type="dxa"/>
            <w:noWrap w:val="0"/>
            <w:vAlign w:val="center"/>
          </w:tcPr>
          <w:p>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6 台 UPS </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ascii="宋体" w:hAnsi="宋体" w:eastAsia="宋体" w:cs="宋体"/>
                <w:spacing w:val="-5"/>
                <w:sz w:val="26"/>
                <w:szCs w:val="26"/>
              </w:rPr>
            </w:pPr>
            <w:r>
              <w:rPr>
                <w:rFonts w:hint="eastAsia" w:ascii="宋体" w:hAnsi="宋体" w:eastAsia="宋体" w:cs="宋体"/>
                <w:spacing w:val="-2"/>
                <w:sz w:val="26"/>
                <w:szCs w:val="26"/>
                <w:lang w:val="en-US" w:eastAsia="zh-CN"/>
              </w:rPr>
              <w:t>500</w:t>
            </w:r>
            <w:r>
              <w:rPr>
                <w:rFonts w:ascii="宋体" w:hAnsi="宋体" w:eastAsia="宋体" w:cs="宋体"/>
                <w:spacing w:val="-5"/>
                <w:sz w:val="26"/>
                <w:szCs w:val="26"/>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2049" w:type="dxa"/>
            <w:noWrap w:val="0"/>
            <w:vAlign w:val="center"/>
          </w:tcPr>
          <w:p>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WYJ-40KW</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宋体" w:hAnsi="宋体" w:eastAsia="宋体" w:cs="宋体"/>
                <w:spacing w:val="-5"/>
                <w:sz w:val="26"/>
                <w:szCs w:val="26"/>
                <w:lang w:val="en-US" w:eastAsia="zh-CN"/>
              </w:rPr>
            </w:pPr>
            <w:r>
              <w:rPr>
                <w:rFonts w:hint="eastAsia" w:ascii="宋体" w:hAnsi="宋体" w:eastAsia="宋体" w:cs="宋体"/>
                <w:spacing w:val="-5"/>
                <w:sz w:val="26"/>
                <w:szCs w:val="26"/>
                <w:lang w:val="en-US" w:eastAsia="zh-CN"/>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577" w:type="dxa"/>
            <w:gridSpan w:val="5"/>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合计（元）</w:t>
            </w: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733" w:type="dxa"/>
            <w:gridSpan w:val="7"/>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配件费用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2049"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777" w:type="dxa"/>
            <w:noWrap w:val="0"/>
            <w:vAlign w:val="center"/>
          </w:tcPr>
          <w:p>
            <w:pPr>
              <w:pStyle w:val="21"/>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09"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22" w:type="dxa"/>
            <w:noWrap w:val="0"/>
            <w:vAlign w:val="center"/>
          </w:tcPr>
          <w:p>
            <w:pPr>
              <w:pStyle w:val="21"/>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366"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790" w:type="dxa"/>
            <w:noWrap w:val="0"/>
            <w:vAlign w:val="center"/>
          </w:tcPr>
          <w:p>
            <w:pPr>
              <w:pStyle w:val="21"/>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both"/>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1</w:t>
            </w:r>
          </w:p>
        </w:tc>
        <w:tc>
          <w:tcPr>
            <w:tcW w:w="204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40K主电源板</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块</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40K驱动板</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块</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both"/>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3</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40K整流驱动板IGBT</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块</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40K MJ 电容</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both"/>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5</w:t>
            </w:r>
          </w:p>
        </w:tc>
        <w:tc>
          <w:tcPr>
            <w:tcW w:w="204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断路器开关</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熔断器开关</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7</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40K屏幕更换</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APC1000（主板）</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w:t>
            </w:r>
          </w:p>
        </w:tc>
        <w:tc>
          <w:tcPr>
            <w:tcW w:w="204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APC2000（主板）</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w:t>
            </w:r>
          </w:p>
        </w:tc>
        <w:tc>
          <w:tcPr>
            <w:tcW w:w="204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山特主机（主板）</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w:t>
            </w:r>
          </w:p>
        </w:tc>
        <w:tc>
          <w:tcPr>
            <w:tcW w:w="204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EA620S内置主板</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w:t>
            </w:r>
          </w:p>
        </w:tc>
        <w:tc>
          <w:tcPr>
            <w:tcW w:w="204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APC1000（风扇）</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13</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APC2000（风扇）</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14</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山特主机（风扇）</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EA620S（风扇）</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16</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C-8电池柜</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17</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38AH蓄电池</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18</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65AH蓄电池</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19</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9AH电池</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20</w:t>
            </w:r>
          </w:p>
        </w:tc>
        <w:tc>
          <w:tcPr>
            <w:tcW w:w="2049"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100AH电池</w:t>
            </w:r>
          </w:p>
        </w:tc>
        <w:tc>
          <w:tcPr>
            <w:tcW w:w="777"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w:t>
            </w:r>
          </w:p>
        </w:tc>
        <w:tc>
          <w:tcPr>
            <w:tcW w:w="1222" w:type="dxa"/>
            <w:noWrap w:val="0"/>
            <w:vAlign w:val="center"/>
          </w:tcPr>
          <w:p>
            <w:pPr>
              <w:pStyle w:val="21"/>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577" w:type="dxa"/>
            <w:gridSpan w:val="5"/>
            <w:noWrap w:val="0"/>
            <w:vAlign w:val="center"/>
          </w:tcPr>
          <w:p>
            <w:pPr>
              <w:pStyle w:val="21"/>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合计（元）</w:t>
            </w: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21"/>
              <w:jc w:val="center"/>
              <w:rPr>
                <w:rFonts w:hint="eastAsia" w:ascii="仿宋_GB2312" w:hAnsi="仿宋_GB2312" w:eastAsia="仿宋_GB2312" w:cs="仿宋_GB2312"/>
                <w:kern w:val="2"/>
                <w:sz w:val="24"/>
                <w:szCs w:val="24"/>
                <w:highlight w:val="none"/>
                <w:vertAlign w:val="baseline"/>
                <w:lang w:val="en-US" w:eastAsia="zh-CN" w:bidi="ar-SA"/>
              </w:rPr>
            </w:pPr>
          </w:p>
        </w:tc>
      </w:tr>
    </w:tbl>
    <w:p>
      <w:pPr>
        <w:pStyle w:val="13"/>
        <w:rPr>
          <w:rFonts w:hint="eastAsia" w:asciiTheme="minorEastAsia" w:hAnsiTheme="minorEastAsia" w:eastAsiaTheme="minorEastAsia"/>
          <w:color w:val="auto"/>
          <w:sz w:val="28"/>
          <w:szCs w:val="28"/>
          <w:highlight w:val="none"/>
        </w:rPr>
      </w:pPr>
    </w:p>
    <w:p>
      <w:pPr>
        <w:pStyle w:val="14"/>
      </w:pPr>
    </w:p>
    <w:p>
      <w:pPr>
        <w:pStyle w:val="4"/>
        <w:numPr>
          <w:ilvl w:val="0"/>
          <w:numId w:val="0"/>
        </w:numPr>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6"/>
      <w:bookmarkEnd w:id="147"/>
      <w:bookmarkEnd w:id="148"/>
      <w:bookmarkEnd w:id="149"/>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775EBC9-43FB-44D0-AC46-D085F3A3E59B}"/>
  </w:font>
  <w:font w:name="黑体">
    <w:panose1 w:val="02010609060101010101"/>
    <w:charset w:val="86"/>
    <w:family w:val="auto"/>
    <w:pitch w:val="default"/>
    <w:sig w:usb0="800002BF" w:usb1="38CF7CFA" w:usb2="00000016" w:usb3="00000000" w:csb0="00040001" w:csb1="00000000"/>
    <w:embedRegular r:id="rId2" w:fontKey="{CD82FE54-71C8-49AC-A373-E0D3FEC0EA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77995C0-F5B7-4329-8813-CCA7F4D4A9D2}"/>
  </w:font>
  <w:font w:name="方正小标宋简体">
    <w:panose1 w:val="02000000000000000000"/>
    <w:charset w:val="86"/>
    <w:family w:val="script"/>
    <w:pitch w:val="default"/>
    <w:sig w:usb0="00000001" w:usb1="08000000" w:usb2="00000000" w:usb3="00000000" w:csb0="00040000" w:csb1="00000000"/>
    <w:embedRegular r:id="rId4" w:fontKey="{8FC1191E-B698-4348-B5BF-492CEA5A6534}"/>
  </w:font>
  <w:font w:name="Cambria">
    <w:panose1 w:val="02040503050406030204"/>
    <w:charset w:val="00"/>
    <w:family w:val="roman"/>
    <w:pitch w:val="default"/>
    <w:sig w:usb0="E00002FF" w:usb1="400004FF" w:usb2="00000000" w:usb3="00000000" w:csb0="2000019F" w:csb1="00000000"/>
    <w:embedRegular r:id="rId5" w:fontKey="{10F09CDC-FBC7-43D3-A3E6-8C42FCF39D1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embedRegular r:id="rId6" w:fontKey="{1AA9328F-B975-47CD-805A-79A7F7B4EBAA}"/>
  </w:font>
  <w:font w:name="等线">
    <w:panose1 w:val="02010600030101010101"/>
    <w:charset w:val="86"/>
    <w:family w:val="auto"/>
    <w:pitch w:val="default"/>
    <w:sig w:usb0="A00002BF" w:usb1="38CF7CFA" w:usb2="00000016" w:usb3="00000000" w:csb0="0004000F" w:csb1="00000000"/>
    <w:embedRegular r:id="rId7" w:fontKey="{E67CCF87-C9B2-4087-B113-6F0FD6334EC9}"/>
  </w:font>
  <w:font w:name="仿宋_GB2312">
    <w:panose1 w:val="02010609030101010101"/>
    <w:charset w:val="86"/>
    <w:family w:val="modern"/>
    <w:pitch w:val="default"/>
    <w:sig w:usb0="00000001" w:usb1="080E0000" w:usb2="00000000" w:usb3="00000000" w:csb0="00040000" w:csb1="00000000"/>
    <w:embedRegular r:id="rId8" w:fontKey="{92A2CCE0-2AE7-4099-B06D-8C9AA12BC004}"/>
  </w:font>
  <w:font w:name="Wingdings 2">
    <w:panose1 w:val="05020102010507070707"/>
    <w:charset w:val="00"/>
    <w:family w:val="auto"/>
    <w:pitch w:val="default"/>
    <w:sig w:usb0="00000000" w:usb1="00000000" w:usb2="00000000" w:usb3="00000000" w:csb0="80000000" w:csb1="00000000"/>
    <w:embedRegular r:id="rId9" w:fontKey="{9CB94A53-83B2-48CA-B941-AE6BF211AD27}"/>
  </w:font>
  <w:font w:name="仿宋">
    <w:panose1 w:val="02010609060101010101"/>
    <w:charset w:val="86"/>
    <w:family w:val="auto"/>
    <w:pitch w:val="default"/>
    <w:sig w:usb0="800002BF" w:usb1="38CF7CFA" w:usb2="00000016" w:usb3="00000000" w:csb0="00040001" w:csb1="00000000"/>
    <w:embedRegular r:id="rId10" w:fontKey="{6C0F09C0-8477-4055-A138-FCB16C382986}"/>
  </w:font>
  <w:font w:name="Batang">
    <w:panose1 w:val="02030600000101010101"/>
    <w:charset w:val="81"/>
    <w:family w:val="auto"/>
    <w:pitch w:val="default"/>
    <w:sig w:usb0="B00002AF" w:usb1="69D77CFB" w:usb2="00000030" w:usb3="00000000" w:csb0="4008009F" w:csb1="DFD70000"/>
    <w:embedRegular r:id="rId11" w:fontKey="{766ED65B-042C-4AA4-8B48-5599D16E25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EB78B"/>
    <w:multiLevelType w:val="singleLevel"/>
    <w:tmpl w:val="B3AEB78B"/>
    <w:lvl w:ilvl="0" w:tentative="0">
      <w:start w:val="1"/>
      <w:numFmt w:val="decimal"/>
      <w:suff w:val="nothing"/>
      <w:lvlText w:val="（%1）"/>
      <w:lvlJc w:val="left"/>
    </w:lvl>
  </w:abstractNum>
  <w:abstractNum w:abstractNumId="1">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55E00C2"/>
    <w:multiLevelType w:val="singleLevel"/>
    <w:tmpl w:val="355E00C2"/>
    <w:lvl w:ilvl="0" w:tentative="0">
      <w:start w:val="5"/>
      <w:numFmt w:val="decimal"/>
      <w:lvlText w:val="%1."/>
      <w:lvlJc w:val="left"/>
      <w:pPr>
        <w:tabs>
          <w:tab w:val="left" w:pos="312"/>
        </w:tabs>
      </w:p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6"/>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YTRjZDJmY2RhN2FhZmY5MGYyZmM2NTg1NDgzY2EifQ=="/>
  </w:docVars>
  <w:rsids>
    <w:rsidRoot w:val="005D618A"/>
    <w:rsid w:val="003D60BA"/>
    <w:rsid w:val="00411689"/>
    <w:rsid w:val="005D618A"/>
    <w:rsid w:val="00911ECD"/>
    <w:rsid w:val="00982A5E"/>
    <w:rsid w:val="00A042E0"/>
    <w:rsid w:val="00B26BB1"/>
    <w:rsid w:val="00B26E21"/>
    <w:rsid w:val="00F83B64"/>
    <w:rsid w:val="013E3461"/>
    <w:rsid w:val="01F457BA"/>
    <w:rsid w:val="02090C75"/>
    <w:rsid w:val="02A23A3C"/>
    <w:rsid w:val="02A816E8"/>
    <w:rsid w:val="03266483"/>
    <w:rsid w:val="03341FD6"/>
    <w:rsid w:val="035D130A"/>
    <w:rsid w:val="035E2B6B"/>
    <w:rsid w:val="039110A9"/>
    <w:rsid w:val="03AC246A"/>
    <w:rsid w:val="03B23056"/>
    <w:rsid w:val="03DC3EBA"/>
    <w:rsid w:val="03F9794D"/>
    <w:rsid w:val="046A2461"/>
    <w:rsid w:val="0517294F"/>
    <w:rsid w:val="051C2970"/>
    <w:rsid w:val="059B5791"/>
    <w:rsid w:val="05DB5311"/>
    <w:rsid w:val="060C3611"/>
    <w:rsid w:val="06C64829"/>
    <w:rsid w:val="070E7B6E"/>
    <w:rsid w:val="077D16D2"/>
    <w:rsid w:val="078F31C8"/>
    <w:rsid w:val="082A69F3"/>
    <w:rsid w:val="08675FC8"/>
    <w:rsid w:val="09B713FD"/>
    <w:rsid w:val="09EF6ACC"/>
    <w:rsid w:val="0A315056"/>
    <w:rsid w:val="0A6345C1"/>
    <w:rsid w:val="0AA213B4"/>
    <w:rsid w:val="0AF61C7E"/>
    <w:rsid w:val="0AFB45AD"/>
    <w:rsid w:val="0B351E9B"/>
    <w:rsid w:val="0B4C50D3"/>
    <w:rsid w:val="0B664CB3"/>
    <w:rsid w:val="0B806B92"/>
    <w:rsid w:val="0B827E94"/>
    <w:rsid w:val="0B842F76"/>
    <w:rsid w:val="0BD070E1"/>
    <w:rsid w:val="0C247926"/>
    <w:rsid w:val="0D794204"/>
    <w:rsid w:val="0E2125D1"/>
    <w:rsid w:val="0E214211"/>
    <w:rsid w:val="0E5F2769"/>
    <w:rsid w:val="0F4D75A3"/>
    <w:rsid w:val="0F5B2DCA"/>
    <w:rsid w:val="0FED051E"/>
    <w:rsid w:val="0FEE4C29"/>
    <w:rsid w:val="0FF811FA"/>
    <w:rsid w:val="10031608"/>
    <w:rsid w:val="10046082"/>
    <w:rsid w:val="104974DD"/>
    <w:rsid w:val="111703D2"/>
    <w:rsid w:val="112B101A"/>
    <w:rsid w:val="119B53FC"/>
    <w:rsid w:val="11CA5D96"/>
    <w:rsid w:val="1215733B"/>
    <w:rsid w:val="12424CDC"/>
    <w:rsid w:val="129A2738"/>
    <w:rsid w:val="12B56BF1"/>
    <w:rsid w:val="12CB1A89"/>
    <w:rsid w:val="131840FB"/>
    <w:rsid w:val="13467417"/>
    <w:rsid w:val="136E76CF"/>
    <w:rsid w:val="145F08C6"/>
    <w:rsid w:val="15776308"/>
    <w:rsid w:val="1594241D"/>
    <w:rsid w:val="15BC6B3C"/>
    <w:rsid w:val="16360A7B"/>
    <w:rsid w:val="164D40B0"/>
    <w:rsid w:val="1694429A"/>
    <w:rsid w:val="17635326"/>
    <w:rsid w:val="17B803EA"/>
    <w:rsid w:val="1815096B"/>
    <w:rsid w:val="18236EFD"/>
    <w:rsid w:val="189D5B1F"/>
    <w:rsid w:val="18A34CD0"/>
    <w:rsid w:val="19A53EA8"/>
    <w:rsid w:val="19B64DBC"/>
    <w:rsid w:val="19C2650F"/>
    <w:rsid w:val="19EC6A4A"/>
    <w:rsid w:val="1A1E5348"/>
    <w:rsid w:val="1A373ACF"/>
    <w:rsid w:val="1A6607D7"/>
    <w:rsid w:val="1A895341"/>
    <w:rsid w:val="1B0D071F"/>
    <w:rsid w:val="1B4568CE"/>
    <w:rsid w:val="1B9015B7"/>
    <w:rsid w:val="1B950DA6"/>
    <w:rsid w:val="1BF54245"/>
    <w:rsid w:val="1C625023"/>
    <w:rsid w:val="1CA42FF7"/>
    <w:rsid w:val="1CD6156D"/>
    <w:rsid w:val="1D0014E4"/>
    <w:rsid w:val="1D0E6976"/>
    <w:rsid w:val="1D5A79EE"/>
    <w:rsid w:val="1DF148B0"/>
    <w:rsid w:val="1E0E2CD0"/>
    <w:rsid w:val="1E3A5EB2"/>
    <w:rsid w:val="1E6E0EED"/>
    <w:rsid w:val="1E831280"/>
    <w:rsid w:val="1EBC4704"/>
    <w:rsid w:val="1F172EB5"/>
    <w:rsid w:val="1F94592D"/>
    <w:rsid w:val="1FB860DE"/>
    <w:rsid w:val="1FD75CB5"/>
    <w:rsid w:val="203C5A02"/>
    <w:rsid w:val="209D4C94"/>
    <w:rsid w:val="20E84705"/>
    <w:rsid w:val="218400BA"/>
    <w:rsid w:val="21AB1E2F"/>
    <w:rsid w:val="21C9103C"/>
    <w:rsid w:val="21D40498"/>
    <w:rsid w:val="22767047"/>
    <w:rsid w:val="227A302A"/>
    <w:rsid w:val="229323DA"/>
    <w:rsid w:val="233B65CE"/>
    <w:rsid w:val="23A05588"/>
    <w:rsid w:val="240476A1"/>
    <w:rsid w:val="24E279BE"/>
    <w:rsid w:val="25431AEB"/>
    <w:rsid w:val="25BE3BFB"/>
    <w:rsid w:val="25BF43FD"/>
    <w:rsid w:val="25F86BCD"/>
    <w:rsid w:val="2605748B"/>
    <w:rsid w:val="264544A6"/>
    <w:rsid w:val="269E416A"/>
    <w:rsid w:val="26C11C6B"/>
    <w:rsid w:val="272100D3"/>
    <w:rsid w:val="272C72FC"/>
    <w:rsid w:val="275131CB"/>
    <w:rsid w:val="27EB149D"/>
    <w:rsid w:val="27FD3E52"/>
    <w:rsid w:val="28E11370"/>
    <w:rsid w:val="294A756A"/>
    <w:rsid w:val="29781BF8"/>
    <w:rsid w:val="29C33ED0"/>
    <w:rsid w:val="29D5322D"/>
    <w:rsid w:val="2A025DD9"/>
    <w:rsid w:val="2A2619CB"/>
    <w:rsid w:val="2A7C2231"/>
    <w:rsid w:val="2ABB753D"/>
    <w:rsid w:val="2AE1155E"/>
    <w:rsid w:val="2AFE6EC4"/>
    <w:rsid w:val="2B211B39"/>
    <w:rsid w:val="2B7A49FA"/>
    <w:rsid w:val="2C615D26"/>
    <w:rsid w:val="2CB679ED"/>
    <w:rsid w:val="2CCE772E"/>
    <w:rsid w:val="2D173C07"/>
    <w:rsid w:val="2D424A86"/>
    <w:rsid w:val="2DDA66B7"/>
    <w:rsid w:val="2E7B52DB"/>
    <w:rsid w:val="2ED60115"/>
    <w:rsid w:val="2F324CFE"/>
    <w:rsid w:val="2FBA09F1"/>
    <w:rsid w:val="2FEF2ACF"/>
    <w:rsid w:val="3005212B"/>
    <w:rsid w:val="30540211"/>
    <w:rsid w:val="31112A0D"/>
    <w:rsid w:val="311F4B20"/>
    <w:rsid w:val="312756C6"/>
    <w:rsid w:val="312D7741"/>
    <w:rsid w:val="316F137F"/>
    <w:rsid w:val="31DF525F"/>
    <w:rsid w:val="31EC162B"/>
    <w:rsid w:val="322D33BB"/>
    <w:rsid w:val="32324C2E"/>
    <w:rsid w:val="327171DF"/>
    <w:rsid w:val="341E3434"/>
    <w:rsid w:val="34BB4442"/>
    <w:rsid w:val="360B7EBA"/>
    <w:rsid w:val="36416867"/>
    <w:rsid w:val="365E006C"/>
    <w:rsid w:val="369C32FD"/>
    <w:rsid w:val="37666E72"/>
    <w:rsid w:val="38081EA3"/>
    <w:rsid w:val="38167A04"/>
    <w:rsid w:val="381C3783"/>
    <w:rsid w:val="394B167A"/>
    <w:rsid w:val="397A79F8"/>
    <w:rsid w:val="39DA2868"/>
    <w:rsid w:val="3A055F4B"/>
    <w:rsid w:val="3A4E4336"/>
    <w:rsid w:val="3A6007FE"/>
    <w:rsid w:val="3AF93D6C"/>
    <w:rsid w:val="3B7C2CE4"/>
    <w:rsid w:val="3BAF716B"/>
    <w:rsid w:val="3C0B5355"/>
    <w:rsid w:val="3CC85730"/>
    <w:rsid w:val="3CD4176B"/>
    <w:rsid w:val="3D1F44D9"/>
    <w:rsid w:val="3D4E68CF"/>
    <w:rsid w:val="3D5C38CD"/>
    <w:rsid w:val="3E5070F1"/>
    <w:rsid w:val="3E5A1475"/>
    <w:rsid w:val="3EC370CB"/>
    <w:rsid w:val="3F6C3589"/>
    <w:rsid w:val="3F850180"/>
    <w:rsid w:val="3F9004D6"/>
    <w:rsid w:val="3FB6739D"/>
    <w:rsid w:val="400E4D5E"/>
    <w:rsid w:val="40D479EE"/>
    <w:rsid w:val="40E1138C"/>
    <w:rsid w:val="411A4BE9"/>
    <w:rsid w:val="413814BA"/>
    <w:rsid w:val="41872511"/>
    <w:rsid w:val="41DF1251"/>
    <w:rsid w:val="424236D9"/>
    <w:rsid w:val="42466655"/>
    <w:rsid w:val="429B0F29"/>
    <w:rsid w:val="42C82F57"/>
    <w:rsid w:val="435707E5"/>
    <w:rsid w:val="43C76AF7"/>
    <w:rsid w:val="43E97E4A"/>
    <w:rsid w:val="44194806"/>
    <w:rsid w:val="446828F0"/>
    <w:rsid w:val="45093E85"/>
    <w:rsid w:val="45C13B4D"/>
    <w:rsid w:val="46054BCA"/>
    <w:rsid w:val="460C75B9"/>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221A3F"/>
    <w:rsid w:val="49547ADD"/>
    <w:rsid w:val="49732351"/>
    <w:rsid w:val="498F4AF1"/>
    <w:rsid w:val="49C05787"/>
    <w:rsid w:val="49CF518D"/>
    <w:rsid w:val="4A8E3BC6"/>
    <w:rsid w:val="4ADA1F63"/>
    <w:rsid w:val="4AE23D89"/>
    <w:rsid w:val="4B2038D0"/>
    <w:rsid w:val="4B296E7D"/>
    <w:rsid w:val="4B6B53F2"/>
    <w:rsid w:val="4B79394E"/>
    <w:rsid w:val="4B877F28"/>
    <w:rsid w:val="4D916BA6"/>
    <w:rsid w:val="4DC44169"/>
    <w:rsid w:val="4DE24E21"/>
    <w:rsid w:val="4DF74426"/>
    <w:rsid w:val="4E1B19A3"/>
    <w:rsid w:val="4E48787F"/>
    <w:rsid w:val="4EF0709E"/>
    <w:rsid w:val="4F0469A4"/>
    <w:rsid w:val="4F3B59A4"/>
    <w:rsid w:val="50540C73"/>
    <w:rsid w:val="513C6A7B"/>
    <w:rsid w:val="51B4471F"/>
    <w:rsid w:val="532D486F"/>
    <w:rsid w:val="5333545B"/>
    <w:rsid w:val="538D0E89"/>
    <w:rsid w:val="53904056"/>
    <w:rsid w:val="5450213C"/>
    <w:rsid w:val="54D24048"/>
    <w:rsid w:val="54D64CD5"/>
    <w:rsid w:val="55887D69"/>
    <w:rsid w:val="55F710D8"/>
    <w:rsid w:val="55FB257B"/>
    <w:rsid w:val="561A0928"/>
    <w:rsid w:val="56411346"/>
    <w:rsid w:val="56423872"/>
    <w:rsid w:val="569E06BC"/>
    <w:rsid w:val="56B279F0"/>
    <w:rsid w:val="56CE27B7"/>
    <w:rsid w:val="56E63FF6"/>
    <w:rsid w:val="56F20F86"/>
    <w:rsid w:val="579D710E"/>
    <w:rsid w:val="57B9669E"/>
    <w:rsid w:val="581F22F6"/>
    <w:rsid w:val="5852097E"/>
    <w:rsid w:val="586E1E17"/>
    <w:rsid w:val="58862C35"/>
    <w:rsid w:val="58C14957"/>
    <w:rsid w:val="58CC23D2"/>
    <w:rsid w:val="58E66050"/>
    <w:rsid w:val="59DE7315"/>
    <w:rsid w:val="5AE83A50"/>
    <w:rsid w:val="5B353193"/>
    <w:rsid w:val="5B58138E"/>
    <w:rsid w:val="5BAB2917"/>
    <w:rsid w:val="5BFC33FA"/>
    <w:rsid w:val="5C3107A4"/>
    <w:rsid w:val="5C3B1B93"/>
    <w:rsid w:val="5C81182E"/>
    <w:rsid w:val="5C9220DF"/>
    <w:rsid w:val="5CFC20DC"/>
    <w:rsid w:val="5D4A15F3"/>
    <w:rsid w:val="5D69542A"/>
    <w:rsid w:val="5D783B72"/>
    <w:rsid w:val="5E0930EF"/>
    <w:rsid w:val="5E287173"/>
    <w:rsid w:val="5E3D4D53"/>
    <w:rsid w:val="5E4717E6"/>
    <w:rsid w:val="5E55774C"/>
    <w:rsid w:val="5E8A70FF"/>
    <w:rsid w:val="5E9E133B"/>
    <w:rsid w:val="5F51295F"/>
    <w:rsid w:val="60045F96"/>
    <w:rsid w:val="60104DDC"/>
    <w:rsid w:val="605C0804"/>
    <w:rsid w:val="60AB6421"/>
    <w:rsid w:val="6189617B"/>
    <w:rsid w:val="61B52BB6"/>
    <w:rsid w:val="61B749C2"/>
    <w:rsid w:val="62280D20"/>
    <w:rsid w:val="62CA2457"/>
    <w:rsid w:val="638240A1"/>
    <w:rsid w:val="63833423"/>
    <w:rsid w:val="63A5257B"/>
    <w:rsid w:val="63BD3DCC"/>
    <w:rsid w:val="63C61741"/>
    <w:rsid w:val="63C67B5B"/>
    <w:rsid w:val="64560967"/>
    <w:rsid w:val="656B1D10"/>
    <w:rsid w:val="65B841F9"/>
    <w:rsid w:val="66022B28"/>
    <w:rsid w:val="664A38E2"/>
    <w:rsid w:val="66581E87"/>
    <w:rsid w:val="66FA11D5"/>
    <w:rsid w:val="674302C7"/>
    <w:rsid w:val="680A5986"/>
    <w:rsid w:val="680D5F4B"/>
    <w:rsid w:val="68113F51"/>
    <w:rsid w:val="68621EB4"/>
    <w:rsid w:val="689714F7"/>
    <w:rsid w:val="68E94770"/>
    <w:rsid w:val="68F949C9"/>
    <w:rsid w:val="695A4290"/>
    <w:rsid w:val="6A334932"/>
    <w:rsid w:val="6A3353FF"/>
    <w:rsid w:val="6A5D63E6"/>
    <w:rsid w:val="6A5F24D1"/>
    <w:rsid w:val="6ABA2F89"/>
    <w:rsid w:val="6ACA70C4"/>
    <w:rsid w:val="6AE347EB"/>
    <w:rsid w:val="6B330365"/>
    <w:rsid w:val="6B434AF0"/>
    <w:rsid w:val="6B57675A"/>
    <w:rsid w:val="6B87098A"/>
    <w:rsid w:val="6BDD7B4D"/>
    <w:rsid w:val="6DD91B58"/>
    <w:rsid w:val="6E804EF2"/>
    <w:rsid w:val="6EBC0B3A"/>
    <w:rsid w:val="6EF51C7D"/>
    <w:rsid w:val="6F771D08"/>
    <w:rsid w:val="6F8363E5"/>
    <w:rsid w:val="6FA80CCD"/>
    <w:rsid w:val="6FAC3CC5"/>
    <w:rsid w:val="6FC746F5"/>
    <w:rsid w:val="70317AC6"/>
    <w:rsid w:val="704B26F7"/>
    <w:rsid w:val="70697B21"/>
    <w:rsid w:val="70863262"/>
    <w:rsid w:val="70A76ED3"/>
    <w:rsid w:val="71860B17"/>
    <w:rsid w:val="723B27CC"/>
    <w:rsid w:val="72687227"/>
    <w:rsid w:val="729F49FC"/>
    <w:rsid w:val="72A03FD9"/>
    <w:rsid w:val="73406CFF"/>
    <w:rsid w:val="7383028C"/>
    <w:rsid w:val="73A25E44"/>
    <w:rsid w:val="741F68CF"/>
    <w:rsid w:val="744A3547"/>
    <w:rsid w:val="75252DF3"/>
    <w:rsid w:val="75621536"/>
    <w:rsid w:val="75B77EEF"/>
    <w:rsid w:val="75BF3154"/>
    <w:rsid w:val="764A07CF"/>
    <w:rsid w:val="764F6B3D"/>
    <w:rsid w:val="76594F00"/>
    <w:rsid w:val="765D6464"/>
    <w:rsid w:val="76CD2B7B"/>
    <w:rsid w:val="76D80645"/>
    <w:rsid w:val="76E03371"/>
    <w:rsid w:val="77D30FFF"/>
    <w:rsid w:val="780E5898"/>
    <w:rsid w:val="782642CC"/>
    <w:rsid w:val="7894095E"/>
    <w:rsid w:val="78964555"/>
    <w:rsid w:val="78CF4963"/>
    <w:rsid w:val="79000679"/>
    <w:rsid w:val="791C0FE5"/>
    <w:rsid w:val="79A416F0"/>
    <w:rsid w:val="79B03EB6"/>
    <w:rsid w:val="7AA915F8"/>
    <w:rsid w:val="7AE15A5C"/>
    <w:rsid w:val="7AF0272D"/>
    <w:rsid w:val="7AF37579"/>
    <w:rsid w:val="7AF87F64"/>
    <w:rsid w:val="7B1C0C84"/>
    <w:rsid w:val="7B5A62DF"/>
    <w:rsid w:val="7B7A04A8"/>
    <w:rsid w:val="7C0C3F6D"/>
    <w:rsid w:val="7C22163C"/>
    <w:rsid w:val="7C457B4B"/>
    <w:rsid w:val="7C595075"/>
    <w:rsid w:val="7C6B07B2"/>
    <w:rsid w:val="7D133243"/>
    <w:rsid w:val="7D945420"/>
    <w:rsid w:val="7DFC6A17"/>
    <w:rsid w:val="7E1E6FDA"/>
    <w:rsid w:val="7E394207"/>
    <w:rsid w:val="7E4007A2"/>
    <w:rsid w:val="7E791CAD"/>
    <w:rsid w:val="7E9E7F46"/>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1"/>
    <w:unhideWhenUsed/>
    <w:qFormat/>
    <w:uiPriority w:val="99"/>
    <w:pPr>
      <w:spacing w:after="120"/>
    </w:pPr>
    <w:rPr>
      <w:sz w:val="16"/>
      <w:szCs w:val="16"/>
    </w:rPr>
  </w:style>
  <w:style w:type="paragraph" w:styleId="8">
    <w:name w:val="Body Text"/>
    <w:basedOn w:val="1"/>
    <w:qFormat/>
    <w:uiPriority w:val="99"/>
    <w:pPr>
      <w:spacing w:after="120"/>
    </w:pPr>
  </w:style>
  <w:style w:type="paragraph" w:styleId="9">
    <w:name w:val="Body Text Indent"/>
    <w:basedOn w:val="1"/>
    <w:next w:val="10"/>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8"/>
    <w:semiHidden/>
    <w:qFormat/>
    <w:uiPriority w:val="99"/>
    <w:rPr>
      <w:sz w:val="18"/>
      <w:szCs w:val="18"/>
    </w:rPr>
  </w:style>
  <w:style w:type="character" w:customStyle="1" w:styleId="30">
    <w:name w:val="页脚 Char"/>
    <w:basedOn w:val="26"/>
    <w:link w:val="17"/>
    <w:qFormat/>
    <w:uiPriority w:val="99"/>
    <w:rPr>
      <w:sz w:val="18"/>
      <w:szCs w:val="18"/>
    </w:rPr>
  </w:style>
  <w:style w:type="character" w:customStyle="1" w:styleId="31">
    <w:name w:val="标题 1 Char"/>
    <w:basedOn w:val="26"/>
    <w:link w:val="2"/>
    <w:qFormat/>
    <w:uiPriority w:val="9"/>
    <w:rPr>
      <w:rFonts w:eastAsia="方正小标宋简体"/>
      <w:bCs/>
      <w:kern w:val="44"/>
      <w:sz w:val="44"/>
      <w:szCs w:val="44"/>
    </w:rPr>
  </w:style>
  <w:style w:type="character" w:customStyle="1" w:styleId="32">
    <w:name w:val="标题 2 Char"/>
    <w:basedOn w:val="26"/>
    <w:link w:val="3"/>
    <w:qFormat/>
    <w:uiPriority w:val="9"/>
    <w:rPr>
      <w:rFonts w:eastAsia="方正小标宋简体" w:asciiTheme="majorHAnsi" w:hAnsiTheme="majorHAnsi" w:cstheme="majorBidi"/>
      <w:bCs/>
      <w:sz w:val="36"/>
      <w:szCs w:val="32"/>
    </w:rPr>
  </w:style>
  <w:style w:type="character" w:customStyle="1" w:styleId="33">
    <w:name w:val="标题 3 Char"/>
    <w:basedOn w:val="26"/>
    <w:link w:val="4"/>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6"/>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BodyText"/>
    <w:basedOn w:val="1"/>
    <w:next w:val="48"/>
    <w:qFormat/>
    <w:uiPriority w:val="0"/>
    <w:pPr>
      <w:jc w:val="both"/>
      <w:textAlignment w:val="baseline"/>
    </w:pPr>
    <w:rPr>
      <w:rFonts w:ascii="Times New Roman" w:hAnsi="Times New Roman" w:eastAsia="宋体"/>
      <w:kern w:val="2"/>
      <w:sz w:val="28"/>
      <w:lang w:val="en-US" w:eastAsia="zh-CN" w:bidi="ar-SA"/>
    </w:rPr>
  </w:style>
  <w:style w:type="paragraph" w:customStyle="1" w:styleId="48">
    <w:name w:val="BodyText2"/>
    <w:basedOn w:val="1"/>
    <w:qFormat/>
    <w:uiPriority w:val="0"/>
    <w:pPr>
      <w:spacing w:after="120" w:line="480" w:lineRule="auto"/>
      <w:jc w:val="both"/>
      <w:textAlignment w:val="baseline"/>
    </w:p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font11"/>
    <w:basedOn w:val="26"/>
    <w:qFormat/>
    <w:uiPriority w:val="0"/>
    <w:rPr>
      <w:rFonts w:hint="eastAsia" w:ascii="宋体" w:hAnsi="宋体" w:eastAsia="宋体" w:cs="宋体"/>
      <w:color w:val="000000"/>
      <w:sz w:val="26"/>
      <w:szCs w:val="26"/>
      <w:u w:val="none"/>
    </w:rPr>
  </w:style>
  <w:style w:type="character" w:customStyle="1" w:styleId="53">
    <w:name w:val="font2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20196</Words>
  <Characters>21891</Characters>
  <Lines>300</Lines>
  <Paragraphs>84</Paragraphs>
  <TotalTime>25</TotalTime>
  <ScaleCrop>false</ScaleCrop>
  <LinksUpToDate>false</LinksUpToDate>
  <CharactersWithSpaces>24145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abc</cp:lastModifiedBy>
  <cp:lastPrinted>2023-11-20T00:58:00Z</cp:lastPrinted>
  <dcterms:modified xsi:type="dcterms:W3CDTF">2023-12-01T02:22:27Z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7B6998DEE7C04941A53DA2BA02BB1F6D_13</vt:lpwstr>
  </property>
</Properties>
</file>