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color w:val="auto"/>
          <w:sz w:val="52"/>
          <w:szCs w:val="52"/>
        </w:rPr>
      </w:pPr>
      <w:bookmarkStart w:id="143" w:name="_GoBack"/>
      <w:bookmarkEnd w:id="143"/>
    </w:p>
    <w:p>
      <w:pPr>
        <w:spacing w:line="360" w:lineRule="auto"/>
        <w:jc w:val="center"/>
        <w:rPr>
          <w:rFonts w:hint="eastAsia" w:ascii="方正小标宋简体" w:hAnsi="方正小标宋简体" w:eastAsia="方正小标宋简体" w:cs="方正小标宋简体"/>
          <w:b w:val="0"/>
          <w:color w:val="auto"/>
          <w:sz w:val="52"/>
          <w:szCs w:val="52"/>
        </w:rPr>
      </w:pPr>
      <w:r>
        <w:rPr>
          <w:rFonts w:hint="eastAsia" w:ascii="方正小标宋简体" w:hAnsi="方正小标宋简体" w:eastAsia="方正小标宋简体" w:cs="方正小标宋简体"/>
          <w:color w:val="auto"/>
          <w:sz w:val="52"/>
          <w:szCs w:val="52"/>
        </w:rPr>
        <w:t>广州市净水有限公司</w:t>
      </w:r>
      <w:r>
        <w:rPr>
          <w:rFonts w:hint="eastAsia" w:ascii="方正小标宋简体" w:hAnsi="方正小标宋简体" w:eastAsia="方正小标宋简体" w:cs="方正小标宋简体"/>
          <w:b w:val="0"/>
          <w:color w:val="auto"/>
          <w:sz w:val="52"/>
          <w:szCs w:val="52"/>
        </w:rPr>
        <w:t>竹料分公司2023年下半年办公设备采购项目</w:t>
      </w:r>
    </w:p>
    <w:p>
      <w:pPr>
        <w:pStyle w:val="2"/>
        <w:rPr>
          <w:rFonts w:hint="eastAsia" w:ascii="方正小标宋简体" w:hAnsi="方正小标宋简体" w:eastAsia="方正小标宋简体" w:cs="方正小标宋简体"/>
          <w:color w:val="auto"/>
          <w:sz w:val="52"/>
          <w:szCs w:val="52"/>
        </w:rPr>
      </w:pPr>
    </w:p>
    <w:p>
      <w:pPr>
        <w:spacing w:line="360" w:lineRule="auto"/>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b w:val="0"/>
          <w:color w:val="auto"/>
          <w:sz w:val="52"/>
          <w:szCs w:val="52"/>
          <w:lang w:val="en-US" w:eastAsia="zh-CN"/>
        </w:rPr>
        <w:t>采购</w:t>
      </w:r>
      <w:r>
        <w:rPr>
          <w:rFonts w:hint="eastAsia" w:ascii="方正小标宋简体" w:hAnsi="方正小标宋简体" w:eastAsia="方正小标宋简体" w:cs="方正小标宋简体"/>
          <w:color w:val="auto"/>
          <w:sz w:val="52"/>
          <w:szCs w:val="52"/>
        </w:rPr>
        <w:t>文件</w:t>
      </w: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both"/>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黑体" w:hAnsi="黑体" w:eastAsia="黑体"/>
          <w:color w:val="auto"/>
          <w:sz w:val="32"/>
          <w:szCs w:val="32"/>
        </w:rPr>
      </w:pPr>
      <w:r>
        <w:rPr>
          <w:rFonts w:hint="eastAsia" w:ascii="黑体" w:hAnsi="黑体" w:eastAsia="黑体" w:cs="仿宋_GB2312"/>
          <w:color w:val="auto"/>
          <w:sz w:val="32"/>
          <w:szCs w:val="32"/>
        </w:rPr>
        <w:t>广州净水有限公司</w:t>
      </w:r>
    </w:p>
    <w:p>
      <w:pPr>
        <w:jc w:val="center"/>
        <w:rPr>
          <w:rFonts w:ascii="黑体" w:hAnsi="黑体" w:eastAsia="黑体" w:cs="仿宋_GB2312"/>
          <w:color w:val="auto"/>
          <w:sz w:val="32"/>
          <w:szCs w:val="32"/>
        </w:rPr>
      </w:pPr>
      <w:r>
        <w:rPr>
          <w:rFonts w:hint="eastAsia" w:ascii="黑体" w:hAnsi="黑体" w:eastAsia="黑体"/>
          <w:color w:val="auto"/>
          <w:sz w:val="32"/>
          <w:szCs w:val="32"/>
        </w:rPr>
        <w:t>二</w:t>
      </w:r>
      <w:r>
        <w:rPr>
          <w:rFonts w:hint="eastAsia" w:ascii="黑体" w:hAnsi="黑体" w:eastAsia="黑体" w:cs="宋体"/>
          <w:color w:val="auto"/>
          <w:sz w:val="32"/>
          <w:szCs w:val="32"/>
        </w:rPr>
        <w:t>〇</w:t>
      </w:r>
      <w:r>
        <w:rPr>
          <w:rFonts w:hint="eastAsia" w:ascii="黑体" w:hAnsi="黑体" w:eastAsia="黑体" w:cs="仿宋_GB2312"/>
          <w:color w:val="auto"/>
          <w:sz w:val="32"/>
          <w:szCs w:val="32"/>
        </w:rPr>
        <w:t>二三年十</w:t>
      </w:r>
      <w:r>
        <w:rPr>
          <w:rFonts w:hint="eastAsia" w:ascii="黑体" w:hAnsi="黑体" w:eastAsia="黑体" w:cs="仿宋_GB2312"/>
          <w:color w:val="auto"/>
          <w:sz w:val="32"/>
          <w:szCs w:val="32"/>
          <w:lang w:val="en-US" w:eastAsia="zh-CN"/>
        </w:rPr>
        <w:t>一</w:t>
      </w:r>
      <w:r>
        <w:rPr>
          <w:rFonts w:hint="eastAsia" w:ascii="黑体" w:hAnsi="黑体" w:eastAsia="黑体" w:cs="仿宋_GB2312"/>
          <w:color w:val="auto"/>
          <w:sz w:val="32"/>
          <w:szCs w:val="32"/>
        </w:rPr>
        <w:t>月</w:t>
      </w:r>
    </w:p>
    <w:p>
      <w:pPr>
        <w:pStyle w:val="36"/>
        <w:adjustRightInd w:val="0"/>
        <w:snapToGrid w:val="0"/>
        <w:spacing w:before="0" w:line="600" w:lineRule="exact"/>
        <w:jc w:val="center"/>
        <w:rPr>
          <w:rFonts w:hint="eastAsia" w:ascii="方正小标宋简体" w:eastAsia="方正小标宋简体"/>
          <w:b/>
          <w:color w:val="auto"/>
          <w:sz w:val="44"/>
          <w:szCs w:val="44"/>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pStyle w:val="36"/>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color w:val="auto"/>
          <w:sz w:val="24"/>
          <w:szCs w:val="24"/>
        </w:rPr>
      </w:pPr>
    </w:p>
    <w:p>
      <w:pPr>
        <w:pStyle w:val="20"/>
        <w:numPr>
          <w:ilvl w:val="0"/>
          <w:numId w:val="1"/>
        </w:numPr>
        <w:tabs>
          <w:tab w:val="right" w:pos="8844"/>
        </w:tabs>
        <w:rPr>
          <w:color w:val="auto"/>
        </w:rPr>
      </w:pPr>
      <w:r>
        <w:rPr>
          <w:rFonts w:hint="eastAsia"/>
          <w:color w:val="auto"/>
        </w:rPr>
        <w:t>采购公告</w:t>
      </w:r>
    </w:p>
    <w:p>
      <w:pPr>
        <w:pStyle w:val="20"/>
        <w:numPr>
          <w:ilvl w:val="0"/>
          <w:numId w:val="1"/>
        </w:numPr>
        <w:tabs>
          <w:tab w:val="right" w:pos="8844"/>
        </w:tabs>
        <w:rPr>
          <w:color w:val="auto"/>
        </w:rPr>
      </w:pPr>
      <w:r>
        <w:rPr>
          <w:rFonts w:hint="eastAsia"/>
          <w:color w:val="auto"/>
        </w:rPr>
        <w:t>供应商须知</w:t>
      </w:r>
    </w:p>
    <w:p>
      <w:pPr>
        <w:pStyle w:val="20"/>
        <w:numPr>
          <w:ilvl w:val="0"/>
          <w:numId w:val="1"/>
        </w:numPr>
        <w:tabs>
          <w:tab w:val="right" w:pos="8844"/>
        </w:tabs>
        <w:rPr>
          <w:color w:val="auto"/>
        </w:rPr>
      </w:pPr>
      <w:r>
        <w:rPr>
          <w:rFonts w:hint="eastAsia"/>
          <w:color w:val="auto"/>
        </w:rPr>
        <w:t>采购方法</w:t>
      </w:r>
    </w:p>
    <w:p>
      <w:pPr>
        <w:pStyle w:val="20"/>
        <w:numPr>
          <w:ilvl w:val="0"/>
          <w:numId w:val="1"/>
        </w:numPr>
        <w:tabs>
          <w:tab w:val="right" w:pos="8844"/>
        </w:tabs>
        <w:rPr>
          <w:color w:val="auto"/>
        </w:rPr>
      </w:pPr>
      <w:r>
        <w:rPr>
          <w:rFonts w:hint="eastAsia"/>
          <w:color w:val="auto"/>
        </w:rPr>
        <w:t>评审方法</w:t>
      </w:r>
    </w:p>
    <w:p>
      <w:pPr>
        <w:pStyle w:val="20"/>
        <w:numPr>
          <w:ilvl w:val="0"/>
          <w:numId w:val="1"/>
        </w:numPr>
        <w:tabs>
          <w:tab w:val="right" w:pos="8844"/>
        </w:tabs>
        <w:rPr>
          <w:color w:val="auto"/>
        </w:rPr>
      </w:pPr>
      <w:r>
        <w:rPr>
          <w:rFonts w:hint="eastAsia"/>
          <w:color w:val="auto"/>
        </w:rPr>
        <w:t>采购需求</w:t>
      </w:r>
    </w:p>
    <w:p>
      <w:pPr>
        <w:pStyle w:val="20"/>
        <w:numPr>
          <w:ilvl w:val="0"/>
          <w:numId w:val="1"/>
        </w:numPr>
        <w:tabs>
          <w:tab w:val="right" w:pos="8844"/>
        </w:tabs>
        <w:rPr>
          <w:color w:val="auto"/>
        </w:rPr>
      </w:pPr>
      <w:r>
        <w:rPr>
          <w:rFonts w:hint="eastAsia"/>
          <w:color w:val="auto"/>
        </w:rPr>
        <w:t>合同草案</w:t>
      </w:r>
    </w:p>
    <w:p>
      <w:pPr>
        <w:pStyle w:val="20"/>
        <w:numPr>
          <w:ilvl w:val="0"/>
          <w:numId w:val="1"/>
        </w:numPr>
        <w:tabs>
          <w:tab w:val="right" w:pos="8844"/>
        </w:tabs>
        <w:rPr>
          <w:color w:val="auto"/>
        </w:rPr>
      </w:pPr>
      <w:r>
        <w:rPr>
          <w:rFonts w:hint="eastAsia"/>
          <w:color w:val="auto"/>
        </w:rPr>
        <w:t>响应文件格式要求</w:t>
      </w:r>
      <w:r>
        <w:rPr>
          <w:color w:val="auto"/>
        </w:rPr>
        <w:fldChar w:fldCharType="begin"/>
      </w:r>
      <w:r>
        <w:rPr>
          <w:color w:val="auto"/>
        </w:rPr>
        <w:instrText xml:space="preserve">TOC \o "1-1" \n  \h \u </w:instrText>
      </w:r>
      <w:r>
        <w:rPr>
          <w:rFonts w:asciiTheme="minorHAnsi" w:hAnsiTheme="minorHAnsi" w:eastAsiaTheme="minorEastAsia" w:cstheme="minorBidi"/>
          <w:color w:val="auto"/>
          <w:sz w:val="22"/>
          <w:szCs w:val="22"/>
        </w:rPr>
        <w:fldChar w:fldCharType="separate"/>
      </w:r>
      <w:r>
        <w:rPr>
          <w:color w:val="auto"/>
        </w:rPr>
        <w:fldChar w:fldCharType="begin"/>
      </w:r>
      <w:r>
        <w:rPr>
          <w:color w:val="auto"/>
        </w:rPr>
        <w:instrText xml:space="preserve"> HYPERLINK \l "_Toc18800" </w:instrText>
      </w:r>
      <w:r>
        <w:rPr>
          <w:color w:val="auto"/>
        </w:rPr>
        <w:fldChar w:fldCharType="end"/>
      </w:r>
    </w:p>
    <w:p>
      <w:pPr>
        <w:pStyle w:val="20"/>
        <w:tabs>
          <w:tab w:val="right" w:pos="8844"/>
        </w:tabs>
        <w:rPr>
          <w:color w:val="auto"/>
        </w:rPr>
      </w:pPr>
      <w:r>
        <w:rPr>
          <w:color w:val="auto"/>
        </w:rPr>
        <w:fldChar w:fldCharType="begin"/>
      </w:r>
      <w:r>
        <w:rPr>
          <w:color w:val="auto"/>
        </w:rPr>
        <w:instrText xml:space="preserve"> HYPERLINK \l "_Toc5817" </w:instrText>
      </w:r>
      <w:r>
        <w:rPr>
          <w:color w:val="auto"/>
        </w:rPr>
        <w:fldChar w:fldCharType="end"/>
      </w:r>
    </w:p>
    <w:p>
      <w:pPr>
        <w:pStyle w:val="20"/>
        <w:tabs>
          <w:tab w:val="right" w:pos="8844"/>
        </w:tabs>
        <w:rPr>
          <w:color w:val="auto"/>
        </w:rPr>
      </w:pPr>
      <w:r>
        <w:rPr>
          <w:color w:val="auto"/>
        </w:rPr>
        <w:fldChar w:fldCharType="begin"/>
      </w:r>
      <w:r>
        <w:rPr>
          <w:color w:val="auto"/>
        </w:rPr>
        <w:instrText xml:space="preserve"> HYPERLINK \l "_Toc27928" </w:instrText>
      </w:r>
      <w:r>
        <w:rPr>
          <w:color w:val="auto"/>
        </w:rPr>
        <w:fldChar w:fldCharType="end"/>
      </w:r>
    </w:p>
    <w:p>
      <w:pPr>
        <w:pStyle w:val="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color w:val="auto"/>
          <w:sz w:val="28"/>
          <w:szCs w:val="28"/>
        </w:rPr>
      </w:pPr>
    </w:p>
    <w:p>
      <w:pPr>
        <w:pStyle w:val="4"/>
        <w:rPr>
          <w:color w:val="auto"/>
        </w:rPr>
      </w:pPr>
      <w:bookmarkStart w:id="0" w:name="_Toc26148"/>
      <w:bookmarkStart w:id="1" w:name="_Toc18145"/>
    </w:p>
    <w:p>
      <w:pPr>
        <w:rPr>
          <w:color w:val="auto"/>
        </w:rPr>
      </w:pPr>
    </w:p>
    <w:p>
      <w:pPr>
        <w:pStyle w:val="4"/>
        <w:rPr>
          <w:color w:val="auto"/>
        </w:rPr>
      </w:pPr>
      <w:bookmarkStart w:id="2" w:name="_Toc1711"/>
      <w:bookmarkStart w:id="3" w:name="_Toc17696"/>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rPr>
          <w:color w:val="auto"/>
        </w:rPr>
      </w:pPr>
      <w:bookmarkStart w:id="4" w:name="_Toc17801"/>
      <w:bookmarkStart w:id="5" w:name="_Toc1669"/>
      <w:bookmarkStart w:id="6" w:name="_Toc11322"/>
      <w:bookmarkStart w:id="7" w:name="_Toc4275"/>
      <w:bookmarkStart w:id="8" w:name="_Toc31938"/>
      <w:bookmarkStart w:id="9" w:name="_Toc7519"/>
      <w:bookmarkStart w:id="10" w:name="_Toc19609"/>
    </w:p>
    <w:p>
      <w:pPr>
        <w:pStyle w:val="4"/>
        <w:rPr>
          <w:color w:val="auto"/>
        </w:rPr>
      </w:pPr>
    </w:p>
    <w:p>
      <w:pPr>
        <w:pStyle w:val="4"/>
        <w:rPr>
          <w:color w:val="auto"/>
        </w:rPr>
      </w:pPr>
    </w:p>
    <w:p>
      <w:pPr>
        <w:pStyle w:val="4"/>
        <w:rPr>
          <w:color w:val="auto"/>
        </w:rPr>
      </w:pPr>
      <w:r>
        <w:rPr>
          <w:color w:val="auto"/>
        </w:rPr>
        <mc:AlternateContent>
          <mc:Choice Requires="wps">
            <w:drawing>
              <wp:anchor distT="0" distB="0" distL="114300" distR="114300" simplePos="0" relativeHeight="251671552" behindDoc="0" locked="0" layoutInCell="1" allowOverlap="1">
                <wp:simplePos x="0" y="0"/>
                <wp:positionH relativeFrom="column">
                  <wp:posOffset>2177415</wp:posOffset>
                </wp:positionH>
                <wp:positionV relativeFrom="paragraph">
                  <wp:posOffset>575945</wp:posOffset>
                </wp:positionV>
                <wp:extent cx="958850" cy="0"/>
                <wp:effectExtent l="0" t="4445" r="0" b="508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1.45pt;margin-top:45.35pt;height:0pt;width:75.5pt;z-index:251671552;mso-width-relative:page;mso-height-relative:page;" filled="f" stroked="t" coordsize="21600,21600" o:gfxdata="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SJCG1wAAAAk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70528" behindDoc="0" locked="0" layoutInCell="1" allowOverlap="1">
                <wp:simplePos x="0" y="0"/>
                <wp:positionH relativeFrom="column">
                  <wp:posOffset>2177415</wp:posOffset>
                </wp:positionH>
                <wp:positionV relativeFrom="paragraph">
                  <wp:posOffset>58420</wp:posOffset>
                </wp:positionV>
                <wp:extent cx="958850" cy="0"/>
                <wp:effectExtent l="0" t="4445" r="0" b="508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1.45pt;margin-top:4.6pt;height:0pt;width:75.5pt;z-index:251670528;mso-width-relative:page;mso-height-relative:page;" filled="f" stroked="t" coordsize="21600,21600" o:gfxdata="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B2dg9QAAAAHAQAADwAAAAAAAAABACAAAAAiAAAAZHJzL2Rvd25yZXYueG1sUEsBAhQAFAAA&#10;AAgAh07iQKvUo0vzAQAA4wMAAA4AAAAAAAAAAQAgAAAAIwEAAGRycy9lMm9Eb2MueG1sUEsFBgAA&#10;AAAGAAYAWQEAAIgFAAAAAA==&#10;">
                <v:fill on="f" focussize="0,0"/>
                <v:stroke color="#000000" joinstyle="round"/>
                <v:imagedata o:title=""/>
                <o:lock v:ext="edit" aspectratio="f"/>
              </v:shape>
            </w:pict>
          </mc:Fallback>
        </mc:AlternateContent>
      </w:r>
      <w:r>
        <w:rPr>
          <w:rFonts w:hint="eastAsia"/>
          <w:color w:val="auto"/>
        </w:rPr>
        <w:t>第一章</w:t>
      </w:r>
      <w:bookmarkEnd w:id="0"/>
      <w:bookmarkEnd w:id="1"/>
      <w:bookmarkEnd w:id="2"/>
      <w:bookmarkEnd w:id="3"/>
      <w:bookmarkEnd w:id="4"/>
      <w:bookmarkEnd w:id="5"/>
      <w:bookmarkEnd w:id="6"/>
      <w:bookmarkEnd w:id="7"/>
      <w:bookmarkEnd w:id="8"/>
      <w:bookmarkEnd w:id="9"/>
      <w:bookmarkEnd w:id="10"/>
    </w:p>
    <w:p>
      <w:pPr>
        <w:pStyle w:val="38"/>
        <w:rPr>
          <w:color w:val="auto"/>
        </w:rPr>
      </w:pPr>
    </w:p>
    <w:p>
      <w:pPr>
        <w:pStyle w:val="4"/>
        <w:rPr>
          <w:color w:val="auto"/>
        </w:rPr>
      </w:pPr>
      <w:bookmarkStart w:id="11" w:name="_Toc30131"/>
      <w:bookmarkStart w:id="12" w:name="_Toc2659"/>
      <w:bookmarkStart w:id="13" w:name="_Toc999"/>
      <w:bookmarkStart w:id="14" w:name="_Toc8201"/>
      <w:bookmarkStart w:id="15" w:name="_Toc10122"/>
      <w:bookmarkStart w:id="16" w:name="_Toc88209924"/>
      <w:bookmarkStart w:id="17" w:name="_Toc30989"/>
      <w:bookmarkStart w:id="18" w:name="_Toc28995"/>
      <w:bookmarkStart w:id="19" w:name="_Toc26363"/>
      <w:bookmarkStart w:id="20" w:name="_Toc15709"/>
      <w:bookmarkStart w:id="21" w:name="_Toc14238"/>
      <w:bookmarkStart w:id="22" w:name="_Toc5230"/>
      <w:r>
        <w:rPr>
          <w:rFonts w:hint="eastAsia"/>
          <w:color w:val="auto"/>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hint="eastAsia" w:ascii="方正小标宋简体" w:eastAsia="方正小标宋简体"/>
          <w:color w:val="auto"/>
          <w:sz w:val="44"/>
          <w:szCs w:val="44"/>
          <w:lang w:eastAsia="zh-CN"/>
        </w:rPr>
      </w:pPr>
    </w:p>
    <w:p>
      <w:pPr>
        <w:spacing w:line="600" w:lineRule="exact"/>
        <w:jc w:val="center"/>
        <w:rPr>
          <w:rFonts w:hint="eastAsia" w:ascii="方正小标宋简体" w:hAnsi="方正小标宋简体" w:eastAsia="方正小标宋简体" w:cs="方正小标宋简体"/>
          <w:color w:val="auto"/>
          <w:sz w:val="36"/>
          <w:szCs w:val="32"/>
          <w:lang w:val="en-US" w:eastAsia="zh-CN"/>
        </w:rPr>
      </w:pPr>
      <w:bookmarkStart w:id="23" w:name="_Toc9680"/>
      <w:bookmarkStart w:id="24" w:name="_Toc21373"/>
      <w:r>
        <w:rPr>
          <w:rFonts w:hint="eastAsia" w:ascii="方正小标宋简体" w:hAnsi="方正小标宋简体" w:eastAsia="方正小标宋简体" w:cs="方正小标宋简体"/>
          <w:color w:val="auto"/>
          <w:sz w:val="36"/>
          <w:szCs w:val="32"/>
          <w:lang w:val="en-US" w:eastAsia="zh-CN"/>
        </w:rPr>
        <w:t>广州市净水有限公司竹料分公司2023年</w:t>
      </w:r>
    </w:p>
    <w:p>
      <w:pPr>
        <w:spacing w:line="600" w:lineRule="exact"/>
        <w:jc w:val="center"/>
        <w:rPr>
          <w:rFonts w:hint="eastAsia" w:ascii="方正小标宋简体" w:hAnsi="方正小标宋简体" w:eastAsia="方正小标宋简体" w:cs="方正小标宋简体"/>
          <w:color w:val="auto"/>
          <w:sz w:val="36"/>
          <w:szCs w:val="32"/>
          <w:lang w:val="en-US" w:eastAsia="zh-CN"/>
        </w:rPr>
      </w:pPr>
      <w:r>
        <w:rPr>
          <w:rFonts w:hint="eastAsia" w:ascii="方正小标宋简体" w:hAnsi="方正小标宋简体" w:eastAsia="方正小标宋简体" w:cs="方正小标宋简体"/>
          <w:color w:val="auto"/>
          <w:sz w:val="36"/>
          <w:szCs w:val="32"/>
          <w:lang w:val="en-US" w:eastAsia="zh-CN"/>
        </w:rPr>
        <w:t>下半年办公设备采购项目</w:t>
      </w:r>
    </w:p>
    <w:p>
      <w:pPr>
        <w:spacing w:line="600" w:lineRule="exact"/>
        <w:jc w:val="center"/>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sz w:val="36"/>
          <w:szCs w:val="32"/>
          <w:lang w:val="en-US" w:eastAsia="zh-CN"/>
        </w:rPr>
        <w:t>采购</w:t>
      </w:r>
      <w:r>
        <w:rPr>
          <w:rFonts w:hint="eastAsia" w:ascii="方正小标宋简体" w:hAnsi="方正小标宋简体" w:eastAsia="方正小标宋简体" w:cs="方正小标宋简体"/>
          <w:bCs w:val="0"/>
          <w:color w:val="auto"/>
          <w:sz w:val="36"/>
          <w:szCs w:val="36"/>
        </w:rPr>
        <w:t>公告</w:t>
      </w:r>
      <w:bookmarkEnd w:id="23"/>
      <w:bookmarkEnd w:id="24"/>
    </w:p>
    <w:p>
      <w:pPr>
        <w:ind w:firstLine="560" w:firstLineChars="200"/>
        <w:jc w:val="both"/>
        <w:rPr>
          <w:rFonts w:ascii="仿宋_GB2312" w:eastAsia="仿宋_GB2312"/>
          <w:color w:val="auto"/>
          <w:sz w:val="28"/>
          <w:szCs w:val="28"/>
        </w:rPr>
      </w:pPr>
      <w:r>
        <w:rPr>
          <w:rFonts w:hint="eastAsia" w:ascii="仿宋_GB2312" w:eastAsia="仿宋_GB2312"/>
          <w:color w:val="auto"/>
          <w:sz w:val="28"/>
          <w:szCs w:val="28"/>
          <w:u w:val="single"/>
          <w:lang w:val="en-US" w:eastAsia="zh-CN"/>
        </w:rPr>
        <w:t>广州市净水有限公司竹料分公司2023年下半年办公设备采购项目</w:t>
      </w:r>
      <w:r>
        <w:rPr>
          <w:rFonts w:hint="eastAsia" w:ascii="仿宋_GB2312" w:eastAsia="仿宋_GB2312"/>
          <w:color w:val="auto"/>
          <w:sz w:val="28"/>
          <w:szCs w:val="28"/>
        </w:rPr>
        <w:t xml:space="preserve">已具备采购条件，现对该□施工  </w:t>
      </w:r>
      <w:r>
        <w:rPr>
          <w:rFonts w:ascii="仿宋_GB2312" w:eastAsia="仿宋_GB2312"/>
          <w:color w:val="auto"/>
          <w:sz w:val="28"/>
          <w:szCs w:val="28"/>
        </w:rPr>
        <w:sym w:font="Wingdings 2" w:char="0052"/>
      </w:r>
      <w:r>
        <w:rPr>
          <w:rFonts w:hint="eastAsia" w:ascii="仿宋_GB2312" w:eastAsia="仿宋_GB2312"/>
          <w:color w:val="auto"/>
          <w:sz w:val="28"/>
          <w:szCs w:val="28"/>
        </w:rPr>
        <w:t xml:space="preserve">货物 </w:t>
      </w:r>
      <w:r>
        <w:rPr>
          <w:rFonts w:ascii="仿宋_GB2312" w:eastAsia="仿宋_GB2312"/>
          <w:color w:val="auto"/>
          <w:sz w:val="28"/>
          <w:szCs w:val="28"/>
        </w:rPr>
        <w:sym w:font="Wingdings 2" w:char="00A3"/>
      </w:r>
      <w:r>
        <w:rPr>
          <w:rFonts w:hint="eastAsia" w:ascii="仿宋_GB2312" w:eastAsia="仿宋_GB2312"/>
          <w:color w:val="auto"/>
          <w:sz w:val="28"/>
          <w:szCs w:val="28"/>
        </w:rPr>
        <w:t>服务项目实施公开采购活动，采用</w:t>
      </w:r>
      <w:r>
        <w:rPr>
          <w:rFonts w:hint="eastAsia" w:ascii="仿宋_GB2312" w:eastAsia="仿宋_GB2312"/>
          <w:color w:val="auto"/>
          <w:sz w:val="28"/>
          <w:szCs w:val="28"/>
          <w:u w:val="single"/>
        </w:rPr>
        <w:t>询</w:t>
      </w:r>
      <w:r>
        <w:rPr>
          <w:rFonts w:hint="eastAsia" w:ascii="仿宋_GB2312" w:eastAsia="仿宋_GB2312"/>
          <w:color w:val="auto"/>
          <w:sz w:val="28"/>
          <w:szCs w:val="28"/>
          <w:u w:val="single"/>
          <w:lang w:val="en-US" w:eastAsia="zh-CN"/>
        </w:rPr>
        <w:t>价</w:t>
      </w:r>
      <w:r>
        <w:rPr>
          <w:rFonts w:hint="eastAsia" w:ascii="仿宋_GB2312" w:eastAsia="仿宋_GB2312"/>
          <w:color w:val="auto"/>
          <w:sz w:val="28"/>
          <w:szCs w:val="28"/>
          <w:u w:val="single"/>
        </w:rPr>
        <w:t>采购</w:t>
      </w:r>
      <w:r>
        <w:rPr>
          <w:rFonts w:hint="eastAsia" w:ascii="仿宋_GB2312" w:eastAsia="仿宋_GB2312"/>
          <w:color w:val="auto"/>
          <w:sz w:val="28"/>
          <w:szCs w:val="28"/>
        </w:rPr>
        <w:t>方式公开邀请合格供应商参加本项目采购</w:t>
      </w:r>
    </w:p>
    <w:p>
      <w:pPr>
        <w:rPr>
          <w:rFonts w:ascii="仿宋_GB2312" w:eastAsia="仿宋_GB2312"/>
          <w:color w:val="auto"/>
          <w:sz w:val="28"/>
          <w:szCs w:val="28"/>
          <w:u w:val="single"/>
        </w:rPr>
      </w:pPr>
      <w:r>
        <w:rPr>
          <w:rFonts w:hint="eastAsia" w:ascii="仿宋_GB2312" w:eastAsia="仿宋_GB2312"/>
          <w:color w:val="auto"/>
          <w:sz w:val="28"/>
          <w:szCs w:val="28"/>
        </w:rPr>
        <w:t>竞争。</w:t>
      </w:r>
    </w:p>
    <w:p>
      <w:pPr>
        <w:adjustRightInd w:val="0"/>
        <w:snapToGrid w:val="0"/>
        <w:spacing w:line="600" w:lineRule="exact"/>
        <w:jc w:val="left"/>
        <w:rPr>
          <w:rFonts w:asciiTheme="minorEastAsia" w:hAnsiTheme="minorEastAsia"/>
          <w:b/>
          <w:color w:val="auto"/>
          <w:sz w:val="32"/>
          <w:szCs w:val="32"/>
        </w:rPr>
      </w:pPr>
      <w:r>
        <w:rPr>
          <w:rFonts w:asciiTheme="minorEastAsia" w:hAnsiTheme="minorEastAsia"/>
          <w:b/>
          <w:color w:val="auto"/>
          <w:sz w:val="32"/>
          <w:szCs w:val="32"/>
        </w:rPr>
        <w:t>1.采购项目简介</w:t>
      </w:r>
    </w:p>
    <w:p>
      <w:pPr>
        <w:adjustRightInd w:val="0"/>
        <w:snapToGrid w:val="0"/>
        <w:spacing w:line="600" w:lineRule="exact"/>
        <w:jc w:val="left"/>
        <w:rPr>
          <w:rFonts w:ascii="仿宋_GB2312" w:hAnsi="仿宋_GB2312" w:eastAsia="仿宋_GB2312" w:cs="仿宋_GB2312"/>
          <w:color w:val="auto"/>
          <w:sz w:val="28"/>
          <w:szCs w:val="28"/>
          <w:u w:val="single"/>
        </w:rPr>
      </w:pPr>
      <w:r>
        <w:rPr>
          <w:rFonts w:hint="eastAsia" w:ascii="仿宋_GB2312" w:eastAsia="仿宋_GB2312"/>
          <w:color w:val="auto"/>
          <w:sz w:val="28"/>
          <w:szCs w:val="28"/>
        </w:rPr>
        <w:t>1.1采购项目名称：</w:t>
      </w:r>
      <w:r>
        <w:rPr>
          <w:rFonts w:hint="eastAsia" w:ascii="仿宋_GB2312" w:hAnsi="仿宋_GB2312" w:eastAsia="仿宋_GB2312" w:cs="仿宋_GB2312"/>
          <w:color w:val="auto"/>
          <w:sz w:val="28"/>
          <w:szCs w:val="28"/>
          <w:u w:val="single"/>
        </w:rPr>
        <w:t>广州市净水有限公司竹料分公司2023年下半年办公设备采购项目</w:t>
      </w:r>
    </w:p>
    <w:p>
      <w:pPr>
        <w:adjustRightInd w:val="0"/>
        <w:snapToGrid w:val="0"/>
        <w:spacing w:line="600" w:lineRule="exact"/>
        <w:jc w:val="left"/>
        <w:rPr>
          <w:rFonts w:hint="default" w:ascii="仿宋_GB2312" w:eastAsia="仿宋_GB2312"/>
          <w:color w:val="auto"/>
          <w:sz w:val="28"/>
          <w:szCs w:val="28"/>
          <w:lang w:val="en-US" w:eastAsia="zh-CN"/>
        </w:rPr>
      </w:pPr>
      <w:r>
        <w:rPr>
          <w:rFonts w:hint="eastAsia" w:ascii="仿宋_GB2312" w:eastAsia="仿宋_GB2312"/>
          <w:color w:val="auto"/>
          <w:sz w:val="28"/>
          <w:szCs w:val="28"/>
        </w:rPr>
        <w:t>1.2项目编号：</w:t>
      </w:r>
      <w:r>
        <w:rPr>
          <w:rFonts w:hint="eastAsia" w:ascii="仿宋_GB2312" w:eastAsia="仿宋_GB2312"/>
          <w:color w:val="auto"/>
          <w:sz w:val="28"/>
          <w:szCs w:val="28"/>
          <w:u w:val="single"/>
          <w:lang w:val="en-US" w:eastAsia="zh-CN"/>
        </w:rPr>
        <w:t>XJ-20231117-1</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1.3资金来源：</w:t>
      </w:r>
      <w:r>
        <w:rPr>
          <w:rFonts w:hint="eastAsia" w:ascii="仿宋_GB2312" w:eastAsia="仿宋_GB2312"/>
          <w:color w:val="auto"/>
          <w:sz w:val="28"/>
          <w:szCs w:val="28"/>
          <w:u w:val="single"/>
        </w:rPr>
        <w:t xml:space="preserve">自有资金 </w:t>
      </w:r>
    </w:p>
    <w:p>
      <w:pPr>
        <w:adjustRightInd w:val="0"/>
        <w:snapToGrid w:val="0"/>
        <w:spacing w:line="600" w:lineRule="exact"/>
        <w:jc w:val="left"/>
        <w:rPr>
          <w:rFonts w:ascii="宋体" w:hAnsi="宋体" w:eastAsia="宋体" w:cs="宋体"/>
          <w:color w:val="auto"/>
          <w:sz w:val="28"/>
          <w:szCs w:val="28"/>
          <w:u w:val="single"/>
        </w:rPr>
      </w:pPr>
      <w:r>
        <w:rPr>
          <w:rFonts w:hint="eastAsia" w:ascii="仿宋_GB2312" w:eastAsia="仿宋_GB2312"/>
          <w:color w:val="auto"/>
          <w:sz w:val="28"/>
          <w:szCs w:val="28"/>
        </w:rPr>
        <w:t>1.4最高限价（万元）</w:t>
      </w:r>
      <w:r>
        <w:rPr>
          <w:rFonts w:ascii="仿宋_GB2312" w:eastAsia="仿宋_GB2312"/>
          <w:color w:val="auto"/>
          <w:sz w:val="28"/>
          <w:szCs w:val="28"/>
          <w:u w:val="single"/>
        </w:rPr>
        <w:t>49.1</w:t>
      </w:r>
      <w:r>
        <w:rPr>
          <w:rFonts w:hint="eastAsia" w:ascii="仿宋_GB2312" w:eastAsia="仿宋_GB2312"/>
          <w:color w:val="auto"/>
          <w:sz w:val="28"/>
          <w:szCs w:val="28"/>
          <w:u w:val="single"/>
        </w:rPr>
        <w:t>万元，</w:t>
      </w:r>
      <w:r>
        <w:rPr>
          <w:rFonts w:hint="eastAsia" w:ascii="宋体" w:hAnsi="宋体" w:eastAsia="宋体" w:cs="宋体"/>
          <w:color w:val="auto"/>
          <w:sz w:val="28"/>
          <w:szCs w:val="28"/>
          <w:u w:val="single"/>
        </w:rPr>
        <w:t>税率13%.</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1.5标段划分：无</w:t>
      </w:r>
    </w:p>
    <w:p>
      <w:pPr>
        <w:adjustRightInd w:val="0"/>
        <w:snapToGrid w:val="0"/>
        <w:spacing w:line="600" w:lineRule="exact"/>
        <w:jc w:val="left"/>
        <w:rPr>
          <w:rFonts w:asciiTheme="minorEastAsia" w:hAnsiTheme="minorEastAsia"/>
          <w:b/>
          <w:color w:val="auto"/>
          <w:sz w:val="32"/>
          <w:szCs w:val="32"/>
        </w:rPr>
      </w:pPr>
      <w:r>
        <w:rPr>
          <w:rFonts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2.1采购内容和范围：</w:t>
      </w:r>
    </w:p>
    <w:tbl>
      <w:tblPr>
        <w:tblStyle w:val="24"/>
        <w:tblW w:w="8648" w:type="dxa"/>
        <w:tblInd w:w="93" w:type="dxa"/>
        <w:tblLayout w:type="fixed"/>
        <w:tblCellMar>
          <w:top w:w="0" w:type="dxa"/>
          <w:left w:w="108" w:type="dxa"/>
          <w:bottom w:w="0" w:type="dxa"/>
          <w:right w:w="108" w:type="dxa"/>
        </w:tblCellMar>
      </w:tblPr>
      <w:tblGrid>
        <w:gridCol w:w="788"/>
        <w:gridCol w:w="1409"/>
        <w:gridCol w:w="3571"/>
        <w:gridCol w:w="1005"/>
        <w:gridCol w:w="1095"/>
        <w:gridCol w:w="780"/>
      </w:tblGrid>
      <w:tr>
        <w:tblPrEx>
          <w:tblCellMar>
            <w:top w:w="0" w:type="dxa"/>
            <w:left w:w="108" w:type="dxa"/>
            <w:bottom w:w="0" w:type="dxa"/>
            <w:right w:w="108" w:type="dxa"/>
          </w:tblCellMar>
        </w:tblPrEx>
        <w:trPr>
          <w:trHeight w:val="765" w:hRule="atLeast"/>
        </w:trPr>
        <w:tc>
          <w:tcPr>
            <w:tcW w:w="78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序号</w:t>
            </w:r>
          </w:p>
        </w:tc>
        <w:tc>
          <w:tcPr>
            <w:tcW w:w="140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设备名称</w:t>
            </w:r>
          </w:p>
        </w:tc>
        <w:tc>
          <w:tcPr>
            <w:tcW w:w="357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性能</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单位</w:t>
            </w:r>
          </w:p>
        </w:tc>
        <w:tc>
          <w:tcPr>
            <w:tcW w:w="109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采购数量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备注</w:t>
            </w:r>
          </w:p>
        </w:tc>
      </w:tr>
      <w:tr>
        <w:tblPrEx>
          <w:tblCellMar>
            <w:top w:w="0" w:type="dxa"/>
            <w:left w:w="108" w:type="dxa"/>
            <w:bottom w:w="0" w:type="dxa"/>
            <w:right w:w="108" w:type="dxa"/>
          </w:tblCellMar>
        </w:tblPrEx>
        <w:trPr>
          <w:trHeight w:val="4040" w:hRule="atLeast"/>
        </w:trPr>
        <w:tc>
          <w:tcPr>
            <w:tcW w:w="78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1409" w:type="dxa"/>
            <w:tcBorders>
              <w:top w:val="single" w:color="auto" w:sz="4" w:space="0"/>
              <w:left w:val="nil"/>
              <w:bottom w:val="single" w:color="auto" w:sz="4" w:space="0"/>
              <w:right w:val="nil"/>
            </w:tcBorders>
            <w:shd w:val="clear" w:color="auto" w:fill="auto"/>
            <w:noWrap/>
            <w:vAlign w:val="center"/>
          </w:tcPr>
          <w:p>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110英寸会议平板</w:t>
            </w:r>
          </w:p>
        </w:tc>
        <w:tc>
          <w:tcPr>
            <w:tcW w:w="357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1.屏幕尺寸：110英寸；</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2.屏幕比例：16:9；</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3.分辨率：3840*2160；</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4.系统版本：Android11.0/Windowsi5双系统；</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5.系统配置：4G+32G/8G DDR3；</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6.无线投屏：支持无线投屏，同屏多分屏功能，支持4个设备同时同屏；</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7.会议培训：内置office,看图，视频播放器等办公实用工具，内置无线WIFI，网卡，支持无线上网，</w:t>
            </w:r>
            <w:r>
              <w:rPr>
                <w:rFonts w:hint="eastAsia" w:ascii="宋体" w:hAnsi="宋体" w:eastAsia="宋体" w:cs="宋体"/>
                <w:color w:val="auto"/>
                <w:kern w:val="0"/>
                <w:sz w:val="22"/>
                <w:lang w:bidi="ar"/>
              </w:rPr>
              <w:t>支持将手机、平板、</w:t>
            </w:r>
            <w:r>
              <w:rPr>
                <w:rFonts w:ascii="宋体" w:hAnsi="宋体" w:eastAsia="宋体" w:cs="宋体"/>
                <w:color w:val="auto"/>
                <w:kern w:val="0"/>
                <w:sz w:val="22"/>
                <w:lang w:bidi="ar"/>
              </w:rPr>
              <w:t>Pad等设备画面同步传送到平板上；</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8.电子白板：支持20点触控；</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9.电脑模块化设计，OPS/抽拉式PC设置；</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10.远程视频：支持远程视频会议，多方异地会议，远程PPT演讲，远程桌面共享。</w:t>
            </w:r>
          </w:p>
          <w:p>
            <w:pPr>
              <w:widowControl/>
              <w:jc w:val="left"/>
              <w:textAlignment w:val="center"/>
              <w:rPr>
                <w:rFonts w:ascii="宋体" w:hAnsi="宋体" w:eastAsia="宋体" w:cs="宋体"/>
                <w:color w:val="auto"/>
                <w:sz w:val="22"/>
              </w:rPr>
            </w:pP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台</w:t>
            </w:r>
          </w:p>
        </w:tc>
        <w:tc>
          <w:tcPr>
            <w:tcW w:w="109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包括安装、调试</w:t>
            </w:r>
          </w:p>
        </w:tc>
      </w:tr>
      <w:tr>
        <w:tblPrEx>
          <w:tblCellMar>
            <w:top w:w="0" w:type="dxa"/>
            <w:left w:w="108" w:type="dxa"/>
            <w:bottom w:w="0" w:type="dxa"/>
            <w:right w:w="108" w:type="dxa"/>
          </w:tblCellMar>
        </w:tblPrEx>
        <w:trPr>
          <w:trHeight w:val="13577" w:hRule="atLeast"/>
        </w:trPr>
        <w:tc>
          <w:tcPr>
            <w:tcW w:w="78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2</w:t>
            </w:r>
          </w:p>
        </w:tc>
        <w:tc>
          <w:tcPr>
            <w:tcW w:w="140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门头LED屏</w:t>
            </w:r>
          </w:p>
        </w:tc>
        <w:tc>
          <w:tcPr>
            <w:tcW w:w="357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 尺寸：5.86mX0.58m，产品规格：PH10.0；</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2.像素点间距:≤10.0mm；</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3.像素密度≥10000点/㎡；</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4.模组尺寸：320mm×160mm；</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5.模组分辨率≥32*16；</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6.单箱体平整度≤0.5；</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7.支持单点亮度矫正，单点颜色矫正；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8.亮度(nit) ≥5000（0-100%无极可调，支持手动/自动/程控）;</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9.色温(k) 介于 1000～12000可调，调节步长100K；</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10.水平/垂直视角 ≥160°；</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11.亮度均匀性≥98%，色度均匀性介于±0.003 Cx,Cy内；</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12.刷新率≥1920HZ;</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13.换帧频率为50&amp;60HZ;</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14.灰度等级为灰度(bit) 为16bit；</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15.模组驱动方式为1/16扫恒流驱动；</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16.平均故障间隔时间为120000小时；</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17.产品符合防水试验（IPX5）等级测试；</w:t>
            </w:r>
          </w:p>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18.支持手机客户端操作控制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包括安装、调试</w:t>
            </w:r>
          </w:p>
        </w:tc>
      </w:tr>
      <w:tr>
        <w:tblPrEx>
          <w:tblCellMar>
            <w:top w:w="0" w:type="dxa"/>
            <w:left w:w="108" w:type="dxa"/>
            <w:bottom w:w="0" w:type="dxa"/>
            <w:right w:w="108" w:type="dxa"/>
          </w:tblCellMar>
        </w:tblPrEx>
        <w:trPr>
          <w:trHeight w:val="8180" w:hRule="atLeast"/>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3</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小间距LED屏</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1、像素点构成及COB封装方式：1R1G1B, RGB全倒装封装；</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2、像素点间距≤1.56，像素密度点（点/m²）：409600点/㎡；</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3、箱体材质采用密封式压铸铝箱体，采用无风扇自然散热结构，单元箱体比例按照16：9来设计，箱体尺寸要求为（W*H）600mm*337.5mm，箱体厚度要求控制在48mm以内,箱体重量不得大于6.5Kg。</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4、整屏平整度：≤0.05mm，具备拼缝微调节机构，保证拼缝精度达到＜0.1mm。</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5、亮度（0～800 cd/m²）可调，亮度调节功能可预设场景模式，支持手动、程控调节。</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6、LED 模组共阴原理设计： LED 的红、绿、蓝三基色灯的阴极连接在一起，同一像素内红、绿、蓝三种颜色的发光二极管共用一个负极；</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7、支持模组、接收卡、电源完全前维护，模组可存储校正数据，更换模组，自动回读校正数据；</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8、软硬件具备一键调节亮、暗线功能，画面稳定无闪烁，具有整屏色平衡调整功能，确保基色一致性；</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9、模组、接收卡与主板采用硬接口设计，无排线，支持直接插拔；每个LED 单元具有独立的控制网口。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 xml:space="preserve">10、COB </w:t>
            </w:r>
            <w:r>
              <w:rPr>
                <w:rFonts w:hint="eastAsia" w:ascii="宋体" w:hAnsi="宋体" w:eastAsia="宋体" w:cs="宋体"/>
                <w:color w:val="auto"/>
                <w:kern w:val="0"/>
                <w:sz w:val="22"/>
                <w:lang w:bidi="ar"/>
              </w:rPr>
              <w:t>显示单元正面雾面抗反射处理采用雾面膜可以达到抗反射，抗眩光，一体黑的效果；用</w:t>
            </w:r>
            <w:r>
              <w:rPr>
                <w:rFonts w:ascii="宋体" w:hAnsi="宋体" w:eastAsia="宋体" w:cs="宋体"/>
                <w:color w:val="auto"/>
                <w:kern w:val="0"/>
                <w:sz w:val="22"/>
                <w:lang w:bidi="ar"/>
              </w:rPr>
              <w:t xml:space="preserve"> RCA </w:t>
            </w:r>
            <w:r>
              <w:rPr>
                <w:rFonts w:hint="eastAsia" w:ascii="宋体" w:hAnsi="宋体" w:eastAsia="宋体" w:cs="宋体"/>
                <w:color w:val="auto"/>
                <w:kern w:val="0"/>
                <w:sz w:val="22"/>
                <w:lang w:bidi="ar"/>
              </w:rPr>
              <w:t>专用纸带，以固定</w:t>
            </w:r>
            <w:r>
              <w:rPr>
                <w:rFonts w:ascii="宋体" w:hAnsi="宋体" w:eastAsia="宋体" w:cs="宋体"/>
                <w:color w:val="auto"/>
                <w:kern w:val="0"/>
                <w:sz w:val="22"/>
                <w:lang w:bidi="ar"/>
              </w:rPr>
              <w:t xml:space="preserve"> 275g </w:t>
            </w:r>
            <w:r>
              <w:rPr>
                <w:rFonts w:hint="eastAsia" w:ascii="宋体" w:hAnsi="宋体" w:eastAsia="宋体" w:cs="宋体"/>
                <w:color w:val="auto"/>
                <w:kern w:val="0"/>
                <w:sz w:val="22"/>
                <w:lang w:bidi="ar"/>
              </w:rPr>
              <w:t>重量施加在</w:t>
            </w:r>
            <w:r>
              <w:rPr>
                <w:rFonts w:ascii="宋体" w:hAnsi="宋体" w:eastAsia="宋体" w:cs="宋体"/>
                <w:color w:val="auto"/>
                <w:kern w:val="0"/>
                <w:sz w:val="22"/>
                <w:lang w:bidi="ar"/>
              </w:rPr>
              <w:t xml:space="preserve"> COB </w:t>
            </w:r>
            <w:r>
              <w:rPr>
                <w:rFonts w:hint="eastAsia" w:ascii="宋体" w:hAnsi="宋体" w:eastAsia="宋体" w:cs="宋体"/>
                <w:color w:val="auto"/>
                <w:kern w:val="0"/>
                <w:sz w:val="22"/>
                <w:lang w:bidi="ar"/>
              </w:rPr>
              <w:t>面板上面，速度：</w:t>
            </w:r>
            <w:r>
              <w:rPr>
                <w:rFonts w:ascii="宋体" w:hAnsi="宋体" w:eastAsia="宋体" w:cs="宋体"/>
                <w:color w:val="auto"/>
                <w:kern w:val="0"/>
                <w:sz w:val="22"/>
                <w:lang w:bidi="ar"/>
              </w:rPr>
              <w:t xml:space="preserve"> 16 </w:t>
            </w:r>
            <w:r>
              <w:rPr>
                <w:rFonts w:hint="eastAsia" w:ascii="宋体" w:hAnsi="宋体" w:eastAsia="宋体" w:cs="宋体"/>
                <w:color w:val="auto"/>
                <w:kern w:val="0"/>
                <w:sz w:val="22"/>
                <w:lang w:bidi="ar"/>
              </w:rPr>
              <w:t>转</w:t>
            </w:r>
            <w:r>
              <w:rPr>
                <w:rFonts w:ascii="宋体" w:hAnsi="宋体" w:eastAsia="宋体" w:cs="宋体"/>
                <w:color w:val="auto"/>
                <w:kern w:val="0"/>
                <w:sz w:val="22"/>
                <w:lang w:bidi="ar"/>
              </w:rPr>
              <w:t xml:space="preserve">/min，试验圈数： 150 </w:t>
            </w:r>
            <w:r>
              <w:rPr>
                <w:rFonts w:hint="eastAsia" w:ascii="宋体" w:hAnsi="宋体" w:eastAsia="宋体" w:cs="宋体"/>
                <w:color w:val="auto"/>
                <w:kern w:val="0"/>
                <w:sz w:val="22"/>
                <w:lang w:bidi="ar"/>
              </w:rPr>
              <w:t xml:space="preserve">次； </w:t>
            </w:r>
            <w:r>
              <w:rPr>
                <w:rFonts w:ascii="宋体" w:hAnsi="宋体" w:eastAsia="宋体" w:cs="宋体"/>
                <w:color w:val="auto"/>
                <w:kern w:val="0"/>
                <w:sz w:val="22"/>
                <w:lang w:bidi="ar"/>
              </w:rPr>
              <w:t xml:space="preserve">COB </w:t>
            </w:r>
            <w:r>
              <w:rPr>
                <w:rFonts w:hint="eastAsia" w:ascii="宋体" w:hAnsi="宋体" w:eastAsia="宋体" w:cs="宋体"/>
                <w:color w:val="auto"/>
                <w:kern w:val="0"/>
                <w:sz w:val="22"/>
                <w:lang w:bidi="ar"/>
              </w:rPr>
              <w:t>面板外观结构和功能均正常。（需提供并通过</w:t>
            </w:r>
            <w:r>
              <w:rPr>
                <w:rFonts w:ascii="宋体" w:hAnsi="宋体" w:eastAsia="宋体" w:cs="宋体"/>
                <w:color w:val="auto"/>
                <w:kern w:val="0"/>
                <w:sz w:val="22"/>
                <w:lang w:bidi="ar"/>
              </w:rPr>
              <w:t>ilac-MRA/CNAS/CMA</w:t>
            </w:r>
            <w:r>
              <w:rPr>
                <w:rFonts w:hint="eastAsia" w:ascii="宋体" w:hAnsi="宋体" w:eastAsia="宋体" w:cs="宋体"/>
                <w:color w:val="auto"/>
                <w:kern w:val="0"/>
                <w:sz w:val="22"/>
                <w:lang w:bidi="ar"/>
              </w:rPr>
              <w:t>标志认证第三方专业检测机构出具的检测报告证明文件并加盖设备制造商公章；）</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11、模组 PCB板材采用6 层以上电路板结构设计，PCB 设计焊盘采用沉金全彩显示屏工艺 HDI 处理，充分保证单模块安装的稳定性和抗氧化性；可以耐CAF 离子迁移达 1000H；</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 xml:space="preserve">12、COB </w:t>
            </w:r>
            <w:r>
              <w:rPr>
                <w:rFonts w:hint="eastAsia" w:ascii="宋体" w:hAnsi="宋体" w:eastAsia="宋体" w:cs="宋体"/>
                <w:color w:val="auto"/>
                <w:kern w:val="0"/>
                <w:sz w:val="22"/>
                <w:lang w:bidi="ar"/>
              </w:rPr>
              <w:t>显示单元防霉等级依据</w:t>
            </w:r>
            <w:r>
              <w:rPr>
                <w:rFonts w:ascii="宋体" w:hAnsi="宋体" w:eastAsia="宋体" w:cs="宋体"/>
                <w:color w:val="auto"/>
                <w:kern w:val="0"/>
                <w:sz w:val="22"/>
                <w:lang w:bidi="ar"/>
              </w:rPr>
              <w:t xml:space="preserve"> GB/T2423.16-2008标准， </w:t>
            </w:r>
            <w:r>
              <w:rPr>
                <w:rFonts w:hint="eastAsia" w:ascii="宋体" w:hAnsi="宋体" w:eastAsia="宋体" w:cs="宋体"/>
                <w:color w:val="auto"/>
                <w:kern w:val="0"/>
                <w:sz w:val="22"/>
                <w:lang w:bidi="ar"/>
              </w:rPr>
              <w:t>显微镜（放大</w:t>
            </w:r>
            <w:r>
              <w:rPr>
                <w:rFonts w:ascii="宋体" w:hAnsi="宋体" w:eastAsia="宋体" w:cs="宋体"/>
                <w:color w:val="auto"/>
                <w:kern w:val="0"/>
                <w:sz w:val="22"/>
                <w:lang w:bidi="ar"/>
              </w:rPr>
              <w:t xml:space="preserve"> 50 </w:t>
            </w:r>
            <w:r>
              <w:rPr>
                <w:rFonts w:hint="eastAsia" w:ascii="宋体" w:hAnsi="宋体" w:eastAsia="宋体" w:cs="宋体"/>
                <w:color w:val="auto"/>
                <w:kern w:val="0"/>
                <w:sz w:val="22"/>
                <w:lang w:bidi="ar"/>
              </w:rPr>
              <w:t>倍）下未见长霉，符合</w:t>
            </w:r>
            <w:r>
              <w:rPr>
                <w:rFonts w:ascii="宋体" w:hAnsi="宋体" w:eastAsia="宋体" w:cs="宋体"/>
                <w:color w:val="auto"/>
                <w:kern w:val="0"/>
                <w:sz w:val="22"/>
                <w:lang w:bidi="ar"/>
              </w:rPr>
              <w:t xml:space="preserve">0 </w:t>
            </w:r>
            <w:r>
              <w:rPr>
                <w:rFonts w:hint="eastAsia" w:ascii="宋体" w:hAnsi="宋体" w:eastAsia="宋体" w:cs="宋体"/>
                <w:color w:val="auto"/>
                <w:kern w:val="0"/>
                <w:sz w:val="22"/>
                <w:lang w:bidi="ar"/>
              </w:rPr>
              <w:t>级标准；</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13、蓝光危害符合 GB/T 20145-2006，辐亮度无危险标准即：辐亮度≤100W/（m2*sr）；光辐射通过蓝光视网膜等级检测，蓝光视网膜危害，其蓝光危害安全系数达 0 类，无风险等级；对皮肤表面及眼睛角膜和视网膜无直接伤害；红绿蓝三色的宽波段光源对皮肤及人眼直接观看无伤害，无紫外危害；产品视觉健康舒适度应符合 CSA035.2-2017 VICO 指数 1 级要求。</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 xml:space="preserve">14、电源端子骚扰电压（EMC）、电信端口传导共模（非对称）骚扰电压限值（EMC）、辐射骚扰（EMC）均符合GB/T9254-2008Class B </w:t>
            </w:r>
            <w:r>
              <w:rPr>
                <w:rFonts w:hint="eastAsia" w:ascii="宋体" w:hAnsi="宋体" w:eastAsia="宋体" w:cs="宋体"/>
                <w:color w:val="auto"/>
                <w:kern w:val="0"/>
                <w:sz w:val="22"/>
                <w:lang w:bidi="ar"/>
              </w:rPr>
              <w:t>限值要求；（需提供并通过</w:t>
            </w:r>
            <w:r>
              <w:rPr>
                <w:rFonts w:ascii="宋体" w:hAnsi="宋体" w:eastAsia="宋体" w:cs="宋体"/>
                <w:color w:val="auto"/>
                <w:kern w:val="0"/>
                <w:sz w:val="22"/>
                <w:lang w:bidi="ar"/>
              </w:rPr>
              <w:t>ilac-MRA/CNAS/CMA</w:t>
            </w:r>
            <w:r>
              <w:rPr>
                <w:rFonts w:hint="eastAsia" w:ascii="宋体" w:hAnsi="宋体" w:eastAsia="宋体" w:cs="宋体"/>
                <w:color w:val="auto"/>
                <w:kern w:val="0"/>
                <w:sz w:val="22"/>
                <w:lang w:bidi="ar"/>
              </w:rPr>
              <w:t>标志认证第三方专业检测机构出具的检测报告证明文件并加盖设备制造商公章；）</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15、亮度均匀性≥98%,色温、色域2000K-10000K连续可调，色域覆盖率≥110%NTSC；</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16、产品支持低亮高刷功能，亮度在 200cd/㎡时，符合3840HZ高刷新要求，暗室对比度≥1000000:1</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 xml:space="preserve">17、单元箱体功耗峰值≤500 W/㎡；平均≤200 W/㎡，可支持电源信号冗余备份。 </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 xml:space="preserve">18、带有智能（黑屏）节电功能，开启智能节电功能比没有开启节能40%以上； </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19、单元箱体防护等级符合 GB/T 4208-2017，防尘 IP6X， 防水 IPX5，COB 显示单元正面防护等级IP65；</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20、PCB阻燃符合 GB/T4943.1-2011要求，达到 UL94 V-0 等级要求。</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21、产品具有防静电、防震动、防电磁干扰、抗干扰、抗雷击等功能，具有电源过压、过流、断电保护、分布上电措施，具有实时监控温度、故障报警功能。屏幕点亮连续运行 12 小时后，屏幕表面温升不超过 25K。</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22、可实现远程监督控制，对可能发生的潜在故障记录日志，并向操作员发出警报信号，具有故障自动告警功能，发生故障立即发消息到指定邮箱，便于及时处理；</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23、LED 显示屏可实时监控显示屏工作状态，可实现 LED 单点检测。具有多点测温功能，防止温度过高造成局部颜色混乱、分离，提高屏体寿命；</w:t>
            </w:r>
          </w:p>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24、软件管控匹配运维管理软件，可通过软件进行控制；</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套</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包括安装、调试</w:t>
            </w:r>
          </w:p>
        </w:tc>
      </w:tr>
      <w:tr>
        <w:tblPrEx>
          <w:tblCellMar>
            <w:top w:w="0" w:type="dxa"/>
            <w:left w:w="108" w:type="dxa"/>
            <w:bottom w:w="0" w:type="dxa"/>
            <w:right w:w="108" w:type="dxa"/>
          </w:tblCellMar>
        </w:tblPrEx>
        <w:trPr>
          <w:trHeight w:val="6795"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拼接处理器参数：</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1.设备应为纯硬件FPGA架构，CrossPoint全总线交换技术，背板等效带宽，不能内置PC/X86/X64架构硬件，以避免X86/X64架构天然存在的计算可靠性和准确性缺陷以及设备运行不稳定问题。</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2.单张板卡支持4通道输入或输出，紧凑型机箱，模拟视频单板卡支持16路同时输入，单卡支持2种信号源任意组合。</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3.输入输出板卡可热插拔，输入板卡热插拔恢复时间＜2s，输出板卡热插拔恢复时间＜8s。（提供CNAS机构认可的第三方权威检测报告）</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4.开机时间≤10s，启动电源至输出最总画面的时间间隔。</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5、平均故障时间间隔（MTBF）不小于96000小时，保证设备能够稳定运行。</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6、最大单机背板信号处理带宽不小于720Gbps。（提供CNAS机构认可的第三方权威检测报告）</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7、对各个输入通道采用纯硬件处理技术，采用独享带宽方式为每个输入通道分配带宽，切换过程中对其他信号无影响，实现了对输入通道的实时处理功能。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8.支持集中采集DVI、VGA、CVBS、HDBaseT、HDMI、SDI、YPbPr、光纤、网络等2K信号，Dual-link DVI、HDMI 1.4、DisplayPort等4K信号。</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9.支持DVI、HDBaseT、HDMI、SDI、光纤、CVBS等常见的2K信号输出，Dual-link DVI、HDMI 1.4等4K信号输出。</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10.单台设备最大规模支持128路高清输入，144路高清输出，均不需要设备级联。</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11.设备支持任意一路图像在拼接屏的任意位置以任意比例进行开窗、缩放、拉伸、漫游、叠加、跨屏、缩放等功能。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12.设备支持图像无缝实时切换功能，无缝切换时间＜20ms。</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13.支持场景保存及快速调用，支持场景轮巡，适应于不同的应用场景。</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14.可以输出7种测试颜色及网格图像来检验输出通道是否可以正常输出信号。</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15.支持信号源预监功能，支持浏览所有输入信号源的实时预览画面。</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16.支持大屏图像回显，可显示整面拼接墙的显示图像。</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17.支持图像截取功能，可以实现图像重点区域的放大显示或者裁掉信号源的黑边。</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18.支持网络抓屏，将PC桌面信号通过网络抓屏的方式传输至拼接屏同步显示。</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19.图像开窗响应速度＜15ms。</w:t>
            </w:r>
            <w:r>
              <w:rPr>
                <w:rFonts w:ascii="宋体" w:hAnsi="宋体" w:eastAsia="宋体" w:cs="宋体"/>
                <w:color w:val="auto"/>
                <w:kern w:val="0"/>
                <w:sz w:val="22"/>
                <w:lang w:bidi="ar"/>
              </w:rPr>
              <w:t>20.支持RRTA分辨率实时全兼容技术，单台设备应支持同时控制4组不同分辨率的大屏幕显示。（提</w:t>
            </w:r>
            <w:r>
              <w:rPr>
                <w:rFonts w:hint="eastAsia" w:ascii="宋体" w:hAnsi="宋体" w:eastAsia="宋体" w:cs="宋体"/>
                <w:color w:val="auto"/>
                <w:kern w:val="0"/>
                <w:sz w:val="22"/>
                <w:lang w:bidi="ar"/>
              </w:rPr>
              <w:t>供</w:t>
            </w:r>
            <w:r>
              <w:rPr>
                <w:rFonts w:ascii="宋体" w:hAnsi="宋体" w:eastAsia="宋体" w:cs="宋体"/>
                <w:color w:val="auto"/>
                <w:kern w:val="0"/>
                <w:sz w:val="22"/>
                <w:lang w:bidi="ar"/>
              </w:rPr>
              <w:t>CNAS机构认可的第三方权威检测报告）</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21.前面板可显示设备IP地址，设备型号等基础信息内容。</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22.支持设置拼接屏的拼缝补偿，屏幕间隔可以根据电视墙实现接缝大小不同而任意设置，可精确到1个像素。</w:t>
            </w:r>
          </w:p>
          <w:p>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23.图像信号无压缩、无失真实时传输，保证图像质量无损耗。</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24.支持整面多行拼接屏的画面同步功能，针对快速变化的画面不会出现撕裂、错位的现象。</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26.输出通道支持宏定义，设备的输出通道与物理显示设备的逻辑对应关系可调。</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27.支持业务智能恢复，输入输出卡更换后无需配置，可自动恢复至原来的工作状态。</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28.信号显示帧率不受开窗大小及输入路数的限制，保证信号显示的流畅性。</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29.支持国标GB28181协议、ONVIF标准协议接入设备。</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30.支持模拟音频输入输出，具有通道同步切换功能。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31.具备7x24 小时长时间连续开机工作的能力。</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32.设备支持不规则拼接方式，针对LED拼接的显示单元，可以设置每块LED单屏的有效显示区，不但降低了操作的复杂度，还提高了整体显示的效果。</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33.支持视频网络运维管理协议，实时监测设备的运行状态，对设备异常情况进行报警。</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34.可联控市面主流品牌矩阵切换器，开放联控接口。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35.支持集成中控功能，实现对大屏幕的开关控制。</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36.支持 RS232串口和网络TCP/IP控制，开放控制协议，可与各品牌中控系统轻松集成。</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37.支持移动终端软件控制，不用外加中控直接实现场景调取等功能。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38.支持故障检测功能，支持输入信号丢失检测，使用灰色标示。</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39.可在控制软件观看大屏回显，直接对UI中的可视化窗口进行操作。</w:t>
            </w:r>
          </w:p>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40.软件支持Windows操作系统和麒麟操作系统。</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rPr>
            </w:pPr>
          </w:p>
        </w:tc>
      </w:tr>
      <w:tr>
        <w:tblPrEx>
          <w:tblCellMar>
            <w:top w:w="0" w:type="dxa"/>
            <w:left w:w="108" w:type="dxa"/>
            <w:bottom w:w="0" w:type="dxa"/>
            <w:right w:w="108" w:type="dxa"/>
          </w:tblCellMar>
        </w:tblPrEx>
        <w:trPr>
          <w:trHeight w:val="414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多功能主机：</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1、设备接口应具备RS-232接口≥10路、HDMI 4K输入接口≥8路、HDMI 4K输出接口≥8路、3.5mm立体声输入接口≥4路、3.5mm立体声输出接口≥4路、RJ-45千兆网口≥8路；（须提供CMA、ilac-MRA及CNAS标识的权威第三方检测报告复印件并加盖生产制造厂商公章）</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2、具备≥10路RS-232控制端口，用于控制接入对应的摄像头、窗帘、功放、PLC、灯控等设备，同时支持1路RS-485、1路RS-422全功能接口；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3、设备具备1个5寸LCD全彩触摸屏，1个电源指示灯、1个数据传输指示灯、1个红外接收器、1路恢复出厂设置按键；（须提供CMA、ilac-MRA及CNAS标识的权威第三方检测报告复印件并加盖生产制造厂商公章）</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4、具备4G物联网功能，实现远程状态查询、周边环境控制；</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5、具备本地8+1路音视频同时录制功能。支持多路视频流合成录制并且支持8路独立画面和1路合成画面进行保存；</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6、具备录播视频重点部分进行马赛克及变声处理，用于防止出现视频资料外泄；</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7、具备无需外加编、解码器及服务器，即可实现IPC接入及控制</w:t>
            </w:r>
            <w:r>
              <w:rPr>
                <w:rFonts w:hint="eastAsia" w:ascii="宋体" w:hAnsi="宋体" w:eastAsia="宋体" w:cs="宋体"/>
                <w:color w:val="auto"/>
                <w:kern w:val="0"/>
                <w:sz w:val="22"/>
                <w:lang w:bidi="ar"/>
              </w:rPr>
              <w:t>功能，最高可同时支持</w:t>
            </w:r>
            <w:r>
              <w:rPr>
                <w:rFonts w:ascii="宋体" w:hAnsi="宋体" w:eastAsia="宋体" w:cs="宋体"/>
                <w:color w:val="auto"/>
                <w:kern w:val="0"/>
                <w:sz w:val="22"/>
                <w:lang w:bidi="ar"/>
              </w:rPr>
              <w:t>8路4K@30网络接入，并且实时进行录制功能；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8、具备所见即所得的可视化交互式控制和显示功能，控制终端可实时预览回显所有视频信号；</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9、具备矩阵、拼接、交换机、中控、4G物联、多画面录播等功能；</w:t>
            </w:r>
          </w:p>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10、平均无故障运行时间不少于100000小时。</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rPr>
            </w:pPr>
          </w:p>
        </w:tc>
      </w:tr>
    </w:tbl>
    <w:p>
      <w:pPr>
        <w:adjustRightInd w:val="0"/>
        <w:snapToGrid w:val="0"/>
        <w:spacing w:line="600" w:lineRule="exact"/>
        <w:jc w:val="left"/>
        <w:rPr>
          <w:rFonts w:ascii="仿宋_GB2312" w:eastAsia="仿宋_GB2312"/>
          <w:color w:val="auto"/>
          <w:sz w:val="28"/>
          <w:szCs w:val="28"/>
        </w:rPr>
      </w:pP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2.2项目工期：</w:t>
      </w:r>
      <w:r>
        <w:rPr>
          <w:rFonts w:ascii="仿宋_GB2312" w:eastAsia="仿宋_GB2312"/>
          <w:color w:val="auto"/>
          <w:sz w:val="28"/>
          <w:szCs w:val="28"/>
        </w:rPr>
        <w:sym w:font="Wingdings 2" w:char="00A3"/>
      </w:r>
      <w:r>
        <w:rPr>
          <w:rFonts w:hint="eastAsia" w:ascii="仿宋_GB2312" w:eastAsia="仿宋_GB2312"/>
          <w:color w:val="auto"/>
          <w:sz w:val="28"/>
          <w:szCs w:val="28"/>
        </w:rPr>
        <w:t xml:space="preserve">计划工期   </w:t>
      </w:r>
      <w:r>
        <w:rPr>
          <w:rFonts w:ascii="仿宋_GB2312" w:eastAsia="仿宋_GB2312"/>
          <w:color w:val="auto"/>
          <w:sz w:val="28"/>
          <w:szCs w:val="28"/>
        </w:rPr>
        <w:sym w:font="Wingdings 2" w:char="0052"/>
      </w:r>
      <w:r>
        <w:rPr>
          <w:rFonts w:hint="eastAsia" w:ascii="仿宋_GB2312" w:eastAsia="仿宋_GB2312"/>
          <w:color w:val="auto"/>
          <w:sz w:val="28"/>
          <w:szCs w:val="28"/>
        </w:rPr>
        <w:t xml:space="preserve">交货期  </w:t>
      </w:r>
      <w:r>
        <w:rPr>
          <w:rFonts w:ascii="仿宋_GB2312" w:eastAsia="仿宋_GB2312"/>
          <w:color w:val="auto"/>
          <w:sz w:val="28"/>
          <w:szCs w:val="28"/>
        </w:rPr>
        <w:sym w:font="Wingdings 2" w:char="00A3"/>
      </w:r>
      <w:r>
        <w:rPr>
          <w:rFonts w:hint="eastAsia" w:ascii="仿宋_GB2312" w:eastAsia="仿宋_GB2312"/>
          <w:color w:val="auto"/>
          <w:sz w:val="28"/>
          <w:szCs w:val="28"/>
        </w:rPr>
        <w:t>服务期  自合同签订之日起30天</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 xml:space="preserve">2.3地点：□建设地点  </w:t>
      </w:r>
      <w:r>
        <w:rPr>
          <w:rFonts w:ascii="仿宋_GB2312" w:eastAsia="仿宋_GB2312"/>
          <w:color w:val="auto"/>
          <w:sz w:val="28"/>
          <w:szCs w:val="28"/>
        </w:rPr>
        <w:sym w:font="Wingdings 2" w:char="0052"/>
      </w:r>
      <w:r>
        <w:rPr>
          <w:rFonts w:hint="eastAsia" w:ascii="仿宋_GB2312" w:eastAsia="仿宋_GB2312"/>
          <w:color w:val="auto"/>
          <w:sz w:val="28"/>
          <w:szCs w:val="28"/>
        </w:rPr>
        <w:t xml:space="preserve">交货地点  </w:t>
      </w:r>
      <w:r>
        <w:rPr>
          <w:rFonts w:ascii="仿宋_GB2312" w:eastAsia="仿宋_GB2312"/>
          <w:color w:val="auto"/>
          <w:sz w:val="28"/>
          <w:szCs w:val="28"/>
        </w:rPr>
        <w:sym w:font="Wingdings 2" w:char="0052"/>
      </w:r>
      <w:r>
        <w:rPr>
          <w:rFonts w:hint="eastAsia" w:ascii="仿宋_GB2312" w:eastAsia="仿宋_GB2312"/>
          <w:color w:val="auto"/>
          <w:sz w:val="28"/>
          <w:szCs w:val="28"/>
        </w:rPr>
        <w:t>服务地点</w:t>
      </w:r>
      <w:r>
        <w:rPr>
          <w:rFonts w:ascii="仿宋_GB2312" w:eastAsia="仿宋_GB2312"/>
          <w:color w:val="auto"/>
          <w:sz w:val="28"/>
          <w:szCs w:val="28"/>
        </w:rPr>
        <w:t xml:space="preserve">  </w:t>
      </w:r>
      <w:r>
        <w:rPr>
          <w:rFonts w:hint="eastAsia" w:ascii="仿宋_GB2312" w:hAnsi="仿宋_GB2312" w:eastAsia="仿宋_GB2312" w:cs="仿宋_GB2312"/>
          <w:color w:val="auto"/>
          <w:sz w:val="28"/>
          <w:szCs w:val="28"/>
        </w:rPr>
        <w:t>广州净水竹料分公司</w:t>
      </w:r>
    </w:p>
    <w:p>
      <w:pPr>
        <w:adjustRightInd w:val="0"/>
        <w:snapToGrid w:val="0"/>
        <w:spacing w:line="600" w:lineRule="exact"/>
        <w:ind w:left="420" w:right="-369" w:rightChars="-176" w:hanging="420" w:hangingChars="150"/>
        <w:jc w:val="left"/>
        <w:rPr>
          <w:rFonts w:ascii="仿宋_GB2312" w:eastAsia="仿宋_GB2312"/>
          <w:color w:val="auto"/>
          <w:sz w:val="28"/>
          <w:szCs w:val="28"/>
        </w:rPr>
      </w:pPr>
      <w:r>
        <w:rPr>
          <w:rFonts w:hint="eastAsia" w:ascii="仿宋_GB2312" w:eastAsia="仿宋_GB2312"/>
          <w:color w:val="auto"/>
          <w:sz w:val="28"/>
          <w:szCs w:val="28"/>
        </w:rPr>
        <w:t>2.4质量要求：</w:t>
      </w:r>
      <w:r>
        <w:rPr>
          <w:rFonts w:ascii="仿宋_GB2312" w:eastAsia="仿宋_GB2312"/>
          <w:color w:val="auto"/>
          <w:sz w:val="28"/>
          <w:szCs w:val="28"/>
        </w:rPr>
        <w:sym w:font="Wingdings 2" w:char="00A3"/>
      </w:r>
      <w:r>
        <w:rPr>
          <w:rFonts w:hint="eastAsia" w:ascii="仿宋_GB2312" w:eastAsia="仿宋_GB2312"/>
          <w:color w:val="auto"/>
          <w:sz w:val="28"/>
          <w:szCs w:val="28"/>
        </w:rPr>
        <w:t xml:space="preserve">施工质量要求   </w:t>
      </w:r>
      <w:r>
        <w:rPr>
          <w:rFonts w:ascii="仿宋_GB2312" w:eastAsia="仿宋_GB2312"/>
          <w:color w:val="auto"/>
          <w:sz w:val="28"/>
          <w:szCs w:val="28"/>
        </w:rPr>
        <w:sym w:font="Wingdings 2" w:char="0052"/>
      </w:r>
      <w:r>
        <w:rPr>
          <w:rFonts w:hint="eastAsia" w:ascii="仿宋_GB2312" w:eastAsia="仿宋_GB2312"/>
          <w:color w:val="auto"/>
          <w:sz w:val="28"/>
          <w:szCs w:val="28"/>
        </w:rPr>
        <w:t xml:space="preserve">货物质量标准或主要技术性能指标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服务质量要求或服务标准如下</w:t>
      </w:r>
      <w:r>
        <w:rPr>
          <w:rFonts w:ascii="仿宋_GB2312" w:eastAsia="仿宋_GB2312"/>
          <w:color w:val="auto"/>
          <w:sz w:val="28"/>
          <w:szCs w:val="28"/>
        </w:rPr>
        <w:t xml:space="preserve"> </w:t>
      </w:r>
    </w:p>
    <w:p>
      <w:pPr>
        <w:adjustRightInd w:val="0"/>
        <w:snapToGrid w:val="0"/>
        <w:spacing w:line="600" w:lineRule="exact"/>
        <w:ind w:left="558" w:leftChars="266" w:right="-369" w:rightChars="-176" w:firstLine="140" w:firstLineChars="50"/>
        <w:jc w:val="left"/>
        <w:rPr>
          <w:rFonts w:ascii="仿宋_GB2312" w:eastAsia="仿宋_GB2312"/>
          <w:color w:val="auto"/>
          <w:sz w:val="28"/>
          <w:szCs w:val="28"/>
        </w:rPr>
      </w:pPr>
      <w:r>
        <w:rPr>
          <w:rFonts w:hint="eastAsia" w:ascii="仿宋_GB2312" w:eastAsia="仿宋_GB2312"/>
          <w:color w:val="auto"/>
          <w:sz w:val="28"/>
          <w:szCs w:val="28"/>
          <w:u w:val="single"/>
        </w:rPr>
        <w:t xml:space="preserve"> 所提供的货物及配件是全新合格产品，应响应询价人全部设备参数要求，并符合相关认证，响应文件须提供拟供货产品符合相关认证的证明材料。</w:t>
      </w:r>
    </w:p>
    <w:p>
      <w:pPr>
        <w:adjustRightInd w:val="0"/>
        <w:snapToGrid w:val="0"/>
        <w:spacing w:line="600" w:lineRule="exact"/>
        <w:ind w:right="-369" w:rightChars="-176" w:firstLine="280" w:firstLineChars="100"/>
        <w:jc w:val="left"/>
        <w:rPr>
          <w:rFonts w:ascii="仿宋_GB2312" w:eastAsia="仿宋_GB2312"/>
          <w:color w:val="auto"/>
          <w:sz w:val="28"/>
          <w:szCs w:val="28"/>
        </w:rPr>
      </w:pPr>
      <w:r>
        <w:rPr>
          <w:rFonts w:hint="eastAsia" w:ascii="仿宋_GB2312" w:eastAsia="仿宋_GB2312"/>
          <w:color w:val="auto"/>
          <w:sz w:val="28"/>
          <w:szCs w:val="28"/>
        </w:rPr>
        <w:t>货物供货时需提供</w:t>
      </w:r>
      <w:r>
        <w:rPr>
          <w:rFonts w:hint="eastAsia" w:ascii="仿宋_GB2312" w:eastAsia="仿宋_GB2312"/>
          <w:color w:val="auto"/>
          <w:sz w:val="28"/>
          <w:szCs w:val="28"/>
          <w:u w:val="single"/>
        </w:rPr>
        <w:t>使用说明书</w:t>
      </w:r>
      <w:r>
        <w:rPr>
          <w:rFonts w:hint="eastAsia" w:ascii="仿宋_GB2312" w:eastAsia="仿宋_GB2312"/>
          <w:color w:val="auto"/>
          <w:sz w:val="28"/>
          <w:szCs w:val="28"/>
        </w:rPr>
        <w:t>及产品合格证、产品质量证明文件,必须是全新合格产品，须提供供货设备安装至相关位置中，保证设备通电通网并能正常使用。。</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2.5其他要求：不接受对现有参数尺寸进行改造。</w:t>
      </w:r>
    </w:p>
    <w:p>
      <w:pPr>
        <w:adjustRightInd w:val="0"/>
        <w:snapToGrid w:val="0"/>
        <w:spacing w:line="600" w:lineRule="exact"/>
        <w:jc w:val="left"/>
        <w:rPr>
          <w:rFonts w:asciiTheme="minorEastAsia" w:hAnsiTheme="minorEastAsia"/>
          <w:b/>
          <w:color w:val="auto"/>
          <w:sz w:val="32"/>
          <w:szCs w:val="32"/>
        </w:rPr>
      </w:pPr>
      <w:r>
        <w:rPr>
          <w:rFonts w:asciiTheme="minorEastAsia" w:hAnsiTheme="minorEastAsia"/>
          <w:b/>
          <w:color w:val="auto"/>
          <w:sz w:val="32"/>
          <w:szCs w:val="32"/>
        </w:rPr>
        <w:t>3.供应商资格要求（须提供复印件并加盖单位公章）</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rPr>
      </w:pPr>
      <w:r>
        <w:rPr>
          <w:rFonts w:ascii="仿宋_GB2312" w:eastAsia="仿宋_GB2312"/>
          <w:color w:val="auto"/>
          <w:sz w:val="28"/>
          <w:szCs w:val="28"/>
        </w:rPr>
        <w:sym w:font="Wingdings 2" w:char="0052"/>
      </w:r>
      <w:r>
        <w:rPr>
          <w:rFonts w:hint="eastAsia" w:ascii="仿宋_GB2312" w:eastAsia="仿宋_GB2312"/>
          <w:color w:val="auto"/>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u w:val="single"/>
        </w:rPr>
      </w:pPr>
      <w:r>
        <w:rPr>
          <w:rFonts w:ascii="仿宋_GB2312" w:eastAsia="仿宋_GB2312"/>
          <w:color w:val="auto"/>
          <w:sz w:val="28"/>
          <w:szCs w:val="28"/>
        </w:rPr>
        <w:sym w:font="Wingdings 2" w:char="0052"/>
      </w:r>
      <w:r>
        <w:rPr>
          <w:rFonts w:hint="eastAsia" w:ascii="仿宋_GB2312" w:eastAsia="仿宋_GB2312"/>
          <w:color w:val="auto"/>
          <w:sz w:val="28"/>
          <w:szCs w:val="28"/>
        </w:rPr>
        <w:t>（2）报价单位须出具承诺函，承诺中选后提供报价设备均为制造商全新产品（加盖单位公章）。</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（3）小间距LED屏非产品制造商</w:t>
      </w:r>
      <w:r>
        <w:rPr>
          <w:rFonts w:hint="eastAsia" w:ascii="仿宋_GB2312" w:eastAsia="仿宋_GB2312"/>
          <w:color w:val="auto"/>
          <w:sz w:val="28"/>
          <w:szCs w:val="28"/>
          <w:lang w:val="en-US" w:eastAsia="zh-CN"/>
        </w:rPr>
        <w:t>厂家响应</w:t>
      </w:r>
      <w:r>
        <w:rPr>
          <w:rFonts w:hint="eastAsia" w:ascii="仿宋_GB2312" w:eastAsia="仿宋_GB2312"/>
          <w:color w:val="auto"/>
          <w:sz w:val="28"/>
          <w:szCs w:val="28"/>
        </w:rPr>
        <w:t>的必须获得产品制造商针授权书和原厂质保售后服务承诺函并加盖原厂公章</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（4）2020年1月1日至今，供应商最少具有一项</w:t>
      </w:r>
      <w:r>
        <w:rPr>
          <w:rFonts w:hint="eastAsia" w:ascii="仿宋_GB2312" w:eastAsia="仿宋_GB2312"/>
          <w:color w:val="auto"/>
          <w:sz w:val="28"/>
          <w:szCs w:val="28"/>
          <w:lang w:val="en-US" w:eastAsia="zh-CN"/>
        </w:rPr>
        <w:t>类似LED设备供货及安装</w:t>
      </w:r>
      <w:r>
        <w:rPr>
          <w:rFonts w:hint="eastAsia" w:ascii="仿宋_GB2312" w:hAnsi="仿宋_GB2312" w:eastAsia="仿宋_GB2312" w:cs="仿宋_GB2312"/>
          <w:color w:val="auto"/>
          <w:sz w:val="28"/>
          <w:szCs w:val="28"/>
          <w:u w:val="single"/>
        </w:rPr>
        <w:t>的</w:t>
      </w:r>
      <w:r>
        <w:rPr>
          <w:rFonts w:hint="eastAsia" w:ascii="仿宋_GB2312" w:eastAsia="仿宋_GB2312"/>
          <w:color w:val="auto"/>
          <w:sz w:val="28"/>
          <w:szCs w:val="28"/>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sym w:font="Wingdings 2" w:char="00A3"/>
      </w:r>
      <w:r>
        <w:rPr>
          <w:rFonts w:hint="eastAsia" w:ascii="仿宋_GB2312" w:eastAsia="仿宋_GB2312"/>
          <w:color w:val="auto"/>
          <w:sz w:val="28"/>
          <w:szCs w:val="28"/>
        </w:rPr>
        <w:t>（5）项目负责人应当具备</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资格条件。</w:t>
      </w:r>
    </w:p>
    <w:p>
      <w:pPr>
        <w:pStyle w:val="7"/>
        <w:ind w:firstLine="0"/>
        <w:rPr>
          <w:rFonts w:eastAsia="仿宋_GB2312"/>
          <w:color w:val="auto"/>
        </w:rPr>
      </w:pPr>
      <w:r>
        <w:rPr>
          <w:rFonts w:hint="eastAsia" w:ascii="仿宋_GB2312" w:eastAsia="仿宋_GB2312"/>
          <w:color w:val="auto"/>
          <w:sz w:val="28"/>
          <w:szCs w:val="28"/>
        </w:rPr>
        <w:sym w:font="Wingdings 2" w:char="00A3"/>
      </w:r>
      <w:r>
        <w:rPr>
          <w:rFonts w:hint="eastAsia" w:ascii="仿宋_GB2312" w:eastAsia="仿宋_GB2312"/>
          <w:color w:val="auto"/>
          <w:sz w:val="28"/>
          <w:szCs w:val="28"/>
        </w:rPr>
        <w:t>（6）其他要求：</w:t>
      </w:r>
      <w:r>
        <w:rPr>
          <w:rFonts w:hint="eastAsia" w:ascii="仿宋_GB2312" w:eastAsia="仿宋_GB2312"/>
          <w:color w:val="auto"/>
          <w:sz w:val="28"/>
          <w:szCs w:val="28"/>
          <w:u w:val="single"/>
        </w:rPr>
        <w:t xml:space="preserve"> 无</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3.2供应商在响应文件提交截止日期止不得存在下列情形之一（须出具承诺函）：</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（8）被“全国企业信用信息公示系统”（网址：http://www.gsxt.gov.cn/）列入经营异常名录和严重违法企业名单。</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u w:val="single"/>
        </w:rPr>
      </w:pPr>
      <w:r>
        <w:rPr>
          <w:rFonts w:hint="eastAsia" w:ascii="仿宋_GB2312" w:eastAsia="仿宋_GB2312"/>
          <w:color w:val="auto"/>
          <w:sz w:val="28"/>
          <w:szCs w:val="28"/>
        </w:rPr>
        <w:t>（12）其他禁止情形：</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3.3本次项目</w:t>
      </w:r>
      <w:r>
        <w:rPr>
          <w:rFonts w:hint="eastAsia" w:ascii="仿宋_GB2312" w:eastAsia="仿宋_GB2312"/>
          <w:color w:val="auto"/>
          <w:sz w:val="28"/>
          <w:szCs w:val="28"/>
          <w:u w:val="single"/>
        </w:rPr>
        <w:t>不接受</w:t>
      </w:r>
      <w:r>
        <w:rPr>
          <w:rFonts w:hint="eastAsia" w:ascii="仿宋_GB2312" w:eastAsia="仿宋_GB2312"/>
          <w:color w:val="auto"/>
          <w:sz w:val="28"/>
          <w:szCs w:val="28"/>
        </w:rPr>
        <w:t>联合体参加采购活动</w:t>
      </w:r>
    </w:p>
    <w:p>
      <w:pPr>
        <w:adjustRightInd w:val="0"/>
        <w:snapToGrid w:val="0"/>
        <w:spacing w:line="600" w:lineRule="exact"/>
        <w:jc w:val="left"/>
        <w:rPr>
          <w:rFonts w:asciiTheme="minorEastAsia" w:hAnsiTheme="minorEastAsia"/>
          <w:b/>
          <w:color w:val="auto"/>
          <w:sz w:val="32"/>
          <w:szCs w:val="32"/>
        </w:rPr>
      </w:pPr>
      <w:r>
        <w:rPr>
          <w:rFonts w:asciiTheme="minorEastAsia" w:hAnsiTheme="minorEastAsia"/>
          <w:b/>
          <w:color w:val="auto"/>
          <w:sz w:val="32"/>
          <w:szCs w:val="32"/>
        </w:rPr>
        <w:t>4.采购文件的获取</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4.1获取时间</w:t>
      </w:r>
    </w:p>
    <w:p>
      <w:pPr>
        <w:adjustRightInd w:val="0"/>
        <w:snapToGrid w:val="0"/>
        <w:spacing w:line="600" w:lineRule="exact"/>
        <w:ind w:firstLine="555"/>
        <w:jc w:val="left"/>
        <w:rPr>
          <w:rFonts w:ascii="仿宋_GB2312" w:eastAsia="仿宋_GB2312"/>
          <w:color w:val="auto"/>
          <w:sz w:val="28"/>
          <w:szCs w:val="28"/>
        </w:rPr>
      </w:pPr>
      <w:r>
        <w:rPr>
          <w:rFonts w:hint="eastAsia" w:ascii="仿宋_GB2312" w:eastAsia="仿宋_GB2312"/>
          <w:color w:val="auto"/>
          <w:sz w:val="28"/>
          <w:szCs w:val="28"/>
        </w:rPr>
        <w:t>从</w:t>
      </w:r>
      <w:r>
        <w:rPr>
          <w:rFonts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2023</w:t>
      </w:r>
      <w:r>
        <w:rPr>
          <w:rFonts w:ascii="仿宋_GB2312" w:eastAsia="仿宋_GB2312"/>
          <w:color w:val="auto"/>
          <w:sz w:val="28"/>
          <w:szCs w:val="28"/>
          <w:u w:val="single"/>
        </w:rPr>
        <w:t xml:space="preserve"> </w:t>
      </w:r>
      <w:r>
        <w:rPr>
          <w:rFonts w:hint="eastAsia" w:ascii="仿宋_GB2312" w:eastAsia="仿宋_GB2312"/>
          <w:color w:val="auto"/>
          <w:sz w:val="28"/>
          <w:szCs w:val="28"/>
        </w:rPr>
        <w:t>年</w:t>
      </w:r>
      <w:r>
        <w:rPr>
          <w:rFonts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11</w:t>
      </w:r>
      <w:r>
        <w:rPr>
          <w:rFonts w:ascii="仿宋_GB2312" w:eastAsia="仿宋_GB2312"/>
          <w:color w:val="auto"/>
          <w:sz w:val="28"/>
          <w:szCs w:val="28"/>
          <w:u w:val="single"/>
        </w:rPr>
        <w:t xml:space="preserve"> </w:t>
      </w:r>
      <w:r>
        <w:rPr>
          <w:rFonts w:hint="eastAsia" w:ascii="仿宋_GB2312" w:eastAsia="仿宋_GB2312"/>
          <w:color w:val="auto"/>
          <w:sz w:val="28"/>
          <w:szCs w:val="28"/>
        </w:rPr>
        <w:t>月</w:t>
      </w:r>
      <w:r>
        <w:rPr>
          <w:rFonts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18</w:t>
      </w:r>
      <w:r>
        <w:rPr>
          <w:rFonts w:ascii="仿宋_GB2312" w:eastAsia="仿宋_GB2312"/>
          <w:color w:val="auto"/>
          <w:sz w:val="28"/>
          <w:szCs w:val="28"/>
          <w:u w:val="single"/>
        </w:rPr>
        <w:t xml:space="preserve"> </w:t>
      </w:r>
      <w:r>
        <w:rPr>
          <w:rFonts w:hint="eastAsia" w:ascii="仿宋_GB2312" w:eastAsia="仿宋_GB2312"/>
          <w:color w:val="auto"/>
          <w:sz w:val="28"/>
          <w:szCs w:val="28"/>
        </w:rPr>
        <w:t>日至</w:t>
      </w:r>
      <w:r>
        <w:rPr>
          <w:rFonts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2023</w:t>
      </w:r>
      <w:r>
        <w:rPr>
          <w:rFonts w:ascii="仿宋_GB2312" w:eastAsia="仿宋_GB2312"/>
          <w:color w:val="auto"/>
          <w:sz w:val="28"/>
          <w:szCs w:val="28"/>
          <w:u w:val="single"/>
        </w:rPr>
        <w:t xml:space="preserve"> </w:t>
      </w:r>
      <w:r>
        <w:rPr>
          <w:rFonts w:hint="eastAsia" w:ascii="仿宋_GB2312" w:eastAsia="仿宋_GB2312"/>
          <w:color w:val="auto"/>
          <w:sz w:val="28"/>
          <w:szCs w:val="28"/>
        </w:rPr>
        <w:t>年</w:t>
      </w:r>
      <w:r>
        <w:rPr>
          <w:rFonts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11</w:t>
      </w:r>
      <w:r>
        <w:rPr>
          <w:rFonts w:ascii="仿宋_GB2312" w:eastAsia="仿宋_GB2312"/>
          <w:color w:val="auto"/>
          <w:sz w:val="28"/>
          <w:szCs w:val="28"/>
          <w:u w:val="single"/>
        </w:rPr>
        <w:t xml:space="preserve"> </w:t>
      </w:r>
      <w:r>
        <w:rPr>
          <w:rFonts w:hint="eastAsia" w:ascii="仿宋_GB2312" w:eastAsia="仿宋_GB2312"/>
          <w:color w:val="auto"/>
          <w:sz w:val="28"/>
          <w:szCs w:val="28"/>
        </w:rPr>
        <w:t>月</w:t>
      </w:r>
      <w:r>
        <w:rPr>
          <w:rFonts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22</w:t>
      </w:r>
      <w:r>
        <w:rPr>
          <w:rFonts w:ascii="仿宋_GB2312" w:eastAsia="仿宋_GB2312"/>
          <w:color w:val="auto"/>
          <w:sz w:val="28"/>
          <w:szCs w:val="28"/>
          <w:u w:val="single"/>
        </w:rPr>
        <w:t xml:space="preserve"> </w:t>
      </w:r>
      <w:r>
        <w:rPr>
          <w:rFonts w:hint="eastAsia" w:ascii="仿宋_GB2312" w:eastAsia="仿宋_GB2312"/>
          <w:color w:val="auto"/>
          <w:sz w:val="28"/>
          <w:szCs w:val="28"/>
        </w:rPr>
        <w:t>日（北京时间）</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4.2获取方式</w:t>
      </w:r>
    </w:p>
    <w:p>
      <w:pPr>
        <w:adjustRightInd w:val="0"/>
        <w:snapToGrid w:val="0"/>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在</w:t>
      </w:r>
      <w:r>
        <w:rPr>
          <w:rFonts w:hint="eastAsia" w:ascii="仿宋_GB2312" w:eastAsia="仿宋_GB2312"/>
          <w:color w:val="auto"/>
          <w:sz w:val="28"/>
          <w:szCs w:val="28"/>
          <w:u w:val="single"/>
        </w:rPr>
        <w:t>广州市净水有限公司门户网站</w:t>
      </w:r>
      <w:r>
        <w:rPr>
          <w:rFonts w:hint="eastAsia" w:ascii="仿宋_GB2312" w:eastAsia="仿宋_GB2312"/>
          <w:color w:val="auto"/>
          <w:sz w:val="28"/>
          <w:szCs w:val="28"/>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踏勘现场</w:t>
      </w:r>
    </w:p>
    <w:p>
      <w:pPr>
        <w:adjustRightInd w:val="0"/>
        <w:snapToGrid w:val="0"/>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不组织</w:t>
      </w:r>
    </w:p>
    <w:p>
      <w:pPr>
        <w:pStyle w:val="7"/>
        <w:ind w:firstLine="560" w:firstLineChars="200"/>
        <w:rPr>
          <w:rFonts w:eastAsia="仿宋_GB2312"/>
          <w:color w:val="auto"/>
        </w:rPr>
      </w:pPr>
      <w:r>
        <w:rPr>
          <w:rFonts w:hint="eastAsia" w:ascii="仿宋_GB2312" w:eastAsia="仿宋_GB2312" w:hAnsiTheme="minorHAnsi"/>
          <w:color w:val="auto"/>
          <w:sz w:val="28"/>
          <w:szCs w:val="28"/>
        </w:rPr>
        <w:t>□组织：</w:t>
      </w:r>
      <w:r>
        <w:rPr>
          <w:rFonts w:hint="eastAsia" w:ascii="仿宋_GB2312" w:hAnsi="仿宋" w:eastAsia="仿宋_GB2312" w:cs="仿宋_GB2312"/>
          <w:color w:val="auto"/>
          <w:sz w:val="28"/>
          <w:szCs w:val="28"/>
        </w:rPr>
        <w:t>供应商可</w:t>
      </w:r>
      <w:r>
        <w:rPr>
          <w:rFonts w:hint="eastAsia" w:ascii="仿宋_GB2312" w:hAnsi="仿宋" w:eastAsia="仿宋_GB2312" w:cs="仿宋_GB2312"/>
          <w:color w:val="auto"/>
          <w:sz w:val="28"/>
          <w:szCs w:val="28"/>
          <w:lang w:val="zh-CN"/>
        </w:rPr>
        <w:t>自行</w:t>
      </w:r>
      <w:r>
        <w:rPr>
          <w:rFonts w:hint="eastAsia" w:ascii="仿宋_GB2312" w:hAnsi="仿宋" w:eastAsia="仿宋_GB2312" w:cs="仿宋_GB2312"/>
          <w:color w:val="auto"/>
          <w:sz w:val="28"/>
          <w:szCs w:val="28"/>
        </w:rPr>
        <w:t>选择是否前往现场踏勘</w:t>
      </w:r>
      <w:r>
        <w:rPr>
          <w:rFonts w:hint="eastAsia" w:ascii="仿宋_GB2312" w:hAnsi="仿宋" w:eastAsia="仿宋_GB2312" w:cs="仿宋_GB2312"/>
          <w:color w:val="auto"/>
          <w:sz w:val="28"/>
          <w:szCs w:val="28"/>
          <w:lang w:val="zh-CN"/>
        </w:rPr>
        <w:t>，</w:t>
      </w:r>
      <w:r>
        <w:rPr>
          <w:rFonts w:hint="eastAsia" w:ascii="仿宋_GB2312" w:hAnsi="仿宋" w:eastAsia="仿宋_GB2312" w:cs="仿宋_GB2312"/>
          <w:color w:val="auto"/>
          <w:sz w:val="28"/>
          <w:szCs w:val="28"/>
        </w:rPr>
        <w:t>若前往现场踏勘须在规定时间内到达集中地点，逾期不再接待</w:t>
      </w:r>
      <w:r>
        <w:rPr>
          <w:rFonts w:hint="eastAsia" w:ascii="仿宋_GB2312" w:hAnsi="仿宋" w:eastAsia="仿宋_GB2312" w:cs="仿宋_GB2312"/>
          <w:color w:val="auto"/>
          <w:sz w:val="28"/>
          <w:szCs w:val="28"/>
          <w:lang w:val="zh-CN"/>
        </w:rPr>
        <w:t>。</w:t>
      </w:r>
    </w:p>
    <w:p>
      <w:pPr>
        <w:numPr>
          <w:ilvl w:val="0"/>
          <w:numId w:val="2"/>
        </w:num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23</w:t>
      </w:r>
      <w:r>
        <w:rPr>
          <w:rFonts w:hint="eastAsia" w:ascii="仿宋_GB2312" w:eastAsia="仿宋_GB2312"/>
          <w:sz w:val="28"/>
          <w:szCs w:val="28"/>
          <w:u w:val="single"/>
        </w:rPr>
        <w:t> </w:t>
      </w:r>
      <w:r>
        <w:rPr>
          <w:rFonts w:hint="eastAsia" w:ascii="仿宋_GB2312" w:eastAsia="仿宋_GB2312"/>
          <w:sz w:val="28"/>
          <w:szCs w:val="28"/>
        </w:rPr>
        <w:t>日</w:t>
      </w:r>
      <w:r>
        <w:rPr>
          <w:rFonts w:hint="eastAsia" w:ascii="仿宋_GB2312" w:eastAsia="仿宋_GB2312"/>
          <w:sz w:val="28"/>
          <w:szCs w:val="28"/>
          <w:u w:val="single"/>
          <w:lang w:val="en-US" w:eastAsia="zh-CN"/>
        </w:rPr>
        <w:t>9</w:t>
      </w:r>
      <w:r>
        <w:rPr>
          <w:rFonts w:hint="eastAsia" w:ascii="仿宋_GB2312" w:eastAsia="仿宋_GB2312"/>
          <w:sz w:val="28"/>
          <w:szCs w:val="28"/>
        </w:rPr>
        <w:t>时</w:t>
      </w:r>
      <w:r>
        <w:rPr>
          <w:rFonts w:hint="eastAsia" w:ascii="仿宋_GB2312" w:eastAsia="仿宋_GB2312"/>
          <w:sz w:val="28"/>
          <w:szCs w:val="28"/>
          <w:u w:val="single"/>
          <w:lang w:eastAsia="zh-CN"/>
        </w:rPr>
        <w:t>3</w:t>
      </w:r>
      <w:r>
        <w:rPr>
          <w:rFonts w:hint="eastAsia" w:ascii="仿宋_GB2312" w:eastAsia="仿宋_GB2312"/>
          <w:sz w:val="28"/>
          <w:szCs w:val="28"/>
          <w:u w:val="single"/>
        </w:rPr>
        <w:t>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23</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val="en-US" w:eastAsia="zh-CN"/>
        </w:rPr>
        <w:t>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23</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val="en-US" w:eastAsia="zh-CN"/>
        </w:rPr>
        <w:t>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递交地址：广州市天河区临江大道501号广州市净水有限公司6楼招标部。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rPr>
      </w:pPr>
      <w:r>
        <w:rPr>
          <w:rFonts w:asciiTheme="minorEastAsia" w:hAnsiTheme="minorEastAsia"/>
          <w:b/>
          <w:color w:val="auto"/>
          <w:sz w:val="32"/>
          <w:szCs w:val="32"/>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adjustRightInd w:val="0"/>
        <w:snapToGrid w:val="0"/>
        <w:spacing w:line="600" w:lineRule="exact"/>
        <w:jc w:val="left"/>
        <w:rPr>
          <w:rFonts w:asciiTheme="minorEastAsia" w:hAnsiTheme="minorEastAsia"/>
          <w:b/>
          <w:color w:val="auto"/>
          <w:sz w:val="32"/>
          <w:szCs w:val="32"/>
        </w:rPr>
      </w:pPr>
      <w:r>
        <w:rPr>
          <w:rFonts w:asciiTheme="minorEastAsia" w:hAnsiTheme="minorEastAsia"/>
          <w:b/>
          <w:color w:val="auto"/>
          <w:sz w:val="32"/>
          <w:szCs w:val="32"/>
        </w:rPr>
        <w:t>8.</w:t>
      </w:r>
      <w:r>
        <w:rPr>
          <w:rFonts w:hint="eastAsia" w:asciiTheme="minorEastAsia" w:hAnsiTheme="minorEastAsia"/>
          <w:b/>
          <w:color w:val="auto"/>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rPr>
      </w:pPr>
      <w:r>
        <w:rPr>
          <w:rFonts w:ascii="仿宋_GB2312" w:hAnsi="仿宋" w:eastAsia="仿宋_GB2312"/>
          <w:color w:val="auto"/>
          <w:sz w:val="28"/>
          <w:szCs w:val="28"/>
        </w:rPr>
        <w:t>潜在供应商或利害关系人对本</w:t>
      </w:r>
      <w:r>
        <w:rPr>
          <w:rFonts w:hint="eastAsia" w:ascii="仿宋_GB2312" w:hAnsi="仿宋" w:eastAsia="仿宋_GB2312"/>
          <w:color w:val="auto"/>
          <w:sz w:val="28"/>
          <w:szCs w:val="28"/>
        </w:rPr>
        <w:t>采购</w:t>
      </w:r>
      <w:r>
        <w:rPr>
          <w:rFonts w:ascii="仿宋_GB2312" w:hAnsi="仿宋" w:eastAsia="仿宋_GB2312"/>
          <w:color w:val="auto"/>
          <w:sz w:val="28"/>
          <w:szCs w:val="28"/>
        </w:rPr>
        <w:t>公告及采购文件中任何违法及不公平内容有异议的，可以在提交</w:t>
      </w:r>
      <w:r>
        <w:rPr>
          <w:rFonts w:hint="eastAsia" w:ascii="仿宋_GB2312" w:hAnsi="仿宋" w:eastAsia="仿宋_GB2312"/>
          <w:color w:val="auto"/>
          <w:sz w:val="28"/>
          <w:szCs w:val="28"/>
        </w:rPr>
        <w:t>响应文件截止之日</w:t>
      </w:r>
      <w:r>
        <w:rPr>
          <w:rFonts w:ascii="仿宋_GB2312" w:hAnsi="仿宋" w:eastAsia="仿宋_GB2312"/>
          <w:color w:val="auto"/>
          <w:sz w:val="28"/>
          <w:szCs w:val="28"/>
          <w:u w:val="single"/>
        </w:rPr>
        <w:t>2</w:t>
      </w:r>
      <w:r>
        <w:rPr>
          <w:rFonts w:hint="eastAsia" w:ascii="仿宋_GB2312" w:hAnsi="仿宋" w:eastAsia="仿宋_GB2312"/>
          <w:color w:val="auto"/>
          <w:sz w:val="28"/>
          <w:szCs w:val="28"/>
        </w:rPr>
        <w:t>个工作日前</w:t>
      </w:r>
      <w:r>
        <w:rPr>
          <w:rFonts w:ascii="仿宋_GB2312" w:hAnsi="仿宋" w:eastAsia="仿宋_GB2312"/>
          <w:color w:val="auto"/>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rPr>
      </w:pPr>
      <w:r>
        <w:rPr>
          <w:rFonts w:ascii="仿宋_GB2312" w:hAnsi="仿宋" w:eastAsia="仿宋_GB2312"/>
          <w:color w:val="auto"/>
          <w:sz w:val="28"/>
          <w:szCs w:val="28"/>
        </w:rPr>
        <w:t>异议受理部门：</w:t>
      </w:r>
      <w:r>
        <w:rPr>
          <w:rFonts w:hint="eastAsia" w:ascii="仿宋_GB2312" w:hAnsi="仿宋_GB2312" w:eastAsia="仿宋_GB2312" w:cs="仿宋_GB2312"/>
          <w:color w:val="auto"/>
          <w:sz w:val="28"/>
          <w:szCs w:val="28"/>
          <w:u w:val="single"/>
        </w:rPr>
        <w:t>广州市净水有限公司</w:t>
      </w:r>
      <w:r>
        <w:rPr>
          <w:rFonts w:ascii="仿宋_GB2312" w:hAnsi="仿宋" w:eastAsia="仿宋_GB2312"/>
          <w:color w:val="auto"/>
          <w:sz w:val="28"/>
          <w:szCs w:val="28"/>
        </w:rPr>
        <w:t>，电话</w:t>
      </w:r>
      <w:r>
        <w:rPr>
          <w:rFonts w:hint="eastAsia" w:ascii="仿宋_GB2312" w:hAnsi="仿宋" w:eastAsia="仿宋_GB2312"/>
          <w:color w:val="auto"/>
          <w:sz w:val="28"/>
          <w:szCs w:val="28"/>
          <w:lang w:val="en-US" w:eastAsia="zh-CN"/>
        </w:rPr>
        <w:t>:</w:t>
      </w:r>
      <w:r>
        <w:rPr>
          <w:rFonts w:ascii="仿宋_GB2312" w:hAnsi="仿宋" w:eastAsia="仿宋_GB2312"/>
          <w:color w:val="auto"/>
          <w:sz w:val="28"/>
          <w:szCs w:val="28"/>
          <w:u w:val="single"/>
        </w:rPr>
        <w:t>38890841</w:t>
      </w:r>
      <w:r>
        <w:rPr>
          <w:rFonts w:ascii="仿宋_GB2312" w:hAnsi="仿宋" w:eastAsia="仿宋_GB2312"/>
          <w:color w:val="auto"/>
          <w:sz w:val="28"/>
          <w:szCs w:val="28"/>
        </w:rPr>
        <w:t xml:space="preserve">。     </w:t>
      </w:r>
    </w:p>
    <w:p>
      <w:pPr>
        <w:widowControl/>
        <w:shd w:val="clear" w:color="auto" w:fill="FFFFFF"/>
        <w:adjustRightInd w:val="0"/>
        <w:snapToGrid w:val="0"/>
        <w:spacing w:line="600" w:lineRule="exact"/>
        <w:ind w:left="1" w:firstLine="480"/>
        <w:rPr>
          <w:rFonts w:ascii="仿宋_GB2312" w:hAnsi="仿宋" w:eastAsia="仿宋_GB2312"/>
          <w:color w:val="auto"/>
          <w:sz w:val="28"/>
          <w:szCs w:val="28"/>
        </w:rPr>
      </w:pPr>
      <w:r>
        <w:rPr>
          <w:rFonts w:ascii="仿宋_GB2312" w:hAnsi="仿宋" w:eastAsia="仿宋_GB2312"/>
          <w:color w:val="auto"/>
          <w:sz w:val="28"/>
          <w:szCs w:val="28"/>
        </w:rPr>
        <w:t>地址：</w:t>
      </w:r>
      <w:r>
        <w:rPr>
          <w:rFonts w:hint="eastAsia" w:ascii="仿宋_GB2312" w:hAnsi="仿宋" w:eastAsia="仿宋_GB2312"/>
          <w:color w:val="auto"/>
          <w:sz w:val="28"/>
          <w:szCs w:val="28"/>
          <w:u w:val="single"/>
        </w:rPr>
        <w:t>广州市天河区临江大道</w:t>
      </w:r>
      <w:r>
        <w:rPr>
          <w:rFonts w:ascii="仿宋_GB2312" w:hAnsi="仿宋" w:eastAsia="仿宋_GB2312"/>
          <w:color w:val="auto"/>
          <w:sz w:val="28"/>
          <w:szCs w:val="28"/>
          <w:u w:val="single"/>
        </w:rPr>
        <w:t>501号广州市净水有限公司</w:t>
      </w:r>
      <w:r>
        <w:rPr>
          <w:rFonts w:ascii="仿宋_GB2312" w:hAnsi="仿宋" w:eastAsia="仿宋_GB2312"/>
          <w:color w:val="auto"/>
          <w:sz w:val="28"/>
          <w:szCs w:val="28"/>
        </w:rPr>
        <w:t xml:space="preserve"> 。</w:t>
      </w:r>
    </w:p>
    <w:p>
      <w:pPr>
        <w:adjustRightInd w:val="0"/>
        <w:snapToGrid w:val="0"/>
        <w:spacing w:before="190" w:beforeLines="50" w:after="190" w:afterLines="50"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9</w:t>
      </w:r>
      <w:r>
        <w:rPr>
          <w:rFonts w:asciiTheme="minorEastAsia" w:hAnsiTheme="minorEastAsia"/>
          <w:b/>
          <w:color w:val="auto"/>
          <w:sz w:val="32"/>
          <w:szCs w:val="32"/>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5" w:type="dxa"/>
          </w:tcPr>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采购人：广州净水有限公司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5" w:type="dxa"/>
          </w:tcPr>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地址：广州市临江大道50</w:t>
            </w:r>
            <w:r>
              <w:rPr>
                <w:rFonts w:ascii="仿宋_GB2312" w:eastAsia="仿宋_GB2312"/>
                <w:color w:val="auto"/>
                <w:sz w:val="28"/>
                <w:szCs w:val="28"/>
              </w:rPr>
              <w:t>1</w:t>
            </w:r>
            <w:r>
              <w:rPr>
                <w:rFonts w:hint="eastAsia" w:ascii="仿宋_GB2312" w:eastAsia="仿宋_GB2312"/>
                <w:color w:val="auto"/>
                <w:sz w:val="28"/>
                <w:szCs w:val="28"/>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5" w:type="dxa"/>
          </w:tcPr>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联系人：</w:t>
            </w:r>
            <w:r>
              <w:rPr>
                <w:rFonts w:hint="eastAsia" w:ascii="仿宋_GB2312" w:hAnsi="仿宋_GB2312" w:eastAsia="仿宋_GB2312" w:cs="仿宋_GB2312"/>
                <w:color w:val="auto"/>
                <w:kern w:val="0"/>
                <w:sz w:val="28"/>
                <w:szCs w:val="28"/>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5" w:type="dxa"/>
          </w:tcPr>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电话：</w:t>
            </w:r>
            <w:r>
              <w:rPr>
                <w:rFonts w:hint="eastAsia" w:ascii="仿宋_GB2312" w:eastAsia="仿宋_GB2312"/>
                <w:color w:val="auto"/>
                <w:sz w:val="28"/>
                <w:szCs w:val="28"/>
                <w:lang w:val="en-US" w:eastAsia="zh-CN"/>
              </w:rPr>
              <w:t>020-</w:t>
            </w:r>
            <w:r>
              <w:rPr>
                <w:rFonts w:hint="eastAsia" w:ascii="仿宋_GB2312" w:eastAsia="仿宋_GB2312"/>
                <w:color w:val="auto"/>
                <w:sz w:val="28"/>
                <w:szCs w:val="28"/>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5" w:type="dxa"/>
          </w:tcPr>
          <w:p>
            <w:pPr>
              <w:adjustRightInd w:val="0"/>
              <w:snapToGrid w:val="0"/>
              <w:spacing w:line="600" w:lineRule="exact"/>
              <w:ind w:firstLine="1400" w:firstLineChars="500"/>
              <w:jc w:val="left"/>
              <w:rPr>
                <w:rFonts w:ascii="仿宋_GB2312" w:eastAsia="仿宋_GB2312"/>
                <w:color w:val="auto"/>
                <w:sz w:val="28"/>
                <w:szCs w:val="28"/>
              </w:rPr>
            </w:pPr>
            <w:r>
              <w:rPr>
                <w:rFonts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2023</w:t>
            </w:r>
            <w:r>
              <w:rPr>
                <w:rFonts w:ascii="仿宋_GB2312" w:eastAsia="仿宋_GB2312"/>
                <w:color w:val="auto"/>
                <w:sz w:val="28"/>
                <w:szCs w:val="28"/>
                <w:u w:val="single"/>
              </w:rPr>
              <w:t xml:space="preserve"> </w:t>
            </w:r>
            <w:r>
              <w:rPr>
                <w:rFonts w:hint="eastAsia" w:ascii="仿宋_GB2312" w:eastAsia="仿宋_GB2312"/>
                <w:color w:val="auto"/>
                <w:sz w:val="28"/>
                <w:szCs w:val="28"/>
              </w:rPr>
              <w:t>年</w:t>
            </w:r>
            <w:r>
              <w:rPr>
                <w:rFonts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11</w:t>
            </w:r>
            <w:r>
              <w:rPr>
                <w:rFonts w:ascii="仿宋_GB2312" w:eastAsia="仿宋_GB2312"/>
                <w:color w:val="auto"/>
                <w:sz w:val="28"/>
                <w:szCs w:val="28"/>
                <w:u w:val="single"/>
              </w:rPr>
              <w:t xml:space="preserve"> </w:t>
            </w:r>
            <w:r>
              <w:rPr>
                <w:rFonts w:hint="eastAsia" w:ascii="仿宋_GB2312" w:eastAsia="仿宋_GB2312"/>
                <w:color w:val="auto"/>
                <w:sz w:val="28"/>
                <w:szCs w:val="28"/>
              </w:rPr>
              <w:t>月</w:t>
            </w:r>
            <w:r>
              <w:rPr>
                <w:rFonts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17</w:t>
            </w:r>
            <w:r>
              <w:rPr>
                <w:rFonts w:ascii="仿宋_GB2312" w:eastAsia="仿宋_GB2312"/>
                <w:color w:val="auto"/>
                <w:sz w:val="28"/>
                <w:szCs w:val="28"/>
                <w:u w:val="single"/>
              </w:rPr>
              <w:t xml:space="preserve"> </w:t>
            </w:r>
            <w:r>
              <w:rPr>
                <w:rFonts w:hint="eastAsia" w:ascii="仿宋_GB2312" w:eastAsia="仿宋_GB2312"/>
                <w:color w:val="auto"/>
                <w:sz w:val="28"/>
                <w:szCs w:val="28"/>
              </w:rPr>
              <w:t>日</w:t>
            </w:r>
          </w:p>
        </w:tc>
      </w:tr>
    </w:tbl>
    <w:p>
      <w:pPr>
        <w:pStyle w:val="4"/>
        <w:jc w:val="both"/>
        <w:rPr>
          <w:color w:val="auto"/>
        </w:rPr>
      </w:pPr>
      <w:bookmarkStart w:id="25" w:name="_Toc16705"/>
      <w:bookmarkStart w:id="26" w:name="_Toc7340"/>
      <w:bookmarkStart w:id="27" w:name="_Toc2331"/>
      <w:bookmarkStart w:id="28" w:name="_Toc10891"/>
      <w:bookmarkStart w:id="29" w:name="_Toc32588"/>
      <w:bookmarkStart w:id="30" w:name="_Toc16557"/>
      <w:bookmarkStart w:id="31" w:name="_Toc23749"/>
      <w:bookmarkStart w:id="32" w:name="_Toc2324"/>
      <w:bookmarkStart w:id="33" w:name="_Toc25603"/>
      <w:bookmarkStart w:id="34" w:name="_Toc9448"/>
      <w:bookmarkStart w:id="35" w:name="_Toc19295"/>
    </w:p>
    <w:p>
      <w:pPr>
        <w:rPr>
          <w:color w:val="auto"/>
        </w:rPr>
      </w:pPr>
    </w:p>
    <w:p>
      <w:pPr>
        <w:pStyle w:val="4"/>
        <w:jc w:val="both"/>
        <w:rPr>
          <w:rFonts w:hint="eastAsia"/>
          <w:color w:val="auto"/>
        </w:rPr>
      </w:pPr>
    </w:p>
    <w:p>
      <w:pPr>
        <w:pStyle w:val="4"/>
        <w:rPr>
          <w:color w:val="auto"/>
        </w:rPr>
      </w:pPr>
      <w:r>
        <w:rPr>
          <w:color w:val="auto"/>
        </w:rPr>
        <mc:AlternateContent>
          <mc:Choice Requires="wps">
            <w:drawing>
              <wp:anchor distT="0" distB="0" distL="114300" distR="114300" simplePos="0" relativeHeight="251673600" behindDoc="0" locked="0" layoutInCell="1" allowOverlap="1">
                <wp:simplePos x="0" y="0"/>
                <wp:positionH relativeFrom="column">
                  <wp:posOffset>2253615</wp:posOffset>
                </wp:positionH>
                <wp:positionV relativeFrom="paragraph">
                  <wp:posOffset>529590</wp:posOffset>
                </wp:positionV>
                <wp:extent cx="958850" cy="0"/>
                <wp:effectExtent l="0" t="4445" r="0" b="508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7.45pt;margin-top:41.7pt;height:0pt;width:75.5pt;z-index:251673600;mso-width-relative:page;mso-height-relative:page;" filled="f" stroked="t" coordsize="21600,21600" o:gfxdata="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C7kUtcAAAAJ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72576" behindDoc="0" locked="0" layoutInCell="1" allowOverlap="1">
                <wp:simplePos x="0" y="0"/>
                <wp:positionH relativeFrom="column">
                  <wp:posOffset>2253615</wp:posOffset>
                </wp:positionH>
                <wp:positionV relativeFrom="paragraph">
                  <wp:posOffset>63500</wp:posOffset>
                </wp:positionV>
                <wp:extent cx="958850" cy="0"/>
                <wp:effectExtent l="0" t="4445" r="0" b="508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7.45pt;margin-top:5pt;height:0pt;width:75.5pt;z-index:251672576;mso-width-relative:page;mso-height-relative:page;" filled="f" stroked="t" coordsize="21600,21600" o:gfxdata="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OE1fbVAAAACQEAAA8AAAAAAAAAAQAgAAAAIgAAAGRycy9kb3ducmV2LnhtbFBLAQIUABQA&#10;AAAIAIdO4kD8olCF8wEAAOQDAAAOAAAAAAAAAAEAIAAAACQBAABkcnMvZTJvRG9jLnhtbFBLBQYA&#10;AAAABgAGAFkBAACJBQAAAAA=&#10;">
                <v:fill on="f" focussize="0,0"/>
                <v:stroke color="#000000" joinstyle="round"/>
                <v:imagedata o:title=""/>
                <o:lock v:ext="edit" aspectratio="f"/>
              </v:shape>
            </w:pict>
          </mc:Fallback>
        </mc:AlternateContent>
      </w:r>
      <w:r>
        <w:rPr>
          <w:rFonts w:hint="eastAsia"/>
          <w:color w:val="auto"/>
        </w:rPr>
        <w:t>第二章</w:t>
      </w:r>
      <w:bookmarkEnd w:id="25"/>
      <w:bookmarkEnd w:id="26"/>
      <w:bookmarkEnd w:id="27"/>
      <w:bookmarkEnd w:id="28"/>
      <w:bookmarkEnd w:id="29"/>
      <w:bookmarkEnd w:id="30"/>
      <w:bookmarkEnd w:id="31"/>
      <w:bookmarkEnd w:id="32"/>
      <w:bookmarkEnd w:id="33"/>
      <w:bookmarkEnd w:id="34"/>
      <w:bookmarkEnd w:id="35"/>
    </w:p>
    <w:p>
      <w:pPr>
        <w:pStyle w:val="5"/>
        <w:rPr>
          <w:color w:val="auto"/>
        </w:rPr>
      </w:pPr>
      <w:bookmarkStart w:id="36" w:name="_Toc2339"/>
      <w:bookmarkStart w:id="37" w:name="_Toc3416"/>
      <w:r>
        <w:rPr>
          <w:rFonts w:hint="eastAsia"/>
          <w:color w:val="auto"/>
        </w:rPr>
        <w:t>供应商须知</w:t>
      </w:r>
      <w:bookmarkEnd w:id="36"/>
      <w:bookmarkEnd w:id="37"/>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ind w:firstLine="0"/>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rPr>
      </w:pPr>
    </w:p>
    <w:p>
      <w:pPr>
        <w:pStyle w:val="2"/>
        <w:rPr>
          <w:color w:val="auto"/>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pStyle w:val="5"/>
        <w:rPr>
          <w:rFonts w:hint="eastAsia" w:asciiTheme="minorHAnsi" w:hAnsiTheme="minorHAnsi" w:cstheme="minorBidi"/>
          <w:color w:val="auto"/>
          <w:kern w:val="44"/>
          <w:sz w:val="44"/>
          <w:szCs w:val="44"/>
        </w:rPr>
      </w:pPr>
      <w:bookmarkStart w:id="38" w:name="_Toc21455"/>
      <w:bookmarkStart w:id="39" w:name="_Toc2867"/>
    </w:p>
    <w:p>
      <w:pPr>
        <w:pStyle w:val="5"/>
        <w:rPr>
          <w:rFonts w:hint="eastAsia" w:asciiTheme="minorHAnsi" w:hAnsiTheme="minorHAnsi" w:cstheme="minorBidi"/>
          <w:color w:val="auto"/>
          <w:kern w:val="44"/>
          <w:sz w:val="44"/>
          <w:szCs w:val="44"/>
        </w:rPr>
      </w:pPr>
      <w:r>
        <w:rPr>
          <w:rFonts w:asciiTheme="minorHAnsi" w:hAnsiTheme="minorHAnsi" w:cstheme="minorBidi"/>
          <w:color w:val="auto"/>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2211705</wp:posOffset>
                </wp:positionH>
                <wp:positionV relativeFrom="paragraph">
                  <wp:posOffset>625475</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4.15pt;margin-top:49.25pt;height:0pt;width:75.5pt;z-index:251662336;mso-width-relative:page;mso-height-relative:page;" filled="f" stroked="t" coordsize="21600,21600" o:gfxdata="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sPEA3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p>
    <w:p>
      <w:pPr>
        <w:pStyle w:val="5"/>
        <w:rPr>
          <w:color w:val="auto"/>
        </w:rPr>
      </w:pPr>
      <w:r>
        <w:rPr>
          <w:rFonts w:asciiTheme="minorHAnsi" w:hAnsiTheme="minorHAnsi" w:cstheme="minorBidi"/>
          <w:color w:val="auto"/>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2211705</wp:posOffset>
                </wp:positionH>
                <wp:positionV relativeFrom="paragraph">
                  <wp:posOffset>492125</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4.15pt;margin-top:38.75pt;height:0pt;width:75.5pt;z-index:251663360;mso-width-relative:page;mso-height-relative:page;" filled="f" stroked="t" coordsize="21600,21600" o:gfxdata="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lmdn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rPr>
        <w:t>第三章</w:t>
      </w:r>
      <w:bookmarkEnd w:id="38"/>
      <w:bookmarkEnd w:id="39"/>
    </w:p>
    <w:p>
      <w:pPr>
        <w:pStyle w:val="5"/>
        <w:rPr>
          <w:color w:val="auto"/>
        </w:rPr>
      </w:pPr>
      <w:bookmarkStart w:id="40" w:name="_Toc7303"/>
      <w:bookmarkStart w:id="41" w:name="_Toc87616371"/>
      <w:bookmarkStart w:id="42" w:name="_Toc7040"/>
      <w:bookmarkStart w:id="43" w:name="_Toc88209934"/>
      <w:r>
        <w:rPr>
          <w:rFonts w:hint="eastAsia"/>
          <w:color w:val="auto"/>
        </w:rPr>
        <w:t>采购方法</w:t>
      </w:r>
      <w:bookmarkEnd w:id="40"/>
      <w:bookmarkEnd w:id="41"/>
      <w:bookmarkEnd w:id="42"/>
      <w:bookmarkEnd w:id="43"/>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5"/>
        <w:rPr>
          <w:color w:val="auto"/>
        </w:rPr>
      </w:pPr>
      <w:bookmarkStart w:id="44" w:name="_Toc3789"/>
      <w:bookmarkStart w:id="45" w:name="_Toc24895"/>
      <w:r>
        <w:rPr>
          <w:rFonts w:hint="eastAsia"/>
          <w:color w:val="auto"/>
        </w:rPr>
        <w:t>询比采购</w:t>
      </w:r>
      <w:bookmarkEnd w:id="44"/>
      <w:bookmarkEnd w:id="45"/>
    </w:p>
    <w:p>
      <w:pPr>
        <w:adjustRightInd w:val="0"/>
        <w:snapToGrid w:val="0"/>
        <w:spacing w:line="600" w:lineRule="exact"/>
        <w:jc w:val="left"/>
        <w:rPr>
          <w:rFonts w:asciiTheme="minorEastAsia" w:hAnsiTheme="minorEastAsia"/>
          <w:b/>
          <w:color w:val="auto"/>
          <w:sz w:val="28"/>
          <w:szCs w:val="28"/>
        </w:rPr>
      </w:pPr>
      <w:r>
        <w:rPr>
          <w:rFonts w:hint="eastAsia" w:asciiTheme="minorEastAsia" w:hAnsiTheme="minorEastAsia"/>
          <w:b/>
          <w:color w:val="auto"/>
          <w:sz w:val="28"/>
          <w:szCs w:val="28"/>
        </w:rPr>
        <w:t>询比</w:t>
      </w:r>
    </w:p>
    <w:tbl>
      <w:tblPr>
        <w:tblStyle w:val="25"/>
        <w:tblpPr w:leftFromText="180" w:rightFromText="180" w:vertAnchor="text" w:horzAnchor="page" w:tblpX="1292" w:tblpY="626"/>
        <w:tblOverlap w:val="never"/>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rPr>
            </w:pPr>
            <w:r>
              <w:rPr>
                <w:rFonts w:hint="eastAsia" w:ascii="仿宋_GB2312" w:eastAsia="仿宋_GB2312" w:hAnsiTheme="minorEastAsia"/>
                <w:color w:val="auto"/>
                <w:sz w:val="24"/>
                <w:szCs w:val="24"/>
              </w:rPr>
              <w:t xml:space="preserve"> </w:t>
            </w:r>
            <w:r>
              <w:rPr>
                <w:rFonts w:hint="eastAsia" w:ascii="仿宋_GB2312" w:eastAsia="仿宋_GB2312" w:hAnsiTheme="minorEastAsia"/>
                <w:color w:val="auto"/>
                <w:sz w:val="24"/>
                <w:szCs w:val="24"/>
                <w:u w:val="single"/>
              </w:rPr>
              <w:t xml:space="preserve"> </w:t>
            </w:r>
            <w:r>
              <w:rPr>
                <w:rFonts w:hint="eastAsia" w:ascii="仿宋_GB2312" w:eastAsia="仿宋_GB2312" w:hAnsiTheme="minorEastAsia"/>
                <w:color w:val="auto"/>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rPr>
            </w:pPr>
            <w:r>
              <w:rPr>
                <w:rFonts w:hint="eastAsia" w:ascii="仿宋_GB2312" w:eastAsia="仿宋_GB2312" w:hAnsiTheme="minorEastAsia"/>
                <w:color w:val="auto"/>
                <w:sz w:val="24"/>
                <w:szCs w:val="24"/>
              </w:rPr>
              <w:t>1.2 资格审查执行第二章供应商须知1.对供应商的资格要求</w:t>
            </w:r>
          </w:p>
          <w:p>
            <w:pPr>
              <w:adjustRightInd w:val="0"/>
              <w:snapToGrid w:val="0"/>
              <w:ind w:left="480" w:hanging="480" w:hangingChars="200"/>
              <w:rPr>
                <w:rFonts w:ascii="仿宋_GB2312" w:eastAsia="仿宋_GB2312"/>
                <w:color w:val="auto"/>
                <w:sz w:val="24"/>
                <w:szCs w:val="24"/>
              </w:rPr>
            </w:pPr>
            <w:r>
              <w:rPr>
                <w:rFonts w:hint="eastAsia" w:ascii="仿宋_GB2312" w:eastAsia="仿宋_GB2312" w:hAnsiTheme="minorEastAsia"/>
                <w:color w:val="auto"/>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rPr>
            </w:pPr>
            <w:r>
              <w:rPr>
                <w:rFonts w:hint="eastAsia" w:ascii="仿宋_GB2312" w:eastAsia="仿宋_GB2312" w:hAnsiTheme="minorEastAsia"/>
                <w:color w:val="auto"/>
                <w:sz w:val="24"/>
                <w:szCs w:val="24"/>
              </w:rPr>
              <w:t>2.1 报价应包括国家规定的增值税税金，增值税税金按一般计税方法计算。报价范围包括</w:t>
            </w:r>
            <w:r>
              <w:rPr>
                <w:rFonts w:hint="eastAsia" w:ascii="仿宋_GB2312" w:eastAsia="仿宋_GB2312" w:hAnsiTheme="minorEastAsia"/>
                <w:color w:val="auto"/>
                <w:sz w:val="24"/>
                <w:szCs w:val="24"/>
                <w:u w:val="single"/>
              </w:rPr>
              <w:t>本项目所有采购内容和范围。</w:t>
            </w:r>
            <w:r>
              <w:rPr>
                <w:rFonts w:hint="eastAsia" w:ascii="仿宋_GB2312" w:eastAsia="仿宋_GB2312"/>
                <w:color w:val="auto"/>
                <w:sz w:val="24"/>
                <w:szCs w:val="24"/>
              </w:rPr>
              <w:t xml:space="preserve"> </w:t>
            </w:r>
          </w:p>
          <w:p>
            <w:pPr>
              <w:adjustRightInd w:val="0"/>
              <w:snapToGrid w:val="0"/>
              <w:ind w:left="458" w:hanging="458" w:hangingChars="191"/>
              <w:rPr>
                <w:rFonts w:ascii="仿宋_GB2312" w:eastAsia="仿宋_GB2312"/>
                <w:color w:val="auto"/>
                <w:sz w:val="24"/>
                <w:szCs w:val="24"/>
              </w:rPr>
            </w:pPr>
            <w:r>
              <w:rPr>
                <w:rFonts w:hint="eastAsia" w:ascii="仿宋_GB2312" w:eastAsia="仿宋_GB2312"/>
                <w:color w:val="auto"/>
                <w:sz w:val="24"/>
                <w:szCs w:val="24"/>
              </w:rPr>
              <w:t xml:space="preserve">2.2 询比地址 </w:t>
            </w:r>
          </w:p>
          <w:p>
            <w:pPr>
              <w:adjustRightInd w:val="0"/>
              <w:snapToGrid w:val="0"/>
              <w:ind w:left="455" w:leftChars="217"/>
              <w:rPr>
                <w:rFonts w:ascii="仿宋_GB2312" w:eastAsia="仿宋_GB2312"/>
                <w:color w:val="auto"/>
                <w:sz w:val="24"/>
                <w:szCs w:val="24"/>
                <w:u w:val="single"/>
              </w:rPr>
            </w:pPr>
            <w:r>
              <w:rPr>
                <w:rFonts w:hint="eastAsia" w:ascii="仿宋_GB2312" w:eastAsia="仿宋_GB2312" w:hAnsiTheme="minorEastAsia"/>
                <w:color w:val="auto"/>
                <w:sz w:val="24"/>
                <w:szCs w:val="24"/>
                <w:u w:val="single"/>
              </w:rPr>
              <w:t>广州市天河区临江大道501号广州市净水有限公司</w:t>
            </w:r>
          </w:p>
          <w:p>
            <w:pPr>
              <w:adjustRightInd w:val="0"/>
              <w:snapToGrid w:val="0"/>
              <w:rPr>
                <w:rFonts w:ascii="仿宋_GB2312" w:eastAsia="仿宋_GB2312" w:hAnsiTheme="minorEastAsia"/>
                <w:color w:val="auto"/>
                <w:sz w:val="24"/>
                <w:szCs w:val="24"/>
                <w:u w:val="single"/>
              </w:rPr>
            </w:pPr>
            <w:r>
              <w:rPr>
                <w:rFonts w:hint="eastAsia" w:ascii="仿宋_GB2312" w:eastAsia="仿宋_GB2312" w:hAnsiTheme="minorEastAsia"/>
                <w:color w:val="auto"/>
                <w:sz w:val="24"/>
                <w:szCs w:val="24"/>
              </w:rPr>
              <w:t>2.3 询比开始时间（同响应文件截止时间）</w:t>
            </w:r>
          </w:p>
          <w:p>
            <w:pPr>
              <w:adjustRightInd w:val="0"/>
              <w:snapToGrid w:val="0"/>
              <w:ind w:left="480" w:hanging="480" w:hangingChars="200"/>
              <w:rPr>
                <w:rFonts w:ascii="仿宋_GB2312" w:eastAsia="仿宋_GB2312"/>
                <w:color w:val="auto"/>
                <w:sz w:val="24"/>
                <w:szCs w:val="24"/>
              </w:rPr>
            </w:pPr>
            <w:r>
              <w:rPr>
                <w:rFonts w:hint="eastAsia" w:ascii="仿宋_GB2312" w:eastAsia="仿宋_GB2312"/>
                <w:color w:val="auto"/>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rPr>
            </w:pPr>
            <w:r>
              <w:rPr>
                <w:rFonts w:hint="eastAsia" w:ascii="仿宋_GB2312" w:eastAsia="仿宋_GB2312" w:hAnsiTheme="minorEastAsia"/>
                <w:color w:val="auto"/>
                <w:sz w:val="24"/>
                <w:szCs w:val="24"/>
              </w:rPr>
              <w:sym w:font="Wingdings 2" w:char="0052"/>
            </w:r>
            <w:r>
              <w:rPr>
                <w:rFonts w:hint="eastAsia" w:ascii="仿宋_GB2312" w:eastAsia="仿宋_GB2312" w:hAnsiTheme="minorEastAsia"/>
                <w:color w:val="auto"/>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rPr>
            </w:pPr>
            <w:r>
              <w:rPr>
                <w:rFonts w:hint="eastAsia" w:ascii="仿宋_GB2312" w:eastAsia="仿宋_GB2312" w:hAnsiTheme="minorEastAsia"/>
                <w:color w:val="auto"/>
                <w:sz w:val="24"/>
                <w:szCs w:val="24"/>
              </w:rPr>
              <w:sym w:font="Wingdings 2" w:char="00A3"/>
            </w:r>
            <w:r>
              <w:rPr>
                <w:rFonts w:hint="eastAsia" w:ascii="仿宋_GB2312" w:eastAsia="仿宋_GB2312" w:hAnsiTheme="minorEastAsia"/>
                <w:color w:val="auto"/>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rPr>
            </w:pPr>
            <w:r>
              <w:rPr>
                <w:rFonts w:hint="eastAsia" w:ascii="仿宋_GB2312" w:eastAsia="仿宋_GB2312" w:hAnsiTheme="minorEastAsia"/>
                <w:color w:val="auto"/>
                <w:sz w:val="24"/>
                <w:szCs w:val="24"/>
              </w:rPr>
              <w:t>在评审小组提交评审报告3日内，在</w:t>
            </w:r>
            <w:r>
              <w:rPr>
                <w:rFonts w:hint="eastAsia" w:ascii="仿宋_GB2312" w:eastAsia="仿宋_GB2312" w:hAnsiTheme="minorEastAsia"/>
                <w:color w:val="auto"/>
                <w:sz w:val="24"/>
                <w:szCs w:val="24"/>
                <w:u w:val="single"/>
              </w:rPr>
              <w:t>广州市净水有限公司门户网站</w:t>
            </w:r>
            <w:r>
              <w:rPr>
                <w:rFonts w:hint="eastAsia" w:ascii="仿宋_GB2312" w:eastAsia="仿宋_GB2312" w:hAnsiTheme="minorEastAsia"/>
                <w:color w:val="auto"/>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rPr>
            </w:pPr>
            <w:r>
              <w:rPr>
                <w:rFonts w:hint="eastAsia" w:ascii="仿宋_GB2312" w:eastAsia="仿宋_GB2312"/>
                <w:color w:val="auto"/>
                <w:sz w:val="24"/>
                <w:szCs w:val="24"/>
              </w:rPr>
              <w:t>成交候选人公示</w:t>
            </w:r>
            <w:r>
              <w:rPr>
                <w:rFonts w:hint="eastAsia" w:ascii="仿宋_GB2312" w:eastAsia="仿宋_GB2312" w:hAnsiTheme="minorEastAsia"/>
                <w:color w:val="auto"/>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rPr>
            </w:pPr>
            <w:r>
              <w:rPr>
                <w:rFonts w:hint="eastAsia" w:ascii="仿宋_GB2312" w:eastAsia="仿宋_GB2312" w:hAnsiTheme="minorEastAsia"/>
                <w:color w:val="auto"/>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rPr>
            </w:pPr>
            <w:r>
              <w:rPr>
                <w:rFonts w:hint="eastAsia" w:ascii="仿宋_GB2312" w:eastAsia="仿宋_GB2312" w:hAnsiTheme="minorEastAsia"/>
                <w:color w:val="auto"/>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pStyle w:val="4"/>
        <w:rPr>
          <w:color w:val="auto"/>
        </w:rPr>
      </w:pPr>
      <w:bookmarkStart w:id="46" w:name="_Toc19759"/>
      <w:bookmarkStart w:id="47" w:name="_Toc7437"/>
      <w:bookmarkStart w:id="48" w:name="_Toc14870"/>
      <w:bookmarkStart w:id="49" w:name="_Toc7118"/>
      <w:bookmarkStart w:id="50" w:name="_Toc23581"/>
      <w:bookmarkStart w:id="51" w:name="_Toc20594"/>
      <w:bookmarkStart w:id="52" w:name="_Toc3156"/>
      <w:bookmarkStart w:id="53" w:name="_Toc4952"/>
      <w:bookmarkStart w:id="54" w:name="_Toc10930"/>
      <w:bookmarkStart w:id="55" w:name="_Toc14552"/>
      <w:bookmarkStart w:id="56" w:name="_Toc19050"/>
      <w:r>
        <w:rPr>
          <w:color w:val="auto"/>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lang w:val="en-US" w:eastAsia="zh-CN"/>
        </w:rPr>
        <w:t xml:space="preserve">  </w:t>
      </w:r>
      <w:r>
        <w:rPr>
          <w:rFonts w:hint="eastAsia"/>
          <w:color w:val="auto"/>
        </w:rPr>
        <w:t>第四章</w:t>
      </w:r>
      <w:bookmarkEnd w:id="46"/>
      <w:bookmarkEnd w:id="47"/>
      <w:bookmarkEnd w:id="48"/>
      <w:bookmarkEnd w:id="49"/>
      <w:bookmarkEnd w:id="50"/>
      <w:bookmarkEnd w:id="51"/>
      <w:bookmarkEnd w:id="52"/>
      <w:bookmarkEnd w:id="53"/>
      <w:bookmarkEnd w:id="54"/>
      <w:bookmarkEnd w:id="55"/>
      <w:bookmarkEnd w:id="56"/>
    </w:p>
    <w:p>
      <w:pPr>
        <w:pStyle w:val="4"/>
        <w:rPr>
          <w:color w:val="auto"/>
        </w:rPr>
      </w:pPr>
      <w:bookmarkStart w:id="57" w:name="_Toc32607"/>
      <w:bookmarkStart w:id="58" w:name="_Toc87616378"/>
      <w:bookmarkStart w:id="59" w:name="_Toc30530"/>
      <w:bookmarkStart w:id="60" w:name="_Toc21079"/>
      <w:bookmarkStart w:id="61" w:name="_Toc13898"/>
      <w:bookmarkStart w:id="62" w:name="_Toc21840"/>
      <w:bookmarkStart w:id="63" w:name="_Toc29345"/>
      <w:bookmarkStart w:id="64" w:name="_Toc7831"/>
      <w:bookmarkStart w:id="65" w:name="_Toc88209941"/>
      <w:bookmarkStart w:id="66" w:name="_Toc22212"/>
      <w:bookmarkStart w:id="67" w:name="_Toc6308"/>
      <w:bookmarkStart w:id="68" w:name="_Toc29484"/>
      <w:bookmarkStart w:id="69" w:name="_Toc12177"/>
      <w:r>
        <w:rPr>
          <w:rFonts w:hint="eastAsia"/>
          <w:color w:val="auto"/>
          <w:lang w:val="en-US" w:eastAsia="zh-CN"/>
        </w:rPr>
        <w:t xml:space="preserve">  </w:t>
      </w:r>
      <w:r>
        <w:rPr>
          <w:rFonts w:hint="eastAsia"/>
          <w:color w:val="auto"/>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5"/>
        <w:rPr>
          <w:color w:val="auto"/>
        </w:rPr>
      </w:pPr>
      <w:bookmarkStart w:id="70" w:name="_Toc26826"/>
      <w:bookmarkStart w:id="71" w:name="_Toc23033"/>
      <w:r>
        <w:rPr>
          <w:rFonts w:hint="eastAsia"/>
          <w:color w:val="auto"/>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rPr>
      </w:pPr>
      <w:r>
        <w:rPr>
          <w:rFonts w:hint="eastAsia" w:asciiTheme="minorEastAsia" w:hAnsiTheme="minorEastAsia"/>
          <w:b/>
          <w:color w:val="auto"/>
          <w:sz w:val="28"/>
          <w:szCs w:val="28"/>
        </w:rPr>
        <w:t>1.评审方法</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（1）运输费用及保险费。（如有）</w:t>
      </w:r>
    </w:p>
    <w:p>
      <w:pPr>
        <w:adjustRightInd w:val="0"/>
        <w:snapToGrid w:val="0"/>
        <w:spacing w:line="600" w:lineRule="exact"/>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（5）价格调整因素。</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rPr>
      </w:pPr>
      <w:r>
        <w:rPr>
          <w:rFonts w:hint="eastAsia" w:asciiTheme="minorEastAsia" w:hAnsiTheme="minorEastAsia"/>
          <w:b/>
          <w:color w:val="auto"/>
          <w:sz w:val="28"/>
          <w:szCs w:val="28"/>
        </w:rPr>
        <w:t>2.评审程序</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2.1 初步评审</w:t>
      </w:r>
    </w:p>
    <w:p>
      <w:pPr>
        <w:adjustRightInd w:val="0"/>
        <w:snapToGrid w:val="0"/>
        <w:spacing w:line="600" w:lineRule="exact"/>
        <w:jc w:val="left"/>
        <w:rPr>
          <w:rFonts w:ascii="仿宋_GB2312" w:eastAsia="仿宋_GB2312" w:hAnsiTheme="minorEastAsia"/>
          <w:color w:val="auto"/>
          <w:sz w:val="28"/>
          <w:szCs w:val="28"/>
        </w:rPr>
      </w:pPr>
      <w:r>
        <w:rPr>
          <w:rFonts w:ascii="仿宋_GB2312" w:eastAsia="仿宋_GB2312"/>
          <w:color w:val="auto"/>
          <w:sz w:val="28"/>
          <w:szCs w:val="28"/>
        </w:rPr>
        <w:t>表</w:t>
      </w:r>
      <w:r>
        <w:rPr>
          <w:rFonts w:hint="eastAsia" w:ascii="仿宋_GB2312" w:eastAsia="仿宋_GB2312"/>
          <w:color w:val="auto"/>
          <w:sz w:val="28"/>
          <w:szCs w:val="28"/>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_GB2312"/>
                <w:color w:val="auto"/>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_GB2312"/>
                <w:color w:val="auto"/>
                <w:sz w:val="28"/>
                <w:szCs w:val="28"/>
              </w:rPr>
              <w:t>评审</w:t>
            </w:r>
            <w:r>
              <w:rPr>
                <w:rFonts w:ascii="仿宋_GB2312" w:eastAsia="仿宋_GB2312"/>
                <w:color w:val="auto"/>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_GB2312"/>
                <w:color w:val="auto"/>
                <w:sz w:val="28"/>
                <w:szCs w:val="28"/>
              </w:rPr>
              <w:t>评审</w:t>
            </w:r>
            <w:r>
              <w:rPr>
                <w:rFonts w:ascii="仿宋_GB2312" w:eastAsia="仿宋_GB2312"/>
                <w:color w:val="auto"/>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hint="eastAsia" w:ascii="仿宋_GB2312" w:eastAsia="仿宋_GB2312"/>
                <w:color w:val="auto"/>
                <w:sz w:val="24"/>
                <w:szCs w:val="24"/>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r>
              <w:rPr>
                <w:rFonts w:ascii="仿宋_GB2312" w:eastAsia="仿宋_GB2312"/>
                <w:color w:val="auto"/>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rPr>
            </w:pPr>
            <w:r>
              <w:rPr>
                <w:rFonts w:ascii="仿宋_GB2312" w:eastAsia="仿宋_GB2312"/>
                <w:color w:val="auto"/>
                <w:sz w:val="24"/>
                <w:szCs w:val="24"/>
              </w:rPr>
              <w:t>符合采购文件</w:t>
            </w:r>
            <w:r>
              <w:rPr>
                <w:rFonts w:hint="eastAsia" w:ascii="仿宋_GB2312" w:eastAsia="仿宋_GB2312"/>
                <w:color w:val="auto"/>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只能有一个有效报价</w:t>
            </w:r>
            <w:r>
              <w:rPr>
                <w:rFonts w:hint="eastAsia" w:ascii="仿宋_GB2312" w:eastAsia="仿宋_GB2312"/>
                <w:color w:val="auto"/>
                <w:sz w:val="24"/>
                <w:szCs w:val="24"/>
              </w:rPr>
              <w:t>，</w:t>
            </w:r>
            <w:r>
              <w:rPr>
                <w:rFonts w:ascii="仿宋_GB2312" w:eastAsia="仿宋_GB2312"/>
                <w:color w:val="auto"/>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资格评审</w:t>
            </w:r>
          </w:p>
        </w:tc>
        <w:tc>
          <w:tcPr>
            <w:tcW w:w="2127" w:type="dxa"/>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营业执照</w:t>
            </w:r>
          </w:p>
        </w:tc>
        <w:tc>
          <w:tcPr>
            <w:tcW w:w="5528" w:type="dxa"/>
            <w:vAlign w:val="center"/>
          </w:tcPr>
          <w:p>
            <w:pPr>
              <w:adjustRightInd w:val="0"/>
              <w:snapToGrid w:val="0"/>
              <w:rPr>
                <w:rFonts w:ascii="仿宋_GB2312" w:eastAsia="仿宋_GB2312"/>
                <w:color w:val="auto"/>
                <w:sz w:val="24"/>
                <w:szCs w:val="24"/>
              </w:rPr>
            </w:pPr>
            <w:r>
              <w:rPr>
                <w:rFonts w:hint="eastAsia" w:ascii="仿宋_GB2312" w:eastAsia="仿宋_GB2312"/>
                <w:color w:val="auto"/>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满足法律法规及采购文件</w:t>
            </w:r>
            <w:r>
              <w:rPr>
                <w:rFonts w:hint="eastAsia" w:ascii="仿宋_GB2312" w:eastAsia="仿宋_GB2312"/>
                <w:color w:val="auto"/>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没有超过最高限价</w:t>
            </w:r>
            <w:r>
              <w:rPr>
                <w:rFonts w:hint="eastAsia" w:ascii="仿宋_GB2312" w:eastAsia="仿宋_GB2312"/>
                <w:color w:val="auto"/>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rPr>
            </w:pPr>
            <w:r>
              <w:rPr>
                <w:rFonts w:hint="eastAsia" w:ascii="仿宋_GB2312" w:eastAsia="仿宋_GB2312"/>
                <w:color w:val="auto"/>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无法律法规及采购文件规定的其他无效响应内容</w:t>
            </w:r>
          </w:p>
        </w:tc>
      </w:tr>
    </w:tbl>
    <w:p>
      <w:pPr>
        <w:spacing w:line="400" w:lineRule="exact"/>
        <w:jc w:val="left"/>
        <w:rPr>
          <w:color w:val="auto"/>
        </w:rPr>
      </w:pPr>
      <w:r>
        <w:rPr>
          <w:rFonts w:hint="eastAsia" w:ascii="仿宋_GB2312" w:eastAsia="仿宋_GB2312" w:hAnsiTheme="minorEastAsia"/>
          <w:color w:val="auto"/>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2.2澄清补正</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4"/>
        <w:rPr>
          <w:color w:val="auto"/>
        </w:rPr>
      </w:pPr>
      <w:bookmarkStart w:id="72" w:name="_Toc88209947"/>
    </w:p>
    <w:p>
      <w:pPr>
        <w:pStyle w:val="4"/>
        <w:rPr>
          <w:color w:val="auto"/>
        </w:rPr>
      </w:pPr>
      <w:r>
        <w:rPr>
          <w:color w:val="auto"/>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789305</wp:posOffset>
                </wp:positionV>
                <wp:extent cx="958850" cy="0"/>
                <wp:effectExtent l="0" t="4445" r="0" b="508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3pt;margin-top:62.1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p>
    <w:p>
      <w:pPr>
        <w:pStyle w:val="4"/>
        <w:rPr>
          <w:color w:val="auto"/>
        </w:rPr>
      </w:pPr>
      <w:r>
        <w:rPr>
          <w:color w:val="auto"/>
        </w:rPr>
        <mc:AlternateContent>
          <mc:Choice Requires="wps">
            <w:drawing>
              <wp:anchor distT="0" distB="0" distL="114300" distR="114300" simplePos="0" relativeHeight="251675648" behindDoc="0" locked="0" layoutInCell="1" allowOverlap="1">
                <wp:simplePos x="0" y="0"/>
                <wp:positionH relativeFrom="column">
                  <wp:posOffset>2326005</wp:posOffset>
                </wp:positionH>
                <wp:positionV relativeFrom="paragraph">
                  <wp:posOffset>554990</wp:posOffset>
                </wp:positionV>
                <wp:extent cx="958850" cy="0"/>
                <wp:effectExtent l="0" t="4445" r="0" b="508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3.15pt;margin-top:43.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lang w:val="en-US" w:eastAsia="zh-CN"/>
        </w:rPr>
        <w:t xml:space="preserve">  </w:t>
      </w:r>
      <w:r>
        <w:rPr>
          <w:rFonts w:hint="eastAsia"/>
          <w:color w:val="auto"/>
        </w:rPr>
        <w:t>第五章</w:t>
      </w:r>
    </w:p>
    <w:p>
      <w:pPr>
        <w:pStyle w:val="5"/>
        <w:ind w:firstLine="3600" w:firstLineChars="1000"/>
        <w:jc w:val="both"/>
        <w:rPr>
          <w:color w:val="auto"/>
          <w:szCs w:val="44"/>
        </w:rPr>
      </w:pPr>
      <w:r>
        <w:rPr>
          <w:rFonts w:hint="eastAsia"/>
          <w:color w:val="auto"/>
          <w:szCs w:val="44"/>
        </w:rPr>
        <w:t>采购需求</w:t>
      </w:r>
    </w:p>
    <w:p>
      <w:pPr>
        <w:pStyle w:val="5"/>
        <w:rPr>
          <w:color w:val="auto"/>
          <w:szCs w:val="44"/>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5"/>
        <w:rPr>
          <w:color w:val="auto"/>
          <w:szCs w:val="44"/>
        </w:rPr>
      </w:pPr>
      <w:r>
        <w:rPr>
          <w:rFonts w:hint="eastAsia"/>
          <w:color w:val="auto"/>
          <w:szCs w:val="44"/>
        </w:rPr>
        <w:t>采购需求编制说明</w:t>
      </w:r>
      <w:bookmarkEnd w:id="72"/>
    </w:p>
    <w:p>
      <w:pPr>
        <w:pStyle w:val="13"/>
        <w:adjustRightInd w:val="0"/>
        <w:snapToGrid w:val="0"/>
        <w:spacing w:line="300" w:lineRule="auto"/>
        <w:rPr>
          <w:rFonts w:ascii="仿宋_GB2312" w:hAnsi="仿宋_GB2312" w:eastAsia="仿宋_GB2312" w:cs="仿宋_GB2312"/>
          <w:bCs/>
          <w:color w:val="auto"/>
          <w:sz w:val="30"/>
          <w:szCs w:val="30"/>
        </w:rPr>
      </w:pPr>
      <w:r>
        <w:rPr>
          <w:rFonts w:hint="eastAsia" w:ascii="仿宋_GB2312" w:hAnsi="仿宋_GB2312" w:eastAsia="仿宋_GB2312" w:cs="仿宋_GB2312"/>
          <w:b/>
          <w:color w:val="auto"/>
          <w:sz w:val="28"/>
          <w:szCs w:val="28"/>
          <w:lang w:val="zh-CN"/>
        </w:rPr>
        <w:t>一、项目情况介绍</w:t>
      </w:r>
    </w:p>
    <w:p>
      <w:pPr>
        <w:numPr>
          <w:ilvl w:val="255"/>
          <w:numId w:val="0"/>
        </w:numPr>
        <w:adjustRightInd w:val="0"/>
        <w:snapToGrid w:val="0"/>
        <w:spacing w:line="600" w:lineRule="exact"/>
        <w:ind w:firstLine="555" w:firstLineChars="0"/>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一）因分公司会议室空间有限，会议布局因参会人数而变化调整，固定式投影仪无法满足日常会议需求。为提高会议质量及效率，保障会议室内会议设备的稳定性和增强操作性，实现会议管理规范化、智能化。采购</w:t>
      </w:r>
      <w:r>
        <w:rPr>
          <w:rFonts w:ascii="仿宋_GB2312" w:eastAsia="仿宋_GB2312" w:hAnsiTheme="minorEastAsia"/>
          <w:color w:val="auto"/>
          <w:sz w:val="28"/>
          <w:szCs w:val="28"/>
        </w:rPr>
        <w:t>1台110寸会议平板。</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二）根据公司宣传工作要求，为进一步做好宣传工作，努力营造积极向上的工作舆论氛围，充分展示分公司取得的新成果、新亮点，展现良好的企业形象，提升分公司宣传成效的需求，需在分公司综合楼一楼正门门口安装门头</w:t>
      </w:r>
      <w:r>
        <w:rPr>
          <w:rFonts w:ascii="仿宋_GB2312" w:eastAsia="仿宋_GB2312" w:hAnsiTheme="minorEastAsia"/>
          <w:color w:val="auto"/>
          <w:sz w:val="28"/>
          <w:szCs w:val="28"/>
        </w:rPr>
        <w:t>LED屏和一楼大堂安装小间距LED屏。采购1套门头LED屏和1套小间距LED屏。</w:t>
      </w:r>
    </w:p>
    <w:p>
      <w:pPr>
        <w:pStyle w:val="2"/>
        <w:rPr>
          <w:color w:val="auto"/>
        </w:rPr>
      </w:pPr>
    </w:p>
    <w:p>
      <w:pPr>
        <w:pStyle w:val="13"/>
        <w:numPr>
          <w:ilvl w:val="0"/>
          <w:numId w:val="4"/>
        </w:numPr>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项目技术要求</w:t>
      </w:r>
    </w:p>
    <w:p>
      <w:pPr>
        <w:pStyle w:val="13"/>
        <w:adjustRightInd w:val="0"/>
        <w:snapToGrid w:val="0"/>
        <w:spacing w:line="300" w:lineRule="auto"/>
        <w:ind w:firstLine="280" w:firstLineChars="100"/>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1、采购清单</w:t>
      </w:r>
      <w:r>
        <w:rPr>
          <w:rFonts w:ascii="仿宋_GB2312" w:hAnsi="仿宋_GB2312" w:eastAsia="仿宋_GB2312" w:cs="仿宋_GB2312"/>
          <w:color w:val="auto"/>
          <w:sz w:val="28"/>
          <w:szCs w:val="28"/>
        </w:rPr>
        <w:t xml:space="preserve">   </w:t>
      </w:r>
    </w:p>
    <w:tbl>
      <w:tblPr>
        <w:tblStyle w:val="24"/>
        <w:tblW w:w="0" w:type="auto"/>
        <w:tblInd w:w="93" w:type="dxa"/>
        <w:tblLayout w:type="autofit"/>
        <w:tblCellMar>
          <w:top w:w="0" w:type="dxa"/>
          <w:left w:w="108" w:type="dxa"/>
          <w:bottom w:w="0" w:type="dxa"/>
          <w:right w:w="108" w:type="dxa"/>
        </w:tblCellMar>
      </w:tblPr>
      <w:tblGrid>
        <w:gridCol w:w="431"/>
        <w:gridCol w:w="1766"/>
        <w:gridCol w:w="3893"/>
        <w:gridCol w:w="1080"/>
        <w:gridCol w:w="630"/>
        <w:gridCol w:w="738"/>
      </w:tblGrid>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设备名称</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性能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采购数量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备注</w:t>
            </w:r>
          </w:p>
        </w:tc>
      </w:tr>
      <w:tr>
        <w:tblPrEx>
          <w:tblCellMar>
            <w:top w:w="0" w:type="dxa"/>
            <w:left w:w="108" w:type="dxa"/>
            <w:bottom w:w="0" w:type="dxa"/>
            <w:right w:w="108" w:type="dxa"/>
          </w:tblCellMar>
        </w:tblPrEx>
        <w:trPr>
          <w:trHeight w:val="4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0" w:type="auto"/>
            <w:tcBorders>
              <w:top w:val="nil"/>
              <w:left w:val="nil"/>
              <w:bottom w:val="nil"/>
              <w:right w:val="nil"/>
            </w:tcBorders>
            <w:shd w:val="clear" w:color="auto" w:fill="auto"/>
            <w:noWrap/>
            <w:vAlign w:val="center"/>
          </w:tcPr>
          <w:p>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110英寸会议平板</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1.屏幕尺寸：110英寸；</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2.屏幕比例：16:9；</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3.分辨率：3840*2160；</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4.系统版本：Android11.0/Windowsi5双系统；</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5.系统配置：4G+32G/8G DDR3；</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6.无线投屏：支持无线投屏，同屏多分屏功能，支持4个设备同时同屏；</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7.会议培训：内置office,看图，视频播放器等办公实用工具，内置无线WIFI，网卡，支持无线上网，支持将手机、平板、Pad等设备画面同步传送到平板上；</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8.电子白板：支持20点触控；</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9.电脑模块化设计，OPS/抽拉式PC设置；</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10.远程视频：支持远程视频会议，多方异地会议，远程PPT演讲，远程桌面共享。</w:t>
            </w:r>
          </w:p>
          <w:p>
            <w:pPr>
              <w:widowControl/>
              <w:jc w:val="left"/>
              <w:textAlignment w:val="center"/>
              <w:rPr>
                <w:rFonts w:ascii="宋体" w:hAnsi="宋体" w:eastAsia="宋体" w:cs="宋体"/>
                <w:color w:val="auto"/>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包括安装、调试</w:t>
            </w:r>
          </w:p>
        </w:tc>
      </w:tr>
      <w:tr>
        <w:tblPrEx>
          <w:tblCellMar>
            <w:top w:w="0" w:type="dxa"/>
            <w:left w:w="108" w:type="dxa"/>
            <w:bottom w:w="0" w:type="dxa"/>
            <w:right w:w="108" w:type="dxa"/>
          </w:tblCellMar>
        </w:tblPrEx>
        <w:trPr>
          <w:trHeight w:val="34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门头LED屏</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 尺寸：5.86mX0.58m，产品规格：PH10.0；</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2.像素点间距:≤10.0mm；</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3.像素密度≥10000点/㎡；</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4.模组尺寸：320mm×160mm；</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5.模组分辨率≥32*16；</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6.单箱体平整度≤0.5；</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7.支持单点亮度矫正，单点颜色矫正；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8.亮度(nit) ≥5000（0-100%无极可调，支持手动/自动/程控）;</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9.色温(k) 介于 1000～12000可调，调节步长100K；</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10.水平/垂直视角 ≥160°；</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11.亮度均匀性≥98%，色度均匀性介于±0.003 Cx,Cy内；</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12.刷新率≥1920HZ;</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13.换帧频率为50&amp;60HZ;</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14.灰度等级为灰度(bit) 为16bit；</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15.模组驱动方式为1/16扫恒流驱动；</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16.平均故障间隔时间为120000小时；</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17.产品符合防水试验（IPX5）等级测试；</w:t>
            </w:r>
          </w:p>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18.支持手机客户端操作控制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包括安装、调试</w:t>
            </w:r>
          </w:p>
        </w:tc>
      </w:tr>
      <w:tr>
        <w:tblPrEx>
          <w:tblCellMar>
            <w:top w:w="0" w:type="dxa"/>
            <w:left w:w="108" w:type="dxa"/>
            <w:bottom w:w="0" w:type="dxa"/>
            <w:right w:w="108" w:type="dxa"/>
          </w:tblCellMar>
        </w:tblPrEx>
        <w:trPr>
          <w:trHeight w:val="81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小间距LED屏</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1、像素点构成及COB封装方式：1R1G1B, RGB全倒装封装；</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2、像素点间距≤1.56，像素密度点（点/m²）：409600点/㎡；</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3、箱体材质采用密封式压铸铝箱体，采用无风扇自然散热结构，单元箱体比例按照16：9来设计，箱体尺寸要求为（W*H）600mm*337.5mm，箱体厚度要求控制在48mm以内,箱体重量不得大于6.5Kg。</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4、整屏平整度：≤0.05mm，具备拼缝微调节机构，保证拼缝精度达到＜0.1mm。</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5、亮度（0～800 cd/m²）可调，亮度调节功能可预设场景模式，支持手动、程控调节。</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6、LED 模组共阴原理设计： LED 的红、绿、蓝三基色灯的阴极连接在一起，同一像素内红、绿、蓝三种颜色的发光二极管共用一个负极；</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7、支持模组、接收卡、电源完全前维护，模组可存储校正数据，更换模组，自动回读校正数据；</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8、软硬件具备一键调节亮、暗线功能，画面稳定无闪烁，具有整屏色平衡调整功能，确保基色一致性；</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9、模组、接收卡与主板采用硬接口设计，无排线，支持直接插拔；每个LED 单元具有独立的控制网口。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 xml:space="preserve">10、COB </w:t>
            </w:r>
            <w:r>
              <w:rPr>
                <w:rFonts w:hint="eastAsia" w:ascii="宋体" w:hAnsi="宋体" w:eastAsia="宋体" w:cs="宋体"/>
                <w:color w:val="auto"/>
                <w:kern w:val="0"/>
                <w:sz w:val="22"/>
                <w:lang w:bidi="ar"/>
              </w:rPr>
              <w:t>显示单元正面雾面抗反射处理采用雾面膜可以达到抗反射，抗眩光，一体黑的效果；用</w:t>
            </w:r>
            <w:r>
              <w:rPr>
                <w:rFonts w:ascii="宋体" w:hAnsi="宋体" w:eastAsia="宋体" w:cs="宋体"/>
                <w:color w:val="auto"/>
                <w:kern w:val="0"/>
                <w:sz w:val="22"/>
                <w:lang w:bidi="ar"/>
              </w:rPr>
              <w:t xml:space="preserve"> RCA </w:t>
            </w:r>
            <w:r>
              <w:rPr>
                <w:rFonts w:hint="eastAsia" w:ascii="宋体" w:hAnsi="宋体" w:eastAsia="宋体" w:cs="宋体"/>
                <w:color w:val="auto"/>
                <w:kern w:val="0"/>
                <w:sz w:val="22"/>
                <w:lang w:bidi="ar"/>
              </w:rPr>
              <w:t>专用纸带，以固定</w:t>
            </w:r>
            <w:r>
              <w:rPr>
                <w:rFonts w:ascii="宋体" w:hAnsi="宋体" w:eastAsia="宋体" w:cs="宋体"/>
                <w:color w:val="auto"/>
                <w:kern w:val="0"/>
                <w:sz w:val="22"/>
                <w:lang w:bidi="ar"/>
              </w:rPr>
              <w:t xml:space="preserve"> 275g </w:t>
            </w:r>
            <w:r>
              <w:rPr>
                <w:rFonts w:hint="eastAsia" w:ascii="宋体" w:hAnsi="宋体" w:eastAsia="宋体" w:cs="宋体"/>
                <w:color w:val="auto"/>
                <w:kern w:val="0"/>
                <w:sz w:val="22"/>
                <w:lang w:bidi="ar"/>
              </w:rPr>
              <w:t>重量施加在</w:t>
            </w:r>
            <w:r>
              <w:rPr>
                <w:rFonts w:ascii="宋体" w:hAnsi="宋体" w:eastAsia="宋体" w:cs="宋体"/>
                <w:color w:val="auto"/>
                <w:kern w:val="0"/>
                <w:sz w:val="22"/>
                <w:lang w:bidi="ar"/>
              </w:rPr>
              <w:t xml:space="preserve"> COB </w:t>
            </w:r>
            <w:r>
              <w:rPr>
                <w:rFonts w:hint="eastAsia" w:ascii="宋体" w:hAnsi="宋体" w:eastAsia="宋体" w:cs="宋体"/>
                <w:color w:val="auto"/>
                <w:kern w:val="0"/>
                <w:sz w:val="22"/>
                <w:lang w:bidi="ar"/>
              </w:rPr>
              <w:t>面板上面，速度：</w:t>
            </w:r>
            <w:r>
              <w:rPr>
                <w:rFonts w:ascii="宋体" w:hAnsi="宋体" w:eastAsia="宋体" w:cs="宋体"/>
                <w:color w:val="auto"/>
                <w:kern w:val="0"/>
                <w:sz w:val="22"/>
                <w:lang w:bidi="ar"/>
              </w:rPr>
              <w:t xml:space="preserve"> 16 </w:t>
            </w:r>
            <w:r>
              <w:rPr>
                <w:rFonts w:hint="eastAsia" w:ascii="宋体" w:hAnsi="宋体" w:eastAsia="宋体" w:cs="宋体"/>
                <w:color w:val="auto"/>
                <w:kern w:val="0"/>
                <w:sz w:val="22"/>
                <w:lang w:bidi="ar"/>
              </w:rPr>
              <w:t>转</w:t>
            </w:r>
            <w:r>
              <w:rPr>
                <w:rFonts w:ascii="宋体" w:hAnsi="宋体" w:eastAsia="宋体" w:cs="宋体"/>
                <w:color w:val="auto"/>
                <w:kern w:val="0"/>
                <w:sz w:val="22"/>
                <w:lang w:bidi="ar"/>
              </w:rPr>
              <w:t xml:space="preserve">/min，试验圈数： 150 </w:t>
            </w:r>
            <w:r>
              <w:rPr>
                <w:rFonts w:hint="eastAsia" w:ascii="宋体" w:hAnsi="宋体" w:eastAsia="宋体" w:cs="宋体"/>
                <w:color w:val="auto"/>
                <w:kern w:val="0"/>
                <w:sz w:val="22"/>
                <w:lang w:bidi="ar"/>
              </w:rPr>
              <w:t>次；</w:t>
            </w:r>
            <w:r>
              <w:rPr>
                <w:rFonts w:ascii="宋体" w:hAnsi="宋体" w:eastAsia="宋体" w:cs="宋体"/>
                <w:color w:val="auto"/>
                <w:kern w:val="0"/>
                <w:sz w:val="22"/>
                <w:lang w:bidi="ar"/>
              </w:rPr>
              <w:t xml:space="preserve"> COB </w:t>
            </w:r>
            <w:r>
              <w:rPr>
                <w:rFonts w:hint="eastAsia" w:ascii="宋体" w:hAnsi="宋体" w:eastAsia="宋体" w:cs="宋体"/>
                <w:color w:val="auto"/>
                <w:kern w:val="0"/>
                <w:sz w:val="22"/>
                <w:lang w:bidi="ar"/>
              </w:rPr>
              <w:t>面板外观结构和功能均正常。（需提供并通过</w:t>
            </w:r>
            <w:r>
              <w:rPr>
                <w:rFonts w:ascii="宋体" w:hAnsi="宋体" w:eastAsia="宋体" w:cs="宋体"/>
                <w:color w:val="auto"/>
                <w:kern w:val="0"/>
                <w:sz w:val="22"/>
                <w:lang w:bidi="ar"/>
              </w:rPr>
              <w:t>ilac-MRA/CNAS/CMA标志认证第三方专业检测机构出具的检测报告证明文件并加盖设备制造商公章；</w:t>
            </w:r>
            <w:r>
              <w:rPr>
                <w:rFonts w:hint="eastAsia" w:ascii="宋体" w:hAnsi="宋体" w:eastAsia="宋体" w:cs="宋体"/>
                <w:color w:val="auto"/>
                <w:kern w:val="0"/>
                <w:sz w:val="22"/>
                <w:lang w:bidi="ar"/>
              </w:rPr>
              <w:t>）</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11、模组 PCB板材采用6 层以上电路板结构设计，PCB 设计焊盘采用沉金全彩显示屏工艺 HDI 处理，充分保证单模块安装的稳定性和抗氧化性；可以耐</w:t>
            </w:r>
            <w:r>
              <w:rPr>
                <w:rFonts w:ascii="宋体" w:hAnsi="宋体" w:eastAsia="宋体" w:cs="宋体"/>
                <w:color w:val="auto"/>
                <w:kern w:val="0"/>
                <w:sz w:val="22"/>
                <w:lang w:bidi="ar"/>
              </w:rPr>
              <w:t xml:space="preserve">CAF </w:t>
            </w:r>
            <w:r>
              <w:rPr>
                <w:rFonts w:hint="eastAsia" w:ascii="宋体" w:hAnsi="宋体" w:eastAsia="宋体" w:cs="宋体"/>
                <w:color w:val="auto"/>
                <w:kern w:val="0"/>
                <w:sz w:val="22"/>
                <w:lang w:bidi="ar"/>
              </w:rPr>
              <w:t>离子迁移达</w:t>
            </w:r>
            <w:r>
              <w:rPr>
                <w:rFonts w:ascii="宋体" w:hAnsi="宋体" w:eastAsia="宋体" w:cs="宋体"/>
                <w:color w:val="auto"/>
                <w:kern w:val="0"/>
                <w:sz w:val="22"/>
                <w:lang w:bidi="ar"/>
              </w:rPr>
              <w:t xml:space="preserve"> 1000H；</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 xml:space="preserve">12、COB </w:t>
            </w:r>
            <w:r>
              <w:rPr>
                <w:rFonts w:hint="eastAsia" w:ascii="宋体" w:hAnsi="宋体" w:eastAsia="宋体" w:cs="宋体"/>
                <w:color w:val="auto"/>
                <w:kern w:val="0"/>
                <w:sz w:val="22"/>
                <w:lang w:bidi="ar"/>
              </w:rPr>
              <w:t>显示单元防霉等级依据</w:t>
            </w:r>
            <w:r>
              <w:rPr>
                <w:rFonts w:ascii="宋体" w:hAnsi="宋体" w:eastAsia="宋体" w:cs="宋体"/>
                <w:color w:val="auto"/>
                <w:kern w:val="0"/>
                <w:sz w:val="22"/>
                <w:lang w:bidi="ar"/>
              </w:rPr>
              <w:t xml:space="preserve"> GB/T2423.16-2008标准， </w:t>
            </w:r>
            <w:r>
              <w:rPr>
                <w:rFonts w:hint="eastAsia" w:ascii="宋体" w:hAnsi="宋体" w:eastAsia="宋体" w:cs="宋体"/>
                <w:color w:val="auto"/>
                <w:kern w:val="0"/>
                <w:sz w:val="22"/>
                <w:lang w:bidi="ar"/>
              </w:rPr>
              <w:t>显微镜（放大</w:t>
            </w:r>
            <w:r>
              <w:rPr>
                <w:rFonts w:ascii="宋体" w:hAnsi="宋体" w:eastAsia="宋体" w:cs="宋体"/>
                <w:color w:val="auto"/>
                <w:kern w:val="0"/>
                <w:sz w:val="22"/>
                <w:lang w:bidi="ar"/>
              </w:rPr>
              <w:t xml:space="preserve"> 50 </w:t>
            </w:r>
            <w:r>
              <w:rPr>
                <w:rFonts w:hint="eastAsia" w:ascii="宋体" w:hAnsi="宋体" w:eastAsia="宋体" w:cs="宋体"/>
                <w:color w:val="auto"/>
                <w:kern w:val="0"/>
                <w:sz w:val="22"/>
                <w:lang w:bidi="ar"/>
              </w:rPr>
              <w:t>倍）下未见长霉，符合</w:t>
            </w:r>
            <w:r>
              <w:rPr>
                <w:rFonts w:ascii="宋体" w:hAnsi="宋体" w:eastAsia="宋体" w:cs="宋体"/>
                <w:color w:val="auto"/>
                <w:kern w:val="0"/>
                <w:sz w:val="22"/>
                <w:lang w:bidi="ar"/>
              </w:rPr>
              <w:t xml:space="preserve">0 </w:t>
            </w:r>
            <w:r>
              <w:rPr>
                <w:rFonts w:hint="eastAsia" w:ascii="宋体" w:hAnsi="宋体" w:eastAsia="宋体" w:cs="宋体"/>
                <w:color w:val="auto"/>
                <w:kern w:val="0"/>
                <w:sz w:val="22"/>
                <w:lang w:bidi="ar"/>
              </w:rPr>
              <w:t>级标准；</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13、蓝光危害符合 GB/T 20145-2006，辐亮度无危险标准即：辐亮度≤100W/（m2*sr）；光辐射通过蓝光视网膜等级检测，蓝光视网膜危害，其蓝光危害安全系数达 0 类，无风险等级；对皮肤表面及眼睛角膜和视网膜无直接伤害；红绿蓝三色的宽波段光源对皮肤及人眼直接观看无伤害，无紫外危害；产品视觉健康舒适度应符合 CSA035.2-2017 VICO 指数 1 级要求。</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 xml:space="preserve">14、电源端子骚扰电压（EMC）、电信端口传导共模（非对称）骚扰电压限值（EMC）、辐射骚扰（EMC）均符合GB/T9254-2008Class B </w:t>
            </w:r>
            <w:r>
              <w:rPr>
                <w:rFonts w:hint="eastAsia" w:ascii="宋体" w:hAnsi="宋体" w:eastAsia="宋体" w:cs="宋体"/>
                <w:color w:val="auto"/>
                <w:kern w:val="0"/>
                <w:sz w:val="22"/>
                <w:lang w:bidi="ar"/>
              </w:rPr>
              <w:t>限值要求；（需提供并通过</w:t>
            </w:r>
            <w:r>
              <w:rPr>
                <w:rFonts w:ascii="宋体" w:hAnsi="宋体" w:eastAsia="宋体" w:cs="宋体"/>
                <w:color w:val="auto"/>
                <w:kern w:val="0"/>
                <w:sz w:val="22"/>
                <w:lang w:bidi="ar"/>
              </w:rPr>
              <w:t>ilac-MRA/CNAS/CMA标志认证第三方专业检测机构出具的检测报告证明文件并加盖设备制造商公章；</w:t>
            </w:r>
            <w:r>
              <w:rPr>
                <w:rFonts w:hint="eastAsia" w:ascii="宋体" w:hAnsi="宋体" w:eastAsia="宋体" w:cs="宋体"/>
                <w:color w:val="auto"/>
                <w:kern w:val="0"/>
                <w:sz w:val="22"/>
                <w:lang w:bidi="ar"/>
              </w:rPr>
              <w:t>）</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15、亮度均匀性≥98%,色温、色域2000K-10000K连续可调，色域覆盖率≥110%NTSC；</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16、产品支持低亮高刷功能，亮度在 200cd/㎡时，符合3840HZ高刷新要求，暗室对比度≥1000000:1</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 xml:space="preserve">17、单元箱体功耗峰值≤500 W/㎡；平均≤200 W/㎡，可支持电源信号冗余备份。 </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 xml:space="preserve">18、带有智能（黑屏）节电功能，开启智能节电功能比没有开启节能40%以上； </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19、单元箱体防护等级符合 GB/T 4208-2017，防尘 IP6X， 防水 IPX5，COB 显示单元正面防护等级IP65；</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20、PCB阻燃符合 GB/T4943.1-2011要求，达到 UL94 V-0 等级要求。</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21、产品具有防静电、防震动、防电磁干扰、抗干扰、抗雷击等功能，具有电源过压、过流、断电保护、分布上电措施，具有实时监控温度、故障报警功能。屏幕点亮连续运行 12 小时后，屏幕表面温升不超过</w:t>
            </w:r>
            <w:r>
              <w:rPr>
                <w:rFonts w:ascii="宋体" w:hAnsi="宋体" w:eastAsia="宋体" w:cs="宋体"/>
                <w:color w:val="auto"/>
                <w:kern w:val="0"/>
                <w:sz w:val="22"/>
                <w:lang w:bidi="ar"/>
              </w:rPr>
              <w:t xml:space="preserve"> 25K。</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22、可实现远程监督控制，对可能发生的潜在故障记录日志，并向操作员发出警报信号，具有故障自动告警功能，发生故障立即发消息到指定邮箱，便于及时处理；</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23、LED 显示屏可实时监控显示屏工作状态，可实现 LED 单点检测。具有多点测温功能，防止温度过高造成局部颜色混乱、分离，提高屏体寿命；</w:t>
            </w:r>
          </w:p>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24、软件管控匹配运维管理软件，可通过软件进行控制；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套</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包括安装、调试</w:t>
            </w:r>
          </w:p>
        </w:tc>
      </w:tr>
      <w:tr>
        <w:tblPrEx>
          <w:tblCellMar>
            <w:top w:w="0" w:type="dxa"/>
            <w:left w:w="108" w:type="dxa"/>
            <w:bottom w:w="0" w:type="dxa"/>
            <w:right w:w="108" w:type="dxa"/>
          </w:tblCellMar>
        </w:tblPrEx>
        <w:trPr>
          <w:trHeight w:val="81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拼接处理器参数：</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1.设备应为纯硬件FPGA架构，CrossPoint全总线交换技术，背板等效带宽，不能内置PC/X86/X64架构硬件，以避免X86/X64架构天然存在的计算可靠性和准确性缺陷以及设备运行不稳定问题。</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2.单张板卡支持4通道输入或输出，紧凑型机箱，模拟视频单板卡支持16路同时输入，单卡支持2种信号源任意组合。</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3.输入输出板卡可热插拔，输入板卡热插拔恢复时间＜2s，输出板卡热插拔恢复时间＜8s。（提供CNAS机构认可的第三方权威检测报告）</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4.开机时间≤10s，启动电源至输出最总画面的时间间隔。</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5、平均故障时间间隔（MTBF）不小于96000小时，保证设备能够稳定运行。</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6、最大单机背板信号处理带宽不小于720Gbps。（提供CNAS机构认可的第三方权威检测报告）</w:t>
            </w:r>
          </w:p>
          <w:p>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7、对各个输入通道采用纯硬件处理技术，采用独享带宽方式为每个输入通道分配带宽，切换过程中对其他信号无影响，实现了对输入通道的实时处理功能。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8.支持集中采集DVI、VGA、CVBS、HDBaseT、HDMI、SDI、YPbPr、光纤、网络等2K信号，Dual-link DVI、HDMI 1.4、DisplayPort等4K信号。</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9.支持DVI、HDBaseT、HDMI、SDI、光纤、CVBS等常见的2K信号输出，Dual-link DVI、HDMI 1.4等4K信号输出。</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10.单台设备最大规模支持128路高清输入，144路高清输出，均不需要设备级联。</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11.设备支持任意一路图像在拼接屏的任意位置以任意比例进行开窗、缩放、拉伸、漫游、叠加、跨屏、缩放等功能。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12.设备支持图像无缝实时切换功能，无缝切换时间＜20ms。</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13.支持场景保存及快速调用，支持场景轮巡，适应于不同的应用场景。</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14.可以输出7种测试颜色及网格图像来检验输出通道是否可以正常输出信号。</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15.支持信号源预监功能，支持浏览所有输入信号源的实时预览画面。</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16.支持大屏图像回显，可显示整面拼接墙的显示图像。</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17.支持图像截取功能，可以实现图像重点区域的放大显示或者裁掉信号源的黑边。</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18.支持网络抓屏，将PC桌面信号通过网络抓屏的方式传输至拼接屏同步显示。</w:t>
            </w:r>
          </w:p>
          <w:p>
            <w:pPr>
              <w:widowControl/>
              <w:jc w:val="left"/>
              <w:textAlignment w:val="center"/>
              <w:rPr>
                <w:rFonts w:ascii="宋体" w:hAnsi="宋体" w:eastAsia="宋体" w:cs="宋体"/>
                <w:color w:val="auto"/>
                <w:kern w:val="0"/>
                <w:sz w:val="22"/>
                <w:lang w:bidi="ar"/>
              </w:rPr>
            </w:pPr>
          </w:p>
          <w:p>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19.图像开窗响应速度＜15ms。</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20.支持RRTA分辨率实时全兼容技术，单台设备应支持同时控制4组不同分辨率的大屏幕显示。</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21.前面板可显示设备IP地址，设备型号等基础信息内容。</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22.支持设置拼接屏的拼缝补偿，屏幕间隔可以根据电视墙实现接缝大小不同而任意设置，可精确到1个像素。</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23.图像信号无压缩、无失真实时传输，保证图像质量无损耗。</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24.支持整面多行拼接屏的画面同步功能，针对快速变化的画面不会出现撕裂、错位的现象。</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25.支持DVI、HDMI、DisplayPort、VGA等接口的EDID编辑功能。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26.输出通道支持宏定义，设备的输出通道与物理显示设备的逻辑对应关系可调。</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27.支持业务智能恢复，输入输出卡更换后无需配置，可自动恢复至原来的工作状态。</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28.信号显示帧率不受开窗大小及输入路数的限制，保证信号显示的流畅性。</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29.支持国标GB28181协议、ONVIF标准协议接入设备。</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30.支持模拟音频输入输出，具有通道同步切换功能。</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31.具备7x24 小时长时间连续开机工作的能力。</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32.设备支持不规则拼接方式，针对LED拼接的显示单元，可以设置每块LED单屏的有效显示区，不但降低了操作的复杂度，还提高了整体显示的效果。</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33.支持视频网络运维管理协议，实时监测设备的运行状态，对设备异常情况进行报警。</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34.可联控市面主流品牌矩阵切换器，开放联控接口。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35.支持集成中控功能，实现对大屏幕的开关控制。</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36.支持 RS232串口和网络TCP/IP控制，开放控制协议，可与各品牌中控系统轻松集成。</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37.支持移动终端软件控制，不用外加中控直接实现场景调取等功能。</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38.支持故障检测功能，支持输入信号丢失检测，使用灰色标示。</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39.可在控制软件观看大屏回显，直接对UI中的可视化窗口进行操作。</w:t>
            </w:r>
          </w:p>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40.软件支持Windows操作系统和麒麟操作系统。</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rPr>
            </w:pPr>
          </w:p>
        </w:tc>
      </w:tr>
      <w:tr>
        <w:tblPrEx>
          <w:tblCellMar>
            <w:top w:w="0" w:type="dxa"/>
            <w:left w:w="108" w:type="dxa"/>
            <w:bottom w:w="0" w:type="dxa"/>
            <w:right w:w="108" w:type="dxa"/>
          </w:tblCellMar>
        </w:tblPrEx>
        <w:trPr>
          <w:trHeight w:val="4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多功能主机：</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1、设备接口应具备RS-232接口≥10路、HDMI 4K输入接口≥8路、HDMI 4K输出接口≥8路、3.5mm立体声输入接口≥4路、3.5mm立体声输出接口≥4路、RJ-45千兆网口≥8路；（须提供CMA、ilac-MRA及CNAS标识的权威第三方检测报告复印件并加盖生产制造厂商公章）</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2、具备≥10路RS-232控制端口，用于控制接入对应的摄像头、窗帘、功放、PLC、灯控等设备，同时支持1路RS-485、1路RS-422全功能接口；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3、设备具备1个5寸LCD全彩触摸屏，1个电源指示灯、1个数据传输指示灯、1个红外接收器、1路恢复出厂设置按键；（须提供CMA、ilac-MRA及CNAS标识的权威第三方检测报告复印件并加盖生产制造厂商公章）</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4、具备4G物联网功能，实现远程状态查询、周边环境控制；</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5、具备本地8+1路音视频同时录制功能。支持多路视频流合成录制并且支持8路独立画面和1路合成画面进行保存；</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6、具备录播视频重点部分进行马赛克及变声处理，用于防止出现视频资料外泄；</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7、具备无需外加编、解码器及服务器，即可实现IPC接入及控制功能，最高可同时支持8路4K@30网络接入，并且实时进行录制功能；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8、具备所见即所得的可视化交互式控制和显示功能，控制终端可实时预览回显所有视频信号；</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9、具备矩阵、拼接、交换机、中控、4G物联、多画面录播等功能；</w:t>
            </w:r>
          </w:p>
          <w:p>
            <w:pPr>
              <w:widowControl/>
              <w:jc w:val="left"/>
              <w:textAlignment w:val="center"/>
              <w:rPr>
                <w:rFonts w:ascii="宋体" w:hAnsi="宋体" w:eastAsia="宋体" w:cs="宋体"/>
                <w:color w:val="auto"/>
                <w:sz w:val="22"/>
              </w:rPr>
            </w:pPr>
            <w:r>
              <w:rPr>
                <w:rFonts w:ascii="宋体" w:hAnsi="宋体" w:eastAsia="宋体" w:cs="宋体"/>
                <w:color w:val="auto"/>
                <w:kern w:val="0"/>
                <w:sz w:val="22"/>
                <w:lang w:bidi="ar"/>
              </w:rPr>
              <w:t>10、平均无故障运行时间不少于100000小时。</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rPr>
            </w:pPr>
          </w:p>
        </w:tc>
      </w:tr>
    </w:tbl>
    <w:p>
      <w:pPr>
        <w:spacing w:line="360" w:lineRule="auto"/>
        <w:ind w:left="-420" w:leftChars="-200"/>
        <w:rPr>
          <w:rFonts w:ascii="仿宋_GB2312" w:eastAsia="仿宋_GB2312" w:hAnsiTheme="minorEastAsia"/>
          <w:b w:val="0"/>
          <w:color w:val="auto"/>
          <w:sz w:val="28"/>
          <w:szCs w:val="28"/>
        </w:rPr>
      </w:pPr>
    </w:p>
    <w:p>
      <w:pPr>
        <w:pStyle w:val="13"/>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rPr>
        <w:t>三</w:t>
      </w:r>
      <w:r>
        <w:rPr>
          <w:rFonts w:hint="eastAsia" w:ascii="仿宋_GB2312" w:hAnsi="仿宋_GB2312" w:eastAsia="仿宋_GB2312" w:cs="仿宋_GB2312"/>
          <w:b/>
          <w:color w:val="auto"/>
          <w:sz w:val="28"/>
          <w:szCs w:val="28"/>
          <w:lang w:val="zh-CN"/>
        </w:rPr>
        <w:t>、项目商务要求</w:t>
      </w:r>
    </w:p>
    <w:p>
      <w:pPr>
        <w:adjustRightInd w:val="0"/>
        <w:snapToGrid w:val="0"/>
        <w:spacing w:line="600" w:lineRule="exact"/>
        <w:ind w:firstLine="555"/>
        <w:jc w:val="left"/>
        <w:rPr>
          <w:rFonts w:ascii="仿宋_GB2312" w:eastAsia="仿宋_GB2312" w:hAnsiTheme="minorEastAsia"/>
          <w:color w:val="auto"/>
          <w:sz w:val="28"/>
          <w:szCs w:val="28"/>
        </w:rPr>
      </w:pPr>
      <w:r>
        <w:rPr>
          <w:rFonts w:ascii="仿宋_GB2312" w:eastAsia="仿宋_GB2312" w:hAnsiTheme="minorEastAsia"/>
          <w:color w:val="auto"/>
          <w:sz w:val="28"/>
          <w:szCs w:val="28"/>
        </w:rPr>
        <w:t>1.包装、运输及保管、保险：</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w:t>
      </w:r>
      <w:r>
        <w:rPr>
          <w:rFonts w:ascii="仿宋_GB2312" w:eastAsia="仿宋_GB2312" w:hAnsiTheme="minorEastAsia"/>
          <w:color w:val="auto"/>
          <w:sz w:val="28"/>
          <w:szCs w:val="28"/>
        </w:rPr>
        <w:t>1）报价人所供货物应为制造商原装出厂包装，包装须符合同等相关标准，因包装不良造成的损失由报价人负责。</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w:t>
      </w:r>
      <w:r>
        <w:rPr>
          <w:rFonts w:ascii="仿宋_GB2312" w:eastAsia="仿宋_GB2312" w:hAnsiTheme="minorEastAsia"/>
          <w:color w:val="auto"/>
          <w:sz w:val="28"/>
          <w:szCs w:val="28"/>
        </w:rPr>
        <w:t>2）报价人负责将产品送到现场过程中的全部运输，包括装卸车、货物现场的搬运等。</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w:t>
      </w:r>
      <w:r>
        <w:rPr>
          <w:rFonts w:ascii="仿宋_GB2312" w:eastAsia="仿宋_GB2312" w:hAnsiTheme="minorEastAsia"/>
          <w:color w:val="auto"/>
          <w:sz w:val="28"/>
          <w:szCs w:val="28"/>
        </w:rPr>
        <w:t>3）交货地点：广州净水有限公司</w:t>
      </w:r>
      <w:r>
        <w:rPr>
          <w:rFonts w:hint="eastAsia" w:ascii="仿宋_GB2312" w:eastAsia="仿宋_GB2312" w:hAnsiTheme="minorEastAsia"/>
          <w:color w:val="auto"/>
          <w:sz w:val="28"/>
          <w:szCs w:val="28"/>
        </w:rPr>
        <w:t>竹料分公司。</w:t>
      </w:r>
    </w:p>
    <w:p>
      <w:pPr>
        <w:adjustRightInd w:val="0"/>
        <w:snapToGrid w:val="0"/>
        <w:spacing w:line="600" w:lineRule="exact"/>
        <w:ind w:firstLine="555"/>
        <w:jc w:val="left"/>
        <w:rPr>
          <w:rFonts w:ascii="仿宋_GB2312" w:eastAsia="仿宋_GB2312" w:hAnsiTheme="minorEastAsia"/>
          <w:color w:val="auto"/>
          <w:sz w:val="28"/>
          <w:szCs w:val="28"/>
        </w:rPr>
      </w:pPr>
      <w:r>
        <w:rPr>
          <w:rFonts w:ascii="仿宋_GB2312" w:eastAsia="仿宋_GB2312" w:hAnsiTheme="minorEastAsia"/>
          <w:color w:val="auto"/>
          <w:sz w:val="28"/>
          <w:szCs w:val="28"/>
        </w:rPr>
        <w:t>2.质量保证及售后服务：</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w:t>
      </w:r>
      <w:r>
        <w:rPr>
          <w:rFonts w:ascii="仿宋_GB2312" w:eastAsia="仿宋_GB2312" w:hAnsiTheme="minorEastAsia"/>
          <w:color w:val="auto"/>
          <w:sz w:val="28"/>
          <w:szCs w:val="28"/>
        </w:rPr>
        <w:t>1）确保货物为原装未拆封或未使用的产品；</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w:t>
      </w:r>
      <w:r>
        <w:rPr>
          <w:rFonts w:ascii="仿宋_GB2312" w:eastAsia="仿宋_GB2312" w:hAnsiTheme="minorEastAsia"/>
          <w:color w:val="auto"/>
          <w:sz w:val="28"/>
          <w:szCs w:val="28"/>
        </w:rPr>
        <w:t>2）货物在质保期(自供货验收合格之日起1年内）如有质量问题或未能适配原有设备时，报价人必须24小时内派技术人员到现场免费进行维修。</w:t>
      </w:r>
    </w:p>
    <w:p>
      <w:pPr>
        <w:adjustRightInd w:val="0"/>
        <w:snapToGrid w:val="0"/>
        <w:spacing w:line="600" w:lineRule="exact"/>
        <w:ind w:firstLine="555"/>
        <w:jc w:val="left"/>
        <w:rPr>
          <w:rFonts w:ascii="仿宋_GB2312" w:eastAsia="仿宋_GB2312" w:hAnsiTheme="minorEastAsia"/>
          <w:color w:val="auto"/>
          <w:sz w:val="28"/>
          <w:szCs w:val="28"/>
        </w:rPr>
      </w:pPr>
      <w:r>
        <w:rPr>
          <w:rFonts w:ascii="仿宋_GB2312" w:eastAsia="仿宋_GB2312" w:hAnsiTheme="minorEastAsia"/>
          <w:color w:val="auto"/>
          <w:sz w:val="28"/>
          <w:szCs w:val="28"/>
        </w:rPr>
        <w:t>3.总包及分包规定：</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乙方不得转包、分包。否则，甲方有权单方面终止合同，拒收其货物，由此而造成的经济损失由乙方负责赔偿。</w:t>
      </w:r>
    </w:p>
    <w:p>
      <w:pPr>
        <w:adjustRightInd w:val="0"/>
        <w:snapToGrid w:val="0"/>
        <w:spacing w:line="600" w:lineRule="exact"/>
        <w:ind w:firstLine="555"/>
        <w:jc w:val="left"/>
        <w:rPr>
          <w:rFonts w:ascii="仿宋_GB2312" w:eastAsia="仿宋_GB2312" w:hAnsiTheme="minorEastAsia"/>
          <w:color w:val="auto"/>
          <w:sz w:val="28"/>
          <w:szCs w:val="28"/>
        </w:rPr>
      </w:pPr>
      <w:r>
        <w:rPr>
          <w:rFonts w:ascii="仿宋_GB2312" w:eastAsia="仿宋_GB2312" w:hAnsiTheme="minorEastAsia"/>
          <w:color w:val="auto"/>
          <w:sz w:val="28"/>
          <w:szCs w:val="28"/>
        </w:rPr>
        <w:t>4.询价人将自承包商履行完合同义务之日起15个工作日内组织验收，审定报价人供货的货物合格情况，进行结算审核。</w:t>
      </w:r>
    </w:p>
    <w:p>
      <w:pPr>
        <w:adjustRightInd w:val="0"/>
        <w:snapToGrid w:val="0"/>
        <w:spacing w:line="600" w:lineRule="exact"/>
        <w:ind w:firstLine="555"/>
        <w:jc w:val="left"/>
        <w:rPr>
          <w:rFonts w:ascii="仿宋_GB2312" w:eastAsia="仿宋_GB2312" w:hAnsiTheme="minorEastAsia"/>
          <w:color w:val="auto"/>
          <w:sz w:val="28"/>
          <w:szCs w:val="28"/>
        </w:rPr>
      </w:pPr>
      <w:r>
        <w:rPr>
          <w:rFonts w:ascii="仿宋_GB2312" w:eastAsia="仿宋_GB2312" w:hAnsiTheme="minorEastAsia"/>
          <w:color w:val="auto"/>
          <w:sz w:val="28"/>
          <w:szCs w:val="28"/>
        </w:rPr>
        <w:t>5.付款方式：</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w:t>
      </w:r>
      <w:r>
        <w:rPr>
          <w:rFonts w:ascii="仿宋_GB2312" w:eastAsia="仿宋_GB2312" w:hAnsiTheme="minorEastAsia"/>
          <w:color w:val="auto"/>
          <w:sz w:val="28"/>
          <w:szCs w:val="28"/>
        </w:rPr>
        <w:t>1）采用支票、银行汇票形式。</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w:t>
      </w:r>
      <w:r>
        <w:rPr>
          <w:rFonts w:ascii="仿宋_GB2312" w:eastAsia="仿宋_GB2312" w:hAnsiTheme="minorEastAsia"/>
          <w:color w:val="auto"/>
          <w:sz w:val="28"/>
          <w:szCs w:val="28"/>
        </w:rPr>
        <w:t>2）报价人在收款前需提交相应金额增值税专用发票给需求单位。</w:t>
      </w:r>
    </w:p>
    <w:p>
      <w:pPr>
        <w:adjustRightInd w:val="0"/>
        <w:snapToGrid w:val="0"/>
        <w:spacing w:line="600" w:lineRule="exact"/>
        <w:ind w:firstLine="555"/>
        <w:jc w:val="left"/>
        <w:rPr>
          <w:rFonts w:ascii="仿宋_GB2312" w:eastAsia="仿宋_GB2312" w:hAnsiTheme="minorEastAsia"/>
          <w:color w:val="auto"/>
          <w:sz w:val="28"/>
          <w:szCs w:val="28"/>
        </w:rPr>
      </w:pPr>
      <w:r>
        <w:rPr>
          <w:rFonts w:ascii="仿宋_GB2312" w:eastAsia="仿宋_GB2312" w:hAnsiTheme="minorEastAsia"/>
          <w:color w:val="auto"/>
          <w:sz w:val="28"/>
          <w:szCs w:val="28"/>
        </w:rPr>
        <w:t>6.承包方式：单价包干。</w:t>
      </w:r>
    </w:p>
    <w:p>
      <w:pPr>
        <w:pStyle w:val="2"/>
        <w:rPr>
          <w:rFonts w:ascii="仿宋_GB2312" w:eastAsia="仿宋_GB2312" w:hAnsiTheme="minorEastAsia"/>
          <w:color w:val="auto"/>
          <w:szCs w:val="21"/>
        </w:rPr>
      </w:pPr>
    </w:p>
    <w:p>
      <w:pPr>
        <w:adjustRightInd w:val="0"/>
        <w:snapToGrid w:val="0"/>
        <w:spacing w:line="600" w:lineRule="exact"/>
        <w:ind w:firstLine="560" w:firstLineChars="200"/>
        <w:jc w:val="left"/>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ind w:firstLine="0" w:firstLineChars="0"/>
        <w:jc w:val="both"/>
        <w:rPr>
          <w:rFonts w:hint="eastAsia"/>
          <w:color w:val="auto"/>
        </w:rPr>
      </w:pPr>
      <w:bookmarkStart w:id="73" w:name="_Toc23330"/>
      <w:bookmarkStart w:id="74" w:name="_Toc25925"/>
      <w:bookmarkStart w:id="75" w:name="_Toc1284"/>
      <w:bookmarkStart w:id="76" w:name="_Toc4680"/>
      <w:bookmarkStart w:id="77" w:name="_Toc29835"/>
      <w:bookmarkStart w:id="78" w:name="_Toc1496"/>
      <w:bookmarkStart w:id="79" w:name="_Toc12135"/>
      <w:bookmarkStart w:id="80" w:name="_Toc18538"/>
      <w:bookmarkStart w:id="81" w:name="_Toc537"/>
      <w:bookmarkStart w:id="82" w:name="_Toc23353"/>
      <w:bookmarkStart w:id="83" w:name="_Toc15570"/>
    </w:p>
    <w:p>
      <w:pPr>
        <w:pStyle w:val="4"/>
        <w:ind w:firstLine="0" w:firstLineChars="0"/>
        <w:rPr>
          <w:color w:val="auto"/>
        </w:rPr>
      </w:pPr>
      <w:r>
        <w:rPr>
          <w:color w:val="auto"/>
        </w:rPr>
        <mc:AlternateContent>
          <mc:Choice Requires="wps">
            <w:drawing>
              <wp:anchor distT="0" distB="0" distL="114300" distR="114300" simplePos="0" relativeHeight="251667456" behindDoc="0" locked="0" layoutInCell="1" allowOverlap="1">
                <wp:simplePos x="0" y="0"/>
                <wp:positionH relativeFrom="column">
                  <wp:posOffset>2172970</wp:posOffset>
                </wp:positionH>
                <wp:positionV relativeFrom="paragraph">
                  <wp:posOffset>523240</wp:posOffset>
                </wp:positionV>
                <wp:extent cx="958850" cy="0"/>
                <wp:effectExtent l="0" t="4445" r="0" b="508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1.1pt;margin-top:41.2pt;height:0pt;width:75.5pt;z-index:251667456;mso-width-relative:page;mso-height-relative:page;" filled="f" stroked="t" coordsize="21600,21600" o:gfxdata="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zzIj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column">
                  <wp:posOffset>2187575</wp:posOffset>
                </wp:positionH>
                <wp:positionV relativeFrom="paragraph">
                  <wp:posOffset>26670</wp:posOffset>
                </wp:positionV>
                <wp:extent cx="958850" cy="0"/>
                <wp:effectExtent l="0" t="4445" r="0" b="508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2.25pt;margin-top:2.1pt;height:0pt;width:75.5pt;z-index:251666432;mso-width-relative:page;mso-height-relative:page;" filled="f" stroked="t" coordsize="21600,21600" o:gfxdata="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FPFPHXAAAACw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rPr>
        <w:t>第六章</w:t>
      </w:r>
      <w:bookmarkEnd w:id="73"/>
      <w:bookmarkEnd w:id="74"/>
      <w:bookmarkEnd w:id="75"/>
      <w:bookmarkEnd w:id="76"/>
      <w:bookmarkEnd w:id="77"/>
      <w:bookmarkEnd w:id="78"/>
      <w:bookmarkEnd w:id="79"/>
      <w:bookmarkEnd w:id="80"/>
      <w:bookmarkEnd w:id="81"/>
      <w:bookmarkEnd w:id="82"/>
      <w:bookmarkEnd w:id="83"/>
    </w:p>
    <w:p>
      <w:pPr>
        <w:pStyle w:val="4"/>
        <w:rPr>
          <w:color w:val="auto"/>
        </w:rPr>
      </w:pPr>
      <w:bookmarkStart w:id="84" w:name="_Toc87616386"/>
      <w:bookmarkStart w:id="85" w:name="_Toc19088"/>
      <w:bookmarkStart w:id="86" w:name="_Toc323"/>
      <w:bookmarkStart w:id="87" w:name="_Toc12980"/>
      <w:bookmarkStart w:id="88" w:name="_Toc22501"/>
      <w:bookmarkStart w:id="89" w:name="_Toc1375"/>
      <w:bookmarkStart w:id="90" w:name="_Toc12968"/>
      <w:bookmarkStart w:id="91" w:name="_Toc8183"/>
      <w:bookmarkStart w:id="92" w:name="_Toc13309"/>
      <w:bookmarkStart w:id="93" w:name="_Toc22797"/>
      <w:bookmarkStart w:id="94" w:name="_Toc19686"/>
      <w:bookmarkStart w:id="95" w:name="_Toc88209949"/>
      <w:bookmarkStart w:id="96" w:name="_Toc12721"/>
      <w:r>
        <w:rPr>
          <w:rFonts w:hint="eastAsia"/>
          <w:color w:val="auto"/>
        </w:rPr>
        <w:t>合同</w:t>
      </w:r>
      <w:bookmarkEnd w:id="84"/>
      <w:bookmarkEnd w:id="85"/>
      <w:bookmarkEnd w:id="86"/>
      <w:bookmarkEnd w:id="87"/>
      <w:bookmarkEnd w:id="88"/>
      <w:bookmarkEnd w:id="89"/>
      <w:bookmarkEnd w:id="90"/>
      <w:bookmarkEnd w:id="91"/>
      <w:bookmarkEnd w:id="92"/>
      <w:bookmarkEnd w:id="93"/>
      <w:bookmarkEnd w:id="94"/>
      <w:bookmarkEnd w:id="95"/>
      <w:bookmarkEnd w:id="96"/>
    </w:p>
    <w:p>
      <w:pPr>
        <w:jc w:val="center"/>
        <w:rPr>
          <w:b/>
          <w:color w:val="auto"/>
          <w:sz w:val="48"/>
          <w:szCs w:val="48"/>
        </w:rPr>
      </w:pPr>
    </w:p>
    <w:p>
      <w:pPr>
        <w:jc w:val="center"/>
        <w:rPr>
          <w:b/>
          <w:color w:val="auto"/>
          <w:sz w:val="48"/>
          <w:szCs w:val="48"/>
        </w:rPr>
      </w:pPr>
    </w:p>
    <w:p>
      <w:pPr>
        <w:jc w:val="center"/>
        <w:rPr>
          <w:b/>
          <w:color w:val="auto"/>
          <w:sz w:val="48"/>
          <w:szCs w:val="48"/>
        </w:rPr>
      </w:pPr>
    </w:p>
    <w:p>
      <w:pPr>
        <w:jc w:val="center"/>
        <w:rPr>
          <w:b/>
          <w:color w:val="auto"/>
          <w:sz w:val="48"/>
          <w:szCs w:val="48"/>
        </w:rPr>
      </w:pPr>
    </w:p>
    <w:p>
      <w:pPr>
        <w:jc w:val="center"/>
        <w:rPr>
          <w:b/>
          <w:color w:val="auto"/>
          <w:sz w:val="48"/>
          <w:szCs w:val="48"/>
        </w:rPr>
      </w:pPr>
    </w:p>
    <w:p>
      <w:pPr>
        <w:jc w:val="center"/>
        <w:rPr>
          <w:b/>
          <w:color w:val="auto"/>
          <w:sz w:val="48"/>
          <w:szCs w:val="48"/>
        </w:rPr>
      </w:pPr>
    </w:p>
    <w:p>
      <w:pPr>
        <w:jc w:val="center"/>
        <w:rPr>
          <w:b/>
          <w:color w:val="auto"/>
          <w:sz w:val="48"/>
          <w:szCs w:val="48"/>
        </w:rPr>
      </w:pPr>
    </w:p>
    <w:p>
      <w:pPr>
        <w:jc w:val="center"/>
        <w:rPr>
          <w:b/>
          <w:color w:val="auto"/>
          <w:sz w:val="48"/>
          <w:szCs w:val="48"/>
        </w:rPr>
      </w:pPr>
    </w:p>
    <w:p>
      <w:pPr>
        <w:jc w:val="center"/>
        <w:rPr>
          <w:b/>
          <w:color w:val="auto"/>
          <w:sz w:val="48"/>
          <w:szCs w:val="48"/>
        </w:rPr>
      </w:pPr>
    </w:p>
    <w:p>
      <w:pPr>
        <w:rPr>
          <w:rFonts w:hint="eastAsia" w:eastAsiaTheme="minorEastAsia"/>
          <w:color w:val="auto"/>
          <w:lang w:eastAsia="zh-CN"/>
        </w:rPr>
        <w:sectPr>
          <w:footerReference r:id="rId6" w:type="default"/>
          <w:pgSz w:w="11907" w:h="16840"/>
          <w:pgMar w:top="1440" w:right="1746" w:bottom="1440" w:left="1746" w:header="851" w:footer="992" w:gutter="0"/>
          <w:pgNumType w:start="1"/>
          <w:cols w:space="0" w:num="1"/>
          <w:docGrid w:type="linesAndChars" w:linePitch="381" w:charSpace="0"/>
        </w:sectPr>
      </w:pPr>
    </w:p>
    <w:p>
      <w:pPr>
        <w:spacing w:line="400" w:lineRule="atLeast"/>
        <w:ind w:firstLine="1920" w:firstLineChars="400"/>
        <w:jc w:val="both"/>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spacing w:line="360" w:lineRule="auto"/>
        <w:jc w:val="center"/>
        <w:rPr>
          <w:rFonts w:ascii="宋体" w:hAnsi="宋体" w:cs="宋体"/>
          <w:color w:val="auto"/>
          <w:sz w:val="28"/>
          <w:szCs w:val="28"/>
        </w:rPr>
      </w:pPr>
      <w:r>
        <w:rPr>
          <w:rFonts w:hint="eastAsia" w:ascii="宋体" w:hAnsi="宋体" w:cs="宋体"/>
          <w:color w:val="auto"/>
          <w:sz w:val="28"/>
          <w:szCs w:val="28"/>
        </w:rPr>
        <w:t>（示范文本）</w:t>
      </w:r>
    </w:p>
    <w:p>
      <w:pPr>
        <w:spacing w:line="360" w:lineRule="auto"/>
        <w:jc w:val="center"/>
        <w:rPr>
          <w:rFonts w:ascii="宋体" w:hAnsi="宋体" w:cs="宋体"/>
          <w:color w:val="auto"/>
          <w:sz w:val="28"/>
          <w:szCs w:val="28"/>
        </w:rPr>
      </w:pPr>
      <w:r>
        <w:rPr>
          <w:rFonts w:hint="eastAsia" w:ascii="宋体" w:hAnsi="宋体" w:cs="宋体"/>
          <w:color w:val="auto"/>
          <w:sz w:val="28"/>
          <w:szCs w:val="28"/>
        </w:rPr>
        <w:t>（适用非公招简易项目）</w:t>
      </w:r>
    </w:p>
    <w:p>
      <w:pPr>
        <w:jc w:val="center"/>
        <w:rPr>
          <w:color w:val="auto"/>
          <w:sz w:val="30"/>
        </w:rPr>
      </w:pPr>
    </w:p>
    <w:p>
      <w:pPr>
        <w:rPr>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项目名称：竹料分公司2023年下半年办公设备采购项目</w:t>
      </w:r>
    </w:p>
    <w:p>
      <w:pPr>
        <w:spacing w:line="480" w:lineRule="auto"/>
        <w:rPr>
          <w:rFonts w:ascii="宋体" w:hAnsi="宋体" w:cs="宋体"/>
          <w:b/>
          <w:bCs/>
          <w:color w:val="auto"/>
          <w:sz w:val="30"/>
        </w:rPr>
      </w:pPr>
      <w:r>
        <w:rPr>
          <w:rFonts w:hint="eastAsia" w:ascii="宋体" w:hAnsi="宋体" w:cs="宋体"/>
          <w:b/>
          <w:bCs/>
          <w:color w:val="auto"/>
          <w:sz w:val="30"/>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ascii="宋体" w:hAnsi="宋体" w:cs="宋体"/>
          <w:b/>
          <w:bCs/>
          <w:color w:val="auto"/>
          <w:sz w:val="30"/>
          <w:u w:val="single"/>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w:t>
      </w:r>
      <w:r>
        <w:rPr>
          <w:rFonts w:ascii="宋体" w:hAnsi="宋体" w:cs="宋体"/>
          <w:b/>
          <w:bCs/>
          <w:color w:val="auto"/>
          <w:sz w:val="30"/>
        </w:rPr>
        <w:t xml:space="preserve">    </w:t>
      </w:r>
      <w:r>
        <w:rPr>
          <w:rFonts w:hint="eastAsia" w:ascii="宋体" w:hAnsi="宋体" w:cs="宋体"/>
          <w:b/>
          <w:bCs/>
          <w:color w:val="auto"/>
          <w:sz w:val="30"/>
        </w:rPr>
        <w:t>年</w:t>
      </w:r>
      <w:r>
        <w:rPr>
          <w:rFonts w:ascii="宋体" w:hAnsi="宋体" w:cs="宋体"/>
          <w:b/>
          <w:bCs/>
          <w:color w:val="auto"/>
          <w:sz w:val="30"/>
        </w:rPr>
        <w:t xml:space="preserve">  </w:t>
      </w:r>
      <w:r>
        <w:rPr>
          <w:rFonts w:hint="eastAsia" w:ascii="宋体" w:hAnsi="宋体" w:cs="宋体"/>
          <w:b/>
          <w:bCs/>
          <w:color w:val="auto"/>
          <w:sz w:val="30"/>
        </w:rPr>
        <w:t>月</w:t>
      </w:r>
      <w:r>
        <w:rPr>
          <w:rFonts w:ascii="宋体" w:hAnsi="宋体" w:cs="宋体"/>
          <w:b/>
          <w:bCs/>
          <w:color w:val="auto"/>
          <w:sz w:val="30"/>
        </w:rPr>
        <w:t xml:space="preserve">  </w:t>
      </w:r>
      <w:r>
        <w:rPr>
          <w:rFonts w:hint="eastAsia" w:ascii="宋体" w:hAnsi="宋体" w:cs="宋体"/>
          <w:b/>
          <w:bCs/>
          <w:color w:val="auto"/>
          <w:sz w:val="30"/>
        </w:rPr>
        <w:t>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pStyle w:val="2"/>
        <w:rPr>
          <w:rFonts w:cs="宋体"/>
          <w:b/>
          <w:bCs/>
          <w:color w:val="auto"/>
          <w:sz w:val="30"/>
        </w:rPr>
      </w:pPr>
    </w:p>
    <w:p>
      <w:pPr>
        <w:pStyle w:val="2"/>
        <w:rPr>
          <w:rFonts w:cs="宋体"/>
          <w:b/>
          <w:bCs/>
          <w:color w:val="auto"/>
          <w:sz w:val="30"/>
        </w:rPr>
      </w:pPr>
    </w:p>
    <w:p>
      <w:pPr>
        <w:rPr>
          <w:color w:val="auto"/>
        </w:rPr>
        <w:sectPr>
          <w:headerReference r:id="rId7" w:type="default"/>
          <w:footerReference r:id="rId9" w:type="default"/>
          <w:headerReference r:id="rId8" w:type="even"/>
          <w:footerReference r:id="rId10"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根据《中华人民共和国民法典》及其他有关法律、行政法规，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（以下简称“甲方”）与</w:t>
      </w:r>
      <w:r>
        <w:rPr>
          <w:rFonts w:ascii="宋体" w:hAnsi="宋体" w:cs="宋体"/>
          <w:color w:val="auto"/>
          <w:sz w:val="24"/>
          <w:szCs w:val="24"/>
          <w:u w:val="single"/>
        </w:rPr>
        <w:t xml:space="preserve">          </w:t>
      </w:r>
      <w:r>
        <w:rPr>
          <w:rFonts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bCs w:val="0"/>
          <w:color w:val="auto"/>
          <w:sz w:val="24"/>
          <w:szCs w:val="24"/>
          <w:u w:val="single"/>
        </w:rPr>
        <w:t>竹料分公司</w:t>
      </w:r>
      <w:r>
        <w:rPr>
          <w:rFonts w:ascii="宋体" w:hAnsi="宋体" w:cs="宋体"/>
          <w:bCs w:val="0"/>
          <w:color w:val="auto"/>
          <w:sz w:val="24"/>
          <w:szCs w:val="24"/>
          <w:u w:val="single"/>
        </w:rPr>
        <w:t>2023</w:t>
      </w:r>
      <w:r>
        <w:rPr>
          <w:rFonts w:hint="eastAsia" w:ascii="宋体" w:hAnsi="宋体" w:cs="宋体"/>
          <w:bCs w:val="0"/>
          <w:color w:val="auto"/>
          <w:sz w:val="24"/>
          <w:szCs w:val="24"/>
          <w:u w:val="single"/>
        </w:rPr>
        <w:t>年下半年办公设备采购项目</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r>
        <w:rPr>
          <w:rFonts w:ascii="宋体" w:hAnsi="宋体" w:cs="宋体"/>
          <w:color w:val="auto"/>
          <w:sz w:val="24"/>
          <w:szCs w:val="24"/>
        </w:rPr>
        <w:t xml:space="preserve"> </w:t>
      </w:r>
    </w:p>
    <w:p>
      <w:pPr>
        <w:pStyle w:val="10"/>
        <w:tabs>
          <w:tab w:val="left" w:pos="720"/>
        </w:tabs>
        <w:spacing w:line="440" w:lineRule="exact"/>
        <w:ind w:firstLine="482" w:firstLineChars="200"/>
        <w:rPr>
          <w:rFonts w:hAnsi="宋体" w:cs="宋体"/>
          <w:color w:val="auto"/>
          <w:sz w:val="24"/>
          <w:szCs w:val="24"/>
        </w:rPr>
      </w:pPr>
      <w:r>
        <w:rPr>
          <w:rFonts w:hint="eastAsia" w:hAnsi="宋体" w:cs="宋体"/>
          <w:b/>
          <w:bCs/>
          <w:color w:val="auto"/>
          <w:sz w:val="24"/>
          <w:szCs w:val="24"/>
        </w:rPr>
        <w:t>第一条</w:t>
      </w:r>
      <w:r>
        <w:rPr>
          <w:rFonts w:hAnsi="宋体" w:cs="宋体"/>
          <w:color w:val="auto"/>
          <w:sz w:val="24"/>
          <w:szCs w:val="24"/>
        </w:rPr>
        <w:t xml:space="preserve"> </w:t>
      </w:r>
      <w:r>
        <w:rPr>
          <w:rFonts w:hint="eastAsia" w:hAnsi="宋体" w:cs="宋体"/>
          <w:b/>
          <w:bCs/>
          <w:color w:val="auto"/>
          <w:sz w:val="24"/>
          <w:szCs w:val="24"/>
        </w:rPr>
        <w:t>组成合同的文件及优先顺序</w:t>
      </w:r>
    </w:p>
    <w:p>
      <w:pPr>
        <w:pStyle w:val="10"/>
        <w:tabs>
          <w:tab w:val="left" w:pos="720"/>
        </w:tabs>
        <w:spacing w:line="440" w:lineRule="exact"/>
        <w:ind w:firstLine="480" w:firstLineChars="200"/>
        <w:rPr>
          <w:rFonts w:hAnsi="宋体" w:cs="宋体"/>
          <w:color w:val="auto"/>
          <w:sz w:val="24"/>
          <w:szCs w:val="24"/>
        </w:rPr>
      </w:pPr>
      <w:r>
        <w:rPr>
          <w:rFonts w:hint="eastAsia" w:hAnsi="宋体" w:cs="宋体"/>
          <w:color w:val="auto"/>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rPr>
        <w:t>成交通知书</w:t>
      </w:r>
      <w:r>
        <w:rPr>
          <w:rFonts w:ascii="宋体" w:hAnsi="宋体" w:cs="宋体"/>
          <w:bCs/>
          <w:color w:val="auto"/>
          <w:sz w:val="24"/>
        </w:rPr>
        <w:t>/</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20" w:lineRule="exact"/>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本合同其他附件；</w:t>
      </w:r>
    </w:p>
    <w:p>
      <w:pPr>
        <w:numPr>
          <w:ilvl w:val="0"/>
          <w:numId w:val="5"/>
        </w:numPr>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合同标的</w:t>
      </w:r>
    </w:p>
    <w:tbl>
      <w:tblPr>
        <w:tblStyle w:val="24"/>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eastAsia="宋体" w:cs="宋体"/>
                <w:color w:val="auto"/>
                <w:sz w:val="20"/>
                <w:szCs w:val="20"/>
              </w:rPr>
              <w:t>110英寸会议平板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eastAsia="宋体" w:cs="宋体"/>
                <w:color w:val="auto"/>
                <w:sz w:val="20"/>
                <w:szCs w:val="20"/>
              </w:rPr>
              <w:t>门头LED屏</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eastAsia="宋体" w:cs="宋体"/>
                <w:color w:val="auto"/>
                <w:sz w:val="20"/>
                <w:szCs w:val="20"/>
              </w:rPr>
              <w:t>小间距LED屏</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rPr>
                <w:color w:val="auto"/>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color w:val="auto"/>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color w:val="auto"/>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color w:val="auto"/>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color w:val="auto"/>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color w:val="auto"/>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pStyle w:val="7"/>
        <w:ind w:firstLine="0"/>
        <w:rPr>
          <w:color w:val="auto"/>
        </w:rPr>
      </w:pPr>
    </w:p>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w:t>
      </w:r>
      <w:r>
        <w:rPr>
          <w:rFonts w:ascii="宋体" w:hAnsi="宋体" w:cs="宋体"/>
          <w:b/>
          <w:bCs/>
          <w:color w:val="auto"/>
          <w:kern w:val="0"/>
          <w:sz w:val="24"/>
          <w:szCs w:val="24"/>
          <w:lang w:val="zh-CN"/>
        </w:rPr>
        <w:t xml:space="preserve"> </w:t>
      </w:r>
      <w:r>
        <w:rPr>
          <w:rFonts w:hint="eastAsia" w:ascii="宋体" w:hAnsi="宋体" w:cs="宋体"/>
          <w:b/>
          <w:bCs/>
          <w:color w:val="auto"/>
          <w:kern w:val="0"/>
          <w:sz w:val="24"/>
          <w:szCs w:val="24"/>
          <w:lang w:val="zh-CN"/>
        </w:rPr>
        <w:t>交货日期及地点</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3.1乙方按以下第</w:t>
      </w:r>
      <w:r>
        <w:rPr>
          <w:rFonts w:ascii="宋体" w:hAnsi="宋体" w:cs="宋体"/>
          <w:color w:val="auto"/>
          <w:sz w:val="24"/>
          <w:szCs w:val="24"/>
          <w:u w:val="single"/>
        </w:rPr>
        <w:t xml:space="preserve">  1 </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(1)合同生效之日起</w:t>
      </w:r>
      <w:r>
        <w:rPr>
          <w:rFonts w:ascii="宋体" w:hAnsi="宋体" w:cs="宋体"/>
          <w:color w:val="auto"/>
          <w:sz w:val="24"/>
          <w:szCs w:val="24"/>
          <w:u w:val="single"/>
        </w:rPr>
        <w:t xml:space="preserve">  30 </w:t>
      </w:r>
      <w:r>
        <w:rPr>
          <w:rFonts w:hint="eastAsia" w:ascii="宋体" w:hAnsi="宋体" w:cs="宋体"/>
          <w:color w:val="auto"/>
          <w:sz w:val="24"/>
          <w:szCs w:val="24"/>
        </w:rPr>
        <w:t>日内到货，并</w:t>
      </w:r>
      <w:r>
        <w:rPr>
          <w:rFonts w:hint="eastAsia" w:ascii="宋体" w:hAnsi="宋体" w:cs="宋体"/>
          <w:color w:val="auto"/>
          <w:sz w:val="24"/>
          <w:szCs w:val="24"/>
          <w:highlight w:val="none"/>
          <w:u w:val="single"/>
        </w:rPr>
        <w:t>开箱</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2)乙方按甲方要求，按时间计划逐批（次）供货，并</w:t>
      </w:r>
      <w:r>
        <w:rPr>
          <w:rFonts w:hint="eastAsia" w:ascii="宋体" w:hAnsi="宋体" w:cs="宋体"/>
          <w:color w:val="auto"/>
          <w:sz w:val="24"/>
          <w:szCs w:val="24"/>
          <w:u w:val="single"/>
        </w:rPr>
        <w:t>开箱</w:t>
      </w:r>
      <w:r>
        <w:rPr>
          <w:rFonts w:ascii="宋体" w:hAnsi="宋体" w:cs="宋体"/>
          <w:color w:val="auto"/>
          <w:sz w:val="24"/>
          <w:szCs w:val="24"/>
          <w:u w:val="single"/>
        </w:rPr>
        <w:t>/试运行验</w:t>
      </w:r>
      <w:r>
        <w:rPr>
          <w:rFonts w:hint="eastAsia" w:ascii="宋体" w:hAnsi="宋体" w:cs="宋体"/>
          <w:color w:val="auto"/>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w:t>
      </w:r>
      <w:r>
        <w:rPr>
          <w:rFonts w:ascii="宋体" w:hAnsi="宋体" w:cs="宋体"/>
          <w:color w:val="auto"/>
          <w:sz w:val="24"/>
          <w:szCs w:val="24"/>
        </w:rPr>
        <w:t>3）其它供货期要求</w:t>
      </w:r>
      <w:r>
        <w:rPr>
          <w:rFonts w:hint="eastAsia" w:ascii="宋体" w:hAnsi="宋体" w:cs="宋体"/>
          <w:color w:val="auto"/>
          <w:sz w:val="24"/>
          <w:szCs w:val="24"/>
        </w:rPr>
        <w:t>：</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hint="eastAsia" w:ascii="宋体" w:hAnsi="宋体" w:cs="宋体"/>
          <w:bCs/>
          <w:color w:val="auto"/>
          <w:sz w:val="24"/>
          <w:szCs w:val="24"/>
        </w:rPr>
      </w:pPr>
      <w:r>
        <w:rPr>
          <w:rFonts w:ascii="宋体" w:hAnsi="宋体" w:cs="宋体"/>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cs="宋体"/>
          <w:bCs/>
          <w:color w:val="auto"/>
          <w:sz w:val="24"/>
          <w:szCs w:val="24"/>
          <w:u w:val="single"/>
        </w:rPr>
        <w:t>广州净水竹料分公司</w:t>
      </w:r>
      <w:r>
        <w:rPr>
          <w:rFonts w:ascii="宋体" w:hAnsi="宋体" w:cs="宋体"/>
          <w:bCs/>
          <w:color w:val="auto"/>
          <w:sz w:val="24"/>
          <w:szCs w:val="24"/>
          <w:u w:val="single"/>
        </w:rPr>
        <w:t xml:space="preserve">  </w:t>
      </w:r>
      <w:r>
        <w:rPr>
          <w:rFonts w:hint="eastAsia" w:ascii="宋体" w:hAnsi="宋体" w:cs="宋体"/>
          <w:bCs/>
          <w:color w:val="auto"/>
          <w:sz w:val="24"/>
          <w:szCs w:val="24"/>
        </w:rPr>
        <w:t>（包括甲方指定的任一收货点），最终具体交货地点以甲方通知为准。</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3.3</w:t>
      </w:r>
      <w:r>
        <w:rPr>
          <w:rFonts w:ascii="宋体" w:hAnsi="宋体" w:cs="宋体"/>
          <w:color w:val="auto"/>
          <w:sz w:val="24"/>
          <w:szCs w:val="24"/>
        </w:rPr>
        <w:t>供货要求：</w:t>
      </w:r>
      <w:r>
        <w:rPr>
          <w:rFonts w:hint="eastAsia" w:ascii="宋体" w:hAnsi="宋体" w:cs="宋体"/>
          <w:color w:val="auto"/>
          <w:sz w:val="24"/>
          <w:szCs w:val="24"/>
          <w:u w:val="single"/>
        </w:rPr>
        <w:t>货物供货时需提供使用说明书及产品合格证、产品质量证明文件</w:t>
      </w:r>
      <w:r>
        <w:rPr>
          <w:rFonts w:ascii="宋体" w:hAnsi="宋体" w:cs="宋体"/>
          <w:color w:val="auto"/>
          <w:sz w:val="24"/>
          <w:szCs w:val="24"/>
          <w:u w:val="single"/>
        </w:rPr>
        <w:t>,必须是全新合格产品，能完全匹配兼容安装至相关位置中，并能正常使用</w:t>
      </w:r>
      <w:r>
        <w:rPr>
          <w:rFonts w:hint="eastAsia" w:ascii="宋体" w:hAnsi="宋体" w:cs="宋体"/>
          <w:color w:val="auto"/>
          <w:sz w:val="24"/>
          <w:szCs w:val="24"/>
          <w:u w:val="single"/>
        </w:rPr>
        <w:t>，不接受对现有参数尺寸进行改造。</w:t>
      </w:r>
      <w:r>
        <w:rPr>
          <w:rFonts w:ascii="宋体" w:hAnsi="宋体" w:cs="宋体"/>
          <w:color w:val="auto"/>
          <w:sz w:val="24"/>
          <w:szCs w:val="24"/>
        </w:rPr>
        <w:t xml:space="preserve"> </w:t>
      </w:r>
    </w:p>
    <w:p>
      <w:pPr>
        <w:numPr>
          <w:ilvl w:val="0"/>
          <w:numId w:val="6"/>
        </w:numPr>
        <w:adjustRightInd w:val="0"/>
        <w:snapToGrid w:val="0"/>
        <w:spacing w:line="460" w:lineRule="exact"/>
        <w:ind w:firstLine="480" w:firstLineChars="200"/>
        <w:rPr>
          <w:rFonts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单价为综合单价，指货物运到甲方指定地点的交货价，该价格包括但不限于：货物的生产、产品检验（含出厂及到货验收）、运输（含转运）、包装、装卸（含卸车费用）、指导安装调试运行</w:t>
      </w:r>
      <w:r>
        <w:rPr>
          <w:rFonts w:hint="eastAsia" w:ascii="宋体" w:hAnsi="宋体" w:cs="宋体"/>
          <w:b/>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p>
    <w:p>
      <w:pPr>
        <w:spacing w:line="460" w:lineRule="exact"/>
        <w:ind w:firstLine="480" w:firstLineChars="200"/>
        <w:rPr>
          <w:rFonts w:ascii="宋体" w:hAnsi="宋体" w:cs="宋体"/>
          <w:color w:val="auto"/>
          <w:sz w:val="24"/>
          <w:szCs w:val="24"/>
          <w:u w:val="single"/>
        </w:rPr>
      </w:pPr>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rPr>
        <w:t>有，合同签订后，乙方开具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2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highlight w:val="none"/>
          <w:u w:val="single"/>
        </w:rPr>
        <w:t>货物开箱</w:t>
      </w:r>
      <w:r>
        <w:rPr>
          <w:rFonts w:hint="eastAsia" w:ascii="宋体" w:hAnsi="宋体" w:cs="宋体"/>
          <w:color w:val="auto"/>
          <w:sz w:val="24"/>
          <w:szCs w:val="24"/>
        </w:rPr>
        <w:t>验收合格之日起</w:t>
      </w:r>
      <w:r>
        <w:rPr>
          <w:rFonts w:ascii="宋体" w:hAnsi="宋体" w:cs="宋体"/>
          <w:color w:val="auto"/>
          <w:sz w:val="24"/>
          <w:szCs w:val="24"/>
          <w:u w:val="single"/>
        </w:rPr>
        <w:t xml:space="preserve"> 1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djustRightInd w:val="0"/>
        <w:snapToGrid w:val="0"/>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rPr>
        <w:t>10</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1日支付违约金人民币1万元，超过7</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jc w:val="distribute"/>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发包通知书/成交通知书（如有）</w:t>
      </w:r>
    </w:p>
    <w:p>
      <w:pPr>
        <w:spacing w:line="460" w:lineRule="exact"/>
        <w:ind w:left="1200"/>
        <w:rPr>
          <w:rFonts w:ascii="宋体" w:hAnsi="宋体" w:cs="宋体"/>
          <w:color w:val="auto"/>
          <w:sz w:val="24"/>
          <w:szCs w:val="24"/>
        </w:rPr>
      </w:pPr>
      <w:r>
        <w:rPr>
          <w:rFonts w:hint="eastAsia" w:ascii="宋体" w:hAnsi="宋体" w:cs="宋体"/>
          <w:color w:val="auto"/>
          <w:sz w:val="24"/>
          <w:szCs w:val="24"/>
        </w:rPr>
        <w:t>2.廉洁协议</w:t>
      </w:r>
    </w:p>
    <w:p>
      <w:pPr>
        <w:spacing w:line="460" w:lineRule="exact"/>
        <w:ind w:firstLine="1200" w:firstLineChars="500"/>
        <w:rPr>
          <w:rFonts w:ascii="宋体" w:hAnsi="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rPr>
        <w:t>物品采购安全协议书（具体以安全办通知为准）</w:t>
      </w:r>
    </w:p>
    <w:p>
      <w:pPr>
        <w:spacing w:line="360" w:lineRule="auto"/>
        <w:ind w:firstLine="1200" w:firstLineChars="500"/>
        <w:rPr>
          <w:rFonts w:ascii="宋体" w:hAnsi="宋体" w:eastAsia="宋体" w:cs="宋体"/>
          <w:color w:val="auto"/>
          <w:kern w:val="0"/>
          <w:sz w:val="24"/>
          <w:szCs w:val="24"/>
        </w:rPr>
      </w:pPr>
      <w:r>
        <w:rPr>
          <w:rFonts w:hint="eastAsia" w:ascii="宋体" w:hAnsi="宋体" w:cs="宋体"/>
          <w:color w:val="auto"/>
          <w:sz w:val="24"/>
          <w:szCs w:val="24"/>
        </w:rPr>
        <w:t>4.</w:t>
      </w:r>
      <w:r>
        <w:rPr>
          <w:rFonts w:hint="eastAsia" w:ascii="宋体" w:hAnsi="宋体" w:cs="宋体"/>
          <w:color w:val="auto"/>
          <w:kern w:val="0"/>
          <w:sz w:val="24"/>
          <w:szCs w:val="24"/>
          <w:lang w:val="zh-CN"/>
        </w:rPr>
        <w:t>技术需求</w:t>
      </w:r>
    </w:p>
    <w:p>
      <w:pPr>
        <w:numPr>
          <w:ilvl w:val="255"/>
          <w:numId w:val="0"/>
        </w:numPr>
        <w:spacing w:line="460" w:lineRule="exact"/>
        <w:ind w:left="1200"/>
        <w:rPr>
          <w:rFonts w:ascii="宋体" w:hAnsi="宋体" w:cs="宋体"/>
          <w:color w:val="auto"/>
          <w:kern w:val="0"/>
          <w:sz w:val="24"/>
          <w:szCs w:val="24"/>
          <w:lang w:val="zh-CN"/>
        </w:rPr>
      </w:pPr>
    </w:p>
    <w:tbl>
      <w:tblPr>
        <w:tblStyle w:val="24"/>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rPr>
      </w:pPr>
    </w:p>
    <w:p>
      <w:pPr>
        <w:spacing w:line="276" w:lineRule="auto"/>
        <w:rPr>
          <w:rFonts w:hint="eastAsia" w:ascii="宋体" w:hAnsi="宋体"/>
          <w:b/>
          <w:color w:val="auto"/>
          <w:sz w:val="24"/>
          <w:lang w:val="en-US" w:eastAsia="zh-CN"/>
        </w:rPr>
      </w:pPr>
    </w:p>
    <w:p>
      <w:pPr>
        <w:spacing w:line="276" w:lineRule="auto"/>
        <w:rPr>
          <w:rFonts w:hint="eastAsia" w:ascii="宋体" w:hAnsi="宋体"/>
          <w:b/>
          <w:color w:val="auto"/>
          <w:sz w:val="24"/>
          <w:lang w:val="en-US" w:eastAsia="zh-CN"/>
        </w:rPr>
      </w:pPr>
      <w:r>
        <w:rPr>
          <w:rFonts w:hint="eastAsia" w:ascii="宋体" w:hAnsi="宋体"/>
          <w:b/>
          <w:color w:val="auto"/>
          <w:sz w:val="24"/>
          <w:lang w:val="en-US" w:eastAsia="zh-CN"/>
        </w:rPr>
        <w:t>附件1：</w:t>
      </w:r>
    </w:p>
    <w:p>
      <w:pPr>
        <w:spacing w:line="276" w:lineRule="auto"/>
        <w:rPr>
          <w:rFonts w:ascii="宋体" w:hAnsi="宋体"/>
          <w:b/>
          <w:color w:val="auto"/>
          <w:sz w:val="24"/>
        </w:rPr>
      </w:pPr>
      <w:r>
        <w:rPr>
          <w:rFonts w:hint="eastAsia" w:ascii="宋体" w:hAnsi="宋体"/>
          <w:b/>
          <w:color w:val="auto"/>
          <w:sz w:val="24"/>
        </w:rPr>
        <w:t>附件2：廉洁协议</w:t>
      </w:r>
    </w:p>
    <w:p>
      <w:pPr>
        <w:spacing w:line="360" w:lineRule="auto"/>
        <w:jc w:val="center"/>
        <w:rPr>
          <w:rFonts w:ascii="宋体" w:hAnsi="宋体" w:cs="仿宋_GB2312"/>
          <w:bCs/>
          <w:color w:val="auto"/>
          <w:sz w:val="24"/>
        </w:rPr>
      </w:pPr>
      <w:r>
        <w:rPr>
          <w:rFonts w:hint="eastAsia" w:ascii="宋体" w:hAnsi="宋体" w:cs="仿宋_GB2312"/>
          <w:bCs/>
          <w:color w:val="auto"/>
          <w:sz w:val="24"/>
        </w:rPr>
        <w:t>廉洁协议</w:t>
      </w:r>
    </w:p>
    <w:p>
      <w:pPr>
        <w:spacing w:line="520" w:lineRule="exact"/>
        <w:ind w:firstLine="540" w:firstLineChars="225"/>
        <w:rPr>
          <w:rFonts w:ascii="宋体" w:hAnsi="宋体" w:cs="仿宋_GB2312"/>
          <w:bCs/>
          <w:color w:val="auto"/>
          <w:sz w:val="24"/>
        </w:rPr>
      </w:pPr>
      <w:r>
        <w:rPr>
          <w:rFonts w:hint="eastAsia" w:ascii="宋体" w:hAnsi="宋体" w:cs="仿宋_GB2312"/>
          <w:bCs/>
          <w:color w:val="auto"/>
          <w:sz w:val="24"/>
        </w:rPr>
        <w:t>为促进双方诚信经营、廉洁从业，防范商业贿赂，保护国家、集体和当事人的合法权益，根据国家有关法律法规和广东省、广州市廉政建设的规定，</w:t>
      </w:r>
      <w:r>
        <w:rPr>
          <w:rFonts w:hint="eastAsia" w:ascii="宋体" w:hAnsi="宋体" w:cs="仿宋_GB2312"/>
          <w:bCs/>
          <w:color w:val="auto"/>
          <w:sz w:val="24"/>
          <w:u w:val="single"/>
        </w:rPr>
        <w:t>广州市净水有限公司</w:t>
      </w:r>
      <w:r>
        <w:rPr>
          <w:rFonts w:hint="eastAsia" w:ascii="宋体" w:hAnsi="宋体" w:cs="仿宋_GB2312"/>
          <w:bCs/>
          <w:color w:val="auto"/>
          <w:sz w:val="24"/>
        </w:rPr>
        <w:t>(以下称甲方)与</w:t>
      </w:r>
      <w:r>
        <w:rPr>
          <w:rFonts w:hint="eastAsia" w:ascii="宋体" w:hAnsi="宋体" w:cs="仿宋_GB2312"/>
          <w:bCs/>
          <w:color w:val="auto"/>
          <w:sz w:val="24"/>
          <w:u w:val="single"/>
        </w:rPr>
        <w:t xml:space="preserve">              </w:t>
      </w:r>
      <w:r>
        <w:rPr>
          <w:rFonts w:hint="eastAsia" w:ascii="宋体" w:hAnsi="宋体" w:cs="仿宋_GB2312"/>
          <w:bCs/>
          <w:color w:val="auto"/>
          <w:sz w:val="24"/>
        </w:rPr>
        <w:t>(以下称乙方)，特此订立本协议共同遵照执行。</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第一条 甲乙双方的权利和义务</w:t>
      </w:r>
    </w:p>
    <w:p>
      <w:pPr>
        <w:spacing w:line="520" w:lineRule="exact"/>
        <w:ind w:firstLine="360" w:firstLineChars="150"/>
        <w:rPr>
          <w:rFonts w:ascii="宋体" w:hAnsi="宋体" w:cs="仿宋_GB2312"/>
          <w:bCs/>
          <w:color w:val="auto"/>
          <w:sz w:val="24"/>
        </w:rPr>
      </w:pPr>
      <w:r>
        <w:rPr>
          <w:rFonts w:hint="eastAsia" w:ascii="宋体" w:hAnsi="宋体" w:cs="仿宋_GB2312"/>
          <w:bCs/>
          <w:color w:val="auto"/>
          <w:sz w:val="24"/>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cs="仿宋_GB2312"/>
          <w:bCs/>
          <w:color w:val="auto"/>
          <w:sz w:val="24"/>
        </w:rPr>
      </w:pPr>
      <w:r>
        <w:rPr>
          <w:rFonts w:hint="eastAsia" w:ascii="宋体" w:hAnsi="宋体" w:cs="仿宋_GB2312"/>
          <w:bCs/>
          <w:color w:val="auto"/>
          <w:sz w:val="24"/>
        </w:rPr>
        <w:t>（二）严格执行</w:t>
      </w:r>
      <w:r>
        <w:rPr>
          <w:rFonts w:hint="eastAsia" w:ascii="宋体" w:hAnsi="宋体" w:cs="宋体"/>
          <w:color w:val="auto"/>
          <w:sz w:val="24"/>
          <w:szCs w:val="24"/>
          <w:u w:val="single"/>
          <w:lang w:val="en-US" w:eastAsia="zh-CN"/>
        </w:rPr>
        <w:t>合同名称+合同编号</w:t>
      </w:r>
      <w:r>
        <w:rPr>
          <w:rFonts w:hint="eastAsia" w:ascii="宋体" w:hAnsi="宋体" w:cs="仿宋_GB2312"/>
          <w:bCs/>
          <w:color w:val="auto"/>
          <w:sz w:val="24"/>
        </w:rPr>
        <w:t>合同（以下简称：主合同），自觉履行合同约定的相关义务。</w:t>
      </w:r>
    </w:p>
    <w:p>
      <w:pPr>
        <w:spacing w:line="520" w:lineRule="exact"/>
        <w:ind w:firstLine="360" w:firstLineChars="150"/>
        <w:rPr>
          <w:rFonts w:ascii="宋体" w:hAnsi="宋体" w:cs="仿宋_GB2312"/>
          <w:bCs/>
          <w:color w:val="auto"/>
          <w:sz w:val="24"/>
        </w:rPr>
      </w:pPr>
      <w:r>
        <w:rPr>
          <w:rFonts w:hint="eastAsia" w:ascii="宋体" w:hAnsi="宋体" w:cs="仿宋_GB2312"/>
          <w:bCs/>
          <w:color w:val="auto"/>
          <w:sz w:val="24"/>
        </w:rPr>
        <w:t>（三）在业务活动中坚持公开、公正、诚信、透明的原则，不得损害国家、集体利益。</w:t>
      </w:r>
    </w:p>
    <w:p>
      <w:pPr>
        <w:spacing w:line="520" w:lineRule="exact"/>
        <w:ind w:firstLine="360" w:firstLineChars="150"/>
        <w:rPr>
          <w:rFonts w:ascii="宋体" w:hAnsi="宋体" w:cs="仿宋_GB2312"/>
          <w:bCs/>
          <w:color w:val="auto"/>
          <w:sz w:val="24"/>
        </w:rPr>
      </w:pPr>
      <w:r>
        <w:rPr>
          <w:rFonts w:hint="eastAsia" w:ascii="宋体" w:hAnsi="宋体" w:cs="仿宋_GB2312"/>
          <w:bCs/>
          <w:color w:val="auto"/>
          <w:sz w:val="24"/>
        </w:rPr>
        <w:t>（四）建立健全廉洁从业制度，开展廉洁教育，公布举报电话，监督并认真查处不廉洁及违法违纪行为。</w:t>
      </w:r>
    </w:p>
    <w:p>
      <w:pPr>
        <w:spacing w:line="520" w:lineRule="exact"/>
        <w:ind w:firstLine="360" w:firstLineChars="150"/>
        <w:rPr>
          <w:rFonts w:ascii="宋体" w:hAnsi="宋体" w:cs="仿宋_GB2312"/>
          <w:bCs/>
          <w:color w:val="auto"/>
          <w:sz w:val="24"/>
        </w:rPr>
      </w:pPr>
      <w:r>
        <w:rPr>
          <w:rFonts w:hint="eastAsia" w:ascii="宋体" w:hAnsi="宋体" w:cs="仿宋_GB2312"/>
          <w:bCs/>
          <w:color w:val="auto"/>
          <w:sz w:val="24"/>
        </w:rPr>
        <w:t>（五）发现对方在业务活动中有不廉洁行为，应及时提醒对方纠正。情节严重的，应向其有关监督部门检举。</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第二条甲方的义务</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cs="仿宋_GB2312"/>
          <w:bCs/>
          <w:color w:val="auto"/>
          <w:sz w:val="24"/>
        </w:rPr>
      </w:pPr>
      <w:r>
        <w:rPr>
          <w:rFonts w:hint="eastAsia" w:ascii="宋体" w:hAnsi="宋体" w:cs="仿宋_GB2312"/>
          <w:bCs/>
          <w:color w:val="auto"/>
          <w:sz w:val="24"/>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cs="仿宋_GB2312"/>
          <w:bCs/>
          <w:color w:val="auto"/>
          <w:sz w:val="24"/>
        </w:rPr>
      </w:pPr>
      <w:r>
        <w:rPr>
          <w:rFonts w:hint="eastAsia" w:ascii="宋体" w:hAnsi="宋体" w:cs="仿宋_GB2312"/>
          <w:bCs/>
          <w:color w:val="auto"/>
          <w:sz w:val="24"/>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cs="仿宋_GB2312"/>
          <w:bCs/>
          <w:color w:val="auto"/>
          <w:sz w:val="24"/>
        </w:rPr>
      </w:pPr>
      <w:r>
        <w:rPr>
          <w:rFonts w:hint="eastAsia" w:ascii="宋体" w:hAnsi="宋体" w:cs="仿宋_GB2312"/>
          <w:bCs/>
          <w:color w:val="auto"/>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cs="仿宋_GB2312"/>
          <w:bCs/>
          <w:color w:val="auto"/>
          <w:sz w:val="24"/>
        </w:rPr>
      </w:pPr>
      <w:r>
        <w:rPr>
          <w:rFonts w:hint="eastAsia" w:ascii="宋体" w:hAnsi="宋体" w:cs="仿宋_GB2312"/>
          <w:bCs/>
          <w:color w:val="auto"/>
          <w:sz w:val="24"/>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cs="仿宋_GB2312"/>
          <w:bCs/>
          <w:color w:val="auto"/>
          <w:sz w:val="24"/>
        </w:rPr>
      </w:pPr>
      <w:r>
        <w:rPr>
          <w:rFonts w:hint="eastAsia" w:ascii="宋体" w:hAnsi="宋体" w:cs="仿宋_GB2312"/>
          <w:bCs/>
          <w:color w:val="auto"/>
          <w:sz w:val="24"/>
        </w:rPr>
        <w:t>（七）甲方工作人员不得接受乙方给予或赠送的干股或红利。</w:t>
      </w:r>
    </w:p>
    <w:p>
      <w:pPr>
        <w:spacing w:line="520" w:lineRule="exact"/>
        <w:ind w:left="15" w:leftChars="7" w:firstLine="480" w:firstLineChars="200"/>
        <w:rPr>
          <w:rFonts w:ascii="宋体" w:hAnsi="宋体" w:cs="仿宋_GB2312"/>
          <w:bCs/>
          <w:color w:val="auto"/>
          <w:sz w:val="24"/>
        </w:rPr>
      </w:pPr>
      <w:r>
        <w:rPr>
          <w:rFonts w:hint="eastAsia" w:ascii="宋体" w:hAnsi="宋体" w:cs="仿宋_GB2312"/>
          <w:bCs/>
          <w:color w:val="auto"/>
          <w:sz w:val="24"/>
        </w:rPr>
        <w:t>(八）不得存在其他违反廉洁规定的行为。</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第三条乙方的义务</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（一）乙方不得以任何理由向甲方及其工作人员行贿或馈赠礼金、有价证券、贵重礼品。</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（二)乙方不得以任何名义为甲方及其工作人员报销应由甲方单位或个人支付的任何费用。</w:t>
      </w:r>
    </w:p>
    <w:p>
      <w:pPr>
        <w:spacing w:line="520" w:lineRule="exact"/>
        <w:ind w:left="25" w:leftChars="12" w:firstLine="480" w:firstLineChars="200"/>
        <w:rPr>
          <w:rFonts w:ascii="宋体" w:hAnsi="宋体" w:cs="仿宋_GB2312"/>
          <w:bCs/>
          <w:color w:val="auto"/>
          <w:sz w:val="24"/>
        </w:rPr>
      </w:pPr>
      <w:r>
        <w:rPr>
          <w:rFonts w:hint="eastAsia" w:ascii="宋体" w:hAnsi="宋体" w:cs="仿宋_GB2312"/>
          <w:bCs/>
          <w:color w:val="auto"/>
          <w:sz w:val="24"/>
        </w:rPr>
        <w:t>（三）乙方不得以任何理由安排甲方工作人员参加可能影响相关业务公开、公正、公平性的宴请及娱乐活动。</w:t>
      </w:r>
    </w:p>
    <w:p>
      <w:pPr>
        <w:pStyle w:val="16"/>
        <w:spacing w:line="520" w:lineRule="exact"/>
        <w:rPr>
          <w:rFonts w:ascii="宋体" w:hAnsi="宋体" w:cs="仿宋_GB2312"/>
          <w:bCs/>
          <w:color w:val="auto"/>
          <w:sz w:val="24"/>
        </w:rPr>
      </w:pPr>
      <w:r>
        <w:rPr>
          <w:rFonts w:hint="eastAsia" w:ascii="宋体" w:hAnsi="宋体" w:cs="仿宋_GB2312"/>
          <w:bCs/>
          <w:color w:val="auto"/>
          <w:sz w:val="24"/>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（五）乙方不得擅自与甲方工作人员就主合同中的质量、数量、价格、工程量、验收等条款进行私下商谈或者达成默契。</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（六）乙方不得以回扣、手续费、加班费、咨询费、劳务费、协调费、辛苦费等各种名义向甲方工作人员给予或赠送钱物。</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（七）乙方不得向甲方工作人员提供干股或红利。</w:t>
      </w:r>
    </w:p>
    <w:p>
      <w:pPr>
        <w:spacing w:line="520" w:lineRule="exact"/>
        <w:ind w:left="15" w:leftChars="7" w:firstLine="480" w:firstLineChars="200"/>
        <w:rPr>
          <w:rFonts w:ascii="宋体" w:hAnsi="宋体" w:cs="仿宋_GB2312"/>
          <w:bCs/>
          <w:color w:val="auto"/>
          <w:sz w:val="24"/>
        </w:rPr>
      </w:pPr>
      <w:r>
        <w:rPr>
          <w:rFonts w:hint="eastAsia" w:ascii="宋体" w:hAnsi="宋体" w:cs="仿宋_GB2312"/>
          <w:bCs/>
          <w:color w:val="auto"/>
          <w:sz w:val="24"/>
        </w:rPr>
        <w:t>(八）不得存在其他违反廉洁规定的行为。</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第四条违约责任</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甲方举报投诉联系部门：广州市净水有限公司</w:t>
      </w:r>
      <w:r>
        <w:rPr>
          <w:rFonts w:hint="eastAsia" w:ascii="宋体" w:hAnsi="宋体" w:cs="仿宋_GB2312"/>
          <w:bCs/>
          <w:color w:val="auto"/>
          <w:sz w:val="24"/>
          <w:u w:val="single"/>
        </w:rPr>
        <w:t>纪检室</w:t>
      </w:r>
      <w:r>
        <w:rPr>
          <w:rFonts w:hint="eastAsia" w:ascii="宋体" w:hAnsi="宋体" w:cs="仿宋_GB2312"/>
          <w:bCs/>
          <w:color w:val="auto"/>
          <w:sz w:val="24"/>
        </w:rPr>
        <w:t>，联系电话：</w:t>
      </w:r>
      <w:r>
        <w:rPr>
          <w:rFonts w:hint="eastAsia" w:ascii="宋体" w:hAnsi="宋体" w:cs="仿宋_GB2312"/>
          <w:bCs/>
          <w:color w:val="auto"/>
          <w:sz w:val="24"/>
          <w:u w:val="single"/>
        </w:rPr>
        <w:t xml:space="preserve"> 020-38890265 </w:t>
      </w:r>
      <w:r>
        <w:rPr>
          <w:rFonts w:hint="eastAsia" w:ascii="宋体" w:hAnsi="宋体" w:cs="仿宋_GB2312"/>
          <w:bCs/>
          <w:color w:val="auto"/>
          <w:sz w:val="24"/>
        </w:rPr>
        <w:t>。</w:t>
      </w:r>
    </w:p>
    <w:p>
      <w:pPr>
        <w:pStyle w:val="22"/>
        <w:spacing w:beforeAutospacing="0" w:line="520" w:lineRule="exact"/>
        <w:rPr>
          <w:rFonts w:cs="仿宋_GB2312"/>
          <w:bCs/>
          <w:color w:val="auto"/>
        </w:rPr>
      </w:pPr>
      <w:r>
        <w:rPr>
          <w:rFonts w:hint="eastAsia" w:cs="仿宋_GB2312"/>
          <w:bCs/>
          <w:color w:val="auto"/>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beforeAutospacing="0" w:line="520" w:lineRule="exact"/>
        <w:rPr>
          <w:rFonts w:cs="仿宋_GB2312"/>
          <w:bCs/>
          <w:color w:val="auto"/>
        </w:rPr>
      </w:pPr>
      <w:r>
        <w:rPr>
          <w:rFonts w:hint="eastAsia" w:cs="仿宋_GB2312"/>
          <w:bCs/>
          <w:color w:val="auto"/>
        </w:rPr>
        <w:t>1、扣除主合同的全部履约保证金；</w:t>
      </w:r>
    </w:p>
    <w:p>
      <w:pPr>
        <w:pStyle w:val="22"/>
        <w:spacing w:beforeAutospacing="0" w:line="520" w:lineRule="exact"/>
        <w:rPr>
          <w:rFonts w:cs="仿宋_GB2312"/>
          <w:bCs/>
          <w:color w:val="auto"/>
        </w:rPr>
      </w:pPr>
      <w:r>
        <w:rPr>
          <w:rFonts w:hint="eastAsia" w:cs="仿宋_GB2312"/>
          <w:bCs/>
          <w:color w:val="auto"/>
        </w:rPr>
        <w:t>2、解除主合同；</w:t>
      </w:r>
    </w:p>
    <w:p>
      <w:pPr>
        <w:pStyle w:val="22"/>
        <w:spacing w:beforeAutospacing="0" w:line="520" w:lineRule="exact"/>
        <w:rPr>
          <w:rFonts w:cs="仿宋_GB2312"/>
          <w:bCs/>
          <w:color w:val="auto"/>
        </w:rPr>
      </w:pPr>
      <w:r>
        <w:rPr>
          <w:rFonts w:hint="eastAsia" w:cs="仿宋_GB2312"/>
          <w:bCs/>
          <w:color w:val="auto"/>
        </w:rPr>
        <w:t>3、追究乙方其他违约责任；</w:t>
      </w:r>
    </w:p>
    <w:p>
      <w:pPr>
        <w:pStyle w:val="22"/>
        <w:spacing w:beforeAutospacing="0" w:line="520" w:lineRule="exact"/>
        <w:rPr>
          <w:rFonts w:cs="仿宋_GB2312"/>
          <w:bCs/>
          <w:color w:val="auto"/>
        </w:rPr>
      </w:pPr>
      <w:r>
        <w:rPr>
          <w:rFonts w:hint="eastAsia" w:cs="仿宋_GB2312"/>
          <w:bCs/>
          <w:color w:val="auto"/>
        </w:rPr>
        <w:t>4、根据甲方的有关规章制度，在一定时间内暂停乙方参与甲方及下属单位所有项目的交易资格；</w:t>
      </w:r>
    </w:p>
    <w:p>
      <w:pPr>
        <w:pStyle w:val="22"/>
        <w:spacing w:beforeAutospacing="0" w:line="520" w:lineRule="exact"/>
        <w:rPr>
          <w:rFonts w:cs="仿宋_GB2312"/>
          <w:bCs/>
          <w:color w:val="auto"/>
        </w:rPr>
      </w:pPr>
      <w:r>
        <w:rPr>
          <w:rFonts w:hint="eastAsia" w:cs="仿宋_GB2312"/>
          <w:bCs/>
          <w:color w:val="auto"/>
        </w:rPr>
        <w:t>5、根据甲方的有关规章制度，将乙方清退出甲方相关企业库；</w:t>
      </w:r>
    </w:p>
    <w:p>
      <w:pPr>
        <w:pStyle w:val="22"/>
        <w:spacing w:beforeAutospacing="0" w:line="520" w:lineRule="exact"/>
        <w:rPr>
          <w:rFonts w:cs="仿宋_GB2312"/>
          <w:bCs/>
          <w:color w:val="auto"/>
        </w:rPr>
      </w:pPr>
      <w:r>
        <w:rPr>
          <w:rFonts w:hint="eastAsia" w:cs="仿宋_GB2312"/>
          <w:bCs/>
          <w:color w:val="auto"/>
        </w:rPr>
        <w:t>6、根据甲方上级单位、行政主管部门的意见、决定执行；</w:t>
      </w:r>
    </w:p>
    <w:p>
      <w:pPr>
        <w:pStyle w:val="22"/>
        <w:spacing w:beforeAutospacing="0" w:line="520" w:lineRule="exact"/>
        <w:rPr>
          <w:rFonts w:cs="仿宋_GB2312"/>
          <w:bCs/>
          <w:color w:val="auto"/>
        </w:rPr>
      </w:pPr>
      <w:r>
        <w:rPr>
          <w:rFonts w:hint="eastAsia" w:cs="仿宋_GB2312"/>
          <w:bCs/>
          <w:color w:val="auto"/>
        </w:rPr>
        <w:t>7、按规定向有关行政监督部门、乙方业务管理部门进行投诉、报告。</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cs="仿宋_GB2312"/>
          <w:bCs/>
          <w:color w:val="auto"/>
          <w:kern w:val="0"/>
          <w:sz w:val="24"/>
        </w:rPr>
      </w:pPr>
      <w:r>
        <w:rPr>
          <w:rFonts w:hint="eastAsia" w:ascii="宋体" w:hAnsi="宋体" w:cs="仿宋_GB2312"/>
          <w:bCs/>
          <w:color w:val="auto"/>
          <w:sz w:val="24"/>
        </w:rPr>
        <w:t xml:space="preserve">第五条 </w:t>
      </w:r>
      <w:r>
        <w:rPr>
          <w:rFonts w:hint="eastAsia" w:ascii="宋体" w:hAnsi="宋体" w:cs="仿宋_GB2312"/>
          <w:bCs/>
          <w:color w:val="auto"/>
          <w:kern w:val="0"/>
          <w:sz w:val="24"/>
        </w:rPr>
        <w:t xml:space="preserve">本协议执行情况，接受有管辖权的纪检、监察部门的监督，双方应予以配合检查调查。 </w:t>
      </w:r>
    </w:p>
    <w:p>
      <w:pPr>
        <w:spacing w:line="520" w:lineRule="exact"/>
        <w:ind w:firstLine="480" w:firstLineChars="200"/>
        <w:rPr>
          <w:rFonts w:ascii="宋体" w:hAnsi="宋体" w:cs="仿宋_GB2312"/>
          <w:bCs/>
          <w:color w:val="auto"/>
          <w:sz w:val="24"/>
        </w:rPr>
      </w:pPr>
      <w:r>
        <w:rPr>
          <w:rFonts w:hint="eastAsia" w:ascii="宋体" w:hAnsi="宋体" w:cs="仿宋_GB2312"/>
          <w:bCs/>
          <w:color w:val="auto"/>
          <w:sz w:val="24"/>
        </w:rPr>
        <w:t>第六条本协议作为</w:t>
      </w:r>
      <w:r>
        <w:rPr>
          <w:rFonts w:hint="eastAsia" w:ascii="宋体" w:hAnsi="宋体" w:cs="宋体"/>
          <w:color w:val="auto"/>
          <w:sz w:val="24"/>
          <w:szCs w:val="24"/>
          <w:u w:val="single"/>
          <w:lang w:val="en-US" w:eastAsia="zh-CN"/>
        </w:rPr>
        <w:t>同名称+合同编号</w:t>
      </w:r>
      <w:r>
        <w:rPr>
          <w:rFonts w:hint="eastAsia" w:ascii="宋体" w:hAnsi="宋体" w:cs="仿宋_GB2312"/>
          <w:bCs/>
          <w:color w:val="auto"/>
          <w:sz w:val="24"/>
        </w:rPr>
        <w:t>合同的附件，并具有同等的法律效力，本协议自双方签字盖章之日起生效，与主合同同时终止。</w:t>
      </w:r>
    </w:p>
    <w:p>
      <w:pPr>
        <w:spacing w:line="520" w:lineRule="exact"/>
        <w:rPr>
          <w:rFonts w:ascii="宋体" w:hAnsi="宋体" w:cs="仿宋_GB2312"/>
          <w:bCs/>
          <w:color w:val="auto"/>
          <w:sz w:val="24"/>
        </w:rPr>
      </w:pPr>
    </w:p>
    <w:p>
      <w:pPr>
        <w:spacing w:line="520" w:lineRule="exact"/>
        <w:rPr>
          <w:rFonts w:ascii="宋体" w:hAnsi="宋体" w:cs="仿宋_GB2312"/>
          <w:bCs/>
          <w:color w:val="auto"/>
          <w:sz w:val="24"/>
        </w:rPr>
      </w:pPr>
      <w:r>
        <w:rPr>
          <w:rFonts w:hint="eastAsia" w:ascii="宋体" w:hAnsi="宋体" w:cs="仿宋_GB2312"/>
          <w:bCs/>
          <w:color w:val="auto"/>
          <w:sz w:val="24"/>
        </w:rPr>
        <w:t>甲方（盖章）：                     乙方（盖章）：</w:t>
      </w:r>
    </w:p>
    <w:p>
      <w:pPr>
        <w:pStyle w:val="35"/>
        <w:tabs>
          <w:tab w:val="left" w:pos="5100"/>
        </w:tabs>
        <w:spacing w:line="520" w:lineRule="exact"/>
        <w:ind w:left="7200" w:firstLine="0" w:firstLineChars="0"/>
        <w:jc w:val="left"/>
        <w:rPr>
          <w:rFonts w:ascii="宋体" w:hAnsi="宋体" w:cs="仿宋_GB2312"/>
          <w:bCs/>
          <w:color w:val="auto"/>
          <w:sz w:val="24"/>
        </w:rPr>
      </w:pPr>
    </w:p>
    <w:p>
      <w:pPr>
        <w:tabs>
          <w:tab w:val="left" w:pos="5100"/>
        </w:tabs>
        <w:spacing w:line="520" w:lineRule="exact"/>
        <w:ind w:left="7200" w:hanging="7200" w:hangingChars="3000"/>
        <w:rPr>
          <w:rFonts w:ascii="宋体" w:hAnsi="宋体" w:cs="仿宋_GB2312"/>
          <w:bCs/>
          <w:color w:val="auto"/>
          <w:sz w:val="24"/>
        </w:rPr>
      </w:pPr>
      <w:r>
        <w:rPr>
          <w:rFonts w:hint="eastAsia" w:ascii="宋体" w:hAnsi="宋体" w:cs="仿宋_GB2312"/>
          <w:bCs/>
          <w:color w:val="auto"/>
          <w:sz w:val="24"/>
        </w:rPr>
        <w:t>签约代表：                         签约代表：</w:t>
      </w:r>
    </w:p>
    <w:p>
      <w:pPr>
        <w:tabs>
          <w:tab w:val="left" w:pos="4170"/>
        </w:tabs>
        <w:spacing w:line="520" w:lineRule="exact"/>
        <w:rPr>
          <w:rFonts w:ascii="宋体" w:hAnsi="宋体"/>
          <w:color w:val="auto"/>
          <w:sz w:val="24"/>
        </w:rPr>
        <w:sectPr>
          <w:headerReference r:id="rId11" w:type="default"/>
          <w:footerReference r:id="rId12" w:type="default"/>
          <w:pgSz w:w="11906" w:h="16838"/>
          <w:pgMar w:top="1089" w:right="1466" w:bottom="1089" w:left="1077" w:header="851" w:footer="992" w:gutter="0"/>
          <w:cols w:space="720" w:num="1"/>
          <w:docGrid w:type="lines" w:linePitch="312" w:charSpace="0"/>
        </w:sectPr>
      </w:pPr>
      <w:r>
        <w:rPr>
          <w:rFonts w:hint="eastAsia" w:ascii="宋体" w:hAnsi="宋体" w:cs="仿宋_GB2312"/>
          <w:bCs/>
          <w:color w:val="auto"/>
          <w:sz w:val="24"/>
        </w:rPr>
        <w:t>日期:    年  月  日</w:t>
      </w:r>
      <w:r>
        <w:rPr>
          <w:rFonts w:hint="eastAsia" w:ascii="宋体" w:hAnsi="宋体" w:cs="仿宋_GB2312"/>
          <w:bCs/>
          <w:color w:val="auto"/>
          <w:sz w:val="24"/>
        </w:rPr>
        <w:tab/>
      </w:r>
      <w:r>
        <w:rPr>
          <w:rFonts w:hint="eastAsia" w:ascii="宋体" w:hAnsi="宋体" w:cs="仿宋_GB2312"/>
          <w:bCs/>
          <w:color w:val="auto"/>
          <w:sz w:val="24"/>
        </w:rPr>
        <w:t>日期：  年  月  日</w:t>
      </w:r>
    </w:p>
    <w:p>
      <w:pPr>
        <w:spacing w:line="560" w:lineRule="exact"/>
        <w:rPr>
          <w:rFonts w:ascii="宋体"/>
          <w:b/>
          <w:color w:val="auto"/>
          <w:sz w:val="24"/>
        </w:rPr>
      </w:pPr>
      <w:r>
        <w:rPr>
          <w:rFonts w:hint="eastAsia" w:ascii="宋体" w:hAnsi="宋体"/>
          <w:b/>
          <w:color w:val="auto"/>
          <w:sz w:val="24"/>
        </w:rPr>
        <w:t>附件3：安全协议书</w:t>
      </w:r>
    </w:p>
    <w:p>
      <w:pPr>
        <w:spacing w:line="560" w:lineRule="exact"/>
        <w:jc w:val="center"/>
        <w:rPr>
          <w:rFonts w:ascii="黑体" w:hAnsi="宋体" w:eastAsia="黑体" w:cs="宋体"/>
          <w:bCs/>
          <w:color w:val="auto"/>
          <w:kern w:val="0"/>
          <w:sz w:val="44"/>
          <w:szCs w:val="44"/>
        </w:rPr>
      </w:pPr>
      <w:r>
        <w:rPr>
          <w:rFonts w:hint="eastAsia" w:ascii="黑体" w:hAnsi="宋体" w:eastAsia="黑体" w:cs="宋体"/>
          <w:bCs/>
          <w:color w:val="auto"/>
          <w:kern w:val="0"/>
          <w:sz w:val="44"/>
          <w:szCs w:val="44"/>
        </w:rPr>
        <w:t>物品采购</w:t>
      </w:r>
      <w:r>
        <w:rPr>
          <w:rFonts w:hint="eastAsia" w:ascii="黑体" w:hAnsi="Batang" w:eastAsia="黑体" w:cs="Batang"/>
          <w:bCs/>
          <w:color w:val="auto"/>
          <w:kern w:val="0"/>
          <w:sz w:val="44"/>
          <w:szCs w:val="44"/>
        </w:rPr>
        <w:t>安全协议</w:t>
      </w:r>
      <w:r>
        <w:rPr>
          <w:rFonts w:hint="eastAsia" w:ascii="黑体" w:hAnsi="宋体" w:eastAsia="黑体" w:cs="宋体"/>
          <w:bCs/>
          <w:color w:val="auto"/>
          <w:kern w:val="0"/>
          <w:sz w:val="44"/>
          <w:szCs w:val="44"/>
        </w:rPr>
        <w:t>书</w:t>
      </w:r>
    </w:p>
    <w:p>
      <w:pPr>
        <w:spacing w:line="560" w:lineRule="exact"/>
        <w:rPr>
          <w:rFonts w:ascii="宋体" w:hAnsi="宋体" w:cs="Arial"/>
          <w:color w:val="auto"/>
          <w:kern w:val="0"/>
          <w:sz w:val="24"/>
        </w:rPr>
      </w:pPr>
    </w:p>
    <w:p>
      <w:pPr>
        <w:spacing w:line="560" w:lineRule="exact"/>
        <w:rPr>
          <w:rFonts w:ascii="宋体" w:hAnsi="宋体" w:cs="Arial"/>
          <w:color w:val="auto"/>
          <w:kern w:val="0"/>
          <w:sz w:val="24"/>
        </w:rPr>
      </w:pPr>
      <w:r>
        <w:rPr>
          <w:rFonts w:hint="eastAsia" w:ascii="宋体" w:hAnsi="宋体" w:cs="Arial"/>
          <w:color w:val="auto"/>
          <w:kern w:val="0"/>
          <w:sz w:val="24"/>
        </w:rPr>
        <w:t>甲方：</w:t>
      </w:r>
      <w:r>
        <w:rPr>
          <w:rFonts w:hint="eastAsia"/>
          <w:color w:val="auto"/>
          <w:sz w:val="24"/>
        </w:rPr>
        <w:t>广州市净水有限公司</w:t>
      </w:r>
    </w:p>
    <w:p>
      <w:pPr>
        <w:spacing w:line="560" w:lineRule="exact"/>
        <w:rPr>
          <w:rFonts w:ascii="宋体" w:hAnsi="宋体" w:cs="Arial"/>
          <w:color w:val="auto"/>
          <w:kern w:val="0"/>
          <w:sz w:val="24"/>
        </w:rPr>
      </w:pPr>
      <w:r>
        <w:rPr>
          <w:rFonts w:hint="eastAsia" w:ascii="宋体" w:hAnsi="宋体" w:cs="Arial"/>
          <w:color w:val="auto"/>
          <w:kern w:val="0"/>
          <w:sz w:val="24"/>
        </w:rPr>
        <w:t xml:space="preserve">乙方： </w:t>
      </w:r>
    </w:p>
    <w:p>
      <w:pPr>
        <w:spacing w:line="560" w:lineRule="exact"/>
        <w:rPr>
          <w:rFonts w:ascii="宋体" w:hAnsi="宋体" w:cs="Arial"/>
          <w:color w:val="auto"/>
          <w:kern w:val="0"/>
          <w:sz w:val="24"/>
        </w:rPr>
      </w:pPr>
    </w:p>
    <w:p>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为加强物品采购过程安全管理，根据《中华人民共和国安全生产法》、《生产安全事故报告和调查处理条例》等国家及地方有关安全生产法律法规</w:t>
      </w:r>
      <w:r>
        <w:rPr>
          <w:rFonts w:ascii="宋体" w:hAnsi="宋体" w:cs="Arial"/>
          <w:color w:val="auto"/>
          <w:kern w:val="0"/>
          <w:sz w:val="24"/>
        </w:rPr>
        <w:t>，甲乙双方就</w:t>
      </w:r>
      <w:r>
        <w:rPr>
          <w:rFonts w:hint="eastAsia" w:ascii="宋体" w:hAnsi="宋体" w:cs="Arial"/>
          <w:color w:val="auto"/>
          <w:kern w:val="0"/>
          <w:sz w:val="24"/>
        </w:rPr>
        <w:t>物品采购的安全</w:t>
      </w:r>
      <w:r>
        <w:rPr>
          <w:rFonts w:ascii="宋体" w:hAnsi="宋体" w:cs="Arial"/>
          <w:color w:val="auto"/>
          <w:kern w:val="0"/>
          <w:sz w:val="24"/>
        </w:rPr>
        <w:t>事宜，</w:t>
      </w:r>
      <w:r>
        <w:rPr>
          <w:rFonts w:ascii="宋体" w:hAnsi="宋体" w:cs="Arial"/>
          <w:color w:val="auto"/>
          <w:sz w:val="24"/>
        </w:rPr>
        <w:t>经双方友好协商，达成如下协议</w:t>
      </w:r>
      <w:r>
        <w:rPr>
          <w:rFonts w:ascii="宋体" w:hAnsi="宋体" w:cs="Arial"/>
          <w:color w:val="auto"/>
          <w:kern w:val="0"/>
          <w:sz w:val="24"/>
        </w:rPr>
        <w:t>。</w:t>
      </w:r>
    </w:p>
    <w:p>
      <w:pPr>
        <w:adjustRightInd w:val="0"/>
        <w:snapToGrid w:val="0"/>
        <w:spacing w:line="560" w:lineRule="exact"/>
        <w:ind w:firstLine="482" w:firstLineChars="200"/>
        <w:jc w:val="left"/>
        <w:rPr>
          <w:rFonts w:ascii="宋体" w:hAnsi="宋体" w:eastAsia="宋体"/>
          <w:b/>
          <w:color w:val="auto"/>
          <w:sz w:val="24"/>
        </w:rPr>
      </w:pPr>
      <w:r>
        <w:rPr>
          <w:rFonts w:hint="eastAsia" w:ascii="宋体" w:hAnsi="宋体" w:eastAsia="宋体"/>
          <w:b/>
          <w:color w:val="auto"/>
          <w:sz w:val="24"/>
        </w:rPr>
        <w:t>一、本协议与主合同的关系</w:t>
      </w:r>
    </w:p>
    <w:p>
      <w:pPr>
        <w:adjustRightInd w:val="0"/>
        <w:snapToGrid w:val="0"/>
        <w:spacing w:line="560" w:lineRule="exact"/>
        <w:ind w:firstLine="480" w:firstLineChars="200"/>
        <w:jc w:val="left"/>
        <w:rPr>
          <w:rFonts w:ascii="宋体" w:hAnsi="宋体" w:eastAsia="宋体"/>
          <w:color w:val="auto"/>
          <w:sz w:val="24"/>
        </w:rPr>
      </w:pPr>
      <w:r>
        <w:rPr>
          <w:rFonts w:hint="eastAsia" w:ascii="宋体" w:hAnsi="宋体" w:eastAsia="宋体"/>
          <w:color w:val="auto"/>
          <w:sz w:val="24"/>
        </w:rPr>
        <w:t>本协议作为</w:t>
      </w:r>
      <w:r>
        <w:rPr>
          <w:rFonts w:hint="eastAsia" w:ascii="宋体" w:hAnsi="宋体" w:eastAsia="宋体"/>
          <w:color w:val="auto"/>
          <w:sz w:val="24"/>
          <w:u w:val="single"/>
        </w:rPr>
        <w:t xml:space="preserve">                          </w:t>
      </w:r>
      <w:r>
        <w:rPr>
          <w:rFonts w:hint="eastAsia" w:ascii="宋体" w:hAnsi="宋体" w:eastAsia="宋体"/>
          <w:color w:val="auto"/>
          <w:sz w:val="24"/>
        </w:rPr>
        <w:t>的组成部分，与主合同具有同等法律效力。</w:t>
      </w:r>
    </w:p>
    <w:p>
      <w:pPr>
        <w:spacing w:line="560" w:lineRule="exact"/>
        <w:ind w:firstLine="482" w:firstLineChars="200"/>
        <w:rPr>
          <w:rFonts w:ascii="宋体" w:hAnsi="宋体" w:cs="Arial"/>
          <w:b/>
          <w:color w:val="auto"/>
          <w:kern w:val="0"/>
          <w:sz w:val="24"/>
        </w:rPr>
      </w:pPr>
      <w:r>
        <w:rPr>
          <w:rFonts w:hint="eastAsia" w:ascii="宋体" w:hAnsi="宋体" w:cs="Arial"/>
          <w:b/>
          <w:color w:val="auto"/>
          <w:kern w:val="0"/>
          <w:sz w:val="24"/>
        </w:rPr>
        <w:t>二、甲方权责</w:t>
      </w:r>
    </w:p>
    <w:p>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（五）告知乙方在甲方应当遵守的安全管理要求。</w:t>
      </w:r>
    </w:p>
    <w:p>
      <w:pPr>
        <w:spacing w:line="560" w:lineRule="exact"/>
        <w:ind w:firstLine="482" w:firstLineChars="200"/>
        <w:rPr>
          <w:rFonts w:ascii="宋体" w:hAnsi="宋体" w:cs="Arial"/>
          <w:b/>
          <w:color w:val="auto"/>
          <w:kern w:val="0"/>
          <w:sz w:val="24"/>
        </w:rPr>
      </w:pPr>
      <w:r>
        <w:rPr>
          <w:rFonts w:hint="eastAsia" w:ascii="宋体" w:hAnsi="宋体" w:cs="Arial"/>
          <w:b/>
          <w:color w:val="auto"/>
          <w:kern w:val="0"/>
          <w:sz w:val="24"/>
        </w:rPr>
        <w:t>三、乙方权责</w:t>
      </w:r>
    </w:p>
    <w:p>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（二）</w:t>
      </w:r>
      <w:r>
        <w:rPr>
          <w:rFonts w:hint="eastAsia" w:ascii="宋体" w:hAnsi="宋体" w:cs="宋体"/>
          <w:color w:val="auto"/>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rPr>
        <w:t>物品</w:t>
      </w:r>
      <w:r>
        <w:rPr>
          <w:rFonts w:hint="eastAsia" w:ascii="宋体" w:hAnsi="宋体" w:cs="宋体"/>
          <w:color w:val="auto"/>
          <w:kern w:val="0"/>
          <w:sz w:val="24"/>
        </w:rPr>
        <w:t>安全运输责任人，负责安全运输和装卸及安全教育工作，同时督促检查，确保</w:t>
      </w:r>
      <w:r>
        <w:rPr>
          <w:rFonts w:hint="eastAsia" w:ascii="宋体" w:hAnsi="宋体" w:cs="Arial"/>
          <w:color w:val="auto"/>
          <w:kern w:val="0"/>
          <w:sz w:val="24"/>
        </w:rPr>
        <w:t>物品</w:t>
      </w:r>
      <w:r>
        <w:rPr>
          <w:rFonts w:hint="eastAsia" w:ascii="宋体" w:hAnsi="宋体" w:cs="宋体"/>
          <w:color w:val="auto"/>
          <w:kern w:val="0"/>
          <w:sz w:val="24"/>
        </w:rPr>
        <w:t>的安全送运。</w:t>
      </w:r>
    </w:p>
    <w:p>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（三）乙方应承诺所售</w:t>
      </w:r>
      <w:r>
        <w:rPr>
          <w:rFonts w:hint="eastAsia" w:ascii="宋体" w:hAnsi="宋体" w:cs="Arial"/>
          <w:color w:val="auto"/>
          <w:kern w:val="0"/>
          <w:sz w:val="24"/>
        </w:rPr>
        <w:t>物品</w:t>
      </w:r>
      <w:r>
        <w:rPr>
          <w:rFonts w:hint="eastAsia" w:ascii="宋体" w:hAnsi="宋体" w:cs="宋体"/>
          <w:color w:val="auto"/>
          <w:kern w:val="0"/>
          <w:sz w:val="24"/>
        </w:rPr>
        <w:t>质量符合现行国家规范要求，保证</w:t>
      </w:r>
      <w:r>
        <w:rPr>
          <w:rFonts w:hint="eastAsia" w:ascii="宋体" w:hAnsi="宋体" w:cs="Arial"/>
          <w:color w:val="auto"/>
          <w:kern w:val="0"/>
          <w:sz w:val="24"/>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rPr>
        <w:t>特殊设备应在运输前做好定检工作，包装要完整完好。</w:t>
      </w:r>
    </w:p>
    <w:p>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（四）乙方对</w:t>
      </w:r>
      <w:r>
        <w:rPr>
          <w:rFonts w:hint="eastAsia" w:ascii="宋体" w:hAnsi="宋体" w:cs="Arial"/>
          <w:color w:val="auto"/>
          <w:kern w:val="0"/>
          <w:sz w:val="24"/>
        </w:rPr>
        <w:t>物品</w:t>
      </w:r>
      <w:r>
        <w:rPr>
          <w:rFonts w:hint="eastAsia" w:ascii="宋体" w:hAnsi="宋体" w:cs="宋体"/>
          <w:color w:val="auto"/>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（五）乙方须加强物品运输车辆的安全管理，用于运输</w:t>
      </w:r>
      <w:r>
        <w:rPr>
          <w:rFonts w:hint="eastAsia" w:ascii="宋体" w:hAnsi="宋体" w:cs="Arial"/>
          <w:color w:val="auto"/>
          <w:kern w:val="0"/>
          <w:sz w:val="24"/>
        </w:rPr>
        <w:t>物品</w:t>
      </w:r>
      <w:r>
        <w:rPr>
          <w:rFonts w:hint="eastAsia" w:ascii="宋体" w:hAnsi="宋体" w:cs="宋体"/>
          <w:color w:val="auto"/>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（六）人员管理</w:t>
      </w:r>
    </w:p>
    <w:p>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u w:val="single"/>
        </w:rPr>
        <w:t xml:space="preserve">      </w:t>
      </w:r>
      <w:r>
        <w:rPr>
          <w:rFonts w:hint="eastAsia" w:ascii="宋体" w:hAnsi="宋体" w:cs="宋体"/>
          <w:color w:val="auto"/>
          <w:kern w:val="0"/>
          <w:sz w:val="24"/>
        </w:rPr>
        <w:t>元/次。</w:t>
      </w:r>
    </w:p>
    <w:p>
      <w:pPr>
        <w:widowControl/>
        <w:spacing w:line="560" w:lineRule="exact"/>
        <w:ind w:firstLine="480" w:firstLineChars="200"/>
        <w:jc w:val="left"/>
        <w:rPr>
          <w:rFonts w:ascii="宋体" w:hAnsi="宋体" w:cs="宋体"/>
          <w:color w:val="auto"/>
          <w:kern w:val="0"/>
          <w:sz w:val="24"/>
        </w:rPr>
      </w:pPr>
      <w:r>
        <w:rPr>
          <w:rFonts w:hint="eastAsia" w:ascii="宋体" w:hAnsi="宋体" w:cs="宋体"/>
          <w:color w:val="auto"/>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rPr>
      </w:pPr>
      <w:r>
        <w:rPr>
          <w:rFonts w:hint="eastAsia" w:ascii="宋体" w:hAnsi="宋体" w:cs="宋体"/>
          <w:color w:val="auto"/>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（十）乙方委托的第三方运输单位或个人，违反本协议的，全部责任均由乙方承担。</w:t>
      </w:r>
    </w:p>
    <w:p>
      <w:pPr>
        <w:pStyle w:val="38"/>
        <w:spacing w:line="560" w:lineRule="exact"/>
        <w:ind w:firstLine="482" w:firstLineChars="200"/>
        <w:rPr>
          <w:rFonts w:ascii="宋体" w:hAnsi="宋体" w:eastAsia="宋体"/>
          <w:color w:val="auto"/>
          <w:sz w:val="24"/>
        </w:rPr>
      </w:pPr>
      <w:r>
        <w:rPr>
          <w:rFonts w:hint="eastAsia" w:ascii="宋体" w:hAnsi="宋体" w:eastAsia="宋体"/>
          <w:b/>
          <w:color w:val="auto"/>
          <w:sz w:val="24"/>
        </w:rPr>
        <w:t>四、补充条款：</w:t>
      </w:r>
      <w:r>
        <w:rPr>
          <w:rFonts w:hint="eastAsia" w:ascii="宋体" w:hAnsi="宋体" w:eastAsia="宋体"/>
          <w:color w:val="auto"/>
          <w:sz w:val="24"/>
          <w:u w:val="single"/>
        </w:rPr>
        <w:t xml:space="preserve">      /   </w:t>
      </w:r>
      <w:r>
        <w:rPr>
          <w:rFonts w:ascii="宋体" w:hAnsi="宋体" w:eastAsia="宋体"/>
          <w:color w:val="auto"/>
          <w:sz w:val="24"/>
          <w:u w:val="single"/>
        </w:rPr>
        <w:t xml:space="preserve"> </w:t>
      </w:r>
      <w:r>
        <w:rPr>
          <w:rFonts w:hint="eastAsia" w:ascii="宋体" w:hAnsi="宋体" w:eastAsia="宋体"/>
          <w:color w:val="auto"/>
          <w:sz w:val="24"/>
          <w:u w:val="single"/>
        </w:rPr>
        <w:t xml:space="preserve">       </w:t>
      </w:r>
      <w:r>
        <w:rPr>
          <w:rFonts w:hint="eastAsia" w:ascii="宋体" w:hAnsi="宋体" w:eastAsia="宋体"/>
          <w:color w:val="auto"/>
          <w:sz w:val="24"/>
        </w:rPr>
        <w:t>。</w:t>
      </w:r>
    </w:p>
    <w:p>
      <w:pPr>
        <w:adjustRightInd w:val="0"/>
        <w:snapToGrid w:val="0"/>
        <w:spacing w:line="560" w:lineRule="exact"/>
        <w:ind w:firstLine="482" w:firstLineChars="200"/>
        <w:jc w:val="left"/>
        <w:rPr>
          <w:rFonts w:ascii="宋体" w:hAnsi="宋体" w:eastAsia="宋体"/>
          <w:b/>
          <w:color w:val="auto"/>
          <w:sz w:val="24"/>
        </w:rPr>
      </w:pPr>
      <w:r>
        <w:rPr>
          <w:rFonts w:hint="eastAsia" w:ascii="宋体" w:hAnsi="宋体" w:eastAsia="宋体"/>
          <w:b/>
          <w:color w:val="auto"/>
          <w:sz w:val="24"/>
        </w:rPr>
        <w:t>五、附则</w:t>
      </w:r>
    </w:p>
    <w:p>
      <w:pPr>
        <w:adjustRightInd w:val="0"/>
        <w:snapToGrid w:val="0"/>
        <w:spacing w:line="560" w:lineRule="exact"/>
        <w:ind w:firstLine="480" w:firstLineChars="200"/>
        <w:jc w:val="left"/>
        <w:rPr>
          <w:rFonts w:ascii="宋体" w:hAnsi="宋体" w:eastAsia="宋体"/>
          <w:color w:val="auto"/>
          <w:sz w:val="24"/>
        </w:rPr>
      </w:pPr>
      <w:r>
        <w:rPr>
          <w:rFonts w:hint="eastAsia" w:ascii="宋体" w:hAnsi="宋体" w:eastAsia="宋体"/>
          <w:color w:val="auto"/>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rPr>
      </w:pPr>
      <w:r>
        <w:rPr>
          <w:rFonts w:hint="eastAsia" w:ascii="宋体" w:hAnsi="宋体" w:eastAsia="宋体"/>
          <w:color w:val="auto"/>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color w:val="auto"/>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textAlignment w:val="baseline"/>
              <w:rPr>
                <w:rFonts w:ascii="宋体" w:hAnsi="宋体" w:eastAsia="宋体"/>
                <w:color w:val="auto"/>
                <w:sz w:val="24"/>
              </w:rPr>
            </w:pPr>
            <w:r>
              <w:rPr>
                <w:rFonts w:hint="eastAsia" w:ascii="宋体" w:hAnsi="宋体" w:eastAsia="宋体"/>
                <w:color w:val="auto"/>
                <w:sz w:val="24"/>
              </w:rPr>
              <w:t>甲方：</w:t>
            </w:r>
          </w:p>
          <w:p>
            <w:pPr>
              <w:adjustRightInd w:val="0"/>
              <w:snapToGrid w:val="0"/>
              <w:spacing w:line="560" w:lineRule="exact"/>
              <w:textAlignment w:val="baseline"/>
              <w:rPr>
                <w:rFonts w:ascii="宋体" w:hAnsi="宋体" w:eastAsia="宋体"/>
                <w:color w:val="auto"/>
                <w:sz w:val="24"/>
              </w:rPr>
            </w:pPr>
            <w:r>
              <w:rPr>
                <w:rFonts w:hint="eastAsia" w:ascii="宋体" w:hAnsi="宋体" w:eastAsia="宋体"/>
                <w:color w:val="auto"/>
                <w:sz w:val="24"/>
              </w:rPr>
              <w:t>签约代表：</w:t>
            </w:r>
          </w:p>
          <w:p>
            <w:pPr>
              <w:adjustRightInd w:val="0"/>
              <w:snapToGrid w:val="0"/>
              <w:spacing w:line="560" w:lineRule="exact"/>
              <w:textAlignment w:val="baseline"/>
              <w:rPr>
                <w:rFonts w:ascii="宋体" w:hAnsi="宋体" w:eastAsia="宋体"/>
                <w:color w:val="auto"/>
                <w:sz w:val="24"/>
              </w:rPr>
            </w:pPr>
            <w:r>
              <w:rPr>
                <w:rFonts w:hint="eastAsia" w:ascii="宋体" w:hAnsi="宋体" w:eastAsia="宋体"/>
                <w:color w:val="auto"/>
                <w:sz w:val="24"/>
              </w:rPr>
              <w:t>联系电话：</w:t>
            </w:r>
          </w:p>
          <w:p>
            <w:pPr>
              <w:adjustRightInd w:val="0"/>
              <w:snapToGrid w:val="0"/>
              <w:spacing w:line="560" w:lineRule="exact"/>
              <w:ind w:firstLine="240" w:firstLineChars="100"/>
              <w:jc w:val="right"/>
              <w:textAlignment w:val="baseline"/>
              <w:rPr>
                <w:rFonts w:ascii="宋体" w:hAnsi="宋体" w:eastAsia="宋体"/>
                <w:color w:val="auto"/>
                <w:sz w:val="24"/>
              </w:rPr>
            </w:pPr>
            <w:r>
              <w:rPr>
                <w:rFonts w:hint="eastAsia" w:ascii="宋体" w:hAnsi="宋体" w:eastAsia="宋体"/>
                <w:color w:val="auto"/>
                <w:sz w:val="24"/>
              </w:rPr>
              <w:t>年</w:t>
            </w:r>
            <w:r>
              <w:rPr>
                <w:rFonts w:ascii="宋体" w:hAnsi="宋体" w:eastAsia="宋体"/>
                <w:color w:val="auto"/>
                <w:sz w:val="24"/>
              </w:rPr>
              <w:t xml:space="preserve">    </w:t>
            </w:r>
            <w:r>
              <w:rPr>
                <w:rFonts w:hint="eastAsia" w:ascii="宋体" w:hAnsi="宋体" w:eastAsia="宋体"/>
                <w:color w:val="auto"/>
                <w:sz w:val="24"/>
              </w:rPr>
              <w:t>月</w:t>
            </w:r>
            <w:r>
              <w:rPr>
                <w:rFonts w:ascii="宋体" w:hAnsi="宋体" w:eastAsia="宋体"/>
                <w:color w:val="auto"/>
                <w:sz w:val="24"/>
              </w:rPr>
              <w:t xml:space="preserve">    </w:t>
            </w:r>
            <w:r>
              <w:rPr>
                <w:rFonts w:hint="eastAsia" w:ascii="宋体" w:hAnsi="宋体" w:eastAsia="宋体"/>
                <w:color w:val="auto"/>
                <w:sz w:val="24"/>
              </w:rPr>
              <w:t>日</w:t>
            </w:r>
          </w:p>
        </w:tc>
        <w:tc>
          <w:tcPr>
            <w:tcW w:w="4474" w:type="dxa"/>
          </w:tcPr>
          <w:p>
            <w:pPr>
              <w:adjustRightInd w:val="0"/>
              <w:snapToGrid w:val="0"/>
              <w:spacing w:line="560" w:lineRule="exact"/>
              <w:textAlignment w:val="baseline"/>
              <w:rPr>
                <w:rFonts w:ascii="宋体" w:hAnsi="宋体" w:eastAsia="宋体"/>
                <w:color w:val="auto"/>
                <w:sz w:val="24"/>
              </w:rPr>
            </w:pPr>
            <w:r>
              <w:rPr>
                <w:rFonts w:hint="eastAsia" w:ascii="宋体" w:hAnsi="宋体" w:eastAsia="宋体"/>
                <w:color w:val="auto"/>
                <w:sz w:val="24"/>
              </w:rPr>
              <w:t>乙方：</w:t>
            </w:r>
          </w:p>
          <w:p>
            <w:pPr>
              <w:adjustRightInd w:val="0"/>
              <w:snapToGrid w:val="0"/>
              <w:spacing w:line="560" w:lineRule="exact"/>
              <w:textAlignment w:val="baseline"/>
              <w:rPr>
                <w:rFonts w:ascii="宋体" w:hAnsi="宋体" w:eastAsia="宋体"/>
                <w:color w:val="auto"/>
                <w:sz w:val="24"/>
              </w:rPr>
            </w:pPr>
            <w:r>
              <w:rPr>
                <w:rFonts w:hint="eastAsia" w:ascii="宋体" w:hAnsi="宋体" w:eastAsia="宋体"/>
                <w:color w:val="auto"/>
                <w:sz w:val="24"/>
              </w:rPr>
              <w:t>签约代表：</w:t>
            </w:r>
          </w:p>
          <w:p>
            <w:pPr>
              <w:adjustRightInd w:val="0"/>
              <w:snapToGrid w:val="0"/>
              <w:spacing w:line="560" w:lineRule="exact"/>
              <w:textAlignment w:val="baseline"/>
              <w:rPr>
                <w:rFonts w:ascii="宋体" w:hAnsi="宋体" w:eastAsia="宋体"/>
                <w:color w:val="auto"/>
                <w:sz w:val="24"/>
              </w:rPr>
            </w:pPr>
            <w:r>
              <w:rPr>
                <w:rFonts w:hint="eastAsia" w:ascii="宋体" w:hAnsi="宋体" w:eastAsia="宋体"/>
                <w:color w:val="auto"/>
                <w:sz w:val="24"/>
              </w:rPr>
              <w:t>联系电话：</w:t>
            </w:r>
          </w:p>
          <w:p>
            <w:pPr>
              <w:adjustRightInd w:val="0"/>
              <w:snapToGrid w:val="0"/>
              <w:spacing w:line="560" w:lineRule="exact"/>
              <w:jc w:val="right"/>
              <w:textAlignment w:val="baseline"/>
              <w:rPr>
                <w:rFonts w:ascii="宋体" w:hAnsi="宋体" w:eastAsia="宋体"/>
                <w:color w:val="auto"/>
                <w:sz w:val="24"/>
              </w:rPr>
            </w:pPr>
            <w:r>
              <w:rPr>
                <w:rFonts w:hint="eastAsia" w:ascii="宋体" w:hAnsi="宋体" w:eastAsia="宋体"/>
                <w:color w:val="auto"/>
                <w:sz w:val="24"/>
              </w:rPr>
              <w:t>年</w:t>
            </w:r>
            <w:r>
              <w:rPr>
                <w:rFonts w:ascii="宋体" w:hAnsi="宋体" w:eastAsia="宋体"/>
                <w:color w:val="auto"/>
                <w:sz w:val="24"/>
              </w:rPr>
              <w:t xml:space="preserve">    </w:t>
            </w:r>
            <w:r>
              <w:rPr>
                <w:rFonts w:hint="eastAsia" w:ascii="宋体" w:hAnsi="宋体" w:eastAsia="宋体"/>
                <w:color w:val="auto"/>
                <w:sz w:val="24"/>
              </w:rPr>
              <w:t>月</w:t>
            </w:r>
            <w:r>
              <w:rPr>
                <w:rFonts w:ascii="宋体" w:hAnsi="宋体" w:eastAsia="宋体"/>
                <w:color w:val="auto"/>
                <w:sz w:val="24"/>
              </w:rPr>
              <w:t xml:space="preserve">    </w:t>
            </w:r>
            <w:r>
              <w:rPr>
                <w:rFonts w:hint="eastAsia" w:ascii="宋体" w:hAnsi="宋体" w:eastAsia="宋体"/>
                <w:color w:val="auto"/>
                <w:sz w:val="24"/>
              </w:rPr>
              <w:t>日</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rPr>
          <w:color w:val="auto"/>
        </w:rPr>
      </w:pPr>
    </w:p>
    <w:p>
      <w:pPr>
        <w:rPr>
          <w:rFonts w:hint="eastAsia" w:ascii="宋体" w:hAnsi="宋体"/>
          <w:b/>
          <w:color w:val="auto"/>
          <w:sz w:val="24"/>
        </w:rPr>
      </w:pPr>
      <w:r>
        <w:rPr>
          <w:rFonts w:hint="eastAsia" w:ascii="宋体" w:hAnsi="宋体"/>
          <w:b/>
          <w:color w:val="auto"/>
          <w:sz w:val="24"/>
        </w:rPr>
        <w:t>附件</w:t>
      </w:r>
      <w:r>
        <w:rPr>
          <w:rFonts w:hint="eastAsia" w:ascii="宋体" w:hAnsi="宋体"/>
          <w:b/>
          <w:color w:val="auto"/>
          <w:sz w:val="24"/>
          <w:lang w:val="en-US" w:eastAsia="zh-CN"/>
        </w:rPr>
        <w:t>4</w:t>
      </w:r>
      <w:r>
        <w:rPr>
          <w:rFonts w:hint="eastAsia" w:ascii="宋体" w:hAnsi="宋体"/>
          <w:b/>
          <w:color w:val="auto"/>
          <w:sz w:val="24"/>
        </w:rPr>
        <w:t>：</w:t>
      </w:r>
      <w:r>
        <w:rPr>
          <w:rFonts w:hint="eastAsia" w:ascii="宋体" w:hAnsi="宋体"/>
          <w:b/>
          <w:color w:val="auto"/>
          <w:sz w:val="24"/>
          <w:lang w:val="zh-CN"/>
        </w:rPr>
        <w:t>技术需求</w:t>
      </w:r>
    </w:p>
    <w:p>
      <w:pPr>
        <w:rPr>
          <w:color w:val="auto"/>
        </w:rPr>
      </w:pPr>
    </w:p>
    <w:p>
      <w:pPr>
        <w:rPr>
          <w:color w:val="auto"/>
        </w:rPr>
      </w:pPr>
    </w:p>
    <w:tbl>
      <w:tblPr>
        <w:tblStyle w:val="24"/>
        <w:tblW w:w="9781"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108" w:type="dxa"/>
          <w:bottom w:w="0" w:type="dxa"/>
          <w:right w:w="108" w:type="dxa"/>
        </w:tblCellMar>
      </w:tblPr>
      <w:tblGrid>
        <w:gridCol w:w="891"/>
        <w:gridCol w:w="1594"/>
        <w:gridCol w:w="4039"/>
        <w:gridCol w:w="1137"/>
        <w:gridCol w:w="1238"/>
        <w:gridCol w:w="882"/>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5" w:hRule="atLeast"/>
          <w:jc w:val="center"/>
        </w:trPr>
        <w:tc>
          <w:tcPr>
            <w:tcW w:w="78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序号</w:t>
            </w:r>
          </w:p>
        </w:tc>
        <w:tc>
          <w:tcPr>
            <w:tcW w:w="140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设备名称</w:t>
            </w:r>
          </w:p>
        </w:tc>
        <w:tc>
          <w:tcPr>
            <w:tcW w:w="357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性能</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单位</w:t>
            </w:r>
          </w:p>
        </w:tc>
        <w:tc>
          <w:tcPr>
            <w:tcW w:w="109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采购数量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40" w:hRule="atLeast"/>
          <w:jc w:val="center"/>
        </w:trPr>
        <w:tc>
          <w:tcPr>
            <w:tcW w:w="78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1409" w:type="dxa"/>
            <w:tcBorders>
              <w:top w:val="single" w:color="auto" w:sz="4" w:space="0"/>
              <w:left w:val="nil"/>
              <w:bottom w:val="single" w:color="auto" w:sz="4" w:space="0"/>
              <w:right w:val="nil"/>
            </w:tcBorders>
            <w:shd w:val="clear" w:color="auto" w:fill="auto"/>
            <w:noWrap/>
            <w:vAlign w:val="center"/>
          </w:tcPr>
          <w:p>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110英寸会议平板</w:t>
            </w:r>
          </w:p>
        </w:tc>
        <w:tc>
          <w:tcPr>
            <w:tcW w:w="357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1.屏幕尺寸：110英寸；</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2.屏幕比例：16:9；</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3.分辨率：3840*2160；</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4.系统版本：Android11.0/Windowsi5双系统；</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5.系统配置：4G+32G/8G DDR3；</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6.无线投屏：支持无线投屏，同屏多分屏功能，支持4个设备同时同屏；</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7.会议培训：内置office,看图，视频播放器等办公实用工具，内置无线WIFI，网卡，支持无线上网，</w:t>
            </w:r>
            <w:r>
              <w:rPr>
                <w:rFonts w:hint="eastAsia" w:ascii="宋体" w:hAnsi="宋体" w:eastAsia="宋体" w:cs="宋体"/>
                <w:color w:val="auto"/>
                <w:kern w:val="0"/>
                <w:sz w:val="22"/>
                <w:lang w:bidi="ar"/>
              </w:rPr>
              <w:t>支持将手机、平板、</w:t>
            </w:r>
            <w:r>
              <w:rPr>
                <w:rFonts w:ascii="宋体" w:hAnsi="宋体" w:eastAsia="宋体" w:cs="宋体"/>
                <w:color w:val="auto"/>
                <w:kern w:val="0"/>
                <w:sz w:val="22"/>
                <w:lang w:bidi="ar"/>
              </w:rPr>
              <w:t>Pad等设备画面同步传送到平板上；</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8.电子白板：支持20点触控；</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9.电脑模块化设计，OPS/抽拉式PC设置；</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10.远程视频：支持远程视频会议，多方异地会议，远程PPT演讲，远程桌面共享。</w:t>
            </w:r>
          </w:p>
          <w:p>
            <w:pPr>
              <w:rPr>
                <w:color w:val="auto"/>
              </w:rPr>
            </w:pPr>
          </w:p>
          <w:p>
            <w:pPr>
              <w:rPr>
                <w:color w:val="auto"/>
              </w:rPr>
            </w:pPr>
          </w:p>
          <w:p>
            <w:pPr>
              <w:widowControl/>
              <w:jc w:val="left"/>
              <w:textAlignment w:val="center"/>
              <w:rPr>
                <w:rFonts w:ascii="宋体" w:hAnsi="宋体" w:eastAsia="宋体" w:cs="宋体"/>
                <w:color w:val="auto"/>
                <w:sz w:val="22"/>
              </w:rPr>
            </w:pP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台</w:t>
            </w:r>
          </w:p>
        </w:tc>
        <w:tc>
          <w:tcPr>
            <w:tcW w:w="109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包括安装、调试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577" w:hRule="atLeast"/>
          <w:jc w:val="center"/>
        </w:trPr>
        <w:tc>
          <w:tcPr>
            <w:tcW w:w="78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2</w:t>
            </w:r>
          </w:p>
        </w:tc>
        <w:tc>
          <w:tcPr>
            <w:tcW w:w="140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color w:val="auto"/>
              </w:rPr>
            </w:pPr>
          </w:p>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门头LED屏</w:t>
            </w:r>
          </w:p>
        </w:tc>
        <w:tc>
          <w:tcPr>
            <w:tcW w:w="357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 尺寸：5.86mX0.58m，产品规格：PH10.0；</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2.像素点间距:≤10.0mm；</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3.像素密度≥10000点/㎡；</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4.模组尺寸：320mm×160mm；</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5.模组分辨率≥32*16；</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6.单箱体平整度≤0.5；</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7.支持单点亮度矫正，单点颜色矫正；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8.亮度(nit) ≥5000（0-100%无极可调，支持手动/自动/程控）;</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9.色温(k) 介于 1000～12000可调，调节步长100K；</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10.水平/垂直视角 ≥160°；</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11.亮度均匀性≥98%，色度均匀性介于±0.003 Cx,Cy内；</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12.刷新率≥1920HZ;</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13.换帧频率为50&amp;60HZ;</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14.灰度等级为灰度(bit) 为16bit；</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15.模组驱动方式为1/16扫恒流驱动；</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16.平均故障间隔时间为120000小时；</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17.产品符合防水试验（IPX5）等级测试；</w:t>
            </w:r>
          </w:p>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18.支持手机客户端操作控制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包括安装、调试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180"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3</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小间距LED屏</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1、像素点构成及COB封装方式：1R1G1B, RGB全倒装封装；</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2、像素点间距≤1.56，像素密度点（点/m²）：409600点/㎡；</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3、箱体材质采用密封式压铸铝箱体，采用无风扇自然散热结构，单元箱体比例按照16：9来设计，箱体尺寸要求为（W*H）600mm*337.5mm，箱体厚度要求控制在48mm以内,箱体重量不得大于6.5Kg。</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4、整屏平整度：≤0.05mm，具备拼缝微调节机构，保证拼缝精度达到＜0.1mm。</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5、亮度（0～800 cd/m²）可调，亮度调节功能可预设场景模式，支持手动、程控调节。</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6、LED 模组共阴原理设计： LED 的红、绿、蓝三基色灯的阴极连接在一起，同一像素内红、绿、蓝三种颜色的发光二极管共用一个负极；</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7、支持模组、接收卡、电源完全前维护，模组可存储校正数据，更换模组，自动回读校正数据；</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8、软硬件具备一键调节亮、暗线功能，画面稳定无闪烁，具有整屏色平衡调整功能，确保基色一致性；</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9、模组、接收卡与主板采用硬接口设计，无排线，支持直接插拔；每个LED 单元具有独立的控制网口。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 xml:space="preserve">10、COB </w:t>
            </w:r>
            <w:r>
              <w:rPr>
                <w:rFonts w:hint="eastAsia" w:ascii="宋体" w:hAnsi="宋体" w:eastAsia="宋体" w:cs="宋体"/>
                <w:color w:val="auto"/>
                <w:kern w:val="0"/>
                <w:sz w:val="22"/>
                <w:lang w:bidi="ar"/>
              </w:rPr>
              <w:t>显示单元正面雾面抗反射处理采用雾面膜可以达到抗反射，抗眩光，一体黑的效果；用</w:t>
            </w:r>
            <w:r>
              <w:rPr>
                <w:rFonts w:ascii="宋体" w:hAnsi="宋体" w:eastAsia="宋体" w:cs="宋体"/>
                <w:color w:val="auto"/>
                <w:kern w:val="0"/>
                <w:sz w:val="22"/>
                <w:lang w:bidi="ar"/>
              </w:rPr>
              <w:t xml:space="preserve"> RCA </w:t>
            </w:r>
            <w:r>
              <w:rPr>
                <w:rFonts w:hint="eastAsia" w:ascii="宋体" w:hAnsi="宋体" w:eastAsia="宋体" w:cs="宋体"/>
                <w:color w:val="auto"/>
                <w:kern w:val="0"/>
                <w:sz w:val="22"/>
                <w:lang w:bidi="ar"/>
              </w:rPr>
              <w:t>专用纸带，以固定</w:t>
            </w:r>
            <w:r>
              <w:rPr>
                <w:rFonts w:ascii="宋体" w:hAnsi="宋体" w:eastAsia="宋体" w:cs="宋体"/>
                <w:color w:val="auto"/>
                <w:kern w:val="0"/>
                <w:sz w:val="22"/>
                <w:lang w:bidi="ar"/>
              </w:rPr>
              <w:t xml:space="preserve"> 275g </w:t>
            </w:r>
            <w:r>
              <w:rPr>
                <w:rFonts w:hint="eastAsia" w:ascii="宋体" w:hAnsi="宋体" w:eastAsia="宋体" w:cs="宋体"/>
                <w:color w:val="auto"/>
                <w:kern w:val="0"/>
                <w:sz w:val="22"/>
                <w:lang w:bidi="ar"/>
              </w:rPr>
              <w:t>重量施加在</w:t>
            </w:r>
            <w:r>
              <w:rPr>
                <w:rFonts w:ascii="宋体" w:hAnsi="宋体" w:eastAsia="宋体" w:cs="宋体"/>
                <w:color w:val="auto"/>
                <w:kern w:val="0"/>
                <w:sz w:val="22"/>
                <w:lang w:bidi="ar"/>
              </w:rPr>
              <w:t xml:space="preserve"> COB </w:t>
            </w:r>
            <w:r>
              <w:rPr>
                <w:rFonts w:hint="eastAsia" w:ascii="宋体" w:hAnsi="宋体" w:eastAsia="宋体" w:cs="宋体"/>
                <w:color w:val="auto"/>
                <w:kern w:val="0"/>
                <w:sz w:val="22"/>
                <w:lang w:bidi="ar"/>
              </w:rPr>
              <w:t>面板上面，速度：</w:t>
            </w:r>
            <w:r>
              <w:rPr>
                <w:rFonts w:ascii="宋体" w:hAnsi="宋体" w:eastAsia="宋体" w:cs="宋体"/>
                <w:color w:val="auto"/>
                <w:kern w:val="0"/>
                <w:sz w:val="22"/>
                <w:lang w:bidi="ar"/>
              </w:rPr>
              <w:t xml:space="preserve"> 16 </w:t>
            </w:r>
            <w:r>
              <w:rPr>
                <w:rFonts w:hint="eastAsia" w:ascii="宋体" w:hAnsi="宋体" w:eastAsia="宋体" w:cs="宋体"/>
                <w:color w:val="auto"/>
                <w:kern w:val="0"/>
                <w:sz w:val="22"/>
                <w:lang w:bidi="ar"/>
              </w:rPr>
              <w:t>转</w:t>
            </w:r>
            <w:r>
              <w:rPr>
                <w:rFonts w:ascii="宋体" w:hAnsi="宋体" w:eastAsia="宋体" w:cs="宋体"/>
                <w:color w:val="auto"/>
                <w:kern w:val="0"/>
                <w:sz w:val="22"/>
                <w:lang w:bidi="ar"/>
              </w:rPr>
              <w:t xml:space="preserve">/min，试验圈数： 150 </w:t>
            </w:r>
            <w:r>
              <w:rPr>
                <w:rFonts w:hint="eastAsia" w:ascii="宋体" w:hAnsi="宋体" w:eastAsia="宋体" w:cs="宋体"/>
                <w:color w:val="auto"/>
                <w:kern w:val="0"/>
                <w:sz w:val="22"/>
                <w:lang w:bidi="ar"/>
              </w:rPr>
              <w:t xml:space="preserve">次； </w:t>
            </w:r>
            <w:r>
              <w:rPr>
                <w:rFonts w:ascii="宋体" w:hAnsi="宋体" w:eastAsia="宋体" w:cs="宋体"/>
                <w:color w:val="auto"/>
                <w:kern w:val="0"/>
                <w:sz w:val="22"/>
                <w:lang w:bidi="ar"/>
              </w:rPr>
              <w:t xml:space="preserve">COB </w:t>
            </w:r>
            <w:r>
              <w:rPr>
                <w:rFonts w:hint="eastAsia" w:ascii="宋体" w:hAnsi="宋体" w:eastAsia="宋体" w:cs="宋体"/>
                <w:color w:val="auto"/>
                <w:kern w:val="0"/>
                <w:sz w:val="22"/>
                <w:lang w:bidi="ar"/>
              </w:rPr>
              <w:t>面板外观结构和功能均正常。（需提供并通过</w:t>
            </w:r>
            <w:r>
              <w:rPr>
                <w:rFonts w:ascii="宋体" w:hAnsi="宋体" w:eastAsia="宋体" w:cs="宋体"/>
                <w:color w:val="auto"/>
                <w:kern w:val="0"/>
                <w:sz w:val="22"/>
                <w:lang w:bidi="ar"/>
              </w:rPr>
              <w:t>ilac-MRA/CNAS/CMA</w:t>
            </w:r>
            <w:r>
              <w:rPr>
                <w:rFonts w:hint="eastAsia" w:ascii="宋体" w:hAnsi="宋体" w:eastAsia="宋体" w:cs="宋体"/>
                <w:color w:val="auto"/>
                <w:kern w:val="0"/>
                <w:sz w:val="22"/>
                <w:lang w:bidi="ar"/>
              </w:rPr>
              <w:t>标志认证第三方专业检测机构出具的检测报告证明文件并加盖设备制造商公章；）</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11、模组 PCB板材采用6 层以上电路板结构设计，PCB 设计焊盘采用沉金全彩显示屏工艺 HDI 处理，充分保证单模块安装的稳定性和抗氧化性；可以耐CAF 离子迁移达 1000H；</w:t>
            </w:r>
          </w:p>
          <w:p>
            <w:pPr>
              <w:rPr>
                <w:color w:val="auto"/>
              </w:rPr>
            </w:pPr>
            <w:r>
              <w:rPr>
                <w:rFonts w:ascii="宋体" w:hAnsi="宋体" w:eastAsia="宋体" w:cs="宋体"/>
                <w:color w:val="auto"/>
                <w:kern w:val="0"/>
                <w:sz w:val="22"/>
                <w:lang w:bidi="ar"/>
              </w:rPr>
              <w:t xml:space="preserve">12、COB </w:t>
            </w:r>
            <w:r>
              <w:rPr>
                <w:rFonts w:hint="eastAsia" w:ascii="宋体" w:hAnsi="宋体" w:eastAsia="宋体" w:cs="宋体"/>
                <w:color w:val="auto"/>
                <w:kern w:val="0"/>
                <w:sz w:val="22"/>
                <w:lang w:bidi="ar"/>
              </w:rPr>
              <w:t>显示单元防霉等级依据</w:t>
            </w:r>
            <w:r>
              <w:rPr>
                <w:rFonts w:ascii="宋体" w:hAnsi="宋体" w:eastAsia="宋体" w:cs="宋体"/>
                <w:color w:val="auto"/>
                <w:kern w:val="0"/>
                <w:sz w:val="22"/>
                <w:lang w:bidi="ar"/>
              </w:rPr>
              <w:t xml:space="preserve"> GB/T2423.16-2008标准， </w:t>
            </w:r>
            <w:r>
              <w:rPr>
                <w:rFonts w:hint="eastAsia" w:ascii="宋体" w:hAnsi="宋体" w:eastAsia="宋体" w:cs="宋体"/>
                <w:color w:val="auto"/>
                <w:kern w:val="0"/>
                <w:sz w:val="22"/>
                <w:lang w:bidi="ar"/>
              </w:rPr>
              <w:t>显微镜（放大</w:t>
            </w:r>
            <w:r>
              <w:rPr>
                <w:rFonts w:ascii="宋体" w:hAnsi="宋体" w:eastAsia="宋体" w:cs="宋体"/>
                <w:color w:val="auto"/>
                <w:kern w:val="0"/>
                <w:sz w:val="22"/>
                <w:lang w:bidi="ar"/>
              </w:rPr>
              <w:t xml:space="preserve"> 50 </w:t>
            </w:r>
            <w:r>
              <w:rPr>
                <w:rFonts w:hint="eastAsia" w:ascii="宋体" w:hAnsi="宋体" w:eastAsia="宋体" w:cs="宋体"/>
                <w:color w:val="auto"/>
                <w:kern w:val="0"/>
                <w:sz w:val="22"/>
                <w:lang w:bidi="ar"/>
              </w:rPr>
              <w:t>倍）下未</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见长霉，符合</w:t>
            </w:r>
            <w:r>
              <w:rPr>
                <w:rFonts w:ascii="宋体" w:hAnsi="宋体" w:eastAsia="宋体" w:cs="宋体"/>
                <w:color w:val="auto"/>
                <w:kern w:val="0"/>
                <w:sz w:val="22"/>
                <w:lang w:bidi="ar"/>
              </w:rPr>
              <w:t xml:space="preserve">0 </w:t>
            </w:r>
            <w:r>
              <w:rPr>
                <w:rFonts w:hint="eastAsia" w:ascii="宋体" w:hAnsi="宋体" w:eastAsia="宋体" w:cs="宋体"/>
                <w:color w:val="auto"/>
                <w:kern w:val="0"/>
                <w:sz w:val="22"/>
                <w:lang w:bidi="ar"/>
              </w:rPr>
              <w:t>级标准；</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13、蓝光危害符合 GB/T 20145-2006，辐亮度无危险标准即：辐亮度≤100W/（m2*sr）；光辐射通过蓝光视网膜等级检测，蓝光视网膜危害，其蓝光危害安全系数达 0 类，无风险等级；对皮肤表面及眼睛角膜和视网膜无直接伤害；红绿蓝三色的宽波段光源对皮肤及人眼直接观看无伤害，无紫外危害；产品视觉健康舒适度应符合 CSA035.2-2017 VICO 指数 1 级要求。</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 xml:space="preserve">14、电源端子骚扰电压（EMC）、电信端口传导共模（非对称）骚扰电压限值（EMC）、辐射骚扰（EMC）均符合GB/T9254-2008Class B </w:t>
            </w:r>
            <w:r>
              <w:rPr>
                <w:rFonts w:hint="eastAsia" w:ascii="宋体" w:hAnsi="宋体" w:eastAsia="宋体" w:cs="宋体"/>
                <w:color w:val="auto"/>
                <w:kern w:val="0"/>
                <w:sz w:val="22"/>
                <w:lang w:bidi="ar"/>
              </w:rPr>
              <w:t>限值要求；（需提供并通过</w:t>
            </w:r>
            <w:r>
              <w:rPr>
                <w:rFonts w:ascii="宋体" w:hAnsi="宋体" w:eastAsia="宋体" w:cs="宋体"/>
                <w:color w:val="auto"/>
                <w:kern w:val="0"/>
                <w:sz w:val="22"/>
                <w:lang w:bidi="ar"/>
              </w:rPr>
              <w:t>ilac-MRA/CNAS/CMA</w:t>
            </w:r>
            <w:r>
              <w:rPr>
                <w:rFonts w:hint="eastAsia" w:ascii="宋体" w:hAnsi="宋体" w:eastAsia="宋体" w:cs="宋体"/>
                <w:color w:val="auto"/>
                <w:kern w:val="0"/>
                <w:sz w:val="22"/>
                <w:lang w:bidi="ar"/>
              </w:rPr>
              <w:t>标志认证第三方专业检测机构出具的检测报告证明文件并加盖设备制造商公章；）</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15、亮度均匀性≥98%,色温、色域2000K-10000K连续可调，色域覆盖率≥110%NTSC；</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16、产品支持低亮高刷功能，亮度在 200cd/㎡时，符合3840HZ高刷新要求，暗室对比度≥1000000:1</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 xml:space="preserve">17、单元箱体功耗峰值≤500 W/㎡；平均≤200 W/㎡，可支持电源信号冗余备份。 </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 xml:space="preserve">18、带有智能（黑屏）节电功能，开启智能节电功能比没有开启节能40%以上； </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19、单元箱体防护等级符合 GB/T 4208-2017，防尘 IP6X， 防水 IPX5，COB 显示单元正面防护等级IP65；</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20、PCB阻燃符合 GB/T4943.1-2011要求，达到 UL94 V-0 等级要求。</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21、产品具有防静电、防震动、防电磁干扰、抗干扰、抗雷击等功能，具有电源过压、过流、断电保护、分布上电措施，具有实时监控温度、故障报警功能。屏幕点亮连续运行 12 小时后，屏幕表面温升不超过 25K。</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22、可实现远程监督控制，对可能发生的潜在故障记录日志，并向操作员发出警报信号，具有故障自动告警功能，发生故障立即发消息到指定邮箱，便于及时处理；</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23、LED 显示屏可实时监控显示屏工作状态，可实现 LED 单点检测。具有多点测温功能，防止温度过高造成局部颜色混乱、分离，提高屏体寿命；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24、软件管控匹配运维管理软件，可通过软件进行控制；</w:t>
            </w:r>
          </w:p>
          <w:p>
            <w:pPr>
              <w:widowControl/>
              <w:jc w:val="left"/>
              <w:textAlignment w:val="center"/>
              <w:rPr>
                <w:rFonts w:ascii="宋体" w:hAnsi="宋体" w:eastAsia="宋体" w:cs="宋体"/>
                <w:color w:val="auto"/>
                <w:sz w:val="22"/>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套</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包括安装、调试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9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拼接处理器参数：</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1.设备应为纯硬件FPGA架构，CrossPoint全总线交换技术，背板等效带宽，不能内置PC/X86/X64架构硬件，以避免X86/X64架构天然存在的计算可靠性和准确性缺陷以及设备运行不稳定问题。</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2.单张板卡支持4通道输入或输出，紧凑型机箱，模拟视频单板卡支持16路同时输入，单卡支持2种信号源任意组合。</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3.输入输出板卡可热插拔，输入板卡热插拔恢复时间＜2s，输出板卡热插拔恢复时间＜8s。（提供CNAS机构认可的第三方权威检测报告）</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4.开机时间≤10s，启动电源至输出最总画面的时间间隔。</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5、平均故障时间间隔（MTBF）不小于96000小时，保证设备能够稳定运行。</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6、最大单机背板信号处理带宽不小于720Gbps。（提供CNAS机构认可的第三方权威检测报告）</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7、对各个输入通道采用纯硬件处理技术，采用独享带宽方式为每个输入通道分配带宽，切换过程中对其他信号无影响，实现了对输入通道的实时处理功能。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8.支持集中采集DVI、VGA、CVBS、HDBaseT、HDMI、SDI、YPbPr、光纤、网络等2K信号，Dual-link DVI、HDMI 1.4、DisplayPort等4K信号。</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9.支持DVI、HDBaseT、HDMI、SDI、光纤、CVBS等常见的2K信号输出，Dual-link DVI、HDMI 1.4等4K信号输出。</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10.单台设备最大规模支持128路高清输入，144路高清输出，均不需要设备级联。</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11.设备支持任意一路图像在拼接屏的任意位置以任意比例进行开窗、缩放、拉伸、漫游、叠加、跨屏、缩放等功能。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12.设备支持图像无缝实时切换功能，无缝切换时间＜20ms。</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13.支持场景保存及快速调用，支持场景轮巡，适应于不同的应用场景。</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14.可以输出7种测试颜色及网格图像来检验输出通道是否可以正常输出信号。</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15.支持信号源预监功能，支持浏览所有输入信号源的实时预览画面。</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16.支持大屏图像回显，可显示整面拼接墙的显示图像。</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17.支持图像截取功能，可以实现图像重点区域的放大显示或者裁掉信号源的黑边。</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18.支持网络抓屏，将PC桌面信号通过网络抓屏的方式传输至拼接屏同步显示。</w:t>
            </w:r>
          </w:p>
          <w:p>
            <w:pPr>
              <w:rPr>
                <w:color w:val="auto"/>
              </w:rPr>
            </w:pPr>
            <w:r>
              <w:rPr>
                <w:rFonts w:hint="eastAsia" w:ascii="宋体" w:hAnsi="宋体" w:eastAsia="宋体" w:cs="宋体"/>
                <w:color w:val="auto"/>
                <w:kern w:val="0"/>
                <w:sz w:val="22"/>
                <w:lang w:bidi="ar"/>
              </w:rPr>
              <w:t>19.图像开窗响应速度＜15ms。</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20.支持RRTA分辨率实时全兼容技术，单台设备应支持同时控制4组不同分辨率的大屏幕显示。（提</w:t>
            </w:r>
            <w:r>
              <w:rPr>
                <w:rFonts w:hint="eastAsia" w:ascii="宋体" w:hAnsi="宋体" w:eastAsia="宋体" w:cs="宋体"/>
                <w:color w:val="auto"/>
                <w:kern w:val="0"/>
                <w:sz w:val="22"/>
                <w:lang w:bidi="ar"/>
              </w:rPr>
              <w:t>供</w:t>
            </w:r>
            <w:r>
              <w:rPr>
                <w:rFonts w:ascii="宋体" w:hAnsi="宋体" w:eastAsia="宋体" w:cs="宋体"/>
                <w:color w:val="auto"/>
                <w:kern w:val="0"/>
                <w:sz w:val="22"/>
                <w:lang w:bidi="ar"/>
              </w:rPr>
              <w:t>CNAS机构认可的第三方权威检测报告）</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21.前面板可显示设备IP地址，设备型号等基础信息内容。</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22.支持设置拼接屏的拼缝补偿，屏幕间隔可以根据电视墙实现接缝大小不同而任意设置，可精确到1个像素。</w:t>
            </w:r>
          </w:p>
          <w:p>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23.图像信号无压缩、无失真实时传输，保证图像质量无损耗。</w:t>
            </w:r>
          </w:p>
          <w:p>
            <w:pPr>
              <w:rPr>
                <w:color w:val="auto"/>
              </w:rPr>
            </w:pPr>
          </w:p>
          <w:p>
            <w:pPr>
              <w:rPr>
                <w:color w:val="auto"/>
              </w:rPr>
            </w:pPr>
            <w:r>
              <w:rPr>
                <w:rFonts w:hint="eastAsia" w:ascii="宋体" w:hAnsi="宋体" w:eastAsia="宋体" w:cs="宋体"/>
                <w:color w:val="auto"/>
                <w:kern w:val="0"/>
                <w:sz w:val="22"/>
                <w:lang w:bidi="ar"/>
              </w:rPr>
              <w:t>24.支持整面多行拼接屏的画面同步功能，针对快速变化的画面不会出现撕裂、错位的现象。</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26.输出通道支持宏定义，设备的输出通道与物理显示设备的逻辑对应关系可调。</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27.支持业务智能恢复，输入输出卡更换后无需配置，可自动恢复至原来的工作状态。</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28.信号显示帧率不受开窗大小及输入路数的限制，保证信号显示的流畅性。</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29.支持国标GB28181协议、ONVIF标准协议接入设备。</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30.支持模拟音频输入输出，具有通道同步切换功能。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31.具备7x24 小时长时间连续开机工作的能力。</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32.设备支持不规则拼接方式，针对LED拼接的显示单元，可以设置每块LED单屏的有效显示区，不但降低了操作的复杂度，还提高了整体显示的效果。</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33.支持视频网络运维管理协议，实时监测设备的运行状态，对设备异常情况进行报警。</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34.可联控市面主流品牌矩阵切换器，开放联控接口。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35.支持集成中控功能，实现对大屏幕的开关控制。</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36.支持 RS232串口和网络TCP/IP控制，开放控制协议，可与各品牌中控系统轻松集成。</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37.支持移动终端软件控制，不用外加中控直接实现场景调取等功能。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38.支持故障检测功能，支持输入信号丢失检测，使用灰色标示。</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39.可在控制软件观看大屏回显，直接对UI中的可视化窗口进行操作。</w:t>
            </w:r>
          </w:p>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40.软件支持Windows操作系统和麒麟操作系统。</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多功能主机：</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1、设备接口应具备RS-232接口≥10路、HDMI 4K输入接口≥8路、HDMI 4K输出接口≥8路、3.5mm立体声输入接口≥4路、3.5mm立体声输出接口≥4路、RJ-45千兆网口≥8路；（须提供CMA、ilac-MRA及CNAS标识的权威第三方检测报告复印件并加盖生产制造厂商公章）</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2、具备≥10路RS-232控制端口，用于控制接入对应的摄像头、窗帘、功放、PLC、灯控等设备，同时支持1路RS-485、1路RS-422全功能接口；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3、设备具备1个5寸LCD全彩触摸屏，1个电源指示灯、1个数据传输指示灯、1个红外接收器、1路恢复出厂设置按键；（须提供CMA、ilac-MRA及CNAS标识的权威第三方检测报告复印件并加盖生产制造厂商公章）</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4、具备4G物联网功能，实现远程状态查询、周边环境控制；</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5、具备本地8+1路音视频同时录制功能。支持多路视频流合成录制并且支持8路独立画面和1路合成画面进行保存；</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6、具备录播视频重点部分进行马赛克及变声处理，用于防止出现视频资料外泄；</w:t>
            </w:r>
          </w:p>
          <w:p>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7、具备无需外加编、解码器及服务器，即可实现IPC接入及控制</w:t>
            </w:r>
            <w:r>
              <w:rPr>
                <w:rFonts w:hint="eastAsia" w:ascii="宋体" w:hAnsi="宋体" w:eastAsia="宋体" w:cs="宋体"/>
                <w:color w:val="auto"/>
                <w:kern w:val="0"/>
                <w:sz w:val="22"/>
                <w:lang w:bidi="ar"/>
              </w:rPr>
              <w:t>功能，最高可同时支持</w:t>
            </w:r>
            <w:r>
              <w:rPr>
                <w:rFonts w:ascii="宋体" w:hAnsi="宋体" w:eastAsia="宋体" w:cs="宋体"/>
                <w:color w:val="auto"/>
                <w:kern w:val="0"/>
                <w:sz w:val="22"/>
                <w:lang w:bidi="ar"/>
              </w:rPr>
              <w:t>8路4K@30网络接入，并且实时进行录制功能；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8、具备所见即所得的可视化交互式控制和显示功能，控制终端可实时预览回显所有视频信号；</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9、具备矩阵、拼接、交换机、中控、4G物联、多画面录播等功能；</w:t>
            </w:r>
          </w:p>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10、平均无故障运行时间不少于100000小时。</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rPr>
            </w:pPr>
          </w:p>
        </w:tc>
      </w:tr>
    </w:tbl>
    <w:p>
      <w:pPr>
        <w:adjustRightInd w:val="0"/>
        <w:snapToGrid w:val="0"/>
        <w:spacing w:line="600" w:lineRule="exact"/>
        <w:jc w:val="left"/>
        <w:rPr>
          <w:rFonts w:ascii="仿宋_GB2312" w:eastAsia="仿宋_GB2312"/>
          <w:color w:val="auto"/>
          <w:sz w:val="28"/>
          <w:szCs w:val="28"/>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4"/>
        <w:rPr>
          <w:color w:val="auto"/>
        </w:rPr>
      </w:pPr>
      <w:bookmarkStart w:id="97" w:name="_Toc12169"/>
      <w:bookmarkStart w:id="98" w:name="_Toc1563"/>
      <w:bookmarkStart w:id="99" w:name="_Toc3723"/>
      <w:bookmarkStart w:id="100" w:name="_Toc8147"/>
      <w:bookmarkStart w:id="101" w:name="_Toc28358"/>
      <w:bookmarkStart w:id="102" w:name="_Toc23515"/>
      <w:bookmarkStart w:id="103" w:name="_Toc6230"/>
      <w:bookmarkStart w:id="104" w:name="_Toc30824"/>
      <w:bookmarkStart w:id="105" w:name="_Toc16552"/>
      <w:bookmarkStart w:id="106" w:name="_Toc5129"/>
      <w:bookmarkStart w:id="107" w:name="_Toc21847"/>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rPr>
          <w:color w:val="auto"/>
        </w:rPr>
      </w:pPr>
      <w:r>
        <w:rPr>
          <w:color w:val="auto"/>
        </w:rPr>
        <mc:AlternateContent>
          <mc:Choice Requires="wps">
            <w:drawing>
              <wp:anchor distT="0" distB="0" distL="114300" distR="114300" simplePos="0" relativeHeight="251676672" behindDoc="0" locked="0" layoutInCell="1" allowOverlap="1">
                <wp:simplePos x="0" y="0"/>
                <wp:positionH relativeFrom="column">
                  <wp:posOffset>2162810</wp:posOffset>
                </wp:positionH>
                <wp:positionV relativeFrom="paragraph">
                  <wp:posOffset>740410</wp:posOffset>
                </wp:positionV>
                <wp:extent cx="958850" cy="0"/>
                <wp:effectExtent l="0" t="4445" r="0" b="5080"/>
                <wp:wrapNone/>
                <wp:docPr id="15" name="自选图形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170.3pt;margin-top:58.3pt;height:0pt;width:75.5pt;z-index:251676672;mso-width-relative:page;mso-height-relative:page;" filled="f" stroked="t" coordsize="21600,21600" o:gfxdata="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w+yx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wnNZtcAAAALAQAADwAAAAAAAAABACAAAAAiAAAAZHJzL2Rvd25yZXYueG1sUEsBAhQA&#10;FAAAAAgAh07iQHdUp+zzAQAA5AMAAA4AAAAAAAAAAQAgAAAAJgEAAGRycy9lMm9Eb2MueG1sUEsF&#10;BgAAAAAGAAYAWQEAAIsFA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77696" behindDoc="0" locked="0" layoutInCell="1" allowOverlap="1">
                <wp:simplePos x="0" y="0"/>
                <wp:positionH relativeFrom="column">
                  <wp:posOffset>2190115</wp:posOffset>
                </wp:positionH>
                <wp:positionV relativeFrom="paragraph">
                  <wp:posOffset>229870</wp:posOffset>
                </wp:positionV>
                <wp:extent cx="958850" cy="0"/>
                <wp:effectExtent l="0" t="4445" r="0" b="5080"/>
                <wp:wrapNone/>
                <wp:docPr id="16" name="自选图形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172.45pt;margin-top:18.1pt;height:0pt;width:75.5pt;z-index:25167769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AhFkA/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rPr>
        <w:t>第七章</w:t>
      </w:r>
      <w:bookmarkEnd w:id="97"/>
      <w:bookmarkEnd w:id="98"/>
      <w:bookmarkEnd w:id="99"/>
      <w:bookmarkEnd w:id="100"/>
      <w:bookmarkEnd w:id="101"/>
      <w:bookmarkEnd w:id="102"/>
      <w:bookmarkEnd w:id="103"/>
      <w:bookmarkEnd w:id="104"/>
      <w:bookmarkEnd w:id="105"/>
      <w:bookmarkEnd w:id="106"/>
      <w:bookmarkEnd w:id="107"/>
    </w:p>
    <w:p>
      <w:pPr>
        <w:pStyle w:val="38"/>
        <w:rPr>
          <w:color w:val="auto"/>
        </w:rPr>
      </w:pPr>
    </w:p>
    <w:p>
      <w:pPr>
        <w:pStyle w:val="4"/>
        <w:rPr>
          <w:color w:val="auto"/>
        </w:rPr>
      </w:pPr>
      <w:bookmarkStart w:id="108" w:name="_Toc24490"/>
      <w:bookmarkStart w:id="109" w:name="_Toc10840"/>
      <w:bookmarkStart w:id="110" w:name="_Toc88209951"/>
      <w:bookmarkStart w:id="111" w:name="_Toc5342"/>
      <w:bookmarkStart w:id="112" w:name="_Toc31564"/>
      <w:bookmarkStart w:id="113" w:name="_Toc87616388"/>
      <w:bookmarkStart w:id="114" w:name="_Toc22764"/>
      <w:bookmarkStart w:id="115" w:name="_Toc30157"/>
      <w:bookmarkStart w:id="116" w:name="_Toc24815"/>
      <w:bookmarkStart w:id="117" w:name="_Toc17119"/>
      <w:bookmarkStart w:id="118" w:name="_Toc12769"/>
      <w:bookmarkStart w:id="119" w:name="_Toc21675"/>
      <w:bookmarkStart w:id="120" w:name="_Toc12610"/>
      <w:r>
        <w:rPr>
          <w:rFonts w:hint="eastAsia"/>
          <w:color w:val="auto"/>
        </w:rPr>
        <w:t>响应文件格式要求</w:t>
      </w:r>
      <w:bookmarkEnd w:id="108"/>
      <w:bookmarkEnd w:id="109"/>
      <w:bookmarkEnd w:id="110"/>
      <w:bookmarkEnd w:id="111"/>
      <w:bookmarkEnd w:id="112"/>
      <w:bookmarkEnd w:id="113"/>
      <w:bookmarkEnd w:id="114"/>
      <w:bookmarkEnd w:id="115"/>
      <w:bookmarkEnd w:id="116"/>
      <w:bookmarkEnd w:id="117"/>
      <w:bookmarkEnd w:id="118"/>
      <w:bookmarkEnd w:id="119"/>
      <w:bookmarkEnd w:id="120"/>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color w:val="auto"/>
          <w:sz w:val="44"/>
          <w:szCs w:val="44"/>
          <w:u w:val="single"/>
        </w:rPr>
      </w:pPr>
      <w:r>
        <w:rPr>
          <w:rFonts w:hint="eastAsia" w:ascii="方正小标宋简体" w:eastAsia="方正小标宋简体"/>
          <w:color w:val="auto"/>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rPr>
      </w:pPr>
    </w:p>
    <w:p>
      <w:pPr>
        <w:adjustRightInd w:val="0"/>
        <w:snapToGrid w:val="0"/>
        <w:spacing w:before="156" w:beforeLines="50" w:after="156" w:afterLines="50" w:line="600" w:lineRule="exact"/>
        <w:jc w:val="center"/>
        <w:rPr>
          <w:rFonts w:ascii="仿宋_GB2312" w:eastAsia="仿宋_GB2312"/>
          <w:color w:val="auto"/>
          <w:sz w:val="30"/>
          <w:szCs w:val="30"/>
        </w:rPr>
      </w:pPr>
      <w:r>
        <w:rPr>
          <w:rFonts w:hint="eastAsia" w:ascii="仿宋_GB2312" w:eastAsia="仿宋_GB2312"/>
          <w:color w:val="auto"/>
          <w:sz w:val="30"/>
          <w:szCs w:val="30"/>
        </w:rPr>
        <w:t>（项目编号：</w:t>
      </w:r>
      <w:r>
        <w:rPr>
          <w:rFonts w:ascii="仿宋_GB2312" w:eastAsia="仿宋_GB2312"/>
          <w:color w:val="auto"/>
          <w:sz w:val="30"/>
          <w:szCs w:val="30"/>
        </w:rPr>
        <w:t xml:space="preserve">   </w:t>
      </w:r>
      <w:r>
        <w:rPr>
          <w:rFonts w:hint="eastAsia" w:ascii="仿宋_GB2312" w:eastAsia="仿宋_GB2312"/>
          <w:color w:val="auto"/>
          <w:sz w:val="30"/>
          <w:szCs w:val="30"/>
        </w:rPr>
        <w:t>）</w:t>
      </w: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adjustRightInd w:val="0"/>
        <w:snapToGrid w:val="0"/>
        <w:spacing w:before="156" w:beforeLines="50" w:after="156" w:afterLines="50" w:line="600" w:lineRule="exact"/>
        <w:rPr>
          <w:rFonts w:ascii="方正小标宋简体" w:eastAsia="方正小标宋简体"/>
          <w:color w:val="auto"/>
          <w:sz w:val="30"/>
          <w:szCs w:val="30"/>
        </w:rPr>
      </w:pPr>
    </w:p>
    <w:p>
      <w:pPr>
        <w:pStyle w:val="2"/>
        <w:rPr>
          <w:rFonts w:ascii="方正小标宋简体" w:eastAsia="方正小标宋简体"/>
          <w:color w:val="auto"/>
          <w:sz w:val="30"/>
          <w:szCs w:val="30"/>
        </w:rPr>
      </w:pPr>
    </w:p>
    <w:p>
      <w:pPr>
        <w:pStyle w:val="2"/>
        <w:rPr>
          <w:rFonts w:ascii="方正小标宋简体" w:eastAsia="方正小标宋简体"/>
          <w:color w:val="auto"/>
          <w:sz w:val="30"/>
          <w:szCs w:val="30"/>
        </w:rPr>
      </w:pPr>
    </w:p>
    <w:p>
      <w:pPr>
        <w:pStyle w:val="2"/>
        <w:rPr>
          <w:rFonts w:ascii="方正小标宋简体" w:eastAsia="方正小标宋简体"/>
          <w:color w:val="auto"/>
          <w:sz w:val="30"/>
          <w:szCs w:val="30"/>
        </w:rPr>
      </w:pPr>
    </w:p>
    <w:p>
      <w:pPr>
        <w:pStyle w:val="2"/>
        <w:rPr>
          <w:rFonts w:ascii="方正小标宋简体" w:eastAsia="方正小标宋简体"/>
          <w:color w:val="auto"/>
          <w:sz w:val="30"/>
          <w:szCs w:val="30"/>
        </w:rPr>
      </w:pPr>
    </w:p>
    <w:p>
      <w:pPr>
        <w:pStyle w:val="2"/>
        <w:rPr>
          <w:rFonts w:ascii="方正小标宋简体" w:eastAsia="方正小标宋简体"/>
          <w:color w:val="auto"/>
          <w:sz w:val="30"/>
          <w:szCs w:val="30"/>
        </w:rPr>
      </w:pPr>
    </w:p>
    <w:p>
      <w:pPr>
        <w:pStyle w:val="2"/>
        <w:rPr>
          <w:rFonts w:ascii="方正小标宋简体" w:eastAsia="方正小标宋简体"/>
          <w:color w:val="auto"/>
          <w:sz w:val="30"/>
          <w:szCs w:val="30"/>
        </w:rPr>
      </w:pPr>
    </w:p>
    <w:p>
      <w:pPr>
        <w:pStyle w:val="2"/>
        <w:rPr>
          <w:rFonts w:ascii="方正小标宋简体" w:eastAsia="方正小标宋简体"/>
          <w:color w:val="auto"/>
          <w:sz w:val="30"/>
          <w:szCs w:val="30"/>
        </w:rPr>
      </w:pPr>
    </w:p>
    <w:p>
      <w:pPr>
        <w:pStyle w:val="2"/>
        <w:rPr>
          <w:rFonts w:ascii="方正小标宋简体" w:eastAsia="方正小标宋简体"/>
          <w:color w:val="auto"/>
          <w:sz w:val="30"/>
          <w:szCs w:val="30"/>
        </w:rPr>
      </w:pPr>
    </w:p>
    <w:p>
      <w:pPr>
        <w:pStyle w:val="2"/>
        <w:rPr>
          <w:rFonts w:ascii="方正小标宋简体" w:eastAsia="方正小标宋简体"/>
          <w:color w:val="auto"/>
          <w:sz w:val="30"/>
          <w:szCs w:val="30"/>
        </w:rPr>
      </w:pPr>
    </w:p>
    <w:p>
      <w:pPr>
        <w:pStyle w:val="2"/>
        <w:rPr>
          <w:rFonts w:ascii="方正小标宋简体" w:eastAsia="方正小标宋简体"/>
          <w:color w:val="auto"/>
          <w:sz w:val="30"/>
          <w:szCs w:val="30"/>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rPr>
          <w:rFonts w:ascii="方正小标宋简体" w:eastAsia="方正小标宋简体"/>
          <w:color w:val="auto"/>
          <w:sz w:val="30"/>
          <w:szCs w:val="30"/>
        </w:rPr>
      </w:pPr>
    </w:p>
    <w:p>
      <w:pPr>
        <w:pStyle w:val="2"/>
        <w:ind w:firstLine="0"/>
        <w:rPr>
          <w:rFonts w:ascii="方正小标宋简体" w:eastAsia="方正小标宋简体"/>
          <w:color w:val="auto"/>
          <w:sz w:val="30"/>
          <w:szCs w:val="30"/>
        </w:rPr>
      </w:pPr>
    </w:p>
    <w:p>
      <w:pPr>
        <w:pStyle w:val="2"/>
        <w:rPr>
          <w:rFonts w:ascii="方正小标宋简体" w:eastAsia="方正小标宋简体"/>
          <w:color w:val="auto"/>
          <w:sz w:val="30"/>
          <w:szCs w:val="30"/>
        </w:rPr>
      </w:pPr>
    </w:p>
    <w:p>
      <w:pPr>
        <w:adjustRightInd w:val="0"/>
        <w:snapToGrid w:val="0"/>
        <w:spacing w:before="156" w:beforeLines="50" w:after="156" w:afterLines="50" w:line="60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目录</w:t>
      </w:r>
    </w:p>
    <w:p>
      <w:pPr>
        <w:spacing w:line="600" w:lineRule="exact"/>
        <w:rPr>
          <w:rFonts w:ascii="仿宋_GB2312" w:eastAsia="仿宋_GB2312"/>
          <w:color w:val="auto"/>
          <w:sz w:val="28"/>
          <w:szCs w:val="28"/>
        </w:rPr>
      </w:pPr>
      <w:bookmarkStart w:id="121" w:name="_Toc88209952"/>
      <w:bookmarkStart w:id="122" w:name="_Toc87616389"/>
    </w:p>
    <w:p>
      <w:pPr>
        <w:spacing w:line="600" w:lineRule="exact"/>
        <w:rPr>
          <w:rFonts w:ascii="仿宋_GB2312" w:eastAsia="仿宋_GB2312"/>
          <w:color w:val="auto"/>
          <w:sz w:val="28"/>
          <w:szCs w:val="28"/>
        </w:rPr>
      </w:pPr>
    </w:p>
    <w:p>
      <w:pPr>
        <w:spacing w:line="600" w:lineRule="exact"/>
        <w:rPr>
          <w:rFonts w:ascii="仿宋_GB2312" w:eastAsia="仿宋_GB2312"/>
          <w:color w:val="auto"/>
          <w:sz w:val="28"/>
          <w:szCs w:val="28"/>
        </w:rPr>
      </w:pPr>
      <w:r>
        <w:rPr>
          <w:rFonts w:hint="eastAsia" w:ascii="仿宋_GB2312" w:eastAsia="仿宋_GB2312"/>
          <w:color w:val="auto"/>
          <w:sz w:val="28"/>
          <w:szCs w:val="28"/>
        </w:rPr>
        <w:t>1.响应函</w:t>
      </w:r>
      <w:bookmarkEnd w:id="121"/>
      <w:bookmarkEnd w:id="122"/>
    </w:p>
    <w:p>
      <w:pPr>
        <w:spacing w:line="600" w:lineRule="exact"/>
        <w:rPr>
          <w:rFonts w:ascii="仿宋_GB2312" w:eastAsia="仿宋_GB2312"/>
          <w:color w:val="auto"/>
          <w:sz w:val="28"/>
          <w:szCs w:val="28"/>
        </w:rPr>
      </w:pPr>
      <w:bookmarkStart w:id="123" w:name="_Toc87616390"/>
      <w:bookmarkStart w:id="124" w:name="_Toc88209953"/>
      <w:r>
        <w:rPr>
          <w:rFonts w:hint="eastAsia" w:ascii="仿宋_GB2312" w:eastAsia="仿宋_GB2312"/>
          <w:color w:val="auto"/>
          <w:sz w:val="28"/>
          <w:szCs w:val="28"/>
        </w:rPr>
        <w:t>2.法定代表人证明或授权委托书</w:t>
      </w:r>
      <w:bookmarkEnd w:id="123"/>
      <w:bookmarkEnd w:id="124"/>
      <w:bookmarkStart w:id="125" w:name="_Toc88209956"/>
      <w:bookmarkStart w:id="126" w:name="_Toc87616393"/>
      <w:r>
        <w:rPr>
          <w:rFonts w:ascii="仿宋_GB2312" w:eastAsia="仿宋_GB2312"/>
          <w:color w:val="auto"/>
          <w:sz w:val="28"/>
          <w:szCs w:val="28"/>
        </w:rPr>
        <w:cr/>
      </w:r>
      <w:r>
        <w:rPr>
          <w:rFonts w:hint="eastAsia" w:ascii="仿宋_GB2312" w:eastAsia="仿宋_GB2312"/>
          <w:color w:val="auto"/>
          <w:sz w:val="28"/>
          <w:szCs w:val="28"/>
        </w:rPr>
        <w:t>3.资格审查资料</w:t>
      </w:r>
      <w:r>
        <w:rPr>
          <w:rFonts w:ascii="仿宋_GB2312" w:eastAsia="仿宋_GB2312"/>
          <w:color w:val="auto"/>
          <w:sz w:val="28"/>
          <w:szCs w:val="28"/>
        </w:rPr>
        <w:cr/>
      </w:r>
      <w:r>
        <w:rPr>
          <w:rFonts w:hint="eastAsia" w:ascii="仿宋_GB2312" w:eastAsia="仿宋_GB2312"/>
          <w:color w:val="auto"/>
          <w:sz w:val="28"/>
          <w:szCs w:val="28"/>
        </w:rPr>
        <w:t>4.拟投入本项目的项目负责人情况表</w:t>
      </w:r>
    </w:p>
    <w:p>
      <w:pPr>
        <w:spacing w:line="600" w:lineRule="exact"/>
        <w:rPr>
          <w:rFonts w:ascii="仿宋_GB2312" w:eastAsia="仿宋_GB2312"/>
          <w:color w:val="auto"/>
          <w:sz w:val="28"/>
          <w:szCs w:val="28"/>
        </w:rPr>
      </w:pPr>
      <w:r>
        <w:rPr>
          <w:rFonts w:hint="eastAsia" w:ascii="仿宋_GB2312" w:eastAsia="仿宋_GB2312"/>
          <w:color w:val="auto"/>
          <w:sz w:val="28"/>
          <w:szCs w:val="28"/>
        </w:rPr>
        <w:t>5.报价表</w:t>
      </w:r>
      <w:r>
        <w:rPr>
          <w:rFonts w:ascii="仿宋_GB2312" w:eastAsia="仿宋_GB2312"/>
          <w:color w:val="auto"/>
          <w:sz w:val="28"/>
          <w:szCs w:val="28"/>
        </w:rPr>
        <w:cr/>
      </w:r>
      <w:r>
        <w:rPr>
          <w:rFonts w:hint="eastAsia" w:ascii="仿宋_GB2312" w:eastAsia="仿宋_GB2312"/>
          <w:color w:val="auto"/>
          <w:sz w:val="28"/>
          <w:szCs w:val="28"/>
        </w:rPr>
        <w:t>6.其他资料</w:t>
      </w:r>
      <w:bookmarkEnd w:id="125"/>
      <w:bookmarkEnd w:id="126"/>
      <w:r>
        <w:rPr>
          <w:rFonts w:ascii="仿宋_GB2312" w:eastAsia="仿宋_GB2312"/>
          <w:color w:val="auto"/>
          <w:sz w:val="28"/>
          <w:szCs w:val="28"/>
        </w:rPr>
        <w:cr/>
      </w:r>
      <w:r>
        <w:rPr>
          <w:rFonts w:hint="eastAsia" w:ascii="仿宋_GB2312" w:eastAsia="仿宋_GB2312"/>
          <w:color w:val="auto"/>
          <w:sz w:val="28"/>
          <w:szCs w:val="28"/>
        </w:rPr>
        <w:t>7.其他资料</w:t>
      </w: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color w:val="auto"/>
        </w:rPr>
      </w:pPr>
    </w:p>
    <w:p>
      <w:pPr>
        <w:pStyle w:val="6"/>
        <w:spacing w:line="240" w:lineRule="auto"/>
        <w:rPr>
          <w:rFonts w:asciiTheme="minorEastAsia" w:hAnsiTheme="minorEastAsia" w:eastAsiaTheme="minorEastAsia"/>
          <w:color w:val="auto"/>
          <w:sz w:val="28"/>
          <w:szCs w:val="28"/>
        </w:rPr>
      </w:pPr>
      <w:bookmarkStart w:id="127" w:name="_Toc87616394"/>
      <w:bookmarkStart w:id="128" w:name="_Toc6313"/>
      <w:bookmarkStart w:id="129" w:name="_Toc28619645"/>
      <w:bookmarkStart w:id="130" w:name="_Toc12665"/>
      <w:bookmarkStart w:id="131" w:name="_Toc88209957"/>
      <w:r>
        <w:rPr>
          <w:rFonts w:asciiTheme="minorEastAsia" w:hAnsiTheme="minorEastAsia" w:eastAsiaTheme="minorEastAsia"/>
          <w:color w:val="auto"/>
          <w:sz w:val="28"/>
          <w:szCs w:val="28"/>
        </w:rPr>
        <w:t>1.响应函</w:t>
      </w:r>
      <w:bookmarkEnd w:id="127"/>
      <w:bookmarkEnd w:id="128"/>
      <w:bookmarkEnd w:id="129"/>
      <w:bookmarkEnd w:id="130"/>
      <w:bookmarkEnd w:id="131"/>
    </w:p>
    <w:p>
      <w:pPr>
        <w:spacing w:line="360" w:lineRule="auto"/>
        <w:rPr>
          <w:rFonts w:ascii="仿宋_GB2312" w:hAnsi="黑体" w:eastAsia="仿宋_GB2312"/>
          <w:color w:val="auto"/>
          <w:sz w:val="28"/>
          <w:szCs w:val="28"/>
        </w:rPr>
      </w:pPr>
      <w:r>
        <w:rPr>
          <w:rFonts w:ascii="仿宋_GB2312" w:hAnsi="黑体" w:eastAsia="仿宋_GB2312"/>
          <w:color w:val="auto"/>
          <w:sz w:val="28"/>
          <w:szCs w:val="28"/>
        </w:rPr>
        <w:t>1.1响应函</w:t>
      </w:r>
    </w:p>
    <w:p>
      <w:pPr>
        <w:spacing w:line="240" w:lineRule="auto"/>
        <w:rPr>
          <w:rFonts w:ascii="仿宋_GB2312" w:hAnsi="黑体" w:eastAsia="仿宋_GB2312"/>
          <w:color w:val="auto"/>
          <w:sz w:val="28"/>
          <w:szCs w:val="28"/>
          <w:u w:val="single"/>
        </w:rPr>
      </w:pPr>
      <w:r>
        <w:rPr>
          <w:rFonts w:hint="eastAsia" w:ascii="仿宋_GB2312" w:hAnsi="黑体" w:eastAsia="仿宋_GB2312"/>
          <w:color w:val="auto"/>
          <w:sz w:val="28"/>
          <w:szCs w:val="28"/>
          <w:u w:val="single"/>
        </w:rPr>
        <w:t>至广州市净水有限公司：</w:t>
      </w:r>
    </w:p>
    <w:p>
      <w:pPr>
        <w:spacing w:line="240" w:lineRule="auto"/>
        <w:ind w:firstLine="560" w:firstLineChars="200"/>
        <w:rPr>
          <w:rFonts w:ascii="仿宋_GB2312" w:hAnsi="黑体" w:eastAsia="仿宋_GB2312"/>
          <w:color w:val="auto"/>
          <w:sz w:val="28"/>
          <w:szCs w:val="28"/>
        </w:rPr>
      </w:pPr>
      <w:r>
        <w:rPr>
          <w:rFonts w:ascii="仿宋_GB2312" w:hAnsi="黑体" w:eastAsia="仿宋_GB2312"/>
          <w:color w:val="auto"/>
          <w:sz w:val="28"/>
          <w:szCs w:val="28"/>
        </w:rPr>
        <w:t>1.我方已仔细研究了</w:t>
      </w:r>
      <w:r>
        <w:rPr>
          <w:rFonts w:hint="eastAsia" w:ascii="仿宋_GB2312" w:hAnsi="黑体" w:eastAsia="仿宋_GB2312"/>
          <w:color w:val="auto"/>
          <w:sz w:val="28"/>
          <w:szCs w:val="28"/>
          <w:u w:val="single"/>
        </w:rPr>
        <w:t>（项目名称、项目编号、标段</w:t>
      </w:r>
      <w:r>
        <w:rPr>
          <w:rFonts w:ascii="仿宋_GB2312" w:hAnsi="黑体" w:eastAsia="仿宋_GB2312"/>
          <w:color w:val="auto"/>
          <w:sz w:val="28"/>
          <w:szCs w:val="28"/>
          <w:u w:val="single"/>
        </w:rPr>
        <w:t xml:space="preserve">/标包号）   </w:t>
      </w:r>
      <w:r>
        <w:rPr>
          <w:rFonts w:hint="eastAsia" w:ascii="仿宋_GB2312" w:hAnsi="黑体" w:eastAsia="仿宋_GB2312"/>
          <w:color w:val="auto"/>
          <w:sz w:val="28"/>
          <w:szCs w:val="28"/>
        </w:rPr>
        <w:t>采购文件的全部内容，愿意以含税价人民币（大写）</w:t>
      </w:r>
      <w:r>
        <w:rPr>
          <w:rFonts w:ascii="仿宋_GB2312" w:hAnsi="黑体" w:eastAsia="仿宋_GB2312"/>
          <w:color w:val="auto"/>
          <w:sz w:val="28"/>
          <w:szCs w:val="28"/>
        </w:rPr>
        <w:t>(</w:t>
      </w:r>
      <w:r>
        <w:rPr>
          <w:rFonts w:ascii="宋体" w:hAnsi="宋体" w:eastAsia="仿宋_GB2312"/>
          <w:color w:val="auto"/>
          <w:sz w:val="28"/>
          <w:szCs w:val="28"/>
        </w:rPr>
        <w:t>¥</w:t>
      </w:r>
      <w:r>
        <w:rPr>
          <w:rFonts w:ascii="仿宋_GB2312" w:hAnsi="黑体" w:eastAsia="仿宋_GB2312"/>
          <w:color w:val="auto"/>
          <w:sz w:val="28"/>
          <w:szCs w:val="28"/>
          <w:u w:val="single"/>
        </w:rPr>
        <w:tab/>
      </w:r>
      <w:r>
        <w:rPr>
          <w:rFonts w:ascii="仿宋_GB2312" w:hAnsi="黑体" w:eastAsia="仿宋_GB2312"/>
          <w:color w:val="auto"/>
          <w:sz w:val="28"/>
          <w:szCs w:val="28"/>
          <w:u w:val="single"/>
        </w:rPr>
        <w:tab/>
      </w:r>
      <w:r>
        <w:rPr>
          <w:rFonts w:ascii="仿宋_GB2312" w:hAnsi="黑体" w:eastAsia="仿宋_GB2312"/>
          <w:color w:val="auto"/>
          <w:sz w:val="28"/>
          <w:szCs w:val="28"/>
          <w:u w:val="single"/>
        </w:rPr>
        <w:tab/>
      </w:r>
      <w:r>
        <w:rPr>
          <w:rFonts w:ascii="仿宋_GB2312" w:hAnsi="黑体" w:eastAsia="仿宋_GB2312"/>
          <w:color w:val="auto"/>
          <w:sz w:val="28"/>
          <w:szCs w:val="28"/>
          <w:u w:val="single"/>
        </w:rPr>
        <w:tab/>
      </w:r>
      <w:r>
        <w:rPr>
          <w:rFonts w:hint="eastAsia" w:ascii="仿宋_GB2312" w:hAnsi="黑体" w:eastAsia="仿宋_GB2312"/>
          <w:color w:val="auto"/>
          <w:sz w:val="28"/>
          <w:szCs w:val="28"/>
        </w:rPr>
        <w:t>）的报价（其中，不含税价为；增值税为）完成</w:t>
      </w:r>
      <w:r>
        <w:rPr>
          <w:rFonts w:ascii="仿宋_GB2312" w:hAnsi="黑体" w:eastAsia="仿宋_GB2312"/>
          <w:color w:val="auto"/>
          <w:sz w:val="28"/>
          <w:szCs w:val="28"/>
        </w:rPr>
        <w:t>/提供本项目</w:t>
      </w:r>
      <w:r>
        <w:rPr>
          <w:rFonts w:hint="eastAsia" w:ascii="仿宋_GB2312" w:eastAsia="仿宋_GB2312" w:hAnsiTheme="minorEastAsia"/>
          <w:color w:val="auto"/>
          <w:sz w:val="28"/>
          <w:szCs w:val="28"/>
        </w:rPr>
        <w:t>□</w:t>
      </w:r>
      <w:r>
        <w:rPr>
          <w:rFonts w:hint="eastAsia" w:ascii="仿宋_GB2312" w:hAnsi="黑体" w:eastAsia="仿宋_GB2312"/>
          <w:color w:val="auto"/>
          <w:sz w:val="28"/>
          <w:szCs w:val="28"/>
        </w:rPr>
        <w:t>工程</w:t>
      </w:r>
      <w:r>
        <w:rPr>
          <w:rFonts w:ascii="仿宋_GB2312" w:hAnsi="黑体" w:eastAsia="仿宋_GB2312"/>
          <w:color w:val="auto"/>
          <w:sz w:val="28"/>
          <w:szCs w:val="28"/>
        </w:rPr>
        <w:t xml:space="preserve"> </w:t>
      </w:r>
      <w:r>
        <w:rPr>
          <w:rFonts w:ascii="仿宋_GB2312" w:eastAsia="仿宋_GB2312" w:hAnsiTheme="minorEastAsia"/>
          <w:color w:val="auto"/>
          <w:sz w:val="28"/>
          <w:szCs w:val="28"/>
        </w:rPr>
        <w:sym w:font="Wingdings 2" w:char="0052"/>
      </w:r>
      <w:r>
        <w:rPr>
          <w:rFonts w:hint="eastAsia" w:ascii="仿宋_GB2312" w:hAnsi="黑体" w:eastAsia="仿宋_GB2312"/>
          <w:color w:val="auto"/>
          <w:sz w:val="28"/>
          <w:szCs w:val="28"/>
        </w:rPr>
        <w:t>货物</w:t>
      </w:r>
      <w:r>
        <w:rPr>
          <w:rFonts w:hint="eastAsia" w:ascii="仿宋_GB2312" w:eastAsia="仿宋_GB2312" w:hAnsiTheme="minorEastAsia"/>
          <w:color w:val="auto"/>
          <w:sz w:val="28"/>
          <w:szCs w:val="28"/>
        </w:rPr>
        <w:t>□</w:t>
      </w:r>
      <w:r>
        <w:rPr>
          <w:rFonts w:hint="eastAsia" w:ascii="仿宋_GB2312" w:hAnsi="黑体" w:eastAsia="仿宋_GB2312"/>
          <w:color w:val="auto"/>
          <w:sz w:val="28"/>
          <w:szCs w:val="28"/>
        </w:rPr>
        <w:t>服务并按合同约定履行义务。</w:t>
      </w:r>
    </w:p>
    <w:p>
      <w:pPr>
        <w:spacing w:line="240" w:lineRule="auto"/>
        <w:ind w:firstLine="560" w:firstLineChars="200"/>
        <w:rPr>
          <w:rFonts w:ascii="仿宋_GB2312" w:hAnsi="黑体" w:eastAsia="仿宋_GB2312"/>
          <w:color w:val="auto"/>
          <w:sz w:val="28"/>
          <w:szCs w:val="28"/>
        </w:rPr>
      </w:pPr>
      <w:r>
        <w:rPr>
          <w:rFonts w:ascii="仿宋_GB2312" w:hAnsi="黑体" w:eastAsia="仿宋_GB2312"/>
          <w:color w:val="auto"/>
          <w:sz w:val="28"/>
          <w:szCs w:val="28"/>
        </w:rPr>
        <w:t>2.我方响应文件包括下列内容：</w:t>
      </w:r>
    </w:p>
    <w:p>
      <w:pPr>
        <w:spacing w:line="240" w:lineRule="auto"/>
        <w:ind w:firstLine="560" w:firstLineChars="200"/>
        <w:rPr>
          <w:rFonts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1）响应函</w:t>
      </w:r>
    </w:p>
    <w:p>
      <w:pPr>
        <w:spacing w:line="240" w:lineRule="auto"/>
        <w:ind w:firstLine="560" w:firstLineChars="200"/>
        <w:rPr>
          <w:rFonts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2）法定代表人证明或授权委托书</w:t>
      </w:r>
    </w:p>
    <w:p>
      <w:pPr>
        <w:spacing w:line="240" w:lineRule="auto"/>
        <w:ind w:firstLine="560" w:firstLineChars="200"/>
        <w:rPr>
          <w:rFonts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3）资格审查资料</w:t>
      </w:r>
    </w:p>
    <w:p>
      <w:pPr>
        <w:spacing w:line="240" w:lineRule="auto"/>
        <w:ind w:firstLine="560" w:firstLineChars="200"/>
        <w:rPr>
          <w:rFonts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4）拟投入本项目的项目负责人情况表</w:t>
      </w:r>
    </w:p>
    <w:p>
      <w:pPr>
        <w:spacing w:line="240" w:lineRule="auto"/>
        <w:ind w:firstLine="560" w:firstLineChars="200"/>
        <w:rPr>
          <w:rFonts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5）报价表</w:t>
      </w:r>
    </w:p>
    <w:p>
      <w:pPr>
        <w:spacing w:line="240" w:lineRule="auto"/>
        <w:ind w:firstLine="560" w:firstLineChars="200"/>
        <w:rPr>
          <w:rFonts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6）承诺函</w:t>
      </w:r>
    </w:p>
    <w:p>
      <w:pPr>
        <w:spacing w:line="240" w:lineRule="auto"/>
        <w:ind w:firstLine="560" w:firstLineChars="200"/>
        <w:rPr>
          <w:rFonts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7）其他资料</w:t>
      </w:r>
    </w:p>
    <w:p>
      <w:pPr>
        <w:spacing w:line="240" w:lineRule="auto"/>
        <w:ind w:firstLine="560" w:firstLineChars="200"/>
        <w:rPr>
          <w:rFonts w:ascii="仿宋_GB2312" w:hAnsi="黑体" w:eastAsia="仿宋_GB2312"/>
          <w:color w:val="auto"/>
          <w:sz w:val="28"/>
          <w:szCs w:val="28"/>
        </w:rPr>
      </w:pPr>
      <w:r>
        <w:rPr>
          <w:rFonts w:hint="eastAsia" w:ascii="仿宋_GB2312" w:hAnsi="黑体" w:eastAsia="仿宋_GB2312"/>
          <w:color w:val="auto"/>
          <w:sz w:val="28"/>
          <w:szCs w:val="28"/>
        </w:rPr>
        <w:t>响应文件的上述组成部分如有不一致的内容，以响应函为准。</w:t>
      </w:r>
    </w:p>
    <w:p>
      <w:pPr>
        <w:spacing w:line="240" w:lineRule="auto"/>
        <w:ind w:firstLine="560" w:firstLineChars="200"/>
        <w:rPr>
          <w:rFonts w:ascii="仿宋_GB2312" w:hAnsi="黑体" w:eastAsia="仿宋_GB2312"/>
          <w:color w:val="auto"/>
          <w:sz w:val="28"/>
          <w:szCs w:val="28"/>
        </w:rPr>
      </w:pPr>
      <w:r>
        <w:rPr>
          <w:rFonts w:ascii="仿宋_GB2312" w:hAnsi="黑体" w:eastAsia="仿宋_GB2312"/>
          <w:color w:val="auto"/>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240" w:lineRule="auto"/>
        <w:ind w:firstLine="560" w:firstLineChars="200"/>
        <w:rPr>
          <w:rFonts w:ascii="仿宋_GB2312" w:hAnsi="黑体" w:eastAsia="仿宋_GB2312"/>
          <w:color w:val="auto"/>
          <w:sz w:val="28"/>
          <w:szCs w:val="28"/>
        </w:rPr>
      </w:pPr>
      <w:r>
        <w:rPr>
          <w:rFonts w:ascii="仿宋_GB2312" w:hAnsi="黑体" w:eastAsia="仿宋_GB2312"/>
          <w:color w:val="auto"/>
          <w:sz w:val="28"/>
          <w:szCs w:val="28"/>
        </w:rPr>
        <w:t>4.我方承诺在</w:t>
      </w:r>
      <w:r>
        <w:rPr>
          <w:rFonts w:hint="eastAsia" w:ascii="仿宋_GB2312" w:hAnsi="黑体" w:eastAsia="仿宋_GB2312"/>
          <w:color w:val="auto"/>
          <w:sz w:val="28"/>
          <w:szCs w:val="28"/>
        </w:rPr>
        <w:t>采购</w:t>
      </w:r>
      <w:r>
        <w:rPr>
          <w:rFonts w:ascii="仿宋_GB2312" w:hAnsi="黑体" w:eastAsia="仿宋_GB2312"/>
          <w:color w:val="auto"/>
          <w:sz w:val="28"/>
          <w:szCs w:val="28"/>
        </w:rPr>
        <w:t>文件有效期内不撤销响应文件。</w:t>
      </w:r>
    </w:p>
    <w:p>
      <w:pPr>
        <w:spacing w:line="240" w:lineRule="auto"/>
        <w:ind w:firstLine="560" w:firstLineChars="200"/>
        <w:rPr>
          <w:rFonts w:ascii="仿宋_GB2312" w:hAnsi="黑体" w:eastAsia="仿宋_GB2312"/>
          <w:color w:val="auto"/>
          <w:sz w:val="28"/>
          <w:szCs w:val="28"/>
        </w:rPr>
      </w:pPr>
      <w:r>
        <w:rPr>
          <w:rFonts w:ascii="仿宋_GB2312" w:hAnsi="黑体" w:eastAsia="仿宋_GB2312"/>
          <w:color w:val="auto"/>
          <w:sz w:val="28"/>
          <w:szCs w:val="28"/>
        </w:rPr>
        <w:t>5.如我方</w:t>
      </w:r>
      <w:r>
        <w:rPr>
          <w:rFonts w:hint="eastAsia" w:ascii="仿宋_GB2312" w:hAnsi="黑体" w:eastAsia="仿宋_GB2312"/>
          <w:color w:val="auto"/>
          <w:sz w:val="28"/>
          <w:szCs w:val="28"/>
        </w:rPr>
        <w:t>成交</w:t>
      </w:r>
      <w:r>
        <w:rPr>
          <w:rFonts w:ascii="仿宋_GB2312" w:hAnsi="黑体" w:eastAsia="仿宋_GB2312"/>
          <w:color w:val="auto"/>
          <w:sz w:val="28"/>
          <w:szCs w:val="28"/>
        </w:rPr>
        <w:t>，我方承诺：</w:t>
      </w:r>
    </w:p>
    <w:p>
      <w:pPr>
        <w:spacing w:line="240" w:lineRule="auto"/>
        <w:ind w:firstLine="560" w:firstLineChars="200"/>
        <w:rPr>
          <w:rFonts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1）在收到成交通知书后，在成交通知书规定的期限内与你方签订合同；</w:t>
      </w:r>
    </w:p>
    <w:p>
      <w:pPr>
        <w:spacing w:line="240" w:lineRule="auto"/>
        <w:ind w:firstLine="560" w:firstLineChars="200"/>
        <w:rPr>
          <w:rFonts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2）在签订合同时不向你方提出附加条件；</w:t>
      </w:r>
    </w:p>
    <w:p>
      <w:pPr>
        <w:spacing w:line="240" w:lineRule="auto"/>
        <w:ind w:firstLine="560" w:firstLineChars="200"/>
        <w:rPr>
          <w:rFonts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3）按照采购文件要求提交履约保证金；</w:t>
      </w:r>
    </w:p>
    <w:p>
      <w:pPr>
        <w:spacing w:line="240" w:lineRule="auto"/>
        <w:ind w:firstLine="560" w:firstLineChars="200"/>
        <w:rPr>
          <w:rFonts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4）在合同约定的期限内完成合同规定的全部义务。</w:t>
      </w:r>
    </w:p>
    <w:p>
      <w:pPr>
        <w:spacing w:line="240" w:lineRule="auto"/>
        <w:ind w:firstLine="560" w:firstLineChars="200"/>
        <w:rPr>
          <w:rFonts w:ascii="仿宋_GB2312" w:hAnsi="黑体" w:eastAsia="仿宋_GB2312"/>
          <w:color w:val="auto"/>
          <w:sz w:val="28"/>
          <w:szCs w:val="28"/>
        </w:rPr>
      </w:pPr>
      <w:r>
        <w:rPr>
          <w:rFonts w:ascii="仿宋_GB2312" w:hAnsi="黑体" w:eastAsia="仿宋_GB2312"/>
          <w:color w:val="auto"/>
          <w:sz w:val="28"/>
          <w:szCs w:val="28"/>
        </w:rPr>
        <w:t>6.我方在此声明，所递交的响应文件及有关资料内容完整、真实和准确，且不存在采购公告中供应商不得存在的情形。</w:t>
      </w:r>
    </w:p>
    <w:p>
      <w:pPr>
        <w:spacing w:line="240" w:lineRule="auto"/>
        <w:ind w:firstLine="560" w:firstLineChars="200"/>
        <w:rPr>
          <w:rFonts w:ascii="仿宋_GB2312" w:hAnsi="黑体" w:eastAsia="仿宋_GB2312"/>
          <w:color w:val="auto"/>
          <w:sz w:val="28"/>
          <w:szCs w:val="28"/>
        </w:rPr>
      </w:pPr>
      <w:r>
        <w:rPr>
          <w:rFonts w:ascii="仿宋_GB2312" w:hAnsi="黑体" w:eastAsia="仿宋_GB2312"/>
          <w:color w:val="auto"/>
          <w:sz w:val="28"/>
          <w:szCs w:val="28"/>
        </w:rPr>
        <w:t>7.</w:t>
      </w:r>
      <w:r>
        <w:rPr>
          <w:rFonts w:hint="eastAsia" w:ascii="仿宋_GB2312" w:hAnsi="仿宋_GB2312" w:eastAsia="仿宋_GB2312" w:cs="仿宋_GB2312"/>
          <w:color w:val="auto"/>
          <w:sz w:val="28"/>
          <w:szCs w:val="28"/>
        </w:rPr>
        <w:t>我司承诺，所供货物符合询价要求；</w:t>
      </w:r>
      <w:r>
        <w:rPr>
          <w:rFonts w:hint="eastAsia" w:ascii="仿宋_GB2312" w:hAnsi="仿宋_GB2312" w:eastAsia="仿宋_GB2312" w:cs="仿宋_GB2312"/>
          <w:bCs/>
          <w:color w:val="auto"/>
          <w:sz w:val="28"/>
          <w:szCs w:val="28"/>
        </w:rPr>
        <w:t>交货时间以签订合同之日开始算起，按清单所要求的时间到货。</w:t>
      </w:r>
      <w:r>
        <w:rPr>
          <w:rFonts w:hint="eastAsia" w:ascii="仿宋_GB2312" w:hAnsi="仿宋_GB2312" w:eastAsia="仿宋_GB2312" w:cs="仿宋_GB2312"/>
          <w:color w:val="auto"/>
          <w:sz w:val="28"/>
          <w:szCs w:val="28"/>
        </w:rPr>
        <w:t>所供货物皆为原装全新、质量合格的产品；并承诺货物自设备开箱验收合格之日起</w:t>
      </w:r>
      <w:r>
        <w:rPr>
          <w:rFonts w:ascii="仿宋_GB2312" w:hAnsi="仿宋_GB2312" w:eastAsia="仿宋_GB2312" w:cs="仿宋_GB2312"/>
          <w:color w:val="auto"/>
          <w:sz w:val="28"/>
          <w:szCs w:val="28"/>
        </w:rPr>
        <w:t xml:space="preserve"> 1 </w:t>
      </w:r>
      <w:r>
        <w:rPr>
          <w:rFonts w:hint="eastAsia" w:ascii="仿宋_GB2312" w:hAnsi="仿宋_GB2312" w:eastAsia="仿宋_GB2312" w:cs="仿宋_GB2312"/>
          <w:color w:val="auto"/>
          <w:sz w:val="28"/>
          <w:szCs w:val="28"/>
        </w:rPr>
        <w:t>年内免费提供维保服务。保修期内我司应免费对设备进行日常维护保养及质量缺陷修复。质保期如有质量问题，我司</w:t>
      </w:r>
      <w:r>
        <w:rPr>
          <w:rFonts w:ascii="仿宋_GB2312" w:hAnsi="仿宋_GB2312" w:eastAsia="仿宋_GB2312" w:cs="仿宋_GB2312"/>
          <w:color w:val="auto"/>
          <w:sz w:val="28"/>
          <w:szCs w:val="28"/>
        </w:rPr>
        <w:t>24小时内派技术人员免费到现场进行维修。</w:t>
      </w:r>
      <w:r>
        <w:rPr>
          <w:rFonts w:hint="eastAsia" w:ascii="仿宋_GB2312" w:hAnsi="黑体" w:eastAsia="仿宋_GB2312"/>
          <w:color w:val="auto"/>
          <w:sz w:val="28"/>
          <w:szCs w:val="28"/>
        </w:rPr>
        <w:t>。</w:t>
      </w:r>
    </w:p>
    <w:p>
      <w:pPr>
        <w:adjustRightInd w:val="0"/>
        <w:snapToGrid w:val="0"/>
        <w:spacing w:line="240" w:lineRule="auto"/>
        <w:ind w:left="1" w:firstLine="551" w:firstLineChars="197"/>
        <w:jc w:val="left"/>
        <w:rPr>
          <w:rFonts w:ascii="仿宋_GB2312" w:eastAsia="仿宋_GB2312" w:hAnsiTheme="minorEastAsia"/>
          <w:color w:val="auto"/>
          <w:sz w:val="28"/>
          <w:szCs w:val="28"/>
        </w:rPr>
      </w:pPr>
    </w:p>
    <w:p>
      <w:pPr>
        <w:adjustRightInd w:val="0"/>
        <w:snapToGrid w:val="0"/>
        <w:spacing w:line="600" w:lineRule="exact"/>
        <w:ind w:left="1" w:firstLine="551" w:firstLineChars="197"/>
        <w:jc w:val="left"/>
        <w:rPr>
          <w:rFonts w:ascii="仿宋_GB2312" w:eastAsia="仿宋_GB2312" w:hAnsiTheme="minorEastAsia"/>
          <w:color w:val="auto"/>
          <w:sz w:val="28"/>
          <w:szCs w:val="28"/>
        </w:rPr>
      </w:pPr>
    </w:p>
    <w:p>
      <w:pPr>
        <w:adjustRightInd w:val="0"/>
        <w:snapToGrid w:val="0"/>
        <w:spacing w:line="600" w:lineRule="exact"/>
        <w:ind w:left="1" w:firstLine="551" w:firstLineChars="197"/>
        <w:jc w:val="right"/>
        <w:rPr>
          <w:rFonts w:ascii="仿宋_GB2312" w:eastAsia="仿宋_GB2312" w:hAnsiTheme="minorEastAsia"/>
          <w:color w:val="auto"/>
          <w:sz w:val="28"/>
          <w:szCs w:val="28"/>
        </w:rPr>
      </w:pPr>
      <w:r>
        <w:rPr>
          <w:rFonts w:hint="eastAsia" w:ascii="仿宋_GB2312" w:eastAsia="仿宋_GB2312" w:hAnsiTheme="minorEastAsia"/>
          <w:color w:val="auto"/>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rPr>
      </w:pPr>
      <w:r>
        <w:rPr>
          <w:rFonts w:hint="eastAsia" w:ascii="仿宋_GB2312" w:eastAsia="仿宋_GB2312" w:hAnsiTheme="minorEastAsia"/>
          <w:color w:val="auto"/>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地址：</w:t>
      </w:r>
    </w:p>
    <w:p>
      <w:pPr>
        <w:adjustRightInd w:val="0"/>
        <w:snapToGrid w:val="0"/>
        <w:spacing w:line="600" w:lineRule="exact"/>
        <w:ind w:left="1" w:firstLine="3771" w:firstLineChars="1347"/>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电子邮箱：</w:t>
      </w:r>
    </w:p>
    <w:p>
      <w:pPr>
        <w:adjustRightInd w:val="0"/>
        <w:snapToGrid w:val="0"/>
        <w:spacing w:line="600" w:lineRule="exact"/>
        <w:ind w:left="1" w:firstLine="3771" w:firstLineChars="1347"/>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电话：</w:t>
      </w:r>
    </w:p>
    <w:p>
      <w:pPr>
        <w:adjustRightInd w:val="0"/>
        <w:snapToGrid w:val="0"/>
        <w:spacing w:line="600" w:lineRule="exact"/>
        <w:ind w:left="1" w:firstLine="3771" w:firstLineChars="1347"/>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传真：</w:t>
      </w:r>
    </w:p>
    <w:p>
      <w:pPr>
        <w:spacing w:line="600" w:lineRule="exact"/>
        <w:ind w:left="1" w:firstLine="551" w:firstLineChars="197"/>
        <w:jc w:val="right"/>
        <w:rPr>
          <w:rFonts w:ascii="仿宋_GB2312" w:eastAsia="仿宋_GB2312" w:hAnsiTheme="minorEastAsia"/>
          <w:color w:val="auto"/>
          <w:sz w:val="28"/>
          <w:szCs w:val="28"/>
        </w:rPr>
      </w:pPr>
      <w:r>
        <w:rPr>
          <w:rFonts w:hint="eastAsia" w:ascii="仿宋_GB2312" w:eastAsia="仿宋_GB2312" w:hAnsiTheme="minorEastAsia"/>
          <w:color w:val="auto"/>
          <w:sz w:val="28"/>
          <w:szCs w:val="28"/>
        </w:rPr>
        <w:t>年</w:t>
      </w:r>
      <w:r>
        <w:rPr>
          <w:rFonts w:ascii="仿宋_GB2312" w:eastAsia="仿宋_GB2312" w:hAnsiTheme="minorEastAsia"/>
          <w:color w:val="auto"/>
          <w:sz w:val="28"/>
          <w:szCs w:val="28"/>
        </w:rPr>
        <w:t xml:space="preserve">   </w:t>
      </w:r>
      <w:r>
        <w:rPr>
          <w:rFonts w:hint="eastAsia" w:ascii="仿宋_GB2312" w:eastAsia="仿宋_GB2312" w:hAnsiTheme="minorEastAsia"/>
          <w:color w:val="auto"/>
          <w:sz w:val="28"/>
          <w:szCs w:val="28"/>
        </w:rPr>
        <w:t>月</w:t>
      </w:r>
      <w:r>
        <w:rPr>
          <w:rFonts w:ascii="仿宋_GB2312" w:eastAsia="仿宋_GB2312" w:hAnsiTheme="minorEastAsia"/>
          <w:color w:val="auto"/>
          <w:sz w:val="28"/>
          <w:szCs w:val="28"/>
        </w:rPr>
        <w:t xml:space="preserve">   </w:t>
      </w:r>
      <w:r>
        <w:rPr>
          <w:rFonts w:hint="eastAsia" w:ascii="仿宋_GB2312" w:eastAsia="仿宋_GB2312" w:hAnsiTheme="minorEastAsia"/>
          <w:color w:val="auto"/>
          <w:sz w:val="28"/>
          <w:szCs w:val="28"/>
        </w:rPr>
        <w:t>日</w:t>
      </w:r>
    </w:p>
    <w:p>
      <w:pPr>
        <w:adjustRightInd w:val="0"/>
        <w:snapToGrid w:val="0"/>
        <w:spacing w:line="600" w:lineRule="exact"/>
        <w:ind w:left="1" w:firstLine="551" w:firstLineChars="197"/>
        <w:jc w:val="right"/>
        <w:rPr>
          <w:rFonts w:asciiTheme="minorEastAsia" w:hAnsiTheme="minorEastAsia"/>
          <w:color w:val="auto"/>
          <w:sz w:val="28"/>
          <w:szCs w:val="28"/>
        </w:rPr>
      </w:pPr>
      <w:bookmarkStart w:id="132" w:name="_Toc88209958"/>
      <w:bookmarkStart w:id="133" w:name="_Toc29833"/>
      <w:bookmarkStart w:id="134" w:name="_Toc22527"/>
      <w:bookmarkStart w:id="135" w:name="_Toc87616395"/>
    </w:p>
    <w:p>
      <w:pPr>
        <w:adjustRightInd w:val="0"/>
        <w:snapToGrid w:val="0"/>
        <w:spacing w:line="600" w:lineRule="exact"/>
        <w:ind w:left="1" w:firstLine="551" w:firstLineChars="197"/>
        <w:jc w:val="right"/>
        <w:rPr>
          <w:rFonts w:asciiTheme="minorEastAsia" w:hAnsiTheme="minorEastAsia"/>
          <w:color w:val="auto"/>
          <w:sz w:val="28"/>
          <w:szCs w:val="28"/>
        </w:rPr>
      </w:pPr>
    </w:p>
    <w:p>
      <w:pPr>
        <w:pStyle w:val="6"/>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2.法定代表人证明或授权委托书</w:t>
      </w:r>
      <w:bookmarkEnd w:id="132"/>
      <w:bookmarkEnd w:id="133"/>
      <w:bookmarkEnd w:id="134"/>
      <w:bookmarkEnd w:id="135"/>
    </w:p>
    <w:p>
      <w:pPr>
        <w:spacing w:line="360" w:lineRule="auto"/>
        <w:rPr>
          <w:color w:val="auto"/>
        </w:rPr>
      </w:pPr>
      <w:r>
        <w:rPr>
          <w:rFonts w:ascii="仿宋_GB2312" w:hAnsi="黑体" w:eastAsia="仿宋_GB2312"/>
          <w:color w:val="auto"/>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rPr>
      </w:pPr>
      <w:r>
        <w:rPr>
          <w:rFonts w:hint="eastAsia" w:ascii="方正小标宋简体" w:hAnsi="Times New Roman" w:eastAsia="方正小标宋简体" w:cs="Tahoma"/>
          <w:color w:val="auto"/>
          <w:kern w:val="0"/>
          <w:sz w:val="44"/>
          <w:szCs w:val="44"/>
        </w:rPr>
        <w:t>法定代表人证明书</w:t>
      </w:r>
    </w:p>
    <w:p>
      <w:pPr>
        <w:pStyle w:val="40"/>
        <w:snapToGrid w:val="0"/>
        <w:spacing w:after="0" w:line="600" w:lineRule="exact"/>
        <w:jc w:val="both"/>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供应商名称：</w:t>
      </w:r>
    </w:p>
    <w:p>
      <w:pPr>
        <w:pStyle w:val="14"/>
        <w:snapToGrid w:val="0"/>
        <w:spacing w:line="600" w:lineRule="exact"/>
        <w:rPr>
          <w:rFonts w:ascii="仿宋_GB2312" w:hAnsi="宋体" w:eastAsia="仿宋_GB2312" w:cs="Times New Roman"/>
          <w:color w:val="auto"/>
          <w:sz w:val="30"/>
          <w:szCs w:val="30"/>
          <w:u w:val="single"/>
        </w:rPr>
      </w:pPr>
      <w:r>
        <w:rPr>
          <w:rFonts w:ascii="仿宋_GB2312" w:hAnsi="宋体" w:eastAsia="仿宋_GB2312" w:cs="Times New Roman"/>
          <w:color w:val="auto"/>
          <w:sz w:val="30"/>
          <w:szCs w:val="30"/>
        </w:rPr>
        <w:t xml:space="preserve">     单位性质：</w:t>
      </w:r>
    </w:p>
    <w:p>
      <w:pPr>
        <w:pStyle w:val="39"/>
        <w:snapToGrid w:val="0"/>
        <w:spacing w:after="0" w:line="600" w:lineRule="exact"/>
        <w:ind w:firstLine="750" w:firstLineChars="250"/>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地</w:t>
      </w:r>
      <w:r>
        <w:rPr>
          <w:rFonts w:ascii="仿宋_GB2312" w:hAnsi="宋体" w:eastAsia="仿宋_GB2312" w:cs="Times New Roman"/>
          <w:color w:val="auto"/>
          <w:sz w:val="30"/>
          <w:szCs w:val="30"/>
        </w:rPr>
        <w:t xml:space="preserve">    </w:t>
      </w:r>
      <w:r>
        <w:rPr>
          <w:rFonts w:hint="eastAsia" w:ascii="仿宋_GB2312" w:hAnsi="宋体" w:eastAsia="仿宋_GB2312" w:cs="Times New Roman"/>
          <w:color w:val="auto"/>
          <w:sz w:val="30"/>
          <w:szCs w:val="30"/>
        </w:rPr>
        <w:t>址：</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ascii="仿宋_GB2312" w:hAnsi="宋体" w:eastAsia="仿宋_GB2312" w:cs="Times New Roman"/>
          <w:color w:val="auto"/>
          <w:sz w:val="30"/>
          <w:szCs w:val="30"/>
        </w:rPr>
        <w:t xml:space="preserve">  </w:t>
      </w:r>
      <w:r>
        <w:rPr>
          <w:rFonts w:hint="eastAsia" w:ascii="仿宋_GB2312" w:hAnsi="宋体" w:eastAsia="仿宋_GB2312" w:cs="Times New Roman"/>
          <w:color w:val="auto"/>
          <w:sz w:val="30"/>
          <w:szCs w:val="30"/>
        </w:rPr>
        <w:t>年</w:t>
      </w:r>
      <w:r>
        <w:rPr>
          <w:rFonts w:ascii="仿宋_GB2312" w:hAnsi="宋体" w:eastAsia="仿宋_GB2312" w:cs="Times New Roman"/>
          <w:color w:val="auto"/>
          <w:sz w:val="30"/>
          <w:szCs w:val="30"/>
        </w:rPr>
        <w:t xml:space="preserve">  </w:t>
      </w:r>
      <w:r>
        <w:rPr>
          <w:rFonts w:hint="eastAsia" w:ascii="仿宋_GB2312" w:hAnsi="宋体" w:eastAsia="仿宋_GB2312" w:cs="Times New Roman"/>
          <w:color w:val="auto"/>
          <w:sz w:val="30"/>
          <w:szCs w:val="30"/>
        </w:rPr>
        <w:t>月</w:t>
      </w:r>
      <w:r>
        <w:rPr>
          <w:rFonts w:ascii="仿宋_GB2312" w:hAnsi="宋体" w:eastAsia="仿宋_GB2312" w:cs="Times New Roman"/>
          <w:color w:val="auto"/>
          <w:sz w:val="30"/>
          <w:szCs w:val="30"/>
        </w:rPr>
        <w:t xml:space="preserve">  </w:t>
      </w:r>
      <w:r>
        <w:rPr>
          <w:rFonts w:hint="eastAsia" w:ascii="仿宋_GB2312" w:hAnsi="宋体" w:eastAsia="仿宋_GB2312" w:cs="Times New Roman"/>
          <w:color w:val="auto"/>
          <w:sz w:val="30"/>
          <w:szCs w:val="30"/>
        </w:rPr>
        <w:t>日</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ascii="仿宋_GB2312" w:hAnsi="宋体" w:eastAsia="仿宋_GB2312" w:cs="Times New Roman"/>
          <w:color w:val="auto"/>
          <w:sz w:val="30"/>
          <w:szCs w:val="30"/>
        </w:rPr>
        <w:t xml:space="preserve"> </w:t>
      </w:r>
      <w:r>
        <w:rPr>
          <w:rFonts w:hint="eastAsia" w:ascii="仿宋_GB2312" w:hAnsi="宋体" w:eastAsia="仿宋_GB2312" w:cs="Times New Roman"/>
          <w:color w:val="auto"/>
          <w:sz w:val="30"/>
          <w:szCs w:val="30"/>
        </w:rPr>
        <w:t>性别：</w:t>
      </w:r>
      <w:r>
        <w:rPr>
          <w:rFonts w:ascii="仿宋_GB2312" w:hAnsi="宋体" w:eastAsia="仿宋_GB2312" w:cs="Times New Roman"/>
          <w:color w:val="auto"/>
          <w:sz w:val="30"/>
          <w:szCs w:val="30"/>
        </w:rPr>
        <w:t xml:space="preserve"> </w:t>
      </w:r>
      <w:r>
        <w:rPr>
          <w:rFonts w:hint="eastAsia" w:ascii="仿宋_GB2312" w:hAnsi="宋体" w:eastAsia="仿宋_GB2312" w:cs="Times New Roman"/>
          <w:color w:val="auto"/>
          <w:sz w:val="30"/>
          <w:szCs w:val="30"/>
        </w:rPr>
        <w:t>年龄：</w:t>
      </w:r>
      <w:r>
        <w:rPr>
          <w:rFonts w:ascii="仿宋_GB2312" w:hAnsi="宋体" w:eastAsia="仿宋_GB2312" w:cs="Times New Roman"/>
          <w:color w:val="auto"/>
          <w:sz w:val="30"/>
          <w:szCs w:val="30"/>
        </w:rPr>
        <w:t xml:space="preserve"> </w:t>
      </w:r>
      <w:r>
        <w:rPr>
          <w:rFonts w:hint="eastAsia" w:ascii="仿宋_GB2312" w:hAnsi="宋体" w:eastAsia="仿宋_GB2312" w:cs="Times New Roman"/>
          <w:color w:val="auto"/>
          <w:sz w:val="30"/>
          <w:szCs w:val="30"/>
        </w:rPr>
        <w:t>身份证号码：</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职务：系</w:t>
      </w:r>
      <w:r>
        <w:rPr>
          <w:rFonts w:ascii="仿宋_GB2312" w:hAnsi="宋体" w:eastAsia="仿宋_GB2312" w:cs="Times New Roman"/>
          <w:color w:val="auto"/>
          <w:sz w:val="30"/>
          <w:szCs w:val="30"/>
          <w:u w:val="single"/>
        </w:rPr>
        <w:t xml:space="preserve">     (供应商名称)       </w:t>
      </w:r>
      <w:r>
        <w:rPr>
          <w:rFonts w:ascii="仿宋_GB2312" w:hAnsi="宋体" w:eastAsia="仿宋_GB2312" w:cs="Times New Roman"/>
          <w:color w:val="auto"/>
          <w:sz w:val="30"/>
          <w:szCs w:val="30"/>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color w:val="auto"/>
          <w:sz w:val="30"/>
          <w:szCs w:val="30"/>
        </w:rPr>
      </w:pPr>
      <w:r>
        <w:rPr>
          <w:rFonts w:hint="eastAsia" w:ascii="仿宋_GB2312" w:hAnsi="宋体" w:eastAsia="仿宋_GB2312"/>
          <w:color w:val="auto"/>
          <w:sz w:val="30"/>
          <w:szCs w:val="30"/>
        </w:rPr>
        <w:t>附：法定代表人身份证</w:t>
      </w:r>
      <w:r>
        <w:rPr>
          <w:rFonts w:ascii="仿宋_GB2312" w:hAnsi="宋体" w:eastAsia="仿宋_GB2312"/>
          <w:color w:val="auto"/>
          <w:sz w:val="30"/>
          <w:szCs w:val="30"/>
        </w:rPr>
        <w:t>(正反两面)复印件</w:t>
      </w:r>
    </w:p>
    <w:p>
      <w:pPr>
        <w:pStyle w:val="14"/>
        <w:snapToGrid w:val="0"/>
        <w:spacing w:line="600" w:lineRule="exact"/>
        <w:ind w:firstLine="3907" w:firstLineChars="1221"/>
        <w:rPr>
          <w:rFonts w:ascii="仿宋_GB2312" w:hAnsi="宋体" w:eastAsia="仿宋_GB2312" w:cs="Times New Roman"/>
          <w:color w:val="auto"/>
          <w:sz w:val="32"/>
          <w:szCs w:val="32"/>
        </w:rPr>
      </w:pPr>
    </w:p>
    <w:p>
      <w:pPr>
        <w:pStyle w:val="14"/>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rPr>
      </w:pPr>
      <w:r>
        <w:rPr>
          <w:rFonts w:hint="eastAsia" w:ascii="仿宋_GB2312" w:hAnsi="宋体" w:eastAsia="仿宋_GB2312"/>
          <w:color w:val="auto"/>
          <w:sz w:val="30"/>
          <w:szCs w:val="30"/>
        </w:rPr>
        <w:t>日</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期：</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年</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月</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日</w:t>
      </w:r>
    </w:p>
    <w:p>
      <w:pPr>
        <w:widowControl/>
        <w:adjustRightInd w:val="0"/>
        <w:snapToGrid w:val="0"/>
        <w:spacing w:line="600" w:lineRule="exact"/>
        <w:jc w:val="left"/>
        <w:rPr>
          <w:rFonts w:ascii="仿宋_GB2312" w:hAnsi="宋体" w:eastAsia="仿宋_GB2312" w:cs="宋体"/>
          <w:color w:val="auto"/>
          <w:kern w:val="0"/>
          <w:sz w:val="28"/>
          <w:szCs w:val="28"/>
        </w:rPr>
      </w:pPr>
      <w:r>
        <w:rPr>
          <w:rFonts w:ascii="仿宋_GB2312" w:hAnsi="宋体" w:eastAsia="仿宋_GB2312" w:cs="宋体"/>
          <w:color w:val="auto"/>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TrYdJEk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E62HSR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rPr>
      </w:pPr>
    </w:p>
    <w:p>
      <w:pPr>
        <w:widowControl/>
        <w:adjustRightInd w:val="0"/>
        <w:snapToGrid w:val="0"/>
        <w:spacing w:line="600" w:lineRule="exact"/>
        <w:jc w:val="left"/>
        <w:rPr>
          <w:rFonts w:ascii="仿宋_GB2312" w:hAnsi="宋体" w:eastAsia="仿宋_GB2312" w:cs="宋体"/>
          <w:color w:val="auto"/>
          <w:kern w:val="0"/>
          <w:sz w:val="28"/>
          <w:szCs w:val="28"/>
        </w:rPr>
      </w:pPr>
    </w:p>
    <w:p>
      <w:pPr>
        <w:widowControl/>
        <w:adjustRightInd w:val="0"/>
        <w:snapToGrid w:val="0"/>
        <w:spacing w:line="600" w:lineRule="exact"/>
        <w:jc w:val="left"/>
        <w:rPr>
          <w:rFonts w:ascii="仿宋_GB2312" w:hAnsi="宋体" w:eastAsia="仿宋_GB2312" w:cs="宋体"/>
          <w:color w:val="auto"/>
          <w:kern w:val="0"/>
          <w:sz w:val="28"/>
          <w:szCs w:val="28"/>
        </w:rPr>
      </w:pPr>
    </w:p>
    <w:p>
      <w:pPr>
        <w:adjustRightInd w:val="0"/>
        <w:snapToGrid w:val="0"/>
        <w:spacing w:line="600" w:lineRule="exact"/>
        <w:ind w:firstLine="480"/>
        <w:rPr>
          <w:rFonts w:ascii="仿宋_GB2312" w:eastAsia="仿宋_GB2312"/>
          <w:color w:val="auto"/>
        </w:rPr>
      </w:pPr>
      <w:r>
        <w:rPr>
          <w:rFonts w:hint="eastAsia" w:ascii="仿宋_GB2312" w:hAnsi="宋体" w:eastAsia="仿宋_GB2312"/>
          <w:color w:val="auto"/>
          <w:kern w:val="0"/>
          <w:szCs w:val="21"/>
        </w:rPr>
        <w:t>注：法定代表人证明书亦可采用工商行政管理局统一制订的格式。</w:t>
      </w:r>
    </w:p>
    <w:p>
      <w:pPr>
        <w:spacing w:line="360" w:lineRule="auto"/>
        <w:rPr>
          <w:color w:val="auto"/>
        </w:rPr>
      </w:pPr>
      <w:r>
        <w:rPr>
          <w:rFonts w:ascii="宋体" w:hAnsi="宋体" w:cs="宋体"/>
          <w:color w:val="auto"/>
          <w:kern w:val="0"/>
          <w:sz w:val="28"/>
          <w:szCs w:val="28"/>
        </w:rPr>
        <w:br w:type="page"/>
      </w:r>
      <w:r>
        <w:rPr>
          <w:rFonts w:ascii="仿宋_GB2312" w:hAnsi="黑体" w:eastAsia="仿宋_GB2312"/>
          <w:color w:val="auto"/>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rPr>
      </w:pPr>
      <w:r>
        <w:rPr>
          <w:rFonts w:hint="eastAsia" w:ascii="方正小标宋简体" w:hAnsi="Times New Roman" w:eastAsia="方正小标宋简体" w:cs="Tahoma"/>
          <w:color w:val="auto"/>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本人</w:t>
      </w:r>
      <w:r>
        <w:rPr>
          <w:rFonts w:ascii="仿宋_GB2312" w:hAnsi="宋体" w:eastAsia="仿宋_GB2312"/>
          <w:color w:val="auto"/>
          <w:sz w:val="30"/>
          <w:szCs w:val="30"/>
          <w:u w:val="single"/>
        </w:rPr>
        <w:t xml:space="preserve">   (姓名)    </w:t>
      </w:r>
      <w:r>
        <w:rPr>
          <w:rFonts w:hint="eastAsia" w:ascii="仿宋_GB2312" w:hAnsi="宋体" w:eastAsia="仿宋_GB2312"/>
          <w:color w:val="auto"/>
          <w:sz w:val="30"/>
          <w:szCs w:val="30"/>
        </w:rPr>
        <w:t>系</w:t>
      </w:r>
      <w:r>
        <w:rPr>
          <w:rFonts w:ascii="仿宋_GB2312" w:hAnsi="宋体" w:eastAsia="仿宋_GB2312"/>
          <w:color w:val="auto"/>
          <w:sz w:val="30"/>
          <w:szCs w:val="30"/>
          <w:u w:val="single"/>
        </w:rPr>
        <w:t xml:space="preserve">        (供应商名称)          </w:t>
      </w:r>
      <w:r>
        <w:rPr>
          <w:rFonts w:hint="eastAsia" w:ascii="仿宋_GB2312" w:hAnsi="宋体" w:eastAsia="仿宋_GB2312"/>
          <w:color w:val="auto"/>
          <w:sz w:val="30"/>
          <w:szCs w:val="30"/>
        </w:rPr>
        <w:t>的法定代表人，现授权</w:t>
      </w:r>
      <w:r>
        <w:rPr>
          <w:rFonts w:ascii="仿宋_GB2312" w:hAnsi="宋体" w:eastAsia="仿宋_GB2312"/>
          <w:color w:val="auto"/>
          <w:sz w:val="30"/>
          <w:szCs w:val="30"/>
          <w:u w:val="single"/>
        </w:rPr>
        <w:t xml:space="preserve">   (姓名)   </w:t>
      </w:r>
      <w:r>
        <w:rPr>
          <w:rFonts w:hint="eastAsia" w:ascii="仿宋_GB2312" w:hAnsi="宋体" w:eastAsia="仿宋_GB2312"/>
          <w:color w:val="auto"/>
          <w:sz w:val="30"/>
          <w:szCs w:val="30"/>
        </w:rPr>
        <w:t>为我方代理人。代理人根据授权，以我方名义签署、澄清、说明、提交、撤回、修改</w:t>
      </w:r>
      <w:r>
        <w:rPr>
          <w:rFonts w:ascii="仿宋_GB2312" w:hAnsi="宋体" w:eastAsia="仿宋_GB2312"/>
          <w:color w:val="auto"/>
          <w:sz w:val="30"/>
          <w:szCs w:val="30"/>
          <w:u w:val="single"/>
        </w:rPr>
        <w:t xml:space="preserve"> （项目名称、项目编号、标段/标包号）  </w:t>
      </w:r>
      <w:r>
        <w:rPr>
          <w:rFonts w:hint="eastAsia" w:ascii="仿宋_GB2312" w:hAnsi="宋体" w:eastAsia="仿宋_GB2312"/>
          <w:color w:val="auto"/>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rPr>
      </w:pPr>
      <w:r>
        <w:rPr>
          <w:rFonts w:hint="eastAsia" w:ascii="仿宋_GB2312" w:hAnsi="宋体" w:eastAsia="仿宋_GB2312"/>
          <w:color w:val="auto"/>
          <w:sz w:val="30"/>
          <w:szCs w:val="30"/>
        </w:rPr>
        <w:t>委托期限：。</w:t>
      </w:r>
    </w:p>
    <w:p>
      <w:pPr>
        <w:adjustRightInd w:val="0"/>
        <w:snapToGrid w:val="0"/>
        <w:spacing w:line="600" w:lineRule="exact"/>
        <w:ind w:firstLine="590"/>
        <w:rPr>
          <w:rFonts w:ascii="仿宋_GB2312" w:hAnsi="宋体" w:eastAsia="仿宋_GB2312"/>
          <w:color w:val="auto"/>
          <w:sz w:val="30"/>
          <w:szCs w:val="30"/>
        </w:rPr>
      </w:pPr>
      <w:r>
        <w:rPr>
          <w:rFonts w:hint="eastAsia" w:ascii="仿宋_GB2312" w:hAnsi="宋体" w:eastAsia="仿宋_GB2312"/>
          <w:color w:val="auto"/>
          <w:sz w:val="30"/>
          <w:szCs w:val="30"/>
        </w:rPr>
        <w:t>代理人无转委托权。</w:t>
      </w:r>
    </w:p>
    <w:p>
      <w:pPr>
        <w:adjustRightInd w:val="0"/>
        <w:snapToGrid w:val="0"/>
        <w:spacing w:line="600" w:lineRule="exact"/>
        <w:ind w:firstLine="590"/>
        <w:rPr>
          <w:rFonts w:ascii="仿宋_GB2312" w:hAnsi="宋体" w:eastAsia="仿宋_GB2312"/>
          <w:color w:val="auto"/>
          <w:sz w:val="30"/>
          <w:szCs w:val="30"/>
        </w:rPr>
      </w:pPr>
      <w:r>
        <w:rPr>
          <w:rFonts w:hint="eastAsia" w:ascii="仿宋_GB2312" w:hAnsi="宋体" w:eastAsia="仿宋_GB2312"/>
          <w:color w:val="auto"/>
          <w:sz w:val="30"/>
          <w:szCs w:val="30"/>
        </w:rPr>
        <w:t>附：</w:t>
      </w:r>
      <w:r>
        <w:rPr>
          <w:rFonts w:ascii="仿宋_GB2312" w:hAnsi="宋体" w:eastAsia="仿宋_GB2312"/>
          <w:color w:val="auto"/>
          <w:sz w:val="30"/>
          <w:szCs w:val="30"/>
        </w:rPr>
        <w:t>1.委托代理人身份证(正反两面)复印件</w:t>
      </w:r>
    </w:p>
    <w:p>
      <w:pPr>
        <w:pStyle w:val="38"/>
        <w:ind w:firstLine="1200" w:firstLineChars="400"/>
        <w:rPr>
          <w:rFonts w:ascii="仿宋_GB2312" w:hAnsi="宋体" w:eastAsia="仿宋_GB2312"/>
          <w:color w:val="auto"/>
          <w:sz w:val="30"/>
          <w:szCs w:val="30"/>
        </w:rPr>
      </w:pPr>
      <w:r>
        <w:rPr>
          <w:rFonts w:ascii="仿宋_GB2312" w:hAnsi="宋体" w:eastAsia="仿宋_GB2312"/>
          <w:color w:val="auto"/>
          <w:sz w:val="30"/>
          <w:szCs w:val="30"/>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ascii="仿宋_GB2312" w:hAnsi="宋体" w:eastAsia="仿宋_GB2312" w:cs="Times New Roman"/>
          <w:color w:val="auto"/>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ascii="仿宋_GB2312" w:hAnsi="宋体" w:eastAsia="仿宋_GB2312" w:cs="Times New Roman"/>
          <w:color w:val="auto"/>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color w:val="auto"/>
          <w:sz w:val="30"/>
          <w:szCs w:val="30"/>
        </w:rPr>
      </w:pPr>
      <w:r>
        <w:rPr>
          <w:rFonts w:ascii="仿宋_GB2312" w:hAnsi="宋体" w:eastAsia="仿宋_GB2312"/>
          <w:color w:val="auto"/>
          <w:sz w:val="30"/>
          <w:szCs w:val="30"/>
        </w:rPr>
        <w:t xml:space="preserve">                        日    期：年月日</w:t>
      </w: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7"/>
        <w:spacing w:after="0" w:line="600" w:lineRule="exact"/>
        <w:rPr>
          <w:rFonts w:ascii="仿宋_GB2312" w:eastAsia="仿宋_GB2312"/>
          <w:color w:val="auto"/>
        </w:rPr>
      </w:pPr>
      <w:r>
        <w:rPr>
          <w:rFonts w:ascii="仿宋_GB2312" w:eastAsia="仿宋_GB2312"/>
          <w:color w:val="auto"/>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IojtkAAAAJAQAADwAAAAAAAAAB&#10;ACAAAAAiAAAAZHJzL2Rvd25yZXYueG1sUEsBAhQAFAAAAAgAh07iQL7E1bNIAgAAlgQAAA4AAAAA&#10;AAAAAQAgAAAAKA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rPr>
      </w:pPr>
    </w:p>
    <w:p>
      <w:pPr>
        <w:pStyle w:val="7"/>
        <w:spacing w:after="0" w:line="600" w:lineRule="exact"/>
        <w:rPr>
          <w:rFonts w:ascii="仿宋_GB2312" w:eastAsia="仿宋_GB2312"/>
          <w:color w:val="auto"/>
        </w:rPr>
      </w:pPr>
    </w:p>
    <w:p>
      <w:pPr>
        <w:pStyle w:val="7"/>
        <w:spacing w:after="0" w:line="600" w:lineRule="exact"/>
        <w:ind w:firstLine="0"/>
        <w:rPr>
          <w:rFonts w:ascii="仿宋_GB2312" w:eastAsia="仿宋_GB2312"/>
          <w:color w:val="auto"/>
        </w:rPr>
      </w:pPr>
    </w:p>
    <w:p>
      <w:pPr>
        <w:pStyle w:val="7"/>
        <w:spacing w:after="0" w:line="600" w:lineRule="exact"/>
        <w:rPr>
          <w:rFonts w:ascii="仿宋_GB2312" w:eastAsia="仿宋_GB2312"/>
          <w:color w:val="auto"/>
        </w:rPr>
      </w:pPr>
    </w:p>
    <w:p>
      <w:pPr>
        <w:adjustRightInd w:val="0"/>
        <w:snapToGrid w:val="0"/>
        <w:spacing w:line="600" w:lineRule="exact"/>
        <w:ind w:firstLine="480"/>
        <w:rPr>
          <w:rFonts w:ascii="仿宋_GB2312" w:hAnsi="宋体" w:eastAsia="仿宋_GB2312"/>
          <w:color w:val="auto"/>
          <w:kern w:val="0"/>
          <w:szCs w:val="21"/>
        </w:rPr>
      </w:pPr>
      <w:r>
        <w:rPr>
          <w:rFonts w:hint="eastAsia" w:ascii="仿宋_GB2312" w:hAnsi="宋体" w:eastAsia="仿宋_GB2312"/>
          <w:color w:val="auto"/>
          <w:kern w:val="0"/>
          <w:szCs w:val="21"/>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color w:val="auto"/>
                <w:sz w:val="24"/>
                <w:szCs w:val="24"/>
              </w:rPr>
            </w:pPr>
          </w:p>
          <w:p>
            <w:pPr>
              <w:spacing w:line="360" w:lineRule="auto"/>
              <w:jc w:val="center"/>
              <w:rPr>
                <w:rFonts w:ascii="宋体" w:hAnsi="宋体" w:eastAsia="宋体" w:cs="Times New Roman"/>
                <w:color w:val="auto"/>
                <w:sz w:val="24"/>
                <w:szCs w:val="24"/>
              </w:rPr>
            </w:pPr>
          </w:p>
          <w:p>
            <w:pPr>
              <w:spacing w:line="360" w:lineRule="auto"/>
              <w:jc w:val="center"/>
              <w:rPr>
                <w:rFonts w:ascii="宋体" w:hAnsi="宋体"/>
                <w:color w:val="auto"/>
                <w:sz w:val="24"/>
                <w:szCs w:val="24"/>
              </w:rPr>
            </w:pPr>
            <w:r>
              <w:rPr>
                <w:rFonts w:hint="eastAsia" w:ascii="宋体" w:hAnsi="宋体" w:cs="Times New Roman"/>
                <w:color w:val="auto"/>
                <w:sz w:val="24"/>
                <w:szCs w:val="24"/>
              </w:rPr>
              <w:t>授权代理人在本单位近三个月社保记录，（以加盖社会保险基金管理中心印章的《缴费历史明细表》或《社会保险参保人员证明》为准，加</w:t>
            </w:r>
            <w:r>
              <w:rPr>
                <w:rFonts w:hint="eastAsia" w:ascii="宋体" w:hAnsi="宋体"/>
                <w:color w:val="auto"/>
                <w:sz w:val="24"/>
                <w:szCs w:val="24"/>
              </w:rPr>
              <w:t>盖单位公章</w:t>
            </w:r>
          </w:p>
          <w:p>
            <w:pPr>
              <w:spacing w:line="360" w:lineRule="auto"/>
              <w:jc w:val="center"/>
              <w:rPr>
                <w:rFonts w:ascii="宋体" w:hAnsi="宋体"/>
                <w:color w:val="auto"/>
                <w:sz w:val="24"/>
                <w:szCs w:val="24"/>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r>
    </w:tbl>
    <w:p>
      <w:pPr>
        <w:spacing w:line="440" w:lineRule="exact"/>
        <w:ind w:firstLine="859" w:firstLineChars="307"/>
        <w:rPr>
          <w:rFonts w:ascii="仿宋" w:hAnsi="仿宋" w:eastAsia="仿宋" w:cs="仿宋_GB2312"/>
          <w:color w:val="auto"/>
          <w:sz w:val="28"/>
          <w:szCs w:val="28"/>
        </w:rPr>
      </w:pPr>
    </w:p>
    <w:p>
      <w:pPr>
        <w:spacing w:line="480" w:lineRule="exact"/>
        <w:ind w:firstLine="843" w:firstLineChars="300"/>
        <w:rPr>
          <w:rFonts w:ascii="仿宋" w:hAnsi="仿宋" w:eastAsia="仿宋" w:cs="仿宋_GB2312"/>
          <w:b/>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6"/>
        <w:spacing w:before="0" w:after="0" w:line="400" w:lineRule="exact"/>
        <w:rPr>
          <w:rFonts w:ascii="仿宋_GB2312" w:eastAsia="仿宋_GB2312" w:hAnsiTheme="minorEastAsia"/>
          <w:color w:val="auto"/>
          <w:sz w:val="28"/>
          <w:szCs w:val="28"/>
        </w:rPr>
      </w:pPr>
      <w:bookmarkStart w:id="136" w:name="_Toc8086"/>
      <w:bookmarkStart w:id="137" w:name="_Toc88209963"/>
      <w:bookmarkStart w:id="138" w:name="_Toc19830"/>
      <w:bookmarkStart w:id="139" w:name="_Toc87616400"/>
    </w:p>
    <w:p>
      <w:pPr>
        <w:pStyle w:val="6"/>
        <w:rPr>
          <w:rFonts w:ascii="仿宋_GB2312" w:eastAsia="仿宋_GB2312" w:hAnsiTheme="minorEastAsia"/>
          <w:color w:val="auto"/>
          <w:sz w:val="28"/>
          <w:szCs w:val="28"/>
        </w:rPr>
      </w:pPr>
    </w:p>
    <w:p/>
    <w:p>
      <w:pPr>
        <w:pStyle w:val="6"/>
        <w:rPr>
          <w:rFonts w:asciiTheme="minorEastAsia" w:hAnsiTheme="minorEastAsia" w:eastAsiaTheme="minorEastAsia"/>
          <w:color w:val="auto"/>
          <w:sz w:val="28"/>
          <w:szCs w:val="28"/>
        </w:rPr>
      </w:pPr>
      <w:r>
        <w:rPr>
          <w:rFonts w:ascii="仿宋_GB2312" w:eastAsia="仿宋_GB2312" w:hAnsiTheme="minorEastAsia"/>
          <w:color w:val="auto"/>
          <w:sz w:val="28"/>
          <w:szCs w:val="28"/>
        </w:rPr>
        <w:t>3</w:t>
      </w:r>
      <w:r>
        <w:rPr>
          <w:rFonts w:asciiTheme="minorEastAsia" w:hAnsiTheme="minorEastAsia" w:eastAsiaTheme="minorEastAsia"/>
          <w:color w:val="auto"/>
          <w:sz w:val="28"/>
          <w:szCs w:val="28"/>
        </w:rPr>
        <w:t>.资格审查资料</w:t>
      </w:r>
      <w:bookmarkEnd w:id="136"/>
      <w:bookmarkEnd w:id="137"/>
      <w:bookmarkEnd w:id="138"/>
      <w:bookmarkEnd w:id="139"/>
    </w:p>
    <w:p>
      <w:pPr>
        <w:spacing w:line="360" w:lineRule="auto"/>
        <w:rPr>
          <w:rFonts w:ascii="仿宋_GB2312" w:hAnsi="黑体" w:eastAsia="仿宋_GB2312"/>
          <w:color w:val="auto"/>
          <w:sz w:val="28"/>
          <w:szCs w:val="28"/>
        </w:rPr>
      </w:pPr>
      <w:r>
        <w:rPr>
          <w:rFonts w:ascii="仿宋_GB2312" w:hAnsi="黑体" w:eastAsia="仿宋_GB2312"/>
          <w:color w:val="auto"/>
          <w:sz w:val="28"/>
          <w:szCs w:val="28"/>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rPr>
            </w:pPr>
          </w:p>
        </w:tc>
        <w:tc>
          <w:tcPr>
            <w:tcW w:w="1570"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法定代表人</w:t>
            </w:r>
          </w:p>
        </w:tc>
        <w:tc>
          <w:tcPr>
            <w:tcW w:w="1134"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姓名</w:t>
            </w:r>
          </w:p>
        </w:tc>
        <w:tc>
          <w:tcPr>
            <w:tcW w:w="966" w:type="dxa"/>
          </w:tcPr>
          <w:p>
            <w:pPr>
              <w:adjustRightInd w:val="0"/>
              <w:snapToGrid w:val="0"/>
              <w:spacing w:line="600" w:lineRule="exact"/>
              <w:rPr>
                <w:rFonts w:ascii="仿宋_GB2312" w:eastAsia="仿宋_GB2312" w:hAnsiTheme="minorEastAsia"/>
                <w:color w:val="auto"/>
                <w:sz w:val="28"/>
                <w:szCs w:val="28"/>
              </w:rPr>
            </w:pPr>
          </w:p>
        </w:tc>
        <w:tc>
          <w:tcPr>
            <w:tcW w:w="1443"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技术职称</w:t>
            </w:r>
          </w:p>
        </w:tc>
        <w:tc>
          <w:tcPr>
            <w:tcW w:w="1145" w:type="dxa"/>
          </w:tcPr>
          <w:p>
            <w:pPr>
              <w:adjustRightInd w:val="0"/>
              <w:snapToGrid w:val="0"/>
              <w:spacing w:line="600" w:lineRule="exact"/>
              <w:rPr>
                <w:rFonts w:ascii="仿宋_GB2312" w:eastAsia="仿宋_GB2312" w:hAnsiTheme="minorEastAsia"/>
                <w:color w:val="auto"/>
                <w:sz w:val="28"/>
                <w:szCs w:val="28"/>
              </w:rPr>
            </w:pPr>
          </w:p>
        </w:tc>
        <w:tc>
          <w:tcPr>
            <w:tcW w:w="1295" w:type="dxa"/>
            <w:gridSpan w:val="2"/>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电话</w:t>
            </w:r>
          </w:p>
        </w:tc>
        <w:tc>
          <w:tcPr>
            <w:tcW w:w="1295" w:type="dxa"/>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技术负责人</w:t>
            </w:r>
          </w:p>
        </w:tc>
        <w:tc>
          <w:tcPr>
            <w:tcW w:w="1134"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姓名</w:t>
            </w:r>
          </w:p>
        </w:tc>
        <w:tc>
          <w:tcPr>
            <w:tcW w:w="966" w:type="dxa"/>
          </w:tcPr>
          <w:p>
            <w:pPr>
              <w:adjustRightInd w:val="0"/>
              <w:snapToGrid w:val="0"/>
              <w:spacing w:line="600" w:lineRule="exact"/>
              <w:rPr>
                <w:rFonts w:ascii="仿宋_GB2312" w:eastAsia="仿宋_GB2312" w:hAnsiTheme="minorEastAsia"/>
                <w:color w:val="auto"/>
                <w:sz w:val="28"/>
                <w:szCs w:val="28"/>
              </w:rPr>
            </w:pPr>
          </w:p>
        </w:tc>
        <w:tc>
          <w:tcPr>
            <w:tcW w:w="1443"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技术职称</w:t>
            </w:r>
          </w:p>
        </w:tc>
        <w:tc>
          <w:tcPr>
            <w:tcW w:w="1145" w:type="dxa"/>
          </w:tcPr>
          <w:p>
            <w:pPr>
              <w:adjustRightInd w:val="0"/>
              <w:snapToGrid w:val="0"/>
              <w:spacing w:line="600" w:lineRule="exact"/>
              <w:rPr>
                <w:rFonts w:ascii="仿宋_GB2312" w:eastAsia="仿宋_GB2312" w:hAnsiTheme="minorEastAsia"/>
                <w:color w:val="auto"/>
                <w:sz w:val="28"/>
                <w:szCs w:val="28"/>
              </w:rPr>
            </w:pPr>
          </w:p>
        </w:tc>
        <w:tc>
          <w:tcPr>
            <w:tcW w:w="1295" w:type="dxa"/>
            <w:gridSpan w:val="2"/>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电话</w:t>
            </w:r>
          </w:p>
        </w:tc>
        <w:tc>
          <w:tcPr>
            <w:tcW w:w="1295" w:type="dxa"/>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5178" w:type="dxa"/>
            <w:gridSpan w:val="7"/>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rPr>
            </w:pP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rPr>
            </w:pP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rPr>
            </w:pP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rPr>
            </w:pP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rPr>
            </w:pPr>
          </w:p>
        </w:tc>
      </w:tr>
    </w:tbl>
    <w:p>
      <w:pPr>
        <w:adjustRightInd w:val="0"/>
        <w:snapToGrid w:val="0"/>
        <w:ind w:firstLine="573"/>
        <w:rPr>
          <w:rFonts w:cs="Times New Roman" w:asciiTheme="minorEastAsia" w:hAnsiTheme="minorEastAsia"/>
          <w:b/>
          <w:bCs/>
          <w:color w:val="auto"/>
          <w:sz w:val="28"/>
          <w:szCs w:val="28"/>
        </w:rPr>
      </w:pPr>
      <w:r>
        <w:rPr>
          <w:rFonts w:ascii="仿宋_GB2312" w:eastAsia="仿宋_GB2312" w:hAnsiTheme="minorEastAsia"/>
          <w:color w:val="auto"/>
          <w:sz w:val="28"/>
          <w:szCs w:val="28"/>
        </w:rPr>
        <w:t>注</w:t>
      </w:r>
      <w:r>
        <w:rPr>
          <w:rFonts w:hint="eastAsia" w:ascii="仿宋_GB2312" w:eastAsia="仿宋_GB2312" w:hAnsiTheme="minorEastAsia"/>
          <w:color w:val="auto"/>
          <w:sz w:val="28"/>
          <w:szCs w:val="28"/>
        </w:rPr>
        <w:t>：</w:t>
      </w:r>
      <w:r>
        <w:rPr>
          <w:rFonts w:ascii="仿宋_GB2312" w:eastAsia="仿宋_GB2312" w:hAnsiTheme="minorEastAsia"/>
          <w:color w:val="auto"/>
          <w:sz w:val="28"/>
          <w:szCs w:val="28"/>
        </w:rPr>
        <w:t>供应商应按供应商须知的要求提供主体资格证明材料及相关资质证明材料</w:t>
      </w:r>
      <w:r>
        <w:rPr>
          <w:rFonts w:hint="eastAsia" w:ascii="仿宋_GB2312" w:eastAsia="仿宋_GB2312" w:hAnsiTheme="minorEastAsia"/>
          <w:color w:val="auto"/>
          <w:sz w:val="28"/>
          <w:szCs w:val="28"/>
        </w:rPr>
        <w:t>。</w:t>
      </w:r>
      <w:r>
        <w:rPr>
          <w:rFonts w:hint="eastAsia" w:cs="Times New Roman" w:asciiTheme="minorEastAsia" w:hAnsiTheme="minorEastAsia"/>
          <w:b/>
          <w:bCs/>
          <w:color w:val="auto"/>
          <w:sz w:val="28"/>
          <w:szCs w:val="28"/>
        </w:rPr>
        <w:t>（相关证明文件附后）</w:t>
      </w:r>
    </w:p>
    <w:p>
      <w:pPr>
        <w:adjustRightInd w:val="0"/>
        <w:snapToGrid w:val="0"/>
        <w:spacing w:line="360" w:lineRule="auto"/>
        <w:jc w:val="left"/>
        <w:rPr>
          <w:rFonts w:cs="Times New Roman" w:asciiTheme="minorEastAsia" w:hAnsiTheme="minorEastAsia"/>
          <w:b/>
          <w:bCs/>
          <w:color w:val="auto"/>
          <w:sz w:val="28"/>
          <w:szCs w:val="28"/>
        </w:rPr>
      </w:pPr>
      <w:bookmarkStart w:id="140" w:name="_Hlk59025866"/>
    </w:p>
    <w:p>
      <w:pPr>
        <w:adjustRightInd w:val="0"/>
        <w:snapToGrid w:val="0"/>
        <w:spacing w:line="360" w:lineRule="auto"/>
        <w:jc w:val="left"/>
        <w:rPr>
          <w:rFonts w:cs="Times New Roman" w:asciiTheme="minorEastAsia" w:hAnsiTheme="minorEastAsia"/>
          <w:b/>
          <w:bCs/>
          <w:color w:val="auto"/>
          <w:sz w:val="28"/>
          <w:szCs w:val="28"/>
        </w:rPr>
      </w:pPr>
    </w:p>
    <w:p>
      <w:pPr>
        <w:adjustRightInd w:val="0"/>
        <w:snapToGrid w:val="0"/>
        <w:spacing w:line="360" w:lineRule="auto"/>
        <w:jc w:val="left"/>
        <w:rPr>
          <w:rFonts w:cs="Times New Roman" w:asciiTheme="minorEastAsia" w:hAnsiTheme="minorEastAsia"/>
          <w:b/>
          <w:bCs/>
          <w:color w:val="auto"/>
          <w:sz w:val="28"/>
          <w:szCs w:val="28"/>
        </w:rPr>
      </w:pPr>
    </w:p>
    <w:p>
      <w:pPr>
        <w:adjustRightInd w:val="0"/>
        <w:snapToGrid w:val="0"/>
        <w:spacing w:line="360" w:lineRule="auto"/>
        <w:jc w:val="left"/>
        <w:rPr>
          <w:rFonts w:cs="Times New Roman" w:asciiTheme="minorEastAsia" w:hAnsiTheme="minorEastAsia"/>
          <w:b/>
          <w:bCs/>
          <w:color w:val="auto"/>
          <w:sz w:val="28"/>
          <w:szCs w:val="28"/>
        </w:rPr>
      </w:pPr>
    </w:p>
    <w:p>
      <w:pPr>
        <w:adjustRightInd w:val="0"/>
        <w:snapToGrid w:val="0"/>
        <w:spacing w:line="360" w:lineRule="auto"/>
        <w:jc w:val="left"/>
        <w:rPr>
          <w:rFonts w:cs="Times New Roman" w:asciiTheme="minorEastAsia" w:hAnsiTheme="minorEastAsia"/>
          <w:b/>
          <w:bCs/>
          <w:color w:val="auto"/>
          <w:sz w:val="28"/>
          <w:szCs w:val="28"/>
        </w:rPr>
      </w:pPr>
      <w:r>
        <w:rPr>
          <w:rFonts w:cs="Times New Roman" w:asciiTheme="minorEastAsia" w:hAnsiTheme="minorEastAsia"/>
          <w:b/>
          <w:bCs/>
          <w:color w:val="auto"/>
          <w:sz w:val="28"/>
          <w:szCs w:val="28"/>
        </w:rPr>
        <w:t>3.2不得存在情形承诺函</w:t>
      </w:r>
    </w:p>
    <w:bookmarkEnd w:id="140"/>
    <w:p>
      <w:pPr>
        <w:adjustRightInd w:val="0"/>
        <w:snapToGrid w:val="0"/>
        <w:spacing w:line="360" w:lineRule="auto"/>
        <w:rPr>
          <w:rFonts w:ascii="宋体" w:hAnsi="宋体" w:eastAsia="宋体" w:cs="宋体"/>
          <w:color w:val="auto"/>
          <w:sz w:val="24"/>
          <w:szCs w:val="24"/>
          <w:lang w:val="en-GB"/>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 xml:space="preserve">广州市净水有限公司竹料分公司2023年下半年办公设备采购项目（项目编号：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cs="Times New Roman" w:asciiTheme="minorEastAsia" w:hAnsiTheme="minorEastAsia"/>
          <w:b/>
          <w:bCs/>
          <w:color w:val="auto"/>
          <w:sz w:val="28"/>
          <w:szCs w:val="28"/>
        </w:rPr>
      </w:pPr>
    </w:p>
    <w:p>
      <w:pPr>
        <w:jc w:val="left"/>
        <w:rPr>
          <w:rFonts w:cs="Times New Roman" w:asciiTheme="minorEastAsia" w:hAnsiTheme="minorEastAsia"/>
          <w:b/>
          <w:bCs/>
          <w:color w:val="auto"/>
          <w:sz w:val="28"/>
          <w:szCs w:val="28"/>
        </w:rPr>
      </w:pPr>
    </w:p>
    <w:p>
      <w:pPr>
        <w:jc w:val="left"/>
        <w:rPr>
          <w:rFonts w:cs="Times New Roman" w:asciiTheme="minorEastAsia" w:hAnsiTheme="minorEastAsia"/>
          <w:b/>
          <w:bCs/>
          <w:color w:val="auto"/>
          <w:sz w:val="28"/>
          <w:szCs w:val="28"/>
        </w:rPr>
      </w:pPr>
    </w:p>
    <w:p>
      <w:pPr>
        <w:pStyle w:val="2"/>
        <w:rPr>
          <w:rFonts w:ascii="宋体" w:hAnsi="宋体" w:cs="Times New Roman"/>
          <w:b w:val="0"/>
          <w:bCs w:val="0"/>
          <w:sz w:val="24"/>
          <w:szCs w:val="24"/>
        </w:rPr>
      </w:pPr>
    </w:p>
    <w:p>
      <w:pPr>
        <w:jc w:val="left"/>
        <w:rPr>
          <w:rFonts w:cs="Times New Roman" w:asciiTheme="minorEastAsia" w:hAnsiTheme="minorEastAsia"/>
          <w:b/>
          <w:bCs/>
          <w:color w:val="auto"/>
          <w:sz w:val="28"/>
          <w:szCs w:val="28"/>
        </w:rPr>
      </w:pPr>
    </w:p>
    <w:p>
      <w:pPr>
        <w:jc w:val="left"/>
        <w:rPr>
          <w:rFonts w:cs="Times New Roman" w:asciiTheme="minorEastAsia" w:hAnsiTheme="minorEastAsia"/>
          <w:b/>
          <w:bCs/>
          <w:color w:val="auto"/>
          <w:sz w:val="28"/>
          <w:szCs w:val="28"/>
        </w:rPr>
      </w:pPr>
      <w:r>
        <w:rPr>
          <w:rFonts w:cs="Times New Roman" w:asciiTheme="minorEastAsia" w:hAnsiTheme="minorEastAsia"/>
          <w:b/>
          <w:bCs/>
          <w:color w:val="auto"/>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color w:val="auto"/>
          <w:sz w:val="28"/>
          <w:szCs w:val="28"/>
        </w:rPr>
      </w:pPr>
      <w:r>
        <w:rPr>
          <w:rFonts w:ascii="仿宋" w:hAnsi="仿宋" w:eastAsia="仿宋" w:cs="仿宋_GB2312"/>
          <w:b/>
          <w:color w:val="auto"/>
          <w:sz w:val="28"/>
          <w:szCs w:val="28"/>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姓名</w:t>
            </w:r>
          </w:p>
        </w:tc>
        <w:tc>
          <w:tcPr>
            <w:tcW w:w="1497" w:type="dxa"/>
            <w:gridSpan w:val="2"/>
            <w:noWrap/>
          </w:tcPr>
          <w:p>
            <w:pPr>
              <w:jc w:val="center"/>
              <w:rPr>
                <w:rFonts w:ascii="仿宋" w:hAnsi="仿宋" w:eastAsia="仿宋" w:cs="仿宋_GB2312"/>
                <w:b/>
                <w:color w:val="auto"/>
                <w:sz w:val="28"/>
                <w:szCs w:val="28"/>
              </w:rPr>
            </w:pPr>
          </w:p>
        </w:tc>
        <w:tc>
          <w:tcPr>
            <w:tcW w:w="1613" w:type="dxa"/>
            <w:gridSpan w:val="2"/>
            <w:noWra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出生年月</w:t>
            </w:r>
          </w:p>
        </w:tc>
        <w:tc>
          <w:tcPr>
            <w:tcW w:w="1337" w:type="dxa"/>
            <w:gridSpan w:val="2"/>
            <w:noWrap/>
          </w:tcPr>
          <w:p>
            <w:pPr>
              <w:jc w:val="center"/>
              <w:rPr>
                <w:rFonts w:ascii="仿宋" w:hAnsi="仿宋" w:eastAsia="仿宋" w:cs="仿宋_GB2312"/>
                <w:b/>
                <w:color w:val="auto"/>
                <w:sz w:val="28"/>
                <w:szCs w:val="28"/>
              </w:rPr>
            </w:pPr>
          </w:p>
        </w:tc>
        <w:tc>
          <w:tcPr>
            <w:tcW w:w="2198" w:type="dxa"/>
            <w:gridSpan w:val="2"/>
            <w:noWra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学历</w:t>
            </w:r>
          </w:p>
        </w:tc>
        <w:tc>
          <w:tcPr>
            <w:tcW w:w="1119" w:type="dxa"/>
            <w:noWrap/>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职称</w:t>
            </w:r>
          </w:p>
        </w:tc>
        <w:tc>
          <w:tcPr>
            <w:tcW w:w="1497" w:type="dxa"/>
            <w:gridSpan w:val="2"/>
            <w:noWrap/>
          </w:tcPr>
          <w:p>
            <w:pPr>
              <w:spacing w:line="360" w:lineRule="exact"/>
              <w:jc w:val="center"/>
              <w:rPr>
                <w:rFonts w:ascii="仿宋" w:hAnsi="仿宋" w:eastAsia="仿宋" w:cs="仿宋_GB2312"/>
                <w:b/>
                <w:color w:val="auto"/>
                <w:sz w:val="28"/>
                <w:szCs w:val="28"/>
              </w:rPr>
            </w:pPr>
          </w:p>
        </w:tc>
        <w:tc>
          <w:tcPr>
            <w:tcW w:w="1613" w:type="dxa"/>
            <w:gridSpan w:val="2"/>
            <w:noWra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职务</w:t>
            </w:r>
          </w:p>
        </w:tc>
        <w:tc>
          <w:tcPr>
            <w:tcW w:w="1337" w:type="dxa"/>
            <w:gridSpan w:val="2"/>
            <w:noWrap/>
          </w:tcPr>
          <w:p>
            <w:pPr>
              <w:spacing w:line="360" w:lineRule="exact"/>
              <w:jc w:val="center"/>
              <w:rPr>
                <w:rFonts w:ascii="仿宋" w:hAnsi="仿宋" w:eastAsia="仿宋" w:cs="仿宋_GB2312"/>
                <w:b/>
                <w:color w:val="auto"/>
                <w:sz w:val="28"/>
                <w:szCs w:val="28"/>
              </w:rPr>
            </w:pPr>
          </w:p>
        </w:tc>
        <w:tc>
          <w:tcPr>
            <w:tcW w:w="2198" w:type="dxa"/>
            <w:gridSpan w:val="2"/>
            <w:noWra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从事本工作时间</w:t>
            </w:r>
          </w:p>
        </w:tc>
        <w:tc>
          <w:tcPr>
            <w:tcW w:w="1119" w:type="dxa"/>
            <w:noWrap/>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毕业院校</w:t>
            </w:r>
          </w:p>
        </w:tc>
        <w:tc>
          <w:tcPr>
            <w:tcW w:w="1497" w:type="dxa"/>
            <w:gridSpan w:val="2"/>
            <w:noWrap/>
          </w:tcPr>
          <w:p>
            <w:pPr>
              <w:spacing w:line="360" w:lineRule="exact"/>
              <w:jc w:val="center"/>
              <w:rPr>
                <w:rFonts w:ascii="仿宋" w:hAnsi="仿宋" w:eastAsia="仿宋" w:cs="仿宋_GB2312"/>
                <w:b/>
                <w:color w:val="auto"/>
                <w:sz w:val="28"/>
                <w:szCs w:val="28"/>
              </w:rPr>
            </w:pPr>
          </w:p>
        </w:tc>
        <w:tc>
          <w:tcPr>
            <w:tcW w:w="1613" w:type="dxa"/>
            <w:gridSpan w:val="2"/>
            <w:noWra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毕业时间</w:t>
            </w:r>
          </w:p>
        </w:tc>
        <w:tc>
          <w:tcPr>
            <w:tcW w:w="1337" w:type="dxa"/>
            <w:gridSpan w:val="2"/>
            <w:noWrap/>
          </w:tcPr>
          <w:p>
            <w:pPr>
              <w:spacing w:line="360" w:lineRule="exact"/>
              <w:jc w:val="center"/>
              <w:rPr>
                <w:rFonts w:ascii="仿宋" w:hAnsi="仿宋" w:eastAsia="仿宋" w:cs="仿宋_GB2312"/>
                <w:b/>
                <w:color w:val="auto"/>
                <w:sz w:val="28"/>
                <w:szCs w:val="28"/>
              </w:rPr>
            </w:pPr>
          </w:p>
        </w:tc>
        <w:tc>
          <w:tcPr>
            <w:tcW w:w="2198" w:type="dxa"/>
            <w:gridSpan w:val="2"/>
            <w:noWra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专业</w:t>
            </w:r>
          </w:p>
        </w:tc>
        <w:tc>
          <w:tcPr>
            <w:tcW w:w="1119" w:type="dxa"/>
            <w:noWrap/>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注册证书等级</w:t>
            </w:r>
          </w:p>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和专业</w:t>
            </w:r>
          </w:p>
        </w:tc>
        <w:tc>
          <w:tcPr>
            <w:tcW w:w="2950" w:type="dxa"/>
            <w:gridSpan w:val="4"/>
            <w:noWrap/>
          </w:tcPr>
          <w:p>
            <w:pPr>
              <w:spacing w:line="360" w:lineRule="exact"/>
              <w:jc w:val="center"/>
              <w:rPr>
                <w:rFonts w:ascii="仿宋" w:hAnsi="仿宋" w:eastAsia="仿宋" w:cs="仿宋_GB2312"/>
                <w:b/>
                <w:color w:val="auto"/>
                <w:sz w:val="28"/>
                <w:szCs w:val="28"/>
              </w:rPr>
            </w:pPr>
          </w:p>
        </w:tc>
        <w:tc>
          <w:tcPr>
            <w:tcW w:w="2198" w:type="dxa"/>
            <w:gridSpan w:val="2"/>
            <w:noWra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119" w:type="dxa"/>
            <w:noWrap/>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职称证专业</w:t>
            </w:r>
          </w:p>
        </w:tc>
        <w:tc>
          <w:tcPr>
            <w:tcW w:w="2950" w:type="dxa"/>
            <w:gridSpan w:val="4"/>
            <w:noWrap/>
          </w:tcPr>
          <w:p>
            <w:pPr>
              <w:jc w:val="center"/>
              <w:rPr>
                <w:rFonts w:ascii="仿宋" w:hAnsi="仿宋" w:eastAsia="仿宋" w:cs="仿宋_GB2312"/>
                <w:b/>
                <w:color w:val="auto"/>
                <w:sz w:val="28"/>
                <w:szCs w:val="28"/>
              </w:rPr>
            </w:pPr>
          </w:p>
        </w:tc>
        <w:tc>
          <w:tcPr>
            <w:tcW w:w="2198" w:type="dxa"/>
            <w:gridSpan w:val="2"/>
            <w:noWra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119" w:type="dxa"/>
            <w:noWrap/>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项目名称</w:t>
            </w:r>
          </w:p>
        </w:tc>
        <w:tc>
          <w:tcPr>
            <w:tcW w:w="1993" w:type="dxa"/>
            <w:gridSpan w:val="2"/>
            <w:noWra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合同金额</w:t>
            </w:r>
          </w:p>
        </w:tc>
        <w:tc>
          <w:tcPr>
            <w:tcW w:w="1993" w:type="dxa"/>
            <w:gridSpan w:val="2"/>
            <w:noWra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开、竣工时间</w:t>
            </w:r>
          </w:p>
        </w:tc>
        <w:tc>
          <w:tcPr>
            <w:tcW w:w="1993" w:type="dxa"/>
            <w:gridSpan w:val="2"/>
            <w:noWra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担任职务</w:t>
            </w:r>
          </w:p>
        </w:tc>
        <w:tc>
          <w:tcPr>
            <w:tcW w:w="1453" w:type="dxa"/>
            <w:gridSpan w:val="2"/>
            <w:noWra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rPr>
            </w:pPr>
          </w:p>
        </w:tc>
        <w:tc>
          <w:tcPr>
            <w:tcW w:w="1993" w:type="dxa"/>
            <w:gridSpan w:val="2"/>
            <w:noWrap/>
          </w:tcPr>
          <w:p>
            <w:pPr>
              <w:jc w:val="center"/>
              <w:rPr>
                <w:rFonts w:ascii="仿宋" w:hAnsi="仿宋" w:eastAsia="仿宋" w:cs="仿宋_GB2312"/>
                <w:b/>
                <w:color w:val="auto"/>
                <w:sz w:val="28"/>
                <w:szCs w:val="28"/>
              </w:rPr>
            </w:pPr>
          </w:p>
        </w:tc>
        <w:tc>
          <w:tcPr>
            <w:tcW w:w="1993" w:type="dxa"/>
            <w:gridSpan w:val="2"/>
            <w:noWrap/>
          </w:tcPr>
          <w:p>
            <w:pPr>
              <w:jc w:val="center"/>
              <w:rPr>
                <w:rFonts w:ascii="仿宋" w:hAnsi="仿宋" w:eastAsia="仿宋" w:cs="仿宋_GB2312"/>
                <w:b/>
                <w:color w:val="auto"/>
                <w:sz w:val="28"/>
                <w:szCs w:val="28"/>
              </w:rPr>
            </w:pPr>
          </w:p>
        </w:tc>
        <w:tc>
          <w:tcPr>
            <w:tcW w:w="1993" w:type="dxa"/>
            <w:gridSpan w:val="2"/>
            <w:noWrap/>
          </w:tcPr>
          <w:p>
            <w:pPr>
              <w:jc w:val="center"/>
              <w:rPr>
                <w:rFonts w:ascii="仿宋" w:hAnsi="仿宋" w:eastAsia="仿宋" w:cs="仿宋_GB2312"/>
                <w:b/>
                <w:color w:val="auto"/>
                <w:sz w:val="28"/>
                <w:szCs w:val="28"/>
              </w:rPr>
            </w:pPr>
          </w:p>
        </w:tc>
        <w:tc>
          <w:tcPr>
            <w:tcW w:w="1453" w:type="dxa"/>
            <w:gridSpan w:val="2"/>
            <w:noWrap/>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rPr>
            </w:pPr>
          </w:p>
        </w:tc>
        <w:tc>
          <w:tcPr>
            <w:tcW w:w="1993" w:type="dxa"/>
            <w:gridSpan w:val="2"/>
            <w:noWrap/>
          </w:tcPr>
          <w:p>
            <w:pPr>
              <w:jc w:val="center"/>
              <w:rPr>
                <w:rFonts w:ascii="仿宋" w:hAnsi="仿宋" w:eastAsia="仿宋" w:cs="仿宋_GB2312"/>
                <w:b/>
                <w:color w:val="auto"/>
                <w:sz w:val="28"/>
                <w:szCs w:val="28"/>
              </w:rPr>
            </w:pPr>
          </w:p>
        </w:tc>
        <w:tc>
          <w:tcPr>
            <w:tcW w:w="1993" w:type="dxa"/>
            <w:gridSpan w:val="2"/>
            <w:noWrap/>
          </w:tcPr>
          <w:p>
            <w:pPr>
              <w:jc w:val="center"/>
              <w:rPr>
                <w:rFonts w:ascii="仿宋" w:hAnsi="仿宋" w:eastAsia="仿宋" w:cs="仿宋_GB2312"/>
                <w:b/>
                <w:color w:val="auto"/>
                <w:sz w:val="28"/>
                <w:szCs w:val="28"/>
              </w:rPr>
            </w:pPr>
          </w:p>
        </w:tc>
        <w:tc>
          <w:tcPr>
            <w:tcW w:w="1993" w:type="dxa"/>
            <w:gridSpan w:val="2"/>
            <w:noWrap/>
          </w:tcPr>
          <w:p>
            <w:pPr>
              <w:jc w:val="center"/>
              <w:rPr>
                <w:rFonts w:ascii="仿宋" w:hAnsi="仿宋" w:eastAsia="仿宋" w:cs="仿宋_GB2312"/>
                <w:b/>
                <w:color w:val="auto"/>
                <w:sz w:val="28"/>
                <w:szCs w:val="28"/>
              </w:rPr>
            </w:pPr>
          </w:p>
        </w:tc>
        <w:tc>
          <w:tcPr>
            <w:tcW w:w="1453" w:type="dxa"/>
            <w:gridSpan w:val="2"/>
            <w:noWrap/>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rPr>
            </w:pPr>
          </w:p>
        </w:tc>
        <w:tc>
          <w:tcPr>
            <w:tcW w:w="1993" w:type="dxa"/>
            <w:gridSpan w:val="2"/>
            <w:noWrap/>
          </w:tcPr>
          <w:p>
            <w:pPr>
              <w:jc w:val="center"/>
              <w:rPr>
                <w:rFonts w:ascii="仿宋" w:hAnsi="仿宋" w:eastAsia="仿宋" w:cs="仿宋_GB2312"/>
                <w:b/>
                <w:color w:val="auto"/>
                <w:sz w:val="28"/>
                <w:szCs w:val="28"/>
              </w:rPr>
            </w:pPr>
          </w:p>
        </w:tc>
        <w:tc>
          <w:tcPr>
            <w:tcW w:w="1993" w:type="dxa"/>
            <w:gridSpan w:val="2"/>
            <w:noWrap/>
          </w:tcPr>
          <w:p>
            <w:pPr>
              <w:jc w:val="center"/>
              <w:rPr>
                <w:rFonts w:ascii="仿宋" w:hAnsi="仿宋" w:eastAsia="仿宋" w:cs="仿宋_GB2312"/>
                <w:b/>
                <w:color w:val="auto"/>
                <w:sz w:val="28"/>
                <w:szCs w:val="28"/>
              </w:rPr>
            </w:pPr>
          </w:p>
        </w:tc>
        <w:tc>
          <w:tcPr>
            <w:tcW w:w="1993" w:type="dxa"/>
            <w:gridSpan w:val="2"/>
            <w:noWrap/>
          </w:tcPr>
          <w:p>
            <w:pPr>
              <w:jc w:val="center"/>
              <w:rPr>
                <w:rFonts w:ascii="仿宋" w:hAnsi="仿宋" w:eastAsia="仿宋" w:cs="仿宋_GB2312"/>
                <w:b/>
                <w:color w:val="auto"/>
                <w:sz w:val="28"/>
                <w:szCs w:val="28"/>
              </w:rPr>
            </w:pPr>
          </w:p>
        </w:tc>
        <w:tc>
          <w:tcPr>
            <w:tcW w:w="1453" w:type="dxa"/>
            <w:gridSpan w:val="2"/>
            <w:noWrap/>
          </w:tcPr>
          <w:p>
            <w:pPr>
              <w:jc w:val="center"/>
              <w:rPr>
                <w:rFonts w:ascii="仿宋" w:hAnsi="仿宋" w:eastAsia="仿宋" w:cs="仿宋_GB2312"/>
                <w:b/>
                <w:color w:val="auto"/>
                <w:sz w:val="28"/>
                <w:szCs w:val="28"/>
              </w:rPr>
            </w:pPr>
          </w:p>
        </w:tc>
      </w:tr>
    </w:tbl>
    <w:p>
      <w:pPr>
        <w:pStyle w:val="2"/>
        <w:rPr>
          <w:rFonts w:ascii="仿宋_GB2312" w:eastAsia="仿宋_GB2312" w:hAnsiTheme="minorEastAsia"/>
          <w:color w:val="auto"/>
          <w:sz w:val="28"/>
          <w:szCs w:val="28"/>
        </w:rPr>
      </w:pPr>
    </w:p>
    <w:p>
      <w:pPr>
        <w:adjustRightInd w:val="0"/>
        <w:snapToGrid w:val="0"/>
        <w:spacing w:line="30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ascii="仿宋_GB2312" w:hAnsi="仿宋_GB2312" w:eastAsia="仿宋_GB2312" w:cs="仿宋_GB2312"/>
          <w:color w:val="auto"/>
          <w:sz w:val="28"/>
          <w:szCs w:val="28"/>
          <w:u w:val="single"/>
        </w:rPr>
        <w:t xml:space="preserve">   </w:t>
      </w:r>
    </w:p>
    <w:p>
      <w:pPr>
        <w:spacing w:line="360" w:lineRule="auto"/>
        <w:rPr>
          <w:rFonts w:ascii="宋体" w:hAnsi="宋体"/>
          <w:color w:val="auto"/>
          <w:sz w:val="24"/>
        </w:rPr>
      </w:pPr>
      <w:r>
        <w:rPr>
          <w:rFonts w:hint="eastAsia" w:ascii="仿宋_GB2312" w:hAnsi="仿宋_GB2312" w:eastAsia="仿宋_GB2312" w:cs="仿宋_GB2312"/>
          <w:color w:val="auto"/>
          <w:sz w:val="28"/>
          <w:szCs w:val="28"/>
        </w:rPr>
        <w:t>日期：</w:t>
      </w:r>
      <w:r>
        <w:rPr>
          <w:rFonts w:ascii="仿宋_GB2312" w:hAnsi="仿宋_GB2312" w:eastAsia="仿宋_GB2312" w:cs="仿宋_GB2312"/>
          <w:color w:val="auto"/>
          <w:sz w:val="28"/>
          <w:szCs w:val="28"/>
          <w:u w:val="single"/>
        </w:rPr>
        <w:t xml:space="preserve">               </w:t>
      </w: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6"/>
        <w:numPr>
          <w:ilvl w:val="0"/>
          <w:numId w:val="7"/>
        </w:numPr>
        <w:rPr>
          <w:rFonts w:asciiTheme="minorEastAsia" w:hAnsiTheme="minorEastAsia" w:eastAsiaTheme="minorEastAsia"/>
          <w:color w:val="auto"/>
          <w:sz w:val="28"/>
          <w:szCs w:val="28"/>
        </w:rPr>
      </w:pPr>
      <w:bookmarkStart w:id="141" w:name="_Toc32430"/>
      <w:bookmarkStart w:id="142" w:name="_Toc19423"/>
      <w:r>
        <w:rPr>
          <w:rFonts w:hint="eastAsia" w:asciiTheme="minorEastAsia" w:hAnsiTheme="minorEastAsia" w:eastAsiaTheme="minorEastAsia"/>
          <w:color w:val="auto"/>
          <w:sz w:val="28"/>
          <w:szCs w:val="28"/>
          <w:highlight w:val="none"/>
        </w:rPr>
        <w:t>报价表</w:t>
      </w:r>
      <w:bookmarkEnd w:id="141"/>
      <w:bookmarkEnd w:id="142"/>
    </w:p>
    <w:tbl>
      <w:tblPr>
        <w:tblStyle w:val="24"/>
        <w:tblW w:w="5306" w:type="pct"/>
        <w:tblInd w:w="-672" w:type="dxa"/>
        <w:tblLayout w:type="fixed"/>
        <w:tblCellMar>
          <w:top w:w="0" w:type="dxa"/>
          <w:left w:w="108" w:type="dxa"/>
          <w:bottom w:w="0" w:type="dxa"/>
          <w:right w:w="108" w:type="dxa"/>
        </w:tblCellMar>
      </w:tblPr>
      <w:tblGrid>
        <w:gridCol w:w="414"/>
        <w:gridCol w:w="751"/>
        <w:gridCol w:w="4761"/>
        <w:gridCol w:w="436"/>
        <w:gridCol w:w="415"/>
        <w:gridCol w:w="415"/>
        <w:gridCol w:w="415"/>
        <w:gridCol w:w="417"/>
        <w:gridCol w:w="1020"/>
      </w:tblGrid>
      <w:tr>
        <w:tblPrEx>
          <w:tblCellMar>
            <w:top w:w="0" w:type="dxa"/>
            <w:left w:w="108" w:type="dxa"/>
            <w:bottom w:w="0" w:type="dxa"/>
            <w:right w:w="108" w:type="dxa"/>
          </w:tblCellMar>
        </w:tblPrEx>
        <w:trPr>
          <w:trHeight w:val="4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序号</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设备名称</w:t>
            </w:r>
          </w:p>
        </w:tc>
        <w:tc>
          <w:tcPr>
            <w:tcW w:w="26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性能</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品牌型号</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采购数量</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单价</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合计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备注</w:t>
            </w:r>
          </w:p>
        </w:tc>
      </w:tr>
      <w:tr>
        <w:tblPrEx>
          <w:tblCellMar>
            <w:top w:w="0" w:type="dxa"/>
            <w:left w:w="108" w:type="dxa"/>
            <w:bottom w:w="0" w:type="dxa"/>
            <w:right w:w="108" w:type="dxa"/>
          </w:tblCellMar>
        </w:tblPrEx>
        <w:trPr>
          <w:trHeight w:val="40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415" w:type="pct"/>
            <w:tcBorders>
              <w:top w:val="nil"/>
              <w:left w:val="nil"/>
              <w:bottom w:val="nil"/>
              <w:right w:val="nil"/>
            </w:tcBorders>
            <w:shd w:val="clear" w:color="auto" w:fill="auto"/>
            <w:noWrap/>
            <w:vAlign w:val="center"/>
          </w:tcPr>
          <w:p>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110英寸会议平板</w:t>
            </w:r>
          </w:p>
        </w:tc>
        <w:tc>
          <w:tcPr>
            <w:tcW w:w="26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1.屏幕尺寸：110英寸；</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2.屏幕比例：16:9；</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3.分辨率：3840*2160；</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4.系统版本：Android11.0/Windowsi5双系统；</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5.系统配置：4G+32G/8G DDR3；</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6.无线投屏：支持无线投屏，同屏多分屏功能，支持4个设备同时同屏；</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7.会议培训：内置office,看图，视频播放器等办公实用工具，内置无线WIFI，网卡，支持无线上网，支持将手机、平板、Pad等设备画面同步传送到平板上；</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8.电子白板：支持20点触控；</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9.电脑模块化设计，OPS/抽拉式PC设置；</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10.远程视频：支持远程视频会议，多方异地会议，远程PPT演讲，远程桌面共享。</w:t>
            </w: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kern w:val="0"/>
                <w:sz w:val="22"/>
                <w:lang w:bidi="ar"/>
              </w:rPr>
            </w:pPr>
          </w:p>
          <w:p>
            <w:pPr>
              <w:widowControl/>
              <w:jc w:val="left"/>
              <w:textAlignment w:val="center"/>
              <w:rPr>
                <w:rFonts w:ascii="宋体" w:hAnsi="宋体" w:eastAsia="宋体" w:cs="宋体"/>
                <w:color w:val="auto"/>
                <w:sz w:val="22"/>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包括安装、调试</w:t>
            </w:r>
          </w:p>
        </w:tc>
      </w:tr>
      <w:tr>
        <w:tblPrEx>
          <w:tblCellMar>
            <w:top w:w="0" w:type="dxa"/>
            <w:left w:w="108" w:type="dxa"/>
            <w:bottom w:w="0" w:type="dxa"/>
            <w:right w:w="108" w:type="dxa"/>
          </w:tblCellMar>
        </w:tblPrEx>
        <w:trPr>
          <w:trHeight w:val="48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门头LED屏</w:t>
            </w:r>
          </w:p>
        </w:tc>
        <w:tc>
          <w:tcPr>
            <w:tcW w:w="26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 尺寸：5.86mX0.58m，产品规格：PH10.0；</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2.像素点间距:≤10.0mm；</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3.像素密度≥10000点/㎡；</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4.模组尺寸：320mm×160mm；</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5.模组分辨率≥32*16；</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6.单箱体平整度≤0.5；</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7.支持单点亮度矫正，单点颜色矫正；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8.亮度(nit) ≥5000（0-100%无极可调，支持手动/自动/程控）;</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9.色温(k) 介于 1000～12000可调，调节步长100K；</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10.水平/垂直视角 ≥160°；</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11.亮度均匀性≥98%，色度均匀性介于±0.003 Cx,Cy内；</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12.刷新率≥1920HZ;</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13.换帧频率为50&amp;60HZ;</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14.灰度等级为灰度(bit) 为16bit；</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15.模组驱动方式为1/16扫恒流驱动；</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16.平均故障间隔时间为120000小时；</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17.产品符合防水试验（IPX5）等级测试；</w:t>
            </w:r>
          </w:p>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18.支持手机客户端操作控制</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包括安装、调试</w:t>
            </w:r>
          </w:p>
        </w:tc>
      </w:tr>
      <w:tr>
        <w:tblPrEx>
          <w:tblCellMar>
            <w:top w:w="0" w:type="dxa"/>
            <w:left w:w="108" w:type="dxa"/>
            <w:bottom w:w="0" w:type="dxa"/>
            <w:right w:w="108" w:type="dxa"/>
          </w:tblCellMar>
        </w:tblPrEx>
        <w:trPr>
          <w:trHeight w:val="8180" w:hRule="atLeast"/>
        </w:trPr>
        <w:tc>
          <w:tcPr>
            <w:tcW w:w="22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3</w:t>
            </w:r>
          </w:p>
        </w:tc>
        <w:tc>
          <w:tcPr>
            <w:tcW w:w="41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小间距LED屏</w:t>
            </w:r>
          </w:p>
        </w:tc>
        <w:tc>
          <w:tcPr>
            <w:tcW w:w="263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1、像素点构成及COB封装方式：1R1G1B, RGB全倒装封装；</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2、像素点间距≤1.56，像素密度点（点/m²）：409600点/㎡；</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3、箱体材质采用密封式压铸铝箱体，采用无风扇自然散热结构，单元箱体比例按照16：9来设计，箱体尺寸要求为（W*H）600mm*337.5mm，箱体厚度要求控制在48mm以内,箱体重量不得大于6.5Kg。</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4、整屏平整度：≤0.05mm，具备拼缝微调节机构，保证拼缝精度达到＜0.1mm。</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5、亮度（0～800 cd/m²）可调，亮度调节功能可预设场景模式，支持手动、程控调节。</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6、LED 模组共阴原理设计： LED 的红、绿、蓝三基色灯的阴极连接在一起，同一像素内红、绿、蓝三种颜色的发光二极管共用一个负极；</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7、支持模组、接收卡、电源完全前维护，模组可存储校正数据，更换模组，自动回读校正数据；</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8、软硬件具备一键调节亮、暗线功能，画面稳定无闪烁，具有整屏色平衡调整功能，确保基色一致性；</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9、模组、接收卡与主板采用硬接口设计，无排线，支持直接插拔；每个LED 单元具有独立的控制网口。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10、COB 显示单元正面雾面抗反射处理采用雾面膜可以达到抗反射，抗眩光，一体黑的效果；用 RCA 专用纸带，以固定 275g 重量施加在 COB 面板上面，速度： 16 转/min，试验圈数： 150 次； COB 面板外观结构和功能均正常。</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11、模组 PCB板材采用6 层以上电路板结构设计，PCB 设计焊盘采用沉金全彩显示屏工艺 HDI 处理，充分保证单模块安装的稳定性和抗氧化性；可以耐CAF 离子迁移达 1000H；</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12、COB 显示单元防霉等级依据 GB/T2423.16-2008标准， 显微镜（放大 50 倍）下未</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见长霉，符合0 级标准；</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13、蓝光危害符合 GB/T 20145-2006，辐亮度无危险标准即：辐亮度≤100W/（m2*sr）；光辐射通过蓝光视网膜等级检测，蓝光视网膜危害，其蓝光危害安全系数达 0 类，无风险等级；对皮肤表面及眼睛角膜和视网膜无直接伤害；红绿蓝三色的宽波段光源对皮肤及人眼直接观看无伤害，无紫外危害；产品视觉健康舒适度应符合 CSA035.2-2017 VICO 指数 1 级要求。</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14、电源端子骚扰电压（EMC）、电信端口传导共模（非对称）骚扰电压限值（EMC）、辐射骚扰（EMC）均符合GB/T9254-2008Class B 限值要求；</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15、亮度均匀性≥98%,色温、色域2000K-10000K连续可调，色域覆盖率≥110%NTSC；</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16、产品支持低亮高刷功能，亮度在 200cd/㎡时，符合3840HZ高刷新要求，暗室对比度≥1000000:1</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 xml:space="preserve">17、单元箱体功耗峰值≤500 W/㎡；平均≤200 W/㎡，可支持电源信号冗余备份。 </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 xml:space="preserve">18、带有智能（黑屏）节电功能，开启智能节电功能比没有开启节能40%以上； </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19、单元箱体防护等级符合 GB/T 4208-2017，防尘 IP6X， 防水 IPX5，COB 显示单元正面防护等级IP65；</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20、PCB阻燃符合 GB/T4943.1-2011要求，达到 UL94 V-0 等级要求。</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21、产品具有防静电、防震动、防电磁干扰、抗干扰、抗雷击等功能，具有电源过压、过流、断电保护、分布上电措施，具有实时监控温度、故障报警功能。屏幕点亮连续运行 12 小时后，屏幕表面温升不超过 25K。</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22、可实现远程监督控制，对可能发生的潜在故障记录日志，并向操作员发出警报信号，具有故障自动告警功能，发生故障立即发消息到指定邮箱，便于及时处理；</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23、LED 显示屏可实时监控显示屏工作状态，可实现 LED 单点检测。具有多点测温功能，防止温度过高造成局部颜色混乱、分离，提高屏体寿命；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24、软件管控匹配运维管理软件，可通过软件进行控制；</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拼接处理器参数：</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1.设备应为纯硬件FPGA架构，CrossPoint全总线交换技术，背板等效带宽，不能内置PC/X86/X64架构硬件，以避免X86/X64架构天然存在的计算可靠性和准确性缺陷以及设备运行不稳定问题。</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2.单张板卡支持4通道输入或输出，紧凑型机箱，模拟视频单板卡支持16路同时输入，单卡支持2种信号源任意组合。</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3.输入输出板卡可热插拔，输入板卡热插拔恢复时间＜2s，输出板卡热插拔恢复时间＜8s。</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4.开机时间≤10s，启动电源至输出最总画面的时间间隔。</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5、平均故障时间间隔（MTBF）不小于96000小时，保证设备能够稳定运行。</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6、最大单机背板信号处理带宽不小于720Gbps。</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7、对各个输入通道采用纯硬件处理技术，采用独享带宽方式为每个输入通道分配带宽，切换过程中对其他信号无影响，实现了对输入通道的实时处理功能。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8.支持集中采集DVI、VGA、CVBS、HDBaseT、HDMI、SDI、YPbPr、光纤、网络等2K信号，Dual-link DVI、HDMI 1.4、DisplayPort等4K信号（</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9.支持DVI、HDBaseT、HDMI、SDI、光纤、CVBS等常见的2K信号输出，Dual-link DVI、HDMI 1.4等4K信号输出。</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10.单台设备最大规模支持128路高清输入，144路高清输出，均不需要设备级联。</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11.设备支持任意一路图像在拼接屏的任意位置以任意比例进行开窗、缩放、拉伸、漫游、叠加、跨屏、缩放等功能。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12.设备支持图像无缝实时切换功能，无缝切换时间＜20ms。</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13.支持场景保存及快速调用，支持场景轮巡，适应于不同的应用场景。</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14.可以输出7种测试颜色及网格图像来检验输出通道是否可以正常输出信号。</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15.支持信号源预监功能，支持浏览所有输入信号源的实时预览画面。</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16.支持大屏图像回显，可显示整面拼接墙的显示图像。</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17.支持图像截取功能，可以实现图像重点区域的放大显示或者裁掉信号源的黑边。</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18.支持网络抓屏，将PC桌面信号通过网络抓屏的方式传输至拼接屏同步显示。</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19.图像开窗响应速度＜15ms。</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20.支持RRTA分辨率实时全兼容技术，单台设备应支持同时控制4组不同分辨率的大屏幕显示。</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21.前面板可显示设备IP地址，设备型号等基础信息内容。</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22.支持设置拼接屏的拼缝补偿，屏幕间隔可以根据电视墙实现接缝大小不同而任意设置，可精确到1个像素。</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23.图像信号无压缩、无失真实时传输，保证图像质量无损耗。</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24.支持整面多行拼接屏的画面同步功能，针对快速变化的画面不会出现撕裂、错位的现象。</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25.支持DVI、HDMI、DisplayPort、VGA等接口的EDID编辑功能。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26.输出通道支持宏定义，设备的输出通道与物理显示设备的逻辑对应关系可调。</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27.支持业务智能恢复，输入输出卡更换后无需配置，可自动恢复至原来的工作状态。</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28.信号显示帧率不受开窗大小及输入路数的限制，保证信号显示的流畅性。</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29.支持国标GB28181协议、ONVIF标准协议接入设备。</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30.支持模拟音频输入输出，具有通道同步切换功能。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31.具备7x24 小时长时间连续开机工作的能力。</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32.设备支持不规则拼接方式，针对LED拼接的显示单元，可以设置每块LED单屏的有效显示区，不但降低了操作的复杂度，还提高了整体显示的效果。</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33.支持视频网络运维管理协议，实时监测设备的运行状态，对设备异常情况进行报警。</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34.可联控市面主流品牌矩阵切换器，开放联控接口。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35.支持集成中控功能，实现对大屏幕的开关控制。</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36.支持 RS232串口和网络TCP/IP控制，开放控制协议，可与各品牌中控系统轻松集成。</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37.支持移动终端软件控制，不用外加中控直接实现场景调取等功能。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38.支持故障检测功能，支持输入信号丢失检测，使用灰色标示。</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39.可在控制软件观看大屏回显，直接对UI中的可视化窗口进行操作。</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40.软件支持Windows操作系统和麒麟操作系统。</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多功能主机：</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1、设备接口应具备RS-232接口≥10路、HDMI 4K输入接口≥8路、HDMI 4K输出接口≥8路、3.5mm立体声输入接口≥4路、3.5mm立体声输出接口≥4路、RJ-45千兆网口≥8路；</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2、具备≥10路RS-232控制端口，用于控制接入对应的摄像头、窗帘、功放、PLC、灯控等设备，同时支持1路RS-485、1路RS-422全功能接口；</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3、设备具备1个5寸LCD全彩触摸屏，1个电源指示灯、1个数据传输指示灯、1个红外接收器、1路恢复出厂设置按键；</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4、具备4G物联网功能，实现远程状态查询、周边环境控制；</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5、具备本地8+1路音视频同时录制功能。支持多路视频流合成录制并且支持8路独立画面和1路合成画面进行保存；</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6、具备录播视频重点部分进行马赛克及变声处理，用于防止出现视频资料外泄；</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7、具备无需外加编、解码器及服务器，即可实现IPC接入及控制功能，最高可同时支持8路4K@30网络接入，并且实时进行录制功能；</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8、具备所见即所得的可视化交互式控制和显示功能，控制终端可实时预览回显所有视频信号；</w:t>
            </w:r>
          </w:p>
          <w:p>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9、具备矩阵、拼接、交换机、中控、4G物联、多画面录播等功能；</w:t>
            </w:r>
          </w:p>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10、平均无故障运行时间不少于100000小时。</w:t>
            </w:r>
          </w:p>
        </w:tc>
        <w:tc>
          <w:tcPr>
            <w:tcW w:w="24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套</w:t>
            </w:r>
          </w:p>
        </w:tc>
        <w:tc>
          <w:tcPr>
            <w:tcW w:w="229"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auto"/>
                <w:sz w:val="22"/>
              </w:rPr>
            </w:pPr>
          </w:p>
        </w:tc>
        <w:tc>
          <w:tcPr>
            <w:tcW w:w="22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22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23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auto"/>
                <w:sz w:val="22"/>
              </w:rPr>
            </w:pPr>
          </w:p>
        </w:tc>
        <w:tc>
          <w:tcPr>
            <w:tcW w:w="56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包括安装、调试</w:t>
            </w:r>
          </w:p>
        </w:tc>
      </w:tr>
      <w:tr>
        <w:tblPrEx>
          <w:tblCellMar>
            <w:top w:w="0" w:type="dxa"/>
            <w:left w:w="108" w:type="dxa"/>
            <w:bottom w:w="0" w:type="dxa"/>
            <w:right w:w="108" w:type="dxa"/>
          </w:tblCellMar>
        </w:tblPrEx>
        <w:trPr>
          <w:wAfter w:w="0" w:type="auto"/>
          <w:trHeight w:val="912" w:hRule="atLeast"/>
        </w:trPr>
        <w:tc>
          <w:tcPr>
            <w:tcW w:w="228"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lang w:bidi="ar"/>
              </w:rPr>
            </w:pPr>
          </w:p>
        </w:tc>
        <w:tc>
          <w:tcPr>
            <w:tcW w:w="415"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lang w:bidi="ar"/>
              </w:rPr>
            </w:pPr>
          </w:p>
        </w:tc>
        <w:tc>
          <w:tcPr>
            <w:tcW w:w="4355" w:type="pct"/>
            <w:gridSpan w:val="7"/>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auto"/>
                <w:kern w:val="0"/>
                <w:sz w:val="22"/>
                <w:lang w:val="en-US" w:bidi="ar"/>
              </w:rPr>
            </w:pPr>
            <w:r>
              <w:rPr>
                <w:rFonts w:hint="eastAsia" w:ascii="宋体" w:hAnsi="宋体" w:eastAsia="宋体" w:cs="宋体"/>
                <w:color w:val="auto"/>
                <w:kern w:val="0"/>
                <w:sz w:val="22"/>
                <w:lang w:val="en-US" w:eastAsia="zh-CN" w:bidi="ar"/>
              </w:rPr>
              <w:t>金额合计（含税13%）</w:t>
            </w:r>
            <w:r>
              <w:rPr>
                <w:rFonts w:hint="eastAsia" w:ascii="宋体" w:hAnsi="宋体" w:eastAsia="宋体" w:cs="宋体"/>
                <w:color w:val="auto"/>
                <w:kern w:val="0"/>
                <w:sz w:val="22"/>
                <w:u w:val="single"/>
                <w:lang w:val="en-US" w:eastAsia="zh-CN" w:bidi="ar"/>
              </w:rPr>
              <w:t xml:space="preserve">           </w:t>
            </w:r>
            <w:r>
              <w:rPr>
                <w:rFonts w:hint="eastAsia" w:ascii="宋体" w:hAnsi="宋体" w:eastAsia="宋体" w:cs="宋体"/>
                <w:color w:val="auto"/>
                <w:kern w:val="0"/>
                <w:sz w:val="22"/>
                <w:lang w:val="en-US" w:eastAsia="zh-CN" w:bidi="ar"/>
              </w:rPr>
              <w:t>元</w:t>
            </w:r>
          </w:p>
        </w:tc>
      </w:tr>
    </w:tbl>
    <w:p>
      <w:pPr>
        <w:rPr>
          <w:color w:val="auto"/>
        </w:rPr>
      </w:pPr>
    </w:p>
    <w:p>
      <w:pPr>
        <w:spacing w:line="360" w:lineRule="auto"/>
        <w:jc w:val="center"/>
        <w:rPr>
          <w:color w:val="auto"/>
        </w:rPr>
      </w:pPr>
    </w:p>
    <w:p>
      <w:pPr>
        <w:ind w:firstLine="0" w:firstLineChars="0"/>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ascii="仿宋_GB2312" w:hAnsi="仿宋_GB2312" w:eastAsia="仿宋_GB2312" w:cs="仿宋_GB2312"/>
          <w:color w:val="auto"/>
          <w:sz w:val="28"/>
          <w:szCs w:val="28"/>
          <w:u w:val="single"/>
        </w:rPr>
        <w:t xml:space="preserve">          </w:t>
      </w:r>
    </w:p>
    <w:p>
      <w:pPr>
        <w:spacing w:line="360" w:lineRule="auto"/>
        <w:ind w:firstLine="0" w:firstLineChars="0"/>
        <w:rPr>
          <w:rFonts w:ascii="宋体" w:hAnsi="宋体"/>
          <w:color w:val="auto"/>
          <w:sz w:val="24"/>
        </w:rPr>
      </w:pPr>
      <w:r>
        <w:rPr>
          <w:rFonts w:hint="eastAsia" w:ascii="仿宋_GB2312" w:hAnsi="仿宋_GB2312" w:eastAsia="仿宋_GB2312" w:cs="仿宋_GB2312"/>
          <w:color w:val="auto"/>
          <w:sz w:val="28"/>
          <w:szCs w:val="28"/>
        </w:rPr>
        <w:t>日期：</w:t>
      </w:r>
      <w:r>
        <w:rPr>
          <w:rFonts w:ascii="仿宋_GB2312" w:hAnsi="仿宋_GB2312" w:eastAsia="仿宋_GB2312" w:cs="仿宋_GB2312"/>
          <w:color w:val="auto"/>
          <w:sz w:val="28"/>
          <w:szCs w:val="28"/>
          <w:u w:val="single"/>
        </w:rPr>
        <w:t xml:space="preserve">               </w:t>
      </w:r>
    </w:p>
    <w:p>
      <w:pPr>
        <w:ind w:firstLine="210" w:firstLineChars="100"/>
        <w:rPr>
          <w:color w:val="auto"/>
        </w:rPr>
      </w:pPr>
    </w:p>
    <w:p>
      <w:pPr>
        <w:ind w:firstLine="210" w:firstLineChars="100"/>
        <w:rPr>
          <w:color w:val="auto"/>
        </w:rPr>
      </w:pPr>
    </w:p>
    <w:p>
      <w:pPr>
        <w:ind w:firstLine="210" w:firstLineChars="100"/>
        <w:rPr>
          <w:color w:val="auto"/>
        </w:rPr>
      </w:pPr>
    </w:p>
    <w:p>
      <w:pPr>
        <w:ind w:firstLine="210" w:firstLineChars="100"/>
        <w:rPr>
          <w:color w:val="auto"/>
        </w:rPr>
      </w:pPr>
    </w:p>
    <w:p>
      <w:pPr>
        <w:ind w:firstLine="210" w:firstLineChars="100"/>
        <w:rPr>
          <w:color w:val="auto"/>
        </w:rPr>
      </w:pPr>
    </w:p>
    <w:p>
      <w:pPr>
        <w:ind w:firstLine="281" w:firstLineChars="100"/>
        <w:rPr>
          <w:rFonts w:hint="eastAsia" w:ascii="仿宋_GB2312" w:hAnsi="仿宋_GB2312" w:eastAsia="仿宋_GB2312" w:cs="仿宋_GB2312"/>
          <w:b/>
          <w:color w:val="auto"/>
          <w:sz w:val="28"/>
          <w:szCs w:val="28"/>
          <w:lang w:val="zh-CN" w:eastAsia="zh-CN"/>
        </w:rPr>
      </w:pPr>
      <w:r>
        <w:rPr>
          <w:rFonts w:hint="eastAsia" w:ascii="仿宋_GB2312" w:hAnsi="仿宋_GB2312" w:eastAsia="仿宋_GB2312" w:cs="仿宋_GB2312"/>
          <w:b/>
          <w:color w:val="auto"/>
          <w:sz w:val="28"/>
          <w:szCs w:val="28"/>
          <w:lang w:val="zh-CN" w:eastAsia="zh-CN"/>
        </w:rPr>
        <w:t>6 其他资料</w:t>
      </w:r>
    </w:p>
    <w:p>
      <w:pPr>
        <w:ind w:firstLine="220" w:firstLineChars="100"/>
        <w:rPr>
          <w:rFonts w:hint="eastAsia"/>
          <w:color w:val="auto"/>
          <w:lang w:val="en-US" w:eastAsia="zh-CN"/>
        </w:rPr>
      </w:pPr>
      <w:r>
        <w:rPr>
          <w:rFonts w:hint="eastAsia" w:ascii="宋体" w:hAnsi="宋体" w:eastAsia="宋体" w:cs="宋体"/>
          <w:color w:val="auto"/>
          <w:kern w:val="0"/>
          <w:sz w:val="22"/>
          <w:lang w:bidi="ar"/>
        </w:rPr>
        <w:t>小间距LED屏</w:t>
      </w:r>
    </w:p>
    <w:p>
      <w:pPr>
        <w:ind w:firstLine="220" w:firstLineChars="100"/>
        <w:rPr>
          <w:rFonts w:hint="eastAsia" w:ascii="宋体" w:hAnsi="宋体" w:eastAsia="宋体" w:cs="宋体"/>
          <w:color w:val="auto"/>
          <w:kern w:val="0"/>
          <w:sz w:val="22"/>
          <w:lang w:bidi="ar"/>
        </w:rPr>
      </w:pPr>
      <w:r>
        <w:rPr>
          <w:rFonts w:hint="eastAsia" w:ascii="宋体" w:hAnsi="宋体" w:eastAsia="宋体" w:cs="宋体"/>
          <w:color w:val="auto"/>
          <w:kern w:val="0"/>
          <w:sz w:val="22"/>
          <w:lang w:eastAsia="zh-CN" w:bidi="ar"/>
        </w:rPr>
        <w:t>（</w:t>
      </w:r>
      <w:r>
        <w:rPr>
          <w:rFonts w:hint="eastAsia" w:ascii="宋体" w:hAnsi="宋体" w:eastAsia="宋体" w:cs="宋体"/>
          <w:color w:val="auto"/>
          <w:kern w:val="0"/>
          <w:sz w:val="22"/>
          <w:lang w:val="en-US" w:eastAsia="zh-CN" w:bidi="ar"/>
        </w:rPr>
        <w:t>1）</w:t>
      </w:r>
      <w:r>
        <w:rPr>
          <w:rFonts w:hint="eastAsia" w:ascii="宋体" w:hAnsi="宋体" w:eastAsia="宋体" w:cs="宋体"/>
          <w:color w:val="auto"/>
          <w:kern w:val="0"/>
          <w:sz w:val="22"/>
          <w:lang w:bidi="ar"/>
        </w:rPr>
        <w:t>★</w:t>
      </w:r>
      <w:r>
        <w:rPr>
          <w:rFonts w:ascii="宋体" w:hAnsi="宋体" w:eastAsia="宋体" w:cs="宋体"/>
          <w:color w:val="auto"/>
          <w:kern w:val="0"/>
          <w:sz w:val="22"/>
          <w:lang w:bidi="ar"/>
        </w:rPr>
        <w:t xml:space="preserve">10、COB </w:t>
      </w:r>
      <w:r>
        <w:rPr>
          <w:rFonts w:hint="eastAsia" w:ascii="宋体" w:hAnsi="宋体" w:eastAsia="宋体" w:cs="宋体"/>
          <w:color w:val="auto"/>
          <w:kern w:val="0"/>
          <w:sz w:val="22"/>
          <w:lang w:bidi="ar"/>
        </w:rPr>
        <w:t>显示单元正面雾面抗反射处理采用雾面膜可以达到抗反射，抗眩光，一体黑的效果；用</w:t>
      </w:r>
      <w:r>
        <w:rPr>
          <w:rFonts w:ascii="宋体" w:hAnsi="宋体" w:eastAsia="宋体" w:cs="宋体"/>
          <w:color w:val="auto"/>
          <w:kern w:val="0"/>
          <w:sz w:val="22"/>
          <w:lang w:bidi="ar"/>
        </w:rPr>
        <w:t xml:space="preserve"> RCA </w:t>
      </w:r>
      <w:r>
        <w:rPr>
          <w:rFonts w:hint="eastAsia" w:ascii="宋体" w:hAnsi="宋体" w:eastAsia="宋体" w:cs="宋体"/>
          <w:color w:val="auto"/>
          <w:kern w:val="0"/>
          <w:sz w:val="22"/>
          <w:lang w:bidi="ar"/>
        </w:rPr>
        <w:t>专用纸带，以固定</w:t>
      </w:r>
      <w:r>
        <w:rPr>
          <w:rFonts w:ascii="宋体" w:hAnsi="宋体" w:eastAsia="宋体" w:cs="宋体"/>
          <w:color w:val="auto"/>
          <w:kern w:val="0"/>
          <w:sz w:val="22"/>
          <w:lang w:bidi="ar"/>
        </w:rPr>
        <w:t xml:space="preserve"> 275g </w:t>
      </w:r>
      <w:r>
        <w:rPr>
          <w:rFonts w:hint="eastAsia" w:ascii="宋体" w:hAnsi="宋体" w:eastAsia="宋体" w:cs="宋体"/>
          <w:color w:val="auto"/>
          <w:kern w:val="0"/>
          <w:sz w:val="22"/>
          <w:lang w:bidi="ar"/>
        </w:rPr>
        <w:t>重量施加在</w:t>
      </w:r>
      <w:r>
        <w:rPr>
          <w:rFonts w:ascii="宋体" w:hAnsi="宋体" w:eastAsia="宋体" w:cs="宋体"/>
          <w:color w:val="auto"/>
          <w:kern w:val="0"/>
          <w:sz w:val="22"/>
          <w:lang w:bidi="ar"/>
        </w:rPr>
        <w:t xml:space="preserve"> COB </w:t>
      </w:r>
      <w:r>
        <w:rPr>
          <w:rFonts w:hint="eastAsia" w:ascii="宋体" w:hAnsi="宋体" w:eastAsia="宋体" w:cs="宋体"/>
          <w:color w:val="auto"/>
          <w:kern w:val="0"/>
          <w:sz w:val="22"/>
          <w:lang w:bidi="ar"/>
        </w:rPr>
        <w:t>面板上面，速度：</w:t>
      </w:r>
      <w:r>
        <w:rPr>
          <w:rFonts w:ascii="宋体" w:hAnsi="宋体" w:eastAsia="宋体" w:cs="宋体"/>
          <w:color w:val="auto"/>
          <w:kern w:val="0"/>
          <w:sz w:val="22"/>
          <w:lang w:bidi="ar"/>
        </w:rPr>
        <w:t xml:space="preserve"> 16 </w:t>
      </w:r>
      <w:r>
        <w:rPr>
          <w:rFonts w:hint="eastAsia" w:ascii="宋体" w:hAnsi="宋体" w:eastAsia="宋体" w:cs="宋体"/>
          <w:color w:val="auto"/>
          <w:kern w:val="0"/>
          <w:sz w:val="22"/>
          <w:lang w:bidi="ar"/>
        </w:rPr>
        <w:t>转</w:t>
      </w:r>
      <w:r>
        <w:rPr>
          <w:rFonts w:ascii="宋体" w:hAnsi="宋体" w:eastAsia="宋体" w:cs="宋体"/>
          <w:color w:val="auto"/>
          <w:kern w:val="0"/>
          <w:sz w:val="22"/>
          <w:lang w:bidi="ar"/>
        </w:rPr>
        <w:t xml:space="preserve">/min，试验圈数： 150 </w:t>
      </w:r>
      <w:r>
        <w:rPr>
          <w:rFonts w:hint="eastAsia" w:ascii="宋体" w:hAnsi="宋体" w:eastAsia="宋体" w:cs="宋体"/>
          <w:color w:val="auto"/>
          <w:kern w:val="0"/>
          <w:sz w:val="22"/>
          <w:lang w:bidi="ar"/>
        </w:rPr>
        <w:t>次；</w:t>
      </w:r>
      <w:r>
        <w:rPr>
          <w:rFonts w:ascii="宋体" w:hAnsi="宋体" w:eastAsia="宋体" w:cs="宋体"/>
          <w:color w:val="auto"/>
          <w:kern w:val="0"/>
          <w:sz w:val="22"/>
          <w:lang w:bidi="ar"/>
        </w:rPr>
        <w:t xml:space="preserve"> COB </w:t>
      </w:r>
      <w:r>
        <w:rPr>
          <w:rFonts w:hint="eastAsia" w:ascii="宋体" w:hAnsi="宋体" w:eastAsia="宋体" w:cs="宋体"/>
          <w:color w:val="auto"/>
          <w:kern w:val="0"/>
          <w:sz w:val="22"/>
          <w:lang w:bidi="ar"/>
        </w:rPr>
        <w:t>面板外观结构和功能均正常。（需提供并通过</w:t>
      </w:r>
      <w:r>
        <w:rPr>
          <w:rFonts w:ascii="宋体" w:hAnsi="宋体" w:eastAsia="宋体" w:cs="宋体"/>
          <w:color w:val="auto"/>
          <w:kern w:val="0"/>
          <w:sz w:val="22"/>
          <w:lang w:bidi="ar"/>
        </w:rPr>
        <w:t>ilac-MRA/CNAS/CMA标志认证第三方专业检测机构出具的检测报告证明文件并加盖设备制造商公章；</w:t>
      </w:r>
      <w:r>
        <w:rPr>
          <w:rFonts w:hint="eastAsia" w:ascii="宋体" w:hAnsi="宋体" w:eastAsia="宋体" w:cs="宋体"/>
          <w:color w:val="auto"/>
          <w:kern w:val="0"/>
          <w:sz w:val="22"/>
          <w:lang w:bidi="ar"/>
        </w:rPr>
        <w:t>）</w:t>
      </w:r>
    </w:p>
    <w:p>
      <w:pPr>
        <w:ind w:firstLine="220" w:firstLineChars="100"/>
        <w:rPr>
          <w:rFonts w:ascii="宋体" w:hAnsi="宋体" w:eastAsia="宋体" w:cs="宋体"/>
          <w:color w:val="auto"/>
          <w:kern w:val="0"/>
          <w:sz w:val="22"/>
          <w:lang w:bidi="ar"/>
        </w:rPr>
      </w:pPr>
      <w:r>
        <w:rPr>
          <w:rFonts w:hint="eastAsia" w:ascii="宋体" w:hAnsi="宋体" w:eastAsia="宋体" w:cs="宋体"/>
          <w:color w:val="auto"/>
          <w:kern w:val="0"/>
          <w:sz w:val="22"/>
          <w:lang w:eastAsia="zh-CN" w:bidi="ar"/>
        </w:rPr>
        <w:t>（</w:t>
      </w:r>
      <w:r>
        <w:rPr>
          <w:rFonts w:hint="eastAsia" w:ascii="宋体" w:hAnsi="宋体" w:eastAsia="宋体" w:cs="宋体"/>
          <w:color w:val="auto"/>
          <w:kern w:val="0"/>
          <w:sz w:val="22"/>
          <w:lang w:val="en-US" w:eastAsia="zh-CN" w:bidi="ar"/>
        </w:rPr>
        <w:t>2</w:t>
      </w:r>
      <w:r>
        <w:rPr>
          <w:rFonts w:hint="eastAsia" w:ascii="宋体" w:hAnsi="宋体" w:eastAsia="宋体" w:cs="宋体"/>
          <w:color w:val="auto"/>
          <w:kern w:val="0"/>
          <w:sz w:val="22"/>
          <w:lang w:eastAsia="zh-CN" w:bidi="ar"/>
        </w:rPr>
        <w:t>）</w:t>
      </w:r>
      <w:r>
        <w:rPr>
          <w:rFonts w:hint="eastAsia" w:ascii="宋体" w:hAnsi="宋体" w:eastAsia="宋体" w:cs="宋体"/>
          <w:color w:val="auto"/>
          <w:kern w:val="0"/>
          <w:sz w:val="22"/>
          <w:lang w:bidi="ar"/>
        </w:rPr>
        <w:t>★</w:t>
      </w:r>
      <w:r>
        <w:rPr>
          <w:rFonts w:ascii="宋体" w:hAnsi="宋体" w:eastAsia="宋体" w:cs="宋体"/>
          <w:color w:val="auto"/>
          <w:kern w:val="0"/>
          <w:sz w:val="22"/>
          <w:lang w:bidi="ar"/>
        </w:rPr>
        <w:t xml:space="preserve">14、电源端子骚扰电压（EMC）、电信端口传导共模（非对称）骚扰电压限值（EMC）、辐射骚扰（EMC）均符合GB/T9254-2008Class B </w:t>
      </w:r>
      <w:r>
        <w:rPr>
          <w:rFonts w:hint="eastAsia" w:ascii="宋体" w:hAnsi="宋体" w:eastAsia="宋体" w:cs="宋体"/>
          <w:color w:val="auto"/>
          <w:kern w:val="0"/>
          <w:sz w:val="22"/>
          <w:lang w:bidi="ar"/>
        </w:rPr>
        <w:t>限值要求；（需提供并通过</w:t>
      </w:r>
      <w:r>
        <w:rPr>
          <w:rFonts w:ascii="宋体" w:hAnsi="宋体" w:eastAsia="宋体" w:cs="宋体"/>
          <w:color w:val="auto"/>
          <w:kern w:val="0"/>
          <w:sz w:val="22"/>
          <w:lang w:bidi="ar"/>
        </w:rPr>
        <w:t>ilac-MRA/CNAS/CMA标志认证第三方专业检测机构出具的检测报告证明文件并加盖设备制造商公章；</w:t>
      </w:r>
    </w:p>
    <w:p>
      <w:pPr>
        <w:ind w:firstLine="220" w:firstLineChars="100"/>
        <w:rPr>
          <w:rFonts w:ascii="宋体" w:hAnsi="宋体" w:eastAsia="宋体" w:cs="宋体"/>
          <w:color w:val="auto"/>
          <w:kern w:val="0"/>
          <w:sz w:val="22"/>
          <w:lang w:bidi="ar"/>
        </w:rPr>
      </w:pPr>
      <w:r>
        <w:rPr>
          <w:rFonts w:hint="eastAsia" w:ascii="宋体" w:hAnsi="宋体" w:eastAsia="宋体" w:cs="宋体"/>
          <w:color w:val="auto"/>
          <w:kern w:val="0"/>
          <w:sz w:val="22"/>
          <w:lang w:bidi="ar"/>
        </w:rPr>
        <w:t>拼接处理器</w:t>
      </w:r>
    </w:p>
    <w:p>
      <w:pPr>
        <w:ind w:firstLine="220" w:firstLineChars="100"/>
        <w:rPr>
          <w:rFonts w:ascii="宋体" w:hAnsi="宋体" w:eastAsia="宋体" w:cs="宋体"/>
          <w:color w:val="auto"/>
          <w:kern w:val="0"/>
          <w:sz w:val="22"/>
          <w:lang w:bidi="ar"/>
        </w:rPr>
      </w:pPr>
      <w:r>
        <w:rPr>
          <w:rFonts w:hint="eastAsia" w:ascii="宋体" w:hAnsi="宋体" w:eastAsia="宋体" w:cs="宋体"/>
          <w:color w:val="auto"/>
          <w:kern w:val="0"/>
          <w:sz w:val="22"/>
          <w:lang w:eastAsia="zh-CN" w:bidi="ar"/>
        </w:rPr>
        <w:t>（</w:t>
      </w:r>
      <w:r>
        <w:rPr>
          <w:rFonts w:hint="eastAsia" w:ascii="宋体" w:hAnsi="宋体" w:eastAsia="宋体" w:cs="宋体"/>
          <w:color w:val="auto"/>
          <w:kern w:val="0"/>
          <w:sz w:val="22"/>
          <w:lang w:val="en-US" w:eastAsia="zh-CN" w:bidi="ar"/>
        </w:rPr>
        <w:t>3</w:t>
      </w:r>
      <w:r>
        <w:rPr>
          <w:rFonts w:hint="eastAsia" w:ascii="宋体" w:hAnsi="宋体" w:eastAsia="宋体" w:cs="宋体"/>
          <w:color w:val="auto"/>
          <w:kern w:val="0"/>
          <w:sz w:val="22"/>
          <w:lang w:eastAsia="zh-CN" w:bidi="ar"/>
        </w:rPr>
        <w:t>）</w:t>
      </w:r>
      <w:r>
        <w:rPr>
          <w:rFonts w:hint="eastAsia" w:ascii="宋体" w:hAnsi="宋体" w:eastAsia="宋体" w:cs="宋体"/>
          <w:color w:val="auto"/>
          <w:kern w:val="0"/>
          <w:sz w:val="22"/>
          <w:lang w:bidi="ar"/>
        </w:rPr>
        <w:t>★</w:t>
      </w:r>
      <w:r>
        <w:rPr>
          <w:rFonts w:ascii="宋体" w:hAnsi="宋体" w:eastAsia="宋体" w:cs="宋体"/>
          <w:color w:val="auto"/>
          <w:kern w:val="0"/>
          <w:sz w:val="22"/>
          <w:lang w:bidi="ar"/>
        </w:rPr>
        <w:t>3.输入输出板卡可热插拔，输入板卡热插拔恢复时间＜2s，输出板卡热插拔恢复时间＜8s。（提供CNAS机构认可的第三方权威检测报告）</w:t>
      </w:r>
    </w:p>
    <w:p>
      <w:pPr>
        <w:ind w:firstLine="220" w:firstLineChars="100"/>
        <w:rPr>
          <w:rFonts w:hint="eastAsia" w:ascii="宋体" w:hAnsi="宋体" w:eastAsia="宋体" w:cs="宋体"/>
          <w:color w:val="auto"/>
          <w:kern w:val="0"/>
          <w:sz w:val="22"/>
          <w:lang w:bidi="ar"/>
        </w:rPr>
      </w:pPr>
      <w:r>
        <w:rPr>
          <w:rFonts w:hint="eastAsia" w:ascii="宋体" w:hAnsi="宋体" w:eastAsia="宋体" w:cs="宋体"/>
          <w:color w:val="auto"/>
          <w:kern w:val="0"/>
          <w:sz w:val="22"/>
          <w:lang w:eastAsia="zh-CN" w:bidi="ar"/>
        </w:rPr>
        <w:t>（</w:t>
      </w:r>
      <w:r>
        <w:rPr>
          <w:rFonts w:hint="eastAsia" w:ascii="宋体" w:hAnsi="宋体" w:eastAsia="宋体" w:cs="宋体"/>
          <w:color w:val="auto"/>
          <w:kern w:val="0"/>
          <w:sz w:val="22"/>
          <w:lang w:val="en-US" w:eastAsia="zh-CN" w:bidi="ar"/>
        </w:rPr>
        <w:t>4</w:t>
      </w:r>
      <w:r>
        <w:rPr>
          <w:rFonts w:hint="eastAsia" w:ascii="宋体" w:hAnsi="宋体" w:eastAsia="宋体" w:cs="宋体"/>
          <w:color w:val="auto"/>
          <w:kern w:val="0"/>
          <w:sz w:val="22"/>
          <w:lang w:eastAsia="zh-CN" w:bidi="ar"/>
        </w:rPr>
        <w:t>）</w:t>
      </w:r>
      <w:r>
        <w:rPr>
          <w:rFonts w:hint="eastAsia" w:ascii="宋体" w:hAnsi="宋体" w:eastAsia="宋体" w:cs="宋体"/>
          <w:color w:val="auto"/>
          <w:kern w:val="0"/>
          <w:sz w:val="22"/>
          <w:lang w:bidi="ar"/>
        </w:rPr>
        <w:t>★</w:t>
      </w:r>
      <w:r>
        <w:rPr>
          <w:rFonts w:ascii="宋体" w:hAnsi="宋体" w:eastAsia="宋体" w:cs="宋体"/>
          <w:color w:val="auto"/>
          <w:kern w:val="0"/>
          <w:sz w:val="22"/>
          <w:lang w:bidi="ar"/>
        </w:rPr>
        <w:t>6、最大单机背板信号处理带宽不小于720Gbps。（提供CNAS机构认可的第三方权威检测报告）</w:t>
      </w:r>
    </w:p>
    <w:p>
      <w:pPr>
        <w:ind w:firstLine="220" w:firstLineChars="100"/>
        <w:rPr>
          <w:rFonts w:hint="default" w:ascii="宋体" w:hAnsi="宋体" w:eastAsia="宋体" w:cs="宋体"/>
          <w:color w:val="auto"/>
          <w:kern w:val="0"/>
          <w:sz w:val="22"/>
          <w:lang w:val="en-US" w:eastAsia="zh-CN" w:bidi="ar"/>
        </w:rPr>
      </w:pPr>
      <w:r>
        <w:rPr>
          <w:rFonts w:hint="eastAsia" w:ascii="宋体" w:hAnsi="宋体" w:eastAsia="宋体" w:cs="宋体"/>
          <w:color w:val="auto"/>
          <w:kern w:val="0"/>
          <w:sz w:val="22"/>
          <w:lang w:val="en-US" w:eastAsia="zh-CN" w:bidi="ar"/>
        </w:rPr>
        <w:t>多功能主机</w:t>
      </w:r>
    </w:p>
    <w:p>
      <w:pPr>
        <w:numPr>
          <w:ilvl w:val="0"/>
          <w:numId w:val="8"/>
        </w:numPr>
        <w:ind w:firstLine="220" w:firstLineChars="100"/>
        <w:rPr>
          <w:rFonts w:ascii="宋体" w:hAnsi="宋体" w:eastAsia="宋体" w:cs="宋体"/>
          <w:color w:val="auto"/>
          <w:kern w:val="0"/>
          <w:sz w:val="22"/>
          <w:lang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1、设备接口应具备RS-232接口≥10路、HDMI 4K输入接口≥8路、HDMI 4K输出接口≥8路、3.5mm立体声输入接口≥4路、3.5mm立体声输出接口≥4路、RJ-45千兆网口≥8路；（须提供CMA、ilac-MRA及CNAS标识的权威第三方检测报告复印件并加盖生产制造厂商公章）</w:t>
      </w:r>
    </w:p>
    <w:p>
      <w:pPr>
        <w:numPr>
          <w:ilvl w:val="0"/>
          <w:numId w:val="8"/>
        </w:numPr>
        <w:ind w:firstLine="220" w:firstLineChars="100"/>
        <w:rPr>
          <w:rFonts w:hint="default" w:ascii="宋体" w:hAnsi="宋体" w:eastAsia="宋体" w:cs="宋体"/>
          <w:color w:val="auto"/>
          <w:kern w:val="0"/>
          <w:sz w:val="22"/>
          <w:lang w:val="en-US" w:eastAsia="zh-CN" w:bidi="ar"/>
        </w:rPr>
      </w:pPr>
      <w:r>
        <w:rPr>
          <w:rFonts w:hint="eastAsia" w:ascii="宋体" w:hAnsi="宋体" w:eastAsia="宋体" w:cs="宋体"/>
          <w:color w:val="auto"/>
          <w:kern w:val="0"/>
          <w:sz w:val="22"/>
          <w:lang w:bidi="ar"/>
        </w:rPr>
        <w:t>★</w:t>
      </w:r>
      <w:r>
        <w:rPr>
          <w:rFonts w:ascii="宋体" w:hAnsi="宋体" w:eastAsia="宋体" w:cs="宋体"/>
          <w:color w:val="auto"/>
          <w:kern w:val="0"/>
          <w:sz w:val="22"/>
          <w:lang w:bidi="ar"/>
        </w:rPr>
        <w:t>3、设备具备1个5寸LCD全彩触摸屏，1个电源指示灯、1个数据传输指示灯、1个红外接收器、1路恢复出厂设置按键；（须提供CMA、ilac-MRA及CNAS标识的权威第三方检测报告复印件并加盖生产制造厂商公章）</w:t>
      </w:r>
    </w:p>
    <w:sectPr>
      <w:footerReference r:id="rId16" w:type="first"/>
      <w:headerReference r:id="rId13" w:type="default"/>
      <w:footerReference r:id="rId14" w:type="default"/>
      <w:footerReference r:id="rId15" w:type="even"/>
      <w:pgSz w:w="11906" w:h="16838"/>
      <w:pgMar w:top="873"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8LMz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lBLNFDp+/vH9&#10;/PP3+dc3chX1aayfI+zBIjC070yLqRnuPS4j7bZ0Kv6CEIEf6p4u6oo2EB4fzaaz2RguDt9wAH72&#10;9Nw6H94Lo0g0curQvqQqO2596EKHkJhNm00tZWqh1KTJ6fXV2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LI8LMzAgAAZAQAAA4AAAAAAAAAAQAgAAAAHwEAAGRycy9lMm9Eb2MueG1sUEsF&#10;BgAAAAAGAAYAWQEAAMQFA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0FXkyAgAAZA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PQVeTICAABkBAAADgAAAAAAAAABACAAAAAfAQAAZHJzL2Uyb0RvYy54bWxQSwUG&#10;AAAAAAYABgBZAQAAww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68</w:t>
    </w:r>
    <w:r>
      <w:fldChar w:fldCharType="end"/>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E74BB87"/>
    <w:multiLevelType w:val="singleLevel"/>
    <w:tmpl w:val="DE74BB87"/>
    <w:lvl w:ilvl="0" w:tentative="0">
      <w:start w:val="2"/>
      <w:numFmt w:val="chineseCounting"/>
      <w:suff w:val="space"/>
      <w:lvlText w:val="第%1条"/>
      <w:lvlJc w:val="left"/>
      <w:rPr>
        <w:rFonts w:hint="eastAsia"/>
      </w:rPr>
    </w:lvl>
  </w:abstractNum>
  <w:abstractNum w:abstractNumId="3">
    <w:nsid w:val="EBDB73FB"/>
    <w:multiLevelType w:val="singleLevel"/>
    <w:tmpl w:val="EBDB73FB"/>
    <w:lvl w:ilvl="0" w:tentative="0">
      <w:start w:val="5"/>
      <w:numFmt w:val="decimal"/>
      <w:suff w:val="nothing"/>
      <w:lvlText w:val="（%1）"/>
      <w:lvlJc w:val="left"/>
    </w:lvl>
  </w:abstractNum>
  <w:abstractNum w:abstractNumId="4">
    <w:nsid w:val="40D20F9D"/>
    <w:multiLevelType w:val="singleLevel"/>
    <w:tmpl w:val="40D20F9D"/>
    <w:lvl w:ilvl="0" w:tentative="0">
      <w:start w:val="5"/>
      <w:numFmt w:val="decimal"/>
      <w:lvlText w:val="%1."/>
      <w:lvlJc w:val="left"/>
      <w:pPr>
        <w:tabs>
          <w:tab w:val="left" w:pos="312"/>
        </w:tabs>
      </w:p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6"/>
  </w:num>
  <w:num w:numId="3">
    <w:abstractNumId w:val="5"/>
  </w:num>
  <w:num w:numId="4">
    <w:abstractNumId w:val="0"/>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jOTRjOWMzMTM2YTA0OWJlZDMxYmQ1YzExZDY3ZmYifQ=="/>
  </w:docVars>
  <w:rsids>
    <w:rsidRoot w:val="005D618A"/>
    <w:rsid w:val="00003EB0"/>
    <w:rsid w:val="00032516"/>
    <w:rsid w:val="00041CB7"/>
    <w:rsid w:val="000607E4"/>
    <w:rsid w:val="00062B8F"/>
    <w:rsid w:val="000652E9"/>
    <w:rsid w:val="00071239"/>
    <w:rsid w:val="000759EB"/>
    <w:rsid w:val="00094D69"/>
    <w:rsid w:val="000A4717"/>
    <w:rsid w:val="000C22BE"/>
    <w:rsid w:val="000E053A"/>
    <w:rsid w:val="00107EDA"/>
    <w:rsid w:val="001152B6"/>
    <w:rsid w:val="00122447"/>
    <w:rsid w:val="001434BF"/>
    <w:rsid w:val="00156E1E"/>
    <w:rsid w:val="00186F80"/>
    <w:rsid w:val="001946CA"/>
    <w:rsid w:val="001A6D0F"/>
    <w:rsid w:val="001B40CE"/>
    <w:rsid w:val="001C1539"/>
    <w:rsid w:val="001C18AD"/>
    <w:rsid w:val="001C30BC"/>
    <w:rsid w:val="001C691D"/>
    <w:rsid w:val="001C69CE"/>
    <w:rsid w:val="001D100F"/>
    <w:rsid w:val="002505BB"/>
    <w:rsid w:val="002608BE"/>
    <w:rsid w:val="00261DF3"/>
    <w:rsid w:val="00274E56"/>
    <w:rsid w:val="00275185"/>
    <w:rsid w:val="00277606"/>
    <w:rsid w:val="0028083E"/>
    <w:rsid w:val="002859A9"/>
    <w:rsid w:val="00286A05"/>
    <w:rsid w:val="0029287D"/>
    <w:rsid w:val="002A4687"/>
    <w:rsid w:val="002A7FEE"/>
    <w:rsid w:val="002C2C68"/>
    <w:rsid w:val="002D36B0"/>
    <w:rsid w:val="002E53A1"/>
    <w:rsid w:val="002F2E0C"/>
    <w:rsid w:val="00320DC2"/>
    <w:rsid w:val="003211B9"/>
    <w:rsid w:val="00367ACE"/>
    <w:rsid w:val="00371964"/>
    <w:rsid w:val="0037721F"/>
    <w:rsid w:val="00381C59"/>
    <w:rsid w:val="003C1527"/>
    <w:rsid w:val="003D090B"/>
    <w:rsid w:val="003D60BA"/>
    <w:rsid w:val="003D6C9D"/>
    <w:rsid w:val="003E1C53"/>
    <w:rsid w:val="003E2FB3"/>
    <w:rsid w:val="003E7A60"/>
    <w:rsid w:val="003F51A0"/>
    <w:rsid w:val="0040304E"/>
    <w:rsid w:val="00405B48"/>
    <w:rsid w:val="00410E4F"/>
    <w:rsid w:val="00411689"/>
    <w:rsid w:val="00414058"/>
    <w:rsid w:val="004144D0"/>
    <w:rsid w:val="00421E38"/>
    <w:rsid w:val="00422376"/>
    <w:rsid w:val="00424C2F"/>
    <w:rsid w:val="00425D15"/>
    <w:rsid w:val="004430F0"/>
    <w:rsid w:val="00475ABE"/>
    <w:rsid w:val="00495A32"/>
    <w:rsid w:val="004C2856"/>
    <w:rsid w:val="004C3495"/>
    <w:rsid w:val="004E0A25"/>
    <w:rsid w:val="004E2A27"/>
    <w:rsid w:val="004E2D16"/>
    <w:rsid w:val="00510A02"/>
    <w:rsid w:val="005576C7"/>
    <w:rsid w:val="00562297"/>
    <w:rsid w:val="00570ABB"/>
    <w:rsid w:val="0057112B"/>
    <w:rsid w:val="005723D4"/>
    <w:rsid w:val="00577BE9"/>
    <w:rsid w:val="00583ABF"/>
    <w:rsid w:val="00587177"/>
    <w:rsid w:val="005878AB"/>
    <w:rsid w:val="00587AD1"/>
    <w:rsid w:val="005946F4"/>
    <w:rsid w:val="005A2E86"/>
    <w:rsid w:val="005A6935"/>
    <w:rsid w:val="005B1B4C"/>
    <w:rsid w:val="005B22E9"/>
    <w:rsid w:val="005B75B4"/>
    <w:rsid w:val="005B7BEB"/>
    <w:rsid w:val="005D534F"/>
    <w:rsid w:val="005D618A"/>
    <w:rsid w:val="005D756C"/>
    <w:rsid w:val="006100A5"/>
    <w:rsid w:val="00611ACF"/>
    <w:rsid w:val="00615726"/>
    <w:rsid w:val="00623574"/>
    <w:rsid w:val="006240DD"/>
    <w:rsid w:val="006344F9"/>
    <w:rsid w:val="00647CA3"/>
    <w:rsid w:val="0065693B"/>
    <w:rsid w:val="00674C25"/>
    <w:rsid w:val="0067510D"/>
    <w:rsid w:val="0069452C"/>
    <w:rsid w:val="0069499A"/>
    <w:rsid w:val="006B3039"/>
    <w:rsid w:val="006D454F"/>
    <w:rsid w:val="006D4DC4"/>
    <w:rsid w:val="006E4FEF"/>
    <w:rsid w:val="006F105E"/>
    <w:rsid w:val="006F5555"/>
    <w:rsid w:val="00704480"/>
    <w:rsid w:val="007058F2"/>
    <w:rsid w:val="0071743C"/>
    <w:rsid w:val="00726A54"/>
    <w:rsid w:val="007339A8"/>
    <w:rsid w:val="00734FE5"/>
    <w:rsid w:val="007354C4"/>
    <w:rsid w:val="00762653"/>
    <w:rsid w:val="00780874"/>
    <w:rsid w:val="00782023"/>
    <w:rsid w:val="00791205"/>
    <w:rsid w:val="007A0009"/>
    <w:rsid w:val="007A4B14"/>
    <w:rsid w:val="007D52B6"/>
    <w:rsid w:val="007E6301"/>
    <w:rsid w:val="008111D1"/>
    <w:rsid w:val="00811809"/>
    <w:rsid w:val="008369C1"/>
    <w:rsid w:val="00840BAC"/>
    <w:rsid w:val="00840BB5"/>
    <w:rsid w:val="00863524"/>
    <w:rsid w:val="00872D69"/>
    <w:rsid w:val="00883DAA"/>
    <w:rsid w:val="00896A03"/>
    <w:rsid w:val="008B2453"/>
    <w:rsid w:val="008C1F69"/>
    <w:rsid w:val="008E4B67"/>
    <w:rsid w:val="008E4DFE"/>
    <w:rsid w:val="00900319"/>
    <w:rsid w:val="009008CE"/>
    <w:rsid w:val="00903F7D"/>
    <w:rsid w:val="0090681E"/>
    <w:rsid w:val="00911ECD"/>
    <w:rsid w:val="009131CA"/>
    <w:rsid w:val="00920D43"/>
    <w:rsid w:val="0093247D"/>
    <w:rsid w:val="0094704D"/>
    <w:rsid w:val="00950F81"/>
    <w:rsid w:val="00953459"/>
    <w:rsid w:val="00956A01"/>
    <w:rsid w:val="00970B55"/>
    <w:rsid w:val="00994035"/>
    <w:rsid w:val="009A1B1A"/>
    <w:rsid w:val="009A5F7C"/>
    <w:rsid w:val="009E7BA6"/>
    <w:rsid w:val="00A02FF7"/>
    <w:rsid w:val="00A042E0"/>
    <w:rsid w:val="00A05294"/>
    <w:rsid w:val="00A15B4A"/>
    <w:rsid w:val="00A275B6"/>
    <w:rsid w:val="00A600AD"/>
    <w:rsid w:val="00A6571E"/>
    <w:rsid w:val="00A65F91"/>
    <w:rsid w:val="00A8294A"/>
    <w:rsid w:val="00A93F34"/>
    <w:rsid w:val="00A946FD"/>
    <w:rsid w:val="00A976C2"/>
    <w:rsid w:val="00AA380D"/>
    <w:rsid w:val="00AB0AC1"/>
    <w:rsid w:val="00AC135B"/>
    <w:rsid w:val="00AD2634"/>
    <w:rsid w:val="00AD33D1"/>
    <w:rsid w:val="00AD695D"/>
    <w:rsid w:val="00AE40E6"/>
    <w:rsid w:val="00AF5017"/>
    <w:rsid w:val="00B1392F"/>
    <w:rsid w:val="00B17BB2"/>
    <w:rsid w:val="00B21C5D"/>
    <w:rsid w:val="00B26039"/>
    <w:rsid w:val="00B26BB1"/>
    <w:rsid w:val="00B26E21"/>
    <w:rsid w:val="00B30100"/>
    <w:rsid w:val="00B377C9"/>
    <w:rsid w:val="00B41B62"/>
    <w:rsid w:val="00B514FA"/>
    <w:rsid w:val="00B521A0"/>
    <w:rsid w:val="00B62523"/>
    <w:rsid w:val="00B844AA"/>
    <w:rsid w:val="00B9375E"/>
    <w:rsid w:val="00B9492E"/>
    <w:rsid w:val="00BB5554"/>
    <w:rsid w:val="00BD48A3"/>
    <w:rsid w:val="00BF2963"/>
    <w:rsid w:val="00BF30F9"/>
    <w:rsid w:val="00BF71F6"/>
    <w:rsid w:val="00C013A9"/>
    <w:rsid w:val="00C05168"/>
    <w:rsid w:val="00C12334"/>
    <w:rsid w:val="00C125D4"/>
    <w:rsid w:val="00C265CF"/>
    <w:rsid w:val="00C30909"/>
    <w:rsid w:val="00C41DA4"/>
    <w:rsid w:val="00C559A6"/>
    <w:rsid w:val="00C6098A"/>
    <w:rsid w:val="00C74A86"/>
    <w:rsid w:val="00C81E54"/>
    <w:rsid w:val="00C91368"/>
    <w:rsid w:val="00CD1AC6"/>
    <w:rsid w:val="00CD43FC"/>
    <w:rsid w:val="00D101C0"/>
    <w:rsid w:val="00D14566"/>
    <w:rsid w:val="00D2469F"/>
    <w:rsid w:val="00D413D0"/>
    <w:rsid w:val="00D53A1F"/>
    <w:rsid w:val="00D564D8"/>
    <w:rsid w:val="00D765D8"/>
    <w:rsid w:val="00D904E7"/>
    <w:rsid w:val="00DA2CE3"/>
    <w:rsid w:val="00DE05C5"/>
    <w:rsid w:val="00DE3DFA"/>
    <w:rsid w:val="00DF0AEB"/>
    <w:rsid w:val="00DF5D7A"/>
    <w:rsid w:val="00DF6F94"/>
    <w:rsid w:val="00E12CE1"/>
    <w:rsid w:val="00E13330"/>
    <w:rsid w:val="00E2130F"/>
    <w:rsid w:val="00E34A94"/>
    <w:rsid w:val="00E4280A"/>
    <w:rsid w:val="00E44497"/>
    <w:rsid w:val="00E518C8"/>
    <w:rsid w:val="00E6006F"/>
    <w:rsid w:val="00E63503"/>
    <w:rsid w:val="00E645BC"/>
    <w:rsid w:val="00E74E80"/>
    <w:rsid w:val="00E80293"/>
    <w:rsid w:val="00E80E24"/>
    <w:rsid w:val="00E83967"/>
    <w:rsid w:val="00E8548C"/>
    <w:rsid w:val="00E9507C"/>
    <w:rsid w:val="00EB6AF7"/>
    <w:rsid w:val="00ED6305"/>
    <w:rsid w:val="00ED7465"/>
    <w:rsid w:val="00EE1D1F"/>
    <w:rsid w:val="00EF7774"/>
    <w:rsid w:val="00F06510"/>
    <w:rsid w:val="00F12D60"/>
    <w:rsid w:val="00F22F4D"/>
    <w:rsid w:val="00F24FB3"/>
    <w:rsid w:val="00F32077"/>
    <w:rsid w:val="00F41A4A"/>
    <w:rsid w:val="00F44F67"/>
    <w:rsid w:val="00F5694A"/>
    <w:rsid w:val="00F56B1E"/>
    <w:rsid w:val="00F81C16"/>
    <w:rsid w:val="00F83B64"/>
    <w:rsid w:val="00F92B97"/>
    <w:rsid w:val="00FA749F"/>
    <w:rsid w:val="00FC04AF"/>
    <w:rsid w:val="00FC08C4"/>
    <w:rsid w:val="00FD2122"/>
    <w:rsid w:val="00FE74B2"/>
    <w:rsid w:val="00FF1C04"/>
    <w:rsid w:val="018A2B1B"/>
    <w:rsid w:val="019627C6"/>
    <w:rsid w:val="02056D00"/>
    <w:rsid w:val="02090C75"/>
    <w:rsid w:val="02A23A3C"/>
    <w:rsid w:val="03085871"/>
    <w:rsid w:val="031F2043"/>
    <w:rsid w:val="03AC246A"/>
    <w:rsid w:val="03AD58A1"/>
    <w:rsid w:val="03B23056"/>
    <w:rsid w:val="03D4203E"/>
    <w:rsid w:val="03DC3EBA"/>
    <w:rsid w:val="03F9794D"/>
    <w:rsid w:val="04060BBE"/>
    <w:rsid w:val="04247911"/>
    <w:rsid w:val="046A2461"/>
    <w:rsid w:val="055575B0"/>
    <w:rsid w:val="055E6E53"/>
    <w:rsid w:val="059A3B3C"/>
    <w:rsid w:val="06B70F10"/>
    <w:rsid w:val="06C64829"/>
    <w:rsid w:val="06D67EFC"/>
    <w:rsid w:val="07500980"/>
    <w:rsid w:val="077D16D2"/>
    <w:rsid w:val="07896130"/>
    <w:rsid w:val="08675FC8"/>
    <w:rsid w:val="08E916A0"/>
    <w:rsid w:val="09540D48"/>
    <w:rsid w:val="09B713FD"/>
    <w:rsid w:val="09EF6ACC"/>
    <w:rsid w:val="0A315056"/>
    <w:rsid w:val="0A8947FB"/>
    <w:rsid w:val="0AFB45AD"/>
    <w:rsid w:val="0B127FA0"/>
    <w:rsid w:val="0B147FF4"/>
    <w:rsid w:val="0B351E9B"/>
    <w:rsid w:val="0B4C50D3"/>
    <w:rsid w:val="0B806B92"/>
    <w:rsid w:val="0B827E94"/>
    <w:rsid w:val="0BD070E1"/>
    <w:rsid w:val="0BD460DC"/>
    <w:rsid w:val="0C247926"/>
    <w:rsid w:val="0C366C48"/>
    <w:rsid w:val="0CAA198A"/>
    <w:rsid w:val="0CBA294B"/>
    <w:rsid w:val="0CBB4B8B"/>
    <w:rsid w:val="0CFF4F6B"/>
    <w:rsid w:val="0D4A10E3"/>
    <w:rsid w:val="0D5A2DEF"/>
    <w:rsid w:val="0D794204"/>
    <w:rsid w:val="0DC129CD"/>
    <w:rsid w:val="0E2125D1"/>
    <w:rsid w:val="0E214211"/>
    <w:rsid w:val="0E5F2769"/>
    <w:rsid w:val="0E9438E5"/>
    <w:rsid w:val="0EB42A94"/>
    <w:rsid w:val="0F4D75A3"/>
    <w:rsid w:val="0F5B2DCA"/>
    <w:rsid w:val="0FED051E"/>
    <w:rsid w:val="0FEE4C29"/>
    <w:rsid w:val="10046082"/>
    <w:rsid w:val="112949B8"/>
    <w:rsid w:val="112B101A"/>
    <w:rsid w:val="11737AE7"/>
    <w:rsid w:val="11812847"/>
    <w:rsid w:val="119B53FC"/>
    <w:rsid w:val="12424CDC"/>
    <w:rsid w:val="126314FB"/>
    <w:rsid w:val="12980D80"/>
    <w:rsid w:val="129A2738"/>
    <w:rsid w:val="12A3059B"/>
    <w:rsid w:val="12B56BF1"/>
    <w:rsid w:val="12CB1A89"/>
    <w:rsid w:val="131840FB"/>
    <w:rsid w:val="13467417"/>
    <w:rsid w:val="136E76CF"/>
    <w:rsid w:val="13724F81"/>
    <w:rsid w:val="139323BD"/>
    <w:rsid w:val="142C17C5"/>
    <w:rsid w:val="15BC6B3C"/>
    <w:rsid w:val="15DB7084"/>
    <w:rsid w:val="162C0A5E"/>
    <w:rsid w:val="163548CE"/>
    <w:rsid w:val="1694429A"/>
    <w:rsid w:val="17054571"/>
    <w:rsid w:val="17607512"/>
    <w:rsid w:val="17635326"/>
    <w:rsid w:val="17822E75"/>
    <w:rsid w:val="17D11706"/>
    <w:rsid w:val="18161417"/>
    <w:rsid w:val="18236EFD"/>
    <w:rsid w:val="184C3483"/>
    <w:rsid w:val="189D5B1F"/>
    <w:rsid w:val="18A34CD0"/>
    <w:rsid w:val="18B13FC0"/>
    <w:rsid w:val="196A3BC0"/>
    <w:rsid w:val="199C7AF2"/>
    <w:rsid w:val="19B64DBC"/>
    <w:rsid w:val="1A22182F"/>
    <w:rsid w:val="1A373ACF"/>
    <w:rsid w:val="1A895341"/>
    <w:rsid w:val="1AA50C28"/>
    <w:rsid w:val="1B0D071F"/>
    <w:rsid w:val="1B4568CE"/>
    <w:rsid w:val="1B9015B7"/>
    <w:rsid w:val="1BF7582C"/>
    <w:rsid w:val="1C161DDD"/>
    <w:rsid w:val="1C4701E9"/>
    <w:rsid w:val="1C511068"/>
    <w:rsid w:val="1C7D57F9"/>
    <w:rsid w:val="1D3E15EC"/>
    <w:rsid w:val="1D5A79EE"/>
    <w:rsid w:val="1E0E2CD0"/>
    <w:rsid w:val="1E831280"/>
    <w:rsid w:val="1EBB0FDE"/>
    <w:rsid w:val="1EBC4704"/>
    <w:rsid w:val="1F06438B"/>
    <w:rsid w:val="1F172EB5"/>
    <w:rsid w:val="1F94592D"/>
    <w:rsid w:val="1FB02549"/>
    <w:rsid w:val="1FB860DE"/>
    <w:rsid w:val="203C5A02"/>
    <w:rsid w:val="209D4C94"/>
    <w:rsid w:val="20B07068"/>
    <w:rsid w:val="20E4503D"/>
    <w:rsid w:val="20E84705"/>
    <w:rsid w:val="21185F27"/>
    <w:rsid w:val="2136082C"/>
    <w:rsid w:val="218400BA"/>
    <w:rsid w:val="219849EB"/>
    <w:rsid w:val="21AB1E2F"/>
    <w:rsid w:val="21B345CC"/>
    <w:rsid w:val="21D40498"/>
    <w:rsid w:val="22067D67"/>
    <w:rsid w:val="22767047"/>
    <w:rsid w:val="2343544D"/>
    <w:rsid w:val="23700025"/>
    <w:rsid w:val="23A05588"/>
    <w:rsid w:val="23A86200"/>
    <w:rsid w:val="242B03F0"/>
    <w:rsid w:val="2442484C"/>
    <w:rsid w:val="248C5333"/>
    <w:rsid w:val="25431AEB"/>
    <w:rsid w:val="25B14925"/>
    <w:rsid w:val="25B55C28"/>
    <w:rsid w:val="25BF43FD"/>
    <w:rsid w:val="25D0124F"/>
    <w:rsid w:val="25D929C8"/>
    <w:rsid w:val="25F86BCD"/>
    <w:rsid w:val="26633E71"/>
    <w:rsid w:val="269E416A"/>
    <w:rsid w:val="26B26BA7"/>
    <w:rsid w:val="27053663"/>
    <w:rsid w:val="272100D3"/>
    <w:rsid w:val="272C72FC"/>
    <w:rsid w:val="278751AB"/>
    <w:rsid w:val="27EB149D"/>
    <w:rsid w:val="27FD3E52"/>
    <w:rsid w:val="288307FB"/>
    <w:rsid w:val="28A43765"/>
    <w:rsid w:val="28E11370"/>
    <w:rsid w:val="291303F6"/>
    <w:rsid w:val="294A756A"/>
    <w:rsid w:val="294C6E3F"/>
    <w:rsid w:val="29C54E43"/>
    <w:rsid w:val="29D5322D"/>
    <w:rsid w:val="2A025DD9"/>
    <w:rsid w:val="2A64640A"/>
    <w:rsid w:val="2A676E2C"/>
    <w:rsid w:val="2A7C2231"/>
    <w:rsid w:val="2ABB753D"/>
    <w:rsid w:val="2B25431C"/>
    <w:rsid w:val="2B7A49FA"/>
    <w:rsid w:val="2BAA2138"/>
    <w:rsid w:val="2C615D26"/>
    <w:rsid w:val="2CB679ED"/>
    <w:rsid w:val="2CD6778D"/>
    <w:rsid w:val="2D173C07"/>
    <w:rsid w:val="2D424A86"/>
    <w:rsid w:val="2E7B52DB"/>
    <w:rsid w:val="2EE61AE3"/>
    <w:rsid w:val="2F324CFE"/>
    <w:rsid w:val="2F676247"/>
    <w:rsid w:val="2F8D1F5F"/>
    <w:rsid w:val="2FBA09F1"/>
    <w:rsid w:val="2FEF2ACF"/>
    <w:rsid w:val="30540211"/>
    <w:rsid w:val="307E2672"/>
    <w:rsid w:val="30D77C66"/>
    <w:rsid w:val="312D7741"/>
    <w:rsid w:val="316F137F"/>
    <w:rsid w:val="31DF525F"/>
    <w:rsid w:val="31F95961"/>
    <w:rsid w:val="32324C2E"/>
    <w:rsid w:val="32494863"/>
    <w:rsid w:val="327171DF"/>
    <w:rsid w:val="32C21BC4"/>
    <w:rsid w:val="32E225C2"/>
    <w:rsid w:val="32E4633A"/>
    <w:rsid w:val="32F347CF"/>
    <w:rsid w:val="330469DC"/>
    <w:rsid w:val="336271A2"/>
    <w:rsid w:val="33B45D0C"/>
    <w:rsid w:val="34085DB6"/>
    <w:rsid w:val="341E3434"/>
    <w:rsid w:val="34AE6BFF"/>
    <w:rsid w:val="34CB27D7"/>
    <w:rsid w:val="34E73EBF"/>
    <w:rsid w:val="35A95619"/>
    <w:rsid w:val="360B7EBA"/>
    <w:rsid w:val="36592B9B"/>
    <w:rsid w:val="367943B2"/>
    <w:rsid w:val="369C32FD"/>
    <w:rsid w:val="36DD557A"/>
    <w:rsid w:val="37666E72"/>
    <w:rsid w:val="38167A04"/>
    <w:rsid w:val="383C613F"/>
    <w:rsid w:val="38523D46"/>
    <w:rsid w:val="38545D10"/>
    <w:rsid w:val="38685317"/>
    <w:rsid w:val="39075F63"/>
    <w:rsid w:val="393660D1"/>
    <w:rsid w:val="394B167A"/>
    <w:rsid w:val="3A282FB0"/>
    <w:rsid w:val="3A4E4336"/>
    <w:rsid w:val="3A6007FE"/>
    <w:rsid w:val="3AE0388B"/>
    <w:rsid w:val="3B250B17"/>
    <w:rsid w:val="3B7C2CE4"/>
    <w:rsid w:val="3BE253E0"/>
    <w:rsid w:val="3C0B5355"/>
    <w:rsid w:val="3C747957"/>
    <w:rsid w:val="3C7E15AD"/>
    <w:rsid w:val="3CA54D8C"/>
    <w:rsid w:val="3CD4176B"/>
    <w:rsid w:val="3D1F44D9"/>
    <w:rsid w:val="3D5C38CD"/>
    <w:rsid w:val="3D8C6ADA"/>
    <w:rsid w:val="3E5070F1"/>
    <w:rsid w:val="3EE576C2"/>
    <w:rsid w:val="3F6C3589"/>
    <w:rsid w:val="3F850180"/>
    <w:rsid w:val="3F9004D6"/>
    <w:rsid w:val="400E4D5E"/>
    <w:rsid w:val="40380E19"/>
    <w:rsid w:val="40BC08F6"/>
    <w:rsid w:val="40E1138C"/>
    <w:rsid w:val="41356224"/>
    <w:rsid w:val="413814BA"/>
    <w:rsid w:val="41872511"/>
    <w:rsid w:val="42466655"/>
    <w:rsid w:val="426D1E29"/>
    <w:rsid w:val="4278084D"/>
    <w:rsid w:val="42B23D5F"/>
    <w:rsid w:val="42C82F57"/>
    <w:rsid w:val="43790020"/>
    <w:rsid w:val="43C76AF7"/>
    <w:rsid w:val="43D10BF5"/>
    <w:rsid w:val="44431087"/>
    <w:rsid w:val="446828F0"/>
    <w:rsid w:val="454669E0"/>
    <w:rsid w:val="45C13B4D"/>
    <w:rsid w:val="46054BCA"/>
    <w:rsid w:val="464C6AFC"/>
    <w:rsid w:val="468B0091"/>
    <w:rsid w:val="46A107C3"/>
    <w:rsid w:val="46B15CE2"/>
    <w:rsid w:val="46BE113D"/>
    <w:rsid w:val="46E44B13"/>
    <w:rsid w:val="46FA2178"/>
    <w:rsid w:val="4703508A"/>
    <w:rsid w:val="475023F8"/>
    <w:rsid w:val="4783584E"/>
    <w:rsid w:val="479D361E"/>
    <w:rsid w:val="47B74789"/>
    <w:rsid w:val="480F2B9D"/>
    <w:rsid w:val="48282920"/>
    <w:rsid w:val="485321E0"/>
    <w:rsid w:val="48546AD3"/>
    <w:rsid w:val="486343A9"/>
    <w:rsid w:val="48CA4868"/>
    <w:rsid w:val="48F005D3"/>
    <w:rsid w:val="493C0826"/>
    <w:rsid w:val="49415B4D"/>
    <w:rsid w:val="498C72D3"/>
    <w:rsid w:val="498F4AF1"/>
    <w:rsid w:val="49A16721"/>
    <w:rsid w:val="49B54134"/>
    <w:rsid w:val="49C05787"/>
    <w:rsid w:val="49CF518D"/>
    <w:rsid w:val="4A3707F2"/>
    <w:rsid w:val="4A8D0E3C"/>
    <w:rsid w:val="4ADA1F63"/>
    <w:rsid w:val="4AE23D89"/>
    <w:rsid w:val="4B2038D0"/>
    <w:rsid w:val="4B296E7D"/>
    <w:rsid w:val="4B7E5126"/>
    <w:rsid w:val="4B877F28"/>
    <w:rsid w:val="4C013661"/>
    <w:rsid w:val="4C8E586B"/>
    <w:rsid w:val="4CCA6149"/>
    <w:rsid w:val="4D522188"/>
    <w:rsid w:val="4D5F4AE3"/>
    <w:rsid w:val="4D916BA6"/>
    <w:rsid w:val="4DA478AD"/>
    <w:rsid w:val="4DB23A1B"/>
    <w:rsid w:val="4DC44169"/>
    <w:rsid w:val="4E351DED"/>
    <w:rsid w:val="4E8C7B5A"/>
    <w:rsid w:val="4EF0709E"/>
    <w:rsid w:val="4F135B85"/>
    <w:rsid w:val="4F6C34E7"/>
    <w:rsid w:val="4FAA26A3"/>
    <w:rsid w:val="513C6A7B"/>
    <w:rsid w:val="524D13AE"/>
    <w:rsid w:val="52D23FA9"/>
    <w:rsid w:val="52E56089"/>
    <w:rsid w:val="5333545B"/>
    <w:rsid w:val="53E90591"/>
    <w:rsid w:val="541A7B8B"/>
    <w:rsid w:val="5450213C"/>
    <w:rsid w:val="54B25E40"/>
    <w:rsid w:val="54D24048"/>
    <w:rsid w:val="54D64CD5"/>
    <w:rsid w:val="55887D69"/>
    <w:rsid w:val="55943798"/>
    <w:rsid w:val="561A0928"/>
    <w:rsid w:val="56423872"/>
    <w:rsid w:val="56B279F0"/>
    <w:rsid w:val="57527466"/>
    <w:rsid w:val="579D710E"/>
    <w:rsid w:val="57A84A18"/>
    <w:rsid w:val="581F22F6"/>
    <w:rsid w:val="58621B57"/>
    <w:rsid w:val="586E1E17"/>
    <w:rsid w:val="58862C35"/>
    <w:rsid w:val="58B87F94"/>
    <w:rsid w:val="58C14957"/>
    <w:rsid w:val="58C82D5E"/>
    <w:rsid w:val="596B5C87"/>
    <w:rsid w:val="59873483"/>
    <w:rsid w:val="5AE83A50"/>
    <w:rsid w:val="5B2F5419"/>
    <w:rsid w:val="5B7C2D04"/>
    <w:rsid w:val="5B847D68"/>
    <w:rsid w:val="5BAB2917"/>
    <w:rsid w:val="5BED775E"/>
    <w:rsid w:val="5BFC33FA"/>
    <w:rsid w:val="5C3107A4"/>
    <w:rsid w:val="5C3B1B93"/>
    <w:rsid w:val="5C9220DF"/>
    <w:rsid w:val="5D395350"/>
    <w:rsid w:val="5D4A15F3"/>
    <w:rsid w:val="5D69542A"/>
    <w:rsid w:val="5DAB78D0"/>
    <w:rsid w:val="5DFC68AE"/>
    <w:rsid w:val="5E0930EF"/>
    <w:rsid w:val="5E3D4D53"/>
    <w:rsid w:val="5E4510D4"/>
    <w:rsid w:val="5E4717E6"/>
    <w:rsid w:val="5E55774C"/>
    <w:rsid w:val="5F4922C9"/>
    <w:rsid w:val="5F677827"/>
    <w:rsid w:val="5FF53085"/>
    <w:rsid w:val="5FFE462F"/>
    <w:rsid w:val="60104DDC"/>
    <w:rsid w:val="605C0804"/>
    <w:rsid w:val="60695978"/>
    <w:rsid w:val="60795A64"/>
    <w:rsid w:val="60C72C73"/>
    <w:rsid w:val="6189617B"/>
    <w:rsid w:val="61B52BB6"/>
    <w:rsid w:val="61B749C2"/>
    <w:rsid w:val="62280D20"/>
    <w:rsid w:val="622B7232"/>
    <w:rsid w:val="62CA2457"/>
    <w:rsid w:val="62DE3CDE"/>
    <w:rsid w:val="638240A1"/>
    <w:rsid w:val="63A5257B"/>
    <w:rsid w:val="63BD3DCC"/>
    <w:rsid w:val="63C61741"/>
    <w:rsid w:val="6412507E"/>
    <w:rsid w:val="641F17EC"/>
    <w:rsid w:val="64560967"/>
    <w:rsid w:val="64731CCC"/>
    <w:rsid w:val="64E57B6C"/>
    <w:rsid w:val="65640A91"/>
    <w:rsid w:val="656B1D10"/>
    <w:rsid w:val="66022B28"/>
    <w:rsid w:val="661A13C0"/>
    <w:rsid w:val="66581E87"/>
    <w:rsid w:val="66FA11D5"/>
    <w:rsid w:val="674302C7"/>
    <w:rsid w:val="67C154D2"/>
    <w:rsid w:val="680A5986"/>
    <w:rsid w:val="680D5F4B"/>
    <w:rsid w:val="68113F51"/>
    <w:rsid w:val="683C319D"/>
    <w:rsid w:val="68776992"/>
    <w:rsid w:val="68E94770"/>
    <w:rsid w:val="68F755DD"/>
    <w:rsid w:val="68F949C9"/>
    <w:rsid w:val="690348AE"/>
    <w:rsid w:val="693B7D5A"/>
    <w:rsid w:val="695A4290"/>
    <w:rsid w:val="69670B4F"/>
    <w:rsid w:val="69BE4554"/>
    <w:rsid w:val="6A334932"/>
    <w:rsid w:val="6A3353FF"/>
    <w:rsid w:val="6A5D63E6"/>
    <w:rsid w:val="6A5F24D1"/>
    <w:rsid w:val="6A6D6639"/>
    <w:rsid w:val="6AE347EB"/>
    <w:rsid w:val="6B3B2294"/>
    <w:rsid w:val="6B434AF0"/>
    <w:rsid w:val="6B57675A"/>
    <w:rsid w:val="6BDD7B4D"/>
    <w:rsid w:val="6D262AD0"/>
    <w:rsid w:val="6D596F87"/>
    <w:rsid w:val="6DBF1105"/>
    <w:rsid w:val="6E512154"/>
    <w:rsid w:val="6E650F3D"/>
    <w:rsid w:val="6EBC0B3A"/>
    <w:rsid w:val="6EC3663C"/>
    <w:rsid w:val="6EF235B1"/>
    <w:rsid w:val="6EF51C7D"/>
    <w:rsid w:val="6F0D5B4C"/>
    <w:rsid w:val="6F180CF2"/>
    <w:rsid w:val="6F4365AB"/>
    <w:rsid w:val="6F8363E5"/>
    <w:rsid w:val="6FA7614A"/>
    <w:rsid w:val="6FC746F5"/>
    <w:rsid w:val="70317AC6"/>
    <w:rsid w:val="705379FA"/>
    <w:rsid w:val="706930C5"/>
    <w:rsid w:val="70863262"/>
    <w:rsid w:val="70A76ED3"/>
    <w:rsid w:val="71860B17"/>
    <w:rsid w:val="723B27CC"/>
    <w:rsid w:val="72687227"/>
    <w:rsid w:val="726C4B4E"/>
    <w:rsid w:val="72A03FD9"/>
    <w:rsid w:val="72E326F3"/>
    <w:rsid w:val="73406CFF"/>
    <w:rsid w:val="7383028C"/>
    <w:rsid w:val="73A25E44"/>
    <w:rsid w:val="73BC57A4"/>
    <w:rsid w:val="73CD0149"/>
    <w:rsid w:val="73D2154B"/>
    <w:rsid w:val="73D40F13"/>
    <w:rsid w:val="741F68CF"/>
    <w:rsid w:val="74212243"/>
    <w:rsid w:val="7510653F"/>
    <w:rsid w:val="75252DF3"/>
    <w:rsid w:val="75621536"/>
    <w:rsid w:val="759E0F0F"/>
    <w:rsid w:val="75BF3154"/>
    <w:rsid w:val="75E17EDC"/>
    <w:rsid w:val="75FE0A8D"/>
    <w:rsid w:val="763E70DC"/>
    <w:rsid w:val="764A07CF"/>
    <w:rsid w:val="764F12E9"/>
    <w:rsid w:val="764F6B3D"/>
    <w:rsid w:val="7682346D"/>
    <w:rsid w:val="76CD2B7B"/>
    <w:rsid w:val="76D80645"/>
    <w:rsid w:val="76E03371"/>
    <w:rsid w:val="779F2A68"/>
    <w:rsid w:val="780E5898"/>
    <w:rsid w:val="782642CC"/>
    <w:rsid w:val="78845365"/>
    <w:rsid w:val="7894095E"/>
    <w:rsid w:val="78A376CA"/>
    <w:rsid w:val="78BE2756"/>
    <w:rsid w:val="78DF49C6"/>
    <w:rsid w:val="78F863F4"/>
    <w:rsid w:val="79000679"/>
    <w:rsid w:val="791F5AF4"/>
    <w:rsid w:val="7962220F"/>
    <w:rsid w:val="79907C4E"/>
    <w:rsid w:val="79A416F0"/>
    <w:rsid w:val="79B03EB6"/>
    <w:rsid w:val="79ED1DA4"/>
    <w:rsid w:val="7AF37579"/>
    <w:rsid w:val="7AF87F64"/>
    <w:rsid w:val="7B1C0C84"/>
    <w:rsid w:val="7B5178B1"/>
    <w:rsid w:val="7B5A62DF"/>
    <w:rsid w:val="7B7A04A8"/>
    <w:rsid w:val="7BA45C33"/>
    <w:rsid w:val="7C077F70"/>
    <w:rsid w:val="7C0C3F6D"/>
    <w:rsid w:val="7C105077"/>
    <w:rsid w:val="7C22163C"/>
    <w:rsid w:val="7C3145FF"/>
    <w:rsid w:val="7C595075"/>
    <w:rsid w:val="7C6B07B2"/>
    <w:rsid w:val="7CA26617"/>
    <w:rsid w:val="7D133243"/>
    <w:rsid w:val="7D1943FF"/>
    <w:rsid w:val="7D641B1E"/>
    <w:rsid w:val="7D8E0949"/>
    <w:rsid w:val="7E0806CA"/>
    <w:rsid w:val="7E394207"/>
    <w:rsid w:val="7E4007A2"/>
    <w:rsid w:val="7E7458EF"/>
    <w:rsid w:val="7E791CAD"/>
    <w:rsid w:val="7EA50DFB"/>
    <w:rsid w:val="7EC86878"/>
    <w:rsid w:val="7F16390D"/>
    <w:rsid w:val="7F600A17"/>
    <w:rsid w:val="7F752917"/>
    <w:rsid w:val="7F821D85"/>
    <w:rsid w:val="7FBD72C3"/>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1"/>
    <w:link w:val="48"/>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link w:val="50"/>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link w:val="51"/>
    <w:semiHidden/>
    <w:unhideWhenUsed/>
    <w:qFormat/>
    <w:uiPriority w:val="99"/>
    <w:pPr>
      <w:spacing w:after="120" w:line="480" w:lineRule="auto"/>
      <w:ind w:left="420" w:leftChars="200"/>
    </w:p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3">
    <w:name w:val="Body Text First Indent"/>
    <w:basedOn w:val="10"/>
    <w:link w:val="49"/>
    <w:semiHidden/>
    <w:unhideWhenUsed/>
    <w:qFormat/>
    <w:uiPriority w:val="99"/>
    <w:pPr>
      <w:ind w:firstLine="420" w:firstLineChars="10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qFormat/>
    <w:uiPriority w:val="0"/>
    <w:rPr>
      <w:kern w:val="2"/>
      <w:sz w:val="24"/>
      <w:szCs w:val="24"/>
    </w:rPr>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customStyle="1" w:styleId="30">
    <w:name w:val="页眉 字符"/>
    <w:basedOn w:val="26"/>
    <w:link w:val="19"/>
    <w:qFormat/>
    <w:uiPriority w:val="99"/>
    <w:rPr>
      <w:sz w:val="18"/>
      <w:szCs w:val="18"/>
    </w:rPr>
  </w:style>
  <w:style w:type="character" w:customStyle="1" w:styleId="31">
    <w:name w:val="页脚 字符"/>
    <w:basedOn w:val="26"/>
    <w:link w:val="18"/>
    <w:qFormat/>
    <w:uiPriority w:val="99"/>
    <w:rPr>
      <w:sz w:val="18"/>
      <w:szCs w:val="18"/>
    </w:rPr>
  </w:style>
  <w:style w:type="character" w:customStyle="1" w:styleId="32">
    <w:name w:val="标题 1 字符"/>
    <w:basedOn w:val="26"/>
    <w:link w:val="4"/>
    <w:qFormat/>
    <w:uiPriority w:val="9"/>
    <w:rPr>
      <w:rFonts w:eastAsia="方正小标宋简体"/>
      <w:bCs/>
      <w:kern w:val="44"/>
      <w:sz w:val="44"/>
      <w:szCs w:val="44"/>
    </w:rPr>
  </w:style>
  <w:style w:type="character" w:customStyle="1" w:styleId="33">
    <w:name w:val="标题 2 字符"/>
    <w:basedOn w:val="26"/>
    <w:link w:val="5"/>
    <w:qFormat/>
    <w:uiPriority w:val="9"/>
    <w:rPr>
      <w:rFonts w:eastAsia="方正小标宋简体" w:asciiTheme="majorHAnsi" w:hAnsiTheme="majorHAnsi" w:cstheme="majorBidi"/>
      <w:bCs/>
      <w:sz w:val="36"/>
      <w:szCs w:val="32"/>
    </w:rPr>
  </w:style>
  <w:style w:type="character" w:customStyle="1" w:styleId="34">
    <w:name w:val="标题 3 字符"/>
    <w:basedOn w:val="26"/>
    <w:link w:val="6"/>
    <w:qFormat/>
    <w:uiPriority w:val="9"/>
    <w:rPr>
      <w:rFonts w:ascii="Calibri" w:hAnsi="Calibri" w:eastAsia="宋体" w:cs="Times New Roman"/>
      <w:b/>
      <w:bCs/>
      <w:sz w:val="32"/>
      <w:szCs w:val="32"/>
    </w:rPr>
  </w:style>
  <w:style w:type="paragraph" w:styleId="35">
    <w:name w:val="List Paragraph"/>
    <w:basedOn w:val="1"/>
    <w:link w:val="43"/>
    <w:qFormat/>
    <w:uiPriority w:val="99"/>
    <w:pPr>
      <w:ind w:firstLine="420" w:firstLineChars="200"/>
    </w:pPr>
  </w:style>
  <w:style w:type="paragraph" w:customStyle="1" w:styleId="36">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字符"/>
    <w:basedOn w:val="26"/>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字符"/>
    <w:basedOn w:val="26"/>
    <w:link w:val="9"/>
    <w:semiHidden/>
    <w:qFormat/>
    <w:uiPriority w:val="99"/>
    <w:rPr>
      <w:sz w:val="16"/>
      <w:szCs w:val="16"/>
    </w:rPr>
  </w:style>
  <w:style w:type="character" w:customStyle="1" w:styleId="43">
    <w:name w:val="列出段落 字符"/>
    <w:link w:val="35"/>
    <w:qFormat/>
    <w:uiPriority w:val="34"/>
  </w:style>
  <w:style w:type="paragraph" w:customStyle="1" w:styleId="44">
    <w:name w:val="1"/>
    <w:basedOn w:val="1"/>
    <w:next w:val="13"/>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8">
    <w:name w:val="正文文本 字符"/>
    <w:basedOn w:val="26"/>
    <w:link w:val="10"/>
    <w:qFormat/>
    <w:uiPriority w:val="99"/>
    <w:rPr>
      <w:kern w:val="2"/>
      <w:sz w:val="21"/>
      <w:szCs w:val="22"/>
    </w:rPr>
  </w:style>
  <w:style w:type="character" w:customStyle="1" w:styleId="49">
    <w:name w:val="正文首行缩进 字符"/>
    <w:basedOn w:val="48"/>
    <w:link w:val="23"/>
    <w:qFormat/>
    <w:uiPriority w:val="0"/>
    <w:rPr>
      <w:kern w:val="2"/>
      <w:sz w:val="21"/>
      <w:szCs w:val="22"/>
    </w:rPr>
  </w:style>
  <w:style w:type="character" w:customStyle="1" w:styleId="50">
    <w:name w:val="纯文本 字符"/>
    <w:link w:val="13"/>
    <w:qFormat/>
    <w:uiPriority w:val="0"/>
    <w:rPr>
      <w:rFonts w:ascii="宋体" w:hAnsi="Courier New"/>
      <w:kern w:val="2"/>
      <w:sz w:val="21"/>
      <w:szCs w:val="21"/>
    </w:rPr>
  </w:style>
  <w:style w:type="character" w:customStyle="1" w:styleId="51">
    <w:name w:val="正文文本缩进 2 字符"/>
    <w:basedOn w:val="26"/>
    <w:link w:val="16"/>
    <w:semiHidden/>
    <w:qFormat/>
    <w:uiPriority w:val="99"/>
    <w:rPr>
      <w:kern w:val="2"/>
      <w:sz w:val="21"/>
      <w:szCs w:val="22"/>
    </w:rPr>
  </w:style>
  <w:style w:type="paragraph" w:customStyle="1" w:styleId="52">
    <w:name w:val="_Style 4"/>
    <w:basedOn w:val="4"/>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paragraph" w:customStyle="1" w:styleId="53">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 w:type="character" w:customStyle="1" w:styleId="54">
    <w:name w:val="font11"/>
    <w:basedOn w:val="26"/>
    <w:uiPriority w:val="0"/>
    <w:rPr>
      <w:rFonts w:hint="default" w:ascii="仿宋_GB2312" w:eastAsia="仿宋_GB2312" w:cs="仿宋_GB2312"/>
      <w:color w:val="000000"/>
      <w:sz w:val="20"/>
      <w:szCs w:val="20"/>
      <w:u w:val="none"/>
    </w:rPr>
  </w:style>
  <w:style w:type="character" w:customStyle="1" w:styleId="55">
    <w:name w:val="font21"/>
    <w:basedOn w:val="2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4C0C5C-ACB6-4EAC-A326-DF3F7B9548C8}">
  <ds:schemaRefs/>
</ds:datastoreItem>
</file>

<file path=docProps/app.xml><?xml version="1.0" encoding="utf-8"?>
<Properties xmlns="http://schemas.openxmlformats.org/officeDocument/2006/extended-properties" xmlns:vt="http://schemas.openxmlformats.org/officeDocument/2006/docPropsVTypes">
  <Template>Normal</Template>
  <Pages>90</Pages>
  <Words>8948</Words>
  <Characters>51006</Characters>
  <Lines>425</Lines>
  <Paragraphs>119</Paragraphs>
  <TotalTime>2</TotalTime>
  <ScaleCrop>false</ScaleCrop>
  <LinksUpToDate>false</LinksUpToDate>
  <CharactersWithSpaces>59835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2023-11-03T05:04:00Z</dcterms:created>
  <dc:creator>陈义春</dc:creator>
  <cp:lastModifiedBy>琳</cp:lastModifiedBy>
  <cp:lastPrinted>2023-11-09T00:55:00Z</cp:lastPrinted>
  <dcterms:modified xsi:type="dcterms:W3CDTF">2023-11-17T07:32:51Z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63CF367A18034B9AAD2A3B3D71B88E78_13</vt:lpwstr>
  </property>
</Properties>
</file>