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47" w:name="_GoBack"/>
      <w:bookmarkEnd w:id="147"/>
    </w:p>
    <w:p>
      <w:pPr>
        <w:jc w:val="center"/>
        <w:rPr>
          <w:rFonts w:hint="eastAsia" w:ascii="方正小标宋简体" w:eastAsia="方正小标宋简体"/>
          <w:color w:val="auto"/>
          <w:sz w:val="52"/>
          <w:szCs w:val="52"/>
          <w:highlight w:val="none"/>
        </w:rPr>
      </w:pPr>
      <w:r>
        <w:rPr>
          <w:rFonts w:hint="eastAsia" w:ascii="方正小标宋简体" w:eastAsia="方正小标宋简体" w:cstheme="minorBidi"/>
          <w:b w:val="0"/>
          <w:bCs w:val="0"/>
          <w:color w:val="auto"/>
          <w:sz w:val="52"/>
          <w:szCs w:val="52"/>
          <w:highlight w:val="none"/>
          <w:lang w:val="en-US" w:eastAsia="zh-CN"/>
        </w:rPr>
        <w:t>广州市净水有限公司龙归分公司2023年三期会议室显示屏采购项目</w:t>
      </w:r>
    </w:p>
    <w:p>
      <w:pPr>
        <w:pStyle w:val="2"/>
        <w:rPr>
          <w:color w:val="auto"/>
          <w:sz w:val="52"/>
          <w:szCs w:val="52"/>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lang w:eastAsia="zh-CN"/>
        </w:rPr>
      </w:pPr>
    </w:p>
    <w:p>
      <w:pPr>
        <w:pStyle w:val="2"/>
        <w:rPr>
          <w:rFonts w:hint="eastAsia"/>
          <w:color w:val="auto"/>
          <w:highlight w:val="none"/>
          <w:lang w:eastAsia="zh-CN"/>
        </w:rPr>
      </w:pPr>
    </w:p>
    <w:p>
      <w:pPr>
        <w:jc w:val="center"/>
        <w:rPr>
          <w:rFonts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二三年十</w:t>
      </w:r>
      <w:r>
        <w:rPr>
          <w:rFonts w:hint="eastAsia" w:ascii="黑体" w:hAnsi="黑体" w:eastAsia="黑体" w:cs="仿宋_GB2312"/>
          <w:color w:val="auto"/>
          <w:sz w:val="32"/>
          <w:szCs w:val="32"/>
          <w:highlight w:val="none"/>
          <w:lang w:val="en-US" w:eastAsia="zh-CN"/>
        </w:rPr>
        <w:t>一</w:t>
      </w:r>
      <w:r>
        <w:rPr>
          <w:rFonts w:hint="eastAsia" w:ascii="黑体" w:hAnsi="黑体" w:eastAsia="黑体" w:cs="仿宋_GB2312"/>
          <w:color w:val="auto"/>
          <w:sz w:val="32"/>
          <w:szCs w:val="32"/>
          <w:highlight w:val="none"/>
        </w:rPr>
        <w:t>月</w:t>
      </w:r>
    </w:p>
    <w:p>
      <w:pPr>
        <w:rPr>
          <w:color w:val="auto"/>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6"/>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color w:val="auto"/>
          <w:sz w:val="24"/>
          <w:szCs w:val="24"/>
          <w:highlight w:val="none"/>
        </w:rPr>
      </w:pPr>
    </w:p>
    <w:p>
      <w:pPr>
        <w:pStyle w:val="20"/>
        <w:numPr>
          <w:ilvl w:val="0"/>
          <w:numId w:val="2"/>
        </w:numPr>
        <w:tabs>
          <w:tab w:val="right" w:pos="8844"/>
        </w:tabs>
        <w:rPr>
          <w:color w:val="auto"/>
          <w:highlight w:val="none"/>
        </w:rPr>
      </w:pPr>
      <w:r>
        <w:rPr>
          <w:rFonts w:hint="eastAsia"/>
          <w:color w:val="auto"/>
          <w:highlight w:val="none"/>
        </w:rPr>
        <w:t>采购公告（采购邀请书）</w:t>
      </w:r>
    </w:p>
    <w:p>
      <w:pPr>
        <w:pStyle w:val="20"/>
        <w:numPr>
          <w:ilvl w:val="0"/>
          <w:numId w:val="2"/>
        </w:numPr>
        <w:tabs>
          <w:tab w:val="right" w:pos="8844"/>
        </w:tabs>
        <w:rPr>
          <w:color w:val="auto"/>
          <w:highlight w:val="none"/>
        </w:rPr>
      </w:pPr>
      <w:r>
        <w:rPr>
          <w:rFonts w:hint="eastAsia"/>
          <w:color w:val="auto"/>
          <w:highlight w:val="none"/>
        </w:rPr>
        <w:t>供应商须知</w:t>
      </w:r>
    </w:p>
    <w:p>
      <w:pPr>
        <w:pStyle w:val="20"/>
        <w:numPr>
          <w:ilvl w:val="0"/>
          <w:numId w:val="2"/>
        </w:numPr>
        <w:tabs>
          <w:tab w:val="right" w:pos="8844"/>
        </w:tabs>
        <w:rPr>
          <w:color w:val="auto"/>
          <w:highlight w:val="none"/>
        </w:rPr>
      </w:pPr>
      <w:r>
        <w:rPr>
          <w:rFonts w:hint="eastAsia"/>
          <w:color w:val="auto"/>
          <w:highlight w:val="none"/>
        </w:rPr>
        <w:t>采购方法</w:t>
      </w:r>
    </w:p>
    <w:p>
      <w:pPr>
        <w:pStyle w:val="20"/>
        <w:numPr>
          <w:ilvl w:val="0"/>
          <w:numId w:val="2"/>
        </w:numPr>
        <w:tabs>
          <w:tab w:val="right" w:pos="8844"/>
        </w:tabs>
        <w:rPr>
          <w:color w:val="auto"/>
          <w:highlight w:val="none"/>
        </w:rPr>
      </w:pPr>
      <w:r>
        <w:rPr>
          <w:rFonts w:hint="eastAsia"/>
          <w:color w:val="auto"/>
          <w:highlight w:val="none"/>
        </w:rPr>
        <w:t>评审方法</w:t>
      </w:r>
    </w:p>
    <w:p>
      <w:pPr>
        <w:pStyle w:val="20"/>
        <w:numPr>
          <w:ilvl w:val="0"/>
          <w:numId w:val="2"/>
        </w:numPr>
        <w:tabs>
          <w:tab w:val="right" w:pos="8844"/>
        </w:tabs>
        <w:rPr>
          <w:color w:val="auto"/>
          <w:highlight w:val="none"/>
        </w:rPr>
      </w:pPr>
      <w:r>
        <w:rPr>
          <w:rFonts w:hint="eastAsia"/>
          <w:color w:val="auto"/>
          <w:highlight w:val="none"/>
        </w:rPr>
        <w:t>采购需求</w:t>
      </w:r>
    </w:p>
    <w:p>
      <w:pPr>
        <w:pStyle w:val="20"/>
        <w:numPr>
          <w:ilvl w:val="0"/>
          <w:numId w:val="2"/>
        </w:numPr>
        <w:tabs>
          <w:tab w:val="right" w:pos="8844"/>
        </w:tabs>
        <w:rPr>
          <w:color w:val="auto"/>
          <w:highlight w:val="none"/>
        </w:rPr>
      </w:pPr>
      <w:r>
        <w:rPr>
          <w:rFonts w:hint="eastAsia"/>
          <w:color w:val="auto"/>
          <w:highlight w:val="none"/>
        </w:rPr>
        <w:t>合同草案</w:t>
      </w:r>
    </w:p>
    <w:p>
      <w:pPr>
        <w:pStyle w:val="20"/>
        <w:numPr>
          <w:ilvl w:val="0"/>
          <w:numId w:val="2"/>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4"/>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rPr>
          <w:color w:val="auto"/>
          <w:highlight w:val="none"/>
        </w:rPr>
      </w:pPr>
      <w:bookmarkStart w:id="0" w:name="_Toc18145"/>
      <w:bookmarkStart w:id="1" w:name="_Toc26148"/>
    </w:p>
    <w:p>
      <w:pPr>
        <w:rPr>
          <w:color w:val="auto"/>
          <w:highlight w:val="none"/>
        </w:rPr>
      </w:pPr>
    </w:p>
    <w:p>
      <w:pPr>
        <w:rPr>
          <w:color w:val="auto"/>
          <w:highlight w:val="none"/>
        </w:rPr>
      </w:pPr>
      <w:bookmarkStart w:id="2" w:name="_Toc17696"/>
      <w:bookmarkStart w:id="3" w:name="_Toc1711"/>
    </w:p>
    <w:p>
      <w:pPr>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51"/>
        <w:rPr>
          <w:color w:val="auto"/>
          <w:highlight w:val="none"/>
        </w:rPr>
      </w:pPr>
      <w:bookmarkStart w:id="4" w:name="_Toc7519"/>
      <w:bookmarkStart w:id="5" w:name="_Toc19609"/>
      <w:bookmarkStart w:id="6" w:name="_Toc4275"/>
      <w:bookmarkStart w:id="7" w:name="_Toc1669"/>
      <w:bookmarkStart w:id="8" w:name="_Toc31938"/>
      <w:bookmarkStart w:id="9" w:name="_Toc11322"/>
      <w:bookmarkStart w:id="10" w:name="_Toc17801"/>
    </w:p>
    <w:p>
      <w:pPr>
        <w:pStyle w:val="51"/>
        <w:rPr>
          <w:color w:val="auto"/>
          <w:highlight w:val="none"/>
        </w:rPr>
      </w:pPr>
    </w:p>
    <w:p>
      <w:pPr>
        <w:pStyle w:val="51"/>
        <w:rPr>
          <w:color w:val="auto"/>
          <w:highlight w:val="none"/>
        </w:rPr>
      </w:pPr>
    </w:p>
    <w:p>
      <w:pPr>
        <w:pStyle w:val="51"/>
        <w:rPr>
          <w:color w:val="auto"/>
          <w:highlight w:val="none"/>
        </w:rPr>
      </w:pPr>
    </w:p>
    <w:p>
      <w:pPr>
        <w:pStyle w:val="51"/>
        <w:rPr>
          <w:color w:val="auto"/>
          <w:highlight w:val="none"/>
        </w:rPr>
      </w:pPr>
    </w:p>
    <w:p>
      <w:pPr>
        <w:pStyle w:val="51"/>
        <w:rPr>
          <w:color w:val="auto"/>
          <w:highlight w:val="none"/>
        </w:rPr>
      </w:pPr>
    </w:p>
    <w:p>
      <w:pPr>
        <w:pStyle w:val="51"/>
        <w:rPr>
          <w:color w:val="auto"/>
          <w:highlight w:val="none"/>
        </w:rPr>
      </w:pPr>
    </w:p>
    <w:p>
      <w:pPr>
        <w:pStyle w:val="51"/>
        <w:rPr>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2292985</wp:posOffset>
                </wp:positionH>
                <wp:positionV relativeFrom="paragraph">
                  <wp:posOffset>745490</wp:posOffset>
                </wp:positionV>
                <wp:extent cx="958850" cy="0"/>
                <wp:effectExtent l="0" t="6350" r="0" b="6350"/>
                <wp:wrapNone/>
                <wp:docPr id="18"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0.55pt;margin-top:58.7pt;height:0pt;width:75.5pt;z-index:25167052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ZL39t8wEAAOQ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zZ5kTXqA9bkunKbeNph2MRM+NBGm/9EhR2KrsezruqQmKDDl7P5fEaKi/ur&#10;6iEuREyvlbcsGw3HFEHvurTyzlHzfJwUWWH/BhNlpsD7gJzUONZn+OmMwIGGsaUhINMGIoRuV2LR&#10;Gy2vtTE5AuNuuzKR7SEPRPkyP8L9yy0nWQN2g1+5GkalUyBfOcnSMZBSjl4IzyVYJTkzih5UtggQ&#10;6gTaXOJJqY2jCrLEg6jZ2np5LFqXc2p+qfE0qHm6/tyX6IfH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Bkvf2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2312670</wp:posOffset>
                </wp:positionH>
                <wp:positionV relativeFrom="paragraph">
                  <wp:posOffset>226695</wp:posOffset>
                </wp:positionV>
                <wp:extent cx="958850" cy="0"/>
                <wp:effectExtent l="0" t="6350" r="0" b="6350"/>
                <wp:wrapNone/>
                <wp:docPr id="17"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2.1pt;margin-top:17.85pt;height:0pt;width:75.5pt;z-index:251669504;mso-width-relative:page;mso-height-relative:page;" filled="f" stroked="t" coordsize="21600,21600" o:gfxdata="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LJVdaoD1hT6Mpt4mmHYRMz4UMbbf4TFXYouh7PuqpDYoIOX8zm8xkpLu5d&#10;1UNeiJheKW9ZNhqOKYLedWnlnaPL83FSZIX9a0xUmRLvE3JR41if4aczAgcaxpaGgEwbiBC6XclF&#10;b7S80cbkDIy77cpEtoc8EOXL/Aj3r7BcZA3YDXHFNYxKp0C+dJKlYyClHL0QnluwSnJmFD2obBEg&#10;1Am0uSSSShtHHWSJB1GztfXyWLQu53T5pcfToObp+nNfs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ULVZ9cAAAAJAQAADwAAAAAAAAABACAAAAAiAAAAZHJzL2Rvd25yZXYueG1sUEsBAhQA&#10;FAAAAAgAh07iQBHsQTj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3"/>
        <w:rPr>
          <w:color w:val="auto"/>
          <w:highlight w:val="none"/>
        </w:rPr>
      </w:pPr>
      <w:r>
        <w:rPr>
          <w:rFonts w:hint="eastAsia"/>
          <w:color w:val="auto"/>
          <w:highlight w:val="none"/>
        </w:rPr>
        <w:t>采购公告（采购邀请书）</w:t>
      </w: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adjustRightInd w:val="0"/>
        <w:snapToGrid w:val="0"/>
        <w:spacing w:before="190" w:beforeLines="50" w:after="19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适用于纸质评审的公开采购方式</w:t>
      </w:r>
    </w:p>
    <w:p>
      <w:pPr>
        <w:adjustRightInd w:val="0"/>
        <w:snapToGrid w:val="0"/>
        <w:spacing w:before="190" w:beforeLines="50" w:after="190" w:afterLines="50" w:line="600" w:lineRule="exact"/>
        <w:jc w:val="left"/>
        <w:rPr>
          <w:rFonts w:asciiTheme="minorEastAsia" w:hAnsiTheme="minorEastAsia"/>
          <w:color w:val="auto"/>
          <w:sz w:val="24"/>
          <w:szCs w:val="24"/>
          <w:highlight w:val="none"/>
        </w:rPr>
      </w:pPr>
    </w:p>
    <w:p>
      <w:pPr>
        <w:adjustRightInd w:val="0"/>
        <w:snapToGrid w:val="0"/>
        <w:spacing w:before="190" w:beforeLines="50" w:after="190" w:afterLines="50" w:line="600" w:lineRule="exact"/>
        <w:jc w:val="left"/>
        <w:rPr>
          <w:rFonts w:asciiTheme="minorEastAsia" w:hAnsiTheme="minorEastAsia"/>
          <w:color w:val="auto"/>
          <w:sz w:val="24"/>
          <w:szCs w:val="24"/>
          <w:highlight w:val="none"/>
        </w:rPr>
      </w:pPr>
    </w:p>
    <w:p>
      <w:pPr>
        <w:pStyle w:val="3"/>
        <w:rPr>
          <w:color w:val="auto"/>
          <w:highlight w:val="none"/>
        </w:rPr>
      </w:pPr>
      <w:bookmarkStart w:id="11" w:name="_Toc21373"/>
      <w:bookmarkStart w:id="12" w:name="_Toc9680"/>
      <w:r>
        <w:rPr>
          <w:rFonts w:hint="eastAsia"/>
          <w:color w:val="auto"/>
          <w:highlight w:val="none"/>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stheme="minorBidi"/>
          <w:b w:val="0"/>
          <w:bCs w:val="0"/>
          <w:color w:val="auto"/>
          <w:sz w:val="28"/>
          <w:szCs w:val="28"/>
          <w:highlight w:val="none"/>
          <w:u w:val="single"/>
          <w:lang w:val="en-US" w:eastAsia="zh-CN"/>
        </w:rPr>
        <w:t>广州市净水有限公司龙归分公司2023年三期会议室显示屏采购项目</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已具备采购条件，现邀请合格单位参加本□施工  ☑货物</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52"/>
      </w:r>
      <w:r>
        <w:rPr>
          <w:rFonts w:hint="eastAsia" w:ascii="仿宋_GB2312" w:eastAsia="仿宋_GB2312"/>
          <w:color w:val="auto"/>
          <w:sz w:val="28"/>
          <w:szCs w:val="28"/>
          <w:highlight w:val="none"/>
          <w:u w:val="single"/>
        </w:rPr>
        <w:t>邀请采购</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rPr>
        <w:t>公开采购</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hAnsiTheme="minorHAnsi" w:cstheme="minorBidi"/>
          <w:b w:val="0"/>
          <w:bCs w:val="0"/>
          <w:color w:val="auto"/>
          <w:sz w:val="28"/>
          <w:szCs w:val="28"/>
          <w:highlight w:val="none"/>
          <w:lang w:val="en-US"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stheme="minorBidi"/>
          <w:b w:val="0"/>
          <w:bCs w:val="0"/>
          <w:color w:val="auto"/>
          <w:sz w:val="28"/>
          <w:szCs w:val="28"/>
          <w:highlight w:val="none"/>
          <w:u w:val="single"/>
          <w:lang w:val="en-US" w:eastAsia="zh-CN"/>
        </w:rPr>
        <w:t>广州市净水有限公司龙归分公司2023年三期会议室显示屏采购项目</w:t>
      </w:r>
    </w:p>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1.2</w:t>
      </w:r>
      <w:r>
        <w:rPr>
          <w:rFonts w:hint="eastAsia" w:ascii="仿宋_GB2312" w:eastAsia="仿宋_GB2312"/>
          <w:color w:val="auto"/>
          <w:sz w:val="28"/>
          <w:szCs w:val="28"/>
          <w:highlight w:val="none"/>
        </w:rPr>
        <w:t>项目编号：</w:t>
      </w:r>
      <w:r>
        <w:rPr>
          <w:rFonts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XJ-20231109-4</w:t>
      </w:r>
      <w:r>
        <w:rPr>
          <w:rFonts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 xml:space="preserve">自有资金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1.4最高限价（元）：</w:t>
      </w:r>
      <w:r>
        <w:rPr>
          <w:rFonts w:hint="eastAsia" w:ascii="仿宋_GB2312" w:eastAsia="仿宋_GB2312"/>
          <w:color w:val="auto"/>
          <w:sz w:val="28"/>
          <w:szCs w:val="28"/>
          <w:highlight w:val="none"/>
          <w:u w:val="single"/>
        </w:rPr>
        <w:t>449227</w:t>
      </w:r>
      <w:r>
        <w:rPr>
          <w:rFonts w:ascii="仿宋_GB2312" w:eastAsia="仿宋_GB2312"/>
          <w:color w:val="auto"/>
          <w:sz w:val="28"/>
          <w:szCs w:val="28"/>
          <w:highlight w:val="none"/>
          <w:u w:val="single"/>
        </w:rPr>
        <w:t>.00</w:t>
      </w:r>
      <w:r>
        <w:rPr>
          <w:rFonts w:hint="eastAsia" w:ascii="仿宋_GB2312" w:eastAsia="仿宋_GB2312"/>
          <w:color w:val="auto"/>
          <w:sz w:val="28"/>
          <w:szCs w:val="28"/>
          <w:highlight w:val="none"/>
          <w:u w:val="single"/>
        </w:rPr>
        <w:t xml:space="preserve">元                                                </w:t>
      </w: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w:t>
      </w:r>
      <w:r>
        <w:rPr>
          <w:rFonts w:hint="eastAsia" w:ascii="宋体" w:hAnsi="宋体" w:eastAsia="宋体" w:cs="宋体"/>
          <w:color w:val="auto"/>
          <w:sz w:val="28"/>
          <w:szCs w:val="28"/>
          <w:highlight w:val="none"/>
          <w:u w:val="single"/>
        </w:rPr>
        <w:t xml:space="preserve"> /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ind w:firstLine="560" w:firstLineChars="200"/>
        <w:jc w:val="left"/>
        <w:rPr>
          <w:rFonts w:hint="eastAsia" w:ascii="仿宋_GB2312" w:eastAsia="仿宋_GB2312" w:hAnsiTheme="minorHAnsi" w:cstheme="minorBidi"/>
          <w:color w:val="auto"/>
          <w:sz w:val="28"/>
          <w:szCs w:val="28"/>
          <w:highlight w:val="none"/>
          <w:lang w:val="en-US" w:eastAsia="zh-CN"/>
        </w:rPr>
      </w:pPr>
      <w:r>
        <w:rPr>
          <w:rFonts w:hint="eastAsia" w:ascii="仿宋_GB2312" w:eastAsia="仿宋_GB2312" w:hAnsiTheme="minorHAnsi" w:cstheme="minorBidi"/>
          <w:color w:val="auto"/>
          <w:sz w:val="28"/>
          <w:szCs w:val="28"/>
          <w:highlight w:val="none"/>
          <w:lang w:val="en-US" w:eastAsia="zh-CN"/>
        </w:rPr>
        <w:t>为更贴合净水公司智慧水务形象，加强安全管理理念，龙归分公司计划在三期会议室采购一个功能满足远程视频会议、PPT、各种办公软件播放及日常办公使用的LED显示屏，用于各种接待会议、安全培训、生产调度会议等。</w:t>
      </w:r>
    </w:p>
    <w:p>
      <w:pPr>
        <w:pStyle w:val="11"/>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大屏显示系统安装</w:t>
      </w:r>
      <w:r>
        <w:rPr>
          <w:rFonts w:hint="eastAsia" w:ascii="仿宋" w:hAnsi="仿宋" w:eastAsia="仿宋"/>
          <w:color w:val="auto"/>
          <w:sz w:val="28"/>
          <w:szCs w:val="28"/>
          <w:highlight w:val="none"/>
          <w:lang w:val="zh-CN"/>
        </w:rPr>
        <w:t>1块</w:t>
      </w:r>
      <w:r>
        <w:rPr>
          <w:rFonts w:hint="eastAsia" w:ascii="仿宋" w:hAnsi="仿宋" w:eastAsia="仿宋"/>
          <w:color w:val="auto"/>
          <w:sz w:val="28"/>
          <w:szCs w:val="28"/>
          <w:highlight w:val="none"/>
        </w:rPr>
        <w:t>尺寸</w:t>
      </w:r>
      <w:r>
        <w:rPr>
          <w:rFonts w:hint="eastAsia" w:ascii="仿宋" w:hAnsi="仿宋" w:eastAsia="仿宋"/>
          <w:color w:val="auto"/>
          <w:sz w:val="28"/>
          <w:szCs w:val="28"/>
          <w:highlight w:val="none"/>
          <w:lang w:val="zh-CN"/>
        </w:rPr>
        <w:t>（宽*高）：</w:t>
      </w:r>
      <w:r>
        <w:rPr>
          <w:rFonts w:hint="eastAsia" w:ascii="仿宋" w:hAnsi="仿宋" w:eastAsia="仿宋"/>
          <w:color w:val="auto"/>
          <w:sz w:val="28"/>
          <w:szCs w:val="28"/>
          <w:highlight w:val="none"/>
          <w:lang w:val="en-US" w:eastAsia="zh-CN"/>
        </w:rPr>
        <w:t>3900</w:t>
      </w: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2025</w:t>
      </w:r>
      <w:r>
        <w:rPr>
          <w:rFonts w:hint="eastAsia" w:ascii="仿宋" w:hAnsi="仿宋" w:eastAsia="仿宋"/>
          <w:color w:val="auto"/>
          <w:sz w:val="28"/>
          <w:szCs w:val="28"/>
          <w:highlight w:val="none"/>
          <w:lang w:val="zh-CN"/>
        </w:rPr>
        <w:t>mm的</w:t>
      </w:r>
      <w:r>
        <w:rPr>
          <w:rFonts w:hint="eastAsia" w:ascii="仿宋" w:hAnsi="仿宋" w:eastAsia="仿宋"/>
          <w:color w:val="auto"/>
          <w:sz w:val="28"/>
          <w:szCs w:val="28"/>
          <w:highlight w:val="none"/>
        </w:rPr>
        <w:t>1.5MM小间距</w:t>
      </w:r>
      <w:r>
        <w:rPr>
          <w:rFonts w:hint="eastAsia" w:ascii="仿宋" w:hAnsi="仿宋" w:eastAsia="仿宋"/>
          <w:color w:val="auto"/>
          <w:sz w:val="28"/>
          <w:szCs w:val="28"/>
          <w:highlight w:val="none"/>
          <w:lang w:val="en-US" w:eastAsia="zh-CN"/>
        </w:rPr>
        <w:t>直</w:t>
      </w:r>
      <w:r>
        <w:rPr>
          <w:rFonts w:hint="eastAsia" w:ascii="仿宋" w:hAnsi="仿宋" w:eastAsia="仿宋"/>
          <w:color w:val="auto"/>
          <w:sz w:val="28"/>
          <w:szCs w:val="28"/>
          <w:highlight w:val="none"/>
        </w:rPr>
        <w:t>面</w:t>
      </w:r>
      <w:r>
        <w:rPr>
          <w:rFonts w:hint="eastAsia" w:ascii="仿宋" w:hAnsi="仿宋" w:eastAsia="仿宋"/>
          <w:color w:val="auto"/>
          <w:sz w:val="28"/>
          <w:szCs w:val="28"/>
          <w:highlight w:val="none"/>
          <w:lang w:val="zh-CN"/>
        </w:rPr>
        <w:t>LED</w:t>
      </w:r>
      <w:r>
        <w:rPr>
          <w:rFonts w:hint="eastAsia" w:ascii="仿宋" w:hAnsi="仿宋" w:eastAsia="仿宋"/>
          <w:color w:val="auto"/>
          <w:sz w:val="28"/>
          <w:szCs w:val="28"/>
          <w:highlight w:val="none"/>
        </w:rPr>
        <w:t>全彩</w:t>
      </w:r>
      <w:r>
        <w:rPr>
          <w:rFonts w:hint="eastAsia" w:ascii="仿宋" w:hAnsi="仿宋" w:eastAsia="仿宋"/>
          <w:color w:val="auto"/>
          <w:sz w:val="28"/>
          <w:szCs w:val="28"/>
          <w:highlight w:val="none"/>
          <w:lang w:val="zh-CN"/>
        </w:rPr>
        <w:t>屏幕，配套显示屏支架、配电箱、控制管理器及软件系统，用</w:t>
      </w:r>
      <w:r>
        <w:rPr>
          <w:rFonts w:hint="eastAsia" w:ascii="仿宋" w:hAnsi="仿宋" w:eastAsia="仿宋"/>
          <w:color w:val="auto"/>
          <w:sz w:val="28"/>
          <w:szCs w:val="28"/>
          <w:highlight w:val="none"/>
        </w:rPr>
        <w:t>作龙归分公司</w:t>
      </w:r>
      <w:r>
        <w:rPr>
          <w:rFonts w:hint="eastAsia" w:ascii="仿宋" w:hAnsi="仿宋" w:eastAsia="仿宋"/>
          <w:color w:val="auto"/>
          <w:sz w:val="28"/>
          <w:szCs w:val="28"/>
          <w:highlight w:val="none"/>
          <w:lang w:val="en-US" w:eastAsia="zh-CN"/>
        </w:rPr>
        <w:t>二楼会议室</w:t>
      </w:r>
      <w:r>
        <w:rPr>
          <w:rFonts w:hint="eastAsia" w:ascii="仿宋" w:hAnsi="仿宋" w:eastAsia="仿宋"/>
          <w:color w:val="auto"/>
          <w:sz w:val="28"/>
          <w:szCs w:val="28"/>
          <w:highlight w:val="none"/>
          <w:lang w:val="zh-CN"/>
        </w:rPr>
        <w:t>主显示系统，外观尺寸如下</w:t>
      </w:r>
      <w:r>
        <w:rPr>
          <w:rFonts w:hint="eastAsia" w:ascii="仿宋" w:hAnsi="仿宋" w:eastAsia="仿宋"/>
          <w:color w:val="auto"/>
          <w:sz w:val="28"/>
          <w:szCs w:val="28"/>
          <w:highlight w:val="none"/>
        </w:rPr>
        <w:t>：</w:t>
      </w:r>
    </w:p>
    <w:p>
      <w:pPr>
        <w:pStyle w:val="11"/>
        <w:ind w:firstLine="420" w:firstLineChars="200"/>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5408295" cy="3253105"/>
            <wp:effectExtent l="0" t="0" r="1905" b="4445"/>
            <wp:docPr id="31" name="图片 31" descr="ddbdea4a30ff0b73ac69a7bf34bb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dbdea4a30ff0b73ac69a7bf34bb9a0"/>
                    <pic:cNvPicPr>
                      <a:picLocks noChangeAspect="1"/>
                    </pic:cNvPicPr>
                  </pic:nvPicPr>
                  <pic:blipFill>
                    <a:blip r:embed="rId9"/>
                    <a:stretch>
                      <a:fillRect/>
                    </a:stretch>
                  </pic:blipFill>
                  <pic:spPr>
                    <a:xfrm>
                      <a:off x="0" y="0"/>
                      <a:ext cx="5408295" cy="3253105"/>
                    </a:xfrm>
                    <a:prstGeom prst="rect">
                      <a:avLst/>
                    </a:prstGeom>
                  </pic:spPr>
                </pic:pic>
              </a:graphicData>
            </a:graphic>
          </wp:inline>
        </w:drawing>
      </w:r>
    </w:p>
    <w:p>
      <w:pPr>
        <w:pStyle w:val="11"/>
        <w:ind w:firstLine="560" w:firstLineChars="200"/>
        <w:jc w:val="center"/>
        <w:rPr>
          <w:rFonts w:hint="eastAsia" w:ascii="仿宋" w:hAnsi="仿宋" w:eastAsia="仿宋"/>
          <w:color w:val="auto"/>
          <w:sz w:val="28"/>
          <w:szCs w:val="28"/>
          <w:highlight w:val="none"/>
        </w:rPr>
      </w:pPr>
      <w:r>
        <w:rPr>
          <w:rFonts w:hint="eastAsia" w:ascii="仿宋" w:hAnsi="仿宋" w:eastAsia="仿宋"/>
          <w:color w:val="auto"/>
          <w:sz w:val="28"/>
          <w:szCs w:val="28"/>
          <w:highlight w:val="none"/>
        </w:rPr>
        <w:t>龙归分公司</w:t>
      </w:r>
      <w:r>
        <w:rPr>
          <w:rFonts w:hint="eastAsia" w:ascii="仿宋" w:hAnsi="仿宋" w:eastAsia="仿宋"/>
          <w:color w:val="auto"/>
          <w:sz w:val="28"/>
          <w:szCs w:val="28"/>
          <w:highlight w:val="none"/>
          <w:lang w:val="en-US" w:eastAsia="zh-CN"/>
        </w:rPr>
        <w:t>二楼会议室</w:t>
      </w:r>
      <w:r>
        <w:rPr>
          <w:rFonts w:hint="eastAsia" w:ascii="仿宋" w:hAnsi="仿宋" w:eastAsia="仿宋"/>
          <w:color w:val="auto"/>
          <w:sz w:val="28"/>
          <w:szCs w:val="28"/>
          <w:highlight w:val="none"/>
        </w:rPr>
        <w:t>显示屏幕尺寸图</w:t>
      </w:r>
    </w:p>
    <w:p>
      <w:pPr>
        <w:pStyle w:val="24"/>
        <w:ind w:firstLine="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rPr>
        <w:drawing>
          <wp:inline distT="0" distB="0" distL="114300" distR="114300">
            <wp:extent cx="5252720" cy="3152775"/>
            <wp:effectExtent l="0" t="0" r="5080" b="9525"/>
            <wp:docPr id="32" name="图片 32" descr="C:/Users/Administrator/Desktop/微信图片_20231021135354.png微信图片_202310211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微信图片_20231021135354.png微信图片_20231021135354"/>
                    <pic:cNvPicPr>
                      <a:picLocks noChangeAspect="1"/>
                    </pic:cNvPicPr>
                  </pic:nvPicPr>
                  <pic:blipFill>
                    <a:blip r:embed="rId10"/>
                    <a:srcRect l="18" r="18"/>
                    <a:stretch>
                      <a:fillRect/>
                    </a:stretch>
                  </pic:blipFill>
                  <pic:spPr>
                    <a:xfrm>
                      <a:off x="0" y="0"/>
                      <a:ext cx="5252720" cy="3152775"/>
                    </a:xfrm>
                    <a:prstGeom prst="rect">
                      <a:avLst/>
                    </a:prstGeom>
                  </pic:spPr>
                </pic:pic>
              </a:graphicData>
            </a:graphic>
          </wp:inline>
        </w:drawing>
      </w:r>
    </w:p>
    <w:p>
      <w:pPr>
        <w:pStyle w:val="24"/>
        <w:ind w:firstLine="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会议室大屏更换正面</w:t>
      </w:r>
      <w:r>
        <w:rPr>
          <w:rFonts w:hint="eastAsia" w:ascii="仿宋" w:hAnsi="仿宋" w:eastAsia="仿宋"/>
          <w:color w:val="auto"/>
          <w:sz w:val="24"/>
          <w:szCs w:val="24"/>
          <w:highlight w:val="none"/>
        </w:rPr>
        <w:t>效果图</w:t>
      </w:r>
    </w:p>
    <w:p>
      <w:pPr>
        <w:pStyle w:val="24"/>
        <w:ind w:firstLine="0"/>
        <w:jc w:val="center"/>
        <w:rPr>
          <w:rFonts w:hint="default" w:ascii="仿宋" w:hAnsi="仿宋" w:eastAsia="仿宋"/>
          <w:color w:val="auto"/>
          <w:highlight w:val="none"/>
          <w:lang w:val="en-US" w:eastAsia="zh-CN"/>
        </w:rPr>
      </w:pPr>
      <w:r>
        <w:rPr>
          <w:rFonts w:hint="eastAsia" w:ascii="仿宋" w:hAnsi="仿宋" w:eastAsia="仿宋"/>
          <w:color w:val="auto"/>
          <w:highlight w:val="none"/>
          <w:lang w:eastAsia="zh-CN"/>
        </w:rPr>
        <w:drawing>
          <wp:inline distT="0" distB="0" distL="114300" distR="114300">
            <wp:extent cx="5777230" cy="3466465"/>
            <wp:effectExtent l="0" t="0" r="13970" b="635"/>
            <wp:docPr id="33" name="图片 33" descr="f87312c89f633f5e5be941941ae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87312c89f633f5e5be941941ae3298"/>
                    <pic:cNvPicPr>
                      <a:picLocks noChangeAspect="1"/>
                    </pic:cNvPicPr>
                  </pic:nvPicPr>
                  <pic:blipFill>
                    <a:blip r:embed="rId11"/>
                    <a:stretch>
                      <a:fillRect/>
                    </a:stretch>
                  </pic:blipFill>
                  <pic:spPr>
                    <a:xfrm>
                      <a:off x="0" y="0"/>
                      <a:ext cx="5777230" cy="3466465"/>
                    </a:xfrm>
                    <a:prstGeom prst="rect">
                      <a:avLst/>
                    </a:prstGeom>
                  </pic:spPr>
                </pic:pic>
              </a:graphicData>
            </a:graphic>
          </wp:inline>
        </w:drawing>
      </w:r>
    </w:p>
    <w:p>
      <w:pPr>
        <w:pStyle w:val="49"/>
        <w:ind w:firstLine="2472" w:firstLineChars="1030"/>
        <w:rPr>
          <w:rFonts w:hint="eastAsia" w:ascii="仿宋" w:hAnsi="仿宋" w:eastAsia="仿宋"/>
          <w:color w:val="auto"/>
          <w:highlight w:val="none"/>
        </w:rPr>
      </w:pPr>
      <w:r>
        <w:rPr>
          <w:rFonts w:hint="eastAsia" w:ascii="仿宋" w:hAnsi="仿宋" w:eastAsia="仿宋"/>
          <w:color w:val="auto"/>
          <w:sz w:val="24"/>
          <w:szCs w:val="24"/>
          <w:highlight w:val="none"/>
          <w:lang w:val="en-US" w:eastAsia="zh-CN"/>
        </w:rPr>
        <w:t>会议室大屏更换俯视</w:t>
      </w:r>
      <w:r>
        <w:rPr>
          <w:rFonts w:hint="eastAsia" w:ascii="仿宋" w:hAnsi="仿宋" w:eastAsia="仿宋"/>
          <w:color w:val="auto"/>
          <w:sz w:val="24"/>
          <w:szCs w:val="24"/>
          <w:highlight w:val="none"/>
        </w:rPr>
        <w:t>效果图</w:t>
      </w:r>
    </w:p>
    <w:p>
      <w:pPr>
        <w:pStyle w:val="24"/>
        <w:ind w:firstLine="0"/>
        <w:jc w:val="center"/>
        <w:rPr>
          <w:rFonts w:hint="default" w:ascii="仿宋" w:hAnsi="仿宋" w:eastAsia="仿宋"/>
          <w:color w:val="auto"/>
          <w:highlight w:val="none"/>
          <w:lang w:val="en-US" w:eastAsia="zh-CN"/>
        </w:rPr>
      </w:pPr>
    </w:p>
    <w:p>
      <w:pPr>
        <w:pStyle w:val="2"/>
        <w:ind w:firstLine="960" w:firstLineChars="400"/>
        <w:rPr>
          <w:rFonts w:hint="eastAsia" w:ascii="仿宋" w:hAnsi="仿宋" w:eastAsia="仿宋"/>
          <w:color w:val="auto"/>
          <w:sz w:val="24"/>
          <w:szCs w:val="24"/>
          <w:highlight w:val="none"/>
          <w:lang w:eastAsia="zh-CN"/>
        </w:rPr>
      </w:pPr>
      <w:r>
        <w:rPr>
          <w:rFonts w:hint="eastAsia" w:ascii="仿宋" w:hAnsi="仿宋" w:eastAsia="仿宋"/>
          <w:color w:val="auto"/>
          <w:highlight w:val="none"/>
          <w:lang w:eastAsia="zh-CN"/>
        </w:rPr>
        <w:drawing>
          <wp:anchor distT="0" distB="0" distL="114300" distR="114300" simplePos="0" relativeHeight="251676672" behindDoc="0" locked="0" layoutInCell="1" allowOverlap="1">
            <wp:simplePos x="0" y="0"/>
            <wp:positionH relativeFrom="column">
              <wp:posOffset>48895</wp:posOffset>
            </wp:positionH>
            <wp:positionV relativeFrom="paragraph">
              <wp:posOffset>42545</wp:posOffset>
            </wp:positionV>
            <wp:extent cx="5652770" cy="3392170"/>
            <wp:effectExtent l="0" t="0" r="5080" b="17780"/>
            <wp:wrapSquare wrapText="bothSides"/>
            <wp:docPr id="34" name="图片 34" descr="9012b9fcb7517a3d0a4601b34bbf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012b9fcb7517a3d0a4601b34bbfa1a"/>
                    <pic:cNvPicPr>
                      <a:picLocks noChangeAspect="1"/>
                    </pic:cNvPicPr>
                  </pic:nvPicPr>
                  <pic:blipFill>
                    <a:blip r:embed="rId12"/>
                    <a:stretch>
                      <a:fillRect/>
                    </a:stretch>
                  </pic:blipFill>
                  <pic:spPr>
                    <a:xfrm>
                      <a:off x="0" y="0"/>
                      <a:ext cx="5652770" cy="3392170"/>
                    </a:xfrm>
                    <a:prstGeom prst="rect">
                      <a:avLst/>
                    </a:prstGeom>
                  </pic:spPr>
                </pic:pic>
              </a:graphicData>
            </a:graphic>
          </wp:anchor>
        </w:drawing>
      </w:r>
      <w:r>
        <w:rPr>
          <w:rFonts w:hint="eastAsia" w:ascii="仿宋" w:hAnsi="仿宋" w:eastAsia="仿宋"/>
          <w:color w:val="auto"/>
          <w:highlight w:val="none"/>
        </w:rPr>
        <w:t>图3-</w:t>
      </w:r>
      <w:r>
        <w:rPr>
          <w:rFonts w:hint="eastAsia" w:ascii="仿宋" w:hAnsi="仿宋" w:eastAsia="仿宋"/>
          <w:color w:val="auto"/>
          <w:highlight w:val="none"/>
          <w:lang w:val="en-US" w:eastAsia="zh-CN"/>
        </w:rPr>
        <w:t>3</w:t>
      </w:r>
      <w:r>
        <w:rPr>
          <w:rFonts w:ascii="仿宋" w:hAnsi="仿宋" w:eastAsia="仿宋"/>
          <w:color w:val="auto"/>
          <w:highlight w:val="none"/>
        </w:rPr>
        <w:t xml:space="preserve">  </w:t>
      </w:r>
      <w:r>
        <w:rPr>
          <w:rFonts w:hint="eastAsia" w:ascii="仿宋" w:hAnsi="仿宋" w:eastAsia="仿宋"/>
          <w:color w:val="auto"/>
          <w:sz w:val="24"/>
          <w:szCs w:val="24"/>
          <w:highlight w:val="none"/>
          <w:lang w:val="en-US" w:eastAsia="zh-CN"/>
        </w:rPr>
        <w:t>会议室大屏尺寸标注</w:t>
      </w:r>
      <w:r>
        <w:rPr>
          <w:rFonts w:hint="eastAsia" w:ascii="仿宋" w:hAnsi="仿宋" w:eastAsia="仿宋"/>
          <w:color w:val="auto"/>
          <w:sz w:val="24"/>
          <w:szCs w:val="24"/>
          <w:highlight w:val="none"/>
        </w:rPr>
        <w:t>效果图</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尺寸：宽3900mm*高2025mm</w:t>
      </w:r>
      <w:r>
        <w:rPr>
          <w:rFonts w:hint="eastAsia" w:ascii="仿宋" w:hAnsi="仿宋" w:eastAsia="仿宋"/>
          <w:color w:val="auto"/>
          <w:sz w:val="24"/>
          <w:szCs w:val="24"/>
          <w:highlight w:val="none"/>
          <w:lang w:eastAsia="zh-CN"/>
        </w:rPr>
        <w:t>）</w:t>
      </w:r>
    </w:p>
    <w:p>
      <w:pPr>
        <w:adjustRightInd w:val="0"/>
        <w:snapToGrid w:val="0"/>
        <w:spacing w:line="600" w:lineRule="exact"/>
        <w:ind w:firstLine="560" w:firstLineChars="200"/>
        <w:jc w:val="left"/>
        <w:rPr>
          <w:rFonts w:hint="default"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采购显示屏参数需求如下：</w:t>
      </w:r>
    </w:p>
    <w:tbl>
      <w:tblPr>
        <w:tblStyle w:val="25"/>
        <w:tblW w:w="8440" w:type="dxa"/>
        <w:tblInd w:w="88" w:type="dxa"/>
        <w:tblLayout w:type="autofit"/>
        <w:tblCellMar>
          <w:top w:w="0" w:type="dxa"/>
          <w:left w:w="108" w:type="dxa"/>
          <w:bottom w:w="0" w:type="dxa"/>
          <w:right w:w="108" w:type="dxa"/>
        </w:tblCellMar>
      </w:tblPr>
      <w:tblGrid>
        <w:gridCol w:w="578"/>
        <w:gridCol w:w="2794"/>
        <w:gridCol w:w="3733"/>
        <w:gridCol w:w="756"/>
        <w:gridCol w:w="579"/>
      </w:tblGrid>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0795" cy="445135"/>
                  <wp:effectExtent l="0" t="0" r="0" b="0"/>
                  <wp:wrapNone/>
                  <wp:docPr id="5" name="文本框483"/>
                  <wp:cNvGraphicFramePr/>
                  <a:graphic xmlns:a="http://schemas.openxmlformats.org/drawingml/2006/main">
                    <a:graphicData uri="http://schemas.openxmlformats.org/drawingml/2006/picture">
                      <pic:pic xmlns:pic="http://schemas.openxmlformats.org/drawingml/2006/picture">
                        <pic:nvPicPr>
                          <pic:cNvPr id="5" name="文本框483"/>
                          <pic:cNvPicPr/>
                        </pic:nvPicPr>
                        <pic:blipFill>
                          <a:blip r:embed="rId13"/>
                          <a:stretch>
                            <a:fillRect/>
                          </a:stretch>
                        </pic:blipFill>
                        <pic:spPr>
                          <a:xfrm>
                            <a:off x="0" y="0"/>
                            <a:ext cx="10795" cy="445135"/>
                          </a:xfrm>
                          <a:prstGeom prst="rect">
                            <a:avLst/>
                          </a:prstGeom>
                          <a:noFill/>
                          <a:ln>
                            <a:noFill/>
                          </a:ln>
                        </pic:spPr>
                      </pic:pic>
                    </a:graphicData>
                  </a:graphic>
                </wp:anchor>
              </w:drawing>
            </w:r>
            <w:r>
              <w:rPr>
                <w:rFonts w:ascii="仿宋" w:hAnsi="仿宋" w:eastAsia="仿宋" w:cs="仿宋"/>
                <w:color w:val="auto"/>
                <w:kern w:val="0"/>
                <w:sz w:val="18"/>
                <w:szCs w:val="18"/>
                <w:highlight w:val="none"/>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795" cy="445135"/>
                  <wp:effectExtent l="0" t="0" r="0" b="0"/>
                  <wp:wrapNone/>
                  <wp:docPr id="6" name="文本框483_SpCnt_1"/>
                  <wp:cNvGraphicFramePr/>
                  <a:graphic xmlns:a="http://schemas.openxmlformats.org/drawingml/2006/main">
                    <a:graphicData uri="http://schemas.openxmlformats.org/drawingml/2006/picture">
                      <pic:pic xmlns:pic="http://schemas.openxmlformats.org/drawingml/2006/picture">
                        <pic:nvPicPr>
                          <pic:cNvPr id="6" name="文本框483_SpCnt_1"/>
                          <pic:cNvPicPr/>
                        </pic:nvPicPr>
                        <pic:blipFill>
                          <a:blip r:embed="rId13"/>
                          <a:stretch>
                            <a:fillRect/>
                          </a:stretch>
                        </pic:blipFill>
                        <pic:spPr>
                          <a:xfrm>
                            <a:off x="0" y="0"/>
                            <a:ext cx="10795" cy="445135"/>
                          </a:xfrm>
                          <a:prstGeom prst="rect">
                            <a:avLst/>
                          </a:prstGeom>
                          <a:noFill/>
                          <a:ln>
                            <a:noFill/>
                          </a:ln>
                        </pic:spPr>
                      </pic:pic>
                    </a:graphicData>
                  </a:graphic>
                </wp:anchor>
              </w:drawing>
            </w:r>
            <w:r>
              <w:rPr>
                <w:rFonts w:ascii="仿宋" w:hAnsi="仿宋" w:eastAsia="仿宋" w:cs="仿宋"/>
                <w:color w:val="auto"/>
                <w:kern w:val="0"/>
                <w:sz w:val="18"/>
                <w:szCs w:val="18"/>
                <w:highlight w:val="none"/>
                <w:lang w:bidi="ar"/>
              </w:rPr>
              <w:t>序号</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名称</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技术参数/规格</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数量</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单位</w:t>
            </w:r>
          </w:p>
        </w:tc>
      </w:tr>
      <w:tr>
        <w:tblPrEx>
          <w:tblCellMar>
            <w:top w:w="0" w:type="dxa"/>
            <w:left w:w="108" w:type="dxa"/>
            <w:bottom w:w="0" w:type="dxa"/>
            <w:right w:w="108" w:type="dxa"/>
          </w:tblCellMar>
        </w:tblPrEx>
        <w:trPr>
          <w:trHeight w:val="3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一、</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屏体</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LED显示屏</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val="en-US" w:eastAsia="zh-CN" w:bidi="ar"/>
              </w:rPr>
              <w:t>一、</w:t>
            </w:r>
            <w:r>
              <w:rPr>
                <w:rFonts w:ascii="仿宋" w:hAnsi="仿宋" w:eastAsia="仿宋" w:cs="仿宋"/>
                <w:color w:val="auto"/>
                <w:kern w:val="0"/>
                <w:sz w:val="18"/>
                <w:szCs w:val="18"/>
                <w:highlight w:val="none"/>
                <w:lang w:bidi="ar"/>
              </w:rPr>
              <w:t>LED显示屏</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1.像素点间距:≤1.56mm；</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2.像素密度≥409600点/㎡；</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3.单元箱体成品尺寸：600(W)*337.5(H);</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4.单元箱体显示比例：16：9；</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5.箱体平整度≤0.1mm，单元箱体/模组间水平、垂直相对错位值H＜1.0%，V＜1.0%；</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6.像素结构为1R1G1B SMD或4 in 1 IMD 工艺，线性排列，表面磨砂不反光处理；</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7.白平衡亮度(nit) ≥0～1200（亮度可调）；</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8.色温1000K～18000K 无级可调，NTSC色域覆盖率≥125%NTSC；</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9.可视角度水平≥170°，垂直≥170°；</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10.支持单点亮度校正，校正后亮度均匀性≥99.5%（参照 SJ/T11281-2017 发光二极管(LED)显示屏测试方法标准），色度均匀性校正后±0.001 Cx，Cy 之内；</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11.自然环境对比度≥10000：1，专业环境对比度≥20000：1；</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12.灰度及颜色等级≥18bit；</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13.刷新率≥3840HZ;</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14.前、后全方位维护设计，模组、电源、接收卡、HUB 板等零部件均可实现完全前维护或后维护方式，所有零部件支持热插 拔，模组、接收卡、HUB 板支持带电维护</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15.低亮高灰支持在不同亮度下，通过软件对灰度14-16bit 任意设置，满足 20%、60%、100%亮度时灰度 14-16bit 之间任意设置</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16.模组喷墨技术：模组采用表面喷墨技术，无面罩结构件， 提高模组颜色均匀性一致性，保证模组墨色一致</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17.使用寿命≥100000小时；灯珠寿命 ≥100000 小时</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18.符合 IEC/TR62778：2014 使用标准，光源和灯具的蓝光危害评估，在测试距离20cm，视场 11mrad，相关色温 1001K 条件下，蓝光危害辐亮度 LB＜1.0W/(㎡·sr)；蓝光危害辐照度EB=1.095e-004W/㎡，亮度L=1.366e+004cd/㎡，照度 E=325lx，无危险(豁免)</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19.冗余备份：供电冗余备份为大屏系统可同时接入 2 路电力供应，一套电源系统故障后可立即利用另一套系统，保证系统正常运行；接收卡接入信号冗余备份为单元箱体内设计组合逻辑电路和主、副两套接收卡，对使用中的一路输入信号进行实时监测、判断，当主接收卡故障时自动切换副接收卡，不影响屏幕正常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20.防反光工艺：屏体正面为哑光墨色处理，降低屏面反光，反光率≤1.5%（处理后）</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21.覆膜工艺：模组支持环氧树脂覆膜工艺，有效提高LED 显示屏表面防护性，表面硬度≥HRC8 级，提高显示屏防磕碰、防刮花、防水等级</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22.除湿功能：显示屏具备除湿设计，屏体长时间没有使用，屏体自动切入除湿模式，使屏体从10%到 100%亮度逐步显示，逐步提升屏体温度</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23.投标产品需提供振动试验，振动频率：5Hz-55Hz-5Hz。振动幅度： 0.19mm。扫频速率：1oct/min。两个方向各扫描 2 次。试验后主机外观和结构不应有明显损坏和异常现象，重新上电性能正常</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24.屏体可以支持系统加密，支持数字加密，未经授权不能对显示屏进行任何操作。支持输出信号加密，避免其他信号入侵，避免因电磁辐射产生的信息泄露</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25.屏体可以支持专用设备输出 120Hz 换帧频率的 3D画面显示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26.投标产品具有图像增强与处理功能：亮度、对比度、色度调节、视觉修正灯图像调整功能图像处理功能；具有视频降噪，动态补偿，色彩变换等图像处理功能；支持画面几何失真、非线性失真补偿；支持显示模式调节</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27.投标产品需具备阻燃测试：PCB、线材、面罩、满足 UL94V-0 阻燃等级要求（依据 GB/T2408-2008, GB/T5169.16-2008 标准测试，模组PCB、电源 PCB、接收卡 PCB 以及 HUB 板等组件阻燃等级符合 V-0 级标准）</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28.拉力测试：夹具固定样品，竖直方向拉伸样品，拉伸速度为 5mm/min.直到出现结构断裂，拉力值大于 30KN；压力测试：夹具固定样品，竖直方向压测样品，压缩速度为 5mm/min.直到出现结构变形，压力值大于 50KN</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29.抗紫外线：在以下环境条件下，8h 干燥，辐照度：340nm 时， 0.76W·m-2·nm-1,黑标温度：60℃±3℃;4h 凝露，关闭光源，黑标温度：50℃±3℃. 循环测试 168 小时。试验后产品应正常工作。</w:t>
            </w:r>
          </w:p>
          <w:p>
            <w:pPr>
              <w:widowControl/>
              <w:jc w:val="left"/>
              <w:textAlignment w:val="center"/>
              <w:rPr>
                <w:rFonts w:hint="default"/>
                <w:color w:val="auto"/>
                <w:highlight w:val="none"/>
                <w:lang w:val="en-US"/>
              </w:rPr>
            </w:pPr>
            <w:r>
              <w:rPr>
                <w:rFonts w:hint="eastAsia" w:ascii="仿宋" w:hAnsi="仿宋" w:eastAsia="仿宋" w:cs="仿宋"/>
                <w:color w:val="auto"/>
                <w:sz w:val="18"/>
                <w:szCs w:val="18"/>
                <w:highlight w:val="none"/>
                <w:lang w:val="en-US" w:eastAsia="zh-CN"/>
              </w:rPr>
              <w:t>30.第14—29项LED技术参数，厂家需</w:t>
            </w:r>
            <w:r>
              <w:rPr>
                <w:rFonts w:ascii="仿宋" w:hAnsi="仿宋" w:eastAsia="仿宋" w:cs="仿宋"/>
                <w:color w:val="auto"/>
                <w:sz w:val="18"/>
                <w:szCs w:val="18"/>
                <w:highlight w:val="none"/>
              </w:rPr>
              <w:t>提供CNAS,MA,ILAC-MRA认证的第三方检测报告</w:t>
            </w:r>
            <w:r>
              <w:rPr>
                <w:rFonts w:hint="eastAsia" w:ascii="仿宋" w:hAnsi="仿宋" w:eastAsia="仿宋" w:cs="仿宋"/>
                <w:color w:val="auto"/>
                <w:sz w:val="18"/>
                <w:szCs w:val="18"/>
                <w:highlight w:val="none"/>
                <w:lang w:val="en-US" w:eastAsia="zh-CN"/>
              </w:rPr>
              <w:t>作为证明材料并原厂加盖公章。</w:t>
            </w:r>
          </w:p>
          <w:p>
            <w:pPr>
              <w:rPr>
                <w:rFonts w:ascii="仿宋" w:hAnsi="仿宋" w:eastAsia="仿宋" w:cs="仿宋"/>
                <w:color w:val="auto"/>
                <w:sz w:val="18"/>
                <w:szCs w:val="18"/>
                <w:highlight w:val="none"/>
              </w:rPr>
            </w:pPr>
            <w:r>
              <w:rPr>
                <w:rFonts w:ascii="仿宋" w:hAnsi="仿宋" w:eastAsia="仿宋" w:cs="仿宋"/>
                <w:color w:val="auto"/>
                <w:sz w:val="18"/>
                <w:szCs w:val="18"/>
                <w:highlight w:val="none"/>
              </w:rPr>
              <w:t>3</w:t>
            </w:r>
            <w:r>
              <w:rPr>
                <w:rFonts w:hint="eastAsia" w:ascii="仿宋" w:hAnsi="仿宋" w:eastAsia="仿宋" w:cs="仿宋"/>
                <w:color w:val="auto"/>
                <w:sz w:val="18"/>
                <w:szCs w:val="18"/>
                <w:highlight w:val="none"/>
                <w:lang w:val="en-US" w:eastAsia="zh-CN"/>
              </w:rPr>
              <w:t>1</w:t>
            </w:r>
            <w:r>
              <w:rPr>
                <w:rFonts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控制软件具有智能通报、播放日志显示、控制器管理操控、超高分辨率、多语言管理、可视化VR三维显示、协同坐席综合管理、运维服务LED显示云平台、控制系统5G高清操控、节目点播、边缘亮线暗线、集成信息发布、节目放映方案、视频源预览监控、演播厅显示综合等功能(提供满足本条技术参数的有效软件证书复印件作为证明材料)</w:t>
            </w:r>
          </w:p>
          <w:p>
            <w:pPr>
              <w:numPr>
                <w:ilvl w:val="0"/>
                <w:numId w:val="0"/>
              </w:numPr>
              <w:rPr>
                <w:rFonts w:ascii="仿宋" w:hAnsi="仿宋" w:eastAsia="仿宋" w:cs="仿宋"/>
                <w:color w:val="auto"/>
                <w:sz w:val="18"/>
                <w:szCs w:val="18"/>
                <w:highlight w:val="none"/>
              </w:rPr>
            </w:pPr>
            <w:r>
              <w:rPr>
                <w:rFonts w:ascii="仿宋" w:hAnsi="仿宋" w:eastAsia="仿宋" w:cs="仿宋"/>
                <w:color w:val="auto"/>
                <w:sz w:val="18"/>
                <w:szCs w:val="18"/>
                <w:highlight w:val="none"/>
              </w:rPr>
              <w:t>3</w:t>
            </w:r>
            <w:r>
              <w:rPr>
                <w:rFonts w:hint="eastAsia" w:ascii="仿宋" w:hAnsi="仿宋" w:eastAsia="仿宋" w:cs="仿宋"/>
                <w:color w:val="auto"/>
                <w:sz w:val="18"/>
                <w:szCs w:val="18"/>
                <w:highlight w:val="none"/>
                <w:lang w:val="en-US" w:eastAsia="zh-CN"/>
              </w:rPr>
              <w:t>2</w:t>
            </w:r>
            <w:r>
              <w:rPr>
                <w:rFonts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LED显示屏制造商所生产的产品为中国著名品牌产品；所生产的产品质量及产品有害物质达到国家限量标准，符合《中国绿色产品》要求、生产的产品属于中国节能产品、符合标准GB/T27922-2011《商品售后服务评价体系》五星级(提供满足本条技术参数证书复印件作为证明材料)</w:t>
            </w:r>
          </w:p>
          <w:p>
            <w:pPr>
              <w:widowControl/>
              <w:numPr>
                <w:ilvl w:val="0"/>
                <w:numId w:val="0"/>
              </w:numPr>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33.</w:t>
            </w:r>
            <w:r>
              <w:rPr>
                <w:rFonts w:ascii="仿宋" w:hAnsi="仿宋" w:eastAsia="仿宋" w:cs="仿宋"/>
                <w:color w:val="auto"/>
                <w:sz w:val="18"/>
                <w:szCs w:val="18"/>
                <w:highlight w:val="none"/>
              </w:rPr>
              <w:t>为有效保证产品质量，产品需具有3C认证，证书中委托人名称、生产者名称、生产企业必须为同一名称，提供原件彩色扫描件和和可查询的真伪证明。</w:t>
            </w:r>
          </w:p>
          <w:p>
            <w:pPr>
              <w:widowControl/>
              <w:numPr>
                <w:ilvl w:val="0"/>
                <w:numId w:val="0"/>
              </w:numPr>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37.</w:t>
            </w:r>
            <w:r>
              <w:rPr>
                <w:rFonts w:hint="eastAsia" w:ascii="仿宋" w:hAnsi="仿宋" w:eastAsia="仿宋" w:cs="仿宋"/>
                <w:color w:val="auto"/>
                <w:sz w:val="18"/>
                <w:szCs w:val="18"/>
                <w:highlight w:val="none"/>
              </w:rPr>
              <w:t>LED显示屏制造商获得知识产权管理体系认证、信息安全管理体系认证、 拥有3名及以上售后服务管理师</w:t>
            </w:r>
            <w:r>
              <w:rPr>
                <w:rFonts w:hint="eastAsia" w:ascii="仿宋" w:hAnsi="仿宋" w:eastAsia="仿宋" w:cs="仿宋"/>
                <w:color w:val="auto"/>
                <w:sz w:val="18"/>
                <w:szCs w:val="18"/>
                <w:highlight w:val="none"/>
                <w:lang w:val="en-US" w:eastAsia="zh-CN"/>
              </w:rPr>
              <w:t>(提供满足本条技术参数证书复印件作为证明材料)</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二、</w:t>
            </w:r>
            <w:r>
              <w:rPr>
                <w:rFonts w:ascii="仿宋" w:hAnsi="仿宋" w:eastAsia="仿宋" w:cs="仿宋"/>
                <w:color w:val="auto"/>
                <w:sz w:val="18"/>
                <w:szCs w:val="18"/>
                <w:highlight w:val="none"/>
              </w:rPr>
              <w:t>控制器管理器及控制器控制主机及平台</w:t>
            </w:r>
            <w:r>
              <w:rPr>
                <w:rFonts w:hint="eastAsia" w:ascii="仿宋" w:hAnsi="仿宋" w:eastAsia="仿宋" w:cs="仿宋"/>
                <w:color w:val="auto"/>
                <w:sz w:val="18"/>
                <w:szCs w:val="18"/>
                <w:highlight w:val="none"/>
                <w:lang w:val="en-US" w:eastAsia="zh-CN"/>
              </w:rPr>
              <w:t>配套</w:t>
            </w:r>
            <w:r>
              <w:rPr>
                <w:rFonts w:ascii="仿宋" w:hAnsi="仿宋" w:eastAsia="仿宋" w:cs="仿宋"/>
                <w:color w:val="auto"/>
                <w:sz w:val="18"/>
                <w:szCs w:val="18"/>
                <w:highlight w:val="none"/>
              </w:rPr>
              <w:t>：</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1.机箱支持输入输出混插，机箱上卡槽为双向数据通道槽位，每个卡槽既可支持输入板卡，也可支持输出板卡；</w:t>
            </w:r>
          </w:p>
          <w:p>
            <w:pPr>
              <w:widowControl/>
              <w:jc w:val="left"/>
              <w:textAlignment w:val="center"/>
              <w:rPr>
                <w:color w:val="auto"/>
                <w:highlight w:val="none"/>
              </w:rPr>
            </w:pPr>
            <w:r>
              <w:rPr>
                <w:rFonts w:ascii="仿宋" w:hAnsi="仿宋" w:eastAsia="仿宋" w:cs="仿宋"/>
                <w:color w:val="auto"/>
                <w:sz w:val="18"/>
                <w:szCs w:val="18"/>
                <w:highlight w:val="none"/>
              </w:rPr>
              <w:t>2.无缝切换，信号切换延迟&lt;5ms,切换无黑屏、蓝屏、闪烁情况。图像处理延迟时间&lt;5 ms; 图像开窗响应速度&lt;5ms; 场景调取响应速度&lt;5ms；</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3.设备最大单机背板信号处理带宽不小于3200Gbps，单路信号带宽50Gbps；</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4.设备支持Dual Link DVI、HDMI 1.4、HDBaseT、HDBaseT-4K、DisplayPort、、HDMI 2.0、VGA、DVI、IP H.264、IP H.265、CVBS、HDMI 1.3、SDI、光纤、4K 光纤信号输入与输出；同时具有音频切换功能，实现对多路输入输出的音视频同步切换；</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5.支持4K60 的HDR, 支待HDR 12-bit采样格式，支持对带有HDCP加密的视频信号进行采集编码，兼容HDCP1.4、HDCP2.2、HDCP2.3；</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6.设备支持图像开窗、矩阵功能、窗口叠加、窗口漫游、窗口缩放、字符叠加、输出字符叠加、图像截取、大底图显示功能；</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7.支持设置拼接屏的拼缝补偿，可精确至1像素 ，支持边缘融合带生成，最高可达1500像素；</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8.同时支持拼接墙，投影融合，LED 大屏等多种显示终端，支持同时控制不少于40组大屏，并共享输入信号源；</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 xml:space="preserve">9.支持窗口布局保存至设备，支持不少于1280个单屏场景且另外支持不少于1280个全局场景，支持调取预先存好的窗口布局，支持场景一键切换，支持场景布局可视化 </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10.支持不影响大屏信号显示的前提下，可以在软件上对信号源进行位置、大小、布局的调整，在确认无误后，直接推送上屏显示；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11.支持所有信号预监，无需额外功能板卡占用设备槽位；支持所有信号输入音量开关控制、预监及预调节功能；</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12.支待整面拼接屏的整体回显功能，可外接HDMI /DVI接口、显示器、IP 网络解码器观看大屏回显，图像帧率可达4K@60帧／秒。支持大屏音频回显输出，音频与画而实时同步，可配合录播进行使用；</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13.支持视频信号采集和输出可调，支持60Hz、120Hz、144Hz、240Hz视频信号采集和输出；信号传输延时＜5ms，支持最高图像处理不丢帧；</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14.移动控制端支持Windows、iOS、Android操作系统；PC客户端支持Windows、Linux、麒麟操作系统系统通过C/S、B/S 软件进行控制；支持通过TCP/lP网口与RS232/422/485 串口进行管理控制；</w:t>
            </w:r>
          </w:p>
          <w:p>
            <w:pPr>
              <w:pStyle w:val="11"/>
              <w:rPr>
                <w:rFonts w:hint="default" w:eastAsia="仿宋"/>
                <w:color w:val="auto"/>
                <w:highlight w:val="none"/>
                <w:lang w:val="en-US" w:eastAsia="zh-CN"/>
              </w:rPr>
            </w:pPr>
            <w:r>
              <w:rPr>
                <w:rFonts w:hint="eastAsia" w:eastAsia="仿宋"/>
                <w:color w:val="auto"/>
                <w:highlight w:val="none"/>
                <w:lang w:val="en-US" w:eastAsia="zh-CN"/>
              </w:rPr>
              <w:t>15.</w:t>
            </w:r>
            <w:r>
              <w:rPr>
                <w:rFonts w:hint="eastAsia" w:ascii="仿宋" w:hAnsi="仿宋" w:eastAsia="仿宋" w:cs="仿宋"/>
                <w:color w:val="auto"/>
                <w:sz w:val="18"/>
                <w:szCs w:val="18"/>
                <w:highlight w:val="none"/>
                <w:lang w:val="en-US" w:eastAsia="zh-CN"/>
              </w:rPr>
              <w:t>第11—14项技术参数，厂家需</w:t>
            </w:r>
            <w:r>
              <w:rPr>
                <w:rFonts w:ascii="仿宋" w:hAnsi="仿宋" w:eastAsia="仿宋" w:cs="仿宋"/>
                <w:color w:val="auto"/>
                <w:sz w:val="18"/>
                <w:szCs w:val="18"/>
                <w:highlight w:val="none"/>
              </w:rPr>
              <w:t>提供CNAS,MA,ILAC-MRA认证的第三方检测报告</w:t>
            </w:r>
            <w:r>
              <w:rPr>
                <w:rFonts w:hint="eastAsia" w:ascii="仿宋" w:hAnsi="仿宋" w:eastAsia="仿宋" w:cs="仿宋"/>
                <w:color w:val="auto"/>
                <w:sz w:val="18"/>
                <w:szCs w:val="18"/>
                <w:highlight w:val="none"/>
                <w:lang w:val="en-US" w:eastAsia="zh-CN"/>
              </w:rPr>
              <w:t>作为证明材料并原厂加盖公章。</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16</w:t>
            </w:r>
            <w:r>
              <w:rPr>
                <w:rFonts w:ascii="仿宋" w:hAnsi="仿宋" w:eastAsia="仿宋" w:cs="仿宋"/>
                <w:color w:val="auto"/>
                <w:sz w:val="18"/>
                <w:szCs w:val="18"/>
                <w:highlight w:val="none"/>
              </w:rPr>
              <w:t>.可实现多用户登陆，多用户间的操作可实时同步显示；多用户之间支持分级分权限分区域管理。</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17</w:t>
            </w:r>
            <w:r>
              <w:rPr>
                <w:rFonts w:ascii="仿宋" w:hAnsi="仿宋" w:eastAsia="仿宋" w:cs="仿宋"/>
                <w:color w:val="auto"/>
                <w:sz w:val="18"/>
                <w:szCs w:val="18"/>
                <w:highlight w:val="none"/>
              </w:rPr>
              <w:t>. 提供产品CQC、CB、CE、FCC、KC认证证书复印件，并加盖原厂公章。</w:t>
            </w:r>
          </w:p>
          <w:p>
            <w:pPr>
              <w:widowControl/>
              <w:jc w:val="left"/>
              <w:textAlignment w:val="center"/>
              <w:rPr>
                <w:rFonts w:ascii="仿宋" w:hAnsi="仿宋" w:eastAsia="仿宋" w:cs="仿宋"/>
                <w:color w:val="auto"/>
                <w:sz w:val="18"/>
                <w:szCs w:val="18"/>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二、</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系统</w:t>
            </w:r>
          </w:p>
        </w:tc>
      </w:tr>
      <w:tr>
        <w:tblPrEx>
          <w:tblCellMar>
            <w:top w:w="0" w:type="dxa"/>
            <w:left w:w="108" w:type="dxa"/>
            <w:bottom w:w="0" w:type="dxa"/>
            <w:right w:w="108" w:type="dxa"/>
          </w:tblCellMar>
        </w:tblPrEx>
        <w:trPr>
          <w:trHeight w:val="7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2.1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播控电脑</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i5-10500/8G/1T/2G独显/WIN10专业</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台</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三、</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装饰、安装结构及技术服务</w:t>
            </w:r>
          </w:p>
        </w:tc>
      </w:tr>
      <w:tr>
        <w:tblPrEx>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主电缆</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国标纯铜RVV234芯软电线电缆线5心6平方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米</w:t>
            </w:r>
          </w:p>
        </w:tc>
      </w:tr>
      <w:tr>
        <w:tblPrEx>
          <w:tblCellMar>
            <w:top w:w="0" w:type="dxa"/>
            <w:left w:w="108" w:type="dxa"/>
            <w:bottom w:w="0" w:type="dxa"/>
            <w:right w:w="108" w:type="dxa"/>
          </w:tblCellMar>
        </w:tblPrEx>
        <w:trPr>
          <w:trHeight w:val="24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3.2</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钢结构</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1.屏幕结构采用国标材料制作底架，四周不锈钢包边装饰，背面密封处理，定制装置，拆装方便；具备间距调节装置，可实现精确调节，显示模组之间的缝隙均匀，显示效果清晰；专用定制框架结构（前维护）</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2.与屏体相关的LED钢支架设计（中标后需提供详细施工图</w:t>
            </w:r>
            <w:r>
              <w:rPr>
                <w:rFonts w:hint="eastAsia" w:ascii="仿宋" w:hAnsi="仿宋" w:eastAsia="仿宋" w:cs="仿宋"/>
                <w:color w:val="auto"/>
                <w:kern w:val="0"/>
                <w:sz w:val="18"/>
                <w:szCs w:val="18"/>
                <w:highlight w:val="none"/>
                <w:lang w:bidi="ar"/>
              </w:rPr>
              <w:t>以及效果图</w:t>
            </w:r>
            <w:r>
              <w:rPr>
                <w:rFonts w:ascii="仿宋" w:hAnsi="仿宋" w:eastAsia="仿宋" w:cs="仿宋"/>
                <w:color w:val="auto"/>
                <w:kern w:val="0"/>
                <w:sz w:val="18"/>
                <w:szCs w:val="18"/>
                <w:highlight w:val="none"/>
                <w:lang w:bidi="ar"/>
              </w:rPr>
              <w:t>）、制作及安装。</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5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3.3</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屏幕四周包边</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1.屏体四周包边，要求配合场地装修风格，整体美观和谐。</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8.37</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3.4</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木饰面（led电子大屏幕周边包含门）</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1.面层：木饰面；</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2.基础：双层6.0mm厚水泥纤维板；</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3.骨架：40X40X4mm热镀锌方钢竖向龙骨(间距600mm);40X40X4mm热镀锌角码用φ12mm膨胀螺栓与墙体固定。</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4.具体要求详见深化图纸。</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7.7</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3.5</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大屏施工技术服务</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大屏整体的安装及技术调式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3.6</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视频线</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1.完成视频线的相关配套设备施工、功能/性能测试装配调试工作。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3.7</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线槽线管</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1.完成线槽线管的相关配套设备施工、功能/性能测试装配调试工作。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3.8</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网线</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1.6类线信息线</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2</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箱</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3.9</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辅助材料</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1.包含卡农头、小三芯、音箱头、莲花头、水晶头、水晶钳、络铁，焊锡，螺丝刀，电源线等。</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3.10</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机柜</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1.类型机柜；</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2.容量42U；</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3.标准19"国际标准；</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4.前门：网状冷轧钢前门或侧通风钢化玻璃主体前门，弹式免匙锁；</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5.后门：冷轧钢网孔后门，钢质圆锁；</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个</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60</w:t>
      </w:r>
      <w:r>
        <w:rPr>
          <w:rFonts w:hint="eastAsia" w:ascii="仿宋_GB2312" w:eastAsia="仿宋_GB2312"/>
          <w:color w:val="auto"/>
          <w:sz w:val="28"/>
          <w:szCs w:val="28"/>
          <w:highlight w:val="none"/>
          <w:u w:val="single"/>
        </w:rPr>
        <w:t xml:space="preserve">天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2.3地点：☑建设地点  □交货地点  □服务地点位于</w:t>
      </w:r>
      <w:r>
        <w:rPr>
          <w:rFonts w:hint="eastAsia" w:ascii="仿宋_GB2312" w:eastAsia="仿宋_GB2312"/>
          <w:color w:val="auto"/>
          <w:sz w:val="28"/>
          <w:szCs w:val="28"/>
          <w:highlight w:val="none"/>
          <w:u w:val="single"/>
        </w:rPr>
        <w:t xml:space="preserve"> 广州市白云区龙岗北路20号（广州市净水有限公司龙归分公司）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hAnsiTheme="minorHAnsi" w:cstheme="minorBidi"/>
          <w:color w:val="auto"/>
          <w:sz w:val="28"/>
          <w:szCs w:val="28"/>
          <w:highlight w:val="none"/>
          <w:u w:val="single"/>
        </w:rPr>
        <w:t>必须按国家标准、行业标准、检定规程、设备技术要求等规定对设备进行安全检查、维保等服务。</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rPr>
        <w:t>（须提供复印件并加盖单位公章）</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（2）供应商应当具备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hint="eastAsia" w:ascii="仿宋_GB2312" w:eastAsia="仿宋_GB2312"/>
          <w:color w:val="auto"/>
          <w:sz w:val="28"/>
          <w:szCs w:val="28"/>
          <w:highlight w:val="none"/>
          <w:u w:val="single"/>
        </w:rPr>
        <w:t>2020</w:t>
      </w:r>
      <w:r>
        <w:rPr>
          <w:rFonts w:hint="eastAsia" w:ascii="仿宋_GB2312" w:eastAsia="仿宋_GB2312"/>
          <w:color w:val="auto"/>
          <w:sz w:val="28"/>
          <w:szCs w:val="28"/>
          <w:highlight w:val="none"/>
        </w:rPr>
        <w:t>年1月1日至今，供应商最少具有一项</w:t>
      </w:r>
      <w:r>
        <w:rPr>
          <w:rFonts w:hint="eastAsia" w:ascii="仿宋_GB2312" w:eastAsia="仿宋_GB2312"/>
          <w:color w:val="auto"/>
          <w:sz w:val="28"/>
          <w:szCs w:val="28"/>
          <w:highlight w:val="none"/>
          <w:u w:val="single"/>
        </w:rPr>
        <w:t>相似类型视频改造或LED大屏集成</w:t>
      </w:r>
      <w:r>
        <w:rPr>
          <w:rFonts w:hint="eastAsia" w:ascii="仿宋_GB2312" w:eastAsia="仿宋_GB2312"/>
          <w:color w:val="auto"/>
          <w:sz w:val="28"/>
          <w:szCs w:val="28"/>
          <w:highlight w:val="none"/>
          <w:lang w:val="en-US" w:eastAsia="zh-CN"/>
        </w:rPr>
        <w:t>安装</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项目的业绩。（提供合同复印件证明，包括但不限于项目名称、金额及实施内容、合同盖章、签订日期，加盖单位公章，注：母公司及分公司业绩均认可）</w:t>
      </w:r>
    </w:p>
    <w:p>
      <w:pPr>
        <w:adjustRightInd w:val="0"/>
        <w:snapToGrid w:val="0"/>
        <w:spacing w:line="600" w:lineRule="exact"/>
        <w:jc w:val="left"/>
        <w:rPr>
          <w:rFonts w:ascii="仿宋_GB2312" w:eastAsia="仿宋_GB2312"/>
          <w:color w:val="auto"/>
          <w:sz w:val="28"/>
          <w:szCs w:val="28"/>
          <w:highlight w:val="none"/>
          <w:u w:val="single"/>
        </w:rPr>
      </w:pPr>
      <w:r>
        <w:rPr>
          <w:rFonts w:hint="eastAsia" w:ascii="MS Mincho" w:hAnsi="MS Mincho" w:eastAsia="宋体" w:cs="MS Mincho"/>
          <w:color w:val="auto"/>
          <w:sz w:val="28"/>
          <w:szCs w:val="28"/>
          <w:highlight w:val="none"/>
          <w:lang w:eastAsia="zh-CN"/>
        </w:rPr>
        <w:t>□</w:t>
      </w:r>
      <w:r>
        <w:rPr>
          <w:rFonts w:hint="eastAsia" w:ascii="仿宋_GB2312" w:eastAsia="仿宋_GB2312"/>
          <w:color w:val="auto"/>
          <w:sz w:val="28"/>
          <w:szCs w:val="28"/>
          <w:highlight w:val="none"/>
        </w:rPr>
        <w:t>（4）项目负责人应当具备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资格条件。</w:t>
      </w:r>
    </w:p>
    <w:p>
      <w:pPr>
        <w:pStyle w:val="24"/>
        <w:spacing w:line="600" w:lineRule="exact"/>
        <w:ind w:firstLine="0"/>
        <w:jc w:val="left"/>
        <w:rPr>
          <w:rFonts w:ascii="仿宋_GB2312" w:eastAsia="仿宋_GB2312"/>
          <w:color w:val="auto"/>
          <w:sz w:val="28"/>
          <w:szCs w:val="28"/>
          <w:highlight w:val="none"/>
          <w:u w:val="single"/>
        </w:rPr>
      </w:pPr>
      <w:r>
        <w:rPr>
          <w:rFonts w:hint="eastAsia" w:ascii="MS Mincho" w:hAnsi="MS Mincho" w:eastAsia="宋体" w:cs="MS Mincho"/>
          <w:color w:val="auto"/>
          <w:sz w:val="28"/>
          <w:szCs w:val="28"/>
          <w:highlight w:val="none"/>
          <w:lang w:eastAsia="zh-CN"/>
        </w:rPr>
        <w:t>□</w:t>
      </w:r>
      <w:r>
        <w:rPr>
          <w:rFonts w:hint="eastAsia" w:ascii="仿宋_GB2312" w:eastAsia="仿宋_GB2312"/>
          <w:color w:val="auto"/>
          <w:sz w:val="28"/>
          <w:szCs w:val="28"/>
          <w:highlight w:val="none"/>
        </w:rPr>
        <w:t>（5）其他要求：</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3.2供应商在响应文件提交截止日期止不得存在下列情形之一（须出具不得存在情形承诺函）：</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踏勘现场</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ascii="仿宋_GB2312" w:hAnsi="仿宋" w:eastAsia="仿宋_GB2312" w:cs="仿宋_GB2312"/>
          <w:color w:val="auto"/>
          <w:sz w:val="28"/>
          <w:szCs w:val="28"/>
          <w:highlight w:val="none"/>
          <w:lang w:val="zh-CN"/>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组织：</w:t>
      </w:r>
      <w:r>
        <w:rPr>
          <w:rFonts w:hint="eastAsia" w:ascii="仿宋_GB2312" w:hAnsi="仿宋" w:eastAsia="仿宋_GB2312" w:cs="仿宋_GB2312"/>
          <w:color w:val="auto"/>
          <w:sz w:val="28"/>
          <w:szCs w:val="28"/>
          <w:highlight w:val="none"/>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pStyle w:val="24"/>
        <w:ind w:firstLine="0"/>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踏勘现场联系人：</w:t>
      </w:r>
    </w:p>
    <w:p>
      <w:pPr>
        <w:pStyle w:val="24"/>
        <w:ind w:firstLine="0"/>
        <w:rPr>
          <w:rFonts w:ascii="仿宋_GB2312" w:eastAsia="仿宋_GB2312" w:hAnsiTheme="minorHAnsi"/>
          <w:color w:val="auto"/>
          <w:sz w:val="28"/>
          <w:szCs w:val="28"/>
          <w:highlight w:val="none"/>
        </w:rPr>
      </w:pPr>
      <w:r>
        <w:rPr>
          <w:rFonts w:hint="eastAsia" w:ascii="仿宋_GB2312" w:eastAsia="仿宋_GB2312" w:hAnsiTheme="minorHAnsi" w:cstheme="minorBidi"/>
          <w:color w:val="auto"/>
          <w:kern w:val="2"/>
          <w:sz w:val="28"/>
          <w:szCs w:val="28"/>
          <w:highlight w:val="none"/>
        </w:rPr>
        <w:t>踏勘现场联系人联系方式：</w:t>
      </w:r>
    </w:p>
    <w:p>
      <w:pPr>
        <w:adjustRightInd w:val="0"/>
        <w:snapToGrid w:val="0"/>
        <w:spacing w:line="360"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踏勘（答疑）集合时间：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分。                     </w:t>
      </w:r>
    </w:p>
    <w:p>
      <w:pPr>
        <w:adjustRightInd w:val="0"/>
        <w:snapToGrid w:val="0"/>
        <w:spacing w:line="600" w:lineRule="exact"/>
        <w:jc w:val="left"/>
        <w:rPr>
          <w:rFonts w:asciiTheme="minorEastAsia" w:hAnsiTheme="minorEastAsia"/>
          <w:b/>
          <w:color w:val="auto"/>
          <w:sz w:val="32"/>
          <w:szCs w:val="32"/>
          <w:highlight w:val="none"/>
        </w:rPr>
      </w:pPr>
      <w:r>
        <w:rPr>
          <w:rFonts w:hint="eastAsia" w:ascii="仿宋_GB2312" w:eastAsia="仿宋_GB2312"/>
          <w:color w:val="auto"/>
          <w:sz w:val="28"/>
          <w:szCs w:val="28"/>
          <w:highlight w:val="none"/>
        </w:rPr>
        <w:t xml:space="preserve">踏勘集中地点：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6.2递交响应文件截止时间：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6.3递交地址：广州市天河区临江大道501号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w:t>
      </w:r>
      <w:r>
        <w:rPr>
          <w:rFonts w:ascii="仿宋_GB2312" w:eastAsia="仿宋_GB2312" w:hAnsiTheme="minorHAnsi" w:cstheme="minorBidi"/>
          <w:color w:val="auto"/>
          <w:kern w:val="2"/>
          <w:sz w:val="28"/>
          <w:szCs w:val="28"/>
          <w:highlight w:val="none"/>
        </w:rPr>
        <w:t>1</w:t>
      </w:r>
      <w:r>
        <w:rPr>
          <w:rFonts w:hint="eastAsia" w:ascii="仿宋_GB2312" w:eastAsia="仿宋_GB2312" w:hAnsiTheme="minorHAnsi" w:cstheme="minorBidi"/>
          <w:color w:val="auto"/>
          <w:kern w:val="2"/>
          <w:sz w:val="28"/>
          <w:szCs w:val="28"/>
          <w:highlight w:val="none"/>
        </w:rPr>
        <w:t>）通过“广州净水公司”微信公众号或来访时扫码进行访客预约登记。</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w:t>
      </w:r>
      <w:r>
        <w:rPr>
          <w:rFonts w:ascii="仿宋_GB2312" w:eastAsia="仿宋_GB2312" w:hAnsiTheme="minorHAnsi" w:cstheme="minorBidi"/>
          <w:color w:val="auto"/>
          <w:kern w:val="2"/>
          <w:sz w:val="28"/>
          <w:szCs w:val="28"/>
          <w:highlight w:val="none"/>
        </w:rPr>
        <w:t>2</w:t>
      </w:r>
      <w:r>
        <w:rPr>
          <w:rFonts w:hint="eastAsia" w:ascii="仿宋_GB2312" w:eastAsia="仿宋_GB2312" w:hAnsiTheme="minorHAnsi" w:cstheme="minorBidi"/>
          <w:color w:val="auto"/>
          <w:kern w:val="2"/>
          <w:sz w:val="28"/>
          <w:szCs w:val="28"/>
          <w:highlight w:val="none"/>
        </w:rPr>
        <w:t>）“组织”选择“公司本部”，“部门”选择“招投标合同管理部”。</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w:t>
      </w:r>
      <w:r>
        <w:rPr>
          <w:rFonts w:ascii="仿宋_GB2312" w:eastAsia="仿宋_GB2312" w:hAnsiTheme="minorHAnsi" w:cstheme="minorBidi"/>
          <w:color w:val="auto"/>
          <w:kern w:val="2"/>
          <w:sz w:val="28"/>
          <w:szCs w:val="28"/>
          <w:highlight w:val="none"/>
        </w:rPr>
        <w:t>3</w:t>
      </w:r>
      <w:r>
        <w:rPr>
          <w:rFonts w:hint="eastAsia" w:ascii="仿宋_GB2312" w:eastAsia="仿宋_GB2312" w:hAnsiTheme="minorHAnsi" w:cstheme="minorBidi"/>
          <w:color w:val="auto"/>
          <w:kern w:val="2"/>
          <w:sz w:val="28"/>
          <w:szCs w:val="28"/>
          <w:highlight w:val="none"/>
        </w:rPr>
        <w:t>）“被访人员”选择“招标部”，“手机号”：“</w:t>
      </w:r>
      <w:r>
        <w:rPr>
          <w:rFonts w:ascii="仿宋_GB2312" w:eastAsia="仿宋_GB2312" w:hAnsiTheme="minorHAnsi" w:cstheme="minorBidi"/>
          <w:color w:val="auto"/>
          <w:kern w:val="2"/>
          <w:sz w:val="28"/>
          <w:szCs w:val="28"/>
          <w:highlight w:val="none"/>
        </w:rPr>
        <w:t>62315524</w:t>
      </w:r>
      <w:r>
        <w:rPr>
          <w:rFonts w:hint="eastAsia" w:ascii="仿宋_GB2312" w:eastAsia="仿宋_GB2312" w:hAnsiTheme="minorHAnsi" w:cstheme="minorBidi"/>
          <w:color w:val="auto"/>
          <w:kern w:val="2"/>
          <w:sz w:val="28"/>
          <w:szCs w:val="28"/>
          <w:highlight w:val="none"/>
        </w:rPr>
        <w:t>”。</w:t>
      </w:r>
    </w:p>
    <w:p>
      <w:pPr>
        <w:pStyle w:val="7"/>
        <w:rPr>
          <w:rFonts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w:t>
      </w:r>
      <w:r>
        <w:rPr>
          <w:rFonts w:ascii="仿宋_GB2312" w:eastAsia="仿宋_GB2312" w:hAnsiTheme="minorHAnsi" w:cstheme="minorBidi"/>
          <w:color w:val="auto"/>
          <w:kern w:val="2"/>
          <w:sz w:val="28"/>
          <w:szCs w:val="28"/>
          <w:highlight w:val="none"/>
        </w:rPr>
        <w:t>4</w:t>
      </w:r>
      <w:r>
        <w:rPr>
          <w:rFonts w:hint="eastAsia" w:ascii="仿宋_GB2312" w:eastAsia="仿宋_GB2312" w:hAnsiTheme="minorHAnsi" w:cstheme="minorBidi"/>
          <w:color w:val="auto"/>
          <w:kern w:val="2"/>
          <w:sz w:val="28"/>
          <w:szCs w:val="28"/>
          <w:highlight w:val="none"/>
        </w:rPr>
        <w:t>）“详细描述”：找</w:t>
      </w:r>
      <w:r>
        <w:rPr>
          <w:rFonts w:ascii="仿宋_GB2312" w:eastAsia="仿宋_GB2312" w:hAnsiTheme="minorHAnsi" w:cstheme="minorBidi"/>
          <w:color w:val="auto"/>
          <w:kern w:val="2"/>
          <w:sz w:val="28"/>
          <w:szCs w:val="28"/>
          <w:highlight w:val="none"/>
        </w:rPr>
        <w:t>XX</w:t>
      </w:r>
      <w:r>
        <w:rPr>
          <w:rFonts w:hint="eastAsia" w:ascii="仿宋_GB2312" w:eastAsia="仿宋_GB2312" w:hAnsiTheme="minorHAnsi" w:cstheme="minorBidi"/>
          <w:color w:val="auto"/>
          <w:kern w:val="2"/>
          <w:sz w:val="28"/>
          <w:szCs w:val="28"/>
          <w:highlight w:val="none"/>
        </w:rPr>
        <w:t>，递交</w:t>
      </w:r>
      <w:r>
        <w:rPr>
          <w:rFonts w:ascii="仿宋_GB2312" w:eastAsia="仿宋_GB2312" w:hAnsiTheme="minorHAnsi" w:cstheme="minorBidi"/>
          <w:color w:val="auto"/>
          <w:kern w:val="2"/>
          <w:sz w:val="28"/>
          <w:szCs w:val="28"/>
          <w:highlight w:val="none"/>
        </w:rPr>
        <w:t>XX</w:t>
      </w:r>
      <w:r>
        <w:rPr>
          <w:rFonts w:hint="eastAsia" w:ascii="仿宋_GB2312" w:eastAsia="仿宋_GB2312" w:hAnsiTheme="minorHAnsi" w:cstheme="minorBidi"/>
          <w:color w:val="auto"/>
          <w:kern w:val="2"/>
          <w:sz w:val="28"/>
          <w:szCs w:val="28"/>
          <w:highlight w:val="none"/>
        </w:rPr>
        <w:t>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本项目采购公告（采购邀请书）、公告补充及修改同步在广州净水公司门户网站及阳光平台上发布。</w:t>
      </w:r>
      <w:r>
        <w:rPr>
          <w:rFonts w:hint="eastAsia" w:ascii="仿宋_GB2312" w:hAnsi="Calibri" w:eastAsia="仿宋_GB2312" w:cs="Times New Roman"/>
          <w:color w:val="auto"/>
          <w:sz w:val="28"/>
          <w:szCs w:val="28"/>
          <w:highlight w:val="none"/>
        </w:rPr>
        <w:t>本公告在各媒体发布的文本如有不同之处，以广州净水公司门户网站为准。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190" w:beforeLines="50" w:after="190" w:afterLines="50" w:line="600" w:lineRule="exact"/>
        <w:jc w:val="left"/>
        <w:rPr>
          <w:rFonts w:hint="eastAsia" w:asciiTheme="minorEastAsia" w:hAnsiTheme="minorEastAsia"/>
          <w:b/>
          <w:color w:val="auto"/>
          <w:sz w:val="32"/>
          <w:szCs w:val="32"/>
          <w:highlight w:val="none"/>
        </w:rPr>
      </w:pPr>
    </w:p>
    <w:p>
      <w:pPr>
        <w:adjustRightInd w:val="0"/>
        <w:snapToGrid w:val="0"/>
        <w:spacing w:before="190" w:beforeLines="50" w:after="19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9.联系方式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4"/>
        <w:ind w:firstLine="0"/>
        <w:rPr>
          <w:rFonts w:ascii="仿宋_GB2312" w:eastAsia="仿宋_GB2312" w:hAnsiTheme="majorEastAsia"/>
          <w:color w:val="auto"/>
          <w:sz w:val="28"/>
          <w:szCs w:val="28"/>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before="190" w:beforeLines="50" w:after="19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51"/>
        <w:rPr>
          <w:color w:val="auto"/>
          <w:highlight w:val="none"/>
        </w:rPr>
      </w:pPr>
      <w:bookmarkStart w:id="13" w:name="_Toc10891"/>
    </w:p>
    <w:p>
      <w:pPr>
        <w:pStyle w:val="51"/>
        <w:rPr>
          <w:color w:val="auto"/>
          <w:highlight w:val="none"/>
        </w:rPr>
      </w:pPr>
      <w:bookmarkStart w:id="14" w:name="_Toc9448"/>
      <w:bookmarkStart w:id="15" w:name="_Toc23749"/>
      <w:bookmarkStart w:id="16" w:name="_Toc16557"/>
      <w:bookmarkStart w:id="17" w:name="_Toc2331"/>
      <w:bookmarkStart w:id="18" w:name="_Toc7340"/>
      <w:bookmarkStart w:id="19" w:name="_Toc19295"/>
      <w:bookmarkStart w:id="20" w:name="_Toc32588"/>
      <w:bookmarkStart w:id="21" w:name="_Toc2324"/>
      <w:bookmarkStart w:id="22" w:name="_Toc16705"/>
      <w:bookmarkStart w:id="23" w:name="_Toc25603"/>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2336165</wp:posOffset>
                </wp:positionH>
                <wp:positionV relativeFrom="paragraph">
                  <wp:posOffset>19050</wp:posOffset>
                </wp:positionV>
                <wp:extent cx="958850" cy="0"/>
                <wp:effectExtent l="0" t="6350" r="0" b="6350"/>
                <wp:wrapNone/>
                <wp:docPr id="19"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95pt;margin-top:1.5pt;height:0pt;width:75.5pt;z-index:25167155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laTW4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2340610</wp:posOffset>
                </wp:positionH>
                <wp:positionV relativeFrom="paragraph">
                  <wp:posOffset>542925</wp:posOffset>
                </wp:positionV>
                <wp:extent cx="958850" cy="0"/>
                <wp:effectExtent l="0" t="6350" r="0" b="6350"/>
                <wp:wrapNone/>
                <wp:docPr id="20"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42.75pt;height:0pt;width:75.5pt;z-index:25167257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yWcmV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SRIHlm78&#10;56dvvz5+vvvy4+77VzZbZo2GgDWFbtxNPO0w3MRM+NBGm/9EhR2KrsezruqQmKDDF4vlckHw4t5V&#10;PeSFiOmV8pZlo+GYIuiuTxvvHF2ej7MiK+xfY6LKlHifkIsax4YMP18QONAwtjQEZNpAhNB1JRe9&#10;0fJaG5MzMHa7jYlsD3kgypf5Ee5fYbnIFrAf44prHJVegXzpJEvHQEo5eiE8t2CV5MwoelDZIkCo&#10;E2hzSSSVNo46yBKPomZr5+WxaF3O6fJLj6dBzdP1575kPzzO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2AsR1wAAAAsBAAAPAAAAAAAAAAEAIAAAACIAAABkcnMvZG93bnJldi54bWxQSwECFAAU&#10;AAAACACHTuJAMlnJlf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第二章</w:t>
      </w:r>
      <w:bookmarkEnd w:id="13"/>
      <w:bookmarkEnd w:id="14"/>
      <w:bookmarkEnd w:id="15"/>
      <w:bookmarkEnd w:id="16"/>
      <w:bookmarkEnd w:id="17"/>
      <w:bookmarkEnd w:id="18"/>
      <w:bookmarkEnd w:id="19"/>
      <w:bookmarkEnd w:id="20"/>
      <w:bookmarkEnd w:id="21"/>
      <w:bookmarkEnd w:id="22"/>
      <w:bookmarkEnd w:id="23"/>
    </w:p>
    <w:p>
      <w:pPr>
        <w:pStyle w:val="51"/>
        <w:rPr>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90" w:beforeLines="50" w:after="190" w:afterLines="50" w:line="600" w:lineRule="exact"/>
        <w:ind w:left="643" w:hanging="643" w:hangingChars="200"/>
        <w:jc w:val="left"/>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4"/>
        <w:ind w:firstLine="0"/>
        <w:rPr>
          <w:color w:val="auto"/>
          <w:highlight w:val="none"/>
        </w:rPr>
      </w:pPr>
    </w:p>
    <w:p>
      <w:pPr>
        <w:numPr>
          <w:ilvl w:val="0"/>
          <w:numId w:val="4"/>
        </w:numPr>
        <w:adjustRightInd w:val="0"/>
        <w:snapToGrid w:val="0"/>
        <w:spacing w:before="190" w:beforeLines="50" w:after="190" w:afterLines="50" w:line="50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p>
    <w:p>
      <w:pPr>
        <w:pStyle w:val="24"/>
        <w:numPr>
          <w:ilvl w:val="255"/>
          <w:numId w:val="0"/>
        </w:numPr>
        <w:rPr>
          <w:color w:val="auto"/>
          <w:highlight w:val="none"/>
        </w:rPr>
      </w:pPr>
      <w:r>
        <w:rPr>
          <w:rFonts w:hint="eastAsia"/>
          <w:color w:val="auto"/>
          <w:highlight w:val="none"/>
        </w:rPr>
        <w:t>详见第一章采购公告（采购邀请书）3.供应商资格要求</w:t>
      </w:r>
    </w:p>
    <w:p>
      <w:pPr>
        <w:adjustRightInd w:val="0"/>
        <w:snapToGrid w:val="0"/>
        <w:spacing w:line="600" w:lineRule="exact"/>
        <w:jc w:val="left"/>
        <w:rPr>
          <w:rFonts w:ascii="仿宋_GB2312" w:eastAsia="仿宋_GB2312"/>
          <w:color w:val="auto"/>
          <w:sz w:val="28"/>
          <w:szCs w:val="28"/>
          <w:highlight w:val="none"/>
        </w:rPr>
      </w:pPr>
      <w:r>
        <w:rPr>
          <w:rFonts w:hint="eastAsia" w:asciiTheme="minorEastAsia" w:hAnsiTheme="minorEastAsia"/>
          <w:b/>
          <w:color w:val="auto"/>
          <w:sz w:val="32"/>
          <w:szCs w:val="32"/>
          <w:highlight w:val="none"/>
        </w:rPr>
        <w:t>2.  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rPr>
        <w:t>1.1</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1.2.1供应商对采购文件有疑问的，应当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本项目</w:t>
            </w:r>
            <w:r>
              <w:rPr>
                <w:rFonts w:hint="eastAsia" w:ascii="仿宋_GB2312" w:eastAsia="仿宋_GB2312"/>
                <w:color w:val="auto"/>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最高限价及低价说明</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2.7</w:t>
            </w:r>
          </w:p>
          <w:p>
            <w:pPr>
              <w:adjustRightInd w:val="0"/>
              <w:snapToGrid w:val="0"/>
              <w:jc w:val="center"/>
              <w:rPr>
                <w:rFonts w:ascii="仿宋_GB2312" w:eastAsia="仿宋_GB2312"/>
                <w:color w:val="auto"/>
                <w:sz w:val="24"/>
                <w:szCs w:val="24"/>
                <w:highlight w:val="none"/>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0" w:firstLineChars="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rPr>
              <w:t>3</w:t>
            </w:r>
            <w:r>
              <w:rPr>
                <w:rFonts w:hint="eastAsia" w:ascii="仿宋_GB2312" w:eastAsia="仿宋_GB2312" w:hAnsiTheme="minorEastAsia"/>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190" w:beforeLines="50" w:after="190" w:afterLines="50" w:line="56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190" w:beforeLines="50" w:after="19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3.发生下列情况之一者，视为无效响应行为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（9）其他不符合采购文件要求的情形。</w:t>
      </w:r>
    </w:p>
    <w:p>
      <w:pPr>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10</w:t>
      </w:r>
      <w:r>
        <w:rPr>
          <w:rFonts w:hint="eastAsia" w:ascii="仿宋_GB2312" w:eastAsia="仿宋_GB2312"/>
          <w:color w:val="auto"/>
          <w:sz w:val="28"/>
          <w:szCs w:val="28"/>
          <w:highlight w:val="none"/>
        </w:rPr>
        <w:t>）非法定代表人或授权委托代理人递交响应文件。</w:t>
      </w:r>
    </w:p>
    <w:p>
      <w:pPr>
        <w:adjustRightInd w:val="0"/>
        <w:snapToGrid w:val="0"/>
        <w:spacing w:before="190" w:beforeLines="50" w:after="19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4.响应保证金</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本项目无须递交响应保证金。</w:t>
      </w:r>
    </w:p>
    <w:p>
      <w:pPr>
        <w:adjustRightInd w:val="0"/>
        <w:snapToGrid w:val="0"/>
        <w:spacing w:before="190" w:beforeLines="50" w:after="19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5.响应文件要求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5.1响应文件包括下列内容</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190" w:beforeLines="50" w:after="19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6.异议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6.3 异议人与采购人对异议事项无法达成一致的，异议人可向采购人的监管部门进行反映。</w:t>
      </w:r>
    </w:p>
    <w:p>
      <w:pPr>
        <w:adjustRightInd w:val="0"/>
        <w:snapToGrid w:val="0"/>
        <w:spacing w:before="190" w:beforeLines="50" w:after="19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eastAsia" w:ascii="仿宋_GB2312" w:eastAsia="仿宋_GB2312"/>
          <w:color w:val="auto"/>
          <w:sz w:val="28"/>
          <w:szCs w:val="28"/>
          <w:highlight w:val="none"/>
        </w:rPr>
      </w:pPr>
      <w:r>
        <w:rPr>
          <w:rFonts w:hint="eastAsia" w:asciiTheme="majorEastAsia" w:hAnsiTheme="majorEastAsia" w:eastAsiaTheme="majorEastAsia"/>
          <w:b/>
          <w:color w:val="auto"/>
          <w:sz w:val="28"/>
          <w:szCs w:val="28"/>
          <w:highlight w:val="none"/>
        </w:rPr>
        <w:t xml:space="preserve">  </w:t>
      </w:r>
      <w:r>
        <w:rPr>
          <w:rFonts w:ascii="仿宋_GB2312" w:eastAsia="仿宋_GB2312" w:hAnsiTheme="minorHAnsi"/>
          <w:b w:val="0"/>
          <w:color w:val="auto"/>
          <w:sz w:val="28"/>
          <w:szCs w:val="28"/>
          <w:highlight w:val="none"/>
        </w:rPr>
        <w:t xml:space="preserve">  </w:t>
      </w:r>
      <w:r>
        <w:rPr>
          <w:rFonts w:hint="eastAsia" w:ascii="仿宋_GB2312" w:eastAsia="仿宋_GB2312"/>
          <w:color w:val="auto"/>
          <w:sz w:val="28"/>
          <w:szCs w:val="28"/>
          <w:highlight w:val="none"/>
        </w:rPr>
        <w:t xml:space="preserve"> 附件5：关于**项目异议书</w:t>
      </w:r>
    </w:p>
    <w:p>
      <w:pPr>
        <w:pStyle w:val="11"/>
        <w:rPr>
          <w:rFonts w:hint="eastAsia" w:ascii="仿宋_GB2312" w:eastAsia="仿宋_GB2312"/>
          <w:color w:val="auto"/>
          <w:sz w:val="28"/>
          <w:szCs w:val="28"/>
          <w:highlight w:val="none"/>
        </w:rPr>
      </w:pPr>
    </w:p>
    <w:p>
      <w:pPr>
        <w:numPr>
          <w:ilvl w:val="0"/>
          <w:numId w:val="0"/>
        </w:numPr>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6"/>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6"/>
        <w:numPr>
          <w:ilvl w:val="-1"/>
          <w:numId w:val="0"/>
        </w:numPr>
        <w:ind w:left="0" w:firstLine="0"/>
        <w:rPr>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4"/>
        <w:rPr>
          <w:color w:val="auto"/>
          <w:highlight w:val="none"/>
        </w:rPr>
      </w:pPr>
    </w:p>
    <w:p>
      <w:pPr>
        <w:widowControl/>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line="600" w:lineRule="exact"/>
        <w:ind w:firstLine="2666" w:firstLineChars="0"/>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rPr>
        <w:t xml:space="preserve">      项目</w:t>
      </w:r>
      <w:r>
        <w:rPr>
          <w:rFonts w:hint="eastAsia" w:ascii="仿宋_GB2312" w:eastAsia="仿宋_GB2312" w:hAnsiTheme="majorEastAsia"/>
          <w:color w:val="auto"/>
          <w:sz w:val="28"/>
          <w:szCs w:val="28"/>
          <w:highlight w:val="none"/>
        </w:rPr>
        <w:t>的成交供应商。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rPr>
        <w:t>30</w:t>
      </w:r>
      <w:r>
        <w:rPr>
          <w:rFonts w:hint="eastAsia" w:ascii="仿宋_GB2312" w:eastAsia="仿宋_GB2312" w:hAnsiTheme="majorEastAsia"/>
          <w:color w:val="auto"/>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附件5 </w:t>
      </w:r>
    </w:p>
    <w:p>
      <w:pPr>
        <w:jc w:val="both"/>
        <w:rPr>
          <w:rFonts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ascii="宋体" w:hAnsi="宋体" w:cs="宋体"/>
          <w:b/>
          <w:bCs/>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 xml:space="preserve">住所地：   </w:t>
      </w:r>
      <w:r>
        <w:rPr>
          <w:rFonts w:hAnsi="宋体" w:cs="仿宋_GB2312"/>
          <w:color w:val="auto"/>
          <w:kern w:val="0"/>
          <w:sz w:val="28"/>
          <w:szCs w:val="28"/>
          <w:highlight w:val="none"/>
        </w:rPr>
        <w:t xml:space="preserve"> 邮编：</w:t>
      </w:r>
    </w:p>
    <w:p>
      <w:pPr>
        <w:widowControl/>
        <w:jc w:val="left"/>
        <w:rPr>
          <w:rFonts w:hAnsi="宋体" w:eastAsia="宋体" w:cs="宋体"/>
          <w:color w:val="auto"/>
          <w:kern w:val="0"/>
          <w:sz w:val="28"/>
          <w:szCs w:val="28"/>
          <w:highlight w:val="none"/>
        </w:rPr>
      </w:pPr>
      <w:r>
        <w:rPr>
          <w:rFonts w:hint="eastAsia" w:hAnsi="宋体" w:cs="仿宋_GB2312"/>
          <w:color w:val="auto"/>
          <w:kern w:val="0"/>
          <w:sz w:val="28"/>
          <w:szCs w:val="28"/>
          <w:highlight w:val="none"/>
        </w:rPr>
        <w:t>法定代表人：      联系电话：</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 xml:space="preserve">异议人授权代表：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             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p>
    <w:p>
      <w:pPr>
        <w:pStyle w:val="24"/>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ind w:firstLine="0"/>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11"/>
        <w:rPr>
          <w:color w:val="auto"/>
          <w:highlight w:val="none"/>
        </w:rPr>
      </w:pPr>
    </w:p>
    <w:p>
      <w:pPr>
        <w:pStyle w:val="51"/>
        <w:rPr>
          <w:color w:val="auto"/>
          <w:highlight w:val="none"/>
        </w:rPr>
      </w:pPr>
      <w:bookmarkStart w:id="26" w:name="_Toc21455"/>
      <w:bookmarkStart w:id="27" w:name="_Toc2867"/>
    </w:p>
    <w:p>
      <w:pPr>
        <w:pStyle w:val="4"/>
        <w:rPr>
          <w:rFonts w:asciiTheme="minorHAnsi" w:hAnsiTheme="minorHAnsi" w:cstheme="minorBidi"/>
          <w:color w:val="auto"/>
          <w:kern w:val="44"/>
          <w:sz w:val="44"/>
          <w:szCs w:val="44"/>
          <w:highlight w:val="none"/>
        </w:rPr>
      </w:pPr>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700405</wp:posOffset>
                </wp:positionV>
                <wp:extent cx="958850" cy="0"/>
                <wp:effectExtent l="0" t="6350" r="0" b="6350"/>
                <wp:wrapNone/>
                <wp:docPr id="4"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5.1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M5RUqPyAQAA4g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DX/OmQNLF373&#10;+fuvT19uv/68/fGNzbJCfcCaAlduE087DJuY6R7aaPOfiLBDUfV4VlUdEhN0+HI2n89Ib3Hvqh7y&#10;QsT0WnnLstFwTBH0rksr7xxdnY+TIirs32CiypR4n5CLGsf6DD+dETjQKLY0AmTaQHTQ7UoueqPl&#10;tTYmZ2DcbVcmsj3kcShf5ke4f4XlImvAbogrrmFQOgXylZMsHQMJ5eh98NyCVZIzo+g5ZYsAoU6g&#10;zSWRVNo46iBLPIiara2Xx6J1OaerLz2exjTP1p/7kv3wN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DOUVKj8gEAAOIDAAAOAAAAAAAAAAEAIAAAACUBAABkcnMvZTJvRG9jLnhtbFBLBQYA&#10;AAAABgAGAFkBAACJBQAAAAA=&#10;">
                <v:fill on="f" focussize="0,0"/>
                <v:stroke color="#000000" joinstyle="round"/>
                <v:imagedata o:title=""/>
                <o:lock v:ext="edit" aspectratio="f"/>
              </v:shape>
            </w:pict>
          </mc:Fallback>
        </mc:AlternateContent>
      </w:r>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137795</wp:posOffset>
                </wp:positionV>
                <wp:extent cx="958850" cy="0"/>
                <wp:effectExtent l="0" t="6350" r="0" b="6350"/>
                <wp:wrapNone/>
                <wp:docPr id="3"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59264;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DBy3K0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第三章</w:t>
      </w:r>
      <w:bookmarkEnd w:id="26"/>
      <w:bookmarkEnd w:id="27"/>
    </w:p>
    <w:p>
      <w:pPr>
        <w:pStyle w:val="38"/>
        <w:rPr>
          <w:color w:val="auto"/>
          <w:highlight w:val="none"/>
        </w:rPr>
      </w:pPr>
    </w:p>
    <w:p>
      <w:pPr>
        <w:pStyle w:val="4"/>
        <w:rPr>
          <w:color w:val="auto"/>
          <w:highlight w:val="none"/>
        </w:rPr>
      </w:pPr>
      <w:bookmarkStart w:id="28" w:name="_Toc7040"/>
      <w:bookmarkStart w:id="29" w:name="_Toc87616371"/>
      <w:bookmarkStart w:id="30" w:name="_Toc88209934"/>
      <w:bookmarkStart w:id="31" w:name="_Toc7303"/>
      <w:r>
        <w:rPr>
          <w:rFonts w:hint="eastAsia"/>
          <w:color w:val="auto"/>
          <w:highlight w:val="none"/>
        </w:rPr>
        <w:t>采购方法</w:t>
      </w:r>
      <w:bookmarkEnd w:id="28"/>
      <w:bookmarkEnd w:id="29"/>
      <w:bookmarkEnd w:id="30"/>
      <w:bookmarkEnd w:id="31"/>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4"/>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6"/>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rPr>
              <w:t xml:space="preserve"> </w:t>
            </w:r>
            <w:r>
              <w:rPr>
                <w:rFonts w:hint="eastAsia" w:ascii="仿宋_GB2312" w:eastAsia="仿宋_GB2312" w:hAnsiTheme="minorEastAsia"/>
                <w:color w:val="auto"/>
                <w:sz w:val="24"/>
                <w:szCs w:val="24"/>
                <w:highlight w:val="none"/>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 资格审查执行第二章供应商须知1.对供应商的资格要求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1.3 响应文件提交截止后，递交响应文件供应商不足3家的或有效响应文件供应商不足两家，应分析原因并重新发出采购公告（邀请书）或采取其他采购方式。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采购人确定满足采购文件资格性、响应性要求，并且经评审的报价最低的为成交供应商</w:t>
            </w:r>
          </w:p>
          <w:p>
            <w:pPr>
              <w:adjustRightInd w:val="0"/>
              <w:snapToGrid w:val="0"/>
              <w:ind w:left="360" w:hanging="360" w:hangingChars="150"/>
              <w:rPr>
                <w:rFonts w:ascii="仿宋_GB2312" w:eastAsia="仿宋_GB2312" w:hAnsiTheme="minorEastAsia"/>
                <w:color w:val="auto"/>
                <w:sz w:val="24"/>
                <w:szCs w:val="24"/>
                <w:highlight w:val="none"/>
              </w:rPr>
            </w:pPr>
            <w:r>
              <w:rPr>
                <w:rFonts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ascii="仿宋_GB2312" w:eastAsia="仿宋_GB2312" w:hAnsiTheme="minorEastAsia"/>
                <w:color w:val="auto"/>
                <w:sz w:val="24"/>
                <w:szCs w:val="24"/>
                <w:highlight w:val="none"/>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0" w:firstLineChars="0"/>
        <w:jc w:val="left"/>
        <w:rPr>
          <w:rFonts w:ascii="仿宋_GB2312" w:eastAsia="仿宋_GB2312"/>
          <w:color w:val="auto"/>
          <w:sz w:val="28"/>
          <w:szCs w:val="28"/>
          <w:highlight w:val="none"/>
        </w:rPr>
      </w:pPr>
    </w:p>
    <w:p>
      <w:pPr>
        <w:pStyle w:val="3"/>
        <w:rPr>
          <w:color w:val="auto"/>
          <w:highlight w:val="none"/>
        </w:rPr>
      </w:pPr>
      <w:bookmarkStart w:id="34" w:name="_Toc14870"/>
      <w:bookmarkStart w:id="35" w:name="_Toc19050"/>
      <w:bookmarkStart w:id="36" w:name="_Toc7118"/>
      <w:bookmarkStart w:id="37" w:name="_Toc7437"/>
      <w:bookmarkStart w:id="38" w:name="_Toc14552"/>
      <w:bookmarkStart w:id="39" w:name="_Toc3156"/>
      <w:bookmarkStart w:id="40" w:name="_Toc19759"/>
      <w:bookmarkStart w:id="41" w:name="_Toc4952"/>
      <w:bookmarkStart w:id="42" w:name="_Toc23581"/>
      <w:bookmarkStart w:id="43" w:name="_Toc10930"/>
      <w:bookmarkStart w:id="44" w:name="_Toc20594"/>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6350" r="0" b="6350"/>
                <wp:wrapNone/>
                <wp:docPr id="9"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ZBAIP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6350" r="0" b="6350"/>
                <wp:wrapNone/>
                <wp:docPr id="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85q+r8gEAAOI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y4Y/58yBpQv/&#10;+enbr4+f7778uPv+lV1lhfqANQWu3Caedhg2MdM9tNHmPxFhh6Lq8ayqOiQm6PDFbD6fkd7i3lU9&#10;5IWI6ZXylmWj4Zgi6F2XVt45ujofJ0VU2L/GRJUp8T4hFzWO9Rl+OiNwoFFsaQTItIHooNuVXPRG&#10;yxttTM7AuNuuTGR7yONQvsyPcP8Ky0XWgN0QV1zDoHQK5EsnWToGEsrR++C5BaskZ0bRc8oWAUKd&#10;QJtLIqm0cdRBlngQNVtbL4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Oavq/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第四章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3"/>
        <w:rPr>
          <w:color w:val="auto"/>
          <w:highlight w:val="none"/>
        </w:rPr>
      </w:pPr>
      <w:bookmarkStart w:id="45" w:name="_Toc7831"/>
      <w:bookmarkStart w:id="46" w:name="_Toc12177"/>
      <w:bookmarkStart w:id="47" w:name="_Toc13898"/>
      <w:bookmarkStart w:id="48" w:name="_Toc87616378"/>
      <w:bookmarkStart w:id="49" w:name="_Toc29345"/>
      <w:bookmarkStart w:id="50" w:name="_Toc29484"/>
      <w:bookmarkStart w:id="51" w:name="_Toc22212"/>
      <w:bookmarkStart w:id="52" w:name="_Toc6308"/>
      <w:bookmarkStart w:id="53" w:name="_Toc30530"/>
      <w:bookmarkStart w:id="54" w:name="_Toc21840"/>
      <w:bookmarkStart w:id="55" w:name="_Toc21079"/>
      <w:bookmarkStart w:id="56" w:name="_Toc88209941"/>
      <w:bookmarkStart w:id="57" w:name="_Toc32607"/>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pStyle w:val="4"/>
        <w:jc w:val="both"/>
        <w:rPr>
          <w:rFonts w:ascii="仿宋_GB2312" w:eastAsia="仿宋_GB2312" w:hAnsiTheme="minorEastAsia"/>
          <w:color w:val="auto"/>
          <w:szCs w:val="24"/>
          <w:highlight w:val="none"/>
        </w:rPr>
      </w:pPr>
      <w:bookmarkStart w:id="58" w:name="_Toc26826"/>
      <w:bookmarkStart w:id="59" w:name="_Toc23033"/>
    </w:p>
    <w:p>
      <w:pPr>
        <w:pStyle w:val="4"/>
        <w:rPr>
          <w:color w:val="auto"/>
          <w:highlight w:val="none"/>
        </w:rPr>
      </w:pPr>
      <w:r>
        <w:rPr>
          <w:rFonts w:ascii="仿宋_GB2312" w:eastAsia="仿宋_GB2312" w:hAnsiTheme="minorEastAsia"/>
          <w:color w:val="auto"/>
          <w:szCs w:val="24"/>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 xml:space="preserve">1、供应商须对本项目为单位的服务进行整体响应，任何只对其中一部分内容进行的响应都被视为无效响应。 </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2、全文</w:t>
      </w:r>
      <w:r>
        <w:rPr>
          <w:rFonts w:hint="eastAsia" w:ascii="仿宋_GB2312" w:eastAsia="仿宋_GB2312" w:hAnsiTheme="minorEastAsia"/>
          <w:color w:val="auto"/>
          <w:sz w:val="28"/>
          <w:szCs w:val="28"/>
          <w:highlight w:val="none"/>
          <w:lang w:val="en-US" w:eastAsia="zh-CN"/>
        </w:rPr>
        <w:t>技术参数</w:t>
      </w:r>
      <w:r>
        <w:rPr>
          <w:rFonts w:ascii="仿宋_GB2312" w:eastAsia="仿宋_GB2312" w:hAnsiTheme="minorEastAsia" w:cstheme="minorBidi"/>
          <w:color w:val="auto"/>
          <w:sz w:val="28"/>
          <w:szCs w:val="28"/>
          <w:highlight w:val="none"/>
        </w:rPr>
        <w:t>条款</w:t>
      </w:r>
      <w:r>
        <w:rPr>
          <w:rFonts w:hint="eastAsia" w:ascii="仿宋_GB2312" w:eastAsia="仿宋_GB2312" w:hAnsiTheme="minorEastAsia"/>
          <w:color w:val="auto"/>
          <w:sz w:val="28"/>
          <w:szCs w:val="28"/>
          <w:highlight w:val="none"/>
        </w:rPr>
        <w:t>为实质性响应条款，供应商如有任何一条负偏离则导致响应（报价）文件无效。</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（1）运输费用及保险费。（如有）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4"/>
        <w:rPr>
          <w:color w:val="auto"/>
          <w:highlight w:val="none"/>
        </w:rPr>
      </w:pPr>
      <w:r>
        <w:rPr>
          <w:color w:val="auto"/>
          <w:highlight w:val="none"/>
        </w:rPr>
        <w:sym w:font="Wingdings 2" w:char="00A3"/>
      </w:r>
      <w:r>
        <w:rPr>
          <w:rFonts w:hint="eastAsia"/>
          <w:color w:val="auto"/>
          <w:highlight w:val="none"/>
        </w:rPr>
        <w:t>综合评分法</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本次评审采用综合评分法。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采购人可对采购文件中商务和技术条款设置带※号条款，带※号条款为实质性条款，供应商未实质性响应其中任一条款，其响应文件都将被否决。</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2.2详细评审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对通过初步评审的响应文件进行详细评审。详细评审包括商务评审、技术评审和价格评审。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2.2.1商务评审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4-2                      商务评审因素（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2.2.2技术评审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4-3                      技术评审因素（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hAnsiTheme="minorEastAsia"/>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说明：对于施工技术方案简单、工期较短、季节性强的中小型工程，或者标准通用设备、材料及服务的采购，可以不要求供应商编制施工组织设计、安装调试方案或服务大纲等技术文件，评审时不进行技术评审。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2.2.3.2响应文件存在 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2.2.4 价格评审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4-4                      价格折算分值的办法</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768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7683"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规则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通过初审的合格供应商进入评审基准价计算程序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6"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确定基准价</w:t>
            </w:r>
          </w:p>
          <w:p>
            <w:pPr>
              <w:adjustRightInd w:val="0"/>
              <w:snapToGrid w:val="0"/>
              <w:ind w:left="240" w:hanging="240" w:hangingChars="100"/>
              <w:jc w:val="left"/>
              <w:rPr>
                <w:rFonts w:ascii="仿宋_GB2312" w:eastAsia="仿宋_GB2312"/>
                <w:color w:val="auto"/>
                <w:sz w:val="24"/>
                <w:szCs w:val="24"/>
                <w:highlight w:val="none"/>
              </w:rPr>
            </w:pPr>
            <w:bookmarkStart w:id="60" w:name="OLE_LINK5"/>
            <w:bookmarkStart w:id="61" w:name="OLE_LINK6"/>
            <w:r>
              <w:rPr>
                <w:rFonts w:hint="eastAsia" w:ascii="仿宋_GB2312" w:eastAsia="仿宋_GB2312" w:hAnsiTheme="minorEastAsia"/>
                <w:color w:val="auto"/>
                <w:sz w:val="24"/>
                <w:szCs w:val="24"/>
                <w:highlight w:val="none"/>
              </w:rPr>
              <w:t>□</w:t>
            </w:r>
            <w:bookmarkEnd w:id="60"/>
            <w:bookmarkEnd w:id="61"/>
            <w:r>
              <w:rPr>
                <w:rFonts w:hint="eastAsia" w:ascii="仿宋_GB2312" w:eastAsia="仿宋_GB2312"/>
                <w:color w:val="auto"/>
                <w:sz w:val="24"/>
                <w:szCs w:val="24"/>
                <w:highlight w:val="none"/>
              </w:rPr>
              <w:t>当</w:t>
            </w:r>
            <w:r>
              <w:rPr>
                <w:rFonts w:ascii="仿宋_GB2312" w:eastAsia="仿宋_GB2312"/>
                <w:color w:val="auto"/>
                <w:sz w:val="24"/>
                <w:szCs w:val="24"/>
                <w:highlight w:val="none"/>
              </w:rPr>
              <w:t>合格供应商的数量＜</w:t>
            </w:r>
            <w:r>
              <w:rPr>
                <w:rFonts w:hint="eastAsia" w:ascii="仿宋_GB2312" w:eastAsia="仿宋_GB2312"/>
                <w:color w:val="auto"/>
                <w:sz w:val="24"/>
                <w:szCs w:val="24"/>
                <w:highlight w:val="none"/>
              </w:rPr>
              <w:t>5家时，所有合格供应商报价的算术平均值作为基准价；当合格供应商的数量≥5家时，扣除一个最高报价和一个最低报价后的算术平均值作为基准价</w:t>
            </w:r>
          </w:p>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□以合格供应商报价的最低价作为基准价</w:t>
            </w:r>
          </w:p>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0"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□合格</w:t>
            </w:r>
            <w:r>
              <w:rPr>
                <w:rFonts w:hint="eastAsia" w:ascii="仿宋_GB2312" w:eastAsia="仿宋_GB2312"/>
                <w:color w:val="auto"/>
                <w:sz w:val="24"/>
                <w:szCs w:val="24"/>
                <w:highlight w:val="none"/>
              </w:rPr>
              <w:t>供应商的报价与基准价相比，每高于基准价1%扣</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 xml:space="preserve">分，每低于基准价1%扣 </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分，按插入法进行计算。</w:t>
            </w:r>
          </w:p>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□合格供应商的价格折算分=合格供应商报价的最低价/合格供应商报价</w:t>
            </w:r>
          </w:p>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Cs w:val="21"/>
          <w:highlight w:val="none"/>
        </w:rPr>
        <w:t>说明：供应商有多轮报价的，按最终报价计算。</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 评审结果</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计算供应商综合得分。</w:t>
      </w:r>
    </w:p>
    <w:p>
      <w:pPr>
        <w:adjustRightInd w:val="0"/>
        <w:snapToGrid w:val="0"/>
        <w:spacing w:line="600" w:lineRule="exact"/>
        <w:ind w:left="1672" w:leftChars="263" w:hanging="1120" w:hangingChars="40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评审得分=商务分×商务部分权重+技术分×技术部分权重+价格分×价格部分权重</w:t>
      </w:r>
    </w:p>
    <w:p>
      <w:pPr>
        <w:adjustRightInd w:val="0"/>
        <w:snapToGrid w:val="0"/>
        <w:spacing w:line="6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 w:val="28"/>
          <w:szCs w:val="28"/>
          <w:highlight w:val="none"/>
        </w:rPr>
        <w:t xml:space="preserve">综合得分最高的为排名第一的候选成交供应商；如综合得分相同，可依照□报价  </w:t>
      </w: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业绩   □其他</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考量因素得分排序确定供应商排名。</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3"/>
        <w:rPr>
          <w:color w:val="auto"/>
          <w:highlight w:val="none"/>
        </w:rPr>
      </w:pPr>
      <w:bookmarkStart w:id="62" w:name="_Toc88209947"/>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2342515</wp:posOffset>
                </wp:positionH>
                <wp:positionV relativeFrom="paragraph">
                  <wp:posOffset>262890</wp:posOffset>
                </wp:positionV>
                <wp:extent cx="958850" cy="0"/>
                <wp:effectExtent l="0" t="6350" r="0" b="6350"/>
                <wp:wrapNone/>
                <wp:docPr id="21"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45pt;margin-top:20.7pt;height:0pt;width:75.5pt;z-index:251673600;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k1KRDz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9nnDmwdOM/&#10;P3379fHz3Zcfd9+/svkiazQErCl0427iaYfhJmbChzba/Ccq7FB0PZ51VYfEBB2+WCyXC1Jc3Luq&#10;h7wQMb1S3rJsNBxTBN31aeOdo8vzcVZkhf1rTFSZEu8TclHj2JDhqUkmgIaxpSEg0wYihK4rueiN&#10;ltfamJyBsdttTGR7yANRvsyPcP8Ky0W2gP0YV1zjqPQK5EsnWToGUsrRC+G5BaskZ0bRg8oWAUKd&#10;QJtLIqm0cdRBlngUNVs7L49F63JOl196PA1qnq4/9yX74XG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TUpE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745490</wp:posOffset>
                </wp:positionV>
                <wp:extent cx="958850" cy="0"/>
                <wp:effectExtent l="0" t="6350" r="0" b="6350"/>
                <wp:wrapNone/>
                <wp:docPr id="22"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4624;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Ixw6v/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第五章</w:t>
      </w:r>
    </w:p>
    <w:p>
      <w:pPr>
        <w:rPr>
          <w:color w:val="auto"/>
          <w:highlight w:val="none"/>
        </w:rPr>
      </w:pPr>
    </w:p>
    <w:p>
      <w:pPr>
        <w:pStyle w:val="4"/>
        <w:rPr>
          <w:rFonts w:hint="eastAsia"/>
          <w:color w:val="auto"/>
          <w:szCs w:val="44"/>
          <w:highlight w:val="none"/>
        </w:rPr>
      </w:pPr>
      <w:r>
        <w:rPr>
          <w:rFonts w:hint="eastAsia"/>
          <w:color w:val="auto"/>
          <w:szCs w:val="44"/>
          <w:highlight w:val="none"/>
        </w:rPr>
        <w:t>采购需求</w:t>
      </w: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spacing w:line="360" w:lineRule="auto"/>
        <w:ind w:firstLine="472" w:firstLineChars="196"/>
        <w:rPr>
          <w:rFonts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1、供应商须对本项目为单位的服务进行整体响应，任何只对其中一部分内容进行的响应都被视为无效响应。 </w:t>
      </w:r>
    </w:p>
    <w:p>
      <w:pPr>
        <w:ind w:firstLine="482" w:firstLineChars="200"/>
        <w:rPr>
          <w:rFonts w:ascii="宋体" w:hAnsi="宋体" w:eastAsia="宋体" w:cs="宋体"/>
          <w:b/>
          <w:color w:val="auto"/>
          <w:sz w:val="24"/>
          <w:szCs w:val="24"/>
          <w:highlight w:val="none"/>
        </w:rPr>
      </w:pPr>
      <w:r>
        <w:rPr>
          <w:rFonts w:ascii="宋体" w:hAnsi="宋体" w:eastAsia="宋体" w:cs="宋体"/>
          <w:b/>
          <w:color w:val="auto"/>
          <w:sz w:val="24"/>
          <w:szCs w:val="24"/>
          <w:highlight w:val="none"/>
        </w:rPr>
        <w:t>2、全文所有要求均为实质性响应条款，供应商如有任何一条负偏离则导致</w:t>
      </w:r>
      <w:r>
        <w:rPr>
          <w:rFonts w:hint="eastAsia" w:ascii="宋体" w:hAnsi="宋体" w:cs="宋体"/>
          <w:b/>
          <w:color w:val="auto"/>
          <w:sz w:val="24"/>
          <w:szCs w:val="24"/>
          <w:highlight w:val="none"/>
        </w:rPr>
        <w:t>响应</w:t>
      </w:r>
      <w:r>
        <w:rPr>
          <w:rFonts w:hint="eastAsia" w:ascii="宋体" w:hAnsi="宋体" w:eastAsia="宋体" w:cs="宋体"/>
          <w:b/>
          <w:color w:val="auto"/>
          <w:sz w:val="24"/>
          <w:szCs w:val="24"/>
          <w:highlight w:val="none"/>
        </w:rPr>
        <w:t>（报价）文件无效。</w:t>
      </w:r>
    </w:p>
    <w:p>
      <w:pPr>
        <w:pStyle w:val="11"/>
        <w:rPr>
          <w:rFonts w:ascii="宋体" w:hAnsi="宋体" w:eastAsia="宋体" w:cs="宋体"/>
          <w:b/>
          <w:color w:val="auto"/>
          <w:sz w:val="24"/>
          <w:szCs w:val="24"/>
          <w:highlight w:val="none"/>
        </w:rPr>
      </w:pPr>
    </w:p>
    <w:p>
      <w:pPr>
        <w:numPr>
          <w:ilvl w:val="0"/>
          <w:numId w:val="5"/>
        </w:numPr>
        <w:adjustRightInd w:val="0"/>
        <w:snapToGrid w:val="0"/>
        <w:spacing w:line="600" w:lineRule="exact"/>
        <w:ind w:firstLine="0" w:firstLineChars="0"/>
        <w:jc w:val="left"/>
        <w:outlineLvl w:val="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项目内容及需求</w:t>
      </w:r>
    </w:p>
    <w:p>
      <w:pPr>
        <w:pStyle w:val="51"/>
        <w:spacing w:after="156" w:line="480" w:lineRule="auto"/>
        <w:rPr>
          <w:rFonts w:hint="eastAsia" w:ascii="宋体" w:hAnsi="Times New Roman" w:eastAsia="仿宋_GB2312" w:cs="Times New Roman"/>
          <w:color w:val="auto"/>
          <w:sz w:val="28"/>
          <w:szCs w:val="28"/>
          <w:highlight w:val="none"/>
          <w:lang w:val="en-US" w:eastAsia="zh-CN" w:bidi="ar-SA"/>
        </w:rPr>
      </w:pPr>
      <w:r>
        <w:rPr>
          <w:rFonts w:hint="eastAsia" w:ascii="宋体" w:hAnsi="Times New Roman" w:eastAsia="仿宋_GB2312" w:cs="Times New Roman"/>
          <w:color w:val="auto"/>
          <w:sz w:val="28"/>
          <w:szCs w:val="28"/>
          <w:highlight w:val="none"/>
          <w:lang w:val="en-US" w:eastAsia="zh-CN" w:bidi="ar-SA"/>
        </w:rPr>
        <w:t>为更贴合净水公司智慧水务形象，加强安全管理理念，龙归分公司计划在三期会议室采购一个功能满足远程视频会议、PPT、各种办公软件播放及日常办公使用的LED显示屏，用于各种接待会议、安全培训、生产调度会议等。</w:t>
      </w:r>
    </w:p>
    <w:p>
      <w:pPr>
        <w:pStyle w:val="11"/>
        <w:numPr>
          <w:ilvl w:val="0"/>
          <w:numId w:val="0"/>
        </w:num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参数如下：</w:t>
      </w:r>
    </w:p>
    <w:tbl>
      <w:tblPr>
        <w:tblStyle w:val="25"/>
        <w:tblW w:w="8440" w:type="dxa"/>
        <w:tblInd w:w="88" w:type="dxa"/>
        <w:tblLayout w:type="autofit"/>
        <w:tblCellMar>
          <w:top w:w="0" w:type="dxa"/>
          <w:left w:w="108" w:type="dxa"/>
          <w:bottom w:w="0" w:type="dxa"/>
          <w:right w:w="108" w:type="dxa"/>
        </w:tblCellMar>
      </w:tblPr>
      <w:tblGrid>
        <w:gridCol w:w="578"/>
        <w:gridCol w:w="2794"/>
        <w:gridCol w:w="3733"/>
        <w:gridCol w:w="756"/>
        <w:gridCol w:w="579"/>
      </w:tblGrid>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0795" cy="445135"/>
                  <wp:effectExtent l="0" t="0" r="0" b="0"/>
                  <wp:wrapNone/>
                  <wp:docPr id="8" name="文本框483"/>
                  <wp:cNvGraphicFramePr/>
                  <a:graphic xmlns:a="http://schemas.openxmlformats.org/drawingml/2006/main">
                    <a:graphicData uri="http://schemas.openxmlformats.org/drawingml/2006/picture">
                      <pic:pic xmlns:pic="http://schemas.openxmlformats.org/drawingml/2006/picture">
                        <pic:nvPicPr>
                          <pic:cNvPr id="8" name="文本框483"/>
                          <pic:cNvPicPr/>
                        </pic:nvPicPr>
                        <pic:blipFill>
                          <a:blip r:embed="rId13"/>
                          <a:stretch>
                            <a:fillRect/>
                          </a:stretch>
                        </pic:blipFill>
                        <pic:spPr>
                          <a:xfrm>
                            <a:off x="0" y="0"/>
                            <a:ext cx="10795" cy="445135"/>
                          </a:xfrm>
                          <a:prstGeom prst="rect">
                            <a:avLst/>
                          </a:prstGeom>
                          <a:noFill/>
                          <a:ln>
                            <a:noFill/>
                          </a:ln>
                        </pic:spPr>
                      </pic:pic>
                    </a:graphicData>
                  </a:graphic>
                </wp:anchor>
              </w:drawing>
            </w:r>
            <w:r>
              <w:rPr>
                <w:rFonts w:ascii="仿宋" w:hAnsi="仿宋" w:eastAsia="仿宋" w:cs="仿宋"/>
                <w:color w:val="auto"/>
                <w:kern w:val="0"/>
                <w:sz w:val="18"/>
                <w:szCs w:val="18"/>
                <w:highlight w:val="none"/>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0795" cy="445135"/>
                  <wp:effectExtent l="0" t="0" r="0" b="0"/>
                  <wp:wrapNone/>
                  <wp:docPr id="10" name="文本框483_SpCnt_1"/>
                  <wp:cNvGraphicFramePr/>
                  <a:graphic xmlns:a="http://schemas.openxmlformats.org/drawingml/2006/main">
                    <a:graphicData uri="http://schemas.openxmlformats.org/drawingml/2006/picture">
                      <pic:pic xmlns:pic="http://schemas.openxmlformats.org/drawingml/2006/picture">
                        <pic:nvPicPr>
                          <pic:cNvPr id="10" name="文本框483_SpCnt_1"/>
                          <pic:cNvPicPr/>
                        </pic:nvPicPr>
                        <pic:blipFill>
                          <a:blip r:embed="rId13"/>
                          <a:stretch>
                            <a:fillRect/>
                          </a:stretch>
                        </pic:blipFill>
                        <pic:spPr>
                          <a:xfrm>
                            <a:off x="0" y="0"/>
                            <a:ext cx="10795" cy="445135"/>
                          </a:xfrm>
                          <a:prstGeom prst="rect">
                            <a:avLst/>
                          </a:prstGeom>
                          <a:noFill/>
                          <a:ln>
                            <a:noFill/>
                          </a:ln>
                        </pic:spPr>
                      </pic:pic>
                    </a:graphicData>
                  </a:graphic>
                </wp:anchor>
              </w:drawing>
            </w:r>
            <w:r>
              <w:rPr>
                <w:rFonts w:ascii="仿宋" w:hAnsi="仿宋" w:eastAsia="仿宋" w:cs="仿宋"/>
                <w:color w:val="auto"/>
                <w:kern w:val="0"/>
                <w:sz w:val="18"/>
                <w:szCs w:val="18"/>
                <w:highlight w:val="none"/>
                <w:lang w:bidi="ar"/>
              </w:rPr>
              <w:t>序号</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名称</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技术参数/规格</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数量</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单位</w:t>
            </w:r>
          </w:p>
        </w:tc>
      </w:tr>
      <w:tr>
        <w:tblPrEx>
          <w:tblCellMar>
            <w:top w:w="0" w:type="dxa"/>
            <w:left w:w="108" w:type="dxa"/>
            <w:bottom w:w="0" w:type="dxa"/>
            <w:right w:w="108" w:type="dxa"/>
          </w:tblCellMar>
        </w:tblPrEx>
        <w:trPr>
          <w:trHeight w:val="3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一、</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屏体</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LED显示屏</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val="en-US" w:eastAsia="zh-CN" w:bidi="ar"/>
              </w:rPr>
              <w:t>一、</w:t>
            </w:r>
            <w:r>
              <w:rPr>
                <w:rFonts w:ascii="仿宋" w:hAnsi="仿宋" w:eastAsia="仿宋" w:cs="仿宋"/>
                <w:color w:val="auto"/>
                <w:kern w:val="0"/>
                <w:sz w:val="18"/>
                <w:szCs w:val="18"/>
                <w:highlight w:val="none"/>
                <w:lang w:bidi="ar"/>
              </w:rPr>
              <w:t>LED显示屏</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1.像素点间距:≤1.56mm；</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2.像素密度≥409600点/㎡；</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3.单元箱体成品尺寸：600(W)*337.5(H);</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4.单元箱体显示比例：16：9；</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5.箱体平整度≤0.1mm，单元箱体/模组间水平、垂直相对错位值H＜1.0%，V＜1.0%；</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6.像素结构为1R1G1B SMD或4 in 1 IMD 工艺，线性排列，表面磨砂不反光处理；</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7.白平衡亮度(nit) ≥0～1200（亮度可调）；</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8.色温1000K～18000K 无级可调，NTSC色域覆盖率≥125%NTSC；</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9.可视角度水平≥170°，垂直≥170°；</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10.支持单点亮度校正，校正后亮度均匀性≥99.5%（参照 SJ/T11281-2017 发光二极管(LED)显示屏测试方法标准），色度均匀性校正后±0.001 Cx，Cy 之内；</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11.自然环境对比度≥10000：1，专业环境对比度≥20000：1；</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12.灰度及颜色等级≥18bit；</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13.刷新率≥3840HZ;</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14.前、后全方位维护设计，模组、电源、接收卡、HUB 板等零部件均可实现完全前维护或后维护方式，所有零部件支持热插 拔，模组、接收卡、HUB 板支持带电维护</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15.低亮高灰支持在不同亮度下，通过软件对灰度14-16bit 任意设置，满足 20%、60%、100%亮度时灰度 14-16bit 之间任意设置</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16.模组喷墨技术：模组采用表面喷墨技术，无面罩结构件， 提高模组颜色均匀性一致性，保证模组墨色一致</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17.使用寿命≥100000小时；灯珠寿命 ≥100000 小时</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18.符合 IEC/TR62778：2014 使用标准，光源和灯具的蓝光危害评估，在测试距离20cm，视场 11mrad，相关色温 1001K 条件下，蓝光危害辐亮度 LB＜1.0W/(㎡·sr)；蓝光危害辐照度EB=1.095e-004W/㎡，亮度L=1.366e+004cd/㎡，照度 E=325lx，无危险(豁免)</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19.冗余备份：供电冗余备份为大屏系统可同时接入 2 路电力供应，一套电源系统故障后可立即利用另一套系统，保证系统正常运行；接收卡接入信号冗余备份为单元箱体内设计组合逻辑电路和主、副两套接收卡，对使用中的一路输入信号进行实时监测、判断，当主接收卡故障时自动切换副接收卡，不影响屏幕正常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20.防反光工艺：屏体正面为哑光墨色处理，降低屏面反光，反光率≤1.5%（处理后）</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21.覆膜工艺：模组支持环氧树脂覆膜工艺，有效提高LED 显示屏表面防护性，表面硬度≥HRC8 级，提高显示屏防磕碰、防刮花、防水等级</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22.除湿功能：显示屏具备除湿设计，屏体长时间没有使用，屏体自动切入除湿模式，使屏体从10%到 100%亮度逐步显示，逐步提升屏体温度</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23.投标产品需提供振动试验，振动频率：5Hz-55Hz-5Hz。振动幅度： 0.19mm。扫频速率：1oct/min。两个方向各扫描 2 次。试验后主机外观和结构不应有明显损坏和异常现象，重新上电性能正常</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24.屏体可以支持系统加密，支持数字加密，未经授权不能对显示屏进行任何操作。支持输出信号加密，避免其他信号入侵，避免因电磁辐射产生的信息泄露</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25.屏体可以支持专用设备输出 120Hz 换帧频率的 3D画面显示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26.投标产品具有图像增强与处理功能：亮度、对比度、色度调节、视觉修正灯图像调整功能图像处理功能；具有视频降噪，动态补偿，色彩变换等图像处理功能；支持画面几何失真、非线性失真补偿；支持显示模式调节</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27.投标产品需具备阻燃测试：PCB、线材、面罩、满足 UL94V-0 阻燃等级要求（依据 GB/T2408-2008, GB/T5169.16-2008 标准测试，模组PCB、电源 PCB、接收卡 PCB 以及 HUB 板等组件阻燃等级符合 V-0 级标准）</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28.拉力测试：夹具固定样品，竖直方向拉伸样品，拉伸速度为 5mm/min.直到出现结构断裂，拉力值大于 30KN；压力测试：夹具固定样品，竖直方向压测样品，压缩速度为 5mm/min.直到出现结构变形，压力值大于 50KN</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29.抗紫外线：在以下环境条件下，8h 干燥，辐照度：340nm 时， 0.76W·m-2·nm-1,黑标温度：60℃±3℃;4h 凝露，关闭光源，黑标温度：50℃±3℃. 循环测试 168 小时。试验后产品应正常工作。</w:t>
            </w:r>
          </w:p>
          <w:p>
            <w:pPr>
              <w:widowControl/>
              <w:jc w:val="left"/>
              <w:textAlignment w:val="center"/>
              <w:rPr>
                <w:rFonts w:hint="default"/>
                <w:color w:val="auto"/>
                <w:highlight w:val="none"/>
                <w:lang w:val="en-US"/>
              </w:rPr>
            </w:pPr>
            <w:r>
              <w:rPr>
                <w:rFonts w:hint="eastAsia" w:ascii="仿宋" w:hAnsi="仿宋" w:eastAsia="仿宋" w:cs="仿宋"/>
                <w:color w:val="auto"/>
                <w:sz w:val="18"/>
                <w:szCs w:val="18"/>
                <w:highlight w:val="none"/>
                <w:lang w:val="en-US" w:eastAsia="zh-CN"/>
              </w:rPr>
              <w:t>30.第14—29项LED技术参数，厂家需</w:t>
            </w:r>
            <w:r>
              <w:rPr>
                <w:rFonts w:ascii="仿宋" w:hAnsi="仿宋" w:eastAsia="仿宋" w:cs="仿宋"/>
                <w:color w:val="auto"/>
                <w:sz w:val="18"/>
                <w:szCs w:val="18"/>
                <w:highlight w:val="none"/>
              </w:rPr>
              <w:t>提供CNAS,MA,ILAC-MRA认证的第三方检测报告</w:t>
            </w:r>
            <w:r>
              <w:rPr>
                <w:rFonts w:hint="eastAsia" w:ascii="仿宋" w:hAnsi="仿宋" w:eastAsia="仿宋" w:cs="仿宋"/>
                <w:color w:val="auto"/>
                <w:sz w:val="18"/>
                <w:szCs w:val="18"/>
                <w:highlight w:val="none"/>
                <w:lang w:val="en-US" w:eastAsia="zh-CN"/>
              </w:rPr>
              <w:t>作为证明材料并原厂加盖公章。</w:t>
            </w:r>
          </w:p>
          <w:p>
            <w:pPr>
              <w:rPr>
                <w:rFonts w:ascii="仿宋" w:hAnsi="仿宋" w:eastAsia="仿宋" w:cs="仿宋"/>
                <w:color w:val="auto"/>
                <w:sz w:val="18"/>
                <w:szCs w:val="18"/>
                <w:highlight w:val="none"/>
              </w:rPr>
            </w:pPr>
            <w:r>
              <w:rPr>
                <w:rFonts w:ascii="仿宋" w:hAnsi="仿宋" w:eastAsia="仿宋" w:cs="仿宋"/>
                <w:color w:val="auto"/>
                <w:sz w:val="18"/>
                <w:szCs w:val="18"/>
                <w:highlight w:val="none"/>
              </w:rPr>
              <w:t>3</w:t>
            </w:r>
            <w:r>
              <w:rPr>
                <w:rFonts w:hint="eastAsia" w:ascii="仿宋" w:hAnsi="仿宋" w:eastAsia="仿宋" w:cs="仿宋"/>
                <w:color w:val="auto"/>
                <w:sz w:val="18"/>
                <w:szCs w:val="18"/>
                <w:highlight w:val="none"/>
                <w:lang w:val="en-US" w:eastAsia="zh-CN"/>
              </w:rPr>
              <w:t>1</w:t>
            </w:r>
            <w:r>
              <w:rPr>
                <w:rFonts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控制软件具有智能通报、播放日志显示、控制器管理操控、超高分辨率、多语言管理、可视化VR三维显示、协同坐席综合管理、运维服务LED显示云平台、控制系统5G高清操控、节目点播、边缘亮线暗线、集成信息发布、节目放映方案、视频源预览监控、演播厅显示综合等功能(提供满足本条技术参数的有效软件证书复印件作为证明材料)</w:t>
            </w:r>
          </w:p>
          <w:p>
            <w:pPr>
              <w:numPr>
                <w:ilvl w:val="0"/>
                <w:numId w:val="0"/>
              </w:numPr>
              <w:rPr>
                <w:rFonts w:ascii="仿宋" w:hAnsi="仿宋" w:eastAsia="仿宋" w:cs="仿宋"/>
                <w:color w:val="auto"/>
                <w:sz w:val="18"/>
                <w:szCs w:val="18"/>
                <w:highlight w:val="none"/>
              </w:rPr>
            </w:pPr>
            <w:r>
              <w:rPr>
                <w:rFonts w:ascii="仿宋" w:hAnsi="仿宋" w:eastAsia="仿宋" w:cs="仿宋"/>
                <w:color w:val="auto"/>
                <w:sz w:val="18"/>
                <w:szCs w:val="18"/>
                <w:highlight w:val="none"/>
              </w:rPr>
              <w:t>3</w:t>
            </w:r>
            <w:r>
              <w:rPr>
                <w:rFonts w:hint="eastAsia" w:ascii="仿宋" w:hAnsi="仿宋" w:eastAsia="仿宋" w:cs="仿宋"/>
                <w:color w:val="auto"/>
                <w:sz w:val="18"/>
                <w:szCs w:val="18"/>
                <w:highlight w:val="none"/>
                <w:lang w:val="en-US" w:eastAsia="zh-CN"/>
              </w:rPr>
              <w:t>2</w:t>
            </w:r>
            <w:r>
              <w:rPr>
                <w:rFonts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US" w:eastAsia="zh-CN"/>
              </w:rPr>
              <w:t>LED显示屏制造商所生产的产品为中国著名品牌产品；所生产的产品质量及产品有害物质达到国家限量标准，符合《中国绿色产品》要求、生产的产品属于中国节能产品、符合标准GB/T27922-2011《商品售后服务评价体系》五星级(提供满足本条技术参数证书复印件作为证明材料)</w:t>
            </w:r>
          </w:p>
          <w:p>
            <w:pPr>
              <w:widowControl/>
              <w:numPr>
                <w:ilvl w:val="0"/>
                <w:numId w:val="0"/>
              </w:numPr>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33.</w:t>
            </w:r>
            <w:r>
              <w:rPr>
                <w:rFonts w:ascii="仿宋" w:hAnsi="仿宋" w:eastAsia="仿宋" w:cs="仿宋"/>
                <w:color w:val="auto"/>
                <w:sz w:val="18"/>
                <w:szCs w:val="18"/>
                <w:highlight w:val="none"/>
              </w:rPr>
              <w:t>为有效保证产品质量，产品需具有3C认证，证书中委托人名称、生产者名称、生产企业必须为同一名称，提供原件彩色扫描件和和可查询的真伪证明。</w:t>
            </w:r>
          </w:p>
          <w:p>
            <w:pPr>
              <w:widowControl/>
              <w:numPr>
                <w:ilvl w:val="0"/>
                <w:numId w:val="0"/>
              </w:numPr>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34.</w:t>
            </w:r>
            <w:r>
              <w:rPr>
                <w:rFonts w:hint="eastAsia" w:ascii="仿宋" w:hAnsi="仿宋" w:eastAsia="仿宋" w:cs="仿宋"/>
                <w:color w:val="auto"/>
                <w:sz w:val="18"/>
                <w:szCs w:val="18"/>
                <w:highlight w:val="none"/>
              </w:rPr>
              <w:t>LED显示屏制造商获得知识产权管理体系认证、信息安全管理体系认证、 拥有3名及以上售后服务管理师</w:t>
            </w:r>
            <w:r>
              <w:rPr>
                <w:rFonts w:hint="eastAsia" w:ascii="仿宋" w:hAnsi="仿宋" w:eastAsia="仿宋" w:cs="仿宋"/>
                <w:color w:val="auto"/>
                <w:sz w:val="18"/>
                <w:szCs w:val="18"/>
                <w:highlight w:val="none"/>
                <w:lang w:val="en-US" w:eastAsia="zh-CN"/>
              </w:rPr>
              <w:t>(提供满足本条技术参数证书复印件作为证明材料)</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二、</w:t>
            </w:r>
            <w:r>
              <w:rPr>
                <w:rFonts w:ascii="仿宋" w:hAnsi="仿宋" w:eastAsia="仿宋" w:cs="仿宋"/>
                <w:color w:val="auto"/>
                <w:sz w:val="18"/>
                <w:szCs w:val="18"/>
                <w:highlight w:val="none"/>
              </w:rPr>
              <w:t>控制器管理器及控制器控制主机及平台</w:t>
            </w:r>
            <w:r>
              <w:rPr>
                <w:rFonts w:hint="eastAsia" w:ascii="仿宋" w:hAnsi="仿宋" w:eastAsia="仿宋" w:cs="仿宋"/>
                <w:color w:val="auto"/>
                <w:sz w:val="18"/>
                <w:szCs w:val="18"/>
                <w:highlight w:val="none"/>
                <w:lang w:val="en-US" w:eastAsia="zh-CN"/>
              </w:rPr>
              <w:t>配套</w:t>
            </w:r>
            <w:r>
              <w:rPr>
                <w:rFonts w:ascii="仿宋" w:hAnsi="仿宋" w:eastAsia="仿宋" w:cs="仿宋"/>
                <w:color w:val="auto"/>
                <w:sz w:val="18"/>
                <w:szCs w:val="18"/>
                <w:highlight w:val="none"/>
              </w:rPr>
              <w:t>：</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1.机箱支持输入输出混插，机箱上卡槽为双向数据通道槽位，每个卡槽既可支持输入板卡，也可支持输出板卡；</w:t>
            </w:r>
          </w:p>
          <w:p>
            <w:pPr>
              <w:widowControl/>
              <w:jc w:val="left"/>
              <w:textAlignment w:val="center"/>
              <w:rPr>
                <w:color w:val="auto"/>
                <w:highlight w:val="none"/>
              </w:rPr>
            </w:pPr>
            <w:r>
              <w:rPr>
                <w:rFonts w:ascii="仿宋" w:hAnsi="仿宋" w:eastAsia="仿宋" w:cs="仿宋"/>
                <w:color w:val="auto"/>
                <w:sz w:val="18"/>
                <w:szCs w:val="18"/>
                <w:highlight w:val="none"/>
              </w:rPr>
              <w:t>2.无缝切换，信号切换延迟&lt;5ms,切换无黑屏、蓝屏、闪烁情况。图像处理延迟时间&lt;5 ms; 图像开窗响应速度&lt;5ms; 场景调取响应速度&lt;5ms；</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3.设备最大单机背板信号处理带宽不小于3200Gbps，单路信号带宽50Gbps；</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4.设备支持Dual Link DVI、HDMI 1.4、HDBaseT、HDBaseT-4K、DisplayPort、、HDMI 2.0、VGA、DVI、IP H.264、IP H.265、CVBS、HDMI 1.3、SDI、光纤、4K 光纤信号输入与输出；同时具有音频切换功能，实现对多路输入输出的音视频同步切换；</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5.支持4K60 的HDR, 支待HDR 12-bit采样格式，支持对带有HDCP加密的视频信号进行采集编码，兼容HDCP1.4、HDCP2.2、HDCP2.3；</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6.设备支持图像开窗、矩阵功能、窗口叠加、窗口漫游、窗口缩放、字符叠加、输出字符叠加、图像截取、大底图显示功能；</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7.支持设置拼接屏的拼缝补偿，可精确至1像素 ，支持边缘融合带生成，最高可达1500像素；</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8.同时支持拼接墙，投影融合，LED 大屏等多种显示终端，支持同时控制不少于40组大屏，并共享输入信号源；</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 xml:space="preserve">9.支持窗口布局保存至设备，支持不少于1280个单屏场景且另外支持不少于1280个全局场景，支持调取预先存好的窗口布局，支持场景一键切换，支持场景布局可视化 </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10.支持不影响大屏信号显示的前提下，可以在软件上对信号源进行位置、大小、布局的调整，在确认无误后，直接推送上屏显示；</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11.支持所有信号预监，无需额外功能板卡占用设备槽位；支持所有信号输入音量开关控制、预监及预调节功能；</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12.支待整面拼接屏的整体回显功能，可外接HDMI /DVI接口、显示器、IP 网络解码器观看大屏回显，图像帧率可达4K@60帧／秒。支持大屏音频回显输出，音频与画而实时同步，可配合录播进行使用；</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13.支持视频信号采集和输出可调，支持60Hz、120Hz、144Hz、240Hz视频信号采集和输出；信号传输延时＜5ms，支持最高图像处理不丢帧；</w:t>
            </w:r>
          </w:p>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sz w:val="18"/>
                <w:szCs w:val="18"/>
                <w:highlight w:val="none"/>
              </w:rPr>
              <w:t>14.移动控制端支持Windows、iOS、Android操作系统；PC客户端支持Windows、Linux、麒麟操作系统系统通过C/S、B/S 软件进行控制；支持通过TCP/lP网口与RS232/422/485 串口进行管理控制；</w:t>
            </w:r>
          </w:p>
          <w:p>
            <w:pPr>
              <w:pStyle w:val="11"/>
              <w:rPr>
                <w:rFonts w:hint="default" w:eastAsia="仿宋"/>
                <w:color w:val="auto"/>
                <w:highlight w:val="none"/>
                <w:lang w:val="en-US" w:eastAsia="zh-CN"/>
              </w:rPr>
            </w:pPr>
            <w:r>
              <w:rPr>
                <w:rFonts w:hint="eastAsia" w:eastAsia="仿宋"/>
                <w:color w:val="auto"/>
                <w:highlight w:val="none"/>
                <w:lang w:val="en-US" w:eastAsia="zh-CN"/>
              </w:rPr>
              <w:t>15.</w:t>
            </w:r>
            <w:r>
              <w:rPr>
                <w:rFonts w:hint="eastAsia" w:ascii="仿宋" w:hAnsi="仿宋" w:eastAsia="仿宋" w:cs="仿宋"/>
                <w:color w:val="auto"/>
                <w:sz w:val="18"/>
                <w:szCs w:val="18"/>
                <w:highlight w:val="none"/>
                <w:lang w:val="en-US" w:eastAsia="zh-CN"/>
              </w:rPr>
              <w:t>第11—14项技术参数，厂家需</w:t>
            </w:r>
            <w:r>
              <w:rPr>
                <w:rFonts w:ascii="仿宋" w:hAnsi="仿宋" w:eastAsia="仿宋" w:cs="仿宋"/>
                <w:color w:val="auto"/>
                <w:sz w:val="18"/>
                <w:szCs w:val="18"/>
                <w:highlight w:val="none"/>
              </w:rPr>
              <w:t>提供CNAS,MA,ILAC-MRA认证的第三方检测报告</w:t>
            </w:r>
            <w:r>
              <w:rPr>
                <w:rFonts w:hint="eastAsia" w:ascii="仿宋" w:hAnsi="仿宋" w:eastAsia="仿宋" w:cs="仿宋"/>
                <w:color w:val="auto"/>
                <w:sz w:val="18"/>
                <w:szCs w:val="18"/>
                <w:highlight w:val="none"/>
                <w:lang w:val="en-US" w:eastAsia="zh-CN"/>
              </w:rPr>
              <w:t>作为证明材料并原厂加盖公章。</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16</w:t>
            </w:r>
            <w:r>
              <w:rPr>
                <w:rFonts w:ascii="仿宋" w:hAnsi="仿宋" w:eastAsia="仿宋" w:cs="仿宋"/>
                <w:color w:val="auto"/>
                <w:sz w:val="18"/>
                <w:szCs w:val="18"/>
                <w:highlight w:val="none"/>
              </w:rPr>
              <w:t>.可实现多用户登陆，多用户间的操作可实时同步显示；多用户之间支持分级分权限分区域管理。</w:t>
            </w:r>
          </w:p>
          <w:p>
            <w:pPr>
              <w:widowControl/>
              <w:jc w:val="lef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17</w:t>
            </w:r>
            <w:r>
              <w:rPr>
                <w:rFonts w:ascii="仿宋" w:hAnsi="仿宋" w:eastAsia="仿宋" w:cs="仿宋"/>
                <w:color w:val="auto"/>
                <w:sz w:val="18"/>
                <w:szCs w:val="18"/>
                <w:highlight w:val="none"/>
              </w:rPr>
              <w:t>. 提供产品CQC、CB、CE、FCC、KC认证证书复印件，并加盖原厂公章。</w:t>
            </w:r>
          </w:p>
          <w:p>
            <w:pPr>
              <w:widowControl/>
              <w:jc w:val="left"/>
              <w:textAlignment w:val="center"/>
              <w:rPr>
                <w:rFonts w:ascii="仿宋" w:hAnsi="仿宋" w:eastAsia="仿宋" w:cs="仿宋"/>
                <w:color w:val="auto"/>
                <w:sz w:val="18"/>
                <w:szCs w:val="18"/>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二、</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系统</w:t>
            </w:r>
          </w:p>
        </w:tc>
      </w:tr>
      <w:tr>
        <w:tblPrEx>
          <w:tblCellMar>
            <w:top w:w="0" w:type="dxa"/>
            <w:left w:w="108" w:type="dxa"/>
            <w:bottom w:w="0" w:type="dxa"/>
            <w:right w:w="108" w:type="dxa"/>
          </w:tblCellMar>
        </w:tblPrEx>
        <w:trPr>
          <w:trHeight w:val="7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2.1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播控电脑</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i5-10500/8G/1T/2G独显/WIN10专业</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台</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三、</w:t>
            </w:r>
          </w:p>
        </w:tc>
        <w:tc>
          <w:tcPr>
            <w:tcW w:w="78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18"/>
                <w:szCs w:val="18"/>
                <w:highlight w:val="none"/>
              </w:rPr>
            </w:pPr>
            <w:r>
              <w:rPr>
                <w:rFonts w:ascii="仿宋" w:hAnsi="仿宋" w:eastAsia="仿宋" w:cs="仿宋"/>
                <w:b/>
                <w:bCs/>
                <w:color w:val="auto"/>
                <w:kern w:val="0"/>
                <w:sz w:val="18"/>
                <w:szCs w:val="18"/>
                <w:highlight w:val="none"/>
                <w:lang w:bidi="ar"/>
              </w:rPr>
              <w:t>装饰、安装结构及技术服务</w:t>
            </w:r>
          </w:p>
        </w:tc>
      </w:tr>
      <w:tr>
        <w:tblPrEx>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3.1</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主电缆</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国标纯铜RVV234芯软电线电缆线5心6平方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100</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米</w:t>
            </w:r>
          </w:p>
        </w:tc>
      </w:tr>
      <w:tr>
        <w:tblPrEx>
          <w:tblCellMar>
            <w:top w:w="0" w:type="dxa"/>
            <w:left w:w="108" w:type="dxa"/>
            <w:bottom w:w="0" w:type="dxa"/>
            <w:right w:w="108" w:type="dxa"/>
          </w:tblCellMar>
        </w:tblPrEx>
        <w:trPr>
          <w:trHeight w:val="24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3.2</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钢结构</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1.屏幕结构采用国标材料制作底架，四周不锈钢包边装饰，背面密封处理，定制装置，拆装方便；具备间距调节装置，可实现精确调节，显示模组之间的缝隙均匀，显示效果清晰；专用定制框架结构（前维护）</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2.与屏体相关的LED钢支架设计（中标后需提供详细施工图</w:t>
            </w:r>
            <w:r>
              <w:rPr>
                <w:rFonts w:hint="eastAsia" w:ascii="仿宋" w:hAnsi="仿宋" w:eastAsia="仿宋" w:cs="仿宋"/>
                <w:color w:val="auto"/>
                <w:kern w:val="0"/>
                <w:sz w:val="18"/>
                <w:szCs w:val="18"/>
                <w:highlight w:val="none"/>
                <w:lang w:bidi="ar"/>
              </w:rPr>
              <w:t>以及效果图</w:t>
            </w:r>
            <w:r>
              <w:rPr>
                <w:rFonts w:ascii="仿宋" w:hAnsi="仿宋" w:eastAsia="仿宋" w:cs="仿宋"/>
                <w:color w:val="auto"/>
                <w:kern w:val="0"/>
                <w:sz w:val="18"/>
                <w:szCs w:val="18"/>
                <w:highlight w:val="none"/>
                <w:lang w:bidi="ar"/>
              </w:rPr>
              <w:t>）、制作及安装。</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5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3.3</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屏幕四周包边</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1.屏体四周包边，要求配合场地装修风格，整体美观和谐。</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8.37</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3.4</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木饰面（led电子大屏幕周边包含门）</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1.面层：木饰面；</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2.基础：双层6.0mm厚水泥纤维板；</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3.骨架：40X40X4mm热镀锌方钢竖向龙骨(间距600mm);40X40X4mm热镀锌角码用φ12mm膨胀螺栓与墙体固定。</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4.具体要求详见深化图纸。</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7.7</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3.5</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大屏施工技术服务</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大屏整体的安装及技术调式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7.8975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3.6</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视频线</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1.完成视频线的相关配套设备施工、功能/性能测试装配调试工作。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3.7</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线槽线管</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1.完成线槽线管的相关配套设备施工、功能/性能测试装配调试工作。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3.8</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网线</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1.6类线信息线</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2</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箱</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3.9</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辅助材料</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1.包含卡农头、小三芯、音箱头、莲花头、水晶头、水晶钳、络铁，焊锡，螺丝刀，电源线等。</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批</w:t>
            </w:r>
          </w:p>
        </w:tc>
      </w:tr>
      <w:tr>
        <w:tblPrEx>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3.10</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机柜</w:t>
            </w:r>
          </w:p>
        </w:tc>
        <w:tc>
          <w:tcPr>
            <w:tcW w:w="3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1.类型机柜；</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2.容量42U；</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3.标准19"国际标准；</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4.前门：网状冷轧钢前门或侧通风钢化玻璃主体前门，弹式免匙锁；</w:t>
            </w:r>
            <w:r>
              <w:rPr>
                <w:rFonts w:ascii="仿宋" w:hAnsi="仿宋" w:eastAsia="仿宋" w:cs="仿宋"/>
                <w:color w:val="auto"/>
                <w:kern w:val="0"/>
                <w:sz w:val="18"/>
                <w:szCs w:val="18"/>
                <w:highlight w:val="none"/>
                <w:lang w:bidi="ar"/>
              </w:rPr>
              <w:br w:type="textWrapping"/>
            </w:r>
            <w:r>
              <w:rPr>
                <w:rFonts w:ascii="仿宋" w:hAnsi="仿宋" w:eastAsia="仿宋" w:cs="仿宋"/>
                <w:color w:val="auto"/>
                <w:kern w:val="0"/>
                <w:sz w:val="18"/>
                <w:szCs w:val="18"/>
                <w:highlight w:val="none"/>
                <w:lang w:bidi="ar"/>
              </w:rPr>
              <w:t>5.后门：冷轧钢网孔后门，钢质圆锁；</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18"/>
                <w:szCs w:val="18"/>
                <w:highlight w:val="none"/>
              </w:rPr>
            </w:pPr>
            <w:r>
              <w:rPr>
                <w:rFonts w:ascii="仿宋" w:hAnsi="仿宋" w:eastAsia="仿宋" w:cs="仿宋"/>
                <w:color w:val="auto"/>
                <w:kern w:val="0"/>
                <w:sz w:val="18"/>
                <w:szCs w:val="18"/>
                <w:highlight w:val="none"/>
                <w:lang w:bidi="ar"/>
              </w:rPr>
              <w:t>个</w:t>
            </w:r>
          </w:p>
        </w:tc>
      </w:tr>
    </w:tbl>
    <w:p>
      <w:pPr>
        <w:spacing w:line="360" w:lineRule="auto"/>
        <w:ind w:firstLine="470" w:firstLineChars="196"/>
        <w:rPr>
          <w:rFonts w:ascii="宋体" w:hAnsi="宋体" w:eastAsia="宋体" w:cs="宋体"/>
          <w:color w:val="auto"/>
          <w:sz w:val="24"/>
          <w:szCs w:val="24"/>
          <w:highlight w:val="none"/>
        </w:rPr>
      </w:pPr>
    </w:p>
    <w:p>
      <w:pPr>
        <w:adjustRightInd w:val="0"/>
        <w:snapToGrid w:val="0"/>
        <w:spacing w:line="600" w:lineRule="exact"/>
        <w:jc w:val="left"/>
        <w:outlineLvl w:val="2"/>
        <w:rPr>
          <w:rFonts w:ascii="宋体" w:hAnsi="宋体" w:eastAsia="宋体" w:cs="宋体"/>
          <w:b/>
          <w:color w:val="auto"/>
          <w:sz w:val="32"/>
          <w:highlight w:val="none"/>
        </w:rPr>
      </w:pPr>
      <w:r>
        <w:rPr>
          <w:rFonts w:hint="eastAsia" w:ascii="宋体" w:hAnsi="宋体" w:eastAsia="宋体" w:cs="宋体"/>
          <w:b/>
          <w:bCs w:val="0"/>
          <w:color w:val="auto"/>
          <w:sz w:val="32"/>
          <w:szCs w:val="32"/>
          <w:highlight w:val="none"/>
        </w:rPr>
        <w:t>二、</w:t>
      </w:r>
      <w:r>
        <w:rPr>
          <w:rFonts w:hint="eastAsia" w:ascii="宋体" w:hAnsi="宋体" w:eastAsia="宋体" w:cs="宋体"/>
          <w:b/>
          <w:bCs w:val="0"/>
          <w:color w:val="auto"/>
          <w:sz w:val="32"/>
          <w:szCs w:val="32"/>
          <w:highlight w:val="none"/>
          <w:lang w:val="en-US" w:eastAsia="zh-CN"/>
        </w:rPr>
        <w:t>项目</w:t>
      </w:r>
      <w:r>
        <w:rPr>
          <w:rFonts w:hint="eastAsia" w:ascii="宋体" w:hAnsi="宋体" w:eastAsia="宋体" w:cs="宋体"/>
          <w:b/>
          <w:bCs w:val="0"/>
          <w:color w:val="auto"/>
          <w:sz w:val="32"/>
          <w:szCs w:val="32"/>
          <w:highlight w:val="none"/>
        </w:rPr>
        <w:t>要求</w:t>
      </w:r>
    </w:p>
    <w:p>
      <w:pPr>
        <w:spacing w:line="360" w:lineRule="auto"/>
        <w:ind w:left="320"/>
        <w:rPr>
          <w:b/>
          <w:color w:val="auto"/>
          <w:sz w:val="28"/>
          <w:szCs w:val="28"/>
          <w:highlight w:val="none"/>
        </w:rPr>
      </w:pPr>
      <w:r>
        <w:rPr>
          <w:rFonts w:hint="eastAsia"/>
          <w:b/>
          <w:color w:val="auto"/>
          <w:sz w:val="28"/>
          <w:szCs w:val="28"/>
          <w:highlight w:val="none"/>
          <w:lang w:val="en-US" w:eastAsia="zh-CN"/>
        </w:rPr>
        <w:t>1、</w:t>
      </w:r>
      <w:r>
        <w:rPr>
          <w:rFonts w:hint="eastAsia"/>
          <w:b/>
          <w:color w:val="auto"/>
          <w:sz w:val="28"/>
          <w:szCs w:val="28"/>
          <w:highlight w:val="none"/>
        </w:rPr>
        <w:t>项目背景</w:t>
      </w:r>
    </w:p>
    <w:p>
      <w:pPr>
        <w:pStyle w:val="2"/>
        <w:ind w:firstLine="563"/>
        <w:rPr>
          <w:rFonts w:hint="eastAsia"/>
          <w:b/>
          <w:color w:val="auto"/>
          <w:sz w:val="28"/>
          <w:szCs w:val="28"/>
          <w:highlight w:val="none"/>
          <w:lang w:val="en-US" w:eastAsia="zh-CN"/>
        </w:rPr>
      </w:pPr>
      <w:r>
        <w:rPr>
          <w:rFonts w:hint="eastAsia"/>
          <w:b w:val="0"/>
          <w:bCs/>
          <w:color w:val="auto"/>
          <w:sz w:val="28"/>
          <w:szCs w:val="28"/>
          <w:highlight w:val="none"/>
          <w:lang w:val="en-US" w:eastAsia="zh-CN"/>
        </w:rPr>
        <w:t>了提升</w:t>
      </w:r>
      <w:r>
        <w:rPr>
          <w:rFonts w:hint="eastAsia" w:ascii="宋体"/>
          <w:color w:val="auto"/>
          <w:sz w:val="28"/>
          <w:szCs w:val="28"/>
          <w:highlight w:val="none"/>
          <w:lang w:val="en-US" w:eastAsia="zh-CN"/>
        </w:rPr>
        <w:t>净水厂</w:t>
      </w:r>
      <w:r>
        <w:rPr>
          <w:rFonts w:hint="eastAsia"/>
          <w:color w:val="auto"/>
          <w:sz w:val="28"/>
          <w:szCs w:val="28"/>
          <w:highlight w:val="none"/>
          <w:lang w:val="en-US" w:eastAsia="zh-CN"/>
        </w:rPr>
        <w:t>会议系统先进理念，同时满足日常会议的需求，会议室显示设备计划采用定制尺寸、高清晰度、更高亮度、更低成本、技术更先进的新型小间距LED，此系统需要一块1.5mm间距大屏用于会议时进行内容显示以及效果展示</w:t>
      </w: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屏幕尺寸设计为：3900mm（宽）*2025mm（高），</w:t>
      </w:r>
      <w:r>
        <w:rPr>
          <w:rFonts w:hint="eastAsia" w:ascii="仿宋" w:hAnsi="仿宋" w:eastAsia="仿宋"/>
          <w:color w:val="auto"/>
          <w:sz w:val="28"/>
          <w:szCs w:val="28"/>
          <w:highlight w:val="none"/>
          <w:lang w:val="zh-CN"/>
        </w:rPr>
        <w:t>配套显示屏支架、配电箱、控制管理器及软件系统，用</w:t>
      </w:r>
      <w:r>
        <w:rPr>
          <w:rFonts w:hint="eastAsia" w:ascii="仿宋" w:hAnsi="仿宋" w:eastAsia="仿宋"/>
          <w:color w:val="auto"/>
          <w:sz w:val="28"/>
          <w:szCs w:val="28"/>
          <w:highlight w:val="none"/>
        </w:rPr>
        <w:t>作龙归分公司</w:t>
      </w:r>
      <w:r>
        <w:rPr>
          <w:rFonts w:hint="eastAsia" w:ascii="仿宋" w:hAnsi="仿宋" w:eastAsia="仿宋"/>
          <w:color w:val="auto"/>
          <w:sz w:val="28"/>
          <w:szCs w:val="28"/>
          <w:highlight w:val="none"/>
          <w:lang w:val="en-US" w:eastAsia="zh-CN"/>
        </w:rPr>
        <w:t>三期二楼会议室会议使用展示。</w:t>
      </w:r>
    </w:p>
    <w:p>
      <w:pPr>
        <w:pStyle w:val="51"/>
        <w:spacing w:after="156" w:line="480" w:lineRule="auto"/>
        <w:rPr>
          <w:rFonts w:hint="eastAsia" w:ascii="仿宋" w:hAnsi="仿宋" w:eastAsia="仿宋"/>
          <w:color w:val="auto"/>
          <w:kern w:val="2"/>
          <w:highlight w:val="none"/>
          <w:lang w:val="en-US" w:eastAsia="zh-CN"/>
        </w:rPr>
      </w:pPr>
      <w:r>
        <w:rPr>
          <w:rFonts w:hint="eastAsia" w:ascii="仿宋" w:hAnsi="仿宋" w:eastAsia="仿宋"/>
          <w:color w:val="auto"/>
          <w:kern w:val="2"/>
          <w:highlight w:val="none"/>
          <w:lang w:val="en-US" w:eastAsia="zh-CN"/>
        </w:rPr>
        <w:t>计划采购的二楼会议室LED大屏具有清晰度高、质量稳定、寿命长、显示功能灵活多变的特点，适用于各种会议场景、PPT数据展示、现场U盘播放、远程视频会议链接以及文字、图形、视频节目的播放宣传，有利于保障会议的完整性和企业形象的宣传及提升。</w:t>
      </w:r>
    </w:p>
    <w:p>
      <w:pPr>
        <w:pStyle w:val="51"/>
        <w:spacing w:after="156" w:line="480" w:lineRule="auto"/>
        <w:rPr>
          <w:rFonts w:hint="eastAsia" w:ascii="仿宋" w:hAnsi="仿宋" w:eastAsia="仿宋"/>
          <w:color w:val="auto"/>
          <w:kern w:val="2"/>
          <w:highlight w:val="none"/>
          <w:lang w:val="en-US" w:eastAsia="zh-CN"/>
        </w:rPr>
      </w:pPr>
      <w:r>
        <w:rPr>
          <w:rFonts w:hint="eastAsia" w:ascii="仿宋" w:hAnsi="仿宋" w:eastAsia="仿宋"/>
          <w:color w:val="auto"/>
          <w:kern w:val="2"/>
          <w:highlight w:val="none"/>
          <w:lang w:val="en-US" w:eastAsia="zh-CN"/>
        </w:rPr>
        <w:t>本系统建设同时考虑产品的稳定性以及先进性，在稳定性上：系统的播放、信号传输、布线路由、分配系统、控制模块等，全部采用稳定、成熟的技术构建，同时产品符合国家节能环保的相关要求；在方案指标上充分考虑合理性，显示屏系统的设计遵从国家标准和行业技术规范，采用成熟的技术和器件，保证系统的通用性和备品备件的长期供应。在先进性上：采用先进的高清影像播放和信号处理系统，打造成先进的系统集成。本系统的各种设备及软件系统应讲求实用，满足现有的应用需求，并对未来需求提供良好的扩展能力从而提高固资使用率。</w:t>
      </w:r>
    </w:p>
    <w:p>
      <w:pPr>
        <w:spacing w:line="360" w:lineRule="auto"/>
        <w:ind w:firstLine="420"/>
        <w:rPr>
          <w:rFonts w:ascii="仿宋" w:hAnsi="仿宋" w:eastAsia="仿宋"/>
          <w:b/>
          <w:bCs/>
          <w:color w:val="auto"/>
          <w:sz w:val="28"/>
          <w:szCs w:val="28"/>
          <w:highlight w:val="none"/>
        </w:rPr>
      </w:pPr>
      <w:bookmarkStart w:id="63" w:name="_Toc26577"/>
      <w:bookmarkEnd w:id="63"/>
      <w:bookmarkStart w:id="64" w:name="_Toc16591"/>
      <w:bookmarkEnd w:id="64"/>
      <w:bookmarkStart w:id="65" w:name="_Toc5077"/>
      <w:bookmarkEnd w:id="65"/>
      <w:bookmarkStart w:id="66" w:name="_Toc26563"/>
      <w:bookmarkEnd w:id="66"/>
      <w:bookmarkStart w:id="67" w:name="_Toc14888"/>
      <w:bookmarkEnd w:id="67"/>
      <w:bookmarkStart w:id="68" w:name="_Toc30369"/>
      <w:bookmarkEnd w:id="68"/>
      <w:bookmarkStart w:id="69" w:name="_Toc7725"/>
      <w:bookmarkEnd w:id="69"/>
      <w:bookmarkStart w:id="70" w:name="_Toc24545"/>
      <w:bookmarkEnd w:id="70"/>
      <w:bookmarkStart w:id="71" w:name="_Toc19647"/>
      <w:bookmarkEnd w:id="71"/>
      <w:bookmarkStart w:id="72" w:name="_Toc10299"/>
      <w:bookmarkEnd w:id="72"/>
      <w:r>
        <w:rPr>
          <w:rFonts w:hint="eastAsia" w:ascii="仿宋" w:hAnsi="仿宋" w:eastAsia="仿宋"/>
          <w:b/>
          <w:bCs/>
          <w:color w:val="auto"/>
          <w:sz w:val="28"/>
          <w:szCs w:val="28"/>
          <w:highlight w:val="none"/>
        </w:rPr>
        <w:t>2、建设内容</w:t>
      </w:r>
    </w:p>
    <w:p>
      <w:pPr>
        <w:pStyle w:val="51"/>
        <w:spacing w:after="156" w:line="480" w:lineRule="auto"/>
        <w:jc w:val="left"/>
        <w:rPr>
          <w:rFonts w:ascii="仿宋" w:hAnsi="仿宋" w:eastAsia="仿宋"/>
          <w:color w:val="auto"/>
          <w:kern w:val="2"/>
          <w:highlight w:val="none"/>
        </w:rPr>
      </w:pPr>
      <w:r>
        <w:rPr>
          <w:rFonts w:hint="eastAsia" w:ascii="仿宋" w:hAnsi="仿宋" w:eastAsia="仿宋"/>
          <w:color w:val="auto"/>
          <w:kern w:val="2"/>
          <w:highlight w:val="none"/>
        </w:rPr>
        <w:t>本期工程在广州市净水有限公司龙归分公司</w:t>
      </w:r>
      <w:r>
        <w:rPr>
          <w:rFonts w:hint="eastAsia" w:ascii="仿宋" w:hAnsi="仿宋" w:eastAsia="仿宋" w:cs="仿宋"/>
          <w:color w:val="auto"/>
          <w:highlight w:val="none"/>
        </w:rPr>
        <w:t>三期综合楼</w:t>
      </w:r>
      <w:r>
        <w:rPr>
          <w:rFonts w:hint="eastAsia" w:ascii="仿宋" w:hAnsi="仿宋" w:eastAsia="仿宋" w:cs="仿宋"/>
          <w:color w:val="auto"/>
          <w:highlight w:val="none"/>
          <w:lang w:val="en-US"/>
        </w:rPr>
        <w:t>2</w:t>
      </w:r>
      <w:r>
        <w:rPr>
          <w:rFonts w:hint="eastAsia" w:ascii="仿宋" w:hAnsi="仿宋" w:eastAsia="仿宋" w:cs="仿宋"/>
          <w:color w:val="auto"/>
          <w:highlight w:val="none"/>
        </w:rPr>
        <w:t>楼</w:t>
      </w:r>
      <w:r>
        <w:rPr>
          <w:rFonts w:hint="eastAsia" w:ascii="仿宋" w:hAnsi="仿宋" w:eastAsia="仿宋" w:cs="仿宋"/>
          <w:color w:val="auto"/>
          <w:highlight w:val="none"/>
          <w:lang w:val="en-US"/>
        </w:rPr>
        <w:t>会议室</w:t>
      </w:r>
      <w:r>
        <w:rPr>
          <w:rFonts w:hint="eastAsia" w:ascii="仿宋" w:hAnsi="仿宋" w:eastAsia="仿宋"/>
          <w:color w:val="auto"/>
          <w:kern w:val="2"/>
          <w:highlight w:val="none"/>
        </w:rPr>
        <w:t>区域，为公司所属污水处理厂</w:t>
      </w:r>
      <w:r>
        <w:rPr>
          <w:rFonts w:hint="eastAsia" w:ascii="仿宋" w:hAnsi="仿宋" w:eastAsia="仿宋"/>
          <w:color w:val="auto"/>
          <w:kern w:val="2"/>
          <w:highlight w:val="none"/>
          <w:lang w:val="en-US"/>
        </w:rPr>
        <w:t>会议室</w:t>
      </w:r>
      <w:r>
        <w:rPr>
          <w:rFonts w:hint="eastAsia" w:ascii="仿宋" w:hAnsi="仿宋" w:eastAsia="仿宋"/>
          <w:color w:val="auto"/>
          <w:kern w:val="2"/>
          <w:highlight w:val="none"/>
          <w:lang w:val="sv-SE"/>
        </w:rPr>
        <w:t>、对外宣传</w:t>
      </w:r>
      <w:r>
        <w:rPr>
          <w:rFonts w:hint="eastAsia" w:ascii="仿宋" w:hAnsi="仿宋" w:eastAsia="仿宋"/>
          <w:color w:val="auto"/>
          <w:kern w:val="2"/>
          <w:highlight w:val="none"/>
        </w:rPr>
        <w:t>提供良好展示平台</w:t>
      </w:r>
      <w:r>
        <w:rPr>
          <w:rFonts w:hint="eastAsia" w:ascii="仿宋" w:hAnsi="仿宋" w:eastAsia="仿宋"/>
          <w:color w:val="auto"/>
          <w:kern w:val="2"/>
          <w:highlight w:val="none"/>
          <w:lang w:val="en-US"/>
        </w:rPr>
        <w:t>。</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5725"/>
        <w:gridCol w:w="1005"/>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922" w:type="dxa"/>
            <w:vAlign w:val="center"/>
          </w:tcPr>
          <w:p>
            <w:pPr>
              <w:spacing w:line="360" w:lineRule="auto"/>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序号</w:t>
            </w:r>
          </w:p>
        </w:tc>
        <w:tc>
          <w:tcPr>
            <w:tcW w:w="5725" w:type="dxa"/>
            <w:vAlign w:val="center"/>
          </w:tcPr>
          <w:p>
            <w:pPr>
              <w:spacing w:line="360" w:lineRule="auto"/>
              <w:jc w:val="center"/>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实施内容</w:t>
            </w:r>
          </w:p>
        </w:tc>
        <w:tc>
          <w:tcPr>
            <w:tcW w:w="1005" w:type="dxa"/>
            <w:vAlign w:val="center"/>
          </w:tcPr>
          <w:p>
            <w:pPr>
              <w:spacing w:line="360" w:lineRule="auto"/>
              <w:jc w:val="center"/>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数量</w:t>
            </w:r>
          </w:p>
        </w:tc>
        <w:tc>
          <w:tcPr>
            <w:tcW w:w="852" w:type="dxa"/>
            <w:vAlign w:val="center"/>
          </w:tcPr>
          <w:p>
            <w:pPr>
              <w:spacing w:line="360" w:lineRule="auto"/>
              <w:jc w:val="center"/>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2" w:type="dxa"/>
            <w:vAlign w:val="center"/>
          </w:tcPr>
          <w:p>
            <w:pPr>
              <w:spacing w:line="360" w:lineRule="auto"/>
              <w:jc w:val="center"/>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1</w:t>
            </w:r>
          </w:p>
        </w:tc>
        <w:tc>
          <w:tcPr>
            <w:tcW w:w="7582" w:type="dxa"/>
            <w:gridSpan w:val="3"/>
            <w:vAlign w:val="center"/>
          </w:tcPr>
          <w:p>
            <w:pPr>
              <w:spacing w:line="360" w:lineRule="auto"/>
              <w:jc w:val="center"/>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会议室显示系统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2" w:type="dxa"/>
            <w:vAlign w:val="center"/>
          </w:tcPr>
          <w:p>
            <w:pPr>
              <w:spacing w:line="360" w:lineRule="auto"/>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1.1</w:t>
            </w:r>
          </w:p>
        </w:tc>
        <w:tc>
          <w:tcPr>
            <w:tcW w:w="5725" w:type="dxa"/>
            <w:vAlign w:val="center"/>
          </w:tcPr>
          <w:p>
            <w:pPr>
              <w:spacing w:line="36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中控室大屏显示系统</w:t>
            </w:r>
          </w:p>
        </w:tc>
        <w:tc>
          <w:tcPr>
            <w:tcW w:w="1005" w:type="dxa"/>
            <w:vAlign w:val="center"/>
          </w:tcPr>
          <w:p>
            <w:pPr>
              <w:spacing w:line="360" w:lineRule="auto"/>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1</w:t>
            </w:r>
          </w:p>
        </w:tc>
        <w:tc>
          <w:tcPr>
            <w:tcW w:w="852" w:type="dxa"/>
            <w:vAlign w:val="center"/>
          </w:tcPr>
          <w:p>
            <w:pPr>
              <w:spacing w:line="360" w:lineRule="auto"/>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项</w:t>
            </w:r>
          </w:p>
        </w:tc>
      </w:tr>
    </w:tbl>
    <w:p>
      <w:pPr>
        <w:spacing w:line="360" w:lineRule="auto"/>
        <w:jc w:val="center"/>
        <w:rPr>
          <w:rFonts w:ascii="仿宋" w:hAnsi="仿宋" w:eastAsia="仿宋"/>
          <w:color w:val="auto"/>
          <w:sz w:val="28"/>
          <w:szCs w:val="28"/>
          <w:highlight w:val="none"/>
        </w:rPr>
      </w:pPr>
    </w:p>
    <w:p>
      <w:pPr>
        <w:spacing w:line="360" w:lineRule="auto"/>
        <w:ind w:firstLine="420"/>
        <w:jc w:val="left"/>
        <w:rPr>
          <w:rFonts w:ascii="仿宋" w:hAnsi="仿宋" w:eastAsia="仿宋"/>
          <w:b/>
          <w:color w:val="auto"/>
          <w:sz w:val="28"/>
          <w:szCs w:val="28"/>
          <w:highlight w:val="none"/>
        </w:rPr>
      </w:pPr>
      <w:r>
        <w:rPr>
          <w:rFonts w:ascii="仿宋" w:hAnsi="仿宋" w:eastAsia="仿宋"/>
          <w:b/>
          <w:color w:val="auto"/>
          <w:sz w:val="28"/>
          <w:szCs w:val="28"/>
          <w:highlight w:val="none"/>
        </w:rPr>
        <w:t>3、</w:t>
      </w:r>
      <w:r>
        <w:rPr>
          <w:rFonts w:hint="eastAsia" w:ascii="仿宋" w:hAnsi="仿宋" w:eastAsia="仿宋"/>
          <w:b/>
          <w:bCs/>
          <w:color w:val="auto"/>
          <w:sz w:val="28"/>
          <w:szCs w:val="28"/>
          <w:highlight w:val="none"/>
        </w:rPr>
        <w:t>大屏显示系统</w:t>
      </w:r>
    </w:p>
    <w:p>
      <w:pPr>
        <w:spacing w:line="360" w:lineRule="auto"/>
        <w:ind w:firstLine="560" w:firstLineChars="200"/>
        <w:jc w:val="both"/>
        <w:rPr>
          <w:rFonts w:ascii="仿宋" w:hAnsi="仿宋" w:eastAsia="仿宋"/>
          <w:color w:val="auto"/>
          <w:sz w:val="28"/>
          <w:szCs w:val="28"/>
          <w:highlight w:val="none"/>
        </w:rPr>
      </w:pPr>
      <w:r>
        <w:rPr>
          <w:rFonts w:hint="eastAsia" w:ascii="仿宋" w:hAnsi="仿宋" w:eastAsia="仿宋"/>
          <w:color w:val="auto"/>
          <w:sz w:val="28"/>
          <w:szCs w:val="28"/>
          <w:highlight w:val="none"/>
        </w:rPr>
        <w:t>大屏显示系统安装</w:t>
      </w:r>
      <w:r>
        <w:rPr>
          <w:rFonts w:hint="eastAsia" w:ascii="仿宋" w:hAnsi="仿宋" w:eastAsia="仿宋"/>
          <w:color w:val="auto"/>
          <w:sz w:val="28"/>
          <w:szCs w:val="28"/>
          <w:highlight w:val="none"/>
          <w:lang w:val="zh-CN"/>
        </w:rPr>
        <w:t>1块</w:t>
      </w:r>
      <w:r>
        <w:rPr>
          <w:rFonts w:hint="eastAsia" w:ascii="仿宋" w:hAnsi="仿宋" w:eastAsia="仿宋"/>
          <w:color w:val="auto"/>
          <w:sz w:val="28"/>
          <w:szCs w:val="28"/>
          <w:highlight w:val="none"/>
        </w:rPr>
        <w:t>尺寸</w:t>
      </w:r>
      <w:r>
        <w:rPr>
          <w:rFonts w:hint="eastAsia" w:ascii="仿宋" w:hAnsi="仿宋" w:eastAsia="仿宋"/>
          <w:color w:val="auto"/>
          <w:sz w:val="28"/>
          <w:szCs w:val="28"/>
          <w:highlight w:val="none"/>
          <w:lang w:val="zh-CN"/>
        </w:rPr>
        <w:t>（宽*高）：</w:t>
      </w:r>
      <w:r>
        <w:rPr>
          <w:rFonts w:hint="eastAsia" w:ascii="仿宋" w:hAnsi="仿宋" w:eastAsia="仿宋"/>
          <w:color w:val="auto"/>
          <w:sz w:val="28"/>
          <w:szCs w:val="28"/>
          <w:highlight w:val="none"/>
        </w:rPr>
        <w:t>3900</w:t>
      </w: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rPr>
        <w:t>2025</w:t>
      </w:r>
      <w:r>
        <w:rPr>
          <w:rFonts w:hint="eastAsia" w:ascii="仿宋" w:hAnsi="仿宋" w:eastAsia="仿宋"/>
          <w:color w:val="auto"/>
          <w:sz w:val="28"/>
          <w:szCs w:val="28"/>
          <w:highlight w:val="none"/>
          <w:lang w:val="zh-CN"/>
        </w:rPr>
        <w:t>mm的</w:t>
      </w:r>
      <w:r>
        <w:rPr>
          <w:rFonts w:hint="eastAsia" w:ascii="仿宋" w:hAnsi="仿宋" w:eastAsia="仿宋"/>
          <w:color w:val="auto"/>
          <w:sz w:val="28"/>
          <w:szCs w:val="28"/>
          <w:highlight w:val="none"/>
        </w:rPr>
        <w:t>1.5MM小间距直面</w:t>
      </w:r>
      <w:r>
        <w:rPr>
          <w:rFonts w:hint="eastAsia" w:ascii="仿宋" w:hAnsi="仿宋" w:eastAsia="仿宋"/>
          <w:color w:val="auto"/>
          <w:sz w:val="28"/>
          <w:szCs w:val="28"/>
          <w:highlight w:val="none"/>
          <w:lang w:val="zh-CN"/>
        </w:rPr>
        <w:t>LED</w:t>
      </w:r>
      <w:r>
        <w:rPr>
          <w:rFonts w:hint="eastAsia" w:ascii="仿宋" w:hAnsi="仿宋" w:eastAsia="仿宋"/>
          <w:color w:val="auto"/>
          <w:sz w:val="28"/>
          <w:szCs w:val="28"/>
          <w:highlight w:val="none"/>
        </w:rPr>
        <w:t>全彩</w:t>
      </w:r>
      <w:r>
        <w:rPr>
          <w:rFonts w:hint="eastAsia" w:ascii="仿宋" w:hAnsi="仿宋" w:eastAsia="仿宋"/>
          <w:color w:val="auto"/>
          <w:sz w:val="28"/>
          <w:szCs w:val="28"/>
          <w:highlight w:val="none"/>
          <w:lang w:val="zh-CN"/>
        </w:rPr>
        <w:t>屏幕，配套显示屏支架、配电箱、控制管理器及软件系统，用</w:t>
      </w:r>
      <w:r>
        <w:rPr>
          <w:rFonts w:hint="eastAsia" w:ascii="仿宋" w:hAnsi="仿宋" w:eastAsia="仿宋"/>
          <w:color w:val="auto"/>
          <w:sz w:val="28"/>
          <w:szCs w:val="28"/>
          <w:highlight w:val="none"/>
        </w:rPr>
        <w:t>作龙归分公司二楼会议室</w:t>
      </w:r>
      <w:r>
        <w:rPr>
          <w:rFonts w:hint="eastAsia" w:ascii="仿宋" w:hAnsi="仿宋" w:eastAsia="仿宋"/>
          <w:color w:val="auto"/>
          <w:sz w:val="28"/>
          <w:szCs w:val="28"/>
          <w:highlight w:val="none"/>
          <w:lang w:val="zh-CN"/>
        </w:rPr>
        <w:t>主显示系统。</w:t>
      </w:r>
      <w:r>
        <w:rPr>
          <w:rFonts w:ascii="仿宋" w:hAnsi="仿宋" w:eastAsia="仿宋"/>
          <w:color w:val="auto"/>
          <w:sz w:val="28"/>
          <w:szCs w:val="28"/>
          <w:highlight w:val="none"/>
        </w:rPr>
        <w:t xml:space="preserve"> </w:t>
      </w:r>
    </w:p>
    <w:p>
      <w:pPr>
        <w:spacing w:line="360" w:lineRule="auto"/>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屏幕要求：</w:t>
      </w:r>
    </w:p>
    <w:p>
      <w:pPr>
        <w:numPr>
          <w:ilvl w:val="-1"/>
          <w:numId w:val="0"/>
        </w:numPr>
        <w:spacing w:line="360" w:lineRule="auto"/>
        <w:ind w:firstLine="280" w:firstLineChars="100"/>
        <w:rPr>
          <w:rFonts w:hint="eastAsia" w:ascii="仿宋" w:hAnsi="仿宋" w:eastAsia="仿宋"/>
          <w:color w:val="auto"/>
          <w:sz w:val="28"/>
          <w:szCs w:val="28"/>
          <w:highlight w:val="none"/>
          <w:lang w:val="zh-CN"/>
        </w:rPr>
      </w:pPr>
      <w:r>
        <w:rPr>
          <w:rFonts w:hint="eastAsia" w:ascii="仿宋" w:hAnsi="仿宋" w:eastAsia="仿宋"/>
          <w:color w:val="auto"/>
          <w:sz w:val="28"/>
          <w:szCs w:val="28"/>
          <w:highlight w:val="none"/>
          <w:lang w:val="en-US" w:eastAsia="zh-CN"/>
        </w:rPr>
        <w:t>1）屏幕尺寸的设计：</w:t>
      </w:r>
      <w:r>
        <w:rPr>
          <w:rFonts w:hint="eastAsia" w:ascii="仿宋" w:hAnsi="仿宋" w:eastAsia="仿宋"/>
          <w:color w:val="auto"/>
          <w:sz w:val="28"/>
          <w:szCs w:val="28"/>
          <w:highlight w:val="none"/>
        </w:rPr>
        <w:t>大屏显示系统安装</w:t>
      </w:r>
      <w:r>
        <w:rPr>
          <w:rFonts w:hint="eastAsia" w:ascii="仿宋" w:hAnsi="仿宋" w:eastAsia="仿宋"/>
          <w:color w:val="auto"/>
          <w:sz w:val="28"/>
          <w:szCs w:val="28"/>
          <w:highlight w:val="none"/>
          <w:lang w:val="zh-CN"/>
        </w:rPr>
        <w:t>1块</w:t>
      </w:r>
      <w:r>
        <w:rPr>
          <w:rFonts w:hint="eastAsia" w:ascii="仿宋" w:hAnsi="仿宋" w:eastAsia="仿宋"/>
          <w:color w:val="auto"/>
          <w:sz w:val="28"/>
          <w:szCs w:val="28"/>
          <w:highlight w:val="none"/>
        </w:rPr>
        <w:t>尺寸</w:t>
      </w:r>
      <w:r>
        <w:rPr>
          <w:rFonts w:hint="eastAsia" w:ascii="仿宋" w:hAnsi="仿宋" w:eastAsia="仿宋"/>
          <w:color w:val="auto"/>
          <w:sz w:val="28"/>
          <w:szCs w:val="28"/>
          <w:highlight w:val="none"/>
          <w:lang w:val="zh-CN"/>
        </w:rPr>
        <w:t>（宽*高）：</w:t>
      </w:r>
      <w:r>
        <w:rPr>
          <w:rFonts w:hint="eastAsia" w:ascii="仿宋" w:hAnsi="仿宋" w:eastAsia="仿宋"/>
          <w:color w:val="auto"/>
          <w:sz w:val="28"/>
          <w:szCs w:val="28"/>
          <w:highlight w:val="none"/>
          <w:lang w:val="en-US" w:eastAsia="zh-CN"/>
        </w:rPr>
        <w:t>3900</w:t>
      </w: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2025</w:t>
      </w:r>
      <w:r>
        <w:rPr>
          <w:rFonts w:hint="eastAsia" w:ascii="仿宋" w:hAnsi="仿宋" w:eastAsia="仿宋"/>
          <w:color w:val="auto"/>
          <w:sz w:val="28"/>
          <w:szCs w:val="28"/>
          <w:highlight w:val="none"/>
          <w:lang w:val="zh-CN"/>
        </w:rPr>
        <w:t>mm的</w:t>
      </w:r>
      <w:r>
        <w:rPr>
          <w:rFonts w:hint="eastAsia" w:ascii="仿宋" w:hAnsi="仿宋" w:eastAsia="仿宋"/>
          <w:color w:val="auto"/>
          <w:sz w:val="28"/>
          <w:szCs w:val="28"/>
          <w:highlight w:val="none"/>
        </w:rPr>
        <w:t>1.5MM小间距</w:t>
      </w:r>
      <w:r>
        <w:rPr>
          <w:rFonts w:hint="eastAsia" w:ascii="仿宋" w:hAnsi="仿宋" w:eastAsia="仿宋"/>
          <w:color w:val="auto"/>
          <w:sz w:val="28"/>
          <w:szCs w:val="28"/>
          <w:highlight w:val="none"/>
          <w:lang w:val="en-US" w:eastAsia="zh-CN"/>
        </w:rPr>
        <w:t>直</w:t>
      </w:r>
      <w:r>
        <w:rPr>
          <w:rFonts w:hint="eastAsia" w:ascii="仿宋" w:hAnsi="仿宋" w:eastAsia="仿宋"/>
          <w:color w:val="auto"/>
          <w:sz w:val="28"/>
          <w:szCs w:val="28"/>
          <w:highlight w:val="none"/>
        </w:rPr>
        <w:t>面</w:t>
      </w:r>
      <w:r>
        <w:rPr>
          <w:rFonts w:hint="eastAsia" w:ascii="仿宋" w:hAnsi="仿宋" w:eastAsia="仿宋"/>
          <w:color w:val="auto"/>
          <w:sz w:val="28"/>
          <w:szCs w:val="28"/>
          <w:highlight w:val="none"/>
          <w:lang w:val="zh-CN"/>
        </w:rPr>
        <w:t>LED</w:t>
      </w:r>
      <w:r>
        <w:rPr>
          <w:rFonts w:hint="eastAsia" w:ascii="仿宋" w:hAnsi="仿宋" w:eastAsia="仿宋"/>
          <w:color w:val="auto"/>
          <w:sz w:val="28"/>
          <w:szCs w:val="28"/>
          <w:highlight w:val="none"/>
        </w:rPr>
        <w:t>全彩</w:t>
      </w:r>
      <w:r>
        <w:rPr>
          <w:rFonts w:hint="eastAsia" w:ascii="仿宋" w:hAnsi="仿宋" w:eastAsia="仿宋"/>
          <w:color w:val="auto"/>
          <w:sz w:val="28"/>
          <w:szCs w:val="28"/>
          <w:highlight w:val="none"/>
          <w:lang w:val="zh-CN"/>
        </w:rPr>
        <w:t>屏幕，配套显示屏支架、配电箱、控制管理器及软件系统，用</w:t>
      </w:r>
      <w:r>
        <w:rPr>
          <w:rFonts w:hint="eastAsia" w:ascii="仿宋" w:hAnsi="仿宋" w:eastAsia="仿宋"/>
          <w:color w:val="auto"/>
          <w:sz w:val="28"/>
          <w:szCs w:val="28"/>
          <w:highlight w:val="none"/>
        </w:rPr>
        <w:t>作龙归分公司</w:t>
      </w:r>
      <w:r>
        <w:rPr>
          <w:rFonts w:hint="eastAsia" w:ascii="仿宋" w:hAnsi="仿宋" w:eastAsia="仿宋"/>
          <w:color w:val="auto"/>
          <w:sz w:val="28"/>
          <w:szCs w:val="28"/>
          <w:highlight w:val="none"/>
          <w:lang w:val="en-US" w:eastAsia="zh-CN"/>
        </w:rPr>
        <w:t>二楼会议室</w:t>
      </w:r>
      <w:r>
        <w:rPr>
          <w:rFonts w:hint="eastAsia" w:ascii="仿宋" w:hAnsi="仿宋" w:eastAsia="仿宋"/>
          <w:color w:val="auto"/>
          <w:sz w:val="28"/>
          <w:szCs w:val="28"/>
          <w:highlight w:val="none"/>
          <w:lang w:val="zh-CN"/>
        </w:rPr>
        <w:t>主显示系统</w:t>
      </w:r>
    </w:p>
    <w:p>
      <w:pPr>
        <w:numPr>
          <w:ilvl w:val="-1"/>
          <w:numId w:val="0"/>
        </w:numPr>
        <w:spacing w:line="360" w:lineRule="auto"/>
        <w:ind w:firstLine="0" w:firstLineChars="0"/>
        <w:rPr>
          <w:rFonts w:ascii="仿宋" w:hAnsi="仿宋" w:eastAsia="仿宋"/>
          <w:color w:val="auto"/>
          <w:sz w:val="28"/>
          <w:szCs w:val="28"/>
          <w:highlight w:val="none"/>
        </w:rPr>
      </w:pPr>
      <w:r>
        <w:rPr>
          <w:rFonts w:hint="eastAsia" w:ascii="仿宋" w:hAnsi="仿宋" w:eastAsia="仿宋"/>
          <w:color w:val="auto"/>
          <w:sz w:val="28"/>
          <w:szCs w:val="28"/>
          <w:highlight w:val="none"/>
          <w:lang w:val="en-US" w:eastAsia="zh-CN"/>
        </w:rPr>
        <w:t xml:space="preserve">  2）</w:t>
      </w:r>
      <w:r>
        <w:rPr>
          <w:rFonts w:hint="eastAsia" w:ascii="仿宋" w:hAnsi="仿宋" w:eastAsia="仿宋"/>
          <w:color w:val="auto"/>
          <w:sz w:val="28"/>
          <w:szCs w:val="28"/>
          <w:highlight w:val="none"/>
        </w:rPr>
        <w:t>显示屏</w:t>
      </w:r>
      <w:r>
        <w:rPr>
          <w:rFonts w:ascii="仿宋" w:hAnsi="仿宋" w:eastAsia="仿宋"/>
          <w:color w:val="auto"/>
          <w:sz w:val="28"/>
          <w:szCs w:val="28"/>
          <w:highlight w:val="none"/>
        </w:rPr>
        <w:t>采用非线性校正技术，以补偿CRT显示器与LED显示屏间的色差及人眼的视觉差异，使视觉效果更加完美、逼真。将非线性校正功能集成进驱动板芯片之中，采用R、G、B各颜色65536级校正技术，显示色彩达到281万亿色，最大限度地降低显示数据传送过程的故障率，提高系统稳定性，以非线性校正的方式驱动LED管，使LED显示器适应人类眼睛的非线性的需求，从而显示同计算机一样生动逼真的视频画面，图像更加稳定。</w:t>
      </w:r>
    </w:p>
    <w:p>
      <w:pPr>
        <w:numPr>
          <w:ilvl w:val="-1"/>
          <w:numId w:val="0"/>
        </w:numPr>
        <w:spacing w:line="360" w:lineRule="auto"/>
        <w:ind w:firstLine="280" w:firstLineChars="100"/>
        <w:rPr>
          <w:rFonts w:ascii="仿宋" w:hAnsi="仿宋" w:eastAsia="仿宋"/>
          <w:color w:val="auto"/>
          <w:sz w:val="28"/>
          <w:szCs w:val="28"/>
          <w:highlight w:val="none"/>
        </w:rPr>
      </w:pP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显示屏</w:t>
      </w:r>
      <w:r>
        <w:rPr>
          <w:rFonts w:ascii="仿宋" w:hAnsi="仿宋" w:eastAsia="仿宋"/>
          <w:color w:val="auto"/>
          <w:sz w:val="28"/>
          <w:szCs w:val="28"/>
          <w:highlight w:val="none"/>
        </w:rPr>
        <w:t>采用国际最先进的灰度控制及颜色处理的功能于一体的恒流源驱动芯片，芯片直接应用于驱动板中（板级控制技术），显示图像图象清晰、层次分明、色彩鲜艳。</w:t>
      </w:r>
      <w:r>
        <w:rPr>
          <w:rFonts w:hint="eastAsia" w:ascii="仿宋" w:hAnsi="仿宋" w:eastAsia="仿宋"/>
          <w:color w:val="auto"/>
          <w:sz w:val="28"/>
          <w:szCs w:val="28"/>
          <w:highlight w:val="none"/>
        </w:rPr>
        <w:t>显示屏</w:t>
      </w:r>
      <w:r>
        <w:rPr>
          <w:rFonts w:ascii="仿宋" w:hAnsi="仿宋" w:eastAsia="仿宋"/>
          <w:color w:val="auto"/>
          <w:sz w:val="28"/>
          <w:szCs w:val="28"/>
          <w:highlight w:val="none"/>
        </w:rPr>
        <w:t>可通过软件现场实现对LED显示屏整屏及每个发光模块的亮度、色度、对比度的调整，且具有颜色签名和记忆功能，能够保证屏幕长期显示效果均匀一致。</w:t>
      </w:r>
    </w:p>
    <w:p>
      <w:pPr>
        <w:spacing w:line="360" w:lineRule="auto"/>
        <w:ind w:firstLine="420"/>
        <w:rPr>
          <w:rFonts w:ascii="仿宋" w:hAnsi="仿宋" w:eastAsia="仿宋"/>
          <w:color w:val="auto"/>
          <w:sz w:val="28"/>
          <w:szCs w:val="28"/>
          <w:highlight w:val="none"/>
          <w:lang w:val="zh-CN"/>
        </w:rPr>
      </w:pPr>
      <w:r>
        <w:rPr>
          <w:rFonts w:hint="eastAsia" w:ascii="仿宋" w:hAnsi="仿宋" w:eastAsia="仿宋"/>
          <w:color w:val="auto"/>
          <w:sz w:val="28"/>
          <w:szCs w:val="28"/>
          <w:highlight w:val="none"/>
        </w:rPr>
        <w:t>4）</w:t>
      </w:r>
      <w:r>
        <w:rPr>
          <w:rFonts w:hint="eastAsia" w:ascii="仿宋" w:hAnsi="仿宋" w:eastAsia="仿宋"/>
          <w:color w:val="auto"/>
          <w:sz w:val="28"/>
          <w:szCs w:val="28"/>
          <w:highlight w:val="none"/>
          <w:lang w:val="zh-CN"/>
        </w:rPr>
        <w:t>系统建设严格按照国家和行业的有关标准，结合现今多媒体影音技术的发展趋势，遵循</w:t>
      </w: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lang w:val="zh-CN"/>
        </w:rPr>
        <w:t>“网络化、智能化、集约化、标准兼容、安全可靠、先进实用”的总原则，采用先进、高性价比、可扩展、易维护、易操作的设备，整体技术具有前瞻性，保证系统满足业务需求的基础上，一定时期内不落后。</w:t>
      </w:r>
    </w:p>
    <w:p>
      <w:pPr>
        <w:pStyle w:val="24"/>
        <w:rPr>
          <w:rFonts w:hint="eastAsia" w:ascii="仿宋" w:hAnsi="仿宋" w:eastAsia="仿宋"/>
          <w:color w:val="auto"/>
          <w:sz w:val="28"/>
          <w:szCs w:val="28"/>
          <w:highlight w:val="none"/>
          <w:lang w:val="zh-CN"/>
        </w:rPr>
      </w:pPr>
      <w:r>
        <w:rPr>
          <w:rFonts w:hint="eastAsia" w:ascii="仿宋" w:hAnsi="仿宋" w:eastAsia="仿宋"/>
          <w:color w:val="auto"/>
          <w:sz w:val="28"/>
          <w:szCs w:val="28"/>
          <w:highlight w:val="none"/>
        </w:rPr>
        <w:t>5）</w:t>
      </w:r>
      <w:r>
        <w:rPr>
          <w:rFonts w:hint="eastAsia" w:ascii="仿宋" w:hAnsi="仿宋" w:eastAsia="仿宋"/>
          <w:color w:val="auto"/>
          <w:sz w:val="28"/>
          <w:szCs w:val="28"/>
          <w:highlight w:val="none"/>
          <w:lang w:val="zh-CN"/>
        </w:rPr>
        <w:t>系统所有的视频及控制信号以网络交换为核心，全部模块化集中式，支持任意扩展、灵活构建、高安全、高稳定、易扩展等特色。</w:t>
      </w:r>
    </w:p>
    <w:p>
      <w:pPr>
        <w:adjustRightInd w:val="0"/>
        <w:snapToGrid w:val="0"/>
        <w:spacing w:line="600" w:lineRule="exact"/>
        <w:jc w:val="left"/>
        <w:outlineLvl w:val="2"/>
        <w:rPr>
          <w:rFonts w:hint="eastAsia" w:ascii="仿宋" w:hAnsi="仿宋" w:eastAsia="仿宋" w:cs="仿宋"/>
          <w:b/>
          <w:color w:val="auto"/>
          <w:sz w:val="28"/>
          <w:szCs w:val="28"/>
          <w:highlight w:val="none"/>
          <w:lang w:val="zh-CN"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b/>
          <w:color w:val="auto"/>
          <w:sz w:val="28"/>
          <w:szCs w:val="28"/>
          <w:highlight w:val="none"/>
          <w:lang w:val="zh-CN" w:eastAsia="zh-CN"/>
        </w:rPr>
        <w:t>项目技术要求</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（1）屏体</w:t>
      </w:r>
    </w:p>
    <w:p>
      <w:pPr>
        <w:widowControl/>
        <w:jc w:val="left"/>
        <w:textAlignment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val="en-US" w:eastAsia="zh-CN" w:bidi="ar"/>
        </w:rPr>
        <w:t>一、</w:t>
      </w:r>
      <w:r>
        <w:rPr>
          <w:rFonts w:ascii="仿宋" w:hAnsi="仿宋" w:eastAsia="仿宋" w:cs="仿宋"/>
          <w:color w:val="auto"/>
          <w:kern w:val="0"/>
          <w:sz w:val="28"/>
          <w:szCs w:val="28"/>
          <w:highlight w:val="none"/>
          <w:lang w:bidi="ar"/>
        </w:rPr>
        <w:t>LED显示屏</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1.像素点间距:≤1.56mm；</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2.像素密度≥409600点/㎡；</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3.单元箱体成品尺寸：600(W)*337.5(H);</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4.单元箱体显示比例：16：9；</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5.箱体平整度≤0.1mm，单元箱体/模组间水平、垂直相对错位值H＜1.0%，V＜1.0%；</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6.像素结构为1R1G1B SMD或4 in 1 IMD 工艺，线性排列，表面磨砂不反光处理；</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7.白平衡亮度(nit) ≥0～1200（亮度可调）；</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8.色温1000K～18000K 无级可调，NTSC色域覆盖率≥125%NTSC；</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9.可视角度水平≥170°，垂直≥170°；</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10.支持单点亮度校正，校正后亮度均匀性≥99.5%（参照 SJ/T11281-2017 发光二极管(LED)显示屏测试方法标准），色度均匀性校正后±0.001 Cx，Cy 之内；</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11.自然环境对比度≥10000：1，专业环境对比度≥20000：1；</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12.灰度及颜色等级≥18bit；</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13.刷新率≥3840HZ;</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14.前、后全方位维护设计，模组、电源、接收卡、HUB 板等零部件均可实现完全前维护或后维护方式，所有零部件支持热插 拔，模组、接收卡、HUB 板支持带电维护</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15.低亮高灰支持在不同亮度下，通过软件对灰度14-16bit 任意设置，满足 20%、60%、100%亮度时灰度 14-16bit 之间任意设置</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16.模组喷墨技术：模组采用表面喷墨技术，无面罩结构件， 提高模组颜色均匀性一致性，保证模组墨色一致</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17.使用寿命≥100000小时；灯珠寿命 ≥100000 小时</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18.符合 IEC/TR62778：2014 使用标准，光源和灯具的蓝光危害评估，在测试距离20cm，视场 11mrad，相关色温 1001K 条件下，蓝光危害辐亮度 LB＜1.0W/(㎡·sr)；蓝光危害辐照度EB=1.095e-004W/㎡，亮度L=1.366e+004cd/㎡，照度 E=325lx，无危险(豁免)</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19.冗余备份：供电冗余备份为大屏系统可同时接入 2 路电力供应，一套电源系统故障后可立即利用另一套系统，保证系统正常运行；接收卡接入信号冗余备份为单元箱体内设计组合逻辑电路和主、副两套接收卡，对使用中的一路输入信号进行实时监测、判断，当主接收卡故障时自动切换副接收卡，不影响屏幕正常显示</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20.防反光工艺：屏体正面为哑光墨色处理，降低屏面反光，反光率≤1.5%（处理后）</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21.覆膜工艺：模组支持环氧树脂覆膜工艺，有效提高LED 显示屏表面防护性，表面硬度≥HRC8 级，提高显示屏防磕碰、防刮花、防水等级</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22.除湿功能：显示屏具备除湿设计，屏体长时间没有使用，屏体自动切入除湿模式，使屏体从10%到 100%亮度逐步显示，逐步提升屏体温度</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23.投标产品需提供振动试验，振动频率：5Hz-55Hz-5Hz。振动幅度： 0.19mm。扫频速率：1oct/min。两个方向各扫描 2 次。试验后主机外观和结构不应有明显损坏和异常现象，重新上电性能正常</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24.屏体可以支持系统加密，支持数字加密，未经授权不能对显示屏进行任何操作。支持输出信号加密，避免其他信号入侵，避免因电磁辐射产生的信息泄露</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25.屏体可以支持专用设备输出 120Hz 换帧频率的 3D画面显示</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26.投标产品具有图像增强与处理功能：亮度、对比度、色度调节、视觉修正灯图像调整功能图像处理功能；具有视频降噪，动态补偿，色彩变换等图像处理功能；支持画面几何失真、非线性失真补偿；支持显示模式调节</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27.</w:t>
      </w:r>
      <w:r>
        <w:rPr>
          <w:rFonts w:hint="eastAsia" w:ascii="仿宋" w:hAnsi="仿宋" w:eastAsia="仿宋" w:cs="仿宋"/>
          <w:color w:val="auto"/>
          <w:sz w:val="28"/>
          <w:szCs w:val="28"/>
          <w:highlight w:val="none"/>
          <w:lang w:val="en-US" w:eastAsia="zh-CN"/>
        </w:rPr>
        <w:t>报价</w:t>
      </w:r>
      <w:r>
        <w:rPr>
          <w:rFonts w:ascii="仿宋" w:hAnsi="仿宋" w:eastAsia="仿宋" w:cs="仿宋"/>
          <w:color w:val="auto"/>
          <w:sz w:val="28"/>
          <w:szCs w:val="28"/>
          <w:highlight w:val="none"/>
        </w:rPr>
        <w:t>产品需具备阻燃测试：PCB、线材、面罩、满足 UL94V-0 阻燃等级要求（依据 GB/T2408-2008, GB/T5169.16-2008 标准测试，模组PCB、电源 PCB、接收卡 PCB 以及 HUB 板等组件阻燃等级符合 V-0 级标准）</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28.拉力测试：夹具固定样品，竖直方向拉伸样品，拉伸速度为 5mm/min.直到出现结构断裂，拉力值大于 30KN；压力测试：夹具固定样品，竖直方向压测样品，压缩速度为 5mm/min.直到出现结构变形，压力值大于 50KN</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29.抗紫外线：在以下环境条件下，8h 干燥，辐照度：340nm 时， 0.76W·m-2·nm-1,黑标温度：60℃±3℃;4h 凝露，关闭光源，黑标温度：50℃±3℃. 循环测试 168 小时。试验后产品应正常工作。</w:t>
      </w:r>
    </w:p>
    <w:p>
      <w:pPr>
        <w:widowControl/>
        <w:jc w:val="left"/>
        <w:textAlignment w:val="center"/>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u w:val="single"/>
          <w:lang w:val="en-US" w:eastAsia="zh-CN"/>
        </w:rPr>
        <w:t>30.第14—29项LED技术参数，厂家需</w:t>
      </w:r>
      <w:r>
        <w:rPr>
          <w:rFonts w:ascii="仿宋" w:hAnsi="仿宋" w:eastAsia="仿宋" w:cs="仿宋"/>
          <w:color w:val="auto"/>
          <w:sz w:val="28"/>
          <w:szCs w:val="28"/>
          <w:highlight w:val="none"/>
          <w:u w:val="single"/>
        </w:rPr>
        <w:t>提供CNAS,MA,ILAC-MRA认证的第三方检测报告</w:t>
      </w:r>
      <w:r>
        <w:rPr>
          <w:rFonts w:hint="eastAsia" w:ascii="仿宋" w:hAnsi="仿宋" w:eastAsia="仿宋" w:cs="仿宋"/>
          <w:color w:val="auto"/>
          <w:sz w:val="28"/>
          <w:szCs w:val="28"/>
          <w:highlight w:val="none"/>
          <w:u w:val="single"/>
          <w:lang w:val="en-US" w:eastAsia="zh-CN"/>
        </w:rPr>
        <w:t>作为证明材料并原厂加盖公章。</w:t>
      </w:r>
    </w:p>
    <w:p>
      <w:pPr>
        <w:rPr>
          <w:rFonts w:ascii="仿宋" w:hAnsi="仿宋" w:eastAsia="仿宋" w:cs="仿宋"/>
          <w:color w:val="auto"/>
          <w:sz w:val="28"/>
          <w:szCs w:val="28"/>
          <w:highlight w:val="none"/>
          <w:u w:val="single"/>
        </w:rPr>
      </w:pPr>
      <w:r>
        <w:rPr>
          <w:rFonts w:ascii="仿宋" w:hAnsi="仿宋" w:eastAsia="仿宋" w:cs="仿宋"/>
          <w:color w:val="auto"/>
          <w:sz w:val="28"/>
          <w:szCs w:val="28"/>
          <w:highlight w:val="none"/>
          <w:u w:val="single"/>
        </w:rPr>
        <w:t>3</w:t>
      </w:r>
      <w:r>
        <w:rPr>
          <w:rFonts w:hint="eastAsia" w:ascii="仿宋" w:hAnsi="仿宋" w:eastAsia="仿宋" w:cs="仿宋"/>
          <w:color w:val="auto"/>
          <w:sz w:val="28"/>
          <w:szCs w:val="28"/>
          <w:highlight w:val="none"/>
          <w:u w:val="single"/>
          <w:lang w:val="en-US" w:eastAsia="zh-CN"/>
        </w:rPr>
        <w:t>1</w:t>
      </w:r>
      <w:r>
        <w:rPr>
          <w:rFonts w:ascii="仿宋" w:hAnsi="仿宋" w:eastAsia="仿宋" w:cs="仿宋"/>
          <w:color w:val="auto"/>
          <w:sz w:val="28"/>
          <w:szCs w:val="28"/>
          <w:highlight w:val="none"/>
          <w:u w:val="single"/>
        </w:rPr>
        <w:t>.</w:t>
      </w:r>
      <w:r>
        <w:rPr>
          <w:rFonts w:hint="eastAsia" w:ascii="仿宋" w:hAnsi="仿宋" w:eastAsia="仿宋" w:cs="仿宋"/>
          <w:color w:val="auto"/>
          <w:sz w:val="28"/>
          <w:szCs w:val="28"/>
          <w:highlight w:val="none"/>
          <w:u w:val="single"/>
          <w:lang w:val="en-US" w:eastAsia="zh-CN"/>
        </w:rPr>
        <w:t>控制软件具有智能通报、播放日志显示、控制器管理操控、超高分辨率、多语言管理、可视化VR三维显示、协同坐席综合管理、运维服务LED显示云平台、控制系统5G高清操控、节目点播、边缘亮线暗线、集成信息发布、节目放映方案、视频源预览监控、演播厅显示综合等功能(提供满足本条技术参数的有效软件证书复印件作为证明材料)</w:t>
      </w:r>
    </w:p>
    <w:p>
      <w:pPr>
        <w:numPr>
          <w:ilvl w:val="0"/>
          <w:numId w:val="0"/>
        </w:numPr>
        <w:rPr>
          <w:rFonts w:ascii="仿宋" w:hAnsi="仿宋" w:eastAsia="仿宋" w:cs="仿宋"/>
          <w:color w:val="auto"/>
          <w:sz w:val="28"/>
          <w:szCs w:val="28"/>
          <w:highlight w:val="none"/>
          <w:u w:val="single"/>
        </w:rPr>
      </w:pPr>
      <w:r>
        <w:rPr>
          <w:rFonts w:ascii="仿宋" w:hAnsi="仿宋" w:eastAsia="仿宋" w:cs="仿宋"/>
          <w:color w:val="auto"/>
          <w:sz w:val="28"/>
          <w:szCs w:val="28"/>
          <w:highlight w:val="none"/>
          <w:u w:val="single"/>
        </w:rPr>
        <w:t>3</w:t>
      </w:r>
      <w:r>
        <w:rPr>
          <w:rFonts w:hint="eastAsia" w:ascii="仿宋" w:hAnsi="仿宋" w:eastAsia="仿宋" w:cs="仿宋"/>
          <w:color w:val="auto"/>
          <w:sz w:val="28"/>
          <w:szCs w:val="28"/>
          <w:highlight w:val="none"/>
          <w:u w:val="single"/>
          <w:lang w:val="en-US" w:eastAsia="zh-CN"/>
        </w:rPr>
        <w:t>2</w:t>
      </w:r>
      <w:r>
        <w:rPr>
          <w:rFonts w:ascii="仿宋" w:hAnsi="仿宋" w:eastAsia="仿宋" w:cs="仿宋"/>
          <w:color w:val="auto"/>
          <w:sz w:val="28"/>
          <w:szCs w:val="28"/>
          <w:highlight w:val="none"/>
          <w:u w:val="single"/>
        </w:rPr>
        <w:t>.</w:t>
      </w:r>
      <w:r>
        <w:rPr>
          <w:rFonts w:hint="eastAsia" w:ascii="仿宋" w:hAnsi="仿宋" w:eastAsia="仿宋" w:cs="仿宋"/>
          <w:color w:val="auto"/>
          <w:sz w:val="28"/>
          <w:szCs w:val="28"/>
          <w:highlight w:val="none"/>
          <w:u w:val="single"/>
          <w:lang w:val="en-US" w:eastAsia="zh-CN"/>
        </w:rPr>
        <w:t>LED显示屏制造商所生产的产品为中国著名品牌产品；所生产的产品质量及产品有害物质达到国家限量标准，符合《中国绿色产品》要求、生产的产品属于中国节能产品、符合标准GB/T27922-2011《商品售后服务评价体系》五星级(提供满足本条技术参数证书复印件作为证明材料)</w:t>
      </w:r>
    </w:p>
    <w:p>
      <w:pPr>
        <w:widowControl/>
        <w:numPr>
          <w:ilvl w:val="0"/>
          <w:numId w:val="0"/>
        </w:numPr>
        <w:jc w:val="left"/>
        <w:textAlignment w:val="center"/>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lang w:val="en-US" w:eastAsia="zh-CN"/>
        </w:rPr>
        <w:t>33.</w:t>
      </w:r>
      <w:r>
        <w:rPr>
          <w:rFonts w:ascii="仿宋" w:hAnsi="仿宋" w:eastAsia="仿宋" w:cs="仿宋"/>
          <w:color w:val="auto"/>
          <w:sz w:val="28"/>
          <w:szCs w:val="28"/>
          <w:highlight w:val="none"/>
          <w:u w:val="single"/>
        </w:rPr>
        <w:t>为有效保证产品质量，产品需具有3C认证，证书中委托人名称、生产者名称、生产企业必须为同一名称，提供原件彩色扫描件和和可查询的真伪证明。</w:t>
      </w:r>
    </w:p>
    <w:p>
      <w:pPr>
        <w:widowControl/>
        <w:numPr>
          <w:ilvl w:val="0"/>
          <w:numId w:val="0"/>
        </w:numPr>
        <w:jc w:val="left"/>
        <w:textAlignment w:val="center"/>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lang w:val="en-US" w:eastAsia="zh-CN"/>
        </w:rPr>
        <w:t>34.</w:t>
      </w:r>
      <w:r>
        <w:rPr>
          <w:rFonts w:hint="eastAsia" w:ascii="仿宋" w:hAnsi="仿宋" w:eastAsia="仿宋" w:cs="仿宋"/>
          <w:color w:val="auto"/>
          <w:sz w:val="28"/>
          <w:szCs w:val="28"/>
          <w:highlight w:val="none"/>
          <w:u w:val="single"/>
        </w:rPr>
        <w:t>LED显示屏制造商获得知识产权管理体系认证、信息安全管理体系认证、 拥有3名及以上售后服务管理师</w:t>
      </w:r>
      <w:r>
        <w:rPr>
          <w:rFonts w:hint="eastAsia" w:ascii="仿宋" w:hAnsi="仿宋" w:eastAsia="仿宋" w:cs="仿宋"/>
          <w:color w:val="auto"/>
          <w:sz w:val="28"/>
          <w:szCs w:val="28"/>
          <w:highlight w:val="none"/>
          <w:u w:val="single"/>
          <w:lang w:val="en-US" w:eastAsia="zh-CN"/>
        </w:rPr>
        <w:t>(提供满足本条技术参数证书复印件作为证明材料)</w:t>
      </w:r>
    </w:p>
    <w:p>
      <w:pPr>
        <w:widowControl/>
        <w:jc w:val="left"/>
        <w:textAlignment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二、</w:t>
      </w:r>
      <w:r>
        <w:rPr>
          <w:rFonts w:ascii="仿宋" w:hAnsi="仿宋" w:eastAsia="仿宋" w:cs="仿宋"/>
          <w:color w:val="auto"/>
          <w:sz w:val="28"/>
          <w:szCs w:val="28"/>
          <w:highlight w:val="none"/>
        </w:rPr>
        <w:t>控制器管理器及控制器控制主机及平台</w:t>
      </w:r>
      <w:r>
        <w:rPr>
          <w:rFonts w:hint="eastAsia" w:ascii="仿宋" w:hAnsi="仿宋" w:eastAsia="仿宋" w:cs="仿宋"/>
          <w:color w:val="auto"/>
          <w:sz w:val="28"/>
          <w:szCs w:val="28"/>
          <w:highlight w:val="none"/>
          <w:lang w:val="en-US" w:eastAsia="zh-CN"/>
        </w:rPr>
        <w:t>配套</w:t>
      </w:r>
      <w:r>
        <w:rPr>
          <w:rFonts w:ascii="仿宋" w:hAnsi="仿宋" w:eastAsia="仿宋" w:cs="仿宋"/>
          <w:color w:val="auto"/>
          <w:sz w:val="28"/>
          <w:szCs w:val="28"/>
          <w:highlight w:val="none"/>
        </w:rPr>
        <w:t>：</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1.机箱支持输入输出混插，机箱上卡槽为双向数据通道槽位，每个卡槽既可支持输入板卡，也可支持输出板卡；</w:t>
      </w:r>
    </w:p>
    <w:p>
      <w:pPr>
        <w:widowControl/>
        <w:jc w:val="left"/>
        <w:textAlignment w:val="center"/>
        <w:rPr>
          <w:rFonts w:hint="eastAsia" w:ascii="仿宋" w:hAnsi="仿宋" w:eastAsia="仿宋" w:cs="仿宋"/>
          <w:color w:val="auto"/>
          <w:sz w:val="28"/>
          <w:szCs w:val="28"/>
          <w:highlight w:val="none"/>
        </w:rPr>
      </w:pPr>
      <w:r>
        <w:rPr>
          <w:rFonts w:ascii="仿宋" w:hAnsi="仿宋" w:eastAsia="仿宋" w:cs="仿宋"/>
          <w:color w:val="auto"/>
          <w:sz w:val="28"/>
          <w:szCs w:val="28"/>
          <w:highlight w:val="none"/>
        </w:rPr>
        <w:t>2.无缝切换，信号切换延迟&lt;5ms,切换无黑屏、蓝屏、闪烁情况。图像处理延迟时间&lt;5 ms; 图像开窗响应速度&lt;5ms; 场景调取响应速度&lt;5ms；</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3.设备最大单机背板信号处理带宽不小于3200Gbps，单路信号带宽50Gbps；</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4.设备支持Dual Link DVI、HDMI 1.4、HDBaseT、HDBaseT-4K、DisplayPort、、HDMI 2.0、VGA、DVI、IP H.264、IP H.265、CVBS、HDMI 1.3、SDI、光纤、4K 光纤信号输入与输出；同时具有音频切换功能，实现对多路输入输出的音视频同步切换；</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5.支持4K60 的HDR, 支待HDR 12-bit采样格式，支持对带有HDCP加密的视频信号进行采集编码，兼容HDCP1.4、HDCP2.2、HDCP2.3；</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6.设备支持图像开窗、矩阵功能、窗口叠加、窗口漫游、窗口缩放、字符叠加、输出字符叠加、图像截取、大底图显示功能；</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7.支持设置拼接屏的拼缝补偿，可精确至1像素 ，支持边缘融合带生成，最高可达1500像素；</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8.同时支持拼接墙，投影融合，LED 大屏等多种显示终端，支持同时控制不少于40组大屏，并共享输入信号源；</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 xml:space="preserve">9.支持窗口布局保存至设备，支持不少于1280个单屏场景且另外支持不少于1280个全局场景，支持调取预先存好的窗口布局，支持场景一键切换，支持场景布局可视化 </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10.支持不影响大屏信号显示的前提下，可以在软件上对信号源进行位置、大小、布局的调整，在确认无误后，直接推送上屏显示；</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11.支持所有信号预监，无需额外功能板卡占用设备槽位；支持所有信号输入音量开关控制、预监及预调节功能；</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12.支待整面拼接屏的整体回显功能，可外接HDMI /DVI接口、显示器、IP 网络解码器观看大屏回显，图像帧率可达4K@60帧／秒。支持大屏音频回显输出，音频与画而实时同步，可配合录播进行使用；</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13.支持视频信号采集和输出可调，支持60Hz、120Hz、144Hz、240Hz视频信号采集和输出；信号传输延时＜5ms，支持最高图像处理不丢帧；</w:t>
      </w:r>
    </w:p>
    <w:p>
      <w:pPr>
        <w:widowControl/>
        <w:jc w:val="left"/>
        <w:textAlignment w:val="center"/>
        <w:rPr>
          <w:rFonts w:ascii="仿宋" w:hAnsi="仿宋" w:eastAsia="仿宋" w:cs="仿宋"/>
          <w:color w:val="auto"/>
          <w:sz w:val="28"/>
          <w:szCs w:val="28"/>
          <w:highlight w:val="none"/>
        </w:rPr>
      </w:pPr>
      <w:r>
        <w:rPr>
          <w:rFonts w:ascii="仿宋" w:hAnsi="仿宋" w:eastAsia="仿宋" w:cs="仿宋"/>
          <w:color w:val="auto"/>
          <w:sz w:val="28"/>
          <w:szCs w:val="28"/>
          <w:highlight w:val="none"/>
        </w:rPr>
        <w:t>14.移动控制端支持Windows、iOS、Android操作系统；PC客户端支持Windows、Linux、麒麟操作系统系统通过C/S、B/S 软件进行控制；支持通过TCP/lP网口与RS232/422/485 串口进行管理控制；</w:t>
      </w:r>
    </w:p>
    <w:p>
      <w:pPr>
        <w:pStyle w:val="11"/>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15.第11—14项技术参数，厂家需</w:t>
      </w:r>
      <w:r>
        <w:rPr>
          <w:rFonts w:ascii="仿宋" w:hAnsi="仿宋" w:eastAsia="仿宋" w:cs="仿宋"/>
          <w:color w:val="auto"/>
          <w:sz w:val="28"/>
          <w:szCs w:val="28"/>
          <w:highlight w:val="none"/>
          <w:u w:val="single"/>
        </w:rPr>
        <w:t>提供CNAS,MA,ILAC-MRA认证的第三方检测报告</w:t>
      </w:r>
      <w:r>
        <w:rPr>
          <w:rFonts w:hint="eastAsia" w:ascii="仿宋" w:hAnsi="仿宋" w:eastAsia="仿宋" w:cs="仿宋"/>
          <w:color w:val="auto"/>
          <w:sz w:val="28"/>
          <w:szCs w:val="28"/>
          <w:highlight w:val="none"/>
          <w:u w:val="single"/>
          <w:lang w:val="en-US" w:eastAsia="zh-CN"/>
        </w:rPr>
        <w:t>作为证明材料并原厂加盖公章。</w:t>
      </w:r>
    </w:p>
    <w:p>
      <w:pPr>
        <w:widowControl/>
        <w:jc w:val="left"/>
        <w:textAlignment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16</w:t>
      </w:r>
      <w:r>
        <w:rPr>
          <w:rFonts w:ascii="仿宋" w:hAnsi="仿宋" w:eastAsia="仿宋" w:cs="仿宋"/>
          <w:color w:val="auto"/>
          <w:sz w:val="28"/>
          <w:szCs w:val="28"/>
          <w:highlight w:val="none"/>
        </w:rPr>
        <w:t>.可实现多用户登陆，多用户间的操作可实时同步显示；多用户之间支持分级分权限分区域管理。</w:t>
      </w:r>
    </w:p>
    <w:p>
      <w:pPr>
        <w:widowControl/>
        <w:jc w:val="left"/>
        <w:textAlignment w:val="center"/>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lang w:val="en-US" w:eastAsia="zh-CN"/>
        </w:rPr>
        <w:t>17</w:t>
      </w:r>
      <w:r>
        <w:rPr>
          <w:rFonts w:ascii="仿宋" w:hAnsi="仿宋" w:eastAsia="仿宋" w:cs="仿宋"/>
          <w:color w:val="auto"/>
          <w:sz w:val="28"/>
          <w:szCs w:val="28"/>
          <w:highlight w:val="none"/>
          <w:u w:val="single"/>
        </w:rPr>
        <w:t>. 提供产品CQC、CB、CE、FCC、KC认证证书复印件，并加盖原厂公章。</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（3）系统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1.播控电脑</w:t>
      </w:r>
      <w:r>
        <w:rPr>
          <w:rFonts w:hint="eastAsia" w:ascii="仿宋" w:hAnsi="仿宋" w:eastAsia="仿宋" w:cs="仿宋"/>
          <w:color w:val="auto"/>
          <w:sz w:val="28"/>
          <w:szCs w:val="28"/>
          <w:highlight w:val="none"/>
          <w:lang w:val="en-US" w:eastAsia="zh-CN"/>
        </w:rPr>
        <w:tab/>
      </w:r>
      <w:r>
        <w:rPr>
          <w:rFonts w:hint="eastAsia" w:ascii="仿宋" w:hAnsi="仿宋" w:eastAsia="仿宋" w:cs="仿宋"/>
          <w:color w:val="auto"/>
          <w:sz w:val="28"/>
          <w:szCs w:val="28"/>
          <w:highlight w:val="none"/>
          <w:lang w:val="en-US" w:eastAsia="zh-CN"/>
        </w:rPr>
        <w:t>i5-10500/8G/1T/2G独显/WIN10专业</w:t>
      </w:r>
      <w:r>
        <w:rPr>
          <w:rFonts w:hint="eastAsia" w:ascii="仿宋" w:hAnsi="仿宋" w:eastAsia="仿宋" w:cs="仿宋"/>
          <w:color w:val="auto"/>
          <w:sz w:val="28"/>
          <w:szCs w:val="28"/>
          <w:highlight w:val="none"/>
          <w:lang w:val="en-US" w:eastAsia="zh-CN"/>
        </w:rPr>
        <w:tab/>
      </w:r>
    </w:p>
    <w:p>
      <w:pPr>
        <w:pStyle w:val="11"/>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（4）装饰、安装结构及技术服务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1.主电缆</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1）国标纯铜RVV234芯软电线电缆线5芯6平方</w:t>
      </w:r>
      <w:r>
        <w:rPr>
          <w:rFonts w:hint="eastAsia" w:ascii="仿宋" w:hAnsi="仿宋" w:eastAsia="仿宋" w:cs="仿宋"/>
          <w:color w:val="auto"/>
          <w:sz w:val="28"/>
          <w:szCs w:val="28"/>
          <w:highlight w:val="none"/>
          <w:lang w:val="en-US" w:eastAsia="zh-CN"/>
        </w:rPr>
        <w:tab/>
      </w:r>
    </w:p>
    <w:p>
      <w:pPr>
        <w:pStyle w:val="11"/>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2、钢结构</w:t>
      </w:r>
      <w:r>
        <w:rPr>
          <w:rFonts w:hint="eastAsia" w:ascii="仿宋" w:hAnsi="仿宋" w:eastAsia="仿宋" w:cs="仿宋"/>
          <w:color w:val="auto"/>
          <w:sz w:val="28"/>
          <w:szCs w:val="28"/>
          <w:highlight w:val="none"/>
          <w:lang w:val="en-US" w:eastAsia="zh-CN"/>
        </w:rPr>
        <w:tab/>
      </w:r>
    </w:p>
    <w:p>
      <w:pPr>
        <w:spacing w:line="40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1）屏幕结构采用国标材料制作底架，四周不锈钢包边装饰，背面密封处理，定制装置，拆装方便；具备间距调节装置，可实现精确调节，显示模组之间的缝隙均匀，显示效果清晰；专用定制框架结构（前维护）</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2）与屏体相关的LED钢支架设计（中标后需提供详细施工图以及效果图）、制作及安装。</w:t>
      </w:r>
    </w:p>
    <w:p>
      <w:pPr>
        <w:spacing w:line="200" w:lineRule="exact"/>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3、屏幕四周包边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1）屏体四周包边，要求配合场地装修风格，整体美观和谐。</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4、饰面（led电子大屏幕周边包含门）</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1）面层：木饰面；</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2）基础：双层6.0mm厚水泥纤维板；</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3）骨架：40X40X4mm热镀锌方钢竖向龙骨(间距600mm);40X40X4mm热镀锌角码用φ12mm膨胀螺栓与墙体固定。</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4）具体要求详见深化图纸。</w:t>
      </w:r>
      <w:r>
        <w:rPr>
          <w:rFonts w:hint="eastAsia" w:ascii="仿宋" w:hAnsi="仿宋" w:eastAsia="仿宋" w:cs="仿宋"/>
          <w:color w:val="auto"/>
          <w:sz w:val="28"/>
          <w:szCs w:val="28"/>
          <w:highlight w:val="none"/>
          <w:lang w:val="en-US" w:eastAsia="zh-CN"/>
        </w:rPr>
        <w:tab/>
      </w:r>
    </w:p>
    <w:p>
      <w:pPr>
        <w:spacing w:line="200" w:lineRule="exact"/>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5、大屏施工技术服务</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1）大屏整体的安装及技术调式</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6、视频线</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1）完成视频线的相关配套设备施工、功能/性能测试装配调试工作。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7、线槽线管</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1）完成线槽线管的相关配套设备施工、功能/性能测试装配调试工作。</w:t>
      </w:r>
    </w:p>
    <w:p>
      <w:pPr>
        <w:pStyle w:val="11"/>
        <w:spacing w:line="200" w:lineRule="exact"/>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8、网线</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1）6类线信息线</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9、辅助材料</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1）包含卡农头、小三芯、音箱头、莲花头、水晶头、水晶钳、络铁，焊锡，螺丝刀，电源线等。</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10、机柜</w:t>
      </w:r>
      <w:r>
        <w:rPr>
          <w:rFonts w:hint="eastAsia" w:ascii="仿宋" w:hAnsi="仿宋" w:eastAsia="仿宋" w:cs="仿宋"/>
          <w:color w:val="auto"/>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1）类型机柜；</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2）容量42U；</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3）标准19"国际标准；</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4）前门：网状冷轧钢前门或侧通风钢化玻璃主体前门，弹式免匙锁；</w:t>
      </w:r>
    </w:p>
    <w:p>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5）后门：冷轧钢网孔后门，钢质圆锁；</w:t>
      </w:r>
      <w:r>
        <w:rPr>
          <w:rFonts w:hint="eastAsia" w:ascii="仿宋" w:hAnsi="仿宋" w:eastAsia="仿宋" w:cs="仿宋"/>
          <w:color w:val="auto"/>
          <w:sz w:val="28"/>
          <w:szCs w:val="28"/>
          <w:highlight w:val="none"/>
          <w:lang w:val="en-US" w:eastAsia="zh-CN"/>
        </w:rPr>
        <w:tab/>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en-US" w:eastAsia="zh-CN"/>
        </w:rPr>
        <w:tab/>
      </w:r>
      <w:r>
        <w:rPr>
          <w:rFonts w:hint="eastAsia" w:ascii="仿宋" w:hAnsi="仿宋" w:eastAsia="仿宋" w:cs="仿宋"/>
          <w:color w:val="auto"/>
          <w:sz w:val="28"/>
          <w:szCs w:val="28"/>
          <w:highlight w:val="none"/>
          <w:lang w:val="en-US" w:eastAsia="zh-CN"/>
        </w:rPr>
        <w:t>个</w:t>
      </w:r>
    </w:p>
    <w:p>
      <w:pPr>
        <w:pStyle w:val="11"/>
        <w:rPr>
          <w:rFonts w:ascii="Times New Roman" w:hAnsi="Times New Roman" w:eastAsiaTheme="minorEastAsia" w:cstheme="minorBidi"/>
          <w:color w:val="auto"/>
          <w:sz w:val="21"/>
          <w:szCs w:val="22"/>
          <w:highlight w:val="none"/>
        </w:rPr>
      </w:pPr>
    </w:p>
    <w:p>
      <w:pPr>
        <w:pStyle w:val="11"/>
        <w:rPr>
          <w:rFonts w:hint="eastAsia"/>
          <w:color w:val="auto"/>
          <w:highlight w:val="none"/>
          <w:lang w:val="en-US" w:eastAsia="zh-CN"/>
        </w:rPr>
      </w:pPr>
    </w:p>
    <w:p>
      <w:pPr>
        <w:pStyle w:val="24"/>
        <w:ind w:firstLine="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效果图：</w:t>
      </w:r>
    </w:p>
    <w:p>
      <w:pPr>
        <w:pStyle w:val="24"/>
        <w:ind w:firstLine="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rPr>
        <w:drawing>
          <wp:inline distT="0" distB="0" distL="114300" distR="114300">
            <wp:extent cx="5252720" cy="3152775"/>
            <wp:effectExtent l="0" t="0" r="5080" b="9525"/>
            <wp:docPr id="26" name="图片 26" descr="C:/Users/Administrator/Desktop/微信图片_20231021135354.png微信图片_202310211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微信图片_20231021135354.png微信图片_20231021135354"/>
                    <pic:cNvPicPr>
                      <a:picLocks noChangeAspect="1"/>
                    </pic:cNvPicPr>
                  </pic:nvPicPr>
                  <pic:blipFill>
                    <a:blip r:embed="rId10"/>
                    <a:srcRect l="18" r="18"/>
                    <a:stretch>
                      <a:fillRect/>
                    </a:stretch>
                  </pic:blipFill>
                  <pic:spPr>
                    <a:xfrm>
                      <a:off x="0" y="0"/>
                      <a:ext cx="5252720" cy="3152775"/>
                    </a:xfrm>
                    <a:prstGeom prst="rect">
                      <a:avLst/>
                    </a:prstGeom>
                  </pic:spPr>
                </pic:pic>
              </a:graphicData>
            </a:graphic>
          </wp:inline>
        </w:drawing>
      </w:r>
    </w:p>
    <w:p>
      <w:pPr>
        <w:pStyle w:val="24"/>
        <w:ind w:firstLine="0"/>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rPr>
        <w:t xml:space="preserve">图3-1 </w:t>
      </w:r>
      <w:r>
        <w:rPr>
          <w:rFonts w:hint="eastAsia" w:ascii="仿宋" w:hAnsi="仿宋" w:eastAsia="仿宋"/>
          <w:color w:val="auto"/>
          <w:sz w:val="24"/>
          <w:szCs w:val="24"/>
          <w:highlight w:val="none"/>
          <w:lang w:val="en-US" w:eastAsia="zh-CN"/>
        </w:rPr>
        <w:t>会议室大屏更换正面</w:t>
      </w:r>
      <w:r>
        <w:rPr>
          <w:rFonts w:hint="eastAsia" w:ascii="仿宋" w:hAnsi="仿宋" w:eastAsia="仿宋"/>
          <w:color w:val="auto"/>
          <w:sz w:val="24"/>
          <w:szCs w:val="24"/>
          <w:highlight w:val="none"/>
        </w:rPr>
        <w:t>效果图</w:t>
      </w:r>
    </w:p>
    <w:p>
      <w:pPr>
        <w:pStyle w:val="24"/>
        <w:ind w:firstLine="0"/>
        <w:jc w:val="center"/>
        <w:rPr>
          <w:rFonts w:hint="default" w:ascii="仿宋" w:hAnsi="仿宋" w:eastAsia="仿宋"/>
          <w:color w:val="auto"/>
          <w:highlight w:val="none"/>
          <w:lang w:val="en-US" w:eastAsia="zh-CN"/>
        </w:rPr>
      </w:pPr>
      <w:r>
        <w:rPr>
          <w:rFonts w:hint="eastAsia" w:ascii="仿宋" w:hAnsi="仿宋" w:eastAsia="仿宋"/>
          <w:color w:val="auto"/>
          <w:highlight w:val="none"/>
          <w:lang w:eastAsia="zh-CN"/>
        </w:rPr>
        <w:drawing>
          <wp:inline distT="0" distB="0" distL="114300" distR="114300">
            <wp:extent cx="5777230" cy="3466465"/>
            <wp:effectExtent l="0" t="0" r="13970" b="635"/>
            <wp:docPr id="1" name="图片 1" descr="f87312c89f633f5e5be941941ae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87312c89f633f5e5be941941ae3298"/>
                    <pic:cNvPicPr>
                      <a:picLocks noChangeAspect="1"/>
                    </pic:cNvPicPr>
                  </pic:nvPicPr>
                  <pic:blipFill>
                    <a:blip r:embed="rId11"/>
                    <a:stretch>
                      <a:fillRect/>
                    </a:stretch>
                  </pic:blipFill>
                  <pic:spPr>
                    <a:xfrm>
                      <a:off x="0" y="0"/>
                      <a:ext cx="5777230" cy="3466465"/>
                    </a:xfrm>
                    <a:prstGeom prst="rect">
                      <a:avLst/>
                    </a:prstGeom>
                  </pic:spPr>
                </pic:pic>
              </a:graphicData>
            </a:graphic>
          </wp:inline>
        </w:drawing>
      </w:r>
    </w:p>
    <w:p>
      <w:pPr>
        <w:pStyle w:val="49"/>
        <w:ind w:firstLine="2472" w:firstLineChars="1030"/>
        <w:rPr>
          <w:rFonts w:hint="eastAsia" w:ascii="仿宋" w:hAnsi="仿宋" w:eastAsia="仿宋"/>
          <w:color w:val="auto"/>
          <w:highlight w:val="none"/>
        </w:rPr>
      </w:pPr>
      <w:r>
        <w:rPr>
          <w:rFonts w:hint="eastAsia" w:ascii="仿宋" w:hAnsi="仿宋" w:eastAsia="仿宋"/>
          <w:color w:val="auto"/>
          <w:highlight w:val="none"/>
          <w:lang w:eastAsia="zh-CN"/>
        </w:rPr>
        <w:drawing>
          <wp:anchor distT="0" distB="0" distL="114300" distR="114300" simplePos="0" relativeHeight="251675648" behindDoc="0" locked="0" layoutInCell="1" allowOverlap="1">
            <wp:simplePos x="0" y="0"/>
            <wp:positionH relativeFrom="column">
              <wp:posOffset>271145</wp:posOffset>
            </wp:positionH>
            <wp:positionV relativeFrom="paragraph">
              <wp:posOffset>727075</wp:posOffset>
            </wp:positionV>
            <wp:extent cx="5652770" cy="3392170"/>
            <wp:effectExtent l="0" t="0" r="5080" b="17780"/>
            <wp:wrapSquare wrapText="bothSides"/>
            <wp:docPr id="2" name="图片 2" descr="9012b9fcb7517a3d0a4601b34bbf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12b9fcb7517a3d0a4601b34bbfa1a"/>
                    <pic:cNvPicPr>
                      <a:picLocks noChangeAspect="1"/>
                    </pic:cNvPicPr>
                  </pic:nvPicPr>
                  <pic:blipFill>
                    <a:blip r:embed="rId12"/>
                    <a:stretch>
                      <a:fillRect/>
                    </a:stretch>
                  </pic:blipFill>
                  <pic:spPr>
                    <a:xfrm>
                      <a:off x="0" y="0"/>
                      <a:ext cx="5652770" cy="3392170"/>
                    </a:xfrm>
                    <a:prstGeom prst="rect">
                      <a:avLst/>
                    </a:prstGeom>
                  </pic:spPr>
                </pic:pic>
              </a:graphicData>
            </a:graphic>
          </wp:anchor>
        </w:drawing>
      </w:r>
      <w:r>
        <w:rPr>
          <w:rFonts w:hint="eastAsia" w:ascii="仿宋" w:hAnsi="仿宋" w:eastAsia="仿宋"/>
          <w:color w:val="auto"/>
          <w:highlight w:val="none"/>
        </w:rPr>
        <w:t>图3-</w:t>
      </w:r>
      <w:r>
        <w:rPr>
          <w:rFonts w:ascii="仿宋" w:hAnsi="仿宋" w:eastAsia="仿宋"/>
          <w:color w:val="auto"/>
          <w:highlight w:val="none"/>
        </w:rPr>
        <w:t xml:space="preserve">2  </w:t>
      </w:r>
      <w:r>
        <w:rPr>
          <w:rFonts w:hint="eastAsia" w:ascii="仿宋" w:hAnsi="仿宋" w:eastAsia="仿宋"/>
          <w:color w:val="auto"/>
          <w:sz w:val="24"/>
          <w:szCs w:val="24"/>
          <w:highlight w:val="none"/>
          <w:lang w:val="en-US" w:eastAsia="zh-CN"/>
        </w:rPr>
        <w:t>会议室大屏更换俯视</w:t>
      </w:r>
      <w:r>
        <w:rPr>
          <w:rFonts w:hint="eastAsia" w:ascii="仿宋" w:hAnsi="仿宋" w:eastAsia="仿宋"/>
          <w:color w:val="auto"/>
          <w:sz w:val="24"/>
          <w:szCs w:val="24"/>
          <w:highlight w:val="none"/>
        </w:rPr>
        <w:t>效果图</w:t>
      </w:r>
    </w:p>
    <w:p>
      <w:pPr>
        <w:pStyle w:val="24"/>
        <w:ind w:firstLine="0"/>
        <w:jc w:val="center"/>
        <w:rPr>
          <w:rFonts w:hint="default" w:ascii="仿宋" w:hAnsi="仿宋" w:eastAsia="仿宋"/>
          <w:color w:val="auto"/>
          <w:highlight w:val="none"/>
          <w:lang w:val="en-US" w:eastAsia="zh-CN"/>
        </w:rPr>
      </w:pPr>
    </w:p>
    <w:p>
      <w:pPr>
        <w:pStyle w:val="2"/>
        <w:ind w:firstLine="1200" w:firstLineChars="500"/>
        <w:rPr>
          <w:rFonts w:hint="eastAsia" w:ascii="仿宋" w:hAnsi="仿宋" w:eastAsia="仿宋"/>
          <w:color w:val="auto"/>
          <w:sz w:val="24"/>
          <w:szCs w:val="24"/>
          <w:highlight w:val="none"/>
          <w:lang w:eastAsia="zh-CN"/>
        </w:rPr>
      </w:pPr>
      <w:r>
        <w:rPr>
          <w:rFonts w:hint="eastAsia" w:ascii="仿宋" w:hAnsi="仿宋" w:eastAsia="仿宋"/>
          <w:color w:val="auto"/>
          <w:highlight w:val="none"/>
        </w:rPr>
        <w:t>图3-</w:t>
      </w:r>
      <w:r>
        <w:rPr>
          <w:rFonts w:hint="eastAsia" w:ascii="仿宋" w:hAnsi="仿宋" w:eastAsia="仿宋"/>
          <w:color w:val="auto"/>
          <w:highlight w:val="none"/>
          <w:lang w:val="en-US" w:eastAsia="zh-CN"/>
        </w:rPr>
        <w:t>3</w:t>
      </w:r>
      <w:r>
        <w:rPr>
          <w:rFonts w:ascii="仿宋" w:hAnsi="仿宋" w:eastAsia="仿宋"/>
          <w:color w:val="auto"/>
          <w:highlight w:val="none"/>
        </w:rPr>
        <w:t xml:space="preserve">  </w:t>
      </w:r>
      <w:r>
        <w:rPr>
          <w:rFonts w:hint="eastAsia" w:ascii="仿宋" w:hAnsi="仿宋" w:eastAsia="仿宋"/>
          <w:color w:val="auto"/>
          <w:sz w:val="24"/>
          <w:szCs w:val="24"/>
          <w:highlight w:val="none"/>
          <w:lang w:val="en-US" w:eastAsia="zh-CN"/>
        </w:rPr>
        <w:t>会议室大屏尺寸标注</w:t>
      </w:r>
      <w:r>
        <w:rPr>
          <w:rFonts w:hint="eastAsia" w:ascii="仿宋" w:hAnsi="仿宋" w:eastAsia="仿宋"/>
          <w:color w:val="auto"/>
          <w:sz w:val="24"/>
          <w:szCs w:val="24"/>
          <w:highlight w:val="none"/>
        </w:rPr>
        <w:t>效果图</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尺寸：宽3900mm*高2025mm</w:t>
      </w:r>
      <w:r>
        <w:rPr>
          <w:rFonts w:hint="eastAsia" w:ascii="仿宋" w:hAnsi="仿宋" w:eastAsia="仿宋"/>
          <w:color w:val="auto"/>
          <w:sz w:val="24"/>
          <w:szCs w:val="24"/>
          <w:highlight w:val="none"/>
          <w:lang w:eastAsia="zh-CN"/>
        </w:rPr>
        <w:t>）</w:t>
      </w:r>
    </w:p>
    <w:p>
      <w:pPr>
        <w:adjustRightInd w:val="0"/>
        <w:snapToGrid w:val="0"/>
        <w:spacing w:line="600" w:lineRule="exact"/>
        <w:jc w:val="left"/>
        <w:outlineLvl w:val="2"/>
        <w:rPr>
          <w:rFonts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三、项目商务要求</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ascii="仿宋" w:hAnsi="仿宋" w:eastAsia="仿宋" w:cs="宋体"/>
          <w:color w:val="auto"/>
          <w:sz w:val="28"/>
          <w:szCs w:val="28"/>
          <w:highlight w:val="none"/>
          <w:lang w:val="zh-CN"/>
        </w:rPr>
        <w:t>1.服务期：自双方签订合同为期</w:t>
      </w:r>
      <w:r>
        <w:rPr>
          <w:rFonts w:hint="eastAsia" w:ascii="仿宋" w:hAnsi="仿宋" w:eastAsia="仿宋" w:cs="宋体"/>
          <w:color w:val="auto"/>
          <w:sz w:val="28"/>
          <w:szCs w:val="28"/>
          <w:highlight w:val="none"/>
          <w:lang w:val="en-US" w:eastAsia="zh-CN"/>
        </w:rPr>
        <w:t>60</w:t>
      </w:r>
      <w:r>
        <w:rPr>
          <w:rFonts w:ascii="仿宋" w:hAnsi="仿宋" w:eastAsia="仿宋" w:cs="宋体"/>
          <w:color w:val="auto"/>
          <w:sz w:val="28"/>
          <w:szCs w:val="28"/>
          <w:highlight w:val="none"/>
        </w:rPr>
        <w:t>天。</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ascii="仿宋" w:hAnsi="仿宋" w:eastAsia="仿宋" w:cs="宋体"/>
          <w:color w:val="auto"/>
          <w:sz w:val="28"/>
          <w:szCs w:val="28"/>
          <w:highlight w:val="none"/>
          <w:lang w:val="zh-CN"/>
        </w:rPr>
        <w:t>2.质量要求：</w:t>
      </w:r>
      <w:r>
        <w:rPr>
          <w:rFonts w:hint="eastAsia" w:ascii="仿宋" w:hAnsi="仿宋" w:eastAsia="仿宋" w:cs="宋体"/>
          <w:color w:val="auto"/>
          <w:sz w:val="28"/>
          <w:szCs w:val="28"/>
          <w:highlight w:val="none"/>
        </w:rPr>
        <w:t>项目实施内容及要求，必须按国家标准、行业标准、检定规程、设备技术要求等规定对设备进行安全检查、维保等服务，确保设备使用的正常、安全。</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ascii="仿宋" w:hAnsi="仿宋" w:eastAsia="仿宋" w:cs="宋体"/>
          <w:color w:val="auto"/>
          <w:sz w:val="28"/>
          <w:szCs w:val="28"/>
          <w:highlight w:val="none"/>
        </w:rPr>
        <w:t>3.总包及分包规定：</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hint="eastAsia" w:ascii="仿宋" w:hAnsi="仿宋" w:eastAsia="仿宋" w:cs="宋体"/>
          <w:color w:val="auto"/>
          <w:sz w:val="28"/>
          <w:szCs w:val="28"/>
          <w:highlight w:val="none"/>
          <w:lang w:val="zh-CN"/>
        </w:rPr>
        <w:t>承包单位不许转包，不许擅自分包</w:t>
      </w:r>
      <w:r>
        <w:rPr>
          <w:rFonts w:ascii="仿宋" w:hAnsi="仿宋" w:eastAsia="仿宋" w:cs="宋体"/>
          <w:color w:val="auto"/>
          <w:sz w:val="28"/>
          <w:szCs w:val="28"/>
          <w:highlight w:val="none"/>
          <w:lang w:val="zh-CN"/>
        </w:rPr>
        <w:t xml:space="preserve">, </w:t>
      </w:r>
      <w:r>
        <w:rPr>
          <w:rFonts w:hint="eastAsia" w:ascii="仿宋" w:hAnsi="仿宋" w:eastAsia="仿宋" w:cs="宋体"/>
          <w:color w:val="auto"/>
          <w:sz w:val="28"/>
          <w:szCs w:val="28"/>
          <w:highlight w:val="none"/>
          <w:lang w:val="zh-CN"/>
        </w:rPr>
        <w:t>否则，发包人有权单方面终止合同，并令其立即退场，由此而造成的经济损失由承包单位负责赔偿。</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ascii="仿宋" w:hAnsi="仿宋" w:eastAsia="仿宋" w:cs="宋体"/>
          <w:color w:val="auto"/>
          <w:sz w:val="28"/>
          <w:szCs w:val="28"/>
          <w:highlight w:val="none"/>
        </w:rPr>
        <w:t>4.保修期（保养期）：质保期为验收合格之日起</w:t>
      </w:r>
      <w:r>
        <w:rPr>
          <w:rFonts w:hint="eastAsia" w:ascii="仿宋" w:hAnsi="仿宋" w:eastAsia="仿宋" w:cs="宋体"/>
          <w:color w:val="auto"/>
          <w:sz w:val="28"/>
          <w:szCs w:val="28"/>
          <w:highlight w:val="none"/>
        </w:rPr>
        <w:t>壹年。</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ascii="仿宋" w:hAnsi="仿宋" w:eastAsia="仿宋" w:cs="宋体"/>
          <w:color w:val="auto"/>
          <w:sz w:val="28"/>
          <w:szCs w:val="28"/>
          <w:highlight w:val="none"/>
        </w:rPr>
        <w:t>5.询价人将自承包人履行</w:t>
      </w:r>
      <w:r>
        <w:rPr>
          <w:rFonts w:hint="eastAsia" w:ascii="仿宋" w:hAnsi="仿宋" w:eastAsia="仿宋" w:cs="宋体"/>
          <w:color w:val="auto"/>
          <w:sz w:val="28"/>
          <w:szCs w:val="28"/>
          <w:highlight w:val="none"/>
        </w:rPr>
        <w:t>完合同义务之日起</w:t>
      </w:r>
      <w:r>
        <w:rPr>
          <w:rFonts w:ascii="仿宋" w:hAnsi="仿宋" w:eastAsia="仿宋" w:cs="宋体"/>
          <w:color w:val="auto"/>
          <w:sz w:val="28"/>
          <w:szCs w:val="28"/>
          <w:highlight w:val="none"/>
        </w:rPr>
        <w:t>20天内组织验收，验收要求、验收标准及方法如下：</w:t>
      </w:r>
    </w:p>
    <w:p>
      <w:pPr>
        <w:adjustRightInd w:val="0"/>
        <w:snapToGrid w:val="0"/>
        <w:spacing w:line="600" w:lineRule="exact"/>
        <w:ind w:firstLine="420" w:firstLineChars="150"/>
        <w:jc w:val="left"/>
        <w:rPr>
          <w:rFonts w:ascii="仿宋" w:hAnsi="仿宋" w:eastAsia="仿宋" w:cs="宋体"/>
          <w:color w:val="auto"/>
          <w:sz w:val="28"/>
          <w:szCs w:val="28"/>
          <w:highlight w:val="none"/>
          <w:lang w:val="zh-CN"/>
        </w:rPr>
      </w:pPr>
      <w:r>
        <w:rPr>
          <w:rFonts w:hint="eastAsia" w:ascii="仿宋" w:hAnsi="仿宋" w:eastAsia="仿宋" w:cs="宋体"/>
          <w:color w:val="auto"/>
          <w:sz w:val="28"/>
          <w:szCs w:val="28"/>
          <w:highlight w:val="none"/>
          <w:lang w:val="zh-CN"/>
        </w:rPr>
        <w:t>（</w:t>
      </w:r>
      <w:r>
        <w:rPr>
          <w:rFonts w:ascii="仿宋" w:hAnsi="仿宋" w:eastAsia="仿宋" w:cs="宋体"/>
          <w:color w:val="auto"/>
          <w:sz w:val="28"/>
          <w:szCs w:val="28"/>
          <w:highlight w:val="none"/>
        </w:rPr>
        <w:t>1</w:t>
      </w:r>
      <w:r>
        <w:rPr>
          <w:rFonts w:hint="eastAsia" w:ascii="仿宋" w:hAnsi="仿宋" w:eastAsia="仿宋" w:cs="宋体"/>
          <w:color w:val="auto"/>
          <w:sz w:val="28"/>
          <w:szCs w:val="28"/>
          <w:highlight w:val="none"/>
          <w:lang w:val="zh-CN"/>
        </w:rPr>
        <w:t>）验收依据：询价文件、询价响应文件有关的质量标准规定。</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hint="eastAsia" w:ascii="仿宋" w:hAnsi="仿宋" w:eastAsia="仿宋" w:cs="宋体"/>
          <w:color w:val="auto"/>
          <w:sz w:val="28"/>
          <w:szCs w:val="28"/>
          <w:highlight w:val="none"/>
          <w:lang w:val="zh-CN"/>
        </w:rPr>
        <w:t>（</w:t>
      </w:r>
      <w:r>
        <w:rPr>
          <w:rFonts w:ascii="仿宋" w:hAnsi="仿宋" w:eastAsia="仿宋" w:cs="宋体"/>
          <w:color w:val="auto"/>
          <w:sz w:val="28"/>
          <w:szCs w:val="28"/>
          <w:highlight w:val="none"/>
        </w:rPr>
        <w:t>2</w:t>
      </w:r>
      <w:r>
        <w:rPr>
          <w:rFonts w:hint="eastAsia" w:ascii="仿宋" w:hAnsi="仿宋" w:eastAsia="仿宋" w:cs="宋体"/>
          <w:color w:val="auto"/>
          <w:sz w:val="28"/>
          <w:szCs w:val="28"/>
          <w:highlight w:val="none"/>
          <w:lang w:val="zh-CN"/>
        </w:rPr>
        <w:t>）承包单位根据要求进行</w:t>
      </w:r>
      <w:r>
        <w:rPr>
          <w:rFonts w:hint="eastAsia" w:ascii="仿宋" w:hAnsi="仿宋" w:eastAsia="仿宋" w:cs="宋体"/>
          <w:color w:val="auto"/>
          <w:sz w:val="28"/>
          <w:szCs w:val="28"/>
          <w:highlight w:val="none"/>
        </w:rPr>
        <w:t>维修。</w:t>
      </w:r>
      <w:r>
        <w:rPr>
          <w:rFonts w:hint="eastAsia" w:ascii="仿宋" w:hAnsi="仿宋" w:eastAsia="仿宋" w:cs="宋体"/>
          <w:color w:val="auto"/>
          <w:sz w:val="28"/>
          <w:szCs w:val="28"/>
          <w:highlight w:val="none"/>
          <w:lang w:val="zh-CN"/>
        </w:rPr>
        <w:t>完成之后，</w:t>
      </w:r>
      <w:r>
        <w:rPr>
          <w:rFonts w:hint="eastAsia" w:ascii="仿宋" w:hAnsi="仿宋" w:eastAsia="仿宋" w:cs="宋体"/>
          <w:color w:val="auto"/>
          <w:sz w:val="28"/>
          <w:szCs w:val="28"/>
          <w:highlight w:val="none"/>
        </w:rPr>
        <w:t>确保管道正常运行</w:t>
      </w:r>
      <w:r>
        <w:rPr>
          <w:rFonts w:hint="eastAsia" w:ascii="仿宋" w:hAnsi="仿宋" w:eastAsia="仿宋" w:cs="宋体"/>
          <w:color w:val="auto"/>
          <w:sz w:val="28"/>
          <w:szCs w:val="28"/>
          <w:highlight w:val="none"/>
          <w:lang w:val="zh-CN"/>
        </w:rPr>
        <w:t>的要求。</w:t>
      </w:r>
    </w:p>
    <w:p>
      <w:pPr>
        <w:adjustRightInd w:val="0"/>
        <w:snapToGrid w:val="0"/>
        <w:spacing w:line="600" w:lineRule="exact"/>
        <w:ind w:firstLine="420" w:firstLineChars="150"/>
        <w:jc w:val="left"/>
        <w:rPr>
          <w:rFonts w:ascii="仿宋" w:hAnsi="仿宋" w:eastAsia="仿宋" w:cs="宋体"/>
          <w:color w:val="auto"/>
          <w:sz w:val="28"/>
          <w:szCs w:val="28"/>
          <w:highlight w:val="none"/>
          <w:lang w:val="zh-CN"/>
        </w:rPr>
      </w:pPr>
      <w:r>
        <w:rPr>
          <w:rFonts w:hint="eastAsia" w:ascii="仿宋" w:hAnsi="仿宋" w:eastAsia="仿宋" w:cs="宋体"/>
          <w:color w:val="auto"/>
          <w:sz w:val="28"/>
          <w:szCs w:val="28"/>
          <w:highlight w:val="none"/>
          <w:lang w:val="zh-CN"/>
        </w:rPr>
        <w:t>（</w:t>
      </w:r>
      <w:r>
        <w:rPr>
          <w:rFonts w:ascii="仿宋" w:hAnsi="仿宋" w:eastAsia="仿宋" w:cs="宋体"/>
          <w:color w:val="auto"/>
          <w:sz w:val="28"/>
          <w:szCs w:val="28"/>
          <w:highlight w:val="none"/>
        </w:rPr>
        <w:t>3</w:t>
      </w:r>
      <w:r>
        <w:rPr>
          <w:rFonts w:hint="eastAsia" w:ascii="仿宋" w:hAnsi="仿宋" w:eastAsia="仿宋" w:cs="宋体"/>
          <w:color w:val="auto"/>
          <w:sz w:val="28"/>
          <w:szCs w:val="28"/>
          <w:highlight w:val="none"/>
          <w:lang w:val="zh-CN"/>
        </w:rPr>
        <w:t>）验收时承包单位必须派代表参加。</w:t>
      </w:r>
    </w:p>
    <w:p>
      <w:pPr>
        <w:adjustRightInd w:val="0"/>
        <w:snapToGrid w:val="0"/>
        <w:spacing w:line="600" w:lineRule="exact"/>
        <w:ind w:firstLine="420" w:firstLineChars="150"/>
        <w:jc w:val="left"/>
        <w:rPr>
          <w:rFonts w:ascii="仿宋" w:hAnsi="仿宋" w:eastAsia="仿宋" w:cs="宋体"/>
          <w:color w:val="auto"/>
          <w:sz w:val="28"/>
          <w:szCs w:val="28"/>
          <w:highlight w:val="none"/>
        </w:rPr>
      </w:pPr>
      <w:r>
        <w:rPr>
          <w:rFonts w:hint="eastAsia" w:ascii="仿宋" w:hAnsi="仿宋" w:eastAsia="仿宋" w:cs="宋体"/>
          <w:color w:val="auto"/>
          <w:sz w:val="28"/>
          <w:szCs w:val="28"/>
          <w:highlight w:val="none"/>
          <w:lang w:val="zh-CN"/>
        </w:rPr>
        <w:t>（</w:t>
      </w:r>
      <w:r>
        <w:rPr>
          <w:rFonts w:ascii="仿宋" w:hAnsi="仿宋" w:eastAsia="仿宋" w:cs="宋体"/>
          <w:color w:val="auto"/>
          <w:sz w:val="28"/>
          <w:szCs w:val="28"/>
          <w:highlight w:val="none"/>
        </w:rPr>
        <w:t>4</w:t>
      </w:r>
      <w:r>
        <w:rPr>
          <w:rFonts w:hint="eastAsia" w:ascii="仿宋" w:hAnsi="仿宋" w:eastAsia="仿宋" w:cs="宋体"/>
          <w:color w:val="auto"/>
          <w:sz w:val="28"/>
          <w:szCs w:val="28"/>
          <w:highlight w:val="none"/>
          <w:lang w:val="zh-CN"/>
        </w:rPr>
        <w:t>）验收过程所发生的一切费用由承包单位承担。</w:t>
      </w:r>
    </w:p>
    <w:p>
      <w:pPr>
        <w:adjustRightInd w:val="0"/>
        <w:snapToGrid w:val="0"/>
        <w:spacing w:line="600" w:lineRule="exact"/>
        <w:ind w:firstLine="420" w:firstLineChars="150"/>
        <w:jc w:val="left"/>
        <w:rPr>
          <w:rFonts w:ascii="仿宋" w:hAnsi="仿宋" w:eastAsia="仿宋" w:cs="宋体"/>
          <w:color w:val="auto"/>
          <w:sz w:val="28"/>
          <w:szCs w:val="28"/>
          <w:highlight w:val="none"/>
          <w:lang w:val="zh-CN"/>
        </w:rPr>
      </w:pPr>
      <w:r>
        <w:rPr>
          <w:rFonts w:ascii="仿宋" w:hAnsi="仿宋" w:eastAsia="仿宋" w:cs="宋体"/>
          <w:color w:val="auto"/>
          <w:sz w:val="28"/>
          <w:szCs w:val="28"/>
          <w:highlight w:val="none"/>
        </w:rPr>
        <w:t>6.承包方式：</w:t>
      </w:r>
      <w:r>
        <w:rPr>
          <w:rFonts w:ascii="仿宋" w:hAnsi="仿宋" w:eastAsia="仿宋" w:cs="宋体"/>
          <w:color w:val="auto"/>
          <w:sz w:val="28"/>
          <w:szCs w:val="28"/>
          <w:highlight w:val="none"/>
          <w:lang w:val="zh-CN"/>
        </w:rPr>
        <w:sym w:font="Wingdings" w:char="00FE"/>
      </w:r>
      <w:r>
        <w:rPr>
          <w:rFonts w:hint="eastAsia" w:ascii="仿宋" w:hAnsi="仿宋" w:eastAsia="仿宋" w:cs="宋体"/>
          <w:color w:val="auto"/>
          <w:sz w:val="28"/>
          <w:szCs w:val="28"/>
          <w:highlight w:val="none"/>
          <w:lang w:val="zh-CN"/>
        </w:rPr>
        <w:t>单价</w:t>
      </w:r>
      <w:r>
        <w:rPr>
          <w:rFonts w:hint="eastAsia" w:ascii="仿宋" w:hAnsi="仿宋" w:eastAsia="仿宋" w:cs="宋体"/>
          <w:color w:val="auto"/>
          <w:sz w:val="28"/>
          <w:szCs w:val="28"/>
          <w:highlight w:val="none"/>
        </w:rPr>
        <w:t>包干</w:t>
      </w:r>
      <w:r>
        <w:rPr>
          <w:rFonts w:hint="eastAsia" w:ascii="仿宋" w:hAnsi="仿宋" w:eastAsia="仿宋" w:cs="宋体"/>
          <w:color w:val="auto"/>
          <w:sz w:val="28"/>
          <w:szCs w:val="28"/>
          <w:highlight w:val="none"/>
          <w:lang w:val="zh-CN"/>
        </w:rPr>
        <w:t>：询价响应文件包含总价及综合单价时，综合单价为合同单价。合同单价在询价文件及施工合同约定的风险范围之内不可调整。</w:t>
      </w:r>
    </w:p>
    <w:p>
      <w:pPr>
        <w:pStyle w:val="24"/>
        <w:rPr>
          <w:color w:val="auto"/>
          <w:highlight w:val="none"/>
        </w:rPr>
      </w:pPr>
    </w:p>
    <w:bookmarkEnd w:id="62"/>
    <w:p>
      <w:pPr>
        <w:ind w:firstLine="560" w:firstLineChars="200"/>
        <w:rPr>
          <w:rFonts w:ascii="仿宋_GB2312" w:eastAsia="仿宋_GB2312"/>
          <w:color w:val="auto"/>
          <w:sz w:val="28"/>
          <w:szCs w:val="28"/>
          <w:highlight w:val="none"/>
        </w:rPr>
      </w:pPr>
    </w:p>
    <w:p>
      <w:pPr>
        <w:pStyle w:val="24"/>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3"/>
        <w:rPr>
          <w:color w:val="auto"/>
          <w:highlight w:val="none"/>
        </w:rPr>
      </w:pPr>
      <w:bookmarkStart w:id="73" w:name="_Toc23353"/>
      <w:bookmarkStart w:id="74" w:name="_Toc29835"/>
      <w:bookmarkStart w:id="75" w:name="_Toc1496"/>
      <w:bookmarkStart w:id="76" w:name="_Toc537"/>
      <w:bookmarkStart w:id="77" w:name="_Toc23330"/>
      <w:bookmarkStart w:id="78" w:name="_Toc18538"/>
      <w:bookmarkStart w:id="79" w:name="_Toc1284"/>
      <w:bookmarkStart w:id="80" w:name="_Toc15570"/>
      <w:bookmarkStart w:id="81" w:name="_Toc25925"/>
      <w:bookmarkStart w:id="82" w:name="_Toc12135"/>
      <w:bookmarkStart w:id="83" w:name="_Toc4680"/>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2306320</wp:posOffset>
                </wp:positionH>
                <wp:positionV relativeFrom="paragraph">
                  <wp:posOffset>720090</wp:posOffset>
                </wp:positionV>
                <wp:extent cx="958850" cy="0"/>
                <wp:effectExtent l="0" t="6350" r="0" b="6350"/>
                <wp:wrapNone/>
                <wp:docPr id="12"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438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LWDlpf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2325370</wp:posOffset>
                </wp:positionH>
                <wp:positionV relativeFrom="paragraph">
                  <wp:posOffset>270510</wp:posOffset>
                </wp:positionV>
                <wp:extent cx="958850" cy="0"/>
                <wp:effectExtent l="0" t="6350" r="0" b="6350"/>
                <wp:wrapNone/>
                <wp:docPr id="11"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336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qGykZ8gEAAOM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GWcOLN34&#10;z0/ffn38fPflx933r2yZJRoC1hS5cTfxtMNwEzPfQxtt/hMTdiiyHs+yqkNigg5fLJbLBQku7l3V&#10;Q16ImF4pb1k2Go4pgu76tPHO0d35OCuqwv41JqpMifcJuahxbMjw8wWBA81iSzNApg3EB11XctEb&#10;La+1MTkDY7fbmMj2kOehfJkf4f4VlotsAfsxrrjGSekVyJdOsnQMJJSjB8JzC1ZJzoyi95QtAoQ6&#10;gTaXRFJp46iDLPEoarZ2Xh6L1uWc7r70eJrTPFx/7kv2w9tc/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ahspG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73"/>
      <w:bookmarkEnd w:id="74"/>
      <w:bookmarkEnd w:id="75"/>
      <w:bookmarkEnd w:id="76"/>
      <w:bookmarkEnd w:id="77"/>
      <w:bookmarkEnd w:id="78"/>
      <w:bookmarkEnd w:id="79"/>
      <w:bookmarkEnd w:id="80"/>
      <w:bookmarkEnd w:id="81"/>
      <w:bookmarkEnd w:id="82"/>
      <w:bookmarkEnd w:id="83"/>
    </w:p>
    <w:p>
      <w:pPr>
        <w:pStyle w:val="38"/>
        <w:rPr>
          <w:color w:val="auto"/>
          <w:highlight w:val="none"/>
        </w:rPr>
      </w:pPr>
    </w:p>
    <w:p>
      <w:pPr>
        <w:pStyle w:val="3"/>
        <w:rPr>
          <w:color w:val="auto"/>
          <w:highlight w:val="none"/>
        </w:rPr>
      </w:pPr>
      <w:bookmarkStart w:id="84" w:name="_Toc12968"/>
      <w:bookmarkStart w:id="85" w:name="_Toc19686"/>
      <w:bookmarkStart w:id="86" w:name="_Toc22797"/>
      <w:bookmarkStart w:id="87" w:name="_Toc12721"/>
      <w:bookmarkStart w:id="88" w:name="_Toc8183"/>
      <w:bookmarkStart w:id="89" w:name="_Toc323"/>
      <w:bookmarkStart w:id="90" w:name="_Toc19088"/>
      <w:bookmarkStart w:id="91" w:name="_Toc1375"/>
      <w:bookmarkStart w:id="92" w:name="_Toc13309"/>
      <w:bookmarkStart w:id="93" w:name="_Toc22501"/>
      <w:bookmarkStart w:id="94" w:name="_Toc12980"/>
      <w:bookmarkStart w:id="95" w:name="_Toc88209949"/>
      <w:bookmarkStart w:id="96" w:name="_Toc87616386"/>
      <w:r>
        <w:rPr>
          <w:rFonts w:hint="eastAsia"/>
          <w:color w:val="auto"/>
          <w:highlight w:val="none"/>
        </w:rPr>
        <w:t>合同</w:t>
      </w:r>
      <w:bookmarkEnd w:id="84"/>
      <w:bookmarkEnd w:id="85"/>
      <w:bookmarkEnd w:id="86"/>
      <w:bookmarkEnd w:id="87"/>
      <w:bookmarkEnd w:id="88"/>
      <w:bookmarkEnd w:id="89"/>
      <w:bookmarkEnd w:id="90"/>
      <w:bookmarkEnd w:id="91"/>
      <w:bookmarkEnd w:id="92"/>
      <w:bookmarkEnd w:id="93"/>
      <w:bookmarkEnd w:id="94"/>
      <w:bookmarkEnd w:id="95"/>
      <w:bookmarkEnd w:id="96"/>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adjustRightInd w:val="0"/>
        <w:snapToGrid w:val="0"/>
        <w:spacing w:before="190" w:beforeLines="50" w:after="190" w:afterLines="50" w:line="600" w:lineRule="exact"/>
        <w:jc w:val="center"/>
        <w:rPr>
          <w:rFonts w:ascii="方正小标宋简体" w:eastAsia="方正小标宋简体"/>
          <w:color w:val="auto"/>
          <w:sz w:val="44"/>
          <w:szCs w:val="44"/>
          <w:highlight w:val="none"/>
        </w:rPr>
      </w:pPr>
    </w:p>
    <w:p>
      <w:pPr>
        <w:widowControl/>
        <w:jc w:val="left"/>
        <w:rPr>
          <w:rFonts w:ascii="方正小标宋简体" w:eastAsia="方正小标宋简体"/>
          <w:color w:val="auto"/>
          <w:sz w:val="44"/>
          <w:szCs w:val="44"/>
          <w:highlight w:val="none"/>
        </w:rPr>
      </w:pPr>
    </w:p>
    <w:p>
      <w:pPr>
        <w:widowControl/>
        <w:jc w:val="left"/>
        <w:rPr>
          <w:rFonts w:ascii="方正小标宋简体" w:eastAsia="方正小标宋简体"/>
          <w:color w:val="auto"/>
          <w:sz w:val="44"/>
          <w:szCs w:val="44"/>
          <w:highlight w:val="none"/>
        </w:rPr>
      </w:pPr>
    </w:p>
    <w:p>
      <w:pPr>
        <w:widowControl/>
        <w:jc w:val="left"/>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spacing w:line="400" w:lineRule="atLeast"/>
        <w:jc w:val="center"/>
        <w:rPr>
          <w:rFonts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广州市净水有限公司</w:t>
      </w:r>
    </w:p>
    <w:p>
      <w:pPr>
        <w:spacing w:line="400" w:lineRule="atLeast"/>
        <w:jc w:val="center"/>
        <w:rPr>
          <w:rFonts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货物采购合同</w:t>
      </w:r>
    </w:p>
    <w:p>
      <w:pPr>
        <w:rPr>
          <w:b/>
          <w:bCs/>
          <w:color w:val="auto"/>
          <w:sz w:val="30"/>
          <w:highlight w:val="none"/>
        </w:rPr>
      </w:pPr>
    </w:p>
    <w:p>
      <w:pPr>
        <w:spacing w:line="480" w:lineRule="auto"/>
        <w:rPr>
          <w:rFonts w:hint="eastAsia" w:ascii="宋体" w:hAnsi="宋体" w:cs="宋体" w:eastAsiaTheme="minorEastAsia"/>
          <w:b/>
          <w:bCs/>
          <w:color w:val="auto"/>
          <w:sz w:val="30"/>
          <w:szCs w:val="22"/>
          <w:highlight w:val="none"/>
          <w:lang w:val="en-US" w:eastAsia="zh-CN"/>
        </w:rPr>
      </w:pPr>
      <w:r>
        <w:rPr>
          <w:rFonts w:hint="eastAsia" w:ascii="宋体" w:hAnsi="宋体" w:cs="宋体"/>
          <w:b/>
          <w:bCs/>
          <w:color w:val="auto"/>
          <w:sz w:val="30"/>
          <w:highlight w:val="none"/>
        </w:rPr>
        <w:t>项目名称：</w:t>
      </w:r>
      <w:r>
        <w:rPr>
          <w:rFonts w:hint="eastAsia" w:ascii="宋体" w:hAnsi="宋体" w:cs="宋体"/>
          <w:b/>
          <w:bCs/>
          <w:color w:val="auto"/>
          <w:sz w:val="30"/>
          <w:szCs w:val="22"/>
          <w:highlight w:val="none"/>
          <w:lang w:val="en-US" w:eastAsia="zh-CN"/>
        </w:rPr>
        <w:t>广州市净水有限公司龙归分公司2023年三期会议室显示屏采购项目</w:t>
      </w:r>
    </w:p>
    <w:p>
      <w:pPr>
        <w:spacing w:line="480" w:lineRule="auto"/>
        <w:rPr>
          <w:rFonts w:ascii="宋体" w:hAnsi="宋体" w:eastAsia="宋体" w:cs="宋体"/>
          <w:b/>
          <w:bCs/>
          <w:color w:val="auto"/>
          <w:sz w:val="30"/>
          <w:highlight w:val="none"/>
        </w:rPr>
      </w:pPr>
      <w:r>
        <w:rPr>
          <w:rFonts w:hint="eastAsia" w:ascii="宋体" w:hAnsi="宋体" w:cs="宋体"/>
          <w:b/>
          <w:bCs/>
          <w:color w:val="auto"/>
          <w:sz w:val="30"/>
          <w:highlight w:val="none"/>
        </w:rPr>
        <w:t>项目编号：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szCs w:val="30"/>
          <w:highlight w:val="none"/>
        </w:rPr>
      </w:pPr>
      <w:r>
        <w:rPr>
          <w:rFonts w:hint="eastAsia" w:ascii="宋体" w:hAnsi="宋体" w:cs="宋体"/>
          <w:b/>
          <w:bCs/>
          <w:color w:val="auto"/>
          <w:sz w:val="30"/>
          <w:highlight w:val="none"/>
        </w:rPr>
        <w:t>合同编号：</w:t>
      </w:r>
      <w:r>
        <w:rPr>
          <w:rFonts w:hint="eastAsia" w:ascii="宋体" w:hAnsi="宋体" w:cs="宋体"/>
          <w:b/>
          <w:bCs/>
          <w:color w:val="auto"/>
          <w:sz w:val="30"/>
          <w:szCs w:val="30"/>
          <w:highlight w:val="none"/>
        </w:rPr>
        <w:t>穗净水合[     ]    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甲方（买方）：广州市净水有限公司</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乙方（卖方）：</w:t>
      </w:r>
      <w:r>
        <w:rPr>
          <w:rFonts w:hint="eastAsia" w:ascii="宋体" w:hAnsi="宋体" w:cs="宋体"/>
          <w:b/>
          <w:bCs/>
          <w:color w:val="auto"/>
          <w:sz w:val="30"/>
          <w:highlight w:val="none"/>
          <w:u w:val="single"/>
        </w:rPr>
        <w:t xml:space="preserve">                                          </w:t>
      </w:r>
      <w:r>
        <w:rPr>
          <w:rFonts w:hint="eastAsia" w:ascii="宋体" w:hAnsi="宋体" w:cs="宋体"/>
          <w:b/>
          <w:bCs/>
          <w:color w:val="auto"/>
          <w:sz w:val="30"/>
          <w:highlight w:val="none"/>
        </w:rPr>
        <w:t xml:space="preserve"> </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签订日期：    年  月  日</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签约地点：广州市</w:t>
      </w:r>
    </w:p>
    <w:p>
      <w:pPr>
        <w:jc w:val="center"/>
        <w:rPr>
          <w:b/>
          <w:bCs/>
          <w:color w:val="auto"/>
          <w:sz w:val="30"/>
          <w:highlight w:val="none"/>
        </w:rPr>
      </w:pPr>
    </w:p>
    <w:p>
      <w:pPr>
        <w:pStyle w:val="24"/>
        <w:rPr>
          <w:b/>
          <w:bCs/>
          <w:color w:val="auto"/>
          <w:sz w:val="30"/>
          <w:highlight w:val="none"/>
        </w:rPr>
      </w:pPr>
    </w:p>
    <w:p>
      <w:pPr>
        <w:rPr>
          <w:color w:val="auto"/>
          <w:highlight w:val="none"/>
        </w:rPr>
      </w:pPr>
    </w:p>
    <w:p>
      <w:pPr>
        <w:pStyle w:val="24"/>
        <w:rPr>
          <w:b/>
          <w:bCs/>
          <w:color w:val="auto"/>
          <w:sz w:val="30"/>
          <w:highlight w:val="none"/>
        </w:rPr>
      </w:pPr>
    </w:p>
    <w:p>
      <w:pPr>
        <w:pStyle w:val="24"/>
        <w:rPr>
          <w:b/>
          <w:bCs/>
          <w:color w:val="auto"/>
          <w:sz w:val="30"/>
          <w:highlight w:val="none"/>
        </w:rPr>
      </w:pPr>
    </w:p>
    <w:p>
      <w:pPr>
        <w:pStyle w:val="24"/>
        <w:ind w:firstLine="0"/>
        <w:rPr>
          <w:b/>
          <w:bCs/>
          <w:color w:val="auto"/>
          <w:sz w:val="30"/>
          <w:highlight w:val="none"/>
        </w:rPr>
      </w:pPr>
    </w:p>
    <w:p>
      <w:pPr>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根据《中华人民共和国民法典》及其他有关法律、行政法规，</w:t>
      </w:r>
      <w:r>
        <w:rPr>
          <w:rFonts w:hint="eastAsia" w:ascii="宋体" w:hAnsi="宋体" w:cs="宋体"/>
          <w:color w:val="auto"/>
          <w:sz w:val="24"/>
          <w:szCs w:val="24"/>
          <w:highlight w:val="none"/>
          <w:u w:val="single"/>
        </w:rPr>
        <w:t>广州市净水有限公司</w:t>
      </w:r>
      <w:r>
        <w:rPr>
          <w:rFonts w:hint="eastAsia" w:ascii="宋体" w:hAnsi="宋体" w:cs="宋体"/>
          <w:color w:val="auto"/>
          <w:sz w:val="24"/>
          <w:szCs w:val="24"/>
          <w:highlight w:val="none"/>
        </w:rPr>
        <w:t xml:space="preserve"> （以下简称“甲方”）与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（以下简称“乙方”）就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采购事宜，遵循平等、自愿、公平和诚实信用的原则，双方协商一致，订立本合同。 </w:t>
      </w:r>
    </w:p>
    <w:p>
      <w:pPr>
        <w:pStyle w:val="9"/>
        <w:tabs>
          <w:tab w:val="left" w:pos="720"/>
        </w:tabs>
        <w:spacing w:line="440" w:lineRule="exact"/>
        <w:ind w:firstLine="482" w:firstLineChars="200"/>
        <w:rPr>
          <w:rFonts w:hAnsi="宋体" w:cs="宋体"/>
          <w:color w:val="auto"/>
          <w:sz w:val="24"/>
          <w:szCs w:val="24"/>
          <w:highlight w:val="none"/>
        </w:rPr>
      </w:pPr>
      <w:r>
        <w:rPr>
          <w:rFonts w:hint="eastAsia" w:hAnsi="宋体" w:cs="宋体"/>
          <w:b/>
          <w:bCs/>
          <w:color w:val="auto"/>
          <w:sz w:val="24"/>
          <w:szCs w:val="24"/>
          <w:highlight w:val="none"/>
        </w:rPr>
        <w:t>第一条</w:t>
      </w:r>
      <w:r>
        <w:rPr>
          <w:rFonts w:hint="eastAsia" w:hAnsi="宋体" w:cs="宋体"/>
          <w:color w:val="auto"/>
          <w:sz w:val="24"/>
          <w:szCs w:val="24"/>
          <w:highlight w:val="none"/>
        </w:rPr>
        <w:t xml:space="preserve"> </w:t>
      </w:r>
      <w:r>
        <w:rPr>
          <w:rFonts w:hint="eastAsia" w:hAnsi="宋体" w:cs="宋体"/>
          <w:b/>
          <w:bCs/>
          <w:color w:val="auto"/>
          <w:sz w:val="24"/>
          <w:szCs w:val="24"/>
          <w:highlight w:val="none"/>
        </w:rPr>
        <w:t>组成合同的文件及优先顺序</w:t>
      </w:r>
    </w:p>
    <w:p>
      <w:pPr>
        <w:pStyle w:val="9"/>
        <w:tabs>
          <w:tab w:val="left" w:pos="720"/>
        </w:tabs>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下列文件（如有）均为本合同的组成部分，可视为能相互说明和补充的，如果合同文件存在歧义或相矛盾的地方，则根据以下次序判断：</w:t>
      </w:r>
    </w:p>
    <w:p>
      <w:pPr>
        <w:spacing w:line="44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⑴</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在本合同实施过程双方签署的补充与修正文件；</w:t>
      </w:r>
    </w:p>
    <w:p>
      <w:pPr>
        <w:spacing w:line="32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⑵</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本合同书；</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⑶ 发包通知书/成交通知书/委托函；</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numPr>
          <w:ilvl w:val="255"/>
          <w:numId w:val="0"/>
        </w:numPr>
        <w:spacing w:line="320" w:lineRule="exact"/>
        <w:ind w:firstLine="480" w:firstLineChars="200"/>
        <w:rPr>
          <w:rFonts w:ascii="宋体" w:hAnsi="宋体" w:cs="宋体"/>
          <w:b/>
          <w:color w:val="auto"/>
          <w:sz w:val="24"/>
          <w:szCs w:val="24"/>
          <w:highlight w:val="none"/>
        </w:rPr>
      </w:pPr>
      <w:r>
        <w:rPr>
          <w:rFonts w:hint="eastAsia" w:ascii="宋体" w:hAnsi="宋体" w:cs="宋体"/>
          <w:bCs/>
          <w:color w:val="auto"/>
          <w:sz w:val="24"/>
          <w:highlight w:val="none"/>
        </w:rPr>
        <w:t>⑼ 本合同其他附件；</w:t>
      </w:r>
    </w:p>
    <w:p>
      <w:pPr>
        <w:numPr>
          <w:ilvl w:val="255"/>
          <w:numId w:val="0"/>
        </w:numPr>
        <w:spacing w:line="460" w:lineRule="exact"/>
        <w:ind w:firstLine="482" w:firstLineChars="200"/>
        <w:rPr>
          <w:rFonts w:ascii="宋体" w:hAnsi="宋体" w:eastAsia="宋体" w:cs="宋体"/>
          <w:color w:val="auto"/>
          <w:sz w:val="24"/>
          <w:szCs w:val="24"/>
          <w:highlight w:val="none"/>
        </w:rPr>
      </w:pPr>
      <w:r>
        <w:rPr>
          <w:rFonts w:hint="eastAsia" w:ascii="宋体" w:hAnsi="宋体" w:cs="宋体"/>
          <w:b/>
          <w:color w:val="auto"/>
          <w:sz w:val="24"/>
          <w:szCs w:val="24"/>
          <w:highlight w:val="none"/>
        </w:rPr>
        <w:t>第二条 合同标的</w:t>
      </w:r>
    </w:p>
    <w:tbl>
      <w:tblPr>
        <w:tblStyle w:val="25"/>
        <w:tblW w:w="0" w:type="auto"/>
        <w:jc w:val="center"/>
        <w:tblLayout w:type="fixed"/>
        <w:tblCellMar>
          <w:top w:w="0" w:type="dxa"/>
          <w:left w:w="108" w:type="dxa"/>
          <w:bottom w:w="0" w:type="dxa"/>
          <w:right w:w="108" w:type="dxa"/>
        </w:tblCellMar>
      </w:tblPr>
      <w:tblGrid>
        <w:gridCol w:w="791"/>
        <w:gridCol w:w="840"/>
        <w:gridCol w:w="1076"/>
        <w:gridCol w:w="709"/>
        <w:gridCol w:w="690"/>
        <w:gridCol w:w="915"/>
        <w:gridCol w:w="1065"/>
        <w:gridCol w:w="840"/>
        <w:gridCol w:w="1165"/>
        <w:gridCol w:w="940"/>
      </w:tblGrid>
      <w:tr>
        <w:tblPrEx>
          <w:tblCellMar>
            <w:top w:w="0" w:type="dxa"/>
            <w:left w:w="108" w:type="dxa"/>
            <w:bottom w:w="0" w:type="dxa"/>
            <w:right w:w="108" w:type="dxa"/>
          </w:tblCellMar>
        </w:tblPrEx>
        <w:trPr>
          <w:trHeight w:val="517" w:hRule="atLeast"/>
          <w:jc w:val="center"/>
        </w:trPr>
        <w:tc>
          <w:tcPr>
            <w:tcW w:w="791"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84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1076"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生产厂家及品牌</w:t>
            </w:r>
          </w:p>
        </w:tc>
        <w:tc>
          <w:tcPr>
            <w:tcW w:w="709"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69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1980"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2005"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94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blPrEx>
          <w:tblCellMar>
            <w:top w:w="0" w:type="dxa"/>
            <w:left w:w="108" w:type="dxa"/>
            <w:bottom w:w="0" w:type="dxa"/>
            <w:right w:w="108" w:type="dxa"/>
          </w:tblCellMar>
        </w:tblPrEx>
        <w:trPr>
          <w:trHeight w:val="552" w:hRule="atLeast"/>
          <w:jc w:val="center"/>
        </w:trPr>
        <w:tc>
          <w:tcPr>
            <w:tcW w:w="791"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84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1076"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709"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69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4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314"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1</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347"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2</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211"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3</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231" w:hRule="atLeast"/>
          <w:jc w:val="center"/>
        </w:trPr>
        <w:tc>
          <w:tcPr>
            <w:tcW w:w="4106" w:type="dxa"/>
            <w:gridSpan w:val="5"/>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合同暂定总价（万元）</w:t>
            </w: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spacing w:after="120" w:line="460" w:lineRule="exac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其他</w:t>
      </w:r>
      <w:r>
        <w:rPr>
          <w:rFonts w:hint="eastAsia" w:ascii="宋体" w:hAnsi="宋体" w:cs="宋体"/>
          <w:color w:val="auto"/>
          <w:kern w:val="0"/>
          <w:sz w:val="24"/>
          <w:szCs w:val="24"/>
          <w:highlight w:val="none"/>
        </w:rPr>
        <w:t>采购</w:t>
      </w:r>
      <w:r>
        <w:rPr>
          <w:rFonts w:hint="eastAsia" w:ascii="宋体" w:hAnsi="宋体" w:cs="宋体"/>
          <w:color w:val="auto"/>
          <w:kern w:val="0"/>
          <w:sz w:val="24"/>
          <w:szCs w:val="24"/>
          <w:highlight w:val="none"/>
          <w:lang w:val="zh-CN"/>
        </w:rPr>
        <w:t>需求见附件（如</w:t>
      </w:r>
      <w:r>
        <w:rPr>
          <w:rFonts w:hint="eastAsia" w:ascii="宋体" w:hAnsi="宋体" w:cs="宋体"/>
          <w:color w:val="auto"/>
          <w:kern w:val="0"/>
          <w:sz w:val="24"/>
          <w:szCs w:val="24"/>
          <w:highlight w:val="none"/>
        </w:rPr>
        <w:t>有</w:t>
      </w:r>
      <w:r>
        <w:rPr>
          <w:rFonts w:hint="eastAsia" w:ascii="宋体" w:hAnsi="宋体" w:cs="宋体"/>
          <w:color w:val="auto"/>
          <w:kern w:val="0"/>
          <w:sz w:val="24"/>
          <w:szCs w:val="24"/>
          <w:highlight w:val="none"/>
          <w:lang w:val="zh-CN"/>
        </w:rPr>
        <w:t>）。</w:t>
      </w:r>
    </w:p>
    <w:p>
      <w:pPr>
        <w:adjustRightInd w:val="0"/>
        <w:snapToGrid w:val="0"/>
        <w:spacing w:line="460" w:lineRule="exact"/>
        <w:ind w:firstLine="482" w:firstLineChars="200"/>
        <w:rPr>
          <w:rFonts w:ascii="宋体" w:hAnsi="宋体" w:cs="宋体"/>
          <w:b/>
          <w:bCs/>
          <w:color w:val="auto"/>
          <w:kern w:val="0"/>
          <w:sz w:val="24"/>
          <w:szCs w:val="24"/>
          <w:highlight w:val="none"/>
          <w:lang w:val="zh-CN"/>
        </w:rPr>
      </w:pPr>
      <w:r>
        <w:rPr>
          <w:rFonts w:hint="eastAsia" w:ascii="宋体" w:hAnsi="宋体" w:cs="宋体"/>
          <w:b/>
          <w:bCs/>
          <w:color w:val="auto"/>
          <w:kern w:val="0"/>
          <w:sz w:val="24"/>
          <w:szCs w:val="24"/>
          <w:highlight w:val="none"/>
          <w:lang w:val="zh-CN"/>
        </w:rPr>
        <w:t>第三条 交货日期及地点</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3.1乙方按以下第</w:t>
      </w:r>
      <w:r>
        <w:rPr>
          <w:rFonts w:hint="eastAsia" w:ascii="宋体" w:hAnsi="宋体" w:cs="宋体"/>
          <w:color w:val="auto"/>
          <w:sz w:val="24"/>
          <w:szCs w:val="24"/>
          <w:highlight w:val="none"/>
          <w:u w:val="single"/>
        </w:rPr>
        <w:t xml:space="preserve">   （1）  </w:t>
      </w:r>
      <w:r>
        <w:rPr>
          <w:rFonts w:hint="eastAsia" w:ascii="宋体" w:hAnsi="宋体" w:cs="宋体"/>
          <w:color w:val="auto"/>
          <w:sz w:val="24"/>
          <w:szCs w:val="24"/>
          <w:highlight w:val="none"/>
        </w:rPr>
        <w:t>种供货期供货。</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(1)合同生效之日起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日内到货，并</w:t>
      </w:r>
      <w:r>
        <w:rPr>
          <w:rFonts w:hint="eastAsia" w:ascii="宋体" w:hAnsi="宋体" w:cs="宋体"/>
          <w:color w:val="auto"/>
          <w:sz w:val="24"/>
          <w:szCs w:val="24"/>
          <w:highlight w:val="none"/>
          <w:u w:val="single"/>
        </w:rPr>
        <w:t>开箱/试运行</w:t>
      </w:r>
      <w:r>
        <w:rPr>
          <w:rFonts w:hint="eastAsia" w:ascii="宋体" w:hAnsi="宋体" w:cs="宋体"/>
          <w:color w:val="auto"/>
          <w:sz w:val="24"/>
          <w:szCs w:val="24"/>
          <w:highlight w:val="none"/>
        </w:rPr>
        <w:t>验收合格（如果供货要求包含安装、调试，则应为试运行验收合格）。</w:t>
      </w:r>
    </w:p>
    <w:p>
      <w:pPr>
        <w:adjustRightInd w:val="0"/>
        <w:snapToGrid w:val="0"/>
        <w:spacing w:line="46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（2)乙方按甲方要求，按时间计划逐批（次）供货，并</w:t>
      </w:r>
      <w:r>
        <w:rPr>
          <w:rFonts w:hint="eastAsia" w:ascii="宋体" w:hAnsi="宋体" w:cs="宋体"/>
          <w:color w:val="auto"/>
          <w:sz w:val="24"/>
          <w:szCs w:val="24"/>
          <w:highlight w:val="none"/>
          <w:u w:val="single"/>
        </w:rPr>
        <w:t>开箱/试运行验</w:t>
      </w:r>
      <w:r>
        <w:rPr>
          <w:rFonts w:hint="eastAsia" w:ascii="宋体" w:hAnsi="宋体" w:cs="宋体"/>
          <w:color w:val="auto"/>
          <w:sz w:val="24"/>
          <w:szCs w:val="24"/>
          <w:highlight w:val="none"/>
        </w:rPr>
        <w:t>收合格（如果供货要求包含安装、调试，则应为试运行验收合格），具体交货日期以甲方通知为准。</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合同有效期为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年，自合同签订之日起算。若合同到期前实际采购货物金额达到合同暂定总价的，合同提前终止（适用于按单价采购且分批供货的采购方式）。</w:t>
      </w:r>
    </w:p>
    <w:p>
      <w:pPr>
        <w:spacing w:after="120"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（3）其它供货期要求：</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pPr>
        <w:spacing w:after="120"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w:t>
      </w:r>
      <w:r>
        <w:rPr>
          <w:rFonts w:hint="eastAsia" w:ascii="宋体" w:hAnsi="宋体" w:cs="宋体"/>
          <w:bCs/>
          <w:color w:val="auto"/>
          <w:sz w:val="24"/>
          <w:szCs w:val="24"/>
          <w:highlight w:val="none"/>
        </w:rPr>
        <w:t>交货地点：</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龙归分公司</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（包括甲方指定的任一收货点），最终具体交货地点以甲方通知为准。</w:t>
      </w:r>
      <w:r>
        <w:rPr>
          <w:rFonts w:hint="eastAsia" w:ascii="宋体" w:hAnsi="宋体" w:cs="宋体"/>
          <w:color w:val="auto"/>
          <w:sz w:val="24"/>
          <w:szCs w:val="24"/>
          <w:highlight w:val="none"/>
        </w:rPr>
        <w:t xml:space="preserve"> </w:t>
      </w:r>
    </w:p>
    <w:p>
      <w:pPr>
        <w:numPr>
          <w:ilvl w:val="0"/>
          <w:numId w:val="6"/>
        </w:numPr>
        <w:adjustRightInd w:val="0"/>
        <w:snapToGrid w:val="0"/>
        <w:spacing w:line="460" w:lineRule="exact"/>
        <w:ind w:firstLine="480" w:firstLineChars="200"/>
        <w:rPr>
          <w:rFonts w:ascii="宋体" w:hAnsi="宋体" w:cs="宋体"/>
          <w:b/>
          <w:color w:val="auto"/>
          <w:sz w:val="24"/>
          <w:szCs w:val="24"/>
          <w:highlight w:val="none"/>
        </w:rPr>
      </w:pPr>
      <w:r>
        <w:rPr>
          <w:rFonts w:hint="eastAsia" w:ascii="宋体" w:hAnsi="宋体" w:cs="宋体"/>
          <w:color w:val="auto"/>
          <w:kern w:val="0"/>
          <w:sz w:val="24"/>
          <w:szCs w:val="24"/>
          <w:highlight w:val="none"/>
        </w:rPr>
        <w:t>合同</w:t>
      </w:r>
      <w:r>
        <w:rPr>
          <w:rFonts w:hint="eastAsia" w:ascii="宋体" w:hAnsi="宋体" w:cs="宋体"/>
          <w:color w:val="auto"/>
          <w:sz w:val="24"/>
          <w:szCs w:val="24"/>
          <w:highlight w:val="none"/>
        </w:rPr>
        <w:t>单价为综合单价，指货物运到甲方指定地点的交货价，该价格包括但不限于：货物的生产、产品检验（含出厂及到货验收）、运输（含转运）、包装、装卸（含卸车费用）、安装调试或指导安装调试运行</w:t>
      </w:r>
      <w:r>
        <w:rPr>
          <w:rFonts w:hint="eastAsia" w:ascii="宋体" w:hAnsi="宋体" w:cs="宋体"/>
          <w:b/>
          <w:color w:val="auto"/>
          <w:sz w:val="24"/>
          <w:szCs w:val="24"/>
          <w:highlight w:val="none"/>
        </w:rPr>
        <w:t>（具体按“采购需求”）</w:t>
      </w:r>
      <w:r>
        <w:rPr>
          <w:rFonts w:hint="eastAsia" w:ascii="宋体" w:hAnsi="宋体" w:cs="宋体"/>
          <w:color w:val="auto"/>
          <w:sz w:val="24"/>
          <w:szCs w:val="24"/>
          <w:highlight w:val="none"/>
        </w:rPr>
        <w:t>、质量抽检、培训、相关税费、保险费、物货伴随服务（包括安装使用说明书、图纸的提供、质保期服务）等全部费用。合同履行期间国家税率调整或乙方开票的实际税率与前述税率不一致的，不含税价不变，价税合计按实际税率相应调整，以开具发票时间为准。</w:t>
      </w:r>
    </w:p>
    <w:p>
      <w:pPr>
        <w:autoSpaceDE w:val="0"/>
        <w:autoSpaceDN w:val="0"/>
        <w:adjustRightInd w:val="0"/>
        <w:spacing w:line="46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autoSpaceDE w:val="0"/>
        <w:autoSpaceDN w:val="0"/>
        <w:adjustRightInd w:val="0"/>
        <w:spacing w:line="460" w:lineRule="exact"/>
        <w:ind w:left="420"/>
        <w:rPr>
          <w:rFonts w:ascii="宋体" w:hAnsi="宋体" w:cs="宋体"/>
          <w:bCs/>
          <w:color w:val="auto"/>
          <w:sz w:val="24"/>
          <w:szCs w:val="24"/>
          <w:highlight w:val="none"/>
        </w:rPr>
      </w:pPr>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p>
    <w:p>
      <w:pPr>
        <w:spacing w:line="460" w:lineRule="exact"/>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5.1</w:t>
      </w:r>
      <w:r>
        <w:rPr>
          <w:rFonts w:hint="eastAsia" w:ascii="宋体" w:hAnsi="宋体" w:cs="宋体"/>
          <w:bCs/>
          <w:color w:val="auto"/>
          <w:sz w:val="24"/>
          <w:szCs w:val="24"/>
          <w:highlight w:val="none"/>
        </w:rPr>
        <w:t>预付款支付：</w:t>
      </w:r>
      <w:r>
        <w:rPr>
          <w:rFonts w:ascii="宋体" w:hAnsi="宋体" w:cs="宋体"/>
          <w:bCs/>
          <w:color w:val="auto"/>
          <w:sz w:val="24"/>
          <w:szCs w:val="24"/>
          <w:highlight w:val="none"/>
        </w:rPr>
        <w:sym w:font="Wingdings" w:char="F0A8"/>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ascii="宋体" w:hAnsi="宋体" w:cs="宋体"/>
          <w:bCs/>
          <w:color w:val="auto"/>
          <w:sz w:val="24"/>
          <w:szCs w:val="24"/>
          <w:highlight w:val="none"/>
        </w:rPr>
        <w:sym w:font="Wingdings" w:char="00FE"/>
      </w:r>
      <w:r>
        <w:rPr>
          <w:rFonts w:hint="eastAsia" w:ascii="宋体" w:hAnsi="宋体" w:cs="宋体"/>
          <w:bCs/>
          <w:color w:val="auto"/>
          <w:sz w:val="24"/>
          <w:szCs w:val="24"/>
          <w:highlight w:val="none"/>
        </w:rPr>
        <w:t>有，合同签订后，乙方开具</w:t>
      </w:r>
      <w:r>
        <w:rPr>
          <w:rFonts w:hint="eastAsia" w:ascii="宋体" w:hAnsi="宋体" w:cs="宋体"/>
          <w:color w:val="auto"/>
          <w:sz w:val="24"/>
          <w:szCs w:val="24"/>
          <w:highlight w:val="none"/>
        </w:rPr>
        <w:t>等额</w:t>
      </w:r>
      <w:r>
        <w:rPr>
          <w:rFonts w:hint="eastAsia" w:ascii="宋体" w:hAnsi="宋体" w:cs="宋体"/>
          <w:bCs/>
          <w:color w:val="auto"/>
          <w:sz w:val="24"/>
          <w:szCs w:val="24"/>
          <w:highlight w:val="none"/>
        </w:rPr>
        <w:t>增值税专用发票</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提交履约担保</w:t>
      </w:r>
      <w:r>
        <w:rPr>
          <w:rFonts w:hint="eastAsia" w:ascii="宋体" w:hAnsi="宋体" w:cs="宋体"/>
          <w:bCs/>
          <w:color w:val="auto"/>
          <w:sz w:val="24"/>
          <w:szCs w:val="24"/>
          <w:highlight w:val="none"/>
          <w:lang w:val="en-US" w:eastAsia="zh-CN"/>
        </w:rPr>
        <w:t>及对应预付款金额的预付款</w:t>
      </w:r>
      <w:r>
        <w:rPr>
          <w:rFonts w:hint="eastAsia" w:ascii="宋体" w:hAnsi="宋体" w:cs="宋体"/>
          <w:bCs/>
          <w:color w:val="auto"/>
          <w:sz w:val="24"/>
          <w:highlight w:val="none"/>
        </w:rPr>
        <w:t>担保后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w:t>
      </w:r>
      <w:r>
        <w:rPr>
          <w:rFonts w:hint="eastAsia" w:ascii="宋体" w:hAnsi="宋体" w:cs="宋体"/>
          <w:color w:val="auto"/>
          <w:sz w:val="24"/>
          <w:szCs w:val="24"/>
          <w:highlight w:val="none"/>
          <w:u w:val="single"/>
        </w:rPr>
        <w:t>合同暂定总价</w:t>
      </w:r>
      <w:r>
        <w:rPr>
          <w:rFonts w:hint="eastAsia" w:ascii="宋体" w:hAnsi="宋体" w:cs="宋体"/>
          <w:bCs/>
          <w:color w:val="auto"/>
          <w:sz w:val="24"/>
          <w:szCs w:val="24"/>
          <w:highlight w:val="none"/>
          <w:u w:val="single"/>
        </w:rPr>
        <w:t>的</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w:t>
      </w:r>
      <w:r>
        <w:rPr>
          <w:rFonts w:hint="eastAsia" w:ascii="宋体" w:hAnsi="宋体" w:cs="宋体"/>
          <w:bCs/>
          <w:color w:val="auto"/>
          <w:kern w:val="0"/>
          <w:sz w:val="24"/>
          <w:szCs w:val="24"/>
          <w:highlight w:val="none"/>
        </w:rPr>
        <w:t>（无息）</w:t>
      </w:r>
      <w:r>
        <w:rPr>
          <w:rFonts w:hint="eastAsia" w:ascii="宋体" w:hAnsi="宋体" w:cs="宋体"/>
          <w:color w:val="auto"/>
          <w:sz w:val="24"/>
          <w:szCs w:val="24"/>
          <w:highlight w:val="none"/>
        </w:rPr>
        <w:t>。</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预付款担保</w:t>
      </w:r>
    </w:p>
    <w:p>
      <w:pPr>
        <w:tabs>
          <w:tab w:val="left" w:pos="0"/>
        </w:tabs>
        <w:adjustRightInd w:val="0"/>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（1）预付款担保的担保金额应与预付款金额相同。预付款从应支付给乙方的进度款中扣回。</w:t>
      </w:r>
    </w:p>
    <w:p>
      <w:pPr>
        <w:pStyle w:val="24"/>
        <w:rPr>
          <w:color w:val="auto"/>
          <w:highlight w:val="none"/>
        </w:rPr>
      </w:pPr>
      <w:r>
        <w:rPr>
          <w:rFonts w:hint="eastAsia" w:ascii="宋体" w:hAnsi="宋体" w:eastAsia="宋体" w:cs="宋体"/>
          <w:color w:val="auto"/>
          <w:sz w:val="24"/>
          <w:highlight w:val="none"/>
          <w:lang w:val="en-US" w:eastAsia="zh-CN"/>
        </w:rPr>
        <w:t>（2）预付款担保应在预付款扣清后14</w:t>
      </w:r>
      <w:r>
        <w:rPr>
          <w:rFonts w:hint="eastAsia" w:ascii="宋体" w:hAnsi="宋体" w:cs="宋体"/>
          <w:color w:val="auto"/>
          <w:sz w:val="24"/>
          <w:highlight w:val="none"/>
          <w:lang w:val="en-US" w:eastAsia="zh-CN"/>
        </w:rPr>
        <w:t>个工作日</w:t>
      </w:r>
      <w:r>
        <w:rPr>
          <w:rFonts w:hint="eastAsia" w:ascii="宋体" w:hAnsi="宋体" w:eastAsia="宋体" w:cs="宋体"/>
          <w:color w:val="auto"/>
          <w:sz w:val="24"/>
          <w:highlight w:val="none"/>
          <w:lang w:val="en-US" w:eastAsia="zh-CN"/>
        </w:rPr>
        <w:t xml:space="preserve">内退还给乙方。甲方不承担乙方与预付款担保有关的任何利息或其他类似的费用或收益。 </w:t>
      </w:r>
      <w:r>
        <w:rPr>
          <w:rFonts w:hint="eastAsia" w:ascii="宋体" w:hAnsi="宋体" w:eastAsia="宋体" w:cs="宋体"/>
          <w:color w:val="auto"/>
          <w:sz w:val="24"/>
          <w:highlight w:val="none"/>
        </w:rPr>
        <w:t xml:space="preserve"> </w:t>
      </w:r>
    </w:p>
    <w:p>
      <w:pPr>
        <w:adjustRightInd w:val="0"/>
        <w:snapToGrid w:val="0"/>
        <w:spacing w:line="460" w:lineRule="exact"/>
        <w:ind w:firstLine="360" w:firstLineChars="150"/>
        <w:rPr>
          <w:rFonts w:ascii="宋体" w:hAnsi="宋体" w:cs="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rPr>
        <w:t>支付方式：本合同款项按以下第</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种方式支付。</w:t>
      </w:r>
    </w:p>
    <w:p>
      <w:pPr>
        <w:adjustRightInd w:val="0"/>
        <w:snapToGrid w:val="0"/>
        <w:spacing w:line="46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）本合同生效后，甲方支付乙方</w:t>
      </w:r>
      <w:r>
        <w:rPr>
          <w:rFonts w:hint="eastAsia" w:ascii="宋体" w:hAnsi="宋体" w:cs="宋体"/>
          <w:color w:val="auto"/>
          <w:sz w:val="24"/>
          <w:szCs w:val="24"/>
          <w:highlight w:val="none"/>
          <w:u w:val="single"/>
        </w:rPr>
        <w:t>合同暂定总价</w:t>
      </w:r>
      <w:r>
        <w:rPr>
          <w:rFonts w:ascii="宋体" w:hAnsi="宋体" w:cs="宋体"/>
          <w:color w:val="auto"/>
          <w:sz w:val="24"/>
          <w:szCs w:val="24"/>
          <w:highlight w:val="none"/>
          <w:u w:val="single"/>
        </w:rPr>
        <w:t>30%</w:t>
      </w:r>
      <w:r>
        <w:rPr>
          <w:rFonts w:hint="eastAsia" w:ascii="宋体" w:hAnsi="宋体" w:cs="宋体"/>
          <w:color w:val="auto"/>
          <w:sz w:val="24"/>
          <w:szCs w:val="24"/>
          <w:highlight w:val="none"/>
        </w:rPr>
        <w:t>预付款，乙方按时供货，货物到齐且经</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验收合格，经甲方相关部门结算且乙方提交请款资料及等额增值税专用发票后</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个工作日内，甲方向乙方支付至结算审定价总额的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（含预付款），余款</w:t>
      </w:r>
      <w:r>
        <w:rPr>
          <w:rFonts w:ascii="宋体" w:hAnsi="宋体" w:cs="宋体"/>
          <w:color w:val="auto"/>
          <w:sz w:val="24"/>
          <w:szCs w:val="24"/>
          <w:highlight w:val="none"/>
        </w:rPr>
        <w:t>5%</w:t>
      </w:r>
      <w:r>
        <w:rPr>
          <w:rFonts w:hint="eastAsia" w:ascii="宋体" w:hAnsi="宋体" w:cs="宋体"/>
          <w:color w:val="auto"/>
          <w:sz w:val="24"/>
          <w:szCs w:val="24"/>
          <w:highlight w:val="none"/>
        </w:rPr>
        <w:t>作为质量保证金。质保期自</w:t>
      </w:r>
      <w:r>
        <w:rPr>
          <w:rFonts w:hint="eastAsia" w:ascii="宋体" w:hAnsi="宋体" w:cs="宋体"/>
          <w:color w:val="auto"/>
          <w:sz w:val="24"/>
          <w:szCs w:val="24"/>
          <w:highlight w:val="none"/>
          <w:u w:val="single"/>
        </w:rPr>
        <w:t>货物开箱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壹</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年。质保期满后，乙方申请退还质保金并提供相关资料后的</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个工作日内，甲方支付质保金（无息）（适用于需支付预付款采购）。</w:t>
      </w:r>
    </w:p>
    <w:p>
      <w:pPr>
        <w:adjustRightInd w:val="0"/>
        <w:snapToGrid w:val="0"/>
        <w:spacing w:line="46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）本合同生效后，乙方按时供货，货物到齐且经</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验收合格后，甲方在收到乙方提交的请款资料及等额增值税专用发票后</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个工作日内向乙方支付至货款总额的</w:t>
      </w:r>
      <w:r>
        <w:rPr>
          <w:rFonts w:ascii="宋体" w:hAnsi="宋体" w:cs="宋体"/>
          <w:color w:val="auto"/>
          <w:sz w:val="24"/>
          <w:szCs w:val="24"/>
          <w:highlight w:val="none"/>
        </w:rPr>
        <w:t>95%</w:t>
      </w:r>
      <w:r>
        <w:rPr>
          <w:rFonts w:hint="eastAsia" w:ascii="宋体" w:hAnsi="宋体" w:cs="宋体"/>
          <w:color w:val="auto"/>
          <w:sz w:val="24"/>
          <w:szCs w:val="24"/>
          <w:highlight w:val="none"/>
        </w:rPr>
        <w:t>。余款</w:t>
      </w:r>
      <w:r>
        <w:rPr>
          <w:rFonts w:ascii="宋体" w:hAnsi="宋体" w:cs="宋体"/>
          <w:color w:val="auto"/>
          <w:sz w:val="24"/>
          <w:szCs w:val="24"/>
          <w:highlight w:val="none"/>
        </w:rPr>
        <w:t>5%</w:t>
      </w:r>
      <w:r>
        <w:rPr>
          <w:rFonts w:hint="eastAsia" w:ascii="宋体" w:hAnsi="宋体" w:cs="宋体"/>
          <w:color w:val="auto"/>
          <w:sz w:val="24"/>
          <w:szCs w:val="24"/>
          <w:highlight w:val="none"/>
        </w:rPr>
        <w:t>作为质量保证金。质保期自</w:t>
      </w:r>
      <w:r>
        <w:rPr>
          <w:rFonts w:hint="eastAsia" w:ascii="宋体" w:hAnsi="宋体" w:cs="宋体"/>
          <w:color w:val="auto"/>
          <w:sz w:val="24"/>
          <w:szCs w:val="24"/>
          <w:highlight w:val="none"/>
          <w:u w:val="single"/>
        </w:rPr>
        <w:t>货物开箱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验收合格之日起</w:t>
      </w:r>
      <w:r>
        <w:rPr>
          <w:rFonts w:ascii="宋体" w:hAnsi="宋体" w:cs="宋体"/>
          <w:color w:val="auto"/>
          <w:sz w:val="24"/>
          <w:szCs w:val="24"/>
          <w:highlight w:val="none"/>
          <w:u w:val="single"/>
        </w:rPr>
        <w:t xml:space="preserve"> X </w:t>
      </w:r>
      <w:r>
        <w:rPr>
          <w:rFonts w:hint="eastAsia" w:ascii="宋体" w:hAnsi="宋体" w:cs="宋体"/>
          <w:color w:val="auto"/>
          <w:sz w:val="24"/>
          <w:szCs w:val="24"/>
          <w:highlight w:val="none"/>
        </w:rPr>
        <w:t>年。质保期满后，乙方申请退还质保金并提供相关资料后的</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个工作日内，甲方支付质保金（无息）（适用于不需支付预付款采购）。</w:t>
      </w:r>
    </w:p>
    <w:p>
      <w:pPr>
        <w:adjustRightInd w:val="0"/>
        <w:snapToGrid w:val="0"/>
        <w:spacing w:line="46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）本合同生效后，乙方按时供货，货物到齐且经</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验收合格后，甲方在收到乙方提交的请款资料及等额增值税专用发票后</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个工作日内向乙方支付至货款总额的</w:t>
      </w:r>
      <w:r>
        <w:rPr>
          <w:rFonts w:ascii="宋体" w:hAnsi="宋体" w:cs="宋体"/>
          <w:color w:val="auto"/>
          <w:sz w:val="24"/>
          <w:szCs w:val="24"/>
          <w:highlight w:val="none"/>
        </w:rPr>
        <w:t>100%</w:t>
      </w:r>
      <w:r>
        <w:rPr>
          <w:rFonts w:hint="eastAsia" w:ascii="宋体" w:hAnsi="宋体" w:cs="宋体"/>
          <w:color w:val="auto"/>
          <w:sz w:val="24"/>
          <w:szCs w:val="24"/>
          <w:highlight w:val="none"/>
        </w:rPr>
        <w:t>（适用于即时结清采购）。</w:t>
      </w:r>
    </w:p>
    <w:p>
      <w:pPr>
        <w:adjustRightInd w:val="0"/>
        <w:snapToGrid w:val="0"/>
        <w:spacing w:line="46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4</w:t>
      </w:r>
      <w:r>
        <w:rPr>
          <w:rFonts w:hint="eastAsia" w:ascii="宋体" w:hAnsi="宋体" w:cs="宋体"/>
          <w:color w:val="auto"/>
          <w:sz w:val="24"/>
          <w:szCs w:val="24"/>
          <w:highlight w:val="none"/>
        </w:rPr>
        <w:t>）本合同生效后，乙方按时分批供货，每批货物到齐且经</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验收合格后，甲方在收到乙方提交的请款资料及等额增值税专用发票后</w:t>
      </w:r>
      <w:r>
        <w:rPr>
          <w:rFonts w:ascii="宋体" w:hAnsi="宋体" w:cs="宋体"/>
          <w:color w:val="auto"/>
          <w:sz w:val="24"/>
          <w:szCs w:val="24"/>
          <w:highlight w:val="none"/>
          <w:u w:val="single"/>
        </w:rPr>
        <w:t>15</w:t>
      </w:r>
      <w:r>
        <w:rPr>
          <w:rFonts w:hint="eastAsia" w:ascii="宋体" w:hAnsi="宋体" w:cs="宋体"/>
          <w:color w:val="auto"/>
          <w:sz w:val="24"/>
          <w:szCs w:val="24"/>
          <w:highlight w:val="none"/>
        </w:rPr>
        <w:t>个工作日内向乙方支付至该批货款总额的</w:t>
      </w:r>
      <w:r>
        <w:rPr>
          <w:rFonts w:ascii="宋体" w:hAnsi="宋体" w:cs="宋体"/>
          <w:color w:val="auto"/>
          <w:sz w:val="24"/>
          <w:szCs w:val="24"/>
          <w:highlight w:val="none"/>
        </w:rPr>
        <w:t>100%</w:t>
      </w:r>
      <w:r>
        <w:rPr>
          <w:rFonts w:hint="eastAsia" w:ascii="宋体" w:hAnsi="宋体" w:cs="宋体"/>
          <w:color w:val="auto"/>
          <w:sz w:val="24"/>
          <w:szCs w:val="24"/>
          <w:highlight w:val="none"/>
        </w:rPr>
        <w:t>（适用于分批供货且即时结清采购）。</w:t>
      </w:r>
    </w:p>
    <w:p>
      <w:pPr>
        <w:adjustRightInd w:val="0"/>
        <w:snapToGrid w:val="0"/>
        <w:spacing w:line="460" w:lineRule="exact"/>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）其它支付方式：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960" w:firstLineChars="4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960" w:firstLineChars="4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乙方在收款前需向甲方提交等额增值税专用发票，增值税专用发票信息：</w:t>
      </w:r>
    </w:p>
    <w:p>
      <w:pPr>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p>
    <w:p>
      <w:pPr>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5.4</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ascii="宋体" w:hAnsi="宋体" w:cs="宋体"/>
          <w:color w:val="auto"/>
          <w:sz w:val="24"/>
          <w:szCs w:val="24"/>
          <w:highlight w:val="none"/>
        </w:rPr>
        <w:t xml:space="preserve">       </w:t>
      </w:r>
    </w:p>
    <w:p>
      <w:pPr>
        <w:adjustRightInd w:val="0"/>
        <w:snapToGrid w:val="0"/>
        <w:spacing w:line="46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第六条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违约责任</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6.1</w:t>
      </w:r>
      <w:r>
        <w:rPr>
          <w:rFonts w:hint="eastAsia" w:ascii="宋体" w:hAnsi="宋体" w:cs="宋体"/>
          <w:color w:val="auto"/>
          <w:sz w:val="24"/>
          <w:szCs w:val="24"/>
          <w:highlight w:val="none"/>
        </w:rPr>
        <w:t>单方面取消合同：任意一方未经对方同意单方面取消合同，应按</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30%</w:t>
      </w:r>
      <w:r>
        <w:rPr>
          <w:rFonts w:hint="eastAsia" w:ascii="宋体" w:hAnsi="宋体" w:cs="宋体"/>
          <w:color w:val="auto"/>
          <w:sz w:val="24"/>
          <w:szCs w:val="24"/>
          <w:highlight w:val="none"/>
        </w:rPr>
        <w:t>向对方赔偿。</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乙方不能按时交货的，每逾期</w:t>
      </w:r>
      <w:r>
        <w:rPr>
          <w:rFonts w:ascii="宋体" w:hAnsi="宋体" w:cs="宋体"/>
          <w:color w:val="auto"/>
          <w:sz w:val="24"/>
          <w:szCs w:val="24"/>
          <w:highlight w:val="none"/>
        </w:rPr>
        <w:t>1</w:t>
      </w:r>
      <w:r>
        <w:rPr>
          <w:rFonts w:hint="eastAsia" w:ascii="宋体" w:hAnsi="宋体" w:cs="宋体"/>
          <w:color w:val="auto"/>
          <w:sz w:val="24"/>
          <w:szCs w:val="24"/>
          <w:highlight w:val="none"/>
        </w:rPr>
        <w:t>日，按</w:t>
      </w:r>
      <w:r>
        <w:rPr>
          <w:rFonts w:hint="eastAsia" w:ascii="宋体" w:hAnsi="宋体" w:cs="宋体"/>
          <w:color w:val="auto"/>
          <w:sz w:val="24"/>
          <w:szCs w:val="24"/>
          <w:highlight w:val="none"/>
          <w:u w:val="single"/>
        </w:rPr>
        <w:t>迟交货物总价的</w:t>
      </w:r>
      <w:r>
        <w:rPr>
          <w:rFonts w:ascii="宋体" w:hAnsi="宋体" w:cs="宋体"/>
          <w:color w:val="auto"/>
          <w:sz w:val="24"/>
          <w:szCs w:val="24"/>
          <w:highlight w:val="none"/>
          <w:u w:val="single"/>
        </w:rPr>
        <w:t xml:space="preserve"> 1%支付违约金</w:t>
      </w:r>
      <w:r>
        <w:rPr>
          <w:rFonts w:hint="eastAsia" w:ascii="宋体" w:hAnsi="宋体" w:cs="宋体"/>
          <w:color w:val="auto"/>
          <w:sz w:val="24"/>
          <w:szCs w:val="24"/>
          <w:highlight w:val="none"/>
        </w:rPr>
        <w:t>，逾期达到</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1</w:t>
      </w:r>
      <w:r>
        <w:rPr>
          <w:rFonts w:hint="eastAsia" w:ascii="宋体" w:hAnsi="宋体" w:cs="宋体"/>
          <w:color w:val="auto"/>
          <w:sz w:val="24"/>
          <w:szCs w:val="24"/>
          <w:highlight w:val="none"/>
          <w:u w:val="single"/>
          <w:lang w:val="en-US" w:eastAsia="zh-CN"/>
        </w:rPr>
        <w:t>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天及以上的，甲方有权解除合同。</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6.3 </w:t>
      </w:r>
      <w:r>
        <w:rPr>
          <w:rFonts w:hint="eastAsia" w:ascii="宋体" w:hAnsi="宋体" w:cs="宋体"/>
          <w:color w:val="auto"/>
          <w:sz w:val="24"/>
          <w:szCs w:val="24"/>
          <w:highlight w:val="none"/>
        </w:rPr>
        <w:t>货物</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验收不合格或货物在</w:t>
      </w:r>
      <w:r>
        <w:rPr>
          <w:rFonts w:hint="eastAsia" w:ascii="宋体" w:hAnsi="宋体" w:cs="宋体"/>
          <w:color w:val="auto"/>
          <w:sz w:val="24"/>
          <w:szCs w:val="24"/>
          <w:highlight w:val="none"/>
          <w:u w:val="single"/>
        </w:rPr>
        <w:t>开箱</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试运行</w:t>
      </w:r>
      <w:r>
        <w:rPr>
          <w:rFonts w:hint="eastAsia" w:ascii="宋体" w:hAnsi="宋体" w:cs="宋体"/>
          <w:color w:val="auto"/>
          <w:sz w:val="24"/>
          <w:szCs w:val="24"/>
          <w:highlight w:val="none"/>
        </w:rPr>
        <w:t>验收后发现乙方所供货物不合格的，甲方有权退货或要求更换。甲方要求退货的，乙方应在收到甲方退货要求的</w:t>
      </w:r>
      <w:r>
        <w:rPr>
          <w:rFonts w:ascii="宋体" w:hAnsi="宋体" w:cs="宋体"/>
          <w:color w:val="auto"/>
          <w:sz w:val="24"/>
          <w:szCs w:val="24"/>
          <w:highlight w:val="none"/>
        </w:rPr>
        <w:t>3</w:t>
      </w:r>
      <w:r>
        <w:rPr>
          <w:rFonts w:hint="eastAsia" w:ascii="宋体" w:hAnsi="宋体" w:cs="宋体"/>
          <w:color w:val="auto"/>
          <w:sz w:val="24"/>
          <w:szCs w:val="24"/>
          <w:highlight w:val="none"/>
        </w:rPr>
        <w:t>日内退还甲方已支付的货款（含预付款）并按退货总价的双倍金额向甲方支付违约金，同时甲方有权解除合同；甲方要求更换的，乙方应在</w:t>
      </w:r>
      <w:r>
        <w:rPr>
          <w:rFonts w:ascii="宋体" w:hAnsi="宋体" w:cs="宋体"/>
          <w:color w:val="auto"/>
          <w:sz w:val="24"/>
          <w:szCs w:val="24"/>
          <w:highlight w:val="none"/>
        </w:rPr>
        <w:t>3</w:t>
      </w:r>
      <w:r>
        <w:rPr>
          <w:rFonts w:hint="eastAsia" w:ascii="宋体" w:hAnsi="宋体" w:cs="宋体"/>
          <w:color w:val="auto"/>
          <w:sz w:val="24"/>
          <w:szCs w:val="24"/>
          <w:highlight w:val="none"/>
        </w:rPr>
        <w:t>日内重新交货并按</w:t>
      </w:r>
      <w:r>
        <w:rPr>
          <w:rFonts w:hint="eastAsia" w:ascii="宋体" w:hAnsi="宋体" w:cs="宋体"/>
          <w:color w:val="auto"/>
          <w:sz w:val="24"/>
          <w:szCs w:val="24"/>
          <w:highlight w:val="none"/>
          <w:u w:val="single"/>
        </w:rPr>
        <w:t>更换货物总价的</w:t>
      </w:r>
      <w:r>
        <w:rPr>
          <w:rFonts w:ascii="宋体" w:hAnsi="宋体" w:cs="宋体"/>
          <w:color w:val="auto"/>
          <w:sz w:val="24"/>
          <w:szCs w:val="24"/>
          <w:highlight w:val="none"/>
          <w:u w:val="single"/>
        </w:rPr>
        <w:t>10%</w:t>
      </w:r>
      <w:r>
        <w:rPr>
          <w:rFonts w:hint="eastAsia" w:ascii="宋体" w:hAnsi="宋体" w:cs="宋体"/>
          <w:color w:val="auto"/>
          <w:sz w:val="24"/>
          <w:szCs w:val="24"/>
          <w:highlight w:val="none"/>
        </w:rPr>
        <w:t>支付违约金，乙方承担由此产生的一切损失和费用。</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6.4 </w:t>
      </w:r>
      <w:r>
        <w:rPr>
          <w:rFonts w:hint="eastAsia" w:ascii="宋体" w:hAnsi="宋体" w:cs="宋体"/>
          <w:color w:val="auto"/>
          <w:sz w:val="24"/>
          <w:szCs w:val="24"/>
          <w:highlight w:val="none"/>
        </w:rPr>
        <w:t>乙方不履行合同义务、或履行合同义务不符合合同约定、或违反国家、省、市行业标准的，甲方有权要求乙方限期整改。乙方逾期未完成整改的，每项每超过</w:t>
      </w:r>
      <w:r>
        <w:rPr>
          <w:rFonts w:ascii="宋体" w:hAnsi="宋体" w:cs="宋体"/>
          <w:color w:val="auto"/>
          <w:sz w:val="24"/>
          <w:szCs w:val="24"/>
          <w:highlight w:val="none"/>
        </w:rPr>
        <w:t>1日支付违约金人民币1万元，超过</w:t>
      </w:r>
      <w:r>
        <w:rPr>
          <w:rFonts w:ascii="宋体" w:hAnsi="宋体" w:cs="宋体"/>
          <w:color w:val="auto"/>
          <w:sz w:val="24"/>
          <w:szCs w:val="24"/>
          <w:highlight w:val="none"/>
          <w:u w:val="single"/>
        </w:rPr>
        <w:t>_</w:t>
      </w:r>
      <w:r>
        <w:rPr>
          <w:rFonts w:hint="eastAsia" w:ascii="宋体" w:hAnsi="宋体" w:cs="宋体"/>
          <w:color w:val="auto"/>
          <w:sz w:val="24"/>
          <w:szCs w:val="24"/>
          <w:highlight w:val="none"/>
          <w:u w:val="single"/>
          <w:lang w:eastAsia="zh-CN"/>
        </w:rPr>
        <w:t>1</w:t>
      </w:r>
      <w:r>
        <w:rPr>
          <w:rFonts w:hint="eastAsia" w:ascii="宋体" w:hAnsi="宋体" w:cs="宋体"/>
          <w:color w:val="auto"/>
          <w:sz w:val="24"/>
          <w:szCs w:val="24"/>
          <w:highlight w:val="none"/>
          <w:u w:val="single"/>
          <w:lang w:val="en-US" w:eastAsia="zh-CN"/>
        </w:rPr>
        <w:t>0</w:t>
      </w:r>
      <w:r>
        <w:rPr>
          <w:rFonts w:hint="eastAsia" w:ascii="宋体" w:hAnsi="宋体" w:cs="宋体"/>
          <w:color w:val="auto"/>
          <w:sz w:val="24"/>
          <w:szCs w:val="24"/>
          <w:highlight w:val="none"/>
        </w:rPr>
        <w:t>日，甲方有权解除合同并要求乙方支付</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20%</w:t>
      </w:r>
      <w:r>
        <w:rPr>
          <w:rFonts w:ascii="宋体" w:hAnsi="宋体" w:cs="宋体"/>
          <w:color w:val="auto"/>
          <w:sz w:val="24"/>
          <w:szCs w:val="24"/>
          <w:highlight w:val="none"/>
        </w:rPr>
        <w:t>作为违约金</w:t>
      </w:r>
      <w:r>
        <w:rPr>
          <w:rFonts w:hint="eastAsia" w:ascii="宋体" w:hAnsi="宋体" w:cs="宋体"/>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color w:val="auto"/>
          <w:sz w:val="24"/>
          <w:szCs w:val="24"/>
          <w:highlight w:val="none"/>
        </w:rPr>
        <w:t>）</w:t>
      </w:r>
      <w:r>
        <w:rPr>
          <w:rFonts w:ascii="宋体" w:hAnsi="宋体" w:cs="宋体"/>
          <w:color w:val="auto"/>
          <w:sz w:val="24"/>
          <w:szCs w:val="24"/>
          <w:highlight w:val="none"/>
        </w:rPr>
        <w:t>。</w:t>
      </w:r>
    </w:p>
    <w:p>
      <w:pPr>
        <w:adjustRightInd w:val="0"/>
        <w:snapToGrid w:val="0"/>
        <w:spacing w:line="460" w:lineRule="exact"/>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第七条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numPr>
          <w:ilvl w:val="255"/>
          <w:numId w:val="0"/>
        </w:num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7.1 </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7.2 </w:t>
      </w:r>
      <w:r>
        <w:rPr>
          <w:rFonts w:hint="eastAsia" w:ascii="宋体" w:hAnsi="宋体" w:cs="宋体"/>
          <w:color w:val="auto"/>
          <w:sz w:val="24"/>
          <w:szCs w:val="24"/>
          <w:highlight w:val="none"/>
        </w:rPr>
        <w:t>声称受到不可抗力影响的一方，应在发生不可抗力或知道发生不可抗力之后</w:t>
      </w:r>
      <w:r>
        <w:rPr>
          <w:rFonts w:ascii="宋体" w:hAnsi="宋体" w:cs="宋体"/>
          <w:color w:val="auto"/>
          <w:sz w:val="24"/>
          <w:szCs w:val="24"/>
          <w:highlight w:val="none"/>
        </w:rPr>
        <w:t>5日内书面通知另一方，详细描述不可抗力的发生情况和对该方履行在本合同项下义务的影响，同时附上此种不可抗力事件及其持续时间的有效证明文件。</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7.3 </w:t>
      </w:r>
      <w:r>
        <w:rPr>
          <w:rFonts w:hint="eastAsia" w:ascii="宋体" w:hAnsi="宋体" w:cs="宋体"/>
          <w:color w:val="auto"/>
          <w:sz w:val="24"/>
          <w:szCs w:val="24"/>
          <w:highlight w:val="none"/>
        </w:rPr>
        <w:t>因不可抗力导致合同无法履行的时间自该不可抗力发生日起连续超过玖拾</w:t>
      </w:r>
      <w:r>
        <w:rPr>
          <w:rFonts w:ascii="宋体" w:hAnsi="宋体" w:cs="宋体"/>
          <w:color w:val="auto"/>
          <w:sz w:val="24"/>
          <w:szCs w:val="24"/>
          <w:highlight w:val="none"/>
        </w:rPr>
        <w:t>(90)天，双方应协商决定继续履行本合同的条件或者变更本合同。如果自不可抗力发生后壹佰捌拾(180)天之内双方不能达成一致意见，任何一方有权解除本合同。</w:t>
      </w:r>
    </w:p>
    <w:p>
      <w:pPr>
        <w:adjustRightInd w:val="0"/>
        <w:snapToGrid w:val="0"/>
        <w:spacing w:line="46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7.4 </w:t>
      </w:r>
      <w:r>
        <w:rPr>
          <w:rFonts w:hint="eastAsia" w:ascii="宋体" w:hAnsi="宋体" w:cs="宋体"/>
          <w:color w:val="auto"/>
          <w:sz w:val="24"/>
          <w:szCs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adjustRightInd w:val="0"/>
        <w:snapToGrid w:val="0"/>
        <w:spacing w:line="460" w:lineRule="exact"/>
        <w:ind w:firstLine="482" w:firstLineChars="200"/>
        <w:rPr>
          <w:rFonts w:ascii="宋体" w:hAnsi="宋体" w:cs="宋体"/>
          <w:bCs/>
          <w:color w:val="auto"/>
          <w:sz w:val="24"/>
          <w:szCs w:val="24"/>
          <w:highlight w:val="none"/>
        </w:rPr>
      </w:pPr>
      <w:r>
        <w:rPr>
          <w:rFonts w:hint="eastAsia" w:ascii="宋体" w:hAnsi="宋体" w:cs="宋体"/>
          <w:b/>
          <w:bCs/>
          <w:color w:val="auto"/>
          <w:sz w:val="24"/>
          <w:szCs w:val="24"/>
          <w:highlight w:val="none"/>
        </w:rPr>
        <w:t>第八条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争议解决</w:t>
      </w:r>
    </w:p>
    <w:p>
      <w:pPr>
        <w:spacing w:line="460" w:lineRule="exact"/>
        <w:ind w:firstLine="720" w:firstLineChars="300"/>
        <w:rPr>
          <w:rFonts w:ascii="宋体" w:hAnsi="宋体" w:cs="宋体"/>
          <w:color w:val="auto"/>
          <w:sz w:val="24"/>
          <w:szCs w:val="24"/>
          <w:highlight w:val="none"/>
        </w:rPr>
      </w:pPr>
      <w:r>
        <w:rPr>
          <w:rFonts w:ascii="宋体" w:hAnsi="宋体" w:cs="宋体"/>
          <w:bCs/>
          <w:color w:val="auto"/>
          <w:sz w:val="24"/>
          <w:szCs w:val="24"/>
          <w:highlight w:val="none"/>
        </w:rPr>
        <w:t>8.1</w:t>
      </w:r>
      <w:r>
        <w:rPr>
          <w:rFonts w:hint="eastAsia" w:ascii="宋体" w:hAnsi="宋体" w:cs="宋体"/>
          <w:bCs/>
          <w:color w:val="auto"/>
          <w:sz w:val="24"/>
          <w:szCs w:val="24"/>
          <w:highlight w:val="none"/>
        </w:rPr>
        <w:t>因本合同引起的或与本合同有关的任何争议，甲乙双方应友好协商解决，如协商不成，任何一方可依法向甲方所在地</w:t>
      </w:r>
      <w:r>
        <w:rPr>
          <w:rFonts w:hint="eastAsia" w:ascii="宋体" w:hAnsi="宋体" w:cs="宋体"/>
          <w:bCs/>
          <w:color w:val="auto"/>
          <w:sz w:val="24"/>
          <w:szCs w:val="24"/>
          <w:highlight w:val="none"/>
          <w:u w:val="single"/>
        </w:rPr>
        <w:t>人民法院</w:t>
      </w:r>
      <w:r>
        <w:rPr>
          <w:rFonts w:hint="eastAsia" w:ascii="宋体" w:hAnsi="宋体" w:cs="宋体"/>
          <w:bCs/>
          <w:color w:val="auto"/>
          <w:sz w:val="24"/>
          <w:szCs w:val="24"/>
          <w:highlight w:val="none"/>
        </w:rPr>
        <w:t>提起诉讼</w:t>
      </w:r>
      <w:r>
        <w:rPr>
          <w:rFonts w:hint="eastAsia" w:ascii="宋体" w:hAnsi="宋体" w:cs="宋体"/>
          <w:color w:val="auto"/>
          <w:sz w:val="24"/>
          <w:szCs w:val="24"/>
          <w:highlight w:val="none"/>
        </w:rPr>
        <w:t>。</w:t>
      </w:r>
    </w:p>
    <w:p>
      <w:pPr>
        <w:spacing w:line="460" w:lineRule="exact"/>
        <w:ind w:firstLine="720" w:firstLineChars="300"/>
        <w:rPr>
          <w:rFonts w:ascii="宋体" w:hAnsi="宋体" w:cs="宋体"/>
          <w:color w:val="auto"/>
          <w:sz w:val="24"/>
          <w:szCs w:val="24"/>
          <w:highlight w:val="none"/>
        </w:rPr>
      </w:pPr>
      <w:r>
        <w:rPr>
          <w:rFonts w:ascii="宋体" w:hAnsi="宋体" w:cs="宋体"/>
          <w:color w:val="auto"/>
          <w:sz w:val="24"/>
          <w:szCs w:val="24"/>
          <w:highlight w:val="none"/>
        </w:rPr>
        <w:t>8.2</w:t>
      </w:r>
      <w:r>
        <w:rPr>
          <w:rFonts w:hint="eastAsia" w:ascii="宋体" w:hAnsi="宋体" w:cs="宋体"/>
          <w:color w:val="auto"/>
          <w:sz w:val="24"/>
          <w:szCs w:val="24"/>
          <w:highlight w:val="none"/>
        </w:rPr>
        <w:t>在甲方同意的情况下，除有争端之外的合同其它部分在争端解决前应继续执行。</w:t>
      </w:r>
    </w:p>
    <w:p>
      <w:pPr>
        <w:numPr>
          <w:ilvl w:val="255"/>
          <w:numId w:val="0"/>
        </w:numPr>
        <w:spacing w:line="46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第九条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其他</w:t>
      </w:r>
    </w:p>
    <w:p>
      <w:pPr>
        <w:spacing w:line="460" w:lineRule="exact"/>
        <w:ind w:firstLine="638" w:firstLineChars="266"/>
        <w:rPr>
          <w:rFonts w:ascii="宋体" w:hAnsi="宋体" w:cs="宋体"/>
          <w:b/>
          <w:color w:val="auto"/>
          <w:sz w:val="24"/>
          <w:szCs w:val="24"/>
          <w:highlight w:val="none"/>
        </w:rPr>
      </w:pPr>
      <w:r>
        <w:rPr>
          <w:rFonts w:ascii="宋体" w:hAnsi="宋体" w:cs="宋体"/>
          <w:color w:val="auto"/>
          <w:sz w:val="24"/>
          <w:szCs w:val="24"/>
          <w:highlight w:val="none"/>
        </w:rPr>
        <w:t>9.1</w:t>
      </w:r>
      <w:r>
        <w:rPr>
          <w:rFonts w:hint="eastAsia" w:ascii="宋体" w:hAnsi="宋体" w:cs="宋体"/>
          <w:color w:val="auto"/>
          <w:sz w:val="24"/>
          <w:szCs w:val="24"/>
          <w:highlight w:val="none"/>
        </w:rPr>
        <w:t>本协议未尽事宜，可由甲乙双方另行签订补充协议。补充协议与本合同具有同等法律效力。</w:t>
      </w:r>
    </w:p>
    <w:p>
      <w:pPr>
        <w:spacing w:line="460" w:lineRule="exact"/>
        <w:ind w:firstLine="638" w:firstLineChars="266"/>
        <w:rPr>
          <w:rFonts w:ascii="宋体" w:hAnsi="宋体" w:cs="宋体"/>
          <w:color w:val="auto"/>
          <w:sz w:val="24"/>
          <w:szCs w:val="24"/>
          <w:highlight w:val="none"/>
        </w:rPr>
      </w:pPr>
      <w:r>
        <w:rPr>
          <w:rFonts w:ascii="宋体" w:hAnsi="宋体" w:cs="宋体"/>
          <w:color w:val="auto"/>
          <w:sz w:val="24"/>
          <w:szCs w:val="24"/>
          <w:highlight w:val="none"/>
        </w:rPr>
        <w:t>9.2</w:t>
      </w:r>
      <w:r>
        <w:rPr>
          <w:rFonts w:hint="eastAsia" w:ascii="宋体" w:hAnsi="宋体" w:cs="宋体"/>
          <w:color w:val="auto"/>
          <w:sz w:val="24"/>
          <w:szCs w:val="24"/>
          <w:highlight w:val="none"/>
        </w:rPr>
        <w:t>本合同自甲乙双方法定代表人或授权代理人签字并加盖公章之日起生效。</w:t>
      </w:r>
    </w:p>
    <w:p>
      <w:pPr>
        <w:spacing w:line="460" w:lineRule="exact"/>
        <w:ind w:firstLine="638" w:firstLineChars="266"/>
        <w:rPr>
          <w:rFonts w:ascii="宋体" w:hAnsi="宋体" w:cs="宋体"/>
          <w:color w:val="auto"/>
          <w:sz w:val="24"/>
          <w:szCs w:val="24"/>
          <w:highlight w:val="none"/>
        </w:rPr>
      </w:pPr>
      <w:r>
        <w:rPr>
          <w:rFonts w:ascii="宋体" w:hAnsi="宋体" w:cs="宋体"/>
          <w:color w:val="auto"/>
          <w:sz w:val="24"/>
          <w:szCs w:val="24"/>
          <w:highlight w:val="none"/>
        </w:rPr>
        <w:t>9.3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adjustRightInd w:val="0"/>
        <w:snapToGrid w:val="0"/>
        <w:spacing w:line="460" w:lineRule="exact"/>
        <w:ind w:right="521" w:rightChars="248" w:firstLine="720" w:firstLineChars="300"/>
        <w:rPr>
          <w:rFonts w:ascii="宋体" w:hAnsi="宋体" w:cs="宋体"/>
          <w:color w:val="auto"/>
          <w:sz w:val="24"/>
          <w:szCs w:val="24"/>
          <w:highlight w:val="none"/>
        </w:rPr>
      </w:pPr>
      <w:r>
        <w:rPr>
          <w:rFonts w:ascii="宋体" w:hAnsi="宋体" w:cs="宋体"/>
          <w:color w:val="auto"/>
          <w:sz w:val="24"/>
          <w:szCs w:val="24"/>
          <w:highlight w:val="none"/>
        </w:rPr>
        <w:t>9.4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p>
    <w:p>
      <w:pPr>
        <w:spacing w:line="46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.发包通知书</w:t>
      </w:r>
      <w:r>
        <w:rPr>
          <w:rFonts w:ascii="宋体" w:hAnsi="宋体" w:cs="宋体"/>
          <w:color w:val="auto"/>
          <w:sz w:val="24"/>
          <w:szCs w:val="24"/>
          <w:highlight w:val="none"/>
        </w:rPr>
        <w:t>/</w:t>
      </w:r>
      <w:r>
        <w:rPr>
          <w:rFonts w:hint="eastAsia" w:ascii="宋体" w:hAnsi="宋体" w:cs="宋体"/>
          <w:color w:val="auto"/>
          <w:sz w:val="24"/>
          <w:szCs w:val="24"/>
          <w:highlight w:val="none"/>
        </w:rPr>
        <w:t>成交通知书/委托函（如有）</w:t>
      </w:r>
    </w:p>
    <w:p>
      <w:pPr>
        <w:numPr>
          <w:ilvl w:val="0"/>
          <w:numId w:val="7"/>
        </w:numPr>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廉洁协议</w:t>
      </w:r>
    </w:p>
    <w:p>
      <w:pPr>
        <w:numPr>
          <w:ilvl w:val="0"/>
          <w:numId w:val="7"/>
        </w:numPr>
        <w:spacing w:line="460" w:lineRule="exac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采购</w:t>
      </w:r>
      <w:r>
        <w:rPr>
          <w:rFonts w:hint="eastAsia" w:ascii="宋体" w:hAnsi="宋体" w:cs="宋体"/>
          <w:color w:val="auto"/>
          <w:kern w:val="0"/>
          <w:sz w:val="24"/>
          <w:szCs w:val="24"/>
          <w:highlight w:val="none"/>
          <w:lang w:val="zh-CN"/>
        </w:rPr>
        <w:t>需求（如需）</w:t>
      </w:r>
    </w:p>
    <w:p>
      <w:pPr>
        <w:numPr>
          <w:ilvl w:val="0"/>
          <w:numId w:val="7"/>
        </w:numPr>
        <w:spacing w:line="460" w:lineRule="exac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授权委托证明（如需）</w:t>
      </w:r>
    </w:p>
    <w:tbl>
      <w:tblPr>
        <w:tblStyle w:val="25"/>
        <w:tblpPr w:leftFromText="180" w:rightFromText="180" w:vertAnchor="text" w:horzAnchor="page" w:tblpX="1450" w:tblpY="44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：广州市净水有限公司（盖章）</w:t>
            </w:r>
          </w:p>
          <w:p>
            <w:pPr>
              <w:adjustRightInd w:val="0"/>
              <w:snapToGrid w:val="0"/>
              <w:spacing w:line="460" w:lineRule="exact"/>
              <w:rPr>
                <w:rFonts w:ascii="宋体" w:hAnsi="宋体" w:cs="宋体"/>
                <w:color w:val="auto"/>
                <w:sz w:val="24"/>
                <w:szCs w:val="24"/>
                <w:highlight w:val="none"/>
              </w:rPr>
            </w:pPr>
          </w:p>
        </w:tc>
        <w:tc>
          <w:tcPr>
            <w:tcW w:w="4696"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（盖章）</w:t>
            </w:r>
          </w:p>
          <w:p>
            <w:pPr>
              <w:adjustRightInd w:val="0"/>
              <w:snapToGrid w:val="0"/>
              <w:spacing w:line="460" w:lineRule="exact"/>
              <w:ind w:firstLine="240" w:firstLineChars="100"/>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812" w:type="dxa"/>
            <w:tcBorders>
              <w:top w:val="nil"/>
              <w:left w:val="nil"/>
              <w:bottom w:val="nil"/>
              <w:right w:val="nil"/>
            </w:tcBorders>
          </w:tcPr>
          <w:p>
            <w:pPr>
              <w:adjustRightInd w:val="0"/>
              <w:snapToGrid w:val="0"/>
              <w:spacing w:line="460" w:lineRule="exact"/>
              <w:rPr>
                <w:rFonts w:ascii="宋体" w:hAnsi="宋体" w:cs="宋体"/>
                <w:color w:val="auto"/>
                <w:sz w:val="24"/>
                <w:szCs w:val="24"/>
                <w:highlight w:val="none"/>
              </w:rPr>
            </w:pPr>
            <w:r>
              <w:rPr>
                <w:rFonts w:ascii="宋体" w:hAnsi="宋体" w:cs="宋体"/>
                <w:color w:val="auto"/>
                <w:sz w:val="24"/>
                <w:szCs w:val="24"/>
                <w:highlight w:val="none"/>
              </w:rPr>
              <w:t xml:space="preserve">                                                    </w:t>
            </w: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p>
        </w:tc>
        <w:tc>
          <w:tcPr>
            <w:tcW w:w="4696" w:type="dxa"/>
            <w:tcBorders>
              <w:top w:val="nil"/>
              <w:left w:val="nil"/>
              <w:bottom w:val="nil"/>
              <w:right w:val="nil"/>
            </w:tcBorders>
            <w:vAlign w:val="bottom"/>
          </w:tcPr>
          <w:p>
            <w:pPr>
              <w:adjustRightInd w:val="0"/>
              <w:snapToGrid w:val="0"/>
              <w:spacing w:line="460" w:lineRule="exact"/>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日</w:t>
            </w:r>
            <w:r>
              <w:rPr>
                <w:rFonts w:ascii="宋体" w:hAnsi="宋体" w:cs="宋体"/>
                <w:color w:val="auto"/>
                <w:sz w:val="24"/>
                <w:szCs w:val="24"/>
                <w:highlight w:val="none"/>
              </w:rPr>
              <w:t xml:space="preserve"> </w:t>
            </w:r>
          </w:p>
        </w:tc>
      </w:tr>
    </w:tbl>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pStyle w:val="24"/>
        <w:rPr>
          <w:rFonts w:cs="宋体"/>
          <w:b/>
          <w:bCs/>
          <w:color w:val="auto"/>
          <w:szCs w:val="21"/>
          <w:highlight w:val="none"/>
        </w:rPr>
      </w:pPr>
    </w:p>
    <w:p>
      <w:pPr>
        <w:pStyle w:val="24"/>
        <w:rPr>
          <w:rFonts w:cs="宋体"/>
          <w:b/>
          <w:bCs/>
          <w:color w:val="auto"/>
          <w:szCs w:val="21"/>
          <w:highlight w:val="none"/>
        </w:rPr>
      </w:pPr>
    </w:p>
    <w:p>
      <w:pPr>
        <w:pStyle w:val="24"/>
        <w:rPr>
          <w:rFonts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pPr>
        <w:spacing w:line="520" w:lineRule="exact"/>
        <w:ind w:firstLine="3640" w:firstLineChars="13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廉洁协议</w:t>
      </w:r>
    </w:p>
    <w:p>
      <w:pPr>
        <w:spacing w:line="520" w:lineRule="exact"/>
        <w:ind w:firstLine="630" w:firstLineChars="225"/>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Cs/>
          <w:color w:val="auto"/>
          <w:sz w:val="28"/>
          <w:szCs w:val="28"/>
          <w:highlight w:val="none"/>
          <w:u w:val="single"/>
        </w:rPr>
        <w:t>广州市净水有限公司</w:t>
      </w:r>
      <w:r>
        <w:rPr>
          <w:rFonts w:hint="eastAsia" w:ascii="仿宋_GB2312" w:hAnsi="仿宋_GB2312" w:eastAsia="仿宋_GB2312" w:cs="仿宋_GB2312"/>
          <w:bCs/>
          <w:color w:val="auto"/>
          <w:sz w:val="28"/>
          <w:szCs w:val="28"/>
          <w:highlight w:val="none"/>
        </w:rPr>
        <w:t>(以下称甲方)与(以下称乙方)，特此订立本协议共同遵照执行。</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第一条 甲乙双方的权利和义务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（一）甲乙双方严格遵守国家关于市场准入、项目招标投标、市场经营活动等有关法律、法规相关政策及廉政建设的各项规定。</w:t>
      </w:r>
    </w:p>
    <w:p>
      <w:pPr>
        <w:spacing w:line="520" w:lineRule="exact"/>
        <w:ind w:firstLine="630" w:firstLineChars="225"/>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（二）严格执行</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广州市净水有限公司龙归分公司2023年三期会议室显示屏采购项目</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合同（以下简称：主合同），自觉履行合同约定的相关义务。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（三）在业务活动中坚持公开、公正、诚信、透明的原则，不得损害国家、集体利益。</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（四）建立健全廉洁从业制度，开展廉洁教育，公布举报电话，监督并认真查处不廉洁及违法违纪行为。</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（五）发现对方在业务活动中有不廉洁行为，应及时提醒对方纠正。情节严重的，应向其有关监督部门检举。</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第二条甲方的义务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（一）甲方及其工作人员不得索要或接受乙方的礼金、有价证券和贵重物品，不得在乙方报销任何应由甲方或个人支付的费用等。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（三）甲方及其工作人员不得要求或者接受乙方为其住房装修、婚丧嫁娶活动、配偶子女工作安排以及出国出境、旅游等提供方便等。</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（四）甲方工作人员不得在乙方或与乙方有股权关联的企业兼职，不得向乙方介绍家属或者亲友从事与甲方业务有关的经济活动。</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（六）甲方工作人员不得利用职务之便收受乙方以回扣、手续费、加班费、咨询费、劳务费、协调费、辛苦费等各种名义给予或赠送的钱物。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（七）甲方工作人员不得接受乙方给予或赠送的干股或红利。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第三条乙方的义务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（一）乙方不得以任何理由向甲方及其工作人员行贿或馈赠礼金、有价证券、贵重礼品。</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（二)乙方不得以任何名义为甲方及其工作人员报销应由甲方单位或个人支付的任何费用。</w:t>
      </w:r>
    </w:p>
    <w:p>
      <w:pPr>
        <w:spacing w:line="520" w:lineRule="exact"/>
        <w:ind w:left="25" w:leftChars="12"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（三）乙方不得以任何理由安排甲方工作人员参加可能影响相关业务公开、公正、公平性的宴请及娱乐活动。</w:t>
      </w:r>
    </w:p>
    <w:p>
      <w:pPr>
        <w:pStyle w:val="16"/>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（四）乙方不得为甲方单位和个人购置或提供通讯工具和高档办公用品等物品，也不得为甲方提供与工作无关的房屋、汽车等。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（五）乙方不得擅自与甲方工作人员就主合同中的质量、数量、价格、工程量、验收等条款进行私下商谈或者达成默契。</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（六）乙方不得以回扣、手续费、加班费、咨询费、劳务费、协调费、辛苦费等各种名义向甲方工作人员给予或赠送钱物。</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（七）乙方不得向甲方工作人员提供干股或红利。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第四条违约责任</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甲方举报投诉联系部门：广州市净水有限公司</w:t>
      </w:r>
      <w:r>
        <w:rPr>
          <w:rFonts w:hint="eastAsia" w:ascii="仿宋_GB2312" w:hAnsi="仿宋_GB2312" w:eastAsia="仿宋_GB2312" w:cs="仿宋_GB2312"/>
          <w:bCs/>
          <w:color w:val="auto"/>
          <w:sz w:val="28"/>
          <w:szCs w:val="28"/>
          <w:highlight w:val="none"/>
          <w:u w:val="single"/>
        </w:rPr>
        <w:t>纪检室</w:t>
      </w:r>
      <w:r>
        <w:rPr>
          <w:rFonts w:hint="eastAsia" w:ascii="仿宋_GB2312" w:hAnsi="仿宋_GB2312" w:eastAsia="仿宋_GB2312" w:cs="仿宋_GB2312"/>
          <w:bCs/>
          <w:color w:val="auto"/>
          <w:sz w:val="28"/>
          <w:szCs w:val="28"/>
          <w:highlight w:val="none"/>
        </w:rPr>
        <w:t>，联系电话：</w:t>
      </w:r>
      <w:r>
        <w:rPr>
          <w:rFonts w:hint="eastAsia" w:ascii="仿宋_GB2312" w:hAnsi="仿宋_GB2312" w:eastAsia="仿宋_GB2312" w:cs="仿宋_GB2312"/>
          <w:bCs/>
          <w:color w:val="auto"/>
          <w:sz w:val="28"/>
          <w:szCs w:val="28"/>
          <w:highlight w:val="none"/>
          <w:u w:val="single"/>
        </w:rPr>
        <w:t xml:space="preserve"> 020-38890265 </w:t>
      </w:r>
      <w:r>
        <w:rPr>
          <w:rFonts w:hint="eastAsia" w:ascii="仿宋_GB2312" w:hAnsi="仿宋_GB2312" w:eastAsia="仿宋_GB2312" w:cs="仿宋_GB2312"/>
          <w:bCs/>
          <w:color w:val="auto"/>
          <w:sz w:val="28"/>
          <w:szCs w:val="28"/>
          <w:highlight w:val="none"/>
        </w:rPr>
        <w:t>。</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1、扣除主合同的全部履约保证金；</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2、解除主合同；</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3、追究乙方其他违约责任；</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4、根据甲方的有关规章制度，在一定时间内暂停乙方参与甲方及下属单位所有项目的交易资格；</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5、根据甲方的有关规章制度，将乙方清退出甲方相关企业库；</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6、根据甲方上级单位、行政主管部门的意见、决定执行；</w:t>
      </w:r>
    </w:p>
    <w:p>
      <w:pPr>
        <w:pStyle w:val="23"/>
        <w:widowControl/>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7、按规定向有关行政监督部门、乙方业务管理部门进行投诉、报告。</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乙方无条件接受甲方的处理决定并承担给甲方造成的损失，全额返还通过不正当手段获取的非法所得，并承担相应的法律责任。</w:t>
      </w:r>
    </w:p>
    <w:p>
      <w:pPr>
        <w:spacing w:line="520" w:lineRule="exact"/>
        <w:ind w:firstLine="560" w:firstLineChars="200"/>
        <w:rPr>
          <w:rFonts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sz w:val="28"/>
          <w:szCs w:val="28"/>
          <w:highlight w:val="none"/>
        </w:rPr>
        <w:t xml:space="preserve">第五条 </w:t>
      </w:r>
      <w:r>
        <w:rPr>
          <w:rFonts w:hint="eastAsia" w:ascii="仿宋_GB2312" w:hAnsi="仿宋_GB2312" w:eastAsia="仿宋_GB2312" w:cs="仿宋_GB2312"/>
          <w:bCs/>
          <w:color w:val="auto"/>
          <w:kern w:val="0"/>
          <w:sz w:val="28"/>
          <w:szCs w:val="28"/>
          <w:highlight w:val="none"/>
        </w:rPr>
        <w:t xml:space="preserve">本协议执行情况，接受有管辖权的纪检、监察部门的监督，双方应予以配合检查调查。 </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第六条本协议作为</w:t>
      </w:r>
      <w:r>
        <w:rPr>
          <w:rFonts w:hint="eastAsia" w:ascii="仿宋_GB2312" w:hAnsi="仿宋_GB2312" w:eastAsia="仿宋_GB2312" w:cs="仿宋_GB2312"/>
          <w:bCs/>
          <w:color w:val="auto"/>
          <w:sz w:val="28"/>
          <w:szCs w:val="28"/>
          <w:highlight w:val="none"/>
          <w:u w:val="single"/>
        </w:rPr>
        <w:t>（合同名称）+（合同编号）</w:t>
      </w:r>
      <w:r>
        <w:rPr>
          <w:rFonts w:hint="eastAsia" w:ascii="仿宋_GB2312" w:hAnsi="仿宋_GB2312" w:eastAsia="仿宋_GB2312" w:cs="仿宋_GB2312"/>
          <w:bCs/>
          <w:color w:val="auto"/>
          <w:sz w:val="28"/>
          <w:szCs w:val="28"/>
          <w:highlight w:val="none"/>
        </w:rPr>
        <w:t>合同的附件，并具有同等的法律效力，本协议自双方签字盖章之日起生效，与主合同同时终止。</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第七条本协议一式</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份，甲方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份，乙方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w:t>
      </w:r>
    </w:p>
    <w:p>
      <w:pPr>
        <w:spacing w:line="520" w:lineRule="exact"/>
        <w:ind w:firstLine="560" w:firstLineChars="200"/>
        <w:rPr>
          <w:rFonts w:ascii="仿宋_GB2312" w:hAnsi="仿宋_GB2312" w:eastAsia="仿宋_GB2312" w:cs="仿宋_GB2312"/>
          <w:bCs/>
          <w:color w:val="auto"/>
          <w:sz w:val="28"/>
          <w:szCs w:val="28"/>
          <w:highlight w:val="none"/>
        </w:rPr>
      </w:pPr>
    </w:p>
    <w:p>
      <w:pPr>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textWrapping"/>
      </w:r>
      <w:r>
        <w:rPr>
          <w:rFonts w:hint="eastAsia" w:ascii="仿宋_GB2312" w:hAnsi="仿宋_GB2312" w:eastAsia="仿宋_GB2312" w:cs="仿宋_GB2312"/>
          <w:bCs/>
          <w:color w:val="auto"/>
          <w:sz w:val="28"/>
          <w:szCs w:val="28"/>
          <w:highlight w:val="none"/>
        </w:rPr>
        <w:t>甲方（盖章）：                     乙方（盖章）：</w:t>
      </w:r>
    </w:p>
    <w:p>
      <w:pPr>
        <w:pStyle w:val="35"/>
        <w:tabs>
          <w:tab w:val="left" w:pos="5100"/>
        </w:tabs>
        <w:spacing w:line="520" w:lineRule="exact"/>
        <w:ind w:left="7200" w:firstLine="0" w:firstLineChars="0"/>
        <w:jc w:val="left"/>
        <w:rPr>
          <w:rFonts w:ascii="仿宋_GB2312" w:hAnsi="仿宋_GB2312" w:eastAsia="仿宋_GB2312" w:cs="仿宋_GB2312"/>
          <w:bCs/>
          <w:color w:val="auto"/>
          <w:sz w:val="28"/>
          <w:szCs w:val="28"/>
          <w:highlight w:val="none"/>
        </w:rPr>
      </w:pPr>
    </w:p>
    <w:p>
      <w:pPr>
        <w:tabs>
          <w:tab w:val="left" w:pos="5100"/>
        </w:tabs>
        <w:spacing w:line="520" w:lineRule="exact"/>
        <w:ind w:left="8400" w:hanging="8400" w:hangingChars="30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签约代表：                         签约代表：</w:t>
      </w:r>
    </w:p>
    <w:p>
      <w:pPr>
        <w:tabs>
          <w:tab w:val="left" w:pos="4170"/>
        </w:tabs>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日期:    年  月  日</w:t>
      </w:r>
      <w:r>
        <w:rPr>
          <w:rFonts w:hint="eastAsia" w:ascii="仿宋_GB2312" w:hAnsi="仿宋_GB2312" w:eastAsia="仿宋_GB2312" w:cs="仿宋_GB2312"/>
          <w:bCs/>
          <w:color w:val="auto"/>
          <w:sz w:val="28"/>
          <w:szCs w:val="28"/>
          <w:highlight w:val="none"/>
        </w:rPr>
        <w:tab/>
      </w:r>
      <w:r>
        <w:rPr>
          <w:rFonts w:hint="eastAsia" w:ascii="仿宋_GB2312" w:hAnsi="仿宋_GB2312" w:eastAsia="仿宋_GB2312" w:cs="仿宋_GB2312"/>
          <w:bCs/>
          <w:color w:val="auto"/>
          <w:sz w:val="28"/>
          <w:szCs w:val="28"/>
          <w:highlight w:val="none"/>
        </w:rPr>
        <w:t>日期：  年  月  日</w:t>
      </w:r>
    </w:p>
    <w:p>
      <w:pPr>
        <w:tabs>
          <w:tab w:val="left" w:pos="4170"/>
        </w:tabs>
        <w:spacing w:line="360" w:lineRule="auto"/>
        <w:rPr>
          <w:rFonts w:ascii="宋体" w:hAnsi="宋体"/>
          <w:color w:val="auto"/>
          <w:highlight w:val="none"/>
        </w:rPr>
      </w:pPr>
    </w:p>
    <w:p>
      <w:pPr>
        <w:spacing w:line="360" w:lineRule="auto"/>
        <w:rPr>
          <w:rFonts w:ascii="仿宋_GB2312" w:eastAsia="仿宋_GB2312"/>
          <w:color w:val="auto"/>
          <w:sz w:val="24"/>
          <w:szCs w:val="24"/>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pStyle w:val="24"/>
        <w:rPr>
          <w:rFonts w:ascii="仿宋_GB2312" w:eastAsia="仿宋_GB2312"/>
          <w:color w:val="auto"/>
          <w:highlight w:val="none"/>
        </w:rPr>
      </w:pPr>
    </w:p>
    <w:p>
      <w:pPr>
        <w:rPr>
          <w:color w:val="auto"/>
          <w:highlight w:val="none"/>
        </w:rPr>
      </w:pPr>
    </w:p>
    <w:p>
      <w:pPr>
        <w:tabs>
          <w:tab w:val="left" w:pos="4170"/>
        </w:tabs>
        <w:spacing w:line="360" w:lineRule="auto"/>
        <w:rPr>
          <w:rFonts w:ascii="宋体" w:hAnsi="宋体"/>
          <w:color w:val="auto"/>
          <w:highlight w:val="none"/>
        </w:rPr>
      </w:pPr>
    </w:p>
    <w:p>
      <w:pPr>
        <w:spacing w:line="360" w:lineRule="auto"/>
        <w:rPr>
          <w:rFonts w:ascii="仿宋_GB2312" w:eastAsia="仿宋_GB2312"/>
          <w:color w:val="auto"/>
          <w:sz w:val="24"/>
          <w:szCs w:val="24"/>
          <w:highlight w:val="none"/>
        </w:rPr>
      </w:pPr>
    </w:p>
    <w:p>
      <w:pPr>
        <w:pStyle w:val="24"/>
        <w:rPr>
          <w:rFonts w:ascii="仿宋_GB2312" w:eastAsia="仿宋_GB2312"/>
          <w:color w:val="auto"/>
          <w:highlight w:val="none"/>
        </w:rPr>
      </w:pPr>
    </w:p>
    <w:p>
      <w:pPr>
        <w:pStyle w:val="24"/>
        <w:rPr>
          <w:rFonts w:ascii="仿宋_GB2312" w:eastAsia="仿宋_GB2312"/>
          <w:color w:val="auto"/>
          <w:sz w:val="28"/>
          <w:szCs w:val="28"/>
          <w:highlight w:val="none"/>
        </w:rPr>
      </w:pPr>
    </w:p>
    <w:p>
      <w:pPr>
        <w:pStyle w:val="3"/>
        <w:rPr>
          <w:color w:val="auto"/>
          <w:highlight w:val="none"/>
        </w:rPr>
      </w:pPr>
      <w:bookmarkStart w:id="97" w:name="_Toc30824"/>
      <w:bookmarkStart w:id="98" w:name="_Toc23515"/>
      <w:bookmarkStart w:id="99" w:name="_Toc6230"/>
      <w:bookmarkStart w:id="100" w:name="_Toc28358"/>
      <w:bookmarkStart w:id="101" w:name="_Toc1563"/>
      <w:bookmarkStart w:id="102" w:name="_Toc16552"/>
      <w:bookmarkStart w:id="103" w:name="_Toc8147"/>
      <w:bookmarkStart w:id="104" w:name="_Toc5129"/>
      <w:bookmarkStart w:id="105" w:name="_Toc21847"/>
      <w:bookmarkStart w:id="106" w:name="_Toc3723"/>
      <w:bookmarkStart w:id="107" w:name="_Toc12169"/>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2306320</wp:posOffset>
                </wp:positionH>
                <wp:positionV relativeFrom="paragraph">
                  <wp:posOffset>720090</wp:posOffset>
                </wp:positionV>
                <wp:extent cx="958850" cy="0"/>
                <wp:effectExtent l="0" t="6350" r="0" b="6350"/>
                <wp:wrapNone/>
                <wp:docPr id="14"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6432;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Pr6od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270510</wp:posOffset>
                </wp:positionV>
                <wp:extent cx="958850" cy="0"/>
                <wp:effectExtent l="0" t="6350" r="0" b="6350"/>
                <wp:wrapNone/>
                <wp:docPr id="13"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5408;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z8Z4P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97"/>
      <w:bookmarkEnd w:id="98"/>
      <w:bookmarkEnd w:id="99"/>
      <w:bookmarkEnd w:id="100"/>
      <w:bookmarkEnd w:id="101"/>
      <w:bookmarkEnd w:id="102"/>
      <w:bookmarkEnd w:id="103"/>
      <w:bookmarkEnd w:id="104"/>
      <w:bookmarkEnd w:id="105"/>
      <w:bookmarkEnd w:id="106"/>
      <w:bookmarkEnd w:id="107"/>
    </w:p>
    <w:p>
      <w:pPr>
        <w:pStyle w:val="38"/>
        <w:rPr>
          <w:color w:val="auto"/>
          <w:highlight w:val="none"/>
        </w:rPr>
      </w:pPr>
    </w:p>
    <w:p>
      <w:pPr>
        <w:pStyle w:val="3"/>
        <w:rPr>
          <w:color w:val="auto"/>
          <w:highlight w:val="none"/>
        </w:rPr>
      </w:pPr>
      <w:bookmarkStart w:id="108" w:name="_Toc87616388"/>
      <w:bookmarkStart w:id="109" w:name="_Toc30157"/>
      <w:bookmarkStart w:id="110" w:name="_Toc5342"/>
      <w:bookmarkStart w:id="111" w:name="_Toc24490"/>
      <w:bookmarkStart w:id="112" w:name="_Toc24815"/>
      <w:bookmarkStart w:id="113" w:name="_Toc21675"/>
      <w:bookmarkStart w:id="114" w:name="_Toc12769"/>
      <w:bookmarkStart w:id="115" w:name="_Toc88209951"/>
      <w:bookmarkStart w:id="116" w:name="_Toc10840"/>
      <w:bookmarkStart w:id="117" w:name="_Toc12610"/>
      <w:bookmarkStart w:id="118" w:name="_Toc31564"/>
      <w:bookmarkStart w:id="119" w:name="_Toc17119"/>
      <w:bookmarkStart w:id="120" w:name="_Toc22764"/>
      <w:r>
        <w:rPr>
          <w:rFonts w:hint="eastAsia"/>
          <w:color w:val="auto"/>
          <w:highlight w:val="none"/>
        </w:rPr>
        <w:t>响应文件格式要求</w:t>
      </w:r>
      <w:bookmarkEnd w:id="108"/>
      <w:bookmarkEnd w:id="109"/>
      <w:bookmarkEnd w:id="110"/>
      <w:bookmarkEnd w:id="111"/>
      <w:bookmarkEnd w:id="112"/>
      <w:bookmarkEnd w:id="113"/>
      <w:bookmarkEnd w:id="114"/>
      <w:bookmarkEnd w:id="115"/>
      <w:bookmarkEnd w:id="116"/>
      <w:bookmarkEnd w:id="117"/>
      <w:bookmarkEnd w:id="118"/>
      <w:bookmarkEnd w:id="119"/>
      <w:bookmarkEnd w:id="120"/>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56" w:beforeLines="50" w:after="156" w:afterLines="50" w:line="600" w:lineRule="exact"/>
        <w:jc w:val="center"/>
        <w:rPr>
          <w:rFonts w:ascii="仿宋_GB2312" w:eastAsia="仿宋_GB2312"/>
          <w:color w:val="auto"/>
          <w:sz w:val="30"/>
          <w:szCs w:val="30"/>
          <w:highlight w:val="none"/>
        </w:rPr>
      </w:pPr>
    </w:p>
    <w:p>
      <w:pPr>
        <w:adjustRightInd w:val="0"/>
        <w:snapToGrid w:val="0"/>
        <w:spacing w:before="156" w:beforeLines="50" w:after="156"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30"/>
          <w:szCs w:val="30"/>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21" w:name="_Toc88209952"/>
      <w:bookmarkStart w:id="122" w:name="_Toc87616389"/>
      <w:r>
        <w:rPr>
          <w:rFonts w:hint="eastAsia" w:ascii="仿宋_GB2312" w:eastAsia="仿宋_GB2312"/>
          <w:color w:val="auto"/>
          <w:sz w:val="28"/>
          <w:szCs w:val="28"/>
          <w:highlight w:val="none"/>
        </w:rPr>
        <w:t>1.响应函</w:t>
      </w:r>
      <w:bookmarkEnd w:id="121"/>
      <w:bookmarkEnd w:id="122"/>
    </w:p>
    <w:p>
      <w:pPr>
        <w:spacing w:line="600" w:lineRule="exact"/>
        <w:rPr>
          <w:rFonts w:ascii="仿宋_GB2312" w:eastAsia="仿宋_GB2312"/>
          <w:color w:val="auto"/>
          <w:sz w:val="28"/>
          <w:szCs w:val="28"/>
          <w:highlight w:val="none"/>
        </w:rPr>
      </w:pPr>
      <w:bookmarkStart w:id="123" w:name="_Toc87616390"/>
      <w:bookmarkStart w:id="124" w:name="_Toc88209953"/>
      <w:r>
        <w:rPr>
          <w:rFonts w:hint="eastAsia" w:ascii="仿宋_GB2312" w:eastAsia="仿宋_GB2312"/>
          <w:color w:val="auto"/>
          <w:sz w:val="28"/>
          <w:szCs w:val="28"/>
          <w:highlight w:val="none"/>
        </w:rPr>
        <w:t>2.法定代表人证明或授权委托书</w:t>
      </w:r>
      <w:bookmarkEnd w:id="123"/>
      <w:bookmarkEnd w:id="124"/>
      <w:bookmarkStart w:id="125" w:name="_Toc88209956"/>
      <w:bookmarkStart w:id="126"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25"/>
      <w:bookmarkEnd w:id="126"/>
      <w:r>
        <w:rPr>
          <w:rFonts w:hint="eastAsia" w:ascii="仿宋_GB2312" w:eastAsia="仿宋_GB2312"/>
          <w:color w:val="auto"/>
          <w:sz w:val="28"/>
          <w:szCs w:val="28"/>
          <w:highlight w:val="none"/>
        </w:rPr>
        <w:cr/>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4"/>
        <w:rPr>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24"/>
        <w:rPr>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27" w:name="_Toc28619645"/>
      <w:bookmarkStart w:id="128" w:name="_Toc88209957"/>
      <w:bookmarkStart w:id="129" w:name="_Toc12665"/>
      <w:bookmarkStart w:id="130" w:name="_Toc6313"/>
      <w:bookmarkStart w:id="131" w:name="_Toc87616394"/>
      <w:r>
        <w:rPr>
          <w:rFonts w:hint="eastAsia" w:asciiTheme="minorEastAsia" w:hAnsiTheme="minorEastAsia" w:eastAsiaTheme="minorEastAsia"/>
          <w:color w:val="auto"/>
          <w:sz w:val="28"/>
          <w:szCs w:val="28"/>
          <w:highlight w:val="none"/>
        </w:rPr>
        <w:t>1.响应函</w:t>
      </w:r>
      <w:bookmarkEnd w:id="127"/>
      <w:bookmarkEnd w:id="128"/>
      <w:bookmarkEnd w:id="129"/>
      <w:bookmarkEnd w:id="130"/>
      <w:bookmarkEnd w:id="13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3.我方完全理解采购文件中所有要求均为实质性响应条款，如有任何一条负偏离或者不满足将导致响应文件无效。由于我方提供资料不实或与需求书中所有条款不符而造成的责任和后果由我方承担。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4"/>
        <w:ind w:firstLine="560" w:firstLineChars="200"/>
        <w:rPr>
          <w:rFonts w:eastAsia="仿宋_GB2312"/>
          <w:color w:val="auto"/>
          <w:highlight w:val="none"/>
        </w:rPr>
      </w:pPr>
      <w:r>
        <w:rPr>
          <w:rFonts w:hint="eastAsia" w:ascii="仿宋_GB2312" w:hAnsi="黑体" w:eastAsia="仿宋_GB2312" w:cstheme="minorBidi"/>
          <w:color w:val="auto"/>
          <w:kern w:val="2"/>
          <w:sz w:val="28"/>
          <w:szCs w:val="28"/>
          <w:highlight w:val="none"/>
        </w:rPr>
        <w:t>（</w:t>
      </w:r>
      <w:r>
        <w:rPr>
          <w:rFonts w:ascii="仿宋_GB2312" w:hAnsi="黑体" w:eastAsia="仿宋_GB2312" w:cstheme="minorBidi"/>
          <w:color w:val="auto"/>
          <w:kern w:val="2"/>
          <w:sz w:val="28"/>
          <w:szCs w:val="28"/>
          <w:highlight w:val="none"/>
        </w:rPr>
        <w:t>5</w:t>
      </w:r>
      <w:r>
        <w:rPr>
          <w:rFonts w:hint="eastAsia" w:ascii="仿宋_GB2312" w:hAnsi="黑体" w:eastAsia="仿宋_GB2312" w:cstheme="minorBidi"/>
          <w:color w:val="auto"/>
          <w:kern w:val="2"/>
          <w:sz w:val="28"/>
          <w:szCs w:val="28"/>
          <w:highlight w:val="none"/>
        </w:rPr>
        <w:t>）如放弃成交，我方依法</w:t>
      </w:r>
      <w:r>
        <w:rPr>
          <w:rFonts w:hint="eastAsia" w:ascii="仿宋_GB2312" w:hAnsi="黑体" w:eastAsia="仿宋_GB2312"/>
          <w:color w:val="auto"/>
          <w:sz w:val="28"/>
          <w:szCs w:val="28"/>
          <w:highlight w:val="none"/>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.我方在此声明，所递交的响应文件及有关资料内容完整、真实和准确，且不存在采购公告（采购邀请书）中供应商不得存在的情形。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asciiTheme="minorEastAsia" w:hAnsiTheme="minorEastAsia"/>
          <w:color w:val="auto"/>
          <w:sz w:val="28"/>
          <w:szCs w:val="28"/>
          <w:highlight w:val="none"/>
        </w:rPr>
      </w:pPr>
      <w:bookmarkStart w:id="132" w:name="_Toc22527"/>
      <w:bookmarkStart w:id="133" w:name="_Toc88209958"/>
      <w:bookmarkStart w:id="134" w:name="_Toc87616395"/>
      <w:bookmarkStart w:id="135" w:name="_Toc29833"/>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32"/>
      <w:bookmarkEnd w:id="133"/>
      <w:bookmarkEnd w:id="134"/>
      <w:bookmarkEnd w:id="13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6350" t="6350" r="6350" b="2667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NshJaV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pStyle w:val="38"/>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附：1.委托代理人身份证(正反两面)复印件，提供授权委托代理人身份证原件备查。</w:t>
      </w:r>
    </w:p>
    <w:p>
      <w:pPr>
        <w:pStyle w:val="38"/>
        <w:numPr>
          <w:ilvl w:val="255"/>
          <w:numId w:val="0"/>
        </w:numPr>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2.提供授权委托人在本单位近三个月社保记录（以加盖社会保险基金管理中心印章的《缴费历史明细表》或《社会保险参保人员证明》为准），否则为无效代理人，响应文件无效。</w:t>
      </w:r>
    </w:p>
    <w:p>
      <w:pPr>
        <w:pStyle w:val="38"/>
        <w:numPr>
          <w:ilvl w:val="255"/>
          <w:numId w:val="0"/>
        </w:numPr>
        <w:ind w:firstLine="0" w:firstLineChars="0"/>
        <w:rPr>
          <w:rFonts w:ascii="仿宋_GB2312" w:hAnsi="宋体" w:eastAsia="仿宋_GB2312"/>
          <w:color w:val="auto"/>
          <w:sz w:val="30"/>
          <w:szCs w:val="30"/>
          <w:highlight w:val="none"/>
        </w:rPr>
      </w:pP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4"/>
        <w:rPr>
          <w:rFonts w:ascii="仿宋_GB2312" w:eastAsia="仿宋_GB2312"/>
          <w:color w:val="auto"/>
          <w:sz w:val="30"/>
          <w:szCs w:val="30"/>
          <w:highlight w:val="none"/>
        </w:rPr>
      </w:pPr>
    </w:p>
    <w:p>
      <w:pPr>
        <w:pStyle w:val="24"/>
        <w:rPr>
          <w:rFonts w:ascii="仿宋_GB2312" w:eastAsia="仿宋_GB2312"/>
          <w:color w:val="auto"/>
          <w:sz w:val="30"/>
          <w:szCs w:val="30"/>
          <w:highlight w:val="none"/>
        </w:rPr>
      </w:pPr>
    </w:p>
    <w:p>
      <w:pPr>
        <w:pStyle w:val="24"/>
        <w:rPr>
          <w:rFonts w:ascii="仿宋_GB2312" w:eastAsia="仿宋_GB2312"/>
          <w:color w:val="auto"/>
          <w:sz w:val="30"/>
          <w:szCs w:val="30"/>
          <w:highlight w:val="none"/>
        </w:rPr>
      </w:pPr>
    </w:p>
    <w:p>
      <w:pPr>
        <w:pStyle w:val="24"/>
        <w:rPr>
          <w:rFonts w:ascii="仿宋_GB2312"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6350" t="6350" r="6350" b="2667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DrO02L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color w:val="auto"/>
                <w:sz w:val="24"/>
                <w:szCs w:val="24"/>
                <w:highlight w:val="none"/>
              </w:rPr>
            </w:pPr>
          </w:p>
          <w:p>
            <w:pPr>
              <w:spacing w:line="360" w:lineRule="auto"/>
              <w:jc w:val="center"/>
              <w:rPr>
                <w:rFonts w:ascii="宋体" w:hAnsi="宋体" w:eastAsia="宋体" w:cs="Times New Roman"/>
                <w:color w:val="auto"/>
                <w:sz w:val="24"/>
                <w:szCs w:val="24"/>
                <w:highlight w:val="none"/>
              </w:rPr>
            </w:pPr>
          </w:p>
          <w:p>
            <w:pPr>
              <w:spacing w:line="360" w:lineRule="auto"/>
              <w:jc w:val="center"/>
              <w:rPr>
                <w:rFonts w:ascii="宋体" w:hAnsi="宋体"/>
                <w:color w:val="auto"/>
                <w:sz w:val="24"/>
                <w:szCs w:val="24"/>
                <w:highlight w:val="none"/>
              </w:rPr>
            </w:pPr>
            <w:r>
              <w:rPr>
                <w:rFonts w:hint="eastAsia" w:ascii="宋体" w:hAnsi="宋体" w:cs="Times New Roman"/>
                <w:color w:val="auto"/>
                <w:sz w:val="24"/>
                <w:szCs w:val="24"/>
                <w:highlight w:val="none"/>
              </w:rPr>
              <w:t>授权代理人在本单位近三个月社保记录，（以加盖社会保险基金管理中心印章的《缴费历史明细表》或《社会保险参保人员证明》为准，加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spacing w:line="360" w:lineRule="auto"/>
              <w:jc w:val="center"/>
              <w:rPr>
                <w:rFonts w:ascii="宋体" w:hAnsi="宋体"/>
                <w:color w:val="auto"/>
                <w:sz w:val="24"/>
                <w:szCs w:val="24"/>
                <w:highlight w:val="none"/>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4"/>
        <w:ind w:firstLine="0"/>
        <w:rPr>
          <w:color w:val="auto"/>
          <w:highlight w:val="none"/>
        </w:rPr>
      </w:pPr>
    </w:p>
    <w:p>
      <w:pPr>
        <w:pStyle w:val="5"/>
        <w:rPr>
          <w:rFonts w:asciiTheme="minorEastAsia" w:hAnsiTheme="minorEastAsia" w:eastAsiaTheme="minorEastAsia"/>
          <w:color w:val="auto"/>
          <w:sz w:val="28"/>
          <w:szCs w:val="28"/>
          <w:highlight w:val="none"/>
        </w:rPr>
      </w:pPr>
      <w:bookmarkStart w:id="136" w:name="_Toc88209963"/>
      <w:bookmarkStart w:id="137" w:name="_Toc8086"/>
      <w:bookmarkStart w:id="138" w:name="_Toc19830"/>
      <w:bookmarkStart w:id="139" w:name="_Toc87616400"/>
      <w:r>
        <w:rPr>
          <w:rFonts w:hint="eastAsia" w:ascii="仿宋_GB2312" w:eastAsia="仿宋_GB2312" w:hAnsiTheme="minorEastAsia"/>
          <w:color w:val="auto"/>
          <w:sz w:val="28"/>
          <w:szCs w:val="28"/>
          <w:highlight w:val="none"/>
        </w:rPr>
        <w:t>3</w:t>
      </w:r>
      <w:r>
        <w:rPr>
          <w:rFonts w:hint="eastAsia" w:asciiTheme="minorEastAsia" w:hAnsiTheme="minorEastAsia" w:eastAsiaTheme="minorEastAsia"/>
          <w:color w:val="auto"/>
          <w:sz w:val="28"/>
          <w:szCs w:val="28"/>
          <w:highlight w:val="none"/>
        </w:rPr>
        <w:t>.资格审查资料</w:t>
      </w:r>
      <w:bookmarkEnd w:id="136"/>
      <w:bookmarkEnd w:id="137"/>
      <w:bookmarkEnd w:id="138"/>
      <w:bookmarkEnd w:id="13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cs="Times New Roman" w:asciiTheme="minorEastAsia" w:hAnsiTheme="minorEastAsia"/>
          <w:b/>
          <w:bCs/>
          <w:color w:val="auto"/>
          <w:sz w:val="28"/>
          <w:szCs w:val="28"/>
          <w:highlight w:val="none"/>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rPr>
        <w:t>。</w:t>
      </w:r>
      <w:r>
        <w:rPr>
          <w:rFonts w:hint="eastAsia" w:cs="Times New Roman" w:asciiTheme="minorEastAsia" w:hAnsiTheme="minorEastAsia"/>
          <w:b/>
          <w:bCs/>
          <w:color w:val="auto"/>
          <w:sz w:val="28"/>
          <w:szCs w:val="28"/>
          <w:highlight w:val="none"/>
        </w:rPr>
        <w:t>（相关证明文件附后）</w:t>
      </w:r>
    </w:p>
    <w:p>
      <w:pPr>
        <w:adjustRightInd w:val="0"/>
        <w:snapToGrid w:val="0"/>
        <w:spacing w:line="360" w:lineRule="auto"/>
        <w:jc w:val="right"/>
        <w:rPr>
          <w:rFonts w:cs="Times New Roman" w:asciiTheme="minorEastAsia" w:hAnsiTheme="minorEastAsia"/>
          <w:b/>
          <w:bCs/>
          <w:color w:val="auto"/>
          <w:sz w:val="28"/>
          <w:szCs w:val="28"/>
          <w:highlight w:val="none"/>
        </w:rPr>
      </w:pPr>
      <w:bookmarkStart w:id="140" w:name="_Hlk59025866"/>
      <w:r>
        <w:rPr>
          <w:rFonts w:hint="eastAsia" w:ascii="宋体" w:hAnsi="宋体" w:eastAsia="宋体" w:cs="宋体"/>
          <w:color w:val="auto"/>
          <w:sz w:val="24"/>
          <w:szCs w:val="24"/>
          <w:highlight w:val="none"/>
          <w:lang w:val="en-GB"/>
        </w:rPr>
        <w:t>供应商名称（加盖公章）：</w:t>
      </w:r>
    </w:p>
    <w:p>
      <w:pPr>
        <w:adjustRightInd w:val="0"/>
        <w:snapToGrid w:val="0"/>
        <w:spacing w:line="360" w:lineRule="auto"/>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3.2不得存在情形承诺函</w:t>
      </w:r>
    </w:p>
    <w:bookmarkEnd w:id="140"/>
    <w:p>
      <w:pPr>
        <w:adjustRightInd w:val="0"/>
        <w:snapToGrid w:val="0"/>
        <w:spacing w:line="360" w:lineRule="auto"/>
        <w:rPr>
          <w:rFonts w:ascii="宋体" w:hAnsi="宋体" w:eastAsia="宋体" w:cs="宋体"/>
          <w:color w:val="auto"/>
          <w:sz w:val="24"/>
          <w:szCs w:val="24"/>
          <w:highlight w:val="none"/>
          <w:lang w:val="en-GB"/>
        </w:rPr>
      </w:pPr>
    </w:p>
    <w:p>
      <w:pPr>
        <w:adjustRightInd w:val="0"/>
        <w:snapToGrid w:val="0"/>
        <w:spacing w:line="360" w:lineRule="auto"/>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color w:val="auto"/>
          <w:sz w:val="28"/>
          <w:szCs w:val="28"/>
          <w:highlight w:val="none"/>
        </w:rPr>
      </w:pPr>
      <w:r>
        <w:rPr>
          <w:rFonts w:hint="eastAsia" w:ascii="宋体" w:hAnsi="宋体" w:eastAsia="宋体" w:cs="宋体"/>
          <w:color w:val="auto"/>
          <w:sz w:val="24"/>
          <w:szCs w:val="24"/>
          <w:highlight w:val="none"/>
          <w:lang w:val="en-GB"/>
        </w:rPr>
        <w:t>我方郑重承诺，在参与</w:t>
      </w:r>
      <w:r>
        <w:rPr>
          <w:rFonts w:hint="eastAsia" w:ascii="宋体" w:hAnsi="宋体" w:cs="宋体"/>
          <w:color w:val="auto"/>
          <w:sz w:val="24"/>
          <w:szCs w:val="24"/>
          <w:highlight w:val="none"/>
          <w:lang w:val="en-GB"/>
        </w:rPr>
        <w:t>广州市净水有限公司</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lang w:val="en-GB"/>
        </w:rPr>
        <w:t>项目</w:t>
      </w:r>
      <w:r>
        <w:rPr>
          <w:rFonts w:hint="eastAsia" w:ascii="宋体" w:hAnsi="宋体" w:eastAsia="宋体" w:cs="宋体"/>
          <w:color w:val="auto"/>
          <w:sz w:val="24"/>
          <w:szCs w:val="24"/>
          <w:highlight w:val="none"/>
          <w:u w:val="single"/>
          <w:lang w:val="en-GB"/>
        </w:rPr>
        <w:t>（项目编号： ******）</w:t>
      </w:r>
      <w:r>
        <w:rPr>
          <w:rFonts w:hint="eastAsia" w:ascii="宋体" w:hAnsi="宋体" w:eastAsia="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（2）与本项目其他供应商存在控股</w:t>
      </w:r>
      <w:r>
        <w:rPr>
          <w:rFonts w:hint="eastAsia" w:ascii="宋体" w:hAnsi="宋体" w:cs="宋体"/>
          <w:color w:val="auto"/>
          <w:sz w:val="24"/>
          <w:szCs w:val="24"/>
          <w:highlight w:val="none"/>
        </w:rPr>
        <w:t>或</w:t>
      </w:r>
      <w:r>
        <w:rPr>
          <w:rFonts w:hint="eastAsia" w:ascii="宋体" w:hAnsi="宋体" w:cs="宋体"/>
          <w:color w:val="auto"/>
          <w:sz w:val="24"/>
          <w:szCs w:val="24"/>
          <w:highlight w:val="none"/>
          <w:lang w:val="en-GB"/>
        </w:rPr>
        <w:t>管理关系。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6</w:t>
      </w:r>
      <w:r>
        <w:rPr>
          <w:rFonts w:hint="eastAsia" w:ascii="宋体" w:hAnsi="宋体" w:cs="宋体"/>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GB"/>
        </w:rPr>
        <w:t>）被最高人民法院在“信用中国”网站（www.creditchina.gov.cn）或各级信用信息共享平台中列入失信被执行人名单。</w:t>
      </w:r>
    </w:p>
    <w:p>
      <w:pPr>
        <w:pStyle w:val="24"/>
        <w:ind w:firstLine="480" w:firstLineChars="200"/>
        <w:rPr>
          <w:rFonts w:cs="宋体" w:eastAsiaTheme="minorEastAsia"/>
          <w:color w:val="auto"/>
          <w:kern w:val="2"/>
          <w:highlight w:val="none"/>
          <w:lang w:val="en-GB"/>
        </w:rPr>
      </w:pPr>
      <w:r>
        <w:rPr>
          <w:rFonts w:hint="eastAsia" w:cs="宋体" w:eastAsiaTheme="minorEastAsia"/>
          <w:color w:val="auto"/>
          <w:highlight w:val="none"/>
          <w:lang w:val="en-GB"/>
        </w:rPr>
        <w:t>（</w:t>
      </w:r>
      <w:r>
        <w:rPr>
          <w:rFonts w:hint="eastAsia" w:cs="宋体"/>
          <w:color w:val="auto"/>
          <w:highlight w:val="none"/>
        </w:rPr>
        <w:t>8</w:t>
      </w:r>
      <w:r>
        <w:rPr>
          <w:rFonts w:hint="eastAsia" w:cs="宋体" w:eastAsiaTheme="minorEastAsia"/>
          <w:color w:val="auto"/>
          <w:highlight w:val="none"/>
          <w:lang w:val="en-GB"/>
        </w:rPr>
        <w:t>）</w:t>
      </w:r>
      <w:r>
        <w:rPr>
          <w:rFonts w:hint="eastAsia" w:cs="宋体" w:eastAsiaTheme="minorEastAsia"/>
          <w:color w:val="auto"/>
          <w:kern w:val="2"/>
          <w:highlight w:val="none"/>
          <w:lang w:val="en-GB"/>
        </w:rPr>
        <w:t>被“全国企业信用信息公示系统”（网址：</w:t>
      </w:r>
      <w:r>
        <w:rPr>
          <w:rFonts w:cs="宋体" w:eastAsiaTheme="minorEastAsia"/>
          <w:color w:val="auto"/>
          <w:kern w:val="2"/>
          <w:highlight w:val="none"/>
          <w:lang w:val="en-GB"/>
        </w:rPr>
        <w:t>http://www.gsxt.gov.cn/）</w:t>
      </w:r>
    </w:p>
    <w:p>
      <w:pPr>
        <w:pStyle w:val="24"/>
        <w:rPr>
          <w:rFonts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w:t>
      </w:r>
      <w:r>
        <w:rPr>
          <w:rFonts w:hint="eastAsia" w:ascii="宋体" w:hAnsi="宋体" w:cs="宋体"/>
          <w:color w:val="auto"/>
          <w:sz w:val="24"/>
          <w:szCs w:val="24"/>
          <w:highlight w:val="none"/>
        </w:rPr>
        <w:t>9</w:t>
      </w:r>
      <w:r>
        <w:rPr>
          <w:rFonts w:hint="eastAsia" w:ascii="宋体" w:hAnsi="宋体" w:cs="宋体"/>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GB"/>
        </w:rPr>
        <w:t>）其他违法违纪行为，经审查认为不宜被邀请参加采购活动的。</w:t>
      </w:r>
    </w:p>
    <w:p>
      <w:pPr>
        <w:adjustRightInd w:val="0"/>
        <w:snapToGrid w:val="0"/>
        <w:spacing w:line="360" w:lineRule="auto"/>
        <w:rPr>
          <w:rFonts w:ascii="宋体" w:hAnsi="宋体" w:eastAsia="宋体" w:cs="宋体"/>
          <w:b/>
          <w:color w:val="auto"/>
          <w:szCs w:val="21"/>
          <w:highlight w:val="none"/>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ind w:firstLine="0"/>
        <w:jc w:val="right"/>
        <w:rPr>
          <w:color w:val="auto"/>
          <w:highlight w:val="none"/>
        </w:rPr>
      </w:pPr>
      <w:r>
        <w:rPr>
          <w:rFonts w:hint="eastAsia" w:ascii="宋体" w:hAnsi="宋体" w:eastAsia="宋体" w:cs="宋体"/>
          <w:color w:val="auto"/>
          <w:sz w:val="24"/>
          <w:szCs w:val="24"/>
          <w:highlight w:val="none"/>
          <w:lang w:val="en-GB"/>
        </w:rPr>
        <w:t>年  月  日</w:t>
      </w:r>
    </w:p>
    <w:p>
      <w:pPr>
        <w:jc w:val="left"/>
        <w:rPr>
          <w:rFonts w:cs="Times New Roman" w:asciiTheme="minorEastAsia" w:hAnsiTheme="minorEastAsia"/>
          <w:b/>
          <w:bCs/>
          <w:color w:val="auto"/>
          <w:sz w:val="28"/>
          <w:szCs w:val="28"/>
          <w:highlight w:val="none"/>
        </w:rPr>
      </w:pPr>
    </w:p>
    <w:p>
      <w:pPr>
        <w:pStyle w:val="7"/>
        <w:rPr>
          <w:rFonts w:cs="Times New Roman" w:asciiTheme="minorEastAsia" w:hAnsiTheme="minorEastAsia"/>
          <w:b/>
          <w:bCs/>
          <w:color w:val="auto"/>
          <w:sz w:val="28"/>
          <w:szCs w:val="28"/>
          <w:highlight w:val="none"/>
        </w:rPr>
      </w:pPr>
    </w:p>
    <w:p>
      <w:pPr>
        <w:pStyle w:val="7"/>
        <w:rPr>
          <w:rFonts w:cs="Times New Roman" w:asciiTheme="minorEastAsia" w:hAnsiTheme="minorEastAsia"/>
          <w:b/>
          <w:bCs/>
          <w:color w:val="auto"/>
          <w:sz w:val="28"/>
          <w:szCs w:val="28"/>
          <w:highlight w:val="none"/>
        </w:rPr>
      </w:pPr>
    </w:p>
    <w:p>
      <w:pPr>
        <w:jc w:val="left"/>
        <w:rPr>
          <w:rFonts w:cs="Times New Roman" w:asciiTheme="minorEastAsia" w:hAnsiTheme="minorEastAsia"/>
          <w:b/>
          <w:bCs/>
          <w:color w:val="auto"/>
          <w:sz w:val="28"/>
          <w:szCs w:val="28"/>
          <w:highlight w:val="none"/>
        </w:rPr>
      </w:pPr>
    </w:p>
    <w:p>
      <w:pPr>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4.拟投入本项目的项目负责人情况表</w:t>
      </w:r>
    </w:p>
    <w:p>
      <w:pPr>
        <w:pStyle w:val="24"/>
        <w:rPr>
          <w:rFonts w:ascii="仿宋_GB2312" w:eastAsia="仿宋_GB2312" w:hAnsiTheme="minorEastAsia"/>
          <w:color w:val="auto"/>
          <w:sz w:val="28"/>
          <w:szCs w:val="28"/>
          <w:highlight w:val="none"/>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tcPr>
          <w:p>
            <w:pPr>
              <w:jc w:val="center"/>
              <w:rPr>
                <w:rFonts w:ascii="仿宋" w:hAnsi="仿宋" w:eastAsia="仿宋" w:cs="仿宋_GB2312"/>
                <w:b/>
                <w:color w:val="auto"/>
                <w:sz w:val="28"/>
                <w:szCs w:val="28"/>
                <w:highlight w:val="none"/>
              </w:rPr>
            </w:pPr>
          </w:p>
        </w:tc>
        <w:tc>
          <w:tcPr>
            <w:tcW w:w="161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bl>
    <w:p>
      <w:pPr>
        <w:pStyle w:val="24"/>
        <w:rPr>
          <w:rFonts w:ascii="仿宋_GB2312" w:eastAsia="仿宋_GB2312" w:hAnsiTheme="minorEastAsia"/>
          <w:color w:val="auto"/>
          <w:sz w:val="28"/>
          <w:szCs w:val="28"/>
          <w:highlight w:val="none"/>
        </w:rPr>
      </w:pPr>
    </w:p>
    <w:p>
      <w:pPr>
        <w:pStyle w:val="24"/>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4"/>
        <w:rPr>
          <w:rFonts w:ascii="仿宋_GB2312" w:eastAsia="仿宋_GB2312" w:hAnsiTheme="minorEastAsia"/>
          <w:color w:val="auto"/>
          <w:sz w:val="28"/>
          <w:szCs w:val="28"/>
          <w:highlight w:val="none"/>
        </w:rPr>
      </w:pPr>
    </w:p>
    <w:p>
      <w:pPr>
        <w:pStyle w:val="24"/>
        <w:rPr>
          <w:rFonts w:ascii="仿宋_GB2312" w:eastAsia="仿宋_GB2312" w:hAnsiTheme="minorEastAsia"/>
          <w:color w:val="auto"/>
          <w:sz w:val="28"/>
          <w:szCs w:val="28"/>
          <w:highlight w:val="none"/>
        </w:rPr>
      </w:pPr>
    </w:p>
    <w:p>
      <w:pPr>
        <w:pStyle w:val="24"/>
        <w:rPr>
          <w:rFonts w:ascii="仿宋_GB2312" w:eastAsia="仿宋_GB2312" w:hAnsiTheme="minorEastAsia"/>
          <w:color w:val="auto"/>
          <w:sz w:val="28"/>
          <w:szCs w:val="28"/>
          <w:highlight w:val="none"/>
        </w:rPr>
      </w:pPr>
    </w:p>
    <w:p>
      <w:pPr>
        <w:pStyle w:val="24"/>
        <w:rPr>
          <w:rFonts w:ascii="仿宋_GB2312" w:eastAsia="仿宋_GB2312" w:hAnsiTheme="minorEastAsia"/>
          <w:color w:val="auto"/>
          <w:sz w:val="28"/>
          <w:szCs w:val="28"/>
          <w:highlight w:val="none"/>
        </w:rPr>
      </w:pPr>
    </w:p>
    <w:p>
      <w:pPr>
        <w:pStyle w:val="24"/>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如有：</w:t>
      </w:r>
    </w:p>
    <w:tbl>
      <w:tblPr>
        <w:tblStyle w:val="25"/>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bookmarkStart w:id="141" w:name="_Toc19423"/>
            <w:bookmarkStart w:id="142" w:name="_Toc32430"/>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4"/>
                <w:highlight w:val="none"/>
              </w:rPr>
            </w:pPr>
            <w:r>
              <w:rPr>
                <w:rFonts w:hint="eastAsia" w:ascii="宋体" w:hAnsi="宋体" w:cs="宋体"/>
                <w:color w:val="auto"/>
                <w:sz w:val="24"/>
                <w:szCs w:val="24"/>
                <w:highlight w:val="none"/>
              </w:rPr>
              <w:t>...</w:t>
            </w:r>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p>
        </w:tc>
      </w:tr>
    </w:tbl>
    <w:p>
      <w:pPr>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5</w:t>
      </w:r>
      <w:r>
        <w:rPr>
          <w:rFonts w:hint="eastAsia" w:asciiTheme="minorEastAsia" w:hAnsiTheme="minorEastAsia" w:eastAsiaTheme="minorEastAsia"/>
          <w:color w:val="auto"/>
          <w:sz w:val="28"/>
          <w:szCs w:val="28"/>
          <w:highlight w:val="none"/>
        </w:rPr>
        <w:t>.报价表</w:t>
      </w:r>
      <w:bookmarkEnd w:id="141"/>
      <w:bookmarkEnd w:id="142"/>
      <w:r>
        <w:rPr>
          <w:rFonts w:hint="eastAsia" w:asciiTheme="minorEastAsia" w:hAnsiTheme="minorEastAsia" w:eastAsiaTheme="minorEastAsia"/>
          <w:color w:val="auto"/>
          <w:sz w:val="28"/>
          <w:szCs w:val="28"/>
          <w:highlight w:val="none"/>
        </w:rPr>
        <w:t>（如有）</w:t>
      </w:r>
    </w:p>
    <w:tbl>
      <w:tblPr>
        <w:tblStyle w:val="25"/>
        <w:tblW w:w="0" w:type="auto"/>
        <w:jc w:val="center"/>
        <w:tblLayout w:type="fixed"/>
        <w:tblCellMar>
          <w:top w:w="0" w:type="dxa"/>
          <w:left w:w="108" w:type="dxa"/>
          <w:bottom w:w="0" w:type="dxa"/>
          <w:right w:w="108" w:type="dxa"/>
        </w:tblCellMar>
      </w:tblPr>
      <w:tblGrid>
        <w:gridCol w:w="791"/>
        <w:gridCol w:w="840"/>
        <w:gridCol w:w="1076"/>
        <w:gridCol w:w="709"/>
        <w:gridCol w:w="690"/>
        <w:gridCol w:w="915"/>
        <w:gridCol w:w="1065"/>
        <w:gridCol w:w="840"/>
        <w:gridCol w:w="1165"/>
        <w:gridCol w:w="940"/>
      </w:tblGrid>
      <w:tr>
        <w:tblPrEx>
          <w:tblCellMar>
            <w:top w:w="0" w:type="dxa"/>
            <w:left w:w="108" w:type="dxa"/>
            <w:bottom w:w="0" w:type="dxa"/>
            <w:right w:w="108" w:type="dxa"/>
          </w:tblCellMar>
        </w:tblPrEx>
        <w:trPr>
          <w:trHeight w:val="517" w:hRule="atLeast"/>
          <w:jc w:val="center"/>
        </w:trPr>
        <w:tc>
          <w:tcPr>
            <w:tcW w:w="791"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84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1076"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生产厂家及品牌</w:t>
            </w:r>
          </w:p>
        </w:tc>
        <w:tc>
          <w:tcPr>
            <w:tcW w:w="709"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69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1980"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2005"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940"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blPrEx>
          <w:tblCellMar>
            <w:top w:w="0" w:type="dxa"/>
            <w:left w:w="108" w:type="dxa"/>
            <w:bottom w:w="0" w:type="dxa"/>
            <w:right w:w="108" w:type="dxa"/>
          </w:tblCellMar>
        </w:tblPrEx>
        <w:trPr>
          <w:trHeight w:val="552" w:hRule="atLeast"/>
          <w:jc w:val="center"/>
        </w:trPr>
        <w:tc>
          <w:tcPr>
            <w:tcW w:w="791"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84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1076"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709"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69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sz w:val="24"/>
                <w:szCs w:val="24"/>
                <w:highlight w:val="none"/>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40"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314"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1</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347"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2</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211" w:hRule="atLeast"/>
          <w:jc w:val="center"/>
        </w:trPr>
        <w:tc>
          <w:tcPr>
            <w:tcW w:w="79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3</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231" w:hRule="atLeast"/>
          <w:jc w:val="center"/>
        </w:trPr>
        <w:tc>
          <w:tcPr>
            <w:tcW w:w="4106" w:type="dxa"/>
            <w:gridSpan w:val="5"/>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合同暂定总价（万元）</w:t>
            </w: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4"/>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4"/>
        <w:ind w:firstLine="0"/>
        <w:rPr>
          <w:color w:val="auto"/>
          <w:highlight w:val="none"/>
        </w:rPr>
      </w:pPr>
    </w:p>
    <w:p>
      <w:pPr>
        <w:pStyle w:val="5"/>
        <w:rPr>
          <w:rFonts w:asciiTheme="majorEastAsia" w:hAnsiTheme="majorEastAsia" w:eastAsiaTheme="majorEastAsia"/>
          <w:color w:val="auto"/>
          <w:sz w:val="28"/>
          <w:szCs w:val="28"/>
          <w:highlight w:val="none"/>
        </w:rPr>
      </w:pPr>
      <w:bookmarkStart w:id="143" w:name="_Toc16386"/>
      <w:bookmarkStart w:id="144" w:name="_Toc6058"/>
      <w:bookmarkStart w:id="145" w:name="_Toc88209965"/>
      <w:bookmarkStart w:id="146" w:name="_Toc87616402"/>
      <w:r>
        <w:rPr>
          <w:rFonts w:hint="eastAsia" w:eastAsiaTheme="majorEastAsia"/>
          <w:color w:val="auto"/>
          <w:highlight w:val="none"/>
        </w:rPr>
        <w:t>6</w:t>
      </w:r>
      <w:r>
        <w:rPr>
          <w:rFonts w:hint="eastAsia" w:asciiTheme="majorEastAsia" w:hAnsiTheme="majorEastAsia" w:eastAsiaTheme="majorEastAsia"/>
          <w:color w:val="auto"/>
          <w:sz w:val="28"/>
          <w:szCs w:val="28"/>
          <w:highlight w:val="none"/>
        </w:rPr>
        <w:t>.其他资料</w:t>
      </w:r>
      <w:bookmarkEnd w:id="143"/>
      <w:bookmarkEnd w:id="144"/>
      <w:bookmarkEnd w:id="145"/>
      <w:bookmarkEnd w:id="14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82iockBAACa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Xb2kxHGLE798/3b58evy8yt5&#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zaKh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JmKUskBAACaAwAADgAAAGRycy9lMm9Eb2MueG1srVPNjtMwEL4j8Q6W&#10;79Rpk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Xb2mxHGLE798/3b58evy8yt5&#10;m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0mYpSyQEAAJoDAAAOAAAAAAAAAAEAIAAAAB4BAABkcnMvZTJvRG9j&#10;LnhtbFBLBQYAAAAABgAGAFkBAABZBQ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bDeaMkBAACa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XO3XGLE798/3b58evy8yt5&#10;n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tsN5o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IkMskBAACa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dPWGEsctTvzy/dvlx6/Lz69k&#10;m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wiQyyQEAAJoDAAAOAAAAAAAAAAEAIAAAAB4BAABkcnMvZTJvRG9j&#10;LnhtbFBLBQYAAAAABgAGAFkBAABZBQ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0772E"/>
    <w:multiLevelType w:val="multilevel"/>
    <w:tmpl w:val="85F0772E"/>
    <w:lvl w:ilvl="0" w:tentative="0">
      <w:start w:val="1"/>
      <w:numFmt w:val="decimal"/>
      <w:pStyle w:val="6"/>
      <w:lvlText w:val="%1."/>
      <w:lvlJc w:val="left"/>
      <w:pPr>
        <w:ind w:left="420" w:hanging="420"/>
      </w:pPr>
      <w:rPr>
        <w:rFonts w:hint="default"/>
        <w:sz w:val="44"/>
        <w:szCs w:val="44"/>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567"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suff w:val="space"/>
      <w:lvlText w:val="%1.%2.%3.%4"/>
      <w:lvlJc w:val="left"/>
      <w:pPr>
        <w:ind w:left="425" w:hanging="425"/>
      </w:pPr>
      <w:rPr>
        <w:rFonts w:hint="default" w:ascii="Times New Roman" w:hAnsi="Times New Roman"/>
        <w:b w:val="0"/>
        <w:i w:val="0"/>
        <w:sz w:val="28"/>
        <w:szCs w:val="28"/>
      </w:rPr>
    </w:lvl>
    <w:lvl w:ilvl="4" w:tentative="0">
      <w:start w:val="1"/>
      <w:numFmt w:val="decimal"/>
      <w:suff w:val="space"/>
      <w:lvlText w:val="%1.%2.%3.%4.%5"/>
      <w:lvlJc w:val="left"/>
      <w:pPr>
        <w:ind w:left="425" w:hanging="425"/>
      </w:pPr>
      <w:rPr>
        <w:rFonts w:hint="default" w:ascii="Times New Roman" w:hAnsi="Times New Roman"/>
        <w:sz w:val="28"/>
        <w:szCs w:val="28"/>
      </w:rPr>
    </w:lvl>
    <w:lvl w:ilvl="5" w:tentative="0">
      <w:start w:val="1"/>
      <w:numFmt w:val="decimal"/>
      <w:suff w:val="space"/>
      <w:lvlText w:val="%1.%2.%3.%4.%5.%6"/>
      <w:lvlJc w:val="left"/>
      <w:pPr>
        <w:ind w:left="2145"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BE49D2EC"/>
    <w:multiLevelType w:val="singleLevel"/>
    <w:tmpl w:val="BE49D2EC"/>
    <w:lvl w:ilvl="0" w:tentative="0">
      <w:start w:val="1"/>
      <w:numFmt w:val="chineseCounting"/>
      <w:suff w:val="nothing"/>
      <w:lvlText w:val="%1、"/>
      <w:lvlJc w:val="left"/>
      <w:rPr>
        <w:rFonts w:hint="eastAsia"/>
      </w:rPr>
    </w:lvl>
  </w:abstractNum>
  <w:abstractNum w:abstractNumId="2">
    <w:nsid w:val="BFE4A376"/>
    <w:multiLevelType w:val="singleLevel"/>
    <w:tmpl w:val="BFE4A376"/>
    <w:lvl w:ilvl="0" w:tentative="0">
      <w:start w:val="2"/>
      <w:numFmt w:val="decimal"/>
      <w:lvlText w:val="%1."/>
      <w:lvlJc w:val="left"/>
      <w:pPr>
        <w:tabs>
          <w:tab w:val="left" w:pos="312"/>
        </w:tabs>
        <w:ind w:left="1200" w:firstLine="0"/>
      </w:pPr>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abstractNum w:abstractNumId="6">
    <w:nsid w:val="771C8F7B"/>
    <w:multiLevelType w:val="singleLevel"/>
    <w:tmpl w:val="771C8F7B"/>
    <w:lvl w:ilvl="0" w:tentative="0">
      <w:start w:val="4"/>
      <w:numFmt w:val="chineseCounting"/>
      <w:suff w:val="space"/>
      <w:lvlText w:val="第%1条"/>
      <w:lvlJc w:val="left"/>
      <w:rPr>
        <w:rFonts w:hint="eastAsia"/>
      </w:rPr>
    </w:lvl>
  </w:abstractNum>
  <w:num w:numId="1">
    <w:abstractNumId w:val="0"/>
  </w:num>
  <w:num w:numId="2">
    <w:abstractNumId w:val="3"/>
  </w:num>
  <w:num w:numId="3">
    <w:abstractNumId w:val="5"/>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05179A"/>
    <w:rsid w:val="00114A3C"/>
    <w:rsid w:val="001A2B64"/>
    <w:rsid w:val="001F700E"/>
    <w:rsid w:val="00395A0C"/>
    <w:rsid w:val="003D60BA"/>
    <w:rsid w:val="00411689"/>
    <w:rsid w:val="00514969"/>
    <w:rsid w:val="00576346"/>
    <w:rsid w:val="005D618A"/>
    <w:rsid w:val="00607598"/>
    <w:rsid w:val="00700186"/>
    <w:rsid w:val="00764F94"/>
    <w:rsid w:val="00776673"/>
    <w:rsid w:val="008F475C"/>
    <w:rsid w:val="00911ECD"/>
    <w:rsid w:val="00A042E0"/>
    <w:rsid w:val="00A95A41"/>
    <w:rsid w:val="00AE5D24"/>
    <w:rsid w:val="00B26BB1"/>
    <w:rsid w:val="00B26E21"/>
    <w:rsid w:val="00B320D8"/>
    <w:rsid w:val="00B55E3C"/>
    <w:rsid w:val="00B741D7"/>
    <w:rsid w:val="00B74F49"/>
    <w:rsid w:val="00C42CAD"/>
    <w:rsid w:val="00CB3927"/>
    <w:rsid w:val="00CD6D2B"/>
    <w:rsid w:val="00D4533C"/>
    <w:rsid w:val="00D50991"/>
    <w:rsid w:val="00DB395A"/>
    <w:rsid w:val="00E32F36"/>
    <w:rsid w:val="00F83B64"/>
    <w:rsid w:val="00F9076C"/>
    <w:rsid w:val="00F909C9"/>
    <w:rsid w:val="00FC7A15"/>
    <w:rsid w:val="013E3461"/>
    <w:rsid w:val="01BB0F13"/>
    <w:rsid w:val="02090C75"/>
    <w:rsid w:val="02A23A3C"/>
    <w:rsid w:val="02FB196F"/>
    <w:rsid w:val="035D130A"/>
    <w:rsid w:val="039110A9"/>
    <w:rsid w:val="03AC246A"/>
    <w:rsid w:val="03AE6061"/>
    <w:rsid w:val="03B23056"/>
    <w:rsid w:val="03DA023E"/>
    <w:rsid w:val="03DC3EBA"/>
    <w:rsid w:val="03F9794D"/>
    <w:rsid w:val="046A2461"/>
    <w:rsid w:val="051C2970"/>
    <w:rsid w:val="060C3611"/>
    <w:rsid w:val="06C64829"/>
    <w:rsid w:val="070E7B6E"/>
    <w:rsid w:val="071D62B7"/>
    <w:rsid w:val="07516BB3"/>
    <w:rsid w:val="077D16D2"/>
    <w:rsid w:val="082A69F3"/>
    <w:rsid w:val="08675FC8"/>
    <w:rsid w:val="09B713FD"/>
    <w:rsid w:val="09EF6ACC"/>
    <w:rsid w:val="0A1967D7"/>
    <w:rsid w:val="0A315056"/>
    <w:rsid w:val="0A3E3B7B"/>
    <w:rsid w:val="0A694621"/>
    <w:rsid w:val="0AA213B4"/>
    <w:rsid w:val="0AF61C7E"/>
    <w:rsid w:val="0AFB45AD"/>
    <w:rsid w:val="0B351E9B"/>
    <w:rsid w:val="0B4C50D3"/>
    <w:rsid w:val="0B806B92"/>
    <w:rsid w:val="0B827E94"/>
    <w:rsid w:val="0B842F76"/>
    <w:rsid w:val="0BD070E1"/>
    <w:rsid w:val="0BD65B6B"/>
    <w:rsid w:val="0BFF3CAF"/>
    <w:rsid w:val="0C2361E7"/>
    <w:rsid w:val="0C247926"/>
    <w:rsid w:val="0D794204"/>
    <w:rsid w:val="0D9D13BC"/>
    <w:rsid w:val="0E2125D1"/>
    <w:rsid w:val="0E214211"/>
    <w:rsid w:val="0E5F2769"/>
    <w:rsid w:val="0E8A64A3"/>
    <w:rsid w:val="0ED8332F"/>
    <w:rsid w:val="0F4D75A3"/>
    <w:rsid w:val="0F5B2DCA"/>
    <w:rsid w:val="0F714D08"/>
    <w:rsid w:val="0FA20605"/>
    <w:rsid w:val="0FED051E"/>
    <w:rsid w:val="0FEE4C29"/>
    <w:rsid w:val="0FFD33F6"/>
    <w:rsid w:val="10031608"/>
    <w:rsid w:val="10046082"/>
    <w:rsid w:val="104974DD"/>
    <w:rsid w:val="10B97633"/>
    <w:rsid w:val="10CF50A9"/>
    <w:rsid w:val="111703D2"/>
    <w:rsid w:val="112B101A"/>
    <w:rsid w:val="11877731"/>
    <w:rsid w:val="119B53FC"/>
    <w:rsid w:val="1215733B"/>
    <w:rsid w:val="12424CDC"/>
    <w:rsid w:val="125C28E9"/>
    <w:rsid w:val="129A2738"/>
    <w:rsid w:val="12B56BF1"/>
    <w:rsid w:val="12CB1A89"/>
    <w:rsid w:val="131840FB"/>
    <w:rsid w:val="13467417"/>
    <w:rsid w:val="136E76CF"/>
    <w:rsid w:val="1424395D"/>
    <w:rsid w:val="145F08C6"/>
    <w:rsid w:val="14E43F59"/>
    <w:rsid w:val="15776308"/>
    <w:rsid w:val="15973CBB"/>
    <w:rsid w:val="15BC6B3C"/>
    <w:rsid w:val="15EC2C59"/>
    <w:rsid w:val="16360A7B"/>
    <w:rsid w:val="164D40B0"/>
    <w:rsid w:val="1694429A"/>
    <w:rsid w:val="17635326"/>
    <w:rsid w:val="178D4AD1"/>
    <w:rsid w:val="17B803EA"/>
    <w:rsid w:val="1815096B"/>
    <w:rsid w:val="18236EFD"/>
    <w:rsid w:val="18377249"/>
    <w:rsid w:val="185D743E"/>
    <w:rsid w:val="189D5B1F"/>
    <w:rsid w:val="18A34CD0"/>
    <w:rsid w:val="18E6E239"/>
    <w:rsid w:val="19A53EA8"/>
    <w:rsid w:val="19B64DBC"/>
    <w:rsid w:val="19EC6A4A"/>
    <w:rsid w:val="1A373ACF"/>
    <w:rsid w:val="1A7B10BA"/>
    <w:rsid w:val="1A895341"/>
    <w:rsid w:val="1B0D071F"/>
    <w:rsid w:val="1B4568CE"/>
    <w:rsid w:val="1B9015B7"/>
    <w:rsid w:val="1B950DA6"/>
    <w:rsid w:val="1BF54245"/>
    <w:rsid w:val="1C762AA7"/>
    <w:rsid w:val="1D0E6976"/>
    <w:rsid w:val="1D5A79EE"/>
    <w:rsid w:val="1E0E2CD0"/>
    <w:rsid w:val="1E164317"/>
    <w:rsid w:val="1E831280"/>
    <w:rsid w:val="1EBC4704"/>
    <w:rsid w:val="1EE522C8"/>
    <w:rsid w:val="1F172EB5"/>
    <w:rsid w:val="1F22070B"/>
    <w:rsid w:val="1F5A1B02"/>
    <w:rsid w:val="1F94592D"/>
    <w:rsid w:val="1FB860DE"/>
    <w:rsid w:val="202D2035"/>
    <w:rsid w:val="203C5A02"/>
    <w:rsid w:val="209D4C94"/>
    <w:rsid w:val="20B44FCD"/>
    <w:rsid w:val="20E84705"/>
    <w:rsid w:val="218400BA"/>
    <w:rsid w:val="21AB1E2F"/>
    <w:rsid w:val="21D40498"/>
    <w:rsid w:val="22493963"/>
    <w:rsid w:val="22767047"/>
    <w:rsid w:val="239A7798"/>
    <w:rsid w:val="23A05588"/>
    <w:rsid w:val="240476A1"/>
    <w:rsid w:val="24E953B9"/>
    <w:rsid w:val="25431AEB"/>
    <w:rsid w:val="25B875EB"/>
    <w:rsid w:val="25BE3BFB"/>
    <w:rsid w:val="25BF43FD"/>
    <w:rsid w:val="25F86BCD"/>
    <w:rsid w:val="2605748B"/>
    <w:rsid w:val="260B2287"/>
    <w:rsid w:val="26396D26"/>
    <w:rsid w:val="264544A6"/>
    <w:rsid w:val="267702FB"/>
    <w:rsid w:val="269E416A"/>
    <w:rsid w:val="26C11C6B"/>
    <w:rsid w:val="272100D3"/>
    <w:rsid w:val="272C72FC"/>
    <w:rsid w:val="275131CB"/>
    <w:rsid w:val="278F6521"/>
    <w:rsid w:val="27954E8C"/>
    <w:rsid w:val="27EB149D"/>
    <w:rsid w:val="27FD3E52"/>
    <w:rsid w:val="284130B3"/>
    <w:rsid w:val="28E11370"/>
    <w:rsid w:val="294A756A"/>
    <w:rsid w:val="29781BF8"/>
    <w:rsid w:val="297939E2"/>
    <w:rsid w:val="29C33ED0"/>
    <w:rsid w:val="29D5322D"/>
    <w:rsid w:val="2A025DD9"/>
    <w:rsid w:val="2A2619CB"/>
    <w:rsid w:val="2A7317D3"/>
    <w:rsid w:val="2A7C2231"/>
    <w:rsid w:val="2A920E4F"/>
    <w:rsid w:val="2ABB753D"/>
    <w:rsid w:val="2AFE6EC4"/>
    <w:rsid w:val="2B345DDC"/>
    <w:rsid w:val="2B7A49FA"/>
    <w:rsid w:val="2B7F6576"/>
    <w:rsid w:val="2C615D26"/>
    <w:rsid w:val="2CB679ED"/>
    <w:rsid w:val="2CB73169"/>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2BC5ADB"/>
    <w:rsid w:val="3391569E"/>
    <w:rsid w:val="341E3434"/>
    <w:rsid w:val="34BB4442"/>
    <w:rsid w:val="3584136B"/>
    <w:rsid w:val="35EE5A04"/>
    <w:rsid w:val="35FF5AA4"/>
    <w:rsid w:val="360B7EBA"/>
    <w:rsid w:val="36416867"/>
    <w:rsid w:val="367D5DD4"/>
    <w:rsid w:val="369C32FD"/>
    <w:rsid w:val="37666E72"/>
    <w:rsid w:val="38081EA3"/>
    <w:rsid w:val="38167A04"/>
    <w:rsid w:val="381C3783"/>
    <w:rsid w:val="394B167A"/>
    <w:rsid w:val="39AD34EA"/>
    <w:rsid w:val="39DA2868"/>
    <w:rsid w:val="39DF6BF2"/>
    <w:rsid w:val="3A055F4B"/>
    <w:rsid w:val="3A4E4336"/>
    <w:rsid w:val="3A6007FE"/>
    <w:rsid w:val="3A802587"/>
    <w:rsid w:val="3A852164"/>
    <w:rsid w:val="3AF93D6C"/>
    <w:rsid w:val="3AFD06C8"/>
    <w:rsid w:val="3B477B26"/>
    <w:rsid w:val="3B7C2CE4"/>
    <w:rsid w:val="3BAF716B"/>
    <w:rsid w:val="3C0B5355"/>
    <w:rsid w:val="3C7E7F35"/>
    <w:rsid w:val="3CD4176B"/>
    <w:rsid w:val="3CFAB836"/>
    <w:rsid w:val="3D1F44D9"/>
    <w:rsid w:val="3D5C38CD"/>
    <w:rsid w:val="3E5070F1"/>
    <w:rsid w:val="3E7569E0"/>
    <w:rsid w:val="3EC370CB"/>
    <w:rsid w:val="3F5ED7E5"/>
    <w:rsid w:val="3F6C3589"/>
    <w:rsid w:val="3F850180"/>
    <w:rsid w:val="3F9004D6"/>
    <w:rsid w:val="3FA6D95C"/>
    <w:rsid w:val="3FEE7CFA"/>
    <w:rsid w:val="3FEEA248"/>
    <w:rsid w:val="400E4D5E"/>
    <w:rsid w:val="40E1138C"/>
    <w:rsid w:val="413814BA"/>
    <w:rsid w:val="41872511"/>
    <w:rsid w:val="41DA01F0"/>
    <w:rsid w:val="41DF1251"/>
    <w:rsid w:val="424236D9"/>
    <w:rsid w:val="42466655"/>
    <w:rsid w:val="42C82F57"/>
    <w:rsid w:val="435707E5"/>
    <w:rsid w:val="439927E1"/>
    <w:rsid w:val="43C76AF7"/>
    <w:rsid w:val="43D54C8A"/>
    <w:rsid w:val="43E97E4A"/>
    <w:rsid w:val="440D65DA"/>
    <w:rsid w:val="446828F0"/>
    <w:rsid w:val="45093E85"/>
    <w:rsid w:val="450B3BFA"/>
    <w:rsid w:val="45C13B4D"/>
    <w:rsid w:val="45F303D0"/>
    <w:rsid w:val="46054BCA"/>
    <w:rsid w:val="464C6AFC"/>
    <w:rsid w:val="468B0091"/>
    <w:rsid w:val="46A107C3"/>
    <w:rsid w:val="46B15CE2"/>
    <w:rsid w:val="46BE113D"/>
    <w:rsid w:val="46E44B13"/>
    <w:rsid w:val="4703508A"/>
    <w:rsid w:val="475023F8"/>
    <w:rsid w:val="479A1E7B"/>
    <w:rsid w:val="479D361E"/>
    <w:rsid w:val="47B74789"/>
    <w:rsid w:val="47C87B80"/>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204B92"/>
    <w:rsid w:val="4A7F3979"/>
    <w:rsid w:val="4ADA1F63"/>
    <w:rsid w:val="4AE23D89"/>
    <w:rsid w:val="4B2038D0"/>
    <w:rsid w:val="4B296E7D"/>
    <w:rsid w:val="4B79394E"/>
    <w:rsid w:val="4B877F28"/>
    <w:rsid w:val="4CD200BA"/>
    <w:rsid w:val="4D2044E7"/>
    <w:rsid w:val="4D6642D3"/>
    <w:rsid w:val="4D916BA6"/>
    <w:rsid w:val="4DC44169"/>
    <w:rsid w:val="4DE24E21"/>
    <w:rsid w:val="4DE80F7C"/>
    <w:rsid w:val="4E1B19A3"/>
    <w:rsid w:val="4E48787F"/>
    <w:rsid w:val="4E8D5680"/>
    <w:rsid w:val="4EF0709E"/>
    <w:rsid w:val="4F0469A4"/>
    <w:rsid w:val="4FBF5D0D"/>
    <w:rsid w:val="500E56F4"/>
    <w:rsid w:val="50540C73"/>
    <w:rsid w:val="50752AF8"/>
    <w:rsid w:val="513C6A7B"/>
    <w:rsid w:val="517300C9"/>
    <w:rsid w:val="51B31D16"/>
    <w:rsid w:val="51B76E13"/>
    <w:rsid w:val="529F7DDC"/>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6B36B6"/>
    <w:rsid w:val="59E63F07"/>
    <w:rsid w:val="59FC7994"/>
    <w:rsid w:val="5AD70609"/>
    <w:rsid w:val="5AE83A50"/>
    <w:rsid w:val="5B353193"/>
    <w:rsid w:val="5BAB2917"/>
    <w:rsid w:val="5BFC33FA"/>
    <w:rsid w:val="5C3107A4"/>
    <w:rsid w:val="5C337866"/>
    <w:rsid w:val="5C3B1B93"/>
    <w:rsid w:val="5C9220DF"/>
    <w:rsid w:val="5D4A15F3"/>
    <w:rsid w:val="5D69542A"/>
    <w:rsid w:val="5D783B72"/>
    <w:rsid w:val="5DE97037"/>
    <w:rsid w:val="5E0930EF"/>
    <w:rsid w:val="5E3D4D53"/>
    <w:rsid w:val="5E4717E6"/>
    <w:rsid w:val="5E55774C"/>
    <w:rsid w:val="5E8A70FF"/>
    <w:rsid w:val="5F4DCCD3"/>
    <w:rsid w:val="60045F96"/>
    <w:rsid w:val="60104DDC"/>
    <w:rsid w:val="605C0804"/>
    <w:rsid w:val="60913E6F"/>
    <w:rsid w:val="611F0045"/>
    <w:rsid w:val="61733C3E"/>
    <w:rsid w:val="6189617B"/>
    <w:rsid w:val="61B52BB6"/>
    <w:rsid w:val="61B749C2"/>
    <w:rsid w:val="61C635EB"/>
    <w:rsid w:val="62280D20"/>
    <w:rsid w:val="62B4786E"/>
    <w:rsid w:val="62CA2457"/>
    <w:rsid w:val="631303F2"/>
    <w:rsid w:val="638240A1"/>
    <w:rsid w:val="63833423"/>
    <w:rsid w:val="63A5257B"/>
    <w:rsid w:val="63BD3DCC"/>
    <w:rsid w:val="63C61741"/>
    <w:rsid w:val="64560967"/>
    <w:rsid w:val="656B1D10"/>
    <w:rsid w:val="65B841F9"/>
    <w:rsid w:val="66022B28"/>
    <w:rsid w:val="664A38E2"/>
    <w:rsid w:val="66581E87"/>
    <w:rsid w:val="666F1DE3"/>
    <w:rsid w:val="66766EBB"/>
    <w:rsid w:val="66FA11D5"/>
    <w:rsid w:val="674302C7"/>
    <w:rsid w:val="67CB09D8"/>
    <w:rsid w:val="67EE3B0F"/>
    <w:rsid w:val="680A5986"/>
    <w:rsid w:val="680D5F4B"/>
    <w:rsid w:val="68113F51"/>
    <w:rsid w:val="68B272C7"/>
    <w:rsid w:val="68E94770"/>
    <w:rsid w:val="68EC1CEF"/>
    <w:rsid w:val="68F949C9"/>
    <w:rsid w:val="695A4290"/>
    <w:rsid w:val="696F3649"/>
    <w:rsid w:val="69FFBD88"/>
    <w:rsid w:val="6A267606"/>
    <w:rsid w:val="6A334932"/>
    <w:rsid w:val="6A3353FF"/>
    <w:rsid w:val="6A5D63E6"/>
    <w:rsid w:val="6A5F24D1"/>
    <w:rsid w:val="6ACA70C4"/>
    <w:rsid w:val="6AE347EB"/>
    <w:rsid w:val="6B330365"/>
    <w:rsid w:val="6B434AF0"/>
    <w:rsid w:val="6B57675A"/>
    <w:rsid w:val="6B87098A"/>
    <w:rsid w:val="6BDD7B4D"/>
    <w:rsid w:val="6D52013C"/>
    <w:rsid w:val="6EBC0B3A"/>
    <w:rsid w:val="6EED597D"/>
    <w:rsid w:val="6EF51C7D"/>
    <w:rsid w:val="6F3079DA"/>
    <w:rsid w:val="6F8363E5"/>
    <w:rsid w:val="6F841DCF"/>
    <w:rsid w:val="6FA80CCD"/>
    <w:rsid w:val="6FAC3CC5"/>
    <w:rsid w:val="6FC746F5"/>
    <w:rsid w:val="6FE33EF5"/>
    <w:rsid w:val="70317AC6"/>
    <w:rsid w:val="704B26F7"/>
    <w:rsid w:val="70697B21"/>
    <w:rsid w:val="70863262"/>
    <w:rsid w:val="70A76ED3"/>
    <w:rsid w:val="71860B17"/>
    <w:rsid w:val="723B27CC"/>
    <w:rsid w:val="72565C05"/>
    <w:rsid w:val="72687227"/>
    <w:rsid w:val="727E6795"/>
    <w:rsid w:val="72A03FD9"/>
    <w:rsid w:val="73406CFF"/>
    <w:rsid w:val="7383028C"/>
    <w:rsid w:val="73A25E44"/>
    <w:rsid w:val="741F68CF"/>
    <w:rsid w:val="75252DF3"/>
    <w:rsid w:val="75621536"/>
    <w:rsid w:val="75BF3154"/>
    <w:rsid w:val="75DA4A2D"/>
    <w:rsid w:val="76442BD0"/>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595075"/>
    <w:rsid w:val="7C6B07B2"/>
    <w:rsid w:val="7CE96AB8"/>
    <w:rsid w:val="7D133243"/>
    <w:rsid w:val="7D945420"/>
    <w:rsid w:val="7D997857"/>
    <w:rsid w:val="7DD07A4B"/>
    <w:rsid w:val="7E394207"/>
    <w:rsid w:val="7E4007A2"/>
    <w:rsid w:val="7E791CAD"/>
    <w:rsid w:val="7EA50DFB"/>
    <w:rsid w:val="7EC86878"/>
    <w:rsid w:val="7EEE1933"/>
    <w:rsid w:val="7F16390D"/>
    <w:rsid w:val="7F752917"/>
    <w:rsid w:val="7F77A308"/>
    <w:rsid w:val="7F7BBE47"/>
    <w:rsid w:val="7FD10FC1"/>
    <w:rsid w:val="7FE37961"/>
    <w:rsid w:val="7FF633F9"/>
    <w:rsid w:val="ABC2B93E"/>
    <w:rsid w:val="BD66BB7B"/>
    <w:rsid w:val="CFE51EA0"/>
    <w:rsid w:val="CFFFDB74"/>
    <w:rsid w:val="DBAE09CE"/>
    <w:rsid w:val="EBEE40A2"/>
    <w:rsid w:val="FAEFAB47"/>
    <w:rsid w:val="FBF9350F"/>
    <w:rsid w:val="FCEDFE85"/>
    <w:rsid w:val="FDBA47E4"/>
    <w:rsid w:val="FE6BBC5D"/>
    <w:rsid w:val="FEA2EAA0"/>
    <w:rsid w:val="FEEF0225"/>
    <w:rsid w:val="FEF6F716"/>
    <w:rsid w:val="FEFF3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numPr>
        <w:ilvl w:val="0"/>
        <w:numId w:val="1"/>
      </w:numPr>
      <w:spacing w:before="100" w:beforeLines="100" w:after="100" w:afterLines="100"/>
      <w:textAlignment w:val="baseline"/>
      <w:outlineLvl w:val="3"/>
    </w:pPr>
    <w:rPr>
      <w:rFonts w:ascii="黑体" w:hAnsi="黑体" w:eastAsia="黑体" w:cs="黑体"/>
      <w:b/>
      <w:bCs/>
      <w:sz w:val="30"/>
      <w:szCs w:val="28"/>
      <w:lang w:val="en-GB"/>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42"/>
    <w:unhideWhenUsed/>
    <w:qFormat/>
    <w:uiPriority w:val="99"/>
    <w:pPr>
      <w:spacing w:after="120"/>
    </w:pPr>
    <w:rPr>
      <w:sz w:val="16"/>
      <w:szCs w:val="16"/>
    </w:rPr>
  </w:style>
  <w:style w:type="paragraph" w:styleId="9">
    <w:name w:val="Body Text"/>
    <w:basedOn w:val="1"/>
    <w:qFormat/>
    <w:uiPriority w:val="99"/>
    <w:pPr>
      <w:spacing w:after="120"/>
    </w:pPr>
  </w:style>
  <w:style w:type="paragraph" w:styleId="10">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11">
    <w:name w:val="Block Text"/>
    <w:basedOn w:val="1"/>
    <w:next w:val="6"/>
    <w:unhideWhenUsed/>
    <w:qFormat/>
    <w:uiPriority w:val="99"/>
    <w:pPr>
      <w:spacing w:after="120"/>
    </w:pPr>
    <w:rPr>
      <w:rFonts w:ascii="Times New Roman" w:hAnsi="Times New Roman"/>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qFormat/>
    <w:uiPriority w:val="0"/>
    <w:pPr>
      <w:adjustRightInd w:val="0"/>
      <w:spacing w:after="120" w:line="480" w:lineRule="auto"/>
      <w:ind w:left="420"/>
      <w:textAlignment w:val="baseline"/>
    </w:pPr>
    <w:rPr>
      <w:rFonts w:ascii="Times New Roman" w:hAnsi="Times New Roman" w:cs="Times New Roman"/>
      <w:kern w:val="0"/>
      <w:szCs w:val="20"/>
    </w:rPr>
  </w:style>
  <w:style w:type="paragraph" w:styleId="17">
    <w:name w:val="Balloon Text"/>
    <w:basedOn w:val="1"/>
    <w:link w:val="37"/>
    <w:semiHidden/>
    <w:unhideWhenUsed/>
    <w:qFormat/>
    <w:uiPriority w:val="99"/>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Body Text 2"/>
    <w:basedOn w:val="1"/>
    <w:qFormat/>
    <w:uiPriority w:val="0"/>
    <w:pPr>
      <w:spacing w:after="120" w:line="480" w:lineRule="auto"/>
    </w:pPr>
  </w:style>
  <w:style w:type="paragraph" w:styleId="23">
    <w:name w:val="Normal (Web)"/>
    <w:basedOn w:val="1"/>
    <w:qFormat/>
    <w:uiPriority w:val="99"/>
    <w:pPr>
      <w:spacing w:before="100" w:beforeAutospacing="1" w:after="100" w:afterAutospacing="1"/>
    </w:pPr>
    <w:rPr>
      <w:rFonts w:ascii="宋体" w:hAnsi="宋体" w:cs="Times New Roman"/>
      <w:kern w:val="0"/>
      <w:sz w:val="24"/>
      <w:szCs w:val="24"/>
    </w:rPr>
  </w:style>
  <w:style w:type="paragraph" w:styleId="24">
    <w:name w:val="Body Text First Indent 2"/>
    <w:basedOn w:val="10"/>
    <w:qFormat/>
    <w:uiPriority w:val="0"/>
    <w:pPr>
      <w:spacing w:line="360" w:lineRule="auto"/>
      <w:ind w:firstLine="420"/>
    </w:pPr>
    <w:rPr>
      <w:rFonts w:eastAsia="等线"/>
      <w:color w:val="000000"/>
      <w:szCs w:val="24"/>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Hyperlink"/>
    <w:basedOn w:val="27"/>
    <w:unhideWhenUsed/>
    <w:qFormat/>
    <w:uiPriority w:val="99"/>
    <w:rPr>
      <w:color w:val="0000FF" w:themeColor="hyperlink"/>
      <w:u w:val="single"/>
      <w14:textFill>
        <w14:solidFill>
          <w14:schemeClr w14:val="hlink"/>
        </w14:solidFill>
      </w14:textFill>
    </w:rPr>
  </w:style>
  <w:style w:type="character" w:customStyle="1" w:styleId="30">
    <w:name w:val="页眉 Char"/>
    <w:basedOn w:val="27"/>
    <w:link w:val="19"/>
    <w:qFormat/>
    <w:uiPriority w:val="99"/>
    <w:rPr>
      <w:sz w:val="18"/>
      <w:szCs w:val="18"/>
    </w:rPr>
  </w:style>
  <w:style w:type="character" w:customStyle="1" w:styleId="31">
    <w:name w:val="页脚 Char"/>
    <w:basedOn w:val="27"/>
    <w:link w:val="18"/>
    <w:qFormat/>
    <w:uiPriority w:val="99"/>
    <w:rPr>
      <w:sz w:val="18"/>
      <w:szCs w:val="18"/>
    </w:rPr>
  </w:style>
  <w:style w:type="character" w:customStyle="1" w:styleId="32">
    <w:name w:val="标题 1 Char"/>
    <w:basedOn w:val="27"/>
    <w:link w:val="3"/>
    <w:qFormat/>
    <w:uiPriority w:val="9"/>
    <w:rPr>
      <w:rFonts w:eastAsia="方正小标宋简体"/>
      <w:bCs/>
      <w:kern w:val="44"/>
      <w:sz w:val="44"/>
      <w:szCs w:val="44"/>
    </w:rPr>
  </w:style>
  <w:style w:type="character" w:customStyle="1" w:styleId="33">
    <w:name w:val="标题 2 Char"/>
    <w:basedOn w:val="27"/>
    <w:link w:val="4"/>
    <w:qFormat/>
    <w:uiPriority w:val="9"/>
    <w:rPr>
      <w:rFonts w:eastAsia="方正小标宋简体" w:asciiTheme="majorHAnsi" w:hAnsiTheme="majorHAnsi" w:cstheme="majorBidi"/>
      <w:bCs/>
      <w:sz w:val="36"/>
      <w:szCs w:val="32"/>
    </w:rPr>
  </w:style>
  <w:style w:type="character" w:customStyle="1" w:styleId="34">
    <w:name w:val="标题 3 Char"/>
    <w:basedOn w:val="27"/>
    <w:link w:val="5"/>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7"/>
    <w:link w:val="17"/>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4"/>
    <w:next w:val="14"/>
    <w:qFormat/>
    <w:uiPriority w:val="0"/>
    <w:pPr>
      <w:spacing w:after="373"/>
    </w:pPr>
    <w:rPr>
      <w:color w:val="auto"/>
    </w:rPr>
  </w:style>
  <w:style w:type="paragraph" w:customStyle="1" w:styleId="40">
    <w:name w:val="CM91"/>
    <w:basedOn w:val="14"/>
    <w:next w:val="14"/>
    <w:qFormat/>
    <w:uiPriority w:val="0"/>
    <w:pPr>
      <w:spacing w:after="160"/>
    </w:pPr>
    <w:rPr>
      <w:color w:val="auto"/>
    </w:rPr>
  </w:style>
  <w:style w:type="character" w:customStyle="1" w:styleId="41">
    <w:name w:val="正文文本 3 Char"/>
    <w:qFormat/>
    <w:uiPriority w:val="99"/>
    <w:rPr>
      <w:sz w:val="16"/>
      <w:szCs w:val="16"/>
    </w:rPr>
  </w:style>
  <w:style w:type="character" w:customStyle="1" w:styleId="42">
    <w:name w:val="正文文本 3 Char1"/>
    <w:basedOn w:val="27"/>
    <w:link w:val="8"/>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3"/>
    <w:qFormat/>
    <w:uiPriority w:val="99"/>
    <w:rPr>
      <w:rFonts w:ascii="宋体" w:hAnsi="Courier New"/>
    </w:rPr>
  </w:style>
  <w:style w:type="paragraph" w:customStyle="1" w:styleId="45">
    <w:name w:val="WPSOffice手动目录 1"/>
    <w:qFormat/>
    <w:uiPriority w:val="0"/>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8">
    <w:name w:val="正文文本首行缩进 2 字符"/>
    <w:link w:val="49"/>
    <w:qFormat/>
    <w:uiPriority w:val="0"/>
    <w:rPr>
      <w:rFonts w:ascii="宋体" w:hAnsi="宋体" w:eastAsia="等线"/>
      <w:color w:val="000000"/>
      <w:kern w:val="2"/>
      <w:sz w:val="24"/>
      <w:szCs w:val="24"/>
    </w:rPr>
  </w:style>
  <w:style w:type="paragraph" w:customStyle="1" w:styleId="49">
    <w:name w:val="正文首行缩进 21"/>
    <w:basedOn w:val="50"/>
    <w:link w:val="48"/>
    <w:qFormat/>
    <w:uiPriority w:val="0"/>
    <w:pPr>
      <w:snapToGrid w:val="0"/>
      <w:spacing w:line="360" w:lineRule="auto"/>
      <w:ind w:firstLine="420"/>
    </w:pPr>
    <w:rPr>
      <w:rFonts w:ascii="宋体" w:hAnsi="宋体" w:eastAsia="等线"/>
      <w:color w:val="000000"/>
      <w:sz w:val="24"/>
      <w:szCs w:val="24"/>
    </w:rPr>
  </w:style>
  <w:style w:type="paragraph" w:customStyle="1" w:styleId="50">
    <w:name w:val="正文文本缩进1"/>
    <w:basedOn w:val="1"/>
    <w:qFormat/>
    <w:uiPriority w:val="0"/>
    <w:pPr>
      <w:spacing w:after="120"/>
      <w:ind w:left="420" w:leftChars="200"/>
    </w:pPr>
  </w:style>
  <w:style w:type="paragraph" w:customStyle="1" w:styleId="51">
    <w:name w:val="正"/>
    <w:basedOn w:val="52"/>
    <w:qFormat/>
    <w:uiPriority w:val="0"/>
    <w:pPr>
      <w:widowControl/>
      <w:spacing w:line="360" w:lineRule="auto"/>
      <w:ind w:firstLine="560" w:firstLineChars="200"/>
    </w:pPr>
    <w:rPr>
      <w:rFonts w:ascii="Calibri" w:hAnsi="Calibri" w:eastAsia="宋体" w:cs="Times New Roman"/>
      <w:kern w:val="0"/>
      <w:sz w:val="28"/>
      <w:szCs w:val="28"/>
      <w:lang w:val="en-GB"/>
    </w:rPr>
  </w:style>
  <w:style w:type="paragraph" w:customStyle="1" w:styleId="52">
    <w:name w:val="正文-段落"/>
    <w:qFormat/>
    <w:uiPriority w:val="0"/>
    <w:pPr>
      <w:spacing w:line="360" w:lineRule="auto"/>
      <w:ind w:firstLine="200" w:firstLineChars="200"/>
    </w:pPr>
    <w:rPr>
      <w:rFonts w:ascii="Calibri" w:hAnsi="Calibri" w:eastAsia="宋体" w:cs="Times New Roman"/>
      <w:sz w:val="24"/>
      <w:szCs w:val="24"/>
      <w:lang w:val="en-GB"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6143</Words>
  <Characters>35021</Characters>
  <Lines>291</Lines>
  <Paragraphs>82</Paragraphs>
  <TotalTime>6</TotalTime>
  <ScaleCrop>false</ScaleCrop>
  <LinksUpToDate>false</LinksUpToDate>
  <CharactersWithSpaces>41082</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2022-04-30T00:15:00Z</dcterms:created>
  <dc:creator>陈义春</dc:creator>
  <cp:lastModifiedBy>琳</cp:lastModifiedBy>
  <cp:lastPrinted>2023-10-31T06:29:00Z</cp:lastPrinted>
  <dcterms:modified xsi:type="dcterms:W3CDTF">2023-11-09T07:45:02Z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F4DA66C8588B4C038AB0C7B57A776446_13</vt:lpwstr>
  </property>
</Properties>
</file>