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49" w:name="_GoBack"/>
      <w:bookmarkEnd w:id="149"/>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广州市净水有限公司西朗二期分公司</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二期西北面地块环境提升项目</w:t>
      </w:r>
    </w:p>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pStyle w:val="2"/>
        <w:ind w:firstLine="0"/>
        <w:rPr>
          <w:rFonts w:hint="eastAsia" w:ascii="仿宋_GB2312" w:eastAsia="仿宋_GB2312"/>
          <w:sz w:val="32"/>
          <w:szCs w:val="32"/>
        </w:rPr>
      </w:pPr>
    </w:p>
    <w:p>
      <w:pPr>
        <w:pStyle w:val="2"/>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9"/>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1"/>
        <w:numPr>
          <w:ilvl w:val="0"/>
          <w:numId w:val="1"/>
        </w:numPr>
        <w:tabs>
          <w:tab w:val="right" w:pos="8844"/>
        </w:tabs>
        <w:rPr>
          <w:rFonts w:hint="eastAsia"/>
          <w:lang w:val="en-US" w:eastAsia="zh-CN"/>
        </w:rPr>
      </w:pPr>
      <w:r>
        <w:rPr>
          <w:rFonts w:hint="eastAsia"/>
          <w:lang w:val="en-US" w:eastAsia="zh-CN"/>
        </w:rPr>
        <w:t>采购公告</w:t>
      </w:r>
    </w:p>
    <w:p>
      <w:pPr>
        <w:pStyle w:val="21"/>
        <w:numPr>
          <w:ilvl w:val="0"/>
          <w:numId w:val="1"/>
        </w:numPr>
        <w:tabs>
          <w:tab w:val="right" w:pos="8844"/>
        </w:tabs>
      </w:pPr>
      <w:r>
        <w:rPr>
          <w:rFonts w:hint="eastAsia"/>
          <w:lang w:val="en-US" w:eastAsia="zh-CN"/>
        </w:rPr>
        <w:t>供应商须知</w:t>
      </w:r>
    </w:p>
    <w:p>
      <w:pPr>
        <w:pStyle w:val="21"/>
        <w:numPr>
          <w:ilvl w:val="0"/>
          <w:numId w:val="1"/>
        </w:numPr>
        <w:tabs>
          <w:tab w:val="right" w:pos="8844"/>
        </w:tabs>
      </w:pPr>
      <w:r>
        <w:rPr>
          <w:rFonts w:hint="eastAsia"/>
          <w:lang w:val="en-US" w:eastAsia="zh-CN"/>
        </w:rPr>
        <w:t>采购方法</w:t>
      </w:r>
    </w:p>
    <w:p>
      <w:pPr>
        <w:pStyle w:val="21"/>
        <w:numPr>
          <w:ilvl w:val="0"/>
          <w:numId w:val="1"/>
        </w:numPr>
        <w:tabs>
          <w:tab w:val="right" w:pos="8844"/>
        </w:tabs>
      </w:pPr>
      <w:r>
        <w:rPr>
          <w:rFonts w:hint="eastAsia"/>
          <w:lang w:val="en-US" w:eastAsia="zh-CN"/>
        </w:rPr>
        <w:t>评审方法</w:t>
      </w:r>
    </w:p>
    <w:p>
      <w:pPr>
        <w:pStyle w:val="21"/>
        <w:numPr>
          <w:ilvl w:val="0"/>
          <w:numId w:val="1"/>
        </w:numPr>
        <w:tabs>
          <w:tab w:val="right" w:pos="8844"/>
        </w:tabs>
      </w:pPr>
      <w:r>
        <w:rPr>
          <w:rFonts w:hint="eastAsia"/>
          <w:lang w:val="en-US" w:eastAsia="zh-CN"/>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rPr>
      </w:pPr>
      <w:bookmarkStart w:id="0" w:name="_Toc18145"/>
      <w:bookmarkStart w:id="1" w:name="_Toc26148"/>
    </w:p>
    <w:p>
      <w:pPr>
        <w:rPr>
          <w:rFonts w:hint="eastAsia"/>
        </w:rPr>
      </w:pPr>
    </w:p>
    <w:p>
      <w:pPr>
        <w:pStyle w:val="5"/>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jc w:val="both"/>
        <w:rPr>
          <w:rFonts w:hint="eastAsia"/>
        </w:rPr>
      </w:pPr>
      <w:bookmarkStart w:id="4" w:name="_Toc4275"/>
      <w:bookmarkStart w:id="5" w:name="_Toc19609"/>
      <w:bookmarkStart w:id="6" w:name="_Toc11322"/>
      <w:bookmarkStart w:id="7" w:name="_Toc31938"/>
      <w:bookmarkStart w:id="8" w:name="_Toc1669"/>
      <w:bookmarkStart w:id="9" w:name="_Toc17801"/>
      <w:bookmarkStart w:id="10" w:name="_Toc7519"/>
    </w:p>
    <w:p>
      <w:pPr>
        <w:pStyle w:val="5"/>
        <w:rPr>
          <w:rFonts w:hint="eastAsia"/>
        </w:rPr>
      </w:pPr>
    </w:p>
    <w:p>
      <w:pPr>
        <w:pStyle w:val="5"/>
      </w:pPr>
      <w:r>
        <mc:AlternateContent>
          <mc:Choice Requires="wps">
            <w:drawing>
              <wp:anchor distT="0" distB="0" distL="114300" distR="114300" simplePos="0" relativeHeight="251671552" behindDoc="0" locked="0" layoutInCell="1" allowOverlap="1">
                <wp:simplePos x="0" y="0"/>
                <wp:positionH relativeFrom="column">
                  <wp:posOffset>2357755</wp:posOffset>
                </wp:positionH>
                <wp:positionV relativeFrom="paragraph">
                  <wp:posOffset>481965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65pt;margin-top:37.95pt;height:0pt;width:75.5pt;z-index:251671552;mso-width-relative:page;mso-height-relative:page;" filled="f" stroked="t" coordsize="21600,21600" o:gfxdata="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Uiw2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1"/>
      </w:pPr>
    </w:p>
    <w:p>
      <w:pPr>
        <w:pStyle w:val="5"/>
      </w:pPr>
      <w:bookmarkStart w:id="11" w:name="_Toc26363"/>
      <w:bookmarkStart w:id="12" w:name="_Toc10122"/>
      <w:bookmarkStart w:id="13" w:name="_Toc88209924"/>
      <w:bookmarkStart w:id="14" w:name="_Toc14238"/>
      <w:bookmarkStart w:id="15" w:name="_Toc28995"/>
      <w:bookmarkStart w:id="16" w:name="_Toc30989"/>
      <w:bookmarkStart w:id="17" w:name="_Toc2659"/>
      <w:bookmarkStart w:id="18" w:name="_Toc999"/>
      <w:bookmarkStart w:id="19" w:name="_Toc5230"/>
      <w:bookmarkStart w:id="20" w:name="_Toc8201"/>
      <w:bookmarkStart w:id="21" w:name="_Toc30131"/>
      <w:bookmarkStart w:id="22" w:name="_Toc1570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6"/>
        <w:spacing w:line="600" w:lineRule="exact"/>
      </w:pPr>
      <w:bookmarkStart w:id="23" w:name="_Toc9680"/>
      <w:bookmarkStart w:id="24" w:name="_Toc21373"/>
      <w:r>
        <w:rPr>
          <w:rFonts w:hint="eastAsia"/>
          <w:lang w:val="en-US" w:eastAsia="zh-CN"/>
        </w:rPr>
        <w:t>广州市净水有限公司西朗二期分公司二期西北面地块环境提升项目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广州市净水有限公司西朗二期分公司二期西北面地块环境提升项目</w:t>
      </w:r>
      <w:r>
        <w:rPr>
          <w:rFonts w:hint="eastAsia" w:ascii="仿宋_GB2312" w:eastAsia="仿宋_GB2312"/>
          <w:sz w:val="28"/>
          <w:szCs w:val="28"/>
          <w:u w:val="none"/>
        </w:rPr>
        <w:t>已具备采购条件，现对该</w:t>
      </w:r>
      <w:r>
        <w:rPr>
          <w:rFonts w:hint="eastAsia" w:ascii="仿宋_GB2312" w:eastAsia="仿宋_GB2312"/>
          <w:sz w:val="28"/>
          <w:szCs w:val="28"/>
          <w:u w:val="none"/>
        </w:rPr>
        <w:sym w:font="Wingdings 2" w:char="0052"/>
      </w:r>
      <w:r>
        <w:rPr>
          <w:rFonts w:hint="eastAsia" w:ascii="仿宋_GB2312" w:eastAsia="仿宋_GB2312"/>
          <w:sz w:val="28"/>
          <w:szCs w:val="28"/>
          <w:u w:val="none"/>
        </w:rPr>
        <w:t>施工  □货物</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lang w:eastAsia="zh-CN"/>
        </w:rPr>
        <w:t>□</w:t>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广州市净水有限公司西朗二期分公司二期西北面地块环境提升项目</w:t>
      </w:r>
    </w:p>
    <w:p>
      <w:pPr>
        <w:keepNext w:val="0"/>
        <w:keepLines w:val="0"/>
        <w:widowControl/>
        <w:suppressLineNumbers w:val="0"/>
        <w:jc w:val="left"/>
        <w:rPr>
          <w:rFonts w:hint="default" w:ascii="仿宋_GB2312" w:eastAsia="仿宋_GB2312"/>
          <w:sz w:val="28"/>
          <w:szCs w:val="28"/>
          <w:lang w:val="en-US"/>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XJ-20231109-3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118721.14</w:t>
      </w:r>
      <w:r>
        <w:rPr>
          <w:rFonts w:hint="eastAsia" w:ascii="仿宋_GB2312" w:eastAsia="仿宋_GB2312"/>
          <w:sz w:val="28"/>
          <w:szCs w:val="28"/>
          <w:u w:val="single"/>
        </w:rPr>
        <w:t>元</w:t>
      </w:r>
      <w:r>
        <w:rPr>
          <w:rFonts w:hint="eastAsia" w:ascii="仿宋_GB2312" w:eastAsia="仿宋_GB2312"/>
          <w:sz w:val="28"/>
          <w:szCs w:val="28"/>
          <w:u w:val="single"/>
          <w:lang w:val="en-US" w:eastAsia="zh-CN"/>
        </w:rPr>
        <w:t xml:space="preserve"> </w:t>
      </w:r>
    </w:p>
    <w:tbl>
      <w:tblPr>
        <w:tblStyle w:val="25"/>
        <w:tblW w:w="9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4"/>
        <w:gridCol w:w="1885"/>
        <w:gridCol w:w="1680"/>
        <w:gridCol w:w="1040"/>
        <w:gridCol w:w="1155"/>
        <w:gridCol w:w="1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23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1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68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104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 xml:space="preserve"> 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23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eastAsia="仿宋_GB2312"/>
                <w:sz w:val="28"/>
                <w:szCs w:val="28"/>
                <w:u w:val="single"/>
                <w:lang w:val="en-US" w:eastAsia="zh-CN"/>
              </w:rPr>
              <w:t>广州市净水有限公司西朗二期分公司二期西北面地块环境提升项目</w:t>
            </w:r>
          </w:p>
        </w:tc>
        <w:tc>
          <w:tcPr>
            <w:tcW w:w="1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eastAsia="仿宋_GB2312"/>
                <w:sz w:val="28"/>
                <w:szCs w:val="28"/>
                <w:u w:val="single"/>
                <w:lang w:val="en-US" w:eastAsia="zh-CN"/>
              </w:rPr>
              <w:t>118721.14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108918.73</w:t>
            </w:r>
          </w:p>
        </w:tc>
        <w:tc>
          <w:tcPr>
            <w:tcW w:w="1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3904.63</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9312.16</w:t>
            </w:r>
          </w:p>
        </w:tc>
      </w:tr>
    </w:tbl>
    <w:p>
      <w:pPr>
        <w:autoSpaceDE w:val="0"/>
        <w:autoSpaceDN w:val="0"/>
        <w:adjustRightInd/>
        <w:snapToGrid/>
        <w:spacing w:line="240" w:lineRule="auto"/>
        <w:ind w:firstLine="562" w:firstLineChars="200"/>
        <w:jc w:val="both"/>
        <w:rPr>
          <w:rFonts w:hint="eastAsia" w:ascii="仿宋_GB2312" w:eastAsia="仿宋_GB2312"/>
          <w:sz w:val="28"/>
          <w:szCs w:val="28"/>
          <w:u w:val="single"/>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西朗 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_GB2312" w:eastAsia="仿宋_GB2312"/>
                <w:sz w:val="28"/>
                <w:szCs w:val="28"/>
                <w:u w:val="single"/>
                <w:lang w:val="en-US" w:eastAsia="zh-CN"/>
              </w:rPr>
              <w:t>广州市净水有限公司西朗二期分公司二期西北面地块环境提升项目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实施如下：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（一）场地平整，增设硬底化及场地排水，以及场地缓冲垫，面积约70平方米；</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（二）增设带刺防爬绿网围墙，防止无关人员跨越康体设施进入厂区区域；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（三）增设摄像监控，有效监控康体设施区域的治安、环境安全；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（四）厂内设置六款康体设施，原则上选择安全系数较高，维护维修频次较低的康体设施，具体如下：单人平步机、腰背按摩器、肩关节训练器、上肢牵引器、腹肌板、双人腿部按摩器；</w:t>
            </w:r>
          </w:p>
        </w:tc>
      </w:tr>
    </w:tbl>
    <w:p>
      <w:pPr>
        <w:pStyle w:val="2"/>
      </w:pP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lang w:eastAsia="zh-CN"/>
        </w:rPr>
        <w:t>☑</w:t>
      </w:r>
      <w:r>
        <w:rPr>
          <w:rFonts w:hint="eastAsia" w:ascii="仿宋_GB2312" w:eastAsia="仿宋_GB2312"/>
          <w:sz w:val="28"/>
          <w:szCs w:val="28"/>
        </w:rPr>
        <w:t>服务期为</w:t>
      </w:r>
    </w:p>
    <w:tbl>
      <w:tblPr>
        <w:tblStyle w:val="26"/>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8"/>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8"/>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8"/>
              <w:ind w:firstLine="420" w:firstLineChars="0"/>
              <w:jc w:val="center"/>
              <w:rPr>
                <w:rFonts w:hint="default" w:ascii="仿宋" w:hAnsi="仿宋" w:eastAsia="仿宋" w:cs="仿宋"/>
                <w:sz w:val="24"/>
                <w:szCs w:val="24"/>
                <w:vertAlign w:val="baseline"/>
                <w:lang w:val="en-US" w:eastAsia="zh-CN"/>
              </w:rPr>
            </w:pPr>
            <w:r>
              <w:rPr>
                <w:rFonts w:hint="eastAsia" w:ascii="仿宋_GB2312" w:eastAsia="仿宋_GB2312"/>
                <w:sz w:val="28"/>
                <w:szCs w:val="28"/>
                <w:u w:val="single"/>
                <w:lang w:val="en-US" w:eastAsia="zh-CN"/>
              </w:rPr>
              <w:t>广州市净水有限公司西朗二期分公司二期西北面地块环境提升项目</w:t>
            </w:r>
          </w:p>
        </w:tc>
        <w:tc>
          <w:tcPr>
            <w:tcW w:w="2264" w:type="dxa"/>
            <w:vAlign w:val="center"/>
          </w:tcPr>
          <w:p>
            <w:pPr>
              <w:pStyle w:val="8"/>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15天</w:t>
            </w:r>
          </w:p>
        </w:tc>
      </w:tr>
    </w:tbl>
    <w:p>
      <w:pPr>
        <w:pStyle w:val="2"/>
        <w:rPr>
          <w:rFonts w:hint="eastAsia"/>
        </w:rPr>
      </w:pP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广州市净水有限公司西朗二期分公司</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lang w:eastAsia="zh-CN"/>
        </w:rPr>
        <w:t>□</w:t>
      </w:r>
      <w:r>
        <w:rPr>
          <w:rFonts w:hint="eastAsia" w:ascii="仿宋_GB2312" w:eastAsia="仿宋_GB2312"/>
          <w:sz w:val="28"/>
          <w:szCs w:val="28"/>
        </w:rPr>
        <w:t xml:space="preserve">货物质量标准或主要技术性能指标  </w:t>
      </w:r>
      <w:r>
        <w:rPr>
          <w:rFonts w:hint="eastAsia" w:ascii="仿宋_GB2312" w:eastAsia="仿宋_GB2312"/>
          <w:sz w:val="28"/>
          <w:szCs w:val="28"/>
          <w:lang w:eastAsia="zh-CN"/>
        </w:rPr>
        <w:t>☑</w:t>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color w:val="auto"/>
          <w:sz w:val="28"/>
          <w:szCs w:val="28"/>
          <w:highlight w:val="none"/>
          <w:u w:val="single"/>
        </w:rPr>
        <w:t>遵守各项安全生产法律法规、安全生产条例、</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color w:val="auto"/>
          <w:sz w:val="28"/>
          <w:szCs w:val="28"/>
          <w:highlight w:val="none"/>
          <w:u w:val="single"/>
        </w:rPr>
        <w:t>安全规章制度及行业标准，落实全员履责。</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报价单位应当具备</w:t>
      </w:r>
      <w:r>
        <w:rPr>
          <w:rFonts w:hint="eastAsia" w:ascii="仿宋_GB2312" w:eastAsia="仿宋_GB2312"/>
          <w:color w:val="auto"/>
          <w:sz w:val="28"/>
          <w:szCs w:val="28"/>
          <w:highlight w:val="none"/>
          <w:lang w:val="en-US" w:eastAsia="zh-CN"/>
        </w:rPr>
        <w:t>市政公用工程施工总承包（三级或以上）</w:t>
      </w:r>
      <w:r>
        <w:rPr>
          <w:rFonts w:hint="eastAsia" w:ascii="仿宋_GB2312" w:eastAsia="仿宋_GB2312"/>
          <w:color w:val="auto"/>
          <w:sz w:val="28"/>
          <w:szCs w:val="28"/>
          <w:highlight w:val="none"/>
          <w:u w:val="none"/>
        </w:rPr>
        <w:t>和建设主管部门颁发且在有效期内的《安全生产许可证》</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）项目负责人应当具备市政公用工程</w:t>
      </w:r>
      <w:r>
        <w:rPr>
          <w:rFonts w:hint="eastAsia" w:ascii="仿宋_GB2312" w:eastAsia="仿宋_GB2312"/>
          <w:color w:val="auto"/>
          <w:sz w:val="28"/>
          <w:szCs w:val="28"/>
          <w:highlight w:val="none"/>
          <w:u w:val="none"/>
        </w:rPr>
        <w:t>二级（或以上级别）的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上发布。本公告的补充、修改，在</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发布。本公告在各媒体发布的文本如有不同之处，以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snapToGrid/>
        <w:spacing w:beforeLines="-2147483648" w:after="0" w:afterLines="-2147483648" w:afterAutospacing="0" w:line="600" w:lineRule="exact"/>
        <w:ind w:left="1" w:firstLine="480"/>
        <w:jc w:val="left"/>
        <w:rPr>
          <w:rFonts w:hint="eastAsia" w:asciiTheme="minorEastAsia" w:hAnsiTheme="minorEastAsia"/>
          <w:b/>
          <w:sz w:val="32"/>
          <w:szCs w:val="32"/>
          <w:lang w:val="en-US" w:eastAsia="zh-CN"/>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hint="eastAsia" w:asciiTheme="minorEastAsia" w:hAnsiTheme="minorEastAsia"/>
          <w:b/>
          <w:sz w:val="32"/>
          <w:szCs w:val="32"/>
          <w:lang w:val="en-US" w:eastAsia="zh-CN"/>
        </w:rPr>
      </w:pPr>
    </w:p>
    <w:p>
      <w:pPr>
        <w:widowControl/>
        <w:shd w:val="clear" w:color="auto" w:fill="FFFFFF"/>
        <w:adjustRightInd/>
        <w:snapToGrid/>
        <w:spacing w:beforeLines="-2147483648" w:after="100" w:afterLines="-2147483648" w:afterAutospacing="1" w:line="600" w:lineRule="exact"/>
        <w:ind w:left="0" w:firstLine="0"/>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121" w:type="dxa"/>
          </w:tcPr>
          <w:p>
            <w:pPr>
              <w:adjustRightInd w:val="0"/>
              <w:snapToGrid w:val="0"/>
              <w:spacing w:line="600" w:lineRule="exact"/>
              <w:ind w:firstLine="2520" w:firstLineChars="900"/>
              <w:jc w:val="left"/>
              <w:rPr>
                <w:rFonts w:ascii="仿宋_GB2312" w:eastAsia="仿宋_GB2312"/>
                <w:sz w:val="28"/>
                <w:szCs w:val="28"/>
              </w:rPr>
            </w:pP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9</w:t>
            </w:r>
            <w:r>
              <w:rPr>
                <w:rFonts w:hint="eastAsia" w:ascii="仿宋_GB2312" w:eastAsia="仿宋_GB2312"/>
                <w:sz w:val="28"/>
                <w:szCs w:val="28"/>
              </w:rPr>
              <w:t>日</w:t>
            </w:r>
          </w:p>
        </w:tc>
      </w:tr>
    </w:tbl>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pPr>
    </w:p>
    <w:p>
      <w:pPr>
        <w:pStyle w:val="11"/>
        <w:rPr>
          <w:rFonts w:hint="eastAsia" w:ascii="仿宋" w:hAnsi="仿宋" w:eastAsia="仿宋" w:cs="仿宋"/>
          <w:b/>
          <w:sz w:val="28"/>
          <w:szCs w:val="28"/>
          <w:highlight w:val="none"/>
          <w:lang w:val="en-US" w:eastAsia="zh-CN"/>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pStyle w:val="12"/>
        <w:rPr>
          <w:rFonts w:hint="eastAsia" w:ascii="仿宋" w:hAnsi="仿宋" w:eastAsia="仿宋" w:cs="仿宋"/>
          <w:sz w:val="28"/>
          <w:szCs w:val="28"/>
          <w:highlight w:val="none"/>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5"/>
        <w:jc w:val="both"/>
        <w:rPr>
          <w:rFonts w:hint="eastAsia"/>
        </w:rPr>
      </w:pPr>
      <w:bookmarkStart w:id="26" w:name="_Toc2331"/>
      <w:bookmarkStart w:id="27" w:name="_Toc9448"/>
      <w:bookmarkStart w:id="28" w:name="_Toc32588"/>
      <w:bookmarkStart w:id="29" w:name="_Toc23749"/>
      <w:bookmarkStart w:id="30" w:name="_Toc16705"/>
      <w:bookmarkStart w:id="31" w:name="_Toc2324"/>
      <w:bookmarkStart w:id="32" w:name="_Toc25603"/>
      <w:bookmarkStart w:id="33" w:name="_Toc7340"/>
      <w:bookmarkStart w:id="34" w:name="_Toc10891"/>
      <w:bookmarkStart w:id="35" w:name="_Toc19295"/>
      <w:bookmarkStart w:id="36" w:name="_Toc16557"/>
    </w:p>
    <w:p>
      <w:pPr>
        <w:rPr>
          <w:rFonts w:hint="eastAsia"/>
        </w:rPr>
      </w:pPr>
    </w:p>
    <w:p>
      <w:pPr>
        <w:pStyle w:val="5"/>
      </w:pPr>
      <w:r>
        <mc:AlternateContent>
          <mc:Choice Requires="wps">
            <w:drawing>
              <wp:anchor distT="0" distB="0" distL="114300" distR="114300" simplePos="0" relativeHeight="251673600" behindDoc="0" locked="0" layoutInCell="1" allowOverlap="1">
                <wp:simplePos x="0" y="0"/>
                <wp:positionH relativeFrom="column">
                  <wp:posOffset>2323465</wp:posOffset>
                </wp:positionH>
                <wp:positionV relativeFrom="paragraph">
                  <wp:posOffset>720090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95pt;margin-top:56.7pt;height:0pt;width:75.5pt;z-index:251673600;mso-width-relative:page;mso-height-relative:page;" filled="f" stroked="t" coordsize="21600,21600" o:gfxdata="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novV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2339975</wp:posOffset>
                </wp:positionH>
                <wp:positionV relativeFrom="paragraph">
                  <wp:posOffset>260985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25pt;margin-top:20.55pt;height:0pt;width:75.5pt;z-index:251672576;mso-width-relative:page;mso-height-relative:page;" filled="f" stroked="t" coordsize="21600,21600" o:gfxdata="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cZCc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6"/>
        <w:rPr>
          <w:rFonts w:hint="eastAsia"/>
        </w:rPr>
      </w:pPr>
    </w:p>
    <w:p>
      <w:pPr>
        <w:pStyle w:val="6"/>
      </w:pPr>
      <w:bookmarkStart w:id="37" w:name="_Toc2339"/>
      <w:bookmarkStart w:id="38" w:name="_Toc3416"/>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6"/>
        <w:rPr>
          <w:rFonts w:hint="eastAsia" w:asciiTheme="minorHAnsi" w:hAnsiTheme="minorHAnsi" w:cstheme="minorBidi"/>
          <w:kern w:val="44"/>
          <w:sz w:val="44"/>
          <w:szCs w:val="44"/>
        </w:rPr>
      </w:pPr>
      <w:bookmarkStart w:id="39" w:name="_Toc21455"/>
      <w:bookmarkStart w:id="40" w:name="_Toc2867"/>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2284730</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9.9pt;margin-top:54.3pt;height:0pt;width:75.5pt;z-index:251661312;mso-width-relative:page;mso-height-relative:page;" filled="f" stroked="t" coordsize="21600,21600" o:gfxdata="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kLSyt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1"/>
      </w:pPr>
    </w:p>
    <w:p>
      <w:pPr>
        <w:pStyle w:val="6"/>
      </w:pPr>
      <w:bookmarkStart w:id="41" w:name="_Toc88209934"/>
      <w:bookmarkStart w:id="42" w:name="_Toc87616371"/>
      <w:bookmarkStart w:id="43" w:name="_Toc7040"/>
      <w:bookmarkStart w:id="44" w:name="_Toc7303"/>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11"/>
        <w:rPr>
          <w:rFonts w:ascii="方正小标宋简体" w:eastAsia="方正小标宋简体"/>
          <w:sz w:val="44"/>
          <w:szCs w:val="44"/>
        </w:rPr>
      </w:pPr>
    </w:p>
    <w:p>
      <w:pPr>
        <w:pStyle w:val="12"/>
      </w:pPr>
    </w:p>
    <w:p>
      <w:pPr>
        <w:pStyle w:val="2"/>
        <w:ind w:left="0" w:leftChars="0" w:firstLine="0" w:firstLineChars="0"/>
        <w:rPr>
          <w:rFonts w:ascii="方正小标宋简体" w:eastAsia="方正小标宋简体"/>
          <w:sz w:val="44"/>
          <w:szCs w:val="44"/>
        </w:rPr>
      </w:pPr>
    </w:p>
    <w:p>
      <w:pPr>
        <w:pStyle w:val="6"/>
      </w:pPr>
      <w:bookmarkStart w:id="45" w:name="_Toc3789"/>
      <w:bookmarkStart w:id="46" w:name="_Toc24895"/>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pPr>
      <w:bookmarkStart w:id="47" w:name="_Toc20594"/>
      <w:bookmarkStart w:id="48" w:name="_Toc4952"/>
      <w:bookmarkStart w:id="49" w:name="_Toc14870"/>
      <w:bookmarkStart w:id="50" w:name="_Toc7437"/>
      <w:bookmarkStart w:id="51" w:name="_Toc10930"/>
      <w:bookmarkStart w:id="52" w:name="_Toc3156"/>
      <w:bookmarkStart w:id="53" w:name="_Toc7118"/>
      <w:bookmarkStart w:id="54" w:name="_Toc19759"/>
      <w:bookmarkStart w:id="55" w:name="_Toc23581"/>
      <w:bookmarkStart w:id="56" w:name="_Toc14552"/>
      <w:bookmarkStart w:id="57" w:name="_Toc19050"/>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1"/>
      </w:pPr>
    </w:p>
    <w:p>
      <w:pPr>
        <w:pStyle w:val="5"/>
      </w:pPr>
      <w:bookmarkStart w:id="58" w:name="_Toc87616378"/>
      <w:bookmarkStart w:id="59" w:name="_Toc12177"/>
      <w:bookmarkStart w:id="60" w:name="_Toc29345"/>
      <w:bookmarkStart w:id="61" w:name="_Toc22212"/>
      <w:bookmarkStart w:id="62" w:name="_Toc7831"/>
      <w:bookmarkStart w:id="63" w:name="_Toc32607"/>
      <w:bookmarkStart w:id="64" w:name="_Toc29484"/>
      <w:bookmarkStart w:id="65" w:name="_Toc21079"/>
      <w:bookmarkStart w:id="66" w:name="_Toc21840"/>
      <w:bookmarkStart w:id="67" w:name="_Toc88209941"/>
      <w:bookmarkStart w:id="68" w:name="_Toc13898"/>
      <w:bookmarkStart w:id="69" w:name="_Toc30530"/>
      <w:bookmarkStart w:id="70" w:name="_Toc6308"/>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pPr>
      <w:bookmarkStart w:id="71" w:name="_Toc26826"/>
      <w:bookmarkStart w:id="72" w:name="_Toc23033"/>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ind w:left="0" w:leftChars="0" w:firstLine="0" w:firstLineChars="0"/>
        <w:rPr>
          <w:rFonts w:ascii="仿宋_GB2312" w:eastAsia="仿宋_GB2312" w:hAnsiTheme="minorEastAsia"/>
          <w:szCs w:val="21"/>
        </w:rPr>
      </w:pPr>
    </w:p>
    <w:p>
      <w:pPr>
        <w:pStyle w:val="5"/>
        <w:rPr>
          <w:rFonts w:hint="eastAsia"/>
        </w:rPr>
      </w:pPr>
      <w:bookmarkStart w:id="73" w:name="_Toc88209947"/>
    </w:p>
    <w:p>
      <w:pPr>
        <w:pStyle w:val="5"/>
        <w:jc w:val="both"/>
        <w:rPr>
          <w:rFonts w:hint="eastAsia"/>
        </w:rPr>
      </w:pPr>
    </w:p>
    <w:p>
      <w:pPr>
        <w:pStyle w:val="5"/>
        <w:rPr>
          <w:rFonts w:hint="eastAsia"/>
        </w:rPr>
      </w:pPr>
    </w:p>
    <w:p>
      <w:pPr>
        <w:pStyle w:val="5"/>
        <w:rPr>
          <w:rFonts w:hint="eastAsia"/>
        </w:rPr>
      </w:pPr>
      <w:r>
        <mc:AlternateContent>
          <mc:Choice Requires="wps">
            <w:drawing>
              <wp:anchor distT="0" distB="0" distL="114300" distR="114300" simplePos="0" relativeHeight="251675648" behindDoc="0" locked="0" layoutInCell="1" allowOverlap="1">
                <wp:simplePos x="0" y="0"/>
                <wp:positionH relativeFrom="column">
                  <wp:posOffset>2331720</wp:posOffset>
                </wp:positionH>
                <wp:positionV relativeFrom="paragraph">
                  <wp:posOffset>498475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6pt;margin-top:39.25pt;height:0pt;width:75.5pt;z-index:251675648;mso-width-relative:page;mso-height-relative:page;" filled="f" stroked="t" coordsize="21600,21600" o:gfxdata="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GfqGt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rPr>
          <w:rFonts w:hint="eastAsia"/>
          <w:lang w:val="en-US" w:eastAsia="zh-CN"/>
        </w:rPr>
      </w:pPr>
    </w:p>
    <w:p>
      <w:pPr>
        <w:pStyle w:val="6"/>
        <w:rPr>
          <w:rFonts w:hint="eastAsia"/>
          <w:szCs w:val="44"/>
        </w:rPr>
      </w:pPr>
      <w:r>
        <w:rPr>
          <w:rFonts w:hint="eastAsia"/>
          <w:szCs w:val="44"/>
        </w:rPr>
        <w:t>采购需求</w:t>
      </w:r>
    </w:p>
    <w:p>
      <w:pPr>
        <w:pStyle w:val="6"/>
        <w:rPr>
          <w:rFonts w:hint="eastAsia"/>
          <w:szCs w:val="44"/>
        </w:rPr>
      </w:pPr>
    </w:p>
    <w:p>
      <w:pPr>
        <w:pStyle w:val="6"/>
        <w:rPr>
          <w:rFonts w:hint="eastAsia"/>
          <w:szCs w:val="44"/>
        </w:rPr>
      </w:pPr>
    </w:p>
    <w:p>
      <w:pPr>
        <w:pStyle w:val="6"/>
        <w:rPr>
          <w:rFonts w:hint="eastAsia"/>
          <w:szCs w:val="44"/>
        </w:rPr>
      </w:pPr>
    </w:p>
    <w:p>
      <w:pPr>
        <w:pStyle w:val="6"/>
        <w:rPr>
          <w:rFonts w:hint="eastAsia"/>
          <w:szCs w:val="44"/>
        </w:rPr>
      </w:pPr>
    </w:p>
    <w:p>
      <w:pPr>
        <w:pStyle w:val="6"/>
        <w:rPr>
          <w:rFonts w:hint="eastAsia"/>
          <w:szCs w:val="44"/>
        </w:rPr>
      </w:pPr>
    </w:p>
    <w:p>
      <w:pPr>
        <w:pStyle w:val="6"/>
        <w:jc w:val="both"/>
        <w:rPr>
          <w:rFonts w:hint="eastAsia"/>
          <w:szCs w:val="44"/>
        </w:rPr>
      </w:pPr>
    </w:p>
    <w:p>
      <w:pPr>
        <w:rPr>
          <w:rFonts w:hint="eastAsia"/>
          <w:szCs w:val="44"/>
        </w:rPr>
      </w:pPr>
    </w:p>
    <w:p>
      <w:pPr>
        <w:pStyle w:val="2"/>
        <w:rPr>
          <w:rFonts w:hint="eastAsia"/>
        </w:rPr>
      </w:pPr>
    </w:p>
    <w:p>
      <w:pPr>
        <w:pStyle w:val="2"/>
        <w:rPr>
          <w:rFonts w:hint="eastAsia"/>
        </w:rPr>
      </w:pPr>
    </w:p>
    <w:p>
      <w:pPr>
        <w:pStyle w:val="14"/>
        <w:numPr>
          <w:ilvl w:val="0"/>
          <w:numId w:val="4"/>
        </w:numPr>
        <w:adjustRightInd w:val="0"/>
        <w:snapToGrid w:val="0"/>
        <w:spacing w:line="360" w:lineRule="auto"/>
        <w:ind w:firstLine="0" w:firstLineChars="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keepNext w:val="0"/>
        <w:keepLines w:val="0"/>
        <w:widowControl/>
        <w:suppressLineNumbers w:val="0"/>
        <w:jc w:val="left"/>
        <w:textAlignment w:val="center"/>
        <w:rPr>
          <w:rFonts w:hint="eastAsia" w:ascii="仿宋" w:hAnsi="仿宋" w:eastAsia="仿宋" w:cs="仿宋_GB2312"/>
          <w:b/>
          <w:bCs/>
          <w:color w:val="000000"/>
          <w:kern w:val="0"/>
          <w:sz w:val="28"/>
          <w:szCs w:val="28"/>
          <w:lang w:val="en-US" w:eastAsia="zh-CN" w:bidi="ar-SA"/>
        </w:rPr>
      </w:pPr>
      <w:r>
        <w:rPr>
          <w:rFonts w:hint="eastAsia" w:ascii="仿宋" w:hAnsi="仿宋" w:eastAsia="仿宋" w:cs="仿宋_GB2312"/>
          <w:b/>
          <w:bCs/>
          <w:color w:val="000000"/>
          <w:kern w:val="0"/>
          <w:sz w:val="28"/>
          <w:szCs w:val="28"/>
          <w:lang w:val="en-US" w:eastAsia="zh-CN" w:bidi="ar-SA"/>
        </w:rPr>
        <w:t>广州市净水有限公司西朗二期分公司二期西北面地块环境提升项目</w:t>
      </w:r>
    </w:p>
    <w:p>
      <w:pPr>
        <w:numPr>
          <w:ilvl w:val="0"/>
          <w:numId w:val="0"/>
        </w:numPr>
        <w:spacing w:line="360" w:lineRule="auto"/>
        <w:ind w:firstLine="560" w:firstLineChars="200"/>
        <w:rPr>
          <w:rFonts w:hint="default"/>
          <w:lang w:val="en-US" w:eastAsia="zh-CN"/>
        </w:rPr>
      </w:pPr>
      <w:r>
        <w:rPr>
          <w:rFonts w:hint="eastAsia" w:ascii="仿宋_GB2312" w:hAnsi="仿宋_GB2312" w:eastAsia="仿宋_GB2312" w:cs="仿宋_GB2312"/>
          <w:sz w:val="28"/>
          <w:szCs w:val="28"/>
          <w:lang w:val="en-US" w:eastAsia="zh-CN"/>
        </w:rPr>
        <w:t>项目涉及场地平整硬底化、绿网围墙、监控、六款康体设施等内容</w:t>
      </w:r>
      <w:r>
        <w:rPr>
          <w:rFonts w:hint="eastAsia" w:ascii="仿宋_GB2312" w:hAnsi="仿宋_GB2312" w:eastAsia="仿宋_GB2312" w:cs="仿宋_GB2312"/>
          <w:kern w:val="0"/>
          <w:sz w:val="28"/>
          <w:szCs w:val="28"/>
          <w:lang w:val="en-US" w:eastAsia="zh-CN"/>
        </w:rPr>
        <w:t>。</w:t>
      </w:r>
    </w:p>
    <w:p>
      <w:pPr>
        <w:numPr>
          <w:ilvl w:val="0"/>
          <w:numId w:val="0"/>
        </w:numPr>
        <w:autoSpaceDE/>
        <w:autoSpaceDN/>
        <w:adjustRightInd/>
        <w:spacing w:line="360" w:lineRule="auto"/>
        <w:ind w:firstLine="420" w:firstLineChars="200"/>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28"/>
          <w:szCs w:val="28"/>
          <w:lang w:val="en-US" w:eastAsia="zh-CN"/>
        </w:rPr>
        <w:t>拟实施</w:t>
      </w:r>
      <w:r>
        <w:rPr>
          <w:rFonts w:hint="eastAsia" w:ascii="仿宋_GB2312" w:hAnsi="宋体" w:eastAsia="仿宋_GB2312" w:cs="宋体"/>
          <w:kern w:val="0"/>
          <w:sz w:val="28"/>
          <w:szCs w:val="28"/>
          <w:lang w:val="en-US" w:eastAsia="zh-CN"/>
        </w:rPr>
        <w:t>广州市净水有限公司西朗二期分公司二期西北面地块环境提升项目</w:t>
      </w:r>
      <w:r>
        <w:rPr>
          <w:rFonts w:hint="eastAsia" w:ascii="仿宋_GB2312" w:hAnsi="仿宋_GB2312" w:eastAsia="仿宋_GB2312" w:cs="仿宋_GB2312"/>
          <w:sz w:val="28"/>
          <w:szCs w:val="28"/>
          <w:lang w:val="en-US" w:eastAsia="zh-CN"/>
        </w:rPr>
        <w:t>，项目涉及场地平整硬底化、绿网围墙、监控、六款康体设施等内容：</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（一）场地平整，增设硬底化及场地排水，以及场地缓冲垫，面积约70平方米；</w:t>
      </w:r>
    </w:p>
    <w:p>
      <w:pPr>
        <w:pStyle w:val="51"/>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（二）增设带刺防爬绿网围墙，防止无关人员跨越康体设施进入厂区区域；</w:t>
      </w:r>
    </w:p>
    <w:p>
      <w:pPr>
        <w:pStyle w:val="51"/>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（三）增设摄像监控，有效监控康体设施区域的治安、环境安全；</w:t>
      </w:r>
    </w:p>
    <w:p>
      <w:pPr>
        <w:pStyle w:val="51"/>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（四）厂内设置六款康体设施，原则上选择安全系数较高，维护维修频次较低的康体设施，具体如下：单人平步机、腰背按摩器、肩关节训练器、上肢牵引器、腹肌板、双人腿部按摩器；</w:t>
      </w:r>
    </w:p>
    <w:p>
      <w:pPr>
        <w:pStyle w:val="14"/>
        <w:numPr>
          <w:ilvl w:val="0"/>
          <w:numId w:val="0"/>
        </w:numPr>
        <w:adjustRightInd w:val="0"/>
        <w:snapToGrid w:val="0"/>
        <w:spacing w:line="360" w:lineRule="auto"/>
        <w:ind w:firstLine="600" w:firstLineChars="200"/>
        <w:rPr>
          <w:rFonts w:hint="eastAsia" w:ascii="仿宋_GB2312" w:hAnsi="仿宋_GB2312" w:eastAsia="仿宋_GB2312" w:cs="仿宋_GB2312"/>
          <w:kern w:val="2"/>
          <w:sz w:val="30"/>
          <w:szCs w:val="30"/>
          <w:lang w:val="en-US" w:eastAsia="zh-CN" w:bidi="ar-SA"/>
        </w:rPr>
      </w:pPr>
    </w:p>
    <w:p>
      <w:pPr>
        <w:pStyle w:val="14"/>
        <w:adjustRightInd w:val="0"/>
        <w:snapToGrid w:val="0"/>
        <w:spacing w:line="300" w:lineRule="auto"/>
        <w:rPr>
          <w:rFonts w:hint="eastAsia" w:ascii="仿宋" w:hAnsi="仿宋" w:eastAsia="仿宋" w:cs="仿宋"/>
          <w:lang w:val="en-US" w:eastAsia="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（2）施工后，清理现场垃圾，施工垃圾外运，冲洗施工区域，保护现场环境。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sz w:val="28"/>
          <w:szCs w:val="28"/>
          <w:lang w:val="en-US" w:eastAsia="zh-CN"/>
        </w:rPr>
        <w:t>.</w:t>
      </w:r>
    </w:p>
    <w:p>
      <w:pPr>
        <w:pStyle w:val="15"/>
      </w:pPr>
    </w:p>
    <w:p>
      <w:pPr>
        <w:pStyle w:val="14"/>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6"/>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8"/>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8"/>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keepNext w:val="0"/>
              <w:keepLines w:val="0"/>
              <w:widowControl/>
              <w:suppressLineNumbers w:val="0"/>
              <w:jc w:val="left"/>
              <w:textAlignment w:val="center"/>
              <w:rPr>
                <w:rFonts w:hint="eastAsia" w:ascii="仿宋" w:hAnsi="仿宋" w:eastAsia="仿宋" w:cs="仿宋_GB2312"/>
                <w:b/>
                <w:bCs/>
                <w:color w:val="000000"/>
                <w:kern w:val="0"/>
                <w:sz w:val="28"/>
                <w:szCs w:val="28"/>
                <w:lang w:val="en-US" w:eastAsia="zh-CN" w:bidi="ar-SA"/>
              </w:rPr>
            </w:pPr>
            <w:r>
              <w:rPr>
                <w:rFonts w:hint="eastAsia" w:ascii="仿宋" w:hAnsi="仿宋" w:eastAsia="仿宋" w:cs="仿宋_GB2312"/>
                <w:b/>
                <w:bCs/>
                <w:color w:val="000000"/>
                <w:kern w:val="0"/>
                <w:sz w:val="28"/>
                <w:szCs w:val="28"/>
                <w:lang w:val="en-US" w:eastAsia="zh-CN" w:bidi="ar-SA"/>
              </w:rPr>
              <w:t>广州市净水有限公司西朗二期分公司二期西北面地块环境提升项目</w:t>
            </w:r>
          </w:p>
          <w:p>
            <w:pPr>
              <w:pStyle w:val="8"/>
              <w:ind w:firstLine="420" w:firstLineChars="0"/>
              <w:jc w:val="center"/>
              <w:rPr>
                <w:rFonts w:hint="default" w:ascii="仿宋" w:hAnsi="仿宋" w:eastAsia="仿宋" w:cs="仿宋"/>
                <w:sz w:val="24"/>
                <w:szCs w:val="24"/>
                <w:vertAlign w:val="baseline"/>
                <w:lang w:val="en-US" w:eastAsia="zh-CN"/>
              </w:rPr>
            </w:pPr>
          </w:p>
        </w:tc>
        <w:tc>
          <w:tcPr>
            <w:tcW w:w="2264" w:type="dxa"/>
            <w:vAlign w:val="center"/>
          </w:tcPr>
          <w:p>
            <w:pPr>
              <w:pStyle w:val="8"/>
              <w:ind w:firstLine="42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15天</w:t>
            </w:r>
          </w:p>
        </w:tc>
      </w:tr>
    </w:tbl>
    <w:p>
      <w:pPr>
        <w:pStyle w:val="8"/>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8"/>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3"/>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3"/>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8"/>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73"/>
    <w:p>
      <w:pPr>
        <w:pStyle w:val="2"/>
        <w:ind w:firstLine="0"/>
        <w:rPr>
          <w:rFonts w:hint="eastAsia"/>
        </w:rPr>
      </w:pPr>
      <w:bookmarkStart w:id="74" w:name="_Toc29835"/>
      <w:bookmarkStart w:id="75" w:name="_Toc15570"/>
      <w:bookmarkStart w:id="76" w:name="_Toc1284"/>
      <w:bookmarkStart w:id="77" w:name="_Toc1496"/>
      <w:bookmarkStart w:id="78" w:name="_Toc23330"/>
      <w:bookmarkStart w:id="79" w:name="_Toc23353"/>
      <w:bookmarkStart w:id="80" w:name="_Toc25925"/>
      <w:bookmarkStart w:id="81" w:name="_Toc537"/>
      <w:bookmarkStart w:id="82" w:name="_Toc18538"/>
      <w:bookmarkStart w:id="83" w:name="_Toc4680"/>
      <w:bookmarkStart w:id="84" w:name="_Toc12135"/>
    </w:p>
    <w:p>
      <w:pPr>
        <w:pStyle w:val="2"/>
        <w:rPr>
          <w:rFonts w:hint="eastAsia"/>
        </w:rPr>
      </w:pPr>
    </w:p>
    <w:p>
      <w:pPr>
        <w:pStyle w:val="2"/>
        <w:ind w:left="0" w:leftChars="0" w:firstLine="0" w:firstLineChars="0"/>
        <w:rPr>
          <w:rFonts w:hint="eastAsia"/>
        </w:rPr>
      </w:pPr>
    </w:p>
    <w:p>
      <w:pPr>
        <w:pStyle w:val="5"/>
        <w:jc w:val="both"/>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jc w:val="center"/>
        <w:rPr>
          <w:rFonts w:hint="eastAsia"/>
        </w:rPr>
      </w:pPr>
    </w:p>
    <w:p>
      <w:pPr>
        <w:pStyle w:val="5"/>
        <w:jc w:val="center"/>
        <w:rPr>
          <w:rFonts w:hint="eastAsia"/>
        </w:rPr>
      </w:pPr>
    </w:p>
    <w:p>
      <w:pPr>
        <w:pStyle w:val="5"/>
        <w:jc w:val="center"/>
      </w:pPr>
      <w:r>
        <mc:AlternateContent>
          <mc:Choice Requires="wps">
            <w:drawing>
              <wp:anchor distT="0" distB="0" distL="114300" distR="114300" simplePos="0" relativeHeight="251665408" behindDoc="0" locked="0" layoutInCell="1" allowOverlap="1">
                <wp:simplePos x="0" y="0"/>
                <wp:positionH relativeFrom="column">
                  <wp:posOffset>2314575</wp:posOffset>
                </wp:positionH>
                <wp:positionV relativeFrom="paragraph">
                  <wp:posOffset>558165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25pt;margin-top:43.95pt;height:0pt;width:75.5pt;z-index:251665408;mso-width-relative:page;mso-height-relative:page;" filled="f" stroked="t" coordsize="21600,21600" o:gfxdata="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0v/6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55pt;height:0pt;width:75.5pt;z-index:251664384;mso-width-relative:page;mso-height-relative:page;" filled="f" stroked="t" coordsize="21600,21600" o:gfxdata="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vmHOt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1"/>
      </w:pPr>
    </w:p>
    <w:p>
      <w:pPr>
        <w:pStyle w:val="5"/>
      </w:pPr>
      <w:bookmarkStart w:id="85" w:name="_Toc323"/>
      <w:bookmarkStart w:id="86" w:name="_Toc88209949"/>
      <w:bookmarkStart w:id="87" w:name="_Toc22797"/>
      <w:bookmarkStart w:id="88" w:name="_Toc19088"/>
      <w:bookmarkStart w:id="89" w:name="_Toc8183"/>
      <w:bookmarkStart w:id="90" w:name="_Toc12980"/>
      <w:bookmarkStart w:id="91" w:name="_Toc87616386"/>
      <w:bookmarkStart w:id="92" w:name="_Toc12721"/>
      <w:bookmarkStart w:id="93" w:name="_Toc22501"/>
      <w:bookmarkStart w:id="94" w:name="_Toc19686"/>
      <w:bookmarkStart w:id="95" w:name="_Toc13309"/>
      <w:bookmarkStart w:id="96" w:name="_Toc12968"/>
      <w:bookmarkStart w:id="97" w:name="_Toc1375"/>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center"/>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spacing w:line="400" w:lineRule="atLeast"/>
        <w:jc w:val="center"/>
        <w:rPr>
          <w:rFonts w:hint="eastAsia" w:ascii="宋体" w:hAnsi="宋体" w:cs="宋体"/>
          <w:b/>
          <w:bCs/>
          <w:sz w:val="48"/>
          <w:szCs w:val="48"/>
        </w:rPr>
      </w:pPr>
    </w:p>
    <w:p>
      <w:pPr>
        <w:pStyle w:val="2"/>
        <w:rPr>
          <w:rFonts w:hint="eastAsia" w:ascii="宋体" w:hAnsi="宋体" w:cs="宋体"/>
          <w:b/>
          <w:bCs/>
          <w:sz w:val="48"/>
          <w:szCs w:val="48"/>
        </w:rPr>
      </w:pPr>
    </w:p>
    <w:p>
      <w:pPr>
        <w:pStyle w:val="2"/>
        <w:rPr>
          <w:rFonts w:hint="eastAsia" w:ascii="宋体" w:hAnsi="宋体" w:cs="宋体"/>
          <w:b/>
          <w:bCs/>
          <w:sz w:val="48"/>
          <w:szCs w:val="48"/>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eastAsia="宋体"/>
          <w:b/>
          <w:bCs/>
          <w:sz w:val="52"/>
          <w:szCs w:val="52"/>
          <w:highlight w:val="none"/>
        </w:rPr>
      </w:pPr>
      <w:r>
        <w:rPr>
          <w:rFonts w:hint="eastAsia" w:ascii="宋体" w:hAnsi="宋体" w:cs="宋体"/>
          <w:b/>
          <w:bCs/>
          <w:sz w:val="48"/>
          <w:szCs w:val="48"/>
          <w:highlight w:val="none"/>
        </w:rPr>
        <w:t>设备维修维护项目合同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宋体" w:hAnsi="宋体" w:cs="宋体" w:eastAsiaTheme="minorEastAsia"/>
          <w:b/>
          <w:bCs w:val="0"/>
          <w:color w:val="000000"/>
          <w:sz w:val="30"/>
          <w:szCs w:val="30"/>
          <w:highlight w:val="none"/>
          <w:u w:val="none"/>
          <w:lang w:val="en-US"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广州市净水有限公司西朗二期分公司二期西北面地块环境提升项目</w:t>
      </w:r>
    </w:p>
    <w:p>
      <w:pPr>
        <w:pStyle w:val="51"/>
        <w:rPr>
          <w:rFonts w:hint="eastAsia"/>
          <w:lang w:val="en-US" w:eastAsia="zh-CN"/>
        </w:rPr>
      </w:pPr>
    </w:p>
    <w:p>
      <w:pPr>
        <w:spacing w:line="0" w:lineRule="atLeast"/>
        <w:ind w:left="1506" w:hanging="1506" w:hangingChars="500"/>
        <w:rPr>
          <w:rFonts w:hint="eastAsia" w:ascii="宋体" w:hAnsi="宋体" w:eastAsia="宋体" w:cs="宋体"/>
          <w:b/>
          <w:sz w:val="30"/>
          <w:szCs w:val="30"/>
          <w:highlight w:val="none"/>
          <w:lang w:val="en-US" w:eastAsia="zh-CN"/>
        </w:rPr>
      </w:pPr>
    </w:p>
    <w:p>
      <w:pPr>
        <w:pStyle w:val="51"/>
        <w:rPr>
          <w:rFonts w:hint="eastAsia" w:ascii="宋体" w:hAnsi="宋体" w:eastAsia="宋体" w:cs="宋体"/>
          <w:b/>
          <w:sz w:val="30"/>
          <w:szCs w:val="30"/>
          <w:highlight w:val="none"/>
          <w:lang w:val="en-US" w:eastAsia="zh-CN"/>
        </w:rPr>
      </w:pPr>
    </w:p>
    <w:p>
      <w:pPr>
        <w:spacing w:line="0" w:lineRule="atLeast"/>
        <w:ind w:left="1506" w:hanging="1506" w:hangingChars="500"/>
        <w:rPr>
          <w:rFonts w:ascii="宋体" w:hAnsi="宋体" w:cs="宋体"/>
          <w:b/>
          <w:sz w:val="30"/>
          <w:szCs w:val="30"/>
          <w:highlight w:val="none"/>
        </w:rPr>
      </w:pPr>
      <w:r>
        <w:rPr>
          <w:rFonts w:hint="eastAsia" w:ascii="宋体" w:hAnsi="宋体" w:eastAsia="宋体" w:cs="宋体"/>
          <w:b/>
          <w:sz w:val="30"/>
          <w:szCs w:val="30"/>
          <w:highlight w:val="none"/>
          <w:lang w:val="en-US" w:eastAsia="zh-CN"/>
        </w:rPr>
        <w:t>项目编号：</w:t>
      </w: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pStyle w:val="2"/>
        <w:ind w:left="0" w:leftChars="0" w:firstLine="0" w:firstLineChars="0"/>
        <w:rPr>
          <w:rFonts w:hint="eastAsia" w:ascii="宋体" w:hAnsi="宋体" w:cs="宋体"/>
          <w:sz w:val="24"/>
          <w:highlight w:val="none"/>
        </w:rPr>
      </w:pPr>
    </w:p>
    <w:p>
      <w:pPr>
        <w:spacing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rPr>
        <w:t>》及其他有关法律、行政法规，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lang w:eastAsia="zh-CN"/>
        </w:rPr>
        <w:t>…</w:t>
      </w:r>
      <w:r>
        <w:rPr>
          <w:rFonts w:hint="eastAsia" w:ascii="宋体" w:hAnsi="宋体" w:cs="宋体"/>
          <w:sz w:val="24"/>
          <w:highlight w:val="none"/>
        </w:rPr>
        <w:t>（以下简称“乙方”）就</w:t>
      </w:r>
      <w:r>
        <w:rPr>
          <w:rFonts w:hint="eastAsia" w:ascii="宋体" w:hAnsi="宋体" w:cs="宋体"/>
          <w:sz w:val="24"/>
          <w:highlight w:val="none"/>
          <w:lang w:eastAsia="zh-CN"/>
        </w:rPr>
        <w:t>广州市净水有限公司西朗二期分公司二期西北面地块环境提升项目</w:t>
      </w:r>
      <w:r>
        <w:rPr>
          <w:rFonts w:hint="eastAsia" w:ascii="宋体" w:hAnsi="宋体" w:cs="宋体"/>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w:t>
      </w:r>
      <w:r>
        <w:rPr>
          <w:rFonts w:hint="eastAsia" w:ascii="宋体" w:hAnsi="宋体" w:cs="宋体"/>
          <w:bCs/>
          <w:sz w:val="24"/>
          <w:highlight w:val="none"/>
          <w:lang w:val="en-US" w:eastAsia="zh-CN"/>
        </w:rPr>
        <w:t>成交通知书/</w:t>
      </w:r>
      <w:r>
        <w:rPr>
          <w:rFonts w:hint="eastAsia" w:ascii="宋体" w:hAnsi="宋体" w:cs="宋体"/>
          <w:bCs/>
          <w:sz w:val="24"/>
          <w:highlight w:val="none"/>
        </w:rPr>
        <w:t>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60" w:lineRule="auto"/>
        <w:ind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rPr>
        <w:t>2.1项目名称：</w:t>
      </w:r>
      <w:r>
        <w:rPr>
          <w:rFonts w:hint="eastAsia" w:ascii="宋体" w:hAnsi="宋体" w:cs="宋体"/>
          <w:sz w:val="24"/>
          <w:highlight w:val="none"/>
          <w:lang w:eastAsia="zh-CN"/>
        </w:rPr>
        <w:t>广州市净水有限公司西朗二期分公司二期西北面地块环境提升项目</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lang w:val="en-US" w:eastAsia="zh-CN"/>
        </w:rPr>
        <w:t>2.2项目地点：</w:t>
      </w:r>
      <w:r>
        <w:rPr>
          <w:rFonts w:hint="eastAsia" w:ascii="宋体" w:hAnsi="宋体" w:eastAsia="宋体" w:cs="宋体"/>
          <w:sz w:val="24"/>
          <w:highlight w:val="none"/>
          <w:u w:val="single"/>
          <w:lang w:val="en-US" w:eastAsia="zh-CN"/>
        </w:rPr>
        <w:t>西朗二期分公司</w:t>
      </w:r>
    </w:p>
    <w:p>
      <w:pPr>
        <w:pStyle w:val="2"/>
        <w:ind w:left="0" w:leftChars="0"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2.3项目内容：</w:t>
      </w:r>
    </w:p>
    <w:p>
      <w:pPr>
        <w:pStyle w:val="2"/>
        <w:ind w:left="0" w:leftChars="0" w:firstLine="560" w:firstLineChars="200"/>
        <w:rPr>
          <w:rFonts w:hint="default" w:eastAsia="宋体" w:cs="宋体"/>
          <w:color w:val="auto"/>
          <w:kern w:val="2"/>
          <w:sz w:val="24"/>
          <w:szCs w:val="22"/>
          <w:highlight w:val="none"/>
          <w:lang w:val="en-US" w:eastAsia="zh-CN" w:bidi="ar-SA"/>
        </w:rPr>
      </w:pPr>
      <w:r>
        <w:rPr>
          <w:rFonts w:hint="eastAsia" w:ascii="仿宋_GB2312" w:hAnsi="仿宋_GB2312" w:eastAsia="仿宋_GB2312" w:cs="仿宋_GB2312"/>
          <w:sz w:val="28"/>
          <w:szCs w:val="28"/>
          <w:lang w:val="en-US" w:eastAsia="zh-CN"/>
        </w:rPr>
        <w:t>实施</w:t>
      </w:r>
      <w:r>
        <w:rPr>
          <w:rFonts w:hint="eastAsia" w:ascii="仿宋_GB2312" w:eastAsia="仿宋_GB2312" w:cs="宋体"/>
          <w:kern w:val="0"/>
          <w:sz w:val="28"/>
          <w:szCs w:val="28"/>
          <w:lang w:val="en-US" w:eastAsia="zh-CN"/>
        </w:rPr>
        <w:t>广州市净水有限公司西朗二期分公司二期西北面地块环境提升项目</w:t>
      </w:r>
      <w:r>
        <w:rPr>
          <w:rFonts w:hint="eastAsia" w:ascii="仿宋_GB2312" w:hAnsi="仿宋_GB2312" w:eastAsia="仿宋_GB2312" w:cs="仿宋_GB2312"/>
          <w:sz w:val="28"/>
          <w:szCs w:val="28"/>
          <w:lang w:val="en-US" w:eastAsia="zh-CN"/>
        </w:rPr>
        <w:t>，项目涉及场地平整硬底化、绿网围墙、监控、六款康体设施等内容</w:t>
      </w:r>
      <w:r>
        <w:rPr>
          <w:rFonts w:hint="eastAsia" w:eastAsia="宋体" w:cs="宋体"/>
          <w:color w:val="auto"/>
          <w:kern w:val="2"/>
          <w:sz w:val="24"/>
          <w:szCs w:val="22"/>
          <w:highlight w:val="none"/>
          <w:lang w:val="en-US" w:eastAsia="zh-CN" w:bidi="ar-SA"/>
        </w:rPr>
        <w:t>（具体实施内容详见技术需求书及附件工程量清单）</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sym w:font="Wingdings 2" w:char="00A3"/>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详见附件4</w:t>
      </w:r>
      <w:r>
        <w:rPr>
          <w:rFonts w:hint="eastAsia" w:ascii="宋体" w:hAnsi="宋体" w:cs="宋体"/>
          <w:sz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13</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w:t>
      </w:r>
      <w:r>
        <w:rPr>
          <w:rFonts w:hint="eastAsia" w:ascii="宋体" w:hAnsi="宋体" w:eastAsia="宋体" w:cs="宋体"/>
          <w:bCs w:val="0"/>
          <w:sz w:val="24"/>
          <w:szCs w:val="24"/>
          <w:highlight w:val="none"/>
          <w:lang w:val="en-US" w:eastAsia="zh-CN"/>
        </w:rPr>
        <w:t>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51"/>
        <w:spacing w:line="360" w:lineRule="auto"/>
        <w:rPr>
          <w:rFonts w:hint="default" w:eastAsia="宋体"/>
          <w:highlight w:val="none"/>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highlight w:val="none"/>
        </w:rPr>
        <w:t>（4）通过市场询价双方协商确定。</w:t>
      </w:r>
    </w:p>
    <w:p>
      <w:pPr>
        <w:spacing w:line="360" w:lineRule="auto"/>
        <w:rPr>
          <w:rFonts w:hint="eastAsia" w:ascii="宋体" w:hAnsi="宋体" w:cs="宋体"/>
          <w:b/>
          <w:bCs/>
          <w:sz w:val="24"/>
          <w:highlight w:val="none"/>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20</w:t>
      </w:r>
      <w:r>
        <w:rPr>
          <w:rFonts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pStyle w:val="51"/>
      </w:pPr>
    </w:p>
    <w:p>
      <w:pPr>
        <w:widowControl/>
        <w:spacing w:line="384"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5.</w:t>
      </w:r>
      <w:r>
        <w:rPr>
          <w:rFonts w:ascii="宋体" w:hAnsi="宋体" w:cs="宋体"/>
          <w:bCs/>
          <w:sz w:val="24"/>
          <w:highlight w:val="none"/>
        </w:rPr>
        <w:t>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0"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30</w:t>
      </w:r>
      <w:r>
        <w:rPr>
          <w:rFonts w:ascii="宋体" w:hAnsi="宋体" w:cs="宋体"/>
          <w:bCs/>
          <w:sz w:val="24"/>
          <w:highlight w:val="none"/>
          <w:u w:val="single"/>
        </w:rPr>
        <w:t xml:space="preserve"> </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ascii="宋体" w:hAnsi="宋体" w:cs="宋体"/>
          <w:bCs/>
          <w:sz w:val="24"/>
          <w:highlight w:val="none"/>
          <w:u w:val="none"/>
        </w:rPr>
        <w:t>_</w:t>
      </w:r>
      <w:r>
        <w:rPr>
          <w:rFonts w:hint="eastAsia" w:ascii="宋体" w:hAnsi="宋体" w:cs="宋体"/>
          <w:bCs/>
          <w:sz w:val="24"/>
          <w:highlight w:val="none"/>
          <w:u w:val="none"/>
          <w:lang w:val="en-US" w:eastAsia="zh-CN"/>
        </w:rPr>
        <w:t xml:space="preserve"> 20</w:t>
      </w:r>
      <w:r>
        <w:rPr>
          <w:rFonts w:ascii="宋体" w:hAnsi="宋体" w:cs="宋体"/>
          <w:bCs/>
          <w:sz w:val="24"/>
          <w:highlight w:val="none"/>
          <w:u w:val="none"/>
        </w:rPr>
        <w:t>_</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宋体" w:hAnsi="宋体" w:eastAsia="宋体"/>
          <w:bCs/>
          <w:sz w:val="24"/>
          <w:highlight w:val="none"/>
        </w:rPr>
        <w:t>（</w:t>
      </w:r>
      <w:r>
        <w:rPr>
          <w:rFonts w:hint="eastAsia" w:cs="宋体"/>
          <w:sz w:val="24"/>
          <w:highlight w:val="none"/>
        </w:rPr>
        <w:t>如合同另行约定违约责任，从其约定</w:t>
      </w:r>
      <w:r>
        <w:rPr>
          <w:rFonts w:hint="eastAsia" w:ascii="宋体" w:hAnsi="宋体" w:eastAsia="宋体"/>
          <w:bCs/>
          <w:sz w:val="24"/>
          <w:highlight w:val="none"/>
        </w:rPr>
        <w:t>）</w:t>
      </w:r>
      <w:r>
        <w:rPr>
          <w:rFonts w:ascii="宋体" w:hAnsi="宋体" w:cs="宋体"/>
          <w:bCs/>
          <w:sz w:val="24"/>
          <w:highlight w:val="none"/>
        </w:rPr>
        <w:t>。</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5.6乙方不得随意更换项目负责人及</w:t>
      </w:r>
      <w:r>
        <w:rPr>
          <w:rFonts w:hint="eastAsia" w:ascii="宋体" w:hAnsi="宋体" w:eastAsia="宋体" w:cs="宋体"/>
          <w:sz w:val="24"/>
          <w:szCs w:val="24"/>
          <w:highlight w:val="none"/>
          <w:lang w:val="en-US" w:eastAsia="zh-CN"/>
        </w:rPr>
        <w:t>附件5中的</w:t>
      </w:r>
      <w:r>
        <w:rPr>
          <w:rFonts w:hint="eastAsia" w:ascii="宋体" w:hAnsi="宋体" w:eastAsia="宋体" w:cs="宋体"/>
          <w:sz w:val="24"/>
          <w:szCs w:val="24"/>
          <w:highlight w:val="none"/>
        </w:rPr>
        <w:t>相关人员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人员名单应与乙方在响应文件中所载明的人员一致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，如确须更换，应提前征得甲方同意。如有违反，甲方有权解除合同并要求乙方支付</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rPr>
        <w:t>元/人次</w:t>
      </w:r>
      <w:r>
        <w:rPr>
          <w:rFonts w:hint="eastAsia" w:ascii="宋体" w:hAnsi="宋体" w:eastAsia="宋体" w:cs="宋体"/>
          <w:sz w:val="24"/>
          <w:szCs w:val="24"/>
          <w:highlight w:val="none"/>
        </w:rPr>
        <w:t>作为违约金，以及赔偿由此造成的一切损失(包含质量安全事故、工期延误、增加投资等)。</w:t>
      </w:r>
      <w:r>
        <w:rPr>
          <w:rFonts w:hint="eastAsia" w:ascii="宋体" w:hAnsi="宋体" w:eastAsia="宋体" w:cs="宋体"/>
          <w:sz w:val="24"/>
          <w:szCs w:val="24"/>
          <w:highlight w:val="none"/>
          <w:lang w:val="en-US" w:eastAsia="zh-CN"/>
        </w:rPr>
        <w:t xml:space="preserve"> </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5.7施工过程中，项目负责人应驻场管理，否则甲方有权要求乙方支付违约</w:t>
      </w:r>
      <w:r>
        <w:rPr>
          <w:rFonts w:hint="eastAsia" w:ascii="宋体" w:hAnsi="宋体" w:eastAsia="宋体" w:cs="宋体"/>
          <w:sz w:val="24"/>
          <w:szCs w:val="24"/>
          <w:highlight w:val="none"/>
          <w:u w:val="single"/>
          <w:lang w:val="en-US" w:eastAsia="zh-CN"/>
        </w:rPr>
        <w:t xml:space="preserve"> 1000元/天</w:t>
      </w:r>
      <w:r>
        <w:rPr>
          <w:rFonts w:hint="eastAsia" w:ascii="宋体" w:hAnsi="宋体" w:eastAsia="宋体" w:cs="宋体"/>
          <w:sz w:val="24"/>
          <w:szCs w:val="24"/>
          <w:highlight w:val="none"/>
          <w:lang w:val="en-US" w:eastAsia="zh-CN"/>
        </w:rPr>
        <w:t>，因此造成损失的，按实际发生额赔偿。</w:t>
      </w:r>
    </w:p>
    <w:p>
      <w:pPr>
        <w:pStyle w:val="51"/>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5.9在合同有效期内，乙方自愿接受甲方按《广州净水公司工程项目承包单位质量安全考评细则（试行）》处理，具体处理标准详见附件6。</w:t>
      </w:r>
    </w:p>
    <w:p>
      <w:pPr>
        <w:spacing w:line="384" w:lineRule="auto"/>
        <w:rPr>
          <w:rFonts w:ascii="宋体" w:hAnsi="宋体" w:cs="宋体"/>
          <w:b/>
          <w:sz w:val="24"/>
          <w:highlight w:val="none"/>
        </w:rPr>
      </w:pPr>
      <w:r>
        <w:rPr>
          <w:rFonts w:ascii="宋体" w:hAnsi="宋体" w:cs="宋体"/>
          <w:b/>
          <w:sz w:val="24"/>
          <w:highlight w:val="none"/>
        </w:rPr>
        <w:t xml:space="preserve">    </w:t>
      </w: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hint="eastAsia" w:ascii="宋体" w:hAnsi="宋体" w:cs="宋体"/>
          <w:sz w:val="24"/>
          <w:highlight w:val="none"/>
        </w:rPr>
        <w:t>方式执行。</w:t>
      </w:r>
    </w:p>
    <w:p>
      <w:pPr>
        <w:spacing w:line="384" w:lineRule="auto"/>
        <w:ind w:firstLine="480" w:firstLineChars="200"/>
        <w:rPr>
          <w:color w:val="FF0000"/>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w:t>
      </w:r>
      <w:r>
        <w:rPr>
          <w:rFonts w:hint="eastAsia" w:ascii="宋体" w:hAnsi="宋体" w:cs="宋体"/>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w:t>
      </w:r>
      <w:r>
        <w:rPr>
          <w:rFonts w:ascii="宋体" w:hAnsi="宋体" w:cs="宋体"/>
          <w:sz w:val="24"/>
          <w:highlight w:val="none"/>
        </w:rPr>
        <w:t>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4"/>
        <w:spacing w:line="384" w:lineRule="auto"/>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384" w:lineRule="auto"/>
        <w:ind w:firstLine="480" w:firstLineChars="200"/>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w:t>
      </w:r>
      <w:r>
        <w:rPr>
          <w:rFonts w:hint="eastAsia" w:ascii="宋体" w:hAnsi="宋体" w:cs="宋体"/>
          <w:bCs/>
          <w:sz w:val="24"/>
          <w:highlight w:val="none"/>
          <w:lang w:val="en-US" w:eastAsia="zh-CN"/>
        </w:rPr>
        <w:t>等额预付款</w:t>
      </w:r>
      <w:r>
        <w:rPr>
          <w:rFonts w:hint="eastAsia" w:ascii="宋体" w:hAnsi="宋体" w:cs="宋体"/>
          <w:bCs/>
          <w:sz w:val="24"/>
          <w:highlight w:val="none"/>
        </w:rPr>
        <w:t>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20" w:firstLineChars="200"/>
      </w:pPr>
    </w:p>
    <w:p>
      <w:pPr>
        <w:pStyle w:val="14"/>
        <w:spacing w:line="384" w:lineRule="auto"/>
        <w:ind w:firstLine="480" w:firstLineChars="200"/>
        <w:outlineLvl w:val="1"/>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u w:val="single"/>
          <w:lang w:val="en-US" w:eastAsia="zh-CN"/>
        </w:rPr>
        <w:t>项目验收合格后，由乙方提交申请支付资料 15 个工作日内，甲方支付至合同暂定总价的80％即      万元给乙方</w:t>
      </w:r>
      <w:r>
        <w:rPr>
          <w:rFonts w:hint="eastAsia" w:hAnsi="宋体" w:cs="宋体"/>
          <w:sz w:val="24"/>
          <w:szCs w:val="24"/>
          <w:highlight w:val="none"/>
          <w:u w:val="single"/>
        </w:rPr>
        <w:t>。</w:t>
      </w:r>
    </w:p>
    <w:p>
      <w:pPr>
        <w:tabs>
          <w:tab w:val="left" w:pos="0"/>
        </w:tabs>
        <w:adjustRightInd w:val="0"/>
        <w:snapToGrid w:val="0"/>
        <w:spacing w:line="360" w:lineRule="auto"/>
        <w:ind w:firstLine="480" w:firstLineChars="200"/>
        <w:jc w:val="left"/>
        <w:rPr>
          <w:color w:val="FF0000"/>
          <w:highlight w:val="none"/>
        </w:rPr>
      </w:pPr>
      <w:r>
        <w:rPr>
          <w:rFonts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4</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w:t>
      </w:r>
      <w:r>
        <w:rPr>
          <w:rFonts w:hint="eastAsia" w:hAnsi="宋体" w:cs="宋体"/>
          <w:sz w:val="24"/>
          <w:szCs w:val="24"/>
          <w:highlight w:val="none"/>
          <w:u w:val="single"/>
          <w:lang w:val="en-US" w:eastAsia="zh-CN"/>
        </w:rPr>
        <w:t>支付</w:t>
      </w:r>
      <w:r>
        <w:rPr>
          <w:rFonts w:hint="eastAsia" w:hAnsi="宋体" w:cs="宋体"/>
          <w:sz w:val="24"/>
          <w:highlight w:val="none"/>
        </w:rPr>
        <w:t>合同结算价的</w:t>
      </w:r>
      <w:r>
        <w:rPr>
          <w:rFonts w:hAnsi="宋体" w:cs="宋体"/>
          <w:sz w:val="24"/>
          <w:highlight w:val="none"/>
        </w:rPr>
        <w:t>5</w:t>
      </w:r>
      <w:r>
        <w:rPr>
          <w:rFonts w:hint="eastAsia" w:hAnsi="宋体" w:cs="宋体"/>
          <w:sz w:val="24"/>
          <w:highlight w:val="none"/>
        </w:rPr>
        <w:t>％（质保金）给乙方（无息）。</w:t>
      </w:r>
    </w:p>
    <w:p>
      <w:pPr>
        <w:pStyle w:val="14"/>
        <w:spacing w:line="384" w:lineRule="auto"/>
        <w:ind w:firstLine="480" w:firstLineChars="200"/>
        <w:outlineLvl w:val="1"/>
        <w:rPr>
          <w:rFonts w:hint="default" w:hAnsi="宋体" w:cs="宋体" w:eastAsiaTheme="minorEastAsia"/>
          <w:sz w:val="24"/>
          <w:szCs w:val="24"/>
          <w:lang w:val="en-US" w:eastAsia="zh-CN"/>
        </w:rPr>
      </w:pPr>
      <w:r>
        <w:rPr>
          <w:rFonts w:hint="eastAsia" w:hAnsi="宋体" w:cs="宋体"/>
          <w:sz w:val="24"/>
          <w:szCs w:val="24"/>
        </w:rPr>
        <w:t>8.</w:t>
      </w:r>
      <w:r>
        <w:rPr>
          <w:rFonts w:hint="eastAsia" w:hAnsi="宋体" w:cs="宋体"/>
          <w:sz w:val="24"/>
          <w:szCs w:val="24"/>
          <w:lang w:val="en-US" w:eastAsia="zh-CN"/>
        </w:rPr>
        <w:t>5</w:t>
      </w:r>
      <w:r>
        <w:rPr>
          <w:rFonts w:hint="eastAsia" w:hAnsi="宋体" w:cs="宋体"/>
          <w:sz w:val="24"/>
          <w:szCs w:val="24"/>
        </w:rPr>
        <w:t>本项目工程款的支付单位为：</w:t>
      </w:r>
      <w:r>
        <w:rPr>
          <w:rFonts w:hint="eastAsia" w:hAnsi="宋体" w:cs="宋体"/>
          <w:sz w:val="24"/>
          <w:szCs w:val="24"/>
          <w:u w:val="single"/>
        </w:rPr>
        <w:t xml:space="preserve"> </w:t>
      </w:r>
      <w:r>
        <w:rPr>
          <w:rFonts w:hint="eastAsia" w:hAnsi="宋体" w:cs="宋体"/>
          <w:sz w:val="24"/>
          <w:szCs w:val="24"/>
          <w:u w:val="single"/>
          <w:lang w:val="en-US" w:eastAsia="zh-CN"/>
        </w:rPr>
        <w:t>广州市净水有限公司西朗二期分公司</w:t>
      </w:r>
    </w:p>
    <w:p>
      <w:pPr>
        <w:spacing w:line="384" w:lineRule="auto"/>
        <w:ind w:firstLine="480" w:firstLineChars="200"/>
        <w:rPr>
          <w:rFonts w:ascii="宋体" w:hAnsi="宋体" w:cs="宋体"/>
          <w:sz w:val="24"/>
          <w:u w:val="single"/>
        </w:rPr>
      </w:pPr>
      <w:r>
        <w:rPr>
          <w:rFonts w:ascii="宋体" w:hAnsi="宋体" w:cs="宋体"/>
          <w:sz w:val="24"/>
        </w:rPr>
        <w:t>8.</w:t>
      </w:r>
      <w:r>
        <w:rPr>
          <w:rFonts w:hint="eastAsia" w:ascii="宋体" w:hAnsi="宋体" w:cs="宋体"/>
          <w:sz w:val="24"/>
          <w:lang w:val="en-US" w:eastAsia="zh-CN"/>
        </w:rPr>
        <w:t>6</w:t>
      </w:r>
      <w:r>
        <w:rPr>
          <w:rFonts w:hint="eastAsia" w:ascii="宋体" w:hAnsi="宋体" w:cs="宋体"/>
          <w:sz w:val="24"/>
        </w:rPr>
        <w:t>乙方收款账户：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7</w:t>
      </w:r>
      <w:r>
        <w:rPr>
          <w:rFonts w:hint="eastAsia" w:ascii="宋体" w:hAnsi="宋体" w:cs="宋体"/>
          <w:sz w:val="24"/>
        </w:rPr>
        <w:t>乙方在收款前需提交等额增值税专用发票给甲方。增值税专用发票信息：</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91440101755584729Q</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地址及电话：</w:t>
      </w:r>
      <w:r>
        <w:rPr>
          <w:rFonts w:hint="eastAsia" w:ascii="宋体" w:hAnsi="宋体" w:cs="宋体"/>
          <w:color w:val="auto"/>
          <w:sz w:val="24"/>
          <w:highlight w:val="none"/>
          <w:u w:val="single"/>
        </w:rPr>
        <w:t>广州市天河区临江大道501号 020-38890283</w:t>
      </w:r>
      <w:r>
        <w:rPr>
          <w:rFonts w:hint="eastAsia" w:ascii="宋体" w:hAnsi="宋体" w:cs="宋体"/>
          <w:color w:val="auto"/>
          <w:sz w:val="24"/>
          <w:highlight w:val="none"/>
        </w:rPr>
        <w:t>；</w:t>
      </w:r>
    </w:p>
    <w:p>
      <w:pPr>
        <w:spacing w:line="384" w:lineRule="auto"/>
        <w:ind w:firstLine="480" w:firstLineChars="200"/>
        <w:outlineLvl w:val="0"/>
        <w:rPr>
          <w:rFonts w:ascii="宋体" w:hAnsi="宋体" w:cs="宋体"/>
          <w:sz w:val="24"/>
          <w:highlight w:val="none"/>
        </w:rPr>
      </w:pPr>
      <w:r>
        <w:rPr>
          <w:rFonts w:hint="eastAsia" w:ascii="宋体" w:hAnsi="宋体" w:cs="宋体"/>
          <w:color w:val="auto"/>
          <w:sz w:val="24"/>
          <w:highlight w:val="none"/>
        </w:rPr>
        <w:t>开户行/账号：</w:t>
      </w:r>
      <w:r>
        <w:rPr>
          <w:rFonts w:hint="eastAsia" w:ascii="宋体" w:hAnsi="宋体" w:cs="宋体"/>
          <w:color w:val="auto"/>
          <w:sz w:val="24"/>
          <w:highlight w:val="none"/>
          <w:u w:val="single"/>
        </w:rPr>
        <w:t>民生银行广州分行0301014140006932</w:t>
      </w:r>
      <w:r>
        <w:rPr>
          <w:rFonts w:hint="eastAsia" w:ascii="宋体" w:hAnsi="宋体" w:cs="宋体"/>
          <w:color w:val="auto"/>
          <w:sz w:val="24"/>
          <w:highlight w:val="none"/>
        </w:rPr>
        <w:t>。</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hint="eastAsia" w:ascii="宋体" w:hAnsi="宋体" w:cs="宋体"/>
          <w:sz w:val="24"/>
          <w:highlight w:val="none"/>
        </w:rPr>
        <w:t>履约担保：</w:t>
      </w:r>
      <w:r>
        <w:rPr>
          <w:rFonts w:hint="eastAsia" w:ascii="宋体" w:hAnsi="宋体" w:eastAsia="宋体" w:cs="宋体"/>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lang w:eastAsia="zh-CN"/>
        </w:rPr>
        <w:sym w:font="Wingdings 2" w:char="00A3"/>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3"/>
        <w:spacing w:before="0" w:beforeAutospacing="0" w:after="0" w:afterAutospacing="0" w:line="384" w:lineRule="auto"/>
        <w:ind w:firstLine="480" w:firstLineChars="200"/>
        <w:rPr>
          <w:highlight w:val="none"/>
        </w:rPr>
      </w:pPr>
      <w:r>
        <w:rPr>
          <w:rFonts w:cs="宋体"/>
          <w:color w:val="auto"/>
          <w:highlight w:val="none"/>
        </w:rPr>
        <w:t>8.</w:t>
      </w:r>
      <w:r>
        <w:rPr>
          <w:rFonts w:hint="eastAsia" w:cs="宋体"/>
          <w:color w:val="auto"/>
          <w:highlight w:val="none"/>
          <w:lang w:val="en-US" w:eastAsia="zh-CN"/>
        </w:rPr>
        <w:t>8</w:t>
      </w:r>
      <w:r>
        <w:rPr>
          <w:rFonts w:cs="宋体"/>
          <w:color w:val="auto"/>
          <w:highlight w:val="none"/>
        </w:rPr>
        <w:t>.1</w:t>
      </w:r>
      <w:r>
        <w:rPr>
          <w:highlight w:val="none"/>
        </w:rPr>
        <w:t>履约担保</w:t>
      </w:r>
      <w:r>
        <w:rPr>
          <w:rFonts w:hint="eastAsia"/>
          <w:highlight w:val="none"/>
        </w:rPr>
        <w:t>按以下任一种形式提供</w:t>
      </w:r>
      <w:r>
        <w:rPr>
          <w:highlight w:val="none"/>
        </w:rPr>
        <w:t>：</w:t>
      </w:r>
    </w:p>
    <w:p>
      <w:pPr>
        <w:pStyle w:val="23"/>
        <w:spacing w:before="0" w:beforeAutospacing="0" w:after="0" w:afterAutospacing="0" w:line="360" w:lineRule="auto"/>
        <w:ind w:firstLine="480"/>
        <w:rPr>
          <w:highlight w:val="none"/>
        </w:rPr>
      </w:pPr>
      <w:r>
        <w:rPr>
          <w:rFonts w:hint="eastAsia"/>
          <w:highlight w:val="none"/>
        </w:rPr>
        <w:t>（1）符合甲方要求的银行独立保函，</w:t>
      </w:r>
    </w:p>
    <w:p>
      <w:pPr>
        <w:pStyle w:val="23"/>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ascii="宋体" w:hAnsi="宋体" w:cs="宋体"/>
          <w:sz w:val="24"/>
          <w:highlight w:val="none"/>
        </w:rPr>
        <w:t>.2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⑵</w:t>
      </w:r>
      <w:r>
        <w:rPr>
          <w:rFonts w:ascii="宋体" w:hAnsi="宋体" w:cs="宋体"/>
          <w:sz w:val="24"/>
          <w:highlight w:val="none"/>
        </w:rPr>
        <w:t xml:space="preserve"> </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w:t>
      </w:r>
      <w:r>
        <w:rPr>
          <w:rFonts w:ascii="宋体" w:hAnsi="宋体" w:cs="宋体"/>
          <w:sz w:val="24"/>
          <w:highlight w:val="none"/>
        </w:rPr>
        <w:t xml:space="preserve"> </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3"/>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ascii="宋体" w:hAnsi="宋体" w:cs="宋体"/>
          <w:sz w:val="24"/>
          <w:highlight w:val="none"/>
        </w:rPr>
        <w:t>.3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highlight w:val="none"/>
          <w:bdr w:val="single" w:color="auto" w:sz="4" w:space="0"/>
        </w:rPr>
      </w:pPr>
      <w:r>
        <w:rPr>
          <w:rFonts w:hint="eastAsia" w:ascii="宋体" w:hAnsi="宋体" w:cs="宋体"/>
          <w:sz w:val="24"/>
          <w:highlight w:val="none"/>
        </w:rPr>
        <w:t>8.</w:t>
      </w:r>
      <w:r>
        <w:rPr>
          <w:rFonts w:hint="eastAsia" w:ascii="宋体" w:hAnsi="宋体" w:cs="宋体"/>
          <w:sz w:val="24"/>
          <w:highlight w:val="none"/>
          <w:lang w:val="en-US" w:eastAsia="zh-CN"/>
        </w:rPr>
        <w:t>9</w:t>
      </w:r>
      <w:r>
        <w:rPr>
          <w:rFonts w:hint="eastAsia" w:ascii="宋体" w:hAnsi="宋体" w:eastAsia="宋体" w:cs="宋体"/>
          <w:sz w:val="24"/>
          <w:highlight w:val="none"/>
        </w:rPr>
        <w:t xml:space="preserve">付款方式： </w:t>
      </w:r>
      <w:r>
        <w:rPr>
          <w:rFonts w:hint="eastAsia" w:ascii="宋体" w:hAnsi="宋体" w:eastAsia="宋体" w:cs="宋体"/>
          <w:sz w:val="24"/>
          <w:highlight w:val="none"/>
        </w:rPr>
        <w:sym w:font="Wingdings" w:char="00FE"/>
      </w:r>
      <w:r>
        <w:rPr>
          <w:rFonts w:hint="eastAsia" w:ascii="宋体" w:hAnsi="宋体" w:eastAsia="宋体" w:cs="宋体"/>
          <w:sz w:val="24"/>
          <w:highlight w:val="none"/>
        </w:rPr>
        <w:t xml:space="preserve">网银支付；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支票；   </w:t>
      </w:r>
      <w:r>
        <w:rPr>
          <w:rFonts w:hint="eastAsia" w:ascii="宋体" w:hAnsi="宋体" w:eastAsia="宋体" w:cs="宋体"/>
          <w:sz w:val="24"/>
          <w:highlight w:val="none"/>
        </w:rPr>
        <w:sym w:font="Wingdings" w:char="00A8"/>
      </w: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bdr w:val="single" w:color="auto" w:sz="4" w:space="0"/>
        </w:rPr>
        <w:t xml:space="preserve">     </w:t>
      </w:r>
      <w:r>
        <w:rPr>
          <w:rFonts w:hint="eastAsia" w:ascii="宋体" w:hAnsi="宋体" w:eastAsia="宋体" w:cs="宋体"/>
          <w:bCs/>
          <w:sz w:val="24"/>
          <w:highlight w:val="none"/>
          <w:bdr w:val="single" w:color="auto" w:sz="4" w:space="0"/>
        </w:rPr>
        <w:t xml:space="preserve"> </w:t>
      </w:r>
    </w:p>
    <w:p>
      <w:pPr>
        <w:pStyle w:val="15"/>
        <w:rPr>
          <w:rFonts w:hAnsi="Calibri" w:cs="宋体"/>
          <w:sz w:val="24"/>
          <w:szCs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pStyle w:val="2"/>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电子版施工图和电子版竣工图的知识产权归属甲方所有，非经甲方许可，乙方不得以任何方式复制、备份、转让和利用。否则，由此引起的任何纠纷和责任由乙方承担。</w:t>
      </w:r>
      <w:r>
        <w:rPr>
          <w:rFonts w:hint="eastAsia" w:ascii="宋体" w:hAnsi="宋体" w:eastAsia="宋体" w:cs="宋体"/>
          <w:color w:val="auto"/>
          <w:kern w:val="2"/>
          <w:sz w:val="24"/>
          <w:szCs w:val="22"/>
          <w:highlight w:val="none"/>
          <w:lang w:val="en-US" w:eastAsia="zh-CN" w:bidi="ar-SA"/>
        </w:rPr>
        <w:t xml:space="preserve">  </w:t>
      </w:r>
    </w:p>
    <w:p>
      <w:pPr>
        <w:pStyle w:val="2"/>
        <w:rPr>
          <w:rFonts w:hint="default" w:ascii="宋体" w:hAnsi="宋体" w:eastAsia="宋体" w:cs="宋体"/>
          <w:color w:val="auto"/>
          <w:kern w:val="2"/>
          <w:sz w:val="24"/>
          <w:szCs w:val="22"/>
          <w:highlight w:val="none"/>
          <w:u w:val="single"/>
          <w:lang w:val="en-US" w:eastAsia="zh-CN" w:bidi="ar-SA"/>
        </w:rPr>
      </w:pPr>
      <w:r>
        <w:rPr>
          <w:rFonts w:hint="eastAsia" w:eastAsia="宋体" w:cs="宋体"/>
          <w:color w:val="auto"/>
          <w:kern w:val="2"/>
          <w:sz w:val="24"/>
          <w:szCs w:val="22"/>
          <w:highlight w:val="none"/>
          <w:lang w:val="en-US" w:eastAsia="zh-CN" w:bidi="ar-SA"/>
        </w:rPr>
        <w:t>9.5本合同竣工验收结算单位为：</w:t>
      </w:r>
      <w:r>
        <w:rPr>
          <w:rFonts w:hint="eastAsia" w:eastAsia="宋体" w:cs="宋体"/>
          <w:color w:val="auto"/>
          <w:kern w:val="2"/>
          <w:sz w:val="24"/>
          <w:szCs w:val="22"/>
          <w:highlight w:val="none"/>
          <w:u w:val="single"/>
          <w:lang w:val="en-US" w:eastAsia="zh-CN" w:bidi="ar-SA"/>
        </w:rPr>
        <w:t>广州市净水有限公司西朗二期分公司</w:t>
      </w:r>
    </w:p>
    <w:p>
      <w:pPr>
        <w:numPr>
          <w:ilvl w:val="0"/>
          <w:numId w:val="5"/>
        </w:numPr>
        <w:spacing w:before="120" w:after="156" w:afterLines="50"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ascii="宋体" w:hAnsi="宋体" w:cs="宋体"/>
          <w:kern w:val="0"/>
          <w:sz w:val="24"/>
          <w:highlight w:val="none"/>
          <w:u w:val="single"/>
          <w:lang w:val="zh-CN"/>
        </w:rPr>
        <w:t xml:space="preserve">   </w:t>
      </w:r>
      <w:r>
        <w:rPr>
          <w:rFonts w:hint="eastAsia" w:ascii="宋体" w:hAnsi="宋体" w:cs="宋体"/>
          <w:kern w:val="0"/>
          <w:sz w:val="24"/>
          <w:highlight w:val="none"/>
          <w:u w:val="single"/>
          <w:lang w:val="en-US" w:eastAsia="zh-CN"/>
        </w:rPr>
        <w:t>1</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且不得低于法定保修期限</w:t>
      </w:r>
      <w:r>
        <w:rPr>
          <w:rFonts w:hint="eastAsia" w:ascii="宋体" w:hAnsi="宋体" w:cs="宋体"/>
          <w:kern w:val="0"/>
          <w:sz w:val="24"/>
          <w:highlight w:val="none"/>
          <w:lang w:val="zh-CN"/>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10.3质量保修期期间，本项目的质量问题由乙方免费提供保修服务，乙方应在收到甲方通知后</w:t>
      </w:r>
      <w:r>
        <w:rPr>
          <w:rFonts w:hint="eastAsia" w:ascii="宋体" w:hAnsi="宋体" w:cs="宋体"/>
          <w:bCs/>
          <w:sz w:val="24"/>
          <w:highlight w:val="none"/>
          <w:u w:val="single"/>
          <w:lang w:val="en-US" w:eastAsia="zh-CN"/>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384" w:lineRule="auto"/>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384" w:lineRule="auto"/>
        <w:ind w:firstLine="480"/>
        <w:rPr>
          <w:rFonts w:hint="eastAsia"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pStyle w:val="2"/>
        <w:ind w:left="0" w:leftChars="0" w:firstLine="0" w:firstLineChars="0"/>
        <w:rPr>
          <w:rFonts w:ascii="宋体" w:hAnsi="宋体" w:cs="Times New Roman"/>
          <w:sz w:val="24"/>
        </w:rPr>
      </w:pPr>
    </w:p>
    <w:p>
      <w:pPr>
        <w:pStyle w:val="2"/>
        <w:ind w:left="0" w:leftChars="0" w:firstLine="0" w:firstLineChars="0"/>
        <w:rPr>
          <w:rFonts w:ascii="宋体" w:hAnsi="宋体" w:cs="Times New Roman"/>
          <w:sz w:val="24"/>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成交</w:t>
      </w:r>
      <w:r>
        <w:rPr>
          <w:rFonts w:hint="eastAsia" w:ascii="宋体" w:hAnsi="宋体" w:cs="宋体"/>
          <w:sz w:val="24"/>
          <w:highlight w:val="none"/>
        </w:rPr>
        <w:t>通知书</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84" w:lineRule="auto"/>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sz w:val="24"/>
          <w:highlight w:val="none"/>
          <w:lang w:val="en-US" w:eastAsia="zh-CN"/>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 xml:space="preserve"> 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 xml:space="preserve"> 5</w:t>
      </w:r>
      <w:r>
        <w:rPr>
          <w:rFonts w:ascii="宋体" w:hAnsi="宋体" w:cs="宋体"/>
          <w:sz w:val="24"/>
          <w:highlight w:val="none"/>
        </w:rPr>
        <w:t>.</w:t>
      </w:r>
      <w:r>
        <w:rPr>
          <w:rFonts w:hint="eastAsia" w:ascii="宋体" w:hAnsi="宋体" w:cs="宋体"/>
          <w:sz w:val="24"/>
          <w:highlight w:val="none"/>
        </w:rPr>
        <w:t>项目投入人员架构表</w:t>
      </w:r>
    </w:p>
    <w:p>
      <w:pPr>
        <w:spacing w:line="384" w:lineRule="auto"/>
        <w:rPr>
          <w:rFonts w:ascii="宋体" w:hAnsi="宋体" w:cs="宋体"/>
          <w:sz w:val="24"/>
          <w:highlight w:val="none"/>
        </w:rPr>
      </w:pPr>
      <w:r>
        <w:rPr>
          <w:rFonts w:hint="eastAsia" w:ascii="宋体" w:hAnsi="宋体" w:cs="宋体"/>
          <w:sz w:val="24"/>
          <w:highlight w:val="none"/>
          <w:lang w:val="en-US" w:eastAsia="zh-CN"/>
        </w:rPr>
        <w:t xml:space="preserve">      6.</w:t>
      </w:r>
      <w:r>
        <w:rPr>
          <w:rFonts w:hint="eastAsia" w:ascii="宋体" w:hAnsi="宋体" w:eastAsia="宋体" w:cs="宋体"/>
          <w:color w:val="000000"/>
          <w:sz w:val="24"/>
          <w:szCs w:val="24"/>
          <w:highlight w:val="none"/>
          <w:lang w:val="en-US" w:eastAsia="zh-CN"/>
        </w:rPr>
        <w:t>营运项目承包单位日常履约考评参照表（安全）、营运项目承包单位综合履约考评表（安全）</w:t>
      </w:r>
      <w:r>
        <w:rPr>
          <w:rFonts w:ascii="宋体" w:hAnsi="宋体" w:cs="宋体"/>
          <w:sz w:val="24"/>
          <w:highlight w:val="none"/>
        </w:rPr>
        <w:t xml:space="preserve"> </w:t>
      </w:r>
    </w:p>
    <w:p>
      <w:pPr>
        <w:pStyle w:val="2"/>
        <w:ind w:left="0" w:leftChars="0" w:firstLine="480" w:firstLineChars="200"/>
        <w:rPr>
          <w:rFonts w:hint="default" w:ascii="宋体" w:hAnsi="宋体" w:eastAsia="宋体" w:cs="宋体"/>
          <w:color w:val="auto"/>
          <w:sz w:val="24"/>
          <w:szCs w:val="22"/>
          <w:highlight w:val="none"/>
          <w:lang w:val="en-US" w:eastAsia="zh-CN"/>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hint="eastAsia" w:ascii="宋体" w:hAnsi="宋体" w:cs="宋体"/>
          <w:sz w:val="24"/>
          <w:highlight w:val="none"/>
          <w:lang w:val="en-US" w:eastAsia="zh-CN"/>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w:t>
      </w:r>
      <w:r>
        <w:rPr>
          <w:rFonts w:hint="eastAsia" w:ascii="宋体" w:hAnsi="宋体" w:cs="宋体"/>
          <w:sz w:val="24"/>
          <w:highlight w:val="none"/>
          <w:lang w:val="en-US" w:eastAsia="zh-CN"/>
        </w:rPr>
        <w:t>人</w:t>
      </w:r>
      <w:r>
        <w:rPr>
          <w:rFonts w:hint="eastAsia" w:ascii="宋体" w:hAnsi="宋体" w:cs="宋体"/>
          <w:sz w:val="24"/>
          <w:highlight w:val="none"/>
        </w:rPr>
        <w:t>或</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w:t>
      </w:r>
      <w:r>
        <w:rPr>
          <w:rFonts w:hint="eastAsia" w:ascii="宋体" w:hAnsi="宋体" w:cs="宋体"/>
          <w:sz w:val="24"/>
          <w:highlight w:val="none"/>
          <w:lang w:val="en-US" w:eastAsia="zh-CN"/>
        </w:rPr>
        <w:t xml:space="preserve">                                    </w:t>
      </w:r>
      <w:r>
        <w:rPr>
          <w:rFonts w:hint="eastAsia" w:ascii="宋体" w:hAnsi="宋体" w:cs="宋体"/>
          <w:sz w:val="24"/>
          <w:highlight w:val="none"/>
        </w:rPr>
        <w:t>传真：</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成交</w:t>
      </w:r>
      <w:r>
        <w:rPr>
          <w:rFonts w:hint="eastAsia" w:ascii="宋体" w:hAnsi="宋体" w:cs="宋体"/>
          <w:b/>
          <w:bCs/>
          <w:szCs w:val="21"/>
          <w:highlight w:val="none"/>
        </w:rPr>
        <w:t>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ind w:firstLine="0"/>
        <w:rPr>
          <w:rFonts w:hint="eastAsia" w:ascii="宋体" w:hAnsi="宋体" w:cs="宋体"/>
          <w:b/>
          <w:szCs w:val="21"/>
          <w:highlight w:val="none"/>
        </w:rPr>
      </w:pPr>
    </w:p>
    <w:p>
      <w:pPr>
        <w:pStyle w:val="2"/>
        <w:ind w:firstLine="0"/>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8"/>
          <w:rFonts w:ascii="宋体" w:hAnsi="宋体" w:eastAsia="宋体"/>
          <w:b w:val="0"/>
          <w:highlight w:val="none"/>
          <w:u w:val="single"/>
        </w:rPr>
      </w:pP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一、本协议与主合同的关系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本协议作为</w:t>
      </w:r>
      <w:r>
        <w:rPr>
          <w:rFonts w:hint="eastAsia" w:ascii="宋体" w:hAnsi="宋体" w:eastAsia="宋体"/>
          <w:sz w:val="24"/>
          <w:highlight w:val="none"/>
          <w:u w:val="single"/>
        </w:rPr>
        <w:t xml:space="preserve">                          </w:t>
      </w:r>
      <w:r>
        <w:rPr>
          <w:rFonts w:hint="eastAsia" w:ascii="宋体" w:hAnsi="宋体" w:eastAsia="宋体"/>
          <w:sz w:val="24"/>
          <w:highlight w:val="none"/>
        </w:rPr>
        <w:t>的组成部分，与主合同具有同等法律效力。</w:t>
      </w:r>
    </w:p>
    <w:p>
      <w:pPr>
        <w:adjustRightInd w:val="0"/>
        <w:snapToGrid w:val="0"/>
        <w:spacing w:line="560" w:lineRule="exact"/>
        <w:ind w:firstLine="482" w:firstLineChars="200"/>
        <w:jc w:val="left"/>
        <w:rPr>
          <w:rFonts w:ascii="宋体" w:hAnsi="宋体" w:eastAsia="宋体"/>
          <w:b/>
          <w:sz w:val="24"/>
          <w:highlight w:val="none"/>
        </w:rPr>
      </w:pPr>
      <w:r>
        <w:rPr>
          <w:rFonts w:ascii="宋体" w:hAnsi="宋体" w:eastAsia="宋体"/>
          <w:b/>
          <w:sz w:val="24"/>
          <w:highlight w:val="none"/>
        </w:rPr>
        <w:t xml:space="preserve"> 二、</w:t>
      </w:r>
      <w:r>
        <w:rPr>
          <w:rFonts w:hint="eastAsia" w:ascii="宋体" w:hAnsi="宋体" w:eastAsia="宋体"/>
          <w:b/>
          <w:sz w:val="24"/>
          <w:highlight w:val="none"/>
        </w:rPr>
        <w:t>甲方权责</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按主合同相关条款进行经济扣罚；</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rPr>
        <w:t>根据《广州市水务局关于印发广州市水务工程施工和监理企业诚信评价管理办法的通知》（穗水建设〔2</w:t>
      </w:r>
      <w:r>
        <w:rPr>
          <w:rFonts w:ascii="宋体" w:hAnsi="宋体" w:eastAsia="宋体"/>
          <w:sz w:val="24"/>
          <w:highlight w:val="none"/>
        </w:rPr>
        <w:t>014</w:t>
      </w:r>
      <w:r>
        <w:rPr>
          <w:rFonts w:hint="eastAsia" w:ascii="宋体" w:hAnsi="宋体" w:eastAsia="宋体"/>
          <w:sz w:val="24"/>
          <w:highlight w:val="none"/>
        </w:rPr>
        <w:t>〕1</w:t>
      </w:r>
      <w:r>
        <w:rPr>
          <w:rFonts w:ascii="宋体" w:hAnsi="宋体" w:eastAsia="宋体"/>
          <w:sz w:val="24"/>
          <w:highlight w:val="none"/>
        </w:rPr>
        <w:t>0</w:t>
      </w:r>
      <w:r>
        <w:rPr>
          <w:rFonts w:hint="eastAsia" w:ascii="宋体" w:hAnsi="宋体" w:eastAsia="宋体"/>
          <w:sz w:val="24"/>
          <w:highlight w:val="none"/>
        </w:rPr>
        <w:t>号）、《市净水公司关于印发施工和监理企业诚信评价工作实施办法的通知》（穗净水〔201</w:t>
      </w:r>
      <w:r>
        <w:rPr>
          <w:rFonts w:ascii="宋体" w:hAnsi="宋体" w:eastAsia="宋体"/>
          <w:sz w:val="24"/>
          <w:highlight w:val="none"/>
        </w:rPr>
        <w:t>5</w:t>
      </w:r>
      <w:r>
        <w:rPr>
          <w:rFonts w:hint="eastAsia" w:ascii="宋体" w:hAnsi="宋体" w:eastAsia="宋体"/>
          <w:sz w:val="24"/>
          <w:highlight w:val="none"/>
        </w:rPr>
        <w:t>〕2</w:t>
      </w:r>
      <w:r>
        <w:rPr>
          <w:rFonts w:ascii="宋体" w:hAnsi="宋体" w:eastAsia="宋体"/>
          <w:sz w:val="24"/>
          <w:highlight w:val="none"/>
        </w:rPr>
        <w:t>40</w:t>
      </w:r>
      <w:r>
        <w:rPr>
          <w:rFonts w:hint="eastAsia" w:ascii="宋体" w:hAnsi="宋体" w:eastAsia="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w:t>
      </w:r>
      <w:r>
        <w:rPr>
          <w:rFonts w:hint="eastAsia" w:ascii="宋体" w:hAnsi="宋体" w:eastAsia="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三、乙方权责</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（三）乙方应在合同签订后</w:t>
      </w:r>
      <w:r>
        <w:rPr>
          <w:rFonts w:ascii="宋体" w:hAnsi="宋体" w:eastAsia="宋体"/>
          <w:sz w:val="24"/>
          <w:highlight w:val="none"/>
          <w:u w:val="single"/>
        </w:rPr>
        <w:t xml:space="preserve">  </w:t>
      </w:r>
      <w:r>
        <w:rPr>
          <w:rFonts w:hint="eastAsia" w:ascii="宋体" w:hAnsi="宋体" w:eastAsia="宋体"/>
          <w:sz w:val="24"/>
          <w:highlight w:val="none"/>
          <w:u w:val="single"/>
          <w:lang w:val="en-US" w:eastAsia="zh-CN"/>
        </w:rPr>
        <w:t>30</w:t>
      </w:r>
      <w:r>
        <w:rPr>
          <w:rFonts w:ascii="宋体" w:hAnsi="宋体" w:eastAsia="宋体"/>
          <w:sz w:val="24"/>
          <w:highlight w:val="none"/>
          <w:u w:val="single"/>
        </w:rPr>
        <w:t xml:space="preserve">  </w:t>
      </w:r>
      <w:r>
        <w:rPr>
          <w:rFonts w:hint="eastAsia" w:ascii="宋体" w:hAnsi="宋体" w:eastAsia="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四、事故责任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宋体" w:hAnsi="宋体" w:eastAsia="宋体"/>
          <w:sz w:val="24"/>
          <w:highlight w:val="none"/>
        </w:rPr>
      </w:pPr>
      <w:r>
        <w:rPr>
          <w:rFonts w:hint="eastAsia" w:ascii="宋体" w:hAnsi="宋体" w:eastAsia="宋体"/>
          <w:b/>
          <w:sz w:val="24"/>
          <w:highlight w:val="none"/>
        </w:rPr>
        <w:t>五、补充条款：</w:t>
      </w:r>
      <w:r>
        <w:rPr>
          <w:rFonts w:ascii="宋体" w:hAnsi="宋体" w:eastAsia="宋体"/>
          <w:sz w:val="24"/>
          <w:highlight w:val="none"/>
          <w:u w:val="single"/>
        </w:rPr>
        <w:t xml:space="preserve">                 </w:t>
      </w:r>
      <w:r>
        <w:rPr>
          <w:rFonts w:hint="eastAsia" w:ascii="宋体" w:hAnsi="宋体" w:eastAsia="宋体"/>
          <w:sz w:val="24"/>
          <w:highlight w:val="none"/>
        </w:rPr>
        <w:t>。</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六、附则</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甲方：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240" w:firstLineChars="100"/>
              <w:jc w:val="right"/>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c>
          <w:tcPr>
            <w:tcW w:w="4474" w:type="dxa"/>
            <w:noWrap w:val="0"/>
            <w:vAlign w:val="top"/>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jc w:val="right"/>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pStyle w:val="2"/>
        <w:ind w:left="0" w:leftChars="0" w:firstLine="480" w:firstLineChars="200"/>
        <w:rPr>
          <w:rFonts w:hint="default" w:eastAsia="宋体" w:cs="宋体"/>
          <w:color w:val="auto"/>
          <w:szCs w:val="22"/>
          <w:highlight w:val="none"/>
          <w:lang w:val="en-US" w:eastAsia="zh-CN"/>
        </w:rPr>
      </w:pPr>
    </w:p>
    <w:p>
      <w:pPr>
        <w:pStyle w:val="2"/>
        <w:ind w:left="0" w:leftChars="0" w:firstLine="480" w:firstLineChars="200"/>
        <w:rPr>
          <w:rFonts w:hint="default" w:eastAsia="宋体" w:cs="宋体"/>
          <w:color w:val="auto"/>
          <w:szCs w:val="22"/>
          <w:highlight w:val="none"/>
          <w:lang w:val="en-US" w:eastAsia="zh-CN"/>
        </w:rPr>
      </w:pPr>
    </w:p>
    <w:p>
      <w:pPr>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bCs/>
          <w:szCs w:val="21"/>
          <w:highlight w:val="none"/>
          <w:lang w:val="en-US" w:eastAsia="zh-CN"/>
        </w:rPr>
        <w:t>工程量清单/报价</w:t>
      </w:r>
    </w:p>
    <w:p>
      <w:pPr>
        <w:pStyle w:val="2"/>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详见第七章工程量清单/报价</w:t>
      </w:r>
    </w:p>
    <w:p>
      <w:pPr>
        <w:pStyle w:val="2"/>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 xml:space="preserve"> ：项目投入人员架构表</w:t>
      </w:r>
      <w:r>
        <w:rPr>
          <w:rFonts w:hint="eastAsia" w:ascii="宋体" w:hAnsi="宋体" w:cs="宋体"/>
          <w:b/>
          <w:bCs/>
          <w:szCs w:val="21"/>
          <w:highlight w:val="none"/>
          <w:lang w:val="en-US" w:eastAsia="zh-CN"/>
        </w:rPr>
        <w:t>附件</w:t>
      </w:r>
    </w:p>
    <w:p>
      <w:pPr>
        <w:pStyle w:val="2"/>
        <w:rPr>
          <w:rFonts w:hint="eastAsia" w:ascii="宋体" w:hAnsi="宋体" w:eastAsia="宋体" w:cs="宋体"/>
          <w:color w:val="000000"/>
          <w:sz w:val="24"/>
          <w:szCs w:val="24"/>
          <w:highlight w:val="none"/>
          <w:lang w:val="en-US" w:eastAsia="zh-CN"/>
        </w:rPr>
      </w:pPr>
      <w:r>
        <w:rPr>
          <w:rFonts w:hint="eastAsia" w:cs="宋体"/>
          <w:b/>
          <w:bCs/>
          <w:szCs w:val="21"/>
          <w:highlight w:val="none"/>
          <w:lang w:val="en-US" w:eastAsia="zh-CN"/>
        </w:rPr>
        <w:t>附件</w:t>
      </w:r>
      <w:r>
        <w:rPr>
          <w:rFonts w:hint="eastAsia" w:ascii="宋体" w:hAnsi="宋体" w:cs="宋体"/>
          <w:b/>
          <w:bCs/>
          <w:szCs w:val="21"/>
          <w:highlight w:val="none"/>
          <w:lang w:val="en-US" w:eastAsia="zh-CN"/>
        </w:rPr>
        <w:t>6：营运项目承包单位日常履约考评参照表（安全）、营运项目承包单位综合履约考评表（安全）</w:t>
      </w:r>
      <w:r>
        <w:rPr>
          <w:rFonts w:hint="eastAsia" w:ascii="宋体" w:hAnsi="宋体" w:eastAsia="宋体" w:cs="宋体"/>
          <w:color w:val="000000"/>
          <w:sz w:val="24"/>
          <w:szCs w:val="24"/>
          <w:highlight w:val="none"/>
          <w:lang w:val="en-US" w:eastAsia="zh-CN"/>
        </w:rPr>
        <w:t>评表（安全）</w:t>
      </w:r>
    </w:p>
    <w:tbl>
      <w:tblPr>
        <w:tblStyle w:val="25"/>
        <w:tblW w:w="0" w:type="auto"/>
        <w:tblInd w:w="0" w:type="dxa"/>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trPr>
        <w:tc>
          <w:tcPr>
            <w:tcW w:w="0" w:type="auto"/>
            <w:gridSpan w:val="8"/>
            <w:tcBorders>
              <w:top w:val="nil"/>
              <w:left w:val="nil"/>
              <w:bottom w:val="nil"/>
              <w:right w:val="nil"/>
            </w:tcBorders>
            <w:noWrap w:val="0"/>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rPr>
                <w:rFonts w:hint="default" w:eastAsia="仿宋_GB2312"/>
                <w:lang w:val="en-US" w:eastAsia="zh-CN"/>
              </w:rPr>
            </w:pPr>
          </w:p>
        </w:tc>
      </w:tr>
    </w:tbl>
    <w:p>
      <w:pPr>
        <w:pStyle w:val="2"/>
        <w:rPr>
          <w:rFonts w:hint="default" w:ascii="宋体" w:hAnsi="宋体" w:eastAsia="宋体" w:cs="宋体"/>
          <w:color w:val="000000"/>
          <w:sz w:val="24"/>
          <w:szCs w:val="24"/>
          <w:highlight w:val="none"/>
          <w:lang w:val="en-US" w:eastAsia="zh-CN"/>
        </w:rPr>
      </w:pPr>
    </w:p>
    <w:tbl>
      <w:tblPr>
        <w:tblStyle w:val="25"/>
        <w:tblW w:w="10161"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eastAsia="zh-CN"/>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6"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0"/>
            </w:pPr>
          </w:p>
          <w:p>
            <w:pPr>
              <w:pStyle w:val="2"/>
              <w:ind w:firstLine="1126"/>
            </w:pPr>
          </w:p>
          <w:p>
            <w:pPr>
              <w:pStyle w:val="2"/>
              <w:ind w:firstLine="0"/>
            </w:pPr>
          </w:p>
        </w:tc>
      </w:tr>
    </w:tbl>
    <w:p>
      <w:pPr>
        <w:adjustRightInd w:val="0"/>
        <w:snapToGrid w:val="0"/>
        <w:spacing w:beforeLines="50" w:afterLines="50" w:line="600" w:lineRule="exact"/>
        <w:jc w:val="both"/>
        <w:rPr>
          <w:rFonts w:hint="eastAsia" w:ascii="方正小标宋简体" w:eastAsia="方正小标宋简体"/>
          <w:sz w:val="28"/>
          <w:szCs w:val="28"/>
        </w:rPr>
      </w:pPr>
    </w:p>
    <w:p>
      <w:pPr>
        <w:pStyle w:val="2"/>
        <w:ind w:firstLine="0"/>
        <w:rPr>
          <w:rFonts w:ascii="仿宋_GB2312" w:eastAsia="仿宋_GB2312"/>
          <w:sz w:val="28"/>
          <w:szCs w:val="28"/>
        </w:rPr>
      </w:pPr>
    </w:p>
    <w:p>
      <w:pPr>
        <w:pStyle w:val="5"/>
      </w:pPr>
      <w:bookmarkStart w:id="98" w:name="_Toc1563"/>
      <w:bookmarkStart w:id="99" w:name="_Toc5129"/>
      <w:bookmarkStart w:id="100" w:name="_Toc8147"/>
      <w:bookmarkStart w:id="101" w:name="_Toc12169"/>
      <w:bookmarkStart w:id="102" w:name="_Toc28358"/>
      <w:bookmarkStart w:id="103" w:name="_Toc3723"/>
      <w:bookmarkStart w:id="104" w:name="_Toc30824"/>
      <w:bookmarkStart w:id="105" w:name="_Toc21847"/>
      <w:bookmarkStart w:id="106" w:name="_Toc23515"/>
      <w:bookmarkStart w:id="107" w:name="_Toc16552"/>
      <w:bookmarkStart w:id="108" w:name="_Toc6230"/>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98"/>
      <w:bookmarkEnd w:id="99"/>
      <w:bookmarkEnd w:id="100"/>
      <w:bookmarkEnd w:id="101"/>
      <w:bookmarkEnd w:id="102"/>
      <w:bookmarkEnd w:id="103"/>
      <w:bookmarkEnd w:id="104"/>
      <w:bookmarkEnd w:id="105"/>
      <w:bookmarkEnd w:id="106"/>
      <w:bookmarkEnd w:id="107"/>
      <w:bookmarkEnd w:id="108"/>
    </w:p>
    <w:p>
      <w:pPr>
        <w:pStyle w:val="41"/>
      </w:pPr>
    </w:p>
    <w:p>
      <w:pPr>
        <w:pStyle w:val="5"/>
      </w:pPr>
      <w:bookmarkStart w:id="109" w:name="_Toc21675"/>
      <w:bookmarkStart w:id="110" w:name="_Toc30157"/>
      <w:bookmarkStart w:id="111" w:name="_Toc88209951"/>
      <w:bookmarkStart w:id="112" w:name="_Toc5342"/>
      <w:bookmarkStart w:id="113" w:name="_Toc12769"/>
      <w:bookmarkStart w:id="114" w:name="_Toc24815"/>
      <w:bookmarkStart w:id="115" w:name="_Toc10840"/>
      <w:bookmarkStart w:id="116" w:name="_Toc12610"/>
      <w:bookmarkStart w:id="117" w:name="_Toc24490"/>
      <w:bookmarkStart w:id="118" w:name="_Toc31564"/>
      <w:bookmarkStart w:id="119" w:name="_Toc22764"/>
      <w:bookmarkStart w:id="120" w:name="_Toc17119"/>
      <w:bookmarkStart w:id="121" w:name="_Toc87616388"/>
      <w:r>
        <w:rPr>
          <w:rFonts w:hint="eastAsia"/>
        </w:rPr>
        <w:t>响应文件</w:t>
      </w:r>
      <w:r>
        <w:rPr>
          <w:rFonts w:hint="eastAsia"/>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rPr>
          <w:rFonts w:hint="eastAsia" w:ascii="方正小标宋简体" w:eastAsia="方正小标宋简体"/>
          <w:sz w:val="48"/>
          <w:szCs w:val="48"/>
        </w:rPr>
      </w:pPr>
    </w:p>
    <w:p>
      <w:pPr>
        <w:pStyle w:val="2"/>
        <w:ind w:firstLine="0"/>
        <w:rPr>
          <w:rFonts w:hint="eastAsia" w:ascii="方正小标宋简体" w:eastAsia="方正小标宋简体"/>
          <w:sz w:val="48"/>
          <w:szCs w:val="48"/>
        </w:rPr>
      </w:pPr>
    </w:p>
    <w:p>
      <w:pPr>
        <w:pStyle w:val="2"/>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2" w:name="_Toc87616389"/>
      <w:bookmarkStart w:id="123" w:name="_Toc88209952"/>
      <w:r>
        <w:rPr>
          <w:rFonts w:hint="eastAsia" w:ascii="仿宋_GB2312" w:eastAsia="仿宋_GB2312"/>
          <w:sz w:val="28"/>
          <w:szCs w:val="28"/>
        </w:rPr>
        <w:t>1.响应函</w:t>
      </w:r>
      <w:bookmarkEnd w:id="122"/>
      <w:bookmarkEnd w:id="123"/>
    </w:p>
    <w:p>
      <w:pPr>
        <w:spacing w:line="600" w:lineRule="exact"/>
        <w:rPr>
          <w:rFonts w:hint="eastAsia" w:ascii="仿宋_GB2312" w:eastAsia="仿宋_GB2312"/>
          <w:sz w:val="28"/>
          <w:szCs w:val="28"/>
        </w:rPr>
      </w:pPr>
      <w:bookmarkStart w:id="124" w:name="_Toc87616390"/>
      <w:bookmarkStart w:id="125" w:name="_Toc88209953"/>
      <w:r>
        <w:rPr>
          <w:rFonts w:hint="eastAsia" w:ascii="仿宋_GB2312" w:eastAsia="仿宋_GB2312"/>
          <w:sz w:val="28"/>
          <w:szCs w:val="28"/>
        </w:rPr>
        <w:t>2.法定代表人证明或授权委托书</w:t>
      </w:r>
      <w:bookmarkEnd w:id="124"/>
      <w:bookmarkEnd w:id="125"/>
      <w:bookmarkStart w:id="126" w:name="_Toc87616393"/>
      <w:bookmarkStart w:id="127"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6"/>
      <w:bookmarkEnd w:id="12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7"/>
        <w:rPr>
          <w:rFonts w:asciiTheme="minorEastAsia" w:hAnsiTheme="minorEastAsia" w:eastAsiaTheme="minorEastAsia"/>
          <w:sz w:val="28"/>
          <w:szCs w:val="28"/>
        </w:rPr>
      </w:pPr>
      <w:bookmarkStart w:id="128" w:name="_Toc87616394"/>
      <w:bookmarkStart w:id="129" w:name="_Toc88209957"/>
      <w:bookmarkStart w:id="130" w:name="_Toc6313"/>
      <w:bookmarkStart w:id="131" w:name="_Toc12665"/>
      <w:bookmarkStart w:id="132" w:name="_Toc28619645"/>
      <w:r>
        <w:rPr>
          <w:rFonts w:hint="eastAsia" w:asciiTheme="minorEastAsia" w:hAnsiTheme="minorEastAsia" w:eastAsiaTheme="minorEastAsia"/>
          <w:sz w:val="28"/>
          <w:szCs w:val="28"/>
        </w:rPr>
        <w:t>1.响应函</w:t>
      </w:r>
      <w:bookmarkEnd w:id="128"/>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3" w:name="_Toc29833"/>
      <w:bookmarkStart w:id="134" w:name="_Toc22527"/>
      <w:bookmarkStart w:id="135" w:name="_Toc87616395"/>
      <w:bookmarkStart w:id="136" w:name="_Toc88209958"/>
    </w:p>
    <w:p>
      <w:pPr>
        <w:pStyle w:val="7"/>
        <w:spacing w:line="24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3"/>
      <w:bookmarkEnd w:id="134"/>
      <w:bookmarkEnd w:id="135"/>
      <w:bookmarkEnd w:id="136"/>
    </w:p>
    <w:p>
      <w:pPr>
        <w:spacing w:line="24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3"/>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5"/>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2"/>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s="Times New Roman"/>
          <w:sz w:val="32"/>
          <w:szCs w:val="32"/>
        </w:rPr>
      </w:pPr>
      <w:r>
        <w:rPr>
          <w:rFonts w:hint="eastAsia" w:ascii="仿宋_GB2312" w:hAnsi="宋体" w:eastAsia="仿宋_GB2312"/>
          <w:color w:val="000000"/>
          <w:sz w:val="30"/>
          <w:szCs w:val="30"/>
        </w:rPr>
        <w:t>附：法定代表人身份证(正反两面)复印件</w:t>
      </w:r>
    </w:p>
    <w:p>
      <w:pPr>
        <w:pStyle w:val="15"/>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原件备查。</w:t>
      </w:r>
    </w:p>
    <w:p>
      <w:pPr>
        <w:pStyle w:val="41"/>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5"/>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5"/>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8"/>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7"/>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7" w:name="_Toc87616400"/>
      <w:bookmarkStart w:id="138" w:name="_Toc8086"/>
      <w:bookmarkStart w:id="139" w:name="_Toc88209963"/>
      <w:bookmarkStart w:id="140" w:name="_Toc1983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广州市净水有限公司西朗二期分公司二期西北面地块环境提升项目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7"/>
        <w:rPr>
          <w:rFonts w:asciiTheme="minorEastAsia" w:hAnsiTheme="minorEastAsia" w:eastAsiaTheme="minorEastAsia"/>
          <w:sz w:val="28"/>
          <w:szCs w:val="28"/>
        </w:rPr>
      </w:pPr>
      <w:bookmarkStart w:id="142" w:name="_Toc32430"/>
      <w:bookmarkStart w:id="143"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42"/>
      <w:bookmarkEnd w:id="14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bookmarkStart w:id="144" w:name="工程量清单"/>
      <w:bookmarkEnd w:id="144"/>
    </w:p>
    <w:tbl>
      <w:tblPr>
        <w:tblStyle w:val="26"/>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2"/>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2"/>
            <w:vAlign w:val="center"/>
          </w:tcPr>
          <w:p>
            <w:pPr>
              <w:pStyle w:val="51"/>
              <w:jc w:val="center"/>
              <w:rPr>
                <w:rFonts w:hint="eastAsia" w:ascii="宋体" w:hAnsi="宋体" w:eastAsia="宋体" w:cs="宋体"/>
                <w:color w:val="auto"/>
                <w:sz w:val="24"/>
                <w:szCs w:val="24"/>
                <w:lang w:eastAsia="zh-CN"/>
              </w:rPr>
            </w:pPr>
            <w:r>
              <w:rPr>
                <w:rFonts w:hint="eastAsia" w:ascii="仿宋_GB2312"/>
                <w:b/>
                <w:bCs/>
                <w:sz w:val="28"/>
                <w:szCs w:val="28"/>
                <w:u w:val="none"/>
                <w:lang w:eastAsia="zh-CN"/>
              </w:rPr>
              <w:t>广州市净水有限公司西朗二期分公司二期西北面地块环境提升项目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2" w:type="dxa"/>
            <w:vAlign w:val="center"/>
          </w:tcPr>
          <w:p>
            <w:pPr>
              <w:pStyle w:val="51"/>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3538" w:type="dxa"/>
            <w:vAlign w:val="center"/>
          </w:tcPr>
          <w:p>
            <w:pPr>
              <w:pStyle w:val="51"/>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仿宋_GB2312" w:eastAsia="仿宋_GB2312"/>
                <w:sz w:val="28"/>
                <w:szCs w:val="28"/>
                <w:u w:val="none"/>
                <w:lang w:eastAsia="zh-CN"/>
              </w:rPr>
              <w:t>广州市净水有限公司西朗二期分公司二期西北面地块环境提升项目</w:t>
            </w:r>
          </w:p>
        </w:tc>
        <w:tc>
          <w:tcPr>
            <w:tcW w:w="3538" w:type="dxa"/>
            <w:vAlign w:val="center"/>
          </w:tcPr>
          <w:p>
            <w:pPr>
              <w:pStyle w:val="51"/>
              <w:jc w:val="center"/>
              <w:rPr>
                <w:rFonts w:hint="eastAsia" w:ascii="宋体" w:hAnsi="宋体" w:eastAsia="宋体" w:cs="宋体"/>
                <w:color w:val="auto"/>
                <w:sz w:val="24"/>
                <w:szCs w:val="24"/>
              </w:rPr>
            </w:pPr>
          </w:p>
        </w:tc>
      </w:tr>
    </w:tbl>
    <w:p>
      <w:pPr>
        <w:pStyle w:val="12"/>
        <w:rPr>
          <w:rFonts w:hint="eastAsia"/>
        </w:rPr>
      </w:pPr>
    </w:p>
    <w:p>
      <w:pPr>
        <w:numPr>
          <w:ilvl w:val="0"/>
          <w:numId w:val="6"/>
        </w:numPr>
        <w:adjustRightInd w:val="0"/>
        <w:snapToGrid w:val="0"/>
        <w:spacing w:line="600" w:lineRule="exact"/>
        <w:ind w:left="0" w:leftChars="0"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rPr>
        <w:t>报价表</w:t>
      </w:r>
    </w:p>
    <w:p>
      <w:pPr>
        <w:pStyle w:val="12"/>
        <w:rPr>
          <w:rFonts w:hint="eastAsia"/>
        </w:rPr>
      </w:pPr>
    </w:p>
    <w:p>
      <w:pPr>
        <w:keepNext w:val="0"/>
        <w:keepLines w:val="0"/>
        <w:widowControl/>
        <w:suppressLineNumbers w:val="0"/>
        <w:jc w:val="left"/>
        <w:textAlignment w:val="center"/>
        <w:rPr>
          <w:rFonts w:hint="eastAsia"/>
          <w:b/>
          <w:bCs/>
          <w:sz w:val="40"/>
          <w:szCs w:val="48"/>
          <w:lang w:eastAsia="zh-CN"/>
        </w:rPr>
      </w:pPr>
      <w:r>
        <w:rPr>
          <w:rFonts w:hint="eastAsia" w:ascii="仿宋" w:hAnsi="仿宋" w:eastAsia="仿宋" w:cs="仿宋_GB2312"/>
          <w:b/>
          <w:sz w:val="28"/>
          <w:szCs w:val="28"/>
        </w:rPr>
        <w:t>项目：</w:t>
      </w:r>
      <w:r>
        <w:rPr>
          <w:rFonts w:hint="eastAsia" w:ascii="仿宋_GB2312" w:eastAsia="仿宋_GB2312"/>
          <w:sz w:val="28"/>
          <w:szCs w:val="28"/>
          <w:u w:val="none"/>
          <w:lang w:eastAsia="zh-CN"/>
        </w:rPr>
        <w:t>广州市净水有限公司西朗二期分公司二期西北面地块环境提升项目</w:t>
      </w:r>
      <w:r>
        <w:rPr>
          <w:rFonts w:hint="eastAsia" w:ascii="仿宋" w:hAnsi="仿宋" w:eastAsia="仿宋" w:cs="仿宋_GB2312"/>
          <w:b/>
          <w:sz w:val="28"/>
          <w:szCs w:val="28"/>
          <w:lang w:val="en-US" w:eastAsia="zh-CN"/>
        </w:rPr>
        <w:t xml:space="preserve"> </w:t>
      </w: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7"/>
        <w:gridCol w:w="3611"/>
        <w:gridCol w:w="986"/>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181" w:type="dxa"/>
          <w:trHeight w:val="795" w:hRule="atLeast"/>
        </w:trPr>
        <w:tc>
          <w:tcPr>
            <w:tcW w:w="5000" w:type="pct"/>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570" w:hRule="atLeast"/>
        </w:trPr>
        <w:tc>
          <w:tcPr>
            <w:tcW w:w="288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工程名称：广州市净水有限公司西朗二期分公司二期西北面地块环境提升项目</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75" w:hRule="atLeast"/>
        </w:trPr>
        <w:tc>
          <w:tcPr>
            <w:tcW w:w="60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3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8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7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3904.63</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9312.16</w:t>
            </w: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6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Before w:w="0" w:type="auto"/>
          <w:wAfter w:w="181" w:type="dxa"/>
          <w:trHeight w:val="360" w:hRule="atLeast"/>
        </w:trPr>
        <w:tc>
          <w:tcPr>
            <w:tcW w:w="2938"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18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5000" w:type="pct"/>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181" w:type="dxa"/>
          <w:trHeight w:val="360" w:hRule="atLeast"/>
        </w:trPr>
        <w:tc>
          <w:tcPr>
            <w:tcW w:w="2881" w:type="pct"/>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1"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adjustRightInd w:val="0"/>
        <w:snapToGrid w:val="0"/>
        <w:spacing w:line="300" w:lineRule="auto"/>
        <w:rPr>
          <w:rFonts w:hint="eastAsia" w:ascii="仿宋" w:hAnsi="仿宋" w:eastAsia="仿宋" w:cs="仿宋_GB2312"/>
          <w:b/>
          <w:sz w:val="28"/>
          <w:szCs w:val="28"/>
          <w:lang w:val="en-US" w:eastAsia="zh-CN"/>
        </w:rPr>
      </w:pPr>
    </w:p>
    <w:p>
      <w:pPr>
        <w:pStyle w:val="11"/>
        <w:rPr>
          <w:rFonts w:hint="eastAsia"/>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pStyle w:val="11"/>
        <w:rPr>
          <w:rFonts w:hint="eastAsia"/>
          <w:lang w:val="en-US" w:eastAsia="zh-CN"/>
        </w:rPr>
      </w:pP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416"/>
        <w:gridCol w:w="1246"/>
        <w:gridCol w:w="2022"/>
        <w:gridCol w:w="262"/>
        <w:gridCol w:w="436"/>
        <w:gridCol w:w="762"/>
        <w:gridCol w:w="94"/>
        <w:gridCol w:w="724"/>
        <w:gridCol w:w="815"/>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工程名称：广州市净水有限公司西朗二期分公司二期西北面地块环境提升项目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010101001001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1.名称:平整场地</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011101006001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平面砂浆找平层</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地面普通找平 M15 实际厚度(mm):10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060104012001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橡胶防滑地垫</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1.厚度:3.0cm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2.材料类别:户外橡胶防滑地垫</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水泥混凝土路面</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050307008001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浸塑低碳钢丝围栏墙</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1.表面涂敷材料种类:浸塑低碳钢丝围栏墙绿网丝粗5.0mm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2.含顶部带刺爬刀片</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1.名称:监控摄像头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2.类别:1080P</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031101024001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设备电缆、软光纤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1.名称、类别:光纤</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太阳能蓄电路灯</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1.名称:太阳能蓄电路灯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2.型号:LED，4000W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3.规格:含支架</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单人平步机</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1.名称及材质:单人平步机</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050307019002</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腰背按摩器</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1.名称及材质:腰背按摩器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050307019003</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肩关节训练器</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1.名称及材质:肩关节训练器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050307019004</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上肢牵引器</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1.名称及材质:上肢牵引器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050307019005</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腹肌板</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1.名称及材质:腹肌板</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050307019006</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双人腿部按摩器</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1.名称及材质:双人腿部按摩器</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040201022001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排水沟、截水沟</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1.断面尺寸:200*150mm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2.基础、垫层:材料品种、厚度:C20混凝土垫层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3.砌体材料:水泥砖（标准砖）一般抹灰</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1.名称:挖沟槽土方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2.土壤类别:一、二类土</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040402016001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沟道盖板</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1.材质:钢塑盖板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2.规格尺寸:20*50*3cm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7"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工程名称：广州市净水有限公司西朗二期分公司二期西北面地块环境提升项目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050307009001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标志牌</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1.名称:健身设备安全使用告知牌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2.材料种类:不锈钢304版+支架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3.规格:1000*800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1.养护期:1个月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2.草皮种类:台湾草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3.铺种方式:原土铺种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010507004001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台阶</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1.人行水泥台阶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050305008001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防腐木凳</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1.名称:防腐木凳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2.规格:长1.5m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011702027001</w:t>
            </w: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台阶</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1.台阶模版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2.台阶踏步宽:50cm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7"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adjustRightInd w:val="0"/>
        <w:snapToGrid w:val="0"/>
        <w:spacing w:line="300" w:lineRule="auto"/>
        <w:rPr>
          <w:rFonts w:hint="eastAsia" w:ascii="仿宋" w:hAnsi="仿宋" w:eastAsia="仿宋" w:cs="仿宋_GB2312"/>
          <w:b/>
          <w:sz w:val="28"/>
          <w:szCs w:val="28"/>
          <w:lang w:val="en-US" w:eastAsia="zh-CN"/>
        </w:rPr>
      </w:pPr>
    </w:p>
    <w:p>
      <w:pPr>
        <w:pStyle w:val="11"/>
        <w:rPr>
          <w:rFonts w:hint="eastAsia"/>
          <w:lang w:val="en-US" w:eastAsia="zh-CN"/>
        </w:rPr>
      </w:pP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416"/>
        <w:gridCol w:w="1585"/>
        <w:gridCol w:w="1275"/>
        <w:gridCol w:w="492"/>
        <w:gridCol w:w="175"/>
        <w:gridCol w:w="851"/>
        <w:gridCol w:w="491"/>
        <w:gridCol w:w="328"/>
        <w:gridCol w:w="826"/>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9"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工程名称：广州市净水有限公司西朗二期分公司二期西北面地块环境提升项目</w:t>
            </w:r>
          </w:p>
        </w:tc>
        <w:tc>
          <w:tcPr>
            <w:tcW w:w="86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32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8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8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6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8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96"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8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9" w:type="pct"/>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11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9" w:type="pct"/>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68" w:type="pct"/>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1242"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adjustRightInd w:val="0"/>
        <w:snapToGrid w:val="0"/>
        <w:spacing w:line="300" w:lineRule="auto"/>
        <w:rPr>
          <w:rFonts w:hint="eastAsia" w:ascii="仿宋" w:hAnsi="仿宋" w:eastAsia="仿宋" w:cs="仿宋_GB2312"/>
          <w:b/>
          <w:sz w:val="28"/>
          <w:szCs w:val="28"/>
          <w:lang w:val="en-US" w:eastAsia="zh-CN"/>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3"/>
        <w:gridCol w:w="4827"/>
        <w:gridCol w:w="350"/>
        <w:gridCol w:w="647"/>
        <w:gridCol w:w="756"/>
        <w:gridCol w:w="873"/>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55" w:type="dxa"/>
          <w:trHeight w:val="795" w:hRule="atLeast"/>
        </w:trPr>
        <w:tc>
          <w:tcPr>
            <w:tcW w:w="1035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570" w:hRule="atLeast"/>
        </w:trPr>
        <w:tc>
          <w:tcPr>
            <w:tcW w:w="72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工程名称：广州市净水有限公司西朗二期分公司二期西北面地块环境提升项目</w:t>
            </w:r>
          </w:p>
        </w:tc>
        <w:tc>
          <w:tcPr>
            <w:tcW w:w="139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9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75" w:hRule="atLeast"/>
        </w:trPr>
        <w:tc>
          <w:tcPr>
            <w:tcW w:w="211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8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2"/>
                <w:szCs w:val="22"/>
                <w:u w:val="none"/>
                <w:lang w:val="en-US" w:eastAsia="zh-CN" w:bidi="ar"/>
              </w:rPr>
              <w:t>9312.16</w:t>
            </w: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211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691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9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10355"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5" w:type="dxa"/>
          <w:trHeight w:val="360" w:hRule="atLeast"/>
        </w:trPr>
        <w:tc>
          <w:tcPr>
            <w:tcW w:w="7261"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396"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698"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hint="eastAsia" w:ascii="仿宋" w:hAnsi="仿宋" w:eastAsia="仿宋" w:cs="仿宋_GB2312"/>
          <w:b/>
          <w:sz w:val="28"/>
          <w:szCs w:val="28"/>
          <w:lang w:val="en-US" w:eastAsia="zh-CN"/>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12"/>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rPr>
          <w:rFonts w:hint="default" w:ascii="仿宋" w:hAnsi="仿宋" w:eastAsia="仿宋" w:cs="仿宋"/>
          <w:b/>
          <w:bCs/>
          <w:sz w:val="28"/>
          <w:szCs w:val="36"/>
          <w:lang w:val="en-US" w:eastAsia="zh-CN"/>
        </w:rPr>
      </w:pPr>
    </w:p>
    <w:p>
      <w:pPr>
        <w:pStyle w:val="2"/>
        <w:ind w:left="0" w:leftChars="0" w:firstLine="0" w:firstLineChars="0"/>
        <w:rPr>
          <w:rFonts w:hint="default" w:ascii="仿宋" w:hAnsi="仿宋" w:eastAsia="仿宋" w:cs="仿宋"/>
          <w:b/>
          <w:bCs/>
          <w:sz w:val="28"/>
          <w:szCs w:val="36"/>
          <w:lang w:val="en-US" w:eastAsia="zh-CN"/>
        </w:rPr>
      </w:pPr>
    </w:p>
    <w:p>
      <w:pPr>
        <w:pStyle w:val="7"/>
        <w:rPr>
          <w:rFonts w:asciiTheme="majorEastAsia" w:hAnsiTheme="majorEastAsia" w:eastAsiaTheme="majorEastAsia"/>
          <w:sz w:val="28"/>
          <w:szCs w:val="28"/>
        </w:rPr>
      </w:pPr>
      <w:bookmarkStart w:id="145" w:name="_Toc87616402"/>
      <w:bookmarkStart w:id="146" w:name="_Toc88209965"/>
      <w:bookmarkStart w:id="147" w:name="_Toc6058"/>
      <w:bookmarkStart w:id="148" w:name="_Toc16386"/>
      <w:r>
        <w:rPr>
          <w:rFonts w:hint="eastAsia" w:eastAsiaTheme="majorEastAsia"/>
          <w:lang w:val="en-US" w:eastAsia="zh-CN"/>
        </w:rPr>
        <w:t>6</w:t>
      </w:r>
      <w:r>
        <w:rPr>
          <w:rFonts w:hint="eastAsia" w:asciiTheme="majorEastAsia" w:hAnsiTheme="majorEastAsia" w:eastAsiaTheme="majorEastAsia"/>
          <w:sz w:val="28"/>
          <w:szCs w:val="28"/>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F83B64"/>
    <w:rsid w:val="02090C75"/>
    <w:rsid w:val="02A23A3C"/>
    <w:rsid w:val="02B86948"/>
    <w:rsid w:val="03AC246A"/>
    <w:rsid w:val="03B23056"/>
    <w:rsid w:val="03DC3EBA"/>
    <w:rsid w:val="03F9794D"/>
    <w:rsid w:val="046A2461"/>
    <w:rsid w:val="065A53BA"/>
    <w:rsid w:val="0685597A"/>
    <w:rsid w:val="069326A1"/>
    <w:rsid w:val="06937AD8"/>
    <w:rsid w:val="06C64829"/>
    <w:rsid w:val="077D16D2"/>
    <w:rsid w:val="07EF3D1C"/>
    <w:rsid w:val="08675FC8"/>
    <w:rsid w:val="08F46FC3"/>
    <w:rsid w:val="09B713FD"/>
    <w:rsid w:val="09EF6ACC"/>
    <w:rsid w:val="0A315056"/>
    <w:rsid w:val="0AFB45AD"/>
    <w:rsid w:val="0B351E9B"/>
    <w:rsid w:val="0B4C50D3"/>
    <w:rsid w:val="0B806B92"/>
    <w:rsid w:val="0B827E94"/>
    <w:rsid w:val="0BD070E1"/>
    <w:rsid w:val="0C247926"/>
    <w:rsid w:val="0D302A9E"/>
    <w:rsid w:val="0D794204"/>
    <w:rsid w:val="0E2125D1"/>
    <w:rsid w:val="0E214211"/>
    <w:rsid w:val="0E5F2769"/>
    <w:rsid w:val="0ED77B46"/>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6E76CF"/>
    <w:rsid w:val="13DA660A"/>
    <w:rsid w:val="14031B4A"/>
    <w:rsid w:val="14B10AE1"/>
    <w:rsid w:val="1554002B"/>
    <w:rsid w:val="15BC6B3C"/>
    <w:rsid w:val="161F3A71"/>
    <w:rsid w:val="16784CA6"/>
    <w:rsid w:val="1694429A"/>
    <w:rsid w:val="16A67280"/>
    <w:rsid w:val="17635326"/>
    <w:rsid w:val="17CF4594"/>
    <w:rsid w:val="17E525A4"/>
    <w:rsid w:val="18236EFD"/>
    <w:rsid w:val="189D5B1F"/>
    <w:rsid w:val="18A34CD0"/>
    <w:rsid w:val="197D0C1B"/>
    <w:rsid w:val="19B64DBC"/>
    <w:rsid w:val="1A0D34E5"/>
    <w:rsid w:val="1A14399F"/>
    <w:rsid w:val="1A373ACF"/>
    <w:rsid w:val="1A895341"/>
    <w:rsid w:val="1B0D071F"/>
    <w:rsid w:val="1B4568CE"/>
    <w:rsid w:val="1B4C0C41"/>
    <w:rsid w:val="1B9015B7"/>
    <w:rsid w:val="1BAD44A6"/>
    <w:rsid w:val="1C1B0031"/>
    <w:rsid w:val="1C872CE0"/>
    <w:rsid w:val="1D2D0C9B"/>
    <w:rsid w:val="1D3D7931"/>
    <w:rsid w:val="1D5A79EE"/>
    <w:rsid w:val="1E0E2CD0"/>
    <w:rsid w:val="1E831280"/>
    <w:rsid w:val="1EBC4704"/>
    <w:rsid w:val="1F172EB5"/>
    <w:rsid w:val="1F94592D"/>
    <w:rsid w:val="1FB860DE"/>
    <w:rsid w:val="200B6B58"/>
    <w:rsid w:val="203C5A02"/>
    <w:rsid w:val="209D4C94"/>
    <w:rsid w:val="20E84705"/>
    <w:rsid w:val="218400BA"/>
    <w:rsid w:val="21AB1E2F"/>
    <w:rsid w:val="21C84D5B"/>
    <w:rsid w:val="21D40498"/>
    <w:rsid w:val="225752A3"/>
    <w:rsid w:val="22767047"/>
    <w:rsid w:val="23A05588"/>
    <w:rsid w:val="23D82F6C"/>
    <w:rsid w:val="25431AEB"/>
    <w:rsid w:val="25650D8D"/>
    <w:rsid w:val="25BF43FD"/>
    <w:rsid w:val="25F86BCD"/>
    <w:rsid w:val="2605748B"/>
    <w:rsid w:val="261105FB"/>
    <w:rsid w:val="269E416A"/>
    <w:rsid w:val="26B02FC7"/>
    <w:rsid w:val="272100D3"/>
    <w:rsid w:val="272C72FC"/>
    <w:rsid w:val="27520F3A"/>
    <w:rsid w:val="275B2B9F"/>
    <w:rsid w:val="27923EBF"/>
    <w:rsid w:val="27EB149D"/>
    <w:rsid w:val="27FD3E52"/>
    <w:rsid w:val="28E11370"/>
    <w:rsid w:val="294A756A"/>
    <w:rsid w:val="29D5322D"/>
    <w:rsid w:val="2A025DD9"/>
    <w:rsid w:val="2A7C2231"/>
    <w:rsid w:val="2A8F679F"/>
    <w:rsid w:val="2ABB753D"/>
    <w:rsid w:val="2B0231B6"/>
    <w:rsid w:val="2B1574B4"/>
    <w:rsid w:val="2B7A49FA"/>
    <w:rsid w:val="2C3A7B94"/>
    <w:rsid w:val="2C615D26"/>
    <w:rsid w:val="2CB679ED"/>
    <w:rsid w:val="2D173C07"/>
    <w:rsid w:val="2D424A86"/>
    <w:rsid w:val="2E6A25C9"/>
    <w:rsid w:val="2E7B52DB"/>
    <w:rsid w:val="2EC7093F"/>
    <w:rsid w:val="2F324CFE"/>
    <w:rsid w:val="2FBA09F1"/>
    <w:rsid w:val="2FEF2ACF"/>
    <w:rsid w:val="30540211"/>
    <w:rsid w:val="305C5857"/>
    <w:rsid w:val="312D7741"/>
    <w:rsid w:val="316958C9"/>
    <w:rsid w:val="316F137F"/>
    <w:rsid w:val="3198371B"/>
    <w:rsid w:val="31DF525F"/>
    <w:rsid w:val="32324C2E"/>
    <w:rsid w:val="327171DF"/>
    <w:rsid w:val="333A2E74"/>
    <w:rsid w:val="33580E2A"/>
    <w:rsid w:val="341E3434"/>
    <w:rsid w:val="353F533B"/>
    <w:rsid w:val="35A252CE"/>
    <w:rsid w:val="360B7EBA"/>
    <w:rsid w:val="369C32FD"/>
    <w:rsid w:val="36E94207"/>
    <w:rsid w:val="37666E72"/>
    <w:rsid w:val="38155281"/>
    <w:rsid w:val="38167A04"/>
    <w:rsid w:val="38EC1AB1"/>
    <w:rsid w:val="3922642F"/>
    <w:rsid w:val="39334334"/>
    <w:rsid w:val="394B167A"/>
    <w:rsid w:val="399F745E"/>
    <w:rsid w:val="39B45610"/>
    <w:rsid w:val="39D76BC3"/>
    <w:rsid w:val="3A4E4336"/>
    <w:rsid w:val="3A6007FE"/>
    <w:rsid w:val="3AB14335"/>
    <w:rsid w:val="3B110DD2"/>
    <w:rsid w:val="3B7C2CE4"/>
    <w:rsid w:val="3C0B5355"/>
    <w:rsid w:val="3C935564"/>
    <w:rsid w:val="3CD4176B"/>
    <w:rsid w:val="3D1F44D9"/>
    <w:rsid w:val="3D5C38CD"/>
    <w:rsid w:val="3D77691B"/>
    <w:rsid w:val="3DA80295"/>
    <w:rsid w:val="3E5070F1"/>
    <w:rsid w:val="3E6163E7"/>
    <w:rsid w:val="3F2A0114"/>
    <w:rsid w:val="3F6C3589"/>
    <w:rsid w:val="3F850180"/>
    <w:rsid w:val="3F9004D6"/>
    <w:rsid w:val="3FFE2C58"/>
    <w:rsid w:val="3FFF3964"/>
    <w:rsid w:val="400E4D5E"/>
    <w:rsid w:val="40245BFB"/>
    <w:rsid w:val="40E1138C"/>
    <w:rsid w:val="413814BA"/>
    <w:rsid w:val="414B1D27"/>
    <w:rsid w:val="41872511"/>
    <w:rsid w:val="41F04270"/>
    <w:rsid w:val="42466655"/>
    <w:rsid w:val="424B7EFB"/>
    <w:rsid w:val="424D7B01"/>
    <w:rsid w:val="42694B47"/>
    <w:rsid w:val="42C82F57"/>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130CB"/>
    <w:rsid w:val="498F4AF1"/>
    <w:rsid w:val="49C05787"/>
    <w:rsid w:val="49CF518D"/>
    <w:rsid w:val="4ADA1F63"/>
    <w:rsid w:val="4AE23D89"/>
    <w:rsid w:val="4AEC2FDE"/>
    <w:rsid w:val="4B2038D0"/>
    <w:rsid w:val="4B296E7D"/>
    <w:rsid w:val="4B877F28"/>
    <w:rsid w:val="4CC60794"/>
    <w:rsid w:val="4CFB2CCC"/>
    <w:rsid w:val="4D2E044D"/>
    <w:rsid w:val="4D916BA6"/>
    <w:rsid w:val="4DC44169"/>
    <w:rsid w:val="4DE84888"/>
    <w:rsid w:val="4E460417"/>
    <w:rsid w:val="4EF0709E"/>
    <w:rsid w:val="4F2706FC"/>
    <w:rsid w:val="4F4546D1"/>
    <w:rsid w:val="4F822D0B"/>
    <w:rsid w:val="5011784D"/>
    <w:rsid w:val="50590023"/>
    <w:rsid w:val="513C043B"/>
    <w:rsid w:val="513C6A7B"/>
    <w:rsid w:val="51AF6298"/>
    <w:rsid w:val="51E025F4"/>
    <w:rsid w:val="51E520B0"/>
    <w:rsid w:val="523D3563"/>
    <w:rsid w:val="5333545B"/>
    <w:rsid w:val="54415AD3"/>
    <w:rsid w:val="5450213C"/>
    <w:rsid w:val="5483348F"/>
    <w:rsid w:val="54D24048"/>
    <w:rsid w:val="54D64CD5"/>
    <w:rsid w:val="55887D69"/>
    <w:rsid w:val="561A0928"/>
    <w:rsid w:val="56423872"/>
    <w:rsid w:val="56AC1516"/>
    <w:rsid w:val="56B279F0"/>
    <w:rsid w:val="579D710E"/>
    <w:rsid w:val="581F22F6"/>
    <w:rsid w:val="586E1E17"/>
    <w:rsid w:val="58862C35"/>
    <w:rsid w:val="588E7BDB"/>
    <w:rsid w:val="58C14957"/>
    <w:rsid w:val="596142FC"/>
    <w:rsid w:val="59C53F20"/>
    <w:rsid w:val="5AE83A50"/>
    <w:rsid w:val="5B35145A"/>
    <w:rsid w:val="5BAB2917"/>
    <w:rsid w:val="5BBF6B42"/>
    <w:rsid w:val="5BC826FA"/>
    <w:rsid w:val="5BFC33FA"/>
    <w:rsid w:val="5C3107A4"/>
    <w:rsid w:val="5C3B1B93"/>
    <w:rsid w:val="5C66348F"/>
    <w:rsid w:val="5C9220DF"/>
    <w:rsid w:val="5CBE08C6"/>
    <w:rsid w:val="5D4A15F3"/>
    <w:rsid w:val="5D69542A"/>
    <w:rsid w:val="5E0930EF"/>
    <w:rsid w:val="5E3D4D53"/>
    <w:rsid w:val="5E4717E6"/>
    <w:rsid w:val="5E55774C"/>
    <w:rsid w:val="5FBC4A71"/>
    <w:rsid w:val="60104DDC"/>
    <w:rsid w:val="605C0804"/>
    <w:rsid w:val="6070192F"/>
    <w:rsid w:val="61841BCA"/>
    <w:rsid w:val="6189617B"/>
    <w:rsid w:val="61B52BB6"/>
    <w:rsid w:val="61B749C2"/>
    <w:rsid w:val="61BF1B2F"/>
    <w:rsid w:val="62280D20"/>
    <w:rsid w:val="62CA2457"/>
    <w:rsid w:val="638240A1"/>
    <w:rsid w:val="63A5257B"/>
    <w:rsid w:val="63BD3DCC"/>
    <w:rsid w:val="63C61741"/>
    <w:rsid w:val="64560967"/>
    <w:rsid w:val="649B41FB"/>
    <w:rsid w:val="656B1D10"/>
    <w:rsid w:val="66022B28"/>
    <w:rsid w:val="662F1AB4"/>
    <w:rsid w:val="66581E87"/>
    <w:rsid w:val="66FA11D5"/>
    <w:rsid w:val="674302C7"/>
    <w:rsid w:val="680A5986"/>
    <w:rsid w:val="680D5F4B"/>
    <w:rsid w:val="68113F51"/>
    <w:rsid w:val="68E94770"/>
    <w:rsid w:val="68F949C9"/>
    <w:rsid w:val="695A4290"/>
    <w:rsid w:val="69BE37D7"/>
    <w:rsid w:val="6A334932"/>
    <w:rsid w:val="6A3353FF"/>
    <w:rsid w:val="6A5D63E6"/>
    <w:rsid w:val="6A5F24D1"/>
    <w:rsid w:val="6A7936A9"/>
    <w:rsid w:val="6AE347EB"/>
    <w:rsid w:val="6AEB1E00"/>
    <w:rsid w:val="6B434AF0"/>
    <w:rsid w:val="6B57675A"/>
    <w:rsid w:val="6BDD7B4D"/>
    <w:rsid w:val="6BFA291A"/>
    <w:rsid w:val="6EBC0B3A"/>
    <w:rsid w:val="6EF51C7D"/>
    <w:rsid w:val="6F8363E5"/>
    <w:rsid w:val="6FC746F5"/>
    <w:rsid w:val="6FE703CB"/>
    <w:rsid w:val="70317AC6"/>
    <w:rsid w:val="70863262"/>
    <w:rsid w:val="70A76ED3"/>
    <w:rsid w:val="71860B17"/>
    <w:rsid w:val="71B32335"/>
    <w:rsid w:val="720A7AF8"/>
    <w:rsid w:val="723B27CC"/>
    <w:rsid w:val="72687227"/>
    <w:rsid w:val="72A03FD9"/>
    <w:rsid w:val="72B96427"/>
    <w:rsid w:val="73406CFF"/>
    <w:rsid w:val="7383028C"/>
    <w:rsid w:val="73A25E44"/>
    <w:rsid w:val="741F68CF"/>
    <w:rsid w:val="747D01A7"/>
    <w:rsid w:val="75252DF3"/>
    <w:rsid w:val="75621536"/>
    <w:rsid w:val="75BF3154"/>
    <w:rsid w:val="76115521"/>
    <w:rsid w:val="764A07CF"/>
    <w:rsid w:val="764F6B3D"/>
    <w:rsid w:val="76CC6C50"/>
    <w:rsid w:val="76CD2B7B"/>
    <w:rsid w:val="76D80645"/>
    <w:rsid w:val="76E03371"/>
    <w:rsid w:val="780E5898"/>
    <w:rsid w:val="782642CC"/>
    <w:rsid w:val="78872941"/>
    <w:rsid w:val="7894095E"/>
    <w:rsid w:val="78BB1A0B"/>
    <w:rsid w:val="79000679"/>
    <w:rsid w:val="79376689"/>
    <w:rsid w:val="793D362E"/>
    <w:rsid w:val="79A416F0"/>
    <w:rsid w:val="79AD695E"/>
    <w:rsid w:val="79B03EB6"/>
    <w:rsid w:val="7A7F4688"/>
    <w:rsid w:val="7ABC034E"/>
    <w:rsid w:val="7AF37579"/>
    <w:rsid w:val="7AF87F64"/>
    <w:rsid w:val="7B1C0C84"/>
    <w:rsid w:val="7B5A62DF"/>
    <w:rsid w:val="7B7A04A8"/>
    <w:rsid w:val="7C0C3F6D"/>
    <w:rsid w:val="7C0E699B"/>
    <w:rsid w:val="7C22163C"/>
    <w:rsid w:val="7C595075"/>
    <w:rsid w:val="7C6B07B2"/>
    <w:rsid w:val="7CEA22FF"/>
    <w:rsid w:val="7D124E8E"/>
    <w:rsid w:val="7D133243"/>
    <w:rsid w:val="7E394207"/>
    <w:rsid w:val="7E4007A2"/>
    <w:rsid w:val="7E791CAD"/>
    <w:rsid w:val="7EA07900"/>
    <w:rsid w:val="7EA50DFB"/>
    <w:rsid w:val="7EC86878"/>
    <w:rsid w:val="7F067522"/>
    <w:rsid w:val="7F16390D"/>
    <w:rsid w:val="7F224E35"/>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5"/>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8">
    <w:name w:val="Balloon Text"/>
    <w:basedOn w:val="1"/>
    <w:link w:val="40"/>
    <w:semiHidden/>
    <w:unhideWhenUsed/>
    <w:qFormat/>
    <w:uiPriority w:val="99"/>
    <w:rPr>
      <w:sz w:val="18"/>
      <w:szCs w:val="18"/>
    </w:rPr>
  </w:style>
  <w:style w:type="paragraph" w:styleId="19">
    <w:name w:val="footer"/>
    <w:basedOn w:val="1"/>
    <w:link w:val="34"/>
    <w:unhideWhenUsed/>
    <w:qFormat/>
    <w:uiPriority w:val="99"/>
    <w:pPr>
      <w:tabs>
        <w:tab w:val="center" w:pos="4153"/>
        <w:tab w:val="right" w:pos="8306"/>
      </w:tabs>
      <w:snapToGrid w:val="0"/>
      <w:jc w:val="left"/>
    </w:pPr>
    <w:rPr>
      <w:sz w:val="18"/>
      <w:szCs w:val="18"/>
    </w:rPr>
  </w:style>
  <w:style w:type="paragraph" w:styleId="20">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4">
    <w:name w:val="Body Text First Indent"/>
    <w:basedOn w:val="11"/>
    <w:unhideWhenUsed/>
    <w:qFormat/>
    <w:uiPriority w:val="99"/>
    <w:pPr>
      <w:ind w:firstLine="420"/>
    </w:p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7"/>
    <w:link w:val="20"/>
    <w:semiHidden/>
    <w:qFormat/>
    <w:uiPriority w:val="99"/>
    <w:rPr>
      <w:sz w:val="18"/>
      <w:szCs w:val="18"/>
    </w:rPr>
  </w:style>
  <w:style w:type="character" w:customStyle="1" w:styleId="34">
    <w:name w:val="页脚 Char"/>
    <w:basedOn w:val="27"/>
    <w:link w:val="19"/>
    <w:qFormat/>
    <w:uiPriority w:val="99"/>
    <w:rPr>
      <w:sz w:val="18"/>
      <w:szCs w:val="18"/>
    </w:rPr>
  </w:style>
  <w:style w:type="character" w:customStyle="1" w:styleId="35">
    <w:name w:val="标题 1 Char"/>
    <w:basedOn w:val="27"/>
    <w:link w:val="5"/>
    <w:qFormat/>
    <w:uiPriority w:val="9"/>
    <w:rPr>
      <w:rFonts w:eastAsia="方正小标宋简体"/>
      <w:bCs/>
      <w:kern w:val="44"/>
      <w:sz w:val="44"/>
      <w:szCs w:val="44"/>
    </w:rPr>
  </w:style>
  <w:style w:type="character" w:customStyle="1" w:styleId="36">
    <w:name w:val="标题 2 Char"/>
    <w:basedOn w:val="27"/>
    <w:link w:val="6"/>
    <w:qFormat/>
    <w:uiPriority w:val="9"/>
    <w:rPr>
      <w:rFonts w:eastAsia="方正小标宋简体" w:asciiTheme="majorHAnsi" w:hAnsiTheme="majorHAnsi" w:cstheme="majorBidi"/>
      <w:bCs/>
      <w:sz w:val="36"/>
      <w:szCs w:val="32"/>
    </w:rPr>
  </w:style>
  <w:style w:type="character" w:customStyle="1" w:styleId="37">
    <w:name w:val="标题 3 Char"/>
    <w:basedOn w:val="27"/>
    <w:link w:val="7"/>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8"/>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5"/>
    <w:next w:val="15"/>
    <w:qFormat/>
    <w:uiPriority w:val="0"/>
    <w:pPr>
      <w:spacing w:after="373"/>
    </w:pPr>
    <w:rPr>
      <w:color w:val="auto"/>
    </w:rPr>
  </w:style>
  <w:style w:type="paragraph" w:customStyle="1" w:styleId="43">
    <w:name w:val="CM91"/>
    <w:basedOn w:val="15"/>
    <w:next w:val="15"/>
    <w:qFormat/>
    <w:uiPriority w:val="0"/>
    <w:pPr>
      <w:spacing w:after="160"/>
    </w:pPr>
    <w:rPr>
      <w:color w:val="auto"/>
    </w:rPr>
  </w:style>
  <w:style w:type="character" w:customStyle="1" w:styleId="44">
    <w:name w:val="正文文本 3 Char"/>
    <w:link w:val="10"/>
    <w:qFormat/>
    <w:uiPriority w:val="99"/>
    <w:rPr>
      <w:sz w:val="16"/>
      <w:szCs w:val="16"/>
    </w:rPr>
  </w:style>
  <w:style w:type="character" w:customStyle="1" w:styleId="45">
    <w:name w:val="正文文本 3 Char1"/>
    <w:basedOn w:val="27"/>
    <w:link w:val="10"/>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4"/>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41"/>
    <w:basedOn w:val="27"/>
    <w:qFormat/>
    <w:uiPriority w:val="0"/>
    <w:rPr>
      <w:rFonts w:ascii="Arial" w:hAnsi="Arial" w:cs="Arial"/>
      <w:color w:val="000000"/>
      <w:sz w:val="28"/>
      <w:szCs w:val="28"/>
      <w:u w:val="none"/>
    </w:rPr>
  </w:style>
  <w:style w:type="character" w:customStyle="1" w:styleId="53">
    <w:name w:val="font61"/>
    <w:basedOn w:val="27"/>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6">
    <w:name w:val="font51"/>
    <w:basedOn w:val="27"/>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31848</Words>
  <Characters>33750</Characters>
  <Lines>300</Lines>
  <Paragraphs>84</Paragraphs>
  <TotalTime>7</TotalTime>
  <ScaleCrop>false</ScaleCrop>
  <LinksUpToDate>false</LinksUpToDate>
  <CharactersWithSpaces>36512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2023-03-07T01:42:00Z</cp:lastPrinted>
  <dcterms:modified xsi:type="dcterms:W3CDTF">2023-11-09T07:30:26Z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D179DCA1492240F3AC8731F46A04F9CB</vt:lpwstr>
  </property>
</Properties>
</file>