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52"/>
          <w:szCs w:val="52"/>
          <w:highlight w:val="none"/>
        </w:rPr>
      </w:pPr>
      <w:bookmarkStart w:id="176" w:name="_GoBack"/>
      <w:bookmarkEnd w:id="176"/>
    </w:p>
    <w:p>
      <w:pPr>
        <w:jc w:val="center"/>
        <w:rPr>
          <w:rFonts w:hint="eastAsia" w:ascii="方正小标宋简体" w:hAnsi="方正小标宋简体" w:eastAsia="方正小标宋简体" w:cs="方正小标宋简体"/>
          <w:b/>
          <w:sz w:val="52"/>
          <w:szCs w:val="52"/>
          <w:lang w:val="en-US" w:eastAsia="zh-CN"/>
        </w:rPr>
      </w:pPr>
      <w:r>
        <w:rPr>
          <w:rFonts w:hint="eastAsia" w:ascii="方正小标宋简体" w:hAnsi="方正小标宋简体" w:eastAsia="方正小标宋简体" w:cs="方正小标宋简体"/>
          <w:b/>
          <w:sz w:val="52"/>
          <w:szCs w:val="52"/>
          <w:lang w:val="en-US" w:eastAsia="zh-CN"/>
        </w:rPr>
        <w:t>广州市净水有限公司关于猎德、大坦沙等八厂构筑物安全检测鉴定项目</w:t>
      </w:r>
    </w:p>
    <w:p>
      <w:pPr>
        <w:pStyle w:val="2"/>
        <w:rPr>
          <w:rFonts w:hint="eastAsia"/>
          <w:lang w:val="en-US" w:eastAsia="zh-CN"/>
        </w:rPr>
      </w:pPr>
    </w:p>
    <w:p>
      <w:pPr>
        <w:pStyle w:val="2"/>
        <w:rPr>
          <w:rFonts w:hint="eastAsia"/>
          <w:lang w:val="en-US" w:eastAsia="zh-CN"/>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ind w:left="0" w:leftChars="0" w:firstLine="0" w:firstLineChars="0"/>
        <w:rPr>
          <w:rFonts w:hint="eastAsia" w:ascii="仿宋_GB2312" w:eastAsia="仿宋_GB2312"/>
          <w:color w:val="auto"/>
          <w:sz w:val="32"/>
          <w:szCs w:val="32"/>
          <w:highlight w:val="none"/>
        </w:rPr>
      </w:pPr>
    </w:p>
    <w:p>
      <w:pPr>
        <w:pStyle w:val="2"/>
        <w:ind w:left="0" w:leftChars="0" w:firstLine="0" w:firstLineChars="0"/>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31938"/>
      <w:bookmarkStart w:id="5" w:name="_Toc19609"/>
      <w:bookmarkStart w:id="6" w:name="_Toc4275"/>
      <w:bookmarkStart w:id="7" w:name="_Toc11322"/>
      <w:bookmarkStart w:id="8" w:name="_Toc17801"/>
      <w:bookmarkStart w:id="9" w:name="_Toc1669"/>
      <w:bookmarkStart w:id="10" w:name="_Toc751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518160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0.8pt;height:0pt;width:75.5pt;z-index:251671552;mso-width-relative:page;mso-height-relative:page;" filled="f" stroked="t" coordsize="21600,21600" o:gfxdata="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Dtiic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color w:val="auto"/>
          <w:highlight w:val="none"/>
        </w:rPr>
      </w:pPr>
    </w:p>
    <w:p>
      <w:pPr>
        <w:pStyle w:val="4"/>
        <w:rPr>
          <w:color w:val="auto"/>
          <w:highlight w:val="none"/>
        </w:rPr>
      </w:pPr>
      <w:bookmarkStart w:id="11" w:name="_Toc5230"/>
      <w:bookmarkStart w:id="12" w:name="_Toc88209924"/>
      <w:bookmarkStart w:id="13" w:name="_Toc30989"/>
      <w:bookmarkStart w:id="14" w:name="_Toc10122"/>
      <w:bookmarkStart w:id="15" w:name="_Toc999"/>
      <w:bookmarkStart w:id="16" w:name="_Toc14238"/>
      <w:bookmarkStart w:id="17" w:name="_Toc15709"/>
      <w:bookmarkStart w:id="18" w:name="_Toc8201"/>
      <w:bookmarkStart w:id="19" w:name="_Toc28995"/>
      <w:bookmarkStart w:id="20" w:name="_Toc26363"/>
      <w:bookmarkStart w:id="21" w:name="_Toc30131"/>
      <w:bookmarkStart w:id="22" w:name="_Toc2659"/>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rFonts w:hint="eastAsia"/>
          <w:color w:val="auto"/>
          <w:highlight w:val="none"/>
          <w:u w:val="single"/>
          <w:lang w:val="en-US" w:eastAsia="zh-CN"/>
        </w:rPr>
      </w:pPr>
      <w:bookmarkStart w:id="23" w:name="_Toc9680"/>
      <w:bookmarkStart w:id="24" w:name="_Toc21373"/>
      <w:r>
        <w:rPr>
          <w:rFonts w:hint="eastAsia"/>
          <w:color w:val="auto"/>
          <w:highlight w:val="none"/>
          <w:u w:val="single"/>
          <w:lang w:val="en-US" w:eastAsia="zh-CN"/>
        </w:rPr>
        <w:t>广州市净水有限公司关于猎德、大坦沙等八厂构筑物</w:t>
      </w:r>
    </w:p>
    <w:p>
      <w:pPr>
        <w:pStyle w:val="5"/>
        <w:spacing w:line="600" w:lineRule="exact"/>
        <w:rPr>
          <w:color w:val="auto"/>
          <w:highlight w:val="none"/>
        </w:rPr>
      </w:pPr>
      <w:r>
        <w:rPr>
          <w:rFonts w:hint="eastAsia"/>
          <w:color w:val="auto"/>
          <w:highlight w:val="none"/>
          <w:u w:val="single"/>
          <w:lang w:val="en-US" w:eastAsia="zh-CN"/>
        </w:rPr>
        <w:t>安全检测鉴定项目</w:t>
      </w: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广州市净水有限公司关于猎德、大坦沙等八厂构筑物安全检测鉴定项目</w:t>
      </w:r>
      <w:r>
        <w:rPr>
          <w:rFonts w:hint="eastAsia" w:ascii="仿宋_GB2312" w:eastAsia="仿宋_GB2312"/>
          <w:color w:val="auto"/>
          <w:sz w:val="28"/>
          <w:szCs w:val="28"/>
          <w:highlight w:val="none"/>
        </w:rPr>
        <w:t xml:space="preserve">已具备采购条件，现对该□施工  □货物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服务项目实施公开采购</w:t>
      </w:r>
      <w:bookmarkStart w:id="25" w:name="采购公告"/>
      <w:bookmarkEnd w:id="25"/>
      <w:r>
        <w:rPr>
          <w:rFonts w:hint="eastAsia" w:ascii="仿宋_GB2312" w:eastAsia="仿宋_GB2312"/>
          <w:color w:val="auto"/>
          <w:sz w:val="28"/>
          <w:szCs w:val="28"/>
          <w:highlight w:val="none"/>
        </w:rPr>
        <w:t>活动，采</w:t>
      </w:r>
      <w:r>
        <w:rPr>
          <w:rFonts w:hint="eastAsia" w:ascii="仿宋_GB2312" w:eastAsia="仿宋_GB2312"/>
          <w:color w:val="auto"/>
          <w:sz w:val="28"/>
          <w:szCs w:val="28"/>
          <w:highlight w:val="none"/>
          <w:u w:val="none"/>
        </w:rPr>
        <w:t>用</w:t>
      </w:r>
      <w:r>
        <w:rPr>
          <w:rFonts w:hint="eastAsia" w:ascii="仿宋_GB2312" w:eastAsia="仿宋_GB2312"/>
          <w:color w:val="auto"/>
          <w:sz w:val="28"/>
          <w:szCs w:val="28"/>
          <w:highlight w:val="none"/>
          <w:lang w:eastAsia="zh-CN"/>
        </w:rPr>
        <w:t>□</w:t>
      </w:r>
      <w:r>
        <w:rPr>
          <w:rFonts w:hint="eastAsia" w:ascii="仿宋" w:hAnsi="仿宋" w:eastAsia="仿宋" w:cs="仿宋"/>
          <w:color w:val="auto"/>
          <w:sz w:val="28"/>
          <w:szCs w:val="28"/>
          <w:highlight w:val="none"/>
          <w:u w:val="none"/>
          <w:lang w:val="en-US" w:eastAsia="zh-CN"/>
        </w:rPr>
        <w:t>邀请</w:t>
      </w:r>
      <w:r>
        <w:rPr>
          <w:rFonts w:hint="eastAsia" w:ascii="仿宋" w:hAnsi="仿宋" w:eastAsia="仿宋" w:cs="仿宋"/>
          <w:color w:val="auto"/>
          <w:sz w:val="28"/>
          <w:szCs w:val="28"/>
          <w:highlight w:val="none"/>
          <w:u w:val="none"/>
        </w:rPr>
        <w:t>询比</w:t>
      </w: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sym w:font="Wingdings 2" w:char="0052"/>
      </w:r>
      <w:r>
        <w:rPr>
          <w:rFonts w:hint="eastAsia" w:ascii="仿宋" w:hAnsi="仿宋" w:eastAsia="仿宋" w:cs="仿宋"/>
          <w:color w:val="auto"/>
          <w:sz w:val="28"/>
          <w:szCs w:val="28"/>
          <w:highlight w:val="none"/>
          <w:u w:val="none"/>
          <w:lang w:val="en-US" w:eastAsia="zh-CN"/>
        </w:rPr>
        <w:t>公开询比</w:t>
      </w:r>
      <w:r>
        <w:rPr>
          <w:rFonts w:hint="eastAsia" w:ascii="仿宋_GB2312" w:eastAsia="仿宋_GB2312"/>
          <w:color w:val="auto"/>
          <w:sz w:val="28"/>
          <w:szCs w:val="28"/>
          <w:highlight w:val="none"/>
          <w:u w:val="none"/>
        </w:rPr>
        <w:t>方</w:t>
      </w:r>
      <w:r>
        <w:rPr>
          <w:rFonts w:hint="eastAsia" w:ascii="仿宋_GB2312" w:eastAsia="仿宋_GB2312"/>
          <w:color w:val="auto"/>
          <w:sz w:val="28"/>
          <w:szCs w:val="28"/>
          <w:highlight w:val="none"/>
        </w:rPr>
        <w:t>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广州市净水有限公司关于猎德、大坦沙等八厂构筑物安全检测鉴定项目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XJ-20231108-3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default" w:ascii="仿宋_GB2312" w:eastAsia="仿宋_GB2312"/>
          <w:color w:val="0000FF"/>
          <w:sz w:val="28"/>
          <w:szCs w:val="28"/>
          <w:highlight w:val="none"/>
          <w:u w:val="single"/>
          <w:lang w:val="en-US"/>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hAnsiTheme="minorHAnsi" w:cstheme="minorBidi"/>
          <w:color w:val="auto"/>
          <w:sz w:val="28"/>
          <w:szCs w:val="28"/>
          <w:highlight w:val="none"/>
          <w:u w:val="single"/>
          <w:lang w:val="en-US" w:eastAsia="zh-CN"/>
        </w:rPr>
        <w:t>720939.14元</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ind w:firstLine="560" w:firstLineChars="200"/>
        <w:rPr>
          <w:color w:val="auto"/>
          <w:highlight w:val="none"/>
        </w:rPr>
      </w:pPr>
      <w:r>
        <w:rPr>
          <w:rFonts w:hint="eastAsia" w:ascii="仿宋" w:hAnsi="仿宋" w:eastAsia="仿宋" w:cs="仿宋"/>
          <w:color w:val="auto"/>
          <w:sz w:val="28"/>
          <w:szCs w:val="28"/>
          <w:highlight w:val="none"/>
          <w:u w:val="none"/>
          <w:lang w:val="en-US" w:eastAsia="zh-CN"/>
        </w:rPr>
        <w:t>对大坦沙、猎德、沥滘、龙归、竹料、石井、京溪、大沙地等八个厂的构筑进行结构安全检测鉴定。</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val="en-US" w:eastAsia="zh-CN"/>
        </w:rPr>
        <w:t>自合同签订之日起30天。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猎德分公司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按合同条款和有关技术标准规范进行验收。使用的各种材料必须符合设计和</w:t>
      </w:r>
      <w:r>
        <w:rPr>
          <w:rFonts w:hint="eastAsia" w:ascii="仿宋_GB2312" w:eastAsia="仿宋_GB2312"/>
          <w:color w:val="auto"/>
          <w:sz w:val="28"/>
          <w:szCs w:val="28"/>
          <w:highlight w:val="none"/>
          <w:u w:val="single"/>
          <w:lang w:val="en-US" w:eastAsia="zh-CN"/>
        </w:rPr>
        <w:t>有关技术标准</w:t>
      </w:r>
      <w:r>
        <w:rPr>
          <w:rFonts w:hint="eastAsia" w:ascii="仿宋_GB2312" w:eastAsia="仿宋_GB2312"/>
          <w:color w:val="auto"/>
          <w:sz w:val="28"/>
          <w:szCs w:val="28"/>
          <w:highlight w:val="none"/>
          <w:u w:val="single"/>
        </w:rPr>
        <w:t xml:space="preserve">规范要求。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供应商应当具备房屋安全鉴定资质，同时持有《房屋安全鉴定机构等级评定证书》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提供复印件证明，加盖单位公章</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 xml:space="preserve"> 2020 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一项房屋安全鉴定</w:t>
      </w:r>
      <w:r>
        <w:rPr>
          <w:rFonts w:hint="eastAsia" w:ascii="仿宋_GB2312" w:eastAsia="仿宋_GB2312"/>
          <w:color w:val="auto"/>
          <w:sz w:val="28"/>
          <w:szCs w:val="28"/>
          <w:highlight w:val="none"/>
          <w:u w:val="none"/>
        </w:rPr>
        <w:t>项目的业绩。（提供合同复印件证明，包括但不限于项目名称、金额及实施内容、合同盖章、签订日期，加盖单位公章）</w:t>
      </w:r>
    </w:p>
    <w:p>
      <w:pPr>
        <w:pStyle w:val="2"/>
        <w:adjustRightInd w:val="0"/>
        <w:snapToGrid w:val="0"/>
        <w:spacing w:line="600" w:lineRule="exact"/>
        <w:ind w:firstLine="0"/>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（4）项目负责人应当具备结构工程师证</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并提供</w:t>
      </w:r>
      <w:r>
        <w:rPr>
          <w:rFonts w:hint="eastAsia" w:ascii="仿宋_GB2312" w:eastAsia="仿宋_GB2312"/>
          <w:color w:val="auto"/>
          <w:sz w:val="28"/>
          <w:szCs w:val="28"/>
          <w:highlight w:val="none"/>
          <w:u w:val="none"/>
          <w:lang w:eastAsia="zh-CN"/>
        </w:rPr>
        <w:t>在本单位近三个月社保记录，（以加盖社会保险基金管理中心印章的《缴费历史明细表》或《社会保险参保人员证明》为准，</w:t>
      </w:r>
      <w:r>
        <w:rPr>
          <w:rFonts w:hint="eastAsia" w:ascii="仿宋_GB2312" w:eastAsia="仿宋_GB2312"/>
          <w:color w:val="auto"/>
          <w:sz w:val="28"/>
          <w:szCs w:val="28"/>
          <w:highlight w:val="none"/>
          <w:u w:val="none"/>
          <w:lang w:val="en-US" w:eastAsia="zh-CN"/>
        </w:rPr>
        <w:t>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360" w:lineRule="auto"/>
        <w:ind w:firstLine="420" w:firstLineChars="150"/>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360" w:lineRule="auto"/>
        <w:ind w:firstLine="420" w:firstLineChars="150"/>
        <w:rPr>
          <w:rFonts w:ascii="仿宋_GB2312" w:eastAsia="仿宋_GB2312"/>
          <w:sz w:val="28"/>
          <w:szCs w:val="28"/>
        </w:rPr>
      </w:pPr>
      <w:r>
        <w:rPr>
          <w:rFonts w:hint="eastAsia" w:ascii="仿宋_GB2312" w:eastAsia="仿宋_GB2312"/>
          <w:sz w:val="28"/>
          <w:szCs w:val="28"/>
        </w:rPr>
        <w:t>（2）与本项目其他供应商存在控股或管理关系。</w:t>
      </w:r>
    </w:p>
    <w:p>
      <w:pPr>
        <w:adjustRightInd w:val="0"/>
        <w:snapToGrid w:val="0"/>
        <w:spacing w:line="360" w:lineRule="auto"/>
        <w:ind w:firstLine="420" w:firstLineChars="150"/>
        <w:rPr>
          <w:rFonts w:ascii="仿宋_GB2312" w:eastAsia="仿宋_GB2312"/>
          <w:sz w:val="28"/>
          <w:szCs w:val="28"/>
        </w:rPr>
      </w:pPr>
      <w:r>
        <w:rPr>
          <w:rFonts w:hint="eastAsia" w:ascii="仿宋_GB2312" w:eastAsia="仿宋_GB2312"/>
          <w:sz w:val="28"/>
          <w:szCs w:val="28"/>
        </w:rPr>
        <w:t>（3）被本项目所在地省级以上行业主管部门依法暂停、取消投标或禁止参加采购活动且处于有效期内的。</w:t>
      </w:r>
    </w:p>
    <w:p>
      <w:pPr>
        <w:adjustRightInd w:val="0"/>
        <w:snapToGrid w:val="0"/>
        <w:spacing w:line="360" w:lineRule="auto"/>
        <w:ind w:firstLine="420" w:firstLineChars="150"/>
        <w:rPr>
          <w:rFonts w:ascii="仿宋_GB2312" w:eastAsia="仿宋_GB2312"/>
          <w:sz w:val="28"/>
          <w:szCs w:val="28"/>
        </w:rPr>
      </w:pPr>
      <w:r>
        <w:rPr>
          <w:rFonts w:hint="eastAsia" w:ascii="仿宋_GB2312" w:eastAsia="仿宋_GB2312"/>
          <w:sz w:val="28"/>
          <w:szCs w:val="28"/>
        </w:rPr>
        <w:t>（4）处于被责令停产停业、暂扣或者吊销执照、暂扣或者吊销许可证、吊销资质证书状态。</w:t>
      </w:r>
    </w:p>
    <w:p>
      <w:pPr>
        <w:adjustRightInd w:val="0"/>
        <w:snapToGrid w:val="0"/>
        <w:spacing w:line="360" w:lineRule="auto"/>
        <w:ind w:firstLine="420" w:firstLineChars="150"/>
        <w:rPr>
          <w:rFonts w:ascii="仿宋_GB2312" w:eastAsia="仿宋_GB2312"/>
          <w:sz w:val="28"/>
          <w:szCs w:val="28"/>
        </w:rPr>
      </w:pPr>
      <w:r>
        <w:rPr>
          <w:rFonts w:hint="eastAsia" w:ascii="仿宋_GB2312" w:eastAsia="仿宋_GB2312"/>
          <w:sz w:val="28"/>
          <w:szCs w:val="28"/>
        </w:rPr>
        <w:t>（5）进入清算程序，或被宣告破产，或其他丧失履约能力情形的。</w:t>
      </w:r>
    </w:p>
    <w:p>
      <w:pPr>
        <w:adjustRightInd w:val="0"/>
        <w:snapToGrid w:val="0"/>
        <w:spacing w:line="360" w:lineRule="auto"/>
        <w:ind w:firstLine="420" w:firstLineChars="150"/>
        <w:rPr>
          <w:rFonts w:ascii="仿宋_GB2312" w:eastAsia="仿宋_GB2312"/>
          <w:sz w:val="28"/>
          <w:szCs w:val="28"/>
        </w:rPr>
      </w:pPr>
      <w:r>
        <w:rPr>
          <w:rFonts w:hint="eastAsia" w:ascii="仿宋_GB2312" w:eastAsia="仿宋_GB2312"/>
          <w:sz w:val="28"/>
          <w:szCs w:val="28"/>
        </w:rPr>
        <w:t>（6）近三年内因发生质量或安全生产事故等受到行政处罚且在处罚期内的。</w:t>
      </w:r>
    </w:p>
    <w:p>
      <w:pPr>
        <w:adjustRightInd w:val="0"/>
        <w:snapToGrid w:val="0"/>
        <w:spacing w:line="360" w:lineRule="auto"/>
        <w:ind w:firstLine="420" w:firstLineChars="150"/>
        <w:rPr>
          <w:rFonts w:ascii="仿宋_GB2312" w:eastAsia="仿宋_GB2312"/>
          <w:sz w:val="28"/>
          <w:szCs w:val="28"/>
        </w:rPr>
      </w:pPr>
      <w:r>
        <w:rPr>
          <w:rFonts w:hint="eastAsia" w:ascii="仿宋_GB2312" w:eastAsia="仿宋_GB2312"/>
          <w:sz w:val="28"/>
          <w:szCs w:val="28"/>
        </w:rPr>
        <w:t>（7）被最高人民法院在“信用中国”网站（www.creditchina.gov.cn）或各级信用信息共享平台中列入失信被执行人名单。</w:t>
      </w:r>
    </w:p>
    <w:p>
      <w:pPr>
        <w:adjustRightInd w:val="0"/>
        <w:snapToGrid w:val="0"/>
        <w:spacing w:line="360" w:lineRule="auto"/>
        <w:ind w:firstLine="420" w:firstLineChars="150"/>
        <w:rPr>
          <w:rFonts w:ascii="仿宋_GB2312" w:eastAsia="仿宋_GB2312"/>
          <w:sz w:val="28"/>
          <w:szCs w:val="28"/>
        </w:rPr>
      </w:pPr>
      <w:r>
        <w:rPr>
          <w:rFonts w:hint="eastAsia" w:ascii="仿宋_GB2312" w:eastAsia="仿宋_GB2312"/>
          <w:sz w:val="28"/>
          <w:szCs w:val="28"/>
        </w:rPr>
        <w:t>（8）被“全国企业信用信息公示系统”（网址：http://www.gsxt.gov.cn/）列入经营异常名录和严重违法企业名单。</w:t>
      </w:r>
    </w:p>
    <w:p>
      <w:pPr>
        <w:adjustRightInd w:val="0"/>
        <w:snapToGrid w:val="0"/>
        <w:spacing w:line="360" w:lineRule="auto"/>
        <w:ind w:firstLine="420" w:firstLineChars="150"/>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360" w:lineRule="auto"/>
        <w:ind w:firstLine="420" w:firstLineChars="150"/>
        <w:rPr>
          <w:rFonts w:ascii="仿宋_GB2312" w:eastAsia="仿宋_GB2312"/>
          <w:sz w:val="28"/>
          <w:szCs w:val="28"/>
        </w:rPr>
      </w:pPr>
      <w:r>
        <w:rPr>
          <w:rFonts w:hint="eastAsia" w:ascii="仿宋_GB2312" w:eastAsia="仿宋_GB2312"/>
          <w:sz w:val="28"/>
          <w:szCs w:val="28"/>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sz w:val="28"/>
          <w:szCs w:val="28"/>
        </w:rPr>
        <w:t>（11）其他禁止情形：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 w:hAnsi="仿宋" w:eastAsia="仿宋" w:cs="仿宋"/>
          <w:sz w:val="28"/>
          <w:szCs w:val="28"/>
          <w:highlight w:val="none"/>
        </w:rPr>
      </w:pPr>
      <w:r>
        <w:rPr>
          <w:rFonts w:hint="eastAsia" w:ascii="仿宋" w:hAnsi="仿宋" w:eastAsia="仿宋" w:cs="仿宋"/>
          <w:sz w:val="28"/>
          <w:szCs w:val="28"/>
          <w:highlight w:val="none"/>
        </w:rPr>
        <w:t>从</w:t>
      </w:r>
      <w:r>
        <w:rPr>
          <w:rFonts w:hint="eastAsia" w:ascii="仿宋" w:hAnsi="仿宋" w:eastAsia="仿宋" w:cs="仿宋"/>
          <w:sz w:val="28"/>
          <w:szCs w:val="28"/>
          <w:highlight w:val="none"/>
          <w:u w:val="single"/>
        </w:rPr>
        <w:t>202</w:t>
      </w:r>
      <w:r>
        <w:rPr>
          <w:rFonts w:ascii="仿宋" w:hAnsi="仿宋" w:eastAsia="仿宋" w:cs="仿宋"/>
          <w:sz w:val="28"/>
          <w:szCs w:val="28"/>
          <w:highlight w:val="none"/>
          <w:u w:val="single"/>
        </w:rPr>
        <w:t>3</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202</w:t>
      </w:r>
      <w:r>
        <w:rPr>
          <w:rFonts w:ascii="仿宋" w:hAnsi="仿宋" w:eastAsia="仿宋" w:cs="仿宋"/>
          <w:sz w:val="28"/>
          <w:szCs w:val="28"/>
          <w:highlight w:val="none"/>
          <w:u w:val="single"/>
        </w:rPr>
        <w:t>3</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ind w:firstLine="0" w:firstLineChars="0"/>
        <w:rPr>
          <w:rFonts w:hint="eastAsia" w:ascii="仿宋_GB2312" w:eastAsia="仿宋_GB2312"/>
          <w:color w:val="auto"/>
          <w:sz w:val="28"/>
          <w:szCs w:val="28"/>
          <w:highlight w:val="none"/>
          <w:lang w:val="en-US" w:eastAsia="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踏勘现场联系人：严工</w:t>
      </w:r>
    </w:p>
    <w:p>
      <w:pPr>
        <w:pStyle w:val="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踏勘现场联系人联系方式：17278657040</w:t>
      </w:r>
    </w:p>
    <w:p>
      <w:pPr>
        <w:adjustRightInd w:val="0"/>
        <w:snapToGrid w:val="0"/>
        <w:spacing w:line="360" w:lineRule="auto"/>
        <w:ind w:firstLine="0"/>
        <w:rPr>
          <w:rFonts w:hint="eastAsia" w:ascii="仿宋_GB2312" w:eastAsia="仿宋_GB2312" w:hAnsiTheme="minorHAnsi"/>
          <w:color w:val="auto"/>
          <w:sz w:val="28"/>
          <w:szCs w:val="28"/>
          <w:highlight w:val="none"/>
          <w:lang w:val="en-US" w:eastAsia="zh-CN"/>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none"/>
        </w:rPr>
        <w:t>分</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广州市天河区临江大道501号广州净水公司猎德分公司。</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11 </w:t>
      </w:r>
      <w:r>
        <w:rPr>
          <w:rFonts w:hint="eastAsia" w:ascii="仿宋_GB2312" w:eastAsia="仿宋_GB2312"/>
          <w:sz w:val="28"/>
          <w:szCs w:val="28"/>
          <w:highlight w:val="none"/>
        </w:rPr>
        <w:t> 月</w:t>
      </w:r>
      <w:r>
        <w:rPr>
          <w:rFonts w:hint="eastAsia" w:ascii="仿宋_GB2312" w:eastAsia="仿宋_GB2312"/>
          <w:sz w:val="28"/>
          <w:szCs w:val="28"/>
          <w:highlight w:val="none"/>
          <w:u w:val="single"/>
          <w:lang w:val="en-US" w:eastAsia="zh-CN"/>
        </w:rPr>
        <w:t xml:space="preserve"> 14 </w:t>
      </w:r>
      <w:r>
        <w:rPr>
          <w:rFonts w:hint="eastAsia" w:ascii="仿宋_GB2312" w:eastAsia="仿宋_GB2312"/>
          <w:sz w:val="28"/>
          <w:szCs w:val="28"/>
          <w:highlight w:val="none"/>
          <w:u w:val="single"/>
        </w:rPr>
        <w:t>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9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11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14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r>
        <w:rPr>
          <w:rFonts w:hint="eastAsia" w:ascii="仿宋_GB2312" w:eastAsia="仿宋_GB2312"/>
          <w:color w:val="auto"/>
          <w:sz w:val="28"/>
          <w:szCs w:val="28"/>
          <w:highlight w:val="none"/>
        </w:rPr>
        <w:t>递交响应文件截止时间</w:t>
      </w:r>
      <w:r>
        <w:rPr>
          <w:rFonts w:hint="eastAsia" w:ascii="仿宋_GB2312" w:eastAsia="仿宋_GB2312"/>
          <w:sz w:val="28"/>
          <w:szCs w:val="28"/>
          <w:highlight w:val="none"/>
        </w:rPr>
        <w:t>：</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11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14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p>
    <w:p>
      <w:pPr>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递交地址：广州市天河区临江大道501号广州市净水有限公司6楼招标部。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adjustRightInd w:val="0"/>
        <w:snapToGrid w:val="0"/>
        <w:spacing w:line="600" w:lineRule="exact"/>
        <w:ind w:firstLine="560" w:firstLineChars="200"/>
        <w:jc w:val="left"/>
        <w:rPr>
          <w:rFonts w:hint="eastAsia" w:ascii="仿宋_GB2312" w:eastAsia="仿宋_GB2312" w:hAnsiTheme="minorHAnsi"/>
          <w:b w:val="0"/>
          <w:color w:val="auto"/>
          <w:sz w:val="28"/>
          <w:szCs w:val="28"/>
          <w:highlight w:val="none"/>
          <w:lang w:val="en-US" w:eastAsia="zh-CN"/>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 xml:space="preserve"> 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日</w:t>
            </w:r>
          </w:p>
        </w:tc>
      </w:tr>
    </w:tbl>
    <w:p>
      <w:pPr>
        <w:pStyle w:val="2"/>
        <w:ind w:left="0" w:leftChars="0" w:firstLine="0" w:firstLineChars="0"/>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b/>
          <w:color w:val="auto"/>
          <w:sz w:val="28"/>
          <w:szCs w:val="28"/>
          <w:highlight w:val="none"/>
          <w:lang w:val="en-US" w:eastAsia="zh-CN"/>
        </w:rPr>
      </w:pPr>
    </w:p>
    <w:p>
      <w:pPr>
        <w:pStyle w:val="2"/>
        <w:rPr>
          <w:rFonts w:hint="eastAsia" w:ascii="仿宋" w:hAnsi="仿宋" w:eastAsia="仿宋" w:cs="仿宋"/>
          <w:b/>
          <w:color w:val="auto"/>
          <w:sz w:val="28"/>
          <w:szCs w:val="28"/>
          <w:highlight w:val="none"/>
          <w:lang w:val="en-US" w:eastAsia="zh-CN"/>
        </w:rPr>
      </w:pPr>
    </w:p>
    <w:p>
      <w:pPr>
        <w:pStyle w:val="2"/>
        <w:rPr>
          <w:rFonts w:hint="eastAsia" w:ascii="仿宋" w:hAnsi="仿宋" w:eastAsia="仿宋" w:cs="仿宋"/>
          <w:b/>
          <w:color w:val="auto"/>
          <w:sz w:val="28"/>
          <w:szCs w:val="28"/>
          <w:highlight w:val="none"/>
          <w:lang w:val="en-US" w:eastAsia="zh-CN"/>
        </w:rPr>
      </w:pPr>
    </w:p>
    <w:p>
      <w:pPr>
        <w:pStyle w:val="2"/>
        <w:rPr>
          <w:rFonts w:hint="eastAsia" w:ascii="仿宋" w:hAnsi="仿宋" w:eastAsia="仿宋" w:cs="仿宋"/>
          <w:b/>
          <w:color w:val="auto"/>
          <w:sz w:val="28"/>
          <w:szCs w:val="28"/>
          <w:highlight w:val="none"/>
          <w:lang w:val="en-US" w:eastAsia="zh-CN"/>
        </w:rPr>
      </w:pPr>
    </w:p>
    <w:p>
      <w:pPr>
        <w:pStyle w:val="2"/>
        <w:rPr>
          <w:rFonts w:hint="eastAsia" w:ascii="仿宋" w:hAnsi="仿宋" w:eastAsia="仿宋" w:cs="仿宋"/>
          <w:b/>
          <w:color w:val="auto"/>
          <w:sz w:val="28"/>
          <w:szCs w:val="28"/>
          <w:highlight w:val="none"/>
          <w:lang w:val="en-US" w:eastAsia="zh-CN"/>
        </w:rPr>
      </w:pPr>
    </w:p>
    <w:p>
      <w:pPr>
        <w:pStyle w:val="2"/>
        <w:rPr>
          <w:rFonts w:hint="eastAsia" w:ascii="仿宋" w:hAnsi="仿宋" w:eastAsia="仿宋" w:cs="仿宋"/>
          <w:b/>
          <w:color w:val="auto"/>
          <w:sz w:val="28"/>
          <w:szCs w:val="28"/>
          <w:highlight w:val="none"/>
          <w:lang w:val="en-US" w:eastAsia="zh-CN"/>
        </w:rPr>
      </w:pPr>
    </w:p>
    <w:p>
      <w:pPr>
        <w:pStyle w:val="2"/>
        <w:rPr>
          <w:rFonts w:hint="eastAsia" w:ascii="仿宋" w:hAnsi="仿宋" w:eastAsia="仿宋" w:cs="仿宋"/>
          <w:b/>
          <w:color w:val="auto"/>
          <w:sz w:val="28"/>
          <w:szCs w:val="28"/>
          <w:highlight w:val="none"/>
          <w:lang w:val="en-US" w:eastAsia="zh-CN"/>
        </w:rPr>
      </w:pPr>
    </w:p>
    <w:p>
      <w:pPr>
        <w:pStyle w:val="2"/>
        <w:rPr>
          <w:rFonts w:hint="eastAsia" w:ascii="仿宋" w:hAnsi="仿宋" w:eastAsia="仿宋" w:cs="仿宋"/>
          <w:b/>
          <w:color w:val="auto"/>
          <w:sz w:val="28"/>
          <w:szCs w:val="28"/>
          <w:highlight w:val="none"/>
          <w:lang w:val="en-US" w:eastAsia="zh-CN"/>
        </w:rPr>
      </w:pPr>
    </w:p>
    <w:p>
      <w:pPr>
        <w:pStyle w:val="2"/>
        <w:rPr>
          <w:rFonts w:hint="eastAsia" w:ascii="仿宋" w:hAnsi="仿宋" w:eastAsia="仿宋" w:cs="仿宋"/>
          <w:b/>
          <w:color w:val="auto"/>
          <w:sz w:val="28"/>
          <w:szCs w:val="28"/>
          <w:highlight w:val="none"/>
          <w:lang w:val="en-US" w:eastAsia="zh-CN"/>
        </w:rPr>
      </w:pPr>
    </w:p>
    <w:p>
      <w:pPr>
        <w:pStyle w:val="2"/>
        <w:rPr>
          <w:rFonts w:hint="eastAsia" w:ascii="仿宋" w:hAnsi="仿宋" w:eastAsia="仿宋" w:cs="仿宋"/>
          <w:b/>
          <w:color w:val="auto"/>
          <w:sz w:val="28"/>
          <w:szCs w:val="28"/>
          <w:highlight w:val="none"/>
          <w:lang w:val="en-US" w:eastAsia="zh-CN"/>
        </w:rPr>
      </w:pPr>
    </w:p>
    <w:p>
      <w:pPr>
        <w:pStyle w:val="2"/>
        <w:rPr>
          <w:rFonts w:hint="eastAsia" w:ascii="仿宋" w:hAnsi="仿宋" w:eastAsia="仿宋" w:cs="仿宋"/>
          <w:b/>
          <w:color w:val="auto"/>
          <w:sz w:val="28"/>
          <w:szCs w:val="28"/>
          <w:highlight w:val="none"/>
          <w:lang w:val="en-US" w:eastAsia="zh-CN"/>
        </w:rPr>
      </w:pPr>
    </w:p>
    <w:p>
      <w:pPr>
        <w:pStyle w:val="2"/>
        <w:rPr>
          <w:rFonts w:hint="eastAsia" w:ascii="仿宋" w:hAnsi="仿宋" w:eastAsia="仿宋" w:cs="仿宋"/>
          <w:b/>
          <w:color w:val="auto"/>
          <w:sz w:val="28"/>
          <w:szCs w:val="28"/>
          <w:highlight w:val="none"/>
          <w:lang w:val="en-US" w:eastAsia="zh-CN"/>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26" w:name="_Toc1089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color w:val="auto"/>
          <w:highlight w:val="none"/>
        </w:rPr>
      </w:pPr>
      <w:bookmarkStart w:id="27" w:name="_Toc2331"/>
      <w:bookmarkStart w:id="28" w:name="_Toc16557"/>
      <w:bookmarkStart w:id="29" w:name="_Toc2324"/>
      <w:bookmarkStart w:id="30" w:name="_Toc16705"/>
      <w:bookmarkStart w:id="31" w:name="_Toc9448"/>
      <w:bookmarkStart w:id="32" w:name="_Toc32588"/>
      <w:bookmarkStart w:id="33" w:name="_Toc7340"/>
      <w:bookmarkStart w:id="34" w:name="_Toc23749"/>
      <w:bookmarkStart w:id="35" w:name="_Toc25603"/>
      <w:bookmarkStart w:id="36" w:name="_Toc19295"/>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2296795</wp:posOffset>
                </wp:positionH>
                <wp:positionV relativeFrom="paragraph">
                  <wp:posOffset>730885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0.85pt;margin-top:57.55pt;height:0pt;width:75.5pt;z-index:251673600;mso-width-relative:page;mso-height-relative:page;" filled="f" stroked="t" coordsize="21600,21600" o:gfxdata="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C3cq1gAAAAs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224790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17.7pt;height:0pt;width:75.5pt;z-index:251672576;mso-width-relative:page;mso-height-relative:page;" filled="f" stroked="t" coordsize="21600,21600" o:gfxdata="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lpIn9cAAAAJ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6"/>
      <w:bookmarkEnd w:id="27"/>
      <w:bookmarkEnd w:id="28"/>
      <w:bookmarkEnd w:id="29"/>
      <w:bookmarkEnd w:id="30"/>
      <w:bookmarkEnd w:id="31"/>
      <w:bookmarkEnd w:id="32"/>
      <w:bookmarkEnd w:id="33"/>
      <w:bookmarkEnd w:id="34"/>
      <w:bookmarkEnd w:id="35"/>
      <w:bookmarkEnd w:id="36"/>
    </w:p>
    <w:p>
      <w:pPr>
        <w:pStyle w:val="5"/>
        <w:rPr>
          <w:rFonts w:hint="eastAsia"/>
          <w:color w:val="auto"/>
          <w:highlight w:val="none"/>
        </w:rPr>
      </w:pPr>
    </w:p>
    <w:p>
      <w:pPr>
        <w:pStyle w:val="5"/>
        <w:rPr>
          <w:color w:val="auto"/>
          <w:highlight w:val="none"/>
        </w:rPr>
      </w:pPr>
      <w:bookmarkStart w:id="37" w:name="_Toc2339"/>
      <w:bookmarkStart w:id="38" w:name="_Toc3416"/>
      <w:r>
        <w:rPr>
          <w:rFonts w:hint="eastAsia"/>
          <w:color w:val="auto"/>
          <w:highlight w:val="none"/>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附件5：</w:t>
      </w:r>
      <w:r>
        <w:rPr>
          <w:rFonts w:hint="eastAsia" w:ascii="仿宋_GB2312" w:eastAsia="仿宋_GB2312"/>
          <w:color w:val="auto"/>
          <w:sz w:val="28"/>
          <w:szCs w:val="28"/>
          <w:highlight w:val="none"/>
        </w:rPr>
        <w:t>关于**项目异议书</w:t>
      </w:r>
    </w:p>
    <w:p>
      <w:pPr>
        <w:pStyle w:val="2"/>
        <w:rPr>
          <w:rFonts w:hint="eastAsia" w:ascii="仿宋_GB2312" w:eastAsia="仿宋_GB2312"/>
          <w:color w:val="auto"/>
          <w:sz w:val="28"/>
          <w:szCs w:val="28"/>
          <w:highlight w:val="none"/>
        </w:rPr>
      </w:pPr>
    </w:p>
    <w:p>
      <w:pPr>
        <w:pStyle w:val="2"/>
        <w:ind w:left="0" w:leftChars="0" w:firstLine="0" w:firstLineChars="0"/>
        <w:rPr>
          <w:rFonts w:hint="eastAsia" w:ascii="仿宋_GB2312" w:eastAsia="仿宋_GB2312"/>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0"/>
        <w:rPr>
          <w:color w:val="auto"/>
          <w:highlight w:val="none"/>
        </w:rPr>
      </w:pPr>
    </w:p>
    <w:p>
      <w:pPr>
        <w:pStyle w:val="4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ascii="宋体" w:hAnsi="宋体" w:eastAsia="宋体"/>
          <w:b/>
          <w:color w:val="auto"/>
          <w:sz w:val="28"/>
          <w:szCs w:val="28"/>
          <w:highlight w:val="none"/>
        </w:rPr>
      </w:pPr>
      <w:r>
        <w:rPr>
          <w:rFonts w:hint="eastAsia" w:ascii="宋体" w:hAnsi="宋体" w:eastAsia="宋体"/>
          <w:b/>
          <w:color w:val="auto"/>
          <w:sz w:val="28"/>
          <w:szCs w:val="28"/>
          <w:highlight w:val="none"/>
        </w:rPr>
        <w:t>附件</w:t>
      </w:r>
      <w:r>
        <w:rPr>
          <w:rFonts w:hint="eastAsia" w:ascii="宋体" w:hAnsi="宋体" w:eastAsia="宋体"/>
          <w:b/>
          <w:color w:val="auto"/>
          <w:sz w:val="28"/>
          <w:szCs w:val="28"/>
          <w:highlight w:val="none"/>
          <w:lang w:val="en-US" w:eastAsia="zh-CN"/>
        </w:rPr>
        <w:t>5</w:t>
      </w:r>
      <w:r>
        <w:rPr>
          <w:rFonts w:hint="eastAsia" w:ascii="宋体" w:hAnsi="宋体" w:eastAsia="宋体"/>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w:t>
      </w:r>
      <w:r>
        <w:rPr>
          <w:rFonts w:hint="eastAsia" w:hAnsi="仿宋"/>
          <w:sz w:val="24"/>
          <w:highlight w:val="none"/>
          <w:lang w:eastAsia="zh-CN"/>
        </w:rPr>
        <w:t>供应商</w:t>
      </w:r>
      <w:r>
        <w:rPr>
          <w:rFonts w:hAnsi="仿宋"/>
          <w:sz w:val="24"/>
          <w:highlight w:val="none"/>
        </w:rPr>
        <w:t>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w:t>
      </w:r>
      <w:r>
        <w:rPr>
          <w:rFonts w:hint="eastAsia" w:hAnsi="仿宋"/>
          <w:sz w:val="24"/>
          <w:highlight w:val="none"/>
          <w:lang w:eastAsia="zh-CN"/>
        </w:rPr>
        <w:t>供应商</w:t>
      </w:r>
      <w:r>
        <w:rPr>
          <w:rFonts w:hAnsi="仿宋"/>
          <w:sz w:val="24"/>
          <w:highlight w:val="none"/>
        </w:rPr>
        <w:t>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w:t>
      </w:r>
      <w:r>
        <w:rPr>
          <w:rFonts w:hint="eastAsia" w:hAnsi="仿宋"/>
          <w:sz w:val="24"/>
          <w:highlight w:val="none"/>
          <w:lang w:eastAsia="zh-CN"/>
        </w:rPr>
        <w:t>供应商</w:t>
      </w:r>
      <w:r>
        <w:rPr>
          <w:rFonts w:hAnsi="仿宋"/>
          <w:sz w:val="24"/>
          <w:highlight w:val="none"/>
        </w:rPr>
        <w:t>绑定投标的附条件生效协议以及能证明其能履行该协议项下的合同义务的能力的证明文件。</w:t>
      </w:r>
      <w:r>
        <w:rPr>
          <w:rFonts w:hAnsi="仿宋"/>
          <w:sz w:val="24"/>
          <w:highlight w:val="none"/>
        </w:rPr>
        <w:tab/>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39" w:name="_Toc2867"/>
      <w:bookmarkStart w:id="40"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689610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54.3pt;height:0pt;width:75.5pt;z-index:251661312;mso-width-relative:page;mso-height-relative:page;" filled="f" stroked="t" coordsize="21600,21600" o:gfxdata="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IWjpdYAAAAL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9"/>
      <w:bookmarkEnd w:id="40"/>
    </w:p>
    <w:p>
      <w:pPr>
        <w:pStyle w:val="40"/>
        <w:rPr>
          <w:color w:val="auto"/>
          <w:highlight w:val="none"/>
        </w:rPr>
      </w:pPr>
    </w:p>
    <w:p>
      <w:pPr>
        <w:pStyle w:val="5"/>
        <w:rPr>
          <w:color w:val="auto"/>
          <w:highlight w:val="none"/>
        </w:rPr>
      </w:pPr>
      <w:bookmarkStart w:id="41" w:name="_Toc87616371"/>
      <w:bookmarkStart w:id="42" w:name="_Toc7303"/>
      <w:bookmarkStart w:id="43" w:name="_Toc88209934"/>
      <w:bookmarkStart w:id="44" w:name="_Toc7040"/>
      <w:r>
        <w:rPr>
          <w:rFonts w:hint="eastAsia"/>
          <w:color w:val="auto"/>
          <w:highlight w:val="none"/>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45" w:name="_Toc3789"/>
      <w:bookmarkStart w:id="46" w:name="_Toc24895"/>
      <w:r>
        <w:rPr>
          <w:rFonts w:hint="eastAsia"/>
          <w:color w:val="auto"/>
          <w:highlight w:val="none"/>
        </w:rPr>
        <w:t>询比采购</w:t>
      </w:r>
      <w:bookmarkEnd w:id="45"/>
      <w:bookmarkEnd w:id="46"/>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47" w:name="_Toc10930"/>
      <w:bookmarkStart w:id="48" w:name="_Toc23581"/>
      <w:bookmarkStart w:id="49" w:name="_Toc14552"/>
      <w:bookmarkStart w:id="50" w:name="_Toc20594"/>
      <w:bookmarkStart w:id="51" w:name="_Toc19050"/>
      <w:bookmarkStart w:id="52" w:name="_Toc19759"/>
      <w:bookmarkStart w:id="53" w:name="_Toc14870"/>
      <w:bookmarkStart w:id="54" w:name="_Toc4952"/>
      <w:bookmarkStart w:id="55" w:name="_Toc7118"/>
      <w:bookmarkStart w:id="56" w:name="_Toc7437"/>
      <w:bookmarkStart w:id="57" w:name="_Toc3156"/>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7"/>
      <w:bookmarkEnd w:id="48"/>
      <w:bookmarkEnd w:id="49"/>
      <w:bookmarkEnd w:id="50"/>
      <w:bookmarkEnd w:id="51"/>
      <w:bookmarkEnd w:id="52"/>
      <w:bookmarkEnd w:id="53"/>
      <w:bookmarkEnd w:id="54"/>
      <w:bookmarkEnd w:id="55"/>
      <w:bookmarkEnd w:id="56"/>
      <w:bookmarkEnd w:id="57"/>
    </w:p>
    <w:p>
      <w:pPr>
        <w:pStyle w:val="40"/>
        <w:rPr>
          <w:color w:val="auto"/>
          <w:highlight w:val="none"/>
        </w:rPr>
      </w:pPr>
    </w:p>
    <w:p>
      <w:pPr>
        <w:pStyle w:val="4"/>
        <w:rPr>
          <w:color w:val="auto"/>
          <w:highlight w:val="none"/>
        </w:rPr>
      </w:pPr>
      <w:bookmarkStart w:id="58" w:name="_Toc12177"/>
      <w:bookmarkStart w:id="59" w:name="_Toc21840"/>
      <w:bookmarkStart w:id="60" w:name="_Toc7831"/>
      <w:bookmarkStart w:id="61" w:name="_Toc30530"/>
      <w:bookmarkStart w:id="62" w:name="_Toc87616378"/>
      <w:bookmarkStart w:id="63" w:name="_Toc22212"/>
      <w:bookmarkStart w:id="64" w:name="_Toc29484"/>
      <w:bookmarkStart w:id="65" w:name="_Toc32607"/>
      <w:bookmarkStart w:id="66" w:name="_Toc13898"/>
      <w:bookmarkStart w:id="67" w:name="_Toc21079"/>
      <w:bookmarkStart w:id="68" w:name="_Toc6308"/>
      <w:bookmarkStart w:id="69" w:name="_Toc88209941"/>
      <w:bookmarkStart w:id="70" w:name="_Toc29345"/>
      <w:r>
        <w:rPr>
          <w:rFonts w:hint="eastAsia"/>
          <w:color w:val="auto"/>
          <w:highlight w:val="none"/>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71" w:name="_Toc23033"/>
      <w:bookmarkStart w:id="72" w:name="_Toc26826"/>
      <w:r>
        <w:rPr>
          <w:rFonts w:hint="eastAsia"/>
          <w:color w:val="auto"/>
          <w:highlight w:val="none"/>
        </w:rPr>
        <w:t>经评审的最低价法</w:t>
      </w:r>
      <w:bookmarkEnd w:id="71"/>
      <w:bookmarkEnd w:id="72"/>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73" w:name="_Toc88209947"/>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2369820</wp:posOffset>
                </wp:positionH>
                <wp:positionV relativeFrom="paragraph">
                  <wp:posOffset>481330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6.6pt;margin-top:37.9pt;height:0pt;width:75.5pt;z-index:251675648;mso-width-relative:page;mso-height-relative:page;" filled="f" stroked="t" coordsize="21600,21600" o:gfxdata="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0Z2dG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jc w:val="both"/>
        <w:rPr>
          <w:rFonts w:hint="eastAsia"/>
          <w:color w:val="auto"/>
          <w:szCs w:val="44"/>
          <w:highlight w:val="none"/>
        </w:rPr>
      </w:pPr>
    </w:p>
    <w:p>
      <w:pPr>
        <w:rPr>
          <w:rFonts w:hint="eastAsia"/>
        </w:rPr>
      </w:pPr>
    </w:p>
    <w:p>
      <w:pPr>
        <w:pStyle w:val="13"/>
        <w:numPr>
          <w:ilvl w:val="0"/>
          <w:numId w:val="4"/>
        </w:numPr>
        <w:adjustRightInd w:val="0"/>
        <w:snapToGrid w:val="0"/>
        <w:spacing w:line="360" w:lineRule="auto"/>
        <w:ind w:firstLine="562" w:firstLineChars="200"/>
        <w:rPr>
          <w:rFonts w:hint="eastAsia" w:ascii="仿宋_GB2312" w:hAnsi="仿宋_GB2312" w:eastAsia="仿宋_GB2312" w:cs="仿宋_GB2312"/>
          <w:color w:val="auto"/>
          <w:sz w:val="28"/>
          <w:szCs w:val="28"/>
          <w:highlight w:val="none"/>
          <w:lang w:val="en-US" w:eastAsia="zh-CN"/>
        </w:rPr>
      </w:pPr>
      <w:r>
        <w:rPr>
          <w:rFonts w:hint="eastAsia" w:ascii="仿宋" w:hAnsi="仿宋" w:eastAsia="仿宋" w:cs="仿宋_GB2312"/>
          <w:b/>
          <w:bCs/>
          <w:color w:val="auto"/>
          <w:kern w:val="0"/>
          <w:sz w:val="28"/>
          <w:szCs w:val="28"/>
          <w:highlight w:val="none"/>
          <w:lang w:val="en-US" w:eastAsia="zh-CN"/>
        </w:rPr>
        <w:t>项目内容及需求</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本项目需要</w:t>
      </w:r>
      <w:r>
        <w:rPr>
          <w:rFonts w:hint="eastAsia" w:ascii="仿宋_GB2312" w:hAnsi="仿宋_GB2312" w:eastAsia="仿宋_GB2312" w:cs="仿宋_GB2312"/>
          <w:color w:val="auto"/>
          <w:kern w:val="2"/>
          <w:sz w:val="28"/>
          <w:szCs w:val="28"/>
          <w:highlight w:val="none"/>
          <w:lang w:val="en-US" w:eastAsia="zh-CN" w:bidi="ar-SA"/>
        </w:rPr>
        <w:t>对猎德、大坦沙等八厂构筑物进行完损性安全检测鉴定，提出鉴定结论，对存在构筑物不满足安全使用要求及后期使用要求的构件提出合理的处理意见(若有)，遵循客观、科学、公正的原则编写并出具完损性安全鉴定报告书，为后续的安全使用提供科学参考依据及指引。</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（一）混凝土框架部分</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1.现场了解确定建筑物的尺寸、位置及使用功能及荷载；</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2.检测鉴定区域的轴线尺寸、层高等；</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3.查看结构布置是否合理、构件传力是否直接等；</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4.检测鉴定区域钢筋混凝土板、柱、梁的截面尺寸及板的厚度；</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5.采用钻芯法局部抽检混凝土的强度，抽芯送检试验，获取试验数据，作为报告复核计算依据；</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6.采用钢筋探测仪检测及开凿检测的钢筋配置情况和钢筋保护层厚度；</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7.检测鉴定区域柱、梁、板等构件是否有裂缝，并分析裂缝产生的原因、裂缝是否已造成对结构的危害等；</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8.根据实测房屋结构材料力学性能，按房屋结构体系、现有荷载和使用情况，根据检测结果、原设计图纸、国家规范等,建立合理的计算模型，验算房屋的安全使用能力；</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9.对建筑物鉴定区域的结构安全性进行鉴定，遵循客观、科学、公正的原则编写鉴定报告书，提出鉴定结论，对存在质量缺陷问题提出加固补强处理建议(若有)。</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（二）钢结构检测鉴定</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1.检测钢结构的轴线尺寸、层高；</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2.查看结构布置是否合理、构件传力是否直接等；</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3.检测钢结构楼面板、梁等的截面尺寸及厚度；</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4.检测钢结构楼面板、梁，与原建筑结构的连接型式；</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5.检查钢构的焊缝及其他连接锚固情况的感观及完损性；</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6.查看钢结构楼面板、梁等构件是否有锈蚀等对结构危害的影响；</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7.按钢结构体系、现有荷载和使用情况，根据检测结果、原设计图纸、国家规范等,评估钢结构连廊通道的安全使用能力；</w:t>
      </w:r>
    </w:p>
    <w:p>
      <w:pPr>
        <w:pStyle w:val="14"/>
        <w:keepNext w:val="0"/>
        <w:keepLines w:val="0"/>
        <w:pageBreakBefore w:val="0"/>
        <w:widowControl w:val="0"/>
        <w:kinsoku/>
        <w:wordWrap/>
        <w:overflowPunct/>
        <w:topLinePunct w:val="0"/>
        <w:bidi w:val="0"/>
        <w:snapToGrid/>
        <w:spacing w:line="6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8.对钢结构鉴定区域（猎德分公司四号办公楼、砂区值班室（楼））的结构安全性进行鉴定，遵循客观、科学、公正的原则编写鉴定报告书，提出鉴定结论，对存在质量缺陷问题提出加固补强处理建议(若有)。</w:t>
      </w:r>
    </w:p>
    <w:p>
      <w:pPr>
        <w:pStyle w:val="13"/>
        <w:keepNext w:val="0"/>
        <w:keepLines w:val="0"/>
        <w:pageBreakBefore w:val="0"/>
        <w:widowControl w:val="0"/>
        <w:kinsoku/>
        <w:wordWrap/>
        <w:overflowPunct/>
        <w:topLinePunct w:val="0"/>
        <w:bidi w:val="0"/>
        <w:adjustRightInd w:val="0"/>
        <w:snapToGrid w:val="0"/>
        <w:spacing w:line="660" w:lineRule="exact"/>
        <w:textAlignment w:val="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二、</w:t>
      </w:r>
      <w:r>
        <w:rPr>
          <w:rFonts w:hint="eastAsia" w:ascii="仿宋_GB2312" w:hAnsi="仿宋_GB2312" w:eastAsia="仿宋_GB2312" w:cs="仿宋_GB2312"/>
          <w:b/>
          <w:color w:val="auto"/>
          <w:sz w:val="28"/>
          <w:szCs w:val="28"/>
          <w:highlight w:val="none"/>
          <w:lang w:val="zh-CN"/>
        </w:rPr>
        <w:t>项目技术要求</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（一）现状检查</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需调查上部结构是否存在地基不均匀沉降反应，并对上部结构及围护结构进行全面的宏观调查检测，包括结构布置及结构形式、各构件的外观、房屋的使用状况及结构的整体性、位移（侧移、沉降、倾斜、扭转）、裂缝、腐蚀、损坏和局部变形，并详细记录，对发现的损坏处将作为检测重点进行实际检测。</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（二）变形、倾斜检测</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需采用电子经纬仪对房屋四角八方的倾斜率进行测量（视现场检测条件做调整，最少检测两对角），并依据《建筑地基基础设计规范》（GB50007-2011）对房屋的倾斜率、偏差率进行评定。</w:t>
      </w:r>
    </w:p>
    <w:p>
      <w:pPr>
        <w:keepNext w:val="0"/>
        <w:keepLines w:val="0"/>
        <w:pageBreakBefore w:val="0"/>
        <w:widowControl w:val="0"/>
        <w:numPr>
          <w:ilvl w:val="0"/>
          <w:numId w:val="5"/>
        </w:numPr>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裂缝针对性检测</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如发现混凝土构件有结构性裂缝，需检查构件表面的裂缝及不同构件类型之间的裂缝，采用裂缝测宽仪进行测量，包括其长度、宽度、深度、形状、条数，并绘出裂缝分布图。针对主要承重构件上的不同类型裂缝应采用非金属超声检测仪进行深度抽样检测。</w:t>
      </w:r>
    </w:p>
    <w:p>
      <w:pPr>
        <w:keepNext w:val="0"/>
        <w:keepLines w:val="0"/>
        <w:pageBreakBefore w:val="0"/>
        <w:widowControl w:val="0"/>
        <w:kinsoku/>
        <w:wordWrap/>
        <w:overflowPunct/>
        <w:topLinePunct w:val="0"/>
        <w:autoSpaceDE/>
        <w:autoSpaceDN/>
        <w:bidi w:val="0"/>
        <w:adjustRightInd/>
        <w:snapToGrid/>
        <w:spacing w:line="6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通过现场裂缝形式、宽度、深度的实际检测数据，依据《混凝土结构设计规范》（GB50010-2010）及《民用建筑可靠性鉴定标准》（GB50292-2015）对其进行评定，判断其是否超出规范允许值。</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（四）混凝土强度检测、评定</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采用钻孔取样机对钢筋混凝土柱、梁、板进行钻芯取样，并在自然干燥状态下进行混凝土抗压强度检测。根据现场检测数据，依据《钻芯法检测混凝土强度技术规程》（JGJ/T 384-2016）对混凝土强度进行综合评定，并与原结构设计图纸进行复核。采用无损回弹法钢筋混凝土柱、梁、板混凝土强度进行回弹检测，并依据回弹法检测混凝土抗压强度技术规程》（JGJ T23-2011）对混凝土强度进行综合评定。</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（五）钢筋保护层厚度及含量检测评定</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用钢筋探测仪对混凝土构件进行钢筋含量测定（无破损法），检测构件内部配筋直径、间距、分布情况及混凝土构件保护层厚度，钢筋的公称直径检测采用钢筋探测仪检测并结合钻孔、剔凿的方法进行。钻孔、剔凿时，不得损坏钢筋，实测应采用游标卡尺，量测精度应为0.1mm。根据现场实测数据，与房屋原结构设计图纸进行复核，并参照《混凝土结构设计规范》（GB50010-2010）对钢筋混凝土构件内部配筋直径、间距、分布情况及保护层厚度进行评定，并与原结构设计图纸进行复核。</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（六）截面尺寸检测</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抽检建筑结构的平面布置、垂直布置及构件截面尺寸与原结构设计图进行复核，并以实际检测数据作为承载能力验算依据，采用5M钢卷尺、100M钢卷尺及激光测距仪量测，取三次测量的平均值作为检测结果。</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（七）结构承载力验算</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根据现场实际检测情况，依据《建筑结构荷载规范》（GB50009-2012）、《混凝土结构设计规范》（GB50010-2010）及国家有关建筑结构设计规范，对房屋的上部结构承载力进行验算，评定房屋目前的承载能力是否满足原设计要求、国家规范要求及后期改造要求。</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（八）鉴定报告编写</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综合上述检查、检测情况及验算结果，依据《民用建筑可靠性鉴定标准》（GB50292-2015）对房屋现时的可靠性等级进行评定，出具建筑可靠性检测鉴定报告，并针对出现损坏的构件、不满足安全使用要求及后期使用要求的构件提出合理的处理意见。</w:t>
      </w:r>
    </w:p>
    <w:p>
      <w:pPr>
        <w:pStyle w:val="13"/>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lang w:val="zh-CN"/>
        </w:rPr>
        <w:t>、项目商务要求</w:t>
      </w:r>
    </w:p>
    <w:p>
      <w:pPr>
        <w:spacing w:line="520" w:lineRule="exact"/>
        <w:ind w:firstLine="560" w:firstLineChars="200"/>
        <w:rPr>
          <w:rFonts w:hint="eastAsia" w:ascii="仿宋_GB2312" w:hAnsi="仿宋_GB2312" w:eastAsia="仿宋_GB2312" w:cs="仿宋_GB2312"/>
          <w:bCs/>
          <w:color w:val="auto"/>
          <w:sz w:val="28"/>
          <w:szCs w:val="28"/>
          <w:highlight w:val="none"/>
          <w:lang w:val="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服务</w:t>
      </w:r>
      <w:r>
        <w:rPr>
          <w:rFonts w:hint="eastAsia" w:ascii="仿宋_GB2312" w:hAnsi="仿宋_GB2312" w:eastAsia="仿宋_GB2312" w:cs="仿宋_GB2312"/>
          <w:color w:val="auto"/>
          <w:sz w:val="28"/>
          <w:szCs w:val="28"/>
          <w:highlight w:val="none"/>
        </w:rPr>
        <w:t>期：</w:t>
      </w:r>
      <w:r>
        <w:rPr>
          <w:rFonts w:hint="eastAsia" w:ascii="仿宋_GB2312" w:hAnsi="仿宋_GB2312" w:eastAsia="仿宋_GB2312" w:cs="仿宋_GB2312"/>
          <w:color w:val="auto"/>
          <w:sz w:val="28"/>
          <w:szCs w:val="28"/>
          <w:highlight w:val="none"/>
          <w:lang w:val="en-US" w:eastAsia="zh-CN"/>
        </w:rPr>
        <w:t>自合同签订之日起3</w:t>
      </w:r>
      <w:r>
        <w:rPr>
          <w:rFonts w:hint="eastAsia" w:ascii="仿宋_GB2312" w:hAnsi="仿宋_GB2312" w:eastAsia="仿宋_GB2312" w:cs="仿宋_GB2312"/>
          <w:bCs/>
          <w:color w:val="auto"/>
          <w:sz w:val="28"/>
          <w:szCs w:val="28"/>
          <w:highlight w:val="none"/>
          <w:lang w:val="en-US" w:eastAsia="zh-CN"/>
        </w:rPr>
        <w:t>0</w:t>
      </w:r>
      <w:r>
        <w:rPr>
          <w:rFonts w:hint="eastAsia" w:ascii="仿宋_GB2312" w:hAnsi="仿宋_GB2312" w:eastAsia="仿宋_GB2312" w:cs="仿宋_GB2312"/>
          <w:bCs/>
          <w:color w:val="auto"/>
          <w:sz w:val="28"/>
          <w:szCs w:val="28"/>
          <w:highlight w:val="none"/>
        </w:rPr>
        <w:t>天。</w:t>
      </w:r>
      <w:r>
        <w:rPr>
          <w:rFonts w:hint="eastAsia" w:ascii="仿宋_GB2312" w:hAnsi="仿宋_GB2312" w:eastAsia="仿宋_GB2312" w:cs="仿宋_GB2312"/>
          <w:bCs/>
          <w:color w:val="auto"/>
          <w:sz w:val="28"/>
          <w:szCs w:val="28"/>
          <w:highlight w:val="none"/>
          <w:lang w:val="zh-CN"/>
        </w:rPr>
        <w:t>具体日期以甲方（业主）发出的开工令为准。</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2.安全文明施工要求：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val="en-US" w:eastAsia="zh-CN"/>
        </w:rPr>
        <w:t>鉴定</w:t>
      </w:r>
      <w:r>
        <w:rPr>
          <w:rFonts w:hint="eastAsia" w:ascii="仿宋_GB2312" w:hAnsi="仿宋_GB2312" w:eastAsia="仿宋_GB2312" w:cs="仿宋_GB2312"/>
          <w:color w:val="auto"/>
          <w:sz w:val="28"/>
          <w:szCs w:val="28"/>
          <w:highlight w:val="none"/>
        </w:rPr>
        <w:t>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.总包及分包规定：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7.付款方式：银行汇票形式。</w:t>
      </w:r>
    </w:p>
    <w:p>
      <w:pPr>
        <w:spacing w:line="52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8.承包方式：</w:t>
      </w:r>
      <w:r>
        <w:rPr>
          <w:rFonts w:hint="eastAsia" w:ascii="仿宋_GB2312" w:hAnsi="仿宋_GB2312" w:eastAsia="仿宋_GB2312" w:cs="仿宋_GB2312"/>
          <w:color w:val="auto"/>
          <w:sz w:val="28"/>
          <w:szCs w:val="28"/>
          <w:highlight w:val="none"/>
          <w:lang w:val="zh-CN"/>
        </w:rPr>
        <w:t>单价包干。</w:t>
      </w:r>
    </w:p>
    <w:bookmarkEnd w:id="73"/>
    <w:p>
      <w:pPr>
        <w:pStyle w:val="2"/>
        <w:ind w:firstLine="0"/>
        <w:rPr>
          <w:rFonts w:hint="eastAsia"/>
          <w:color w:val="auto"/>
          <w:highlight w:val="none"/>
        </w:rPr>
      </w:pPr>
      <w:bookmarkStart w:id="74" w:name="_Toc537"/>
      <w:bookmarkStart w:id="75" w:name="_Toc18538"/>
      <w:bookmarkStart w:id="76" w:name="_Toc1496"/>
      <w:bookmarkStart w:id="77" w:name="_Toc15570"/>
      <w:bookmarkStart w:id="78" w:name="_Toc4680"/>
      <w:bookmarkStart w:id="79" w:name="_Toc25925"/>
      <w:bookmarkStart w:id="80" w:name="_Toc29835"/>
      <w:bookmarkStart w:id="81" w:name="_Toc23353"/>
      <w:bookmarkStart w:id="82" w:name="_Toc23330"/>
      <w:bookmarkStart w:id="83" w:name="_Toc12135"/>
      <w:bookmarkStart w:id="84" w:name="_Toc1284"/>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ind w:left="0" w:leftChars="0" w:firstLine="0" w:firstLineChars="0"/>
        <w:rPr>
          <w:rFonts w:hint="eastAsia"/>
          <w:color w:val="auto"/>
          <w:highlight w:val="none"/>
        </w:rPr>
      </w:pPr>
    </w:p>
    <w:p>
      <w:pPr>
        <w:pStyle w:val="2"/>
        <w:rPr>
          <w:rFonts w:hint="eastAsia"/>
          <w:color w:val="auto"/>
          <w:highlight w:val="none"/>
        </w:rPr>
      </w:pPr>
    </w:p>
    <w:p>
      <w:pPr>
        <w:pStyle w:val="4"/>
        <w:jc w:val="center"/>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74"/>
      <w:bookmarkEnd w:id="75"/>
      <w:bookmarkEnd w:id="76"/>
      <w:bookmarkEnd w:id="77"/>
      <w:bookmarkEnd w:id="78"/>
      <w:bookmarkEnd w:id="79"/>
      <w:bookmarkEnd w:id="80"/>
      <w:bookmarkEnd w:id="81"/>
      <w:bookmarkEnd w:id="82"/>
      <w:bookmarkEnd w:id="83"/>
      <w:bookmarkEnd w:id="84"/>
    </w:p>
    <w:p>
      <w:pPr>
        <w:pStyle w:val="40"/>
        <w:rPr>
          <w:color w:val="auto"/>
          <w:highlight w:val="none"/>
        </w:rPr>
      </w:pPr>
    </w:p>
    <w:p>
      <w:pPr>
        <w:pStyle w:val="4"/>
        <w:rPr>
          <w:color w:val="auto"/>
          <w:highlight w:val="none"/>
        </w:rPr>
      </w:pPr>
      <w:bookmarkStart w:id="85" w:name="_Toc87616386"/>
      <w:bookmarkStart w:id="86" w:name="_Toc12980"/>
      <w:bookmarkStart w:id="87" w:name="_Toc323"/>
      <w:bookmarkStart w:id="88" w:name="_Toc22501"/>
      <w:bookmarkStart w:id="89" w:name="_Toc12721"/>
      <w:bookmarkStart w:id="90" w:name="_Toc8183"/>
      <w:bookmarkStart w:id="91" w:name="_Toc1375"/>
      <w:bookmarkStart w:id="92" w:name="_Toc22797"/>
      <w:bookmarkStart w:id="93" w:name="_Toc88209949"/>
      <w:bookmarkStart w:id="94" w:name="_Toc19686"/>
      <w:bookmarkStart w:id="95" w:name="_Toc12968"/>
      <w:bookmarkStart w:id="96" w:name="_Toc13309"/>
      <w:bookmarkStart w:id="97" w:name="_Toc19088"/>
      <w:r>
        <w:rPr>
          <w:rFonts w:hint="eastAsia"/>
          <w:color w:val="auto"/>
          <w:highlight w:val="none"/>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spacing w:line="400" w:lineRule="atLeast"/>
        <w:jc w:val="center"/>
        <w:rPr>
          <w:rFonts w:hint="eastAsia" w:ascii="宋体" w:hAnsi="宋体" w:cs="宋体" w:eastAsiaTheme="majorEastAsia"/>
          <w:b/>
          <w:bCs/>
          <w:color w:val="auto"/>
          <w:sz w:val="48"/>
          <w:szCs w:val="48"/>
          <w:highlight w:val="none"/>
        </w:rPr>
      </w:pPr>
      <w:r>
        <w:rPr>
          <w:rFonts w:hint="eastAsia" w:ascii="宋体" w:hAnsi="宋体" w:cs="宋体"/>
          <w:b/>
          <w:bCs/>
          <w:color w:val="auto"/>
          <w:sz w:val="48"/>
          <w:szCs w:val="48"/>
          <w:highlight w:val="none"/>
        </w:rPr>
        <w:t>广州市净水有限公司关于猎德、大坦沙等八厂构筑物安全检测鉴定项目</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left="1506" w:hanging="1506" w:hangingChars="5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eastAsia="zh-CN"/>
        </w:rPr>
        <w:t>广州市净水有限公司关于猎德、大坦沙等八厂构筑物安全检测鉴定项目</w:t>
      </w:r>
    </w:p>
    <w:p>
      <w:pPr>
        <w:pStyle w:val="50"/>
        <w:spacing w:line="360" w:lineRule="auto"/>
        <w:rPr>
          <w:color w:val="auto"/>
          <w:highlight w:val="none"/>
        </w:rPr>
      </w:pPr>
    </w:p>
    <w:p>
      <w:pPr>
        <w:spacing w:line="400" w:lineRule="atLeast"/>
        <w:rPr>
          <w:rFonts w:hint="eastAsia" w:ascii="宋体" w:hAnsi="宋体" w:eastAsiaTheme="minorEastAsia"/>
          <w:b/>
          <w:color w:val="auto"/>
          <w:sz w:val="30"/>
          <w:szCs w:val="30"/>
          <w:highlight w:val="none"/>
          <w:lang w:val="en-US" w:eastAsia="zh-CN"/>
        </w:rPr>
      </w:pPr>
      <w:r>
        <w:rPr>
          <w:rFonts w:hint="eastAsia" w:ascii="宋体" w:hAnsi="宋体"/>
          <w:b/>
          <w:color w:val="auto"/>
          <w:sz w:val="30"/>
          <w:szCs w:val="30"/>
          <w:highlight w:val="none"/>
        </w:rPr>
        <w:t>项目编号：</w:t>
      </w:r>
      <w:bookmarkStart w:id="98" w:name="合同"/>
      <w:bookmarkEnd w:id="98"/>
    </w:p>
    <w:p>
      <w:pPr>
        <w:pStyle w:val="2"/>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pStyle w:val="7"/>
        <w:rPr>
          <w:rFonts w:hint="eastAsia" w:ascii="宋体" w:hAnsi="宋体" w:cs="宋体"/>
          <w:b/>
          <w:color w:val="auto"/>
          <w:sz w:val="30"/>
          <w:highlight w:val="none"/>
        </w:rPr>
      </w:pPr>
    </w:p>
    <w:p>
      <w:pPr>
        <w:pStyle w:val="7"/>
        <w:ind w:left="0" w:leftChars="0" w:firstLine="0" w:firstLineChars="0"/>
        <w:rPr>
          <w:rFonts w:hint="eastAsia" w:ascii="宋体" w:hAnsi="宋体" w:cs="宋体"/>
          <w:b/>
          <w:color w:val="auto"/>
          <w:sz w:val="30"/>
          <w:highlight w:val="none"/>
        </w:rPr>
      </w:pPr>
    </w:p>
    <w:p>
      <w:pPr>
        <w:spacing w:after="156" w:afterLines="50" w:line="440" w:lineRule="exact"/>
        <w:ind w:firstLine="480" w:firstLineChars="200"/>
        <w:rPr>
          <w:bCs/>
          <w:color w:val="auto"/>
          <w:sz w:val="24"/>
          <w:highlight w:val="none"/>
        </w:rPr>
      </w:pPr>
      <w:r>
        <w:rPr>
          <w:rFonts w:hint="eastAsia"/>
          <w:bCs/>
          <w:color w:val="auto"/>
          <w:sz w:val="24"/>
          <w:highlight w:val="none"/>
        </w:rPr>
        <w:t>根据《中华人民共和国</w:t>
      </w:r>
      <w:r>
        <w:rPr>
          <w:rFonts w:hint="eastAsia"/>
          <w:bCs/>
          <w:color w:val="auto"/>
          <w:sz w:val="24"/>
          <w:highlight w:val="none"/>
          <w:lang w:val="en-US" w:eastAsia="zh-CN"/>
        </w:rPr>
        <w:t>民法典</w:t>
      </w:r>
      <w:r>
        <w:rPr>
          <w:rFonts w:hint="eastAsia"/>
          <w:bCs/>
          <w:color w:val="auto"/>
          <w:sz w:val="24"/>
          <w:highlight w:val="none"/>
        </w:rPr>
        <w:t>》及其他有关法律、行政法规，</w:t>
      </w:r>
      <w:r>
        <w:rPr>
          <w:rFonts w:hint="eastAsia"/>
          <w:bCs/>
          <w:color w:val="auto"/>
          <w:sz w:val="24"/>
          <w:highlight w:val="none"/>
          <w:u w:val="single"/>
        </w:rPr>
        <w:t>广州市净水有限公司</w:t>
      </w:r>
      <w:r>
        <w:rPr>
          <w:bCs/>
          <w:color w:val="auto"/>
          <w:sz w:val="24"/>
          <w:highlight w:val="none"/>
        </w:rPr>
        <w:t xml:space="preserve"> </w:t>
      </w:r>
      <w:r>
        <w:rPr>
          <w:rFonts w:hint="eastAsia"/>
          <w:bCs/>
          <w:color w:val="auto"/>
          <w:sz w:val="24"/>
          <w:highlight w:val="none"/>
        </w:rPr>
        <w:t>（以下简称“甲方”）与</w:t>
      </w:r>
      <w:r>
        <w:rPr>
          <w:bCs/>
          <w:color w:val="auto"/>
          <w:sz w:val="24"/>
          <w:highlight w:val="none"/>
          <w:u w:val="single"/>
        </w:rPr>
        <w:t xml:space="preserve"> </w:t>
      </w:r>
      <w:r>
        <w:rPr>
          <w:rFonts w:hint="eastAsia"/>
          <w:bCs/>
          <w:color w:val="auto"/>
          <w:sz w:val="24"/>
          <w:highlight w:val="none"/>
          <w:u w:val="single"/>
        </w:rPr>
        <w:t xml:space="preserve">                      </w:t>
      </w:r>
      <w:r>
        <w:rPr>
          <w:bCs/>
          <w:color w:val="auto"/>
          <w:sz w:val="24"/>
          <w:highlight w:val="none"/>
          <w:u w:val="single"/>
        </w:rPr>
        <w:t xml:space="preserve">   </w:t>
      </w:r>
      <w:r>
        <w:rPr>
          <w:rFonts w:hint="eastAsia"/>
          <w:bCs/>
          <w:color w:val="auto"/>
          <w:sz w:val="24"/>
          <w:highlight w:val="none"/>
        </w:rPr>
        <w:t>（以下简称“乙方”）就</w:t>
      </w:r>
      <w:r>
        <w:rPr>
          <w:rFonts w:hint="eastAsia"/>
          <w:bCs/>
          <w:color w:val="auto"/>
          <w:sz w:val="24"/>
          <w:highlight w:val="none"/>
          <w:u w:val="single"/>
          <w:lang w:eastAsia="zh-CN"/>
        </w:rPr>
        <w:t>广州市净水有限公司关于猎德、大坦沙等八厂构筑物安全检测鉴定项目</w:t>
      </w:r>
      <w:r>
        <w:rPr>
          <w:rFonts w:hint="eastAsia"/>
          <w:bCs/>
          <w:color w:val="auto"/>
          <w:sz w:val="24"/>
          <w:highlight w:val="none"/>
        </w:rPr>
        <w:t>开展相关指标</w:t>
      </w:r>
      <w:r>
        <w:rPr>
          <w:rFonts w:hint="eastAsia"/>
          <w:bCs/>
          <w:color w:val="auto"/>
          <w:sz w:val="24"/>
          <w:highlight w:val="none"/>
          <w:lang w:eastAsia="zh-CN"/>
        </w:rPr>
        <w:t>检测</w:t>
      </w:r>
      <w:r>
        <w:rPr>
          <w:rFonts w:hint="eastAsia"/>
          <w:bCs/>
          <w:color w:val="auto"/>
          <w:sz w:val="24"/>
          <w:highlight w:val="none"/>
        </w:rPr>
        <w:t>服务工作</w:t>
      </w:r>
      <w:bookmarkStart w:id="99" w:name="_Toc518992986"/>
      <w:bookmarkStart w:id="100" w:name="_Toc183666513"/>
      <w:bookmarkStart w:id="101" w:name="_Toc1018"/>
      <w:bookmarkStart w:id="102" w:name="_Toc520190026"/>
      <w:bookmarkStart w:id="103" w:name="_Toc474245210"/>
      <w:r>
        <w:rPr>
          <w:rFonts w:hint="eastAsia"/>
          <w:bCs/>
          <w:color w:val="auto"/>
          <w:sz w:val="24"/>
          <w:highlight w:val="none"/>
        </w:rPr>
        <w:t>。为明确双方的权利和义务，依据《中华人民共和国民法典》及其他相关法律，甲乙双方经友好协商，签订本合同。</w:t>
      </w:r>
    </w:p>
    <w:p>
      <w:pPr>
        <w:spacing w:after="156" w:afterLines="50" w:line="44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第一条 组成合同的文件及优先顺序</w:t>
      </w:r>
    </w:p>
    <w:p>
      <w:pPr>
        <w:spacing w:line="360" w:lineRule="auto"/>
        <w:ind w:firstLine="480" w:firstLineChars="200"/>
        <w:rPr>
          <w:rFonts w:ascii="宋体" w:hAnsi="宋体" w:cs="宋体"/>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bookmarkEnd w:id="99"/>
    <w:bookmarkEnd w:id="100"/>
    <w:bookmarkEnd w:id="101"/>
    <w:bookmarkEnd w:id="102"/>
    <w:bookmarkEnd w:id="103"/>
    <w:p>
      <w:pPr>
        <w:spacing w:line="360" w:lineRule="auto"/>
        <w:ind w:firstLine="482"/>
        <w:rPr>
          <w:rFonts w:ascii="宋体" w:hAnsi="宋体" w:cs="宋体"/>
          <w:color w:val="auto"/>
          <w:sz w:val="24"/>
          <w:highlight w:val="none"/>
        </w:rPr>
      </w:pPr>
      <w:r>
        <w:rPr>
          <w:rFonts w:hint="eastAsia" w:ascii="宋体" w:hAnsi="宋体" w:cs="宋体"/>
          <w:color w:val="auto"/>
          <w:sz w:val="24"/>
          <w:highlight w:val="none"/>
        </w:rPr>
        <w:t>⑴</w:t>
      </w:r>
      <w:r>
        <w:rPr>
          <w:rFonts w:ascii="宋体" w:hAnsi="宋体" w:cs="宋体"/>
          <w:color w:val="auto"/>
          <w:sz w:val="24"/>
          <w:highlight w:val="none"/>
        </w:rPr>
        <w:t xml:space="preserve"> </w:t>
      </w:r>
      <w:r>
        <w:rPr>
          <w:rFonts w:hint="eastAsia" w:ascii="宋体" w:hAnsi="宋体" w:cs="宋体"/>
          <w:color w:val="auto"/>
          <w:sz w:val="24"/>
          <w:highlight w:val="none"/>
        </w:rPr>
        <w:t>在本合同实施过程双方签署的补充与修正文件；</w:t>
      </w:r>
    </w:p>
    <w:p>
      <w:pPr>
        <w:spacing w:line="360" w:lineRule="auto"/>
        <w:ind w:firstLine="482"/>
        <w:rPr>
          <w:rFonts w:ascii="宋体" w:hAnsi="宋体" w:cs="宋体"/>
          <w:color w:val="auto"/>
          <w:sz w:val="24"/>
          <w:highlight w:val="none"/>
        </w:rPr>
      </w:pPr>
      <w:r>
        <w:rPr>
          <w:rFonts w:hint="eastAsia" w:ascii="宋体" w:hAnsi="宋体" w:cs="宋体"/>
          <w:color w:val="auto"/>
          <w:sz w:val="24"/>
          <w:highlight w:val="none"/>
        </w:rPr>
        <w:t>⑵</w:t>
      </w:r>
      <w:r>
        <w:rPr>
          <w:rFonts w:ascii="宋体" w:hAnsi="宋体" w:cs="宋体"/>
          <w:color w:val="auto"/>
          <w:sz w:val="24"/>
          <w:highlight w:val="none"/>
        </w:rPr>
        <w:t xml:space="preserve"> </w:t>
      </w:r>
      <w:r>
        <w:rPr>
          <w:rFonts w:hint="eastAsia" w:ascii="宋体" w:hAnsi="宋体" w:cs="宋体"/>
          <w:color w:val="auto"/>
          <w:sz w:val="24"/>
          <w:highlight w:val="none"/>
        </w:rPr>
        <w:t>本合同书；</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⑺ </w:t>
      </w:r>
      <w:r>
        <w:rPr>
          <w:rFonts w:hint="eastAsia" w:ascii="宋体" w:hAnsi="宋体" w:cs="宋体"/>
          <w:color w:val="auto"/>
          <w:sz w:val="24"/>
          <w:highlight w:val="none"/>
        </w:rPr>
        <w:t>工程报价单</w:t>
      </w:r>
      <w:r>
        <w:rPr>
          <w:rFonts w:hint="eastAsia" w:ascii="宋体" w:hAnsi="宋体" w:cs="宋体"/>
          <w:bCs/>
          <w:color w:val="auto"/>
          <w:sz w:val="24"/>
          <w:highlight w:val="none"/>
        </w:rPr>
        <w:t>；</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⑻ 本合同其他附件；</w:t>
      </w:r>
    </w:p>
    <w:p>
      <w:pPr>
        <w:spacing w:line="360" w:lineRule="auto"/>
        <w:ind w:firstLine="482" w:firstLineChars="200"/>
        <w:rPr>
          <w:rFonts w:ascii="宋体" w:hAnsi="宋体" w:cs="宋体"/>
          <w:bCs/>
          <w:color w:val="auto"/>
          <w:sz w:val="24"/>
          <w:highlight w:val="none"/>
        </w:rPr>
      </w:pPr>
      <w:bookmarkStart w:id="104" w:name="_Toc520190027"/>
      <w:bookmarkStart w:id="105" w:name="_Toc518992987"/>
      <w:bookmarkStart w:id="106" w:name="_Toc107447235"/>
      <w:bookmarkStart w:id="107" w:name="_Toc183666514"/>
      <w:bookmarkStart w:id="108" w:name="_Toc107446842"/>
      <w:bookmarkStart w:id="109" w:name="_Toc474245211"/>
      <w:bookmarkStart w:id="110" w:name="_Toc26357"/>
      <w:r>
        <w:rPr>
          <w:rFonts w:hint="eastAsia" w:ascii="宋体" w:hAnsi="宋体" w:cs="宋体"/>
          <w:b/>
          <w:bCs/>
          <w:color w:val="auto"/>
          <w:sz w:val="24"/>
          <w:highlight w:val="none"/>
        </w:rPr>
        <w:t>第二条</w:t>
      </w:r>
      <w:r>
        <w:rPr>
          <w:rFonts w:ascii="宋体" w:hAnsi="宋体" w:cs="宋体"/>
          <w:b/>
          <w:bCs/>
          <w:color w:val="auto"/>
          <w:sz w:val="24"/>
          <w:highlight w:val="none"/>
        </w:rPr>
        <w:t xml:space="preserve"> </w:t>
      </w:r>
      <w:r>
        <w:rPr>
          <w:rFonts w:hint="eastAsia" w:ascii="宋体" w:hAnsi="宋体" w:cs="宋体"/>
          <w:b/>
          <w:color w:val="auto"/>
          <w:sz w:val="24"/>
          <w:highlight w:val="none"/>
        </w:rPr>
        <w:t>服务范围</w:t>
      </w:r>
    </w:p>
    <w:p>
      <w:pPr>
        <w:spacing w:after="156" w:afterLines="50" w:line="440" w:lineRule="exact"/>
        <w:ind w:firstLine="480" w:firstLineChars="200"/>
        <w:rPr>
          <w:bCs/>
          <w:color w:val="auto"/>
          <w:sz w:val="24"/>
          <w:highlight w:val="none"/>
        </w:rPr>
      </w:pPr>
      <w:r>
        <w:rPr>
          <w:bCs/>
          <w:color w:val="auto"/>
          <w:sz w:val="24"/>
          <w:highlight w:val="none"/>
        </w:rPr>
        <w:t>2.1根据甲方对</w:t>
      </w:r>
      <w:r>
        <w:rPr>
          <w:rFonts w:hint="eastAsia"/>
          <w:bCs/>
          <w:color w:val="auto"/>
          <w:sz w:val="24"/>
          <w:highlight w:val="none"/>
          <w:lang w:val="en-US" w:eastAsia="zh-CN"/>
        </w:rPr>
        <w:t>厂区办公楼结果安全鉴定的</w:t>
      </w:r>
      <w:r>
        <w:rPr>
          <w:bCs/>
          <w:color w:val="auto"/>
          <w:sz w:val="24"/>
          <w:highlight w:val="none"/>
        </w:rPr>
        <w:t>要求，乙方受甲方委托负责</w:t>
      </w:r>
      <w:r>
        <w:rPr>
          <w:rFonts w:hint="eastAsia"/>
          <w:bCs/>
          <w:color w:val="auto"/>
          <w:sz w:val="24"/>
          <w:highlight w:val="none"/>
          <w:lang w:val="en-US" w:eastAsia="zh-CN"/>
        </w:rPr>
        <w:t>鉴定</w:t>
      </w:r>
      <w:r>
        <w:rPr>
          <w:bCs/>
          <w:color w:val="auto"/>
          <w:sz w:val="24"/>
          <w:highlight w:val="none"/>
        </w:rPr>
        <w:t>服务，并出具</w:t>
      </w:r>
      <w:r>
        <w:rPr>
          <w:rFonts w:hint="eastAsia"/>
          <w:bCs/>
          <w:color w:val="auto"/>
          <w:sz w:val="24"/>
          <w:highlight w:val="none"/>
          <w:lang w:val="en-US" w:eastAsia="zh-CN"/>
        </w:rPr>
        <w:t>鉴定报告</w:t>
      </w:r>
      <w:r>
        <w:rPr>
          <w:bCs/>
          <w:color w:val="auto"/>
          <w:sz w:val="24"/>
          <w:highlight w:val="none"/>
        </w:rPr>
        <w:t>。服务内容如下：</w:t>
      </w:r>
    </w:p>
    <w:tbl>
      <w:tblPr>
        <w:tblStyle w:val="24"/>
        <w:tblpPr w:leftFromText="180" w:rightFromText="180" w:vertAnchor="text" w:horzAnchor="page" w:tblpX="1266" w:tblpY="543"/>
        <w:tblOverlap w:val="never"/>
        <w:tblW w:w="9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5"/>
        <w:gridCol w:w="1776"/>
        <w:gridCol w:w="1776"/>
        <w:gridCol w:w="1776"/>
        <w:gridCol w:w="1776"/>
        <w:gridCol w:w="1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序号</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分公司名称</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面积（平方）</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单价（元/平方）</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小计（元）</w:t>
            </w: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猎德</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1819.00</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75"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大坦沙房屋</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6465.00</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沥滘</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5019.43</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lang w:val="en-US"/>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龙归</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32454.28</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竹料</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2194.92</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京溪</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7072.90</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7</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大沙地</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890.00</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石井</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4103.20</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003" w:type="dxa"/>
            <w:gridSpan w:val="4"/>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以上含税合计总价(元)</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序号</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分公司名称</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建筑长度（米）</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单价（元/米）</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小计（元）</w:t>
            </w: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大坦沙围墙</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1600.00 </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6003" w:type="dxa"/>
            <w:gridSpan w:val="4"/>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以上含税合计总价(元)</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b/>
                <w:bCs/>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b/>
                <w:bCs/>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b/>
                <w:bCs/>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b/>
                <w:bCs/>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b/>
                <w:bCs/>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6003" w:type="dxa"/>
            <w:gridSpan w:val="4"/>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以上构筑物</w:t>
            </w:r>
            <w:r>
              <w:rPr>
                <w:rFonts w:hint="eastAsia" w:ascii="Times New Roman" w:hAnsi="Times New Roman" w:eastAsia="宋体" w:cs="Times New Roman"/>
                <w:b/>
                <w:bCs/>
                <w:i w:val="0"/>
                <w:iCs w:val="0"/>
                <w:color w:val="auto"/>
                <w:kern w:val="0"/>
                <w:sz w:val="22"/>
                <w:szCs w:val="22"/>
                <w:u w:val="none"/>
                <w:lang w:val="en-US" w:eastAsia="zh-CN" w:bidi="ar"/>
              </w:rPr>
              <w:t>及</w:t>
            </w:r>
            <w:r>
              <w:rPr>
                <w:rFonts w:hint="default" w:ascii="Times New Roman" w:hAnsi="Times New Roman" w:eastAsia="宋体" w:cs="Times New Roman"/>
                <w:b/>
                <w:bCs/>
                <w:i w:val="0"/>
                <w:iCs w:val="0"/>
                <w:color w:val="auto"/>
                <w:kern w:val="0"/>
                <w:sz w:val="22"/>
                <w:szCs w:val="22"/>
                <w:u w:val="none"/>
                <w:lang w:val="en-US" w:eastAsia="zh-CN" w:bidi="ar"/>
              </w:rPr>
              <w:t>围墙含税合计总价(元)</w:t>
            </w:r>
          </w:p>
        </w:tc>
        <w:tc>
          <w:tcPr>
            <w:tcW w:w="3554"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lang w:val="en-US"/>
              </w:rPr>
            </w:pPr>
          </w:p>
        </w:tc>
      </w:tr>
    </w:tbl>
    <w:p>
      <w:pPr>
        <w:pStyle w:val="10"/>
      </w:pPr>
    </w:p>
    <w:p>
      <w:pPr>
        <w:pStyle w:val="2"/>
        <w:rPr>
          <w:rFonts w:hint="eastAsia"/>
          <w:color w:val="auto"/>
          <w:highlight w:val="none"/>
        </w:rPr>
      </w:pPr>
    </w:p>
    <w:p>
      <w:pPr>
        <w:spacing w:after="156" w:afterLines="50" w:line="440" w:lineRule="exact"/>
        <w:rPr>
          <w:rFonts w:hint="eastAsia"/>
          <w:bCs/>
          <w:color w:val="auto"/>
          <w:sz w:val="24"/>
          <w:highlight w:val="none"/>
        </w:rPr>
      </w:pPr>
    </w:p>
    <w:p>
      <w:pPr>
        <w:spacing w:after="156" w:afterLines="50" w:line="440" w:lineRule="exact"/>
        <w:ind w:firstLine="480" w:firstLineChars="200"/>
        <w:rPr>
          <w:bCs/>
          <w:color w:val="auto"/>
          <w:sz w:val="24"/>
          <w:highlight w:val="none"/>
        </w:rPr>
      </w:pPr>
      <w:r>
        <w:rPr>
          <w:bCs/>
          <w:color w:val="auto"/>
          <w:sz w:val="24"/>
          <w:highlight w:val="none"/>
        </w:rPr>
        <w:t>2.2服务工期</w:t>
      </w:r>
    </w:p>
    <w:p>
      <w:pPr>
        <w:spacing w:after="156" w:afterLines="50" w:line="440" w:lineRule="exact"/>
        <w:ind w:firstLine="480" w:firstLineChars="200"/>
        <w:rPr>
          <w:rFonts w:hint="eastAsia" w:eastAsiaTheme="minorEastAsia"/>
          <w:bCs/>
          <w:color w:val="auto"/>
          <w:sz w:val="24"/>
          <w:highlight w:val="none"/>
          <w:lang w:eastAsia="zh-CN"/>
        </w:rPr>
      </w:pPr>
      <w:r>
        <w:rPr>
          <w:bCs/>
          <w:color w:val="auto"/>
          <w:sz w:val="24"/>
          <w:highlight w:val="none"/>
        </w:rPr>
        <w:t>服务工期：</w:t>
      </w:r>
      <w:r>
        <w:rPr>
          <w:rFonts w:hint="eastAsia"/>
          <w:bCs/>
          <w:color w:val="auto"/>
          <w:sz w:val="24"/>
          <w:highlight w:val="none"/>
          <w:lang w:val="en-US" w:eastAsia="zh-CN"/>
        </w:rPr>
        <w:t>暂定</w:t>
      </w:r>
      <w:r>
        <w:rPr>
          <w:bCs/>
          <w:color w:val="auto"/>
          <w:sz w:val="24"/>
          <w:highlight w:val="none"/>
        </w:rPr>
        <w:t>合同签订之日起至202</w:t>
      </w:r>
      <w:r>
        <w:rPr>
          <w:rFonts w:hint="eastAsia"/>
          <w:bCs/>
          <w:color w:val="auto"/>
          <w:sz w:val="24"/>
          <w:highlight w:val="none"/>
          <w:lang w:val="en-US" w:eastAsia="zh-CN"/>
        </w:rPr>
        <w:t>3</w:t>
      </w:r>
      <w:r>
        <w:rPr>
          <w:bCs/>
          <w:color w:val="auto"/>
          <w:sz w:val="24"/>
          <w:highlight w:val="none"/>
        </w:rPr>
        <w:t>年12月31日。</w:t>
      </w:r>
    </w:p>
    <w:p>
      <w:pPr>
        <w:widowControl/>
        <w:spacing w:after="160" w:line="276" w:lineRule="auto"/>
        <w:ind w:firstLine="482"/>
        <w:jc w:val="left"/>
        <w:rPr>
          <w:b/>
          <w:bCs/>
          <w:color w:val="auto"/>
          <w:sz w:val="24"/>
          <w:highlight w:val="none"/>
        </w:rPr>
      </w:pPr>
      <w:r>
        <w:rPr>
          <w:b/>
          <w:bCs/>
          <w:color w:val="auto"/>
          <w:sz w:val="24"/>
          <w:highlight w:val="none"/>
        </w:rPr>
        <w:t>第三条 合同价格</w:t>
      </w:r>
    </w:p>
    <w:p>
      <w:pPr>
        <w:spacing w:after="156" w:afterLines="50" w:line="440" w:lineRule="exact"/>
        <w:ind w:firstLine="480" w:firstLineChars="200"/>
        <w:rPr>
          <w:bCs/>
          <w:color w:val="auto"/>
          <w:sz w:val="24"/>
          <w:highlight w:val="none"/>
        </w:rPr>
      </w:pPr>
      <w:r>
        <w:rPr>
          <w:bCs/>
          <w:color w:val="auto"/>
          <w:sz w:val="24"/>
          <w:highlight w:val="none"/>
        </w:rPr>
        <w:t>3.1本合同</w:t>
      </w:r>
      <w:r>
        <w:rPr>
          <w:rFonts w:hint="eastAsia"/>
          <w:bCs/>
          <w:color w:val="auto"/>
          <w:sz w:val="24"/>
          <w:highlight w:val="none"/>
        </w:rPr>
        <w:t>暂定</w:t>
      </w:r>
      <w:r>
        <w:rPr>
          <w:bCs/>
          <w:color w:val="auto"/>
          <w:sz w:val="24"/>
          <w:highlight w:val="none"/>
        </w:rPr>
        <w:t>总价为</w:t>
      </w:r>
      <w:r>
        <w:rPr>
          <w:bCs/>
          <w:color w:val="auto"/>
          <w:sz w:val="24"/>
          <w:highlight w:val="none"/>
          <w:u w:val="single"/>
        </w:rPr>
        <w:t xml:space="preserve">        </w:t>
      </w:r>
      <w:r>
        <w:rPr>
          <w:bCs/>
          <w:color w:val="auto"/>
          <w:sz w:val="24"/>
          <w:highlight w:val="none"/>
        </w:rPr>
        <w:t>万元，（人民币）大</w:t>
      </w:r>
      <w:r>
        <w:rPr>
          <w:rFonts w:hint="eastAsia"/>
          <w:bCs/>
          <w:color w:val="auto"/>
          <w:sz w:val="24"/>
          <w:highlight w:val="none"/>
        </w:rPr>
        <w:t>写</w:t>
      </w:r>
      <w:r>
        <w:rPr>
          <w:bCs/>
          <w:color w:val="auto"/>
          <w:sz w:val="24"/>
          <w:highlight w:val="none"/>
        </w:rPr>
        <w:t>：</w:t>
      </w:r>
      <w:r>
        <w:rPr>
          <w:bCs/>
          <w:color w:val="auto"/>
          <w:sz w:val="24"/>
          <w:highlight w:val="none"/>
          <w:u w:val="single"/>
        </w:rPr>
        <w:t xml:space="preserve">                 </w:t>
      </w:r>
      <w:r>
        <w:rPr>
          <w:bCs/>
          <w:color w:val="auto"/>
          <w:sz w:val="24"/>
          <w:highlight w:val="none"/>
        </w:rPr>
        <w:t xml:space="preserve">。 </w:t>
      </w:r>
    </w:p>
    <w:p>
      <w:pPr>
        <w:pStyle w:val="2"/>
        <w:ind w:firstLine="480" w:firstLineChars="200"/>
      </w:pPr>
      <w:r>
        <w:rPr>
          <w:rFonts w:hint="eastAsia"/>
        </w:rPr>
        <w:t>合同履行期间国家税率调整或乙方开票的实际税率与前述税率不一致的，不含税价不变，价税合计按实际税率相应调整，以开具发票时间为准。</w:t>
      </w:r>
    </w:p>
    <w:p>
      <w:pPr>
        <w:spacing w:after="156" w:afterLines="50" w:line="440" w:lineRule="exact"/>
        <w:ind w:firstLine="480" w:firstLineChars="200"/>
        <w:rPr>
          <w:bCs/>
          <w:color w:val="auto"/>
          <w:sz w:val="24"/>
          <w:highlight w:val="none"/>
        </w:rPr>
      </w:pPr>
      <w:r>
        <w:rPr>
          <w:bCs/>
          <w:color w:val="auto"/>
          <w:sz w:val="24"/>
          <w:highlight w:val="none"/>
        </w:rPr>
        <w:t>3.2所有的服务价格包括了</w:t>
      </w:r>
      <w:r>
        <w:rPr>
          <w:rFonts w:hint="eastAsia"/>
          <w:bCs/>
          <w:color w:val="auto"/>
          <w:sz w:val="24"/>
          <w:highlight w:val="none"/>
          <w:lang w:val="en-US" w:eastAsia="zh-CN"/>
        </w:rPr>
        <w:t>鉴定</w:t>
      </w:r>
      <w:r>
        <w:rPr>
          <w:bCs/>
          <w:color w:val="auto"/>
          <w:sz w:val="24"/>
          <w:highlight w:val="none"/>
        </w:rPr>
        <w:t>所需车辆、人员、工具、仪器、物料、运输保存、</w:t>
      </w:r>
      <w:r>
        <w:rPr>
          <w:rFonts w:hint="eastAsia"/>
          <w:bCs/>
          <w:color w:val="auto"/>
          <w:sz w:val="24"/>
          <w:highlight w:val="none"/>
          <w:lang w:eastAsia="zh-CN"/>
        </w:rPr>
        <w:t>检测</w:t>
      </w:r>
      <w:r>
        <w:rPr>
          <w:bCs/>
          <w:color w:val="auto"/>
          <w:sz w:val="24"/>
          <w:highlight w:val="none"/>
        </w:rPr>
        <w:t>和复测、证书出具等的全部费用。</w:t>
      </w:r>
    </w:p>
    <w:p>
      <w:pPr>
        <w:spacing w:after="156" w:afterLines="50" w:line="440" w:lineRule="exact"/>
        <w:ind w:firstLine="480" w:firstLineChars="200"/>
        <w:rPr>
          <w:bCs/>
          <w:color w:val="auto"/>
          <w:sz w:val="24"/>
          <w:highlight w:val="none"/>
        </w:rPr>
      </w:pPr>
      <w:r>
        <w:rPr>
          <w:bCs/>
          <w:color w:val="auto"/>
          <w:sz w:val="24"/>
          <w:highlight w:val="none"/>
        </w:rPr>
        <w:t>3.3承包方式为单价包干，按实结算。合同单价在合同有效期内为不变价。乙方已经充分考虑本合同履行期间的市场风险和国家政策性调整风险系数，并已计入报价，因此合同单价今后不因任何因素而作调整。</w:t>
      </w:r>
    </w:p>
    <w:p>
      <w:pPr>
        <w:spacing w:after="156" w:afterLines="50" w:line="440" w:lineRule="exact"/>
        <w:ind w:firstLine="482" w:firstLineChars="200"/>
        <w:rPr>
          <w:b/>
          <w:color w:val="auto"/>
          <w:sz w:val="24"/>
          <w:highlight w:val="none"/>
        </w:rPr>
      </w:pPr>
      <w:bookmarkStart w:id="111" w:name="_Toc520190029"/>
      <w:bookmarkStart w:id="112" w:name="_Toc518992989"/>
      <w:bookmarkStart w:id="113" w:name="_Toc474245213"/>
      <w:bookmarkStart w:id="114" w:name="_Toc107447236"/>
      <w:bookmarkStart w:id="115" w:name="_Toc107446843"/>
      <w:r>
        <w:rPr>
          <w:b/>
          <w:color w:val="auto"/>
          <w:sz w:val="24"/>
          <w:highlight w:val="none"/>
        </w:rPr>
        <w:t>第四条 服务要求</w:t>
      </w:r>
    </w:p>
    <w:p>
      <w:pPr>
        <w:spacing w:after="156" w:afterLines="50" w:line="440" w:lineRule="exact"/>
        <w:ind w:firstLine="480" w:firstLineChars="200"/>
        <w:rPr>
          <w:bCs/>
          <w:color w:val="auto"/>
          <w:sz w:val="24"/>
          <w:highlight w:val="none"/>
        </w:rPr>
      </w:pPr>
      <w:r>
        <w:rPr>
          <w:bCs/>
          <w:color w:val="auto"/>
          <w:sz w:val="24"/>
          <w:highlight w:val="none"/>
        </w:rPr>
        <w:t>4.1.双方签订《安全协议书》，</w:t>
      </w:r>
      <w:r>
        <w:rPr>
          <w:rFonts w:hint="eastAsia"/>
          <w:bCs/>
          <w:color w:val="auto"/>
          <w:sz w:val="24"/>
          <w:highlight w:val="none"/>
          <w:lang w:val="en-US" w:eastAsia="zh-CN"/>
        </w:rPr>
        <w:t>乙方应</w:t>
      </w:r>
      <w:r>
        <w:rPr>
          <w:bCs/>
          <w:color w:val="auto"/>
          <w:sz w:val="24"/>
          <w:highlight w:val="none"/>
        </w:rPr>
        <w:t>自觉遵守甲方管理单位安全生产相关的管理制度，承担安全主体责任。</w:t>
      </w:r>
    </w:p>
    <w:p>
      <w:pPr>
        <w:spacing w:after="156" w:afterLines="50" w:line="440" w:lineRule="exact"/>
        <w:ind w:firstLine="480" w:firstLineChars="200"/>
        <w:rPr>
          <w:bCs/>
          <w:color w:val="auto"/>
          <w:sz w:val="24"/>
          <w:highlight w:val="none"/>
        </w:rPr>
      </w:pPr>
      <w:r>
        <w:rPr>
          <w:bCs/>
          <w:color w:val="auto"/>
          <w:sz w:val="24"/>
          <w:highlight w:val="none"/>
        </w:rPr>
        <w:t>4.2.</w:t>
      </w:r>
      <w:r>
        <w:rPr>
          <w:rFonts w:hint="eastAsia" w:ascii="宋体" w:hAnsi="宋体" w:cs="宋体"/>
          <w:bCs/>
          <w:color w:val="auto"/>
          <w:sz w:val="24"/>
          <w:highlight w:val="none"/>
        </w:rPr>
        <w:t>乙方</w:t>
      </w:r>
      <w:r>
        <w:rPr>
          <w:rFonts w:hint="eastAsia" w:ascii="宋体" w:hAnsi="宋体" w:cs="宋体"/>
          <w:bCs/>
          <w:color w:val="auto"/>
          <w:sz w:val="24"/>
          <w:highlight w:val="none"/>
          <w:lang w:val="en-US" w:eastAsia="zh-CN"/>
        </w:rPr>
        <w:t>应在合同签订后7日内</w:t>
      </w:r>
      <w:r>
        <w:rPr>
          <w:rFonts w:hint="eastAsia" w:ascii="宋体" w:hAnsi="宋体" w:cs="宋体"/>
          <w:bCs/>
          <w:color w:val="auto"/>
          <w:sz w:val="24"/>
          <w:highlight w:val="none"/>
        </w:rPr>
        <w:t>将</w:t>
      </w:r>
      <w:r>
        <w:rPr>
          <w:rFonts w:hint="eastAsia" w:ascii="宋体" w:hAnsi="宋体" w:cs="宋体"/>
          <w:bCs/>
          <w:color w:val="auto"/>
          <w:sz w:val="24"/>
          <w:highlight w:val="none"/>
          <w:lang w:val="en-US" w:eastAsia="zh-CN"/>
        </w:rPr>
        <w:t>鉴定</w:t>
      </w:r>
      <w:r>
        <w:rPr>
          <w:rFonts w:hint="eastAsia" w:ascii="宋体" w:hAnsi="宋体" w:cs="宋体"/>
          <w:bCs/>
          <w:color w:val="auto"/>
          <w:sz w:val="24"/>
          <w:highlight w:val="none"/>
        </w:rPr>
        <w:t>计划报告甲方，</w:t>
      </w:r>
      <w:r>
        <w:rPr>
          <w:bCs/>
          <w:color w:val="auto"/>
          <w:sz w:val="24"/>
          <w:highlight w:val="none"/>
        </w:rPr>
        <w:t>经甲方审核同意后开展服务工作。</w:t>
      </w:r>
    </w:p>
    <w:p>
      <w:pPr>
        <w:spacing w:after="156" w:afterLines="50" w:line="440" w:lineRule="exact"/>
        <w:ind w:firstLine="480" w:firstLineChars="200"/>
        <w:rPr>
          <w:bCs/>
          <w:color w:val="auto"/>
          <w:sz w:val="24"/>
          <w:highlight w:val="none"/>
        </w:rPr>
      </w:pPr>
      <w:r>
        <w:rPr>
          <w:bCs/>
          <w:color w:val="auto"/>
          <w:sz w:val="24"/>
          <w:highlight w:val="none"/>
        </w:rPr>
        <w:t>4.3</w:t>
      </w:r>
      <w:r>
        <w:rPr>
          <w:rFonts w:hint="eastAsia"/>
          <w:bCs/>
          <w:color w:val="auto"/>
          <w:sz w:val="24"/>
          <w:highlight w:val="none"/>
          <w:lang w:val="en-US" w:eastAsia="zh-CN"/>
        </w:rPr>
        <w:t>乙方出具鉴定</w:t>
      </w:r>
      <w:r>
        <w:rPr>
          <w:bCs/>
          <w:color w:val="auto"/>
          <w:sz w:val="24"/>
          <w:highlight w:val="none"/>
        </w:rPr>
        <w:t>结果必须公平公正，不受外界影响</w:t>
      </w:r>
      <w:r>
        <w:rPr>
          <w:rFonts w:hint="eastAsia"/>
          <w:bCs/>
          <w:color w:val="auto"/>
          <w:sz w:val="24"/>
          <w:highlight w:val="none"/>
          <w:lang w:val="en-US" w:eastAsia="zh-CN"/>
        </w:rPr>
        <w:t>并</w:t>
      </w:r>
      <w:r>
        <w:rPr>
          <w:bCs/>
          <w:color w:val="auto"/>
          <w:sz w:val="24"/>
          <w:highlight w:val="none"/>
        </w:rPr>
        <w:t>遵守相关保密条约；</w:t>
      </w:r>
      <w:r>
        <w:rPr>
          <w:rFonts w:hint="eastAsia"/>
          <w:bCs/>
          <w:color w:val="auto"/>
          <w:sz w:val="24"/>
          <w:highlight w:val="none"/>
          <w:lang w:val="en-US" w:eastAsia="zh-CN"/>
        </w:rPr>
        <w:t>鉴定</w:t>
      </w:r>
      <w:r>
        <w:rPr>
          <w:bCs/>
          <w:color w:val="auto"/>
          <w:sz w:val="24"/>
          <w:highlight w:val="none"/>
        </w:rPr>
        <w:t>结果提供符合相关标准的纸质版</w:t>
      </w:r>
      <w:r>
        <w:rPr>
          <w:rFonts w:hint="eastAsia"/>
          <w:bCs/>
          <w:color w:val="auto"/>
          <w:sz w:val="24"/>
          <w:highlight w:val="none"/>
          <w:lang w:val="en-US" w:eastAsia="zh-CN"/>
        </w:rPr>
        <w:t>鉴定</w:t>
      </w:r>
      <w:r>
        <w:rPr>
          <w:bCs/>
          <w:color w:val="auto"/>
          <w:sz w:val="24"/>
          <w:highlight w:val="none"/>
        </w:rPr>
        <w:t>证书和提供纸质版</w:t>
      </w:r>
      <w:r>
        <w:rPr>
          <w:rFonts w:hint="eastAsia"/>
          <w:bCs/>
          <w:color w:val="auto"/>
          <w:sz w:val="24"/>
          <w:highlight w:val="none"/>
          <w:lang w:val="en-US" w:eastAsia="zh-CN"/>
        </w:rPr>
        <w:t>鉴定</w:t>
      </w:r>
      <w:r>
        <w:rPr>
          <w:bCs/>
          <w:color w:val="auto"/>
          <w:sz w:val="24"/>
          <w:highlight w:val="none"/>
        </w:rPr>
        <w:t>证书扫描件。</w:t>
      </w:r>
    </w:p>
    <w:p>
      <w:pPr>
        <w:spacing w:after="156" w:afterLines="50" w:line="440" w:lineRule="exact"/>
        <w:ind w:firstLine="480" w:firstLineChars="200"/>
        <w:rPr>
          <w:bCs/>
          <w:color w:val="auto"/>
          <w:sz w:val="24"/>
          <w:highlight w:val="none"/>
        </w:rPr>
      </w:pPr>
      <w:r>
        <w:rPr>
          <w:bCs/>
          <w:color w:val="auto"/>
          <w:sz w:val="24"/>
          <w:highlight w:val="none"/>
        </w:rPr>
        <w:t>4.4.本合同工作范围应包括提供所有需要的材料、人力以及其他设备，双方完成合同文件里规定的工作和</w:t>
      </w:r>
      <w:r>
        <w:rPr>
          <w:rFonts w:hint="eastAsia"/>
          <w:bCs/>
          <w:color w:val="auto"/>
          <w:sz w:val="24"/>
          <w:highlight w:val="none"/>
          <w:lang w:val="en-US" w:eastAsia="zh-CN"/>
        </w:rPr>
        <w:t>鉴定</w:t>
      </w:r>
      <w:r>
        <w:rPr>
          <w:bCs/>
          <w:color w:val="auto"/>
          <w:sz w:val="24"/>
          <w:highlight w:val="none"/>
        </w:rPr>
        <w:t>服务，并达到预期的目标。</w:t>
      </w:r>
    </w:p>
    <w:p>
      <w:pPr>
        <w:pStyle w:val="2"/>
      </w:pPr>
      <w:r>
        <w:rPr>
          <w:rFonts w:hint="default" w:asciiTheme="minorHAnsi" w:hAnsiTheme="minorHAnsi" w:eastAsiaTheme="minorEastAsia" w:cstheme="minorBidi"/>
          <w:bCs/>
          <w:color w:val="auto"/>
          <w:sz w:val="24"/>
          <w:szCs w:val="22"/>
          <w:highlight w:val="none"/>
          <w:lang w:val="en-US" w:eastAsia="zh-CN"/>
        </w:rPr>
        <w:t>4.5完成现场</w:t>
      </w:r>
      <w:r>
        <w:rPr>
          <w:rFonts w:hint="default" w:asciiTheme="minorHAnsi" w:hAnsiTheme="minorHAnsi" w:eastAsiaTheme="minorEastAsia" w:cstheme="minorBidi"/>
          <w:bCs/>
          <w:color w:val="auto"/>
          <w:sz w:val="24"/>
          <w:szCs w:val="22"/>
          <w:highlight w:val="none"/>
        </w:rPr>
        <w:t>全部</w:t>
      </w:r>
      <w:r>
        <w:rPr>
          <w:rFonts w:hint="default" w:asciiTheme="minorHAnsi" w:hAnsiTheme="minorHAnsi" w:eastAsiaTheme="minorEastAsia" w:cstheme="minorBidi"/>
          <w:bCs/>
          <w:color w:val="auto"/>
          <w:sz w:val="24"/>
          <w:szCs w:val="22"/>
          <w:highlight w:val="none"/>
          <w:lang w:val="en-US" w:eastAsia="zh-CN"/>
        </w:rPr>
        <w:t>检测鉴定</w:t>
      </w:r>
      <w:r>
        <w:rPr>
          <w:rFonts w:hint="default" w:asciiTheme="minorHAnsi" w:hAnsiTheme="minorHAnsi" w:eastAsiaTheme="minorEastAsia" w:cstheme="minorBidi"/>
          <w:bCs/>
          <w:color w:val="auto"/>
          <w:sz w:val="24"/>
          <w:szCs w:val="22"/>
          <w:highlight w:val="none"/>
        </w:rPr>
        <w:t>工作完成后，</w:t>
      </w:r>
      <w:r>
        <w:rPr>
          <w:rFonts w:hint="default" w:asciiTheme="minorHAnsi" w:hAnsiTheme="minorHAnsi" w:eastAsiaTheme="minorEastAsia" w:cstheme="minorBidi"/>
          <w:bCs/>
          <w:color w:val="auto"/>
          <w:sz w:val="24"/>
          <w:szCs w:val="22"/>
          <w:highlight w:val="none"/>
          <w:u w:val="none"/>
          <w:lang w:val="en-US" w:eastAsia="zh-CN"/>
        </w:rPr>
        <w:t>10</w:t>
      </w:r>
      <w:r>
        <w:rPr>
          <w:rFonts w:hint="default" w:asciiTheme="minorHAnsi" w:hAnsiTheme="minorHAnsi" w:eastAsiaTheme="minorEastAsia" w:cstheme="minorBidi"/>
          <w:bCs/>
          <w:color w:val="auto"/>
          <w:sz w:val="24"/>
          <w:szCs w:val="22"/>
          <w:highlight w:val="none"/>
          <w:u w:val="none"/>
        </w:rPr>
        <w:t>个</w:t>
      </w:r>
      <w:r>
        <w:rPr>
          <w:rFonts w:hint="default" w:asciiTheme="minorHAnsi" w:hAnsiTheme="minorHAnsi" w:eastAsiaTheme="minorEastAsia" w:cstheme="minorBidi"/>
          <w:bCs/>
          <w:color w:val="auto"/>
          <w:sz w:val="24"/>
          <w:szCs w:val="22"/>
          <w:highlight w:val="none"/>
        </w:rPr>
        <w:t>工作日内提交正式</w:t>
      </w:r>
      <w:r>
        <w:rPr>
          <w:rFonts w:hint="default" w:asciiTheme="minorHAnsi" w:hAnsiTheme="minorHAnsi" w:eastAsiaTheme="minorEastAsia" w:cstheme="minorBidi"/>
          <w:bCs/>
          <w:color w:val="auto"/>
          <w:sz w:val="24"/>
          <w:szCs w:val="22"/>
          <w:highlight w:val="none"/>
          <w:lang w:val="en-US" w:eastAsia="zh-CN"/>
        </w:rPr>
        <w:t>鉴定</w:t>
      </w:r>
      <w:r>
        <w:rPr>
          <w:rFonts w:hint="default" w:asciiTheme="minorHAnsi" w:hAnsiTheme="minorHAnsi" w:eastAsiaTheme="minorEastAsia" w:cstheme="minorBidi"/>
          <w:bCs/>
          <w:color w:val="auto"/>
          <w:sz w:val="24"/>
          <w:szCs w:val="22"/>
          <w:highlight w:val="none"/>
        </w:rPr>
        <w:t>报告（一式</w:t>
      </w:r>
      <w:r>
        <w:rPr>
          <w:rFonts w:hint="default" w:asciiTheme="minorHAnsi" w:hAnsiTheme="minorHAnsi" w:eastAsiaTheme="minorEastAsia" w:cstheme="minorBidi"/>
          <w:bCs/>
          <w:color w:val="auto"/>
          <w:sz w:val="24"/>
          <w:szCs w:val="22"/>
          <w:highlight w:val="none"/>
          <w:u w:val="none"/>
          <w:lang w:val="en-US" w:eastAsia="zh-CN"/>
        </w:rPr>
        <w:t>【四】</w:t>
      </w:r>
      <w:r>
        <w:rPr>
          <w:rFonts w:hint="default" w:asciiTheme="minorHAnsi" w:hAnsiTheme="minorHAnsi" w:eastAsiaTheme="minorEastAsia" w:cstheme="minorBidi"/>
          <w:bCs/>
          <w:color w:val="auto"/>
          <w:sz w:val="24"/>
          <w:szCs w:val="22"/>
          <w:highlight w:val="none"/>
        </w:rPr>
        <w:t>份）</w:t>
      </w:r>
      <w:r>
        <w:rPr>
          <w:rFonts w:hint="eastAsia" w:cstheme="minorBidi"/>
          <w:bCs/>
          <w:color w:val="auto"/>
          <w:sz w:val="24"/>
          <w:szCs w:val="22"/>
          <w:highlight w:val="none"/>
          <w:lang w:eastAsia="zh-CN"/>
        </w:rPr>
        <w:t>。</w:t>
      </w:r>
    </w:p>
    <w:p>
      <w:pPr>
        <w:autoSpaceDE w:val="0"/>
        <w:autoSpaceDN w:val="0"/>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第五条</w:t>
      </w:r>
      <w:r>
        <w:rPr>
          <w:rFonts w:ascii="宋体" w:hAnsi="宋体" w:cs="宋体"/>
          <w:b/>
          <w:color w:val="auto"/>
          <w:sz w:val="24"/>
          <w:highlight w:val="none"/>
        </w:rPr>
        <w:t xml:space="preserve"> </w:t>
      </w:r>
      <w:r>
        <w:rPr>
          <w:rFonts w:hint="eastAsia" w:ascii="宋体" w:hAnsi="宋体" w:cs="宋体"/>
          <w:b/>
          <w:color w:val="auto"/>
          <w:sz w:val="24"/>
          <w:highlight w:val="none"/>
        </w:rPr>
        <w:t>支付方式</w:t>
      </w:r>
      <w:bookmarkEnd w:id="111"/>
      <w:bookmarkEnd w:id="112"/>
      <w:bookmarkEnd w:id="113"/>
    </w:p>
    <w:bookmarkEnd w:id="114"/>
    <w:bookmarkEnd w:id="115"/>
    <w:p>
      <w:pPr>
        <w:tabs>
          <w:tab w:val="left" w:pos="851"/>
        </w:tabs>
        <w:adjustRightInd w:val="0"/>
        <w:snapToGrid w:val="0"/>
        <w:spacing w:line="360" w:lineRule="auto"/>
        <w:ind w:firstLine="480" w:firstLineChars="200"/>
        <w:rPr>
          <w:rFonts w:ascii="宋体" w:hAnsi="宋体" w:cs="宋体"/>
          <w:color w:val="auto"/>
          <w:sz w:val="24"/>
          <w:highlight w:val="none"/>
        </w:rPr>
      </w:pPr>
      <w:bookmarkStart w:id="116" w:name="_Toc14703"/>
      <w:bookmarkStart w:id="117" w:name="_Toc183666516"/>
      <w:r>
        <w:rPr>
          <w:rFonts w:ascii="宋体" w:hAnsi="宋体" w:cs="宋体"/>
          <w:color w:val="auto"/>
          <w:sz w:val="24"/>
          <w:highlight w:val="none"/>
        </w:rPr>
        <w:t>5.1</w:t>
      </w:r>
      <w:r>
        <w:rPr>
          <w:rFonts w:hint="eastAsia" w:ascii="宋体" w:hAnsi="宋体" w:cs="宋体"/>
          <w:bCs/>
          <w:color w:val="auto"/>
          <w:sz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宋体" w:hAnsi="宋体" w:cs="宋体"/>
          <w:color w:val="auto"/>
          <w:szCs w:val="21"/>
          <w:highlight w:val="none"/>
        </w:rPr>
        <w:t>□有，</w:t>
      </w:r>
      <w:r>
        <w:rPr>
          <w:rFonts w:hint="eastAsia" w:ascii="宋体" w:hAnsi="宋体" w:cs="宋体"/>
          <w:bCs/>
          <w:color w:val="auto"/>
          <w:sz w:val="24"/>
          <w:highlight w:val="none"/>
        </w:rPr>
        <w:t>合同签订后，乙方开具等额的增值税专用发票及提交履约担保（如有）后</w:t>
      </w:r>
      <w:r>
        <w:rPr>
          <w:rFonts w:ascii="宋体" w:hAnsi="宋体" w:cs="宋体"/>
          <w:bCs/>
          <w:color w:val="auto"/>
          <w:sz w:val="24"/>
          <w:highlight w:val="none"/>
          <w:u w:val="single"/>
        </w:rPr>
        <w:t>10</w:t>
      </w:r>
      <w:r>
        <w:rPr>
          <w:rFonts w:hint="eastAsia" w:ascii="宋体" w:hAnsi="宋体" w:cs="宋体"/>
          <w:bCs/>
          <w:color w:val="auto"/>
          <w:sz w:val="24"/>
          <w:highlight w:val="none"/>
        </w:rPr>
        <w:t>个工作日内，甲方支付合同暂定总价的</w:t>
      </w:r>
      <w:r>
        <w:rPr>
          <w:rFonts w:ascii="宋体" w:hAnsi="宋体" w:cs="宋体"/>
          <w:bCs/>
          <w:color w:val="auto"/>
          <w:sz w:val="24"/>
          <w:highlight w:val="none"/>
        </w:rPr>
        <w:t xml:space="preserve"> </w:t>
      </w:r>
      <w:r>
        <w:rPr>
          <w:rFonts w:ascii="宋体" w:hAnsi="宋体" w:cs="宋体"/>
          <w:bCs/>
          <w:color w:val="auto"/>
          <w:sz w:val="24"/>
          <w:highlight w:val="none"/>
          <w:u w:val="single"/>
        </w:rPr>
        <w:t xml:space="preserve">  30%  </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…元，（大写：</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spacing w:line="500" w:lineRule="exact"/>
        <w:ind w:firstLine="480" w:firstLineChars="200"/>
        <w:rPr>
          <w:color w:val="auto"/>
          <w:sz w:val="24"/>
          <w:highlight w:val="none"/>
        </w:rPr>
      </w:pPr>
      <w:r>
        <w:rPr>
          <w:color w:val="auto"/>
          <w:sz w:val="24"/>
          <w:highlight w:val="none"/>
        </w:rPr>
        <w:t xml:space="preserve">5.2 </w:t>
      </w:r>
      <w:r>
        <w:rPr>
          <w:rFonts w:hint="eastAsia" w:ascii="宋体" w:hAnsi="宋体" w:cs="宋体"/>
          <w:color w:val="auto"/>
          <w:sz w:val="24"/>
          <w:highlight w:val="none"/>
        </w:rPr>
        <w:t>支付方式：</w:t>
      </w:r>
    </w:p>
    <w:p>
      <w:pPr>
        <w:spacing w:line="500" w:lineRule="exact"/>
        <w:ind w:firstLine="480" w:firstLineChars="200"/>
        <w:rPr>
          <w:color w:val="auto"/>
          <w:sz w:val="24"/>
          <w:highlight w:val="none"/>
        </w:rPr>
      </w:pPr>
      <w:r>
        <w:rPr>
          <w:color w:val="auto"/>
          <w:sz w:val="24"/>
          <w:highlight w:val="none"/>
        </w:rPr>
        <w:t>5.2.1乙方</w:t>
      </w:r>
      <w:r>
        <w:rPr>
          <w:rFonts w:hint="eastAsia"/>
          <w:color w:val="auto"/>
          <w:sz w:val="24"/>
          <w:highlight w:val="none"/>
          <w:lang w:val="en-US" w:eastAsia="zh-CN"/>
        </w:rPr>
        <w:t>按</w:t>
      </w:r>
      <w:r>
        <w:rPr>
          <w:color w:val="auto"/>
          <w:sz w:val="24"/>
          <w:highlight w:val="none"/>
        </w:rPr>
        <w:t>合同</w:t>
      </w:r>
      <w:r>
        <w:rPr>
          <w:rFonts w:hint="eastAsia"/>
          <w:color w:val="auto"/>
          <w:sz w:val="24"/>
          <w:highlight w:val="none"/>
          <w:lang w:val="en-US" w:eastAsia="zh-CN"/>
        </w:rPr>
        <w:t>约定的</w:t>
      </w:r>
      <w:r>
        <w:rPr>
          <w:color w:val="auto"/>
          <w:sz w:val="24"/>
          <w:highlight w:val="none"/>
        </w:rPr>
        <w:t>期限</w:t>
      </w:r>
      <w:r>
        <w:rPr>
          <w:rFonts w:hint="eastAsia"/>
          <w:color w:val="auto"/>
          <w:sz w:val="24"/>
          <w:highlight w:val="none"/>
          <w:lang w:val="en-US" w:eastAsia="zh-CN"/>
        </w:rPr>
        <w:t>完成</w:t>
      </w:r>
      <w:r>
        <w:rPr>
          <w:rFonts w:hint="eastAsia"/>
          <w:bCs/>
          <w:color w:val="auto"/>
          <w:sz w:val="24"/>
          <w:highlight w:val="none"/>
          <w:lang w:val="en-US" w:eastAsia="zh-CN"/>
        </w:rPr>
        <w:t>鉴定</w:t>
      </w:r>
      <w:r>
        <w:rPr>
          <w:color w:val="auto"/>
          <w:sz w:val="24"/>
          <w:highlight w:val="none"/>
        </w:rPr>
        <w:t>和出具证书等</w:t>
      </w:r>
      <w:r>
        <w:rPr>
          <w:rFonts w:hint="eastAsia"/>
          <w:color w:val="auto"/>
          <w:sz w:val="24"/>
          <w:highlight w:val="none"/>
          <w:lang w:val="en-US" w:eastAsia="zh-CN"/>
        </w:rPr>
        <w:t>全部</w:t>
      </w:r>
      <w:r>
        <w:rPr>
          <w:color w:val="auto"/>
          <w:sz w:val="24"/>
          <w:highlight w:val="none"/>
        </w:rPr>
        <w:t>服务工作</w:t>
      </w:r>
      <w:r>
        <w:rPr>
          <w:rFonts w:hint="eastAsia"/>
          <w:color w:val="auto"/>
          <w:sz w:val="24"/>
          <w:highlight w:val="none"/>
          <w:lang w:val="en-US" w:eastAsia="zh-CN"/>
        </w:rPr>
        <w:t>并经甲方验收合格</w:t>
      </w:r>
      <w:r>
        <w:rPr>
          <w:color w:val="auto"/>
          <w:sz w:val="24"/>
          <w:highlight w:val="none"/>
        </w:rPr>
        <w:t>后</w:t>
      </w:r>
      <w:r>
        <w:rPr>
          <w:rFonts w:hint="eastAsia"/>
          <w:color w:val="auto"/>
          <w:sz w:val="24"/>
          <w:highlight w:val="none"/>
          <w:lang w:eastAsia="zh-CN"/>
        </w:rPr>
        <w:t>，</w:t>
      </w:r>
      <w:r>
        <w:rPr>
          <w:rFonts w:hint="eastAsia"/>
          <w:color w:val="auto"/>
          <w:sz w:val="24"/>
          <w:highlight w:val="none"/>
          <w:lang w:val="en-US" w:eastAsia="zh-CN"/>
        </w:rPr>
        <w:t>甲方下属猎德分公司、大坦沙分公司、沥滘分公司、龙归分公司、竹料分公司、京溪分公司、大沙地分公司、石井分公司</w:t>
      </w:r>
      <w:r>
        <w:rPr>
          <w:color w:val="auto"/>
          <w:sz w:val="24"/>
          <w:highlight w:val="none"/>
        </w:rPr>
        <w:t>按照</w:t>
      </w:r>
      <w:r>
        <w:rPr>
          <w:rFonts w:hint="eastAsia"/>
          <w:color w:val="auto"/>
          <w:sz w:val="24"/>
          <w:highlight w:val="none"/>
          <w:lang w:val="en-US" w:eastAsia="zh-CN"/>
        </w:rPr>
        <w:t>各自</w:t>
      </w:r>
      <w:r>
        <w:rPr>
          <w:rFonts w:hint="eastAsia"/>
          <w:bCs/>
          <w:color w:val="auto"/>
          <w:sz w:val="24"/>
          <w:highlight w:val="none"/>
          <w:lang w:val="en-US" w:eastAsia="zh-CN"/>
        </w:rPr>
        <w:t>鉴定</w:t>
      </w:r>
      <w:r>
        <w:rPr>
          <w:color w:val="auto"/>
          <w:sz w:val="24"/>
          <w:highlight w:val="none"/>
        </w:rPr>
        <w:t>服务工作量据实结算，支付至</w:t>
      </w:r>
      <w:r>
        <w:rPr>
          <w:rFonts w:hint="eastAsia"/>
          <w:color w:val="auto"/>
          <w:sz w:val="24"/>
          <w:highlight w:val="none"/>
          <w:lang w:val="en-US" w:eastAsia="zh-CN"/>
        </w:rPr>
        <w:t>合同结算</w:t>
      </w:r>
      <w:r>
        <w:rPr>
          <w:color w:val="auto"/>
          <w:sz w:val="24"/>
          <w:highlight w:val="none"/>
        </w:rPr>
        <w:t>价的100%。</w:t>
      </w:r>
    </w:p>
    <w:p>
      <w:pPr>
        <w:spacing w:line="500" w:lineRule="exact"/>
        <w:ind w:firstLine="480" w:firstLineChars="200"/>
        <w:rPr>
          <w:color w:val="auto"/>
          <w:sz w:val="24"/>
          <w:highlight w:val="none"/>
        </w:rPr>
      </w:pPr>
      <w:r>
        <w:rPr>
          <w:color w:val="auto"/>
          <w:sz w:val="24"/>
          <w:highlight w:val="none"/>
        </w:rPr>
        <w:t>5.2.2乙方收款账户：</w:t>
      </w:r>
      <w:r>
        <w:rPr>
          <w:color w:val="auto"/>
          <w:sz w:val="24"/>
          <w:highlight w:val="none"/>
          <w:u w:val="single"/>
        </w:rPr>
        <w:t xml:space="preserve">                                     </w:t>
      </w:r>
      <w:r>
        <w:rPr>
          <w:color w:val="auto"/>
          <w:sz w:val="24"/>
          <w:highlight w:val="none"/>
        </w:rPr>
        <w:t>；</w:t>
      </w:r>
    </w:p>
    <w:p>
      <w:pPr>
        <w:spacing w:line="500" w:lineRule="exact"/>
        <w:ind w:firstLine="1200" w:firstLineChars="500"/>
        <w:rPr>
          <w:color w:val="auto"/>
          <w:sz w:val="24"/>
          <w:highlight w:val="none"/>
        </w:rPr>
      </w:pPr>
      <w:r>
        <w:rPr>
          <w:color w:val="auto"/>
          <w:sz w:val="24"/>
          <w:highlight w:val="none"/>
        </w:rPr>
        <w:t>收款账号：</w:t>
      </w:r>
      <w:r>
        <w:rPr>
          <w:color w:val="auto"/>
          <w:sz w:val="24"/>
          <w:highlight w:val="none"/>
          <w:u w:val="single"/>
        </w:rPr>
        <w:t xml:space="preserve">                                             </w:t>
      </w:r>
      <w:r>
        <w:rPr>
          <w:color w:val="auto"/>
          <w:sz w:val="24"/>
          <w:highlight w:val="none"/>
        </w:rPr>
        <w:t>；</w:t>
      </w:r>
    </w:p>
    <w:p>
      <w:pPr>
        <w:spacing w:line="500" w:lineRule="exact"/>
        <w:ind w:firstLine="1200" w:firstLineChars="500"/>
        <w:rPr>
          <w:color w:val="auto"/>
          <w:sz w:val="24"/>
          <w:highlight w:val="none"/>
        </w:rPr>
      </w:pPr>
      <w:r>
        <w:rPr>
          <w:color w:val="auto"/>
          <w:sz w:val="24"/>
          <w:highlight w:val="none"/>
        </w:rPr>
        <w:t>开户行：</w:t>
      </w:r>
      <w:r>
        <w:rPr>
          <w:color w:val="auto"/>
          <w:sz w:val="24"/>
          <w:highlight w:val="none"/>
          <w:u w:val="single"/>
        </w:rPr>
        <w:t xml:space="preserve">                                                 </w:t>
      </w:r>
      <w:r>
        <w:rPr>
          <w:color w:val="auto"/>
          <w:sz w:val="24"/>
          <w:highlight w:val="none"/>
        </w:rPr>
        <w:t>；</w:t>
      </w:r>
    </w:p>
    <w:p>
      <w:pPr>
        <w:spacing w:line="500" w:lineRule="exact"/>
        <w:ind w:firstLine="480" w:firstLineChars="200"/>
        <w:rPr>
          <w:color w:val="auto"/>
          <w:sz w:val="24"/>
          <w:highlight w:val="none"/>
        </w:rPr>
      </w:pPr>
      <w:r>
        <w:rPr>
          <w:color w:val="auto"/>
          <w:sz w:val="24"/>
          <w:highlight w:val="none"/>
        </w:rPr>
        <w:t>5.2.3乙方在收款前需提交相应金额增值税专用发票给甲方。</w:t>
      </w:r>
    </w:p>
    <w:p>
      <w:pPr>
        <w:spacing w:line="500" w:lineRule="exact"/>
        <w:ind w:firstLine="480" w:firstLineChars="200"/>
        <w:rPr>
          <w:color w:val="auto"/>
          <w:sz w:val="24"/>
          <w:highlight w:val="none"/>
        </w:rPr>
      </w:pPr>
      <w:r>
        <w:rPr>
          <w:color w:val="auto"/>
          <w:sz w:val="24"/>
          <w:highlight w:val="none"/>
        </w:rPr>
        <w:t>增值税专用发票信息：</w:t>
      </w:r>
    </w:p>
    <w:p>
      <w:pPr>
        <w:spacing w:line="500" w:lineRule="exact"/>
        <w:ind w:firstLine="480" w:firstLineChars="200"/>
        <w:rPr>
          <w:rFonts w:hint="default" w:eastAsia="宋体"/>
          <w:color w:val="auto"/>
          <w:sz w:val="24"/>
          <w:highlight w:val="none"/>
          <w:lang w:val="en-US" w:eastAsia="zh-CN"/>
        </w:rPr>
      </w:pPr>
      <w:r>
        <w:rPr>
          <w:color w:val="auto"/>
          <w:sz w:val="24"/>
          <w:highlight w:val="none"/>
        </w:rPr>
        <w:t>名称：广州市净水有限公司</w:t>
      </w:r>
    </w:p>
    <w:p>
      <w:pPr>
        <w:spacing w:line="500" w:lineRule="exact"/>
        <w:ind w:firstLine="480" w:firstLineChars="200"/>
        <w:rPr>
          <w:color w:val="auto"/>
          <w:sz w:val="24"/>
          <w:highlight w:val="none"/>
        </w:rPr>
      </w:pPr>
      <w:r>
        <w:rPr>
          <w:color w:val="auto"/>
          <w:sz w:val="24"/>
          <w:highlight w:val="none"/>
        </w:rPr>
        <w:t>税号：</w:t>
      </w:r>
      <w:r>
        <w:rPr>
          <w:color w:val="auto"/>
          <w:sz w:val="24"/>
          <w:highlight w:val="none"/>
          <w:u w:val="single"/>
        </w:rPr>
        <w:t xml:space="preserve"> 91440101755584729Q</w:t>
      </w:r>
      <w:r>
        <w:rPr>
          <w:color w:val="auto"/>
          <w:sz w:val="24"/>
          <w:highlight w:val="none"/>
        </w:rPr>
        <w:t xml:space="preserve"> ；  </w:t>
      </w:r>
    </w:p>
    <w:p>
      <w:pPr>
        <w:spacing w:line="500" w:lineRule="exact"/>
        <w:ind w:firstLine="480" w:firstLineChars="200"/>
        <w:rPr>
          <w:color w:val="auto"/>
          <w:sz w:val="24"/>
          <w:highlight w:val="none"/>
        </w:rPr>
      </w:pPr>
      <w:r>
        <w:rPr>
          <w:color w:val="auto"/>
          <w:sz w:val="24"/>
          <w:highlight w:val="none"/>
        </w:rPr>
        <w:t>地址：</w:t>
      </w:r>
      <w:r>
        <w:rPr>
          <w:color w:val="auto"/>
          <w:sz w:val="24"/>
          <w:highlight w:val="none"/>
          <w:u w:val="single"/>
        </w:rPr>
        <w:t xml:space="preserve"> 广州市天河区临江大道501号 </w:t>
      </w:r>
      <w:r>
        <w:rPr>
          <w:color w:val="auto"/>
          <w:sz w:val="24"/>
          <w:highlight w:val="none"/>
        </w:rPr>
        <w:t>；</w:t>
      </w:r>
    </w:p>
    <w:p>
      <w:pPr>
        <w:spacing w:line="360" w:lineRule="auto"/>
        <w:ind w:firstLine="480"/>
        <w:outlineLvl w:val="0"/>
        <w:rPr>
          <w:color w:val="auto"/>
          <w:sz w:val="24"/>
          <w:highlight w:val="none"/>
        </w:rPr>
      </w:pPr>
      <w:r>
        <w:rPr>
          <w:color w:val="auto"/>
          <w:sz w:val="24"/>
          <w:highlight w:val="none"/>
        </w:rPr>
        <w:t>5.3</w:t>
      </w:r>
      <w:r>
        <w:rPr>
          <w:rFonts w:hint="eastAsia"/>
          <w:color w:val="auto"/>
          <w:sz w:val="24"/>
          <w:highlight w:val="none"/>
        </w:rPr>
        <w:t>付款方式</w:t>
      </w:r>
      <w:r>
        <w:rPr>
          <w:rFonts w:hint="eastAsia" w:ascii="宋体" w:hAnsi="宋体" w:cs="宋体"/>
          <w:color w:val="auto"/>
          <w:sz w:val="24"/>
          <w:highlight w:val="none"/>
        </w:rPr>
        <w:t>：</w:t>
      </w:r>
      <w:r>
        <w:rPr>
          <w:rFonts w:ascii="宋体" w:hAnsi="宋体" w:cs="宋体"/>
          <w:color w:val="auto"/>
          <w:sz w:val="24"/>
          <w:highlight w:val="none"/>
        </w:rPr>
        <w:t xml:space="preserve"> </w:t>
      </w:r>
      <w:r>
        <w:rPr>
          <w:rFonts w:ascii="宋体" w:hAnsi="宋体" w:cs="宋体"/>
          <w:color w:val="auto"/>
          <w:sz w:val="24"/>
          <w:highlight w:val="none"/>
        </w:rPr>
        <w:sym w:font="Wingdings" w:char="00FE"/>
      </w:r>
      <w:r>
        <w:rPr>
          <w:rFonts w:hint="eastAsia" w:ascii="宋体" w:hAnsi="宋体" w:cs="宋体"/>
          <w:color w:val="auto"/>
          <w:sz w:val="24"/>
          <w:highlight w:val="none"/>
        </w:rPr>
        <w:t>网银支付；</w:t>
      </w:r>
      <w:r>
        <w:rPr>
          <w:rFonts w:ascii="宋体" w:hAnsi="宋体" w:cs="宋体"/>
          <w:color w:val="auto"/>
          <w:sz w:val="24"/>
          <w:highlight w:val="none"/>
        </w:rPr>
        <w:t xml:space="preserve">  </w:t>
      </w:r>
      <w:r>
        <w:rPr>
          <w:rFonts w:ascii="宋体" w:hAnsi="宋体" w:cs="宋体"/>
          <w:color w:val="auto"/>
          <w:sz w:val="24"/>
          <w:highlight w:val="none"/>
        </w:rPr>
        <w:sym w:font="Wingdings" w:char="00A8"/>
      </w:r>
      <w:r>
        <w:rPr>
          <w:rFonts w:hint="eastAsia" w:ascii="宋体" w:hAnsi="宋体" w:cs="宋体"/>
          <w:color w:val="auto"/>
          <w:sz w:val="24"/>
          <w:highlight w:val="none"/>
        </w:rPr>
        <w:t>支票；</w:t>
      </w:r>
      <w:r>
        <w:rPr>
          <w:rFonts w:ascii="宋体" w:hAnsi="宋体" w:cs="宋体"/>
          <w:color w:val="auto"/>
          <w:sz w:val="24"/>
          <w:highlight w:val="none"/>
        </w:rPr>
        <w:t xml:space="preserve">   </w:t>
      </w:r>
      <w:r>
        <w:rPr>
          <w:rFonts w:ascii="宋体" w:hAnsi="宋体" w:cs="宋体"/>
          <w:color w:val="auto"/>
          <w:sz w:val="24"/>
          <w:highlight w:val="none"/>
        </w:rPr>
        <w:sym w:font="Wingdings" w:char="00A8"/>
      </w:r>
      <w:r>
        <w:rPr>
          <w:rFonts w:hint="eastAsia" w:ascii="宋体" w:hAnsi="宋体" w:cs="宋体"/>
          <w:color w:val="auto"/>
          <w:sz w:val="24"/>
          <w:highlight w:val="none"/>
        </w:rPr>
        <w:t>其他：</w:t>
      </w:r>
      <w:r>
        <w:rPr>
          <w:rFonts w:ascii="宋体" w:hAnsi="宋体" w:cs="宋体"/>
          <w:color w:val="auto"/>
          <w:sz w:val="24"/>
          <w:highlight w:val="none"/>
        </w:rPr>
        <w:t xml:space="preserve">       </w:t>
      </w:r>
    </w:p>
    <w:p>
      <w:pPr>
        <w:tabs>
          <w:tab w:val="left" w:pos="851"/>
        </w:tabs>
        <w:adjustRightInd w:val="0"/>
        <w:snapToGrid w:val="0"/>
        <w:spacing w:line="360" w:lineRule="auto"/>
        <w:ind w:firstLine="480" w:firstLineChars="200"/>
        <w:outlineLvl w:val="1"/>
        <w:rPr>
          <w:rFonts w:ascii="宋体" w:hAnsi="宋体" w:cs="宋体"/>
          <w:color w:val="auto"/>
          <w:sz w:val="24"/>
          <w:highlight w:val="none"/>
        </w:rPr>
      </w:pPr>
      <w:r>
        <w:rPr>
          <w:rFonts w:ascii="宋体" w:hAnsi="宋体" w:cs="宋体"/>
          <w:color w:val="auto"/>
          <w:sz w:val="24"/>
          <w:highlight w:val="none"/>
        </w:rPr>
        <w:t xml:space="preserve">      </w:t>
      </w:r>
    </w:p>
    <w:p>
      <w:pPr>
        <w:autoSpaceDE w:val="0"/>
        <w:autoSpaceDN w:val="0"/>
        <w:adjustRightInd w:val="0"/>
        <w:spacing w:line="360" w:lineRule="auto"/>
        <w:ind w:firstLine="482" w:firstLineChars="200"/>
        <w:rPr>
          <w:rFonts w:ascii="宋体" w:hAnsi="宋体" w:cs="宋体"/>
          <w:bCs/>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履约担保</w:t>
      </w:r>
    </w:p>
    <w:bookmarkEnd w:id="116"/>
    <w:bookmarkEnd w:id="117"/>
    <w:p>
      <w:pPr>
        <w:spacing w:line="360" w:lineRule="auto"/>
        <w:ind w:firstLine="480" w:firstLineChars="200"/>
        <w:outlineLvl w:val="0"/>
        <w:rPr>
          <w:rFonts w:ascii="宋体" w:hAnsi="宋体" w:cs="宋体"/>
          <w:color w:val="auto"/>
          <w:sz w:val="24"/>
          <w:highlight w:val="none"/>
          <w:u w:val="single"/>
        </w:rPr>
      </w:pPr>
      <w:r>
        <w:rPr>
          <w:rFonts w:ascii="宋体" w:hAnsi="宋体" w:cs="宋体"/>
          <w:color w:val="auto"/>
          <w:sz w:val="24"/>
          <w:highlight w:val="none"/>
        </w:rPr>
        <w:t>6.1</w:t>
      </w:r>
      <w:r>
        <w:rPr>
          <w:rFonts w:hint="eastAsia" w:ascii="宋体" w:hAnsi="宋体" w:cs="宋体"/>
          <w:color w:val="auto"/>
          <w:sz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宋体" w:hAnsi="宋体" w:cs="宋体"/>
          <w:color w:val="auto"/>
          <w:szCs w:val="21"/>
          <w:highlight w:val="none"/>
        </w:rPr>
        <w:t>□</w:t>
      </w:r>
      <w:r>
        <w:rPr>
          <w:rFonts w:ascii="宋体" w:hAnsi="宋体" w:cs="宋体"/>
          <w:bCs/>
          <w:color w:val="auto"/>
          <w:sz w:val="24"/>
          <w:highlight w:val="none"/>
        </w:rPr>
        <w:t xml:space="preserve"> </w:t>
      </w:r>
      <w:r>
        <w:rPr>
          <w:rFonts w:hint="eastAsia" w:ascii="宋体" w:hAnsi="宋体" w:cs="宋体"/>
          <w:bCs/>
          <w:color w:val="auto"/>
          <w:sz w:val="24"/>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10%作为履约保证金</w:t>
      </w:r>
      <w:r>
        <w:rPr>
          <w:rFonts w:hint="eastAsia" w:ascii="宋体" w:hAnsi="宋体" w:cs="宋体"/>
          <w:color w:val="auto"/>
          <w:sz w:val="24"/>
          <w:highlight w:val="none"/>
          <w:u w:val="single"/>
        </w:rPr>
        <w:t>，</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…（大写人民币：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p>
    <w:p>
      <w:pPr>
        <w:pStyle w:val="22"/>
        <w:spacing w:before="0" w:beforeAutospacing="0" w:after="0" w:afterAutospacing="0" w:line="360" w:lineRule="auto"/>
        <w:ind w:firstLine="480"/>
        <w:rPr>
          <w:rFonts w:cs="宋体"/>
          <w:color w:val="auto"/>
          <w:highlight w:val="none"/>
        </w:rPr>
      </w:pPr>
      <w:r>
        <w:rPr>
          <w:rFonts w:cs="宋体"/>
          <w:color w:val="auto"/>
          <w:highlight w:val="none"/>
        </w:rPr>
        <w:t>6.2履约担保</w:t>
      </w:r>
      <w:r>
        <w:rPr>
          <w:rFonts w:hint="eastAsia" w:cs="宋体"/>
          <w:color w:val="auto"/>
          <w:highlight w:val="none"/>
        </w:rPr>
        <w:t>按以下任一种形式提供</w:t>
      </w:r>
      <w:r>
        <w:rPr>
          <w:rFonts w:cs="宋体"/>
          <w:color w:val="auto"/>
          <w:highlight w:val="none"/>
        </w:rPr>
        <w:t>：</w:t>
      </w:r>
    </w:p>
    <w:p>
      <w:pPr>
        <w:pStyle w:val="22"/>
        <w:spacing w:before="0" w:beforeAutospacing="0" w:after="0" w:afterAutospacing="0" w:line="360" w:lineRule="auto"/>
        <w:ind w:firstLine="480"/>
        <w:rPr>
          <w:rFonts w:cs="宋体"/>
          <w:color w:val="auto"/>
          <w:highlight w:val="none"/>
        </w:rPr>
      </w:pPr>
      <w:r>
        <w:rPr>
          <w:rFonts w:hint="eastAsia" w:cs="宋体"/>
          <w:color w:val="auto"/>
          <w:highlight w:val="none"/>
        </w:rPr>
        <w:t>1、符合甲方要求的银行独立保函，</w:t>
      </w:r>
    </w:p>
    <w:p>
      <w:pPr>
        <w:pStyle w:val="22"/>
        <w:spacing w:before="0" w:beforeAutospacing="0" w:after="0" w:afterAutospacing="0" w:line="360" w:lineRule="auto"/>
        <w:ind w:firstLine="480"/>
        <w:rPr>
          <w:rFonts w:cs="宋体"/>
          <w:color w:val="auto"/>
          <w:highlight w:val="none"/>
        </w:rPr>
      </w:pPr>
      <w:r>
        <w:rPr>
          <w:rFonts w:hint="eastAsia" w:cs="宋体"/>
          <w:color w:val="auto"/>
          <w:highlight w:val="none"/>
        </w:rPr>
        <w:t>2、现金转账至甲方以下指定账户：</w:t>
      </w:r>
    </w:p>
    <w:p>
      <w:pPr>
        <w:tabs>
          <w:tab w:val="left" w:pos="199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60" w:lineRule="auto"/>
        <w:ind w:firstLine="480"/>
        <w:outlineLvl w:val="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履约担保的担保期限和返还</w:t>
      </w:r>
    </w:p>
    <w:p>
      <w:pPr>
        <w:spacing w:line="360" w:lineRule="auto"/>
        <w:ind w:firstLine="480"/>
        <w:outlineLvl w:val="0"/>
        <w:rPr>
          <w:rFonts w:ascii="宋体" w:hAnsi="宋体" w:cs="宋体"/>
          <w:color w:val="auto"/>
          <w:sz w:val="24"/>
          <w:highlight w:val="none"/>
        </w:rPr>
      </w:pPr>
      <w:r>
        <w:rPr>
          <w:rFonts w:ascii="宋体" w:hAnsi="宋体" w:cs="宋体"/>
          <w:color w:val="auto"/>
          <w:sz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highlight w:val="none"/>
        </w:rPr>
        <w:t xml:space="preserve"> </w:t>
      </w:r>
    </w:p>
    <w:p>
      <w:pPr>
        <w:spacing w:line="360"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6.3.3</w:t>
      </w:r>
      <w:r>
        <w:rPr>
          <w:rFonts w:hint="eastAsia" w:ascii="宋体" w:hAnsi="宋体" w:cs="宋体"/>
          <w:color w:val="auto"/>
          <w:sz w:val="24"/>
          <w:highlight w:val="none"/>
        </w:rPr>
        <w:t>延长担保期限。履约银行保函形式提交履约保证金的，在银行保函到期前，乙方应提前</w:t>
      </w:r>
      <w:r>
        <w:rPr>
          <w:rFonts w:ascii="宋体" w:hAnsi="宋体" w:cs="宋体"/>
          <w:color w:val="auto"/>
          <w:sz w:val="24"/>
          <w:highlight w:val="none"/>
          <w:u w:val="single"/>
        </w:rPr>
        <w:t xml:space="preserve"> 7 </w:t>
      </w:r>
      <w:r>
        <w:rPr>
          <w:rFonts w:ascii="宋体" w:hAnsi="宋体" w:cs="宋体"/>
          <w:color w:val="auto"/>
          <w:sz w:val="24"/>
          <w:highlight w:val="none"/>
        </w:rPr>
        <w:t>天向甲方提交新的保函以替换即将到期的保函</w:t>
      </w:r>
      <w:r>
        <w:rPr>
          <w:rFonts w:hint="eastAsia" w:ascii="宋体" w:hAnsi="宋体" w:cs="宋体"/>
          <w:color w:val="auto"/>
          <w:sz w:val="24"/>
          <w:highlight w:val="none"/>
        </w:rPr>
        <w:t>。如乙方未及时提交的，甲方有权直接要求担保银行支付其担保的全部金额并解除合同。</w:t>
      </w:r>
    </w:p>
    <w:p>
      <w:pPr>
        <w:pStyle w:val="22"/>
        <w:spacing w:before="0" w:beforeAutospacing="0" w:after="0" w:afterAutospacing="0" w:line="360" w:lineRule="auto"/>
        <w:ind w:firstLine="525"/>
        <w:rPr>
          <w:rFonts w:cs="宋体"/>
          <w:color w:val="auto"/>
          <w:highlight w:val="none"/>
        </w:rPr>
      </w:pPr>
      <w:r>
        <w:rPr>
          <w:rFonts w:cs="宋体"/>
          <w:color w:val="auto"/>
          <w:highlight w:val="none"/>
        </w:rPr>
        <w:t>6.3.4</w:t>
      </w:r>
      <w:r>
        <w:rPr>
          <w:rFonts w:hint="eastAsia" w:cs="宋体"/>
          <w:color w:val="auto"/>
          <w:highlight w:val="none"/>
        </w:rPr>
        <w:t>现金履约保证金的退还：合同履行完成后，由乙方提出申请，甲方在</w:t>
      </w:r>
      <w:r>
        <w:rPr>
          <w:rFonts w:cs="宋体"/>
          <w:color w:val="auto"/>
          <w:highlight w:val="none"/>
        </w:rPr>
        <w:t>28</w:t>
      </w:r>
      <w:r>
        <w:rPr>
          <w:rFonts w:hint="eastAsia" w:cs="宋体"/>
          <w:color w:val="auto"/>
          <w:highlight w:val="none"/>
        </w:rPr>
        <w:t>天</w:t>
      </w:r>
      <w:r>
        <w:rPr>
          <w:rFonts w:cs="宋体"/>
          <w:color w:val="auto"/>
          <w:highlight w:val="none"/>
        </w:rPr>
        <w:t>内</w:t>
      </w:r>
      <w:r>
        <w:rPr>
          <w:rFonts w:hint="eastAsia" w:cs="宋体"/>
          <w:color w:val="auto"/>
          <w:highlight w:val="none"/>
        </w:rPr>
        <w:t>将剩余履约保证金（无息）返还。</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6.3.5</w:t>
      </w:r>
      <w:r>
        <w:rPr>
          <w:rFonts w:hint="eastAsia" w:ascii="宋体" w:hAnsi="宋体" w:cs="宋体"/>
          <w:color w:val="auto"/>
          <w:sz w:val="24"/>
          <w:highlight w:val="none"/>
        </w:rPr>
        <w:t>甲方按合同约定提取履约担保金额后，乙方应在收到甲方通知后</w:t>
      </w:r>
      <w:r>
        <w:rPr>
          <w:rFonts w:ascii="宋体" w:hAnsi="宋体" w:cs="宋体"/>
          <w:color w:val="auto"/>
          <w:sz w:val="24"/>
          <w:highlight w:val="none"/>
          <w:u w:val="single"/>
        </w:rPr>
        <w:t xml:space="preserve"> 7 </w:t>
      </w:r>
      <w:r>
        <w:rPr>
          <w:rFonts w:hint="eastAsia" w:ascii="宋体" w:hAnsi="宋体" w:cs="宋体"/>
          <w:color w:val="auto"/>
          <w:sz w:val="24"/>
          <w:highlight w:val="none"/>
        </w:rPr>
        <w:t>天内补足数额，逾期未补足，则甲方有权提取履约担保的全部余额并解除合同。</w:t>
      </w:r>
    </w:p>
    <w:bookmarkEnd w:id="104"/>
    <w:bookmarkEnd w:id="105"/>
    <w:bookmarkEnd w:id="106"/>
    <w:bookmarkEnd w:id="107"/>
    <w:bookmarkEnd w:id="108"/>
    <w:bookmarkEnd w:id="109"/>
    <w:bookmarkEnd w:id="110"/>
    <w:p>
      <w:pPr>
        <w:spacing w:line="440" w:lineRule="exact"/>
        <w:ind w:firstLine="482"/>
        <w:rPr>
          <w:b/>
          <w:color w:val="auto"/>
          <w:sz w:val="24"/>
          <w:highlight w:val="none"/>
        </w:rPr>
      </w:pPr>
      <w:bookmarkStart w:id="118" w:name="_Toc520190030"/>
      <w:bookmarkStart w:id="119" w:name="_Toc183666534"/>
      <w:bookmarkStart w:id="120" w:name="_Toc474245215"/>
      <w:bookmarkStart w:id="121" w:name="_Toc518992990"/>
      <w:bookmarkStart w:id="122" w:name="_Toc257"/>
      <w:r>
        <w:rPr>
          <w:b/>
          <w:color w:val="auto"/>
          <w:sz w:val="24"/>
          <w:highlight w:val="none"/>
        </w:rPr>
        <w:t>第</w:t>
      </w:r>
      <w:r>
        <w:rPr>
          <w:rFonts w:hint="eastAsia"/>
          <w:b/>
          <w:color w:val="auto"/>
          <w:sz w:val="24"/>
          <w:highlight w:val="none"/>
        </w:rPr>
        <w:t>七</w:t>
      </w:r>
      <w:r>
        <w:rPr>
          <w:b/>
          <w:color w:val="auto"/>
          <w:sz w:val="24"/>
          <w:highlight w:val="none"/>
        </w:rPr>
        <w:t>条  质量保证</w:t>
      </w:r>
    </w:p>
    <w:p>
      <w:pPr>
        <w:spacing w:line="360" w:lineRule="auto"/>
        <w:ind w:firstLine="480"/>
        <w:outlineLvl w:val="0"/>
        <w:rPr>
          <w:color w:val="auto"/>
          <w:sz w:val="24"/>
          <w:highlight w:val="none"/>
        </w:rPr>
      </w:pPr>
      <w:r>
        <w:rPr>
          <w:rFonts w:hint="eastAsia"/>
          <w:color w:val="auto"/>
          <w:sz w:val="24"/>
          <w:highlight w:val="none"/>
        </w:rPr>
        <w:t>7</w:t>
      </w:r>
      <w:r>
        <w:rPr>
          <w:color w:val="auto"/>
          <w:sz w:val="24"/>
          <w:highlight w:val="none"/>
        </w:rPr>
        <w:t>.1乙方必须严格按照所采用的</w:t>
      </w:r>
      <w:r>
        <w:rPr>
          <w:rFonts w:hint="eastAsia"/>
          <w:bCs/>
          <w:color w:val="auto"/>
          <w:sz w:val="24"/>
          <w:highlight w:val="none"/>
          <w:lang w:val="en-US" w:eastAsia="zh-CN"/>
        </w:rPr>
        <w:t>鉴定</w:t>
      </w:r>
      <w:r>
        <w:rPr>
          <w:color w:val="auto"/>
          <w:sz w:val="24"/>
          <w:highlight w:val="none"/>
        </w:rPr>
        <w:t>、规范及本技术协议制定</w:t>
      </w:r>
      <w:r>
        <w:rPr>
          <w:rFonts w:hint="eastAsia"/>
          <w:bCs/>
          <w:color w:val="auto"/>
          <w:sz w:val="24"/>
          <w:highlight w:val="none"/>
          <w:lang w:val="en-US" w:eastAsia="zh-CN"/>
        </w:rPr>
        <w:t>鉴定</w:t>
      </w:r>
      <w:r>
        <w:rPr>
          <w:color w:val="auto"/>
          <w:sz w:val="24"/>
          <w:highlight w:val="none"/>
        </w:rPr>
        <w:t>工作方案，</w:t>
      </w:r>
      <w:r>
        <w:rPr>
          <w:rFonts w:hint="eastAsia"/>
          <w:bCs/>
          <w:color w:val="auto"/>
          <w:sz w:val="24"/>
          <w:highlight w:val="none"/>
          <w:lang w:val="en-US" w:eastAsia="zh-CN"/>
        </w:rPr>
        <w:t>鉴定</w:t>
      </w:r>
      <w:r>
        <w:rPr>
          <w:color w:val="auto"/>
          <w:sz w:val="24"/>
          <w:highlight w:val="none"/>
        </w:rPr>
        <w:t>人员须具有</w:t>
      </w:r>
      <w:r>
        <w:rPr>
          <w:rFonts w:hint="eastAsia"/>
          <w:bCs/>
          <w:color w:val="auto"/>
          <w:sz w:val="24"/>
          <w:highlight w:val="none"/>
          <w:lang w:val="en-US" w:eastAsia="zh-CN"/>
        </w:rPr>
        <w:t>鉴定</w:t>
      </w:r>
      <w:r>
        <w:rPr>
          <w:color w:val="auto"/>
          <w:sz w:val="24"/>
          <w:highlight w:val="none"/>
        </w:rPr>
        <w:t>相关资格证书，</w:t>
      </w:r>
      <w:r>
        <w:rPr>
          <w:rFonts w:hint="eastAsia"/>
          <w:bCs/>
          <w:color w:val="auto"/>
          <w:sz w:val="24"/>
          <w:highlight w:val="none"/>
          <w:lang w:val="en-US" w:eastAsia="zh-CN"/>
        </w:rPr>
        <w:t>鉴定</w:t>
      </w:r>
      <w:r>
        <w:rPr>
          <w:color w:val="auto"/>
          <w:sz w:val="24"/>
          <w:highlight w:val="none"/>
        </w:rPr>
        <w:t>所需工具、仪器、物料等符合</w:t>
      </w:r>
      <w:r>
        <w:rPr>
          <w:rFonts w:hint="eastAsia"/>
          <w:bCs/>
          <w:color w:val="auto"/>
          <w:sz w:val="24"/>
          <w:highlight w:val="none"/>
          <w:lang w:val="en-US" w:eastAsia="zh-CN"/>
        </w:rPr>
        <w:t>鉴定</w:t>
      </w:r>
      <w:r>
        <w:rPr>
          <w:color w:val="auto"/>
          <w:sz w:val="24"/>
          <w:highlight w:val="none"/>
        </w:rPr>
        <w:t>规范要求。</w:t>
      </w:r>
    </w:p>
    <w:p>
      <w:pPr>
        <w:spacing w:line="360" w:lineRule="auto"/>
        <w:ind w:firstLine="480"/>
        <w:outlineLvl w:val="0"/>
        <w:rPr>
          <w:color w:val="auto"/>
          <w:sz w:val="24"/>
          <w:highlight w:val="none"/>
        </w:rPr>
      </w:pPr>
      <w:r>
        <w:rPr>
          <w:rFonts w:hint="eastAsia"/>
          <w:color w:val="auto"/>
          <w:sz w:val="24"/>
          <w:highlight w:val="none"/>
        </w:rPr>
        <w:t>7</w:t>
      </w:r>
      <w:r>
        <w:rPr>
          <w:color w:val="auto"/>
          <w:sz w:val="24"/>
          <w:highlight w:val="none"/>
        </w:rPr>
        <w:t>.2</w:t>
      </w:r>
      <w:r>
        <w:rPr>
          <w:rFonts w:hint="eastAsia"/>
          <w:bCs/>
          <w:color w:val="auto"/>
          <w:sz w:val="24"/>
          <w:highlight w:val="none"/>
          <w:lang w:val="en-US" w:eastAsia="zh-CN"/>
        </w:rPr>
        <w:t>鉴定</w:t>
      </w:r>
      <w:r>
        <w:rPr>
          <w:color w:val="auto"/>
          <w:sz w:val="24"/>
          <w:highlight w:val="none"/>
        </w:rPr>
        <w:t>方法须按照以</w:t>
      </w:r>
      <w:r>
        <w:rPr>
          <w:rFonts w:hint="eastAsia"/>
          <w:bCs/>
          <w:color w:val="auto"/>
          <w:sz w:val="24"/>
          <w:highlight w:val="none"/>
          <w:lang w:val="en-US" w:eastAsia="zh-CN"/>
        </w:rPr>
        <w:t>鉴定</w:t>
      </w:r>
      <w:r>
        <w:rPr>
          <w:color w:val="auto"/>
          <w:sz w:val="24"/>
          <w:highlight w:val="none"/>
        </w:rPr>
        <w:t>项目的国家标准或行业标准等为准。</w:t>
      </w:r>
    </w:p>
    <w:p>
      <w:pPr>
        <w:spacing w:line="360" w:lineRule="auto"/>
        <w:ind w:firstLine="480"/>
        <w:outlineLvl w:val="0"/>
        <w:rPr>
          <w:color w:val="auto"/>
          <w:sz w:val="24"/>
          <w:highlight w:val="none"/>
        </w:rPr>
      </w:pPr>
      <w:r>
        <w:rPr>
          <w:bCs/>
          <w:color w:val="auto"/>
          <w:sz w:val="24"/>
          <w:highlight w:val="none"/>
        </w:rPr>
        <w:t>7.</w:t>
      </w:r>
      <w:r>
        <w:rPr>
          <w:rFonts w:hint="eastAsia"/>
          <w:bCs/>
          <w:color w:val="auto"/>
          <w:sz w:val="24"/>
          <w:highlight w:val="none"/>
          <w:lang w:val="en-US" w:eastAsia="zh-CN"/>
        </w:rPr>
        <w:t>3</w:t>
      </w:r>
      <w:r>
        <w:rPr>
          <w:rFonts w:hint="eastAsia" w:ascii="宋体" w:hAnsi="宋体"/>
          <w:bCs/>
          <w:color w:val="auto"/>
          <w:sz w:val="24"/>
          <w:highlight w:val="none"/>
        </w:rPr>
        <w:t>乙方须安排具有从事相应专业知识和专业技能的技术人员跟踪负责项目的</w:t>
      </w:r>
      <w:r>
        <w:rPr>
          <w:rFonts w:hint="eastAsia" w:ascii="宋体" w:hAnsi="宋体"/>
          <w:bCs/>
          <w:color w:val="auto"/>
          <w:sz w:val="24"/>
          <w:highlight w:val="none"/>
          <w:lang w:val="en-US" w:eastAsia="zh-CN"/>
        </w:rPr>
        <w:t>检测</w:t>
      </w:r>
      <w:r>
        <w:rPr>
          <w:rFonts w:hint="eastAsia" w:ascii="宋体" w:hAnsi="宋体"/>
          <w:bCs/>
          <w:color w:val="auto"/>
          <w:sz w:val="24"/>
          <w:highlight w:val="none"/>
        </w:rPr>
        <w:t>、数据审核、报告出具等流程工作，并与甲方</w:t>
      </w:r>
      <w:r>
        <w:rPr>
          <w:rFonts w:hint="eastAsia" w:ascii="宋体" w:hAnsi="宋体"/>
          <w:bCs/>
          <w:color w:val="auto"/>
          <w:sz w:val="24"/>
          <w:highlight w:val="none"/>
          <w:lang w:val="en-US" w:eastAsia="zh-CN"/>
        </w:rPr>
        <w:t>所属的猎德分公司、</w:t>
      </w:r>
      <w:r>
        <w:rPr>
          <w:rFonts w:hint="eastAsia"/>
          <w:color w:val="auto"/>
          <w:sz w:val="24"/>
          <w:highlight w:val="none"/>
          <w:lang w:val="en-US" w:eastAsia="zh-CN"/>
        </w:rPr>
        <w:t>大坦沙分公司、沥滘分公司、龙归分公司、竹料分公司、京溪分公司、大沙地分公司、石井分公司</w:t>
      </w:r>
      <w:r>
        <w:rPr>
          <w:rFonts w:hint="eastAsia" w:ascii="宋体" w:hAnsi="宋体"/>
          <w:bCs/>
          <w:color w:val="auto"/>
          <w:sz w:val="24"/>
          <w:highlight w:val="none"/>
        </w:rPr>
        <w:t>做好对接工作。乙方技术人员对</w:t>
      </w:r>
      <w:r>
        <w:rPr>
          <w:rFonts w:hint="eastAsia" w:ascii="宋体" w:hAnsi="宋体"/>
          <w:bCs/>
          <w:color w:val="auto"/>
          <w:sz w:val="24"/>
          <w:highlight w:val="none"/>
          <w:lang w:val="en-US" w:eastAsia="zh-CN"/>
        </w:rPr>
        <w:t>鉴定</w:t>
      </w:r>
      <w:r>
        <w:rPr>
          <w:rFonts w:hint="eastAsia" w:ascii="宋体" w:hAnsi="宋体"/>
          <w:bCs/>
          <w:color w:val="auto"/>
          <w:sz w:val="24"/>
          <w:highlight w:val="none"/>
        </w:rPr>
        <w:t>、结果评价过程中出现的问题情况，应及时与甲方</w:t>
      </w:r>
      <w:r>
        <w:rPr>
          <w:rFonts w:hint="eastAsia" w:ascii="宋体" w:hAnsi="宋体"/>
          <w:bCs/>
          <w:color w:val="auto"/>
          <w:sz w:val="24"/>
          <w:highlight w:val="none"/>
          <w:lang w:val="en-US" w:eastAsia="zh-CN"/>
        </w:rPr>
        <w:t>及甲方所属的猎德分公司、</w:t>
      </w:r>
      <w:r>
        <w:rPr>
          <w:rFonts w:hint="eastAsia"/>
          <w:color w:val="auto"/>
          <w:sz w:val="24"/>
          <w:highlight w:val="none"/>
          <w:lang w:val="en-US" w:eastAsia="zh-CN"/>
        </w:rPr>
        <w:t>大坦沙分公司、沥滘分公司、龙归分公司、竹料分公司、京溪分公司、大沙地分公司、石井分公司</w:t>
      </w:r>
      <w:r>
        <w:rPr>
          <w:rFonts w:hint="eastAsia" w:ascii="宋体" w:hAnsi="宋体"/>
          <w:bCs/>
          <w:color w:val="auto"/>
          <w:sz w:val="24"/>
          <w:highlight w:val="none"/>
        </w:rPr>
        <w:t>联系，并就反映的</w:t>
      </w:r>
      <w:r>
        <w:rPr>
          <w:rFonts w:hint="eastAsia" w:ascii="宋体" w:hAnsi="宋体"/>
          <w:bCs/>
          <w:color w:val="auto"/>
          <w:sz w:val="24"/>
          <w:highlight w:val="none"/>
          <w:lang w:val="en-US" w:eastAsia="zh-CN"/>
        </w:rPr>
        <w:t>鉴定</w:t>
      </w:r>
      <w:r>
        <w:rPr>
          <w:rFonts w:hint="eastAsia" w:ascii="宋体" w:hAnsi="宋体"/>
          <w:bCs/>
          <w:color w:val="auto"/>
          <w:sz w:val="24"/>
          <w:highlight w:val="none"/>
        </w:rPr>
        <w:t>、数据审核和报告出具等环节中问题及时作出回应，及时安排重检或给出解决办法。</w:t>
      </w:r>
    </w:p>
    <w:bookmarkEnd w:id="118"/>
    <w:bookmarkEnd w:id="119"/>
    <w:bookmarkEnd w:id="120"/>
    <w:bookmarkEnd w:id="121"/>
    <w:bookmarkEnd w:id="122"/>
    <w:p>
      <w:pPr>
        <w:spacing w:line="440" w:lineRule="exact"/>
        <w:ind w:firstLine="482"/>
        <w:rPr>
          <w:bCs/>
          <w:color w:val="auto"/>
          <w:sz w:val="24"/>
          <w:highlight w:val="none"/>
        </w:rPr>
      </w:pPr>
      <w:r>
        <w:rPr>
          <w:b/>
          <w:color w:val="auto"/>
          <w:sz w:val="24"/>
          <w:highlight w:val="none"/>
        </w:rPr>
        <w:t>第</w:t>
      </w:r>
      <w:r>
        <w:rPr>
          <w:rFonts w:hint="eastAsia"/>
          <w:b/>
          <w:color w:val="auto"/>
          <w:sz w:val="24"/>
          <w:highlight w:val="none"/>
        </w:rPr>
        <w:t>八</w:t>
      </w:r>
      <w:r>
        <w:rPr>
          <w:b/>
          <w:color w:val="auto"/>
          <w:sz w:val="24"/>
          <w:highlight w:val="none"/>
        </w:rPr>
        <w:t>条 违约责任</w:t>
      </w:r>
    </w:p>
    <w:p>
      <w:pPr>
        <w:spacing w:line="440" w:lineRule="exact"/>
        <w:ind w:firstLine="482"/>
        <w:rPr>
          <w:bCs/>
          <w:color w:val="auto"/>
          <w:sz w:val="24"/>
          <w:highlight w:val="none"/>
        </w:rPr>
      </w:pPr>
      <w:r>
        <w:rPr>
          <w:rFonts w:hint="eastAsia"/>
          <w:bCs/>
          <w:color w:val="auto"/>
          <w:sz w:val="24"/>
          <w:highlight w:val="none"/>
        </w:rPr>
        <w:t>8</w:t>
      </w:r>
      <w:r>
        <w:rPr>
          <w:bCs/>
          <w:color w:val="auto"/>
          <w:sz w:val="24"/>
          <w:highlight w:val="none"/>
        </w:rPr>
        <w:t>.</w:t>
      </w:r>
      <w:r>
        <w:rPr>
          <w:rFonts w:hint="eastAsia"/>
          <w:bCs/>
          <w:color w:val="auto"/>
          <w:sz w:val="24"/>
          <w:highlight w:val="none"/>
          <w:lang w:val="en-US" w:eastAsia="zh-CN"/>
        </w:rPr>
        <w:t>1</w:t>
      </w:r>
      <w:r>
        <w:rPr>
          <w:bCs/>
          <w:color w:val="auto"/>
          <w:sz w:val="24"/>
          <w:highlight w:val="none"/>
        </w:rPr>
        <w:t>若违反本合同的约定，违约方应当按照当时生效的《中华人民共和国</w:t>
      </w:r>
      <w:r>
        <w:rPr>
          <w:rFonts w:hint="eastAsia"/>
          <w:bCs/>
          <w:color w:val="auto"/>
          <w:sz w:val="24"/>
          <w:highlight w:val="none"/>
        </w:rPr>
        <w:t>民法典</w:t>
      </w:r>
      <w:r>
        <w:rPr>
          <w:bCs/>
          <w:color w:val="auto"/>
          <w:sz w:val="24"/>
          <w:highlight w:val="none"/>
        </w:rPr>
        <w:t>》的相关规定，承担违约责任。</w:t>
      </w:r>
    </w:p>
    <w:p>
      <w:pPr>
        <w:spacing w:line="440" w:lineRule="exact"/>
        <w:ind w:firstLine="482"/>
        <w:rPr>
          <w:bCs/>
          <w:color w:val="auto"/>
          <w:sz w:val="24"/>
          <w:highlight w:val="none"/>
        </w:rPr>
      </w:pPr>
      <w:r>
        <w:rPr>
          <w:bCs/>
          <w:color w:val="auto"/>
          <w:sz w:val="24"/>
          <w:highlight w:val="none"/>
        </w:rPr>
        <w:t>8.</w:t>
      </w:r>
      <w:r>
        <w:rPr>
          <w:rFonts w:hint="eastAsia"/>
          <w:bCs/>
          <w:color w:val="auto"/>
          <w:sz w:val="24"/>
          <w:highlight w:val="none"/>
          <w:lang w:val="en-US" w:eastAsia="zh-CN"/>
        </w:rPr>
        <w:t>2</w:t>
      </w:r>
      <w:r>
        <w:rPr>
          <w:bCs/>
          <w:color w:val="auto"/>
          <w:sz w:val="24"/>
          <w:highlight w:val="none"/>
        </w:rPr>
        <w:t>若乙方未按合同要求进行</w:t>
      </w:r>
      <w:r>
        <w:rPr>
          <w:rFonts w:hint="eastAsia" w:ascii="宋体" w:hAnsi="宋体"/>
          <w:bCs/>
          <w:color w:val="auto"/>
          <w:sz w:val="24"/>
          <w:highlight w:val="none"/>
          <w:lang w:val="en-US" w:eastAsia="zh-CN"/>
        </w:rPr>
        <w:t>鉴定</w:t>
      </w:r>
      <w:r>
        <w:rPr>
          <w:bCs/>
          <w:color w:val="auto"/>
          <w:sz w:val="24"/>
          <w:highlight w:val="none"/>
        </w:rPr>
        <w:t>且没有事先与甲方沟通，造成甲方损失的，应由乙方赔偿甲方损失,但最高赔偿额不超过当次已支付服务费用的2倍。如果原样品在有效期内且甲方明确要求重检，乙方免费安排重新</w:t>
      </w:r>
      <w:r>
        <w:rPr>
          <w:rFonts w:hint="eastAsia" w:ascii="宋体" w:hAnsi="宋体"/>
          <w:bCs/>
          <w:color w:val="auto"/>
          <w:sz w:val="24"/>
          <w:highlight w:val="none"/>
          <w:lang w:val="en-US" w:eastAsia="zh-CN"/>
        </w:rPr>
        <w:t>鉴定</w:t>
      </w:r>
      <w:r>
        <w:rPr>
          <w:bCs/>
          <w:color w:val="auto"/>
          <w:sz w:val="24"/>
          <w:highlight w:val="none"/>
        </w:rPr>
        <w:t>。</w:t>
      </w:r>
    </w:p>
    <w:p>
      <w:pPr>
        <w:spacing w:line="440" w:lineRule="exact"/>
        <w:ind w:firstLine="482"/>
        <w:rPr>
          <w:bCs/>
          <w:color w:val="auto"/>
          <w:sz w:val="24"/>
          <w:highlight w:val="none"/>
        </w:rPr>
      </w:pPr>
      <w:r>
        <w:rPr>
          <w:rFonts w:hint="default" w:asciiTheme="minorHAnsi" w:hAnsiTheme="minorHAnsi" w:cstheme="minorBidi"/>
          <w:bCs/>
          <w:color w:val="auto"/>
          <w:sz w:val="24"/>
          <w:szCs w:val="22"/>
          <w:highlight w:val="none"/>
          <w:lang w:val="en-US" w:eastAsia="zh-CN"/>
        </w:rPr>
        <w:t>8.</w:t>
      </w:r>
      <w:r>
        <w:rPr>
          <w:rFonts w:hint="eastAsia" w:cstheme="minorBidi"/>
          <w:bCs/>
          <w:color w:val="auto"/>
          <w:sz w:val="24"/>
          <w:szCs w:val="22"/>
          <w:highlight w:val="none"/>
          <w:lang w:val="en-US" w:eastAsia="zh-CN"/>
        </w:rPr>
        <w:t>3</w:t>
      </w:r>
      <w:r>
        <w:rPr>
          <w:rFonts w:hint="eastAsia" w:ascii="宋体" w:hAnsi="宋体" w:eastAsiaTheme="minorEastAsia" w:cstheme="minorBidi"/>
          <w:bCs/>
          <w:color w:val="auto"/>
          <w:sz w:val="24"/>
          <w:szCs w:val="22"/>
          <w:highlight w:val="none"/>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eastAsiaTheme="minorEastAsia" w:cstheme="minorBidi"/>
          <w:bCs/>
          <w:color w:val="auto"/>
          <w:sz w:val="24"/>
          <w:szCs w:val="22"/>
          <w:highlight w:val="none"/>
          <w:u w:val="none"/>
        </w:rPr>
        <w:t>1万元</w:t>
      </w:r>
      <w:r>
        <w:rPr>
          <w:rFonts w:hint="eastAsia" w:ascii="宋体" w:hAnsi="宋体" w:eastAsiaTheme="minorEastAsia" w:cstheme="minorBidi"/>
          <w:bCs/>
          <w:color w:val="auto"/>
          <w:sz w:val="24"/>
          <w:szCs w:val="22"/>
          <w:highlight w:val="none"/>
        </w:rPr>
        <w:t>，超过</w:t>
      </w:r>
      <w:r>
        <w:rPr>
          <w:rFonts w:hint="eastAsia" w:ascii="宋体" w:hAnsi="宋体" w:eastAsiaTheme="minorEastAsia" w:cstheme="minorBidi"/>
          <w:bCs/>
          <w:color w:val="auto"/>
          <w:sz w:val="24"/>
          <w:szCs w:val="22"/>
          <w:highlight w:val="none"/>
          <w:u w:val="none"/>
          <w:lang w:eastAsia="zh-CN"/>
        </w:rPr>
        <w:t>6</w:t>
      </w:r>
      <w:r>
        <w:rPr>
          <w:rFonts w:hint="eastAsia" w:ascii="宋体" w:hAnsi="宋体" w:eastAsiaTheme="minorEastAsia" w:cstheme="minorBidi"/>
          <w:bCs/>
          <w:color w:val="auto"/>
          <w:sz w:val="24"/>
          <w:szCs w:val="22"/>
          <w:highlight w:val="none"/>
          <w:u w:val="none"/>
          <w:lang w:val="en-US" w:eastAsia="zh-CN"/>
        </w:rPr>
        <w:t>0</w:t>
      </w:r>
      <w:r>
        <w:rPr>
          <w:rFonts w:hint="eastAsia" w:ascii="宋体" w:hAnsi="宋体" w:eastAsiaTheme="minorEastAsia" w:cstheme="minorBidi"/>
          <w:bCs/>
          <w:color w:val="auto"/>
          <w:sz w:val="24"/>
          <w:szCs w:val="22"/>
          <w:highlight w:val="none"/>
        </w:rPr>
        <w:t>日，甲方有权解除合同并要求乙方支付</w:t>
      </w:r>
      <w:r>
        <w:rPr>
          <w:rFonts w:hint="eastAsia" w:ascii="宋体" w:hAnsi="宋体" w:eastAsiaTheme="minorEastAsia" w:cstheme="minorBidi"/>
          <w:bCs/>
          <w:color w:val="auto"/>
          <w:sz w:val="24"/>
          <w:szCs w:val="22"/>
          <w:highlight w:val="none"/>
          <w:u w:val="none"/>
        </w:rPr>
        <w:t>合同暂定总价的20%</w:t>
      </w:r>
      <w:r>
        <w:rPr>
          <w:rFonts w:hint="eastAsia" w:ascii="宋体" w:hAnsi="宋体" w:eastAsiaTheme="minorEastAsia" w:cstheme="minorBidi"/>
          <w:bCs/>
          <w:color w:val="auto"/>
          <w:sz w:val="24"/>
          <w:szCs w:val="22"/>
          <w:highlight w:val="none"/>
        </w:rPr>
        <w:t>作为违约金（如合同另行约定违约责任，从其约定）</w:t>
      </w:r>
      <w:r>
        <w:rPr>
          <w:bCs/>
          <w:color w:val="auto"/>
          <w:sz w:val="24"/>
          <w:highlight w:val="none"/>
        </w:rPr>
        <w:t>。</w:t>
      </w:r>
    </w:p>
    <w:p>
      <w:pPr>
        <w:spacing w:line="440" w:lineRule="exact"/>
        <w:ind w:firstLine="482"/>
      </w:pPr>
      <w:r>
        <w:rPr>
          <w:rFonts w:hint="default" w:asciiTheme="minorHAnsi" w:hAnsiTheme="minorHAnsi" w:cstheme="minorBidi"/>
          <w:bCs/>
          <w:color w:val="auto"/>
          <w:sz w:val="24"/>
          <w:szCs w:val="22"/>
          <w:highlight w:val="none"/>
          <w:lang w:val="en-US" w:eastAsia="zh-CN"/>
        </w:rPr>
        <w:t>8.</w:t>
      </w:r>
      <w:r>
        <w:rPr>
          <w:rFonts w:hint="eastAsia" w:cstheme="minorBidi"/>
          <w:bCs/>
          <w:color w:val="auto"/>
          <w:sz w:val="24"/>
          <w:szCs w:val="22"/>
          <w:highlight w:val="none"/>
          <w:lang w:val="en-US" w:eastAsia="zh-CN"/>
        </w:rPr>
        <w:t>4</w:t>
      </w:r>
      <w:r>
        <w:rPr>
          <w:rFonts w:hint="eastAsia" w:ascii="宋体" w:hAnsi="宋体" w:eastAsiaTheme="minorEastAsia" w:cstheme="minorBidi"/>
          <w:bCs/>
          <w:color w:val="auto"/>
          <w:sz w:val="24"/>
          <w:szCs w:val="22"/>
          <w:highlight w:val="none"/>
        </w:rPr>
        <w:t>乙方</w:t>
      </w:r>
      <w:r>
        <w:rPr>
          <w:rFonts w:hint="eastAsia" w:ascii="宋体" w:hAnsi="宋体" w:eastAsiaTheme="minorEastAsia" w:cstheme="minorBidi"/>
          <w:bCs/>
          <w:color w:val="auto"/>
          <w:sz w:val="24"/>
          <w:szCs w:val="22"/>
          <w:highlight w:val="none"/>
          <w:lang w:eastAsia="zh-CN"/>
        </w:rPr>
        <w:t>应按合同约定时间提交报告。如未能按时提交报告，每逾期一天，甲方有权要求乙方按</w:t>
      </w:r>
      <w:r>
        <w:rPr>
          <w:rFonts w:hint="eastAsia" w:ascii="宋体" w:hAnsi="宋体" w:eastAsiaTheme="minorEastAsia" w:cstheme="minorBidi"/>
          <w:bCs/>
          <w:color w:val="auto"/>
          <w:sz w:val="24"/>
          <w:szCs w:val="22"/>
          <w:highlight w:val="none"/>
          <w:u w:val="none"/>
          <w:lang w:eastAsia="zh-CN"/>
        </w:rPr>
        <w:t>合同暂定总价的</w:t>
      </w:r>
      <w:r>
        <w:rPr>
          <w:rFonts w:hint="eastAsia" w:ascii="宋体" w:hAnsi="宋体" w:eastAsiaTheme="minorEastAsia" w:cstheme="minorBidi"/>
          <w:bCs/>
          <w:color w:val="auto"/>
          <w:sz w:val="24"/>
          <w:szCs w:val="22"/>
          <w:highlight w:val="none"/>
          <w:u w:val="none"/>
          <w:lang w:val="en-US" w:eastAsia="zh-CN"/>
        </w:rPr>
        <w:t>1%</w:t>
      </w:r>
      <w:r>
        <w:rPr>
          <w:rFonts w:hint="eastAsia" w:ascii="宋体" w:hAnsi="宋体" w:eastAsiaTheme="minorEastAsia" w:cstheme="minorBidi"/>
          <w:bCs/>
          <w:color w:val="auto"/>
          <w:sz w:val="24"/>
          <w:szCs w:val="22"/>
          <w:highlight w:val="none"/>
          <w:lang w:val="en-US" w:eastAsia="zh-CN"/>
        </w:rPr>
        <w:t>支付违约金，逾期达到10  天及以上，甲方有权解除合同并要求乙方支付</w:t>
      </w:r>
      <w:r>
        <w:rPr>
          <w:rFonts w:hint="eastAsia" w:ascii="宋体" w:hAnsi="宋体" w:eastAsiaTheme="minorEastAsia" w:cstheme="minorBidi"/>
          <w:bCs/>
          <w:color w:val="auto"/>
          <w:sz w:val="24"/>
          <w:szCs w:val="22"/>
          <w:highlight w:val="none"/>
          <w:u w:val="none"/>
          <w:lang w:val="en-US" w:eastAsia="zh-CN"/>
        </w:rPr>
        <w:t>合同暂定价的20%</w:t>
      </w:r>
      <w:r>
        <w:rPr>
          <w:rFonts w:hint="eastAsia" w:ascii="宋体" w:hAnsi="宋体" w:eastAsiaTheme="minorEastAsia" w:cstheme="minorBidi"/>
          <w:bCs/>
          <w:color w:val="auto"/>
          <w:sz w:val="24"/>
          <w:szCs w:val="22"/>
          <w:highlight w:val="none"/>
          <w:lang w:val="en-US" w:eastAsia="zh-CN"/>
        </w:rPr>
        <w:t>作为违约金</w:t>
      </w:r>
      <w:r>
        <w:rPr>
          <w:rFonts w:hint="eastAsia" w:ascii="宋体" w:hAnsi="宋体" w:cstheme="minorBidi"/>
          <w:bCs/>
          <w:color w:val="auto"/>
          <w:sz w:val="24"/>
          <w:szCs w:val="22"/>
          <w:highlight w:val="none"/>
          <w:lang w:val="en-US" w:eastAsia="zh-CN"/>
        </w:rPr>
        <w:t>。</w:t>
      </w:r>
    </w:p>
    <w:p>
      <w:pPr>
        <w:spacing w:line="440" w:lineRule="exact"/>
        <w:ind w:firstLine="482"/>
        <w:rPr>
          <w:bCs/>
          <w:color w:val="auto"/>
          <w:sz w:val="24"/>
          <w:highlight w:val="none"/>
        </w:rPr>
      </w:pPr>
      <w:r>
        <w:rPr>
          <w:b/>
          <w:color w:val="auto"/>
          <w:sz w:val="24"/>
          <w:highlight w:val="none"/>
        </w:rPr>
        <w:t>第九条 变更或解除</w:t>
      </w:r>
    </w:p>
    <w:p>
      <w:pPr>
        <w:spacing w:line="440" w:lineRule="exact"/>
        <w:ind w:firstLine="482"/>
        <w:rPr>
          <w:bCs/>
          <w:color w:val="auto"/>
          <w:sz w:val="24"/>
          <w:highlight w:val="none"/>
        </w:rPr>
      </w:pPr>
      <w:bookmarkStart w:id="123" w:name="_Toc183666530"/>
      <w:bookmarkStart w:id="124" w:name="_Toc306350466"/>
      <w:bookmarkStart w:id="125" w:name="_Toc5786"/>
      <w:r>
        <w:rPr>
          <w:bCs/>
          <w:color w:val="auto"/>
          <w:sz w:val="24"/>
          <w:highlight w:val="none"/>
        </w:rPr>
        <w:t>9.1 甲方解除合同</w:t>
      </w:r>
    </w:p>
    <w:p>
      <w:pPr>
        <w:spacing w:line="440" w:lineRule="exact"/>
        <w:ind w:firstLine="482"/>
        <w:rPr>
          <w:bCs/>
          <w:color w:val="auto"/>
          <w:sz w:val="24"/>
          <w:highlight w:val="none"/>
        </w:rPr>
      </w:pPr>
      <w:r>
        <w:rPr>
          <w:bCs/>
          <w:color w:val="auto"/>
          <w:sz w:val="24"/>
          <w:highlight w:val="none"/>
        </w:rPr>
        <w:t>如乙方存在下述情况之一，甲方有权向乙方发出书面通知，全部或部分解除本合同</w:t>
      </w:r>
      <w:r>
        <w:rPr>
          <w:rFonts w:hint="eastAsia"/>
          <w:bCs/>
          <w:color w:val="auto"/>
          <w:sz w:val="24"/>
          <w:highlight w:val="none"/>
          <w:lang w:val="en-US" w:eastAsia="zh-CN"/>
        </w:rPr>
        <w:t>且甲方不需承担任何责任</w:t>
      </w:r>
      <w:r>
        <w:rPr>
          <w:bCs/>
          <w:color w:val="auto"/>
          <w:sz w:val="24"/>
          <w:highlight w:val="none"/>
        </w:rPr>
        <w:t>：</w:t>
      </w:r>
    </w:p>
    <w:p>
      <w:pPr>
        <w:spacing w:line="440" w:lineRule="exact"/>
        <w:ind w:firstLine="482"/>
        <w:rPr>
          <w:bCs/>
          <w:color w:val="auto"/>
          <w:sz w:val="24"/>
          <w:highlight w:val="none"/>
        </w:rPr>
      </w:pPr>
      <w:r>
        <w:rPr>
          <w:bCs/>
          <w:color w:val="auto"/>
          <w:sz w:val="24"/>
          <w:highlight w:val="none"/>
        </w:rPr>
        <w:t xml:space="preserve">9.1.1 乙方未能在本合同约定或甲方另行指定的期限内提供部分或全部服务，并经甲方催告后在合理期限内仍未提供； </w:t>
      </w:r>
    </w:p>
    <w:p>
      <w:pPr>
        <w:spacing w:line="440" w:lineRule="exact"/>
        <w:ind w:firstLine="482"/>
        <w:rPr>
          <w:bCs/>
          <w:color w:val="auto"/>
          <w:sz w:val="24"/>
          <w:highlight w:val="none"/>
        </w:rPr>
      </w:pPr>
      <w:r>
        <w:rPr>
          <w:bCs/>
          <w:color w:val="auto"/>
          <w:sz w:val="24"/>
          <w:highlight w:val="none"/>
        </w:rPr>
        <w:t>9.1.2 乙方提供服务存在严重的质量问题，导致本合同目的不能实现；</w:t>
      </w:r>
    </w:p>
    <w:p>
      <w:pPr>
        <w:spacing w:line="440" w:lineRule="exact"/>
        <w:ind w:firstLine="482"/>
        <w:rPr>
          <w:bCs/>
          <w:color w:val="auto"/>
          <w:sz w:val="24"/>
          <w:highlight w:val="none"/>
        </w:rPr>
      </w:pPr>
      <w:r>
        <w:rPr>
          <w:bCs/>
          <w:color w:val="auto"/>
          <w:sz w:val="24"/>
          <w:highlight w:val="none"/>
        </w:rPr>
        <w:t>9.1.3 乙方存在违反合同义务的其他情形。</w:t>
      </w:r>
    </w:p>
    <w:p>
      <w:pPr>
        <w:spacing w:line="440" w:lineRule="exact"/>
        <w:ind w:firstLine="482"/>
        <w:rPr>
          <w:bCs/>
          <w:color w:val="auto"/>
          <w:sz w:val="24"/>
          <w:highlight w:val="none"/>
        </w:rPr>
      </w:pPr>
      <w:r>
        <w:rPr>
          <w:bCs/>
          <w:color w:val="auto"/>
          <w:sz w:val="24"/>
          <w:highlight w:val="none"/>
        </w:rPr>
        <w:t>9.2 乙方解除合同</w:t>
      </w:r>
    </w:p>
    <w:p>
      <w:pPr>
        <w:spacing w:line="440" w:lineRule="exact"/>
        <w:ind w:firstLine="482"/>
        <w:rPr>
          <w:bCs/>
          <w:color w:val="auto"/>
          <w:sz w:val="24"/>
          <w:highlight w:val="none"/>
        </w:rPr>
      </w:pPr>
      <w:r>
        <w:rPr>
          <w:bCs/>
          <w:color w:val="auto"/>
          <w:sz w:val="24"/>
          <w:highlight w:val="none"/>
        </w:rPr>
        <w:t>如甲方无正当理由未能按本合同约定期限向乙方支付合同款，并经乙方催告后超过</w:t>
      </w:r>
      <w:r>
        <w:rPr>
          <w:rFonts w:hint="eastAsia"/>
          <w:bCs/>
          <w:color w:val="auto"/>
          <w:sz w:val="24"/>
          <w:highlight w:val="none"/>
        </w:rPr>
        <w:t>10</w:t>
      </w:r>
      <w:r>
        <w:rPr>
          <w:bCs/>
          <w:color w:val="auto"/>
          <w:sz w:val="24"/>
          <w:highlight w:val="none"/>
        </w:rPr>
        <w:t>天仍未支付，乙方有权以书面通知解除本合同。</w:t>
      </w:r>
    </w:p>
    <w:p>
      <w:pPr>
        <w:spacing w:line="440" w:lineRule="exact"/>
        <w:ind w:firstLine="482"/>
        <w:rPr>
          <w:bCs/>
          <w:color w:val="auto"/>
          <w:sz w:val="24"/>
          <w:highlight w:val="none"/>
        </w:rPr>
      </w:pPr>
      <w:r>
        <w:rPr>
          <w:bCs/>
          <w:color w:val="auto"/>
          <w:sz w:val="24"/>
          <w:highlight w:val="none"/>
        </w:rPr>
        <w:t xml:space="preserve">9.3 </w:t>
      </w:r>
      <w:r>
        <w:rPr>
          <w:color w:val="auto"/>
          <w:sz w:val="24"/>
          <w:highlight w:val="none"/>
        </w:rPr>
        <w:t>甲乙双方经协商一致后解除合同。</w:t>
      </w:r>
    </w:p>
    <w:bookmarkEnd w:id="123"/>
    <w:bookmarkEnd w:id="124"/>
    <w:bookmarkEnd w:id="125"/>
    <w:p>
      <w:pPr>
        <w:spacing w:line="420" w:lineRule="exact"/>
        <w:ind w:firstLine="482"/>
        <w:rPr>
          <w:bCs/>
          <w:color w:val="auto"/>
          <w:sz w:val="24"/>
          <w:highlight w:val="none"/>
        </w:rPr>
      </w:pPr>
      <w:r>
        <w:rPr>
          <w:b/>
          <w:color w:val="auto"/>
          <w:sz w:val="24"/>
          <w:highlight w:val="none"/>
        </w:rPr>
        <w:t>第十条 不可抗力</w:t>
      </w:r>
    </w:p>
    <w:p>
      <w:pPr>
        <w:spacing w:line="480" w:lineRule="exact"/>
        <w:ind w:firstLine="480" w:firstLineChars="200"/>
        <w:rPr>
          <w:color w:val="auto"/>
          <w:sz w:val="24"/>
          <w:highlight w:val="none"/>
        </w:rPr>
      </w:pPr>
      <w:r>
        <w:rPr>
          <w:color w:val="auto"/>
          <w:sz w:val="24"/>
          <w:highlight w:val="none"/>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color w:val="auto"/>
          <w:sz w:val="24"/>
          <w:highlight w:val="none"/>
        </w:rPr>
      </w:pPr>
      <w:r>
        <w:rPr>
          <w:color w:val="auto"/>
          <w:sz w:val="24"/>
          <w:highlight w:val="none"/>
        </w:rPr>
        <w:t>（1）地震、火山爆发、滑坡、暴雨（橙色预警及以上）、台风（黄色预警及以上）、海啸、龙卷风、大面积流行病(如：非典型性肺炎等)或瘟疫；</w:t>
      </w:r>
    </w:p>
    <w:p>
      <w:pPr>
        <w:spacing w:line="480" w:lineRule="exact"/>
        <w:ind w:firstLine="480" w:firstLineChars="200"/>
        <w:rPr>
          <w:color w:val="auto"/>
          <w:sz w:val="24"/>
          <w:highlight w:val="none"/>
        </w:rPr>
      </w:pPr>
      <w:r>
        <w:rPr>
          <w:color w:val="auto"/>
          <w:sz w:val="24"/>
          <w:highlight w:val="none"/>
        </w:rPr>
        <w:t>（2）战争行为、入侵、武装冲突或外敌行为、封锁、暴乱、恐怖行为或军事演习；</w:t>
      </w:r>
    </w:p>
    <w:p>
      <w:pPr>
        <w:spacing w:line="480" w:lineRule="exact"/>
        <w:ind w:firstLine="480" w:firstLineChars="200"/>
        <w:rPr>
          <w:color w:val="auto"/>
          <w:sz w:val="24"/>
          <w:highlight w:val="none"/>
        </w:rPr>
      </w:pPr>
      <w:r>
        <w:rPr>
          <w:color w:val="auto"/>
          <w:sz w:val="24"/>
          <w:highlight w:val="none"/>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color w:val="auto"/>
          <w:sz w:val="24"/>
          <w:highlight w:val="none"/>
        </w:rPr>
      </w:pPr>
      <w:r>
        <w:rPr>
          <w:color w:val="auto"/>
          <w:sz w:val="24"/>
          <w:highlight w:val="none"/>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bCs/>
          <w:color w:val="auto"/>
          <w:sz w:val="24"/>
          <w:highlight w:val="none"/>
        </w:rPr>
      </w:pPr>
      <w:r>
        <w:rPr>
          <w:color w:val="auto"/>
          <w:sz w:val="24"/>
          <w:highlight w:val="none"/>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420" w:lineRule="exact"/>
        <w:ind w:firstLine="482"/>
        <w:rPr>
          <w:bCs/>
          <w:color w:val="auto"/>
          <w:sz w:val="24"/>
          <w:highlight w:val="none"/>
        </w:rPr>
      </w:pPr>
      <w:r>
        <w:rPr>
          <w:b/>
          <w:color w:val="auto"/>
          <w:sz w:val="24"/>
          <w:highlight w:val="none"/>
        </w:rPr>
        <w:t>第十一条  争议解决</w:t>
      </w:r>
    </w:p>
    <w:p>
      <w:pPr>
        <w:spacing w:line="360" w:lineRule="auto"/>
        <w:ind w:firstLine="480" w:firstLineChars="200"/>
        <w:rPr>
          <w:color w:val="auto"/>
          <w:sz w:val="24"/>
          <w:highlight w:val="none"/>
        </w:rPr>
      </w:pPr>
      <w:r>
        <w:rPr>
          <w:color w:val="auto"/>
          <w:sz w:val="24"/>
          <w:highlight w:val="none"/>
        </w:rPr>
        <w:t>11.1 因本合同引起的或与本合同有关的任何争议，甲乙双方应友好协商解决，如协商不成，任何一方均可依法向</w:t>
      </w:r>
      <w:r>
        <w:rPr>
          <w:color w:val="auto"/>
          <w:sz w:val="24"/>
          <w:highlight w:val="none"/>
          <w:u w:val="single"/>
        </w:rPr>
        <w:t>甲方所在地人民法院</w:t>
      </w:r>
      <w:r>
        <w:rPr>
          <w:color w:val="auto"/>
          <w:sz w:val="24"/>
          <w:highlight w:val="none"/>
        </w:rPr>
        <w:t>提起诉讼。</w:t>
      </w:r>
    </w:p>
    <w:p>
      <w:pPr>
        <w:spacing w:line="360" w:lineRule="auto"/>
        <w:ind w:firstLine="480" w:firstLineChars="200"/>
        <w:rPr>
          <w:color w:val="auto"/>
          <w:sz w:val="24"/>
          <w:highlight w:val="none"/>
        </w:rPr>
      </w:pPr>
      <w:r>
        <w:rPr>
          <w:color w:val="auto"/>
          <w:sz w:val="24"/>
          <w:highlight w:val="none"/>
        </w:rPr>
        <w:t>11.2 在甲方同意的情况下，除有争端之外的合同其它部分在争端解决前应继续执行。</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第十二条</w:t>
      </w:r>
      <w:r>
        <w:rPr>
          <w:rFonts w:ascii="宋体" w:hAnsi="宋体" w:cs="宋体"/>
          <w:b/>
          <w:color w:val="auto"/>
          <w:sz w:val="24"/>
          <w:highlight w:val="none"/>
        </w:rPr>
        <w:t xml:space="preserve"> </w:t>
      </w:r>
      <w:r>
        <w:rPr>
          <w:rFonts w:hint="eastAsia" w:ascii="宋体" w:hAnsi="宋体" w:cs="宋体"/>
          <w:b/>
          <w:color w:val="auto"/>
          <w:sz w:val="24"/>
          <w:highlight w:val="none"/>
        </w:rPr>
        <w:t>其他：</w:t>
      </w:r>
    </w:p>
    <w:p>
      <w:pPr>
        <w:spacing w:line="360" w:lineRule="auto"/>
        <w:ind w:firstLine="595" w:firstLineChars="248"/>
        <w:rPr>
          <w:rFonts w:ascii="宋体" w:hAnsi="宋体" w:cs="宋体"/>
          <w:b/>
          <w:color w:val="auto"/>
          <w:sz w:val="24"/>
          <w:highlight w:val="none"/>
        </w:rPr>
      </w:pPr>
      <w:r>
        <w:rPr>
          <w:rFonts w:ascii="宋体" w:hAnsi="宋体" w:cs="宋体"/>
          <w:bCs/>
          <w:color w:val="auto"/>
          <w:sz w:val="24"/>
          <w:highlight w:val="none"/>
        </w:rPr>
        <w:t>15.1</w:t>
      </w:r>
      <w:r>
        <w:rPr>
          <w:rFonts w:hint="eastAsia" w:ascii="宋体" w:hAnsi="宋体" w:cs="宋体"/>
          <w:color w:val="auto"/>
          <w:sz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highlight w:val="none"/>
        </w:rPr>
      </w:pPr>
      <w:r>
        <w:rPr>
          <w:rFonts w:ascii="宋体" w:hAnsi="宋体" w:cs="宋体"/>
          <w:color w:val="auto"/>
          <w:sz w:val="24"/>
          <w:highlight w:val="none"/>
        </w:rPr>
        <w:t>15.2</w:t>
      </w:r>
      <w:r>
        <w:rPr>
          <w:rFonts w:hint="eastAsia" w:ascii="宋体" w:hAnsi="宋体" w:cs="宋体"/>
          <w:color w:val="auto"/>
          <w:sz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highlight w:val="none"/>
        </w:rPr>
      </w:pPr>
      <w:r>
        <w:rPr>
          <w:rFonts w:ascii="宋体" w:hAnsi="宋体" w:cs="宋体"/>
          <w:color w:val="auto"/>
          <w:sz w:val="24"/>
          <w:highlight w:val="none"/>
        </w:rPr>
        <w:t>15.3</w:t>
      </w:r>
      <w:r>
        <w:rPr>
          <w:rFonts w:hint="eastAsia" w:ascii="宋体" w:hAnsi="宋体" w:cs="宋体"/>
          <w:color w:val="auto"/>
          <w:sz w:val="24"/>
          <w:highlight w:val="none"/>
        </w:rPr>
        <w:t>本合同一式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陆</w:t>
      </w:r>
      <w:r>
        <w:rPr>
          <w:rFonts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肆</w:t>
      </w:r>
      <w:r>
        <w:rPr>
          <w:rFonts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贰</w:t>
      </w:r>
      <w:r>
        <w:rPr>
          <w:rFonts w:ascii="宋体" w:hAnsi="宋体" w:cs="宋体"/>
          <w:color w:val="auto"/>
          <w:sz w:val="24"/>
          <w:highlight w:val="none"/>
          <w:u w:val="single"/>
        </w:rPr>
        <w:t xml:space="preserve"> </w:t>
      </w:r>
      <w:r>
        <w:rPr>
          <w:rFonts w:hint="eastAsia" w:ascii="宋体" w:hAnsi="宋体" w:cs="宋体"/>
          <w:color w:val="auto"/>
          <w:sz w:val="24"/>
          <w:highlight w:val="none"/>
        </w:rPr>
        <w:t>份。均具有同等法律效力。</w:t>
      </w:r>
    </w:p>
    <w:p>
      <w:pPr>
        <w:spacing w:line="500" w:lineRule="exact"/>
        <w:rPr>
          <w:rFonts w:hint="eastAsia" w:ascii="宋体" w:hAnsi="宋体" w:cs="宋体"/>
          <w:color w:val="auto"/>
          <w:sz w:val="24"/>
          <w:highlight w:val="none"/>
        </w:rPr>
      </w:pPr>
      <w:r>
        <w:rPr>
          <w:rFonts w:ascii="宋体" w:hAnsi="宋体" w:cs="宋体"/>
          <w:color w:val="auto"/>
          <w:sz w:val="24"/>
          <w:highlight w:val="none"/>
        </w:rPr>
        <w:t>15.4</w:t>
      </w:r>
      <w:r>
        <w:rPr>
          <w:rFonts w:hint="eastAsia" w:ascii="宋体" w:hAnsi="宋体" w:cs="宋体"/>
          <w:color w:val="auto"/>
          <w:sz w:val="24"/>
          <w:highlight w:val="none"/>
        </w:rPr>
        <w:t>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rPr>
        <w:t xml:space="preserve"> </w:t>
      </w:r>
    </w:p>
    <w:p>
      <w:pPr>
        <w:spacing w:line="500" w:lineRule="exact"/>
        <w:rPr>
          <w:rFonts w:hint="eastAsia" w:ascii="宋体" w:hAnsi="宋体" w:cs="宋体"/>
          <w:color w:val="auto"/>
          <w:sz w:val="24"/>
          <w:highlight w:val="none"/>
        </w:rPr>
      </w:pPr>
    </w:p>
    <w:p>
      <w:pPr>
        <w:pStyle w:val="2"/>
        <w:rPr>
          <w:rFonts w:hint="eastAsia"/>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4.工程量清单报价</w:t>
      </w:r>
    </w:p>
    <w:p>
      <w:pPr>
        <w:spacing w:line="500" w:lineRule="exact"/>
        <w:ind w:firstLine="0" w:firstLineChars="0"/>
        <w:rPr>
          <w:rFonts w:hint="eastAsia" w:ascii="宋体" w:hAnsi="宋体" w:cs="宋体"/>
          <w:color w:val="auto"/>
          <w:sz w:val="24"/>
          <w:szCs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hint="eastAsia" w:asciiTheme="minorEastAsia" w:hAnsiTheme="minorEastAsia" w:eastAsiaTheme="minorEastAsia" w:cstheme="minorEastAsia"/>
          <w:color w:val="auto"/>
          <w:sz w:val="24"/>
          <w:highlight w:val="none"/>
        </w:rPr>
        <w:t>/应急救援物资清单</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营运项目承包单位日常履约考评参照表（安全）</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营运项目承包单位综合履约考评表（安全）</w:t>
      </w:r>
    </w:p>
    <w:p>
      <w:pPr>
        <w:pStyle w:val="2"/>
        <w:rPr>
          <w:color w:val="auto"/>
          <w:highlight w:val="none"/>
        </w:rPr>
      </w:pPr>
    </w:p>
    <w:p>
      <w:pPr>
        <w:pStyle w:val="50"/>
        <w:spacing w:line="500" w:lineRule="exact"/>
        <w:rPr>
          <w:rFonts w:hint="default" w:eastAsia="仿宋_GB2312"/>
          <w:color w:val="auto"/>
          <w:highlight w:val="none"/>
          <w:lang w:val="en-US" w:eastAsia="zh-CN"/>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经办人：</w:t>
      </w:r>
    </w:p>
    <w:p>
      <w:pPr>
        <w:spacing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020-38890303</w:t>
      </w:r>
      <w:r>
        <w:rPr>
          <w:rFonts w:ascii="宋体" w:hAnsi="宋体" w:cs="宋体"/>
          <w:color w:val="auto"/>
          <w:sz w:val="24"/>
          <w:highlight w:val="non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right="0" w:rightChars="0" w:hanging="6360" w:hangingChars="2650"/>
        <w:rPr>
          <w:rFonts w:hAnsi="宋体"/>
          <w:b/>
          <w:bCs/>
          <w:color w:val="auto"/>
          <w:szCs w:val="21"/>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成交通知书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color w:val="auto"/>
          <w:sz w:val="24"/>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7"/>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b/>
          <w:color w:val="auto"/>
          <w:szCs w:val="21"/>
          <w:highlight w:val="none"/>
        </w:rPr>
      </w:pPr>
    </w:p>
    <w:p>
      <w:pPr>
        <w:spacing w:line="360" w:lineRule="auto"/>
        <w:rPr>
          <w:rFonts w:hint="default" w:ascii="宋体" w:hAnsi="宋体" w:cs="宋体" w:eastAsiaTheme="minorEastAsia"/>
          <w:b/>
          <w:color w:val="auto"/>
          <w:szCs w:val="21"/>
          <w:highlight w:val="none"/>
          <w:lang w:val="en-US" w:eastAsia="zh-CN"/>
        </w:rPr>
      </w:pPr>
      <w:r>
        <w:rPr>
          <w:rFonts w:hint="eastAsia" w:ascii="宋体" w:hAnsi="宋体" w:cs="宋体"/>
          <w:b/>
          <w:color w:val="auto"/>
          <w:szCs w:val="21"/>
          <w:highlight w:val="none"/>
        </w:rPr>
        <w:t>附件4：</w:t>
      </w:r>
      <w:r>
        <w:rPr>
          <w:rFonts w:hint="eastAsia" w:ascii="宋体" w:hAnsi="宋体" w:cs="宋体"/>
          <w:b/>
          <w:color w:val="auto"/>
          <w:szCs w:val="21"/>
          <w:highlight w:val="none"/>
          <w:lang w:val="en-US" w:eastAsia="zh-CN"/>
        </w:rPr>
        <w:t>工程量清单报价</w:t>
      </w:r>
    </w:p>
    <w:p>
      <w:pPr>
        <w:pStyle w:val="2"/>
        <w:rPr>
          <w:rFonts w:hint="default"/>
          <w:color w:val="auto"/>
          <w:highlight w:val="none"/>
          <w:lang w:val="en-US" w:eastAsia="zh-CN"/>
        </w:rPr>
      </w:pPr>
      <w:r>
        <w:rPr>
          <w:rFonts w:hint="eastAsia"/>
          <w:color w:val="auto"/>
          <w:highlight w:val="none"/>
          <w:lang w:val="en-US" w:eastAsia="zh-CN"/>
        </w:rPr>
        <w:t>详见响应文件格式5 报价表</w:t>
      </w:r>
    </w:p>
    <w:p>
      <w:pPr>
        <w:pStyle w:val="50"/>
        <w:rPr>
          <w:rFonts w:hAnsi="宋体"/>
          <w:b/>
          <w:bCs/>
          <w:color w:val="auto"/>
          <w:szCs w:val="21"/>
          <w:highlight w:val="none"/>
        </w:rPr>
      </w:pPr>
    </w:p>
    <w:p>
      <w:pPr>
        <w:pStyle w:val="50"/>
        <w:rPr>
          <w:rFonts w:hAnsi="宋体"/>
          <w:b/>
          <w:bCs/>
          <w:color w:val="auto"/>
          <w:szCs w:val="21"/>
          <w:highlight w:val="none"/>
        </w:rPr>
      </w:pPr>
    </w:p>
    <w:p>
      <w:pPr>
        <w:pStyle w:val="50"/>
        <w:rPr>
          <w:rFonts w:hAnsi="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xml:space="preserve"> ：项目投入人员架构表/应急救援物资清单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 xml:space="preserve"> ：</w:t>
      </w:r>
      <w:r>
        <w:rPr>
          <w:rFonts w:hint="eastAsia" w:ascii="宋体" w:hAnsi="宋体" w:cs="宋体" w:eastAsiaTheme="minorEastAsia"/>
          <w:b/>
          <w:bCs/>
          <w:color w:val="auto"/>
          <w:kern w:val="2"/>
          <w:sz w:val="21"/>
          <w:szCs w:val="21"/>
          <w:highlight w:val="none"/>
          <w:lang w:bidi="ar"/>
        </w:rPr>
        <w:t>营运项目承包单位日常履约考评参照表（安全）</w:t>
      </w:r>
    </w:p>
    <w:p>
      <w:pPr>
        <w:pStyle w:val="50"/>
        <w:rPr>
          <w:rFonts w:hAnsi="宋体" w:eastAsia="宋体"/>
          <w:color w:val="auto"/>
          <w:szCs w:val="21"/>
          <w:highlight w:val="none"/>
        </w:rPr>
      </w:pPr>
    </w:p>
    <w:p>
      <w:pPr>
        <w:adjustRightInd w:val="0"/>
        <w:snapToGrid w:val="0"/>
        <w:rPr>
          <w:rFonts w:ascii="宋体" w:hAnsi="宋体" w:cs="宋体"/>
          <w:color w:val="auto"/>
          <w:sz w:val="24"/>
          <w:highlight w:val="none"/>
        </w:rPr>
      </w:pPr>
    </w:p>
    <w:p>
      <w:pPr>
        <w:adjustRightInd w:val="0"/>
        <w:snapToGrid w:val="0"/>
        <w:rPr>
          <w:rFonts w:ascii="宋体" w:hAnsi="宋体" w:cs="宋体"/>
          <w:color w:val="auto"/>
          <w:sz w:val="24"/>
          <w:highlight w:val="none"/>
        </w:rPr>
      </w:pPr>
    </w:p>
    <w:tbl>
      <w:tblPr>
        <w:tblStyle w:val="24"/>
        <w:tblpPr w:leftFromText="180" w:rightFromText="180" w:vertAnchor="text" w:horzAnchor="page" w:tblpX="1406" w:tblpY="1271"/>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rFonts w:hint="default" w:eastAsia="仿宋_GB2312"/>
                <w:color w:val="auto"/>
                <w:highlight w:val="none"/>
                <w:lang w:val="en-US" w:eastAsia="zh-CN"/>
              </w:rPr>
            </w:pPr>
          </w:p>
        </w:tc>
      </w:tr>
    </w:tbl>
    <w:p>
      <w:r>
        <w:rPr>
          <w:rFonts w:hint="eastAsia" w:ascii="宋体" w:hAnsi="宋体" w:cs="宋体"/>
          <w:b/>
          <w:color w:val="auto"/>
          <w:szCs w:val="21"/>
          <w:highlight w:val="none"/>
          <w:lang w:val="en-US" w:eastAsia="zh-CN"/>
        </w:rPr>
        <w:t>附件7：</w:t>
      </w:r>
      <w:r>
        <w:rPr>
          <w:rFonts w:hint="eastAsia" w:ascii="宋体" w:hAnsi="宋体" w:cs="宋体" w:eastAsiaTheme="minorEastAsia"/>
          <w:b/>
          <w:color w:val="auto"/>
          <w:kern w:val="2"/>
          <w:sz w:val="21"/>
          <w:szCs w:val="21"/>
          <w:highlight w:val="none"/>
          <w:lang w:bidi="ar"/>
        </w:rPr>
        <w:t>营运项目承包单位综合履约考评表（安全）</w:t>
      </w:r>
    </w:p>
    <w:p>
      <w:pPr>
        <w:pStyle w:val="2"/>
        <w:ind w:left="0" w:leftChars="0" w:firstLine="0" w:firstLineChars="0"/>
        <w:rPr>
          <w:rFonts w:ascii="宋体" w:hAnsi="宋体" w:cs="宋体"/>
          <w:b/>
          <w:bCs/>
          <w:color w:val="auto"/>
          <w:sz w:val="24"/>
          <w:szCs w:val="24"/>
          <w:highlight w:val="none"/>
        </w:rPr>
      </w:pPr>
    </w:p>
    <w:tbl>
      <w:tblPr>
        <w:tblStyle w:val="24"/>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color w:val="auto"/>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color w:val="auto"/>
          <w:highlight w:val="none"/>
        </w:rPr>
      </w:pPr>
    </w:p>
    <w:p>
      <w:pPr>
        <w:pStyle w:val="2"/>
        <w:rPr>
          <w:rFonts w:ascii="仿宋_GB2312" w:eastAsia="仿宋_GB2312"/>
          <w:color w:val="auto"/>
          <w:sz w:val="28"/>
          <w:szCs w:val="28"/>
          <w:highlight w:val="none"/>
        </w:rPr>
      </w:pPr>
    </w:p>
    <w:p>
      <w:pPr>
        <w:pStyle w:val="4"/>
        <w:rPr>
          <w:color w:val="auto"/>
          <w:highlight w:val="none"/>
        </w:rPr>
      </w:pPr>
      <w:bookmarkStart w:id="126" w:name="_Toc3723"/>
      <w:bookmarkStart w:id="127" w:name="_Toc12169"/>
      <w:bookmarkStart w:id="128" w:name="_Toc16552"/>
      <w:bookmarkStart w:id="129" w:name="_Toc21847"/>
      <w:bookmarkStart w:id="130" w:name="_Toc6230"/>
      <w:bookmarkStart w:id="131" w:name="_Toc8147"/>
      <w:bookmarkStart w:id="132" w:name="_Toc30824"/>
      <w:bookmarkStart w:id="133" w:name="_Toc5129"/>
      <w:bookmarkStart w:id="134" w:name="_Toc23515"/>
      <w:bookmarkStart w:id="135" w:name="_Toc1563"/>
      <w:bookmarkStart w:id="136" w:name="_Toc28358"/>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26"/>
      <w:bookmarkEnd w:id="127"/>
      <w:bookmarkEnd w:id="128"/>
      <w:bookmarkEnd w:id="129"/>
      <w:bookmarkEnd w:id="130"/>
      <w:bookmarkEnd w:id="131"/>
      <w:bookmarkEnd w:id="132"/>
      <w:bookmarkEnd w:id="133"/>
      <w:bookmarkEnd w:id="134"/>
      <w:bookmarkEnd w:id="135"/>
      <w:bookmarkEnd w:id="136"/>
    </w:p>
    <w:p>
      <w:pPr>
        <w:pStyle w:val="40"/>
        <w:rPr>
          <w:color w:val="auto"/>
          <w:highlight w:val="none"/>
        </w:rPr>
      </w:pPr>
    </w:p>
    <w:p>
      <w:pPr>
        <w:pStyle w:val="4"/>
        <w:rPr>
          <w:color w:val="auto"/>
          <w:highlight w:val="none"/>
        </w:rPr>
      </w:pPr>
      <w:bookmarkStart w:id="137" w:name="_Toc88209951"/>
      <w:bookmarkStart w:id="138" w:name="_Toc24490"/>
      <w:bookmarkStart w:id="139" w:name="_Toc17119"/>
      <w:bookmarkStart w:id="140" w:name="_Toc24815"/>
      <w:bookmarkStart w:id="141" w:name="_Toc5342"/>
      <w:bookmarkStart w:id="142" w:name="_Toc12769"/>
      <w:bookmarkStart w:id="143" w:name="_Toc21675"/>
      <w:bookmarkStart w:id="144" w:name="_Toc30157"/>
      <w:bookmarkStart w:id="145" w:name="_Toc10840"/>
      <w:bookmarkStart w:id="146" w:name="_Toc87616388"/>
      <w:bookmarkStart w:id="147" w:name="_Toc22764"/>
      <w:bookmarkStart w:id="148" w:name="_Toc12610"/>
      <w:bookmarkStart w:id="149" w:name="_Toc31564"/>
      <w:r>
        <w:rPr>
          <w:rFonts w:hint="eastAsia"/>
          <w:color w:val="auto"/>
          <w:highlight w:val="none"/>
        </w:rPr>
        <w:t>响应文件</w:t>
      </w:r>
      <w:r>
        <w:rPr>
          <w:rFonts w:hint="eastAsia"/>
          <w:color w:val="auto"/>
          <w:highlight w:val="none"/>
          <w:lang w:val="en-US" w:eastAsia="zh-CN"/>
        </w:rPr>
        <w:t>格式要求</w:t>
      </w:r>
      <w:bookmarkEnd w:id="137"/>
      <w:bookmarkEnd w:id="138"/>
      <w:bookmarkEnd w:id="139"/>
      <w:bookmarkEnd w:id="140"/>
      <w:bookmarkEnd w:id="141"/>
      <w:bookmarkEnd w:id="142"/>
      <w:bookmarkEnd w:id="143"/>
      <w:bookmarkEnd w:id="144"/>
      <w:bookmarkEnd w:id="145"/>
      <w:bookmarkEnd w:id="146"/>
      <w:bookmarkEnd w:id="147"/>
      <w:bookmarkEnd w:id="148"/>
      <w:bookmarkEnd w:id="14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50" w:name="_Toc87616389"/>
      <w:bookmarkStart w:id="151" w:name="_Toc88209952"/>
      <w:r>
        <w:rPr>
          <w:rFonts w:hint="eastAsia" w:ascii="仿宋_GB2312" w:eastAsia="仿宋_GB2312"/>
          <w:color w:val="auto"/>
          <w:sz w:val="28"/>
          <w:szCs w:val="28"/>
          <w:highlight w:val="none"/>
        </w:rPr>
        <w:t>1.响应函</w:t>
      </w:r>
      <w:bookmarkEnd w:id="150"/>
      <w:bookmarkEnd w:id="151"/>
    </w:p>
    <w:p>
      <w:pPr>
        <w:spacing w:line="600" w:lineRule="exact"/>
        <w:rPr>
          <w:rFonts w:hint="eastAsia" w:ascii="仿宋_GB2312" w:eastAsia="仿宋_GB2312"/>
          <w:color w:val="auto"/>
          <w:sz w:val="28"/>
          <w:szCs w:val="28"/>
          <w:highlight w:val="none"/>
        </w:rPr>
      </w:pPr>
      <w:bookmarkStart w:id="152" w:name="_Toc87616390"/>
      <w:bookmarkStart w:id="153" w:name="_Toc88209953"/>
      <w:r>
        <w:rPr>
          <w:rFonts w:hint="eastAsia" w:ascii="仿宋_GB2312" w:eastAsia="仿宋_GB2312"/>
          <w:color w:val="auto"/>
          <w:sz w:val="28"/>
          <w:szCs w:val="28"/>
          <w:highlight w:val="none"/>
        </w:rPr>
        <w:t>2.法定代表人证明或授权委托书</w:t>
      </w:r>
      <w:bookmarkEnd w:id="152"/>
      <w:bookmarkEnd w:id="153"/>
      <w:bookmarkStart w:id="154" w:name="_Toc87616393"/>
      <w:bookmarkStart w:id="15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54"/>
      <w:bookmarkEnd w:id="15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6"/>
        <w:rPr>
          <w:rFonts w:asciiTheme="minorEastAsia" w:hAnsiTheme="minorEastAsia" w:eastAsiaTheme="minorEastAsia"/>
          <w:color w:val="auto"/>
          <w:sz w:val="28"/>
          <w:szCs w:val="28"/>
          <w:highlight w:val="none"/>
        </w:rPr>
      </w:pPr>
      <w:bookmarkStart w:id="156" w:name="_Toc6313"/>
      <w:bookmarkStart w:id="157" w:name="_Toc28619645"/>
      <w:bookmarkStart w:id="158" w:name="_Toc88209957"/>
      <w:bookmarkStart w:id="159" w:name="_Toc12665"/>
      <w:bookmarkStart w:id="160" w:name="_Toc87616394"/>
      <w:r>
        <w:rPr>
          <w:rFonts w:hint="eastAsia" w:asciiTheme="minorEastAsia" w:hAnsiTheme="minorEastAsia" w:eastAsiaTheme="minorEastAsia"/>
          <w:color w:val="auto"/>
          <w:sz w:val="28"/>
          <w:szCs w:val="28"/>
          <w:highlight w:val="none"/>
        </w:rPr>
        <w:t>1.响应函</w:t>
      </w:r>
      <w:bookmarkEnd w:id="156"/>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left="559" w:leftChars="266" w:firstLine="0" w:firstLineChars="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r>
        <w:rPr>
          <w:rFonts w:ascii="仿宋_GB2312" w:hAnsi="黑体" w:eastAsia="仿宋_GB2312"/>
          <w:color w:val="auto"/>
          <w:sz w:val="28"/>
          <w:szCs w:val="28"/>
          <w:highlight w:val="none"/>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imes New Roman"/>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61" w:name="_Toc22527"/>
      <w:bookmarkStart w:id="162" w:name="_Toc29833"/>
      <w:bookmarkStart w:id="163" w:name="_Toc87616395"/>
      <w:bookmarkStart w:id="164"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61"/>
      <w:bookmarkEnd w:id="162"/>
      <w:bookmarkEnd w:id="163"/>
      <w:bookmarkEnd w:id="16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1"/>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0"/>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65" w:name="_Toc19830"/>
      <w:bookmarkStart w:id="166" w:name="_Toc8086"/>
      <w:bookmarkStart w:id="167" w:name="_Toc87616400"/>
      <w:bookmarkStart w:id="168"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65"/>
      <w:bookmarkEnd w:id="166"/>
      <w:bookmarkEnd w:id="167"/>
      <w:bookmarkEnd w:id="16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rPr>
          <w:rFonts w:hint="eastAsia" w:cs="Times New Roman" w:asciiTheme="minorEastAsia" w:hAnsiTheme="minorEastAsia" w:eastAsiaTheme="minorEastAsia"/>
          <w:b/>
          <w:bCs/>
          <w:color w:val="auto"/>
          <w:sz w:val="28"/>
          <w:szCs w:val="28"/>
          <w:highlight w:val="none"/>
          <w:lang w:val="en-US" w:eastAsia="zh-CN"/>
        </w:rPr>
      </w:pPr>
      <w:bookmarkStart w:id="169"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rPr>
        <w:t xml:space="preserve">广州市净水有限公司关于猎德、大坦沙等八厂构筑物安全检测鉴定项目（项目编号：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（2）与本项目其他供应商存在控股或管理关系。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（8）被“全国企业信用信息公示系统”（网址：http://www.gsxt.gov.cn/）列入经营异常名录和严重违法企业名单。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（10）其他违法违纪行为，经审查认为不宜被邀请参加采购活动的。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 xml:space="preserve">（11）其他禁止情形：      </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hint="eastAsia" w:asciiTheme="minorEastAsia" w:hAnsiTheme="minorEastAsia" w:eastAsiaTheme="minorEastAsia"/>
          <w:color w:val="auto"/>
          <w:sz w:val="28"/>
          <w:szCs w:val="28"/>
          <w:highlight w:val="none"/>
        </w:rPr>
      </w:pPr>
      <w:bookmarkStart w:id="170" w:name="_Toc32430"/>
      <w:bookmarkStart w:id="171"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70"/>
      <w:bookmarkEnd w:id="171"/>
    </w:p>
    <w:tbl>
      <w:tblPr>
        <w:tblStyle w:val="24"/>
        <w:tblpPr w:leftFromText="180" w:rightFromText="180" w:vertAnchor="text" w:horzAnchor="page" w:tblpX="1266" w:tblpY="543"/>
        <w:tblOverlap w:val="never"/>
        <w:tblW w:w="9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5"/>
        <w:gridCol w:w="1776"/>
        <w:gridCol w:w="1776"/>
        <w:gridCol w:w="1776"/>
        <w:gridCol w:w="1776"/>
        <w:gridCol w:w="1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序号</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分公司名称</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面积</w:t>
            </w:r>
            <w:r>
              <w:rPr>
                <w:rFonts w:hint="default" w:ascii="Times New Roman" w:hAnsi="Times New Roman" w:eastAsia="宋体" w:cs="Times New Roman"/>
                <w:b/>
                <w:bCs/>
                <w:i w:val="0"/>
                <w:iCs w:val="0"/>
                <w:color w:val="auto"/>
                <w:kern w:val="0"/>
                <w:sz w:val="22"/>
                <w:szCs w:val="22"/>
                <w:u w:val="none"/>
                <w:lang w:val="en-US" w:eastAsia="zh-CN" w:bidi="ar"/>
              </w:rPr>
              <w:br w:type="textWrapping"/>
            </w:r>
            <w:r>
              <w:rPr>
                <w:rFonts w:hint="default" w:ascii="Times New Roman" w:hAnsi="Times New Roman" w:eastAsia="宋体" w:cs="Times New Roman"/>
                <w:b/>
                <w:bCs/>
                <w:i w:val="0"/>
                <w:iCs w:val="0"/>
                <w:color w:val="auto"/>
                <w:kern w:val="0"/>
                <w:sz w:val="22"/>
                <w:szCs w:val="22"/>
                <w:u w:val="none"/>
                <w:lang w:val="en-US" w:eastAsia="zh-CN" w:bidi="ar"/>
              </w:rPr>
              <w:t>（平方）</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单价</w:t>
            </w:r>
            <w:r>
              <w:rPr>
                <w:rFonts w:hint="default" w:ascii="Times New Roman" w:hAnsi="Times New Roman" w:eastAsia="宋体" w:cs="Times New Roman"/>
                <w:b/>
                <w:bCs/>
                <w:i w:val="0"/>
                <w:iCs w:val="0"/>
                <w:color w:val="auto"/>
                <w:kern w:val="0"/>
                <w:sz w:val="22"/>
                <w:szCs w:val="22"/>
                <w:u w:val="none"/>
                <w:lang w:val="en-US" w:eastAsia="zh-CN" w:bidi="ar"/>
              </w:rPr>
              <w:br w:type="textWrapping"/>
            </w:r>
            <w:r>
              <w:rPr>
                <w:rFonts w:hint="default" w:ascii="Times New Roman" w:hAnsi="Times New Roman" w:eastAsia="宋体" w:cs="Times New Roman"/>
                <w:b/>
                <w:bCs/>
                <w:i w:val="0"/>
                <w:iCs w:val="0"/>
                <w:color w:val="auto"/>
                <w:kern w:val="0"/>
                <w:sz w:val="22"/>
                <w:szCs w:val="22"/>
                <w:u w:val="none"/>
                <w:lang w:val="en-US" w:eastAsia="zh-CN" w:bidi="ar"/>
              </w:rPr>
              <w:t>（元/平方）</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小计</w:t>
            </w:r>
            <w:r>
              <w:rPr>
                <w:rFonts w:hint="default" w:ascii="Times New Roman" w:hAnsi="Times New Roman" w:eastAsia="宋体" w:cs="Times New Roman"/>
                <w:b/>
                <w:bCs/>
                <w:i w:val="0"/>
                <w:iCs w:val="0"/>
                <w:color w:val="auto"/>
                <w:kern w:val="0"/>
                <w:sz w:val="22"/>
                <w:szCs w:val="22"/>
                <w:u w:val="none"/>
                <w:lang w:val="en-US" w:eastAsia="zh-CN" w:bidi="ar"/>
              </w:rPr>
              <w:br w:type="textWrapping"/>
            </w:r>
            <w:r>
              <w:rPr>
                <w:rFonts w:hint="default" w:ascii="Times New Roman" w:hAnsi="Times New Roman" w:eastAsia="宋体" w:cs="Times New Roman"/>
                <w:b/>
                <w:bCs/>
                <w:i w:val="0"/>
                <w:iCs w:val="0"/>
                <w:color w:val="auto"/>
                <w:kern w:val="0"/>
                <w:sz w:val="22"/>
                <w:szCs w:val="22"/>
                <w:u w:val="none"/>
                <w:lang w:val="en-US" w:eastAsia="zh-CN" w:bidi="ar"/>
              </w:rPr>
              <w:t>（元）</w:t>
            </w: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猎德</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1819.00</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75"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大坦沙房屋</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6465.00</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沥滘</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5019.43</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lang w:val="en-US"/>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龙归</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32454.28</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竹料</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2194.92</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京溪</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7072.90</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7</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大沙地</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890.00</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石井</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4103.20</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default" w:ascii="Times New Roman" w:hAnsi="Times New Roman" w:eastAsia="宋体" w:cs="Times New Roman"/>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003" w:type="dxa"/>
            <w:gridSpan w:val="4"/>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以上含税合计总价(元)</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序号</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分公司名称</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建筑长度（米）</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单价</w:t>
            </w:r>
            <w:r>
              <w:rPr>
                <w:rFonts w:hint="default" w:ascii="Times New Roman" w:hAnsi="Times New Roman" w:eastAsia="宋体" w:cs="Times New Roman"/>
                <w:b/>
                <w:bCs/>
                <w:i w:val="0"/>
                <w:iCs w:val="0"/>
                <w:color w:val="auto"/>
                <w:kern w:val="0"/>
                <w:sz w:val="22"/>
                <w:szCs w:val="22"/>
                <w:u w:val="none"/>
                <w:lang w:val="en-US" w:eastAsia="zh-CN" w:bidi="ar"/>
              </w:rPr>
              <w:br w:type="textWrapping"/>
            </w:r>
            <w:r>
              <w:rPr>
                <w:rFonts w:hint="default" w:ascii="Times New Roman" w:hAnsi="Times New Roman" w:eastAsia="宋体" w:cs="Times New Roman"/>
                <w:b/>
                <w:bCs/>
                <w:i w:val="0"/>
                <w:iCs w:val="0"/>
                <w:color w:val="auto"/>
                <w:kern w:val="0"/>
                <w:sz w:val="22"/>
                <w:szCs w:val="22"/>
                <w:u w:val="none"/>
                <w:lang w:val="en-US" w:eastAsia="zh-CN" w:bidi="ar"/>
              </w:rPr>
              <w:t>（元/米）</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小计</w:t>
            </w:r>
            <w:r>
              <w:rPr>
                <w:rFonts w:hint="default" w:ascii="Times New Roman" w:hAnsi="Times New Roman" w:eastAsia="宋体" w:cs="Times New Roman"/>
                <w:b/>
                <w:bCs/>
                <w:i w:val="0"/>
                <w:iCs w:val="0"/>
                <w:color w:val="auto"/>
                <w:kern w:val="0"/>
                <w:sz w:val="22"/>
                <w:szCs w:val="22"/>
                <w:u w:val="none"/>
                <w:lang w:val="en-US" w:eastAsia="zh-CN" w:bidi="ar"/>
              </w:rPr>
              <w:br w:type="textWrapping"/>
            </w:r>
            <w:r>
              <w:rPr>
                <w:rFonts w:hint="default" w:ascii="Times New Roman" w:hAnsi="Times New Roman" w:eastAsia="宋体" w:cs="Times New Roman"/>
                <w:b/>
                <w:bCs/>
                <w:i w:val="0"/>
                <w:iCs w:val="0"/>
                <w:color w:val="auto"/>
                <w:kern w:val="0"/>
                <w:sz w:val="22"/>
                <w:szCs w:val="22"/>
                <w:u w:val="none"/>
                <w:lang w:val="en-US" w:eastAsia="zh-CN" w:bidi="ar"/>
              </w:rPr>
              <w:t>（元）</w:t>
            </w: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大坦沙围墙</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1600.00 </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6003" w:type="dxa"/>
            <w:gridSpan w:val="4"/>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以上含税合计总价(元)</w:t>
            </w: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b/>
                <w:bCs/>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b/>
                <w:bCs/>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b/>
                <w:bCs/>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b/>
                <w:bCs/>
                <w:i w:val="0"/>
                <w:iCs w:val="0"/>
                <w:color w:val="auto"/>
                <w:sz w:val="22"/>
                <w:szCs w:val="22"/>
                <w:u w:val="none"/>
              </w:rPr>
            </w:pPr>
          </w:p>
        </w:tc>
        <w:tc>
          <w:tcPr>
            <w:tcW w:w="177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b/>
                <w:bCs/>
                <w:i w:val="0"/>
                <w:iCs w:val="0"/>
                <w:color w:val="auto"/>
                <w:sz w:val="22"/>
                <w:szCs w:val="22"/>
                <w:u w:val="none"/>
              </w:rPr>
            </w:pPr>
          </w:p>
        </w:tc>
        <w:tc>
          <w:tcPr>
            <w:tcW w:w="1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6003" w:type="dxa"/>
            <w:gridSpan w:val="4"/>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以上构筑物</w:t>
            </w:r>
            <w:r>
              <w:rPr>
                <w:rFonts w:hint="eastAsia" w:ascii="Times New Roman" w:hAnsi="Times New Roman" w:eastAsia="宋体" w:cs="Times New Roman"/>
                <w:b/>
                <w:bCs/>
                <w:i w:val="0"/>
                <w:iCs w:val="0"/>
                <w:color w:val="auto"/>
                <w:kern w:val="0"/>
                <w:sz w:val="22"/>
                <w:szCs w:val="22"/>
                <w:u w:val="none"/>
                <w:lang w:val="en-US" w:eastAsia="zh-CN" w:bidi="ar"/>
              </w:rPr>
              <w:t>及</w:t>
            </w:r>
            <w:r>
              <w:rPr>
                <w:rFonts w:hint="default" w:ascii="Times New Roman" w:hAnsi="Times New Roman" w:eastAsia="宋体" w:cs="Times New Roman"/>
                <w:b/>
                <w:bCs/>
                <w:i w:val="0"/>
                <w:iCs w:val="0"/>
                <w:color w:val="auto"/>
                <w:kern w:val="0"/>
                <w:sz w:val="22"/>
                <w:szCs w:val="22"/>
                <w:u w:val="none"/>
                <w:lang w:val="en-US" w:eastAsia="zh-CN" w:bidi="ar"/>
              </w:rPr>
              <w:t>围墙含税合计总价(元)</w:t>
            </w:r>
          </w:p>
        </w:tc>
        <w:tc>
          <w:tcPr>
            <w:tcW w:w="3554"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9557" w:type="dxa"/>
            <w:gridSpan w:val="6"/>
            <w:tcBorders>
              <w:top w:val="single" w:color="000000" w:sz="8" w:space="0"/>
              <w:left w:val="single" w:color="000000" w:sz="8" w:space="0"/>
              <w:bottom w:val="single" w:color="000000" w:sz="8" w:space="0"/>
              <w:right w:val="single" w:color="000000" w:sz="8" w:space="0"/>
            </w:tcBorders>
            <w:noWrap w:val="0"/>
            <w:vAlign w:val="top"/>
          </w:tcPr>
          <w:p>
            <w:pPr>
              <w:pStyle w:val="10"/>
              <w:jc w:val="both"/>
              <w:rPr>
                <w:rFonts w:hint="default" w:asciiTheme="minorEastAsia" w:hAnsiTheme="minorEastAsia" w:eastAsiaTheme="minorEastAsia" w:cstheme="minorEastAsia"/>
                <w:color w:val="auto"/>
                <w:sz w:val="21"/>
                <w:szCs w:val="21"/>
                <w:lang w:val="en-US" w:eastAsia="zh-CN"/>
              </w:rPr>
            </w:pPr>
          </w:p>
        </w:tc>
      </w:tr>
    </w:tbl>
    <w:p/>
    <w:p>
      <w:pPr>
        <w:pStyle w:val="31"/>
        <w:rPr>
          <w:rFonts w:hint="eastAsia" w:ascii="仿宋" w:hAnsi="仿宋" w:eastAsia="仿宋" w:cs="仿宋_GB2312"/>
          <w:b/>
          <w:color w:val="auto"/>
          <w:sz w:val="28"/>
          <w:szCs w:val="28"/>
          <w:highlight w:val="none"/>
        </w:rPr>
      </w:pPr>
    </w:p>
    <w:p>
      <w:pPr>
        <w:pStyle w:val="31"/>
        <w:rPr>
          <w:rFonts w:hint="eastAsia" w:ascii="仿宋" w:hAnsi="仿宋" w:eastAsia="仿宋" w:cs="仿宋_GB2312"/>
          <w:b/>
          <w:color w:val="auto"/>
          <w:sz w:val="28"/>
          <w:szCs w:val="28"/>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11"/>
        <w:ind w:firstLine="6720" w:firstLineChars="2800"/>
        <w:rPr>
          <w:rFonts w:hint="eastAsia" w:ascii="仿宋" w:hAnsi="仿宋" w:eastAsia="仿宋" w:cs="仿宋_GB2312"/>
          <w:color w:val="auto"/>
          <w:kern w:val="2"/>
          <w:szCs w:val="28"/>
          <w:highlight w:val="none"/>
        </w:rPr>
      </w:pPr>
      <w:r>
        <w:rPr>
          <w:rFonts w:hint="eastAsia" w:ascii="宋体" w:hAnsi="宋体" w:eastAsia="宋体" w:cs="宋体"/>
          <w:color w:val="auto"/>
          <w:kern w:val="2"/>
          <w:sz w:val="24"/>
          <w:szCs w:val="24"/>
          <w:highlight w:val="none"/>
          <w:lang w:val="en-GB"/>
        </w:rPr>
        <w:t>年  月  日</w:t>
      </w:r>
    </w:p>
    <w:p>
      <w:pPr>
        <w:pStyle w:val="2"/>
        <w:ind w:left="0" w:leftChars="0" w:firstLine="0" w:firstLineChars="0"/>
        <w:rPr>
          <w:rFonts w:hint="default" w:ascii="仿宋" w:hAnsi="仿宋" w:eastAsia="仿宋" w:cs="仿宋"/>
          <w:b/>
          <w:bCs/>
          <w:color w:val="auto"/>
          <w:sz w:val="28"/>
          <w:szCs w:val="36"/>
          <w:highlight w:val="none"/>
          <w:lang w:val="en-US" w:eastAsia="zh-CN"/>
        </w:rPr>
      </w:pPr>
    </w:p>
    <w:p>
      <w:pPr>
        <w:pStyle w:val="6"/>
        <w:rPr>
          <w:rFonts w:asciiTheme="majorEastAsia" w:hAnsiTheme="majorEastAsia" w:eastAsiaTheme="majorEastAsia"/>
          <w:color w:val="auto"/>
          <w:sz w:val="28"/>
          <w:szCs w:val="28"/>
          <w:highlight w:val="none"/>
        </w:rPr>
      </w:pPr>
      <w:bookmarkStart w:id="172" w:name="_Toc88209965"/>
      <w:bookmarkStart w:id="173" w:name="_Toc16386"/>
      <w:bookmarkStart w:id="174" w:name="_Toc87616402"/>
      <w:bookmarkStart w:id="175"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72"/>
      <w:bookmarkEnd w:id="173"/>
      <w:bookmarkEnd w:id="174"/>
      <w:bookmarkEnd w:id="17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EF36D1F"/>
    <w:multiLevelType w:val="singleLevel"/>
    <w:tmpl w:val="EEF36D1F"/>
    <w:lvl w:ilvl="0" w:tentative="0">
      <w:start w:val="1"/>
      <w:numFmt w:val="chineseCounting"/>
      <w:suff w:val="nothing"/>
      <w:lvlText w:val="%1、"/>
      <w:lvlJc w:val="left"/>
      <w:rPr>
        <w:rFonts w:hint="eastAsia"/>
      </w:rPr>
    </w:lvl>
  </w:abstractNum>
  <w:abstractNum w:abstractNumId="2">
    <w:nsid w:val="14DDF14B"/>
    <w:multiLevelType w:val="singleLevel"/>
    <w:tmpl w:val="14DDF14B"/>
    <w:lvl w:ilvl="0" w:tentative="0">
      <w:start w:val="3"/>
      <w:numFmt w:val="chineseCounting"/>
      <w:suff w:val="nothing"/>
      <w:lvlText w:val="（%1）"/>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9348B4"/>
    <w:rsid w:val="00A042E0"/>
    <w:rsid w:val="00B26BB1"/>
    <w:rsid w:val="00B26E21"/>
    <w:rsid w:val="00CA3CC0"/>
    <w:rsid w:val="00DC5628"/>
    <w:rsid w:val="00F83B64"/>
    <w:rsid w:val="01542374"/>
    <w:rsid w:val="01693DA9"/>
    <w:rsid w:val="01A441C4"/>
    <w:rsid w:val="02090C75"/>
    <w:rsid w:val="026A1699"/>
    <w:rsid w:val="028E3FCB"/>
    <w:rsid w:val="02A23A3C"/>
    <w:rsid w:val="02B86948"/>
    <w:rsid w:val="02D23B16"/>
    <w:rsid w:val="033E3595"/>
    <w:rsid w:val="03465294"/>
    <w:rsid w:val="034F6853"/>
    <w:rsid w:val="03AC246A"/>
    <w:rsid w:val="03B23056"/>
    <w:rsid w:val="03DC3EBA"/>
    <w:rsid w:val="03F9794D"/>
    <w:rsid w:val="042F3D89"/>
    <w:rsid w:val="046A2461"/>
    <w:rsid w:val="054F221B"/>
    <w:rsid w:val="061B4EE1"/>
    <w:rsid w:val="065A53BA"/>
    <w:rsid w:val="0685597A"/>
    <w:rsid w:val="06C64829"/>
    <w:rsid w:val="06E00919"/>
    <w:rsid w:val="0718508E"/>
    <w:rsid w:val="073E03D2"/>
    <w:rsid w:val="077D16D2"/>
    <w:rsid w:val="082536BD"/>
    <w:rsid w:val="08675FC8"/>
    <w:rsid w:val="08980F24"/>
    <w:rsid w:val="089E342C"/>
    <w:rsid w:val="08F46FC3"/>
    <w:rsid w:val="090856DB"/>
    <w:rsid w:val="09B713FD"/>
    <w:rsid w:val="09E47BAB"/>
    <w:rsid w:val="09EF6ACC"/>
    <w:rsid w:val="0A315056"/>
    <w:rsid w:val="0A3420AE"/>
    <w:rsid w:val="0AFB45AD"/>
    <w:rsid w:val="0B351E9B"/>
    <w:rsid w:val="0B4C50D3"/>
    <w:rsid w:val="0B806B92"/>
    <w:rsid w:val="0B827E94"/>
    <w:rsid w:val="0BD070E1"/>
    <w:rsid w:val="0C247926"/>
    <w:rsid w:val="0C545E6C"/>
    <w:rsid w:val="0D302A9E"/>
    <w:rsid w:val="0D794204"/>
    <w:rsid w:val="0DAF6ECF"/>
    <w:rsid w:val="0E064517"/>
    <w:rsid w:val="0E2125D1"/>
    <w:rsid w:val="0E214211"/>
    <w:rsid w:val="0E5F2769"/>
    <w:rsid w:val="0E6D133F"/>
    <w:rsid w:val="0E90749A"/>
    <w:rsid w:val="0EFF0A15"/>
    <w:rsid w:val="0F4D75A3"/>
    <w:rsid w:val="0F510E72"/>
    <w:rsid w:val="0F5B2DCA"/>
    <w:rsid w:val="0FA9241B"/>
    <w:rsid w:val="0FED051E"/>
    <w:rsid w:val="0FEE4C29"/>
    <w:rsid w:val="10046082"/>
    <w:rsid w:val="106802DE"/>
    <w:rsid w:val="10765325"/>
    <w:rsid w:val="109A11B7"/>
    <w:rsid w:val="10BF1DC6"/>
    <w:rsid w:val="112B101A"/>
    <w:rsid w:val="119B53FC"/>
    <w:rsid w:val="11AE0BD5"/>
    <w:rsid w:val="11BC6C4F"/>
    <w:rsid w:val="12424CDC"/>
    <w:rsid w:val="129A2738"/>
    <w:rsid w:val="12B56BF1"/>
    <w:rsid w:val="12CB1A89"/>
    <w:rsid w:val="131840FB"/>
    <w:rsid w:val="132006B0"/>
    <w:rsid w:val="13467417"/>
    <w:rsid w:val="136E76CF"/>
    <w:rsid w:val="141F3022"/>
    <w:rsid w:val="14B10AE1"/>
    <w:rsid w:val="14BC0685"/>
    <w:rsid w:val="15BC6B3C"/>
    <w:rsid w:val="16852E1E"/>
    <w:rsid w:val="1694429A"/>
    <w:rsid w:val="17025CFF"/>
    <w:rsid w:val="17635326"/>
    <w:rsid w:val="177A6037"/>
    <w:rsid w:val="17E525A4"/>
    <w:rsid w:val="180C3EFC"/>
    <w:rsid w:val="18236EFD"/>
    <w:rsid w:val="18411178"/>
    <w:rsid w:val="189D5B1F"/>
    <w:rsid w:val="18A34CD0"/>
    <w:rsid w:val="197D0C1B"/>
    <w:rsid w:val="19B64DBC"/>
    <w:rsid w:val="1A14399F"/>
    <w:rsid w:val="1A373ACF"/>
    <w:rsid w:val="1A6027C5"/>
    <w:rsid w:val="1A7B2E8B"/>
    <w:rsid w:val="1A895341"/>
    <w:rsid w:val="1B0D071F"/>
    <w:rsid w:val="1B113E85"/>
    <w:rsid w:val="1B366FC1"/>
    <w:rsid w:val="1B4568CE"/>
    <w:rsid w:val="1B4C0C41"/>
    <w:rsid w:val="1B9015B7"/>
    <w:rsid w:val="1B902467"/>
    <w:rsid w:val="1C496023"/>
    <w:rsid w:val="1C872CE0"/>
    <w:rsid w:val="1CC55990"/>
    <w:rsid w:val="1CD6323C"/>
    <w:rsid w:val="1D03493E"/>
    <w:rsid w:val="1D2D0C9B"/>
    <w:rsid w:val="1D3D7931"/>
    <w:rsid w:val="1D5A79EE"/>
    <w:rsid w:val="1DE1591A"/>
    <w:rsid w:val="1E0E2CD0"/>
    <w:rsid w:val="1E831280"/>
    <w:rsid w:val="1E897D02"/>
    <w:rsid w:val="1EBC4704"/>
    <w:rsid w:val="1F172EB5"/>
    <w:rsid w:val="1F94592D"/>
    <w:rsid w:val="1FB860DE"/>
    <w:rsid w:val="203C5A02"/>
    <w:rsid w:val="209D4C94"/>
    <w:rsid w:val="20C02869"/>
    <w:rsid w:val="20C76BC1"/>
    <w:rsid w:val="20E84705"/>
    <w:rsid w:val="218400BA"/>
    <w:rsid w:val="21AB1E2F"/>
    <w:rsid w:val="21D05B3F"/>
    <w:rsid w:val="21D40498"/>
    <w:rsid w:val="2244347D"/>
    <w:rsid w:val="225752A3"/>
    <w:rsid w:val="225D25AA"/>
    <w:rsid w:val="22767047"/>
    <w:rsid w:val="23A05588"/>
    <w:rsid w:val="23D82F6C"/>
    <w:rsid w:val="24284C5D"/>
    <w:rsid w:val="24717C04"/>
    <w:rsid w:val="24CD6049"/>
    <w:rsid w:val="25431AEB"/>
    <w:rsid w:val="255E71FF"/>
    <w:rsid w:val="25650D8D"/>
    <w:rsid w:val="25BF43FD"/>
    <w:rsid w:val="25EB4C08"/>
    <w:rsid w:val="25F86BCD"/>
    <w:rsid w:val="2605748B"/>
    <w:rsid w:val="261105FB"/>
    <w:rsid w:val="26655B34"/>
    <w:rsid w:val="269E416A"/>
    <w:rsid w:val="26B02FC7"/>
    <w:rsid w:val="272100D3"/>
    <w:rsid w:val="272C72FC"/>
    <w:rsid w:val="275731FB"/>
    <w:rsid w:val="27923EBF"/>
    <w:rsid w:val="27EB149D"/>
    <w:rsid w:val="27F96AF5"/>
    <w:rsid w:val="27FD3E52"/>
    <w:rsid w:val="28596BD7"/>
    <w:rsid w:val="28AC722F"/>
    <w:rsid w:val="28B263D9"/>
    <w:rsid w:val="28E11370"/>
    <w:rsid w:val="294A756A"/>
    <w:rsid w:val="29CC70DE"/>
    <w:rsid w:val="29D5322D"/>
    <w:rsid w:val="2A025DD9"/>
    <w:rsid w:val="2A7C2231"/>
    <w:rsid w:val="2A8F679F"/>
    <w:rsid w:val="2ABB753D"/>
    <w:rsid w:val="2B0231B6"/>
    <w:rsid w:val="2B1574B4"/>
    <w:rsid w:val="2B7A49FA"/>
    <w:rsid w:val="2C344C2E"/>
    <w:rsid w:val="2C615D26"/>
    <w:rsid w:val="2CB679ED"/>
    <w:rsid w:val="2D0F6699"/>
    <w:rsid w:val="2D173C07"/>
    <w:rsid w:val="2D22132D"/>
    <w:rsid w:val="2D424A86"/>
    <w:rsid w:val="2D930B24"/>
    <w:rsid w:val="2DB25A3B"/>
    <w:rsid w:val="2E207BF1"/>
    <w:rsid w:val="2E6A25C9"/>
    <w:rsid w:val="2E7B52DB"/>
    <w:rsid w:val="2EC7093F"/>
    <w:rsid w:val="2EF95E2C"/>
    <w:rsid w:val="2F245777"/>
    <w:rsid w:val="2F324CFE"/>
    <w:rsid w:val="2FBA09F1"/>
    <w:rsid w:val="2FC506EE"/>
    <w:rsid w:val="2FEF2ACF"/>
    <w:rsid w:val="30540211"/>
    <w:rsid w:val="305C5857"/>
    <w:rsid w:val="30697FFE"/>
    <w:rsid w:val="30C15407"/>
    <w:rsid w:val="30E57E97"/>
    <w:rsid w:val="312D7741"/>
    <w:rsid w:val="316F137F"/>
    <w:rsid w:val="3198371B"/>
    <w:rsid w:val="319B0A3C"/>
    <w:rsid w:val="31DF525F"/>
    <w:rsid w:val="32324C2E"/>
    <w:rsid w:val="326B5AB3"/>
    <w:rsid w:val="327171DF"/>
    <w:rsid w:val="32C774F5"/>
    <w:rsid w:val="336105A8"/>
    <w:rsid w:val="341E3434"/>
    <w:rsid w:val="34476B80"/>
    <w:rsid w:val="353F533B"/>
    <w:rsid w:val="35A252CE"/>
    <w:rsid w:val="35E653A9"/>
    <w:rsid w:val="360B7EBA"/>
    <w:rsid w:val="363211B4"/>
    <w:rsid w:val="368D360C"/>
    <w:rsid w:val="369C32FD"/>
    <w:rsid w:val="36BB36AB"/>
    <w:rsid w:val="37666E72"/>
    <w:rsid w:val="38155281"/>
    <w:rsid w:val="38167A04"/>
    <w:rsid w:val="382B2729"/>
    <w:rsid w:val="382F1561"/>
    <w:rsid w:val="38A827D0"/>
    <w:rsid w:val="38CC3C0D"/>
    <w:rsid w:val="3922642F"/>
    <w:rsid w:val="394B167A"/>
    <w:rsid w:val="39B45610"/>
    <w:rsid w:val="39C559C3"/>
    <w:rsid w:val="39D76BC3"/>
    <w:rsid w:val="3A4E4336"/>
    <w:rsid w:val="3A6007FE"/>
    <w:rsid w:val="3AA53918"/>
    <w:rsid w:val="3AAA5F15"/>
    <w:rsid w:val="3AB14335"/>
    <w:rsid w:val="3AC85FEF"/>
    <w:rsid w:val="3AD37E10"/>
    <w:rsid w:val="3B304A04"/>
    <w:rsid w:val="3B7C2CE4"/>
    <w:rsid w:val="3C0B5355"/>
    <w:rsid w:val="3C9067FE"/>
    <w:rsid w:val="3C935564"/>
    <w:rsid w:val="3CD4176B"/>
    <w:rsid w:val="3D030B72"/>
    <w:rsid w:val="3D1F44D9"/>
    <w:rsid w:val="3D5C38CD"/>
    <w:rsid w:val="3DA80295"/>
    <w:rsid w:val="3E4B1AFE"/>
    <w:rsid w:val="3E5070F1"/>
    <w:rsid w:val="3E6163E7"/>
    <w:rsid w:val="3F201A7E"/>
    <w:rsid w:val="3F6C3589"/>
    <w:rsid w:val="3F7B55EB"/>
    <w:rsid w:val="3F850180"/>
    <w:rsid w:val="3F9004D6"/>
    <w:rsid w:val="400E4D5E"/>
    <w:rsid w:val="40245BFB"/>
    <w:rsid w:val="404C3D75"/>
    <w:rsid w:val="40E1138C"/>
    <w:rsid w:val="413814BA"/>
    <w:rsid w:val="414B1D27"/>
    <w:rsid w:val="41872511"/>
    <w:rsid w:val="41BB32EF"/>
    <w:rsid w:val="42466655"/>
    <w:rsid w:val="424B7EFB"/>
    <w:rsid w:val="42694B47"/>
    <w:rsid w:val="42C82F57"/>
    <w:rsid w:val="439D5045"/>
    <w:rsid w:val="43C76AF7"/>
    <w:rsid w:val="44192BBC"/>
    <w:rsid w:val="441B1CE9"/>
    <w:rsid w:val="446828F0"/>
    <w:rsid w:val="44D319A2"/>
    <w:rsid w:val="44DE50FF"/>
    <w:rsid w:val="45405496"/>
    <w:rsid w:val="45C13B4D"/>
    <w:rsid w:val="46054BCA"/>
    <w:rsid w:val="463761F3"/>
    <w:rsid w:val="463F25DE"/>
    <w:rsid w:val="464C6AFC"/>
    <w:rsid w:val="468B0091"/>
    <w:rsid w:val="46A107C3"/>
    <w:rsid w:val="46B15CE2"/>
    <w:rsid w:val="46BE113D"/>
    <w:rsid w:val="46E44B13"/>
    <w:rsid w:val="46E56AF6"/>
    <w:rsid w:val="4703508A"/>
    <w:rsid w:val="475023F8"/>
    <w:rsid w:val="475E24AC"/>
    <w:rsid w:val="477A51B3"/>
    <w:rsid w:val="479D361E"/>
    <w:rsid w:val="47B74789"/>
    <w:rsid w:val="480F16B7"/>
    <w:rsid w:val="480F2B9D"/>
    <w:rsid w:val="48282920"/>
    <w:rsid w:val="485321E0"/>
    <w:rsid w:val="48546AD3"/>
    <w:rsid w:val="48574836"/>
    <w:rsid w:val="48C9172E"/>
    <w:rsid w:val="48CA4868"/>
    <w:rsid w:val="48D05059"/>
    <w:rsid w:val="48F005D3"/>
    <w:rsid w:val="49117E59"/>
    <w:rsid w:val="49576915"/>
    <w:rsid w:val="498F4AF1"/>
    <w:rsid w:val="49C05787"/>
    <w:rsid w:val="49CF518D"/>
    <w:rsid w:val="4A5C209C"/>
    <w:rsid w:val="4A8A1E8A"/>
    <w:rsid w:val="4ADA1F63"/>
    <w:rsid w:val="4AE23D89"/>
    <w:rsid w:val="4AEC2FDE"/>
    <w:rsid w:val="4B2038D0"/>
    <w:rsid w:val="4B296E7D"/>
    <w:rsid w:val="4B5E5A64"/>
    <w:rsid w:val="4B877F28"/>
    <w:rsid w:val="4BFE2C73"/>
    <w:rsid w:val="4C4E1737"/>
    <w:rsid w:val="4CC60794"/>
    <w:rsid w:val="4D272D40"/>
    <w:rsid w:val="4D2E044D"/>
    <w:rsid w:val="4D2F3FE8"/>
    <w:rsid w:val="4D50490C"/>
    <w:rsid w:val="4D916BA6"/>
    <w:rsid w:val="4DC44169"/>
    <w:rsid w:val="4DF445F2"/>
    <w:rsid w:val="4E460417"/>
    <w:rsid w:val="4EF0709E"/>
    <w:rsid w:val="4F2706FC"/>
    <w:rsid w:val="4F3530D6"/>
    <w:rsid w:val="4F4546D1"/>
    <w:rsid w:val="5011784D"/>
    <w:rsid w:val="50590023"/>
    <w:rsid w:val="50910AE4"/>
    <w:rsid w:val="50CA40A1"/>
    <w:rsid w:val="513C043B"/>
    <w:rsid w:val="513C6A7B"/>
    <w:rsid w:val="519E3D4C"/>
    <w:rsid w:val="523D3563"/>
    <w:rsid w:val="52EE03B1"/>
    <w:rsid w:val="5333545B"/>
    <w:rsid w:val="5450213C"/>
    <w:rsid w:val="54676DEC"/>
    <w:rsid w:val="5483348F"/>
    <w:rsid w:val="548B69EE"/>
    <w:rsid w:val="54D24048"/>
    <w:rsid w:val="54D64CD5"/>
    <w:rsid w:val="55446DD5"/>
    <w:rsid w:val="55637031"/>
    <w:rsid w:val="55887D69"/>
    <w:rsid w:val="561A0928"/>
    <w:rsid w:val="56423872"/>
    <w:rsid w:val="564E0513"/>
    <w:rsid w:val="56B279F0"/>
    <w:rsid w:val="579D710E"/>
    <w:rsid w:val="57F50C40"/>
    <w:rsid w:val="58044513"/>
    <w:rsid w:val="581F22F6"/>
    <w:rsid w:val="586E1E17"/>
    <w:rsid w:val="58862C35"/>
    <w:rsid w:val="58C14957"/>
    <w:rsid w:val="58FA377E"/>
    <w:rsid w:val="5A085E51"/>
    <w:rsid w:val="5AE83A50"/>
    <w:rsid w:val="5AF60BBD"/>
    <w:rsid w:val="5B3F3205"/>
    <w:rsid w:val="5BAB2917"/>
    <w:rsid w:val="5BBF6B42"/>
    <w:rsid w:val="5BC6429A"/>
    <w:rsid w:val="5BFC33FA"/>
    <w:rsid w:val="5C3107A4"/>
    <w:rsid w:val="5C3B1B93"/>
    <w:rsid w:val="5C66348F"/>
    <w:rsid w:val="5C9220DF"/>
    <w:rsid w:val="5D4A15F3"/>
    <w:rsid w:val="5D69542A"/>
    <w:rsid w:val="5E0930EF"/>
    <w:rsid w:val="5E3D4D53"/>
    <w:rsid w:val="5E4717E6"/>
    <w:rsid w:val="5E4760F5"/>
    <w:rsid w:val="5E55774C"/>
    <w:rsid w:val="5E645548"/>
    <w:rsid w:val="5ED25523"/>
    <w:rsid w:val="5F3D0E92"/>
    <w:rsid w:val="5FBD0293"/>
    <w:rsid w:val="5FD02906"/>
    <w:rsid w:val="60104DDC"/>
    <w:rsid w:val="605C0804"/>
    <w:rsid w:val="60E060C8"/>
    <w:rsid w:val="61841BCA"/>
    <w:rsid w:val="6189617B"/>
    <w:rsid w:val="61B52BB6"/>
    <w:rsid w:val="61B749C2"/>
    <w:rsid w:val="61DC4653"/>
    <w:rsid w:val="62280D20"/>
    <w:rsid w:val="62CA2457"/>
    <w:rsid w:val="62D577F9"/>
    <w:rsid w:val="638240A1"/>
    <w:rsid w:val="63A5257B"/>
    <w:rsid w:val="63BD3DCC"/>
    <w:rsid w:val="63C61741"/>
    <w:rsid w:val="642325D4"/>
    <w:rsid w:val="64560967"/>
    <w:rsid w:val="64916395"/>
    <w:rsid w:val="649F73AF"/>
    <w:rsid w:val="656B1D10"/>
    <w:rsid w:val="66022B28"/>
    <w:rsid w:val="662F1AB4"/>
    <w:rsid w:val="66581E87"/>
    <w:rsid w:val="66BE4928"/>
    <w:rsid w:val="66FA11D5"/>
    <w:rsid w:val="672F6D1F"/>
    <w:rsid w:val="674302C7"/>
    <w:rsid w:val="680A5986"/>
    <w:rsid w:val="680D5F4B"/>
    <w:rsid w:val="68113F51"/>
    <w:rsid w:val="68E94770"/>
    <w:rsid w:val="68F949C9"/>
    <w:rsid w:val="695A4290"/>
    <w:rsid w:val="69BB6534"/>
    <w:rsid w:val="69C3130E"/>
    <w:rsid w:val="69CE7A1D"/>
    <w:rsid w:val="69F82030"/>
    <w:rsid w:val="6A334932"/>
    <w:rsid w:val="6A3353FF"/>
    <w:rsid w:val="6A5D63E6"/>
    <w:rsid w:val="6A5F24D1"/>
    <w:rsid w:val="6A990101"/>
    <w:rsid w:val="6AC718A2"/>
    <w:rsid w:val="6AE347EB"/>
    <w:rsid w:val="6B434AF0"/>
    <w:rsid w:val="6B57675A"/>
    <w:rsid w:val="6BDD7B4D"/>
    <w:rsid w:val="6BF3021A"/>
    <w:rsid w:val="6BFA291A"/>
    <w:rsid w:val="6D185501"/>
    <w:rsid w:val="6D2835DB"/>
    <w:rsid w:val="6DDE7934"/>
    <w:rsid w:val="6E2E5BBE"/>
    <w:rsid w:val="6E7A168D"/>
    <w:rsid w:val="6EBC0B3A"/>
    <w:rsid w:val="6EF51C7D"/>
    <w:rsid w:val="6F752F80"/>
    <w:rsid w:val="6F7A534A"/>
    <w:rsid w:val="6F8363E5"/>
    <w:rsid w:val="6FC746F5"/>
    <w:rsid w:val="701B378E"/>
    <w:rsid w:val="70317AC6"/>
    <w:rsid w:val="70370ACA"/>
    <w:rsid w:val="70863262"/>
    <w:rsid w:val="70A76ED3"/>
    <w:rsid w:val="71860B17"/>
    <w:rsid w:val="71E31E27"/>
    <w:rsid w:val="71FE2EA4"/>
    <w:rsid w:val="720A7AF8"/>
    <w:rsid w:val="720C499E"/>
    <w:rsid w:val="72322DB6"/>
    <w:rsid w:val="723B27CC"/>
    <w:rsid w:val="72687227"/>
    <w:rsid w:val="72A03FD9"/>
    <w:rsid w:val="72B96427"/>
    <w:rsid w:val="72EA1C5E"/>
    <w:rsid w:val="73406CFF"/>
    <w:rsid w:val="7383028C"/>
    <w:rsid w:val="738B2FF4"/>
    <w:rsid w:val="73A25E44"/>
    <w:rsid w:val="740C2702"/>
    <w:rsid w:val="741F68CF"/>
    <w:rsid w:val="74741958"/>
    <w:rsid w:val="7474791D"/>
    <w:rsid w:val="747D01A7"/>
    <w:rsid w:val="749340C8"/>
    <w:rsid w:val="74E64734"/>
    <w:rsid w:val="7502386D"/>
    <w:rsid w:val="75252DF3"/>
    <w:rsid w:val="754166FC"/>
    <w:rsid w:val="75621536"/>
    <w:rsid w:val="75BF3154"/>
    <w:rsid w:val="76115521"/>
    <w:rsid w:val="764A07CF"/>
    <w:rsid w:val="764F6B3D"/>
    <w:rsid w:val="76CC6C50"/>
    <w:rsid w:val="76CD2B7B"/>
    <w:rsid w:val="76D80645"/>
    <w:rsid w:val="76E03371"/>
    <w:rsid w:val="780E5898"/>
    <w:rsid w:val="782642CC"/>
    <w:rsid w:val="78660631"/>
    <w:rsid w:val="78685F6A"/>
    <w:rsid w:val="7894095E"/>
    <w:rsid w:val="79000679"/>
    <w:rsid w:val="79376689"/>
    <w:rsid w:val="79A416F0"/>
    <w:rsid w:val="79B03EB6"/>
    <w:rsid w:val="79E65864"/>
    <w:rsid w:val="79F65167"/>
    <w:rsid w:val="7A7F4688"/>
    <w:rsid w:val="7A863496"/>
    <w:rsid w:val="7ABC034E"/>
    <w:rsid w:val="7AF37579"/>
    <w:rsid w:val="7AF87F64"/>
    <w:rsid w:val="7B04053B"/>
    <w:rsid w:val="7B1C0C84"/>
    <w:rsid w:val="7B5A62DF"/>
    <w:rsid w:val="7B7A04A8"/>
    <w:rsid w:val="7BFE6FDA"/>
    <w:rsid w:val="7BFF446D"/>
    <w:rsid w:val="7C0C3F6D"/>
    <w:rsid w:val="7C22163C"/>
    <w:rsid w:val="7C595075"/>
    <w:rsid w:val="7C6B07B2"/>
    <w:rsid w:val="7D124E8E"/>
    <w:rsid w:val="7D133243"/>
    <w:rsid w:val="7DBB2E80"/>
    <w:rsid w:val="7DD32484"/>
    <w:rsid w:val="7E394207"/>
    <w:rsid w:val="7E4007A2"/>
    <w:rsid w:val="7E791CAD"/>
    <w:rsid w:val="7EA50DFB"/>
    <w:rsid w:val="7EC86878"/>
    <w:rsid w:val="7ED735CD"/>
    <w:rsid w:val="7F067522"/>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9"/>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jc w:val="left"/>
    </w:pPr>
    <w:rPr>
      <w:sz w:val="18"/>
      <w:szCs w:val="18"/>
    </w:rPr>
  </w:style>
  <w:style w:type="paragraph" w:styleId="19">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10"/>
    <w:unhideWhenUsed/>
    <w:qFormat/>
    <w:uiPriority w:val="99"/>
    <w:pPr>
      <w:ind w:firstLine="420"/>
    </w:p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paragraph" w:customStyle="1" w:styleId="30">
    <w:name w:val="BodyText"/>
    <w:basedOn w:val="1"/>
    <w:next w:val="31"/>
    <w:qFormat/>
    <w:uiPriority w:val="0"/>
    <w:pPr>
      <w:jc w:val="both"/>
      <w:textAlignment w:val="baseline"/>
    </w:pPr>
    <w:rPr>
      <w:rFonts w:ascii="Times New Roman" w:hAnsi="Times New Roman" w:eastAsia="宋体"/>
      <w:kern w:val="2"/>
      <w:sz w:val="28"/>
      <w:lang w:val="en-US" w:eastAsia="zh-CN" w:bidi="ar-SA"/>
    </w:rPr>
  </w:style>
  <w:style w:type="paragraph" w:customStyle="1" w:styleId="31">
    <w:name w:val="BodyText2"/>
    <w:basedOn w:val="1"/>
    <w:qFormat/>
    <w:uiPriority w:val="0"/>
    <w:pPr>
      <w:spacing w:after="120" w:line="480" w:lineRule="auto"/>
      <w:jc w:val="both"/>
      <w:textAlignment w:val="baseline"/>
    </w:pPr>
  </w:style>
  <w:style w:type="character" w:customStyle="1" w:styleId="32">
    <w:name w:val="页眉 Char"/>
    <w:basedOn w:val="26"/>
    <w:link w:val="19"/>
    <w:semiHidden/>
    <w:qFormat/>
    <w:uiPriority w:val="99"/>
    <w:rPr>
      <w:sz w:val="18"/>
      <w:szCs w:val="18"/>
    </w:rPr>
  </w:style>
  <w:style w:type="character" w:customStyle="1" w:styleId="33">
    <w:name w:val="页脚 Char"/>
    <w:basedOn w:val="26"/>
    <w:link w:val="18"/>
    <w:qFormat/>
    <w:uiPriority w:val="99"/>
    <w:rPr>
      <w:sz w:val="18"/>
      <w:szCs w:val="18"/>
    </w:rPr>
  </w:style>
  <w:style w:type="character" w:customStyle="1" w:styleId="34">
    <w:name w:val="标题 1 Char"/>
    <w:basedOn w:val="26"/>
    <w:link w:val="4"/>
    <w:qFormat/>
    <w:uiPriority w:val="9"/>
    <w:rPr>
      <w:rFonts w:eastAsia="方正小标宋简体"/>
      <w:bCs/>
      <w:kern w:val="44"/>
      <w:sz w:val="44"/>
      <w:szCs w:val="44"/>
    </w:rPr>
  </w:style>
  <w:style w:type="character" w:customStyle="1" w:styleId="35">
    <w:name w:val="标题 2 Char"/>
    <w:basedOn w:val="26"/>
    <w:link w:val="5"/>
    <w:qFormat/>
    <w:uiPriority w:val="9"/>
    <w:rPr>
      <w:rFonts w:eastAsia="方正小标宋简体" w:asciiTheme="majorHAnsi" w:hAnsiTheme="majorHAnsi" w:cstheme="majorBidi"/>
      <w:bCs/>
      <w:sz w:val="36"/>
      <w:szCs w:val="32"/>
    </w:rPr>
  </w:style>
  <w:style w:type="character" w:customStyle="1" w:styleId="36">
    <w:name w:val="标题 3 Char"/>
    <w:basedOn w:val="26"/>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7"/>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4"/>
    <w:next w:val="14"/>
    <w:qFormat/>
    <w:uiPriority w:val="0"/>
    <w:pPr>
      <w:spacing w:after="373"/>
    </w:pPr>
    <w:rPr>
      <w:color w:val="auto"/>
    </w:rPr>
  </w:style>
  <w:style w:type="paragraph" w:customStyle="1" w:styleId="42">
    <w:name w:val="CM91"/>
    <w:basedOn w:val="14"/>
    <w:next w:val="14"/>
    <w:qFormat/>
    <w:uiPriority w:val="0"/>
    <w:pPr>
      <w:spacing w:after="160"/>
    </w:pPr>
    <w:rPr>
      <w:color w:val="auto"/>
    </w:rPr>
  </w:style>
  <w:style w:type="character" w:customStyle="1" w:styleId="43">
    <w:name w:val="正文文本 3 Char"/>
    <w:link w:val="9"/>
    <w:qFormat/>
    <w:uiPriority w:val="99"/>
    <w:rPr>
      <w:sz w:val="16"/>
      <w:szCs w:val="16"/>
    </w:rPr>
  </w:style>
  <w:style w:type="character" w:customStyle="1" w:styleId="44">
    <w:name w:val="正文文本 3 Char1"/>
    <w:basedOn w:val="26"/>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3"/>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1">
    <w:name w:val="font41"/>
    <w:basedOn w:val="26"/>
    <w:qFormat/>
    <w:uiPriority w:val="0"/>
    <w:rPr>
      <w:rFonts w:ascii="Arial" w:hAnsi="Arial" w:cs="Arial"/>
      <w:color w:val="000000"/>
      <w:sz w:val="28"/>
      <w:szCs w:val="28"/>
      <w:u w:val="none"/>
    </w:rPr>
  </w:style>
  <w:style w:type="character" w:customStyle="1" w:styleId="52">
    <w:name w:val="font61"/>
    <w:basedOn w:val="26"/>
    <w:qFormat/>
    <w:uiPriority w:val="0"/>
    <w:rPr>
      <w:rFonts w:hint="eastAsia" w:ascii="宋体" w:hAnsi="宋体" w:eastAsia="宋体" w:cs="宋体"/>
      <w:color w:val="000000"/>
      <w:sz w:val="28"/>
      <w:szCs w:val="28"/>
      <w:u w:val="none"/>
    </w:rPr>
  </w:style>
  <w:style w:type="paragraph" w:customStyle="1" w:styleId="53">
    <w:name w:val="样式 正文文字 + 首行缩进:  2 字符2"/>
    <w:basedOn w:val="1"/>
    <w:qFormat/>
    <w:uiPriority w:val="0"/>
    <w:pPr>
      <w:spacing w:line="480" w:lineRule="atLeast"/>
      <w:ind w:firstLine="560" w:firstLineChars="200"/>
    </w:pPr>
    <w:rPr>
      <w:rFonts w:cs="宋体"/>
      <w:szCs w:val="20"/>
    </w:rPr>
  </w:style>
  <w:style w:type="paragraph" w:customStyle="1" w:styleId="5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55">
    <w:name w:val="第3级"/>
    <w:basedOn w:val="6"/>
    <w:qFormat/>
    <w:uiPriority w:val="0"/>
    <w:pPr>
      <w:keepNext w:val="0"/>
      <w:keepLines w:val="0"/>
      <w:spacing w:beforeLines="50" w:afterLines="50" w:line="312" w:lineRule="auto"/>
      <w:jc w:val="left"/>
    </w:pPr>
    <w:rPr>
      <w:rFonts w:ascii="宋体" w:hAnsi="Arial Unicode MS"/>
      <w:spacing w:val="4"/>
      <w:sz w:val="28"/>
    </w:rPr>
  </w:style>
  <w:style w:type="paragraph" w:customStyle="1" w:styleId="56">
    <w:name w:val="第4级"/>
    <w:basedOn w:val="55"/>
    <w:next w:val="57"/>
    <w:qFormat/>
    <w:uiPriority w:val="0"/>
    <w:pPr>
      <w:spacing w:before="50" w:after="50"/>
      <w:outlineLvl w:val="3"/>
    </w:pPr>
    <w:rPr>
      <w:kern w:val="2"/>
      <w:sz w:val="24"/>
    </w:rPr>
  </w:style>
  <w:style w:type="paragraph" w:customStyle="1" w:styleId="57">
    <w:name w:val="A正文"/>
    <w:basedOn w:val="1"/>
    <w:qFormat/>
    <w:uiPriority w:val="0"/>
    <w:pPr>
      <w:spacing w:line="312" w:lineRule="auto"/>
      <w:ind w:firstLine="496" w:firstLineChars="200"/>
    </w:pPr>
    <w:rPr>
      <w:rFonts w:ascii="宋体" w:hAnsi="宋体"/>
      <w:spacing w:val="4"/>
      <w:sz w:val="24"/>
    </w:rPr>
  </w:style>
  <w:style w:type="paragraph" w:customStyle="1" w:styleId="58">
    <w:name w:val="变黑体"/>
    <w:basedOn w:val="1"/>
    <w:qFormat/>
    <w:uiPriority w:val="0"/>
    <w:pPr>
      <w:spacing w:beforeLines="50" w:line="312" w:lineRule="auto"/>
      <w:ind w:firstLine="482" w:firstLineChars="200"/>
    </w:pPr>
    <w:rPr>
      <w:rFonts w:ascii="宋体"/>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26065</Words>
  <Characters>27489</Characters>
  <Lines>300</Lines>
  <Paragraphs>84</Paragraphs>
  <TotalTime>7</TotalTime>
  <ScaleCrop>false</ScaleCrop>
  <LinksUpToDate>false</LinksUpToDate>
  <CharactersWithSpaces>29830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2022-08-31T08:10:00Z</cp:lastPrinted>
  <dcterms:modified xsi:type="dcterms:W3CDTF">2023-11-08T07:42:32Z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77391B0D404E4068BF31CD3D77D6A7BE</vt:lpwstr>
  </property>
</Properties>
</file>